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9D6B04F" w14:textId="77777777" w:rsidR="0037741E" w:rsidRPr="007C065D" w:rsidRDefault="2434B2B2" w:rsidP="00DB3BEC">
      <w:pPr>
        <w:jc w:val="both"/>
        <w:rPr>
          <w:sz w:val="22"/>
          <w:szCs w:val="22"/>
        </w:rPr>
      </w:pPr>
      <w:r w:rsidRPr="007C065D">
        <w:rPr>
          <w:sz w:val="22"/>
          <w:szCs w:val="22"/>
        </w:rPr>
        <w:t xml:space="preserve"> </w:t>
      </w:r>
    </w:p>
    <w:p w14:paraId="2A3FB466" w14:textId="3302998A" w:rsidR="0037741E" w:rsidRPr="00317ABF" w:rsidRDefault="0037741E" w:rsidP="00DB3BEC">
      <w:pPr>
        <w:pStyle w:val="Tytu"/>
        <w:jc w:val="both"/>
        <w:rPr>
          <w:sz w:val="22"/>
          <w:szCs w:val="22"/>
        </w:rPr>
      </w:pPr>
      <w:r w:rsidRPr="00317ABF">
        <w:rPr>
          <w:sz w:val="22"/>
          <w:szCs w:val="22"/>
        </w:rPr>
        <w:t>TABELA Z</w:t>
      </w:r>
      <w:r w:rsidR="00D974D0" w:rsidRPr="00317ABF">
        <w:rPr>
          <w:sz w:val="22"/>
          <w:szCs w:val="22"/>
        </w:rPr>
        <w:t>GOD</w:t>
      </w:r>
      <w:r w:rsidRPr="00317ABF">
        <w:rPr>
          <w:sz w:val="22"/>
          <w:szCs w:val="22"/>
        </w:rPr>
        <w:t>NOŚCI</w:t>
      </w:r>
    </w:p>
    <w:p w14:paraId="7050FA9B" w14:textId="2456D183" w:rsidR="0037741E" w:rsidRPr="00317ABF" w:rsidRDefault="00317ABF" w:rsidP="00DB3BEC">
      <w:pPr>
        <w:jc w:val="both"/>
        <w:rPr>
          <w:sz w:val="22"/>
          <w:szCs w:val="22"/>
        </w:rPr>
      </w:pPr>
      <w:r w:rsidRPr="00317ABF">
        <w:rPr>
          <w:sz w:val="22"/>
          <w:szCs w:val="22"/>
        </w:rPr>
        <w:t>12</w:t>
      </w:r>
      <w:r w:rsidR="00430055" w:rsidRPr="00317ABF">
        <w:rPr>
          <w:sz w:val="22"/>
          <w:szCs w:val="22"/>
        </w:rPr>
        <w:t>.0</w:t>
      </w:r>
      <w:r w:rsidR="004420E8" w:rsidRPr="00317ABF">
        <w:rPr>
          <w:sz w:val="22"/>
          <w:szCs w:val="22"/>
        </w:rPr>
        <w:t>2</w:t>
      </w:r>
      <w:r w:rsidR="003D211F" w:rsidRPr="00317ABF">
        <w:rPr>
          <w:sz w:val="22"/>
          <w:szCs w:val="22"/>
        </w:rPr>
        <w:t>.20</w:t>
      </w:r>
      <w:r w:rsidR="004420E8" w:rsidRPr="00317ABF">
        <w:rPr>
          <w:sz w:val="22"/>
          <w:szCs w:val="22"/>
        </w:rPr>
        <w:t>21</w:t>
      </w:r>
    </w:p>
    <w:p w14:paraId="672A6659" w14:textId="77777777" w:rsidR="0037741E" w:rsidRPr="00317ABF" w:rsidRDefault="0037741E" w:rsidP="00DB3BEC">
      <w:pPr>
        <w:jc w:val="both"/>
        <w:rPr>
          <w:sz w:val="22"/>
          <w:szCs w:val="22"/>
        </w:rPr>
      </w:pPr>
    </w:p>
    <w:tbl>
      <w:tblPr>
        <w:tblpPr w:leftFromText="141" w:rightFromText="141" w:vertAnchor="text" w:tblpXSpec="right" w:tblpY="1"/>
        <w:tblOverlap w:val="never"/>
        <w:tblW w:w="13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4"/>
        <w:gridCol w:w="4308"/>
        <w:gridCol w:w="986"/>
        <w:gridCol w:w="910"/>
        <w:gridCol w:w="33"/>
        <w:gridCol w:w="6781"/>
        <w:gridCol w:w="165"/>
        <w:gridCol w:w="10"/>
      </w:tblGrid>
      <w:tr w:rsidR="0037741E" w:rsidRPr="00317ABF" w14:paraId="0251F15B" w14:textId="77777777" w:rsidTr="7753F98D">
        <w:trPr>
          <w:cantSplit/>
          <w:trHeight w:val="550"/>
        </w:trPr>
        <w:tc>
          <w:tcPr>
            <w:tcW w:w="5012" w:type="dxa"/>
            <w:gridSpan w:val="2"/>
            <w:shd w:val="clear" w:color="auto" w:fill="E0E0E0"/>
          </w:tcPr>
          <w:p w14:paraId="6DDB5881" w14:textId="77777777" w:rsidR="0037741E" w:rsidRPr="00317ABF" w:rsidRDefault="0037741E" w:rsidP="00DB3BEC">
            <w:pPr>
              <w:pStyle w:val="Nagwek1"/>
              <w:rPr>
                <w:sz w:val="22"/>
                <w:szCs w:val="22"/>
              </w:rPr>
            </w:pPr>
            <w:r w:rsidRPr="00317ABF">
              <w:rPr>
                <w:sz w:val="22"/>
                <w:szCs w:val="22"/>
              </w:rPr>
              <w:t xml:space="preserve">TYTUŁ </w:t>
            </w:r>
            <w:r w:rsidR="00D77958" w:rsidRPr="00317ABF">
              <w:rPr>
                <w:sz w:val="22"/>
                <w:szCs w:val="22"/>
              </w:rPr>
              <w:t>USTAWY</w:t>
            </w:r>
            <w:r w:rsidRPr="00317ABF">
              <w:rPr>
                <w:sz w:val="22"/>
                <w:szCs w:val="22"/>
              </w:rPr>
              <w:t>:</w:t>
            </w:r>
          </w:p>
        </w:tc>
        <w:tc>
          <w:tcPr>
            <w:tcW w:w="8885" w:type="dxa"/>
            <w:gridSpan w:val="6"/>
          </w:tcPr>
          <w:p w14:paraId="54402EF0" w14:textId="31B0521A" w:rsidR="00C6443C" w:rsidRPr="00317ABF" w:rsidRDefault="0816CE63" w:rsidP="00DB3BEC">
            <w:pPr>
              <w:jc w:val="both"/>
              <w:rPr>
                <w:sz w:val="22"/>
                <w:szCs w:val="22"/>
              </w:rPr>
            </w:pPr>
            <w:r w:rsidRPr="00317ABF">
              <w:rPr>
                <w:b/>
                <w:bCs/>
                <w:sz w:val="22"/>
                <w:szCs w:val="22"/>
              </w:rPr>
              <w:t xml:space="preserve">Projekt ustawy </w:t>
            </w:r>
            <w:r w:rsidR="00317ABF" w:rsidRPr="00317ABF">
              <w:rPr>
                <w:b/>
                <w:bCs/>
                <w:sz w:val="22"/>
                <w:szCs w:val="22"/>
              </w:rPr>
              <w:t xml:space="preserve">- </w:t>
            </w:r>
            <w:r w:rsidRPr="00317ABF">
              <w:rPr>
                <w:b/>
                <w:bCs/>
                <w:sz w:val="22"/>
                <w:szCs w:val="22"/>
              </w:rPr>
              <w:t>Prawo komunikacji elektronicznej</w:t>
            </w:r>
          </w:p>
          <w:p w14:paraId="288D2EFA" w14:textId="6CB1B691" w:rsidR="00C6443C" w:rsidRPr="00317ABF" w:rsidRDefault="00C6443C" w:rsidP="00DB3BEC">
            <w:pPr>
              <w:jc w:val="both"/>
              <w:rPr>
                <w:b/>
                <w:sz w:val="22"/>
                <w:szCs w:val="22"/>
              </w:rPr>
            </w:pPr>
          </w:p>
        </w:tc>
      </w:tr>
      <w:tr w:rsidR="0037741E" w:rsidRPr="00317ABF" w14:paraId="4B05343D" w14:textId="77777777" w:rsidTr="7753F98D">
        <w:trPr>
          <w:cantSplit/>
          <w:trHeight w:val="550"/>
        </w:trPr>
        <w:tc>
          <w:tcPr>
            <w:tcW w:w="5012" w:type="dxa"/>
            <w:gridSpan w:val="2"/>
            <w:shd w:val="clear" w:color="auto" w:fill="E0E0E0"/>
          </w:tcPr>
          <w:p w14:paraId="457C4EE5" w14:textId="77777777" w:rsidR="0037741E" w:rsidRPr="00317ABF" w:rsidRDefault="0037741E" w:rsidP="00DB3BEC">
            <w:pPr>
              <w:jc w:val="both"/>
              <w:rPr>
                <w:b/>
                <w:bCs/>
                <w:sz w:val="22"/>
                <w:szCs w:val="22"/>
              </w:rPr>
            </w:pPr>
            <w:r w:rsidRPr="00317ABF">
              <w:rPr>
                <w:b/>
                <w:bCs/>
                <w:sz w:val="22"/>
                <w:szCs w:val="22"/>
              </w:rPr>
              <w:t xml:space="preserve">TYTUŁ WDRAŻANEGO AKTU PRAWNEGO / WDRAŻANYCH AKTÓW PRAWNYCH </w:t>
            </w:r>
            <w:r w:rsidRPr="00317ABF">
              <w:rPr>
                <w:b/>
                <w:bCs/>
                <w:sz w:val="22"/>
                <w:szCs w:val="22"/>
                <w:vertAlign w:val="superscript"/>
              </w:rPr>
              <w:t>1)</w:t>
            </w:r>
            <w:r w:rsidRPr="00317ABF">
              <w:rPr>
                <w:b/>
                <w:bCs/>
                <w:sz w:val="22"/>
                <w:szCs w:val="22"/>
              </w:rPr>
              <w:t>:</w:t>
            </w:r>
          </w:p>
        </w:tc>
        <w:tc>
          <w:tcPr>
            <w:tcW w:w="8885" w:type="dxa"/>
            <w:gridSpan w:val="6"/>
          </w:tcPr>
          <w:p w14:paraId="28384135" w14:textId="0073E80E" w:rsidR="00C6443C" w:rsidRPr="00317ABF" w:rsidRDefault="38B7CE9D" w:rsidP="00DB3BEC">
            <w:pPr>
              <w:jc w:val="both"/>
              <w:rPr>
                <w:b/>
                <w:sz w:val="22"/>
                <w:szCs w:val="22"/>
              </w:rPr>
            </w:pPr>
            <w:r w:rsidRPr="00317ABF">
              <w:rPr>
                <w:b/>
                <w:sz w:val="22"/>
                <w:szCs w:val="22"/>
              </w:rPr>
              <w:t>Wdrożenie dyrektywy Parlamentu Europejskiego i Rady (UE) 2018/1972 z dnia 11 grudnia 2018 r. ustanawiającą europejski kodeks łączności elektronicznej (Dz. Urz. WE L 321/36 z 17.12.2018);</w:t>
            </w:r>
          </w:p>
          <w:p w14:paraId="7DF1AB45" w14:textId="15E8869B" w:rsidR="00C6443C" w:rsidRPr="00317ABF" w:rsidRDefault="00C6443C" w:rsidP="00DB3BEC">
            <w:pPr>
              <w:jc w:val="both"/>
              <w:rPr>
                <w:sz w:val="22"/>
                <w:szCs w:val="22"/>
              </w:rPr>
            </w:pPr>
          </w:p>
        </w:tc>
      </w:tr>
      <w:tr w:rsidR="0037741E" w:rsidRPr="00317ABF" w14:paraId="15321A54" w14:textId="77777777" w:rsidTr="7753F98D">
        <w:trPr>
          <w:cantSplit/>
        </w:trPr>
        <w:tc>
          <w:tcPr>
            <w:tcW w:w="13897" w:type="dxa"/>
            <w:gridSpan w:val="8"/>
            <w:shd w:val="clear" w:color="auto" w:fill="A0A0A0"/>
          </w:tcPr>
          <w:p w14:paraId="28D507A2" w14:textId="77777777" w:rsidR="00C6443C" w:rsidRPr="00317ABF" w:rsidRDefault="00C6443C" w:rsidP="00DB3BEC">
            <w:pPr>
              <w:jc w:val="both"/>
              <w:rPr>
                <w:sz w:val="22"/>
                <w:szCs w:val="22"/>
              </w:rPr>
            </w:pPr>
          </w:p>
        </w:tc>
      </w:tr>
      <w:tr w:rsidR="0037741E" w:rsidRPr="00317ABF" w14:paraId="64BC7CE5" w14:textId="77777777" w:rsidTr="7753F98D">
        <w:trPr>
          <w:trHeight w:val="550"/>
        </w:trPr>
        <w:tc>
          <w:tcPr>
            <w:tcW w:w="13897" w:type="dxa"/>
            <w:gridSpan w:val="8"/>
            <w:shd w:val="clear" w:color="auto" w:fill="D9D9D9" w:themeFill="background1" w:themeFillShade="D9"/>
          </w:tcPr>
          <w:p w14:paraId="24C8C971" w14:textId="77777777" w:rsidR="00C6443C" w:rsidRPr="00317ABF" w:rsidRDefault="00C6443C" w:rsidP="00DB3BEC">
            <w:pPr>
              <w:jc w:val="both"/>
              <w:rPr>
                <w:sz w:val="22"/>
                <w:szCs w:val="22"/>
              </w:rPr>
            </w:pPr>
          </w:p>
        </w:tc>
      </w:tr>
      <w:tr w:rsidR="002828B9" w:rsidRPr="00317ABF" w14:paraId="36905FB9" w14:textId="77777777" w:rsidTr="7753F98D">
        <w:tc>
          <w:tcPr>
            <w:tcW w:w="704" w:type="dxa"/>
            <w:shd w:val="clear" w:color="auto" w:fill="D9D9D9" w:themeFill="background1" w:themeFillShade="D9"/>
          </w:tcPr>
          <w:p w14:paraId="18EA3848" w14:textId="77777777" w:rsidR="002828B9" w:rsidRPr="00317ABF" w:rsidRDefault="002828B9" w:rsidP="00DB3BEC">
            <w:pPr>
              <w:jc w:val="both"/>
              <w:rPr>
                <w:b/>
                <w:bCs/>
                <w:sz w:val="22"/>
                <w:szCs w:val="22"/>
              </w:rPr>
            </w:pPr>
            <w:r w:rsidRPr="00317ABF">
              <w:rPr>
                <w:b/>
                <w:bCs/>
                <w:sz w:val="22"/>
                <w:szCs w:val="22"/>
              </w:rPr>
              <w:t xml:space="preserve">Jedn. red. </w:t>
            </w:r>
          </w:p>
        </w:tc>
        <w:tc>
          <w:tcPr>
            <w:tcW w:w="4308" w:type="dxa"/>
            <w:shd w:val="clear" w:color="auto" w:fill="D9D9D9" w:themeFill="background1" w:themeFillShade="D9"/>
          </w:tcPr>
          <w:p w14:paraId="30C65301" w14:textId="77777777" w:rsidR="002828B9" w:rsidRPr="00317ABF" w:rsidRDefault="002828B9" w:rsidP="00DB3BEC">
            <w:pPr>
              <w:jc w:val="both"/>
              <w:rPr>
                <w:b/>
                <w:bCs/>
                <w:sz w:val="22"/>
                <w:szCs w:val="22"/>
              </w:rPr>
            </w:pPr>
            <w:r w:rsidRPr="00317ABF">
              <w:rPr>
                <w:b/>
                <w:bCs/>
                <w:sz w:val="22"/>
                <w:szCs w:val="22"/>
              </w:rPr>
              <w:t xml:space="preserve">Treść przepisu UE </w:t>
            </w:r>
            <w:r w:rsidRPr="00317ABF">
              <w:rPr>
                <w:b/>
                <w:bCs/>
                <w:sz w:val="22"/>
                <w:szCs w:val="22"/>
                <w:vertAlign w:val="superscript"/>
              </w:rPr>
              <w:t>3)</w:t>
            </w:r>
            <w:r w:rsidRPr="00317ABF">
              <w:rPr>
                <w:b/>
                <w:bCs/>
                <w:sz w:val="22"/>
                <w:szCs w:val="22"/>
              </w:rPr>
              <w:t xml:space="preserve"> </w:t>
            </w:r>
          </w:p>
        </w:tc>
        <w:tc>
          <w:tcPr>
            <w:tcW w:w="986" w:type="dxa"/>
            <w:shd w:val="clear" w:color="auto" w:fill="D9D9D9" w:themeFill="background1" w:themeFillShade="D9"/>
          </w:tcPr>
          <w:p w14:paraId="26215F32" w14:textId="77777777" w:rsidR="002828B9" w:rsidRPr="00317ABF" w:rsidRDefault="002828B9" w:rsidP="00DB3BEC">
            <w:pPr>
              <w:pStyle w:val="Tekstpodstawowy"/>
              <w:rPr>
                <w:b/>
                <w:bCs/>
                <w:sz w:val="22"/>
                <w:szCs w:val="22"/>
              </w:rPr>
            </w:pPr>
            <w:r w:rsidRPr="00317ABF">
              <w:rPr>
                <w:b/>
                <w:bCs/>
                <w:sz w:val="22"/>
                <w:szCs w:val="22"/>
              </w:rPr>
              <w:t>Koniecz    -ność</w:t>
            </w:r>
          </w:p>
          <w:p w14:paraId="0DEC0457" w14:textId="77777777" w:rsidR="002828B9" w:rsidRPr="00317ABF" w:rsidRDefault="002828B9" w:rsidP="00DB3BEC">
            <w:pPr>
              <w:jc w:val="both"/>
              <w:rPr>
                <w:b/>
                <w:bCs/>
                <w:sz w:val="22"/>
                <w:szCs w:val="22"/>
              </w:rPr>
            </w:pPr>
            <w:r w:rsidRPr="00317ABF">
              <w:rPr>
                <w:b/>
                <w:bCs/>
                <w:sz w:val="22"/>
                <w:szCs w:val="22"/>
              </w:rPr>
              <w:t>wdrożenia</w:t>
            </w:r>
          </w:p>
          <w:p w14:paraId="0A37501D" w14:textId="77777777" w:rsidR="002828B9" w:rsidRPr="00317ABF" w:rsidRDefault="002828B9" w:rsidP="00DB3BEC">
            <w:pPr>
              <w:jc w:val="both"/>
              <w:rPr>
                <w:sz w:val="22"/>
                <w:szCs w:val="22"/>
              </w:rPr>
            </w:pPr>
          </w:p>
          <w:p w14:paraId="2CB706A7" w14:textId="77777777" w:rsidR="002828B9" w:rsidRPr="00317ABF" w:rsidRDefault="002828B9" w:rsidP="00DB3BEC">
            <w:pPr>
              <w:jc w:val="both"/>
              <w:rPr>
                <w:b/>
                <w:bCs/>
                <w:sz w:val="22"/>
                <w:szCs w:val="22"/>
              </w:rPr>
            </w:pPr>
            <w:r w:rsidRPr="00317ABF">
              <w:rPr>
                <w:sz w:val="22"/>
                <w:szCs w:val="22"/>
              </w:rPr>
              <w:t xml:space="preserve"> T / N</w:t>
            </w:r>
          </w:p>
        </w:tc>
        <w:tc>
          <w:tcPr>
            <w:tcW w:w="943" w:type="dxa"/>
            <w:gridSpan w:val="2"/>
            <w:shd w:val="clear" w:color="auto" w:fill="D9D9D9" w:themeFill="background1" w:themeFillShade="D9"/>
          </w:tcPr>
          <w:p w14:paraId="4A7B668E" w14:textId="77777777" w:rsidR="002828B9" w:rsidRPr="00317ABF" w:rsidRDefault="002828B9" w:rsidP="00DB3BEC">
            <w:pPr>
              <w:jc w:val="both"/>
              <w:rPr>
                <w:b/>
                <w:bCs/>
                <w:sz w:val="22"/>
                <w:szCs w:val="22"/>
              </w:rPr>
            </w:pPr>
            <w:r w:rsidRPr="00317ABF">
              <w:rPr>
                <w:b/>
                <w:bCs/>
                <w:sz w:val="22"/>
                <w:szCs w:val="22"/>
              </w:rPr>
              <w:t>Jedn. red. (*)</w:t>
            </w:r>
          </w:p>
        </w:tc>
        <w:tc>
          <w:tcPr>
            <w:tcW w:w="6956" w:type="dxa"/>
            <w:gridSpan w:val="3"/>
            <w:shd w:val="clear" w:color="auto" w:fill="D9D9D9" w:themeFill="background1" w:themeFillShade="D9"/>
          </w:tcPr>
          <w:p w14:paraId="40240275" w14:textId="77777777" w:rsidR="00C6443C" w:rsidRPr="00317ABF" w:rsidRDefault="00C6443C" w:rsidP="00DB3BEC">
            <w:pPr>
              <w:jc w:val="both"/>
              <w:rPr>
                <w:sz w:val="22"/>
                <w:szCs w:val="22"/>
              </w:rPr>
            </w:pPr>
          </w:p>
        </w:tc>
      </w:tr>
      <w:tr w:rsidR="006E1266" w:rsidRPr="00317ABF" w14:paraId="325F961F" w14:textId="77777777" w:rsidTr="7753F98D">
        <w:tc>
          <w:tcPr>
            <w:tcW w:w="5012" w:type="dxa"/>
            <w:gridSpan w:val="2"/>
            <w:shd w:val="clear" w:color="auto" w:fill="E0E0E0"/>
          </w:tcPr>
          <w:p w14:paraId="3D457274" w14:textId="77777777" w:rsidR="006E1266" w:rsidRPr="00317ABF" w:rsidRDefault="006E1266" w:rsidP="00DB3BEC">
            <w:pPr>
              <w:jc w:val="both"/>
              <w:rPr>
                <w:b/>
                <w:bCs/>
                <w:sz w:val="22"/>
                <w:szCs w:val="22"/>
              </w:rPr>
            </w:pPr>
            <w:r w:rsidRPr="00317ABF">
              <w:rPr>
                <w:b/>
                <w:bCs/>
                <w:sz w:val="22"/>
                <w:szCs w:val="22"/>
              </w:rPr>
              <w:t xml:space="preserve">TYTUŁ WDRAŻANEGO AKTU PRAWNEGO / WDRAŻANYCH AKTÓW PRAWNYCH </w:t>
            </w:r>
            <w:r w:rsidRPr="00317ABF">
              <w:rPr>
                <w:b/>
                <w:bCs/>
                <w:sz w:val="22"/>
                <w:szCs w:val="22"/>
                <w:vertAlign w:val="superscript"/>
              </w:rPr>
              <w:t>1)</w:t>
            </w:r>
            <w:r w:rsidRPr="00317ABF">
              <w:rPr>
                <w:b/>
                <w:bCs/>
                <w:sz w:val="22"/>
                <w:szCs w:val="22"/>
              </w:rPr>
              <w:t>:</w:t>
            </w:r>
          </w:p>
        </w:tc>
        <w:tc>
          <w:tcPr>
            <w:tcW w:w="8885" w:type="dxa"/>
            <w:gridSpan w:val="6"/>
          </w:tcPr>
          <w:p w14:paraId="5061A0AA" w14:textId="46213FA3" w:rsidR="00C6443C" w:rsidRPr="00317ABF" w:rsidRDefault="2380E948" w:rsidP="00DB3BEC">
            <w:pPr>
              <w:jc w:val="both"/>
              <w:rPr>
                <w:sz w:val="22"/>
                <w:szCs w:val="22"/>
              </w:rPr>
            </w:pPr>
            <w:r w:rsidRPr="00317ABF">
              <w:rPr>
                <w:b/>
                <w:bCs/>
                <w:sz w:val="22"/>
                <w:szCs w:val="22"/>
              </w:rPr>
              <w:t>Dyrektywa Parlamentu Europejskiego i Rady (UE) 2018/1972 z dnia 11 grudnia 2018 r. ustanawiającą europejski kodeks łączności elektronicznej (Dz. Urz. WE L 321/36 z 17.12.2018)</w:t>
            </w:r>
          </w:p>
        </w:tc>
      </w:tr>
      <w:tr w:rsidR="001E1112" w:rsidRPr="00317ABF" w14:paraId="3630D8BF" w14:textId="77777777" w:rsidTr="7753F98D">
        <w:trPr>
          <w:gridAfter w:val="1"/>
          <w:wAfter w:w="10" w:type="dxa"/>
        </w:trPr>
        <w:tc>
          <w:tcPr>
            <w:tcW w:w="704" w:type="dxa"/>
          </w:tcPr>
          <w:p w14:paraId="60F79D19" w14:textId="77777777" w:rsidR="001E1112" w:rsidRPr="00317ABF" w:rsidRDefault="001E1112" w:rsidP="00DB3BEC">
            <w:pPr>
              <w:jc w:val="both"/>
              <w:rPr>
                <w:b/>
                <w:sz w:val="22"/>
                <w:szCs w:val="22"/>
              </w:rPr>
            </w:pPr>
            <w:r w:rsidRPr="00317ABF">
              <w:rPr>
                <w:b/>
                <w:sz w:val="22"/>
                <w:szCs w:val="22"/>
              </w:rPr>
              <w:t>Art. 1</w:t>
            </w:r>
          </w:p>
          <w:p w14:paraId="5DAB6C7B" w14:textId="77777777" w:rsidR="001E1112" w:rsidRPr="00317ABF" w:rsidRDefault="001E1112" w:rsidP="00DB3BEC">
            <w:pPr>
              <w:jc w:val="both"/>
              <w:rPr>
                <w:sz w:val="22"/>
                <w:szCs w:val="22"/>
              </w:rPr>
            </w:pPr>
          </w:p>
        </w:tc>
        <w:tc>
          <w:tcPr>
            <w:tcW w:w="4308" w:type="dxa"/>
          </w:tcPr>
          <w:p w14:paraId="47AE606D" w14:textId="77777777" w:rsidR="001E1112" w:rsidRPr="00317ABF" w:rsidRDefault="001E1112" w:rsidP="00DB3BEC">
            <w:pPr>
              <w:spacing w:before="60" w:after="120"/>
              <w:jc w:val="both"/>
              <w:rPr>
                <w:b/>
                <w:bCs/>
                <w:sz w:val="22"/>
                <w:szCs w:val="22"/>
              </w:rPr>
            </w:pPr>
            <w:r w:rsidRPr="00317ABF">
              <w:rPr>
                <w:b/>
                <w:bCs/>
                <w:sz w:val="22"/>
                <w:szCs w:val="22"/>
              </w:rPr>
              <w:t>Przedmiot, zakres stosowania i cele</w:t>
            </w:r>
          </w:p>
        </w:tc>
        <w:tc>
          <w:tcPr>
            <w:tcW w:w="986" w:type="dxa"/>
          </w:tcPr>
          <w:p w14:paraId="02EB378F" w14:textId="77777777" w:rsidR="001E1112" w:rsidRPr="00317ABF" w:rsidRDefault="001E1112" w:rsidP="00DB3BEC">
            <w:pPr>
              <w:jc w:val="both"/>
              <w:rPr>
                <w:b/>
                <w:sz w:val="22"/>
                <w:szCs w:val="22"/>
              </w:rPr>
            </w:pPr>
          </w:p>
        </w:tc>
        <w:tc>
          <w:tcPr>
            <w:tcW w:w="910" w:type="dxa"/>
          </w:tcPr>
          <w:p w14:paraId="6A05A809" w14:textId="77777777" w:rsidR="001E1112" w:rsidRPr="00317ABF" w:rsidRDefault="001E1112" w:rsidP="00DB3BEC">
            <w:pPr>
              <w:pStyle w:val="Tekstpodstawowy"/>
              <w:rPr>
                <w:noProof/>
                <w:sz w:val="22"/>
                <w:szCs w:val="22"/>
              </w:rPr>
            </w:pPr>
          </w:p>
        </w:tc>
        <w:tc>
          <w:tcPr>
            <w:tcW w:w="6979" w:type="dxa"/>
            <w:gridSpan w:val="3"/>
          </w:tcPr>
          <w:p w14:paraId="5A39BBE3" w14:textId="77777777" w:rsidR="001E1112" w:rsidRPr="00317ABF" w:rsidRDefault="001E1112" w:rsidP="00DB3BEC">
            <w:pPr>
              <w:pStyle w:val="Tekstpodstawowy"/>
              <w:ind w:left="247"/>
              <w:rPr>
                <w:sz w:val="22"/>
                <w:szCs w:val="22"/>
              </w:rPr>
            </w:pPr>
          </w:p>
        </w:tc>
      </w:tr>
      <w:tr w:rsidR="001E1112" w:rsidRPr="00317ABF" w14:paraId="6CE73A49" w14:textId="77777777" w:rsidTr="7753F98D">
        <w:trPr>
          <w:gridAfter w:val="1"/>
          <w:wAfter w:w="10" w:type="dxa"/>
        </w:trPr>
        <w:tc>
          <w:tcPr>
            <w:tcW w:w="704" w:type="dxa"/>
          </w:tcPr>
          <w:p w14:paraId="292A735D" w14:textId="77777777" w:rsidR="001E1112" w:rsidRPr="00317ABF" w:rsidRDefault="001E1112" w:rsidP="00DB3BEC">
            <w:pPr>
              <w:jc w:val="both"/>
              <w:rPr>
                <w:sz w:val="22"/>
                <w:szCs w:val="22"/>
              </w:rPr>
            </w:pPr>
            <w:r w:rsidRPr="00317ABF">
              <w:rPr>
                <w:sz w:val="22"/>
                <w:szCs w:val="22"/>
              </w:rPr>
              <w:t>Art. 1 ust. 1</w:t>
            </w:r>
          </w:p>
        </w:tc>
        <w:tc>
          <w:tcPr>
            <w:tcW w:w="4308" w:type="dxa"/>
          </w:tcPr>
          <w:p w14:paraId="4B960927" w14:textId="77777777" w:rsidR="001E1112" w:rsidRPr="00317ABF" w:rsidRDefault="001E1112" w:rsidP="00DB3BEC">
            <w:pPr>
              <w:spacing w:before="120"/>
              <w:jc w:val="both"/>
              <w:rPr>
                <w:sz w:val="22"/>
                <w:szCs w:val="22"/>
              </w:rPr>
            </w:pPr>
            <w:r w:rsidRPr="00317ABF">
              <w:rPr>
                <w:sz w:val="22"/>
                <w:szCs w:val="22"/>
              </w:rPr>
              <w:t>1.   Niniejsza dyrektywa ustanawia zharmonizowane ramy prawne regulujące sieci łączności elektronicznej, usługi łączności elektronicznej, urządzenia i usługi towarzyszące i niektóre aspekty urządzeń końcowych. Określa ona zadania krajowych organów regulacyjnych i, w stosownych przypadkach, innych właściwych organów oraz zbiór procedur w celu zapewnienia zharmonizowanego stosowania ram prawnych w obrębie Unii.</w:t>
            </w:r>
          </w:p>
        </w:tc>
        <w:tc>
          <w:tcPr>
            <w:tcW w:w="986" w:type="dxa"/>
          </w:tcPr>
          <w:p w14:paraId="350C21BE" w14:textId="2C66B0F3" w:rsidR="001E1112" w:rsidRPr="00317ABF" w:rsidRDefault="001E1112" w:rsidP="00DB3BEC">
            <w:pPr>
              <w:jc w:val="both"/>
              <w:rPr>
                <w:sz w:val="22"/>
                <w:szCs w:val="22"/>
              </w:rPr>
            </w:pPr>
            <w:r w:rsidRPr="00317ABF">
              <w:rPr>
                <w:sz w:val="22"/>
                <w:szCs w:val="22"/>
              </w:rPr>
              <w:t>N</w:t>
            </w:r>
          </w:p>
        </w:tc>
        <w:tc>
          <w:tcPr>
            <w:tcW w:w="910" w:type="dxa"/>
          </w:tcPr>
          <w:p w14:paraId="41C8F396" w14:textId="77777777" w:rsidR="001E1112" w:rsidRPr="00317ABF" w:rsidRDefault="001E1112" w:rsidP="00DB3BEC">
            <w:pPr>
              <w:pStyle w:val="Tekstpodstawowy"/>
              <w:rPr>
                <w:noProof/>
                <w:sz w:val="22"/>
                <w:szCs w:val="22"/>
              </w:rPr>
            </w:pPr>
          </w:p>
        </w:tc>
        <w:tc>
          <w:tcPr>
            <w:tcW w:w="6979" w:type="dxa"/>
            <w:gridSpan w:val="3"/>
          </w:tcPr>
          <w:p w14:paraId="72A3D3EC" w14:textId="77777777" w:rsidR="001E1112" w:rsidRPr="00317ABF" w:rsidRDefault="001E1112" w:rsidP="00DB3BEC">
            <w:pPr>
              <w:pStyle w:val="Tekstpodstawowy"/>
              <w:rPr>
                <w:sz w:val="22"/>
                <w:szCs w:val="22"/>
              </w:rPr>
            </w:pPr>
          </w:p>
        </w:tc>
      </w:tr>
      <w:tr w:rsidR="001E1112" w:rsidRPr="00317ABF" w14:paraId="02A20857" w14:textId="77777777" w:rsidTr="7753F98D">
        <w:trPr>
          <w:gridAfter w:val="2"/>
          <w:wAfter w:w="175" w:type="dxa"/>
        </w:trPr>
        <w:tc>
          <w:tcPr>
            <w:tcW w:w="704" w:type="dxa"/>
          </w:tcPr>
          <w:p w14:paraId="3F722701" w14:textId="77777777" w:rsidR="001E1112" w:rsidRPr="00317ABF" w:rsidRDefault="001E1112" w:rsidP="00DB3BEC">
            <w:pPr>
              <w:jc w:val="both"/>
              <w:rPr>
                <w:sz w:val="22"/>
                <w:szCs w:val="22"/>
                <w:lang w:val="en-US"/>
              </w:rPr>
            </w:pPr>
            <w:r w:rsidRPr="00317ABF">
              <w:rPr>
                <w:sz w:val="22"/>
                <w:szCs w:val="22"/>
              </w:rPr>
              <w:t>Art. 1 ust. 2</w:t>
            </w:r>
          </w:p>
        </w:tc>
        <w:tc>
          <w:tcPr>
            <w:tcW w:w="4308" w:type="dxa"/>
          </w:tcPr>
          <w:p w14:paraId="6B2762B1" w14:textId="77777777" w:rsidR="001E1112" w:rsidRPr="00317ABF" w:rsidRDefault="001E1112" w:rsidP="00DB3BEC">
            <w:pPr>
              <w:spacing w:before="120"/>
              <w:jc w:val="both"/>
              <w:rPr>
                <w:sz w:val="22"/>
                <w:szCs w:val="22"/>
              </w:rPr>
            </w:pPr>
            <w:r w:rsidRPr="00317ABF">
              <w:rPr>
                <w:sz w:val="22"/>
                <w:szCs w:val="22"/>
              </w:rPr>
              <w:t>2.   Celami niniejszej dyrektywy są:</w:t>
            </w:r>
          </w:p>
          <w:p w14:paraId="5293E1C4" w14:textId="5165C41C" w:rsidR="001E1112" w:rsidRPr="00317ABF" w:rsidRDefault="001E1112" w:rsidP="00DB3BEC">
            <w:pPr>
              <w:spacing w:before="120"/>
              <w:jc w:val="both"/>
              <w:rPr>
                <w:sz w:val="22"/>
                <w:szCs w:val="22"/>
              </w:rPr>
            </w:pPr>
            <w:r w:rsidRPr="00317ABF">
              <w:rPr>
                <w:sz w:val="22"/>
                <w:szCs w:val="22"/>
              </w:rPr>
              <w:t>a) wdrożenie rynku we</w:t>
            </w:r>
            <w:r w:rsidR="00DB3BEC" w:rsidRPr="00317ABF">
              <w:rPr>
                <w:sz w:val="22"/>
                <w:szCs w:val="22"/>
              </w:rPr>
              <w:t xml:space="preserve">wnętrznego w dziedzinie sieci i </w:t>
            </w:r>
            <w:r w:rsidRPr="00317ABF">
              <w:rPr>
                <w:sz w:val="22"/>
                <w:szCs w:val="22"/>
              </w:rPr>
              <w:t xml:space="preserve">usług łączności elektronicznej </w:t>
            </w:r>
            <w:r w:rsidRPr="00317ABF">
              <w:rPr>
                <w:sz w:val="22"/>
                <w:szCs w:val="22"/>
              </w:rPr>
              <w:lastRenderedPageBreak/>
              <w:t>prowadzące do realiza</w:t>
            </w:r>
            <w:r w:rsidR="00DB3BEC" w:rsidRPr="00317ABF">
              <w:rPr>
                <w:sz w:val="22"/>
                <w:szCs w:val="22"/>
              </w:rPr>
              <w:t xml:space="preserve">cji i rozpowszechniania sieci o </w:t>
            </w:r>
            <w:r w:rsidRPr="00317ABF">
              <w:rPr>
                <w:sz w:val="22"/>
                <w:szCs w:val="22"/>
              </w:rPr>
              <w:t>bardzo dużej przepustowości, powstania zrównoważonej konkurencji, interoperacyjności usług łącznoś</w:t>
            </w:r>
            <w:r w:rsidR="00DB3BEC" w:rsidRPr="00317ABF">
              <w:rPr>
                <w:sz w:val="22"/>
                <w:szCs w:val="22"/>
              </w:rPr>
              <w:t xml:space="preserve">ci elektronicznej, dostępności, </w:t>
            </w:r>
            <w:r w:rsidRPr="00317ABF">
              <w:rPr>
                <w:sz w:val="22"/>
                <w:szCs w:val="22"/>
              </w:rPr>
              <w:t>bezpieczeństwa sieci i</w:t>
            </w:r>
            <w:r w:rsidR="00DB3BEC" w:rsidRPr="00317ABF">
              <w:rPr>
                <w:sz w:val="22"/>
                <w:szCs w:val="22"/>
              </w:rPr>
              <w:t xml:space="preserve"> </w:t>
            </w:r>
            <w:r w:rsidRPr="00317ABF">
              <w:rPr>
                <w:sz w:val="22"/>
                <w:szCs w:val="22"/>
              </w:rPr>
              <w:t>usług oraz korzyści dla użytkownika końcowego; oraz</w:t>
            </w:r>
          </w:p>
          <w:p w14:paraId="3D843D63" w14:textId="77777777" w:rsidR="001E1112" w:rsidRPr="00317ABF" w:rsidRDefault="001E1112" w:rsidP="00DB3BEC">
            <w:pPr>
              <w:spacing w:before="120"/>
              <w:jc w:val="both"/>
              <w:rPr>
                <w:sz w:val="22"/>
                <w:szCs w:val="22"/>
              </w:rPr>
            </w:pPr>
            <w:r w:rsidRPr="00317ABF">
              <w:rPr>
                <w:sz w:val="22"/>
                <w:szCs w:val="22"/>
              </w:rPr>
              <w:t>b) zapewnienie świadczenia w całej Unii publicznie dostępnych, przystępnych cenowo usług dobrej jakości poprzez skuteczną konkurencję i wybór, aby sprostać sytuacjom, w których rynek nie zaspokaja w sposób zadowalający potrzeb użytkowników końcowych, w tym użytkowników z niepełnosprawnościami, tak aby mieli oni dostęp do usług na równi z innymi użytkownikami końcowymi oraz ustanowić niezbędne prawa użytkowników końcowych.</w:t>
            </w:r>
          </w:p>
          <w:p w14:paraId="0D0B940D" w14:textId="77777777" w:rsidR="001E1112" w:rsidRPr="00317ABF" w:rsidRDefault="001E1112" w:rsidP="00DB3BEC">
            <w:pPr>
              <w:autoSpaceDE w:val="0"/>
              <w:autoSpaceDN w:val="0"/>
              <w:adjustRightInd w:val="0"/>
              <w:jc w:val="both"/>
              <w:rPr>
                <w:rFonts w:eastAsia="EUAlbertina-Regular-Identity-H"/>
                <w:sz w:val="22"/>
                <w:szCs w:val="22"/>
              </w:rPr>
            </w:pPr>
          </w:p>
        </w:tc>
        <w:tc>
          <w:tcPr>
            <w:tcW w:w="986" w:type="dxa"/>
          </w:tcPr>
          <w:p w14:paraId="13F9A875" w14:textId="77777777" w:rsidR="001E1112" w:rsidRPr="00317ABF" w:rsidRDefault="001E1112" w:rsidP="00DB3BEC">
            <w:pPr>
              <w:jc w:val="both"/>
              <w:rPr>
                <w:sz w:val="22"/>
                <w:szCs w:val="22"/>
              </w:rPr>
            </w:pPr>
            <w:r w:rsidRPr="00317ABF">
              <w:rPr>
                <w:sz w:val="22"/>
                <w:szCs w:val="22"/>
              </w:rPr>
              <w:lastRenderedPageBreak/>
              <w:t>N</w:t>
            </w:r>
          </w:p>
        </w:tc>
        <w:tc>
          <w:tcPr>
            <w:tcW w:w="910" w:type="dxa"/>
          </w:tcPr>
          <w:p w14:paraId="0E27B00A" w14:textId="77777777" w:rsidR="001E1112" w:rsidRPr="00317ABF" w:rsidRDefault="001E1112" w:rsidP="00DB3BEC">
            <w:pPr>
              <w:pStyle w:val="Tekstpodstawowy"/>
              <w:rPr>
                <w:b/>
                <w:noProof/>
                <w:sz w:val="22"/>
                <w:szCs w:val="22"/>
              </w:rPr>
            </w:pPr>
          </w:p>
        </w:tc>
        <w:tc>
          <w:tcPr>
            <w:tcW w:w="6814" w:type="dxa"/>
            <w:gridSpan w:val="2"/>
          </w:tcPr>
          <w:p w14:paraId="60061E4C" w14:textId="77777777" w:rsidR="001E1112" w:rsidRPr="00317ABF" w:rsidRDefault="001E1112" w:rsidP="00DB3BEC">
            <w:pPr>
              <w:pStyle w:val="Tekstpodstawowy"/>
              <w:rPr>
                <w:sz w:val="22"/>
                <w:szCs w:val="22"/>
              </w:rPr>
            </w:pPr>
          </w:p>
        </w:tc>
      </w:tr>
      <w:tr w:rsidR="001E1112" w:rsidRPr="00317ABF" w14:paraId="55EA651E" w14:textId="77777777" w:rsidTr="7753F98D">
        <w:trPr>
          <w:gridAfter w:val="2"/>
          <w:wAfter w:w="175" w:type="dxa"/>
        </w:trPr>
        <w:tc>
          <w:tcPr>
            <w:tcW w:w="704" w:type="dxa"/>
          </w:tcPr>
          <w:p w14:paraId="62215020" w14:textId="77777777" w:rsidR="001E1112" w:rsidRPr="00317ABF" w:rsidRDefault="001E1112" w:rsidP="00DB3BEC">
            <w:pPr>
              <w:jc w:val="both"/>
              <w:rPr>
                <w:sz w:val="22"/>
                <w:szCs w:val="22"/>
                <w:lang w:val="en-US"/>
              </w:rPr>
            </w:pPr>
            <w:r w:rsidRPr="00317ABF">
              <w:rPr>
                <w:sz w:val="22"/>
                <w:szCs w:val="22"/>
              </w:rPr>
              <w:lastRenderedPageBreak/>
              <w:t>Art. 1 ust. 3</w:t>
            </w:r>
          </w:p>
        </w:tc>
        <w:tc>
          <w:tcPr>
            <w:tcW w:w="4308" w:type="dxa"/>
          </w:tcPr>
          <w:p w14:paraId="31551272" w14:textId="77777777" w:rsidR="001E1112" w:rsidRPr="00317ABF" w:rsidRDefault="001E1112" w:rsidP="00DB3BEC">
            <w:pPr>
              <w:spacing w:before="120"/>
              <w:jc w:val="both"/>
              <w:rPr>
                <w:sz w:val="22"/>
                <w:szCs w:val="22"/>
              </w:rPr>
            </w:pPr>
            <w:r w:rsidRPr="00317ABF">
              <w:rPr>
                <w:sz w:val="22"/>
                <w:szCs w:val="22"/>
              </w:rPr>
              <w:t>3.   Postanowienia niniejszej dyrektywy pozostają bez uszczerbku dla:</w:t>
            </w:r>
          </w:p>
          <w:p w14:paraId="7FFB8A83" w14:textId="77777777" w:rsidR="001E1112" w:rsidRPr="00317ABF" w:rsidRDefault="001E1112" w:rsidP="00DB3BEC">
            <w:pPr>
              <w:autoSpaceDE w:val="0"/>
              <w:autoSpaceDN w:val="0"/>
              <w:adjustRightInd w:val="0"/>
              <w:jc w:val="both"/>
              <w:rPr>
                <w:sz w:val="22"/>
                <w:szCs w:val="22"/>
              </w:rPr>
            </w:pPr>
            <w:r w:rsidRPr="00317ABF">
              <w:rPr>
                <w:sz w:val="22"/>
                <w:szCs w:val="22"/>
              </w:rPr>
              <w:t>a) wymogów określonych w przepisach prawa krajowego zgodnie z prawem Unii lub w przepisach prawa Unii dotyczących usług świadczonych przy użyciu sieci i usług łączności elektronicznej;</w:t>
            </w:r>
          </w:p>
          <w:p w14:paraId="375A306D" w14:textId="77777777" w:rsidR="001E1112" w:rsidRPr="00317ABF" w:rsidRDefault="001E1112" w:rsidP="00DB3BEC">
            <w:pPr>
              <w:autoSpaceDE w:val="0"/>
              <w:autoSpaceDN w:val="0"/>
              <w:adjustRightInd w:val="0"/>
              <w:jc w:val="both"/>
              <w:rPr>
                <w:sz w:val="22"/>
                <w:szCs w:val="22"/>
              </w:rPr>
            </w:pPr>
            <w:r w:rsidRPr="00317ABF">
              <w:rPr>
                <w:sz w:val="22"/>
                <w:szCs w:val="22"/>
              </w:rPr>
              <w:t>b) środków wprowadzanych na szczeblu Unii lub na szczeblu krajowym zgodnie z prawem Unii, niezbędnych do realizacji celów leżących w interesie ogólnym, w szczególności związanych z ochroną danych osobowych i prywatności, regulacjami dotyczącymi treści programów i polityką audiowizualną;</w:t>
            </w:r>
          </w:p>
          <w:p w14:paraId="6DECCF0D" w14:textId="77777777" w:rsidR="001E1112" w:rsidRPr="00317ABF" w:rsidRDefault="001E1112" w:rsidP="00DB3BEC">
            <w:pPr>
              <w:autoSpaceDE w:val="0"/>
              <w:autoSpaceDN w:val="0"/>
              <w:adjustRightInd w:val="0"/>
              <w:jc w:val="both"/>
              <w:rPr>
                <w:sz w:val="22"/>
                <w:szCs w:val="22"/>
              </w:rPr>
            </w:pPr>
            <w:r w:rsidRPr="00317ABF">
              <w:rPr>
                <w:sz w:val="22"/>
                <w:szCs w:val="22"/>
              </w:rPr>
              <w:t>c) działań podejmowanych przez państwa członkowskie do celów zachowania porządku publicznego i bezpieczeństwa publicznego oraz obronności;</w:t>
            </w:r>
          </w:p>
          <w:p w14:paraId="0E753949" w14:textId="77777777" w:rsidR="001E1112" w:rsidRPr="00317ABF" w:rsidRDefault="001E1112" w:rsidP="00DB3BEC">
            <w:pPr>
              <w:autoSpaceDE w:val="0"/>
              <w:autoSpaceDN w:val="0"/>
              <w:adjustRightInd w:val="0"/>
              <w:jc w:val="both"/>
              <w:rPr>
                <w:rFonts w:eastAsia="EUAlbertina-Regular-Identity-H"/>
                <w:sz w:val="22"/>
                <w:szCs w:val="22"/>
              </w:rPr>
            </w:pPr>
            <w:r w:rsidRPr="00317ABF">
              <w:rPr>
                <w:sz w:val="22"/>
                <w:szCs w:val="22"/>
              </w:rPr>
              <w:lastRenderedPageBreak/>
              <w:t>d) przepisów rozporządzeń (UE) nr 531/2012 i (UE) 2015/2120 oraz dyrektywy 2014/53/UE.</w:t>
            </w:r>
          </w:p>
        </w:tc>
        <w:tc>
          <w:tcPr>
            <w:tcW w:w="986" w:type="dxa"/>
          </w:tcPr>
          <w:p w14:paraId="0957B6BD" w14:textId="77777777" w:rsidR="001E1112" w:rsidRPr="00317ABF" w:rsidRDefault="001E1112" w:rsidP="00DB3BEC">
            <w:pPr>
              <w:jc w:val="both"/>
              <w:rPr>
                <w:sz w:val="22"/>
                <w:szCs w:val="22"/>
              </w:rPr>
            </w:pPr>
            <w:r w:rsidRPr="00317ABF">
              <w:rPr>
                <w:sz w:val="22"/>
                <w:szCs w:val="22"/>
              </w:rPr>
              <w:lastRenderedPageBreak/>
              <w:t>N</w:t>
            </w:r>
          </w:p>
        </w:tc>
        <w:tc>
          <w:tcPr>
            <w:tcW w:w="910" w:type="dxa"/>
          </w:tcPr>
          <w:p w14:paraId="44EAFD9C" w14:textId="77777777" w:rsidR="001E1112" w:rsidRPr="00317ABF" w:rsidRDefault="001E1112" w:rsidP="00DB3BEC">
            <w:pPr>
              <w:pStyle w:val="Tekstpodstawowy"/>
              <w:rPr>
                <w:b/>
                <w:noProof/>
                <w:sz w:val="22"/>
                <w:szCs w:val="22"/>
              </w:rPr>
            </w:pPr>
          </w:p>
        </w:tc>
        <w:tc>
          <w:tcPr>
            <w:tcW w:w="6814" w:type="dxa"/>
            <w:gridSpan w:val="2"/>
          </w:tcPr>
          <w:p w14:paraId="4B94D5A5" w14:textId="77777777" w:rsidR="001E1112" w:rsidRPr="00317ABF" w:rsidRDefault="001E1112" w:rsidP="00DB3BEC">
            <w:pPr>
              <w:pStyle w:val="Tekstpodstawowy"/>
              <w:rPr>
                <w:sz w:val="22"/>
                <w:szCs w:val="22"/>
              </w:rPr>
            </w:pPr>
          </w:p>
        </w:tc>
      </w:tr>
      <w:tr w:rsidR="001E1112" w:rsidRPr="00317ABF" w14:paraId="12C0758F" w14:textId="77777777" w:rsidTr="7753F98D">
        <w:trPr>
          <w:gridAfter w:val="2"/>
          <w:wAfter w:w="175" w:type="dxa"/>
        </w:trPr>
        <w:tc>
          <w:tcPr>
            <w:tcW w:w="704" w:type="dxa"/>
          </w:tcPr>
          <w:p w14:paraId="76B90D2F" w14:textId="77777777" w:rsidR="001E1112" w:rsidRPr="00317ABF" w:rsidRDefault="001E1112" w:rsidP="00DB3BEC">
            <w:pPr>
              <w:jc w:val="both"/>
              <w:rPr>
                <w:sz w:val="22"/>
                <w:szCs w:val="22"/>
                <w:lang w:val="en-US"/>
              </w:rPr>
            </w:pPr>
            <w:r w:rsidRPr="00317ABF">
              <w:rPr>
                <w:sz w:val="22"/>
                <w:szCs w:val="22"/>
              </w:rPr>
              <w:lastRenderedPageBreak/>
              <w:t>Art. 1 ust. 4</w:t>
            </w:r>
          </w:p>
        </w:tc>
        <w:tc>
          <w:tcPr>
            <w:tcW w:w="4308" w:type="dxa"/>
          </w:tcPr>
          <w:p w14:paraId="76B52D16" w14:textId="77777777" w:rsidR="001E1112" w:rsidRPr="00317ABF" w:rsidRDefault="001E1112" w:rsidP="00DB3BEC">
            <w:pPr>
              <w:spacing w:before="120"/>
              <w:jc w:val="both"/>
              <w:rPr>
                <w:sz w:val="22"/>
                <w:szCs w:val="22"/>
              </w:rPr>
            </w:pPr>
            <w:r w:rsidRPr="00317ABF">
              <w:rPr>
                <w:sz w:val="22"/>
                <w:szCs w:val="22"/>
              </w:rPr>
              <w:t>4.   Komisja, Organ Europejskich Regulatorów Łączności Elektronicznej („BEREC”) i organy, których to dotyczy zapewniają zgodność ich przetwarzania danych osobowych z unijnymi przepisami w zakresie ochrony danych.</w:t>
            </w:r>
          </w:p>
        </w:tc>
        <w:tc>
          <w:tcPr>
            <w:tcW w:w="986" w:type="dxa"/>
          </w:tcPr>
          <w:p w14:paraId="05628F02" w14:textId="77777777" w:rsidR="001E1112" w:rsidRPr="00317ABF" w:rsidRDefault="001E1112" w:rsidP="00DB3BEC">
            <w:pPr>
              <w:jc w:val="both"/>
              <w:rPr>
                <w:sz w:val="22"/>
                <w:szCs w:val="22"/>
              </w:rPr>
            </w:pPr>
            <w:r w:rsidRPr="00317ABF">
              <w:rPr>
                <w:sz w:val="22"/>
                <w:szCs w:val="22"/>
              </w:rPr>
              <w:t>N</w:t>
            </w:r>
          </w:p>
        </w:tc>
        <w:tc>
          <w:tcPr>
            <w:tcW w:w="910" w:type="dxa"/>
          </w:tcPr>
          <w:p w14:paraId="3DEEC669" w14:textId="77777777" w:rsidR="001E1112" w:rsidRPr="00317ABF" w:rsidRDefault="001E1112" w:rsidP="00DB3BEC">
            <w:pPr>
              <w:pStyle w:val="Tekstpodstawowy"/>
              <w:rPr>
                <w:b/>
                <w:noProof/>
                <w:sz w:val="22"/>
                <w:szCs w:val="22"/>
              </w:rPr>
            </w:pPr>
          </w:p>
        </w:tc>
        <w:tc>
          <w:tcPr>
            <w:tcW w:w="6814" w:type="dxa"/>
            <w:gridSpan w:val="2"/>
          </w:tcPr>
          <w:p w14:paraId="3656B9AB" w14:textId="77777777" w:rsidR="001E1112" w:rsidRPr="00317ABF" w:rsidRDefault="001E1112" w:rsidP="00DB3BEC">
            <w:pPr>
              <w:pStyle w:val="Tekstpodstawowy"/>
              <w:rPr>
                <w:sz w:val="22"/>
                <w:szCs w:val="22"/>
              </w:rPr>
            </w:pPr>
          </w:p>
        </w:tc>
      </w:tr>
      <w:tr w:rsidR="001E1112" w:rsidRPr="00317ABF" w14:paraId="015DA9AE" w14:textId="77777777" w:rsidTr="7753F98D">
        <w:trPr>
          <w:gridAfter w:val="2"/>
          <w:wAfter w:w="175" w:type="dxa"/>
        </w:trPr>
        <w:tc>
          <w:tcPr>
            <w:tcW w:w="704" w:type="dxa"/>
          </w:tcPr>
          <w:p w14:paraId="45FB0818" w14:textId="77777777" w:rsidR="001E1112" w:rsidRPr="00317ABF" w:rsidRDefault="001E1112" w:rsidP="00DB3BEC">
            <w:pPr>
              <w:jc w:val="both"/>
              <w:rPr>
                <w:sz w:val="22"/>
                <w:szCs w:val="22"/>
              </w:rPr>
            </w:pPr>
          </w:p>
          <w:p w14:paraId="76FB8BEE" w14:textId="77777777" w:rsidR="001E1112" w:rsidRPr="00317ABF" w:rsidRDefault="001E1112" w:rsidP="00DB3BEC">
            <w:pPr>
              <w:jc w:val="both"/>
              <w:rPr>
                <w:b/>
                <w:sz w:val="22"/>
                <w:szCs w:val="22"/>
              </w:rPr>
            </w:pPr>
            <w:r w:rsidRPr="00317ABF">
              <w:rPr>
                <w:b/>
                <w:sz w:val="22"/>
                <w:szCs w:val="22"/>
              </w:rPr>
              <w:t xml:space="preserve">Art. 2 </w:t>
            </w:r>
          </w:p>
        </w:tc>
        <w:tc>
          <w:tcPr>
            <w:tcW w:w="4308" w:type="dxa"/>
          </w:tcPr>
          <w:p w14:paraId="74879C88" w14:textId="77777777" w:rsidR="001E1112" w:rsidRPr="00317ABF" w:rsidRDefault="001E1112" w:rsidP="00DB3BEC">
            <w:pPr>
              <w:spacing w:before="60" w:after="120"/>
              <w:jc w:val="both"/>
              <w:rPr>
                <w:b/>
                <w:bCs/>
                <w:sz w:val="22"/>
                <w:szCs w:val="22"/>
              </w:rPr>
            </w:pPr>
            <w:r w:rsidRPr="00317ABF">
              <w:rPr>
                <w:b/>
                <w:bCs/>
                <w:sz w:val="22"/>
                <w:szCs w:val="22"/>
              </w:rPr>
              <w:t>Definicje</w:t>
            </w:r>
          </w:p>
          <w:p w14:paraId="52A368A6" w14:textId="77777777" w:rsidR="001E1112" w:rsidRPr="00317ABF" w:rsidRDefault="001E1112" w:rsidP="00DB3BEC">
            <w:pPr>
              <w:spacing w:before="120"/>
              <w:jc w:val="both"/>
              <w:rPr>
                <w:sz w:val="22"/>
                <w:szCs w:val="22"/>
              </w:rPr>
            </w:pPr>
            <w:r w:rsidRPr="00317ABF">
              <w:rPr>
                <w:sz w:val="22"/>
                <w:szCs w:val="22"/>
              </w:rPr>
              <w:t>Do celów niniejszej dyrektywy stosuje się następujące definicje:</w:t>
            </w:r>
          </w:p>
          <w:p w14:paraId="049F31CB" w14:textId="77777777" w:rsidR="001E1112" w:rsidRPr="00317ABF" w:rsidRDefault="001E1112" w:rsidP="00DB3BEC">
            <w:pPr>
              <w:autoSpaceDE w:val="0"/>
              <w:autoSpaceDN w:val="0"/>
              <w:adjustRightInd w:val="0"/>
              <w:jc w:val="both"/>
              <w:rPr>
                <w:rFonts w:eastAsia="EUAlbertina-Regular-Identity-H"/>
                <w:sz w:val="22"/>
                <w:szCs w:val="22"/>
              </w:rPr>
            </w:pPr>
          </w:p>
        </w:tc>
        <w:tc>
          <w:tcPr>
            <w:tcW w:w="986" w:type="dxa"/>
          </w:tcPr>
          <w:p w14:paraId="1086CAE5" w14:textId="77777777" w:rsidR="001E1112" w:rsidRPr="00317ABF" w:rsidRDefault="001E1112" w:rsidP="00DB3BEC">
            <w:pPr>
              <w:jc w:val="both"/>
              <w:rPr>
                <w:sz w:val="22"/>
                <w:szCs w:val="22"/>
              </w:rPr>
            </w:pPr>
            <w:r w:rsidRPr="00317ABF">
              <w:rPr>
                <w:sz w:val="22"/>
                <w:szCs w:val="22"/>
              </w:rPr>
              <w:t>T</w:t>
            </w:r>
          </w:p>
        </w:tc>
        <w:tc>
          <w:tcPr>
            <w:tcW w:w="910" w:type="dxa"/>
          </w:tcPr>
          <w:p w14:paraId="53128261" w14:textId="487DFED1" w:rsidR="001E1112" w:rsidRPr="00317ABF" w:rsidRDefault="001E1112" w:rsidP="00DB3BEC">
            <w:pPr>
              <w:pStyle w:val="Tekstpodstawowy"/>
              <w:rPr>
                <w:b/>
                <w:noProof/>
                <w:sz w:val="22"/>
                <w:szCs w:val="22"/>
              </w:rPr>
            </w:pPr>
            <w:r w:rsidRPr="00317ABF">
              <w:rPr>
                <w:b/>
                <w:noProof/>
                <w:sz w:val="22"/>
                <w:szCs w:val="22"/>
              </w:rPr>
              <w:t>Art. 2</w:t>
            </w:r>
          </w:p>
        </w:tc>
        <w:tc>
          <w:tcPr>
            <w:tcW w:w="6814" w:type="dxa"/>
            <w:gridSpan w:val="2"/>
          </w:tcPr>
          <w:p w14:paraId="15F5132F" w14:textId="77777777" w:rsidR="001E1112" w:rsidRPr="00317ABF" w:rsidRDefault="001E1112" w:rsidP="00DB3BEC">
            <w:pPr>
              <w:jc w:val="both"/>
              <w:rPr>
                <w:sz w:val="22"/>
                <w:szCs w:val="22"/>
              </w:rPr>
            </w:pPr>
            <w:r w:rsidRPr="00317ABF">
              <w:rPr>
                <w:sz w:val="22"/>
                <w:szCs w:val="22"/>
              </w:rPr>
              <w:t>Art. 2. Określenia użyte w ustawie oznaczają:</w:t>
            </w:r>
          </w:p>
          <w:p w14:paraId="62486C05" w14:textId="1FE1AA98" w:rsidR="001E1112" w:rsidRPr="00317ABF" w:rsidRDefault="001E1112" w:rsidP="00DB3BEC">
            <w:pPr>
              <w:jc w:val="both"/>
              <w:rPr>
                <w:sz w:val="22"/>
                <w:szCs w:val="22"/>
              </w:rPr>
            </w:pPr>
            <w:r w:rsidRPr="00317ABF">
              <w:rPr>
                <w:sz w:val="22"/>
                <w:szCs w:val="22"/>
              </w:rPr>
              <w:t>(…)</w:t>
            </w:r>
          </w:p>
        </w:tc>
      </w:tr>
      <w:tr w:rsidR="001E1112" w:rsidRPr="00317ABF" w14:paraId="12E4357B" w14:textId="77777777" w:rsidTr="7753F98D">
        <w:trPr>
          <w:gridAfter w:val="2"/>
          <w:wAfter w:w="175" w:type="dxa"/>
        </w:trPr>
        <w:tc>
          <w:tcPr>
            <w:tcW w:w="704" w:type="dxa"/>
          </w:tcPr>
          <w:p w14:paraId="253AC726" w14:textId="77777777" w:rsidR="001E1112" w:rsidRPr="00317ABF" w:rsidRDefault="001E1112" w:rsidP="00DB3BEC">
            <w:pPr>
              <w:jc w:val="both"/>
              <w:rPr>
                <w:sz w:val="22"/>
                <w:szCs w:val="22"/>
              </w:rPr>
            </w:pPr>
            <w:r w:rsidRPr="00317ABF">
              <w:rPr>
                <w:sz w:val="22"/>
                <w:szCs w:val="22"/>
              </w:rPr>
              <w:t>Art. 2 pkt 1</w:t>
            </w:r>
          </w:p>
        </w:tc>
        <w:tc>
          <w:tcPr>
            <w:tcW w:w="4308" w:type="dxa"/>
          </w:tcPr>
          <w:p w14:paraId="5DAA2EFF" w14:textId="77777777" w:rsidR="001E1112" w:rsidRPr="00317ABF" w:rsidRDefault="001E1112" w:rsidP="00DB3BEC">
            <w:pPr>
              <w:autoSpaceDE w:val="0"/>
              <w:autoSpaceDN w:val="0"/>
              <w:adjustRightInd w:val="0"/>
              <w:jc w:val="both"/>
              <w:rPr>
                <w:rFonts w:eastAsia="EUAlbertina-Regular-Identity-H"/>
                <w:sz w:val="22"/>
                <w:szCs w:val="22"/>
              </w:rPr>
            </w:pPr>
            <w:r w:rsidRPr="00317ABF">
              <w:rPr>
                <w:sz w:val="22"/>
                <w:szCs w:val="22"/>
              </w:rPr>
              <w:t>„sieć łączności elektronicznej” oznacza systemy transmisyjne, niezależnie do tego, czy opierają się na stałej infrastrukturze lub scentralizowanym zarządzaniu zasobami, oraz, w stosownych przypadkach, urządzenia przełączające lub routingowe oraz inne zasoby, w tym nieaktywne elementy sieci, które umożliwiają przekazywanie sygnałów przewodowo, za pomocą radia, środków optycznych lub innych rozwiązań wykorzystujących fale, w tym sieci satelitarnych, stacjonarnych (komutowanych i pakietowych, w tym internetu) i sieci ruchomych, elektroenergetycznych systemów kablowych, w zakresie, w jakim są one wykorzystywane do przekazywania sygnałów, w sieciach nadawania radiowego i telewizyjnego oraz sieciach telewizji kablowej, niezależnie od rodzaju przekazywanej informacji;</w:t>
            </w:r>
          </w:p>
        </w:tc>
        <w:tc>
          <w:tcPr>
            <w:tcW w:w="986" w:type="dxa"/>
          </w:tcPr>
          <w:p w14:paraId="168FC2B5" w14:textId="77777777" w:rsidR="001E1112" w:rsidRPr="00317ABF" w:rsidRDefault="001E1112" w:rsidP="00DB3BEC">
            <w:pPr>
              <w:jc w:val="both"/>
              <w:rPr>
                <w:sz w:val="22"/>
                <w:szCs w:val="22"/>
              </w:rPr>
            </w:pPr>
            <w:r w:rsidRPr="00317ABF">
              <w:rPr>
                <w:sz w:val="22"/>
                <w:szCs w:val="22"/>
              </w:rPr>
              <w:t>T</w:t>
            </w:r>
          </w:p>
        </w:tc>
        <w:tc>
          <w:tcPr>
            <w:tcW w:w="910" w:type="dxa"/>
          </w:tcPr>
          <w:p w14:paraId="4101652C" w14:textId="5397BD41" w:rsidR="001E1112" w:rsidRPr="00317ABF" w:rsidRDefault="001E1112" w:rsidP="00DB3BEC">
            <w:pPr>
              <w:pStyle w:val="Tekstpodstawowy"/>
              <w:rPr>
                <w:b/>
                <w:noProof/>
                <w:sz w:val="22"/>
                <w:szCs w:val="22"/>
              </w:rPr>
            </w:pPr>
            <w:r w:rsidRPr="00317ABF">
              <w:rPr>
                <w:b/>
                <w:noProof/>
                <w:sz w:val="22"/>
                <w:szCs w:val="22"/>
              </w:rPr>
              <w:t xml:space="preserve">Art. 2 pkt 59 i </w:t>
            </w:r>
            <w:r w:rsidR="006A3F66" w:rsidRPr="00317ABF">
              <w:rPr>
                <w:b/>
                <w:noProof/>
                <w:sz w:val="22"/>
                <w:szCs w:val="22"/>
              </w:rPr>
              <w:t>44</w:t>
            </w:r>
          </w:p>
        </w:tc>
        <w:tc>
          <w:tcPr>
            <w:tcW w:w="6814" w:type="dxa"/>
            <w:gridSpan w:val="2"/>
          </w:tcPr>
          <w:p w14:paraId="74C7A852" w14:textId="68906502" w:rsidR="001E1112" w:rsidRPr="00317ABF" w:rsidRDefault="001E1112" w:rsidP="006A3F66">
            <w:pPr>
              <w:pStyle w:val="PKTpunkt0"/>
              <w:spacing w:line="240" w:lineRule="auto"/>
              <w:ind w:left="0" w:firstLine="0"/>
              <w:rPr>
                <w:rFonts w:ascii="Times New Roman" w:hAnsi="Times New Roman" w:cs="Times New Roman"/>
                <w:sz w:val="22"/>
                <w:szCs w:val="22"/>
              </w:rPr>
            </w:pPr>
            <w:r w:rsidRPr="00317ABF">
              <w:rPr>
                <w:rFonts w:ascii="Times New Roman" w:hAnsi="Times New Roman" w:cs="Times New Roman"/>
                <w:sz w:val="22"/>
                <w:szCs w:val="22"/>
              </w:rPr>
              <w:t>sieć telekomunikacyjna – systemy transmisyjne, a także urządzenia telekomunikacyjne, oprócz telekomunikacyjnych urządzeń końcowych, oraz inne zasoby, w tym nieaktywne elementy sieci, które umożliwiają przekazywanie sygnałów za pomocą przewodów, fal radiowych, optycznych lub innych środków wykorzystujących energię elektromagnetyczną, niezależnie od rodzaju przekazywanej informacji;</w:t>
            </w:r>
          </w:p>
          <w:p w14:paraId="1F847FD2" w14:textId="77777777" w:rsidR="0051289E" w:rsidRPr="00317ABF" w:rsidRDefault="0051289E" w:rsidP="00DB3BEC">
            <w:pPr>
              <w:jc w:val="both"/>
              <w:rPr>
                <w:sz w:val="22"/>
                <w:szCs w:val="22"/>
              </w:rPr>
            </w:pPr>
          </w:p>
          <w:p w14:paraId="5EE166C3" w14:textId="7538D842" w:rsidR="006A3F66" w:rsidRPr="00317ABF" w:rsidRDefault="001E1112" w:rsidP="006A3F66">
            <w:pPr>
              <w:pStyle w:val="PKTpunkt0"/>
              <w:spacing w:line="240" w:lineRule="auto"/>
              <w:ind w:left="-37" w:firstLine="37"/>
              <w:rPr>
                <w:rFonts w:ascii="Times New Roman" w:hAnsi="Times New Roman" w:cs="Times New Roman"/>
                <w:bCs w:val="0"/>
                <w:sz w:val="22"/>
                <w:szCs w:val="22"/>
                <w:lang w:eastAsia="en-US"/>
              </w:rPr>
            </w:pPr>
            <w:r w:rsidRPr="00317ABF">
              <w:rPr>
                <w:rFonts w:ascii="Times New Roman" w:hAnsi="Times New Roman" w:cs="Times New Roman"/>
                <w:sz w:val="22"/>
                <w:szCs w:val="22"/>
                <w:lang w:eastAsia="en-US"/>
              </w:rPr>
              <w:t>publiczna sieć telekomunikacyjna – sieć telekomunikacyjną wykorzystywaną głównie do świadczenia publicznie dostępnych usług telekomunikacyjnych;</w:t>
            </w:r>
          </w:p>
          <w:p w14:paraId="4B99056E" w14:textId="7991867D" w:rsidR="001E1112" w:rsidRPr="00317ABF" w:rsidRDefault="001E1112" w:rsidP="00DB3BEC">
            <w:pPr>
              <w:jc w:val="both"/>
              <w:rPr>
                <w:sz w:val="22"/>
                <w:szCs w:val="22"/>
              </w:rPr>
            </w:pPr>
          </w:p>
        </w:tc>
      </w:tr>
      <w:tr w:rsidR="001E1112" w:rsidRPr="00317ABF" w14:paraId="62CCB5F2" w14:textId="77777777" w:rsidTr="7753F98D">
        <w:trPr>
          <w:gridAfter w:val="2"/>
          <w:wAfter w:w="175" w:type="dxa"/>
        </w:trPr>
        <w:tc>
          <w:tcPr>
            <w:tcW w:w="704" w:type="dxa"/>
          </w:tcPr>
          <w:p w14:paraId="39D2621C" w14:textId="77777777" w:rsidR="001E1112" w:rsidRPr="00317ABF" w:rsidRDefault="001E1112" w:rsidP="00DB3BEC">
            <w:pPr>
              <w:jc w:val="both"/>
              <w:rPr>
                <w:sz w:val="22"/>
                <w:szCs w:val="22"/>
              </w:rPr>
            </w:pPr>
            <w:r w:rsidRPr="00317ABF">
              <w:rPr>
                <w:sz w:val="22"/>
                <w:szCs w:val="22"/>
              </w:rPr>
              <w:t>Art. 2 pkt 2</w:t>
            </w:r>
          </w:p>
        </w:tc>
        <w:tc>
          <w:tcPr>
            <w:tcW w:w="4308" w:type="dxa"/>
          </w:tcPr>
          <w:p w14:paraId="73F7B313" w14:textId="77777777" w:rsidR="001E1112" w:rsidRPr="00317ABF" w:rsidRDefault="001E1112" w:rsidP="00DB3BEC">
            <w:pPr>
              <w:autoSpaceDE w:val="0"/>
              <w:autoSpaceDN w:val="0"/>
              <w:adjustRightInd w:val="0"/>
              <w:jc w:val="both"/>
              <w:rPr>
                <w:rFonts w:eastAsia="EUAlbertina-Regular-Identity-H"/>
                <w:sz w:val="22"/>
                <w:szCs w:val="22"/>
              </w:rPr>
            </w:pPr>
            <w:r w:rsidRPr="00317ABF">
              <w:rPr>
                <w:sz w:val="22"/>
                <w:szCs w:val="22"/>
              </w:rPr>
              <w:t xml:space="preserve">„sieć o bardzo dużej przepustowości” oznacza albo sieć łączności elektronicznej, która w całości składa się z elementów światłowodowych co najmniej na odcinku do punktu dystrybucji w miejscu świadczenia usługi, albo sieć łączności elektronicznej, która </w:t>
            </w:r>
            <w:r w:rsidRPr="00317ABF">
              <w:rPr>
                <w:sz w:val="22"/>
                <w:szCs w:val="22"/>
              </w:rPr>
              <w:lastRenderedPageBreak/>
              <w:t>jest w stanie zapewnić w typowych warunkach panujących w czasie największego natężenia ruchu podobną wydajność sieci pod względem dostępnego pasma „w górę” i „w dół” łącza, odporności, parametrów związanych z błędami oraz opóźnienia i jego zmienności; wydajność sieci można uznać za podobną bez względu na to, czy doświadczenia użytkownika końcowego różnią się w zależności od z natury różnych cech charakterystycznych nośnika danych, za pomocą którego sieć ostatecznie łączy się z punktem zakończenia sieci;</w:t>
            </w:r>
          </w:p>
        </w:tc>
        <w:tc>
          <w:tcPr>
            <w:tcW w:w="986" w:type="dxa"/>
          </w:tcPr>
          <w:p w14:paraId="32AF8DF5" w14:textId="77777777" w:rsidR="001E1112" w:rsidRPr="00317ABF" w:rsidRDefault="001E1112" w:rsidP="00DB3BEC">
            <w:pPr>
              <w:jc w:val="both"/>
              <w:rPr>
                <w:sz w:val="22"/>
                <w:szCs w:val="22"/>
              </w:rPr>
            </w:pPr>
            <w:r w:rsidRPr="00317ABF">
              <w:rPr>
                <w:sz w:val="22"/>
                <w:szCs w:val="22"/>
              </w:rPr>
              <w:lastRenderedPageBreak/>
              <w:t>T</w:t>
            </w:r>
          </w:p>
        </w:tc>
        <w:tc>
          <w:tcPr>
            <w:tcW w:w="910" w:type="dxa"/>
          </w:tcPr>
          <w:p w14:paraId="1299C43A" w14:textId="1A3A4967" w:rsidR="001E1112" w:rsidRPr="00317ABF" w:rsidRDefault="001E1112" w:rsidP="00DB3BEC">
            <w:pPr>
              <w:pStyle w:val="Tekstpodstawowy"/>
              <w:rPr>
                <w:b/>
                <w:noProof/>
                <w:sz w:val="22"/>
                <w:szCs w:val="22"/>
              </w:rPr>
            </w:pPr>
            <w:r w:rsidRPr="00317ABF">
              <w:rPr>
                <w:b/>
                <w:noProof/>
                <w:sz w:val="22"/>
                <w:szCs w:val="22"/>
              </w:rPr>
              <w:t>Art. 2 pkt 58</w:t>
            </w:r>
          </w:p>
        </w:tc>
        <w:tc>
          <w:tcPr>
            <w:tcW w:w="6814" w:type="dxa"/>
            <w:gridSpan w:val="2"/>
          </w:tcPr>
          <w:p w14:paraId="4F54F918" w14:textId="77777777" w:rsidR="00CC5CB3" w:rsidRPr="00317ABF" w:rsidRDefault="00CC5CB3" w:rsidP="00CC5CB3">
            <w:pPr>
              <w:jc w:val="both"/>
              <w:rPr>
                <w:sz w:val="22"/>
                <w:szCs w:val="22"/>
              </w:rPr>
            </w:pPr>
            <w:r w:rsidRPr="00317ABF">
              <w:rPr>
                <w:sz w:val="22"/>
                <w:szCs w:val="22"/>
              </w:rPr>
              <w:t>58)</w:t>
            </w:r>
            <w:r w:rsidRPr="00317ABF">
              <w:rPr>
                <w:sz w:val="22"/>
                <w:szCs w:val="22"/>
              </w:rPr>
              <w:tab/>
              <w:t>sieć o bardzo dużej przepustowości – publiczną sieć telekomunikacyjną:</w:t>
            </w:r>
          </w:p>
          <w:p w14:paraId="09E4DC2C" w14:textId="77777777" w:rsidR="00CC5CB3" w:rsidRPr="00317ABF" w:rsidRDefault="00CC5CB3" w:rsidP="00CC5CB3">
            <w:pPr>
              <w:jc w:val="both"/>
              <w:rPr>
                <w:sz w:val="22"/>
                <w:szCs w:val="22"/>
              </w:rPr>
            </w:pPr>
            <w:r w:rsidRPr="00317ABF">
              <w:rPr>
                <w:sz w:val="22"/>
                <w:szCs w:val="22"/>
              </w:rPr>
              <w:t>a)</w:t>
            </w:r>
            <w:r w:rsidRPr="00317ABF">
              <w:rPr>
                <w:sz w:val="22"/>
                <w:szCs w:val="22"/>
              </w:rPr>
              <w:tab/>
              <w:t>składającą się z linii światłowodowych co najmniej do punktu dystrybucji w miejscu świadczenia usługi,</w:t>
            </w:r>
          </w:p>
          <w:p w14:paraId="2BDF3E48" w14:textId="77777777" w:rsidR="00CC5CB3" w:rsidRPr="00317ABF" w:rsidRDefault="00CC5CB3" w:rsidP="00CC5CB3">
            <w:pPr>
              <w:jc w:val="both"/>
              <w:rPr>
                <w:sz w:val="22"/>
                <w:szCs w:val="22"/>
              </w:rPr>
            </w:pPr>
            <w:r w:rsidRPr="00317ABF">
              <w:rPr>
                <w:sz w:val="22"/>
                <w:szCs w:val="22"/>
              </w:rPr>
              <w:t>b)</w:t>
            </w:r>
            <w:r w:rsidRPr="00317ABF">
              <w:rPr>
                <w:sz w:val="22"/>
                <w:szCs w:val="22"/>
              </w:rPr>
              <w:tab/>
              <w:t>składającą się z linii światłowodowych co najmniej do stacji bazowej, lub</w:t>
            </w:r>
          </w:p>
          <w:p w14:paraId="4DDBEF00" w14:textId="51574E81" w:rsidR="001E1112" w:rsidRPr="00317ABF" w:rsidRDefault="00CC5CB3" w:rsidP="00CC5CB3">
            <w:pPr>
              <w:ind w:left="340"/>
              <w:jc w:val="both"/>
              <w:rPr>
                <w:sz w:val="22"/>
                <w:szCs w:val="22"/>
              </w:rPr>
            </w:pPr>
            <w:r w:rsidRPr="00317ABF">
              <w:rPr>
                <w:sz w:val="22"/>
                <w:szCs w:val="22"/>
              </w:rPr>
              <w:lastRenderedPageBreak/>
              <w:t>c)</w:t>
            </w:r>
            <w:r w:rsidRPr="00317ABF">
              <w:rPr>
                <w:sz w:val="22"/>
                <w:szCs w:val="22"/>
              </w:rPr>
              <w:tab/>
              <w:t>która umożliwia świadczenie usługi dostępu do internetu w typowych warunkach panujących w czasie największego ruchu w sieci, o podobnych parametrach jakościowych, jak sieć telekomunikacyjna, o której mowa w lit. a w przypadku sieci stacjonarnej, lub jak sieć telekomunikacyjna, o której mowa w lit. b w przypadku sieci bezprzewodowej. Podobne parametry jakościowe usługi dostępu do internetu odnoszą się do: pobierania i wysyłania danych, odporności, parametrów związanych z błędami oraz opóźnienia i jego zmienności, a ich wartości spełniają wymagania określone w wytycznych BEREC wydanych na podstawie art. 82 dyrektywy Parlamentu Europejskiego i Rady (UE) 2018/1972 z dnia 11 grudnia 2018 r. ustanawiającą europejski kodeks łączności elektronicznej (Dz. Urz. WE L 321/36 z 17.12.2018);</w:t>
            </w:r>
          </w:p>
        </w:tc>
      </w:tr>
      <w:tr w:rsidR="001E1112" w:rsidRPr="00317ABF" w14:paraId="3990AD05" w14:textId="77777777" w:rsidTr="7753F98D">
        <w:trPr>
          <w:gridAfter w:val="2"/>
          <w:wAfter w:w="175" w:type="dxa"/>
        </w:trPr>
        <w:tc>
          <w:tcPr>
            <w:tcW w:w="704" w:type="dxa"/>
          </w:tcPr>
          <w:p w14:paraId="32B84AB4" w14:textId="77777777" w:rsidR="001E1112" w:rsidRPr="00317ABF" w:rsidRDefault="001E1112" w:rsidP="00DB3BEC">
            <w:pPr>
              <w:jc w:val="both"/>
              <w:rPr>
                <w:sz w:val="22"/>
                <w:szCs w:val="22"/>
              </w:rPr>
            </w:pPr>
            <w:r w:rsidRPr="00317ABF">
              <w:rPr>
                <w:sz w:val="22"/>
                <w:szCs w:val="22"/>
              </w:rPr>
              <w:lastRenderedPageBreak/>
              <w:t>Art. 2 pkt 3</w:t>
            </w:r>
          </w:p>
        </w:tc>
        <w:tc>
          <w:tcPr>
            <w:tcW w:w="4308" w:type="dxa"/>
          </w:tcPr>
          <w:p w14:paraId="74CF11E8" w14:textId="77777777" w:rsidR="001E1112" w:rsidRPr="00317ABF" w:rsidRDefault="001E1112" w:rsidP="00DB3BEC">
            <w:pPr>
              <w:autoSpaceDE w:val="0"/>
              <w:autoSpaceDN w:val="0"/>
              <w:adjustRightInd w:val="0"/>
              <w:jc w:val="both"/>
              <w:rPr>
                <w:rFonts w:eastAsia="EUAlbertina-Regular-Identity-H"/>
                <w:sz w:val="22"/>
                <w:szCs w:val="22"/>
              </w:rPr>
            </w:pPr>
            <w:r w:rsidRPr="00317ABF">
              <w:rPr>
                <w:sz w:val="22"/>
                <w:szCs w:val="22"/>
              </w:rPr>
              <w:t>„rynki ponadnarodowe” oznaczają rynki zdefiniowane zgodnie z art. 65 obejmujące Unię lub znaczną jej część, znajdujące się w więcej niż jednym państwie członkowskim;</w:t>
            </w:r>
          </w:p>
        </w:tc>
        <w:tc>
          <w:tcPr>
            <w:tcW w:w="986" w:type="dxa"/>
          </w:tcPr>
          <w:p w14:paraId="3461D779" w14:textId="69447FB3" w:rsidR="001E1112" w:rsidRPr="00317ABF" w:rsidRDefault="001E1112" w:rsidP="00DB3BEC">
            <w:pPr>
              <w:jc w:val="both"/>
              <w:rPr>
                <w:sz w:val="22"/>
                <w:szCs w:val="22"/>
              </w:rPr>
            </w:pPr>
            <w:r w:rsidRPr="00317ABF">
              <w:rPr>
                <w:sz w:val="22"/>
                <w:szCs w:val="22"/>
              </w:rPr>
              <w:t>T</w:t>
            </w:r>
          </w:p>
        </w:tc>
        <w:tc>
          <w:tcPr>
            <w:tcW w:w="910" w:type="dxa"/>
          </w:tcPr>
          <w:p w14:paraId="3CF2D8B6" w14:textId="0ABEA065" w:rsidR="001E1112" w:rsidRPr="00317ABF" w:rsidRDefault="001E1112" w:rsidP="00DB3BEC">
            <w:pPr>
              <w:pStyle w:val="Tekstpodstawowy"/>
              <w:rPr>
                <w:b/>
                <w:bCs/>
                <w:noProof/>
                <w:sz w:val="22"/>
                <w:szCs w:val="22"/>
              </w:rPr>
            </w:pPr>
            <w:r w:rsidRPr="00317ABF">
              <w:rPr>
                <w:b/>
                <w:bCs/>
                <w:noProof/>
                <w:sz w:val="22"/>
                <w:szCs w:val="22"/>
              </w:rPr>
              <w:t xml:space="preserve">Art. </w:t>
            </w:r>
            <w:r w:rsidR="00E13E9D" w:rsidRPr="00317ABF">
              <w:rPr>
                <w:b/>
                <w:bCs/>
                <w:noProof/>
                <w:sz w:val="22"/>
                <w:szCs w:val="22"/>
              </w:rPr>
              <w:t>198</w:t>
            </w:r>
            <w:r w:rsidRPr="00317ABF">
              <w:rPr>
                <w:b/>
                <w:bCs/>
                <w:noProof/>
                <w:sz w:val="22"/>
                <w:szCs w:val="22"/>
              </w:rPr>
              <w:t xml:space="preserve"> ust. 1, 2</w:t>
            </w:r>
          </w:p>
        </w:tc>
        <w:tc>
          <w:tcPr>
            <w:tcW w:w="6814" w:type="dxa"/>
            <w:gridSpan w:val="2"/>
          </w:tcPr>
          <w:p w14:paraId="604BBD5F" w14:textId="77777777" w:rsidR="001E1112" w:rsidRPr="00317ABF" w:rsidRDefault="00E13E9D" w:rsidP="00E13E9D">
            <w:pPr>
              <w:pStyle w:val="ARTartustawynprozporzdzenia"/>
              <w:spacing w:line="240" w:lineRule="auto"/>
              <w:ind w:firstLine="0"/>
              <w:rPr>
                <w:rFonts w:ascii="Times New Roman" w:hAnsi="Times New Roman" w:cs="Times New Roman"/>
                <w:sz w:val="22"/>
                <w:szCs w:val="22"/>
              </w:rPr>
            </w:pPr>
            <w:r w:rsidRPr="00317ABF">
              <w:rPr>
                <w:b/>
                <w:sz w:val="22"/>
                <w:szCs w:val="22"/>
              </w:rPr>
              <w:t>Art. 198.</w:t>
            </w:r>
            <w:r w:rsidRPr="00317ABF">
              <w:rPr>
                <w:rFonts w:ascii="Times New Roman" w:hAnsi="Times New Roman" w:cs="Times New Roman"/>
                <w:sz w:val="22"/>
                <w:szCs w:val="22"/>
              </w:rPr>
              <w:t xml:space="preserve"> </w:t>
            </w:r>
            <w:r w:rsidR="001E1112" w:rsidRPr="00317ABF">
              <w:rPr>
                <w:rFonts w:ascii="Times New Roman" w:eastAsia="Times" w:hAnsi="Times New Roman" w:cs="Times New Roman"/>
                <w:sz w:val="22"/>
                <w:szCs w:val="22"/>
              </w:rPr>
              <w:t xml:space="preserve">1. Prezes UKE może wraz z </w:t>
            </w:r>
            <w:r w:rsidRPr="00317ABF">
              <w:rPr>
                <w:rFonts w:ascii="Times New Roman" w:hAnsi="Times New Roman" w:cs="Times New Roman"/>
                <w:sz w:val="22"/>
                <w:szCs w:val="22"/>
              </w:rPr>
              <w:t>co najmniej</w:t>
            </w:r>
            <w:r w:rsidR="001E1112" w:rsidRPr="00317ABF">
              <w:rPr>
                <w:rFonts w:ascii="Times New Roman" w:eastAsia="Times" w:hAnsi="Times New Roman" w:cs="Times New Roman"/>
                <w:sz w:val="22"/>
                <w:szCs w:val="22"/>
              </w:rPr>
              <w:t xml:space="preserve"> jednym organem regulacyjnym innego państwa członkowskiego wystąpić do BEREC z uzasadnionym wnioskiem o przeprowadzenie analizy potencjalnego rynku ponadnarodowego.</w:t>
            </w:r>
          </w:p>
          <w:p w14:paraId="0FB78278" w14:textId="0603D3F3" w:rsidR="001E1112" w:rsidRPr="00317ABF" w:rsidRDefault="001E1112" w:rsidP="00DB3BEC">
            <w:pPr>
              <w:jc w:val="both"/>
              <w:rPr>
                <w:sz w:val="22"/>
                <w:szCs w:val="22"/>
              </w:rPr>
            </w:pPr>
            <w:r w:rsidRPr="00317ABF">
              <w:rPr>
                <w:sz w:val="22"/>
                <w:szCs w:val="22"/>
              </w:rPr>
              <w:t>2. W przypadku rynku właściwego określonego w decyzji Komisji Europejskiej jako rynek ponadnarodowy Prezes UKE przeprowadza wraz z organem regulacyjnym innego państwa członkowskiego, o którym mowa w ust. 1, jego analizę.</w:t>
            </w:r>
          </w:p>
        </w:tc>
      </w:tr>
      <w:tr w:rsidR="001E1112" w:rsidRPr="00317ABF" w14:paraId="5C27DD8B" w14:textId="77777777" w:rsidTr="7753F98D">
        <w:trPr>
          <w:gridAfter w:val="2"/>
          <w:wAfter w:w="175" w:type="dxa"/>
        </w:trPr>
        <w:tc>
          <w:tcPr>
            <w:tcW w:w="704" w:type="dxa"/>
          </w:tcPr>
          <w:p w14:paraId="676B5784" w14:textId="77777777" w:rsidR="001E1112" w:rsidRPr="00317ABF" w:rsidRDefault="001E1112" w:rsidP="00DB3BEC">
            <w:pPr>
              <w:jc w:val="both"/>
              <w:rPr>
                <w:sz w:val="22"/>
                <w:szCs w:val="22"/>
              </w:rPr>
            </w:pPr>
            <w:r w:rsidRPr="00317ABF">
              <w:rPr>
                <w:sz w:val="22"/>
                <w:szCs w:val="22"/>
              </w:rPr>
              <w:t>Art. 2 pkt 4</w:t>
            </w:r>
          </w:p>
        </w:tc>
        <w:tc>
          <w:tcPr>
            <w:tcW w:w="4308" w:type="dxa"/>
          </w:tcPr>
          <w:p w14:paraId="7CD92D1B" w14:textId="77777777" w:rsidR="001E1112" w:rsidRPr="00317ABF" w:rsidRDefault="001E1112" w:rsidP="00DB3BEC">
            <w:pPr>
              <w:spacing w:before="120"/>
              <w:jc w:val="both"/>
              <w:rPr>
                <w:sz w:val="22"/>
                <w:szCs w:val="22"/>
              </w:rPr>
            </w:pPr>
            <w:r w:rsidRPr="00317ABF">
              <w:rPr>
                <w:sz w:val="22"/>
                <w:szCs w:val="22"/>
              </w:rPr>
              <w:t>„usługa łączności elektronicznej” oznacza usługę zazwyczaj świadczoną za wynagrodzeniem za pośrednictwem sieci łączności elektronicznej, która obejmuje, z wyjątkiem usług związanych z zapewnianiem albo wykonywaniem kontroli treści przekazywanych przy wykorzystaniu sieci lub usług łączności elektronicznej, następujące rodzaje usług:</w:t>
            </w:r>
          </w:p>
          <w:p w14:paraId="66C44733" w14:textId="77777777" w:rsidR="001E1112" w:rsidRPr="00317ABF" w:rsidRDefault="001E1112" w:rsidP="00DB3BEC">
            <w:pPr>
              <w:numPr>
                <w:ilvl w:val="0"/>
                <w:numId w:val="3"/>
              </w:numPr>
              <w:autoSpaceDE w:val="0"/>
              <w:autoSpaceDN w:val="0"/>
              <w:adjustRightInd w:val="0"/>
              <w:jc w:val="both"/>
              <w:rPr>
                <w:rFonts w:eastAsia="EUAlbertina-Regular-Identity-H"/>
                <w:sz w:val="22"/>
                <w:szCs w:val="22"/>
              </w:rPr>
            </w:pPr>
            <w:r w:rsidRPr="00317ABF">
              <w:rPr>
                <w:sz w:val="22"/>
                <w:szCs w:val="22"/>
              </w:rPr>
              <w:t>„usługę dostępu do internetu” zdefiniowaną w art. 2 akapit drugi pkt 2 rozporządzenia (UE) 2015/2120;</w:t>
            </w:r>
          </w:p>
          <w:p w14:paraId="47DD1E44" w14:textId="77777777" w:rsidR="001E1112" w:rsidRPr="00317ABF" w:rsidRDefault="001E1112" w:rsidP="00DB3BEC">
            <w:pPr>
              <w:numPr>
                <w:ilvl w:val="0"/>
                <w:numId w:val="3"/>
              </w:numPr>
              <w:autoSpaceDE w:val="0"/>
              <w:autoSpaceDN w:val="0"/>
              <w:adjustRightInd w:val="0"/>
              <w:jc w:val="both"/>
              <w:rPr>
                <w:rFonts w:eastAsia="EUAlbertina-Regular-Identity-H"/>
                <w:sz w:val="22"/>
                <w:szCs w:val="22"/>
              </w:rPr>
            </w:pPr>
            <w:r w:rsidRPr="00317ABF">
              <w:rPr>
                <w:sz w:val="22"/>
                <w:szCs w:val="22"/>
              </w:rPr>
              <w:t>„usługę łączności interpersonalnej”; oraz</w:t>
            </w:r>
          </w:p>
          <w:p w14:paraId="03B616D7" w14:textId="77777777" w:rsidR="001E1112" w:rsidRPr="00317ABF" w:rsidRDefault="001E1112" w:rsidP="00DB3BEC">
            <w:pPr>
              <w:numPr>
                <w:ilvl w:val="0"/>
                <w:numId w:val="3"/>
              </w:numPr>
              <w:autoSpaceDE w:val="0"/>
              <w:autoSpaceDN w:val="0"/>
              <w:adjustRightInd w:val="0"/>
              <w:jc w:val="both"/>
              <w:rPr>
                <w:rFonts w:eastAsia="EUAlbertina-Regular-Identity-H"/>
                <w:sz w:val="22"/>
                <w:szCs w:val="22"/>
              </w:rPr>
            </w:pPr>
            <w:r w:rsidRPr="00317ABF">
              <w:rPr>
                <w:sz w:val="22"/>
                <w:szCs w:val="22"/>
              </w:rPr>
              <w:t xml:space="preserve">usługi polegające całkowicie lub częściowo na przekazywaniu </w:t>
            </w:r>
            <w:r w:rsidRPr="00317ABF">
              <w:rPr>
                <w:sz w:val="22"/>
                <w:szCs w:val="22"/>
              </w:rPr>
              <w:lastRenderedPageBreak/>
              <w:t>sygnałów, takie jak usługi transmisyjne stosowane na potrzeby świadczenia usług łączności maszyna–maszyna oraz na potrzeby nadawania</w:t>
            </w:r>
          </w:p>
        </w:tc>
        <w:tc>
          <w:tcPr>
            <w:tcW w:w="986" w:type="dxa"/>
          </w:tcPr>
          <w:p w14:paraId="1FC39945" w14:textId="5A422C29" w:rsidR="001E1112" w:rsidRPr="00317ABF" w:rsidRDefault="001E1112" w:rsidP="00DB3BEC">
            <w:pPr>
              <w:jc w:val="both"/>
              <w:rPr>
                <w:sz w:val="22"/>
                <w:szCs w:val="22"/>
              </w:rPr>
            </w:pPr>
            <w:r w:rsidRPr="00317ABF">
              <w:rPr>
                <w:sz w:val="22"/>
                <w:szCs w:val="22"/>
              </w:rPr>
              <w:lastRenderedPageBreak/>
              <w:t>T</w:t>
            </w:r>
          </w:p>
        </w:tc>
        <w:tc>
          <w:tcPr>
            <w:tcW w:w="910" w:type="dxa"/>
          </w:tcPr>
          <w:p w14:paraId="0562CB0E" w14:textId="4F07B002" w:rsidR="001E1112" w:rsidRPr="00317ABF" w:rsidRDefault="005D6340" w:rsidP="007C065D">
            <w:pPr>
              <w:pStyle w:val="Tekstpodstawowy"/>
              <w:rPr>
                <w:b/>
                <w:noProof/>
                <w:sz w:val="22"/>
                <w:szCs w:val="22"/>
              </w:rPr>
            </w:pPr>
            <w:r w:rsidRPr="00317ABF">
              <w:rPr>
                <w:b/>
                <w:bCs/>
                <w:noProof/>
                <w:sz w:val="22"/>
                <w:szCs w:val="22"/>
              </w:rPr>
              <w:t>Art. 2 pkt 77</w:t>
            </w:r>
            <w:r w:rsidR="007C065D" w:rsidRPr="00317ABF">
              <w:rPr>
                <w:b/>
                <w:bCs/>
                <w:noProof/>
                <w:sz w:val="22"/>
                <w:szCs w:val="22"/>
              </w:rPr>
              <w:t xml:space="preserve"> , pkt 45, pkt 81</w:t>
            </w:r>
            <w:r w:rsidR="001E1112" w:rsidRPr="00317ABF">
              <w:rPr>
                <w:b/>
                <w:bCs/>
                <w:noProof/>
                <w:sz w:val="22"/>
                <w:szCs w:val="22"/>
              </w:rPr>
              <w:t>,</w:t>
            </w:r>
            <w:r w:rsidR="007033FB" w:rsidRPr="00317ABF">
              <w:rPr>
                <w:b/>
                <w:bCs/>
                <w:noProof/>
                <w:sz w:val="22"/>
                <w:szCs w:val="22"/>
              </w:rPr>
              <w:t xml:space="preserve"> 69,</w:t>
            </w:r>
            <w:r w:rsidR="001E1112" w:rsidRPr="00317ABF">
              <w:rPr>
                <w:b/>
                <w:bCs/>
                <w:noProof/>
                <w:sz w:val="22"/>
                <w:szCs w:val="22"/>
              </w:rPr>
              <w:t xml:space="preserve"> </w:t>
            </w:r>
            <w:r w:rsidR="007033FB" w:rsidRPr="00317ABF">
              <w:rPr>
                <w:b/>
                <w:bCs/>
                <w:noProof/>
                <w:sz w:val="22"/>
                <w:szCs w:val="22"/>
              </w:rPr>
              <w:t>70, 41,</w:t>
            </w:r>
            <w:r w:rsidR="009A0648" w:rsidRPr="00317ABF">
              <w:rPr>
                <w:b/>
                <w:bCs/>
                <w:noProof/>
                <w:sz w:val="22"/>
                <w:szCs w:val="22"/>
              </w:rPr>
              <w:t>42</w:t>
            </w:r>
            <w:r w:rsidR="004D41C5" w:rsidRPr="00317ABF">
              <w:rPr>
                <w:b/>
                <w:bCs/>
                <w:noProof/>
                <w:sz w:val="22"/>
                <w:szCs w:val="22"/>
              </w:rPr>
              <w:t xml:space="preserve">, </w:t>
            </w:r>
            <w:r w:rsidR="002224D9" w:rsidRPr="00317ABF">
              <w:rPr>
                <w:b/>
                <w:bCs/>
                <w:noProof/>
                <w:sz w:val="22"/>
                <w:szCs w:val="22"/>
              </w:rPr>
              <w:t xml:space="preserve">45, </w:t>
            </w:r>
            <w:r w:rsidR="004D41C5" w:rsidRPr="00317ABF">
              <w:rPr>
                <w:b/>
                <w:bCs/>
                <w:noProof/>
                <w:sz w:val="22"/>
                <w:szCs w:val="22"/>
              </w:rPr>
              <w:t>48</w:t>
            </w:r>
          </w:p>
        </w:tc>
        <w:tc>
          <w:tcPr>
            <w:tcW w:w="6814" w:type="dxa"/>
            <w:gridSpan w:val="2"/>
          </w:tcPr>
          <w:p w14:paraId="3052687D" w14:textId="76F97CA4" w:rsidR="007C065D" w:rsidRPr="00317ABF" w:rsidRDefault="002224D9" w:rsidP="007C065D">
            <w:pPr>
              <w:pStyle w:val="Tekstpodstawowy"/>
              <w:rPr>
                <w:bCs/>
                <w:sz w:val="22"/>
                <w:szCs w:val="22"/>
              </w:rPr>
            </w:pPr>
            <w:r w:rsidRPr="00317ABF">
              <w:rPr>
                <w:bCs/>
                <w:sz w:val="22"/>
                <w:szCs w:val="22"/>
              </w:rPr>
              <w:t xml:space="preserve">77) </w:t>
            </w:r>
            <w:r w:rsidR="007C065D" w:rsidRPr="00317ABF">
              <w:rPr>
                <w:bCs/>
                <w:sz w:val="22"/>
                <w:szCs w:val="22"/>
              </w:rPr>
              <w:t>usługa komunikacji elektronicznej – usługę świadczoną za pośrednictwem sieci telekomunikacyjnej, zwykle za wynagrodzeniem, z wyłączeniem usług związanych z zapewnianiem albo wykonywaniem kontroli treści przekazywanych przy wykorzystaniu sieci telekomunikacyjnych lub usług komunikacji elektronicznej, obejmującą:</w:t>
            </w:r>
          </w:p>
          <w:p w14:paraId="647F4199" w14:textId="77777777" w:rsidR="007C065D" w:rsidRPr="00317ABF" w:rsidRDefault="007C065D" w:rsidP="007C065D">
            <w:pPr>
              <w:pStyle w:val="Tekstpodstawowy"/>
              <w:rPr>
                <w:bCs/>
                <w:sz w:val="22"/>
                <w:szCs w:val="22"/>
              </w:rPr>
            </w:pPr>
            <w:r w:rsidRPr="00317ABF">
              <w:rPr>
                <w:bCs/>
                <w:sz w:val="22"/>
                <w:szCs w:val="22"/>
              </w:rPr>
              <w:t>a) usługę dostępu do internetu w rozumieniu art. 2 akapit drugi pkt 2 rozporządzenia Parlamentu Europejskiego i Rady (UE) 2015/2120 z dnia 25 listopada 2015 r. ustanawiającego środki dotyczące dostępu do otwartego internetu i dotyczące opłat detalicznych za uregulowane usługi łączności wewnątrzunijnej oraz zmieniającego dyrektywę 2002/22/WE, a także rozporządzenie (UE) nr 531/2012 (Dz. Urz. UE L 310 z 26.11.2015, str. 1–18, z późn. zm.),</w:t>
            </w:r>
          </w:p>
          <w:p w14:paraId="010481A6" w14:textId="77777777" w:rsidR="007C065D" w:rsidRPr="00317ABF" w:rsidRDefault="007C065D" w:rsidP="007C065D">
            <w:pPr>
              <w:pStyle w:val="Tekstpodstawowy"/>
              <w:rPr>
                <w:bCs/>
                <w:sz w:val="22"/>
                <w:szCs w:val="22"/>
              </w:rPr>
            </w:pPr>
            <w:r w:rsidRPr="00317ABF">
              <w:rPr>
                <w:bCs/>
                <w:sz w:val="22"/>
                <w:szCs w:val="22"/>
              </w:rPr>
              <w:t>b) usługę komunikacji interpersonalnej,</w:t>
            </w:r>
          </w:p>
          <w:p w14:paraId="24EE6279" w14:textId="77777777" w:rsidR="007C065D" w:rsidRPr="00317ABF" w:rsidRDefault="007C065D" w:rsidP="007C065D">
            <w:pPr>
              <w:pStyle w:val="Tekstpodstawowy"/>
              <w:rPr>
                <w:bCs/>
                <w:sz w:val="22"/>
                <w:szCs w:val="22"/>
              </w:rPr>
            </w:pPr>
            <w:r w:rsidRPr="00317ABF">
              <w:rPr>
                <w:bCs/>
                <w:sz w:val="22"/>
                <w:szCs w:val="22"/>
              </w:rPr>
              <w:t>c) usługę polegającą całkowicie lub głównie na przekazywaniu sygnałów, w tym usługę transmisyjną stosowaną na potrzeby świadczenia usług komunikacji maszyna – maszyna oraz na potrzeby nadawania;</w:t>
            </w:r>
          </w:p>
          <w:p w14:paraId="36BA8775" w14:textId="77777777" w:rsidR="007C065D" w:rsidRPr="00317ABF" w:rsidRDefault="007C065D" w:rsidP="007C065D">
            <w:pPr>
              <w:jc w:val="both"/>
              <w:rPr>
                <w:rFonts w:ascii="Times" w:eastAsiaTheme="minorEastAsia" w:hAnsi="Times" w:cs="Times"/>
                <w:bCs/>
                <w:szCs w:val="20"/>
              </w:rPr>
            </w:pPr>
          </w:p>
          <w:p w14:paraId="00D23173" w14:textId="24B42157" w:rsidR="007C065D" w:rsidRPr="00317ABF" w:rsidRDefault="002224D9" w:rsidP="007C065D">
            <w:pPr>
              <w:jc w:val="both"/>
              <w:rPr>
                <w:bCs/>
                <w:sz w:val="22"/>
                <w:szCs w:val="22"/>
              </w:rPr>
            </w:pPr>
            <w:r w:rsidRPr="00317ABF">
              <w:rPr>
                <w:bCs/>
                <w:sz w:val="22"/>
                <w:szCs w:val="22"/>
              </w:rPr>
              <w:lastRenderedPageBreak/>
              <w:t xml:space="preserve">45) </w:t>
            </w:r>
            <w:r w:rsidR="007C065D" w:rsidRPr="00317ABF">
              <w:rPr>
                <w:bCs/>
                <w:sz w:val="22"/>
                <w:szCs w:val="22"/>
              </w:rPr>
              <w:t>publicznie dostępna usługa komunikacji elektronicznej – usługę komunikacji elektronicznej dostępną dla ogółu użytkowników;</w:t>
            </w:r>
          </w:p>
          <w:p w14:paraId="0282A114" w14:textId="325BA4E8" w:rsidR="007C065D" w:rsidRPr="00317ABF" w:rsidRDefault="007C065D" w:rsidP="00DB3BEC">
            <w:pPr>
              <w:jc w:val="both"/>
              <w:rPr>
                <w:bCs/>
                <w:sz w:val="22"/>
                <w:szCs w:val="22"/>
              </w:rPr>
            </w:pPr>
          </w:p>
          <w:p w14:paraId="6B49A061" w14:textId="3802B528" w:rsidR="001E1112" w:rsidRPr="00317ABF" w:rsidRDefault="002224D9" w:rsidP="00DB3BEC">
            <w:pPr>
              <w:jc w:val="both"/>
              <w:rPr>
                <w:bCs/>
                <w:sz w:val="22"/>
                <w:szCs w:val="22"/>
              </w:rPr>
            </w:pPr>
            <w:r w:rsidRPr="00317ABF">
              <w:rPr>
                <w:rFonts w:cs="Times"/>
                <w:sz w:val="22"/>
                <w:szCs w:val="22"/>
              </w:rPr>
              <w:t xml:space="preserve">81) </w:t>
            </w:r>
            <w:r w:rsidR="007C065D" w:rsidRPr="00317ABF">
              <w:rPr>
                <w:rFonts w:cs="Times"/>
                <w:sz w:val="22"/>
                <w:szCs w:val="22"/>
              </w:rPr>
              <w:t>usługa telekomunikacyjna – usługę komunikacji elektronicznej z wyłączeniem usługi komunikacji interpersonalnej niewykorzystującej numerów;</w:t>
            </w:r>
          </w:p>
          <w:p w14:paraId="4AD2BD9D" w14:textId="2F0F0B42" w:rsidR="001E1112" w:rsidRPr="00317ABF" w:rsidRDefault="001E1112" w:rsidP="00DB3BEC">
            <w:pPr>
              <w:jc w:val="both"/>
              <w:rPr>
                <w:bCs/>
                <w:sz w:val="22"/>
                <w:szCs w:val="22"/>
              </w:rPr>
            </w:pPr>
          </w:p>
          <w:p w14:paraId="51F116F6" w14:textId="71B18E95" w:rsidR="004D41C5" w:rsidRPr="00317ABF" w:rsidRDefault="00257620" w:rsidP="004D41C5">
            <w:pPr>
              <w:jc w:val="both"/>
              <w:rPr>
                <w:bCs/>
                <w:sz w:val="22"/>
                <w:szCs w:val="22"/>
              </w:rPr>
            </w:pPr>
            <w:r w:rsidRPr="00317ABF">
              <w:rPr>
                <w:bCs/>
                <w:sz w:val="22"/>
                <w:szCs w:val="22"/>
              </w:rPr>
              <w:t xml:space="preserve">48) </w:t>
            </w:r>
            <w:r w:rsidR="004D41C5" w:rsidRPr="00317ABF">
              <w:rPr>
                <w:bCs/>
                <w:sz w:val="22"/>
                <w:szCs w:val="22"/>
              </w:rPr>
              <w:t>publicznie dostępna usługa telekomunikacyjna – usługę telekomunikacyjną dostępną dla ogółu użytkowników;</w:t>
            </w:r>
          </w:p>
          <w:p w14:paraId="49D9DDA3" w14:textId="77777777" w:rsidR="004D41C5" w:rsidRPr="00317ABF" w:rsidRDefault="004D41C5" w:rsidP="00DB3BEC">
            <w:pPr>
              <w:jc w:val="both"/>
              <w:rPr>
                <w:bCs/>
                <w:sz w:val="22"/>
                <w:szCs w:val="22"/>
              </w:rPr>
            </w:pPr>
          </w:p>
          <w:p w14:paraId="6A2D51EE" w14:textId="2CF4CB30" w:rsidR="007033FB" w:rsidRPr="00317ABF" w:rsidRDefault="00257620" w:rsidP="007033FB">
            <w:pPr>
              <w:jc w:val="both"/>
              <w:rPr>
                <w:bCs/>
                <w:sz w:val="22"/>
                <w:szCs w:val="22"/>
              </w:rPr>
            </w:pPr>
            <w:r w:rsidRPr="00317ABF">
              <w:rPr>
                <w:bCs/>
                <w:sz w:val="22"/>
                <w:szCs w:val="22"/>
              </w:rPr>
              <w:t xml:space="preserve">69) </w:t>
            </w:r>
            <w:r w:rsidR="007033FB" w:rsidRPr="00317ABF">
              <w:rPr>
                <w:bCs/>
                <w:sz w:val="22"/>
                <w:szCs w:val="22"/>
              </w:rPr>
              <w:t>świadczenie usług komunikacji elektronicznej – świadczenie usług telekomunikacyjnych lub usług komunikacji interpersonalnej niewykorzystujących numerów;</w:t>
            </w:r>
          </w:p>
          <w:p w14:paraId="46C08C56" w14:textId="45E24662" w:rsidR="001E1112" w:rsidRPr="00317ABF" w:rsidRDefault="001E1112" w:rsidP="00DB3BEC">
            <w:pPr>
              <w:jc w:val="both"/>
              <w:rPr>
                <w:bCs/>
                <w:sz w:val="22"/>
                <w:szCs w:val="22"/>
              </w:rPr>
            </w:pPr>
          </w:p>
          <w:p w14:paraId="14515DC8" w14:textId="44542137" w:rsidR="0051289E" w:rsidRPr="00317ABF" w:rsidRDefault="00257620" w:rsidP="00DB3BEC">
            <w:pPr>
              <w:jc w:val="both"/>
              <w:rPr>
                <w:bCs/>
                <w:sz w:val="22"/>
                <w:szCs w:val="22"/>
              </w:rPr>
            </w:pPr>
            <w:r w:rsidRPr="00317ABF">
              <w:rPr>
                <w:bCs/>
                <w:sz w:val="22"/>
                <w:szCs w:val="22"/>
              </w:rPr>
              <w:t xml:space="preserve">70) </w:t>
            </w:r>
            <w:r w:rsidR="007033FB" w:rsidRPr="00317ABF">
              <w:rPr>
                <w:bCs/>
                <w:sz w:val="22"/>
                <w:szCs w:val="22"/>
              </w:rPr>
              <w:t>świadczenie usług telekomunikacyjnych – wykonywanie usług za pomocą własnej sieci, z wykorzystaniem sieci innego operatora lub sprzedaż we własnym imieniu i na własny rachunek usługi telekomunikacyjnej wykonywanej przez innego dostawcę usług telekomunikacyjnych;</w:t>
            </w:r>
          </w:p>
          <w:p w14:paraId="2692A72D" w14:textId="2BC68C6F" w:rsidR="0051289E" w:rsidRPr="00317ABF" w:rsidRDefault="0051289E" w:rsidP="00DB3BEC">
            <w:pPr>
              <w:pStyle w:val="PKTpunkt0"/>
              <w:spacing w:line="240" w:lineRule="auto"/>
              <w:ind w:left="0" w:firstLine="0"/>
              <w:rPr>
                <w:rFonts w:ascii="Times New Roman" w:hAnsi="Times New Roman" w:cs="Times New Roman"/>
                <w:sz w:val="22"/>
                <w:szCs w:val="22"/>
                <w:lang w:eastAsia="en-US"/>
              </w:rPr>
            </w:pPr>
          </w:p>
          <w:p w14:paraId="6970E9CF" w14:textId="25314409" w:rsidR="007033FB" w:rsidRPr="00317ABF" w:rsidRDefault="00257620" w:rsidP="00DB3BEC">
            <w:pPr>
              <w:pStyle w:val="PKTpunkt0"/>
              <w:spacing w:line="240" w:lineRule="auto"/>
              <w:ind w:left="0" w:firstLine="0"/>
              <w:rPr>
                <w:rFonts w:ascii="Times New Roman" w:hAnsi="Times New Roman" w:cs="Times New Roman"/>
                <w:sz w:val="22"/>
                <w:szCs w:val="22"/>
                <w:lang w:eastAsia="en-US"/>
              </w:rPr>
            </w:pPr>
            <w:r w:rsidRPr="00317ABF">
              <w:rPr>
                <w:rFonts w:ascii="Times New Roman" w:hAnsi="Times New Roman" w:cs="Times New Roman"/>
                <w:sz w:val="22"/>
                <w:szCs w:val="22"/>
                <w:lang w:eastAsia="en-US"/>
              </w:rPr>
              <w:t xml:space="preserve">41) </w:t>
            </w:r>
            <w:r w:rsidR="007033FB" w:rsidRPr="00317ABF">
              <w:rPr>
                <w:rFonts w:ascii="Times New Roman" w:hAnsi="Times New Roman" w:cs="Times New Roman"/>
                <w:sz w:val="22"/>
                <w:szCs w:val="22"/>
                <w:lang w:eastAsia="en-US"/>
              </w:rPr>
              <w:t>przedsiębiorca komunikacji elektronicznej – przedsiębiorcę telekomunikacyjnego lub podmiot świadczący publicznie dostępną usługę komunikacji interpersonalnej niewykorzystującą numerów;</w:t>
            </w:r>
          </w:p>
          <w:p w14:paraId="07A20B5F" w14:textId="77777777" w:rsidR="007033FB" w:rsidRPr="00317ABF" w:rsidRDefault="007033FB" w:rsidP="00DB3BEC">
            <w:pPr>
              <w:pStyle w:val="PKTpunkt0"/>
              <w:spacing w:line="240" w:lineRule="auto"/>
              <w:ind w:left="0" w:firstLine="0"/>
              <w:rPr>
                <w:rFonts w:ascii="Times New Roman" w:hAnsi="Times New Roman" w:cs="Times New Roman"/>
                <w:sz w:val="22"/>
                <w:szCs w:val="22"/>
                <w:lang w:eastAsia="en-US"/>
              </w:rPr>
            </w:pPr>
          </w:p>
          <w:p w14:paraId="55F59257" w14:textId="5CFC2B92" w:rsidR="000D585C" w:rsidRPr="00317ABF" w:rsidRDefault="00257620" w:rsidP="000D585C">
            <w:pPr>
              <w:pStyle w:val="LITlitera"/>
              <w:spacing w:line="240" w:lineRule="auto"/>
              <w:ind w:left="0" w:firstLine="0"/>
              <w:rPr>
                <w:sz w:val="22"/>
                <w:szCs w:val="22"/>
              </w:rPr>
            </w:pPr>
            <w:r w:rsidRPr="00317ABF">
              <w:rPr>
                <w:sz w:val="22"/>
                <w:szCs w:val="22"/>
              </w:rPr>
              <w:t xml:space="preserve">42) </w:t>
            </w:r>
            <w:r w:rsidR="000D585C" w:rsidRPr="00317ABF">
              <w:rPr>
                <w:sz w:val="22"/>
                <w:szCs w:val="22"/>
              </w:rPr>
              <w:t>przedsiębiorca telekomunikacyjny – przedsiębiorcę lub inny podmiot uprawniony do wykonywania działalności gospodarczej na podstawie odrębnych przepisów, który wykonuje działalność gospodarczą polegającą na dostarczaniu publicznych sieci telekomunikacyjnej, świadczeniu powiązanych usług lub świadczeniu publicznie dostępnych usług telekomunikacyjnych, przy czym przedsiębiorca telekomunikacyjny, uprawniony do:</w:t>
            </w:r>
          </w:p>
          <w:p w14:paraId="34CE0A41" w14:textId="701BFC20" w:rsidR="001E1112" w:rsidRPr="00317ABF" w:rsidRDefault="000D585C" w:rsidP="000D585C">
            <w:pPr>
              <w:pStyle w:val="LITlitera"/>
              <w:spacing w:line="240" w:lineRule="auto"/>
              <w:ind w:left="0" w:firstLine="0"/>
              <w:rPr>
                <w:sz w:val="22"/>
                <w:szCs w:val="22"/>
              </w:rPr>
            </w:pPr>
            <w:r w:rsidRPr="00317ABF">
              <w:rPr>
                <w:sz w:val="22"/>
                <w:szCs w:val="22"/>
              </w:rPr>
              <w:t xml:space="preserve">a) </w:t>
            </w:r>
            <w:r w:rsidRPr="00317ABF">
              <w:rPr>
                <w:sz w:val="22"/>
                <w:szCs w:val="22"/>
              </w:rPr>
              <w:tab/>
              <w:t>świadczenia publicznie dostępnych usług telekomunikacyjnych, zwany jest „dostawcą usług telekomunikacyjnych”,</w:t>
            </w:r>
          </w:p>
        </w:tc>
      </w:tr>
      <w:tr w:rsidR="001E1112" w:rsidRPr="00317ABF" w14:paraId="4E0842F1" w14:textId="77777777" w:rsidTr="7753F98D">
        <w:trPr>
          <w:gridAfter w:val="2"/>
          <w:wAfter w:w="175" w:type="dxa"/>
        </w:trPr>
        <w:tc>
          <w:tcPr>
            <w:tcW w:w="704" w:type="dxa"/>
          </w:tcPr>
          <w:p w14:paraId="770D8B09" w14:textId="77777777" w:rsidR="001E1112" w:rsidRPr="00317ABF" w:rsidRDefault="001E1112" w:rsidP="00DB3BEC">
            <w:pPr>
              <w:jc w:val="both"/>
              <w:rPr>
                <w:sz w:val="22"/>
                <w:szCs w:val="22"/>
              </w:rPr>
            </w:pPr>
            <w:r w:rsidRPr="00317ABF">
              <w:rPr>
                <w:sz w:val="22"/>
                <w:szCs w:val="22"/>
              </w:rPr>
              <w:lastRenderedPageBreak/>
              <w:t>Art. 2 pkt 5</w:t>
            </w:r>
          </w:p>
        </w:tc>
        <w:tc>
          <w:tcPr>
            <w:tcW w:w="4308" w:type="dxa"/>
          </w:tcPr>
          <w:p w14:paraId="16A75529" w14:textId="77777777" w:rsidR="001E1112" w:rsidRPr="00317ABF" w:rsidRDefault="001E1112" w:rsidP="00DB3BEC">
            <w:pPr>
              <w:autoSpaceDE w:val="0"/>
              <w:autoSpaceDN w:val="0"/>
              <w:adjustRightInd w:val="0"/>
              <w:jc w:val="both"/>
              <w:rPr>
                <w:rFonts w:eastAsia="EUAlbertina-Regular-Identity-H"/>
                <w:sz w:val="22"/>
                <w:szCs w:val="22"/>
              </w:rPr>
            </w:pPr>
            <w:r w:rsidRPr="00317ABF">
              <w:rPr>
                <w:sz w:val="22"/>
                <w:szCs w:val="22"/>
              </w:rPr>
              <w:t xml:space="preserve">„usługa łączności interpersonalnej” oznacza usługę zazwyczaj świadczoną za wynagrodzeniem, która umożliwia bezpośrednią interpersonalną i interaktywną wymianę informacji za pośrednictwem sieci łączności elektronicznej między skończoną liczbą osób, w ramach której osoby inicjujące </w:t>
            </w:r>
            <w:r w:rsidRPr="00317ABF">
              <w:rPr>
                <w:sz w:val="22"/>
                <w:szCs w:val="22"/>
              </w:rPr>
              <w:lastRenderedPageBreak/>
              <w:t>połączenie lub uczestniczące w nim decydują o jego odbiorcy lub odbiorcach, natomiast nie obejmuje ona usług, które umożliwiają interpersonalną i interaktywną komunikację wyłącznie jako podrzędną funkcję dodatkową, która jest nieodłącznie związana z inną usługą;</w:t>
            </w:r>
          </w:p>
        </w:tc>
        <w:tc>
          <w:tcPr>
            <w:tcW w:w="986" w:type="dxa"/>
          </w:tcPr>
          <w:p w14:paraId="62EBF3C5" w14:textId="7ACB4478" w:rsidR="001E1112" w:rsidRPr="00317ABF" w:rsidRDefault="001E1112" w:rsidP="00DB3BEC">
            <w:pPr>
              <w:jc w:val="both"/>
              <w:rPr>
                <w:sz w:val="22"/>
                <w:szCs w:val="22"/>
              </w:rPr>
            </w:pPr>
            <w:r w:rsidRPr="00317ABF">
              <w:rPr>
                <w:sz w:val="22"/>
                <w:szCs w:val="22"/>
              </w:rPr>
              <w:lastRenderedPageBreak/>
              <w:t>T</w:t>
            </w:r>
          </w:p>
        </w:tc>
        <w:tc>
          <w:tcPr>
            <w:tcW w:w="910" w:type="dxa"/>
          </w:tcPr>
          <w:p w14:paraId="6D98A12B" w14:textId="53E8E5D8" w:rsidR="001E1112" w:rsidRPr="00317ABF" w:rsidRDefault="00B61307" w:rsidP="00B61307">
            <w:pPr>
              <w:pStyle w:val="Tekstpodstawowy"/>
              <w:rPr>
                <w:b/>
                <w:bCs/>
                <w:noProof/>
                <w:sz w:val="22"/>
                <w:szCs w:val="22"/>
              </w:rPr>
            </w:pPr>
            <w:r w:rsidRPr="00317ABF">
              <w:rPr>
                <w:b/>
                <w:bCs/>
                <w:noProof/>
                <w:sz w:val="22"/>
                <w:szCs w:val="22"/>
              </w:rPr>
              <w:t>Art. 2 pkt 79</w:t>
            </w:r>
            <w:r w:rsidR="001E1112" w:rsidRPr="00317ABF">
              <w:rPr>
                <w:b/>
                <w:bCs/>
                <w:noProof/>
                <w:sz w:val="22"/>
                <w:szCs w:val="22"/>
              </w:rPr>
              <w:t xml:space="preserve"> i pkt 4</w:t>
            </w:r>
            <w:r w:rsidRPr="00317ABF">
              <w:rPr>
                <w:b/>
                <w:bCs/>
                <w:noProof/>
                <w:sz w:val="22"/>
                <w:szCs w:val="22"/>
              </w:rPr>
              <w:t>6</w:t>
            </w:r>
          </w:p>
        </w:tc>
        <w:tc>
          <w:tcPr>
            <w:tcW w:w="6814" w:type="dxa"/>
            <w:gridSpan w:val="2"/>
          </w:tcPr>
          <w:p w14:paraId="403FA572" w14:textId="3526B77D" w:rsidR="00B61307" w:rsidRPr="00317ABF" w:rsidRDefault="00B61307" w:rsidP="00B61307">
            <w:pPr>
              <w:jc w:val="both"/>
              <w:rPr>
                <w:bCs/>
                <w:sz w:val="22"/>
                <w:szCs w:val="22"/>
              </w:rPr>
            </w:pPr>
            <w:r w:rsidRPr="00317ABF">
              <w:rPr>
                <w:bCs/>
                <w:sz w:val="22"/>
                <w:szCs w:val="22"/>
              </w:rPr>
              <w:t>usługa komunikacji interpersonalnej – usługę umożliwiającą bezpośrednią interpersonalną i interaktywną wymianę informacji za pośrednictwem sieci telekomunikacyjnej między skończoną liczbą osób, gdzie osoby inicjujące połączenie lub uczestniczące w nim decydują o jego odbiorcy lub odbiorcach, z wyłączeniem usług, w których interpersonalna i interaktywna komunikacja stanowi wyłącznie funkcję podrzędną względem innej usługi podstawowej, w tym usługę, która:</w:t>
            </w:r>
          </w:p>
          <w:p w14:paraId="64BAF036" w14:textId="77777777" w:rsidR="00B61307" w:rsidRPr="00317ABF" w:rsidRDefault="00B61307" w:rsidP="00B61307">
            <w:pPr>
              <w:jc w:val="both"/>
              <w:rPr>
                <w:bCs/>
                <w:sz w:val="22"/>
                <w:szCs w:val="22"/>
              </w:rPr>
            </w:pPr>
            <w:r w:rsidRPr="00317ABF">
              <w:rPr>
                <w:bCs/>
                <w:sz w:val="22"/>
                <w:szCs w:val="22"/>
              </w:rPr>
              <w:lastRenderedPageBreak/>
              <w:t xml:space="preserve">a) </w:t>
            </w:r>
            <w:r w:rsidRPr="00317ABF">
              <w:rPr>
                <w:bCs/>
                <w:sz w:val="22"/>
                <w:szCs w:val="22"/>
              </w:rPr>
              <w:tab/>
              <w:t>umożliwia realizację połączeń z numerami z planu numeracji krajowej lub międzynarodowych planów numeracji, zwaną „usługą komunikacji interpersonalnej wykorzystującą numery”,</w:t>
            </w:r>
          </w:p>
          <w:p w14:paraId="729E33BC" w14:textId="77777777" w:rsidR="00B61307" w:rsidRPr="00317ABF" w:rsidRDefault="00B61307" w:rsidP="00B61307">
            <w:pPr>
              <w:jc w:val="both"/>
              <w:rPr>
                <w:bCs/>
                <w:sz w:val="22"/>
                <w:szCs w:val="22"/>
              </w:rPr>
            </w:pPr>
            <w:r w:rsidRPr="00317ABF">
              <w:rPr>
                <w:bCs/>
                <w:sz w:val="22"/>
                <w:szCs w:val="22"/>
              </w:rPr>
              <w:t xml:space="preserve">b) </w:t>
            </w:r>
            <w:r w:rsidRPr="00317ABF">
              <w:rPr>
                <w:bCs/>
                <w:sz w:val="22"/>
                <w:szCs w:val="22"/>
              </w:rPr>
              <w:tab/>
              <w:t>nie umożliwia realizacji połączeń z numerami z planu numeracji krajowej lub międzynarodowych planów numeracji, zwaną „usługą komunikacji interpersonalnej niewykorzystującą numerów”;</w:t>
            </w:r>
          </w:p>
          <w:p w14:paraId="748ABC75" w14:textId="6632D6E9" w:rsidR="001E1112" w:rsidRPr="00317ABF" w:rsidRDefault="001E1112" w:rsidP="00DB3BEC">
            <w:pPr>
              <w:jc w:val="both"/>
              <w:rPr>
                <w:sz w:val="22"/>
                <w:szCs w:val="22"/>
              </w:rPr>
            </w:pPr>
          </w:p>
          <w:p w14:paraId="39BA897F" w14:textId="68AE733D" w:rsidR="001E1112" w:rsidRPr="00317ABF" w:rsidRDefault="00B61307" w:rsidP="00B61307">
            <w:pPr>
              <w:jc w:val="both"/>
              <w:rPr>
                <w:bCs/>
                <w:sz w:val="22"/>
                <w:szCs w:val="22"/>
              </w:rPr>
            </w:pPr>
            <w:r w:rsidRPr="00317ABF">
              <w:rPr>
                <w:bCs/>
                <w:sz w:val="22"/>
                <w:szCs w:val="22"/>
              </w:rPr>
              <w:t>publicznie dostępna usługa komunikacji interpersonalnej – usługę komunikacji interpersonalnej dostępną dla ogółu użytkowników;</w:t>
            </w:r>
          </w:p>
        </w:tc>
      </w:tr>
      <w:tr w:rsidR="001E1112" w:rsidRPr="00317ABF" w14:paraId="675E6000" w14:textId="77777777" w:rsidTr="7753F98D">
        <w:trPr>
          <w:gridAfter w:val="2"/>
          <w:wAfter w:w="175" w:type="dxa"/>
        </w:trPr>
        <w:tc>
          <w:tcPr>
            <w:tcW w:w="704" w:type="dxa"/>
          </w:tcPr>
          <w:p w14:paraId="26BDE5F8" w14:textId="77777777" w:rsidR="001E1112" w:rsidRPr="00317ABF" w:rsidRDefault="001E1112" w:rsidP="00DB3BEC">
            <w:pPr>
              <w:jc w:val="both"/>
              <w:rPr>
                <w:sz w:val="22"/>
                <w:szCs w:val="22"/>
              </w:rPr>
            </w:pPr>
            <w:r w:rsidRPr="00317ABF">
              <w:rPr>
                <w:sz w:val="22"/>
                <w:szCs w:val="22"/>
              </w:rPr>
              <w:lastRenderedPageBreak/>
              <w:t>Art. 2 pkt 6</w:t>
            </w:r>
          </w:p>
        </w:tc>
        <w:tc>
          <w:tcPr>
            <w:tcW w:w="4308" w:type="dxa"/>
          </w:tcPr>
          <w:p w14:paraId="242C3340" w14:textId="77777777" w:rsidR="001E1112" w:rsidRPr="00317ABF" w:rsidRDefault="001E1112" w:rsidP="00DB3BEC">
            <w:pPr>
              <w:autoSpaceDE w:val="0"/>
              <w:autoSpaceDN w:val="0"/>
              <w:adjustRightInd w:val="0"/>
              <w:jc w:val="both"/>
              <w:rPr>
                <w:rFonts w:eastAsia="EUAlbertina-Regular-Identity-H"/>
                <w:sz w:val="22"/>
                <w:szCs w:val="22"/>
              </w:rPr>
            </w:pPr>
            <w:r w:rsidRPr="00317ABF">
              <w:rPr>
                <w:sz w:val="22"/>
                <w:szCs w:val="22"/>
              </w:rPr>
              <w:t>„usługa łączności interpersonalnej wykorzystująca numery” oznacza usługę łączności interpersonalnej, która pozwala połączyć się z publicznie nadanymi zasobami numeracyjnymi, mianowicie numerem lub numerami z krajowych lub międzynarodowych planów numeracji, albo która umożliwia połączenia z numerem lub numerami z krajowych lub międzynarodowych planów numeracji;</w:t>
            </w:r>
          </w:p>
        </w:tc>
        <w:tc>
          <w:tcPr>
            <w:tcW w:w="986" w:type="dxa"/>
          </w:tcPr>
          <w:p w14:paraId="5997CC1D" w14:textId="6423185E" w:rsidR="001E1112" w:rsidRPr="00317ABF" w:rsidRDefault="001E1112" w:rsidP="00DB3BEC">
            <w:pPr>
              <w:jc w:val="both"/>
              <w:rPr>
                <w:sz w:val="22"/>
                <w:szCs w:val="22"/>
              </w:rPr>
            </w:pPr>
            <w:r w:rsidRPr="00317ABF">
              <w:rPr>
                <w:sz w:val="22"/>
                <w:szCs w:val="22"/>
              </w:rPr>
              <w:t>T</w:t>
            </w:r>
          </w:p>
        </w:tc>
        <w:tc>
          <w:tcPr>
            <w:tcW w:w="910" w:type="dxa"/>
          </w:tcPr>
          <w:p w14:paraId="110FFD37" w14:textId="47AD52BB" w:rsidR="001E1112" w:rsidRPr="00317ABF" w:rsidRDefault="00B61307" w:rsidP="00DB3BEC">
            <w:pPr>
              <w:pStyle w:val="Tekstpodstawowy"/>
              <w:rPr>
                <w:b/>
                <w:noProof/>
                <w:sz w:val="22"/>
                <w:szCs w:val="22"/>
              </w:rPr>
            </w:pPr>
            <w:r w:rsidRPr="00317ABF">
              <w:rPr>
                <w:b/>
                <w:noProof/>
                <w:sz w:val="22"/>
                <w:szCs w:val="22"/>
              </w:rPr>
              <w:t>Art. 2 pkt 79</w:t>
            </w:r>
            <w:r w:rsidR="001E1112" w:rsidRPr="00317ABF">
              <w:rPr>
                <w:b/>
                <w:noProof/>
                <w:sz w:val="22"/>
                <w:szCs w:val="22"/>
              </w:rPr>
              <w:t xml:space="preserve"> lit a</w:t>
            </w:r>
          </w:p>
        </w:tc>
        <w:tc>
          <w:tcPr>
            <w:tcW w:w="6814" w:type="dxa"/>
            <w:gridSpan w:val="2"/>
          </w:tcPr>
          <w:p w14:paraId="062CB875" w14:textId="59B7DCB4" w:rsidR="00B61307" w:rsidRPr="00317ABF" w:rsidRDefault="00B61307" w:rsidP="00B61307">
            <w:pPr>
              <w:jc w:val="both"/>
              <w:rPr>
                <w:bCs/>
                <w:sz w:val="22"/>
                <w:szCs w:val="22"/>
              </w:rPr>
            </w:pPr>
            <w:r w:rsidRPr="00317ABF">
              <w:rPr>
                <w:bCs/>
                <w:sz w:val="22"/>
                <w:szCs w:val="22"/>
              </w:rPr>
              <w:t>usługa komunikacji interpersonalnej – usługę umożliwiającą bezpośrednią interpersonalną i interaktywną wymianę informacji za pośrednictwem sieci telekomunikacyjnej między skończoną liczbą osób, gdzie osoby inicjujące połączenie lub uczestniczące w nim decydują o jego odbiorcy lub odbiorcach, z wyłączeniem usług, w których interpersonalna i interaktywna komunikacja stanowi wyłącznie funkcję podrzędną względem innej usługi podstawowej, w tym usługę, która:</w:t>
            </w:r>
          </w:p>
          <w:p w14:paraId="44AE66B7" w14:textId="0A2FA0D9" w:rsidR="001E1112" w:rsidRPr="00317ABF" w:rsidRDefault="00B61307" w:rsidP="00B61307">
            <w:pPr>
              <w:jc w:val="both"/>
              <w:rPr>
                <w:bCs/>
                <w:sz w:val="22"/>
                <w:szCs w:val="22"/>
              </w:rPr>
            </w:pPr>
            <w:r w:rsidRPr="00317ABF">
              <w:rPr>
                <w:bCs/>
                <w:sz w:val="22"/>
                <w:szCs w:val="22"/>
              </w:rPr>
              <w:t>a)</w:t>
            </w:r>
            <w:r w:rsidR="008D1B84" w:rsidRPr="00317ABF">
              <w:rPr>
                <w:bCs/>
                <w:sz w:val="22"/>
                <w:szCs w:val="22"/>
              </w:rPr>
              <w:t xml:space="preserve"> </w:t>
            </w:r>
            <w:r w:rsidRPr="00317ABF">
              <w:rPr>
                <w:bCs/>
                <w:sz w:val="22"/>
                <w:szCs w:val="22"/>
              </w:rPr>
              <w:t>umożliwia realizację połączeń z numerami z planu numeracji krajowej lub międzynarodowych planów numeracji, zwaną „usługą komunikacji interpersonalnej wykorzystującą numery,</w:t>
            </w:r>
          </w:p>
          <w:p w14:paraId="6B699379" w14:textId="74B5A65A" w:rsidR="00B61307" w:rsidRPr="00317ABF" w:rsidRDefault="00B61307" w:rsidP="00B61307">
            <w:pPr>
              <w:jc w:val="both"/>
              <w:rPr>
                <w:bCs/>
                <w:sz w:val="22"/>
                <w:szCs w:val="22"/>
              </w:rPr>
            </w:pPr>
            <w:r w:rsidRPr="00317ABF">
              <w:rPr>
                <w:bCs/>
                <w:sz w:val="22"/>
                <w:szCs w:val="22"/>
              </w:rPr>
              <w:t xml:space="preserve">b) (…) </w:t>
            </w:r>
          </w:p>
        </w:tc>
      </w:tr>
      <w:tr w:rsidR="001E1112" w:rsidRPr="00317ABF" w14:paraId="4C2FC90A" w14:textId="77777777" w:rsidTr="7753F98D">
        <w:trPr>
          <w:gridAfter w:val="2"/>
          <w:wAfter w:w="175" w:type="dxa"/>
        </w:trPr>
        <w:tc>
          <w:tcPr>
            <w:tcW w:w="704" w:type="dxa"/>
          </w:tcPr>
          <w:p w14:paraId="345B35AE" w14:textId="71A74149" w:rsidR="001E1112" w:rsidRPr="00317ABF" w:rsidRDefault="001E1112" w:rsidP="00DB3BEC">
            <w:pPr>
              <w:jc w:val="both"/>
              <w:rPr>
                <w:sz w:val="22"/>
                <w:szCs w:val="22"/>
              </w:rPr>
            </w:pPr>
            <w:r w:rsidRPr="00317ABF">
              <w:rPr>
                <w:sz w:val="22"/>
                <w:szCs w:val="22"/>
              </w:rPr>
              <w:t>Art. 2 pkt 7</w:t>
            </w:r>
          </w:p>
        </w:tc>
        <w:tc>
          <w:tcPr>
            <w:tcW w:w="4308" w:type="dxa"/>
          </w:tcPr>
          <w:p w14:paraId="314DBA8C" w14:textId="77777777" w:rsidR="001E1112" w:rsidRPr="00317ABF" w:rsidRDefault="001E1112" w:rsidP="00DB3BEC">
            <w:pPr>
              <w:autoSpaceDE w:val="0"/>
              <w:autoSpaceDN w:val="0"/>
              <w:adjustRightInd w:val="0"/>
              <w:jc w:val="both"/>
              <w:rPr>
                <w:rFonts w:eastAsia="EUAlbertina-Regular-Identity-H"/>
                <w:sz w:val="22"/>
                <w:szCs w:val="22"/>
              </w:rPr>
            </w:pPr>
            <w:r w:rsidRPr="00317ABF">
              <w:rPr>
                <w:sz w:val="22"/>
                <w:szCs w:val="22"/>
              </w:rPr>
              <w:t>„usługa łączności interpersonalnej niewykorzystująca numerów” oznacza usługę łączności interpersonalnej, która nie łączy się z publicznie nadanymi zasobami numeracyjnymi, mianowicie numerem lub numerami z krajowych lub międzynarodowych planów numeracji, ani nie umożliwia połączenia z numerem lub numerami z krajowych lub międzynarodowych planów numeracji;</w:t>
            </w:r>
          </w:p>
        </w:tc>
        <w:tc>
          <w:tcPr>
            <w:tcW w:w="986" w:type="dxa"/>
          </w:tcPr>
          <w:p w14:paraId="3FE9F23F" w14:textId="3527EC65" w:rsidR="001E1112" w:rsidRPr="00317ABF" w:rsidRDefault="001E1112" w:rsidP="00DB3BEC">
            <w:pPr>
              <w:jc w:val="both"/>
              <w:rPr>
                <w:sz w:val="22"/>
                <w:szCs w:val="22"/>
              </w:rPr>
            </w:pPr>
            <w:r w:rsidRPr="00317ABF">
              <w:rPr>
                <w:sz w:val="22"/>
                <w:szCs w:val="22"/>
              </w:rPr>
              <w:t>T</w:t>
            </w:r>
          </w:p>
        </w:tc>
        <w:tc>
          <w:tcPr>
            <w:tcW w:w="910" w:type="dxa"/>
          </w:tcPr>
          <w:p w14:paraId="1F72F646" w14:textId="513514D3" w:rsidR="001E1112" w:rsidRPr="00317ABF" w:rsidRDefault="00B61307" w:rsidP="00DB3BEC">
            <w:pPr>
              <w:pStyle w:val="Tekstpodstawowy"/>
              <w:rPr>
                <w:b/>
                <w:noProof/>
                <w:sz w:val="22"/>
                <w:szCs w:val="22"/>
              </w:rPr>
            </w:pPr>
            <w:r w:rsidRPr="00317ABF">
              <w:rPr>
                <w:b/>
                <w:noProof/>
                <w:sz w:val="22"/>
                <w:szCs w:val="22"/>
              </w:rPr>
              <w:t>Art. 2 pkt 79</w:t>
            </w:r>
            <w:r w:rsidR="001E1112" w:rsidRPr="00317ABF">
              <w:rPr>
                <w:b/>
                <w:noProof/>
                <w:sz w:val="22"/>
                <w:szCs w:val="22"/>
              </w:rPr>
              <w:t xml:space="preserve"> lit b</w:t>
            </w:r>
          </w:p>
        </w:tc>
        <w:tc>
          <w:tcPr>
            <w:tcW w:w="6814" w:type="dxa"/>
            <w:gridSpan w:val="2"/>
          </w:tcPr>
          <w:p w14:paraId="4EE9888D" w14:textId="70A1B0E7" w:rsidR="00B61307" w:rsidRPr="00317ABF" w:rsidRDefault="00B61307" w:rsidP="00B61307">
            <w:pPr>
              <w:jc w:val="both"/>
              <w:rPr>
                <w:bCs/>
                <w:sz w:val="22"/>
                <w:szCs w:val="22"/>
              </w:rPr>
            </w:pPr>
            <w:r w:rsidRPr="00317ABF">
              <w:rPr>
                <w:bCs/>
                <w:sz w:val="22"/>
                <w:szCs w:val="22"/>
              </w:rPr>
              <w:t>usługa komunikacji interpersonalnej – usługę umożliwiającą bezpośrednią interpersonalną i interaktywną wymianę informacji za pośrednictwem sieci telekomunikacyjnej między skończoną liczbą osób, gdzie osoby inicjujące połączenie lub uczestniczące w nim decydują o jego odbiorcy lub odbiorcach, z wyłączeniem usług, w których interpersonalna i interaktywna komunikacja stanowi wyłącznie funkcję podrzędną względem innej usługi podstawowej, w tym usługę, która:</w:t>
            </w:r>
          </w:p>
          <w:p w14:paraId="7905A657" w14:textId="57DC8A1A" w:rsidR="001E1112" w:rsidRPr="00317ABF" w:rsidRDefault="001E1112" w:rsidP="00DB3BEC">
            <w:pPr>
              <w:jc w:val="both"/>
              <w:rPr>
                <w:sz w:val="22"/>
                <w:szCs w:val="22"/>
              </w:rPr>
            </w:pPr>
            <w:r w:rsidRPr="00317ABF">
              <w:rPr>
                <w:sz w:val="22"/>
                <w:szCs w:val="22"/>
              </w:rPr>
              <w:t xml:space="preserve">a) (…) </w:t>
            </w:r>
          </w:p>
          <w:p w14:paraId="08CE6F91" w14:textId="4E150AE3" w:rsidR="001E1112" w:rsidRPr="00317ABF" w:rsidRDefault="008F62D5" w:rsidP="008F62D5">
            <w:pPr>
              <w:jc w:val="both"/>
              <w:rPr>
                <w:bCs/>
                <w:sz w:val="22"/>
                <w:szCs w:val="22"/>
              </w:rPr>
            </w:pPr>
            <w:r w:rsidRPr="00317ABF">
              <w:rPr>
                <w:bCs/>
                <w:sz w:val="22"/>
                <w:szCs w:val="22"/>
              </w:rPr>
              <w:t>b) nie umożliwia realizacji połączeń z numerami z planu numeracji krajowej lub międzynarodowych planów numeracji, zwaną „usługą komunikacji interpersonalnej niewykorzystującą numerów”;</w:t>
            </w:r>
          </w:p>
        </w:tc>
      </w:tr>
      <w:tr w:rsidR="001E1112" w:rsidRPr="00317ABF" w14:paraId="22843901" w14:textId="77777777" w:rsidTr="7753F98D">
        <w:trPr>
          <w:gridAfter w:val="2"/>
          <w:wAfter w:w="175" w:type="dxa"/>
        </w:trPr>
        <w:tc>
          <w:tcPr>
            <w:tcW w:w="704" w:type="dxa"/>
          </w:tcPr>
          <w:p w14:paraId="4FF61DFB" w14:textId="70285D11" w:rsidR="001E1112" w:rsidRPr="00317ABF" w:rsidRDefault="001E1112" w:rsidP="00DB3BEC">
            <w:pPr>
              <w:jc w:val="both"/>
              <w:rPr>
                <w:sz w:val="22"/>
                <w:szCs w:val="22"/>
              </w:rPr>
            </w:pPr>
            <w:r w:rsidRPr="00317ABF">
              <w:rPr>
                <w:sz w:val="22"/>
                <w:szCs w:val="22"/>
              </w:rPr>
              <w:t>Art. 2 pkt 8</w:t>
            </w:r>
          </w:p>
        </w:tc>
        <w:tc>
          <w:tcPr>
            <w:tcW w:w="4308" w:type="dxa"/>
          </w:tcPr>
          <w:p w14:paraId="0B08C32D" w14:textId="77777777" w:rsidR="001E1112" w:rsidRPr="00317ABF" w:rsidRDefault="001E1112" w:rsidP="00DB3BEC">
            <w:pPr>
              <w:autoSpaceDE w:val="0"/>
              <w:autoSpaceDN w:val="0"/>
              <w:adjustRightInd w:val="0"/>
              <w:jc w:val="both"/>
              <w:rPr>
                <w:rFonts w:eastAsia="EUAlbertina-Regular-Identity-H"/>
                <w:sz w:val="22"/>
                <w:szCs w:val="22"/>
              </w:rPr>
            </w:pPr>
            <w:r w:rsidRPr="00317ABF">
              <w:rPr>
                <w:sz w:val="22"/>
                <w:szCs w:val="22"/>
              </w:rPr>
              <w:t>„publiczna sieć łączności elektronicznej” oznacza sieć łączności elektronicznej wykorzystywaną całkowicie lub głównie do świadczenia publicznie dostępnych usług łączności elektronicznej, które wspierają przekazywanie informacji pomiędzy punktami zakończenia sieci;</w:t>
            </w:r>
          </w:p>
        </w:tc>
        <w:tc>
          <w:tcPr>
            <w:tcW w:w="986" w:type="dxa"/>
          </w:tcPr>
          <w:p w14:paraId="61CDCEAD" w14:textId="3CFF751A" w:rsidR="001E1112" w:rsidRPr="00317ABF" w:rsidRDefault="001E1112" w:rsidP="00DB3BEC">
            <w:pPr>
              <w:jc w:val="both"/>
              <w:rPr>
                <w:sz w:val="22"/>
                <w:szCs w:val="22"/>
              </w:rPr>
            </w:pPr>
            <w:r w:rsidRPr="00317ABF">
              <w:rPr>
                <w:sz w:val="22"/>
                <w:szCs w:val="22"/>
              </w:rPr>
              <w:t>T</w:t>
            </w:r>
          </w:p>
        </w:tc>
        <w:tc>
          <w:tcPr>
            <w:tcW w:w="910" w:type="dxa"/>
          </w:tcPr>
          <w:p w14:paraId="6BB9E253" w14:textId="16AAB59C" w:rsidR="001E1112" w:rsidRPr="00317ABF" w:rsidRDefault="001E1112" w:rsidP="00DB3BEC">
            <w:pPr>
              <w:pStyle w:val="Tekstpodstawowy"/>
              <w:rPr>
                <w:b/>
                <w:noProof/>
                <w:sz w:val="22"/>
                <w:szCs w:val="22"/>
              </w:rPr>
            </w:pPr>
            <w:r w:rsidRPr="00317ABF">
              <w:rPr>
                <w:b/>
                <w:noProof/>
                <w:sz w:val="22"/>
                <w:szCs w:val="22"/>
              </w:rPr>
              <w:t xml:space="preserve">Art. 2 pkt </w:t>
            </w:r>
            <w:r w:rsidR="00480A22" w:rsidRPr="00317ABF">
              <w:rPr>
                <w:b/>
                <w:noProof/>
                <w:sz w:val="22"/>
                <w:szCs w:val="22"/>
              </w:rPr>
              <w:t>44</w:t>
            </w:r>
          </w:p>
        </w:tc>
        <w:tc>
          <w:tcPr>
            <w:tcW w:w="6814" w:type="dxa"/>
            <w:gridSpan w:val="2"/>
          </w:tcPr>
          <w:p w14:paraId="7C81931D" w14:textId="77777777" w:rsidR="00480A22" w:rsidRPr="00317ABF" w:rsidRDefault="001E1112" w:rsidP="00480A22">
            <w:pPr>
              <w:pStyle w:val="PKTpunkt0"/>
              <w:spacing w:line="240" w:lineRule="auto"/>
              <w:ind w:left="-37" w:firstLine="37"/>
              <w:rPr>
                <w:rFonts w:ascii="Times New Roman" w:hAnsi="Times New Roman" w:cs="Times New Roman"/>
                <w:bCs w:val="0"/>
                <w:sz w:val="22"/>
                <w:szCs w:val="22"/>
                <w:lang w:eastAsia="en-US"/>
              </w:rPr>
            </w:pPr>
            <w:r w:rsidRPr="00317ABF">
              <w:rPr>
                <w:rFonts w:ascii="Times New Roman" w:hAnsi="Times New Roman" w:cs="Times New Roman"/>
                <w:sz w:val="22"/>
                <w:szCs w:val="22"/>
                <w:lang w:eastAsia="en-US"/>
              </w:rPr>
              <w:t>publiczna sieć telekomunikacyjna – sieć telekomunikacyjną wykorzystywaną głównie do świadczenia publicznie dostępnych usług telekomunikacyjnych;</w:t>
            </w:r>
          </w:p>
          <w:p w14:paraId="23DE523C" w14:textId="41922DCD" w:rsidR="001E1112" w:rsidRPr="00317ABF" w:rsidRDefault="001E1112" w:rsidP="00DB3BEC">
            <w:pPr>
              <w:jc w:val="both"/>
              <w:rPr>
                <w:sz w:val="22"/>
                <w:szCs w:val="22"/>
              </w:rPr>
            </w:pPr>
          </w:p>
        </w:tc>
      </w:tr>
      <w:tr w:rsidR="001E1112" w:rsidRPr="00317ABF" w14:paraId="153117B5" w14:textId="77777777" w:rsidTr="7753F98D">
        <w:trPr>
          <w:gridAfter w:val="2"/>
          <w:wAfter w:w="175" w:type="dxa"/>
        </w:trPr>
        <w:tc>
          <w:tcPr>
            <w:tcW w:w="704" w:type="dxa"/>
          </w:tcPr>
          <w:p w14:paraId="5FAF0752" w14:textId="77777777" w:rsidR="001E1112" w:rsidRPr="00317ABF" w:rsidRDefault="001E1112" w:rsidP="00DB3BEC">
            <w:pPr>
              <w:jc w:val="both"/>
              <w:rPr>
                <w:sz w:val="22"/>
                <w:szCs w:val="22"/>
              </w:rPr>
            </w:pPr>
            <w:r w:rsidRPr="00317ABF">
              <w:rPr>
                <w:sz w:val="22"/>
                <w:szCs w:val="22"/>
              </w:rPr>
              <w:lastRenderedPageBreak/>
              <w:t>Art. 2 pkt 9</w:t>
            </w:r>
          </w:p>
        </w:tc>
        <w:tc>
          <w:tcPr>
            <w:tcW w:w="4308" w:type="dxa"/>
          </w:tcPr>
          <w:p w14:paraId="3DBCD3E5" w14:textId="77777777" w:rsidR="001E1112" w:rsidRPr="00317ABF" w:rsidRDefault="001E1112" w:rsidP="00DB3BEC">
            <w:pPr>
              <w:spacing w:before="120"/>
              <w:jc w:val="both"/>
              <w:rPr>
                <w:sz w:val="22"/>
                <w:szCs w:val="22"/>
              </w:rPr>
            </w:pPr>
            <w:r w:rsidRPr="00317ABF">
              <w:rPr>
                <w:sz w:val="22"/>
                <w:szCs w:val="22"/>
              </w:rPr>
              <w:t>„punkt zakończenia sieci” oznacza fizyczne miejsce, w którym użytkownik końcowy otrzymuje dostęp do publicznej sieci łączności elektronicznej i które w przypadku sieci stosujących przełączanie lub przekierowywanie identyfikuje się za pomocą konkretnego adresu sieciowego i może być łączone z numerem lub nazwiskiem użytkownika końcowego;</w:t>
            </w:r>
          </w:p>
        </w:tc>
        <w:tc>
          <w:tcPr>
            <w:tcW w:w="986" w:type="dxa"/>
          </w:tcPr>
          <w:p w14:paraId="52E56223" w14:textId="62743EB8" w:rsidR="001E1112" w:rsidRPr="00317ABF" w:rsidRDefault="001E1112" w:rsidP="00DB3BEC">
            <w:pPr>
              <w:jc w:val="both"/>
              <w:rPr>
                <w:sz w:val="22"/>
                <w:szCs w:val="22"/>
              </w:rPr>
            </w:pPr>
            <w:r w:rsidRPr="00317ABF">
              <w:rPr>
                <w:sz w:val="22"/>
                <w:szCs w:val="22"/>
              </w:rPr>
              <w:t>T</w:t>
            </w:r>
          </w:p>
        </w:tc>
        <w:tc>
          <w:tcPr>
            <w:tcW w:w="910" w:type="dxa"/>
          </w:tcPr>
          <w:p w14:paraId="07547A01" w14:textId="08D283DA" w:rsidR="001E1112" w:rsidRPr="00317ABF" w:rsidRDefault="00CC5CB3" w:rsidP="00DB3BEC">
            <w:pPr>
              <w:pStyle w:val="Tekstpodstawowy"/>
              <w:rPr>
                <w:b/>
                <w:noProof/>
                <w:sz w:val="22"/>
                <w:szCs w:val="22"/>
              </w:rPr>
            </w:pPr>
            <w:r w:rsidRPr="00317ABF">
              <w:rPr>
                <w:b/>
                <w:noProof/>
                <w:sz w:val="22"/>
                <w:szCs w:val="22"/>
              </w:rPr>
              <w:t>Art. 2 pkt 89</w:t>
            </w:r>
          </w:p>
        </w:tc>
        <w:tc>
          <w:tcPr>
            <w:tcW w:w="6814" w:type="dxa"/>
            <w:gridSpan w:val="2"/>
          </w:tcPr>
          <w:p w14:paraId="5043CB0F" w14:textId="2F6E75CA" w:rsidR="001E1112" w:rsidRPr="00317ABF" w:rsidRDefault="001E1112" w:rsidP="00DB3BEC">
            <w:pPr>
              <w:pStyle w:val="Tekstpodstawowy"/>
              <w:rPr>
                <w:sz w:val="22"/>
                <w:szCs w:val="22"/>
              </w:rPr>
            </w:pPr>
            <w:r w:rsidRPr="00317ABF">
              <w:rPr>
                <w:sz w:val="22"/>
                <w:szCs w:val="22"/>
              </w:rPr>
              <w:t>zakończenie sieci – fizyczny punkt, w którym abonent otrzymuje dostęp do publicznej sieci telekomunikacyjnej; w przypadku sieci stosujących komutację lub przekierowywanie, zakończenie sieci identyfikuje się za pomocą konkretnego adresu sieciowego, który może być przypisany do numeru lub nazwy abonenta;</w:t>
            </w:r>
          </w:p>
        </w:tc>
      </w:tr>
      <w:tr w:rsidR="001E1112" w:rsidRPr="00317ABF" w14:paraId="564D93AA" w14:textId="77777777" w:rsidTr="7753F98D">
        <w:trPr>
          <w:gridAfter w:val="2"/>
          <w:wAfter w:w="175" w:type="dxa"/>
        </w:trPr>
        <w:tc>
          <w:tcPr>
            <w:tcW w:w="704" w:type="dxa"/>
          </w:tcPr>
          <w:p w14:paraId="4A87645D" w14:textId="77777777" w:rsidR="001E1112" w:rsidRPr="00317ABF" w:rsidRDefault="001E1112" w:rsidP="00DB3BEC">
            <w:pPr>
              <w:jc w:val="both"/>
              <w:rPr>
                <w:sz w:val="22"/>
                <w:szCs w:val="22"/>
              </w:rPr>
            </w:pPr>
            <w:r w:rsidRPr="00317ABF">
              <w:rPr>
                <w:sz w:val="22"/>
                <w:szCs w:val="22"/>
              </w:rPr>
              <w:t>Art. 2 pkt 10</w:t>
            </w:r>
          </w:p>
        </w:tc>
        <w:tc>
          <w:tcPr>
            <w:tcW w:w="4308" w:type="dxa"/>
          </w:tcPr>
          <w:p w14:paraId="5C0D35BA" w14:textId="77777777" w:rsidR="001E1112" w:rsidRPr="00317ABF" w:rsidRDefault="001E1112" w:rsidP="00DB3BEC">
            <w:pPr>
              <w:autoSpaceDE w:val="0"/>
              <w:autoSpaceDN w:val="0"/>
              <w:adjustRightInd w:val="0"/>
              <w:jc w:val="both"/>
              <w:rPr>
                <w:rFonts w:eastAsia="EUAlbertina-Regular-Identity-H"/>
                <w:sz w:val="22"/>
                <w:szCs w:val="22"/>
              </w:rPr>
            </w:pPr>
            <w:r w:rsidRPr="00317ABF">
              <w:rPr>
                <w:sz w:val="22"/>
                <w:szCs w:val="22"/>
              </w:rPr>
              <w:t>„urządzenia towarzyszące” oznaczają usługi towarzyszące, infrastrukturę fizyczną oraz inne urządzenia lub elementy związane z siecią łączności elektronicznej lub usługami łączności elektronicznej, które umożliwiają lub wspierają dostarczanie usług za pośrednictwem tych sieci lub usług lub które mogą służyć do tego celu i obejmują budynki lub wejścia do budynków, okablowanie budynków, anteny, wieże i inne konstrukcje wsporcze, kanały, przewody, maszty, studzienki i szafki;</w:t>
            </w:r>
          </w:p>
        </w:tc>
        <w:tc>
          <w:tcPr>
            <w:tcW w:w="986" w:type="dxa"/>
          </w:tcPr>
          <w:p w14:paraId="07459315" w14:textId="7482709C" w:rsidR="001E1112" w:rsidRPr="00317ABF" w:rsidRDefault="001E1112" w:rsidP="00DB3BEC">
            <w:pPr>
              <w:jc w:val="both"/>
              <w:rPr>
                <w:sz w:val="22"/>
                <w:szCs w:val="22"/>
              </w:rPr>
            </w:pPr>
            <w:r w:rsidRPr="00317ABF">
              <w:rPr>
                <w:sz w:val="22"/>
                <w:szCs w:val="22"/>
              </w:rPr>
              <w:t>T</w:t>
            </w:r>
          </w:p>
        </w:tc>
        <w:tc>
          <w:tcPr>
            <w:tcW w:w="910" w:type="dxa"/>
          </w:tcPr>
          <w:p w14:paraId="6537F28F" w14:textId="3DD94FF2" w:rsidR="001E1112" w:rsidRPr="00317ABF" w:rsidRDefault="00CC5CB3" w:rsidP="00DB3BEC">
            <w:pPr>
              <w:pStyle w:val="Tekstpodstawowy"/>
              <w:rPr>
                <w:b/>
                <w:noProof/>
                <w:sz w:val="22"/>
                <w:szCs w:val="22"/>
              </w:rPr>
            </w:pPr>
            <w:r w:rsidRPr="00317ABF">
              <w:rPr>
                <w:b/>
                <w:noProof/>
                <w:sz w:val="22"/>
                <w:szCs w:val="22"/>
              </w:rPr>
              <w:t>Art. 2 pkt 38</w:t>
            </w:r>
          </w:p>
        </w:tc>
        <w:tc>
          <w:tcPr>
            <w:tcW w:w="6814" w:type="dxa"/>
            <w:gridSpan w:val="2"/>
          </w:tcPr>
          <w:p w14:paraId="6DFB9E20" w14:textId="098F2ED0" w:rsidR="001E1112" w:rsidRPr="00317ABF" w:rsidRDefault="00CC5CB3" w:rsidP="00DB3BEC">
            <w:pPr>
              <w:pStyle w:val="Tekstpodstawowy"/>
              <w:rPr>
                <w:sz w:val="22"/>
                <w:szCs w:val="22"/>
              </w:rPr>
            </w:pPr>
            <w:r w:rsidRPr="00317ABF">
              <w:rPr>
                <w:sz w:val="22"/>
                <w:szCs w:val="22"/>
              </w:rPr>
              <w:t>powiązane zasoby – powiązane usługi, infrastrukturę techniczną, okablowanie pomiędzy zakończeniami sieci w obiekcie budowlanym a najbliższym punktem dystrybucji, anteny i urządzenia, powiązane z siecią telekomunikacyjną lub usługami komunikacji elektronicznej, które umożliwiają lub wspierają dostarczanie usług za pośrednictwem tych sieci lub usług, które mogą służyć do tego celu;</w:t>
            </w:r>
          </w:p>
        </w:tc>
      </w:tr>
      <w:tr w:rsidR="001E1112" w:rsidRPr="00317ABF" w14:paraId="23323F4E" w14:textId="77777777" w:rsidTr="7753F98D">
        <w:trPr>
          <w:gridAfter w:val="2"/>
          <w:wAfter w:w="175" w:type="dxa"/>
        </w:trPr>
        <w:tc>
          <w:tcPr>
            <w:tcW w:w="704" w:type="dxa"/>
          </w:tcPr>
          <w:p w14:paraId="5526C623" w14:textId="77777777" w:rsidR="001E1112" w:rsidRPr="00317ABF" w:rsidRDefault="001E1112" w:rsidP="00DB3BEC">
            <w:pPr>
              <w:jc w:val="both"/>
              <w:rPr>
                <w:sz w:val="22"/>
                <w:szCs w:val="22"/>
              </w:rPr>
            </w:pPr>
            <w:r w:rsidRPr="00317ABF">
              <w:rPr>
                <w:sz w:val="22"/>
                <w:szCs w:val="22"/>
              </w:rPr>
              <w:t>Art. 2 pkt 11</w:t>
            </w:r>
          </w:p>
        </w:tc>
        <w:tc>
          <w:tcPr>
            <w:tcW w:w="4308" w:type="dxa"/>
          </w:tcPr>
          <w:p w14:paraId="64DDB0F4" w14:textId="77777777" w:rsidR="001E1112" w:rsidRPr="00317ABF" w:rsidRDefault="001E1112" w:rsidP="00DB3BEC">
            <w:pPr>
              <w:autoSpaceDE w:val="0"/>
              <w:autoSpaceDN w:val="0"/>
              <w:adjustRightInd w:val="0"/>
              <w:jc w:val="both"/>
              <w:rPr>
                <w:rFonts w:eastAsia="EUAlbertina-Regular-Identity-H"/>
                <w:sz w:val="22"/>
                <w:szCs w:val="22"/>
              </w:rPr>
            </w:pPr>
            <w:r w:rsidRPr="00317ABF">
              <w:rPr>
                <w:sz w:val="22"/>
                <w:szCs w:val="22"/>
              </w:rPr>
              <w:t>„usługi towarzyszące” oznaczają takie usługi związane z siecią lub usługami łączności elektronicznej, które umożliwiają lub wspierają dostarczanie, samoświadczenie lub automatyczne świadczenie usług za pośrednictwem tych sieci lub usług, lub które mogą służyć do tego celu, i obejmują systemy translacji numerów lub systemy o równoważnych funkcjach, systemy dostępu warunkowego i elektroniczne przewodniki po programach, jak również inne usługi, takie jak usługi identyfikacji, lokalizacji oraz sygnalizowania obecności;</w:t>
            </w:r>
          </w:p>
        </w:tc>
        <w:tc>
          <w:tcPr>
            <w:tcW w:w="986" w:type="dxa"/>
          </w:tcPr>
          <w:p w14:paraId="70DF9E56" w14:textId="2C0BF307" w:rsidR="001E1112" w:rsidRPr="00317ABF" w:rsidRDefault="001E1112" w:rsidP="00DB3BEC">
            <w:pPr>
              <w:jc w:val="both"/>
              <w:rPr>
                <w:sz w:val="22"/>
                <w:szCs w:val="22"/>
              </w:rPr>
            </w:pPr>
            <w:r w:rsidRPr="00317ABF">
              <w:rPr>
                <w:sz w:val="22"/>
                <w:szCs w:val="22"/>
              </w:rPr>
              <w:t>T</w:t>
            </w:r>
          </w:p>
        </w:tc>
        <w:tc>
          <w:tcPr>
            <w:tcW w:w="910" w:type="dxa"/>
          </w:tcPr>
          <w:p w14:paraId="44E871BC" w14:textId="134B3376" w:rsidR="001E1112" w:rsidRPr="00317ABF" w:rsidRDefault="00CC5CB3" w:rsidP="00DB3BEC">
            <w:pPr>
              <w:pStyle w:val="Tekstpodstawowy"/>
              <w:rPr>
                <w:b/>
                <w:noProof/>
                <w:sz w:val="22"/>
                <w:szCs w:val="22"/>
              </w:rPr>
            </w:pPr>
            <w:r w:rsidRPr="00317ABF">
              <w:rPr>
                <w:b/>
                <w:noProof/>
                <w:sz w:val="22"/>
                <w:szCs w:val="22"/>
              </w:rPr>
              <w:t>Art. 2 pkt 37</w:t>
            </w:r>
          </w:p>
        </w:tc>
        <w:tc>
          <w:tcPr>
            <w:tcW w:w="6814" w:type="dxa"/>
            <w:gridSpan w:val="2"/>
          </w:tcPr>
          <w:p w14:paraId="144A5D23" w14:textId="0BA4CC88" w:rsidR="001E1112" w:rsidRPr="00317ABF" w:rsidRDefault="00CC5CB3" w:rsidP="00DB3BEC">
            <w:pPr>
              <w:pStyle w:val="Tekstpodstawowy"/>
              <w:rPr>
                <w:sz w:val="22"/>
                <w:szCs w:val="22"/>
              </w:rPr>
            </w:pPr>
            <w:r w:rsidRPr="00317ABF">
              <w:rPr>
                <w:sz w:val="22"/>
                <w:szCs w:val="22"/>
              </w:rPr>
              <w:t>powiązane usługi – usługi powiązane z siecią telekomunikacyjną lub usługami komunikacji elektronicznej, które umożliwiają lub wspierają świadczenie usług za pośrednictwem tych sieci lub usług, lub które mogą służyć do tego celu, i obejmują systemy translacji numerów lub systemy o równoważnych funkcjach, systemy dostępu warunkowego i elektroniczne przewodniki po programach, jak również inne usługi, w szczególności usługi identyfikacji, lokalizacji oraz sygnalizowania obecności;</w:t>
            </w:r>
          </w:p>
        </w:tc>
      </w:tr>
      <w:tr w:rsidR="001E1112" w:rsidRPr="00317ABF" w14:paraId="10F1DBF4" w14:textId="77777777" w:rsidTr="7753F98D">
        <w:trPr>
          <w:gridAfter w:val="2"/>
          <w:wAfter w:w="175" w:type="dxa"/>
        </w:trPr>
        <w:tc>
          <w:tcPr>
            <w:tcW w:w="704" w:type="dxa"/>
          </w:tcPr>
          <w:p w14:paraId="19A44A2A" w14:textId="77777777" w:rsidR="001E1112" w:rsidRPr="00317ABF" w:rsidRDefault="001E1112" w:rsidP="00DB3BEC">
            <w:pPr>
              <w:jc w:val="both"/>
              <w:rPr>
                <w:sz w:val="22"/>
                <w:szCs w:val="22"/>
              </w:rPr>
            </w:pPr>
            <w:r w:rsidRPr="00317ABF">
              <w:rPr>
                <w:sz w:val="22"/>
                <w:szCs w:val="22"/>
              </w:rPr>
              <w:t>Art. 2 pkt 12</w:t>
            </w:r>
          </w:p>
        </w:tc>
        <w:tc>
          <w:tcPr>
            <w:tcW w:w="4308" w:type="dxa"/>
          </w:tcPr>
          <w:p w14:paraId="432BC5E1" w14:textId="77777777" w:rsidR="001E1112" w:rsidRPr="00317ABF" w:rsidRDefault="001E1112" w:rsidP="00DB3BEC">
            <w:pPr>
              <w:autoSpaceDE w:val="0"/>
              <w:autoSpaceDN w:val="0"/>
              <w:adjustRightInd w:val="0"/>
              <w:jc w:val="both"/>
              <w:rPr>
                <w:rFonts w:eastAsia="EUAlbertina-Regular-Identity-H"/>
                <w:sz w:val="22"/>
                <w:szCs w:val="22"/>
              </w:rPr>
            </w:pPr>
            <w:r w:rsidRPr="00317ABF">
              <w:rPr>
                <w:sz w:val="22"/>
                <w:szCs w:val="22"/>
              </w:rPr>
              <w:t xml:space="preserve">„system dostępu warunkowego” oznacza wszelkie środki techniczne, system uwierzytelniający lub rozwiązania, które powodują, że dostęp do chronionych usług nadawania radiowego lub telewizyjnego w formie zrozumiałej jest uwarunkowany </w:t>
            </w:r>
            <w:r w:rsidRPr="00317ABF">
              <w:rPr>
                <w:sz w:val="22"/>
                <w:szCs w:val="22"/>
              </w:rPr>
              <w:lastRenderedPageBreak/>
              <w:t>posiadaniem abonamentu lub innego, uprzednio uzyskanego indywidualnego zezwolenia;</w:t>
            </w:r>
          </w:p>
        </w:tc>
        <w:tc>
          <w:tcPr>
            <w:tcW w:w="986" w:type="dxa"/>
          </w:tcPr>
          <w:p w14:paraId="738610EB" w14:textId="46E9B428" w:rsidR="001E1112" w:rsidRPr="00317ABF" w:rsidRDefault="001E1112" w:rsidP="00DB3BEC">
            <w:pPr>
              <w:jc w:val="both"/>
              <w:rPr>
                <w:sz w:val="22"/>
                <w:szCs w:val="22"/>
              </w:rPr>
            </w:pPr>
            <w:r w:rsidRPr="00317ABF">
              <w:rPr>
                <w:sz w:val="22"/>
                <w:szCs w:val="22"/>
              </w:rPr>
              <w:lastRenderedPageBreak/>
              <w:t>T</w:t>
            </w:r>
          </w:p>
        </w:tc>
        <w:tc>
          <w:tcPr>
            <w:tcW w:w="910" w:type="dxa"/>
          </w:tcPr>
          <w:p w14:paraId="637805D2" w14:textId="1D27E534" w:rsidR="001E1112" w:rsidRPr="00317ABF" w:rsidRDefault="001E1112" w:rsidP="001301F2">
            <w:pPr>
              <w:pStyle w:val="Tekstpodstawowy"/>
              <w:rPr>
                <w:b/>
                <w:noProof/>
                <w:sz w:val="22"/>
                <w:szCs w:val="22"/>
              </w:rPr>
            </w:pPr>
            <w:r w:rsidRPr="00317ABF">
              <w:rPr>
                <w:b/>
                <w:noProof/>
                <w:sz w:val="22"/>
                <w:szCs w:val="22"/>
              </w:rPr>
              <w:t>Art. 2 pkt 6</w:t>
            </w:r>
            <w:r w:rsidR="001301F2" w:rsidRPr="00317ABF">
              <w:rPr>
                <w:b/>
                <w:noProof/>
                <w:sz w:val="22"/>
                <w:szCs w:val="22"/>
              </w:rPr>
              <w:t>5</w:t>
            </w:r>
          </w:p>
        </w:tc>
        <w:tc>
          <w:tcPr>
            <w:tcW w:w="6814" w:type="dxa"/>
            <w:gridSpan w:val="2"/>
          </w:tcPr>
          <w:p w14:paraId="463F29E8" w14:textId="16C800E3" w:rsidR="001E1112" w:rsidRPr="00317ABF" w:rsidRDefault="001E1112" w:rsidP="00DB3BEC">
            <w:pPr>
              <w:jc w:val="both"/>
              <w:rPr>
                <w:sz w:val="22"/>
                <w:szCs w:val="22"/>
              </w:rPr>
            </w:pPr>
            <w:r w:rsidRPr="00317ABF">
              <w:rPr>
                <w:sz w:val="22"/>
                <w:szCs w:val="22"/>
              </w:rPr>
              <w:t>system dostępu warunkowego – środki lub rozwiązania techniczne, które powodują, że dostęp do zrozumiałej formy zabezpieczonych transmisji radiofonicznych lub telewizyjnych jest uwarunkowany posiadaniem abonamentu lub uprzednio uzyskanego indywidualnego zezwolenia</w:t>
            </w:r>
          </w:p>
        </w:tc>
      </w:tr>
      <w:tr w:rsidR="001E1112" w:rsidRPr="00317ABF" w14:paraId="154D5E5B" w14:textId="77777777" w:rsidTr="7753F98D">
        <w:trPr>
          <w:gridAfter w:val="2"/>
          <w:wAfter w:w="175" w:type="dxa"/>
        </w:trPr>
        <w:tc>
          <w:tcPr>
            <w:tcW w:w="704" w:type="dxa"/>
          </w:tcPr>
          <w:p w14:paraId="52CB8915" w14:textId="77777777" w:rsidR="001E1112" w:rsidRPr="00317ABF" w:rsidRDefault="001E1112" w:rsidP="00DB3BEC">
            <w:pPr>
              <w:jc w:val="both"/>
              <w:rPr>
                <w:sz w:val="22"/>
                <w:szCs w:val="22"/>
              </w:rPr>
            </w:pPr>
            <w:r w:rsidRPr="00317ABF">
              <w:rPr>
                <w:sz w:val="22"/>
                <w:szCs w:val="22"/>
              </w:rPr>
              <w:lastRenderedPageBreak/>
              <w:t>Art. 2 pkt 13</w:t>
            </w:r>
          </w:p>
        </w:tc>
        <w:tc>
          <w:tcPr>
            <w:tcW w:w="4308" w:type="dxa"/>
          </w:tcPr>
          <w:p w14:paraId="3D93678C" w14:textId="77777777" w:rsidR="001E1112" w:rsidRPr="00317ABF" w:rsidRDefault="001E1112" w:rsidP="00DB3BEC">
            <w:pPr>
              <w:autoSpaceDE w:val="0"/>
              <w:autoSpaceDN w:val="0"/>
              <w:adjustRightInd w:val="0"/>
              <w:jc w:val="both"/>
              <w:rPr>
                <w:rFonts w:eastAsia="EUAlbertina-Regular-Identity-H"/>
                <w:sz w:val="22"/>
                <w:szCs w:val="22"/>
              </w:rPr>
            </w:pPr>
            <w:r w:rsidRPr="00317ABF">
              <w:rPr>
                <w:sz w:val="22"/>
                <w:szCs w:val="22"/>
              </w:rPr>
              <w:t>„użytkownik” oznacza osobę fizyczną lub prawną korzystającą z publicznie dostępnych usług łączności elektronicznej lub wnioskującą o świadczenie takich usług;</w:t>
            </w:r>
          </w:p>
        </w:tc>
        <w:tc>
          <w:tcPr>
            <w:tcW w:w="986" w:type="dxa"/>
          </w:tcPr>
          <w:p w14:paraId="3B7B4B86" w14:textId="32E079AE" w:rsidR="001E1112" w:rsidRPr="00317ABF" w:rsidRDefault="001E1112" w:rsidP="00DB3BEC">
            <w:pPr>
              <w:jc w:val="both"/>
              <w:rPr>
                <w:sz w:val="22"/>
                <w:szCs w:val="22"/>
              </w:rPr>
            </w:pPr>
            <w:r w:rsidRPr="00317ABF">
              <w:rPr>
                <w:sz w:val="22"/>
                <w:szCs w:val="22"/>
              </w:rPr>
              <w:t>T</w:t>
            </w:r>
          </w:p>
        </w:tc>
        <w:tc>
          <w:tcPr>
            <w:tcW w:w="910" w:type="dxa"/>
          </w:tcPr>
          <w:p w14:paraId="3A0FF5F2" w14:textId="1CD14BC8" w:rsidR="001E1112" w:rsidRPr="00317ABF" w:rsidRDefault="001E1112" w:rsidP="00DB3BEC">
            <w:pPr>
              <w:pStyle w:val="Tekstpodstawowy"/>
              <w:rPr>
                <w:b/>
                <w:noProof/>
                <w:sz w:val="22"/>
                <w:szCs w:val="22"/>
              </w:rPr>
            </w:pPr>
            <w:r w:rsidRPr="00317ABF">
              <w:rPr>
                <w:b/>
                <w:noProof/>
                <w:sz w:val="22"/>
                <w:szCs w:val="22"/>
              </w:rPr>
              <w:t xml:space="preserve">Art. 2 </w:t>
            </w:r>
            <w:r w:rsidR="00DB3BEC" w:rsidRPr="00317ABF">
              <w:rPr>
                <w:b/>
                <w:noProof/>
                <w:sz w:val="22"/>
                <w:szCs w:val="22"/>
              </w:rPr>
              <w:t xml:space="preserve">pkt </w:t>
            </w:r>
            <w:r w:rsidR="00354E83" w:rsidRPr="00317ABF">
              <w:rPr>
                <w:b/>
                <w:noProof/>
                <w:sz w:val="22"/>
                <w:szCs w:val="22"/>
              </w:rPr>
              <w:t xml:space="preserve"> 86</w:t>
            </w:r>
          </w:p>
        </w:tc>
        <w:tc>
          <w:tcPr>
            <w:tcW w:w="6814" w:type="dxa"/>
            <w:gridSpan w:val="2"/>
          </w:tcPr>
          <w:p w14:paraId="5630AD66" w14:textId="479DD0FA" w:rsidR="001E1112" w:rsidRPr="00317ABF" w:rsidRDefault="00354E83" w:rsidP="00DB3BEC">
            <w:pPr>
              <w:jc w:val="both"/>
              <w:rPr>
                <w:sz w:val="22"/>
                <w:szCs w:val="22"/>
              </w:rPr>
            </w:pPr>
            <w:r w:rsidRPr="00317ABF">
              <w:rPr>
                <w:sz w:val="22"/>
                <w:szCs w:val="22"/>
              </w:rPr>
              <w:t>użytkownik – podmiot korzystający z publicznie dostępnej usługi komunikacji elektronicznej lub żądający świadczenia takiej usługi</w:t>
            </w:r>
          </w:p>
        </w:tc>
      </w:tr>
      <w:tr w:rsidR="001E1112" w:rsidRPr="00317ABF" w14:paraId="31DE8333" w14:textId="77777777" w:rsidTr="7753F98D">
        <w:trPr>
          <w:gridAfter w:val="2"/>
          <w:wAfter w:w="175" w:type="dxa"/>
        </w:trPr>
        <w:tc>
          <w:tcPr>
            <w:tcW w:w="704" w:type="dxa"/>
          </w:tcPr>
          <w:p w14:paraId="6D49A374" w14:textId="77777777" w:rsidR="001E1112" w:rsidRPr="00317ABF" w:rsidRDefault="001E1112" w:rsidP="00DB3BEC">
            <w:pPr>
              <w:jc w:val="both"/>
              <w:rPr>
                <w:sz w:val="22"/>
                <w:szCs w:val="22"/>
              </w:rPr>
            </w:pPr>
            <w:r w:rsidRPr="00317ABF">
              <w:rPr>
                <w:sz w:val="22"/>
                <w:szCs w:val="22"/>
              </w:rPr>
              <w:t>Art. 2 pkt 14</w:t>
            </w:r>
          </w:p>
        </w:tc>
        <w:tc>
          <w:tcPr>
            <w:tcW w:w="4308" w:type="dxa"/>
          </w:tcPr>
          <w:p w14:paraId="389A0995" w14:textId="77777777" w:rsidR="001E1112" w:rsidRPr="00317ABF" w:rsidRDefault="001E1112" w:rsidP="00DB3BEC">
            <w:pPr>
              <w:autoSpaceDE w:val="0"/>
              <w:autoSpaceDN w:val="0"/>
              <w:adjustRightInd w:val="0"/>
              <w:jc w:val="both"/>
              <w:rPr>
                <w:rFonts w:eastAsia="EUAlbertina-Regular-Identity-H"/>
                <w:sz w:val="22"/>
                <w:szCs w:val="22"/>
              </w:rPr>
            </w:pPr>
            <w:r w:rsidRPr="00317ABF">
              <w:rPr>
                <w:sz w:val="22"/>
                <w:szCs w:val="22"/>
              </w:rPr>
              <w:t>„użytkownik końcowy” oznacza użytkownika, który nie udostępnia publicznych sieci łączności elektronicznej ani publicznie dostępnych usług łączności elektronicznej;</w:t>
            </w:r>
          </w:p>
        </w:tc>
        <w:tc>
          <w:tcPr>
            <w:tcW w:w="986" w:type="dxa"/>
          </w:tcPr>
          <w:p w14:paraId="61829076" w14:textId="65BAFA47" w:rsidR="001E1112" w:rsidRPr="00317ABF" w:rsidRDefault="001E1112" w:rsidP="00DB3BEC">
            <w:pPr>
              <w:jc w:val="both"/>
              <w:rPr>
                <w:sz w:val="22"/>
                <w:szCs w:val="22"/>
              </w:rPr>
            </w:pPr>
            <w:r w:rsidRPr="00317ABF">
              <w:rPr>
                <w:sz w:val="22"/>
                <w:szCs w:val="22"/>
              </w:rPr>
              <w:t>T</w:t>
            </w:r>
          </w:p>
        </w:tc>
        <w:tc>
          <w:tcPr>
            <w:tcW w:w="910" w:type="dxa"/>
          </w:tcPr>
          <w:p w14:paraId="2BA226A1" w14:textId="0D9CCF3D" w:rsidR="001E1112" w:rsidRPr="00317ABF" w:rsidRDefault="00354E83" w:rsidP="00DB3BEC">
            <w:pPr>
              <w:pStyle w:val="Tekstpodstawowy"/>
              <w:rPr>
                <w:b/>
                <w:noProof/>
                <w:sz w:val="22"/>
                <w:szCs w:val="22"/>
              </w:rPr>
            </w:pPr>
            <w:r w:rsidRPr="00317ABF">
              <w:rPr>
                <w:b/>
                <w:noProof/>
                <w:sz w:val="22"/>
                <w:szCs w:val="22"/>
              </w:rPr>
              <w:t>Art. 2 pkt 87</w:t>
            </w:r>
          </w:p>
        </w:tc>
        <w:tc>
          <w:tcPr>
            <w:tcW w:w="6814" w:type="dxa"/>
            <w:gridSpan w:val="2"/>
          </w:tcPr>
          <w:p w14:paraId="17AD93B2" w14:textId="2D195A3D" w:rsidR="001E1112" w:rsidRPr="00317ABF" w:rsidRDefault="00354E83" w:rsidP="00DB3BEC">
            <w:pPr>
              <w:jc w:val="both"/>
              <w:rPr>
                <w:sz w:val="22"/>
                <w:szCs w:val="22"/>
              </w:rPr>
            </w:pPr>
            <w:r w:rsidRPr="00317ABF">
              <w:rPr>
                <w:rFonts w:eastAsiaTheme="minorEastAsia" w:cs="Times"/>
                <w:szCs w:val="20"/>
              </w:rPr>
              <w:t xml:space="preserve"> </w:t>
            </w:r>
            <w:r w:rsidRPr="00317ABF">
              <w:rPr>
                <w:sz w:val="22"/>
                <w:szCs w:val="22"/>
              </w:rPr>
              <w:t>użytkownik końcowy – podmiot korzystający z publicznie dostępnej usługi komunikacji elektronicznej lub żądający świadczenia takiej usługi, dla zaspokojenia własnych potrzeb</w:t>
            </w:r>
          </w:p>
        </w:tc>
      </w:tr>
      <w:tr w:rsidR="001E1112" w:rsidRPr="00317ABF" w14:paraId="1D762156" w14:textId="77777777" w:rsidTr="7753F98D">
        <w:trPr>
          <w:gridAfter w:val="2"/>
          <w:wAfter w:w="175" w:type="dxa"/>
        </w:trPr>
        <w:tc>
          <w:tcPr>
            <w:tcW w:w="704" w:type="dxa"/>
          </w:tcPr>
          <w:p w14:paraId="3F798DDE" w14:textId="77777777" w:rsidR="001E1112" w:rsidRPr="00317ABF" w:rsidRDefault="001E1112" w:rsidP="00DB3BEC">
            <w:pPr>
              <w:jc w:val="both"/>
              <w:rPr>
                <w:sz w:val="22"/>
                <w:szCs w:val="22"/>
              </w:rPr>
            </w:pPr>
            <w:r w:rsidRPr="00317ABF">
              <w:rPr>
                <w:sz w:val="22"/>
                <w:szCs w:val="22"/>
              </w:rPr>
              <w:t>Art. 2 pkt 15</w:t>
            </w:r>
          </w:p>
        </w:tc>
        <w:tc>
          <w:tcPr>
            <w:tcW w:w="4308" w:type="dxa"/>
          </w:tcPr>
          <w:p w14:paraId="52D44870" w14:textId="77777777" w:rsidR="001E1112" w:rsidRPr="00317ABF" w:rsidRDefault="001E1112" w:rsidP="00DB3BEC">
            <w:pPr>
              <w:autoSpaceDE w:val="0"/>
              <w:autoSpaceDN w:val="0"/>
              <w:adjustRightInd w:val="0"/>
              <w:jc w:val="both"/>
              <w:rPr>
                <w:rFonts w:eastAsia="EUAlbertina-Regular-Identity-H"/>
                <w:sz w:val="22"/>
                <w:szCs w:val="22"/>
              </w:rPr>
            </w:pPr>
            <w:r w:rsidRPr="00317ABF">
              <w:rPr>
                <w:sz w:val="22"/>
                <w:szCs w:val="22"/>
              </w:rPr>
              <w:t>„konsument” oznacza jakąkolwiek osobę fizyczną korzystającą z publicznie dostępnych usług łączności elektronicznej lub wnioskującą o świadczenie takich usług dla celów niezwiązanych z jej działalnością handlową, gospodarczą, rzemiosłem lub wykonywaniem zawodu;</w:t>
            </w:r>
          </w:p>
        </w:tc>
        <w:tc>
          <w:tcPr>
            <w:tcW w:w="986" w:type="dxa"/>
          </w:tcPr>
          <w:p w14:paraId="0DE4B5B7" w14:textId="447DD1BC" w:rsidR="001E1112" w:rsidRPr="00317ABF" w:rsidRDefault="001E1112" w:rsidP="00DB3BEC">
            <w:pPr>
              <w:jc w:val="both"/>
              <w:rPr>
                <w:sz w:val="22"/>
                <w:szCs w:val="22"/>
              </w:rPr>
            </w:pPr>
            <w:r w:rsidRPr="00317ABF">
              <w:rPr>
                <w:sz w:val="22"/>
                <w:szCs w:val="22"/>
              </w:rPr>
              <w:t>T</w:t>
            </w:r>
          </w:p>
        </w:tc>
        <w:tc>
          <w:tcPr>
            <w:tcW w:w="910" w:type="dxa"/>
          </w:tcPr>
          <w:p w14:paraId="66204FF1" w14:textId="1FCFFB87" w:rsidR="001E1112" w:rsidRPr="00317ABF" w:rsidRDefault="00354E83" w:rsidP="00DB3BEC">
            <w:pPr>
              <w:pStyle w:val="Tekstpodstawowy"/>
              <w:rPr>
                <w:b/>
                <w:noProof/>
                <w:sz w:val="22"/>
                <w:szCs w:val="22"/>
              </w:rPr>
            </w:pPr>
            <w:r w:rsidRPr="00317ABF">
              <w:rPr>
                <w:b/>
                <w:noProof/>
                <w:sz w:val="22"/>
                <w:szCs w:val="22"/>
              </w:rPr>
              <w:t>Art. 2 pkt 20</w:t>
            </w:r>
          </w:p>
        </w:tc>
        <w:tc>
          <w:tcPr>
            <w:tcW w:w="6814" w:type="dxa"/>
            <w:gridSpan w:val="2"/>
          </w:tcPr>
          <w:p w14:paraId="2DBF0D7D" w14:textId="7C3CC2A1" w:rsidR="001E1112" w:rsidRPr="00317ABF" w:rsidRDefault="00354E83" w:rsidP="00DB3BEC">
            <w:pPr>
              <w:jc w:val="both"/>
              <w:rPr>
                <w:sz w:val="22"/>
                <w:szCs w:val="22"/>
              </w:rPr>
            </w:pPr>
            <w:r w:rsidRPr="00317ABF">
              <w:rPr>
                <w:sz w:val="22"/>
                <w:szCs w:val="22"/>
              </w:rPr>
              <w:t>konsument – osobę fizyczną wnioskującą o świadczenie publicznie dostępnych usług komunikacji elektronicznej lub korzystającą z takich usług dla celów niezwiązanych bezpośrednio z jej działalnością gospodarczą lub wykonywaniem zawodu</w:t>
            </w:r>
          </w:p>
        </w:tc>
      </w:tr>
      <w:tr w:rsidR="001E1112" w:rsidRPr="00317ABF" w14:paraId="6CB35437" w14:textId="77777777" w:rsidTr="7753F98D">
        <w:trPr>
          <w:gridAfter w:val="2"/>
          <w:wAfter w:w="175" w:type="dxa"/>
        </w:trPr>
        <w:tc>
          <w:tcPr>
            <w:tcW w:w="704" w:type="dxa"/>
          </w:tcPr>
          <w:p w14:paraId="61D09803" w14:textId="77777777" w:rsidR="001E1112" w:rsidRPr="00317ABF" w:rsidRDefault="001E1112" w:rsidP="00DB3BEC">
            <w:pPr>
              <w:jc w:val="both"/>
              <w:rPr>
                <w:sz w:val="22"/>
                <w:szCs w:val="22"/>
              </w:rPr>
            </w:pPr>
            <w:r w:rsidRPr="00317ABF">
              <w:rPr>
                <w:sz w:val="22"/>
                <w:szCs w:val="22"/>
              </w:rPr>
              <w:t>Art. 2 pkt 16</w:t>
            </w:r>
          </w:p>
        </w:tc>
        <w:tc>
          <w:tcPr>
            <w:tcW w:w="4308" w:type="dxa"/>
          </w:tcPr>
          <w:p w14:paraId="0455669C" w14:textId="77777777" w:rsidR="001E1112" w:rsidRPr="00317ABF" w:rsidRDefault="001E1112" w:rsidP="00DB3BEC">
            <w:pPr>
              <w:autoSpaceDE w:val="0"/>
              <w:autoSpaceDN w:val="0"/>
              <w:adjustRightInd w:val="0"/>
              <w:jc w:val="both"/>
              <w:rPr>
                <w:rFonts w:eastAsia="EUAlbertina-Regular-Identity-H"/>
                <w:sz w:val="22"/>
                <w:szCs w:val="22"/>
              </w:rPr>
            </w:pPr>
            <w:r w:rsidRPr="00317ABF">
              <w:rPr>
                <w:sz w:val="22"/>
                <w:szCs w:val="22"/>
              </w:rPr>
              <w:t>„dostarczanie sieci łączności elektronicznej” oznacza ustanowienie, obsługę, kontrolowanie i dostarczanie takiej sieci;</w:t>
            </w:r>
          </w:p>
        </w:tc>
        <w:tc>
          <w:tcPr>
            <w:tcW w:w="986" w:type="dxa"/>
          </w:tcPr>
          <w:p w14:paraId="6B62F1B3" w14:textId="2CF85F1D" w:rsidR="001E1112" w:rsidRPr="00317ABF" w:rsidRDefault="001E1112" w:rsidP="00DB3BEC">
            <w:pPr>
              <w:jc w:val="both"/>
              <w:rPr>
                <w:sz w:val="22"/>
                <w:szCs w:val="22"/>
              </w:rPr>
            </w:pPr>
            <w:r w:rsidRPr="00317ABF">
              <w:rPr>
                <w:sz w:val="22"/>
                <w:szCs w:val="22"/>
              </w:rPr>
              <w:t>T</w:t>
            </w:r>
          </w:p>
        </w:tc>
        <w:tc>
          <w:tcPr>
            <w:tcW w:w="910" w:type="dxa"/>
          </w:tcPr>
          <w:p w14:paraId="02F2C34E" w14:textId="3A00F640" w:rsidR="001E1112" w:rsidRPr="00317ABF" w:rsidRDefault="001E1112" w:rsidP="00DB3BEC">
            <w:pPr>
              <w:pStyle w:val="Tekstpodstawowy"/>
              <w:rPr>
                <w:b/>
                <w:noProof/>
                <w:sz w:val="22"/>
                <w:szCs w:val="22"/>
              </w:rPr>
            </w:pPr>
            <w:r w:rsidRPr="00317ABF">
              <w:rPr>
                <w:b/>
                <w:noProof/>
                <w:sz w:val="22"/>
                <w:szCs w:val="22"/>
              </w:rPr>
              <w:t xml:space="preserve">Art. 2 pkt </w:t>
            </w:r>
            <w:r w:rsidR="00435230" w:rsidRPr="00317ABF">
              <w:rPr>
                <w:b/>
                <w:noProof/>
                <w:sz w:val="22"/>
                <w:szCs w:val="22"/>
              </w:rPr>
              <w:t>5</w:t>
            </w:r>
          </w:p>
        </w:tc>
        <w:tc>
          <w:tcPr>
            <w:tcW w:w="6814" w:type="dxa"/>
            <w:gridSpan w:val="2"/>
          </w:tcPr>
          <w:p w14:paraId="680A4E5D" w14:textId="113C31E0" w:rsidR="001E1112" w:rsidRPr="00317ABF" w:rsidRDefault="001E1112" w:rsidP="00DB3BEC">
            <w:pPr>
              <w:jc w:val="both"/>
              <w:rPr>
                <w:sz w:val="22"/>
                <w:szCs w:val="22"/>
              </w:rPr>
            </w:pPr>
            <w:r w:rsidRPr="00317ABF">
              <w:rPr>
                <w:sz w:val="22"/>
                <w:szCs w:val="22"/>
              </w:rPr>
              <w:t xml:space="preserve">dostarczanie sieci telekomunikacyjnej </w:t>
            </w:r>
            <w:r w:rsidR="00435230" w:rsidRPr="00317ABF">
              <w:rPr>
                <w:sz w:val="22"/>
                <w:szCs w:val="22"/>
              </w:rPr>
              <w:softHyphen/>
              <w:t>–</w:t>
            </w:r>
            <w:r w:rsidRPr="00317ABF">
              <w:rPr>
                <w:sz w:val="22"/>
                <w:szCs w:val="22"/>
              </w:rPr>
              <w:t xml:space="preserve"> przygotowanie sieci telekomunikacyjnej w sposób umożliwiający świadczenie w niej usług, jej eksploatację, nadzór nad nią lub </w:t>
            </w:r>
            <w:r w:rsidR="00435230" w:rsidRPr="00317ABF">
              <w:rPr>
                <w:sz w:val="22"/>
                <w:szCs w:val="22"/>
              </w:rPr>
              <w:t>zapewnianie</w:t>
            </w:r>
            <w:r w:rsidRPr="00317ABF">
              <w:rPr>
                <w:sz w:val="22"/>
                <w:szCs w:val="22"/>
              </w:rPr>
              <w:t xml:space="preserve"> dostępu</w:t>
            </w:r>
            <w:r w:rsidR="00435230" w:rsidRPr="00317ABF">
              <w:rPr>
                <w:sz w:val="22"/>
                <w:szCs w:val="22"/>
              </w:rPr>
              <w:t xml:space="preserve"> telekomunikacyjnego</w:t>
            </w:r>
            <w:r w:rsidRPr="00317ABF">
              <w:rPr>
                <w:sz w:val="22"/>
                <w:szCs w:val="22"/>
              </w:rPr>
              <w:t>;</w:t>
            </w:r>
          </w:p>
        </w:tc>
      </w:tr>
      <w:tr w:rsidR="001E1112" w:rsidRPr="00317ABF" w14:paraId="75DA7056" w14:textId="77777777" w:rsidTr="7753F98D">
        <w:trPr>
          <w:gridAfter w:val="2"/>
          <w:wAfter w:w="175" w:type="dxa"/>
        </w:trPr>
        <w:tc>
          <w:tcPr>
            <w:tcW w:w="704" w:type="dxa"/>
          </w:tcPr>
          <w:p w14:paraId="2CDE6DBB" w14:textId="77777777" w:rsidR="001E1112" w:rsidRPr="00317ABF" w:rsidRDefault="001E1112" w:rsidP="00DB3BEC">
            <w:pPr>
              <w:jc w:val="both"/>
              <w:rPr>
                <w:sz w:val="22"/>
                <w:szCs w:val="22"/>
              </w:rPr>
            </w:pPr>
            <w:r w:rsidRPr="00317ABF">
              <w:rPr>
                <w:sz w:val="22"/>
                <w:szCs w:val="22"/>
              </w:rPr>
              <w:t>Art. 2 pkt 17</w:t>
            </w:r>
          </w:p>
        </w:tc>
        <w:tc>
          <w:tcPr>
            <w:tcW w:w="4308" w:type="dxa"/>
          </w:tcPr>
          <w:p w14:paraId="665B3987" w14:textId="77777777" w:rsidR="001E1112" w:rsidRPr="00317ABF" w:rsidRDefault="001E1112" w:rsidP="00DB3BEC">
            <w:pPr>
              <w:autoSpaceDE w:val="0"/>
              <w:autoSpaceDN w:val="0"/>
              <w:adjustRightInd w:val="0"/>
              <w:jc w:val="both"/>
              <w:rPr>
                <w:rFonts w:eastAsia="EUAlbertina-Regular-Identity-H"/>
                <w:sz w:val="22"/>
                <w:szCs w:val="22"/>
              </w:rPr>
            </w:pPr>
            <w:r w:rsidRPr="00317ABF">
              <w:rPr>
                <w:sz w:val="22"/>
                <w:szCs w:val="22"/>
              </w:rPr>
              <w:t>„zaawansowane urządzenia telewizji cyfrowej” oznaczają dekodery przeznaczone do podłączania telewizorów albo zintegrowanych zestawów telewizji cyfrowej, zdolne do odbierania usług cyfrowej telewizji interaktywnej;</w:t>
            </w:r>
          </w:p>
        </w:tc>
        <w:tc>
          <w:tcPr>
            <w:tcW w:w="986" w:type="dxa"/>
          </w:tcPr>
          <w:p w14:paraId="19219836" w14:textId="0DC8F06D" w:rsidR="001E1112" w:rsidRPr="00317ABF" w:rsidRDefault="001E1112" w:rsidP="00DB3BEC">
            <w:pPr>
              <w:ind w:left="708" w:hanging="708"/>
              <w:jc w:val="both"/>
              <w:rPr>
                <w:sz w:val="22"/>
                <w:szCs w:val="22"/>
              </w:rPr>
            </w:pPr>
            <w:r w:rsidRPr="00317ABF">
              <w:rPr>
                <w:sz w:val="22"/>
                <w:szCs w:val="22"/>
              </w:rPr>
              <w:t>T</w:t>
            </w:r>
          </w:p>
        </w:tc>
        <w:tc>
          <w:tcPr>
            <w:tcW w:w="910" w:type="dxa"/>
          </w:tcPr>
          <w:p w14:paraId="296FEF7D" w14:textId="0BD2892C" w:rsidR="001E1112" w:rsidRPr="00317ABF" w:rsidRDefault="00354E83" w:rsidP="00DB3BEC">
            <w:pPr>
              <w:pStyle w:val="Tekstpodstawowy"/>
              <w:rPr>
                <w:b/>
                <w:noProof/>
                <w:sz w:val="22"/>
                <w:szCs w:val="22"/>
              </w:rPr>
            </w:pPr>
            <w:r w:rsidRPr="00317ABF">
              <w:rPr>
                <w:b/>
                <w:noProof/>
                <w:sz w:val="22"/>
                <w:szCs w:val="22"/>
              </w:rPr>
              <w:t>Art. 2 pkt 30 i pkt 31</w:t>
            </w:r>
          </w:p>
        </w:tc>
        <w:tc>
          <w:tcPr>
            <w:tcW w:w="6814" w:type="dxa"/>
            <w:gridSpan w:val="2"/>
          </w:tcPr>
          <w:p w14:paraId="6427A40E" w14:textId="77777777" w:rsidR="00354E83" w:rsidRPr="00317ABF" w:rsidRDefault="00354E83" w:rsidP="00354E83">
            <w:pPr>
              <w:pStyle w:val="Tekstpodstawowy"/>
              <w:rPr>
                <w:bCs/>
                <w:sz w:val="22"/>
                <w:szCs w:val="22"/>
              </w:rPr>
            </w:pPr>
            <w:r w:rsidRPr="00317ABF">
              <w:rPr>
                <w:bCs/>
                <w:sz w:val="22"/>
                <w:szCs w:val="22"/>
              </w:rPr>
              <w:t>odbiornik radiofonii cyfrowej – urządzenie służące do odbioru cyfrowych transmisji radiofonicznych, zawierające co najmniej tuner obejmujący głowicę wysokiej częstotliwości i demodulator, a także demultiplekser i dekoder odbieranej usługi oraz antenę lub złącze antenowe;</w:t>
            </w:r>
          </w:p>
          <w:p w14:paraId="040E42A2" w14:textId="77777777" w:rsidR="00354E83" w:rsidRPr="00317ABF" w:rsidRDefault="00354E83" w:rsidP="00354E83">
            <w:pPr>
              <w:pStyle w:val="Tekstpodstawowy"/>
              <w:rPr>
                <w:bCs/>
                <w:sz w:val="22"/>
                <w:szCs w:val="22"/>
              </w:rPr>
            </w:pPr>
          </w:p>
          <w:p w14:paraId="7194DBDC" w14:textId="13566056" w:rsidR="001E1112" w:rsidRPr="00317ABF" w:rsidRDefault="00354E83" w:rsidP="00354E83">
            <w:pPr>
              <w:jc w:val="both"/>
              <w:rPr>
                <w:sz w:val="22"/>
                <w:szCs w:val="22"/>
              </w:rPr>
            </w:pPr>
            <w:r w:rsidRPr="00317ABF">
              <w:rPr>
                <w:sz w:val="22"/>
                <w:szCs w:val="22"/>
              </w:rPr>
              <w:t>odbiornik sygnału telewizyjnego – urządzenie służące do odbioru cyfrowych transmisji telewizyjnych zawierające co najmniej tuner obejmujący głowicę wysokiej częstotliwości i demodulator, demultiplekser i dekoder odbieranej usługi oraz wyświetlacz obrazu albo niezawierające takiego wyświetlacza obraz</w:t>
            </w:r>
            <w:r w:rsidR="00433B77" w:rsidRPr="00317ABF">
              <w:rPr>
                <w:sz w:val="22"/>
                <w:szCs w:val="22"/>
              </w:rPr>
              <w:t>u</w:t>
            </w:r>
          </w:p>
        </w:tc>
      </w:tr>
      <w:tr w:rsidR="001E1112" w:rsidRPr="00317ABF" w14:paraId="30919F33" w14:textId="77777777" w:rsidTr="7753F98D">
        <w:trPr>
          <w:gridAfter w:val="2"/>
          <w:wAfter w:w="175" w:type="dxa"/>
        </w:trPr>
        <w:tc>
          <w:tcPr>
            <w:tcW w:w="704" w:type="dxa"/>
          </w:tcPr>
          <w:p w14:paraId="5588F29B" w14:textId="77777777" w:rsidR="001E1112" w:rsidRPr="00317ABF" w:rsidRDefault="001E1112" w:rsidP="00DB3BEC">
            <w:pPr>
              <w:jc w:val="both"/>
              <w:rPr>
                <w:sz w:val="22"/>
                <w:szCs w:val="22"/>
              </w:rPr>
            </w:pPr>
            <w:r w:rsidRPr="00317ABF">
              <w:rPr>
                <w:sz w:val="22"/>
                <w:szCs w:val="22"/>
              </w:rPr>
              <w:t>Art. 2 pkt 18</w:t>
            </w:r>
          </w:p>
        </w:tc>
        <w:tc>
          <w:tcPr>
            <w:tcW w:w="4308" w:type="dxa"/>
          </w:tcPr>
          <w:p w14:paraId="62548C62" w14:textId="77777777" w:rsidR="001E1112" w:rsidRPr="00317ABF" w:rsidRDefault="001E1112" w:rsidP="00DB3BEC">
            <w:pPr>
              <w:autoSpaceDE w:val="0"/>
              <w:autoSpaceDN w:val="0"/>
              <w:adjustRightInd w:val="0"/>
              <w:jc w:val="both"/>
              <w:rPr>
                <w:rFonts w:eastAsia="EUAlbertina-Regular-Identity-H"/>
                <w:sz w:val="22"/>
                <w:szCs w:val="22"/>
              </w:rPr>
            </w:pPr>
            <w:r w:rsidRPr="00317ABF">
              <w:rPr>
                <w:sz w:val="22"/>
                <w:szCs w:val="22"/>
              </w:rPr>
              <w:t>„interfejs programu aplikacyjnego” lub „API” oznacza oprogramowanie interfejsu między aplikacjami, udostępnione przez nadawców lub dostawców usług oraz zasoby zaawansowanych urządzeń telewizji cyfrowej dla usług telewizji cyfrowej i radiowych;</w:t>
            </w:r>
          </w:p>
        </w:tc>
        <w:tc>
          <w:tcPr>
            <w:tcW w:w="986" w:type="dxa"/>
          </w:tcPr>
          <w:p w14:paraId="769D0D3C" w14:textId="51D588BE" w:rsidR="001E1112" w:rsidRPr="00317ABF" w:rsidRDefault="001E1112" w:rsidP="00DB3BEC">
            <w:pPr>
              <w:jc w:val="both"/>
              <w:rPr>
                <w:sz w:val="22"/>
                <w:szCs w:val="22"/>
              </w:rPr>
            </w:pPr>
            <w:r w:rsidRPr="00317ABF">
              <w:rPr>
                <w:sz w:val="22"/>
                <w:szCs w:val="22"/>
              </w:rPr>
              <w:t>T</w:t>
            </w:r>
          </w:p>
        </w:tc>
        <w:tc>
          <w:tcPr>
            <w:tcW w:w="910" w:type="dxa"/>
          </w:tcPr>
          <w:p w14:paraId="54CD245A" w14:textId="28BEE3EF" w:rsidR="001E1112" w:rsidRPr="00317ABF" w:rsidRDefault="0035500E" w:rsidP="00354E83">
            <w:pPr>
              <w:pStyle w:val="Tekstpodstawowy"/>
              <w:rPr>
                <w:b/>
                <w:noProof/>
                <w:sz w:val="22"/>
                <w:szCs w:val="22"/>
              </w:rPr>
            </w:pPr>
            <w:r w:rsidRPr="00317ABF">
              <w:rPr>
                <w:b/>
                <w:noProof/>
                <w:sz w:val="22"/>
                <w:szCs w:val="22"/>
              </w:rPr>
              <w:t>Art. 2 pkt</w:t>
            </w:r>
            <w:r w:rsidR="00354E83" w:rsidRPr="00317ABF">
              <w:rPr>
                <w:b/>
                <w:noProof/>
                <w:sz w:val="22"/>
                <w:szCs w:val="22"/>
              </w:rPr>
              <w:t xml:space="preserve"> 15</w:t>
            </w:r>
          </w:p>
        </w:tc>
        <w:tc>
          <w:tcPr>
            <w:tcW w:w="6814" w:type="dxa"/>
            <w:gridSpan w:val="2"/>
          </w:tcPr>
          <w:p w14:paraId="1231BE67" w14:textId="4AC076FE" w:rsidR="001E1112" w:rsidRPr="00317ABF" w:rsidRDefault="00354E83" w:rsidP="00354E83">
            <w:pPr>
              <w:jc w:val="both"/>
              <w:rPr>
                <w:bCs/>
                <w:sz w:val="22"/>
                <w:szCs w:val="22"/>
                <w:lang w:eastAsia="en-US"/>
              </w:rPr>
            </w:pPr>
            <w:r w:rsidRPr="00317ABF">
              <w:rPr>
                <w:bCs/>
                <w:sz w:val="22"/>
                <w:szCs w:val="22"/>
                <w:lang w:eastAsia="en-US"/>
              </w:rPr>
              <w:t>15)</w:t>
            </w:r>
            <w:r w:rsidRPr="00317ABF">
              <w:rPr>
                <w:bCs/>
                <w:sz w:val="22"/>
                <w:szCs w:val="22"/>
                <w:lang w:eastAsia="en-US"/>
              </w:rPr>
              <w:tab/>
              <w:t>interfejs programistyczny aplikacji – interfejs umożliwiający łączenie, współpracę, wymianę informacji pomiędzy aplikacjami dostarczanymi przez nadawców lub dostawców usług, a urządzeniami telewizji cyfrowej służącymi do przekazywania cyfrowych sygnałów umożliwiających świadczenie usług telewizyjnych lub radiofonicznych</w:t>
            </w:r>
          </w:p>
        </w:tc>
      </w:tr>
      <w:tr w:rsidR="001E1112" w:rsidRPr="00317ABF" w14:paraId="1283D8BD" w14:textId="77777777" w:rsidTr="7753F98D">
        <w:trPr>
          <w:gridAfter w:val="2"/>
          <w:wAfter w:w="175" w:type="dxa"/>
        </w:trPr>
        <w:tc>
          <w:tcPr>
            <w:tcW w:w="704" w:type="dxa"/>
          </w:tcPr>
          <w:p w14:paraId="56EE788C" w14:textId="77777777" w:rsidR="001E1112" w:rsidRPr="00317ABF" w:rsidRDefault="001E1112" w:rsidP="00DB3BEC">
            <w:pPr>
              <w:jc w:val="both"/>
              <w:rPr>
                <w:sz w:val="22"/>
                <w:szCs w:val="22"/>
              </w:rPr>
            </w:pPr>
            <w:r w:rsidRPr="00317ABF">
              <w:rPr>
                <w:sz w:val="22"/>
                <w:szCs w:val="22"/>
              </w:rPr>
              <w:t>Art. 2 pkt 19</w:t>
            </w:r>
          </w:p>
        </w:tc>
        <w:tc>
          <w:tcPr>
            <w:tcW w:w="4308" w:type="dxa"/>
          </w:tcPr>
          <w:p w14:paraId="286D0F85" w14:textId="77777777" w:rsidR="001E1112" w:rsidRPr="00317ABF" w:rsidRDefault="001E1112" w:rsidP="00DB3BEC">
            <w:pPr>
              <w:autoSpaceDE w:val="0"/>
              <w:autoSpaceDN w:val="0"/>
              <w:adjustRightInd w:val="0"/>
              <w:jc w:val="both"/>
              <w:rPr>
                <w:rFonts w:eastAsia="EUAlbertina-Regular-Identity-H"/>
                <w:sz w:val="22"/>
                <w:szCs w:val="22"/>
              </w:rPr>
            </w:pPr>
            <w:r w:rsidRPr="00317ABF">
              <w:rPr>
                <w:sz w:val="22"/>
                <w:szCs w:val="22"/>
              </w:rPr>
              <w:t xml:space="preserve">„przeznaczenie widma radiowego” oznacza wyznaczenie danego pasma widma radiowego </w:t>
            </w:r>
            <w:r w:rsidRPr="00317ABF">
              <w:rPr>
                <w:sz w:val="22"/>
                <w:szCs w:val="22"/>
              </w:rPr>
              <w:lastRenderedPageBreak/>
              <w:t>do wykorzystywania w celu świadczenia jednego rodzaju lub kilku rodzajów służb radiokomunikacyjnych, w stosownych przypadkach na określonych warunkach;</w:t>
            </w:r>
          </w:p>
        </w:tc>
        <w:tc>
          <w:tcPr>
            <w:tcW w:w="986" w:type="dxa"/>
          </w:tcPr>
          <w:p w14:paraId="36FEB5B0" w14:textId="28A8F146" w:rsidR="001E1112" w:rsidRPr="00317ABF" w:rsidRDefault="001E1112" w:rsidP="00DB3BEC">
            <w:pPr>
              <w:jc w:val="both"/>
              <w:rPr>
                <w:sz w:val="22"/>
                <w:szCs w:val="22"/>
              </w:rPr>
            </w:pPr>
            <w:r w:rsidRPr="00317ABF">
              <w:rPr>
                <w:sz w:val="22"/>
                <w:szCs w:val="22"/>
              </w:rPr>
              <w:lastRenderedPageBreak/>
              <w:t>T</w:t>
            </w:r>
          </w:p>
        </w:tc>
        <w:tc>
          <w:tcPr>
            <w:tcW w:w="910" w:type="dxa"/>
          </w:tcPr>
          <w:p w14:paraId="1B6612A4" w14:textId="4AAF6065" w:rsidR="001E1112" w:rsidRPr="00317ABF" w:rsidRDefault="001E1112" w:rsidP="00DB3BEC">
            <w:pPr>
              <w:pStyle w:val="Tekstpodstawowy"/>
              <w:rPr>
                <w:b/>
                <w:bCs/>
                <w:noProof/>
                <w:sz w:val="22"/>
                <w:szCs w:val="22"/>
              </w:rPr>
            </w:pPr>
            <w:r w:rsidRPr="00317ABF">
              <w:rPr>
                <w:b/>
                <w:bCs/>
                <w:noProof/>
                <w:sz w:val="22"/>
                <w:szCs w:val="22"/>
              </w:rPr>
              <w:t xml:space="preserve">Art. </w:t>
            </w:r>
            <w:r w:rsidR="00010CA7" w:rsidRPr="00317ABF">
              <w:rPr>
                <w:b/>
                <w:bCs/>
                <w:noProof/>
                <w:sz w:val="22"/>
                <w:szCs w:val="22"/>
              </w:rPr>
              <w:t>62</w:t>
            </w:r>
            <w:r w:rsidRPr="00317ABF">
              <w:rPr>
                <w:b/>
                <w:bCs/>
                <w:noProof/>
                <w:sz w:val="22"/>
                <w:szCs w:val="22"/>
              </w:rPr>
              <w:t xml:space="preserve"> ust. 1 i 2</w:t>
            </w:r>
          </w:p>
          <w:p w14:paraId="0875D02A" w14:textId="1BAFC046" w:rsidR="001E1112" w:rsidRPr="00317ABF" w:rsidRDefault="001E1112" w:rsidP="00DB3BEC">
            <w:pPr>
              <w:pStyle w:val="Tekstpodstawowy"/>
              <w:rPr>
                <w:b/>
                <w:bCs/>
                <w:noProof/>
                <w:sz w:val="22"/>
                <w:szCs w:val="22"/>
              </w:rPr>
            </w:pPr>
          </w:p>
          <w:p w14:paraId="0A2890DC" w14:textId="3C420088" w:rsidR="001E1112" w:rsidRPr="00317ABF" w:rsidRDefault="001E1112" w:rsidP="00DB3BEC">
            <w:pPr>
              <w:pStyle w:val="Tekstpodstawowy"/>
              <w:rPr>
                <w:b/>
                <w:bCs/>
                <w:noProof/>
                <w:sz w:val="22"/>
                <w:szCs w:val="22"/>
              </w:rPr>
            </w:pPr>
          </w:p>
          <w:p w14:paraId="6737731B" w14:textId="395B358B" w:rsidR="001E1112" w:rsidRPr="00317ABF" w:rsidRDefault="001E1112" w:rsidP="00DB3BEC">
            <w:pPr>
              <w:pStyle w:val="Tekstpodstawowy"/>
              <w:rPr>
                <w:b/>
                <w:bCs/>
                <w:noProof/>
                <w:sz w:val="22"/>
                <w:szCs w:val="22"/>
              </w:rPr>
            </w:pPr>
          </w:p>
          <w:p w14:paraId="0C81CACE" w14:textId="2311593D" w:rsidR="001E1112" w:rsidRPr="00317ABF" w:rsidRDefault="001E1112" w:rsidP="00DB3BEC">
            <w:pPr>
              <w:pStyle w:val="Tekstpodstawowy"/>
              <w:rPr>
                <w:b/>
                <w:bCs/>
                <w:noProof/>
                <w:sz w:val="22"/>
                <w:szCs w:val="22"/>
              </w:rPr>
            </w:pPr>
          </w:p>
          <w:p w14:paraId="10A49A6E" w14:textId="27697FE2" w:rsidR="001E1112" w:rsidRPr="00317ABF" w:rsidRDefault="001E1112" w:rsidP="00DB3BEC">
            <w:pPr>
              <w:pStyle w:val="Tekstpodstawowy"/>
              <w:rPr>
                <w:b/>
                <w:bCs/>
                <w:noProof/>
                <w:sz w:val="22"/>
                <w:szCs w:val="22"/>
              </w:rPr>
            </w:pPr>
          </w:p>
          <w:p w14:paraId="6E233196" w14:textId="158DDA19" w:rsidR="001E1112" w:rsidRPr="00317ABF" w:rsidRDefault="001E1112" w:rsidP="00DB3BEC">
            <w:pPr>
              <w:pStyle w:val="Tekstpodstawowy"/>
              <w:rPr>
                <w:b/>
                <w:bCs/>
                <w:noProof/>
                <w:sz w:val="22"/>
                <w:szCs w:val="22"/>
              </w:rPr>
            </w:pPr>
          </w:p>
          <w:p w14:paraId="30D7AA69" w14:textId="6F4A4D95" w:rsidR="001E1112" w:rsidRPr="00317ABF" w:rsidRDefault="001E1112" w:rsidP="00DB3BEC">
            <w:pPr>
              <w:pStyle w:val="Tekstpodstawowy"/>
              <w:rPr>
                <w:b/>
                <w:bCs/>
                <w:noProof/>
                <w:sz w:val="22"/>
                <w:szCs w:val="22"/>
              </w:rPr>
            </w:pPr>
            <w:r w:rsidRPr="00317ABF">
              <w:rPr>
                <w:b/>
                <w:bCs/>
                <w:noProof/>
                <w:sz w:val="22"/>
                <w:szCs w:val="22"/>
              </w:rPr>
              <w:t xml:space="preserve">Art. 2 pkt 60, </w:t>
            </w:r>
            <w:r w:rsidR="00904D3B" w:rsidRPr="00317ABF">
              <w:rPr>
                <w:b/>
                <w:bCs/>
                <w:noProof/>
                <w:sz w:val="22"/>
                <w:szCs w:val="22"/>
              </w:rPr>
              <w:t>83, 84, 85</w:t>
            </w:r>
          </w:p>
        </w:tc>
        <w:tc>
          <w:tcPr>
            <w:tcW w:w="6814" w:type="dxa"/>
            <w:gridSpan w:val="2"/>
          </w:tcPr>
          <w:p w14:paraId="1F8B73CE" w14:textId="6605D124" w:rsidR="001E1112" w:rsidRPr="00317ABF" w:rsidRDefault="001E1112" w:rsidP="00DB3BEC">
            <w:pPr>
              <w:jc w:val="both"/>
              <w:rPr>
                <w:sz w:val="22"/>
                <w:szCs w:val="22"/>
              </w:rPr>
            </w:pPr>
            <w:r w:rsidRPr="00317ABF">
              <w:rPr>
                <w:sz w:val="22"/>
                <w:szCs w:val="22"/>
              </w:rPr>
              <w:lastRenderedPageBreak/>
              <w:t xml:space="preserve">1. Przeznaczenie dla poszczególnych służb radiokomunikacyjnych częstotliwości lub zakresów częstotliwości, zwanych dalej </w:t>
            </w:r>
            <w:r w:rsidRPr="00317ABF">
              <w:rPr>
                <w:sz w:val="22"/>
                <w:szCs w:val="22"/>
              </w:rPr>
              <w:lastRenderedPageBreak/>
              <w:t>„częstotliwościami”, oraz ich użytkowanie określa się w Krajowej Tablicy Przeznaczeń Częstotliwości.</w:t>
            </w:r>
          </w:p>
          <w:p w14:paraId="6079A997" w14:textId="77777777" w:rsidR="001E1112" w:rsidRPr="00317ABF" w:rsidRDefault="001E1112" w:rsidP="00DB3BEC">
            <w:pPr>
              <w:pStyle w:val="USTustnpkodeksu"/>
              <w:keepNext/>
              <w:spacing w:line="240" w:lineRule="auto"/>
              <w:ind w:firstLine="0"/>
              <w:rPr>
                <w:rFonts w:ascii="Times New Roman" w:hAnsi="Times New Roman" w:cs="Times New Roman"/>
                <w:sz w:val="22"/>
                <w:szCs w:val="22"/>
              </w:rPr>
            </w:pPr>
            <w:r w:rsidRPr="00317ABF">
              <w:rPr>
                <w:rFonts w:ascii="Times New Roman" w:hAnsi="Times New Roman" w:cs="Times New Roman"/>
                <w:sz w:val="22"/>
                <w:szCs w:val="22"/>
              </w:rPr>
              <w:t>2. Częstotliwości mogą być użytkowane jako:</w:t>
            </w:r>
          </w:p>
          <w:p w14:paraId="366BE1CB" w14:textId="77777777" w:rsidR="001E1112" w:rsidRPr="00317ABF" w:rsidRDefault="001E1112" w:rsidP="00DB3BEC">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1)</w:t>
            </w:r>
            <w:r w:rsidRPr="00317ABF">
              <w:rPr>
                <w:rFonts w:ascii="Times New Roman" w:hAnsi="Times New Roman" w:cs="Times New Roman"/>
                <w:sz w:val="22"/>
                <w:szCs w:val="22"/>
              </w:rPr>
              <w:tab/>
              <w:t>cywilne;</w:t>
            </w:r>
          </w:p>
          <w:p w14:paraId="63C1FDB7" w14:textId="77777777" w:rsidR="001E1112" w:rsidRPr="00317ABF" w:rsidRDefault="001E1112" w:rsidP="00DB3BEC">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2)</w:t>
            </w:r>
            <w:r w:rsidRPr="00317ABF">
              <w:rPr>
                <w:rFonts w:ascii="Times New Roman" w:hAnsi="Times New Roman" w:cs="Times New Roman"/>
                <w:sz w:val="22"/>
                <w:szCs w:val="22"/>
              </w:rPr>
              <w:tab/>
              <w:t>rządowe;</w:t>
            </w:r>
          </w:p>
          <w:p w14:paraId="4F02798D" w14:textId="242F2E92" w:rsidR="001E1112" w:rsidRPr="00317ABF" w:rsidRDefault="001E1112" w:rsidP="00DB3BEC">
            <w:pPr>
              <w:jc w:val="both"/>
              <w:rPr>
                <w:sz w:val="22"/>
                <w:szCs w:val="22"/>
              </w:rPr>
            </w:pPr>
            <w:r w:rsidRPr="00317ABF">
              <w:rPr>
                <w:sz w:val="22"/>
                <w:szCs w:val="22"/>
              </w:rPr>
              <w:t>3)</w:t>
            </w:r>
            <w:r w:rsidRPr="00317ABF">
              <w:rPr>
                <w:sz w:val="22"/>
                <w:szCs w:val="22"/>
              </w:rPr>
              <w:tab/>
              <w:t>cywilno-rządowe.</w:t>
            </w:r>
          </w:p>
          <w:p w14:paraId="7A3F72E3" w14:textId="7D2663FB" w:rsidR="001E1112" w:rsidRPr="00317ABF" w:rsidRDefault="001E1112" w:rsidP="00DB3BEC">
            <w:pPr>
              <w:jc w:val="both"/>
              <w:rPr>
                <w:sz w:val="22"/>
                <w:szCs w:val="22"/>
              </w:rPr>
            </w:pPr>
          </w:p>
          <w:p w14:paraId="16ED7B4B" w14:textId="2382308C" w:rsidR="0051289E" w:rsidRPr="00317ABF" w:rsidRDefault="001E1112" w:rsidP="00DB3BEC">
            <w:pPr>
              <w:jc w:val="both"/>
              <w:rPr>
                <w:rFonts w:eastAsia="Times"/>
                <w:sz w:val="22"/>
                <w:szCs w:val="22"/>
              </w:rPr>
            </w:pPr>
            <w:r w:rsidRPr="00317ABF">
              <w:rPr>
                <w:rFonts w:eastAsia="Times"/>
                <w:sz w:val="22"/>
                <w:szCs w:val="22"/>
              </w:rPr>
              <w:t>nadawanie, przesyłanie lub odbiór fal radiowych dla wypełnienia zadań określonych dla danej służby w międzynarodowych przepisach radiokomunikacyjnych;</w:t>
            </w:r>
          </w:p>
          <w:p w14:paraId="79AE01A6" w14:textId="77777777" w:rsidR="00904D3B" w:rsidRPr="00317ABF" w:rsidRDefault="00904D3B" w:rsidP="00DB3BEC">
            <w:pPr>
              <w:jc w:val="both"/>
              <w:rPr>
                <w:sz w:val="22"/>
                <w:szCs w:val="22"/>
              </w:rPr>
            </w:pPr>
          </w:p>
          <w:p w14:paraId="4DAE621A" w14:textId="77777777" w:rsidR="00904D3B" w:rsidRPr="00317ABF" w:rsidRDefault="00904D3B" w:rsidP="00904D3B">
            <w:pPr>
              <w:pStyle w:val="PKTpunkt0"/>
              <w:spacing w:line="240" w:lineRule="auto"/>
              <w:ind w:left="0" w:firstLine="0"/>
              <w:rPr>
                <w:rFonts w:ascii="Times New Roman" w:eastAsia="Times" w:hAnsi="Times New Roman" w:cs="Times New Roman"/>
                <w:bCs w:val="0"/>
                <w:sz w:val="22"/>
                <w:szCs w:val="22"/>
              </w:rPr>
            </w:pPr>
            <w:r w:rsidRPr="00317ABF">
              <w:rPr>
                <w:rFonts w:ascii="Times New Roman" w:eastAsia="Times" w:hAnsi="Times New Roman" w:cs="Times New Roman"/>
                <w:bCs w:val="0"/>
                <w:sz w:val="22"/>
                <w:szCs w:val="22"/>
              </w:rPr>
              <w:t>83) użytkowanie cywilne – wykonywanie służby radiokomunikacyjnej przez podmioty inne niż podmioty będące użytkownikami rządowymi, w celu zaspokojenia potrzeb społecznych związanych z komunikacją bezprzewodową, realizowanego w szczególności przez dostawców usług telekomunikacyjnych oraz nadawców radiofonicznych i telewizyjnych z wykorzystaniem częstotliwości przeznaczonych w Krajowej Tablicy Przeznaczeń Częstotliwości do użytkowania cywilnego;</w:t>
            </w:r>
          </w:p>
          <w:p w14:paraId="35F6577D" w14:textId="71AED72D" w:rsidR="00904D3B" w:rsidRPr="00317ABF" w:rsidRDefault="00904D3B" w:rsidP="00904D3B">
            <w:pPr>
              <w:pStyle w:val="PKTpunkt0"/>
              <w:spacing w:line="240" w:lineRule="auto"/>
              <w:ind w:left="0" w:firstLine="0"/>
              <w:rPr>
                <w:rFonts w:ascii="Times New Roman" w:eastAsia="Times" w:hAnsi="Times New Roman" w:cs="Times New Roman"/>
                <w:bCs w:val="0"/>
                <w:sz w:val="22"/>
                <w:szCs w:val="22"/>
              </w:rPr>
            </w:pPr>
            <w:r w:rsidRPr="00317ABF">
              <w:rPr>
                <w:rFonts w:ascii="Times New Roman" w:eastAsia="Times" w:hAnsi="Times New Roman" w:cs="Times New Roman"/>
                <w:bCs w:val="0"/>
                <w:sz w:val="22"/>
                <w:szCs w:val="22"/>
              </w:rPr>
              <w:t>84) użytkowanie cywilno-rządowe – wykonywanie, zarówno służby radiokomunikacyjnej w celu zaspokojenia potrzeb społecznych związanych z komunikacją bezprzewodową realizowanej, w szczególności przez dostawców usług telekomunikacyjnych oraz nadawców radiofonicznych i telewizyjnych, jak i wykonywanie służby radiokomunikacyjnej przez użytkowników rządowych, z wykorzystaniem częstotliwości przeznaczonych w Krajowej Tablicy Przeznaczeń Częstotliwości do użytkowania cywilno-rządowego;</w:t>
            </w:r>
          </w:p>
          <w:p w14:paraId="46871A4C" w14:textId="77777777" w:rsidR="00904D3B" w:rsidRPr="00317ABF" w:rsidRDefault="00904D3B" w:rsidP="00904D3B">
            <w:pPr>
              <w:pStyle w:val="PKTpunkt0"/>
              <w:spacing w:line="240" w:lineRule="auto"/>
              <w:ind w:left="0" w:firstLine="0"/>
              <w:rPr>
                <w:rFonts w:ascii="Times New Roman" w:eastAsia="Times" w:hAnsi="Times New Roman" w:cs="Times New Roman"/>
                <w:bCs w:val="0"/>
                <w:sz w:val="22"/>
                <w:szCs w:val="22"/>
              </w:rPr>
            </w:pPr>
            <w:r w:rsidRPr="00317ABF">
              <w:rPr>
                <w:rFonts w:ascii="Times New Roman" w:eastAsia="Times" w:hAnsi="Times New Roman" w:cs="Times New Roman"/>
                <w:bCs w:val="0"/>
                <w:sz w:val="22"/>
                <w:szCs w:val="22"/>
              </w:rPr>
              <w:t xml:space="preserve">85) </w:t>
            </w:r>
            <w:r w:rsidR="001E1112" w:rsidRPr="00317ABF">
              <w:rPr>
                <w:rFonts w:ascii="Times New Roman" w:eastAsia="Times" w:hAnsi="Times New Roman" w:cs="Times New Roman"/>
                <w:sz w:val="22"/>
                <w:szCs w:val="22"/>
              </w:rPr>
              <w:t>użytkowanie rządowe – wykonywanie służby radiokomunikacyjnej przez użytkowników rządowych, z wykorzystaniem częstotliwości przeznaczonych w Krajowej Tablicy Przeznaczeń Częstotliwości do użytkowania rządowego, w szczególności dla takich celów jak: obronność, bezpieczeństwo państwa, bezpieczeństwo i porządek publiczny oraz ochrona zdrowia i mienia obywateli;</w:t>
            </w:r>
          </w:p>
          <w:p w14:paraId="7196D064" w14:textId="10093E79" w:rsidR="001E1112" w:rsidRPr="00317ABF" w:rsidRDefault="001E1112" w:rsidP="00904D3B">
            <w:pPr>
              <w:jc w:val="both"/>
              <w:rPr>
                <w:sz w:val="22"/>
                <w:szCs w:val="22"/>
              </w:rPr>
            </w:pPr>
          </w:p>
        </w:tc>
      </w:tr>
      <w:tr w:rsidR="001E1112" w:rsidRPr="00317ABF" w14:paraId="769CE367" w14:textId="77777777" w:rsidTr="7753F98D">
        <w:trPr>
          <w:gridAfter w:val="2"/>
          <w:wAfter w:w="175" w:type="dxa"/>
        </w:trPr>
        <w:tc>
          <w:tcPr>
            <w:tcW w:w="704" w:type="dxa"/>
          </w:tcPr>
          <w:p w14:paraId="77AB02DB" w14:textId="77777777" w:rsidR="001E1112" w:rsidRPr="00317ABF" w:rsidRDefault="001E1112" w:rsidP="00DB3BEC">
            <w:pPr>
              <w:jc w:val="both"/>
              <w:rPr>
                <w:sz w:val="22"/>
                <w:szCs w:val="22"/>
              </w:rPr>
            </w:pPr>
            <w:r w:rsidRPr="00317ABF">
              <w:rPr>
                <w:sz w:val="22"/>
                <w:szCs w:val="22"/>
              </w:rPr>
              <w:lastRenderedPageBreak/>
              <w:t>Art. 2 pkt 20</w:t>
            </w:r>
          </w:p>
        </w:tc>
        <w:tc>
          <w:tcPr>
            <w:tcW w:w="4308" w:type="dxa"/>
          </w:tcPr>
          <w:p w14:paraId="1C22F40D" w14:textId="77777777" w:rsidR="001E1112" w:rsidRPr="00317ABF" w:rsidRDefault="001E1112" w:rsidP="00DB3BEC">
            <w:pPr>
              <w:autoSpaceDE w:val="0"/>
              <w:autoSpaceDN w:val="0"/>
              <w:adjustRightInd w:val="0"/>
              <w:jc w:val="both"/>
              <w:rPr>
                <w:rFonts w:eastAsia="EUAlbertina-Regular-Identity-H"/>
                <w:sz w:val="22"/>
                <w:szCs w:val="22"/>
              </w:rPr>
            </w:pPr>
            <w:r w:rsidRPr="00317ABF">
              <w:rPr>
                <w:sz w:val="22"/>
                <w:szCs w:val="22"/>
              </w:rPr>
              <w:t xml:space="preserve">„szkodliwe zakłócenia” oznaczają zakłócenia, które zagrażają funkcjonowaniu usług radionawigacyjnych lub innych usług związanych z bezpieczeństwem lub które w inny sposób poważnie pogarszają, utrudniają lub wielokrotnie zakłócają usługę </w:t>
            </w:r>
            <w:r w:rsidRPr="00317ABF">
              <w:rPr>
                <w:sz w:val="22"/>
                <w:szCs w:val="22"/>
              </w:rPr>
              <w:lastRenderedPageBreak/>
              <w:t>radiokomunikacyjną odbywającą się zgodnie z obowiązującymi przepisami międzynarodowymi, unijnymi lub krajowymi;</w:t>
            </w:r>
          </w:p>
        </w:tc>
        <w:tc>
          <w:tcPr>
            <w:tcW w:w="986" w:type="dxa"/>
          </w:tcPr>
          <w:p w14:paraId="34FF1C98" w14:textId="44B661D6" w:rsidR="001E1112" w:rsidRPr="00317ABF" w:rsidRDefault="001E1112" w:rsidP="00DB3BEC">
            <w:pPr>
              <w:jc w:val="both"/>
              <w:rPr>
                <w:sz w:val="22"/>
                <w:szCs w:val="22"/>
              </w:rPr>
            </w:pPr>
            <w:r w:rsidRPr="00317ABF">
              <w:rPr>
                <w:sz w:val="22"/>
                <w:szCs w:val="22"/>
              </w:rPr>
              <w:lastRenderedPageBreak/>
              <w:t>T</w:t>
            </w:r>
          </w:p>
        </w:tc>
        <w:tc>
          <w:tcPr>
            <w:tcW w:w="910" w:type="dxa"/>
          </w:tcPr>
          <w:p w14:paraId="6D072C0D" w14:textId="283D0D9E" w:rsidR="001E1112" w:rsidRPr="00317ABF" w:rsidRDefault="001E1112" w:rsidP="00DB3BEC">
            <w:pPr>
              <w:pStyle w:val="Tekstpodstawowy"/>
              <w:rPr>
                <w:b/>
                <w:bCs/>
                <w:noProof/>
                <w:sz w:val="22"/>
                <w:szCs w:val="22"/>
              </w:rPr>
            </w:pPr>
            <w:r w:rsidRPr="00317ABF">
              <w:rPr>
                <w:b/>
                <w:bCs/>
                <w:noProof/>
                <w:sz w:val="22"/>
                <w:szCs w:val="22"/>
              </w:rPr>
              <w:t xml:space="preserve">Art. 2 pkt </w:t>
            </w:r>
            <w:r w:rsidR="004A5033" w:rsidRPr="00317ABF">
              <w:rPr>
                <w:b/>
                <w:bCs/>
                <w:noProof/>
                <w:sz w:val="22"/>
                <w:szCs w:val="22"/>
              </w:rPr>
              <w:t>68</w:t>
            </w:r>
          </w:p>
        </w:tc>
        <w:tc>
          <w:tcPr>
            <w:tcW w:w="6814" w:type="dxa"/>
            <w:gridSpan w:val="2"/>
          </w:tcPr>
          <w:p w14:paraId="7CDF5FF3" w14:textId="5D7373C0" w:rsidR="001E1112" w:rsidRPr="00317ABF" w:rsidRDefault="001E1112" w:rsidP="004A5033">
            <w:pPr>
              <w:pStyle w:val="PKTpunkt0"/>
              <w:keepNext/>
              <w:spacing w:line="240" w:lineRule="auto"/>
              <w:rPr>
                <w:rFonts w:ascii="Times New Roman" w:eastAsia="Times" w:hAnsi="Times New Roman" w:cs="Times New Roman"/>
                <w:sz w:val="22"/>
                <w:szCs w:val="22"/>
              </w:rPr>
            </w:pPr>
            <w:r w:rsidRPr="00317ABF">
              <w:rPr>
                <w:rFonts w:ascii="Times New Roman" w:eastAsia="Times" w:hAnsi="Times New Roman" w:cs="Times New Roman"/>
                <w:sz w:val="22"/>
                <w:szCs w:val="22"/>
              </w:rPr>
              <w:t>szkodliwe zakłócenia – zakłócenia, które:</w:t>
            </w:r>
          </w:p>
          <w:p w14:paraId="2E329CD6" w14:textId="77777777" w:rsidR="004A5033" w:rsidRPr="00317ABF" w:rsidRDefault="004A5033" w:rsidP="004A5033">
            <w:pPr>
              <w:pStyle w:val="LITlitera"/>
              <w:spacing w:line="240" w:lineRule="auto"/>
              <w:ind w:left="388" w:hanging="388"/>
              <w:rPr>
                <w:rFonts w:ascii="Times New Roman" w:eastAsia="Times" w:hAnsi="Times New Roman" w:cs="Times New Roman"/>
                <w:bCs w:val="0"/>
                <w:sz w:val="22"/>
                <w:szCs w:val="22"/>
              </w:rPr>
            </w:pPr>
            <w:r w:rsidRPr="00317ABF">
              <w:rPr>
                <w:rFonts w:ascii="Times New Roman" w:eastAsia="Times" w:hAnsi="Times New Roman" w:cs="Times New Roman"/>
                <w:bCs w:val="0"/>
                <w:sz w:val="22"/>
                <w:szCs w:val="22"/>
              </w:rPr>
              <w:t xml:space="preserve">a) </w:t>
            </w:r>
            <w:r w:rsidRPr="00317ABF">
              <w:rPr>
                <w:rFonts w:ascii="Times New Roman" w:eastAsia="Times" w:hAnsi="Times New Roman" w:cs="Times New Roman"/>
                <w:bCs w:val="0"/>
                <w:sz w:val="22"/>
                <w:szCs w:val="22"/>
              </w:rPr>
              <w:tab/>
              <w:t>zagrażają funkcjonowaniu służby radionawigacyjnej lub innej służby radiokomunikacyjnej związanej z bezpieczeństwem lub</w:t>
            </w:r>
          </w:p>
          <w:p w14:paraId="48A21919" w14:textId="3FF7FE48" w:rsidR="001E1112" w:rsidRPr="00317ABF" w:rsidRDefault="001E1112" w:rsidP="00DB3BEC">
            <w:pPr>
              <w:jc w:val="both"/>
              <w:rPr>
                <w:sz w:val="22"/>
                <w:szCs w:val="22"/>
              </w:rPr>
            </w:pPr>
            <w:r w:rsidRPr="00317ABF">
              <w:rPr>
                <w:rFonts w:eastAsia="Times"/>
                <w:sz w:val="22"/>
                <w:szCs w:val="22"/>
              </w:rPr>
              <w:t>b) w sposób poważny pogarszają, utrudniają lub wielokrotnie przerywają wykonywanie służby radiokomunikacyjnej działającej zgodnie z przepisami prawa;</w:t>
            </w:r>
          </w:p>
        </w:tc>
      </w:tr>
      <w:tr w:rsidR="001E1112" w:rsidRPr="00317ABF" w14:paraId="0D52D9D2" w14:textId="77777777" w:rsidTr="7753F98D">
        <w:trPr>
          <w:gridAfter w:val="2"/>
          <w:wAfter w:w="175" w:type="dxa"/>
        </w:trPr>
        <w:tc>
          <w:tcPr>
            <w:tcW w:w="704" w:type="dxa"/>
          </w:tcPr>
          <w:p w14:paraId="234462A7" w14:textId="77777777" w:rsidR="001E1112" w:rsidRPr="00317ABF" w:rsidRDefault="001E1112" w:rsidP="00DB3BEC">
            <w:pPr>
              <w:jc w:val="both"/>
              <w:rPr>
                <w:sz w:val="22"/>
                <w:szCs w:val="22"/>
              </w:rPr>
            </w:pPr>
            <w:r w:rsidRPr="00317ABF">
              <w:rPr>
                <w:sz w:val="22"/>
                <w:szCs w:val="22"/>
              </w:rPr>
              <w:lastRenderedPageBreak/>
              <w:t>Art. 2 pkt 21</w:t>
            </w:r>
          </w:p>
        </w:tc>
        <w:tc>
          <w:tcPr>
            <w:tcW w:w="4308" w:type="dxa"/>
          </w:tcPr>
          <w:p w14:paraId="4CA8E999" w14:textId="77777777" w:rsidR="001E1112" w:rsidRPr="00317ABF" w:rsidRDefault="001E1112" w:rsidP="00DB3BEC">
            <w:pPr>
              <w:autoSpaceDE w:val="0"/>
              <w:autoSpaceDN w:val="0"/>
              <w:adjustRightInd w:val="0"/>
              <w:jc w:val="both"/>
              <w:rPr>
                <w:rFonts w:eastAsia="EUAlbertina-Regular-Identity-H"/>
                <w:sz w:val="22"/>
                <w:szCs w:val="22"/>
              </w:rPr>
            </w:pPr>
            <w:r w:rsidRPr="00317ABF">
              <w:rPr>
                <w:sz w:val="22"/>
                <w:szCs w:val="22"/>
              </w:rPr>
              <w:t>„bezpieczeństwo sieci i usług” oznacza zdolność sieci i usług łączności elektronicznej do odpierania, na danym poziomie pewności, wszelkich działań naruszających dostępność, autentyczność, integralność lub poufność tych sieci i usług, przechowywanych, przekazywanych lub przetwarzanych danych lub związanych z nimi usług oferowanych przez te sieci lub usługi łączności elektronicznej lub dostępnych za ich pośrednictwem;</w:t>
            </w:r>
          </w:p>
        </w:tc>
        <w:tc>
          <w:tcPr>
            <w:tcW w:w="986" w:type="dxa"/>
          </w:tcPr>
          <w:p w14:paraId="6BD18F9B" w14:textId="059C5EF2" w:rsidR="001E1112" w:rsidRPr="00317ABF" w:rsidRDefault="001E1112" w:rsidP="00DB3BEC">
            <w:pPr>
              <w:jc w:val="both"/>
              <w:rPr>
                <w:sz w:val="22"/>
                <w:szCs w:val="22"/>
              </w:rPr>
            </w:pPr>
            <w:r w:rsidRPr="00317ABF">
              <w:rPr>
                <w:sz w:val="22"/>
                <w:szCs w:val="22"/>
              </w:rPr>
              <w:t>T</w:t>
            </w:r>
          </w:p>
        </w:tc>
        <w:tc>
          <w:tcPr>
            <w:tcW w:w="910" w:type="dxa"/>
          </w:tcPr>
          <w:p w14:paraId="238601FE" w14:textId="5164F297" w:rsidR="001E1112" w:rsidRPr="00317ABF" w:rsidRDefault="001E1112" w:rsidP="00DB3BEC">
            <w:pPr>
              <w:pStyle w:val="Tekstpodstawowy"/>
              <w:rPr>
                <w:b/>
                <w:noProof/>
                <w:sz w:val="22"/>
                <w:szCs w:val="22"/>
              </w:rPr>
            </w:pPr>
            <w:r w:rsidRPr="00317ABF">
              <w:rPr>
                <w:b/>
                <w:noProof/>
                <w:sz w:val="22"/>
                <w:szCs w:val="22"/>
              </w:rPr>
              <w:t>Art. 2 pkt 4</w:t>
            </w:r>
          </w:p>
        </w:tc>
        <w:tc>
          <w:tcPr>
            <w:tcW w:w="6814" w:type="dxa"/>
            <w:gridSpan w:val="2"/>
          </w:tcPr>
          <w:p w14:paraId="0F4B1AE3" w14:textId="77777777" w:rsidR="001E1112" w:rsidRPr="00317ABF" w:rsidRDefault="001E1112" w:rsidP="00DB3BEC">
            <w:pPr>
              <w:jc w:val="both"/>
              <w:rPr>
                <w:sz w:val="22"/>
                <w:szCs w:val="22"/>
              </w:rPr>
            </w:pPr>
            <w:r w:rsidRPr="00317ABF">
              <w:rPr>
                <w:sz w:val="22"/>
                <w:szCs w:val="22"/>
              </w:rPr>
              <w:t>bezpieczeństwo sieci i usług ¬– zdolność sieci telekomunikacyjnych lub usług komunikacji elektronicznej do odpierania wszelkich działań naruszających dostępność, autentyczność, integralność lub poufność:</w:t>
            </w:r>
          </w:p>
          <w:p w14:paraId="4F5325E5" w14:textId="77777777" w:rsidR="001E1112" w:rsidRPr="00317ABF" w:rsidRDefault="001E1112" w:rsidP="00DB3BEC">
            <w:pPr>
              <w:jc w:val="both"/>
              <w:rPr>
                <w:sz w:val="22"/>
                <w:szCs w:val="22"/>
              </w:rPr>
            </w:pPr>
            <w:r w:rsidRPr="00317ABF">
              <w:rPr>
                <w:sz w:val="22"/>
                <w:szCs w:val="22"/>
              </w:rPr>
              <w:t xml:space="preserve">a) tych sieci lub usług, </w:t>
            </w:r>
          </w:p>
          <w:p w14:paraId="43E19B35" w14:textId="77777777" w:rsidR="001E1112" w:rsidRPr="00317ABF" w:rsidRDefault="001E1112" w:rsidP="00DB3BEC">
            <w:pPr>
              <w:jc w:val="both"/>
              <w:rPr>
                <w:sz w:val="22"/>
                <w:szCs w:val="22"/>
              </w:rPr>
            </w:pPr>
            <w:r w:rsidRPr="00317ABF">
              <w:rPr>
                <w:sz w:val="22"/>
                <w:szCs w:val="22"/>
              </w:rPr>
              <w:t xml:space="preserve">b) przetwarzanych danych i treści objętych tajemnicą komunikacji elektronicznej, </w:t>
            </w:r>
          </w:p>
          <w:p w14:paraId="0F3CABC7" w14:textId="410C1200" w:rsidR="001E1112" w:rsidRPr="00317ABF" w:rsidRDefault="001E1112" w:rsidP="00DB3BEC">
            <w:pPr>
              <w:jc w:val="both"/>
              <w:rPr>
                <w:sz w:val="22"/>
                <w:szCs w:val="22"/>
              </w:rPr>
            </w:pPr>
            <w:r w:rsidRPr="00317ABF">
              <w:rPr>
                <w:sz w:val="22"/>
                <w:szCs w:val="22"/>
              </w:rPr>
              <w:t>c) innych świadczonych przez przedsiębiorcę komunikacji elektronicznej usług związanych z usługami komunikacji elektronicznej lub sieciami telekomunikacyjnymi tego przedsiębiorcy;</w:t>
            </w:r>
          </w:p>
        </w:tc>
      </w:tr>
      <w:tr w:rsidR="001E1112" w:rsidRPr="00317ABF" w14:paraId="4911FF76" w14:textId="77777777" w:rsidTr="7753F98D">
        <w:trPr>
          <w:gridAfter w:val="2"/>
          <w:wAfter w:w="175" w:type="dxa"/>
        </w:trPr>
        <w:tc>
          <w:tcPr>
            <w:tcW w:w="704" w:type="dxa"/>
          </w:tcPr>
          <w:p w14:paraId="3BAF4E91" w14:textId="77777777" w:rsidR="001E1112" w:rsidRPr="00317ABF" w:rsidRDefault="001E1112" w:rsidP="00DB3BEC">
            <w:pPr>
              <w:jc w:val="both"/>
              <w:rPr>
                <w:sz w:val="22"/>
                <w:szCs w:val="22"/>
              </w:rPr>
            </w:pPr>
            <w:r w:rsidRPr="00317ABF">
              <w:rPr>
                <w:sz w:val="22"/>
                <w:szCs w:val="22"/>
              </w:rPr>
              <w:t>Art. 2 pkt 22</w:t>
            </w:r>
          </w:p>
        </w:tc>
        <w:tc>
          <w:tcPr>
            <w:tcW w:w="4308" w:type="dxa"/>
          </w:tcPr>
          <w:p w14:paraId="50153913" w14:textId="77777777" w:rsidR="001E1112" w:rsidRPr="00317ABF" w:rsidRDefault="001E1112" w:rsidP="00DB3BEC">
            <w:pPr>
              <w:autoSpaceDE w:val="0"/>
              <w:autoSpaceDN w:val="0"/>
              <w:adjustRightInd w:val="0"/>
              <w:jc w:val="both"/>
              <w:rPr>
                <w:rFonts w:eastAsia="EUAlbertina-Regular-Identity-H"/>
                <w:sz w:val="22"/>
                <w:szCs w:val="22"/>
              </w:rPr>
            </w:pPr>
            <w:r w:rsidRPr="00317ABF">
              <w:rPr>
                <w:sz w:val="22"/>
                <w:szCs w:val="22"/>
              </w:rPr>
              <w:t>„ogólne zezwolenie” oznacza ramy prawne określone przez państwo członkowskie zapewniające prawo świadczenia dostępu do sieci oraz usług łączności elektronicznej oraz określające szczególne obowiązki sektorowe, jakie mogą mieć zastosowanie w odniesieniu do wszystkich lub poszczególnych rodzajów sieci i usług łączności elektronicznej, zgodnie z niniejszą dyrektywą;</w:t>
            </w:r>
          </w:p>
        </w:tc>
        <w:tc>
          <w:tcPr>
            <w:tcW w:w="986" w:type="dxa"/>
          </w:tcPr>
          <w:p w14:paraId="5B08B5D1" w14:textId="6D9048CC" w:rsidR="001E1112" w:rsidRPr="00317ABF" w:rsidRDefault="001E1112" w:rsidP="00DB3BEC">
            <w:pPr>
              <w:jc w:val="both"/>
              <w:rPr>
                <w:sz w:val="22"/>
                <w:szCs w:val="22"/>
              </w:rPr>
            </w:pPr>
            <w:r w:rsidRPr="00317ABF">
              <w:rPr>
                <w:sz w:val="22"/>
                <w:szCs w:val="22"/>
              </w:rPr>
              <w:t>N</w:t>
            </w:r>
          </w:p>
        </w:tc>
        <w:tc>
          <w:tcPr>
            <w:tcW w:w="910" w:type="dxa"/>
          </w:tcPr>
          <w:p w14:paraId="16DEB4AB" w14:textId="31EA8B4A" w:rsidR="001E1112" w:rsidRPr="00317ABF" w:rsidRDefault="001E1112" w:rsidP="00DB3BEC">
            <w:pPr>
              <w:pStyle w:val="Tekstpodstawowy"/>
              <w:rPr>
                <w:b/>
                <w:bCs/>
                <w:noProof/>
                <w:sz w:val="22"/>
                <w:szCs w:val="22"/>
              </w:rPr>
            </w:pPr>
            <w:r w:rsidRPr="00317ABF">
              <w:rPr>
                <w:b/>
                <w:bCs/>
                <w:noProof/>
                <w:sz w:val="22"/>
                <w:szCs w:val="22"/>
              </w:rPr>
              <w:t xml:space="preserve">Przepisy ustawy Prawo komunikacji elektronicznej i aktów wykonawczych - całokształt regulacji </w:t>
            </w:r>
          </w:p>
        </w:tc>
        <w:tc>
          <w:tcPr>
            <w:tcW w:w="6814" w:type="dxa"/>
            <w:gridSpan w:val="2"/>
          </w:tcPr>
          <w:p w14:paraId="78431F9C" w14:textId="2C7D81B0" w:rsidR="001E1112" w:rsidRPr="00317ABF" w:rsidRDefault="001E1112" w:rsidP="00E519A8">
            <w:pPr>
              <w:jc w:val="both"/>
              <w:rPr>
                <w:sz w:val="22"/>
                <w:szCs w:val="22"/>
              </w:rPr>
            </w:pPr>
            <w:r w:rsidRPr="00317ABF">
              <w:rPr>
                <w:rFonts w:eastAsia="Times"/>
                <w:b/>
                <w:bCs/>
                <w:sz w:val="22"/>
                <w:szCs w:val="22"/>
              </w:rPr>
              <w:t>Art. 1.</w:t>
            </w:r>
            <w:r w:rsidRPr="00317ABF">
              <w:rPr>
                <w:rFonts w:eastAsia="Times"/>
                <w:sz w:val="22"/>
                <w:szCs w:val="22"/>
              </w:rPr>
              <w:t xml:space="preserve"> Ustawa określa:</w:t>
            </w:r>
          </w:p>
          <w:p w14:paraId="25A1560C" w14:textId="77777777" w:rsidR="001B541E" w:rsidRPr="00317ABF" w:rsidRDefault="001B541E" w:rsidP="001B541E">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 xml:space="preserve">1) </w:t>
            </w:r>
            <w:r w:rsidRPr="00317ABF">
              <w:rPr>
                <w:rFonts w:ascii="Times New Roman" w:hAnsi="Times New Roman" w:cs="Times New Roman"/>
                <w:sz w:val="22"/>
                <w:szCs w:val="22"/>
              </w:rPr>
              <w:tab/>
              <w:t>zasady podejmowania, wykonywania i kontroli działalności polegającej na zapewnianiu komunikacji elektronicznej, zwanej dalej „działalnością komunikacji elektronicznej”, obejmującej:</w:t>
            </w:r>
          </w:p>
          <w:p w14:paraId="396EC8C6" w14:textId="77777777" w:rsidR="001B541E" w:rsidRPr="00317ABF" w:rsidRDefault="001B541E" w:rsidP="001B541E">
            <w:pPr>
              <w:pStyle w:val="LITlitera"/>
              <w:spacing w:line="240" w:lineRule="auto"/>
              <w:rPr>
                <w:rFonts w:ascii="Times New Roman" w:hAnsi="Times New Roman" w:cs="Times New Roman"/>
                <w:sz w:val="22"/>
                <w:szCs w:val="22"/>
              </w:rPr>
            </w:pPr>
            <w:r w:rsidRPr="00317ABF">
              <w:rPr>
                <w:rFonts w:ascii="Times New Roman" w:hAnsi="Times New Roman" w:cs="Times New Roman"/>
                <w:sz w:val="22"/>
                <w:szCs w:val="22"/>
              </w:rPr>
              <w:t xml:space="preserve">a) </w:t>
            </w:r>
            <w:r w:rsidRPr="00317ABF">
              <w:rPr>
                <w:rFonts w:ascii="Times New Roman" w:hAnsi="Times New Roman" w:cs="Times New Roman"/>
                <w:sz w:val="22"/>
                <w:szCs w:val="22"/>
              </w:rPr>
              <w:tab/>
              <w:t>świadczenie publicznie dostępnych usług telekomunikacyjnych, dostarczanie publicznych sieci telekomunikacyjnych, w tym sieci i usług służących rozpowszechnianiu lub rozprowadzaniu programów radiofonicznych i telewizyjnych, lub świadczenie powiązanych usług, zwanej dalej „działalnością telekomunikacyjną” oraz</w:t>
            </w:r>
          </w:p>
          <w:p w14:paraId="6A193988" w14:textId="77777777" w:rsidR="001B541E" w:rsidRPr="00317ABF" w:rsidRDefault="001B541E" w:rsidP="001B541E">
            <w:pPr>
              <w:pStyle w:val="LITlitera"/>
              <w:spacing w:line="240" w:lineRule="auto"/>
              <w:rPr>
                <w:rFonts w:ascii="Times New Roman" w:hAnsi="Times New Roman" w:cs="Times New Roman"/>
                <w:sz w:val="22"/>
                <w:szCs w:val="22"/>
              </w:rPr>
            </w:pPr>
            <w:r w:rsidRPr="00317ABF">
              <w:rPr>
                <w:rFonts w:ascii="Times New Roman" w:hAnsi="Times New Roman" w:cs="Times New Roman"/>
                <w:sz w:val="22"/>
                <w:szCs w:val="22"/>
              </w:rPr>
              <w:t xml:space="preserve">b) </w:t>
            </w:r>
            <w:r w:rsidRPr="00317ABF">
              <w:rPr>
                <w:rFonts w:ascii="Times New Roman" w:hAnsi="Times New Roman" w:cs="Times New Roman"/>
                <w:sz w:val="22"/>
                <w:szCs w:val="22"/>
              </w:rPr>
              <w:tab/>
              <w:t>świadczenie publicznie dostępnych usług komunikacji interpersonalnej niewykorzystujących numerów;</w:t>
            </w:r>
          </w:p>
          <w:p w14:paraId="64C0FBEF" w14:textId="77777777" w:rsidR="001B541E" w:rsidRPr="00317ABF" w:rsidRDefault="001B541E" w:rsidP="001B541E">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 xml:space="preserve">2) </w:t>
            </w:r>
            <w:r w:rsidRPr="00317ABF">
              <w:rPr>
                <w:rFonts w:ascii="Times New Roman" w:hAnsi="Times New Roman" w:cs="Times New Roman"/>
                <w:sz w:val="22"/>
                <w:szCs w:val="22"/>
              </w:rPr>
              <w:tab/>
              <w:t>prawa i obowiązki przedsiębiorców komunikacji elektronicznej;</w:t>
            </w:r>
          </w:p>
          <w:p w14:paraId="5A8DDE62" w14:textId="77777777" w:rsidR="001B541E" w:rsidRPr="00317ABF" w:rsidRDefault="001B541E" w:rsidP="001B541E">
            <w:pPr>
              <w:pStyle w:val="PKTpunkt0"/>
              <w:spacing w:line="240" w:lineRule="auto"/>
              <w:ind w:left="0" w:firstLine="0"/>
              <w:rPr>
                <w:rFonts w:ascii="Times New Roman" w:hAnsi="Times New Roman" w:cs="Times New Roman"/>
                <w:sz w:val="22"/>
                <w:szCs w:val="22"/>
              </w:rPr>
            </w:pPr>
            <w:r w:rsidRPr="00317ABF">
              <w:rPr>
                <w:rFonts w:ascii="Times New Roman" w:hAnsi="Times New Roman" w:cs="Times New Roman"/>
                <w:sz w:val="22"/>
                <w:szCs w:val="22"/>
              </w:rPr>
              <w:t xml:space="preserve">3)     zasady zapewniania dostępu i korzystania z lokalnej sieci radiowej; </w:t>
            </w:r>
            <w:r w:rsidRPr="00317ABF">
              <w:rPr>
                <w:rFonts w:ascii="Times New Roman" w:hAnsi="Times New Roman" w:cs="Times New Roman"/>
                <w:sz w:val="22"/>
                <w:szCs w:val="22"/>
              </w:rPr>
              <w:tab/>
            </w:r>
          </w:p>
          <w:p w14:paraId="0F993849" w14:textId="77777777" w:rsidR="001B541E" w:rsidRPr="00317ABF" w:rsidRDefault="001B541E" w:rsidP="001B541E">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 xml:space="preserve">4)  </w:t>
            </w:r>
            <w:r w:rsidRPr="00317ABF">
              <w:rPr>
                <w:rFonts w:ascii="Times New Roman" w:hAnsi="Times New Roman" w:cs="Times New Roman"/>
                <w:sz w:val="22"/>
                <w:szCs w:val="22"/>
              </w:rPr>
              <w:tab/>
              <w:t>zadania i obowiązki na rzecz obronności, bezpieczeństwa państwa oraz bezpieczeństwa i porządku publicznego, w zakresie komunikacji elektronicznej;</w:t>
            </w:r>
          </w:p>
          <w:p w14:paraId="04110477" w14:textId="77777777" w:rsidR="001B541E" w:rsidRPr="00317ABF" w:rsidRDefault="001B541E" w:rsidP="001B541E">
            <w:pPr>
              <w:pStyle w:val="PKTpunkt0"/>
              <w:spacing w:line="240" w:lineRule="auto"/>
              <w:rPr>
                <w:rFonts w:ascii="Times New Roman" w:eastAsia="Times" w:hAnsi="Times New Roman" w:cs="Times New Roman"/>
                <w:sz w:val="22"/>
                <w:szCs w:val="22"/>
              </w:rPr>
            </w:pPr>
            <w:r w:rsidRPr="00317ABF">
              <w:rPr>
                <w:rFonts w:ascii="Times New Roman" w:eastAsia="Times" w:hAnsi="Times New Roman" w:cs="Times New Roman"/>
                <w:sz w:val="22"/>
                <w:szCs w:val="22"/>
              </w:rPr>
              <w:t>5)     zasady uzyskiwania dostępu i korzystania z satelitarnej usługi publicznej o regulowanym dostępie, w ramach europejskiego systemu radionawigacji satelitarnej Galileo oraz zarządzania tą usługą;</w:t>
            </w:r>
          </w:p>
          <w:p w14:paraId="1BE508B2" w14:textId="77777777" w:rsidR="001B541E" w:rsidRPr="00317ABF" w:rsidRDefault="001B541E" w:rsidP="001B541E">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 xml:space="preserve">6) </w:t>
            </w:r>
            <w:r w:rsidRPr="00317ABF">
              <w:rPr>
                <w:rFonts w:ascii="Times New Roman" w:hAnsi="Times New Roman" w:cs="Times New Roman"/>
                <w:sz w:val="22"/>
                <w:szCs w:val="22"/>
              </w:rPr>
              <w:tab/>
              <w:t>warunki gospodarowania częstotliwościami, zasobami orbitalnymi oraz zasobami numeracji;</w:t>
            </w:r>
          </w:p>
          <w:p w14:paraId="3C8B68BC" w14:textId="77777777" w:rsidR="001B541E" w:rsidRPr="00317ABF" w:rsidRDefault="001B541E" w:rsidP="001B541E">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7)</w:t>
            </w:r>
            <w:r w:rsidRPr="00317ABF">
              <w:rPr>
                <w:rFonts w:ascii="Times New Roman" w:hAnsi="Times New Roman" w:cs="Times New Roman"/>
                <w:sz w:val="22"/>
                <w:szCs w:val="22"/>
              </w:rPr>
              <w:tab/>
              <w:t>prawa i obowiązki użytkowników urządzeń radiowych;</w:t>
            </w:r>
          </w:p>
          <w:p w14:paraId="4B3DC67E" w14:textId="77777777" w:rsidR="001B541E" w:rsidRPr="00317ABF" w:rsidRDefault="001B541E" w:rsidP="001B541E">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 xml:space="preserve">8) </w:t>
            </w:r>
            <w:r w:rsidRPr="00317ABF">
              <w:rPr>
                <w:rFonts w:ascii="Times New Roman" w:hAnsi="Times New Roman" w:cs="Times New Roman"/>
                <w:sz w:val="22"/>
                <w:szCs w:val="22"/>
              </w:rPr>
              <w:tab/>
              <w:t>prawa i obowiązki użytkowników końcowych;</w:t>
            </w:r>
          </w:p>
          <w:p w14:paraId="1BF4B395" w14:textId="77777777" w:rsidR="001B541E" w:rsidRPr="00317ABF" w:rsidRDefault="001B541E" w:rsidP="001B541E">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lastRenderedPageBreak/>
              <w:t xml:space="preserve">9) </w:t>
            </w:r>
            <w:r w:rsidRPr="00317ABF">
              <w:rPr>
                <w:rFonts w:ascii="Times New Roman" w:hAnsi="Times New Roman" w:cs="Times New Roman"/>
                <w:sz w:val="22"/>
                <w:szCs w:val="22"/>
              </w:rPr>
              <w:tab/>
              <w:t>zasady dostępu telekomunikacyjnego oraz warunki regulowania rynków komunikacji elektronicznej;</w:t>
            </w:r>
          </w:p>
          <w:p w14:paraId="159A0C82" w14:textId="77777777" w:rsidR="001B541E" w:rsidRPr="00317ABF" w:rsidRDefault="001B541E" w:rsidP="001B541E">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10)</w:t>
            </w:r>
            <w:r w:rsidRPr="00317ABF">
              <w:rPr>
                <w:rFonts w:ascii="Times New Roman" w:hAnsi="Times New Roman" w:cs="Times New Roman"/>
                <w:sz w:val="22"/>
                <w:szCs w:val="22"/>
              </w:rPr>
              <w:tab/>
              <w:t>wymagania, jakim powinny odpowiadać urządzenia radiowe;</w:t>
            </w:r>
          </w:p>
          <w:p w14:paraId="51DEA59A" w14:textId="77777777" w:rsidR="001B541E" w:rsidRPr="00317ABF" w:rsidRDefault="001B541E" w:rsidP="001B541E">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 xml:space="preserve">11) </w:t>
            </w:r>
            <w:r w:rsidRPr="00317ABF">
              <w:rPr>
                <w:rFonts w:ascii="Times New Roman" w:hAnsi="Times New Roman" w:cs="Times New Roman"/>
                <w:sz w:val="22"/>
                <w:szCs w:val="22"/>
              </w:rPr>
              <w:tab/>
              <w:t>warunki świadczenia usługi powszechnej;</w:t>
            </w:r>
          </w:p>
          <w:p w14:paraId="6583DEA2" w14:textId="77777777" w:rsidR="001B541E" w:rsidRPr="00317ABF" w:rsidRDefault="001B541E" w:rsidP="001B541E">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 xml:space="preserve">12) </w:t>
            </w:r>
            <w:r w:rsidRPr="00317ABF">
              <w:rPr>
                <w:rFonts w:ascii="Times New Roman" w:hAnsi="Times New Roman" w:cs="Times New Roman"/>
                <w:sz w:val="22"/>
                <w:szCs w:val="22"/>
              </w:rPr>
              <w:tab/>
              <w:t>wymagania dotyczące świadczenia użytkownikom końcowym z niepełnosprawnościami publicznie dostępnych usług komunikacji elektronicznej i udogodnień w zakresie dostępu do publicznie dostępnych usług komunikacji elektronicznej;</w:t>
            </w:r>
          </w:p>
          <w:p w14:paraId="0F00D6F4" w14:textId="77777777" w:rsidR="001B541E" w:rsidRPr="00317ABF" w:rsidRDefault="001B541E" w:rsidP="001B541E">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 xml:space="preserve">13) </w:t>
            </w:r>
            <w:r w:rsidRPr="00317ABF">
              <w:rPr>
                <w:rFonts w:ascii="Times New Roman" w:hAnsi="Times New Roman" w:cs="Times New Roman"/>
                <w:sz w:val="22"/>
                <w:szCs w:val="22"/>
              </w:rPr>
              <w:tab/>
              <w:t>warunki przetwarzania danych, w tym danych osobowych, w ramach świadczenia publicznie dostępnych usług komunikacji elektronicznej oraz ochrony tajemnicy komunikacji elektronicznej;</w:t>
            </w:r>
          </w:p>
          <w:p w14:paraId="0AD9C6F4" w14:textId="2E4309E9" w:rsidR="001E1112" w:rsidRPr="00317ABF" w:rsidRDefault="001B541E" w:rsidP="00DB3BEC">
            <w:pPr>
              <w:pStyle w:val="Tekstpodstawowy"/>
              <w:rPr>
                <w:sz w:val="22"/>
                <w:szCs w:val="22"/>
              </w:rPr>
            </w:pPr>
            <w:r w:rsidRPr="00317ABF">
              <w:rPr>
                <w:sz w:val="22"/>
                <w:szCs w:val="22"/>
              </w:rPr>
              <w:t xml:space="preserve">14) </w:t>
            </w:r>
            <w:r w:rsidRPr="00317ABF">
              <w:rPr>
                <w:sz w:val="22"/>
                <w:szCs w:val="22"/>
              </w:rPr>
              <w:tab/>
            </w:r>
            <w:r w:rsidR="001E1112" w:rsidRPr="00317ABF">
              <w:rPr>
                <w:sz w:val="22"/>
                <w:szCs w:val="22"/>
              </w:rPr>
              <w:t>funkcjonowanie organów właściwych w sprawach komunikacji elektronicznej, ich współdziałanie z innymi organami krajowymi oraz instytucjami Unii Europejskiej w zakresie regulacji komunikacji elektronicznej.</w:t>
            </w:r>
          </w:p>
        </w:tc>
      </w:tr>
      <w:tr w:rsidR="001E1112" w:rsidRPr="00317ABF" w14:paraId="65185D89" w14:textId="77777777" w:rsidTr="7753F98D">
        <w:trPr>
          <w:gridAfter w:val="2"/>
          <w:wAfter w:w="175" w:type="dxa"/>
        </w:trPr>
        <w:tc>
          <w:tcPr>
            <w:tcW w:w="704" w:type="dxa"/>
          </w:tcPr>
          <w:p w14:paraId="5AD5BD26" w14:textId="77777777" w:rsidR="001E1112" w:rsidRPr="00317ABF" w:rsidRDefault="001E1112" w:rsidP="00DB3BEC">
            <w:pPr>
              <w:jc w:val="both"/>
              <w:rPr>
                <w:sz w:val="22"/>
                <w:szCs w:val="22"/>
              </w:rPr>
            </w:pPr>
            <w:r w:rsidRPr="00317ABF">
              <w:rPr>
                <w:sz w:val="22"/>
                <w:szCs w:val="22"/>
              </w:rPr>
              <w:lastRenderedPageBreak/>
              <w:t>Art. 2 pkt 23</w:t>
            </w:r>
          </w:p>
        </w:tc>
        <w:tc>
          <w:tcPr>
            <w:tcW w:w="4308" w:type="dxa"/>
          </w:tcPr>
          <w:p w14:paraId="08D962E5" w14:textId="77777777" w:rsidR="001E1112" w:rsidRPr="00317ABF" w:rsidRDefault="001E1112" w:rsidP="00DB3BEC">
            <w:pPr>
              <w:autoSpaceDE w:val="0"/>
              <w:autoSpaceDN w:val="0"/>
              <w:adjustRightInd w:val="0"/>
              <w:jc w:val="both"/>
              <w:rPr>
                <w:rFonts w:eastAsia="EUAlbertina-Regular-Identity-H"/>
                <w:sz w:val="22"/>
                <w:szCs w:val="22"/>
              </w:rPr>
            </w:pPr>
            <w:r w:rsidRPr="00317ABF">
              <w:rPr>
                <w:sz w:val="22"/>
                <w:szCs w:val="22"/>
              </w:rPr>
              <w:t>„punkt dostępu bezprzewodowego o bliskim zasięgu” oznacza niewielkie urządzenie o niskiej mocy służące do bezprzewodowego dostępu do sieci, dysponujące małym zasięgiem i wykorzystujące widmo radiowe objęte obowiązkiem uzyskania zezwolenia lub widmo radiowe zwolnione z obowiązku uzyskania zezwolenia lub też połączenie tych obu rodzajów widma, które może, być częścią publicznej sieci łączności elektronicznej, które może być wyposażone w antenę lub anteny o niskim oddziaływaniu na krajobraz i które pozwala użytkownikom uzyskać bezprzewodowy dostęp do sieci łączności elektronicznej, niezależnie od topologii tej sieci – ruchomej lub stałej;</w:t>
            </w:r>
          </w:p>
        </w:tc>
        <w:tc>
          <w:tcPr>
            <w:tcW w:w="986" w:type="dxa"/>
          </w:tcPr>
          <w:p w14:paraId="4B1F511A" w14:textId="4988F732" w:rsidR="001E1112" w:rsidRPr="00317ABF" w:rsidRDefault="001E1112" w:rsidP="00DB3BEC">
            <w:pPr>
              <w:jc w:val="both"/>
              <w:rPr>
                <w:sz w:val="22"/>
                <w:szCs w:val="22"/>
              </w:rPr>
            </w:pPr>
            <w:r w:rsidRPr="00317ABF">
              <w:rPr>
                <w:sz w:val="22"/>
                <w:szCs w:val="22"/>
              </w:rPr>
              <w:t>T</w:t>
            </w:r>
          </w:p>
        </w:tc>
        <w:tc>
          <w:tcPr>
            <w:tcW w:w="910" w:type="dxa"/>
          </w:tcPr>
          <w:p w14:paraId="65F9C3DC" w14:textId="6EA8C658" w:rsidR="001E1112" w:rsidRPr="00317ABF" w:rsidRDefault="001E1112" w:rsidP="009A6AF1">
            <w:pPr>
              <w:pStyle w:val="Tekstpodstawowy"/>
              <w:rPr>
                <w:b/>
                <w:bCs/>
                <w:noProof/>
                <w:sz w:val="22"/>
                <w:szCs w:val="22"/>
              </w:rPr>
            </w:pPr>
            <w:r w:rsidRPr="00317ABF">
              <w:rPr>
                <w:b/>
                <w:bCs/>
                <w:noProof/>
                <w:sz w:val="22"/>
                <w:szCs w:val="22"/>
              </w:rPr>
              <w:t>Art. 3</w:t>
            </w:r>
            <w:r w:rsidR="009A6AF1" w:rsidRPr="00317ABF">
              <w:rPr>
                <w:b/>
                <w:bCs/>
                <w:noProof/>
                <w:sz w:val="22"/>
                <w:szCs w:val="22"/>
              </w:rPr>
              <w:t>4</w:t>
            </w:r>
            <w:r w:rsidRPr="00317ABF">
              <w:rPr>
                <w:b/>
                <w:bCs/>
                <w:noProof/>
                <w:sz w:val="22"/>
                <w:szCs w:val="22"/>
              </w:rPr>
              <w:t xml:space="preserve"> pkt 2 lit.  a tiret </w:t>
            </w:r>
            <w:r w:rsidR="009A6AF1" w:rsidRPr="00317ABF">
              <w:rPr>
                <w:b/>
                <w:bCs/>
                <w:noProof/>
                <w:sz w:val="22"/>
                <w:szCs w:val="22"/>
              </w:rPr>
              <w:t>czwarty</w:t>
            </w:r>
            <w:r w:rsidRPr="00317ABF">
              <w:rPr>
                <w:b/>
                <w:bCs/>
                <w:noProof/>
                <w:sz w:val="22"/>
                <w:szCs w:val="22"/>
              </w:rPr>
              <w:t>ustawy wprowadzającej P</w:t>
            </w:r>
            <w:r w:rsidR="009A6AF1" w:rsidRPr="00317ABF">
              <w:rPr>
                <w:b/>
                <w:bCs/>
                <w:noProof/>
                <w:sz w:val="22"/>
                <w:szCs w:val="22"/>
              </w:rPr>
              <w:t>ke</w:t>
            </w:r>
            <w:r w:rsidRPr="00317ABF">
              <w:rPr>
                <w:b/>
                <w:bCs/>
                <w:noProof/>
                <w:sz w:val="22"/>
                <w:szCs w:val="22"/>
              </w:rPr>
              <w:t xml:space="preserve"> w zakresie zmiany </w:t>
            </w:r>
            <w:r w:rsidR="009A6AF1" w:rsidRPr="00317ABF">
              <w:rPr>
                <w:b/>
                <w:bCs/>
                <w:noProof/>
                <w:sz w:val="22"/>
                <w:szCs w:val="22"/>
              </w:rPr>
              <w:t xml:space="preserve">w art. 2 ust. 1 </w:t>
            </w:r>
            <w:r w:rsidRPr="00317ABF">
              <w:rPr>
                <w:b/>
                <w:bCs/>
                <w:noProof/>
                <w:sz w:val="22"/>
                <w:szCs w:val="22"/>
              </w:rPr>
              <w:t>pkt 10</w:t>
            </w:r>
            <w:r w:rsidR="009A6AF1" w:rsidRPr="00317ABF">
              <w:rPr>
                <w:b/>
                <w:bCs/>
                <w:noProof/>
                <w:sz w:val="22"/>
                <w:szCs w:val="22"/>
              </w:rPr>
              <w:t xml:space="preserve"> ustawy o wspieraniu rozwoju</w:t>
            </w:r>
          </w:p>
        </w:tc>
        <w:tc>
          <w:tcPr>
            <w:tcW w:w="6814" w:type="dxa"/>
            <w:gridSpan w:val="2"/>
          </w:tcPr>
          <w:p w14:paraId="0DC1CFBF" w14:textId="368996F4" w:rsidR="001E1112" w:rsidRPr="00317ABF" w:rsidRDefault="001E1112" w:rsidP="00DB3BEC">
            <w:pPr>
              <w:jc w:val="both"/>
              <w:rPr>
                <w:sz w:val="22"/>
                <w:szCs w:val="22"/>
              </w:rPr>
            </w:pPr>
            <w:r w:rsidRPr="00317ABF">
              <w:rPr>
                <w:b/>
                <w:bCs/>
                <w:sz w:val="22"/>
                <w:szCs w:val="22"/>
              </w:rPr>
              <w:t>Art. 30.</w:t>
            </w:r>
            <w:r w:rsidRPr="00317ABF">
              <w:rPr>
                <w:sz w:val="22"/>
                <w:szCs w:val="22"/>
              </w:rPr>
              <w:t xml:space="preserve"> W ustawie z dnia 7 maja 2010 r. o wspieraniu rozwoju usług i sieci telekomunikacyjnych (Dz. U. z 2019 r. poz. 2410 oraz z 2020 r. poz. 471, 695 i 875) wprowadza się następujące zmiany:</w:t>
            </w:r>
          </w:p>
          <w:p w14:paraId="38905F9D" w14:textId="5D3381F8" w:rsidR="001E1112" w:rsidRPr="00317ABF" w:rsidRDefault="001E1112" w:rsidP="00DB3BEC">
            <w:pPr>
              <w:ind w:firstLine="510"/>
              <w:jc w:val="both"/>
              <w:rPr>
                <w:sz w:val="22"/>
                <w:szCs w:val="22"/>
              </w:rPr>
            </w:pPr>
            <w:r w:rsidRPr="00317ABF">
              <w:rPr>
                <w:sz w:val="22"/>
                <w:szCs w:val="22"/>
              </w:rPr>
              <w:t>2)            w art. 2:</w:t>
            </w:r>
          </w:p>
          <w:p w14:paraId="3F1B093A" w14:textId="43FFF69F" w:rsidR="001E1112" w:rsidRPr="00317ABF" w:rsidRDefault="001E1112" w:rsidP="00DB3BEC">
            <w:pPr>
              <w:ind w:firstLine="510"/>
              <w:jc w:val="both"/>
              <w:rPr>
                <w:sz w:val="22"/>
                <w:szCs w:val="22"/>
              </w:rPr>
            </w:pPr>
            <w:r w:rsidRPr="00317ABF">
              <w:rPr>
                <w:sz w:val="22"/>
                <w:szCs w:val="22"/>
              </w:rPr>
              <w:t>a)         w ust. 1:</w:t>
            </w:r>
          </w:p>
          <w:p w14:paraId="12DE0740" w14:textId="7E5E5BFA" w:rsidR="001E1112" w:rsidRPr="00317ABF" w:rsidRDefault="001E1112" w:rsidP="00DB3BEC">
            <w:pPr>
              <w:ind w:firstLine="510"/>
              <w:jc w:val="both"/>
              <w:rPr>
                <w:sz w:val="22"/>
                <w:szCs w:val="22"/>
              </w:rPr>
            </w:pPr>
            <w:r w:rsidRPr="00317ABF">
              <w:rPr>
                <w:sz w:val="22"/>
                <w:szCs w:val="22"/>
              </w:rPr>
              <w:t>– po pkt 9 kropkę zastępuje się średnikiem i dodaje pkt 10–12 w brzmieniu:</w:t>
            </w:r>
          </w:p>
          <w:p w14:paraId="5023141B" w14:textId="3EF7EF4E" w:rsidR="001E1112" w:rsidRPr="00317ABF" w:rsidRDefault="009A6AF1" w:rsidP="00DB3BEC">
            <w:pPr>
              <w:pStyle w:val="Tekstpodstawowy"/>
              <w:rPr>
                <w:sz w:val="22"/>
                <w:szCs w:val="22"/>
              </w:rPr>
            </w:pPr>
            <w:r w:rsidRPr="00317ABF">
              <w:rPr>
                <w:sz w:val="22"/>
                <w:szCs w:val="22"/>
              </w:rPr>
              <w:t xml:space="preserve">„10) </w:t>
            </w:r>
            <w:r w:rsidRPr="00317ABF">
              <w:rPr>
                <w:sz w:val="22"/>
                <w:szCs w:val="22"/>
              </w:rPr>
              <w:tab/>
              <w:t>punkt dostępu bezprzewodowego o bliskim zasięgu – niewielkie urządzenie radiowe o małej mocy, wyposażone w jedną lub więcej anten o krótkim zasięgu i niskim oddziaływaniu na krajobraz, pozwalające użytkownikom uzyskać bezprzewodowy dostęp do sieci telekomunikacyjnej niezależnie od rodzaju tej sieci – ruchomej lub stacjonarnej, oraz posiadające cechy fizyczne i techniczne  określone w aktach wykonawczych wydawanych przez Komisję Europejską, o których mowa w art. 57 ust. 2 dyrektywy Parlamentu Europejskiego i Rady (UE) 2018/1972 z dnia 11 grudnia 2018 r. ustanawiającej Europejski kodeks łączności elektronicznej (Dz. Urz. WE L 321/36 z 17.12.2018)”;</w:t>
            </w:r>
          </w:p>
        </w:tc>
      </w:tr>
      <w:tr w:rsidR="001E1112" w:rsidRPr="00317ABF" w14:paraId="0DD2F65C" w14:textId="77777777" w:rsidTr="7753F98D">
        <w:trPr>
          <w:gridAfter w:val="2"/>
          <w:wAfter w:w="175" w:type="dxa"/>
        </w:trPr>
        <w:tc>
          <w:tcPr>
            <w:tcW w:w="704" w:type="dxa"/>
          </w:tcPr>
          <w:p w14:paraId="176473B1" w14:textId="77777777" w:rsidR="001E1112" w:rsidRPr="00317ABF" w:rsidRDefault="001E1112" w:rsidP="00DB3BEC">
            <w:pPr>
              <w:jc w:val="both"/>
              <w:rPr>
                <w:sz w:val="22"/>
                <w:szCs w:val="22"/>
              </w:rPr>
            </w:pPr>
            <w:r w:rsidRPr="00317ABF">
              <w:rPr>
                <w:sz w:val="22"/>
                <w:szCs w:val="22"/>
              </w:rPr>
              <w:t>Art. 2 pkt 24</w:t>
            </w:r>
          </w:p>
        </w:tc>
        <w:tc>
          <w:tcPr>
            <w:tcW w:w="4308" w:type="dxa"/>
          </w:tcPr>
          <w:p w14:paraId="1C7EB2B0" w14:textId="77777777" w:rsidR="001E1112" w:rsidRPr="00317ABF" w:rsidRDefault="001E1112" w:rsidP="00DB3BEC">
            <w:pPr>
              <w:autoSpaceDE w:val="0"/>
              <w:autoSpaceDN w:val="0"/>
              <w:adjustRightInd w:val="0"/>
              <w:jc w:val="both"/>
              <w:rPr>
                <w:rFonts w:eastAsia="EUAlbertina-Regular-Identity-H"/>
                <w:sz w:val="22"/>
                <w:szCs w:val="22"/>
              </w:rPr>
            </w:pPr>
            <w:r w:rsidRPr="00317ABF">
              <w:rPr>
                <w:sz w:val="22"/>
                <w:szCs w:val="22"/>
              </w:rPr>
              <w:t xml:space="preserve">„lokalna sieć radiowa” lub „RLAN” oznacza system dostępu bezprzewodowego o niskiej mocy i bliskim zasięgu, stwarzający niskie ryzyko zakłóceń dla innych tego typu systemów stosowanych w pobliżu przez innych użytkowników, wykorzystujący na zasadzie </w:t>
            </w:r>
            <w:r w:rsidRPr="00317ABF">
              <w:rPr>
                <w:sz w:val="22"/>
                <w:szCs w:val="22"/>
              </w:rPr>
              <w:lastRenderedPageBreak/>
              <w:t>niewyłączności zharmonizowane widmo radiowe;</w:t>
            </w:r>
          </w:p>
        </w:tc>
        <w:tc>
          <w:tcPr>
            <w:tcW w:w="986" w:type="dxa"/>
          </w:tcPr>
          <w:p w14:paraId="1F3B1409" w14:textId="5826BA32" w:rsidR="001E1112" w:rsidRPr="00317ABF" w:rsidRDefault="001E1112" w:rsidP="00DB3BEC">
            <w:pPr>
              <w:jc w:val="both"/>
              <w:rPr>
                <w:sz w:val="22"/>
                <w:szCs w:val="22"/>
              </w:rPr>
            </w:pPr>
            <w:r w:rsidRPr="00317ABF">
              <w:rPr>
                <w:sz w:val="22"/>
                <w:szCs w:val="22"/>
              </w:rPr>
              <w:lastRenderedPageBreak/>
              <w:t>T</w:t>
            </w:r>
          </w:p>
        </w:tc>
        <w:tc>
          <w:tcPr>
            <w:tcW w:w="910" w:type="dxa"/>
          </w:tcPr>
          <w:p w14:paraId="562C75D1" w14:textId="119F3542" w:rsidR="001E1112" w:rsidRPr="00317ABF" w:rsidRDefault="001E1112" w:rsidP="009A6AF1">
            <w:pPr>
              <w:pStyle w:val="Tekstpodstawowy"/>
              <w:rPr>
                <w:b/>
                <w:noProof/>
                <w:sz w:val="22"/>
                <w:szCs w:val="22"/>
              </w:rPr>
            </w:pPr>
            <w:r w:rsidRPr="00317ABF">
              <w:rPr>
                <w:b/>
                <w:noProof/>
                <w:sz w:val="22"/>
                <w:szCs w:val="22"/>
              </w:rPr>
              <w:t>Art. 2 pkt 2</w:t>
            </w:r>
            <w:r w:rsidR="009A6AF1" w:rsidRPr="00317ABF">
              <w:rPr>
                <w:b/>
                <w:noProof/>
                <w:sz w:val="22"/>
                <w:szCs w:val="22"/>
              </w:rPr>
              <w:t>3</w:t>
            </w:r>
          </w:p>
        </w:tc>
        <w:tc>
          <w:tcPr>
            <w:tcW w:w="6814" w:type="dxa"/>
            <w:gridSpan w:val="2"/>
          </w:tcPr>
          <w:p w14:paraId="664355AD" w14:textId="7255E99F" w:rsidR="001E1112" w:rsidRPr="00317ABF" w:rsidRDefault="009A6AF1" w:rsidP="00DB3BEC">
            <w:pPr>
              <w:pStyle w:val="Tekstpodstawowy"/>
              <w:rPr>
                <w:sz w:val="22"/>
                <w:szCs w:val="22"/>
              </w:rPr>
            </w:pPr>
            <w:r w:rsidRPr="00317ABF">
              <w:rPr>
                <w:sz w:val="22"/>
                <w:szCs w:val="22"/>
              </w:rPr>
              <w:t>lokalna sieć radiowa – system dostępu bezprzewodowego o niskiej mocy i bliskim zasięgu, stwarzający niskie ryzyko zakłóceń dla innych tego typu systemów stosowanych w pobliżu przez innych użytkowników, wykorzystujący na zasadzie niewyłączności częstotliwości zharmonizowane;</w:t>
            </w:r>
          </w:p>
        </w:tc>
      </w:tr>
      <w:tr w:rsidR="001E1112" w:rsidRPr="00317ABF" w14:paraId="2F0BF38B" w14:textId="77777777" w:rsidTr="7753F98D">
        <w:trPr>
          <w:gridAfter w:val="2"/>
          <w:wAfter w:w="175" w:type="dxa"/>
        </w:trPr>
        <w:tc>
          <w:tcPr>
            <w:tcW w:w="704" w:type="dxa"/>
          </w:tcPr>
          <w:p w14:paraId="1CDC412F" w14:textId="77777777" w:rsidR="001E1112" w:rsidRPr="00317ABF" w:rsidRDefault="001E1112" w:rsidP="00DB3BEC">
            <w:pPr>
              <w:jc w:val="both"/>
              <w:rPr>
                <w:sz w:val="22"/>
                <w:szCs w:val="22"/>
              </w:rPr>
            </w:pPr>
            <w:r w:rsidRPr="00317ABF">
              <w:rPr>
                <w:sz w:val="22"/>
                <w:szCs w:val="22"/>
              </w:rPr>
              <w:lastRenderedPageBreak/>
              <w:t>Art. 2 pkt 25</w:t>
            </w:r>
          </w:p>
        </w:tc>
        <w:tc>
          <w:tcPr>
            <w:tcW w:w="4308" w:type="dxa"/>
          </w:tcPr>
          <w:p w14:paraId="6A90370B" w14:textId="77777777" w:rsidR="001E1112" w:rsidRPr="00317ABF" w:rsidRDefault="001E1112" w:rsidP="00DB3BEC">
            <w:pPr>
              <w:autoSpaceDE w:val="0"/>
              <w:autoSpaceDN w:val="0"/>
              <w:adjustRightInd w:val="0"/>
              <w:jc w:val="both"/>
              <w:rPr>
                <w:rFonts w:eastAsia="EUAlbertina-Regular-Identity-H"/>
                <w:sz w:val="22"/>
                <w:szCs w:val="22"/>
              </w:rPr>
            </w:pPr>
            <w:r w:rsidRPr="00317ABF">
              <w:rPr>
                <w:sz w:val="22"/>
                <w:szCs w:val="22"/>
              </w:rPr>
              <w:t>„zharmonizowane widmo radiowe” oznacza widmo radiowe, którego dostępność i efektywne wykorzystanie uregulowano za pomocą zharmonizowanych warunków ustanowionych w drodze technicznego środka wykonawczego zgodnie z art. 4 decyzji nr 676/2002/WE;</w:t>
            </w:r>
          </w:p>
        </w:tc>
        <w:tc>
          <w:tcPr>
            <w:tcW w:w="986" w:type="dxa"/>
          </w:tcPr>
          <w:p w14:paraId="1A965116" w14:textId="52701191" w:rsidR="001E1112" w:rsidRPr="00317ABF" w:rsidRDefault="001E1112" w:rsidP="00DB3BEC">
            <w:pPr>
              <w:jc w:val="both"/>
              <w:rPr>
                <w:sz w:val="22"/>
                <w:szCs w:val="22"/>
              </w:rPr>
            </w:pPr>
            <w:r w:rsidRPr="00317ABF">
              <w:rPr>
                <w:sz w:val="22"/>
                <w:szCs w:val="22"/>
              </w:rPr>
              <w:t>T</w:t>
            </w:r>
          </w:p>
        </w:tc>
        <w:tc>
          <w:tcPr>
            <w:tcW w:w="910" w:type="dxa"/>
          </w:tcPr>
          <w:p w14:paraId="7DF4E37C" w14:textId="6B061BEB" w:rsidR="001E1112" w:rsidRPr="00317ABF" w:rsidRDefault="001E1112" w:rsidP="00DB3BEC">
            <w:pPr>
              <w:pStyle w:val="Tekstpodstawowy"/>
              <w:rPr>
                <w:b/>
                <w:noProof/>
                <w:sz w:val="22"/>
                <w:szCs w:val="22"/>
              </w:rPr>
            </w:pPr>
            <w:r w:rsidRPr="00317ABF">
              <w:rPr>
                <w:b/>
                <w:noProof/>
                <w:sz w:val="22"/>
                <w:szCs w:val="22"/>
              </w:rPr>
              <w:t>Art. 2 pkt 4</w:t>
            </w:r>
          </w:p>
        </w:tc>
        <w:tc>
          <w:tcPr>
            <w:tcW w:w="6814" w:type="dxa"/>
            <w:gridSpan w:val="2"/>
          </w:tcPr>
          <w:p w14:paraId="44FB30F8" w14:textId="4301A497" w:rsidR="001E1112" w:rsidRPr="00317ABF" w:rsidRDefault="001E1112" w:rsidP="00DB3BEC">
            <w:pPr>
              <w:jc w:val="both"/>
              <w:rPr>
                <w:sz w:val="22"/>
                <w:szCs w:val="22"/>
              </w:rPr>
            </w:pPr>
            <w:r w:rsidRPr="00317ABF">
              <w:rPr>
                <w:sz w:val="22"/>
                <w:szCs w:val="22"/>
              </w:rPr>
              <w:t>częstotliwości zharmonizowane – częstotliwości, których dostępność i</w:t>
            </w:r>
            <w:r w:rsidR="00E519A8" w:rsidRPr="00317ABF">
              <w:rPr>
                <w:sz w:val="22"/>
                <w:szCs w:val="22"/>
              </w:rPr>
              <w:t> </w:t>
            </w:r>
            <w:r w:rsidRPr="00317ABF">
              <w:rPr>
                <w:sz w:val="22"/>
                <w:szCs w:val="22"/>
              </w:rPr>
              <w:t>efektywne wykorzystanie uregulowano za pomocą zharmonizowanych warunków ustanowionych w</w:t>
            </w:r>
            <w:r w:rsidR="00E519A8" w:rsidRPr="00317ABF">
              <w:rPr>
                <w:sz w:val="22"/>
                <w:szCs w:val="22"/>
              </w:rPr>
              <w:t> </w:t>
            </w:r>
            <w:r w:rsidRPr="00317ABF">
              <w:rPr>
                <w:sz w:val="22"/>
                <w:szCs w:val="22"/>
              </w:rPr>
              <w:t>drodze technicznego środka wykonawczego zgodnie z</w:t>
            </w:r>
            <w:r w:rsidR="00E519A8" w:rsidRPr="00317ABF">
              <w:rPr>
                <w:sz w:val="22"/>
                <w:szCs w:val="22"/>
              </w:rPr>
              <w:t> </w:t>
            </w:r>
            <w:r w:rsidRPr="00317ABF">
              <w:rPr>
                <w:sz w:val="22"/>
                <w:szCs w:val="22"/>
              </w:rPr>
              <w:t>art.</w:t>
            </w:r>
            <w:r w:rsidR="00E519A8" w:rsidRPr="00317ABF">
              <w:rPr>
                <w:sz w:val="22"/>
                <w:szCs w:val="22"/>
              </w:rPr>
              <w:t> </w:t>
            </w:r>
            <w:r w:rsidRPr="00317ABF">
              <w:rPr>
                <w:sz w:val="22"/>
                <w:szCs w:val="22"/>
              </w:rPr>
              <w:t>4 decyzji nr 676/2002/WE Parlamentu Europejskiego i Rady z dnia 7 marca 2002 r. w sprawie ram regulacyjnych dotyczących polityki spektrum radiowego we Wspólnocie Europejskiej (decyzja o spektrum radiowym) (Dz. Urz. UE L 108 z 24</w:t>
            </w:r>
            <w:r w:rsidR="00E519A8" w:rsidRPr="00317ABF">
              <w:rPr>
                <w:sz w:val="22"/>
                <w:szCs w:val="22"/>
              </w:rPr>
              <w:t xml:space="preserve"> kwietnia </w:t>
            </w:r>
            <w:r w:rsidRPr="00317ABF">
              <w:rPr>
                <w:sz w:val="22"/>
                <w:szCs w:val="22"/>
              </w:rPr>
              <w:t>2002, str. 1–6);</w:t>
            </w:r>
          </w:p>
        </w:tc>
      </w:tr>
      <w:tr w:rsidR="001E1112" w:rsidRPr="00317ABF" w14:paraId="221E9DEB" w14:textId="77777777" w:rsidTr="7753F98D">
        <w:trPr>
          <w:gridAfter w:val="2"/>
          <w:wAfter w:w="175" w:type="dxa"/>
        </w:trPr>
        <w:tc>
          <w:tcPr>
            <w:tcW w:w="704" w:type="dxa"/>
          </w:tcPr>
          <w:p w14:paraId="2C7F745F" w14:textId="77777777" w:rsidR="001E1112" w:rsidRPr="00317ABF" w:rsidRDefault="001E1112" w:rsidP="00DB3BEC">
            <w:pPr>
              <w:jc w:val="both"/>
              <w:rPr>
                <w:sz w:val="22"/>
                <w:szCs w:val="22"/>
              </w:rPr>
            </w:pPr>
            <w:r w:rsidRPr="00317ABF">
              <w:rPr>
                <w:sz w:val="22"/>
                <w:szCs w:val="22"/>
              </w:rPr>
              <w:t>Art. 2 pkt 26</w:t>
            </w:r>
          </w:p>
        </w:tc>
        <w:tc>
          <w:tcPr>
            <w:tcW w:w="4308" w:type="dxa"/>
          </w:tcPr>
          <w:p w14:paraId="1C0414BC" w14:textId="77777777" w:rsidR="001E1112" w:rsidRPr="00317ABF" w:rsidRDefault="001E1112" w:rsidP="00DB3BEC">
            <w:pPr>
              <w:autoSpaceDE w:val="0"/>
              <w:autoSpaceDN w:val="0"/>
              <w:adjustRightInd w:val="0"/>
              <w:jc w:val="both"/>
              <w:rPr>
                <w:rFonts w:eastAsia="EUAlbertina-Regular-Identity-H"/>
                <w:sz w:val="22"/>
                <w:szCs w:val="22"/>
              </w:rPr>
            </w:pPr>
            <w:r w:rsidRPr="00317ABF">
              <w:rPr>
                <w:sz w:val="22"/>
                <w:szCs w:val="22"/>
              </w:rPr>
              <w:t>„współużytkowanie widma radiowego” oznacza dostęp dwóch lub więcej użytkowników do tych samych pasm widma radiowego na podstawie określonego mechanizmu współużytkowania, na które zezwolenie wydano w oparciu o ogólne zezwolenie, indywidualne prawa użytkowania widma radiowego lub ich kombinację, w tym podejścia regulacyjne, takie jak współdzielony dostęp, na który udzielono pozwolenia, mające na celu ułatwienie współużytkowania pasma widma radiowego, pod warunkiem zawarcia przez wszystkie zaangażowane strony wiążącej umowy, zgodnie z regułami współużytkowania uwzględnionymi w ich prawach użytkowania widma radiowego, tak aby zagwarantować wszystkim użytkownikom przewidywalne i rzetelne mechanizmy współużytkowania, bez uszczerbku dla stosowania przepisów prawa konkurencji;</w:t>
            </w:r>
          </w:p>
        </w:tc>
        <w:tc>
          <w:tcPr>
            <w:tcW w:w="986" w:type="dxa"/>
          </w:tcPr>
          <w:p w14:paraId="1DA6542E" w14:textId="60A4C577" w:rsidR="001E1112" w:rsidRPr="00317ABF" w:rsidRDefault="001E1112" w:rsidP="00DB3BEC">
            <w:pPr>
              <w:jc w:val="both"/>
              <w:rPr>
                <w:sz w:val="22"/>
                <w:szCs w:val="22"/>
              </w:rPr>
            </w:pPr>
            <w:r w:rsidRPr="00317ABF">
              <w:rPr>
                <w:sz w:val="22"/>
                <w:szCs w:val="22"/>
              </w:rPr>
              <w:t>N/T</w:t>
            </w:r>
          </w:p>
        </w:tc>
        <w:tc>
          <w:tcPr>
            <w:tcW w:w="910" w:type="dxa"/>
          </w:tcPr>
          <w:p w14:paraId="662F0C84" w14:textId="55E698F3" w:rsidR="001E1112" w:rsidRPr="00317ABF" w:rsidRDefault="001E1112" w:rsidP="00DB3BEC">
            <w:pPr>
              <w:pStyle w:val="Tekstpodstawowy"/>
              <w:rPr>
                <w:b/>
                <w:bCs/>
                <w:noProof/>
                <w:sz w:val="22"/>
                <w:szCs w:val="22"/>
              </w:rPr>
            </w:pPr>
            <w:r w:rsidRPr="00317ABF">
              <w:rPr>
                <w:b/>
                <w:bCs/>
                <w:noProof/>
                <w:sz w:val="22"/>
                <w:szCs w:val="22"/>
              </w:rPr>
              <w:t xml:space="preserve">Brak konieczności przeniesienia definicji która zawiera w  sobie de facto regulacje merytoryczne </w:t>
            </w:r>
          </w:p>
          <w:p w14:paraId="3041E394" w14:textId="7823C57C" w:rsidR="001E1112" w:rsidRPr="00317ABF" w:rsidRDefault="001E1112" w:rsidP="00DB3BEC">
            <w:pPr>
              <w:pStyle w:val="Tekstpodstawowy"/>
              <w:rPr>
                <w:b/>
                <w:bCs/>
                <w:noProof/>
                <w:sz w:val="22"/>
                <w:szCs w:val="22"/>
              </w:rPr>
            </w:pPr>
            <w:r w:rsidRPr="00317ABF">
              <w:rPr>
                <w:b/>
                <w:bCs/>
                <w:noProof/>
                <w:sz w:val="22"/>
                <w:szCs w:val="22"/>
              </w:rPr>
              <w:t xml:space="preserve">Art.  </w:t>
            </w:r>
            <w:r w:rsidR="00F32387" w:rsidRPr="00317ABF">
              <w:rPr>
                <w:b/>
                <w:bCs/>
                <w:noProof/>
                <w:sz w:val="22"/>
                <w:szCs w:val="22"/>
              </w:rPr>
              <w:t>85</w:t>
            </w:r>
            <w:r w:rsidRPr="00317ABF">
              <w:rPr>
                <w:b/>
                <w:bCs/>
                <w:noProof/>
                <w:sz w:val="22"/>
                <w:szCs w:val="22"/>
              </w:rPr>
              <w:t xml:space="preserve"> ust. 1, 2, art. </w:t>
            </w:r>
            <w:r w:rsidR="00F32387" w:rsidRPr="00317ABF">
              <w:rPr>
                <w:b/>
                <w:bCs/>
                <w:noProof/>
                <w:sz w:val="22"/>
                <w:szCs w:val="22"/>
              </w:rPr>
              <w:t>86</w:t>
            </w:r>
            <w:r w:rsidR="00F9250D" w:rsidRPr="00317ABF">
              <w:rPr>
                <w:b/>
                <w:bCs/>
                <w:noProof/>
                <w:sz w:val="22"/>
                <w:szCs w:val="22"/>
              </w:rPr>
              <w:t>, art. 134</w:t>
            </w:r>
          </w:p>
        </w:tc>
        <w:tc>
          <w:tcPr>
            <w:tcW w:w="6814" w:type="dxa"/>
            <w:gridSpan w:val="2"/>
          </w:tcPr>
          <w:p w14:paraId="3FF3ABDD" w14:textId="77777777" w:rsidR="001E1112" w:rsidRPr="00317ABF" w:rsidRDefault="00DB3BEC" w:rsidP="00F32387">
            <w:pPr>
              <w:pStyle w:val="ARTartustawynprozporzdzenia"/>
              <w:spacing w:line="240" w:lineRule="auto"/>
              <w:ind w:firstLine="0"/>
              <w:rPr>
                <w:rFonts w:ascii="Times New Roman" w:hAnsi="Times New Roman" w:cs="Times New Roman"/>
                <w:sz w:val="22"/>
                <w:szCs w:val="22"/>
              </w:rPr>
            </w:pPr>
            <w:r w:rsidRPr="00317ABF">
              <w:rPr>
                <w:rStyle w:val="Ppogrubienie"/>
                <w:rFonts w:ascii="Times New Roman" w:eastAsia="Times" w:hAnsi="Times New Roman"/>
                <w:sz w:val="22"/>
                <w:szCs w:val="22"/>
              </w:rPr>
              <w:t>Art.</w:t>
            </w:r>
            <w:r w:rsidR="00F32387" w:rsidRPr="00317ABF">
              <w:rPr>
                <w:rStyle w:val="Ppogrubienie"/>
                <w:rFonts w:ascii="Times New Roman" w:hAnsi="Times New Roman"/>
                <w:sz w:val="22"/>
                <w:szCs w:val="22"/>
              </w:rPr>
              <w:t> 85</w:t>
            </w:r>
            <w:r w:rsidR="001E1112" w:rsidRPr="00317ABF">
              <w:rPr>
                <w:rStyle w:val="Ppogrubienie"/>
                <w:rFonts w:ascii="Times New Roman" w:eastAsia="Times" w:hAnsi="Times New Roman"/>
                <w:sz w:val="22"/>
                <w:szCs w:val="22"/>
              </w:rPr>
              <w:t>.</w:t>
            </w:r>
            <w:r w:rsidR="001E1112" w:rsidRPr="00317ABF">
              <w:rPr>
                <w:rFonts w:ascii="Times New Roman" w:eastAsia="Times" w:hAnsi="Times New Roman" w:cs="Times New Roman"/>
                <w:sz w:val="22"/>
                <w:szCs w:val="22"/>
              </w:rPr>
              <w:t xml:space="preserve"> 1. Dopuszcza się dokonywanie rezerwacji częstotliwości na rzecz kilku użytkowników.</w:t>
            </w:r>
          </w:p>
          <w:p w14:paraId="1CDC2EDD" w14:textId="77777777" w:rsidR="001E1112" w:rsidRPr="00317ABF" w:rsidRDefault="001E1112" w:rsidP="00F32387">
            <w:pPr>
              <w:pStyle w:val="USTustnpkodeksu"/>
              <w:keepNext/>
              <w:spacing w:line="240" w:lineRule="auto"/>
              <w:rPr>
                <w:rFonts w:ascii="Times New Roman" w:hAnsi="Times New Roman" w:cs="Times New Roman"/>
                <w:sz w:val="22"/>
                <w:szCs w:val="22"/>
              </w:rPr>
            </w:pPr>
            <w:r w:rsidRPr="00317ABF">
              <w:rPr>
                <w:rFonts w:ascii="Times New Roman" w:eastAsia="Times" w:hAnsi="Times New Roman" w:cs="Times New Roman"/>
                <w:sz w:val="22"/>
                <w:szCs w:val="22"/>
              </w:rPr>
              <w:t xml:space="preserve">2. W przypadku, o którym mowa w ust. 1, Prezes UKE, w drodze decyzji, wydanej w trybie art. </w:t>
            </w:r>
            <w:r w:rsidR="00F32387" w:rsidRPr="00317ABF">
              <w:rPr>
                <w:rFonts w:ascii="Times New Roman" w:hAnsi="Times New Roman" w:cs="Times New Roman"/>
                <w:sz w:val="22"/>
                <w:szCs w:val="22"/>
              </w:rPr>
              <w:t>86</w:t>
            </w:r>
            <w:r w:rsidRPr="00317ABF">
              <w:rPr>
                <w:rFonts w:ascii="Times New Roman" w:eastAsia="Times" w:hAnsi="Times New Roman" w:cs="Times New Roman"/>
                <w:sz w:val="22"/>
                <w:szCs w:val="22"/>
              </w:rPr>
              <w:t>, ustala warunki współużytkowania częstotliwości, w szczególności w zakresie:</w:t>
            </w:r>
          </w:p>
          <w:p w14:paraId="5D523191" w14:textId="77777777" w:rsidR="00F32387" w:rsidRPr="00317ABF" w:rsidRDefault="00F32387" w:rsidP="00F32387">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1)</w:t>
            </w:r>
            <w:r w:rsidRPr="00317ABF">
              <w:rPr>
                <w:rFonts w:ascii="Times New Roman" w:hAnsi="Times New Roman" w:cs="Times New Roman"/>
                <w:sz w:val="22"/>
                <w:szCs w:val="22"/>
              </w:rPr>
              <w:tab/>
              <w:t>zapewnienia możliwości zarządzania obsługą użytkownika końcowego przez uprawnionego przedsiębiorcę telekomunikacyjnego i podejmowania rozstrzygnięć dotyczących wykonywania usług na jego rzecz;</w:t>
            </w:r>
          </w:p>
          <w:p w14:paraId="6269857E" w14:textId="35448123" w:rsidR="0051289E" w:rsidRPr="00317ABF" w:rsidRDefault="001E1112" w:rsidP="00DB3BEC">
            <w:pPr>
              <w:ind w:left="510" w:hanging="510"/>
              <w:jc w:val="both"/>
              <w:rPr>
                <w:sz w:val="22"/>
                <w:szCs w:val="22"/>
              </w:rPr>
            </w:pPr>
            <w:r w:rsidRPr="00317ABF">
              <w:rPr>
                <w:rFonts w:eastAsia="Times"/>
                <w:sz w:val="22"/>
                <w:szCs w:val="22"/>
              </w:rPr>
              <w:t>2)</w:t>
            </w:r>
            <w:r w:rsidR="00F32387" w:rsidRPr="00317ABF">
              <w:rPr>
                <w:sz w:val="22"/>
                <w:szCs w:val="22"/>
              </w:rPr>
              <w:tab/>
            </w:r>
            <w:r w:rsidRPr="00317ABF">
              <w:rPr>
                <w:rFonts w:eastAsia="Times"/>
                <w:sz w:val="22"/>
                <w:szCs w:val="22"/>
              </w:rPr>
              <w:t>przyznawania dostępu do interfejsów, protokołów lub innych kluczowych technologii niezbędnych do zapewnienia interoperacyjności usług.</w:t>
            </w:r>
          </w:p>
          <w:p w14:paraId="215AE283" w14:textId="77777777" w:rsidR="001E1112" w:rsidRPr="00317ABF" w:rsidRDefault="001E1112" w:rsidP="00F32387">
            <w:pPr>
              <w:pStyle w:val="ARTartustawynprozporzdzenia"/>
              <w:spacing w:before="0" w:line="240" w:lineRule="auto"/>
              <w:ind w:firstLine="0"/>
              <w:rPr>
                <w:rFonts w:ascii="Times New Roman" w:hAnsi="Times New Roman" w:cs="Times New Roman"/>
                <w:sz w:val="22"/>
                <w:szCs w:val="22"/>
              </w:rPr>
            </w:pPr>
            <w:r w:rsidRPr="00317ABF">
              <w:rPr>
                <w:rStyle w:val="Ppogrubienie"/>
                <w:rFonts w:ascii="Times New Roman" w:eastAsia="Times" w:hAnsi="Times New Roman"/>
                <w:sz w:val="22"/>
                <w:szCs w:val="22"/>
              </w:rPr>
              <w:t>Art.</w:t>
            </w:r>
            <w:r w:rsidR="00F32387" w:rsidRPr="00317ABF">
              <w:rPr>
                <w:rStyle w:val="Ppogrubienie"/>
                <w:rFonts w:ascii="Times New Roman" w:hAnsi="Times New Roman"/>
                <w:sz w:val="22"/>
                <w:szCs w:val="22"/>
              </w:rPr>
              <w:t> 86</w:t>
            </w:r>
            <w:r w:rsidRPr="00317ABF">
              <w:rPr>
                <w:rStyle w:val="Ppogrubienie"/>
                <w:rFonts w:ascii="Times New Roman" w:eastAsia="Times" w:hAnsi="Times New Roman"/>
                <w:sz w:val="22"/>
                <w:szCs w:val="22"/>
              </w:rPr>
              <w:t>.</w:t>
            </w:r>
            <w:r w:rsidRPr="00317ABF">
              <w:rPr>
                <w:rFonts w:ascii="Times New Roman" w:eastAsia="Times" w:hAnsi="Times New Roman" w:cs="Times New Roman"/>
                <w:sz w:val="22"/>
                <w:szCs w:val="22"/>
              </w:rPr>
              <w:t xml:space="preserve"> 1. Prezes UKE, w sprawach spornych dotyczących współużytkowania częstotliwości może, na wniosek użytkownika współużytkującego częstotliwości, w drodze postanowienia, nałożyć na użytkowników współużytkujących częstotliwości, z wyjątkiem użytkowników rządowych, obowiązek podjęcia negocjacji dotyczących współużytkowania częstotliwości, określając jednocześnie termin ich zakończenia, nie dłuższy niż 30 dni, licząc od dnia wydania postanowienia.</w:t>
            </w:r>
          </w:p>
          <w:p w14:paraId="6A50586F" w14:textId="3078DF9E" w:rsidR="001E1112" w:rsidRPr="00317ABF" w:rsidRDefault="001E1112" w:rsidP="00F32387">
            <w:pPr>
              <w:pStyle w:val="USTustnpkodeksu"/>
              <w:spacing w:line="240" w:lineRule="auto"/>
              <w:rPr>
                <w:rFonts w:ascii="Times New Roman" w:hAnsi="Times New Roman" w:cs="Times New Roman"/>
                <w:sz w:val="22"/>
                <w:szCs w:val="22"/>
              </w:rPr>
            </w:pPr>
            <w:r w:rsidRPr="00317ABF">
              <w:rPr>
                <w:rFonts w:ascii="Times New Roman" w:eastAsia="Times" w:hAnsi="Times New Roman" w:cs="Times New Roman"/>
                <w:sz w:val="22"/>
                <w:szCs w:val="22"/>
              </w:rPr>
              <w:t>2. W przypadku niepodjęcia negocjacji, o których mowa w ust. 1, przez podmiot do tego obowiązany lub braku zawarcia przez strony porozumienia, warunki współużytkowania częstotliwości określa, na wniosek strony, Prezes UKE, w drodze decyzji, biorąc pod uwagę efektywne wykorzystanie częstotliwości.</w:t>
            </w:r>
          </w:p>
          <w:p w14:paraId="01993CE7" w14:textId="3078DF9E" w:rsidR="001E1112" w:rsidRPr="00317ABF" w:rsidRDefault="001E1112" w:rsidP="00F32387">
            <w:pPr>
              <w:pStyle w:val="USTustnpkodeksu"/>
              <w:spacing w:line="240" w:lineRule="auto"/>
              <w:rPr>
                <w:rFonts w:ascii="Times New Roman" w:hAnsi="Times New Roman" w:cs="Times New Roman"/>
                <w:sz w:val="22"/>
                <w:szCs w:val="22"/>
              </w:rPr>
            </w:pPr>
            <w:r w:rsidRPr="00317ABF">
              <w:rPr>
                <w:rFonts w:ascii="Times New Roman" w:eastAsia="Times" w:hAnsi="Times New Roman" w:cs="Times New Roman"/>
                <w:sz w:val="22"/>
                <w:szCs w:val="22"/>
              </w:rPr>
              <w:t xml:space="preserve">3. W przypadku częstotliwości wykorzystywanych dla celów rozpowszechniania lub rozprowadzania programów radiofonicznych lub telewizyjnych, Prezes UKE wydaje decyzję, o której mowa w ust. 2 w porozumieniu z Przewodniczącym KRRiT. Niezajęcie stanowiska przez Przewodniczącego KRRiT w terminie 30 dni od dnia otrzymania projektu </w:t>
            </w:r>
            <w:r w:rsidRPr="00317ABF">
              <w:rPr>
                <w:rFonts w:ascii="Times New Roman" w:eastAsia="Times" w:hAnsi="Times New Roman" w:cs="Times New Roman"/>
                <w:sz w:val="22"/>
                <w:szCs w:val="22"/>
              </w:rPr>
              <w:lastRenderedPageBreak/>
              <w:t>decyzji w sprawie współużytkowania jest równoznaczne z uzgodnieniem projektu.</w:t>
            </w:r>
          </w:p>
          <w:p w14:paraId="73B70EB0" w14:textId="3078DF9E" w:rsidR="001E1112" w:rsidRPr="00317ABF" w:rsidRDefault="001E1112" w:rsidP="00F32387">
            <w:pPr>
              <w:pStyle w:val="USTustnpkodeksu"/>
              <w:spacing w:line="240" w:lineRule="auto"/>
              <w:rPr>
                <w:rFonts w:ascii="Times New Roman" w:hAnsi="Times New Roman" w:cs="Times New Roman"/>
                <w:sz w:val="22"/>
                <w:szCs w:val="22"/>
              </w:rPr>
            </w:pPr>
            <w:r w:rsidRPr="00317ABF">
              <w:rPr>
                <w:rFonts w:ascii="Times New Roman" w:eastAsia="Times" w:hAnsi="Times New Roman" w:cs="Times New Roman"/>
                <w:sz w:val="22"/>
                <w:szCs w:val="22"/>
              </w:rPr>
              <w:t>4. Wnioski, o których mowa w ust. 1 i 2, powinny zawierać stanowiska poszczególnych użytkowników w zakresie współużytkowania częstotliwości, z wyszczególnieniem tych kwestii, co do których strony nie doszły do porozumienia.</w:t>
            </w:r>
          </w:p>
          <w:p w14:paraId="39D3D01C" w14:textId="418FE91F" w:rsidR="001E1112" w:rsidRPr="00317ABF" w:rsidRDefault="001E1112" w:rsidP="00F32387">
            <w:pPr>
              <w:pStyle w:val="USTustnpkodeksu"/>
              <w:keepNext/>
              <w:spacing w:line="240" w:lineRule="auto"/>
              <w:rPr>
                <w:rFonts w:ascii="Times New Roman" w:hAnsi="Times New Roman" w:cs="Times New Roman"/>
                <w:sz w:val="22"/>
                <w:szCs w:val="22"/>
              </w:rPr>
            </w:pPr>
            <w:r w:rsidRPr="00317ABF">
              <w:rPr>
                <w:rFonts w:ascii="Times New Roman" w:eastAsia="Times" w:hAnsi="Times New Roman" w:cs="Times New Roman"/>
                <w:sz w:val="22"/>
                <w:szCs w:val="22"/>
              </w:rPr>
              <w:t>5. Strony są obowiązane do przedłożenia Prezesowi UKE, na jego żądanie, w terminie 14 dni, dokumentów niezbędnych do rozpatrzenia wniosku oraz swoich stanowisk wobec rozbieżności.</w:t>
            </w:r>
          </w:p>
          <w:p w14:paraId="0F5C17CB" w14:textId="418FE91F" w:rsidR="001E1112" w:rsidRPr="00317ABF" w:rsidRDefault="001E1112" w:rsidP="00DB3BEC">
            <w:pPr>
              <w:jc w:val="both"/>
              <w:rPr>
                <w:sz w:val="22"/>
                <w:szCs w:val="22"/>
              </w:rPr>
            </w:pPr>
            <w:r w:rsidRPr="00317ABF">
              <w:rPr>
                <w:sz w:val="22"/>
                <w:szCs w:val="22"/>
              </w:rPr>
              <w:t>6. W sprawach, o których mowa w ust. 1, Prezes UKE może wydać, na wniosek jednej ze stron, decyzję, w której określa warunki współużytkowania częstotliwości do czasu ostatecznego rozstrzygnięcia sporu zgodnie z ust. 2.</w:t>
            </w:r>
          </w:p>
          <w:p w14:paraId="5B097008" w14:textId="418FE91F" w:rsidR="00F9250D" w:rsidRPr="00317ABF" w:rsidRDefault="00F9250D" w:rsidP="00F9250D">
            <w:pPr>
              <w:pStyle w:val="ARTartustawynprozporzdzenia"/>
              <w:spacing w:before="0" w:line="240" w:lineRule="auto"/>
              <w:ind w:firstLine="0"/>
              <w:rPr>
                <w:rFonts w:ascii="Times New Roman" w:hAnsi="Times New Roman" w:cs="Times New Roman"/>
                <w:sz w:val="22"/>
                <w:szCs w:val="22"/>
              </w:rPr>
            </w:pPr>
            <w:r w:rsidRPr="00317ABF">
              <w:rPr>
                <w:rFonts w:ascii="Times New Roman" w:hAnsi="Times New Roman" w:cs="Times New Roman"/>
                <w:b/>
                <w:bCs/>
                <w:sz w:val="22"/>
                <w:szCs w:val="22"/>
              </w:rPr>
              <w:t xml:space="preserve">Art. 134. </w:t>
            </w:r>
            <w:r w:rsidRPr="00317ABF">
              <w:rPr>
                <w:rFonts w:ascii="Times New Roman" w:hAnsi="Times New Roman" w:cs="Times New Roman"/>
                <w:sz w:val="22"/>
                <w:szCs w:val="22"/>
              </w:rPr>
              <w:t>1. Dopuszcza się dokonywanie przydziału częstotliwości na rzecz kilku użytkowników.</w:t>
            </w:r>
          </w:p>
          <w:p w14:paraId="141BBFF8" w14:textId="418FE91F" w:rsidR="00F9250D" w:rsidRPr="00317ABF" w:rsidRDefault="00F9250D" w:rsidP="00F9250D">
            <w:pPr>
              <w:pStyle w:val="USTustnpkodeksu"/>
              <w:spacing w:line="240" w:lineRule="auto"/>
              <w:rPr>
                <w:rFonts w:ascii="Times New Roman" w:hAnsi="Times New Roman" w:cs="Times New Roman"/>
                <w:sz w:val="22"/>
                <w:szCs w:val="22"/>
              </w:rPr>
            </w:pPr>
            <w:r w:rsidRPr="00317ABF">
              <w:rPr>
                <w:rFonts w:ascii="Times New Roman" w:hAnsi="Times New Roman" w:cs="Times New Roman"/>
                <w:sz w:val="22"/>
                <w:szCs w:val="22"/>
              </w:rPr>
              <w:t xml:space="preserve">2. W przypadku dokonywania przydziału częstotliwości na rzecz kilku użytkowników Prezes UKE może ustalić w przydziale częstotliwości warunki jego użytkowania. </w:t>
            </w:r>
          </w:p>
          <w:p w14:paraId="07A05780" w14:textId="418FE91F" w:rsidR="00F9250D" w:rsidRPr="00317ABF" w:rsidRDefault="00F9250D" w:rsidP="00F9250D">
            <w:pPr>
              <w:pStyle w:val="USTustnpkodeksu"/>
              <w:spacing w:line="240" w:lineRule="auto"/>
              <w:rPr>
                <w:rFonts w:ascii="Times New Roman" w:hAnsi="Times New Roman" w:cs="Times New Roman"/>
                <w:sz w:val="22"/>
                <w:szCs w:val="22"/>
              </w:rPr>
            </w:pPr>
            <w:r w:rsidRPr="00317ABF">
              <w:rPr>
                <w:rFonts w:ascii="Times New Roman" w:hAnsi="Times New Roman" w:cs="Times New Roman"/>
                <w:sz w:val="22"/>
                <w:szCs w:val="22"/>
              </w:rPr>
              <w:t>3.</w:t>
            </w:r>
            <w:r w:rsidRPr="00317ABF">
              <w:rPr>
                <w:rFonts w:ascii="Times New Roman" w:hAnsi="Times New Roman" w:cs="Times New Roman"/>
                <w:color w:val="000000" w:themeColor="text1"/>
                <w:sz w:val="22"/>
                <w:szCs w:val="22"/>
              </w:rPr>
              <w:t xml:space="preserve"> </w:t>
            </w:r>
            <w:r w:rsidRPr="00317ABF">
              <w:rPr>
                <w:rFonts w:ascii="Times New Roman" w:hAnsi="Times New Roman" w:cs="Times New Roman"/>
                <w:sz w:val="22"/>
                <w:szCs w:val="22"/>
              </w:rPr>
              <w:t>W sprawach spornych dotyczących współużytkowania częstotliwości Prezes UKE może, na wniosek podmiotu współużytkującego częstotliwości, w drodze postanowienia, nałożyć na współużytkowników częstotliwości, o których mowa w ust. 1, obowiązek podjęcia negocjacji dotyczących współużytkowania częstotliwości, określając jednocześnie termin ich zakończenia, nie dłuższy niż 30 dni, licząc od dnia wydania postanowienia.</w:t>
            </w:r>
          </w:p>
          <w:p w14:paraId="2D498B23" w14:textId="418FE91F" w:rsidR="00F9250D" w:rsidRPr="00317ABF" w:rsidRDefault="00F9250D" w:rsidP="00F9250D">
            <w:pPr>
              <w:pStyle w:val="USTustnpkodeksu"/>
              <w:spacing w:line="240" w:lineRule="auto"/>
              <w:rPr>
                <w:rFonts w:ascii="Times New Roman" w:hAnsi="Times New Roman" w:cs="Times New Roman"/>
                <w:sz w:val="22"/>
                <w:szCs w:val="22"/>
              </w:rPr>
            </w:pPr>
            <w:r w:rsidRPr="00317ABF">
              <w:rPr>
                <w:rFonts w:ascii="Times New Roman" w:hAnsi="Times New Roman" w:cs="Times New Roman"/>
                <w:sz w:val="22"/>
                <w:szCs w:val="22"/>
              </w:rPr>
              <w:t xml:space="preserve">4. W przypadku niepodjęcia negocjacji, o których mowa w ust. 3, przez podmiot do tego obowiązany lub braku zawarcia przez strony porozumienia, warunki współużytkowania częstotliwości określa, na wniosek strony, Prezes UKE, w drodze decyzji, biorąc pod uwagę efektywne wykorzystanie częstotliwości. </w:t>
            </w:r>
          </w:p>
          <w:p w14:paraId="796B9C0C" w14:textId="418FE91F" w:rsidR="00F9250D" w:rsidRPr="00317ABF" w:rsidRDefault="00F9250D" w:rsidP="00F9250D">
            <w:pPr>
              <w:pStyle w:val="USTustnpkodeksu"/>
              <w:spacing w:line="240" w:lineRule="auto"/>
              <w:rPr>
                <w:rFonts w:ascii="Times New Roman" w:hAnsi="Times New Roman" w:cs="Times New Roman"/>
                <w:sz w:val="22"/>
                <w:szCs w:val="22"/>
              </w:rPr>
            </w:pPr>
            <w:r w:rsidRPr="00317ABF">
              <w:rPr>
                <w:rFonts w:ascii="Times New Roman" w:hAnsi="Times New Roman" w:cs="Times New Roman"/>
                <w:sz w:val="22"/>
                <w:szCs w:val="22"/>
              </w:rPr>
              <w:t>5. Wnioski, o których mowa w ust. 2 i 3, powinny zawierać stanowiska poszczególnych użytkowników w zakresie współużytkowania częstotliwości, z wyszczególnieniem tych kwestii, co do których strony nie doszły do porozumienia.</w:t>
            </w:r>
          </w:p>
          <w:p w14:paraId="304E6C80" w14:textId="418FE91F" w:rsidR="00F9250D" w:rsidRPr="00317ABF" w:rsidRDefault="00F9250D" w:rsidP="00F9250D">
            <w:pPr>
              <w:pStyle w:val="USTustnpkodeksu"/>
              <w:spacing w:line="240" w:lineRule="auto"/>
              <w:rPr>
                <w:rFonts w:ascii="Times New Roman" w:hAnsi="Times New Roman" w:cs="Times New Roman"/>
                <w:sz w:val="22"/>
                <w:szCs w:val="22"/>
              </w:rPr>
            </w:pPr>
            <w:r w:rsidRPr="00317ABF">
              <w:rPr>
                <w:rFonts w:ascii="Times New Roman" w:hAnsi="Times New Roman" w:cs="Times New Roman"/>
                <w:sz w:val="22"/>
                <w:szCs w:val="22"/>
              </w:rPr>
              <w:t>6. Strony są obowiązane do przedłożenia Prezesowi UKE, na jego żądanie, w terminie 14 dni, dokumentów niezbędnych do rozpatrzenia wniosku oraz swoich stanowisk wobec rozbieżności.</w:t>
            </w:r>
          </w:p>
          <w:p w14:paraId="722B00AE" w14:textId="4BA532F5" w:rsidR="001E1112" w:rsidRPr="00317ABF" w:rsidRDefault="00F9250D" w:rsidP="00DB3BEC">
            <w:pPr>
              <w:jc w:val="both"/>
              <w:rPr>
                <w:sz w:val="22"/>
                <w:szCs w:val="22"/>
              </w:rPr>
            </w:pPr>
            <w:r w:rsidRPr="00317ABF">
              <w:rPr>
                <w:sz w:val="22"/>
                <w:szCs w:val="22"/>
              </w:rPr>
              <w:t xml:space="preserve">7. W sprawach, o których mowa w ust. 2, Prezes UKE może wydać, na wniosek jednej ze stron, decyzję, w której określa warunki </w:t>
            </w:r>
            <w:r w:rsidRPr="00317ABF">
              <w:rPr>
                <w:sz w:val="22"/>
                <w:szCs w:val="22"/>
              </w:rPr>
              <w:lastRenderedPageBreak/>
              <w:t>współużytkowania częstotliwości do czasu ostatecznego rozstrzygnięcia sporu zgodnie z ust. 3.</w:t>
            </w:r>
          </w:p>
        </w:tc>
      </w:tr>
      <w:tr w:rsidR="001E1112" w:rsidRPr="00317ABF" w14:paraId="41697FDE" w14:textId="77777777" w:rsidTr="7753F98D">
        <w:trPr>
          <w:gridAfter w:val="2"/>
          <w:wAfter w:w="175" w:type="dxa"/>
        </w:trPr>
        <w:tc>
          <w:tcPr>
            <w:tcW w:w="704" w:type="dxa"/>
          </w:tcPr>
          <w:p w14:paraId="390FF3B3" w14:textId="77777777" w:rsidR="001E1112" w:rsidRPr="00317ABF" w:rsidRDefault="001E1112" w:rsidP="00DB3BEC">
            <w:pPr>
              <w:jc w:val="both"/>
              <w:rPr>
                <w:sz w:val="22"/>
                <w:szCs w:val="22"/>
              </w:rPr>
            </w:pPr>
            <w:r w:rsidRPr="00317ABF">
              <w:rPr>
                <w:sz w:val="22"/>
                <w:szCs w:val="22"/>
              </w:rPr>
              <w:lastRenderedPageBreak/>
              <w:t>Art. 2 pkt 27</w:t>
            </w:r>
          </w:p>
        </w:tc>
        <w:tc>
          <w:tcPr>
            <w:tcW w:w="4308" w:type="dxa"/>
          </w:tcPr>
          <w:p w14:paraId="567C70FA" w14:textId="0096334C" w:rsidR="001E1112" w:rsidRPr="00317ABF" w:rsidRDefault="001E1112" w:rsidP="00DB3BEC">
            <w:pPr>
              <w:autoSpaceDE w:val="0"/>
              <w:autoSpaceDN w:val="0"/>
              <w:adjustRightInd w:val="0"/>
              <w:jc w:val="both"/>
              <w:rPr>
                <w:rFonts w:eastAsia="EUAlbertina-Regular-Identity-H"/>
                <w:sz w:val="22"/>
                <w:szCs w:val="22"/>
              </w:rPr>
            </w:pPr>
            <w:r w:rsidRPr="00317ABF">
              <w:rPr>
                <w:sz w:val="22"/>
                <w:szCs w:val="22"/>
              </w:rPr>
              <w:t>„dostęp” oznacza udostępnianie urządzeń lub usług innemu przedsiębiorstwu na określonych warunkach, na zasadzie albo wyłączności, albo braku wyłączności, na potrzeby świadczenia usług łączności elektronicznej, w tym świadczenia za ich pomocą usług społeczeństwa informacyjnego lub usług nadawania treści; obejmuje on między innymi: dostęp do elementów sieci i urządzeń towarzyszących, co może się wiązać z podłączeniem urządzeń za pomocą środków stacjonarnych lub niestacjonarnych (w szczególności obejmuje to dostęp do pętli lokalnej oraz urządzeń i usług niezbędnych do obsługi pętli lokalnej); dostęp do infrastruktury technicznej, w tym budynków, kanałów i masztów; dostęp do odpowiednich systemów oprogramowania, w tym do systemów wsparcia operacyjnego; dostęp do systemów informacyjnych lub baz danych na potrzeby przygotowywania zamówień, dostaw, zamaw</w:t>
            </w:r>
            <w:r w:rsidR="0051289E" w:rsidRPr="00317ABF">
              <w:rPr>
                <w:sz w:val="22"/>
                <w:szCs w:val="22"/>
              </w:rPr>
              <w:t xml:space="preserve">iania, konserwacji i reklamacji </w:t>
            </w:r>
            <w:r w:rsidRPr="00317ABF">
              <w:rPr>
                <w:sz w:val="22"/>
                <w:szCs w:val="22"/>
              </w:rPr>
              <w:t>oraz fakturowania; dostęp do translacji numerów lub systemów o równoważnych funkcjach; dostęp do sieci stacjonarnych i ruchomych, w szczególności na potrzeby roamingu; dostęp do systemów dostępu warunkowego na potrzeby usług telewizji cyfrowej oraz dostęp do usług sieci wirtualnych;</w:t>
            </w:r>
          </w:p>
        </w:tc>
        <w:tc>
          <w:tcPr>
            <w:tcW w:w="986" w:type="dxa"/>
          </w:tcPr>
          <w:p w14:paraId="42C6D796" w14:textId="4DC8E1D0" w:rsidR="001E1112" w:rsidRPr="00317ABF" w:rsidRDefault="001E1112" w:rsidP="00DB3BEC">
            <w:pPr>
              <w:jc w:val="both"/>
              <w:rPr>
                <w:sz w:val="22"/>
                <w:szCs w:val="22"/>
              </w:rPr>
            </w:pPr>
            <w:r w:rsidRPr="00317ABF">
              <w:rPr>
                <w:sz w:val="22"/>
                <w:szCs w:val="22"/>
              </w:rPr>
              <w:t>T</w:t>
            </w:r>
          </w:p>
        </w:tc>
        <w:tc>
          <w:tcPr>
            <w:tcW w:w="910" w:type="dxa"/>
          </w:tcPr>
          <w:p w14:paraId="6E1831B3" w14:textId="3E499BC3" w:rsidR="001E1112" w:rsidRPr="00317ABF" w:rsidRDefault="009A6AF1" w:rsidP="00DB3BEC">
            <w:pPr>
              <w:pStyle w:val="Tekstpodstawowy"/>
              <w:rPr>
                <w:b/>
                <w:noProof/>
                <w:sz w:val="22"/>
                <w:szCs w:val="22"/>
              </w:rPr>
            </w:pPr>
            <w:r w:rsidRPr="00317ABF">
              <w:rPr>
                <w:b/>
                <w:noProof/>
                <w:sz w:val="22"/>
                <w:szCs w:val="22"/>
              </w:rPr>
              <w:t>Art. 2 pkt 7</w:t>
            </w:r>
          </w:p>
        </w:tc>
        <w:tc>
          <w:tcPr>
            <w:tcW w:w="6814" w:type="dxa"/>
            <w:gridSpan w:val="2"/>
          </w:tcPr>
          <w:p w14:paraId="3E6210AF" w14:textId="00EF9CCC" w:rsidR="009A6AF1" w:rsidRPr="00317ABF" w:rsidRDefault="009A6AF1" w:rsidP="009A6AF1">
            <w:pPr>
              <w:jc w:val="both"/>
              <w:rPr>
                <w:sz w:val="22"/>
                <w:szCs w:val="22"/>
              </w:rPr>
            </w:pPr>
            <w:r w:rsidRPr="00317ABF">
              <w:rPr>
                <w:sz w:val="22"/>
                <w:szCs w:val="22"/>
              </w:rPr>
              <w:t>7)</w:t>
            </w:r>
            <w:r w:rsidRPr="00317ABF">
              <w:rPr>
                <w:sz w:val="22"/>
                <w:szCs w:val="22"/>
              </w:rPr>
              <w:tab/>
              <w:t>dostęp telekomunikacyjny – udostępnianie zasobów na rzecz przedsiębiorcy komunikacji elektronicznej na potrzeby świadczenia usług komunikacji elektronicznej, w szczególności:</w:t>
            </w:r>
          </w:p>
          <w:p w14:paraId="5326D88C" w14:textId="77777777" w:rsidR="009A6AF1" w:rsidRPr="00317ABF" w:rsidRDefault="009A6AF1" w:rsidP="009A6AF1">
            <w:pPr>
              <w:jc w:val="both"/>
              <w:rPr>
                <w:sz w:val="22"/>
                <w:szCs w:val="22"/>
              </w:rPr>
            </w:pPr>
            <w:r w:rsidRPr="00317ABF">
              <w:rPr>
                <w:sz w:val="22"/>
                <w:szCs w:val="22"/>
              </w:rPr>
              <w:t>a)</w:t>
            </w:r>
            <w:r w:rsidRPr="00317ABF">
              <w:rPr>
                <w:sz w:val="22"/>
                <w:szCs w:val="22"/>
              </w:rPr>
              <w:tab/>
              <w:t>sieci telekomunikacyjnych i powiązanych zasobów, w szczególności infrastruktury technicznej, lokalnej pętli abonenckiej oraz obiektów i usług niezbędnych do obsługi lokalnej pętli abonenckiej,</w:t>
            </w:r>
          </w:p>
          <w:p w14:paraId="144E5DEF" w14:textId="77777777" w:rsidR="009A6AF1" w:rsidRPr="00317ABF" w:rsidRDefault="009A6AF1" w:rsidP="009A6AF1">
            <w:pPr>
              <w:jc w:val="both"/>
              <w:rPr>
                <w:sz w:val="22"/>
                <w:szCs w:val="22"/>
              </w:rPr>
            </w:pPr>
            <w:r w:rsidRPr="00317ABF">
              <w:rPr>
                <w:sz w:val="22"/>
                <w:szCs w:val="22"/>
              </w:rPr>
              <w:t>b)</w:t>
            </w:r>
            <w:r w:rsidRPr="00317ABF">
              <w:rPr>
                <w:sz w:val="22"/>
                <w:szCs w:val="22"/>
              </w:rPr>
              <w:tab/>
              <w:t>nieruchomości, w tym budynków,</w:t>
            </w:r>
          </w:p>
          <w:p w14:paraId="1D7662F5" w14:textId="77777777" w:rsidR="009A6AF1" w:rsidRPr="00317ABF" w:rsidRDefault="009A6AF1" w:rsidP="009A6AF1">
            <w:pPr>
              <w:jc w:val="both"/>
              <w:rPr>
                <w:sz w:val="22"/>
                <w:szCs w:val="22"/>
              </w:rPr>
            </w:pPr>
            <w:r w:rsidRPr="00317ABF">
              <w:rPr>
                <w:sz w:val="22"/>
                <w:szCs w:val="22"/>
              </w:rPr>
              <w:t>c)</w:t>
            </w:r>
            <w:r w:rsidRPr="00317ABF">
              <w:rPr>
                <w:sz w:val="22"/>
                <w:szCs w:val="22"/>
              </w:rPr>
              <w:tab/>
              <w:t>odpowiednich systemów oprogramowania, w tym do systemów wsparcia operacyjnego,</w:t>
            </w:r>
          </w:p>
          <w:p w14:paraId="61BF0F45" w14:textId="77777777" w:rsidR="009A6AF1" w:rsidRPr="00317ABF" w:rsidRDefault="009A6AF1" w:rsidP="009A6AF1">
            <w:pPr>
              <w:jc w:val="both"/>
              <w:rPr>
                <w:sz w:val="22"/>
                <w:szCs w:val="22"/>
              </w:rPr>
            </w:pPr>
            <w:r w:rsidRPr="00317ABF">
              <w:rPr>
                <w:sz w:val="22"/>
                <w:szCs w:val="22"/>
              </w:rPr>
              <w:t>d)</w:t>
            </w:r>
            <w:r w:rsidRPr="00317ABF">
              <w:rPr>
                <w:sz w:val="22"/>
                <w:szCs w:val="22"/>
              </w:rPr>
              <w:tab/>
              <w:t>systemów informacyjnych lub baz danych na potrzeby zamówień, dostaw, konserwacji i reklamacji oraz fakturowania,</w:t>
            </w:r>
          </w:p>
          <w:p w14:paraId="79B9A1BB" w14:textId="77777777" w:rsidR="009A6AF1" w:rsidRPr="00317ABF" w:rsidRDefault="009A6AF1" w:rsidP="009A6AF1">
            <w:pPr>
              <w:jc w:val="both"/>
              <w:rPr>
                <w:sz w:val="22"/>
                <w:szCs w:val="22"/>
              </w:rPr>
            </w:pPr>
            <w:r w:rsidRPr="00317ABF">
              <w:rPr>
                <w:sz w:val="22"/>
                <w:szCs w:val="22"/>
              </w:rPr>
              <w:t>e) interfejsów, protokołów lub innych kluczowych technologii niezbędnych do zapewnienia interoperacyjności usług,</w:t>
            </w:r>
          </w:p>
          <w:p w14:paraId="617E70B4" w14:textId="77777777" w:rsidR="009A6AF1" w:rsidRPr="00317ABF" w:rsidRDefault="009A6AF1" w:rsidP="009A6AF1">
            <w:pPr>
              <w:jc w:val="both"/>
              <w:rPr>
                <w:sz w:val="22"/>
                <w:szCs w:val="22"/>
              </w:rPr>
            </w:pPr>
            <w:r w:rsidRPr="00317ABF">
              <w:rPr>
                <w:sz w:val="22"/>
                <w:szCs w:val="22"/>
              </w:rPr>
              <w:t>f) usług sieci wirtualnych, oraz</w:t>
            </w:r>
          </w:p>
          <w:p w14:paraId="54E11D2A" w14:textId="4AB68747" w:rsidR="001E1112" w:rsidRPr="00317ABF" w:rsidRDefault="009A6AF1" w:rsidP="009A6AF1">
            <w:pPr>
              <w:jc w:val="both"/>
              <w:rPr>
                <w:sz w:val="22"/>
                <w:szCs w:val="22"/>
              </w:rPr>
            </w:pPr>
            <w:r w:rsidRPr="00317ABF">
              <w:rPr>
                <w:sz w:val="22"/>
                <w:szCs w:val="22"/>
              </w:rPr>
              <w:t>g) multipleksu, z zastrzeżeniem, że udostępnienie multipleksu następuje na rzecz nadawcy;</w:t>
            </w:r>
          </w:p>
        </w:tc>
      </w:tr>
      <w:tr w:rsidR="001E1112" w:rsidRPr="00317ABF" w14:paraId="097C023B" w14:textId="77777777" w:rsidTr="7753F98D">
        <w:trPr>
          <w:gridAfter w:val="2"/>
          <w:wAfter w:w="175" w:type="dxa"/>
        </w:trPr>
        <w:tc>
          <w:tcPr>
            <w:tcW w:w="704" w:type="dxa"/>
          </w:tcPr>
          <w:p w14:paraId="32D824CD" w14:textId="77777777" w:rsidR="001E1112" w:rsidRPr="00317ABF" w:rsidRDefault="001E1112" w:rsidP="00DB3BEC">
            <w:pPr>
              <w:jc w:val="both"/>
              <w:rPr>
                <w:sz w:val="22"/>
                <w:szCs w:val="22"/>
              </w:rPr>
            </w:pPr>
            <w:r w:rsidRPr="00317ABF">
              <w:rPr>
                <w:sz w:val="22"/>
                <w:szCs w:val="22"/>
              </w:rPr>
              <w:t>Art. 2 pkt 28</w:t>
            </w:r>
          </w:p>
        </w:tc>
        <w:tc>
          <w:tcPr>
            <w:tcW w:w="4308" w:type="dxa"/>
          </w:tcPr>
          <w:p w14:paraId="579F71C1" w14:textId="77777777" w:rsidR="001E1112" w:rsidRPr="00317ABF" w:rsidRDefault="001E1112" w:rsidP="00DB3BEC">
            <w:pPr>
              <w:autoSpaceDE w:val="0"/>
              <w:autoSpaceDN w:val="0"/>
              <w:adjustRightInd w:val="0"/>
              <w:jc w:val="both"/>
              <w:rPr>
                <w:rFonts w:eastAsia="EUAlbertina-Regular-Identity-H"/>
                <w:sz w:val="22"/>
                <w:szCs w:val="22"/>
              </w:rPr>
            </w:pPr>
            <w:r w:rsidRPr="00317ABF">
              <w:rPr>
                <w:sz w:val="22"/>
                <w:szCs w:val="22"/>
              </w:rPr>
              <w:t xml:space="preserve">„wzajemne połączenia” oznaczają specyficzny rodzaj dostępu realizowanego pomiędzy operatorami sieci publicznych w formie fizycznego i logicznego połączenia elektronicznego pomiędzy publicznymi sieciami łączności użytkowanymi przez jedno i to samo albo inne przedsiębiorstwo celem </w:t>
            </w:r>
            <w:r w:rsidRPr="00317ABF">
              <w:rPr>
                <w:sz w:val="22"/>
                <w:szCs w:val="22"/>
              </w:rPr>
              <w:lastRenderedPageBreak/>
              <w:t>umożliwienia użytkownikom jednego przedsiębiorstwa porozumiewania się z użytkownikami tego samego lub innego przedsiębiorstwa albo zapewnienia dostępu do usług innego przedsiębiorstwa, przy czym usługi takie są świadczone przez powyższe podmioty albo inne podmioty, które mają dostęp do sieci;</w:t>
            </w:r>
          </w:p>
        </w:tc>
        <w:tc>
          <w:tcPr>
            <w:tcW w:w="986" w:type="dxa"/>
          </w:tcPr>
          <w:p w14:paraId="31126E5D" w14:textId="494D46EF" w:rsidR="001E1112" w:rsidRPr="00317ABF" w:rsidRDefault="001E1112" w:rsidP="00DB3BEC">
            <w:pPr>
              <w:jc w:val="both"/>
              <w:rPr>
                <w:sz w:val="22"/>
                <w:szCs w:val="22"/>
              </w:rPr>
            </w:pPr>
            <w:r w:rsidRPr="00317ABF">
              <w:rPr>
                <w:sz w:val="22"/>
                <w:szCs w:val="22"/>
              </w:rPr>
              <w:lastRenderedPageBreak/>
              <w:t>T</w:t>
            </w:r>
          </w:p>
        </w:tc>
        <w:tc>
          <w:tcPr>
            <w:tcW w:w="910" w:type="dxa"/>
          </w:tcPr>
          <w:p w14:paraId="2DE403A5" w14:textId="5543622E" w:rsidR="001E1112" w:rsidRPr="00317ABF" w:rsidRDefault="00E277D5" w:rsidP="00DB3BEC">
            <w:pPr>
              <w:pStyle w:val="Tekstpodstawowy"/>
              <w:rPr>
                <w:b/>
                <w:noProof/>
                <w:sz w:val="22"/>
                <w:szCs w:val="22"/>
              </w:rPr>
            </w:pPr>
            <w:r w:rsidRPr="00317ABF">
              <w:rPr>
                <w:b/>
                <w:noProof/>
                <w:sz w:val="22"/>
                <w:szCs w:val="22"/>
              </w:rPr>
              <w:t>Art. 2 pkt 36</w:t>
            </w:r>
          </w:p>
        </w:tc>
        <w:tc>
          <w:tcPr>
            <w:tcW w:w="6814" w:type="dxa"/>
            <w:gridSpan w:val="2"/>
          </w:tcPr>
          <w:p w14:paraId="62431CDC" w14:textId="22C89979" w:rsidR="001E1112" w:rsidRPr="00317ABF" w:rsidRDefault="00E277D5" w:rsidP="00DB3BEC">
            <w:pPr>
              <w:pStyle w:val="Tekstpodstawowy"/>
              <w:rPr>
                <w:sz w:val="22"/>
                <w:szCs w:val="22"/>
              </w:rPr>
            </w:pPr>
            <w:r w:rsidRPr="00317ABF">
              <w:rPr>
                <w:sz w:val="22"/>
                <w:szCs w:val="22"/>
              </w:rPr>
              <w:t xml:space="preserve">połączenie sieci – fizyczne lub logiczne połączenie publicznych sieci telekomunikacyjnych użytkowanych przez tego samego lub różnych przedsiębiorców telekomunikacyjnych, celem umożliwienia użytkownikom korzystającym z usług lub sieci jednego przedsiębiorcy telekomunikacyjnego komunikowania się z użytkownikami korzystającymi z usług lub sieci tego samego lub innego przedsiębiorcy </w:t>
            </w:r>
            <w:r w:rsidRPr="00317ABF">
              <w:rPr>
                <w:sz w:val="22"/>
                <w:szCs w:val="22"/>
              </w:rPr>
              <w:lastRenderedPageBreak/>
              <w:t>telekomunikacyjnego albo dostępu do usług dostarczanych przez innego przedsiębiorcę telekomunikacyjnego</w:t>
            </w:r>
          </w:p>
        </w:tc>
      </w:tr>
      <w:tr w:rsidR="001E1112" w:rsidRPr="00317ABF" w14:paraId="6EE89355" w14:textId="77777777" w:rsidTr="7753F98D">
        <w:trPr>
          <w:gridAfter w:val="2"/>
          <w:wAfter w:w="175" w:type="dxa"/>
        </w:trPr>
        <w:tc>
          <w:tcPr>
            <w:tcW w:w="704" w:type="dxa"/>
          </w:tcPr>
          <w:p w14:paraId="1D1FD487" w14:textId="77777777" w:rsidR="001E1112" w:rsidRPr="00317ABF" w:rsidRDefault="001E1112" w:rsidP="00DB3BEC">
            <w:pPr>
              <w:jc w:val="both"/>
              <w:rPr>
                <w:sz w:val="22"/>
                <w:szCs w:val="22"/>
              </w:rPr>
            </w:pPr>
            <w:r w:rsidRPr="00317ABF">
              <w:rPr>
                <w:sz w:val="22"/>
                <w:szCs w:val="22"/>
              </w:rPr>
              <w:lastRenderedPageBreak/>
              <w:t>Art. 2 pkt 29</w:t>
            </w:r>
          </w:p>
        </w:tc>
        <w:tc>
          <w:tcPr>
            <w:tcW w:w="4308" w:type="dxa"/>
          </w:tcPr>
          <w:p w14:paraId="72248454" w14:textId="77777777" w:rsidR="001E1112" w:rsidRPr="00317ABF" w:rsidRDefault="001E1112" w:rsidP="00DB3BEC">
            <w:pPr>
              <w:autoSpaceDE w:val="0"/>
              <w:autoSpaceDN w:val="0"/>
              <w:adjustRightInd w:val="0"/>
              <w:jc w:val="both"/>
              <w:rPr>
                <w:rFonts w:eastAsia="EUAlbertina-Regular-Identity-H"/>
                <w:sz w:val="22"/>
                <w:szCs w:val="22"/>
              </w:rPr>
            </w:pPr>
            <w:r w:rsidRPr="00317ABF">
              <w:rPr>
                <w:sz w:val="22"/>
                <w:szCs w:val="22"/>
              </w:rPr>
              <w:t>„operator” oznacza przedsiębiorstwo udostępniające lub upoważnione do dostarczania publicznych sieci łączności elektronicznej albo urządzeń towarzyszących;</w:t>
            </w:r>
          </w:p>
        </w:tc>
        <w:tc>
          <w:tcPr>
            <w:tcW w:w="986" w:type="dxa"/>
          </w:tcPr>
          <w:p w14:paraId="49E398E2" w14:textId="3ED3A85E" w:rsidR="001E1112" w:rsidRPr="00317ABF" w:rsidRDefault="001E1112" w:rsidP="00DB3BEC">
            <w:pPr>
              <w:jc w:val="both"/>
              <w:rPr>
                <w:sz w:val="22"/>
                <w:szCs w:val="22"/>
              </w:rPr>
            </w:pPr>
            <w:r w:rsidRPr="00317ABF">
              <w:rPr>
                <w:sz w:val="22"/>
                <w:szCs w:val="22"/>
              </w:rPr>
              <w:t>T</w:t>
            </w:r>
          </w:p>
        </w:tc>
        <w:tc>
          <w:tcPr>
            <w:tcW w:w="910" w:type="dxa"/>
          </w:tcPr>
          <w:p w14:paraId="16287F21" w14:textId="2FFEE379" w:rsidR="001E1112" w:rsidRPr="00317ABF" w:rsidRDefault="00354E83" w:rsidP="00DB3BEC">
            <w:pPr>
              <w:pStyle w:val="Tekstpodstawowy"/>
              <w:rPr>
                <w:b/>
                <w:bCs/>
                <w:noProof/>
                <w:sz w:val="22"/>
                <w:szCs w:val="22"/>
              </w:rPr>
            </w:pPr>
            <w:r w:rsidRPr="00317ABF">
              <w:rPr>
                <w:b/>
                <w:bCs/>
                <w:noProof/>
                <w:sz w:val="22"/>
                <w:szCs w:val="22"/>
              </w:rPr>
              <w:t xml:space="preserve">Art. </w:t>
            </w:r>
            <w:r w:rsidR="001E1112" w:rsidRPr="00317ABF">
              <w:rPr>
                <w:b/>
                <w:bCs/>
                <w:noProof/>
                <w:sz w:val="22"/>
                <w:szCs w:val="22"/>
              </w:rPr>
              <w:t>2 pkt 42 lit. b</w:t>
            </w:r>
          </w:p>
        </w:tc>
        <w:tc>
          <w:tcPr>
            <w:tcW w:w="6814" w:type="dxa"/>
            <w:gridSpan w:val="2"/>
          </w:tcPr>
          <w:p w14:paraId="055A988B" w14:textId="77777777" w:rsidR="00354E83" w:rsidRPr="00317ABF" w:rsidRDefault="00354E83" w:rsidP="00354E83">
            <w:pPr>
              <w:jc w:val="both"/>
              <w:rPr>
                <w:bCs/>
                <w:sz w:val="22"/>
                <w:szCs w:val="22"/>
              </w:rPr>
            </w:pPr>
            <w:r w:rsidRPr="00317ABF">
              <w:rPr>
                <w:bCs/>
                <w:sz w:val="22"/>
                <w:szCs w:val="22"/>
              </w:rPr>
              <w:t>przedsiębiorca telekomunikacyjny – przedsiębiorcę lub inny podmiot uprawniony do wykonywania działalności gospodarczej na podstawie odrębnych przepisów, który wykonuje działalność gospodarczą polegającą na dostarczaniu publicznych sieci telekomunikacyjnej, świadczeniu powiązanych usług lub świadczeniu publicznie dostępnych usług telekomunikacyjnych, przy czym przedsiębiorca telekomunikacyjny, uprawniony do:</w:t>
            </w:r>
          </w:p>
          <w:p w14:paraId="7F9AC1C4" w14:textId="2FA93A3A" w:rsidR="00354E83" w:rsidRPr="00317ABF" w:rsidRDefault="00354E83" w:rsidP="00354E83">
            <w:pPr>
              <w:jc w:val="both"/>
              <w:rPr>
                <w:bCs/>
                <w:sz w:val="22"/>
                <w:szCs w:val="22"/>
              </w:rPr>
            </w:pPr>
            <w:r w:rsidRPr="00317ABF">
              <w:rPr>
                <w:bCs/>
                <w:sz w:val="22"/>
                <w:szCs w:val="22"/>
              </w:rPr>
              <w:t xml:space="preserve">a) </w:t>
            </w:r>
            <w:r w:rsidRPr="00317ABF">
              <w:rPr>
                <w:bCs/>
                <w:sz w:val="22"/>
                <w:szCs w:val="22"/>
              </w:rPr>
              <w:tab/>
              <w:t>(…)</w:t>
            </w:r>
          </w:p>
          <w:p w14:paraId="5BE93A62" w14:textId="27ECE444" w:rsidR="001E1112" w:rsidRPr="00317ABF" w:rsidRDefault="00354E83" w:rsidP="00DB3BEC">
            <w:pPr>
              <w:jc w:val="both"/>
              <w:rPr>
                <w:bCs/>
                <w:sz w:val="22"/>
                <w:szCs w:val="22"/>
              </w:rPr>
            </w:pPr>
            <w:r w:rsidRPr="00317ABF">
              <w:rPr>
                <w:bCs/>
                <w:sz w:val="22"/>
                <w:szCs w:val="22"/>
              </w:rPr>
              <w:t xml:space="preserve">b) </w:t>
            </w:r>
            <w:r w:rsidRPr="00317ABF">
              <w:rPr>
                <w:bCs/>
                <w:sz w:val="22"/>
                <w:szCs w:val="22"/>
              </w:rPr>
              <w:tab/>
              <w:t>dostarczania publicznych sieci telekomunikacyjnych lub świadczenia powiązanych usług, zwany jest „operatorem”</w:t>
            </w:r>
          </w:p>
        </w:tc>
      </w:tr>
      <w:tr w:rsidR="001E1112" w:rsidRPr="00317ABF" w14:paraId="516BC0A1" w14:textId="77777777" w:rsidTr="7753F98D">
        <w:trPr>
          <w:gridAfter w:val="2"/>
          <w:wAfter w:w="175" w:type="dxa"/>
        </w:trPr>
        <w:tc>
          <w:tcPr>
            <w:tcW w:w="704" w:type="dxa"/>
          </w:tcPr>
          <w:p w14:paraId="0D33EE22" w14:textId="77777777" w:rsidR="001E1112" w:rsidRPr="00317ABF" w:rsidRDefault="001E1112" w:rsidP="00DB3BEC">
            <w:pPr>
              <w:jc w:val="both"/>
              <w:rPr>
                <w:sz w:val="22"/>
                <w:szCs w:val="22"/>
              </w:rPr>
            </w:pPr>
            <w:r w:rsidRPr="00317ABF">
              <w:rPr>
                <w:sz w:val="22"/>
                <w:szCs w:val="22"/>
              </w:rPr>
              <w:t>Art. 2 pkt 30</w:t>
            </w:r>
          </w:p>
        </w:tc>
        <w:tc>
          <w:tcPr>
            <w:tcW w:w="4308" w:type="dxa"/>
          </w:tcPr>
          <w:p w14:paraId="1EF1EDF3" w14:textId="77777777" w:rsidR="001E1112" w:rsidRPr="00317ABF" w:rsidRDefault="001E1112" w:rsidP="00DB3BEC">
            <w:pPr>
              <w:autoSpaceDE w:val="0"/>
              <w:autoSpaceDN w:val="0"/>
              <w:adjustRightInd w:val="0"/>
              <w:jc w:val="both"/>
              <w:rPr>
                <w:rFonts w:eastAsia="EUAlbertina-Regular-Identity-H"/>
                <w:sz w:val="22"/>
                <w:szCs w:val="22"/>
              </w:rPr>
            </w:pPr>
            <w:r w:rsidRPr="00317ABF">
              <w:rPr>
                <w:sz w:val="22"/>
                <w:szCs w:val="22"/>
              </w:rPr>
              <w:t>„pętla lokalna” oznacza fizyczną ścieżkę wykorzystywaną przez sygnały łączności elektronicznej łączącą punkt zakończenia sieci z przełącznicą albo równorzędnym urządzeniem w stacjonarnej publicznej sieci łączności elektronicznej;</w:t>
            </w:r>
          </w:p>
        </w:tc>
        <w:tc>
          <w:tcPr>
            <w:tcW w:w="986" w:type="dxa"/>
          </w:tcPr>
          <w:p w14:paraId="384BA73E" w14:textId="15439BE4" w:rsidR="001E1112" w:rsidRPr="00317ABF" w:rsidRDefault="001E1112" w:rsidP="00DB3BEC">
            <w:pPr>
              <w:jc w:val="both"/>
              <w:rPr>
                <w:sz w:val="22"/>
                <w:szCs w:val="22"/>
              </w:rPr>
            </w:pPr>
            <w:r w:rsidRPr="00317ABF">
              <w:rPr>
                <w:sz w:val="22"/>
                <w:szCs w:val="22"/>
              </w:rPr>
              <w:t>T</w:t>
            </w:r>
          </w:p>
        </w:tc>
        <w:tc>
          <w:tcPr>
            <w:tcW w:w="910" w:type="dxa"/>
          </w:tcPr>
          <w:p w14:paraId="34B3F2EB" w14:textId="48591601" w:rsidR="001E1112" w:rsidRPr="00317ABF" w:rsidRDefault="001E1112" w:rsidP="00E277D5">
            <w:pPr>
              <w:pStyle w:val="Tekstpodstawowy"/>
              <w:rPr>
                <w:b/>
                <w:noProof/>
                <w:sz w:val="22"/>
                <w:szCs w:val="22"/>
              </w:rPr>
            </w:pPr>
            <w:r w:rsidRPr="00317ABF">
              <w:rPr>
                <w:b/>
                <w:noProof/>
                <w:sz w:val="22"/>
                <w:szCs w:val="22"/>
              </w:rPr>
              <w:t>Art. 2 pkt 2</w:t>
            </w:r>
            <w:r w:rsidR="00E277D5" w:rsidRPr="00317ABF">
              <w:rPr>
                <w:b/>
                <w:noProof/>
                <w:sz w:val="22"/>
                <w:szCs w:val="22"/>
              </w:rPr>
              <w:t>1</w:t>
            </w:r>
          </w:p>
        </w:tc>
        <w:tc>
          <w:tcPr>
            <w:tcW w:w="6814" w:type="dxa"/>
            <w:gridSpan w:val="2"/>
          </w:tcPr>
          <w:p w14:paraId="7D34F5C7" w14:textId="3E170066" w:rsidR="001E1112" w:rsidRPr="00317ABF" w:rsidRDefault="00BE5592" w:rsidP="00DB3BEC">
            <w:pPr>
              <w:pStyle w:val="Tekstpodstawowy"/>
              <w:rPr>
                <w:sz w:val="22"/>
                <w:szCs w:val="22"/>
              </w:rPr>
            </w:pPr>
            <w:r w:rsidRPr="00317ABF">
              <w:rPr>
                <w:sz w:val="22"/>
                <w:szCs w:val="22"/>
              </w:rPr>
              <w:t>lokalna pętla abonencka – fizyczny obwód łączący zakończenie sieci z punktem dystrybucji w stacjonarnej publicznej sieci telekomunikacyjnej, w szczególności z przełącznicą główną lub równoważnym urządzeniem;</w:t>
            </w:r>
          </w:p>
        </w:tc>
      </w:tr>
      <w:tr w:rsidR="001E1112" w:rsidRPr="00317ABF" w14:paraId="2B67C2FE" w14:textId="77777777" w:rsidTr="7753F98D">
        <w:trPr>
          <w:gridAfter w:val="2"/>
          <w:wAfter w:w="175" w:type="dxa"/>
        </w:trPr>
        <w:tc>
          <w:tcPr>
            <w:tcW w:w="704" w:type="dxa"/>
          </w:tcPr>
          <w:p w14:paraId="5B2575EF" w14:textId="77777777" w:rsidR="001E1112" w:rsidRPr="00317ABF" w:rsidRDefault="001E1112" w:rsidP="00DB3BEC">
            <w:pPr>
              <w:jc w:val="both"/>
              <w:rPr>
                <w:sz w:val="22"/>
                <w:szCs w:val="22"/>
              </w:rPr>
            </w:pPr>
            <w:r w:rsidRPr="00317ABF">
              <w:rPr>
                <w:sz w:val="22"/>
                <w:szCs w:val="22"/>
              </w:rPr>
              <w:t>Art. 2 pkt 31</w:t>
            </w:r>
          </w:p>
        </w:tc>
        <w:tc>
          <w:tcPr>
            <w:tcW w:w="4308" w:type="dxa"/>
          </w:tcPr>
          <w:p w14:paraId="158F9E8C" w14:textId="77777777" w:rsidR="001E1112" w:rsidRPr="00317ABF" w:rsidRDefault="001E1112" w:rsidP="00DB3BEC">
            <w:pPr>
              <w:spacing w:before="120"/>
              <w:jc w:val="both"/>
              <w:rPr>
                <w:sz w:val="22"/>
                <w:szCs w:val="22"/>
              </w:rPr>
            </w:pPr>
            <w:r w:rsidRPr="00317ABF">
              <w:rPr>
                <w:sz w:val="22"/>
                <w:szCs w:val="22"/>
              </w:rPr>
              <w:t>„połączenie” oznacza połączenie, które dochodzi do skutku za pośrednictwem publicznie dostępnej usługi łączności interpersonalnej umożliwiającej dwustronną łączność głosową;</w:t>
            </w:r>
          </w:p>
        </w:tc>
        <w:tc>
          <w:tcPr>
            <w:tcW w:w="986" w:type="dxa"/>
          </w:tcPr>
          <w:p w14:paraId="0B4020A7" w14:textId="271CC056" w:rsidR="001E1112" w:rsidRPr="00317ABF" w:rsidRDefault="001E1112" w:rsidP="00DB3BEC">
            <w:pPr>
              <w:jc w:val="both"/>
              <w:rPr>
                <w:sz w:val="22"/>
                <w:szCs w:val="22"/>
              </w:rPr>
            </w:pPr>
            <w:r w:rsidRPr="00317ABF">
              <w:rPr>
                <w:sz w:val="22"/>
                <w:szCs w:val="22"/>
              </w:rPr>
              <w:t>T</w:t>
            </w:r>
          </w:p>
        </w:tc>
        <w:tc>
          <w:tcPr>
            <w:tcW w:w="910" w:type="dxa"/>
          </w:tcPr>
          <w:p w14:paraId="1D7B270A" w14:textId="2E7BD7AD" w:rsidR="001E1112" w:rsidRPr="00317ABF" w:rsidRDefault="001E1112" w:rsidP="00DB3BEC">
            <w:pPr>
              <w:pStyle w:val="Tekstpodstawowy"/>
              <w:rPr>
                <w:b/>
                <w:noProof/>
                <w:sz w:val="22"/>
                <w:szCs w:val="22"/>
              </w:rPr>
            </w:pPr>
            <w:r w:rsidRPr="00317ABF">
              <w:rPr>
                <w:b/>
                <w:noProof/>
                <w:sz w:val="22"/>
                <w:szCs w:val="22"/>
              </w:rPr>
              <w:t xml:space="preserve">Art. 2 </w:t>
            </w:r>
            <w:r w:rsidR="00DB3BEC" w:rsidRPr="00317ABF">
              <w:rPr>
                <w:b/>
                <w:noProof/>
                <w:sz w:val="22"/>
                <w:szCs w:val="22"/>
              </w:rPr>
              <w:t xml:space="preserve">pkt </w:t>
            </w:r>
            <w:r w:rsidR="00BB5223" w:rsidRPr="00317ABF">
              <w:rPr>
                <w:b/>
                <w:noProof/>
                <w:sz w:val="22"/>
                <w:szCs w:val="22"/>
              </w:rPr>
              <w:t xml:space="preserve"> 35</w:t>
            </w:r>
          </w:p>
        </w:tc>
        <w:tc>
          <w:tcPr>
            <w:tcW w:w="6814" w:type="dxa"/>
            <w:gridSpan w:val="2"/>
          </w:tcPr>
          <w:p w14:paraId="4F904CB7" w14:textId="003B901B" w:rsidR="001E1112" w:rsidRPr="00317ABF" w:rsidRDefault="00BB5223" w:rsidP="00DB3BEC">
            <w:pPr>
              <w:jc w:val="both"/>
              <w:rPr>
                <w:sz w:val="22"/>
                <w:szCs w:val="22"/>
              </w:rPr>
            </w:pPr>
            <w:r w:rsidRPr="00317ABF">
              <w:rPr>
                <w:sz w:val="22"/>
                <w:szCs w:val="22"/>
                <w:lang w:eastAsia="en-US"/>
              </w:rPr>
              <w:t>połączenie głosowe – połączenie ustanowione za pomocą publicznie dostępnej usługi komunikacji interpersonalnej, pozwalające na dwukierunkową komunikację głosową</w:t>
            </w:r>
          </w:p>
        </w:tc>
      </w:tr>
      <w:tr w:rsidR="001E1112" w:rsidRPr="00317ABF" w14:paraId="73B25998" w14:textId="77777777" w:rsidTr="7753F98D">
        <w:trPr>
          <w:gridAfter w:val="2"/>
          <w:wAfter w:w="175" w:type="dxa"/>
        </w:trPr>
        <w:tc>
          <w:tcPr>
            <w:tcW w:w="704" w:type="dxa"/>
          </w:tcPr>
          <w:p w14:paraId="34F4F21D" w14:textId="77777777" w:rsidR="001E1112" w:rsidRPr="00317ABF" w:rsidRDefault="001E1112" w:rsidP="00DB3BEC">
            <w:pPr>
              <w:jc w:val="both"/>
              <w:rPr>
                <w:sz w:val="22"/>
                <w:szCs w:val="22"/>
              </w:rPr>
            </w:pPr>
            <w:r w:rsidRPr="00317ABF">
              <w:rPr>
                <w:sz w:val="22"/>
                <w:szCs w:val="22"/>
              </w:rPr>
              <w:t>Art. 2 pkt 32</w:t>
            </w:r>
          </w:p>
        </w:tc>
        <w:tc>
          <w:tcPr>
            <w:tcW w:w="4308" w:type="dxa"/>
          </w:tcPr>
          <w:p w14:paraId="221D85EA" w14:textId="77777777" w:rsidR="001E1112" w:rsidRPr="00317ABF" w:rsidRDefault="001E1112" w:rsidP="00DB3BEC">
            <w:pPr>
              <w:autoSpaceDE w:val="0"/>
              <w:autoSpaceDN w:val="0"/>
              <w:adjustRightInd w:val="0"/>
              <w:jc w:val="both"/>
              <w:rPr>
                <w:rFonts w:eastAsia="EUAlbertina-Regular-Identity-H"/>
                <w:sz w:val="22"/>
                <w:szCs w:val="22"/>
              </w:rPr>
            </w:pPr>
            <w:r w:rsidRPr="00317ABF">
              <w:rPr>
                <w:sz w:val="22"/>
                <w:szCs w:val="22"/>
              </w:rPr>
              <w:t>„usługa łączności głosowej” oznacza publicznie dostępną usługę łączności elektronicznej dla inicjowania i odbierania, bezpośrednio lub pośrednio, połączeń krajowych lub krajowych i międzynarodowych za pośrednictwem numeru lub numerów istniejących w krajowym lub międzynarodowym planie numeracji;</w:t>
            </w:r>
          </w:p>
        </w:tc>
        <w:tc>
          <w:tcPr>
            <w:tcW w:w="986" w:type="dxa"/>
          </w:tcPr>
          <w:p w14:paraId="06971CD3" w14:textId="69D8665D" w:rsidR="001E1112" w:rsidRPr="00317ABF" w:rsidRDefault="001E1112" w:rsidP="00DB3BEC">
            <w:pPr>
              <w:jc w:val="both"/>
              <w:rPr>
                <w:sz w:val="22"/>
                <w:szCs w:val="22"/>
              </w:rPr>
            </w:pPr>
            <w:r w:rsidRPr="00317ABF">
              <w:rPr>
                <w:sz w:val="22"/>
                <w:szCs w:val="22"/>
              </w:rPr>
              <w:t>T</w:t>
            </w:r>
          </w:p>
        </w:tc>
        <w:tc>
          <w:tcPr>
            <w:tcW w:w="910" w:type="dxa"/>
          </w:tcPr>
          <w:p w14:paraId="2A1F701D" w14:textId="2B52C110" w:rsidR="001E1112" w:rsidRPr="00317ABF" w:rsidRDefault="001E1112" w:rsidP="00DB3BEC">
            <w:pPr>
              <w:pStyle w:val="Tekstpodstawowy"/>
              <w:rPr>
                <w:b/>
                <w:noProof/>
                <w:sz w:val="22"/>
                <w:szCs w:val="22"/>
              </w:rPr>
            </w:pPr>
            <w:r w:rsidRPr="00317ABF">
              <w:rPr>
                <w:b/>
                <w:noProof/>
                <w:sz w:val="22"/>
                <w:szCs w:val="22"/>
              </w:rPr>
              <w:t>Art. 2 pkt</w:t>
            </w:r>
            <w:r w:rsidR="006D574A" w:rsidRPr="00317ABF">
              <w:rPr>
                <w:b/>
                <w:noProof/>
                <w:sz w:val="22"/>
                <w:szCs w:val="22"/>
              </w:rPr>
              <w:t xml:space="preserve"> 78,</w:t>
            </w:r>
            <w:r w:rsidR="004D41C5" w:rsidRPr="00317ABF">
              <w:rPr>
                <w:b/>
                <w:noProof/>
                <w:sz w:val="22"/>
                <w:szCs w:val="22"/>
              </w:rPr>
              <w:t xml:space="preserve"> 47</w:t>
            </w:r>
          </w:p>
        </w:tc>
        <w:tc>
          <w:tcPr>
            <w:tcW w:w="6814" w:type="dxa"/>
            <w:gridSpan w:val="2"/>
          </w:tcPr>
          <w:p w14:paraId="510F33ED" w14:textId="26759940" w:rsidR="006D574A" w:rsidRPr="00317ABF" w:rsidRDefault="006D574A" w:rsidP="006D574A">
            <w:pPr>
              <w:jc w:val="both"/>
              <w:rPr>
                <w:bCs/>
                <w:sz w:val="22"/>
                <w:szCs w:val="22"/>
              </w:rPr>
            </w:pPr>
            <w:r w:rsidRPr="00317ABF">
              <w:rPr>
                <w:bCs/>
                <w:sz w:val="22"/>
                <w:szCs w:val="22"/>
              </w:rPr>
              <w:t>usługa komunikacji głosowej – usługę telekomunikacyjną, dla inicjowania i odbierania, bezpośrednio lub pośrednio, połączeń głosowych krajowych lub krajowych i międzynarodowych, za pomocą numeru lub numerów ustalonych w krajowym lub międzynarodowym planie numeracji;</w:t>
            </w:r>
          </w:p>
          <w:p w14:paraId="119BCC02" w14:textId="77777777" w:rsidR="006D574A" w:rsidRPr="00317ABF" w:rsidRDefault="006D574A" w:rsidP="00DB3BEC">
            <w:pPr>
              <w:jc w:val="both"/>
              <w:rPr>
                <w:sz w:val="22"/>
                <w:szCs w:val="22"/>
              </w:rPr>
            </w:pPr>
          </w:p>
          <w:p w14:paraId="03EFCA41" w14:textId="6190C2B5" w:rsidR="001E1112" w:rsidRPr="00317ABF" w:rsidRDefault="001E1112" w:rsidP="00DB3BEC">
            <w:pPr>
              <w:jc w:val="both"/>
              <w:rPr>
                <w:sz w:val="22"/>
                <w:szCs w:val="22"/>
              </w:rPr>
            </w:pPr>
            <w:r w:rsidRPr="00317ABF">
              <w:rPr>
                <w:sz w:val="22"/>
                <w:szCs w:val="22"/>
              </w:rPr>
              <w:t xml:space="preserve">publicznie dostępna usługa komunikacji głosowej – usługę telekomunikacyjną dostępną dla ogółu użytkowników, dla inicjowania i odbierania, bezpośrednio lub pośrednio, połączeń głosowych krajowych lub </w:t>
            </w:r>
            <w:r w:rsidRPr="00317ABF">
              <w:rPr>
                <w:sz w:val="22"/>
                <w:szCs w:val="22"/>
              </w:rPr>
              <w:lastRenderedPageBreak/>
              <w:t>krajowych i międzynarodowych, za pomocą numeru lub numerów ustalonych w krajowym lub międzynarodowym planie numeracji;</w:t>
            </w:r>
          </w:p>
        </w:tc>
      </w:tr>
      <w:tr w:rsidR="001E1112" w:rsidRPr="00317ABF" w14:paraId="3EE9DCBD" w14:textId="77777777" w:rsidTr="7753F98D">
        <w:trPr>
          <w:gridAfter w:val="2"/>
          <w:wAfter w:w="175" w:type="dxa"/>
        </w:trPr>
        <w:tc>
          <w:tcPr>
            <w:tcW w:w="704" w:type="dxa"/>
          </w:tcPr>
          <w:p w14:paraId="09014C3E" w14:textId="77777777" w:rsidR="001E1112" w:rsidRPr="00317ABF" w:rsidRDefault="001E1112" w:rsidP="00DB3BEC">
            <w:pPr>
              <w:jc w:val="both"/>
              <w:rPr>
                <w:sz w:val="22"/>
                <w:szCs w:val="22"/>
              </w:rPr>
            </w:pPr>
            <w:r w:rsidRPr="00317ABF">
              <w:rPr>
                <w:sz w:val="22"/>
                <w:szCs w:val="22"/>
              </w:rPr>
              <w:lastRenderedPageBreak/>
              <w:t>Art. 2 pkt 33</w:t>
            </w:r>
          </w:p>
        </w:tc>
        <w:tc>
          <w:tcPr>
            <w:tcW w:w="4308" w:type="dxa"/>
          </w:tcPr>
          <w:p w14:paraId="61D0429A" w14:textId="77777777" w:rsidR="001E1112" w:rsidRPr="00317ABF" w:rsidRDefault="001E1112" w:rsidP="00DB3BEC">
            <w:pPr>
              <w:autoSpaceDE w:val="0"/>
              <w:autoSpaceDN w:val="0"/>
              <w:adjustRightInd w:val="0"/>
              <w:jc w:val="both"/>
              <w:rPr>
                <w:rFonts w:eastAsia="EUAlbertina-Regular-Identity-H"/>
                <w:sz w:val="22"/>
                <w:szCs w:val="22"/>
              </w:rPr>
            </w:pPr>
            <w:r w:rsidRPr="00317ABF">
              <w:rPr>
                <w:sz w:val="22"/>
                <w:szCs w:val="22"/>
              </w:rPr>
              <w:t>„numer geograficzny” oznacza numer istniejący w krajowym planie numeracji, w którym część jego struktury cyfrowej zawiera informację o znaczeniu geograficznym wykorzystywaną do przekierowywania wywołań tam, gdzie fizycznie mieści się punkt zakończenia sieci;</w:t>
            </w:r>
          </w:p>
        </w:tc>
        <w:tc>
          <w:tcPr>
            <w:tcW w:w="986" w:type="dxa"/>
          </w:tcPr>
          <w:p w14:paraId="5F96A722" w14:textId="64E2F3CC" w:rsidR="001E1112" w:rsidRPr="00317ABF" w:rsidRDefault="001E1112" w:rsidP="00DB3BEC">
            <w:pPr>
              <w:jc w:val="both"/>
              <w:rPr>
                <w:sz w:val="22"/>
                <w:szCs w:val="22"/>
              </w:rPr>
            </w:pPr>
            <w:r w:rsidRPr="00317ABF">
              <w:rPr>
                <w:sz w:val="22"/>
                <w:szCs w:val="22"/>
              </w:rPr>
              <w:t>T</w:t>
            </w:r>
          </w:p>
        </w:tc>
        <w:tc>
          <w:tcPr>
            <w:tcW w:w="910" w:type="dxa"/>
          </w:tcPr>
          <w:p w14:paraId="5B95CD12" w14:textId="259D48E9" w:rsidR="001E1112" w:rsidRPr="00317ABF" w:rsidRDefault="006D574A" w:rsidP="00DB3BEC">
            <w:pPr>
              <w:pStyle w:val="Tekstpodstawowy"/>
              <w:rPr>
                <w:b/>
                <w:noProof/>
                <w:sz w:val="22"/>
                <w:szCs w:val="22"/>
              </w:rPr>
            </w:pPr>
            <w:r w:rsidRPr="00317ABF">
              <w:rPr>
                <w:b/>
                <w:noProof/>
                <w:sz w:val="22"/>
                <w:szCs w:val="22"/>
              </w:rPr>
              <w:t>Art. 2 pkt 28</w:t>
            </w:r>
          </w:p>
        </w:tc>
        <w:tc>
          <w:tcPr>
            <w:tcW w:w="6814" w:type="dxa"/>
            <w:gridSpan w:val="2"/>
          </w:tcPr>
          <w:p w14:paraId="5220BBB2" w14:textId="7EFFCE49" w:rsidR="001E1112" w:rsidRPr="00317ABF" w:rsidRDefault="006D574A" w:rsidP="00DB3BEC">
            <w:pPr>
              <w:jc w:val="both"/>
              <w:rPr>
                <w:sz w:val="22"/>
                <w:szCs w:val="22"/>
              </w:rPr>
            </w:pPr>
            <w:r w:rsidRPr="00317ABF">
              <w:rPr>
                <w:sz w:val="22"/>
                <w:szCs w:val="22"/>
              </w:rPr>
              <w:t>numer geograficzny – numer ustalony w planie numeracji krajowej, w którym część ciągu cyfr zawiera wskaźnik obszaru geograficznego, wykorzystywany do kierowania połączeń do stałej lokalizacji zakończenia sieci</w:t>
            </w:r>
          </w:p>
        </w:tc>
      </w:tr>
      <w:tr w:rsidR="001E1112" w:rsidRPr="00317ABF" w14:paraId="3ABAB260" w14:textId="77777777" w:rsidTr="7753F98D">
        <w:trPr>
          <w:gridAfter w:val="2"/>
          <w:wAfter w:w="175" w:type="dxa"/>
        </w:trPr>
        <w:tc>
          <w:tcPr>
            <w:tcW w:w="704" w:type="dxa"/>
          </w:tcPr>
          <w:p w14:paraId="1CAB2FEB" w14:textId="77777777" w:rsidR="001E1112" w:rsidRPr="00317ABF" w:rsidRDefault="001E1112" w:rsidP="00DB3BEC">
            <w:pPr>
              <w:jc w:val="both"/>
              <w:rPr>
                <w:sz w:val="22"/>
                <w:szCs w:val="22"/>
              </w:rPr>
            </w:pPr>
            <w:r w:rsidRPr="00317ABF">
              <w:rPr>
                <w:sz w:val="22"/>
                <w:szCs w:val="22"/>
              </w:rPr>
              <w:t>Art. 2 pkt 34</w:t>
            </w:r>
          </w:p>
        </w:tc>
        <w:tc>
          <w:tcPr>
            <w:tcW w:w="4308" w:type="dxa"/>
          </w:tcPr>
          <w:p w14:paraId="7B3C758D" w14:textId="77777777" w:rsidR="001E1112" w:rsidRPr="00317ABF" w:rsidRDefault="001E1112" w:rsidP="00DB3BEC">
            <w:pPr>
              <w:autoSpaceDE w:val="0"/>
              <w:autoSpaceDN w:val="0"/>
              <w:adjustRightInd w:val="0"/>
              <w:jc w:val="both"/>
              <w:rPr>
                <w:rFonts w:eastAsia="EUAlbertina-Regular-Identity-H"/>
                <w:sz w:val="22"/>
                <w:szCs w:val="22"/>
              </w:rPr>
            </w:pPr>
            <w:r w:rsidRPr="00317ABF">
              <w:rPr>
                <w:sz w:val="22"/>
                <w:szCs w:val="22"/>
              </w:rPr>
              <w:t>„numer niegeograficzny” to numer istniejący w krajowym planie numeracji niebędący numerem geograficznym, taki jak numery komórkowe, bezpłatne oraz o podwyższonej opłacie;</w:t>
            </w:r>
          </w:p>
        </w:tc>
        <w:tc>
          <w:tcPr>
            <w:tcW w:w="986" w:type="dxa"/>
          </w:tcPr>
          <w:p w14:paraId="13CB595B" w14:textId="70C79237" w:rsidR="001E1112" w:rsidRPr="00317ABF" w:rsidRDefault="001E1112" w:rsidP="00DB3BEC">
            <w:pPr>
              <w:jc w:val="both"/>
              <w:rPr>
                <w:sz w:val="22"/>
                <w:szCs w:val="22"/>
              </w:rPr>
            </w:pPr>
            <w:r w:rsidRPr="00317ABF">
              <w:rPr>
                <w:sz w:val="22"/>
                <w:szCs w:val="22"/>
              </w:rPr>
              <w:t>T</w:t>
            </w:r>
          </w:p>
        </w:tc>
        <w:tc>
          <w:tcPr>
            <w:tcW w:w="910" w:type="dxa"/>
          </w:tcPr>
          <w:p w14:paraId="6D9C8D39" w14:textId="3575F354" w:rsidR="001E1112" w:rsidRPr="00317ABF" w:rsidRDefault="006D574A" w:rsidP="00DB3BEC">
            <w:pPr>
              <w:pStyle w:val="Tekstpodstawowy"/>
              <w:rPr>
                <w:b/>
                <w:noProof/>
                <w:sz w:val="22"/>
                <w:szCs w:val="22"/>
              </w:rPr>
            </w:pPr>
            <w:r w:rsidRPr="00317ABF">
              <w:rPr>
                <w:b/>
                <w:noProof/>
                <w:sz w:val="22"/>
                <w:szCs w:val="22"/>
              </w:rPr>
              <w:t>Art. 2 pkt 29</w:t>
            </w:r>
          </w:p>
        </w:tc>
        <w:tc>
          <w:tcPr>
            <w:tcW w:w="6814" w:type="dxa"/>
            <w:gridSpan w:val="2"/>
          </w:tcPr>
          <w:p w14:paraId="675E05EE" w14:textId="6AF6DF13" w:rsidR="001E1112" w:rsidRPr="00317ABF" w:rsidRDefault="006D574A" w:rsidP="00DB3BEC">
            <w:pPr>
              <w:jc w:val="both"/>
              <w:rPr>
                <w:sz w:val="22"/>
                <w:szCs w:val="22"/>
              </w:rPr>
            </w:pPr>
            <w:r w:rsidRPr="00317ABF">
              <w:rPr>
                <w:sz w:val="22"/>
                <w:szCs w:val="22"/>
              </w:rPr>
              <w:t>numer niegeograficzny – numer ustalony w planie numeracji krajowej, który nie zawiera ciągu cyfr określającego wskaźnik obszaru geograficznego, w szczególności numer zakończenia ruchomej publicznej sieci telekomunikacyjnej, numer, do którego połączenia są bezpłatne albo numer wykorzystywany do świadczenia usług z dodatkowym świadczeniem</w:t>
            </w:r>
          </w:p>
        </w:tc>
      </w:tr>
      <w:tr w:rsidR="001E1112" w:rsidRPr="00317ABF" w14:paraId="02F4CECB" w14:textId="77777777" w:rsidTr="7753F98D">
        <w:trPr>
          <w:gridAfter w:val="2"/>
          <w:wAfter w:w="175" w:type="dxa"/>
        </w:trPr>
        <w:tc>
          <w:tcPr>
            <w:tcW w:w="704" w:type="dxa"/>
          </w:tcPr>
          <w:p w14:paraId="5892710D" w14:textId="77777777" w:rsidR="001E1112" w:rsidRPr="00317ABF" w:rsidRDefault="001E1112" w:rsidP="00DB3BEC">
            <w:pPr>
              <w:jc w:val="both"/>
              <w:rPr>
                <w:sz w:val="22"/>
                <w:szCs w:val="22"/>
              </w:rPr>
            </w:pPr>
            <w:r w:rsidRPr="00317ABF">
              <w:rPr>
                <w:sz w:val="22"/>
                <w:szCs w:val="22"/>
              </w:rPr>
              <w:t>Art. 2 pkt 35</w:t>
            </w:r>
          </w:p>
        </w:tc>
        <w:tc>
          <w:tcPr>
            <w:tcW w:w="4308" w:type="dxa"/>
          </w:tcPr>
          <w:p w14:paraId="3A99AF7C" w14:textId="77777777" w:rsidR="001E1112" w:rsidRPr="00317ABF" w:rsidRDefault="001E1112" w:rsidP="00DB3BEC">
            <w:pPr>
              <w:autoSpaceDE w:val="0"/>
              <w:autoSpaceDN w:val="0"/>
              <w:adjustRightInd w:val="0"/>
              <w:jc w:val="both"/>
              <w:rPr>
                <w:rFonts w:eastAsia="EUAlbertina-Regular-Identity-H"/>
                <w:sz w:val="22"/>
                <w:szCs w:val="22"/>
              </w:rPr>
            </w:pPr>
            <w:r w:rsidRPr="00317ABF">
              <w:rPr>
                <w:sz w:val="22"/>
                <w:szCs w:val="22"/>
              </w:rPr>
              <w:t>„usługi pełnej konwersacji wideo i tekstowej” oznaczają multimedialną usługę konwersacji w czasie rzeczywistym, która zapewnia dwukierunkowy symetryczny przesył wideo, tekstu i głosu w czasie rzeczywistym między użytkownikami w co najmniej dwóch miejscach;</w:t>
            </w:r>
          </w:p>
        </w:tc>
        <w:tc>
          <w:tcPr>
            <w:tcW w:w="986" w:type="dxa"/>
          </w:tcPr>
          <w:p w14:paraId="2FC17F8B" w14:textId="3C51D185" w:rsidR="001E1112" w:rsidRPr="00317ABF" w:rsidRDefault="001E1112" w:rsidP="00DB3BEC">
            <w:pPr>
              <w:jc w:val="both"/>
              <w:rPr>
                <w:sz w:val="22"/>
                <w:szCs w:val="22"/>
              </w:rPr>
            </w:pPr>
            <w:r w:rsidRPr="00317ABF">
              <w:rPr>
                <w:sz w:val="22"/>
                <w:szCs w:val="22"/>
              </w:rPr>
              <w:t>N</w:t>
            </w:r>
          </w:p>
        </w:tc>
        <w:tc>
          <w:tcPr>
            <w:tcW w:w="910" w:type="dxa"/>
          </w:tcPr>
          <w:p w14:paraId="0A4F7224" w14:textId="77777777" w:rsidR="001E1112" w:rsidRPr="00317ABF" w:rsidRDefault="001E1112" w:rsidP="00DB3BEC">
            <w:pPr>
              <w:pStyle w:val="Tekstpodstawowy"/>
              <w:rPr>
                <w:b/>
                <w:noProof/>
                <w:sz w:val="22"/>
                <w:szCs w:val="22"/>
              </w:rPr>
            </w:pPr>
          </w:p>
        </w:tc>
        <w:tc>
          <w:tcPr>
            <w:tcW w:w="6814" w:type="dxa"/>
            <w:gridSpan w:val="2"/>
          </w:tcPr>
          <w:p w14:paraId="118E8872" w14:textId="2157258F" w:rsidR="001E1112" w:rsidRPr="00317ABF" w:rsidRDefault="001E1112" w:rsidP="00DB3BEC">
            <w:pPr>
              <w:jc w:val="both"/>
              <w:rPr>
                <w:sz w:val="22"/>
                <w:szCs w:val="22"/>
              </w:rPr>
            </w:pPr>
            <w:r w:rsidRPr="00317ABF">
              <w:rPr>
                <w:sz w:val="22"/>
                <w:szCs w:val="22"/>
              </w:rPr>
              <w:t>W  EKŁE definicja ta występuje jedynie raz w art. 85 ust. 4, którego brzmienie ma charakter warunkowy (w stosownych przypadkach, w razie konieczności)</w:t>
            </w:r>
            <w:r w:rsidR="006D574A" w:rsidRPr="00317ABF">
              <w:rPr>
                <w:sz w:val="22"/>
                <w:szCs w:val="22"/>
              </w:rPr>
              <w:t>.</w:t>
            </w:r>
          </w:p>
          <w:p w14:paraId="5F146586" w14:textId="12126DED" w:rsidR="001E1112" w:rsidRPr="00317ABF" w:rsidRDefault="001E1112" w:rsidP="00DB3BEC">
            <w:pPr>
              <w:jc w:val="both"/>
              <w:rPr>
                <w:sz w:val="22"/>
                <w:szCs w:val="22"/>
              </w:rPr>
            </w:pPr>
            <w:r w:rsidRPr="00317ABF">
              <w:rPr>
                <w:sz w:val="22"/>
                <w:szCs w:val="22"/>
              </w:rPr>
              <w:t>Pke nie odwołuje się do pełnej konwersacji stosując bardziej ogólny i pojemny zwrot „dostęp równoważny”.</w:t>
            </w:r>
          </w:p>
          <w:p w14:paraId="5AE48A43" w14:textId="497A437E" w:rsidR="001E1112" w:rsidRPr="00317ABF" w:rsidRDefault="001E1112" w:rsidP="00DB3BEC">
            <w:pPr>
              <w:jc w:val="both"/>
              <w:rPr>
                <w:sz w:val="22"/>
                <w:szCs w:val="22"/>
              </w:rPr>
            </w:pPr>
          </w:p>
        </w:tc>
      </w:tr>
      <w:tr w:rsidR="001E1112" w:rsidRPr="00317ABF" w14:paraId="6C0B84E1" w14:textId="77777777" w:rsidTr="7753F98D">
        <w:trPr>
          <w:gridAfter w:val="2"/>
          <w:wAfter w:w="175" w:type="dxa"/>
        </w:trPr>
        <w:tc>
          <w:tcPr>
            <w:tcW w:w="704" w:type="dxa"/>
          </w:tcPr>
          <w:p w14:paraId="47146CE0" w14:textId="24152BA6" w:rsidR="001E1112" w:rsidRPr="00317ABF" w:rsidRDefault="001E1112" w:rsidP="00DB3BEC">
            <w:pPr>
              <w:jc w:val="both"/>
              <w:rPr>
                <w:sz w:val="22"/>
                <w:szCs w:val="22"/>
              </w:rPr>
            </w:pPr>
            <w:r w:rsidRPr="00317ABF">
              <w:rPr>
                <w:sz w:val="22"/>
                <w:szCs w:val="22"/>
              </w:rPr>
              <w:t>Art. 2 pkt 36</w:t>
            </w:r>
          </w:p>
        </w:tc>
        <w:tc>
          <w:tcPr>
            <w:tcW w:w="4308" w:type="dxa"/>
          </w:tcPr>
          <w:p w14:paraId="213E98E5" w14:textId="77777777" w:rsidR="001E1112" w:rsidRPr="00317ABF" w:rsidRDefault="001E1112" w:rsidP="00DB3BEC">
            <w:pPr>
              <w:autoSpaceDE w:val="0"/>
              <w:autoSpaceDN w:val="0"/>
              <w:adjustRightInd w:val="0"/>
              <w:jc w:val="both"/>
              <w:rPr>
                <w:rFonts w:eastAsia="EUAlbertina-Regular-Identity-H"/>
                <w:sz w:val="22"/>
                <w:szCs w:val="22"/>
              </w:rPr>
            </w:pPr>
            <w:r w:rsidRPr="00317ABF">
              <w:rPr>
                <w:sz w:val="22"/>
                <w:szCs w:val="22"/>
              </w:rPr>
              <w:t>„publiczny punkt przyjmowania zgłoszeń o wypadkach” lub „PSAP” oznacza fizyczną lokalizację, która jako pierwsza przyjmuje zgłoszenia alarmowe pod nadzorem organu publicznego lub prywatnej organizacji uznanej przez państwo członkowskie;</w:t>
            </w:r>
          </w:p>
        </w:tc>
        <w:tc>
          <w:tcPr>
            <w:tcW w:w="986" w:type="dxa"/>
          </w:tcPr>
          <w:p w14:paraId="50F40DEB" w14:textId="62E1DB0A" w:rsidR="001E1112" w:rsidRPr="00317ABF" w:rsidRDefault="001E1112" w:rsidP="00DB3BEC">
            <w:pPr>
              <w:jc w:val="both"/>
              <w:rPr>
                <w:sz w:val="22"/>
                <w:szCs w:val="22"/>
              </w:rPr>
            </w:pPr>
            <w:r w:rsidRPr="00317ABF">
              <w:rPr>
                <w:sz w:val="22"/>
                <w:szCs w:val="22"/>
              </w:rPr>
              <w:t>T</w:t>
            </w:r>
          </w:p>
        </w:tc>
        <w:tc>
          <w:tcPr>
            <w:tcW w:w="910" w:type="dxa"/>
          </w:tcPr>
          <w:p w14:paraId="77A52294" w14:textId="3A8A26E4" w:rsidR="001E1112" w:rsidRPr="00317ABF" w:rsidRDefault="001E1112" w:rsidP="00DB3BEC">
            <w:pPr>
              <w:pStyle w:val="Tekstpodstawowy"/>
              <w:rPr>
                <w:b/>
                <w:noProof/>
                <w:sz w:val="22"/>
                <w:szCs w:val="22"/>
              </w:rPr>
            </w:pPr>
            <w:r w:rsidRPr="00317ABF">
              <w:rPr>
                <w:b/>
                <w:noProof/>
                <w:sz w:val="22"/>
                <w:szCs w:val="22"/>
              </w:rPr>
              <w:t>Art. 3 ust. 1 i 2 ustawy o systemie powiadamiania ratunkowego. Centra powiadaminia ratunkowego to krajowy odpowi</w:t>
            </w:r>
            <w:r w:rsidRPr="00317ABF">
              <w:rPr>
                <w:b/>
                <w:noProof/>
                <w:sz w:val="22"/>
                <w:szCs w:val="22"/>
              </w:rPr>
              <w:lastRenderedPageBreak/>
              <w:t>ednik PSAP.</w:t>
            </w:r>
          </w:p>
        </w:tc>
        <w:tc>
          <w:tcPr>
            <w:tcW w:w="6814" w:type="dxa"/>
            <w:gridSpan w:val="2"/>
          </w:tcPr>
          <w:p w14:paraId="550D2F45" w14:textId="01314C66" w:rsidR="001E1112" w:rsidRPr="00317ABF" w:rsidRDefault="001E1112" w:rsidP="00DB3BEC">
            <w:pPr>
              <w:pStyle w:val="Tekstpodstawowy"/>
              <w:rPr>
                <w:sz w:val="22"/>
                <w:szCs w:val="22"/>
              </w:rPr>
            </w:pPr>
            <w:r w:rsidRPr="00317ABF">
              <w:rPr>
                <w:sz w:val="22"/>
                <w:szCs w:val="22"/>
              </w:rPr>
              <w:lastRenderedPageBreak/>
              <w:t>Art. 3</w:t>
            </w:r>
          </w:p>
          <w:p w14:paraId="75DB5C41" w14:textId="77777777" w:rsidR="001E1112" w:rsidRPr="00317ABF" w:rsidRDefault="001E1112" w:rsidP="00DB3BEC">
            <w:pPr>
              <w:pStyle w:val="Tekstpodstawowy"/>
              <w:rPr>
                <w:sz w:val="22"/>
                <w:szCs w:val="22"/>
              </w:rPr>
            </w:pPr>
            <w:r w:rsidRPr="00317ABF">
              <w:rPr>
                <w:sz w:val="22"/>
                <w:szCs w:val="22"/>
              </w:rPr>
              <w:t>1. Tworzy się system powiadamiania ratunkowego, zwany dalej „systemem”.</w:t>
            </w:r>
          </w:p>
          <w:p w14:paraId="007DCDA8" w14:textId="7B6F22EB" w:rsidR="001E1112" w:rsidRPr="00317ABF" w:rsidRDefault="001E1112" w:rsidP="00DB3BEC">
            <w:pPr>
              <w:pStyle w:val="Tekstpodstawowy"/>
              <w:rPr>
                <w:sz w:val="22"/>
                <w:szCs w:val="22"/>
              </w:rPr>
            </w:pPr>
            <w:r w:rsidRPr="00317ABF">
              <w:rPr>
                <w:sz w:val="22"/>
                <w:szCs w:val="22"/>
              </w:rPr>
              <w:t>2. System składa się z centrów powiadamiania ratunkowego, zwanych dalej „centrami”, tworzących jednolity system do obsługi zgłoszeń alarmowych, kierowanych do numerów alarmowych 112, 997, 998 i 999, umożliwiający przekazanie zgłoszenia alarmowego w celu zaangażowania właściwych zasobów ratowniczych.</w:t>
            </w:r>
          </w:p>
        </w:tc>
      </w:tr>
      <w:tr w:rsidR="001E1112" w:rsidRPr="00317ABF" w14:paraId="04A68E6E" w14:textId="77777777" w:rsidTr="7753F98D">
        <w:trPr>
          <w:gridAfter w:val="2"/>
          <w:wAfter w:w="175" w:type="dxa"/>
        </w:trPr>
        <w:tc>
          <w:tcPr>
            <w:tcW w:w="704" w:type="dxa"/>
          </w:tcPr>
          <w:p w14:paraId="2EC6F0C0" w14:textId="77777777" w:rsidR="001E1112" w:rsidRPr="00317ABF" w:rsidRDefault="001E1112" w:rsidP="00DB3BEC">
            <w:pPr>
              <w:jc w:val="both"/>
              <w:rPr>
                <w:sz w:val="22"/>
                <w:szCs w:val="22"/>
              </w:rPr>
            </w:pPr>
            <w:r w:rsidRPr="00317ABF">
              <w:rPr>
                <w:sz w:val="22"/>
                <w:szCs w:val="22"/>
              </w:rPr>
              <w:lastRenderedPageBreak/>
              <w:t>Art. 2 pkt 37</w:t>
            </w:r>
          </w:p>
        </w:tc>
        <w:tc>
          <w:tcPr>
            <w:tcW w:w="4308" w:type="dxa"/>
          </w:tcPr>
          <w:p w14:paraId="161B191A" w14:textId="77777777" w:rsidR="001E1112" w:rsidRPr="00317ABF" w:rsidRDefault="001E1112" w:rsidP="00DB3BEC">
            <w:pPr>
              <w:autoSpaceDE w:val="0"/>
              <w:autoSpaceDN w:val="0"/>
              <w:adjustRightInd w:val="0"/>
              <w:jc w:val="both"/>
              <w:rPr>
                <w:rFonts w:eastAsia="EUAlbertina-Regular-Identity-H"/>
                <w:sz w:val="22"/>
                <w:szCs w:val="22"/>
              </w:rPr>
            </w:pPr>
            <w:r w:rsidRPr="00317ABF">
              <w:rPr>
                <w:sz w:val="22"/>
                <w:szCs w:val="22"/>
              </w:rPr>
              <w:t>„najwłaściwszy publiczny punkt przyjmowania zgłoszeń o wypadkach” oznacza PSAP wyznaczony przez odpowiedzialne organy do przyjmowania zgłoszeń alarmowych z określonego obszaru lub zgłoszeń alarmowych określonego rodzaju;</w:t>
            </w:r>
          </w:p>
        </w:tc>
        <w:tc>
          <w:tcPr>
            <w:tcW w:w="986" w:type="dxa"/>
          </w:tcPr>
          <w:p w14:paraId="450EA2D7" w14:textId="223DC2B1" w:rsidR="001E1112" w:rsidRPr="00317ABF" w:rsidRDefault="001E1112" w:rsidP="00DB3BEC">
            <w:pPr>
              <w:jc w:val="both"/>
              <w:rPr>
                <w:sz w:val="22"/>
                <w:szCs w:val="22"/>
              </w:rPr>
            </w:pPr>
            <w:r w:rsidRPr="00317ABF">
              <w:rPr>
                <w:sz w:val="22"/>
                <w:szCs w:val="22"/>
              </w:rPr>
              <w:t>T</w:t>
            </w:r>
          </w:p>
        </w:tc>
        <w:tc>
          <w:tcPr>
            <w:tcW w:w="910" w:type="dxa"/>
          </w:tcPr>
          <w:p w14:paraId="4007F940" w14:textId="6D8A7288" w:rsidR="001E1112" w:rsidRPr="00317ABF" w:rsidRDefault="001E1112" w:rsidP="006D574A">
            <w:pPr>
              <w:pStyle w:val="Tekstpodstawowy"/>
              <w:rPr>
                <w:b/>
                <w:noProof/>
                <w:sz w:val="22"/>
                <w:szCs w:val="22"/>
              </w:rPr>
            </w:pPr>
            <w:r w:rsidRPr="00317ABF">
              <w:rPr>
                <w:b/>
                <w:noProof/>
                <w:sz w:val="22"/>
                <w:szCs w:val="22"/>
              </w:rPr>
              <w:t>Art. 8 ustawy o systemie powiadamiania ratunkowego</w:t>
            </w:r>
            <w:r w:rsidR="002C54BC" w:rsidRPr="00317ABF">
              <w:rPr>
                <w:b/>
                <w:noProof/>
                <w:sz w:val="22"/>
                <w:szCs w:val="22"/>
              </w:rPr>
              <w:t>;</w:t>
            </w:r>
          </w:p>
          <w:p w14:paraId="3DD355C9" w14:textId="2C85AB90" w:rsidR="002C54BC" w:rsidRPr="00317ABF" w:rsidRDefault="002C54BC" w:rsidP="006D574A">
            <w:pPr>
              <w:pStyle w:val="Tekstpodstawowy"/>
              <w:rPr>
                <w:b/>
                <w:noProof/>
                <w:sz w:val="22"/>
                <w:szCs w:val="22"/>
              </w:rPr>
            </w:pPr>
            <w:r w:rsidRPr="00317ABF">
              <w:rPr>
                <w:b/>
                <w:noProof/>
                <w:sz w:val="22"/>
                <w:szCs w:val="22"/>
              </w:rPr>
              <w:t xml:space="preserve"> Art. </w:t>
            </w:r>
            <w:r w:rsidRPr="00317ABF">
              <w:rPr>
                <w:b/>
                <w:bCs/>
                <w:noProof/>
                <w:sz w:val="22"/>
                <w:szCs w:val="22"/>
              </w:rPr>
              <w:t xml:space="preserve"> 38 ustawy</w:t>
            </w:r>
            <w:r w:rsidRPr="00317ABF">
              <w:rPr>
                <w:b/>
                <w:noProof/>
                <w:sz w:val="22"/>
                <w:szCs w:val="22"/>
              </w:rPr>
              <w:t xml:space="preserve"> </w:t>
            </w:r>
            <w:r w:rsidRPr="00317ABF">
              <w:rPr>
                <w:b/>
                <w:bCs/>
                <w:noProof/>
                <w:sz w:val="22"/>
                <w:szCs w:val="22"/>
              </w:rPr>
              <w:t>Przepisy wprowadzające ustawę – Prawo komunikacji elektronicznej – w zakresie zmiany art</w:t>
            </w:r>
            <w:r w:rsidRPr="00317ABF">
              <w:rPr>
                <w:b/>
                <w:noProof/>
                <w:sz w:val="22"/>
                <w:szCs w:val="22"/>
              </w:rPr>
              <w:t xml:space="preserve">. </w:t>
            </w:r>
            <w:r w:rsidRPr="00317ABF">
              <w:rPr>
                <w:b/>
                <w:bCs/>
                <w:noProof/>
                <w:sz w:val="22"/>
                <w:szCs w:val="22"/>
              </w:rPr>
              <w:t xml:space="preserve"> </w:t>
            </w:r>
            <w:r w:rsidRPr="00317ABF">
              <w:rPr>
                <w:b/>
                <w:noProof/>
                <w:sz w:val="22"/>
                <w:szCs w:val="22"/>
              </w:rPr>
              <w:t>8 ust. 1 pkt 1 lit. b  ustawy o systemie powiadamiania ratunkowego</w:t>
            </w:r>
          </w:p>
        </w:tc>
        <w:tc>
          <w:tcPr>
            <w:tcW w:w="6814" w:type="dxa"/>
            <w:gridSpan w:val="2"/>
          </w:tcPr>
          <w:p w14:paraId="07B2AC76" w14:textId="58C3EA8E" w:rsidR="001E1112" w:rsidRPr="00317ABF" w:rsidRDefault="001E1112" w:rsidP="00DB3BEC">
            <w:pPr>
              <w:pStyle w:val="Tekstpodstawowy"/>
              <w:rPr>
                <w:sz w:val="22"/>
                <w:szCs w:val="22"/>
              </w:rPr>
            </w:pPr>
            <w:r w:rsidRPr="00317ABF">
              <w:rPr>
                <w:sz w:val="22"/>
                <w:szCs w:val="22"/>
              </w:rPr>
              <w:t xml:space="preserve">Art. 8 </w:t>
            </w:r>
          </w:p>
          <w:p w14:paraId="6C8EDA25" w14:textId="77777777" w:rsidR="001E1112" w:rsidRPr="00317ABF" w:rsidRDefault="001E1112" w:rsidP="00DB3BEC">
            <w:pPr>
              <w:pStyle w:val="Tekstpodstawowy"/>
              <w:rPr>
                <w:sz w:val="22"/>
                <w:szCs w:val="22"/>
              </w:rPr>
            </w:pPr>
            <w:r w:rsidRPr="00317ABF">
              <w:rPr>
                <w:sz w:val="22"/>
                <w:szCs w:val="22"/>
              </w:rPr>
              <w:t>1. Do zadań centrum należy:</w:t>
            </w:r>
          </w:p>
          <w:p w14:paraId="3F53AEE2" w14:textId="77777777" w:rsidR="001E1112" w:rsidRPr="00317ABF" w:rsidRDefault="001E1112" w:rsidP="00DB3BEC">
            <w:pPr>
              <w:pStyle w:val="Tekstpodstawowy"/>
              <w:rPr>
                <w:sz w:val="22"/>
                <w:szCs w:val="22"/>
              </w:rPr>
            </w:pPr>
            <w:r w:rsidRPr="00317ABF">
              <w:rPr>
                <w:sz w:val="22"/>
                <w:szCs w:val="22"/>
              </w:rPr>
              <w:t>1) obsługa zgłoszeń alarmowych, z wyłączeniem systemów sygnalizacji pożarowej, o których mowa w ustawie z dnia 24 sierpnia 1991 r. o ochronie przeciwpożarowej (Dz.U. z 2018 r. poz. 620 i 1669 oraz z 2019 r. poz. 730), w tym:</w:t>
            </w:r>
          </w:p>
          <w:p w14:paraId="0868EE3E" w14:textId="77777777" w:rsidR="001E1112" w:rsidRPr="00317ABF" w:rsidRDefault="001E1112" w:rsidP="00DB3BEC">
            <w:pPr>
              <w:pStyle w:val="Tekstpodstawowy"/>
              <w:rPr>
                <w:sz w:val="22"/>
                <w:szCs w:val="22"/>
              </w:rPr>
            </w:pPr>
            <w:r w:rsidRPr="00317ABF">
              <w:rPr>
                <w:sz w:val="22"/>
                <w:szCs w:val="22"/>
              </w:rPr>
              <w:t>a) odbiór zgłoszenia alarmowego,</w:t>
            </w:r>
          </w:p>
          <w:p w14:paraId="20B881E7" w14:textId="00148DF8" w:rsidR="00FF72C7" w:rsidRPr="00317ABF" w:rsidRDefault="00FF72C7" w:rsidP="00FF72C7">
            <w:pPr>
              <w:pStyle w:val="Tekstpodstawowy"/>
              <w:rPr>
                <w:sz w:val="22"/>
                <w:szCs w:val="22"/>
              </w:rPr>
            </w:pPr>
            <w:r w:rsidRPr="00317ABF">
              <w:rPr>
                <w:sz w:val="22"/>
                <w:szCs w:val="22"/>
              </w:rPr>
              <w:t>b) powiązanie zgłoszenia alarmowego z danymi teleadresowymi miejsca zgłoszenia oraz jego pozycją geograficzną, ustalonymi w oparciu o dane pochodzące z sieci telekomunikacyjnych oraz o informacje z telekomunikacyjnego urządzenia końcowego, jeśl</w:t>
            </w:r>
            <w:r w:rsidR="002C54BC" w:rsidRPr="00317ABF">
              <w:rPr>
                <w:sz w:val="22"/>
                <w:szCs w:val="22"/>
              </w:rPr>
              <w:t>i zapewnia ono taką możliwość,</w:t>
            </w:r>
          </w:p>
          <w:p w14:paraId="5CCAF3A8" w14:textId="77777777" w:rsidR="001E1112" w:rsidRPr="00317ABF" w:rsidRDefault="001E1112" w:rsidP="00DB3BEC">
            <w:pPr>
              <w:pStyle w:val="Tekstpodstawowy"/>
              <w:rPr>
                <w:sz w:val="22"/>
                <w:szCs w:val="22"/>
              </w:rPr>
            </w:pPr>
            <w:r w:rsidRPr="00317ABF">
              <w:rPr>
                <w:sz w:val="22"/>
                <w:szCs w:val="22"/>
              </w:rPr>
              <w:t>c) wybór odpowiedniej grupy podmiotów, do której zostaną skierowane zgromadzone dane o zgłoszeniu alarmowym,</w:t>
            </w:r>
          </w:p>
          <w:p w14:paraId="70F26A1E" w14:textId="77777777" w:rsidR="001E1112" w:rsidRPr="00317ABF" w:rsidRDefault="001E1112" w:rsidP="00DB3BEC">
            <w:pPr>
              <w:pStyle w:val="Tekstpodstawowy"/>
              <w:rPr>
                <w:sz w:val="22"/>
                <w:szCs w:val="22"/>
              </w:rPr>
            </w:pPr>
            <w:r w:rsidRPr="00317ABF">
              <w:rPr>
                <w:sz w:val="22"/>
                <w:szCs w:val="22"/>
              </w:rPr>
              <w:t>d) przekazanie, gdy zachodzi taka potrzeba, zgromadzonych danych drogą elektroniczną z wykorzystaniem systemu teleinformatycznego, a w uzasadnionych przypadkach wraz z przekierowaniem połączenia telefonicznego, zgodnie z kwalifikacją zgłoszenia, do Policji, Państwowej Straży Pożarnej, dysponentów zespołów ratownictwa medycznego lub do podmiotów, których numery telefoniczne są obsługiwane w ramach systemu,</w:t>
            </w:r>
          </w:p>
          <w:p w14:paraId="1A81F0B1" w14:textId="05CB0718" w:rsidR="001E1112" w:rsidRPr="00317ABF" w:rsidRDefault="001E1112" w:rsidP="00D6134A">
            <w:pPr>
              <w:pStyle w:val="Tekstpodstawowy"/>
              <w:rPr>
                <w:sz w:val="22"/>
                <w:szCs w:val="22"/>
              </w:rPr>
            </w:pPr>
            <w:r w:rsidRPr="00317ABF">
              <w:rPr>
                <w:sz w:val="22"/>
                <w:szCs w:val="22"/>
              </w:rPr>
              <w:t xml:space="preserve">e) wymiana danych o zgłoszeniach alarmowych przetwarzanych w systemie teleinformatycznym, zgodnie z zakresem określonym na podstawie art. 5 ust. 6 pkt 4 oraz art. 13 ust. 3 pkt 3, z Policją, Państwową Strażą Pożarną, dysponentami zespołów ratownictwa medycznego lub innymi podmiotami, których numery telefoniczne </w:t>
            </w:r>
            <w:r w:rsidR="00D6134A" w:rsidRPr="00317ABF">
              <w:rPr>
                <w:sz w:val="22"/>
                <w:szCs w:val="22"/>
              </w:rPr>
              <w:t>są obsługiwane w ramach systemu.</w:t>
            </w:r>
          </w:p>
        </w:tc>
      </w:tr>
      <w:tr w:rsidR="001E1112" w:rsidRPr="00317ABF" w14:paraId="216A548E" w14:textId="77777777" w:rsidTr="7753F98D">
        <w:trPr>
          <w:gridAfter w:val="2"/>
          <w:wAfter w:w="175" w:type="dxa"/>
        </w:trPr>
        <w:tc>
          <w:tcPr>
            <w:tcW w:w="704" w:type="dxa"/>
          </w:tcPr>
          <w:p w14:paraId="0829D926" w14:textId="77777777" w:rsidR="001E1112" w:rsidRPr="00317ABF" w:rsidRDefault="001E1112" w:rsidP="00DB3BEC">
            <w:pPr>
              <w:jc w:val="both"/>
              <w:rPr>
                <w:sz w:val="22"/>
                <w:szCs w:val="22"/>
              </w:rPr>
            </w:pPr>
            <w:r w:rsidRPr="00317ABF">
              <w:rPr>
                <w:sz w:val="22"/>
                <w:szCs w:val="22"/>
              </w:rPr>
              <w:lastRenderedPageBreak/>
              <w:t>Art. 2 pkt 38</w:t>
            </w:r>
          </w:p>
        </w:tc>
        <w:tc>
          <w:tcPr>
            <w:tcW w:w="4308" w:type="dxa"/>
          </w:tcPr>
          <w:p w14:paraId="5FE4A2E7" w14:textId="77777777" w:rsidR="001E1112" w:rsidRPr="00317ABF" w:rsidRDefault="001E1112" w:rsidP="00DB3BEC">
            <w:pPr>
              <w:autoSpaceDE w:val="0"/>
              <w:autoSpaceDN w:val="0"/>
              <w:adjustRightInd w:val="0"/>
              <w:jc w:val="both"/>
              <w:rPr>
                <w:rFonts w:eastAsia="EUAlbertina-Regular-Identity-H"/>
                <w:sz w:val="22"/>
                <w:szCs w:val="22"/>
              </w:rPr>
            </w:pPr>
            <w:r w:rsidRPr="00317ABF">
              <w:rPr>
                <w:sz w:val="22"/>
                <w:szCs w:val="22"/>
              </w:rPr>
              <w:t>„zgłoszenie alarmowe” oznacza zgłoszenie dokonane przez użytkownika końcowego do PSAP za pośrednictwem usług łączności interpersonalnej w celu zwrócenia się do służb ratunkowych o pomoc w sytuacjach nadzwyczajnych i otrzymania tej pomocy;</w:t>
            </w:r>
          </w:p>
        </w:tc>
        <w:tc>
          <w:tcPr>
            <w:tcW w:w="986" w:type="dxa"/>
          </w:tcPr>
          <w:p w14:paraId="717AAFBA" w14:textId="341205EA" w:rsidR="001E1112" w:rsidRPr="00317ABF" w:rsidRDefault="001E1112" w:rsidP="00DB3BEC">
            <w:pPr>
              <w:jc w:val="both"/>
              <w:rPr>
                <w:sz w:val="22"/>
                <w:szCs w:val="22"/>
              </w:rPr>
            </w:pPr>
            <w:r w:rsidRPr="00317ABF">
              <w:rPr>
                <w:sz w:val="22"/>
                <w:szCs w:val="22"/>
              </w:rPr>
              <w:t>T</w:t>
            </w:r>
          </w:p>
        </w:tc>
        <w:tc>
          <w:tcPr>
            <w:tcW w:w="910" w:type="dxa"/>
          </w:tcPr>
          <w:p w14:paraId="56EE48EE" w14:textId="77773AA7" w:rsidR="001E1112" w:rsidRPr="00317ABF" w:rsidRDefault="001E1112" w:rsidP="00DB3BEC">
            <w:pPr>
              <w:pStyle w:val="Tekstpodstawowy"/>
              <w:rPr>
                <w:b/>
                <w:noProof/>
                <w:sz w:val="22"/>
                <w:szCs w:val="22"/>
              </w:rPr>
            </w:pPr>
            <w:r w:rsidRPr="00317ABF">
              <w:rPr>
                <w:b/>
                <w:noProof/>
                <w:sz w:val="22"/>
                <w:szCs w:val="22"/>
              </w:rPr>
              <w:t>Art. 2 ustawa o systemie powiadamiania ratunkowego</w:t>
            </w:r>
          </w:p>
        </w:tc>
        <w:tc>
          <w:tcPr>
            <w:tcW w:w="6814" w:type="dxa"/>
            <w:gridSpan w:val="2"/>
          </w:tcPr>
          <w:p w14:paraId="65D37EDF" w14:textId="27B863DE" w:rsidR="001E1112" w:rsidRPr="00317ABF" w:rsidRDefault="001E1112" w:rsidP="00DB3BEC">
            <w:pPr>
              <w:pStyle w:val="Tekstpodstawowy"/>
              <w:rPr>
                <w:sz w:val="22"/>
                <w:szCs w:val="22"/>
              </w:rPr>
            </w:pPr>
            <w:r w:rsidRPr="00317ABF">
              <w:rPr>
                <w:sz w:val="22"/>
                <w:szCs w:val="22"/>
              </w:rPr>
              <w:t>Art. 2 Ilekroć w ustawie jest mowa o:</w:t>
            </w:r>
          </w:p>
          <w:p w14:paraId="2908EB2C" w14:textId="7DB7200D" w:rsidR="001E1112" w:rsidRPr="00317ABF" w:rsidRDefault="001E1112" w:rsidP="00DB3BEC">
            <w:pPr>
              <w:pStyle w:val="Tekstpodstawowy"/>
              <w:rPr>
                <w:sz w:val="22"/>
                <w:szCs w:val="22"/>
              </w:rPr>
            </w:pPr>
            <w:r w:rsidRPr="00317ABF">
              <w:rPr>
                <w:sz w:val="22"/>
                <w:szCs w:val="22"/>
              </w:rPr>
              <w:t>1) zgłoszeniu alarmowym - należy przez to rozumieć informację o wystąpieniu lub podejrzeniu wystąpienia nagłego zagrożenia życia lub zdrowia, w tym aktu przemocy, a także nagłego zagrożenia środowiska lub mienia oraz zagrożeń bezpieczeństwa i porządku publicznego, kierowaną do numerów obsługiwanych w ramach systemu powiadamiania ratunkowego, przez dostawcę publicznie dostępnych usług telefonicznych, z zewnętrznych systemów monitoringu albo z wykorzystaniem środków komunikacji, które umożliwiają niezwłoczne przekazanie tej informacji do centrum powiadamiania ratunkowego;</w:t>
            </w:r>
          </w:p>
        </w:tc>
      </w:tr>
      <w:tr w:rsidR="001E1112" w:rsidRPr="00317ABF" w14:paraId="53C472AA" w14:textId="77777777" w:rsidTr="7753F98D">
        <w:trPr>
          <w:gridAfter w:val="2"/>
          <w:wAfter w:w="175" w:type="dxa"/>
        </w:trPr>
        <w:tc>
          <w:tcPr>
            <w:tcW w:w="704" w:type="dxa"/>
          </w:tcPr>
          <w:p w14:paraId="09F75FFA" w14:textId="77777777" w:rsidR="001E1112" w:rsidRPr="00317ABF" w:rsidRDefault="001E1112" w:rsidP="00DB3BEC">
            <w:pPr>
              <w:jc w:val="both"/>
              <w:rPr>
                <w:sz w:val="22"/>
                <w:szCs w:val="22"/>
              </w:rPr>
            </w:pPr>
            <w:r w:rsidRPr="00317ABF">
              <w:rPr>
                <w:sz w:val="22"/>
                <w:szCs w:val="22"/>
              </w:rPr>
              <w:t>Art. 2 pkt 39</w:t>
            </w:r>
          </w:p>
        </w:tc>
        <w:tc>
          <w:tcPr>
            <w:tcW w:w="4308" w:type="dxa"/>
          </w:tcPr>
          <w:p w14:paraId="4140B5C5" w14:textId="77777777" w:rsidR="001E1112" w:rsidRPr="00317ABF" w:rsidRDefault="001E1112" w:rsidP="00DB3BEC">
            <w:pPr>
              <w:autoSpaceDE w:val="0"/>
              <w:autoSpaceDN w:val="0"/>
              <w:adjustRightInd w:val="0"/>
              <w:jc w:val="both"/>
              <w:rPr>
                <w:rFonts w:eastAsia="EUAlbertina-Regular-Identity-H"/>
                <w:sz w:val="22"/>
                <w:szCs w:val="22"/>
              </w:rPr>
            </w:pPr>
            <w:r w:rsidRPr="00317ABF">
              <w:rPr>
                <w:sz w:val="22"/>
                <w:szCs w:val="22"/>
              </w:rPr>
              <w:t>„służba ratunkowa” oznacza służbę uznaną przez dane państwo członkowskie za pełniącą taką funkcję i zapewniającą natychmiastową i szybką pomoc w szczególności w sytuacjach bezpośredniego zagrożenia życia lub zdrowia, zdrowia publicznego lub bezpieczeństwa publicznego lub bezpieczeństwa osób fizycznych, własności prywatnej lub publicznej lub też środowiska, zgodnie z prawem krajowym;</w:t>
            </w:r>
          </w:p>
        </w:tc>
        <w:tc>
          <w:tcPr>
            <w:tcW w:w="986" w:type="dxa"/>
          </w:tcPr>
          <w:p w14:paraId="121FD38A" w14:textId="36A7AF97" w:rsidR="001E1112" w:rsidRPr="00317ABF" w:rsidRDefault="00E637AE" w:rsidP="00DB3BEC">
            <w:pPr>
              <w:jc w:val="both"/>
              <w:rPr>
                <w:sz w:val="22"/>
                <w:szCs w:val="22"/>
              </w:rPr>
            </w:pPr>
            <w:r w:rsidRPr="00317ABF">
              <w:rPr>
                <w:sz w:val="22"/>
                <w:szCs w:val="22"/>
              </w:rPr>
              <w:t>T/</w:t>
            </w:r>
            <w:r w:rsidR="006E6A50" w:rsidRPr="00317ABF">
              <w:rPr>
                <w:sz w:val="22"/>
                <w:szCs w:val="22"/>
              </w:rPr>
              <w:t>N</w:t>
            </w:r>
          </w:p>
        </w:tc>
        <w:tc>
          <w:tcPr>
            <w:tcW w:w="910" w:type="dxa"/>
          </w:tcPr>
          <w:p w14:paraId="1FE2DD96" w14:textId="73CB7B9C" w:rsidR="001E1112" w:rsidRPr="00317ABF" w:rsidRDefault="001E1112" w:rsidP="00DB3BEC">
            <w:pPr>
              <w:pStyle w:val="Tekstpodstawowy"/>
              <w:rPr>
                <w:b/>
                <w:noProof/>
                <w:sz w:val="22"/>
                <w:szCs w:val="22"/>
              </w:rPr>
            </w:pPr>
          </w:p>
        </w:tc>
        <w:tc>
          <w:tcPr>
            <w:tcW w:w="6814" w:type="dxa"/>
            <w:gridSpan w:val="2"/>
          </w:tcPr>
          <w:p w14:paraId="27357532" w14:textId="25972641" w:rsidR="001E1112" w:rsidRPr="00317ABF" w:rsidRDefault="006E6A50" w:rsidP="00DB3BEC">
            <w:pPr>
              <w:pStyle w:val="Tekstpodstawowy"/>
              <w:rPr>
                <w:sz w:val="22"/>
                <w:szCs w:val="22"/>
              </w:rPr>
            </w:pPr>
            <w:r w:rsidRPr="00317ABF">
              <w:rPr>
                <w:sz w:val="22"/>
                <w:szCs w:val="22"/>
              </w:rPr>
              <w:t>W przepisach krajowych funkcjonuje pojęcie „służb ustawowo powołanych do niesienia pomocy”, które nie jest całościowo definiowane. Zakres tego pojęcia jest ustanawiany na podstawie różnych przepisów ustawowych określających status jednostek wykonujących zadania publiczne, do których zadań należy niesienie pomocy. Do kręgu służb zobowiązanych ustawowo </w:t>
            </w:r>
            <w:bookmarkStart w:id="0" w:name="highlightHit_6"/>
            <w:bookmarkEnd w:id="0"/>
            <w:r w:rsidRPr="00317ABF">
              <w:rPr>
                <w:sz w:val="22"/>
                <w:szCs w:val="22"/>
              </w:rPr>
              <w:t>do niesienia pomocy należy</w:t>
            </w:r>
            <w:r w:rsidR="000D7BF7" w:rsidRPr="00317ABF">
              <w:rPr>
                <w:sz w:val="22"/>
                <w:szCs w:val="22"/>
              </w:rPr>
              <w:t xml:space="preserve">: </w:t>
            </w:r>
            <w:r w:rsidR="008735A5" w:rsidRPr="00317ABF">
              <w:rPr>
                <w:sz w:val="22"/>
                <w:szCs w:val="22"/>
              </w:rPr>
              <w:t xml:space="preserve">Państowowe Ratownictwo Medyczne, </w:t>
            </w:r>
            <w:r w:rsidR="000D7BF7" w:rsidRPr="00317ABF">
              <w:rPr>
                <w:sz w:val="22"/>
                <w:szCs w:val="22"/>
              </w:rPr>
              <w:t>Policja, Państwowa Straż Pożarna</w:t>
            </w:r>
            <w:r w:rsidR="008735A5" w:rsidRPr="00317ABF">
              <w:rPr>
                <w:sz w:val="22"/>
                <w:szCs w:val="22"/>
              </w:rPr>
              <w:t>, Górskie Ochotnicze Pogotowie Ratunkowe, Tatrzańskie Och</w:t>
            </w:r>
            <w:r w:rsidR="00C44EC7" w:rsidRPr="00317ABF">
              <w:rPr>
                <w:sz w:val="22"/>
                <w:szCs w:val="22"/>
              </w:rPr>
              <w:t>otnicze Pogotowie Ratunkowe,</w:t>
            </w:r>
            <w:r w:rsidR="008735A5" w:rsidRPr="00317ABF">
              <w:rPr>
                <w:sz w:val="22"/>
                <w:szCs w:val="22"/>
              </w:rPr>
              <w:t xml:space="preserve"> Wodne Ochotnicze Pogotowie Ratunkowe</w:t>
            </w:r>
            <w:r w:rsidR="00C44EC7" w:rsidRPr="00317ABF">
              <w:rPr>
                <w:sz w:val="22"/>
                <w:szCs w:val="22"/>
              </w:rPr>
              <w:t>, straże gminne.</w:t>
            </w:r>
          </w:p>
        </w:tc>
      </w:tr>
      <w:tr w:rsidR="001E1112" w:rsidRPr="00317ABF" w14:paraId="6FFC3819" w14:textId="77777777" w:rsidTr="7753F98D">
        <w:trPr>
          <w:gridAfter w:val="2"/>
          <w:wAfter w:w="175" w:type="dxa"/>
        </w:trPr>
        <w:tc>
          <w:tcPr>
            <w:tcW w:w="704" w:type="dxa"/>
          </w:tcPr>
          <w:p w14:paraId="5458315F" w14:textId="273756EA" w:rsidR="001E1112" w:rsidRPr="00317ABF" w:rsidRDefault="001E1112" w:rsidP="00DB3BEC">
            <w:pPr>
              <w:jc w:val="both"/>
              <w:rPr>
                <w:sz w:val="22"/>
                <w:szCs w:val="22"/>
              </w:rPr>
            </w:pPr>
            <w:r w:rsidRPr="00317ABF">
              <w:rPr>
                <w:sz w:val="22"/>
                <w:szCs w:val="22"/>
              </w:rPr>
              <w:t>Art. 2 pkt 40</w:t>
            </w:r>
          </w:p>
        </w:tc>
        <w:tc>
          <w:tcPr>
            <w:tcW w:w="4308" w:type="dxa"/>
          </w:tcPr>
          <w:p w14:paraId="0C7BCC23" w14:textId="77777777" w:rsidR="001E1112" w:rsidRPr="00317ABF" w:rsidRDefault="001E1112" w:rsidP="00DB3BEC">
            <w:pPr>
              <w:spacing w:before="120"/>
              <w:jc w:val="both"/>
              <w:rPr>
                <w:sz w:val="22"/>
                <w:szCs w:val="22"/>
              </w:rPr>
            </w:pPr>
            <w:r w:rsidRPr="00317ABF">
              <w:rPr>
                <w:sz w:val="22"/>
                <w:szCs w:val="22"/>
              </w:rPr>
              <w:t>„informacje o lokalizacji osoby wykonującej połączenie” oznaczają, w publicznej sieci ruchomej, przetwarzane dane pochodzące z infrastruktury sieci lub z urządzenia telefonicznego, wskazujące położenie geograficzne ruchomego urządzenia końcowego użytkownika końcowego, a w publicznej sieci stacjonarnej oznaczają dane na temat fizycznego adresu punktu zakończenia sieci;</w:t>
            </w:r>
          </w:p>
        </w:tc>
        <w:tc>
          <w:tcPr>
            <w:tcW w:w="986" w:type="dxa"/>
          </w:tcPr>
          <w:p w14:paraId="07F023C8" w14:textId="53EBBEB5" w:rsidR="001E1112" w:rsidRPr="00317ABF" w:rsidRDefault="001E1112" w:rsidP="00DB3BEC">
            <w:pPr>
              <w:jc w:val="both"/>
              <w:rPr>
                <w:sz w:val="22"/>
                <w:szCs w:val="22"/>
              </w:rPr>
            </w:pPr>
            <w:r w:rsidRPr="00317ABF">
              <w:rPr>
                <w:sz w:val="22"/>
                <w:szCs w:val="22"/>
              </w:rPr>
              <w:t>T</w:t>
            </w:r>
          </w:p>
        </w:tc>
        <w:tc>
          <w:tcPr>
            <w:tcW w:w="910" w:type="dxa"/>
          </w:tcPr>
          <w:p w14:paraId="4BDB5498" w14:textId="39E4D390" w:rsidR="001E1112" w:rsidRPr="00317ABF" w:rsidRDefault="001E1112" w:rsidP="00DB3BEC">
            <w:pPr>
              <w:pStyle w:val="Tekstpodstawowy"/>
              <w:rPr>
                <w:b/>
                <w:noProof/>
                <w:sz w:val="22"/>
                <w:szCs w:val="22"/>
              </w:rPr>
            </w:pPr>
            <w:r w:rsidRPr="00317ABF">
              <w:rPr>
                <w:b/>
                <w:noProof/>
                <w:sz w:val="22"/>
                <w:szCs w:val="22"/>
              </w:rPr>
              <w:t>Art.</w:t>
            </w:r>
            <w:r w:rsidR="00E637AE" w:rsidRPr="00317ABF">
              <w:rPr>
                <w:b/>
                <w:noProof/>
                <w:sz w:val="22"/>
                <w:szCs w:val="22"/>
              </w:rPr>
              <w:t xml:space="preserve"> 330</w:t>
            </w:r>
            <w:r w:rsidRPr="00317ABF">
              <w:rPr>
                <w:b/>
                <w:noProof/>
                <w:sz w:val="22"/>
                <w:szCs w:val="22"/>
              </w:rPr>
              <w:t xml:space="preserve"> ust. 1</w:t>
            </w:r>
          </w:p>
        </w:tc>
        <w:tc>
          <w:tcPr>
            <w:tcW w:w="6814" w:type="dxa"/>
            <w:gridSpan w:val="2"/>
          </w:tcPr>
          <w:p w14:paraId="192540F2" w14:textId="157D5D32" w:rsidR="00E637AE" w:rsidRPr="00317ABF" w:rsidRDefault="00E637AE" w:rsidP="00E637AE">
            <w:pPr>
              <w:pStyle w:val="Tekstpodstawowy"/>
              <w:rPr>
                <w:sz w:val="22"/>
                <w:szCs w:val="22"/>
              </w:rPr>
            </w:pPr>
            <w:r w:rsidRPr="00317ABF">
              <w:rPr>
                <w:rFonts w:ascii="Times" w:eastAsiaTheme="minorEastAsia" w:hAnsi="Times" w:cs="Times"/>
                <w:b/>
                <w:sz w:val="24"/>
              </w:rPr>
              <w:t xml:space="preserve"> </w:t>
            </w:r>
            <w:r w:rsidRPr="00317ABF">
              <w:rPr>
                <w:b/>
                <w:sz w:val="22"/>
                <w:szCs w:val="22"/>
              </w:rPr>
              <w:t>Art. 330.</w:t>
            </w:r>
            <w:r w:rsidRPr="00317ABF">
              <w:rPr>
                <w:sz w:val="22"/>
                <w:szCs w:val="22"/>
              </w:rPr>
              <w:t xml:space="preserve"> 1. Informacją o lokalizacji zakończenia sieci, z którego zostało wykonane połączenie do numeru alarmowego jest w przypadku:</w:t>
            </w:r>
          </w:p>
          <w:p w14:paraId="453941CE" w14:textId="77777777" w:rsidR="00E637AE" w:rsidRPr="00317ABF" w:rsidRDefault="00E637AE" w:rsidP="00E637AE">
            <w:pPr>
              <w:pStyle w:val="Tekstpodstawowy"/>
              <w:rPr>
                <w:bCs/>
                <w:sz w:val="22"/>
                <w:szCs w:val="22"/>
              </w:rPr>
            </w:pPr>
            <w:r w:rsidRPr="00317ABF">
              <w:rPr>
                <w:bCs/>
                <w:sz w:val="22"/>
                <w:szCs w:val="22"/>
              </w:rPr>
              <w:t>1)</w:t>
            </w:r>
            <w:r w:rsidRPr="00317ABF">
              <w:rPr>
                <w:bCs/>
                <w:sz w:val="22"/>
                <w:szCs w:val="22"/>
              </w:rPr>
              <w:tab/>
              <w:t>stacjonarnej publicznej sieci telekomunikacyjnej - dokładny adres zainstalowania zakończenia sieci;</w:t>
            </w:r>
          </w:p>
          <w:p w14:paraId="2916C19D" w14:textId="743BE7E7" w:rsidR="001E1112" w:rsidRPr="00317ABF" w:rsidRDefault="00E637AE" w:rsidP="00DB3BEC">
            <w:pPr>
              <w:pStyle w:val="Tekstpodstawowy"/>
              <w:rPr>
                <w:bCs/>
                <w:sz w:val="22"/>
                <w:szCs w:val="22"/>
              </w:rPr>
            </w:pPr>
            <w:r w:rsidRPr="00317ABF">
              <w:rPr>
                <w:bCs/>
                <w:sz w:val="22"/>
                <w:szCs w:val="22"/>
              </w:rPr>
              <w:t>2)</w:t>
            </w:r>
            <w:r w:rsidRPr="00317ABF">
              <w:rPr>
                <w:bCs/>
                <w:sz w:val="22"/>
                <w:szCs w:val="22"/>
              </w:rPr>
              <w:tab/>
              <w:t>ruchomej publicznej sieci telekomunikacyjnej - geograficzne położenie telekomunikacyjnego urządzenia końcowego użytkownika usług telekomunikacyjnych ustalane w oparciu o dane pochodzące z sieci telekomunikacyjnej oraz z tego telekomunikacyjnego urządzenia końcowego, jeżeli zapewnia ono taką możliwość.</w:t>
            </w:r>
          </w:p>
        </w:tc>
      </w:tr>
      <w:tr w:rsidR="001E1112" w:rsidRPr="00317ABF" w14:paraId="3F41F9DA" w14:textId="77777777" w:rsidTr="7753F98D">
        <w:trPr>
          <w:gridAfter w:val="2"/>
          <w:wAfter w:w="175" w:type="dxa"/>
        </w:trPr>
        <w:tc>
          <w:tcPr>
            <w:tcW w:w="704" w:type="dxa"/>
          </w:tcPr>
          <w:p w14:paraId="46D44CE6" w14:textId="77777777" w:rsidR="001E1112" w:rsidRPr="00317ABF" w:rsidRDefault="001E1112" w:rsidP="00DB3BEC">
            <w:pPr>
              <w:jc w:val="both"/>
              <w:rPr>
                <w:sz w:val="22"/>
                <w:szCs w:val="22"/>
              </w:rPr>
            </w:pPr>
            <w:r w:rsidRPr="00317ABF">
              <w:rPr>
                <w:sz w:val="22"/>
                <w:szCs w:val="22"/>
              </w:rPr>
              <w:t>Art. 2 pkt 41</w:t>
            </w:r>
          </w:p>
        </w:tc>
        <w:tc>
          <w:tcPr>
            <w:tcW w:w="4308" w:type="dxa"/>
          </w:tcPr>
          <w:p w14:paraId="2B11AB8F" w14:textId="79222A8B" w:rsidR="001E1112" w:rsidRPr="00317ABF" w:rsidRDefault="001E1112" w:rsidP="00DB3BEC">
            <w:pPr>
              <w:autoSpaceDE w:val="0"/>
              <w:autoSpaceDN w:val="0"/>
              <w:adjustRightInd w:val="0"/>
              <w:jc w:val="both"/>
              <w:rPr>
                <w:rFonts w:eastAsia="EUAlbertina-Regular-Identity-H"/>
                <w:sz w:val="22"/>
                <w:szCs w:val="22"/>
              </w:rPr>
            </w:pPr>
            <w:r w:rsidRPr="00317ABF">
              <w:rPr>
                <w:sz w:val="22"/>
                <w:szCs w:val="22"/>
              </w:rPr>
              <w:t xml:space="preserve">„urządzenie końcowe” oznacza urządzenie końcowe w rozumieniu art.1 </w:t>
            </w:r>
            <w:r w:rsidR="00DB3BEC" w:rsidRPr="00317ABF">
              <w:rPr>
                <w:sz w:val="22"/>
                <w:szCs w:val="22"/>
              </w:rPr>
              <w:t xml:space="preserve">pkt </w:t>
            </w:r>
            <w:r w:rsidRPr="00317ABF">
              <w:rPr>
                <w:sz w:val="22"/>
                <w:szCs w:val="22"/>
              </w:rPr>
              <w:t>1 dyrektywy Komisji 2008/63/WE;</w:t>
            </w:r>
          </w:p>
        </w:tc>
        <w:tc>
          <w:tcPr>
            <w:tcW w:w="986" w:type="dxa"/>
          </w:tcPr>
          <w:p w14:paraId="74869460" w14:textId="14DA9632" w:rsidR="001E1112" w:rsidRPr="00317ABF" w:rsidRDefault="001E1112" w:rsidP="00DB3BEC">
            <w:pPr>
              <w:jc w:val="both"/>
              <w:rPr>
                <w:sz w:val="22"/>
                <w:szCs w:val="22"/>
              </w:rPr>
            </w:pPr>
            <w:r w:rsidRPr="00317ABF">
              <w:rPr>
                <w:sz w:val="22"/>
                <w:szCs w:val="22"/>
              </w:rPr>
              <w:t>T</w:t>
            </w:r>
          </w:p>
        </w:tc>
        <w:tc>
          <w:tcPr>
            <w:tcW w:w="910" w:type="dxa"/>
          </w:tcPr>
          <w:p w14:paraId="187F57B8" w14:textId="59442E6B" w:rsidR="001E1112" w:rsidRPr="00317ABF" w:rsidRDefault="00E637AE" w:rsidP="00DB3BEC">
            <w:pPr>
              <w:pStyle w:val="Tekstpodstawowy"/>
              <w:rPr>
                <w:b/>
                <w:noProof/>
                <w:sz w:val="22"/>
                <w:szCs w:val="22"/>
              </w:rPr>
            </w:pPr>
            <w:r w:rsidRPr="00317ABF">
              <w:rPr>
                <w:b/>
                <w:noProof/>
                <w:sz w:val="22"/>
                <w:szCs w:val="22"/>
              </w:rPr>
              <w:t>Art. 2 pkt 72</w:t>
            </w:r>
          </w:p>
        </w:tc>
        <w:tc>
          <w:tcPr>
            <w:tcW w:w="6814" w:type="dxa"/>
            <w:gridSpan w:val="2"/>
          </w:tcPr>
          <w:p w14:paraId="54738AF4" w14:textId="55785E40" w:rsidR="001E1112" w:rsidRPr="00317ABF" w:rsidRDefault="00E637AE" w:rsidP="00DB3BEC">
            <w:pPr>
              <w:jc w:val="both"/>
              <w:rPr>
                <w:sz w:val="22"/>
                <w:szCs w:val="22"/>
              </w:rPr>
            </w:pPr>
            <w:r w:rsidRPr="00317ABF">
              <w:rPr>
                <w:sz w:val="22"/>
                <w:szCs w:val="22"/>
                <w:lang w:eastAsia="en-US"/>
              </w:rPr>
              <w:t>telekomunikacyjne urządzenie końcowe – urządzenie telekomunikacyjne przeznaczone do podłączenia bezpośrednio lub pośrednio do zakończenia sieci</w:t>
            </w:r>
          </w:p>
        </w:tc>
      </w:tr>
      <w:tr w:rsidR="001E1112" w:rsidRPr="00317ABF" w14:paraId="6599B33D" w14:textId="77777777" w:rsidTr="7753F98D">
        <w:trPr>
          <w:gridAfter w:val="2"/>
          <w:wAfter w:w="175" w:type="dxa"/>
        </w:trPr>
        <w:tc>
          <w:tcPr>
            <w:tcW w:w="704" w:type="dxa"/>
          </w:tcPr>
          <w:p w14:paraId="547920D6" w14:textId="77777777" w:rsidR="001E1112" w:rsidRPr="00317ABF" w:rsidRDefault="001E1112" w:rsidP="00DB3BEC">
            <w:pPr>
              <w:jc w:val="both"/>
              <w:rPr>
                <w:sz w:val="22"/>
                <w:szCs w:val="22"/>
              </w:rPr>
            </w:pPr>
            <w:r w:rsidRPr="00317ABF">
              <w:rPr>
                <w:sz w:val="22"/>
                <w:szCs w:val="22"/>
              </w:rPr>
              <w:t>Art. 2 pkt 42</w:t>
            </w:r>
          </w:p>
        </w:tc>
        <w:tc>
          <w:tcPr>
            <w:tcW w:w="4308" w:type="dxa"/>
          </w:tcPr>
          <w:p w14:paraId="1207DC6A" w14:textId="77777777" w:rsidR="001E1112" w:rsidRPr="00317ABF" w:rsidRDefault="001E1112" w:rsidP="00DB3BEC">
            <w:pPr>
              <w:autoSpaceDE w:val="0"/>
              <w:autoSpaceDN w:val="0"/>
              <w:adjustRightInd w:val="0"/>
              <w:jc w:val="both"/>
              <w:rPr>
                <w:rFonts w:eastAsia="EUAlbertina-Regular-Identity-H"/>
                <w:sz w:val="22"/>
                <w:szCs w:val="22"/>
              </w:rPr>
            </w:pPr>
            <w:r w:rsidRPr="00317ABF">
              <w:rPr>
                <w:sz w:val="22"/>
                <w:szCs w:val="22"/>
              </w:rPr>
              <w:t>„incydent związany z bezpieczeństwem” oznacza zdarzenie, które ma rzeczywisty niekorzystny skutek dla bezpieczeństwa sieci lub usługi łączności elektronicznej.</w:t>
            </w:r>
          </w:p>
        </w:tc>
        <w:tc>
          <w:tcPr>
            <w:tcW w:w="986" w:type="dxa"/>
          </w:tcPr>
          <w:p w14:paraId="46ABBD8F" w14:textId="30D6B2E8" w:rsidR="001E1112" w:rsidRPr="00317ABF" w:rsidRDefault="001E1112" w:rsidP="00DB3BEC">
            <w:pPr>
              <w:jc w:val="both"/>
              <w:rPr>
                <w:sz w:val="22"/>
                <w:szCs w:val="22"/>
              </w:rPr>
            </w:pPr>
            <w:r w:rsidRPr="00317ABF">
              <w:rPr>
                <w:sz w:val="22"/>
                <w:szCs w:val="22"/>
              </w:rPr>
              <w:t>T</w:t>
            </w:r>
          </w:p>
        </w:tc>
        <w:tc>
          <w:tcPr>
            <w:tcW w:w="910" w:type="dxa"/>
          </w:tcPr>
          <w:p w14:paraId="06BBA33E" w14:textId="0580E16A" w:rsidR="001E1112" w:rsidRPr="00317ABF" w:rsidRDefault="001E1112" w:rsidP="00DB3BEC">
            <w:pPr>
              <w:pStyle w:val="Tekstpodstawowy"/>
              <w:rPr>
                <w:b/>
                <w:noProof/>
                <w:sz w:val="22"/>
                <w:szCs w:val="22"/>
              </w:rPr>
            </w:pPr>
            <w:r w:rsidRPr="00317ABF">
              <w:rPr>
                <w:b/>
                <w:noProof/>
                <w:sz w:val="22"/>
                <w:szCs w:val="22"/>
              </w:rPr>
              <w:t>Art. 2 pkt 12</w:t>
            </w:r>
          </w:p>
        </w:tc>
        <w:tc>
          <w:tcPr>
            <w:tcW w:w="6814" w:type="dxa"/>
            <w:gridSpan w:val="2"/>
          </w:tcPr>
          <w:p w14:paraId="464FCBC1" w14:textId="1059C57B" w:rsidR="001E1112" w:rsidRPr="00317ABF" w:rsidRDefault="001E1112" w:rsidP="00DB3BEC">
            <w:pPr>
              <w:jc w:val="both"/>
              <w:rPr>
                <w:sz w:val="22"/>
                <w:szCs w:val="22"/>
              </w:rPr>
            </w:pPr>
            <w:r w:rsidRPr="00317ABF">
              <w:rPr>
                <w:sz w:val="22"/>
                <w:szCs w:val="22"/>
              </w:rPr>
              <w:t>incydent bezpieczeństwa – każde zdarzenie, które ma rzeczywisty, niekorzystny skutek dla bezpieczeństwa sieci i usług;</w:t>
            </w:r>
          </w:p>
        </w:tc>
      </w:tr>
      <w:tr w:rsidR="001E1112" w:rsidRPr="00317ABF" w14:paraId="2E961B1B" w14:textId="77777777" w:rsidTr="7753F98D">
        <w:trPr>
          <w:gridAfter w:val="2"/>
          <w:wAfter w:w="175" w:type="dxa"/>
        </w:trPr>
        <w:tc>
          <w:tcPr>
            <w:tcW w:w="704" w:type="dxa"/>
          </w:tcPr>
          <w:p w14:paraId="0C212B59" w14:textId="77777777" w:rsidR="001E1112" w:rsidRPr="00317ABF" w:rsidRDefault="001E1112" w:rsidP="00DB3BEC">
            <w:pPr>
              <w:jc w:val="both"/>
              <w:rPr>
                <w:b/>
                <w:sz w:val="22"/>
                <w:szCs w:val="22"/>
              </w:rPr>
            </w:pPr>
            <w:r w:rsidRPr="00317ABF">
              <w:rPr>
                <w:b/>
                <w:sz w:val="22"/>
                <w:szCs w:val="22"/>
              </w:rPr>
              <w:lastRenderedPageBreak/>
              <w:t>Art. 3</w:t>
            </w:r>
          </w:p>
        </w:tc>
        <w:tc>
          <w:tcPr>
            <w:tcW w:w="4308" w:type="dxa"/>
          </w:tcPr>
          <w:p w14:paraId="6D380049" w14:textId="77777777" w:rsidR="001E1112" w:rsidRPr="00317ABF" w:rsidRDefault="001E1112" w:rsidP="00DB3BEC">
            <w:pPr>
              <w:spacing w:before="60" w:after="120"/>
              <w:jc w:val="both"/>
              <w:rPr>
                <w:b/>
                <w:bCs/>
                <w:sz w:val="22"/>
                <w:szCs w:val="22"/>
              </w:rPr>
            </w:pPr>
            <w:r w:rsidRPr="00317ABF">
              <w:rPr>
                <w:b/>
                <w:bCs/>
                <w:sz w:val="22"/>
                <w:szCs w:val="22"/>
              </w:rPr>
              <w:t>Cele ogólne</w:t>
            </w:r>
          </w:p>
        </w:tc>
        <w:tc>
          <w:tcPr>
            <w:tcW w:w="986" w:type="dxa"/>
          </w:tcPr>
          <w:p w14:paraId="5C8C6B09" w14:textId="77777777" w:rsidR="001E1112" w:rsidRPr="00317ABF" w:rsidRDefault="001E1112" w:rsidP="00DB3BEC">
            <w:pPr>
              <w:jc w:val="both"/>
              <w:rPr>
                <w:sz w:val="22"/>
                <w:szCs w:val="22"/>
              </w:rPr>
            </w:pPr>
          </w:p>
        </w:tc>
        <w:tc>
          <w:tcPr>
            <w:tcW w:w="910" w:type="dxa"/>
          </w:tcPr>
          <w:p w14:paraId="3382A365" w14:textId="77777777" w:rsidR="001E1112" w:rsidRPr="00317ABF" w:rsidRDefault="001E1112" w:rsidP="00DB3BEC">
            <w:pPr>
              <w:pStyle w:val="Tekstpodstawowy"/>
              <w:rPr>
                <w:b/>
                <w:noProof/>
                <w:sz w:val="22"/>
                <w:szCs w:val="22"/>
              </w:rPr>
            </w:pPr>
          </w:p>
        </w:tc>
        <w:tc>
          <w:tcPr>
            <w:tcW w:w="6814" w:type="dxa"/>
            <w:gridSpan w:val="2"/>
          </w:tcPr>
          <w:p w14:paraId="5C71F136" w14:textId="77777777" w:rsidR="001E1112" w:rsidRPr="00317ABF" w:rsidRDefault="001E1112" w:rsidP="00DB3BEC">
            <w:pPr>
              <w:pStyle w:val="Tekstpodstawowy"/>
              <w:rPr>
                <w:sz w:val="22"/>
                <w:szCs w:val="22"/>
              </w:rPr>
            </w:pPr>
          </w:p>
        </w:tc>
      </w:tr>
      <w:tr w:rsidR="001E1112" w:rsidRPr="00317ABF" w14:paraId="3119E3AA" w14:textId="77777777" w:rsidTr="7753F98D">
        <w:trPr>
          <w:gridAfter w:val="2"/>
          <w:wAfter w:w="175" w:type="dxa"/>
        </w:trPr>
        <w:tc>
          <w:tcPr>
            <w:tcW w:w="704" w:type="dxa"/>
          </w:tcPr>
          <w:p w14:paraId="4F8D9A82" w14:textId="77777777" w:rsidR="001E1112" w:rsidRPr="00317ABF" w:rsidRDefault="001E1112" w:rsidP="00DB3BEC">
            <w:pPr>
              <w:jc w:val="both"/>
              <w:rPr>
                <w:sz w:val="22"/>
                <w:szCs w:val="22"/>
              </w:rPr>
            </w:pPr>
            <w:r w:rsidRPr="00317ABF">
              <w:rPr>
                <w:sz w:val="22"/>
                <w:szCs w:val="22"/>
              </w:rPr>
              <w:t>Art. 3 ust. 1</w:t>
            </w:r>
          </w:p>
        </w:tc>
        <w:tc>
          <w:tcPr>
            <w:tcW w:w="4308" w:type="dxa"/>
          </w:tcPr>
          <w:p w14:paraId="797BADD5" w14:textId="4CCD1C8B" w:rsidR="001E1112" w:rsidRPr="00317ABF" w:rsidRDefault="001E1112" w:rsidP="00DB3BEC">
            <w:pPr>
              <w:spacing w:before="120"/>
              <w:jc w:val="both"/>
              <w:rPr>
                <w:sz w:val="22"/>
                <w:szCs w:val="22"/>
              </w:rPr>
            </w:pPr>
            <w:r w:rsidRPr="00317ABF">
              <w:rPr>
                <w:sz w:val="22"/>
                <w:szCs w:val="22"/>
              </w:rPr>
              <w:t xml:space="preserve">1.   Państwa członkowskie zapewniają, by krajowe organy regulacyjne i inne właściwe organy, wypełniając </w:t>
            </w:r>
            <w:r w:rsidR="002C44A6" w:rsidRPr="00317ABF">
              <w:rPr>
                <w:sz w:val="22"/>
                <w:szCs w:val="22"/>
              </w:rPr>
              <w:t xml:space="preserve">zadania regulacyjne określone w </w:t>
            </w:r>
            <w:r w:rsidRPr="00317ABF">
              <w:rPr>
                <w:sz w:val="22"/>
                <w:szCs w:val="22"/>
              </w:rPr>
              <w:t>niniejszej dyrektywie, podejmowały wszystkie stosowne środki, które są niezbędne i proporcjonalne do realizacji celów określonych w ust. 2. Państwa członkowskie, Komisja, Zespół ds. Polityki Spektrum Radiowego (RSPG) i BEREC również przyczyniają się do realizacji tych celów.</w:t>
            </w:r>
          </w:p>
          <w:p w14:paraId="5ABB29C1" w14:textId="77777777" w:rsidR="001E1112" w:rsidRPr="00317ABF" w:rsidRDefault="001E1112" w:rsidP="00DB3BEC">
            <w:pPr>
              <w:spacing w:before="120"/>
              <w:jc w:val="both"/>
              <w:rPr>
                <w:sz w:val="22"/>
                <w:szCs w:val="22"/>
              </w:rPr>
            </w:pPr>
            <w:r w:rsidRPr="00317ABF">
              <w:rPr>
                <w:sz w:val="22"/>
                <w:szCs w:val="22"/>
              </w:rPr>
              <w:t>Krajowe organy regulacyjne i inne właściwe organy przyczyniają się, w ramach swoich kompetencji, do zapewnienia realizacji polityki mającej na celu promowanie wolności wypowiedzi i informacji, różnorodności kulturowej i językowej, jak również pluralizmu mediów.</w:t>
            </w:r>
          </w:p>
        </w:tc>
        <w:tc>
          <w:tcPr>
            <w:tcW w:w="986" w:type="dxa"/>
          </w:tcPr>
          <w:p w14:paraId="437D9C47" w14:textId="77777777" w:rsidR="001E1112" w:rsidRPr="00317ABF" w:rsidRDefault="001E1112" w:rsidP="00DB3BEC">
            <w:pPr>
              <w:jc w:val="both"/>
              <w:rPr>
                <w:sz w:val="22"/>
                <w:szCs w:val="22"/>
              </w:rPr>
            </w:pPr>
            <w:r w:rsidRPr="00317ABF">
              <w:rPr>
                <w:sz w:val="22"/>
                <w:szCs w:val="22"/>
              </w:rPr>
              <w:t>T</w:t>
            </w:r>
          </w:p>
          <w:p w14:paraId="2AECF7A3" w14:textId="77777777" w:rsidR="001E1112" w:rsidRPr="00317ABF" w:rsidRDefault="001E1112" w:rsidP="00DB3BEC">
            <w:pPr>
              <w:jc w:val="both"/>
              <w:rPr>
                <w:sz w:val="22"/>
                <w:szCs w:val="22"/>
              </w:rPr>
            </w:pPr>
          </w:p>
          <w:p w14:paraId="2F714435" w14:textId="77777777" w:rsidR="001E1112" w:rsidRPr="00317ABF" w:rsidRDefault="001E1112" w:rsidP="00DB3BEC">
            <w:pPr>
              <w:jc w:val="both"/>
              <w:rPr>
                <w:sz w:val="22"/>
                <w:szCs w:val="22"/>
              </w:rPr>
            </w:pPr>
          </w:p>
          <w:p w14:paraId="2338C983" w14:textId="77777777" w:rsidR="001E1112" w:rsidRPr="00317ABF" w:rsidRDefault="001E1112" w:rsidP="00DB3BEC">
            <w:pPr>
              <w:jc w:val="both"/>
              <w:rPr>
                <w:sz w:val="22"/>
                <w:szCs w:val="22"/>
              </w:rPr>
            </w:pPr>
          </w:p>
          <w:p w14:paraId="54977770" w14:textId="77777777" w:rsidR="001E1112" w:rsidRPr="00317ABF" w:rsidRDefault="001E1112" w:rsidP="00DB3BEC">
            <w:pPr>
              <w:jc w:val="both"/>
              <w:rPr>
                <w:sz w:val="22"/>
                <w:szCs w:val="22"/>
              </w:rPr>
            </w:pPr>
          </w:p>
          <w:p w14:paraId="51CDDD27" w14:textId="77777777" w:rsidR="001E1112" w:rsidRPr="00317ABF" w:rsidRDefault="001E1112" w:rsidP="00DB3BEC">
            <w:pPr>
              <w:jc w:val="both"/>
              <w:rPr>
                <w:sz w:val="22"/>
                <w:szCs w:val="22"/>
              </w:rPr>
            </w:pPr>
          </w:p>
          <w:p w14:paraId="61A9F65C" w14:textId="77777777" w:rsidR="001E1112" w:rsidRPr="00317ABF" w:rsidRDefault="001E1112" w:rsidP="00DB3BEC">
            <w:pPr>
              <w:jc w:val="both"/>
              <w:rPr>
                <w:sz w:val="22"/>
                <w:szCs w:val="22"/>
              </w:rPr>
            </w:pPr>
          </w:p>
          <w:p w14:paraId="505D156A" w14:textId="77777777" w:rsidR="001E1112" w:rsidRPr="00317ABF" w:rsidRDefault="001E1112" w:rsidP="00DB3BEC">
            <w:pPr>
              <w:jc w:val="both"/>
              <w:rPr>
                <w:sz w:val="22"/>
                <w:szCs w:val="22"/>
              </w:rPr>
            </w:pPr>
          </w:p>
          <w:p w14:paraId="1E0B763A" w14:textId="77777777" w:rsidR="001E1112" w:rsidRPr="00317ABF" w:rsidRDefault="001E1112" w:rsidP="00DB3BEC">
            <w:pPr>
              <w:jc w:val="both"/>
              <w:rPr>
                <w:sz w:val="22"/>
                <w:szCs w:val="22"/>
              </w:rPr>
            </w:pPr>
          </w:p>
          <w:p w14:paraId="38C34612" w14:textId="77777777" w:rsidR="001E1112" w:rsidRPr="00317ABF" w:rsidRDefault="001E1112" w:rsidP="00DB3BEC">
            <w:pPr>
              <w:jc w:val="both"/>
              <w:rPr>
                <w:sz w:val="22"/>
                <w:szCs w:val="22"/>
              </w:rPr>
            </w:pPr>
          </w:p>
          <w:p w14:paraId="3663E074" w14:textId="77777777" w:rsidR="001E1112" w:rsidRPr="00317ABF" w:rsidRDefault="001E1112" w:rsidP="00DB3BEC">
            <w:pPr>
              <w:jc w:val="both"/>
              <w:rPr>
                <w:sz w:val="22"/>
                <w:szCs w:val="22"/>
              </w:rPr>
            </w:pPr>
          </w:p>
          <w:p w14:paraId="30A699A8" w14:textId="77777777" w:rsidR="001E1112" w:rsidRPr="00317ABF" w:rsidRDefault="001E1112" w:rsidP="00DB3BEC">
            <w:pPr>
              <w:jc w:val="both"/>
              <w:rPr>
                <w:sz w:val="22"/>
                <w:szCs w:val="22"/>
              </w:rPr>
            </w:pPr>
          </w:p>
          <w:p w14:paraId="0261A1DE" w14:textId="77777777" w:rsidR="001E1112" w:rsidRPr="00317ABF" w:rsidRDefault="001E1112" w:rsidP="00DB3BEC">
            <w:pPr>
              <w:jc w:val="both"/>
              <w:rPr>
                <w:sz w:val="22"/>
                <w:szCs w:val="22"/>
              </w:rPr>
            </w:pPr>
          </w:p>
          <w:p w14:paraId="62199465" w14:textId="03051215" w:rsidR="001E1112" w:rsidRPr="00317ABF" w:rsidRDefault="001E1112" w:rsidP="00DB3BEC">
            <w:pPr>
              <w:jc w:val="both"/>
              <w:rPr>
                <w:sz w:val="22"/>
                <w:szCs w:val="22"/>
              </w:rPr>
            </w:pPr>
            <w:r w:rsidRPr="00317ABF">
              <w:rPr>
                <w:sz w:val="22"/>
                <w:szCs w:val="22"/>
              </w:rPr>
              <w:t>T</w:t>
            </w:r>
          </w:p>
        </w:tc>
        <w:tc>
          <w:tcPr>
            <w:tcW w:w="910" w:type="dxa"/>
          </w:tcPr>
          <w:p w14:paraId="4375CAD9" w14:textId="776ADC9E" w:rsidR="001E1112" w:rsidRPr="00317ABF" w:rsidRDefault="00DB3BEC" w:rsidP="00DB3BEC">
            <w:pPr>
              <w:pStyle w:val="Tekstpodstawowy"/>
              <w:rPr>
                <w:b/>
                <w:bCs/>
                <w:noProof/>
                <w:sz w:val="22"/>
                <w:szCs w:val="22"/>
              </w:rPr>
            </w:pPr>
            <w:r w:rsidRPr="00317ABF">
              <w:rPr>
                <w:b/>
                <w:bCs/>
                <w:noProof/>
                <w:sz w:val="22"/>
                <w:szCs w:val="22"/>
              </w:rPr>
              <w:t xml:space="preserve">Art. </w:t>
            </w:r>
            <w:r w:rsidR="005B7F8B" w:rsidRPr="00317ABF">
              <w:rPr>
                <w:b/>
                <w:bCs/>
                <w:noProof/>
                <w:sz w:val="22"/>
                <w:szCs w:val="22"/>
              </w:rPr>
              <w:t>407</w:t>
            </w:r>
            <w:r w:rsidR="001E1112" w:rsidRPr="00317ABF">
              <w:rPr>
                <w:b/>
                <w:bCs/>
                <w:noProof/>
                <w:sz w:val="22"/>
                <w:szCs w:val="22"/>
              </w:rPr>
              <w:t xml:space="preserve"> ust. 2</w:t>
            </w:r>
          </w:p>
          <w:p w14:paraId="0EFEF883" w14:textId="19F6E332" w:rsidR="001E1112" w:rsidRPr="00317ABF" w:rsidRDefault="001E1112" w:rsidP="00DB3BEC">
            <w:pPr>
              <w:pStyle w:val="Tekstpodstawowy"/>
              <w:rPr>
                <w:b/>
                <w:bCs/>
                <w:noProof/>
                <w:sz w:val="22"/>
                <w:szCs w:val="22"/>
              </w:rPr>
            </w:pPr>
          </w:p>
          <w:p w14:paraId="6CDAD734" w14:textId="36262DD9" w:rsidR="001E1112" w:rsidRPr="00317ABF" w:rsidRDefault="001E1112" w:rsidP="00DB3BEC">
            <w:pPr>
              <w:pStyle w:val="Tekstpodstawowy"/>
              <w:rPr>
                <w:b/>
                <w:bCs/>
                <w:noProof/>
                <w:sz w:val="22"/>
                <w:szCs w:val="22"/>
              </w:rPr>
            </w:pPr>
          </w:p>
          <w:p w14:paraId="3383DD66" w14:textId="37861219" w:rsidR="001E1112" w:rsidRPr="00317ABF" w:rsidRDefault="001E1112" w:rsidP="00DB3BEC">
            <w:pPr>
              <w:pStyle w:val="Tekstpodstawowy"/>
              <w:rPr>
                <w:b/>
                <w:bCs/>
                <w:noProof/>
                <w:sz w:val="22"/>
                <w:szCs w:val="22"/>
              </w:rPr>
            </w:pPr>
          </w:p>
          <w:p w14:paraId="75540851" w14:textId="269861D7" w:rsidR="001E1112" w:rsidRPr="00317ABF" w:rsidRDefault="001E1112" w:rsidP="00DB3BEC">
            <w:pPr>
              <w:pStyle w:val="Tekstpodstawowy"/>
              <w:rPr>
                <w:b/>
                <w:bCs/>
                <w:noProof/>
                <w:sz w:val="22"/>
                <w:szCs w:val="22"/>
              </w:rPr>
            </w:pPr>
          </w:p>
          <w:p w14:paraId="72D4A866" w14:textId="1A4B8376" w:rsidR="001E1112" w:rsidRPr="00317ABF" w:rsidRDefault="001E1112" w:rsidP="00DB3BEC">
            <w:pPr>
              <w:pStyle w:val="Tekstpodstawowy"/>
              <w:rPr>
                <w:b/>
                <w:bCs/>
                <w:noProof/>
                <w:sz w:val="22"/>
                <w:szCs w:val="22"/>
              </w:rPr>
            </w:pPr>
          </w:p>
          <w:p w14:paraId="4B736059" w14:textId="2BD388B2" w:rsidR="001E1112" w:rsidRPr="00317ABF" w:rsidRDefault="001E1112" w:rsidP="00DB3BEC">
            <w:pPr>
              <w:pStyle w:val="Tekstpodstawowy"/>
              <w:rPr>
                <w:b/>
                <w:bCs/>
                <w:noProof/>
                <w:sz w:val="22"/>
                <w:szCs w:val="22"/>
              </w:rPr>
            </w:pPr>
          </w:p>
          <w:p w14:paraId="4551042F" w14:textId="7E71420D" w:rsidR="001E1112" w:rsidRPr="00317ABF" w:rsidRDefault="001E1112" w:rsidP="00DB3BEC">
            <w:pPr>
              <w:pStyle w:val="Tekstpodstawowy"/>
              <w:rPr>
                <w:b/>
                <w:bCs/>
                <w:noProof/>
                <w:sz w:val="22"/>
                <w:szCs w:val="22"/>
              </w:rPr>
            </w:pPr>
          </w:p>
          <w:p w14:paraId="09326DD9" w14:textId="4B67BA5A" w:rsidR="001E1112" w:rsidRPr="00317ABF" w:rsidRDefault="001E1112" w:rsidP="00DB3BEC">
            <w:pPr>
              <w:pStyle w:val="Tekstpodstawowy"/>
              <w:rPr>
                <w:b/>
                <w:bCs/>
                <w:noProof/>
                <w:sz w:val="22"/>
                <w:szCs w:val="22"/>
              </w:rPr>
            </w:pPr>
          </w:p>
          <w:p w14:paraId="0EC4F7CB" w14:textId="7B570E25" w:rsidR="001E1112" w:rsidRPr="00317ABF" w:rsidRDefault="001E1112" w:rsidP="00DB3BEC">
            <w:pPr>
              <w:pStyle w:val="Tekstpodstawowy"/>
              <w:rPr>
                <w:b/>
                <w:bCs/>
                <w:noProof/>
                <w:sz w:val="22"/>
                <w:szCs w:val="22"/>
              </w:rPr>
            </w:pPr>
          </w:p>
          <w:p w14:paraId="5FA2AC7F" w14:textId="151D9143" w:rsidR="001E1112" w:rsidRPr="00317ABF" w:rsidRDefault="001E1112" w:rsidP="00DB3BEC">
            <w:pPr>
              <w:pStyle w:val="Tekstpodstawowy"/>
              <w:rPr>
                <w:b/>
                <w:bCs/>
                <w:noProof/>
                <w:sz w:val="22"/>
                <w:szCs w:val="22"/>
              </w:rPr>
            </w:pPr>
          </w:p>
          <w:p w14:paraId="1881A62F" w14:textId="77777777" w:rsidR="001E1112" w:rsidRPr="00317ABF" w:rsidRDefault="001E1112" w:rsidP="00DB3BEC">
            <w:pPr>
              <w:pStyle w:val="Tekstpodstawowy"/>
              <w:rPr>
                <w:b/>
                <w:bCs/>
                <w:noProof/>
                <w:sz w:val="22"/>
                <w:szCs w:val="22"/>
              </w:rPr>
            </w:pPr>
          </w:p>
          <w:p w14:paraId="0DA123B1" w14:textId="7D76D91E" w:rsidR="001E1112" w:rsidRPr="00317ABF" w:rsidRDefault="001E1112" w:rsidP="00DB3BEC">
            <w:pPr>
              <w:pStyle w:val="Tekstpodstawowy"/>
              <w:rPr>
                <w:b/>
                <w:bCs/>
                <w:noProof/>
                <w:sz w:val="22"/>
                <w:szCs w:val="22"/>
              </w:rPr>
            </w:pPr>
            <w:r w:rsidRPr="00317ABF">
              <w:rPr>
                <w:b/>
                <w:bCs/>
                <w:noProof/>
                <w:sz w:val="22"/>
                <w:szCs w:val="22"/>
              </w:rPr>
              <w:t>Pkt 6</w:t>
            </w:r>
          </w:p>
        </w:tc>
        <w:tc>
          <w:tcPr>
            <w:tcW w:w="6814" w:type="dxa"/>
            <w:gridSpan w:val="2"/>
          </w:tcPr>
          <w:p w14:paraId="3D9B3F14" w14:textId="23C1E7C0" w:rsidR="001E1112" w:rsidRPr="00317ABF" w:rsidRDefault="001E1112" w:rsidP="00DB3BEC">
            <w:pPr>
              <w:jc w:val="both"/>
              <w:rPr>
                <w:sz w:val="22"/>
                <w:szCs w:val="22"/>
              </w:rPr>
            </w:pPr>
            <w:r w:rsidRPr="00317ABF">
              <w:rPr>
                <w:rFonts w:eastAsia="Times"/>
                <w:sz w:val="22"/>
                <w:szCs w:val="22"/>
              </w:rPr>
              <w:t>2.  Organy właściwe w sprawach telekomunikacji prowadzą politykę regulacyjną, mając na celu w szczególności:</w:t>
            </w:r>
          </w:p>
          <w:p w14:paraId="23D96B1E" w14:textId="3BA8FB3E" w:rsidR="001E1112" w:rsidRPr="00317ABF" w:rsidRDefault="001E1112" w:rsidP="00DB3BEC">
            <w:pPr>
              <w:ind w:firstLine="510"/>
              <w:jc w:val="both"/>
              <w:rPr>
                <w:rFonts w:eastAsia="Times"/>
                <w:sz w:val="22"/>
                <w:szCs w:val="22"/>
              </w:rPr>
            </w:pPr>
            <w:r w:rsidRPr="00317ABF">
              <w:rPr>
                <w:rFonts w:eastAsia="Times"/>
                <w:sz w:val="22"/>
                <w:szCs w:val="22"/>
              </w:rPr>
              <w:t>(…)</w:t>
            </w:r>
          </w:p>
          <w:p w14:paraId="386ECB7E" w14:textId="4C99AA3F" w:rsidR="001E1112" w:rsidRPr="00317ABF" w:rsidRDefault="001E1112" w:rsidP="00DB3BEC">
            <w:pPr>
              <w:ind w:firstLine="510"/>
              <w:jc w:val="both"/>
              <w:rPr>
                <w:rFonts w:eastAsia="Times"/>
                <w:sz w:val="22"/>
                <w:szCs w:val="22"/>
              </w:rPr>
            </w:pPr>
          </w:p>
          <w:p w14:paraId="28167F70" w14:textId="55286BF3" w:rsidR="001E1112" w:rsidRPr="00317ABF" w:rsidRDefault="001E1112" w:rsidP="00DB3BEC">
            <w:pPr>
              <w:ind w:firstLine="510"/>
              <w:jc w:val="both"/>
              <w:rPr>
                <w:rFonts w:eastAsia="Times"/>
                <w:sz w:val="22"/>
                <w:szCs w:val="22"/>
              </w:rPr>
            </w:pPr>
          </w:p>
          <w:p w14:paraId="1308B231" w14:textId="1F121A51" w:rsidR="001E1112" w:rsidRPr="00317ABF" w:rsidRDefault="001E1112" w:rsidP="00DB3BEC">
            <w:pPr>
              <w:ind w:firstLine="510"/>
              <w:jc w:val="both"/>
              <w:rPr>
                <w:rFonts w:eastAsia="Times"/>
                <w:sz w:val="22"/>
                <w:szCs w:val="22"/>
              </w:rPr>
            </w:pPr>
          </w:p>
          <w:p w14:paraId="19FDB84A" w14:textId="267580F8" w:rsidR="001E1112" w:rsidRPr="00317ABF" w:rsidRDefault="001E1112" w:rsidP="00DB3BEC">
            <w:pPr>
              <w:ind w:firstLine="510"/>
              <w:jc w:val="both"/>
              <w:rPr>
                <w:rFonts w:eastAsia="Times"/>
                <w:sz w:val="22"/>
                <w:szCs w:val="22"/>
              </w:rPr>
            </w:pPr>
          </w:p>
          <w:p w14:paraId="47ADC4B9" w14:textId="438438E6" w:rsidR="001E1112" w:rsidRPr="00317ABF" w:rsidRDefault="001E1112" w:rsidP="00DB3BEC">
            <w:pPr>
              <w:ind w:firstLine="510"/>
              <w:jc w:val="both"/>
              <w:rPr>
                <w:rFonts w:eastAsia="Times"/>
                <w:sz w:val="22"/>
                <w:szCs w:val="22"/>
              </w:rPr>
            </w:pPr>
          </w:p>
          <w:p w14:paraId="211B6FFA" w14:textId="75025C3A" w:rsidR="001E1112" w:rsidRPr="00317ABF" w:rsidRDefault="001E1112" w:rsidP="00DB3BEC">
            <w:pPr>
              <w:ind w:firstLine="510"/>
              <w:jc w:val="both"/>
              <w:rPr>
                <w:rFonts w:eastAsia="Times"/>
                <w:sz w:val="22"/>
                <w:szCs w:val="22"/>
              </w:rPr>
            </w:pPr>
          </w:p>
          <w:p w14:paraId="2632BC3A" w14:textId="05321AB9" w:rsidR="001E1112" w:rsidRPr="00317ABF" w:rsidRDefault="001E1112" w:rsidP="00DB3BEC">
            <w:pPr>
              <w:ind w:firstLine="510"/>
              <w:jc w:val="both"/>
              <w:rPr>
                <w:rFonts w:eastAsia="Times"/>
                <w:sz w:val="22"/>
                <w:szCs w:val="22"/>
              </w:rPr>
            </w:pPr>
          </w:p>
          <w:p w14:paraId="6502EE06" w14:textId="0454A1FF" w:rsidR="001E1112" w:rsidRPr="00317ABF" w:rsidRDefault="001E1112" w:rsidP="00DB3BEC">
            <w:pPr>
              <w:ind w:left="510" w:hanging="510"/>
              <w:jc w:val="both"/>
              <w:rPr>
                <w:rFonts w:eastAsia="Times"/>
                <w:sz w:val="22"/>
                <w:szCs w:val="22"/>
              </w:rPr>
            </w:pPr>
          </w:p>
          <w:p w14:paraId="6052DCF6" w14:textId="30E34C3D" w:rsidR="001E1112" w:rsidRPr="00317ABF" w:rsidRDefault="001E1112" w:rsidP="00DB3BEC">
            <w:pPr>
              <w:ind w:left="510" w:hanging="510"/>
              <w:jc w:val="both"/>
              <w:rPr>
                <w:rFonts w:eastAsia="Times"/>
                <w:sz w:val="22"/>
                <w:szCs w:val="22"/>
              </w:rPr>
            </w:pPr>
          </w:p>
          <w:p w14:paraId="3C107BDB" w14:textId="3364A63F" w:rsidR="001E1112" w:rsidRPr="00317ABF" w:rsidRDefault="001E1112" w:rsidP="00DB3BEC">
            <w:pPr>
              <w:ind w:left="510" w:hanging="510"/>
              <w:jc w:val="both"/>
              <w:rPr>
                <w:rFonts w:eastAsia="Times"/>
                <w:sz w:val="22"/>
                <w:szCs w:val="22"/>
              </w:rPr>
            </w:pPr>
            <w:r w:rsidRPr="00317ABF">
              <w:rPr>
                <w:rFonts w:eastAsia="Times"/>
                <w:sz w:val="22"/>
                <w:szCs w:val="22"/>
              </w:rPr>
              <w:t>6)   realizację polityki w zakresie wolności wypowiedzi i informacji, promowania różnorodności kulturowej i językowej, jak również pluralizmu mediów;</w:t>
            </w:r>
          </w:p>
          <w:p w14:paraId="22CB0E31" w14:textId="3D59D29E" w:rsidR="001E1112" w:rsidRPr="00317ABF" w:rsidRDefault="001E1112" w:rsidP="00DB3BEC">
            <w:pPr>
              <w:ind w:firstLine="510"/>
              <w:jc w:val="both"/>
              <w:rPr>
                <w:rFonts w:eastAsia="Times"/>
                <w:sz w:val="22"/>
                <w:szCs w:val="22"/>
              </w:rPr>
            </w:pPr>
          </w:p>
          <w:p w14:paraId="4C4CEA3D" w14:textId="553322BA" w:rsidR="001E1112" w:rsidRPr="00317ABF" w:rsidRDefault="001E1112" w:rsidP="00DB3BEC">
            <w:pPr>
              <w:jc w:val="both"/>
              <w:rPr>
                <w:sz w:val="22"/>
                <w:szCs w:val="22"/>
              </w:rPr>
            </w:pPr>
          </w:p>
        </w:tc>
      </w:tr>
      <w:tr w:rsidR="001E1112" w:rsidRPr="00317ABF" w14:paraId="0725B39F" w14:textId="77777777" w:rsidTr="7753F98D">
        <w:trPr>
          <w:gridAfter w:val="2"/>
          <w:wAfter w:w="175" w:type="dxa"/>
        </w:trPr>
        <w:tc>
          <w:tcPr>
            <w:tcW w:w="704" w:type="dxa"/>
          </w:tcPr>
          <w:p w14:paraId="69CD9187" w14:textId="77777777" w:rsidR="001E1112" w:rsidRPr="00317ABF" w:rsidRDefault="001E1112" w:rsidP="00DB3BEC">
            <w:pPr>
              <w:jc w:val="both"/>
              <w:rPr>
                <w:sz w:val="22"/>
                <w:szCs w:val="22"/>
              </w:rPr>
            </w:pPr>
            <w:r w:rsidRPr="00317ABF">
              <w:rPr>
                <w:sz w:val="22"/>
                <w:szCs w:val="22"/>
              </w:rPr>
              <w:t>Art. 3 ust. 2</w:t>
            </w:r>
          </w:p>
        </w:tc>
        <w:tc>
          <w:tcPr>
            <w:tcW w:w="4308" w:type="dxa"/>
          </w:tcPr>
          <w:p w14:paraId="78C2CD2D" w14:textId="77777777" w:rsidR="001E1112" w:rsidRPr="00317ABF" w:rsidRDefault="001E1112" w:rsidP="00DB3BEC">
            <w:pPr>
              <w:spacing w:before="120"/>
              <w:jc w:val="both"/>
              <w:rPr>
                <w:sz w:val="22"/>
                <w:szCs w:val="22"/>
              </w:rPr>
            </w:pPr>
            <w:r w:rsidRPr="00317ABF">
              <w:rPr>
                <w:sz w:val="22"/>
                <w:szCs w:val="22"/>
              </w:rPr>
              <w:t>2.   W kontekście niniejszej dyrektywy krajowe organy regulacyjne i inne właściwe organy, a także BEREC, Komisja i państwa członkowskie dążą do realizacji każdego z następujących celów ogólnych, wymienionych w przypadkowej kolejności:</w:t>
            </w:r>
          </w:p>
          <w:tbl>
            <w:tblPr>
              <w:tblW w:w="5000" w:type="pct"/>
              <w:tblCellSpacing w:w="0" w:type="dxa"/>
              <w:tblLayout w:type="fixed"/>
              <w:tblCellMar>
                <w:left w:w="0" w:type="dxa"/>
                <w:right w:w="0" w:type="dxa"/>
              </w:tblCellMar>
              <w:tblLook w:val="04A0" w:firstRow="1" w:lastRow="0" w:firstColumn="1" w:lastColumn="0" w:noHBand="0" w:noVBand="1"/>
            </w:tblPr>
            <w:tblGrid>
              <w:gridCol w:w="20"/>
              <w:gridCol w:w="4148"/>
            </w:tblGrid>
            <w:tr w:rsidR="001E1112" w:rsidRPr="00317ABF" w14:paraId="29D26AF4" w14:textId="77777777" w:rsidTr="009D0AC1">
              <w:trPr>
                <w:tblCellSpacing w:w="0" w:type="dxa"/>
              </w:trPr>
              <w:tc>
                <w:tcPr>
                  <w:tcW w:w="6" w:type="dxa"/>
                  <w:hideMark/>
                </w:tcPr>
                <w:p w14:paraId="50895670" w14:textId="77777777" w:rsidR="001E1112" w:rsidRPr="00317ABF" w:rsidRDefault="001E1112" w:rsidP="00EE0AC3">
                  <w:pPr>
                    <w:framePr w:hSpace="141" w:wrap="around" w:vAnchor="text" w:hAnchor="text" w:xAlign="right" w:y="1"/>
                    <w:spacing w:before="120"/>
                    <w:suppressOverlap/>
                    <w:jc w:val="both"/>
                    <w:rPr>
                      <w:sz w:val="22"/>
                      <w:szCs w:val="22"/>
                    </w:rPr>
                  </w:pPr>
                </w:p>
              </w:tc>
              <w:tc>
                <w:tcPr>
                  <w:tcW w:w="9066" w:type="dxa"/>
                  <w:hideMark/>
                </w:tcPr>
                <w:p w14:paraId="6B15582A" w14:textId="77777777" w:rsidR="001E1112" w:rsidRPr="00317ABF" w:rsidRDefault="001E1112" w:rsidP="00EE0AC3">
                  <w:pPr>
                    <w:framePr w:hSpace="141" w:wrap="around" w:vAnchor="text" w:hAnchor="text" w:xAlign="right" w:y="1"/>
                    <w:numPr>
                      <w:ilvl w:val="0"/>
                      <w:numId w:val="4"/>
                    </w:numPr>
                    <w:spacing w:before="120"/>
                    <w:suppressOverlap/>
                    <w:jc w:val="both"/>
                    <w:rPr>
                      <w:sz w:val="22"/>
                      <w:szCs w:val="22"/>
                    </w:rPr>
                  </w:pPr>
                  <w:r w:rsidRPr="00317ABF">
                    <w:rPr>
                      <w:sz w:val="22"/>
                      <w:szCs w:val="22"/>
                    </w:rPr>
                    <w:t>promowanie łączności oraz dostępu do sieci o bardzo dużej przepustowości, w tym sieci stacjonarnych, ruchomych i bezprzewodowych, oraz korzystania z tych sieci przez wszystkich obywateli Unii i wszystkie unijne przedsiębiorstwa;</w:t>
                  </w:r>
                </w:p>
              </w:tc>
            </w:tr>
          </w:tbl>
          <w:p w14:paraId="38C1F859" w14:textId="77777777" w:rsidR="001E1112" w:rsidRPr="00317ABF" w:rsidRDefault="001E1112" w:rsidP="00DB3BEC">
            <w:pPr>
              <w:jc w:val="both"/>
              <w:rPr>
                <w:vanish/>
                <w:sz w:val="22"/>
                <w:szCs w:val="22"/>
              </w:rPr>
            </w:pPr>
          </w:p>
          <w:tbl>
            <w:tblPr>
              <w:tblW w:w="5000" w:type="pct"/>
              <w:tblCellSpacing w:w="0" w:type="dxa"/>
              <w:tblLayout w:type="fixed"/>
              <w:tblCellMar>
                <w:left w:w="0" w:type="dxa"/>
                <w:right w:w="0" w:type="dxa"/>
              </w:tblCellMar>
              <w:tblLook w:val="04A0" w:firstRow="1" w:lastRow="0" w:firstColumn="1" w:lastColumn="0" w:noHBand="0" w:noVBand="1"/>
            </w:tblPr>
            <w:tblGrid>
              <w:gridCol w:w="20"/>
              <w:gridCol w:w="4148"/>
            </w:tblGrid>
            <w:tr w:rsidR="001E1112" w:rsidRPr="00317ABF" w14:paraId="212DC86E" w14:textId="77777777" w:rsidTr="009D0AC1">
              <w:trPr>
                <w:tblCellSpacing w:w="0" w:type="dxa"/>
              </w:trPr>
              <w:tc>
                <w:tcPr>
                  <w:tcW w:w="6" w:type="dxa"/>
                  <w:hideMark/>
                </w:tcPr>
                <w:p w14:paraId="0C8FE7CE" w14:textId="77777777" w:rsidR="001E1112" w:rsidRPr="00317ABF" w:rsidRDefault="001E1112" w:rsidP="00EE0AC3">
                  <w:pPr>
                    <w:framePr w:hSpace="141" w:wrap="around" w:vAnchor="text" w:hAnchor="text" w:xAlign="right" w:y="1"/>
                    <w:spacing w:before="120"/>
                    <w:suppressOverlap/>
                    <w:jc w:val="both"/>
                    <w:rPr>
                      <w:sz w:val="22"/>
                      <w:szCs w:val="22"/>
                    </w:rPr>
                  </w:pPr>
                </w:p>
              </w:tc>
              <w:tc>
                <w:tcPr>
                  <w:tcW w:w="9066" w:type="dxa"/>
                  <w:hideMark/>
                </w:tcPr>
                <w:p w14:paraId="7A1E8661" w14:textId="77777777" w:rsidR="001E1112" w:rsidRPr="00317ABF" w:rsidRDefault="001E1112" w:rsidP="00EE0AC3">
                  <w:pPr>
                    <w:framePr w:hSpace="141" w:wrap="around" w:vAnchor="text" w:hAnchor="text" w:xAlign="right" w:y="1"/>
                    <w:numPr>
                      <w:ilvl w:val="0"/>
                      <w:numId w:val="4"/>
                    </w:numPr>
                    <w:spacing w:before="120"/>
                    <w:suppressOverlap/>
                    <w:jc w:val="both"/>
                    <w:rPr>
                      <w:sz w:val="22"/>
                      <w:szCs w:val="22"/>
                    </w:rPr>
                  </w:pPr>
                  <w:r w:rsidRPr="00317ABF">
                    <w:rPr>
                      <w:sz w:val="22"/>
                      <w:szCs w:val="22"/>
                    </w:rPr>
                    <w:t xml:space="preserve">promowanie konkurencji przy dostarczaniu sieci łączności elektronicznej oraz urządzeń </w:t>
                  </w:r>
                  <w:r w:rsidRPr="00317ABF">
                    <w:rPr>
                      <w:sz w:val="22"/>
                      <w:szCs w:val="22"/>
                    </w:rPr>
                    <w:lastRenderedPageBreak/>
                    <w:t>towarzyszących, w tym skutecznej konkurencji opartej na infrastrukturze, a także przy świadczeniu usług łączności elektronicznej i usług towarzyszących;</w:t>
                  </w:r>
                </w:p>
              </w:tc>
            </w:tr>
          </w:tbl>
          <w:p w14:paraId="41004F19" w14:textId="77777777" w:rsidR="001E1112" w:rsidRPr="00317ABF" w:rsidRDefault="001E1112" w:rsidP="00DB3BEC">
            <w:pPr>
              <w:jc w:val="both"/>
              <w:rPr>
                <w:vanish/>
                <w:sz w:val="22"/>
                <w:szCs w:val="22"/>
              </w:rPr>
            </w:pPr>
          </w:p>
          <w:tbl>
            <w:tblPr>
              <w:tblW w:w="5000" w:type="pct"/>
              <w:tblCellSpacing w:w="0" w:type="dxa"/>
              <w:tblLayout w:type="fixed"/>
              <w:tblCellMar>
                <w:left w:w="0" w:type="dxa"/>
                <w:right w:w="0" w:type="dxa"/>
              </w:tblCellMar>
              <w:tblLook w:val="04A0" w:firstRow="1" w:lastRow="0" w:firstColumn="1" w:lastColumn="0" w:noHBand="0" w:noVBand="1"/>
            </w:tblPr>
            <w:tblGrid>
              <w:gridCol w:w="20"/>
              <w:gridCol w:w="4148"/>
            </w:tblGrid>
            <w:tr w:rsidR="001E1112" w:rsidRPr="00317ABF" w14:paraId="332AB8D0" w14:textId="77777777" w:rsidTr="009D0AC1">
              <w:trPr>
                <w:tblCellSpacing w:w="0" w:type="dxa"/>
              </w:trPr>
              <w:tc>
                <w:tcPr>
                  <w:tcW w:w="6" w:type="dxa"/>
                  <w:hideMark/>
                </w:tcPr>
                <w:p w14:paraId="67C0C651" w14:textId="77777777" w:rsidR="001E1112" w:rsidRPr="00317ABF" w:rsidRDefault="001E1112" w:rsidP="00EE0AC3">
                  <w:pPr>
                    <w:framePr w:hSpace="141" w:wrap="around" w:vAnchor="text" w:hAnchor="text" w:xAlign="right" w:y="1"/>
                    <w:spacing w:before="120"/>
                    <w:suppressOverlap/>
                    <w:jc w:val="both"/>
                    <w:rPr>
                      <w:sz w:val="22"/>
                      <w:szCs w:val="22"/>
                    </w:rPr>
                  </w:pPr>
                </w:p>
              </w:tc>
              <w:tc>
                <w:tcPr>
                  <w:tcW w:w="9066" w:type="dxa"/>
                  <w:hideMark/>
                </w:tcPr>
                <w:p w14:paraId="1DA6BCA4" w14:textId="77777777" w:rsidR="001E1112" w:rsidRPr="00317ABF" w:rsidRDefault="001E1112" w:rsidP="00EE0AC3">
                  <w:pPr>
                    <w:framePr w:hSpace="141" w:wrap="around" w:vAnchor="text" w:hAnchor="text" w:xAlign="right" w:y="1"/>
                    <w:numPr>
                      <w:ilvl w:val="0"/>
                      <w:numId w:val="4"/>
                    </w:numPr>
                    <w:spacing w:before="120"/>
                    <w:suppressOverlap/>
                    <w:jc w:val="both"/>
                    <w:rPr>
                      <w:sz w:val="22"/>
                      <w:szCs w:val="22"/>
                    </w:rPr>
                  </w:pPr>
                  <w:r w:rsidRPr="00317ABF">
                    <w:rPr>
                      <w:sz w:val="22"/>
                      <w:szCs w:val="22"/>
                    </w:rPr>
                    <w:t>przyczynianie się do rozwoju rynku wewnętrznego poprzez usuwanie istniejących przeszkód utrudniających inwestycje w sieci łączności elektronicznej, urządzenia towarzyszące i usługi towarzyszące oraz usługi łączności elektronicznej, a także udostępnienie tych sieci i urządzeń oraz świadczenie tych usług w całej Unii, a także poprzez sprzyjanie ujednolicaniu warunków regulujących inwestycje w te sieci, urządzenia i usługi oraz ich udostępnianie i świadczenie, poprzez opracowywanie wspólnych przepisów i przewidywalnych podejść regulacyjnych, wspieranie skutecznego, wydajnego i skoordynowanego wykorzystania widma radiowego, otwartych innowacji, tworzenia i rozwijania sieci transeuropejskich, świadczenia, dostępności i interoperacyjności ogólnoeuropejskich usług oraz połączeń między użytkownikami końcowymi;</w:t>
                  </w:r>
                </w:p>
              </w:tc>
            </w:tr>
          </w:tbl>
          <w:p w14:paraId="308D56CC" w14:textId="77777777" w:rsidR="001E1112" w:rsidRPr="00317ABF" w:rsidRDefault="001E1112" w:rsidP="00DB3BEC">
            <w:pPr>
              <w:jc w:val="both"/>
              <w:rPr>
                <w:vanish/>
                <w:sz w:val="22"/>
                <w:szCs w:val="22"/>
              </w:rPr>
            </w:pPr>
          </w:p>
          <w:tbl>
            <w:tblPr>
              <w:tblW w:w="5000" w:type="pct"/>
              <w:tblCellSpacing w:w="0" w:type="dxa"/>
              <w:tblLayout w:type="fixed"/>
              <w:tblCellMar>
                <w:left w:w="0" w:type="dxa"/>
                <w:right w:w="0" w:type="dxa"/>
              </w:tblCellMar>
              <w:tblLook w:val="04A0" w:firstRow="1" w:lastRow="0" w:firstColumn="1" w:lastColumn="0" w:noHBand="0" w:noVBand="1"/>
            </w:tblPr>
            <w:tblGrid>
              <w:gridCol w:w="20"/>
              <w:gridCol w:w="4148"/>
            </w:tblGrid>
            <w:tr w:rsidR="001E1112" w:rsidRPr="00317ABF" w14:paraId="34622C21" w14:textId="77777777" w:rsidTr="009D0AC1">
              <w:trPr>
                <w:tblCellSpacing w:w="0" w:type="dxa"/>
              </w:trPr>
              <w:tc>
                <w:tcPr>
                  <w:tcW w:w="6" w:type="dxa"/>
                  <w:hideMark/>
                </w:tcPr>
                <w:p w14:paraId="797E50C6" w14:textId="77777777" w:rsidR="001E1112" w:rsidRPr="00317ABF" w:rsidRDefault="001E1112" w:rsidP="00EE0AC3">
                  <w:pPr>
                    <w:framePr w:hSpace="141" w:wrap="around" w:vAnchor="text" w:hAnchor="text" w:xAlign="right" w:y="1"/>
                    <w:spacing w:before="120"/>
                    <w:suppressOverlap/>
                    <w:jc w:val="both"/>
                    <w:rPr>
                      <w:sz w:val="22"/>
                      <w:szCs w:val="22"/>
                    </w:rPr>
                  </w:pPr>
                </w:p>
              </w:tc>
              <w:tc>
                <w:tcPr>
                  <w:tcW w:w="9066" w:type="dxa"/>
                  <w:hideMark/>
                </w:tcPr>
                <w:p w14:paraId="4552F50E" w14:textId="77777777" w:rsidR="001E1112" w:rsidRPr="00317ABF" w:rsidRDefault="001E1112" w:rsidP="00EE0AC3">
                  <w:pPr>
                    <w:framePr w:hSpace="141" w:wrap="around" w:vAnchor="text" w:hAnchor="text" w:xAlign="right" w:y="1"/>
                    <w:numPr>
                      <w:ilvl w:val="0"/>
                      <w:numId w:val="4"/>
                    </w:numPr>
                    <w:spacing w:before="120"/>
                    <w:suppressOverlap/>
                    <w:jc w:val="both"/>
                    <w:rPr>
                      <w:sz w:val="22"/>
                      <w:szCs w:val="22"/>
                    </w:rPr>
                  </w:pPr>
                  <w:r w:rsidRPr="00317ABF">
                    <w:rPr>
                      <w:sz w:val="22"/>
                      <w:szCs w:val="22"/>
                    </w:rPr>
                    <w:t xml:space="preserve">wspieranie interesów obywateli Unii poprzez zapewnianie łączności i powszechnej dostępności i korzystania z sieci o bardzo wysokiej przepustowości, w tym sieci </w:t>
                  </w:r>
                  <w:r w:rsidRPr="00317ABF">
                    <w:rPr>
                      <w:sz w:val="22"/>
                      <w:szCs w:val="22"/>
                    </w:rPr>
                    <w:lastRenderedPageBreak/>
                    <w:t>stacjonarnych, ruchomych i bezprzewodowych, oraz usług łączności elektronicznej; poprzez umożliwienie czerpania maksymalnych korzyści pod względem możliwości wyboru, ceny i jakości w oparciu o wydajną konkurencję; poprzez dbanie o bezpieczeństwo sieci i usług; poprzez zapewnianie wysokiego i powszechnego poziomu ochrony użytkowników końcowych dzięki niezbędnym przepisom sektorowym oraz poprzez zaspokajanie potrzeb – takich jak przystępne ceny – konkretnych grup społecznych, w szczególności użytkowników końcowych z niepełnosprawnościami, użytkowników końcowych będących osobami starszymi i użytkowników końcowych o szczególnych potrzebach społecznych, a także zapewnianie wyboru i równoważnego dostępu dla użytkowników końcowych z niepełnosprawnościami.</w:t>
                  </w:r>
                </w:p>
              </w:tc>
            </w:tr>
          </w:tbl>
          <w:p w14:paraId="7B04FA47" w14:textId="77777777" w:rsidR="001E1112" w:rsidRPr="00317ABF" w:rsidRDefault="001E1112" w:rsidP="00DB3BEC">
            <w:pPr>
              <w:autoSpaceDE w:val="0"/>
              <w:autoSpaceDN w:val="0"/>
              <w:adjustRightInd w:val="0"/>
              <w:jc w:val="both"/>
              <w:rPr>
                <w:rFonts w:eastAsia="EUAlbertina-Regular-Identity-H"/>
                <w:sz w:val="22"/>
                <w:szCs w:val="22"/>
              </w:rPr>
            </w:pPr>
          </w:p>
        </w:tc>
        <w:tc>
          <w:tcPr>
            <w:tcW w:w="986" w:type="dxa"/>
          </w:tcPr>
          <w:p w14:paraId="568C698B" w14:textId="3D6B8BA6" w:rsidR="001E1112" w:rsidRPr="00317ABF" w:rsidRDefault="001E1112" w:rsidP="00DB3BEC">
            <w:pPr>
              <w:jc w:val="both"/>
              <w:rPr>
                <w:sz w:val="22"/>
                <w:szCs w:val="22"/>
              </w:rPr>
            </w:pPr>
            <w:r w:rsidRPr="00317ABF">
              <w:rPr>
                <w:sz w:val="22"/>
                <w:szCs w:val="22"/>
              </w:rPr>
              <w:lastRenderedPageBreak/>
              <w:t>T</w:t>
            </w:r>
          </w:p>
        </w:tc>
        <w:tc>
          <w:tcPr>
            <w:tcW w:w="910" w:type="dxa"/>
          </w:tcPr>
          <w:p w14:paraId="1A939487" w14:textId="4AB19811" w:rsidR="001E1112" w:rsidRPr="00317ABF" w:rsidRDefault="00DB3BEC" w:rsidP="00DB3BEC">
            <w:pPr>
              <w:pStyle w:val="Tekstpodstawowy"/>
              <w:rPr>
                <w:b/>
                <w:bCs/>
                <w:noProof/>
                <w:sz w:val="22"/>
                <w:szCs w:val="22"/>
              </w:rPr>
            </w:pPr>
            <w:r w:rsidRPr="00317ABF">
              <w:rPr>
                <w:b/>
                <w:bCs/>
                <w:noProof/>
                <w:sz w:val="22"/>
                <w:szCs w:val="22"/>
              </w:rPr>
              <w:t>Art.</w:t>
            </w:r>
            <w:r w:rsidR="005C015A" w:rsidRPr="00317ABF">
              <w:rPr>
                <w:b/>
                <w:bCs/>
                <w:noProof/>
                <w:sz w:val="22"/>
                <w:szCs w:val="22"/>
              </w:rPr>
              <w:t xml:space="preserve"> 407</w:t>
            </w:r>
            <w:r w:rsidR="001E1112" w:rsidRPr="00317ABF">
              <w:rPr>
                <w:b/>
                <w:bCs/>
                <w:noProof/>
                <w:sz w:val="22"/>
                <w:szCs w:val="22"/>
              </w:rPr>
              <w:t xml:space="preserve"> ust. 2 pkt 1-5</w:t>
            </w:r>
          </w:p>
        </w:tc>
        <w:tc>
          <w:tcPr>
            <w:tcW w:w="6814" w:type="dxa"/>
            <w:gridSpan w:val="2"/>
          </w:tcPr>
          <w:p w14:paraId="08C142DC" w14:textId="1288A60E" w:rsidR="001E1112" w:rsidRPr="00317ABF" w:rsidRDefault="001E1112" w:rsidP="00DB3BEC">
            <w:pPr>
              <w:jc w:val="both"/>
              <w:rPr>
                <w:sz w:val="22"/>
                <w:szCs w:val="22"/>
              </w:rPr>
            </w:pPr>
            <w:r w:rsidRPr="00317ABF">
              <w:rPr>
                <w:rFonts w:eastAsia="Times"/>
                <w:sz w:val="22"/>
                <w:szCs w:val="22"/>
              </w:rPr>
              <w:t>2. Organy właściwe w sprawach telekomunikacji prowadzą politykę regulacyjną, mając na celu w szczególności:</w:t>
            </w:r>
          </w:p>
          <w:p w14:paraId="6A9900B3" w14:textId="77777777" w:rsidR="005C015A" w:rsidRPr="00317ABF" w:rsidRDefault="005C015A" w:rsidP="005C015A">
            <w:pPr>
              <w:pStyle w:val="PKTpunkt0"/>
              <w:keepNext/>
              <w:spacing w:line="240" w:lineRule="auto"/>
              <w:rPr>
                <w:rFonts w:ascii="Times New Roman" w:hAnsi="Times New Roman" w:cs="Times New Roman"/>
                <w:sz w:val="22"/>
                <w:szCs w:val="22"/>
              </w:rPr>
            </w:pPr>
            <w:r w:rsidRPr="00317ABF">
              <w:rPr>
                <w:rFonts w:ascii="Times New Roman" w:hAnsi="Times New Roman" w:cs="Times New Roman"/>
                <w:szCs w:val="24"/>
              </w:rPr>
              <w:t>1</w:t>
            </w:r>
            <w:r w:rsidRPr="00317ABF">
              <w:rPr>
                <w:rFonts w:ascii="Times New Roman" w:hAnsi="Times New Roman" w:cs="Times New Roman"/>
                <w:sz w:val="22"/>
                <w:szCs w:val="22"/>
              </w:rPr>
              <w:t>)</w:t>
            </w:r>
            <w:r w:rsidRPr="00317ABF">
              <w:rPr>
                <w:rFonts w:ascii="Times New Roman" w:hAnsi="Times New Roman" w:cs="Times New Roman"/>
                <w:sz w:val="22"/>
                <w:szCs w:val="22"/>
              </w:rPr>
              <w:tab/>
              <w:t>wspieranie konkurencji, w tym konkurencji opartej na infrastrukturze, w zakresie świadczenia usług komunikacji elektronicznej, dostarczania sieci telekomunikacyjnych oraz powiązanych zasobów, w tym:</w:t>
            </w:r>
          </w:p>
          <w:p w14:paraId="0ABCCBD1" w14:textId="77777777" w:rsidR="005C015A" w:rsidRPr="00317ABF" w:rsidRDefault="005C015A" w:rsidP="005C015A">
            <w:pPr>
              <w:pStyle w:val="LITlitera"/>
              <w:spacing w:line="240" w:lineRule="auto"/>
              <w:rPr>
                <w:rFonts w:ascii="Times New Roman" w:hAnsi="Times New Roman" w:cs="Times New Roman"/>
                <w:sz w:val="22"/>
                <w:szCs w:val="22"/>
              </w:rPr>
            </w:pPr>
            <w:r w:rsidRPr="00317ABF">
              <w:rPr>
                <w:rFonts w:ascii="Times New Roman" w:hAnsi="Times New Roman" w:cs="Times New Roman"/>
                <w:sz w:val="22"/>
                <w:szCs w:val="22"/>
              </w:rPr>
              <w:t>a)</w:t>
            </w:r>
            <w:r w:rsidRPr="00317ABF">
              <w:rPr>
                <w:rFonts w:ascii="Times New Roman" w:hAnsi="Times New Roman" w:cs="Times New Roman"/>
                <w:sz w:val="22"/>
                <w:szCs w:val="22"/>
              </w:rPr>
              <w:tab/>
              <w:t>zapewnienie użytkownikom, w tym użytkownikom końcowym z niepełnosprawnościami, osiągania maksymalnych korzyści w zakresie cen oraz różnorodności i jakości usług, niezależnie od lokalizacji użytkownika końcowego lub dostawcy usług,</w:t>
            </w:r>
          </w:p>
          <w:p w14:paraId="07E3BCEA" w14:textId="77777777" w:rsidR="005C015A" w:rsidRPr="00317ABF" w:rsidRDefault="005C015A" w:rsidP="005C015A">
            <w:pPr>
              <w:pStyle w:val="LITlitera"/>
              <w:spacing w:line="240" w:lineRule="auto"/>
              <w:rPr>
                <w:rFonts w:ascii="Times New Roman" w:hAnsi="Times New Roman" w:cs="Times New Roman"/>
                <w:sz w:val="22"/>
                <w:szCs w:val="22"/>
              </w:rPr>
            </w:pPr>
            <w:r w:rsidRPr="00317ABF">
              <w:rPr>
                <w:rFonts w:ascii="Times New Roman" w:hAnsi="Times New Roman" w:cs="Times New Roman"/>
                <w:sz w:val="22"/>
                <w:szCs w:val="22"/>
              </w:rPr>
              <w:t>b)</w:t>
            </w:r>
            <w:r w:rsidRPr="00317ABF">
              <w:rPr>
                <w:rFonts w:ascii="Times New Roman" w:hAnsi="Times New Roman" w:cs="Times New Roman"/>
                <w:sz w:val="22"/>
                <w:szCs w:val="22"/>
              </w:rPr>
              <w:tab/>
              <w:t>zapobieganie zniekształcaniu lub ograniczaniu konkurencji na rynku komunikacji elektronicznej, w tym poprzez nakładanie obowiązków regulacyjnych tylko w zakresie koniecznym do zagwarantowania skutecznej i równoważnej konkurencji w interesie użytkowników końcowych oraz zmianę lub uchylenie nałożonych obowiązków regulacyjnych w sytuacji gdy warunek ten jest spełniony,</w:t>
            </w:r>
          </w:p>
          <w:p w14:paraId="46D30206" w14:textId="77777777" w:rsidR="005C015A" w:rsidRPr="00317ABF" w:rsidRDefault="005C015A" w:rsidP="005C015A">
            <w:pPr>
              <w:pStyle w:val="LITlitera"/>
              <w:spacing w:line="240" w:lineRule="auto"/>
              <w:rPr>
                <w:rFonts w:ascii="Times New Roman" w:hAnsi="Times New Roman" w:cs="Times New Roman"/>
                <w:sz w:val="22"/>
                <w:szCs w:val="22"/>
              </w:rPr>
            </w:pPr>
            <w:r w:rsidRPr="00317ABF">
              <w:rPr>
                <w:rFonts w:ascii="Times New Roman" w:hAnsi="Times New Roman" w:cs="Times New Roman"/>
                <w:sz w:val="22"/>
                <w:szCs w:val="22"/>
              </w:rPr>
              <w:lastRenderedPageBreak/>
              <w:t>c)</w:t>
            </w:r>
            <w:r w:rsidRPr="00317ABF">
              <w:rPr>
                <w:rFonts w:ascii="Times New Roman" w:hAnsi="Times New Roman" w:cs="Times New Roman"/>
                <w:sz w:val="22"/>
                <w:szCs w:val="22"/>
              </w:rPr>
              <w:tab/>
              <w:t>efektywne inwestowanie w dziedzinie infrastruktury oraz promocję technologii innowacyjnych,</w:t>
            </w:r>
          </w:p>
          <w:p w14:paraId="28016FAE" w14:textId="77777777" w:rsidR="005C015A" w:rsidRPr="00317ABF" w:rsidRDefault="005C015A" w:rsidP="005C015A">
            <w:pPr>
              <w:pStyle w:val="LITlitera"/>
              <w:spacing w:line="240" w:lineRule="auto"/>
              <w:rPr>
                <w:rFonts w:ascii="Times New Roman" w:hAnsi="Times New Roman" w:cs="Times New Roman"/>
                <w:sz w:val="22"/>
                <w:szCs w:val="22"/>
              </w:rPr>
            </w:pPr>
            <w:r w:rsidRPr="00317ABF">
              <w:rPr>
                <w:rFonts w:ascii="Times New Roman" w:hAnsi="Times New Roman" w:cs="Times New Roman"/>
                <w:sz w:val="22"/>
                <w:szCs w:val="22"/>
              </w:rPr>
              <w:t>d)</w:t>
            </w:r>
            <w:r w:rsidRPr="00317ABF">
              <w:rPr>
                <w:rFonts w:ascii="Times New Roman" w:hAnsi="Times New Roman" w:cs="Times New Roman"/>
                <w:sz w:val="22"/>
                <w:szCs w:val="22"/>
              </w:rPr>
              <w:tab/>
              <w:t>zapewnienie przewidywalności regulacyjnej,</w:t>
            </w:r>
          </w:p>
          <w:p w14:paraId="5A263555" w14:textId="77777777" w:rsidR="005C015A" w:rsidRPr="00317ABF" w:rsidRDefault="005C015A" w:rsidP="005C015A">
            <w:pPr>
              <w:pStyle w:val="LITlitera"/>
              <w:spacing w:line="240" w:lineRule="auto"/>
              <w:rPr>
                <w:rFonts w:ascii="Times New Roman" w:hAnsi="Times New Roman" w:cs="Times New Roman"/>
                <w:sz w:val="22"/>
                <w:szCs w:val="22"/>
              </w:rPr>
            </w:pPr>
            <w:r w:rsidRPr="00317ABF">
              <w:rPr>
                <w:rFonts w:ascii="Times New Roman" w:hAnsi="Times New Roman" w:cs="Times New Roman"/>
                <w:sz w:val="22"/>
                <w:szCs w:val="22"/>
              </w:rPr>
              <w:t>e)</w:t>
            </w:r>
            <w:r w:rsidRPr="00317ABF">
              <w:rPr>
                <w:rFonts w:ascii="Times New Roman" w:hAnsi="Times New Roman" w:cs="Times New Roman"/>
                <w:sz w:val="22"/>
                <w:szCs w:val="22"/>
              </w:rPr>
              <w:tab/>
              <w:t>uwzględnienie ryzyka inwestycyjnego;</w:t>
            </w:r>
          </w:p>
          <w:p w14:paraId="06D8F6E4" w14:textId="77777777" w:rsidR="005C015A" w:rsidRPr="00317ABF" w:rsidRDefault="005C015A" w:rsidP="005C015A">
            <w:pPr>
              <w:pStyle w:val="PKTpunkt0"/>
              <w:keepNext/>
              <w:spacing w:line="240" w:lineRule="auto"/>
              <w:rPr>
                <w:rFonts w:ascii="Times New Roman" w:hAnsi="Times New Roman" w:cs="Times New Roman"/>
                <w:sz w:val="22"/>
                <w:szCs w:val="22"/>
              </w:rPr>
            </w:pPr>
            <w:r w:rsidRPr="00317ABF">
              <w:rPr>
                <w:rFonts w:ascii="Times New Roman" w:hAnsi="Times New Roman" w:cs="Times New Roman"/>
                <w:sz w:val="22"/>
                <w:szCs w:val="22"/>
              </w:rPr>
              <w:t>2)</w:t>
            </w:r>
            <w:r w:rsidRPr="00317ABF">
              <w:rPr>
                <w:rFonts w:ascii="Times New Roman" w:hAnsi="Times New Roman" w:cs="Times New Roman"/>
                <w:sz w:val="22"/>
                <w:szCs w:val="22"/>
              </w:rPr>
              <w:tab/>
              <w:t>wspieranie rozwoju rynku wewnętrznego, w tym:</w:t>
            </w:r>
          </w:p>
          <w:p w14:paraId="4C8449B7" w14:textId="77777777" w:rsidR="005C015A" w:rsidRPr="00317ABF" w:rsidRDefault="005C015A" w:rsidP="005C015A">
            <w:pPr>
              <w:pStyle w:val="LITlitera"/>
              <w:spacing w:line="240" w:lineRule="auto"/>
              <w:rPr>
                <w:rFonts w:ascii="Times New Roman" w:hAnsi="Times New Roman" w:cs="Times New Roman"/>
                <w:sz w:val="22"/>
                <w:szCs w:val="22"/>
              </w:rPr>
            </w:pPr>
            <w:r w:rsidRPr="00317ABF">
              <w:rPr>
                <w:rFonts w:ascii="Times New Roman" w:hAnsi="Times New Roman" w:cs="Times New Roman"/>
                <w:sz w:val="22"/>
                <w:szCs w:val="22"/>
              </w:rPr>
              <w:t>a)</w:t>
            </w:r>
            <w:r w:rsidRPr="00317ABF">
              <w:rPr>
                <w:rFonts w:ascii="Times New Roman" w:hAnsi="Times New Roman" w:cs="Times New Roman"/>
                <w:sz w:val="22"/>
                <w:szCs w:val="22"/>
              </w:rPr>
              <w:tab/>
              <w:t>usuwanie istniejących barier na rynku komunikacji elektronicznej,</w:t>
            </w:r>
          </w:p>
          <w:p w14:paraId="0A0CD6DD" w14:textId="77777777" w:rsidR="005C015A" w:rsidRPr="00317ABF" w:rsidRDefault="005C015A" w:rsidP="005C015A">
            <w:pPr>
              <w:pStyle w:val="LITlitera"/>
              <w:spacing w:line="240" w:lineRule="auto"/>
              <w:rPr>
                <w:rFonts w:ascii="Times New Roman" w:hAnsi="Times New Roman" w:cs="Times New Roman"/>
                <w:sz w:val="22"/>
                <w:szCs w:val="22"/>
              </w:rPr>
            </w:pPr>
            <w:r w:rsidRPr="00317ABF">
              <w:rPr>
                <w:rFonts w:ascii="Times New Roman" w:hAnsi="Times New Roman" w:cs="Times New Roman"/>
                <w:sz w:val="22"/>
                <w:szCs w:val="22"/>
              </w:rPr>
              <w:t>b)</w:t>
            </w:r>
            <w:r w:rsidRPr="00317ABF">
              <w:rPr>
                <w:rFonts w:ascii="Times New Roman" w:hAnsi="Times New Roman" w:cs="Times New Roman"/>
                <w:sz w:val="22"/>
                <w:szCs w:val="22"/>
              </w:rPr>
              <w:tab/>
              <w:t>wspieranie tworzenia i rozwoju transeuropejskich sieci oraz interoperacyjności usług ogólnoeuropejskich,</w:t>
            </w:r>
          </w:p>
          <w:p w14:paraId="299B868C" w14:textId="77777777" w:rsidR="005C015A" w:rsidRPr="00317ABF" w:rsidRDefault="005C015A" w:rsidP="005C015A">
            <w:pPr>
              <w:pStyle w:val="LITlitera"/>
              <w:spacing w:line="240" w:lineRule="auto"/>
              <w:rPr>
                <w:rFonts w:ascii="Times New Roman" w:hAnsi="Times New Roman" w:cs="Times New Roman"/>
                <w:sz w:val="22"/>
                <w:szCs w:val="22"/>
              </w:rPr>
            </w:pPr>
            <w:r w:rsidRPr="00317ABF">
              <w:rPr>
                <w:rFonts w:ascii="Times New Roman" w:hAnsi="Times New Roman" w:cs="Times New Roman"/>
                <w:sz w:val="22"/>
                <w:szCs w:val="22"/>
              </w:rPr>
              <w:t>c)</w:t>
            </w:r>
            <w:r w:rsidRPr="00317ABF">
              <w:rPr>
                <w:rFonts w:ascii="Times New Roman" w:hAnsi="Times New Roman" w:cs="Times New Roman"/>
                <w:sz w:val="22"/>
                <w:szCs w:val="22"/>
              </w:rPr>
              <w:tab/>
              <w:t>zapewnienie równego traktowania (niedyskryminacji w traktowaniu) przedsiębiorców komunikacji elektronicznej,</w:t>
            </w:r>
          </w:p>
          <w:p w14:paraId="4E856D6B" w14:textId="77777777" w:rsidR="005C015A" w:rsidRPr="00317ABF" w:rsidRDefault="005C015A" w:rsidP="005C015A">
            <w:pPr>
              <w:pStyle w:val="LITlitera"/>
              <w:spacing w:line="240" w:lineRule="auto"/>
              <w:rPr>
                <w:rFonts w:ascii="Times New Roman" w:hAnsi="Times New Roman" w:cs="Times New Roman"/>
                <w:sz w:val="22"/>
                <w:szCs w:val="22"/>
              </w:rPr>
            </w:pPr>
            <w:r w:rsidRPr="00317ABF">
              <w:rPr>
                <w:rFonts w:ascii="Times New Roman" w:hAnsi="Times New Roman" w:cs="Times New Roman"/>
                <w:sz w:val="22"/>
                <w:szCs w:val="22"/>
              </w:rPr>
              <w:t>d)</w:t>
            </w:r>
            <w:r w:rsidRPr="00317ABF">
              <w:rPr>
                <w:rFonts w:ascii="Times New Roman" w:hAnsi="Times New Roman" w:cs="Times New Roman"/>
                <w:sz w:val="22"/>
                <w:szCs w:val="22"/>
              </w:rPr>
              <w:tab/>
              <w:t>współpracę z innymi organami regulacyjnymi państw członkowskich, BEREC i Komisją Europejską, w celu spójnego wdrażania i stosowania przepisów,</w:t>
            </w:r>
          </w:p>
          <w:p w14:paraId="6FC3836D" w14:textId="77777777" w:rsidR="005C015A" w:rsidRPr="00317ABF" w:rsidRDefault="005C015A" w:rsidP="005C015A">
            <w:pPr>
              <w:pStyle w:val="LITlitera"/>
              <w:spacing w:line="240" w:lineRule="auto"/>
              <w:rPr>
                <w:rFonts w:ascii="Times New Roman" w:hAnsi="Times New Roman" w:cs="Times New Roman"/>
                <w:sz w:val="22"/>
                <w:szCs w:val="22"/>
              </w:rPr>
            </w:pPr>
            <w:r w:rsidRPr="00317ABF">
              <w:rPr>
                <w:rFonts w:ascii="Times New Roman" w:hAnsi="Times New Roman" w:cs="Times New Roman"/>
                <w:sz w:val="22"/>
                <w:szCs w:val="22"/>
              </w:rPr>
              <w:t>e)</w:t>
            </w:r>
            <w:r w:rsidRPr="00317ABF">
              <w:rPr>
                <w:rFonts w:ascii="Times New Roman" w:hAnsi="Times New Roman" w:cs="Times New Roman"/>
                <w:sz w:val="22"/>
                <w:szCs w:val="22"/>
              </w:rPr>
              <w:tab/>
              <w:t>współpracę z innymi organami regulacyjnymi państw członkowskich i Komisją Europejską, w tym w ramach RSPG, a na ich wniosek także z Parlamentem Europejskim i Radą w zakresie:</w:t>
            </w:r>
          </w:p>
          <w:p w14:paraId="3A95D978" w14:textId="77777777" w:rsidR="005C015A" w:rsidRPr="00317ABF" w:rsidRDefault="005C015A" w:rsidP="005C015A">
            <w:pPr>
              <w:pStyle w:val="TIRtiret"/>
              <w:spacing w:line="240" w:lineRule="auto"/>
              <w:rPr>
                <w:rFonts w:ascii="Times New Roman" w:hAnsi="Times New Roman" w:cs="Times New Roman"/>
                <w:sz w:val="22"/>
                <w:szCs w:val="22"/>
              </w:rPr>
            </w:pPr>
            <w:r w:rsidRPr="00317ABF">
              <w:rPr>
                <w:rFonts w:ascii="Times New Roman" w:hAnsi="Times New Roman" w:cs="Times New Roman"/>
                <w:sz w:val="22"/>
                <w:szCs w:val="22"/>
              </w:rPr>
              <w:t>–</w:t>
            </w:r>
            <w:r w:rsidRPr="00317ABF">
              <w:rPr>
                <w:rFonts w:ascii="Times New Roman" w:hAnsi="Times New Roman" w:cs="Times New Roman"/>
                <w:sz w:val="22"/>
                <w:szCs w:val="22"/>
              </w:rPr>
              <w:tab/>
              <w:t>planowania strategicznego, koordynacji i harmonizacji wykorzystania częstotliwości w Unii Europejskiej, mając na celu optymalizację wykorzystania częstotliwości oraz unikanie szkodliwych zakłóceń oraz</w:t>
            </w:r>
          </w:p>
          <w:p w14:paraId="21C4A796" w14:textId="77777777" w:rsidR="005C015A" w:rsidRPr="00317ABF" w:rsidRDefault="005C015A" w:rsidP="005C015A">
            <w:pPr>
              <w:pStyle w:val="TIRtiret"/>
              <w:spacing w:line="240" w:lineRule="auto"/>
              <w:rPr>
                <w:rFonts w:ascii="Times New Roman" w:hAnsi="Times New Roman" w:cs="Times New Roman"/>
                <w:sz w:val="22"/>
                <w:szCs w:val="22"/>
              </w:rPr>
            </w:pPr>
            <w:r w:rsidRPr="00317ABF">
              <w:rPr>
                <w:rFonts w:ascii="Times New Roman" w:hAnsi="Times New Roman" w:cs="Times New Roman"/>
                <w:sz w:val="22"/>
                <w:szCs w:val="22"/>
              </w:rPr>
              <w:t>–</w:t>
            </w:r>
            <w:r w:rsidRPr="00317ABF">
              <w:rPr>
                <w:rFonts w:ascii="Times New Roman" w:hAnsi="Times New Roman" w:cs="Times New Roman"/>
                <w:sz w:val="22"/>
                <w:szCs w:val="22"/>
              </w:rPr>
              <w:tab/>
              <w:t>promowania koordynacji polityki w zakresie częstotliwości w Unii Europejskiej, a także zharmonizowanych warunków w odniesieniu do dostępności i efektywnego wykorzystania częstotliwości, koniecznego do ustanowienia i funkcjonowania rynku wewnętrznego usług komunikacji elektronicznej;</w:t>
            </w:r>
          </w:p>
          <w:p w14:paraId="105DFAEA" w14:textId="77777777" w:rsidR="005C015A" w:rsidRPr="00317ABF" w:rsidRDefault="005C015A" w:rsidP="005C015A">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3)</w:t>
            </w:r>
            <w:r w:rsidRPr="00317ABF">
              <w:rPr>
                <w:rFonts w:ascii="Times New Roman" w:hAnsi="Times New Roman" w:cs="Times New Roman"/>
                <w:sz w:val="22"/>
                <w:szCs w:val="22"/>
              </w:rPr>
              <w:tab/>
              <w:t>wspieranie efektywnego wykorzystania oraz zarządzania częstotliwościami, w tym:</w:t>
            </w:r>
          </w:p>
          <w:p w14:paraId="006F992F" w14:textId="77777777" w:rsidR="005C015A" w:rsidRPr="00317ABF" w:rsidRDefault="005C015A" w:rsidP="005C015A">
            <w:pPr>
              <w:pStyle w:val="LITlitera"/>
              <w:spacing w:line="240" w:lineRule="auto"/>
              <w:rPr>
                <w:rFonts w:ascii="Times New Roman" w:hAnsi="Times New Roman" w:cs="Times New Roman"/>
                <w:sz w:val="22"/>
                <w:szCs w:val="22"/>
              </w:rPr>
            </w:pPr>
            <w:r w:rsidRPr="00317ABF">
              <w:rPr>
                <w:rFonts w:ascii="Times New Roman" w:hAnsi="Times New Roman" w:cs="Times New Roman"/>
                <w:sz w:val="22"/>
                <w:szCs w:val="22"/>
              </w:rPr>
              <w:t>a)</w:t>
            </w:r>
            <w:r w:rsidRPr="00317ABF">
              <w:rPr>
                <w:rFonts w:ascii="Times New Roman" w:hAnsi="Times New Roman" w:cs="Times New Roman"/>
                <w:sz w:val="22"/>
                <w:szCs w:val="22"/>
              </w:rPr>
              <w:tab/>
              <w:t>dążenie do zapewnienia pokrycia terytorium Rzeczypospolitej Polskiej zasięgiem bezprzewodowej komunikacji szerokopasmowej o wysokiej jakości, w tym wysokiej prędkości transmisji danych, a także objęcia nią głównych szlaków transportowych,</w:t>
            </w:r>
          </w:p>
          <w:p w14:paraId="54546010" w14:textId="77777777" w:rsidR="005C015A" w:rsidRPr="00317ABF" w:rsidRDefault="005C015A" w:rsidP="005C015A">
            <w:pPr>
              <w:pStyle w:val="LITlitera"/>
              <w:spacing w:line="240" w:lineRule="auto"/>
              <w:rPr>
                <w:rFonts w:ascii="Times New Roman" w:hAnsi="Times New Roman" w:cs="Times New Roman"/>
                <w:sz w:val="22"/>
                <w:szCs w:val="22"/>
              </w:rPr>
            </w:pPr>
            <w:r w:rsidRPr="00317ABF">
              <w:rPr>
                <w:rFonts w:ascii="Times New Roman" w:hAnsi="Times New Roman" w:cs="Times New Roman"/>
                <w:sz w:val="22"/>
                <w:szCs w:val="22"/>
              </w:rPr>
              <w:t>b)</w:t>
            </w:r>
            <w:r w:rsidRPr="00317ABF">
              <w:rPr>
                <w:rFonts w:ascii="Times New Roman" w:hAnsi="Times New Roman" w:cs="Times New Roman"/>
                <w:sz w:val="22"/>
                <w:szCs w:val="22"/>
              </w:rPr>
              <w:tab/>
              <w:t>ułatwianie szybkiego rozwoju nowych technologii komunikacji bezprzewodowej i jej zastosowań,</w:t>
            </w:r>
          </w:p>
          <w:p w14:paraId="43F6244C" w14:textId="77777777" w:rsidR="005C015A" w:rsidRPr="00317ABF" w:rsidRDefault="005C015A" w:rsidP="005C015A">
            <w:pPr>
              <w:pStyle w:val="LITlitera"/>
              <w:spacing w:line="240" w:lineRule="auto"/>
              <w:rPr>
                <w:rFonts w:ascii="Times New Roman" w:hAnsi="Times New Roman" w:cs="Times New Roman"/>
                <w:sz w:val="22"/>
                <w:szCs w:val="22"/>
              </w:rPr>
            </w:pPr>
            <w:r w:rsidRPr="00317ABF">
              <w:rPr>
                <w:rFonts w:ascii="Times New Roman" w:hAnsi="Times New Roman" w:cs="Times New Roman"/>
                <w:sz w:val="22"/>
                <w:szCs w:val="22"/>
              </w:rPr>
              <w:t>c)</w:t>
            </w:r>
            <w:r w:rsidRPr="00317ABF">
              <w:rPr>
                <w:rFonts w:ascii="Times New Roman" w:hAnsi="Times New Roman" w:cs="Times New Roman"/>
                <w:sz w:val="22"/>
                <w:szCs w:val="22"/>
              </w:rPr>
              <w:tab/>
              <w:t xml:space="preserve">promowanie długoterminowych inwestycji przez zapewnienie przewidywalności i spójności podczas dokonywania, zmiany lub </w:t>
            </w:r>
            <w:r w:rsidRPr="00317ABF">
              <w:rPr>
                <w:rFonts w:ascii="Times New Roman" w:hAnsi="Times New Roman" w:cs="Times New Roman"/>
                <w:sz w:val="22"/>
                <w:szCs w:val="22"/>
              </w:rPr>
              <w:lastRenderedPageBreak/>
              <w:t>cofnięcia rezerwacji częstotliwości, dokonywania rezerwacji częstotliwości na kolejny okres lub ograniczenia sposobu wykorzystywania częstotliwości objętych rezerwacją,</w:t>
            </w:r>
          </w:p>
          <w:p w14:paraId="54DB5EC9" w14:textId="77777777" w:rsidR="005C015A" w:rsidRPr="00317ABF" w:rsidRDefault="005C015A" w:rsidP="005C015A">
            <w:pPr>
              <w:pStyle w:val="LITlitera"/>
              <w:spacing w:line="240" w:lineRule="auto"/>
              <w:rPr>
                <w:rFonts w:ascii="Times New Roman" w:hAnsi="Times New Roman" w:cs="Times New Roman"/>
                <w:sz w:val="22"/>
                <w:szCs w:val="22"/>
              </w:rPr>
            </w:pPr>
            <w:r w:rsidRPr="00317ABF">
              <w:rPr>
                <w:rFonts w:ascii="Times New Roman" w:hAnsi="Times New Roman" w:cs="Times New Roman"/>
                <w:sz w:val="22"/>
                <w:szCs w:val="22"/>
              </w:rPr>
              <w:t>d)</w:t>
            </w:r>
            <w:r w:rsidRPr="00317ABF">
              <w:rPr>
                <w:rFonts w:ascii="Times New Roman" w:hAnsi="Times New Roman" w:cs="Times New Roman"/>
                <w:sz w:val="22"/>
                <w:szCs w:val="22"/>
              </w:rPr>
              <w:tab/>
              <w:t>promowanie współużytkowania częstotliwości do podobnych lub różnych zastosowań częstotliwości zgodnie z przepisami prawa konkurencji,</w:t>
            </w:r>
          </w:p>
          <w:p w14:paraId="7ED0236D" w14:textId="77777777" w:rsidR="005C015A" w:rsidRPr="00317ABF" w:rsidRDefault="005C015A" w:rsidP="005C015A">
            <w:pPr>
              <w:pStyle w:val="LITlitera"/>
              <w:spacing w:line="240" w:lineRule="auto"/>
              <w:rPr>
                <w:rFonts w:ascii="Times New Roman" w:hAnsi="Times New Roman" w:cs="Times New Roman"/>
                <w:sz w:val="22"/>
                <w:szCs w:val="22"/>
              </w:rPr>
            </w:pPr>
            <w:r w:rsidRPr="00317ABF">
              <w:rPr>
                <w:rFonts w:ascii="Times New Roman" w:hAnsi="Times New Roman" w:cs="Times New Roman"/>
                <w:sz w:val="22"/>
                <w:szCs w:val="22"/>
              </w:rPr>
              <w:t>e)</w:t>
            </w:r>
            <w:r w:rsidRPr="00317ABF">
              <w:rPr>
                <w:rFonts w:ascii="Times New Roman" w:hAnsi="Times New Roman" w:cs="Times New Roman"/>
                <w:sz w:val="22"/>
                <w:szCs w:val="22"/>
              </w:rPr>
              <w:tab/>
              <w:t>dążenie do spójności i przewidywalności w Unii Europejskiej, w zakresie dokonywania rezerwacji częstotliwości w kontekście ochrony zdrowia publicznego przy uwzględnieniu zalecenia Rady 1999/519/WE z dnia 12 lipca 1999 r. w sprawie ograniczenia narażenia ludności na pola elektromagnetyczne (od 0 Hz do 300 GHz),</w:t>
            </w:r>
          </w:p>
          <w:p w14:paraId="11EC07B5" w14:textId="77777777" w:rsidR="005C015A" w:rsidRPr="00317ABF" w:rsidRDefault="005C015A" w:rsidP="005C015A">
            <w:pPr>
              <w:pStyle w:val="LITlitera"/>
              <w:spacing w:line="240" w:lineRule="auto"/>
              <w:rPr>
                <w:rFonts w:ascii="Times New Roman" w:hAnsi="Times New Roman" w:cs="Times New Roman"/>
                <w:sz w:val="22"/>
                <w:szCs w:val="22"/>
              </w:rPr>
            </w:pPr>
            <w:r w:rsidRPr="00317ABF">
              <w:rPr>
                <w:rFonts w:ascii="Times New Roman" w:hAnsi="Times New Roman" w:cs="Times New Roman"/>
                <w:sz w:val="22"/>
                <w:szCs w:val="22"/>
              </w:rPr>
              <w:t>f)</w:t>
            </w:r>
            <w:r w:rsidRPr="00317ABF">
              <w:rPr>
                <w:rFonts w:ascii="Times New Roman" w:hAnsi="Times New Roman" w:cs="Times New Roman"/>
                <w:sz w:val="22"/>
                <w:szCs w:val="22"/>
              </w:rPr>
              <w:tab/>
              <w:t>kierowanie się zasadą neutralności technologicznej przy gospodarowaniu częstotliwościami;</w:t>
            </w:r>
          </w:p>
          <w:p w14:paraId="26F06F04" w14:textId="77777777" w:rsidR="005C015A" w:rsidRPr="00317ABF" w:rsidRDefault="005C015A" w:rsidP="005C015A">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4)</w:t>
            </w:r>
            <w:r w:rsidRPr="00317ABF">
              <w:rPr>
                <w:rFonts w:ascii="Times New Roman" w:hAnsi="Times New Roman" w:cs="Times New Roman"/>
                <w:sz w:val="22"/>
                <w:szCs w:val="22"/>
              </w:rPr>
              <w:tab/>
              <w:t>zachęcanie do inwestowania w sieci o bardzo dużej przepustowości oraz korzystania z tych sieci;</w:t>
            </w:r>
          </w:p>
          <w:p w14:paraId="70DFB222" w14:textId="77777777" w:rsidR="005C015A" w:rsidRPr="00317ABF" w:rsidRDefault="005C015A" w:rsidP="005C015A">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5)</w:t>
            </w:r>
            <w:r w:rsidRPr="00317ABF">
              <w:rPr>
                <w:rFonts w:ascii="Times New Roman" w:hAnsi="Times New Roman" w:cs="Times New Roman"/>
                <w:sz w:val="22"/>
                <w:szCs w:val="22"/>
              </w:rPr>
              <w:tab/>
              <w:t>promocję interesów obywateli Unii Europejskiej, w tym:</w:t>
            </w:r>
          </w:p>
          <w:p w14:paraId="50C1BFB5" w14:textId="77777777" w:rsidR="005C015A" w:rsidRPr="00317ABF" w:rsidRDefault="005C015A" w:rsidP="005C015A">
            <w:pPr>
              <w:pStyle w:val="LITlitera"/>
              <w:spacing w:line="240" w:lineRule="auto"/>
              <w:rPr>
                <w:rFonts w:ascii="Times New Roman" w:hAnsi="Times New Roman" w:cs="Times New Roman"/>
                <w:sz w:val="22"/>
                <w:szCs w:val="22"/>
              </w:rPr>
            </w:pPr>
            <w:r w:rsidRPr="00317ABF">
              <w:rPr>
                <w:rFonts w:ascii="Times New Roman" w:hAnsi="Times New Roman" w:cs="Times New Roman"/>
                <w:sz w:val="22"/>
                <w:szCs w:val="22"/>
              </w:rPr>
              <w:t>a)</w:t>
            </w:r>
            <w:r w:rsidRPr="00317ABF">
              <w:rPr>
                <w:rFonts w:ascii="Times New Roman" w:hAnsi="Times New Roman" w:cs="Times New Roman"/>
                <w:sz w:val="22"/>
                <w:szCs w:val="22"/>
              </w:rPr>
              <w:tab/>
              <w:t>zapewnienie wszystkim obywatelom dostępu do usługi powszechnej,</w:t>
            </w:r>
          </w:p>
          <w:p w14:paraId="33E45840" w14:textId="77777777" w:rsidR="005C015A" w:rsidRPr="00317ABF" w:rsidRDefault="005C015A" w:rsidP="005C015A">
            <w:pPr>
              <w:pStyle w:val="LITlitera"/>
              <w:spacing w:line="240" w:lineRule="auto"/>
              <w:rPr>
                <w:rFonts w:ascii="Times New Roman" w:hAnsi="Times New Roman" w:cs="Times New Roman"/>
                <w:sz w:val="22"/>
                <w:szCs w:val="22"/>
              </w:rPr>
            </w:pPr>
            <w:r w:rsidRPr="00317ABF">
              <w:rPr>
                <w:rFonts w:ascii="Times New Roman" w:hAnsi="Times New Roman" w:cs="Times New Roman"/>
                <w:sz w:val="22"/>
                <w:szCs w:val="22"/>
              </w:rPr>
              <w:t>b)</w:t>
            </w:r>
            <w:r w:rsidRPr="00317ABF">
              <w:rPr>
                <w:rFonts w:ascii="Times New Roman" w:hAnsi="Times New Roman" w:cs="Times New Roman"/>
                <w:sz w:val="22"/>
                <w:szCs w:val="22"/>
              </w:rPr>
              <w:tab/>
              <w:t>zapewnienie ochrony konsumenta w jego relacjach z przedsiębiorcą komunikacji elektronicznej, w szczególności ustanawiając proste i niedrogie procedury rozwiązywania sporów przed organem niezależnym od stron występujących w danym sporze,</w:t>
            </w:r>
          </w:p>
          <w:p w14:paraId="5A1A4C64" w14:textId="77777777" w:rsidR="005C015A" w:rsidRPr="00317ABF" w:rsidRDefault="005C015A" w:rsidP="005C015A">
            <w:pPr>
              <w:pStyle w:val="LITlitera"/>
              <w:spacing w:line="240" w:lineRule="auto"/>
              <w:rPr>
                <w:rFonts w:ascii="Times New Roman" w:hAnsi="Times New Roman" w:cs="Times New Roman"/>
                <w:sz w:val="22"/>
                <w:szCs w:val="22"/>
              </w:rPr>
            </w:pPr>
            <w:r w:rsidRPr="00317ABF">
              <w:rPr>
                <w:rFonts w:ascii="Times New Roman" w:hAnsi="Times New Roman" w:cs="Times New Roman"/>
                <w:sz w:val="22"/>
                <w:szCs w:val="22"/>
              </w:rPr>
              <w:t>c)</w:t>
            </w:r>
            <w:r w:rsidRPr="00317ABF">
              <w:rPr>
                <w:rFonts w:ascii="Times New Roman" w:hAnsi="Times New Roman" w:cs="Times New Roman"/>
                <w:sz w:val="22"/>
                <w:szCs w:val="22"/>
              </w:rPr>
              <w:tab/>
              <w:t>przyczynianie się do zapewnienia wysokiego poziomu ochrony danych osobowych,</w:t>
            </w:r>
          </w:p>
          <w:p w14:paraId="3DF17A8F" w14:textId="77777777" w:rsidR="005C015A" w:rsidRPr="00317ABF" w:rsidRDefault="005C015A" w:rsidP="005C015A">
            <w:pPr>
              <w:pStyle w:val="LITlitera"/>
              <w:spacing w:line="240" w:lineRule="auto"/>
              <w:rPr>
                <w:rFonts w:ascii="Times New Roman" w:hAnsi="Times New Roman" w:cs="Times New Roman"/>
                <w:sz w:val="22"/>
                <w:szCs w:val="22"/>
              </w:rPr>
            </w:pPr>
            <w:r w:rsidRPr="00317ABF">
              <w:rPr>
                <w:rFonts w:ascii="Times New Roman" w:hAnsi="Times New Roman" w:cs="Times New Roman"/>
                <w:sz w:val="22"/>
                <w:szCs w:val="22"/>
              </w:rPr>
              <w:t>d)</w:t>
            </w:r>
            <w:r w:rsidRPr="00317ABF">
              <w:rPr>
                <w:rFonts w:ascii="Times New Roman" w:hAnsi="Times New Roman" w:cs="Times New Roman"/>
                <w:sz w:val="22"/>
                <w:szCs w:val="22"/>
              </w:rPr>
              <w:tab/>
              <w:t>udostępnianie informacji dotyczących ustanawiania cen i warunków świadczenia publicznie dostępnych usług komunikacji elektronicznej,</w:t>
            </w:r>
          </w:p>
          <w:p w14:paraId="73F79ECE" w14:textId="77777777" w:rsidR="005C015A" w:rsidRPr="00317ABF" w:rsidRDefault="005C015A" w:rsidP="005C015A">
            <w:pPr>
              <w:pStyle w:val="LITlitera"/>
              <w:spacing w:line="240" w:lineRule="auto"/>
              <w:rPr>
                <w:rFonts w:ascii="Times New Roman" w:hAnsi="Times New Roman" w:cs="Times New Roman"/>
                <w:sz w:val="22"/>
                <w:szCs w:val="22"/>
              </w:rPr>
            </w:pPr>
            <w:r w:rsidRPr="00317ABF">
              <w:rPr>
                <w:rFonts w:ascii="Times New Roman" w:hAnsi="Times New Roman" w:cs="Times New Roman"/>
                <w:sz w:val="22"/>
                <w:szCs w:val="22"/>
              </w:rPr>
              <w:t>e)</w:t>
            </w:r>
            <w:r w:rsidRPr="00317ABF">
              <w:rPr>
                <w:rFonts w:ascii="Times New Roman" w:hAnsi="Times New Roman" w:cs="Times New Roman"/>
                <w:sz w:val="22"/>
                <w:szCs w:val="22"/>
              </w:rPr>
              <w:tab/>
              <w:t>identyfikację potrzeb określonych grup społecznych, w szczególności użytkowników końcowych z niepełnosprawnościami oraz ze szczególnymi potrzebami społecznymi,</w:t>
            </w:r>
          </w:p>
          <w:p w14:paraId="7D944363" w14:textId="77777777" w:rsidR="005C015A" w:rsidRPr="00317ABF" w:rsidRDefault="005C015A" w:rsidP="005C015A">
            <w:pPr>
              <w:pStyle w:val="LITlitera"/>
              <w:spacing w:line="240" w:lineRule="auto"/>
              <w:rPr>
                <w:rFonts w:ascii="Times New Roman" w:hAnsi="Times New Roman" w:cs="Times New Roman"/>
                <w:sz w:val="22"/>
                <w:szCs w:val="22"/>
              </w:rPr>
            </w:pPr>
            <w:r w:rsidRPr="00317ABF">
              <w:rPr>
                <w:rFonts w:ascii="Times New Roman" w:hAnsi="Times New Roman" w:cs="Times New Roman"/>
                <w:sz w:val="22"/>
                <w:szCs w:val="22"/>
              </w:rPr>
              <w:t>f)</w:t>
            </w:r>
            <w:r w:rsidRPr="00317ABF">
              <w:rPr>
                <w:rFonts w:ascii="Times New Roman" w:hAnsi="Times New Roman" w:cs="Times New Roman"/>
                <w:sz w:val="22"/>
                <w:szCs w:val="22"/>
              </w:rPr>
              <w:tab/>
              <w:t>zapewnienie bezpieczeństwa publicznej sieci telekomunikacyjnej,</w:t>
            </w:r>
          </w:p>
          <w:p w14:paraId="3BEA253A" w14:textId="77777777" w:rsidR="005C015A" w:rsidRPr="00317ABF" w:rsidRDefault="005C015A" w:rsidP="005C015A">
            <w:pPr>
              <w:pStyle w:val="LITlitera"/>
              <w:spacing w:line="240" w:lineRule="auto"/>
              <w:rPr>
                <w:rFonts w:ascii="Times New Roman" w:hAnsi="Times New Roman" w:cs="Times New Roman"/>
                <w:sz w:val="22"/>
                <w:szCs w:val="22"/>
              </w:rPr>
            </w:pPr>
            <w:r w:rsidRPr="00317ABF">
              <w:rPr>
                <w:rFonts w:ascii="Times New Roman" w:hAnsi="Times New Roman" w:cs="Times New Roman"/>
                <w:sz w:val="22"/>
                <w:szCs w:val="22"/>
              </w:rPr>
              <w:t>g)</w:t>
            </w:r>
            <w:r w:rsidRPr="00317ABF">
              <w:rPr>
                <w:rFonts w:ascii="Times New Roman" w:hAnsi="Times New Roman" w:cs="Times New Roman"/>
                <w:sz w:val="22"/>
                <w:szCs w:val="22"/>
              </w:rPr>
              <w:tab/>
              <w:t xml:space="preserve">wspieranie procesu harmonizacji określonych numerów lub zakresów numeracji w obrębie Unii Europejskiej oraz zapewnienie informacji o istnieniu europejskiego numeru alarmowego 112 i innych europejskich numerów </w:t>
            </w:r>
            <w:r w:rsidRPr="00317ABF">
              <w:rPr>
                <w:rFonts w:ascii="Times New Roman" w:hAnsi="Times New Roman" w:cs="Times New Roman"/>
                <w:sz w:val="22"/>
                <w:szCs w:val="22"/>
              </w:rPr>
              <w:lastRenderedPageBreak/>
              <w:t>zharmonizowanych, skierowanej do obywateli, w szczególności podróżujących między państwami członkowskimi,</w:t>
            </w:r>
          </w:p>
          <w:p w14:paraId="6AA258D8" w14:textId="20A2EA14" w:rsidR="001E1112" w:rsidRPr="00317ABF" w:rsidRDefault="001E1112" w:rsidP="005C015A">
            <w:pPr>
              <w:ind w:left="955" w:hanging="371"/>
              <w:jc w:val="both"/>
              <w:rPr>
                <w:sz w:val="22"/>
                <w:szCs w:val="22"/>
              </w:rPr>
            </w:pPr>
            <w:r w:rsidRPr="00317ABF">
              <w:rPr>
                <w:rFonts w:eastAsia="Times"/>
                <w:sz w:val="22"/>
                <w:szCs w:val="22"/>
              </w:rPr>
              <w:t>h)</w:t>
            </w:r>
            <w:r w:rsidR="005C015A" w:rsidRPr="00317ABF">
              <w:rPr>
                <w:sz w:val="22"/>
                <w:szCs w:val="22"/>
              </w:rPr>
              <w:tab/>
            </w:r>
            <w:r w:rsidRPr="00317ABF">
              <w:rPr>
                <w:rFonts w:eastAsia="Times"/>
                <w:sz w:val="22"/>
                <w:szCs w:val="22"/>
              </w:rPr>
              <w:t>wspieranie pełnego korzystania przez użytkowników końcowych z informacji oraz możliwości ich rozpowszechniania oraz korzystania z dowolnych aplikacji i usług;</w:t>
            </w:r>
          </w:p>
        </w:tc>
      </w:tr>
      <w:tr w:rsidR="001E1112" w:rsidRPr="00317ABF" w14:paraId="2D1926FD" w14:textId="77777777" w:rsidTr="7753F98D">
        <w:trPr>
          <w:gridAfter w:val="2"/>
          <w:wAfter w:w="175" w:type="dxa"/>
        </w:trPr>
        <w:tc>
          <w:tcPr>
            <w:tcW w:w="704" w:type="dxa"/>
          </w:tcPr>
          <w:p w14:paraId="570B4879" w14:textId="77777777" w:rsidR="001E1112" w:rsidRPr="00317ABF" w:rsidRDefault="001E1112" w:rsidP="00DB3BEC">
            <w:pPr>
              <w:jc w:val="both"/>
              <w:rPr>
                <w:sz w:val="22"/>
                <w:szCs w:val="22"/>
              </w:rPr>
            </w:pPr>
            <w:r w:rsidRPr="00317ABF">
              <w:rPr>
                <w:sz w:val="22"/>
                <w:szCs w:val="22"/>
              </w:rPr>
              <w:lastRenderedPageBreak/>
              <w:t>Art. 3 ust. 3</w:t>
            </w:r>
          </w:p>
        </w:tc>
        <w:tc>
          <w:tcPr>
            <w:tcW w:w="4308" w:type="dxa"/>
          </w:tcPr>
          <w:p w14:paraId="329A68DF" w14:textId="77777777" w:rsidR="001E1112" w:rsidRPr="00317ABF" w:rsidRDefault="001E1112" w:rsidP="00DB3BEC">
            <w:pPr>
              <w:spacing w:before="120"/>
              <w:jc w:val="both"/>
              <w:rPr>
                <w:sz w:val="22"/>
                <w:szCs w:val="22"/>
              </w:rPr>
            </w:pPr>
            <w:r w:rsidRPr="00317ABF">
              <w:rPr>
                <w:sz w:val="22"/>
                <w:szCs w:val="22"/>
              </w:rPr>
              <w:t>3.   W przypadku gdy Komisja ustanawia wartości odniesienia i sporządza sprawozdania dotyczące skuteczności środków danego państwa członkowskiego odnoszących się do realizacji celów, o których mowa w ust. 2, Komisję, w razie potrzeby, wspomagają państwa członkowskie, krajowe organy regulacyjne, BEREC i RSPG.</w:t>
            </w:r>
          </w:p>
        </w:tc>
        <w:tc>
          <w:tcPr>
            <w:tcW w:w="986" w:type="dxa"/>
          </w:tcPr>
          <w:p w14:paraId="6FFBD3EC" w14:textId="55A34149" w:rsidR="001E1112" w:rsidRPr="00317ABF" w:rsidRDefault="001E1112" w:rsidP="00DB3BEC">
            <w:pPr>
              <w:jc w:val="both"/>
              <w:rPr>
                <w:sz w:val="22"/>
                <w:szCs w:val="22"/>
              </w:rPr>
            </w:pPr>
            <w:r w:rsidRPr="00317ABF">
              <w:rPr>
                <w:sz w:val="22"/>
                <w:szCs w:val="22"/>
              </w:rPr>
              <w:t>N</w:t>
            </w:r>
          </w:p>
        </w:tc>
        <w:tc>
          <w:tcPr>
            <w:tcW w:w="910" w:type="dxa"/>
          </w:tcPr>
          <w:p w14:paraId="30DCCCAD" w14:textId="77777777" w:rsidR="001E1112" w:rsidRPr="00317ABF" w:rsidRDefault="001E1112" w:rsidP="00DB3BEC">
            <w:pPr>
              <w:pStyle w:val="Tekstpodstawowy"/>
              <w:rPr>
                <w:b/>
                <w:noProof/>
                <w:sz w:val="22"/>
                <w:szCs w:val="22"/>
              </w:rPr>
            </w:pPr>
          </w:p>
        </w:tc>
        <w:tc>
          <w:tcPr>
            <w:tcW w:w="6814" w:type="dxa"/>
            <w:gridSpan w:val="2"/>
          </w:tcPr>
          <w:p w14:paraId="36AF6883" w14:textId="77777777" w:rsidR="001E1112" w:rsidRPr="00317ABF" w:rsidRDefault="001E1112" w:rsidP="00DB3BEC">
            <w:pPr>
              <w:pStyle w:val="Tekstpodstawowy"/>
              <w:rPr>
                <w:sz w:val="22"/>
                <w:szCs w:val="22"/>
              </w:rPr>
            </w:pPr>
          </w:p>
        </w:tc>
      </w:tr>
      <w:tr w:rsidR="001E1112" w:rsidRPr="00317ABF" w14:paraId="4145ADE6" w14:textId="77777777" w:rsidTr="7753F98D">
        <w:trPr>
          <w:gridAfter w:val="2"/>
          <w:wAfter w:w="175" w:type="dxa"/>
        </w:trPr>
        <w:tc>
          <w:tcPr>
            <w:tcW w:w="704" w:type="dxa"/>
          </w:tcPr>
          <w:p w14:paraId="515D8D38" w14:textId="77777777" w:rsidR="001E1112" w:rsidRPr="00317ABF" w:rsidRDefault="001E1112" w:rsidP="00DB3BEC">
            <w:pPr>
              <w:jc w:val="both"/>
              <w:rPr>
                <w:sz w:val="22"/>
                <w:szCs w:val="22"/>
              </w:rPr>
            </w:pPr>
            <w:r w:rsidRPr="00317ABF">
              <w:rPr>
                <w:sz w:val="22"/>
                <w:szCs w:val="22"/>
              </w:rPr>
              <w:t>Art. 3 ust. 4</w:t>
            </w:r>
          </w:p>
        </w:tc>
        <w:tc>
          <w:tcPr>
            <w:tcW w:w="4308" w:type="dxa"/>
          </w:tcPr>
          <w:p w14:paraId="44BC7AFA" w14:textId="77777777" w:rsidR="001E1112" w:rsidRPr="00317ABF" w:rsidRDefault="001E1112" w:rsidP="00DB3BEC">
            <w:pPr>
              <w:spacing w:before="120"/>
              <w:jc w:val="both"/>
              <w:rPr>
                <w:sz w:val="22"/>
                <w:szCs w:val="22"/>
              </w:rPr>
            </w:pPr>
            <w:r w:rsidRPr="00317ABF">
              <w:rPr>
                <w:sz w:val="22"/>
                <w:szCs w:val="22"/>
              </w:rPr>
              <w:t>4.   W dążeniu do osiągnięcia założeń polityki, o których mowa w ust. 2, i określonych w niniejszym ustępie, krajowe organy regulacyjne i inne właściwe organy między innymi:</w:t>
            </w:r>
          </w:p>
          <w:tbl>
            <w:tblPr>
              <w:tblW w:w="5000" w:type="pct"/>
              <w:tblCellSpacing w:w="0" w:type="dxa"/>
              <w:tblLayout w:type="fixed"/>
              <w:tblCellMar>
                <w:left w:w="0" w:type="dxa"/>
                <w:right w:w="0" w:type="dxa"/>
              </w:tblCellMar>
              <w:tblLook w:val="04A0" w:firstRow="1" w:lastRow="0" w:firstColumn="1" w:lastColumn="0" w:noHBand="0" w:noVBand="1"/>
            </w:tblPr>
            <w:tblGrid>
              <w:gridCol w:w="20"/>
              <w:gridCol w:w="4148"/>
            </w:tblGrid>
            <w:tr w:rsidR="001E1112" w:rsidRPr="00317ABF" w14:paraId="3B100FEA" w14:textId="77777777" w:rsidTr="009D0AC1">
              <w:trPr>
                <w:tblCellSpacing w:w="0" w:type="dxa"/>
              </w:trPr>
              <w:tc>
                <w:tcPr>
                  <w:tcW w:w="6" w:type="dxa"/>
                  <w:hideMark/>
                </w:tcPr>
                <w:p w14:paraId="54C529ED" w14:textId="77777777" w:rsidR="001E1112" w:rsidRPr="00317ABF" w:rsidRDefault="001E1112" w:rsidP="00EE0AC3">
                  <w:pPr>
                    <w:framePr w:hSpace="141" w:wrap="around" w:vAnchor="text" w:hAnchor="text" w:xAlign="right" w:y="1"/>
                    <w:spacing w:before="120"/>
                    <w:suppressOverlap/>
                    <w:jc w:val="both"/>
                    <w:rPr>
                      <w:sz w:val="22"/>
                      <w:szCs w:val="22"/>
                    </w:rPr>
                  </w:pPr>
                </w:p>
              </w:tc>
              <w:tc>
                <w:tcPr>
                  <w:tcW w:w="9066" w:type="dxa"/>
                  <w:hideMark/>
                </w:tcPr>
                <w:p w14:paraId="4C16DF29" w14:textId="77777777" w:rsidR="001E1112" w:rsidRPr="00317ABF" w:rsidRDefault="001E1112" w:rsidP="00EE0AC3">
                  <w:pPr>
                    <w:framePr w:hSpace="141" w:wrap="around" w:vAnchor="text" w:hAnchor="text" w:xAlign="right" w:y="1"/>
                    <w:numPr>
                      <w:ilvl w:val="0"/>
                      <w:numId w:val="5"/>
                    </w:numPr>
                    <w:spacing w:before="120"/>
                    <w:suppressOverlap/>
                    <w:jc w:val="both"/>
                    <w:rPr>
                      <w:sz w:val="22"/>
                      <w:szCs w:val="22"/>
                    </w:rPr>
                  </w:pPr>
                  <w:r w:rsidRPr="00317ABF">
                    <w:rPr>
                      <w:sz w:val="22"/>
                      <w:szCs w:val="22"/>
                    </w:rPr>
                    <w:t>promują przewidywalność regulacyjną poprzez zapewnienie spójnego podejścia regulacyjnego w kolejnych okresach przeglądu oraz poprzez współpracę ze sobą nawzajem, z BEREC, z RSPG oraz z Komisją;</w:t>
                  </w:r>
                </w:p>
              </w:tc>
            </w:tr>
          </w:tbl>
          <w:p w14:paraId="1C0157D6" w14:textId="77777777" w:rsidR="001E1112" w:rsidRPr="00317ABF" w:rsidRDefault="001E1112" w:rsidP="00DB3BEC">
            <w:pPr>
              <w:jc w:val="both"/>
              <w:rPr>
                <w:vanish/>
                <w:sz w:val="22"/>
                <w:szCs w:val="22"/>
              </w:rPr>
            </w:pPr>
          </w:p>
          <w:tbl>
            <w:tblPr>
              <w:tblW w:w="5000" w:type="pct"/>
              <w:tblCellSpacing w:w="0" w:type="dxa"/>
              <w:tblLayout w:type="fixed"/>
              <w:tblCellMar>
                <w:left w:w="0" w:type="dxa"/>
                <w:right w:w="0" w:type="dxa"/>
              </w:tblCellMar>
              <w:tblLook w:val="04A0" w:firstRow="1" w:lastRow="0" w:firstColumn="1" w:lastColumn="0" w:noHBand="0" w:noVBand="1"/>
            </w:tblPr>
            <w:tblGrid>
              <w:gridCol w:w="20"/>
              <w:gridCol w:w="4148"/>
            </w:tblGrid>
            <w:tr w:rsidR="001E1112" w:rsidRPr="00317ABF" w14:paraId="28687472" w14:textId="77777777" w:rsidTr="009D0AC1">
              <w:trPr>
                <w:tblCellSpacing w:w="0" w:type="dxa"/>
              </w:trPr>
              <w:tc>
                <w:tcPr>
                  <w:tcW w:w="6" w:type="dxa"/>
                  <w:hideMark/>
                </w:tcPr>
                <w:p w14:paraId="3691E7B2" w14:textId="77777777" w:rsidR="001E1112" w:rsidRPr="00317ABF" w:rsidRDefault="001E1112" w:rsidP="00EE0AC3">
                  <w:pPr>
                    <w:framePr w:hSpace="141" w:wrap="around" w:vAnchor="text" w:hAnchor="text" w:xAlign="right" w:y="1"/>
                    <w:spacing w:before="120"/>
                    <w:suppressOverlap/>
                    <w:jc w:val="both"/>
                    <w:rPr>
                      <w:sz w:val="22"/>
                      <w:szCs w:val="22"/>
                    </w:rPr>
                  </w:pPr>
                </w:p>
              </w:tc>
              <w:tc>
                <w:tcPr>
                  <w:tcW w:w="9066" w:type="dxa"/>
                  <w:hideMark/>
                </w:tcPr>
                <w:p w14:paraId="4FDD835F" w14:textId="77777777" w:rsidR="001E1112" w:rsidRPr="00317ABF" w:rsidRDefault="001E1112" w:rsidP="00EE0AC3">
                  <w:pPr>
                    <w:framePr w:hSpace="141" w:wrap="around" w:vAnchor="text" w:hAnchor="text" w:xAlign="right" w:y="1"/>
                    <w:numPr>
                      <w:ilvl w:val="0"/>
                      <w:numId w:val="5"/>
                    </w:numPr>
                    <w:spacing w:before="120"/>
                    <w:suppressOverlap/>
                    <w:jc w:val="both"/>
                    <w:rPr>
                      <w:sz w:val="22"/>
                      <w:szCs w:val="22"/>
                    </w:rPr>
                  </w:pPr>
                  <w:r w:rsidRPr="00317ABF">
                    <w:rPr>
                      <w:sz w:val="22"/>
                      <w:szCs w:val="22"/>
                    </w:rPr>
                    <w:t>zapewniają, aby w podobnych okolicznościach nie występowała dyskryminacja w traktowaniu dostawców sieci i usług łączności elektronicznej;</w:t>
                  </w:r>
                </w:p>
              </w:tc>
            </w:tr>
          </w:tbl>
          <w:p w14:paraId="526770CE" w14:textId="77777777" w:rsidR="001E1112" w:rsidRPr="00317ABF" w:rsidRDefault="001E1112" w:rsidP="00DB3BEC">
            <w:pPr>
              <w:jc w:val="both"/>
              <w:rPr>
                <w:vanish/>
                <w:sz w:val="22"/>
                <w:szCs w:val="22"/>
              </w:rPr>
            </w:pPr>
          </w:p>
          <w:tbl>
            <w:tblPr>
              <w:tblW w:w="5000" w:type="pct"/>
              <w:tblCellSpacing w:w="0" w:type="dxa"/>
              <w:tblLayout w:type="fixed"/>
              <w:tblCellMar>
                <w:left w:w="0" w:type="dxa"/>
                <w:right w:w="0" w:type="dxa"/>
              </w:tblCellMar>
              <w:tblLook w:val="04A0" w:firstRow="1" w:lastRow="0" w:firstColumn="1" w:lastColumn="0" w:noHBand="0" w:noVBand="1"/>
            </w:tblPr>
            <w:tblGrid>
              <w:gridCol w:w="20"/>
              <w:gridCol w:w="4148"/>
            </w:tblGrid>
            <w:tr w:rsidR="001E1112" w:rsidRPr="00317ABF" w14:paraId="1721CECD" w14:textId="77777777" w:rsidTr="009D0AC1">
              <w:trPr>
                <w:tblCellSpacing w:w="0" w:type="dxa"/>
              </w:trPr>
              <w:tc>
                <w:tcPr>
                  <w:tcW w:w="6" w:type="dxa"/>
                  <w:hideMark/>
                </w:tcPr>
                <w:p w14:paraId="7CBEED82" w14:textId="77777777" w:rsidR="001E1112" w:rsidRPr="00317ABF" w:rsidRDefault="001E1112" w:rsidP="00EE0AC3">
                  <w:pPr>
                    <w:framePr w:hSpace="141" w:wrap="around" w:vAnchor="text" w:hAnchor="text" w:xAlign="right" w:y="1"/>
                    <w:spacing w:before="120"/>
                    <w:suppressOverlap/>
                    <w:jc w:val="both"/>
                    <w:rPr>
                      <w:sz w:val="22"/>
                      <w:szCs w:val="22"/>
                    </w:rPr>
                  </w:pPr>
                </w:p>
              </w:tc>
              <w:tc>
                <w:tcPr>
                  <w:tcW w:w="9066" w:type="dxa"/>
                  <w:hideMark/>
                </w:tcPr>
                <w:p w14:paraId="687F8F06" w14:textId="77777777" w:rsidR="001E1112" w:rsidRPr="00317ABF" w:rsidRDefault="001E1112" w:rsidP="00EE0AC3">
                  <w:pPr>
                    <w:framePr w:hSpace="141" w:wrap="around" w:vAnchor="text" w:hAnchor="text" w:xAlign="right" w:y="1"/>
                    <w:numPr>
                      <w:ilvl w:val="0"/>
                      <w:numId w:val="5"/>
                    </w:numPr>
                    <w:spacing w:before="120"/>
                    <w:suppressOverlap/>
                    <w:jc w:val="both"/>
                    <w:rPr>
                      <w:sz w:val="22"/>
                      <w:szCs w:val="22"/>
                    </w:rPr>
                  </w:pPr>
                  <w:r w:rsidRPr="00317ABF">
                    <w:rPr>
                      <w:sz w:val="22"/>
                      <w:szCs w:val="22"/>
                    </w:rPr>
                    <w:t>stosują prawo Unii w sposób neutralny technologicznie, o ile nie stoi to w sprzeczności z realizacją celów określonych w ust. 2;</w:t>
                  </w:r>
                </w:p>
              </w:tc>
            </w:tr>
          </w:tbl>
          <w:p w14:paraId="6E36661F" w14:textId="77777777" w:rsidR="001E1112" w:rsidRPr="00317ABF" w:rsidRDefault="001E1112" w:rsidP="00DB3BEC">
            <w:pPr>
              <w:jc w:val="both"/>
              <w:rPr>
                <w:vanish/>
                <w:sz w:val="22"/>
                <w:szCs w:val="22"/>
              </w:rPr>
            </w:pPr>
          </w:p>
          <w:tbl>
            <w:tblPr>
              <w:tblW w:w="5000" w:type="pct"/>
              <w:tblCellSpacing w:w="0" w:type="dxa"/>
              <w:tblLayout w:type="fixed"/>
              <w:tblCellMar>
                <w:left w:w="0" w:type="dxa"/>
                <w:right w:w="0" w:type="dxa"/>
              </w:tblCellMar>
              <w:tblLook w:val="04A0" w:firstRow="1" w:lastRow="0" w:firstColumn="1" w:lastColumn="0" w:noHBand="0" w:noVBand="1"/>
            </w:tblPr>
            <w:tblGrid>
              <w:gridCol w:w="20"/>
              <w:gridCol w:w="4148"/>
            </w:tblGrid>
            <w:tr w:rsidR="001E1112" w:rsidRPr="00317ABF" w14:paraId="4BF705B2" w14:textId="77777777" w:rsidTr="009D0AC1">
              <w:trPr>
                <w:tblCellSpacing w:w="0" w:type="dxa"/>
              </w:trPr>
              <w:tc>
                <w:tcPr>
                  <w:tcW w:w="6" w:type="dxa"/>
                  <w:hideMark/>
                </w:tcPr>
                <w:p w14:paraId="38645DC7" w14:textId="77777777" w:rsidR="001E1112" w:rsidRPr="00317ABF" w:rsidRDefault="001E1112" w:rsidP="00EE0AC3">
                  <w:pPr>
                    <w:framePr w:hSpace="141" w:wrap="around" w:vAnchor="text" w:hAnchor="text" w:xAlign="right" w:y="1"/>
                    <w:spacing w:before="120"/>
                    <w:suppressOverlap/>
                    <w:jc w:val="both"/>
                    <w:rPr>
                      <w:sz w:val="22"/>
                      <w:szCs w:val="22"/>
                    </w:rPr>
                  </w:pPr>
                </w:p>
              </w:tc>
              <w:tc>
                <w:tcPr>
                  <w:tcW w:w="9066" w:type="dxa"/>
                  <w:hideMark/>
                </w:tcPr>
                <w:p w14:paraId="4BE83033" w14:textId="77777777" w:rsidR="001E1112" w:rsidRPr="00317ABF" w:rsidRDefault="001E1112" w:rsidP="00EE0AC3">
                  <w:pPr>
                    <w:framePr w:hSpace="141" w:wrap="around" w:vAnchor="text" w:hAnchor="text" w:xAlign="right" w:y="1"/>
                    <w:numPr>
                      <w:ilvl w:val="0"/>
                      <w:numId w:val="5"/>
                    </w:numPr>
                    <w:spacing w:before="120"/>
                    <w:suppressOverlap/>
                    <w:jc w:val="both"/>
                    <w:rPr>
                      <w:sz w:val="22"/>
                      <w:szCs w:val="22"/>
                    </w:rPr>
                  </w:pPr>
                  <w:r w:rsidRPr="00317ABF">
                    <w:rPr>
                      <w:sz w:val="22"/>
                      <w:szCs w:val="22"/>
                    </w:rPr>
                    <w:t>promują efektywne inwestycje i innowacje w zakresie nowej i rozszerzonej infrastruktury, w tym poprzez zapewnienie, aby każdy przypadek obowiązku udzielenia dostępu uwzględniał ryzyko, jakie ponoszą inwestujące przedsiębiorstwa, oraz poprzez zezwolenie, aby różne porozumienia o współpracy między inwestorami a stronami zwracającymi się o dostęp stanowiły dywersyfikację ryzyka inwestycyjnego przy zapewnieniu utrzymania konkurencji na rynku i zasady niedyskryminacji;</w:t>
                  </w:r>
                </w:p>
              </w:tc>
            </w:tr>
          </w:tbl>
          <w:p w14:paraId="135E58C4" w14:textId="77777777" w:rsidR="001E1112" w:rsidRPr="00317ABF" w:rsidRDefault="001E1112" w:rsidP="00DB3BEC">
            <w:pPr>
              <w:jc w:val="both"/>
              <w:rPr>
                <w:vanish/>
                <w:sz w:val="22"/>
                <w:szCs w:val="22"/>
              </w:rPr>
            </w:pPr>
          </w:p>
          <w:tbl>
            <w:tblPr>
              <w:tblW w:w="5000" w:type="pct"/>
              <w:tblCellSpacing w:w="0" w:type="dxa"/>
              <w:tblLayout w:type="fixed"/>
              <w:tblCellMar>
                <w:left w:w="0" w:type="dxa"/>
                <w:right w:w="0" w:type="dxa"/>
              </w:tblCellMar>
              <w:tblLook w:val="04A0" w:firstRow="1" w:lastRow="0" w:firstColumn="1" w:lastColumn="0" w:noHBand="0" w:noVBand="1"/>
            </w:tblPr>
            <w:tblGrid>
              <w:gridCol w:w="20"/>
              <w:gridCol w:w="4148"/>
            </w:tblGrid>
            <w:tr w:rsidR="001E1112" w:rsidRPr="00317ABF" w14:paraId="797A462A" w14:textId="77777777" w:rsidTr="009D0AC1">
              <w:trPr>
                <w:tblCellSpacing w:w="0" w:type="dxa"/>
              </w:trPr>
              <w:tc>
                <w:tcPr>
                  <w:tcW w:w="6" w:type="dxa"/>
                  <w:hideMark/>
                </w:tcPr>
                <w:p w14:paraId="62EBF9A1" w14:textId="77777777" w:rsidR="001E1112" w:rsidRPr="00317ABF" w:rsidRDefault="001E1112" w:rsidP="00EE0AC3">
                  <w:pPr>
                    <w:framePr w:hSpace="141" w:wrap="around" w:vAnchor="text" w:hAnchor="text" w:xAlign="right" w:y="1"/>
                    <w:spacing w:before="120"/>
                    <w:suppressOverlap/>
                    <w:jc w:val="both"/>
                    <w:rPr>
                      <w:sz w:val="22"/>
                      <w:szCs w:val="22"/>
                    </w:rPr>
                  </w:pPr>
                </w:p>
              </w:tc>
              <w:tc>
                <w:tcPr>
                  <w:tcW w:w="9066" w:type="dxa"/>
                  <w:hideMark/>
                </w:tcPr>
                <w:p w14:paraId="66D5FF49" w14:textId="77777777" w:rsidR="001E1112" w:rsidRPr="00317ABF" w:rsidRDefault="001E1112" w:rsidP="00EE0AC3">
                  <w:pPr>
                    <w:framePr w:hSpace="141" w:wrap="around" w:vAnchor="text" w:hAnchor="text" w:xAlign="right" w:y="1"/>
                    <w:numPr>
                      <w:ilvl w:val="0"/>
                      <w:numId w:val="5"/>
                    </w:numPr>
                    <w:spacing w:before="120"/>
                    <w:suppressOverlap/>
                    <w:jc w:val="both"/>
                    <w:rPr>
                      <w:sz w:val="22"/>
                      <w:szCs w:val="22"/>
                    </w:rPr>
                  </w:pPr>
                  <w:r w:rsidRPr="00317ABF">
                    <w:rPr>
                      <w:sz w:val="22"/>
                      <w:szCs w:val="22"/>
                    </w:rPr>
                    <w:t>w należytym stopniu uwzględniają warunki związane z infrastrukturą, konkurencją, sytuacją użytkowników końcowych a w szczególności konsumentów w różnych obszarach geograficznych na terytorium danego państwa członkowskiego, w tym lokalną infrastrukturę zarządzaną przez osoby fizyczne na zasadach niekomercyjnych;</w:t>
                  </w:r>
                </w:p>
              </w:tc>
            </w:tr>
          </w:tbl>
          <w:p w14:paraId="0C6C2CD5" w14:textId="77777777" w:rsidR="001E1112" w:rsidRPr="00317ABF" w:rsidRDefault="001E1112" w:rsidP="00DB3BEC">
            <w:pPr>
              <w:jc w:val="both"/>
              <w:rPr>
                <w:vanish/>
                <w:sz w:val="22"/>
                <w:szCs w:val="22"/>
              </w:rPr>
            </w:pPr>
          </w:p>
          <w:tbl>
            <w:tblPr>
              <w:tblW w:w="5000" w:type="pct"/>
              <w:tblCellSpacing w:w="0" w:type="dxa"/>
              <w:tblLayout w:type="fixed"/>
              <w:tblCellMar>
                <w:left w:w="0" w:type="dxa"/>
                <w:right w:w="0" w:type="dxa"/>
              </w:tblCellMar>
              <w:tblLook w:val="04A0" w:firstRow="1" w:lastRow="0" w:firstColumn="1" w:lastColumn="0" w:noHBand="0" w:noVBand="1"/>
            </w:tblPr>
            <w:tblGrid>
              <w:gridCol w:w="20"/>
              <w:gridCol w:w="4148"/>
            </w:tblGrid>
            <w:tr w:rsidR="001E1112" w:rsidRPr="00317ABF" w14:paraId="6F4EFA4E" w14:textId="77777777" w:rsidTr="6D3F270B">
              <w:trPr>
                <w:tblCellSpacing w:w="0" w:type="dxa"/>
              </w:trPr>
              <w:tc>
                <w:tcPr>
                  <w:tcW w:w="6" w:type="dxa"/>
                  <w:hideMark/>
                </w:tcPr>
                <w:p w14:paraId="709E88E4" w14:textId="77777777" w:rsidR="001E1112" w:rsidRPr="00317ABF" w:rsidRDefault="001E1112" w:rsidP="00EE0AC3">
                  <w:pPr>
                    <w:framePr w:hSpace="141" w:wrap="around" w:vAnchor="text" w:hAnchor="text" w:xAlign="right" w:y="1"/>
                    <w:spacing w:before="120"/>
                    <w:suppressOverlap/>
                    <w:jc w:val="both"/>
                    <w:rPr>
                      <w:sz w:val="22"/>
                      <w:szCs w:val="22"/>
                    </w:rPr>
                  </w:pPr>
                </w:p>
              </w:tc>
              <w:tc>
                <w:tcPr>
                  <w:tcW w:w="9066" w:type="dxa"/>
                  <w:hideMark/>
                </w:tcPr>
                <w:p w14:paraId="6F1F8972" w14:textId="77777777" w:rsidR="001E1112" w:rsidRPr="00317ABF" w:rsidRDefault="001E1112" w:rsidP="00EE0AC3">
                  <w:pPr>
                    <w:framePr w:hSpace="141" w:wrap="around" w:vAnchor="text" w:hAnchor="text" w:xAlign="right" w:y="1"/>
                    <w:numPr>
                      <w:ilvl w:val="0"/>
                      <w:numId w:val="5"/>
                    </w:numPr>
                    <w:spacing w:before="120"/>
                    <w:suppressOverlap/>
                    <w:jc w:val="both"/>
                    <w:rPr>
                      <w:sz w:val="22"/>
                      <w:szCs w:val="22"/>
                    </w:rPr>
                  </w:pPr>
                  <w:r w:rsidRPr="00317ABF">
                    <w:rPr>
                      <w:sz w:val="22"/>
                      <w:szCs w:val="22"/>
                    </w:rPr>
                    <w:t>nakładają ex ante obowiązki regulacyjne tylko w zakresie koniecznym do zagwarantowania skutecznej i zrównoważonej konkurencji w interesie użytkowników końcowych, łagodzą lub znoszą takie obowiązki, kiedy tylko spełniony jest ten warunek.</w:t>
                  </w:r>
                </w:p>
                <w:p w14:paraId="05402CCD" w14:textId="77777777" w:rsidR="001E1112" w:rsidRPr="00317ABF" w:rsidRDefault="001E1112" w:rsidP="00EE0AC3">
                  <w:pPr>
                    <w:framePr w:hSpace="141" w:wrap="around" w:vAnchor="text" w:hAnchor="text" w:xAlign="right" w:y="1"/>
                    <w:spacing w:before="120"/>
                    <w:suppressOverlap/>
                    <w:jc w:val="both"/>
                    <w:rPr>
                      <w:sz w:val="22"/>
                      <w:szCs w:val="22"/>
                    </w:rPr>
                  </w:pPr>
                  <w:r w:rsidRPr="00317ABF">
                    <w:rPr>
                      <w:sz w:val="22"/>
                      <w:szCs w:val="22"/>
                    </w:rPr>
                    <w:t xml:space="preserve">Państwa członkowskie zapewniają, aby krajowe organy regulacyjne i inne właściwe organy działały bezstronnie, obiektywnie, </w:t>
                  </w:r>
                  <w:r w:rsidRPr="00317ABF">
                    <w:rPr>
                      <w:sz w:val="22"/>
                      <w:szCs w:val="22"/>
                    </w:rPr>
                    <w:lastRenderedPageBreak/>
                    <w:t>przejrzyście oraz w sposób niedyskryminujący i proporcjonalny.</w:t>
                  </w:r>
                </w:p>
              </w:tc>
            </w:tr>
          </w:tbl>
          <w:p w14:paraId="508C98E9" w14:textId="77777777" w:rsidR="001E1112" w:rsidRPr="00317ABF" w:rsidRDefault="001E1112" w:rsidP="00DB3BEC">
            <w:pPr>
              <w:autoSpaceDE w:val="0"/>
              <w:autoSpaceDN w:val="0"/>
              <w:adjustRightInd w:val="0"/>
              <w:jc w:val="both"/>
              <w:rPr>
                <w:rFonts w:eastAsia="EUAlbertina-Regular-Identity-H"/>
                <w:sz w:val="22"/>
                <w:szCs w:val="22"/>
              </w:rPr>
            </w:pPr>
          </w:p>
        </w:tc>
        <w:tc>
          <w:tcPr>
            <w:tcW w:w="986" w:type="dxa"/>
          </w:tcPr>
          <w:p w14:paraId="779F8E76" w14:textId="438C860E" w:rsidR="001E1112" w:rsidRPr="00317ABF" w:rsidRDefault="001E1112" w:rsidP="00DB3BEC">
            <w:pPr>
              <w:jc w:val="both"/>
              <w:rPr>
                <w:sz w:val="22"/>
                <w:szCs w:val="22"/>
              </w:rPr>
            </w:pPr>
            <w:r w:rsidRPr="00317ABF">
              <w:rPr>
                <w:sz w:val="22"/>
                <w:szCs w:val="22"/>
              </w:rPr>
              <w:lastRenderedPageBreak/>
              <w:t>T</w:t>
            </w:r>
          </w:p>
        </w:tc>
        <w:tc>
          <w:tcPr>
            <w:tcW w:w="910" w:type="dxa"/>
          </w:tcPr>
          <w:p w14:paraId="5C0D3513" w14:textId="6B56DDBA" w:rsidR="001E1112" w:rsidRPr="00317ABF" w:rsidRDefault="00560F36" w:rsidP="00DB3BEC">
            <w:pPr>
              <w:pStyle w:val="Tekstpodstawowy"/>
              <w:rPr>
                <w:b/>
                <w:sz w:val="22"/>
                <w:szCs w:val="22"/>
                <w:lang w:val="en-US"/>
              </w:rPr>
            </w:pPr>
            <w:r w:rsidRPr="00317ABF">
              <w:rPr>
                <w:b/>
                <w:sz w:val="22"/>
                <w:szCs w:val="22"/>
                <w:lang w:val="en-US"/>
              </w:rPr>
              <w:t>Art. 407</w:t>
            </w:r>
            <w:r w:rsidR="001E1112" w:rsidRPr="00317ABF">
              <w:rPr>
                <w:b/>
                <w:sz w:val="22"/>
                <w:szCs w:val="22"/>
                <w:lang w:val="en-US"/>
              </w:rPr>
              <w:t xml:space="preserve"> ust. 2</w:t>
            </w:r>
          </w:p>
          <w:p w14:paraId="7225E690" w14:textId="76A13303" w:rsidR="001E1112" w:rsidRPr="00317ABF" w:rsidRDefault="001E1112" w:rsidP="00DB3BEC">
            <w:pPr>
              <w:pStyle w:val="Tekstpodstawowy"/>
              <w:rPr>
                <w:b/>
                <w:sz w:val="22"/>
                <w:szCs w:val="22"/>
                <w:lang w:val="en-US"/>
              </w:rPr>
            </w:pPr>
          </w:p>
          <w:p w14:paraId="39D6E193" w14:textId="61ED99CA" w:rsidR="001E1112" w:rsidRPr="00317ABF" w:rsidRDefault="001E1112" w:rsidP="00DB3BEC">
            <w:pPr>
              <w:pStyle w:val="Tekstpodstawowy"/>
              <w:rPr>
                <w:b/>
                <w:sz w:val="22"/>
                <w:szCs w:val="22"/>
                <w:lang w:val="en-US"/>
              </w:rPr>
            </w:pPr>
          </w:p>
          <w:p w14:paraId="5DE53879" w14:textId="63E9A894" w:rsidR="001E1112" w:rsidRPr="00317ABF" w:rsidRDefault="001E1112" w:rsidP="00DB3BEC">
            <w:pPr>
              <w:pStyle w:val="Tekstpodstawowy"/>
              <w:rPr>
                <w:b/>
                <w:sz w:val="22"/>
                <w:szCs w:val="22"/>
                <w:lang w:val="en-US"/>
              </w:rPr>
            </w:pPr>
          </w:p>
          <w:p w14:paraId="2D1A2995" w14:textId="78E57C16" w:rsidR="001E1112" w:rsidRPr="00317ABF" w:rsidRDefault="001E1112" w:rsidP="00DB3BEC">
            <w:pPr>
              <w:pStyle w:val="Tekstpodstawowy"/>
              <w:rPr>
                <w:b/>
                <w:sz w:val="22"/>
                <w:szCs w:val="22"/>
                <w:lang w:val="en-US"/>
              </w:rPr>
            </w:pPr>
          </w:p>
          <w:p w14:paraId="21F773DF" w14:textId="62456932" w:rsidR="001E1112" w:rsidRPr="00317ABF" w:rsidRDefault="001E1112" w:rsidP="00DB3BEC">
            <w:pPr>
              <w:pStyle w:val="Tekstpodstawowy"/>
              <w:rPr>
                <w:b/>
                <w:sz w:val="22"/>
                <w:szCs w:val="22"/>
                <w:lang w:val="en-US"/>
              </w:rPr>
            </w:pPr>
          </w:p>
          <w:p w14:paraId="05D241A0" w14:textId="729238D6" w:rsidR="001E1112" w:rsidRPr="00317ABF" w:rsidRDefault="001E1112" w:rsidP="00DB3BEC">
            <w:pPr>
              <w:pStyle w:val="Tekstpodstawowy"/>
              <w:rPr>
                <w:b/>
                <w:sz w:val="22"/>
                <w:szCs w:val="22"/>
                <w:lang w:val="en-US"/>
              </w:rPr>
            </w:pPr>
            <w:r w:rsidRPr="00317ABF">
              <w:rPr>
                <w:b/>
                <w:sz w:val="22"/>
                <w:szCs w:val="22"/>
                <w:lang w:val="en-US"/>
              </w:rPr>
              <w:t>Pkt 1 lit. D</w:t>
            </w:r>
          </w:p>
          <w:p w14:paraId="1935AFF6" w14:textId="509329C6" w:rsidR="001E1112" w:rsidRPr="00317ABF" w:rsidRDefault="001E1112" w:rsidP="00DB3BEC">
            <w:pPr>
              <w:pStyle w:val="Tekstpodstawowy"/>
              <w:rPr>
                <w:b/>
                <w:sz w:val="22"/>
                <w:szCs w:val="22"/>
                <w:lang w:val="en-US"/>
              </w:rPr>
            </w:pPr>
          </w:p>
          <w:p w14:paraId="34327DA5" w14:textId="39201158" w:rsidR="001E1112" w:rsidRPr="00317ABF" w:rsidRDefault="001E1112" w:rsidP="00DB3BEC">
            <w:pPr>
              <w:pStyle w:val="Tekstpodstawowy"/>
              <w:rPr>
                <w:b/>
                <w:sz w:val="22"/>
                <w:szCs w:val="22"/>
                <w:lang w:val="en-US"/>
              </w:rPr>
            </w:pPr>
          </w:p>
          <w:p w14:paraId="377F8FFF" w14:textId="309E6197" w:rsidR="001E1112" w:rsidRPr="00317ABF" w:rsidRDefault="001E1112" w:rsidP="00DB3BEC">
            <w:pPr>
              <w:pStyle w:val="Tekstpodstawowy"/>
              <w:rPr>
                <w:b/>
                <w:sz w:val="22"/>
                <w:szCs w:val="22"/>
                <w:lang w:val="en-US"/>
              </w:rPr>
            </w:pPr>
          </w:p>
          <w:p w14:paraId="62D65ED5" w14:textId="18E21D0C" w:rsidR="001E1112" w:rsidRPr="00317ABF" w:rsidRDefault="001E1112" w:rsidP="00DB3BEC">
            <w:pPr>
              <w:pStyle w:val="Tekstpodstawowy"/>
              <w:rPr>
                <w:b/>
                <w:sz w:val="22"/>
                <w:szCs w:val="22"/>
                <w:lang w:val="en-US"/>
              </w:rPr>
            </w:pPr>
          </w:p>
          <w:p w14:paraId="47A49753" w14:textId="42E07510" w:rsidR="001E1112" w:rsidRPr="00317ABF" w:rsidRDefault="001E1112" w:rsidP="00DB3BEC">
            <w:pPr>
              <w:pStyle w:val="Tekstpodstawowy"/>
              <w:rPr>
                <w:b/>
                <w:sz w:val="22"/>
                <w:szCs w:val="22"/>
                <w:lang w:val="en-US"/>
              </w:rPr>
            </w:pPr>
          </w:p>
          <w:p w14:paraId="2D2EF903" w14:textId="57D82479" w:rsidR="001E1112" w:rsidRPr="00317ABF" w:rsidRDefault="001E1112" w:rsidP="00DB3BEC">
            <w:pPr>
              <w:pStyle w:val="Tekstpodstawowy"/>
              <w:rPr>
                <w:b/>
                <w:sz w:val="22"/>
                <w:szCs w:val="22"/>
              </w:rPr>
            </w:pPr>
            <w:r w:rsidRPr="00317ABF">
              <w:rPr>
                <w:b/>
                <w:sz w:val="22"/>
                <w:szCs w:val="22"/>
                <w:lang w:val="en-US"/>
              </w:rPr>
              <w:t xml:space="preserve">Pkt 2 lit. </w:t>
            </w:r>
            <w:r w:rsidRPr="00317ABF">
              <w:rPr>
                <w:b/>
                <w:sz w:val="22"/>
                <w:szCs w:val="22"/>
              </w:rPr>
              <w:t>C</w:t>
            </w:r>
          </w:p>
          <w:p w14:paraId="066132FC" w14:textId="008A1084" w:rsidR="001E1112" w:rsidRPr="00317ABF" w:rsidRDefault="001E1112" w:rsidP="00DB3BEC">
            <w:pPr>
              <w:pStyle w:val="Tekstpodstawowy"/>
              <w:rPr>
                <w:b/>
                <w:sz w:val="22"/>
                <w:szCs w:val="22"/>
              </w:rPr>
            </w:pPr>
          </w:p>
          <w:p w14:paraId="30B1E5A9" w14:textId="492EABF4" w:rsidR="001E1112" w:rsidRPr="00317ABF" w:rsidRDefault="001E1112" w:rsidP="00DB3BEC">
            <w:pPr>
              <w:pStyle w:val="Tekstpodstawowy"/>
              <w:rPr>
                <w:b/>
                <w:sz w:val="22"/>
                <w:szCs w:val="22"/>
              </w:rPr>
            </w:pPr>
          </w:p>
          <w:p w14:paraId="337F0C75" w14:textId="5E24F65F" w:rsidR="001E1112" w:rsidRPr="00317ABF" w:rsidRDefault="001E1112" w:rsidP="00DB3BEC">
            <w:pPr>
              <w:pStyle w:val="Tekstpodstawowy"/>
              <w:rPr>
                <w:b/>
                <w:sz w:val="22"/>
                <w:szCs w:val="22"/>
              </w:rPr>
            </w:pPr>
          </w:p>
          <w:p w14:paraId="0E297F83" w14:textId="2083C17E" w:rsidR="001E1112" w:rsidRPr="00317ABF" w:rsidRDefault="001E1112" w:rsidP="00DB3BEC">
            <w:pPr>
              <w:pStyle w:val="Tekstpodstawowy"/>
              <w:rPr>
                <w:b/>
                <w:sz w:val="22"/>
                <w:szCs w:val="22"/>
              </w:rPr>
            </w:pPr>
          </w:p>
          <w:p w14:paraId="534CB3E5" w14:textId="0EEADF93" w:rsidR="001E1112" w:rsidRPr="00317ABF" w:rsidRDefault="001E1112" w:rsidP="00DB3BEC">
            <w:pPr>
              <w:pStyle w:val="Tekstpodstawowy"/>
              <w:rPr>
                <w:b/>
                <w:sz w:val="22"/>
                <w:szCs w:val="22"/>
              </w:rPr>
            </w:pPr>
          </w:p>
          <w:p w14:paraId="579ABB98" w14:textId="05CB0213" w:rsidR="001E1112" w:rsidRPr="00317ABF" w:rsidRDefault="001E1112" w:rsidP="00DB3BEC">
            <w:pPr>
              <w:pStyle w:val="Tekstpodstawowy"/>
              <w:rPr>
                <w:b/>
                <w:bCs/>
                <w:noProof/>
                <w:sz w:val="22"/>
                <w:szCs w:val="22"/>
              </w:rPr>
            </w:pPr>
            <w:r w:rsidRPr="00317ABF">
              <w:rPr>
                <w:b/>
                <w:sz w:val="22"/>
                <w:szCs w:val="22"/>
              </w:rPr>
              <w:t>Pkt 7</w:t>
            </w:r>
          </w:p>
          <w:p w14:paraId="06301783" w14:textId="1A530ACA" w:rsidR="001E1112" w:rsidRPr="00317ABF" w:rsidRDefault="001E1112" w:rsidP="00DB3BEC">
            <w:pPr>
              <w:pStyle w:val="Tekstpodstawowy"/>
              <w:rPr>
                <w:b/>
                <w:bCs/>
                <w:noProof/>
                <w:sz w:val="22"/>
                <w:szCs w:val="22"/>
              </w:rPr>
            </w:pPr>
          </w:p>
          <w:p w14:paraId="4E7B624F" w14:textId="0EFFAF83" w:rsidR="001E1112" w:rsidRPr="00317ABF" w:rsidRDefault="001E1112" w:rsidP="00DB3BEC">
            <w:pPr>
              <w:pStyle w:val="Tekstpodstawowy"/>
              <w:rPr>
                <w:b/>
                <w:bCs/>
                <w:noProof/>
                <w:sz w:val="22"/>
                <w:szCs w:val="22"/>
              </w:rPr>
            </w:pPr>
          </w:p>
          <w:p w14:paraId="2E7C008D" w14:textId="38F679DB" w:rsidR="001E1112" w:rsidRPr="00317ABF" w:rsidRDefault="001E1112" w:rsidP="00DB3BEC">
            <w:pPr>
              <w:pStyle w:val="Tekstpodstawowy"/>
              <w:rPr>
                <w:b/>
                <w:bCs/>
                <w:noProof/>
                <w:sz w:val="22"/>
                <w:szCs w:val="22"/>
              </w:rPr>
            </w:pPr>
          </w:p>
          <w:p w14:paraId="16EAE872" w14:textId="7B527B25" w:rsidR="001E1112" w:rsidRPr="00317ABF" w:rsidRDefault="001E1112" w:rsidP="00DB3BEC">
            <w:pPr>
              <w:pStyle w:val="Tekstpodstawowy"/>
              <w:rPr>
                <w:b/>
                <w:bCs/>
                <w:noProof/>
                <w:sz w:val="22"/>
                <w:szCs w:val="22"/>
              </w:rPr>
            </w:pPr>
          </w:p>
          <w:p w14:paraId="3DD45EAF" w14:textId="3E3B884B" w:rsidR="001E1112" w:rsidRPr="00317ABF" w:rsidRDefault="00AE53A5" w:rsidP="00DB3BEC">
            <w:pPr>
              <w:pStyle w:val="Tekstpodstawowy"/>
              <w:rPr>
                <w:b/>
                <w:bCs/>
                <w:noProof/>
                <w:sz w:val="22"/>
                <w:szCs w:val="22"/>
              </w:rPr>
            </w:pPr>
            <w:r w:rsidRPr="00317ABF">
              <w:rPr>
                <w:b/>
                <w:bCs/>
                <w:noProof/>
                <w:sz w:val="22"/>
                <w:szCs w:val="22"/>
              </w:rPr>
              <w:t>Art. 174 ust. 1 i</w:t>
            </w:r>
            <w:r w:rsidR="001E1112" w:rsidRPr="00317ABF">
              <w:rPr>
                <w:b/>
                <w:bCs/>
                <w:noProof/>
                <w:sz w:val="22"/>
                <w:szCs w:val="22"/>
              </w:rPr>
              <w:t xml:space="preserve"> ust. 6, </w:t>
            </w:r>
            <w:r w:rsidR="0082453A" w:rsidRPr="00317ABF">
              <w:rPr>
                <w:b/>
                <w:bCs/>
                <w:noProof/>
                <w:sz w:val="22"/>
                <w:szCs w:val="22"/>
              </w:rPr>
              <w:t>art. 217</w:t>
            </w:r>
            <w:r w:rsidR="001E1112" w:rsidRPr="00317ABF">
              <w:rPr>
                <w:b/>
                <w:bCs/>
                <w:noProof/>
                <w:sz w:val="22"/>
                <w:szCs w:val="22"/>
              </w:rPr>
              <w:t xml:space="preserve"> ust. </w:t>
            </w:r>
            <w:r w:rsidR="0082453A" w:rsidRPr="00317ABF">
              <w:rPr>
                <w:b/>
                <w:bCs/>
                <w:noProof/>
                <w:sz w:val="22"/>
                <w:szCs w:val="22"/>
              </w:rPr>
              <w:t>7</w:t>
            </w:r>
            <w:r w:rsidR="001E1112" w:rsidRPr="00317ABF">
              <w:rPr>
                <w:b/>
                <w:bCs/>
                <w:noProof/>
                <w:sz w:val="22"/>
                <w:szCs w:val="22"/>
              </w:rPr>
              <w:t xml:space="preserve">, art. 375 ust. </w:t>
            </w:r>
            <w:r w:rsidR="001E1112" w:rsidRPr="00317ABF">
              <w:rPr>
                <w:b/>
                <w:sz w:val="22"/>
                <w:szCs w:val="22"/>
              </w:rPr>
              <w:t>2</w:t>
            </w:r>
            <w:r w:rsidR="001E1112" w:rsidRPr="00317ABF">
              <w:rPr>
                <w:b/>
                <w:bCs/>
                <w:noProof/>
                <w:sz w:val="22"/>
                <w:szCs w:val="22"/>
              </w:rPr>
              <w:t xml:space="preserve"> pkt 1 c i e </w:t>
            </w:r>
          </w:p>
          <w:p w14:paraId="286EDE8A" w14:textId="551926EC" w:rsidR="001E1112" w:rsidRPr="00317ABF" w:rsidRDefault="001E1112" w:rsidP="00DB3BEC">
            <w:pPr>
              <w:pStyle w:val="Tekstpodstawowy"/>
              <w:rPr>
                <w:b/>
                <w:bCs/>
                <w:noProof/>
                <w:sz w:val="22"/>
                <w:szCs w:val="22"/>
              </w:rPr>
            </w:pPr>
          </w:p>
          <w:p w14:paraId="213AE5E8" w14:textId="2391826C" w:rsidR="001E1112" w:rsidRPr="00317ABF" w:rsidRDefault="001E1112" w:rsidP="00DB3BEC">
            <w:pPr>
              <w:pStyle w:val="Tekstpodstawowy"/>
              <w:rPr>
                <w:b/>
                <w:bCs/>
                <w:noProof/>
                <w:sz w:val="22"/>
                <w:szCs w:val="22"/>
              </w:rPr>
            </w:pPr>
          </w:p>
          <w:p w14:paraId="6A1BFD0A" w14:textId="73148095" w:rsidR="001E1112" w:rsidRPr="00317ABF" w:rsidRDefault="001E1112" w:rsidP="00DB3BEC">
            <w:pPr>
              <w:pStyle w:val="Tekstpodstawowy"/>
              <w:rPr>
                <w:b/>
                <w:bCs/>
                <w:noProof/>
                <w:sz w:val="22"/>
                <w:szCs w:val="22"/>
              </w:rPr>
            </w:pPr>
          </w:p>
          <w:p w14:paraId="6054CF0D" w14:textId="5C88623E" w:rsidR="001E1112" w:rsidRPr="00317ABF" w:rsidRDefault="001E1112" w:rsidP="00DB3BEC">
            <w:pPr>
              <w:pStyle w:val="Tekstpodstawowy"/>
              <w:rPr>
                <w:b/>
                <w:bCs/>
                <w:noProof/>
                <w:sz w:val="22"/>
                <w:szCs w:val="22"/>
              </w:rPr>
            </w:pPr>
          </w:p>
          <w:p w14:paraId="0A946F1C" w14:textId="1A43E30B" w:rsidR="001E1112" w:rsidRPr="00317ABF" w:rsidRDefault="001E1112" w:rsidP="00DB3BEC">
            <w:pPr>
              <w:pStyle w:val="Tekstpodstawowy"/>
              <w:rPr>
                <w:b/>
                <w:bCs/>
                <w:noProof/>
                <w:sz w:val="22"/>
                <w:szCs w:val="22"/>
              </w:rPr>
            </w:pPr>
          </w:p>
          <w:p w14:paraId="3A418168" w14:textId="45237DCE" w:rsidR="001E1112" w:rsidRPr="00317ABF" w:rsidRDefault="001E1112" w:rsidP="00DB3BEC">
            <w:pPr>
              <w:pStyle w:val="Tekstpodstawowy"/>
              <w:rPr>
                <w:b/>
                <w:bCs/>
                <w:noProof/>
                <w:sz w:val="22"/>
                <w:szCs w:val="22"/>
              </w:rPr>
            </w:pPr>
          </w:p>
          <w:p w14:paraId="691A365D" w14:textId="77777777" w:rsidR="00DC28FC" w:rsidRPr="00317ABF" w:rsidRDefault="00DC28FC" w:rsidP="00DB3BEC">
            <w:pPr>
              <w:pStyle w:val="Tekstpodstawowy"/>
              <w:rPr>
                <w:b/>
                <w:bCs/>
                <w:noProof/>
                <w:sz w:val="22"/>
                <w:szCs w:val="22"/>
              </w:rPr>
            </w:pPr>
          </w:p>
          <w:p w14:paraId="5C991A71" w14:textId="5A5D1755" w:rsidR="001E1112" w:rsidRPr="00317ABF" w:rsidRDefault="001E1112" w:rsidP="00DB3BEC">
            <w:pPr>
              <w:pStyle w:val="Tekstpodstawowy"/>
              <w:rPr>
                <w:b/>
                <w:bCs/>
                <w:noProof/>
                <w:sz w:val="22"/>
                <w:szCs w:val="22"/>
              </w:rPr>
            </w:pPr>
            <w:r w:rsidRPr="00317ABF">
              <w:rPr>
                <w:b/>
                <w:bCs/>
                <w:noProof/>
                <w:sz w:val="22"/>
                <w:szCs w:val="22"/>
              </w:rPr>
              <w:t>Art. 178 ust. 1 pkt 3</w:t>
            </w:r>
          </w:p>
          <w:p w14:paraId="6B510303" w14:textId="6C01D69C" w:rsidR="001E1112" w:rsidRPr="00317ABF" w:rsidRDefault="001E1112" w:rsidP="00DB3BEC">
            <w:pPr>
              <w:pStyle w:val="Tekstpodstawowy"/>
              <w:rPr>
                <w:b/>
                <w:bCs/>
                <w:noProof/>
                <w:sz w:val="22"/>
                <w:szCs w:val="22"/>
              </w:rPr>
            </w:pPr>
          </w:p>
          <w:p w14:paraId="6726DDFA" w14:textId="4FE1381F" w:rsidR="001E1112" w:rsidRPr="00317ABF" w:rsidRDefault="001E1112" w:rsidP="00DB3BEC">
            <w:pPr>
              <w:pStyle w:val="Tekstpodstawowy"/>
              <w:rPr>
                <w:b/>
                <w:bCs/>
                <w:noProof/>
                <w:sz w:val="22"/>
                <w:szCs w:val="22"/>
              </w:rPr>
            </w:pPr>
          </w:p>
          <w:p w14:paraId="190D6E17" w14:textId="23568A86" w:rsidR="001E1112" w:rsidRPr="00317ABF" w:rsidRDefault="001E1112" w:rsidP="00DB3BEC">
            <w:pPr>
              <w:pStyle w:val="Tekstpodstawowy"/>
              <w:rPr>
                <w:b/>
                <w:bCs/>
                <w:noProof/>
                <w:sz w:val="22"/>
                <w:szCs w:val="22"/>
              </w:rPr>
            </w:pPr>
          </w:p>
          <w:p w14:paraId="01DDA388" w14:textId="18FA83F6" w:rsidR="001E1112" w:rsidRPr="00317ABF" w:rsidRDefault="001E1112" w:rsidP="00DB3BEC">
            <w:pPr>
              <w:pStyle w:val="Tekstpodstawowy"/>
              <w:rPr>
                <w:b/>
                <w:bCs/>
                <w:noProof/>
                <w:sz w:val="22"/>
                <w:szCs w:val="22"/>
              </w:rPr>
            </w:pPr>
          </w:p>
          <w:p w14:paraId="095F08BD" w14:textId="4F4F570B" w:rsidR="001E1112" w:rsidRPr="00317ABF" w:rsidRDefault="001E1112" w:rsidP="00DB3BEC">
            <w:pPr>
              <w:pStyle w:val="Tekstpodstawowy"/>
              <w:rPr>
                <w:b/>
                <w:bCs/>
                <w:noProof/>
                <w:sz w:val="22"/>
                <w:szCs w:val="22"/>
              </w:rPr>
            </w:pPr>
          </w:p>
          <w:p w14:paraId="27224B3F" w14:textId="593ABB08" w:rsidR="001E1112" w:rsidRPr="00317ABF" w:rsidRDefault="001E1112" w:rsidP="00DB3BEC">
            <w:pPr>
              <w:pStyle w:val="Tekstpodstawowy"/>
              <w:rPr>
                <w:b/>
                <w:bCs/>
                <w:noProof/>
                <w:sz w:val="22"/>
                <w:szCs w:val="22"/>
              </w:rPr>
            </w:pPr>
          </w:p>
          <w:p w14:paraId="6ED9857B" w14:textId="60E82BC4" w:rsidR="001E1112" w:rsidRPr="00317ABF" w:rsidRDefault="001E1112" w:rsidP="00DB3BEC">
            <w:pPr>
              <w:pStyle w:val="Tekstpodstawowy"/>
              <w:rPr>
                <w:b/>
                <w:bCs/>
                <w:noProof/>
                <w:sz w:val="22"/>
                <w:szCs w:val="22"/>
              </w:rPr>
            </w:pPr>
          </w:p>
          <w:p w14:paraId="7FCBF583" w14:textId="257F4A88" w:rsidR="001E1112" w:rsidRPr="00317ABF" w:rsidRDefault="00DB3BEC" w:rsidP="00DB3BEC">
            <w:pPr>
              <w:pStyle w:val="Tekstpodstawowy"/>
              <w:rPr>
                <w:b/>
                <w:bCs/>
                <w:noProof/>
                <w:sz w:val="22"/>
                <w:szCs w:val="22"/>
                <w:lang w:val="en-US"/>
              </w:rPr>
            </w:pPr>
            <w:r w:rsidRPr="00317ABF">
              <w:rPr>
                <w:b/>
                <w:bCs/>
                <w:noProof/>
                <w:sz w:val="22"/>
                <w:szCs w:val="22"/>
              </w:rPr>
              <w:t>A</w:t>
            </w:r>
            <w:r w:rsidRPr="00317ABF">
              <w:rPr>
                <w:b/>
                <w:sz w:val="22"/>
                <w:szCs w:val="22"/>
              </w:rPr>
              <w:t>rt.</w:t>
            </w:r>
            <w:r w:rsidR="009E5A3C" w:rsidRPr="00317ABF">
              <w:rPr>
                <w:b/>
                <w:bCs/>
                <w:noProof/>
                <w:sz w:val="22"/>
                <w:szCs w:val="22"/>
              </w:rPr>
              <w:t xml:space="preserve"> 407</w:t>
            </w:r>
            <w:r w:rsidR="001E1112" w:rsidRPr="00317ABF">
              <w:rPr>
                <w:b/>
                <w:sz w:val="22"/>
                <w:szCs w:val="22"/>
              </w:rPr>
              <w:t xml:space="preserve"> ust. </w:t>
            </w:r>
            <w:r w:rsidR="001E1112" w:rsidRPr="00317ABF">
              <w:rPr>
                <w:b/>
                <w:sz w:val="22"/>
                <w:szCs w:val="22"/>
                <w:lang w:val="en-US"/>
              </w:rPr>
              <w:t>Pkt 1 lit. b</w:t>
            </w:r>
          </w:p>
          <w:p w14:paraId="7818863E" w14:textId="726DD97E" w:rsidR="001E1112" w:rsidRPr="00317ABF" w:rsidRDefault="001E1112" w:rsidP="00DB3BEC">
            <w:pPr>
              <w:pStyle w:val="Tekstpodstawowy"/>
              <w:rPr>
                <w:b/>
                <w:bCs/>
                <w:noProof/>
                <w:sz w:val="22"/>
                <w:szCs w:val="22"/>
                <w:lang w:val="en-US"/>
              </w:rPr>
            </w:pPr>
          </w:p>
        </w:tc>
        <w:tc>
          <w:tcPr>
            <w:tcW w:w="6814" w:type="dxa"/>
            <w:gridSpan w:val="2"/>
          </w:tcPr>
          <w:p w14:paraId="5BA08BEE" w14:textId="77777777" w:rsidR="001E1112" w:rsidRPr="00317ABF" w:rsidRDefault="001E1112" w:rsidP="00DB3BEC">
            <w:pPr>
              <w:jc w:val="both"/>
              <w:rPr>
                <w:sz w:val="22"/>
                <w:szCs w:val="22"/>
              </w:rPr>
            </w:pPr>
            <w:r w:rsidRPr="00317ABF">
              <w:rPr>
                <w:rFonts w:eastAsia="Times"/>
                <w:sz w:val="22"/>
                <w:szCs w:val="22"/>
              </w:rPr>
              <w:lastRenderedPageBreak/>
              <w:t>2. Organy właściwe w sprawach telekomunikacji prowadzą politykę regulacyjną, mając na celu w szczególności:</w:t>
            </w:r>
          </w:p>
          <w:p w14:paraId="4702711A" w14:textId="1D42E145" w:rsidR="001E1112" w:rsidRPr="00317ABF" w:rsidRDefault="001E1112" w:rsidP="00DB3BEC">
            <w:pPr>
              <w:pStyle w:val="Tekstpodstawowy"/>
              <w:rPr>
                <w:sz w:val="22"/>
                <w:szCs w:val="22"/>
              </w:rPr>
            </w:pPr>
          </w:p>
          <w:p w14:paraId="69E7BB6B" w14:textId="089690E7" w:rsidR="001E1112" w:rsidRPr="00317ABF" w:rsidRDefault="001E1112" w:rsidP="00DB3BEC">
            <w:pPr>
              <w:jc w:val="both"/>
              <w:rPr>
                <w:sz w:val="22"/>
                <w:szCs w:val="22"/>
              </w:rPr>
            </w:pPr>
          </w:p>
          <w:p w14:paraId="19994A94" w14:textId="3DCD92C6" w:rsidR="001E1112" w:rsidRPr="00317ABF" w:rsidRDefault="001E1112" w:rsidP="00DB3BEC">
            <w:pPr>
              <w:jc w:val="both"/>
              <w:rPr>
                <w:sz w:val="22"/>
                <w:szCs w:val="22"/>
              </w:rPr>
            </w:pPr>
          </w:p>
          <w:p w14:paraId="684F313B" w14:textId="5424327E" w:rsidR="001E1112" w:rsidRPr="00317ABF" w:rsidRDefault="001E1112" w:rsidP="00DB3BEC">
            <w:pPr>
              <w:jc w:val="both"/>
              <w:rPr>
                <w:sz w:val="22"/>
                <w:szCs w:val="22"/>
              </w:rPr>
            </w:pPr>
          </w:p>
          <w:p w14:paraId="150EB5A8" w14:textId="384359E8" w:rsidR="001E1112" w:rsidRPr="00317ABF" w:rsidRDefault="001E1112" w:rsidP="00DB3BEC">
            <w:pPr>
              <w:jc w:val="both"/>
              <w:rPr>
                <w:sz w:val="22"/>
                <w:szCs w:val="22"/>
              </w:rPr>
            </w:pPr>
          </w:p>
          <w:p w14:paraId="5A3266F3" w14:textId="5F69BD4D" w:rsidR="001E1112" w:rsidRPr="00317ABF" w:rsidRDefault="001E1112" w:rsidP="00DB3BEC">
            <w:pPr>
              <w:jc w:val="both"/>
              <w:rPr>
                <w:sz w:val="22"/>
                <w:szCs w:val="22"/>
              </w:rPr>
            </w:pPr>
          </w:p>
          <w:p w14:paraId="6E2539B7" w14:textId="753EAE9A" w:rsidR="001E1112" w:rsidRPr="00317ABF" w:rsidRDefault="001E1112" w:rsidP="00DB3BEC">
            <w:pPr>
              <w:jc w:val="both"/>
              <w:rPr>
                <w:rFonts w:eastAsia="Times"/>
                <w:sz w:val="22"/>
                <w:szCs w:val="22"/>
              </w:rPr>
            </w:pPr>
          </w:p>
          <w:p w14:paraId="09969F26" w14:textId="031E2CFC" w:rsidR="001E1112" w:rsidRPr="00317ABF" w:rsidRDefault="001E1112" w:rsidP="00DB3BEC">
            <w:pPr>
              <w:ind w:left="476" w:hanging="476"/>
              <w:jc w:val="both"/>
              <w:rPr>
                <w:sz w:val="22"/>
                <w:szCs w:val="22"/>
              </w:rPr>
            </w:pPr>
            <w:r w:rsidRPr="00317ABF">
              <w:rPr>
                <w:rFonts w:eastAsia="Times"/>
                <w:sz w:val="22"/>
                <w:szCs w:val="22"/>
              </w:rPr>
              <w:t>d)     zapewnienie przewidywalności regulacyjnej,</w:t>
            </w:r>
          </w:p>
          <w:p w14:paraId="034BAA14" w14:textId="243F4B8D" w:rsidR="001E1112" w:rsidRPr="00317ABF" w:rsidRDefault="001E1112" w:rsidP="00DB3BEC">
            <w:pPr>
              <w:jc w:val="both"/>
              <w:rPr>
                <w:sz w:val="22"/>
                <w:szCs w:val="22"/>
              </w:rPr>
            </w:pPr>
          </w:p>
          <w:p w14:paraId="08C0B78C" w14:textId="0DE1784B" w:rsidR="001E1112" w:rsidRPr="00317ABF" w:rsidRDefault="001E1112" w:rsidP="00DB3BEC">
            <w:pPr>
              <w:jc w:val="both"/>
              <w:rPr>
                <w:sz w:val="22"/>
                <w:szCs w:val="22"/>
              </w:rPr>
            </w:pPr>
          </w:p>
          <w:p w14:paraId="06B5DE10" w14:textId="399ECE04" w:rsidR="001E1112" w:rsidRPr="00317ABF" w:rsidRDefault="001E1112" w:rsidP="00DB3BEC">
            <w:pPr>
              <w:jc w:val="both"/>
              <w:rPr>
                <w:sz w:val="22"/>
                <w:szCs w:val="22"/>
              </w:rPr>
            </w:pPr>
          </w:p>
          <w:p w14:paraId="3322E1B8" w14:textId="229C5E33" w:rsidR="001E1112" w:rsidRPr="00317ABF" w:rsidRDefault="001E1112" w:rsidP="00DB3BEC">
            <w:pPr>
              <w:jc w:val="both"/>
              <w:rPr>
                <w:sz w:val="22"/>
                <w:szCs w:val="22"/>
              </w:rPr>
            </w:pPr>
          </w:p>
          <w:p w14:paraId="54D39E7C" w14:textId="1623B225" w:rsidR="001E1112" w:rsidRPr="00317ABF" w:rsidRDefault="001E1112" w:rsidP="00DB3BEC">
            <w:pPr>
              <w:jc w:val="both"/>
              <w:rPr>
                <w:sz w:val="22"/>
                <w:szCs w:val="22"/>
              </w:rPr>
            </w:pPr>
          </w:p>
          <w:p w14:paraId="451C9FFA" w14:textId="5F76B548" w:rsidR="001E1112" w:rsidRPr="00317ABF" w:rsidRDefault="001E1112" w:rsidP="00DB3BEC">
            <w:pPr>
              <w:jc w:val="both"/>
              <w:rPr>
                <w:sz w:val="22"/>
                <w:szCs w:val="22"/>
              </w:rPr>
            </w:pPr>
            <w:r w:rsidRPr="00317ABF">
              <w:rPr>
                <w:sz w:val="22"/>
                <w:szCs w:val="22"/>
              </w:rPr>
              <w:t>c) zapewnienie równego traktowania (niedyskryminacji w traktowaniu) przedsiębiorców komunikacji elektronicznej,</w:t>
            </w:r>
          </w:p>
          <w:p w14:paraId="559CFCCC" w14:textId="5E5B09B4" w:rsidR="001E1112" w:rsidRPr="00317ABF" w:rsidRDefault="001E1112" w:rsidP="00DB3BEC">
            <w:pPr>
              <w:jc w:val="both"/>
              <w:rPr>
                <w:sz w:val="22"/>
                <w:szCs w:val="22"/>
              </w:rPr>
            </w:pPr>
          </w:p>
          <w:p w14:paraId="4E679FC1" w14:textId="04B1BDAD" w:rsidR="001E1112" w:rsidRPr="00317ABF" w:rsidRDefault="001E1112" w:rsidP="00DB3BEC">
            <w:pPr>
              <w:jc w:val="both"/>
              <w:rPr>
                <w:sz w:val="22"/>
                <w:szCs w:val="22"/>
              </w:rPr>
            </w:pPr>
          </w:p>
          <w:p w14:paraId="0AAC3D9A" w14:textId="016B0206" w:rsidR="001E1112" w:rsidRPr="00317ABF" w:rsidRDefault="001E1112" w:rsidP="00DB3BEC">
            <w:pPr>
              <w:jc w:val="both"/>
              <w:rPr>
                <w:sz w:val="22"/>
                <w:szCs w:val="22"/>
              </w:rPr>
            </w:pPr>
          </w:p>
          <w:p w14:paraId="62C304D3" w14:textId="6C0CC351" w:rsidR="001E1112" w:rsidRPr="00317ABF" w:rsidRDefault="001E1112" w:rsidP="00DB3BEC">
            <w:pPr>
              <w:jc w:val="both"/>
              <w:rPr>
                <w:sz w:val="22"/>
                <w:szCs w:val="22"/>
              </w:rPr>
            </w:pPr>
          </w:p>
          <w:p w14:paraId="03869C0F" w14:textId="6B3A7596" w:rsidR="001E1112" w:rsidRPr="00317ABF" w:rsidRDefault="001E1112" w:rsidP="00DB3BEC">
            <w:pPr>
              <w:jc w:val="both"/>
              <w:rPr>
                <w:sz w:val="22"/>
                <w:szCs w:val="22"/>
              </w:rPr>
            </w:pPr>
          </w:p>
          <w:p w14:paraId="27EABCF4" w14:textId="4ABD5EBF" w:rsidR="001E1112" w:rsidRPr="00317ABF" w:rsidRDefault="001E1112" w:rsidP="00DB3BEC">
            <w:pPr>
              <w:jc w:val="both"/>
              <w:rPr>
                <w:sz w:val="22"/>
                <w:szCs w:val="22"/>
              </w:rPr>
            </w:pPr>
            <w:r w:rsidRPr="00317ABF">
              <w:rPr>
                <w:sz w:val="22"/>
                <w:szCs w:val="22"/>
              </w:rPr>
              <w:t>7)  zagwarantowanie neutralności technologicznej.</w:t>
            </w:r>
          </w:p>
          <w:p w14:paraId="4913AAF4" w14:textId="29381BDC" w:rsidR="001E1112" w:rsidRPr="00317ABF" w:rsidRDefault="001E1112" w:rsidP="00DB3BEC">
            <w:pPr>
              <w:jc w:val="both"/>
              <w:rPr>
                <w:sz w:val="22"/>
                <w:szCs w:val="22"/>
              </w:rPr>
            </w:pPr>
          </w:p>
          <w:p w14:paraId="7C22B38D" w14:textId="40CE3C60" w:rsidR="001E1112" w:rsidRPr="00317ABF" w:rsidRDefault="001E1112" w:rsidP="00DB3BEC">
            <w:pPr>
              <w:jc w:val="both"/>
              <w:rPr>
                <w:sz w:val="22"/>
                <w:szCs w:val="22"/>
              </w:rPr>
            </w:pPr>
          </w:p>
          <w:p w14:paraId="3F4654C5" w14:textId="04665D61" w:rsidR="001E1112" w:rsidRPr="00317ABF" w:rsidRDefault="001E1112" w:rsidP="00DB3BEC">
            <w:pPr>
              <w:jc w:val="both"/>
              <w:rPr>
                <w:sz w:val="22"/>
                <w:szCs w:val="22"/>
              </w:rPr>
            </w:pPr>
          </w:p>
          <w:p w14:paraId="640622A2" w14:textId="5E7DCAF9" w:rsidR="001E1112" w:rsidRPr="00317ABF" w:rsidRDefault="00AE53A5" w:rsidP="00DB3BEC">
            <w:pPr>
              <w:jc w:val="both"/>
              <w:rPr>
                <w:b/>
                <w:sz w:val="22"/>
                <w:szCs w:val="22"/>
              </w:rPr>
            </w:pPr>
            <w:r w:rsidRPr="00317ABF">
              <w:rPr>
                <w:b/>
                <w:sz w:val="22"/>
                <w:szCs w:val="22"/>
              </w:rPr>
              <w:t xml:space="preserve">Art. 174 ust. 1 i 6. </w:t>
            </w:r>
          </w:p>
          <w:p w14:paraId="420AFAF8" w14:textId="34DEE6C9" w:rsidR="001E1112" w:rsidRPr="00317ABF" w:rsidRDefault="00AE53A5" w:rsidP="00AE53A5">
            <w:pPr>
              <w:jc w:val="both"/>
              <w:rPr>
                <w:sz w:val="22"/>
                <w:szCs w:val="22"/>
              </w:rPr>
            </w:pPr>
            <w:r w:rsidRPr="00317ABF">
              <w:rPr>
                <w:sz w:val="22"/>
                <w:szCs w:val="22"/>
              </w:rPr>
              <w:t>1. Przedsiębiorca telekomunikacyjny, a także podmiot niebędący przedsiębiorcą telekomunikacyjnym, o ile jest właścicielem okablowania pomiędzy zakończeniami sieci w obiekcie budowlanym, a najbliższym punktem dystrybucji, na wniosek przedsiębiorcy telekomunikacyjnego, obowiązany jest zapewnić dostęp do tego okablowania wraz z powiązanymi zasobami, jeżeli powielenie tego okablowania byłoby ekonomicznie nieefektywne lub technicznie niewykonalne.</w:t>
            </w:r>
          </w:p>
          <w:p w14:paraId="5DA5207F" w14:textId="77777777" w:rsidR="00AE53A5" w:rsidRPr="00317ABF" w:rsidRDefault="00AE53A5" w:rsidP="00AE53A5">
            <w:pPr>
              <w:jc w:val="both"/>
              <w:rPr>
                <w:sz w:val="22"/>
                <w:szCs w:val="22"/>
              </w:rPr>
            </w:pPr>
            <w:r w:rsidRPr="00317ABF">
              <w:rPr>
                <w:sz w:val="22"/>
                <w:szCs w:val="22"/>
              </w:rPr>
              <w:t>6. Dostęp, o którym mowa w ust. 1 jest:</w:t>
            </w:r>
          </w:p>
          <w:p w14:paraId="22DC9203" w14:textId="77777777" w:rsidR="00AE53A5" w:rsidRPr="00317ABF" w:rsidRDefault="00AE53A5" w:rsidP="00AE53A5">
            <w:pPr>
              <w:jc w:val="both"/>
              <w:rPr>
                <w:sz w:val="22"/>
                <w:szCs w:val="22"/>
              </w:rPr>
            </w:pPr>
            <w:r w:rsidRPr="00317ABF">
              <w:rPr>
                <w:sz w:val="22"/>
                <w:szCs w:val="22"/>
              </w:rPr>
              <w:t>1) z zastrzeżeniem pkt 2, nieodpłatny, przy czym przedsiębiorca telekomunikacyjny ponosi proporcjonalną część, ponoszonych przez zapewniającego dostęp, kosztów utrzymania udostępnionej infrastruktury,</w:t>
            </w:r>
          </w:p>
          <w:p w14:paraId="02DA49D2" w14:textId="77777777" w:rsidR="00AE53A5" w:rsidRPr="00317ABF" w:rsidRDefault="00AE53A5" w:rsidP="00AE53A5">
            <w:pPr>
              <w:jc w:val="both"/>
              <w:rPr>
                <w:sz w:val="22"/>
                <w:szCs w:val="22"/>
              </w:rPr>
            </w:pPr>
            <w:r w:rsidRPr="00317ABF">
              <w:rPr>
                <w:sz w:val="22"/>
                <w:szCs w:val="22"/>
              </w:rPr>
              <w:t>2)</w:t>
            </w:r>
            <w:r w:rsidRPr="00317ABF">
              <w:rPr>
                <w:sz w:val="22"/>
                <w:szCs w:val="22"/>
              </w:rPr>
              <w:tab/>
              <w:t>odpłatny, jeżeli okablowanie pomiędzy zakończeniami sieci w obiekcie budowlanym, a najbliższym punktem dystrybucji jest własnością podmiotu, którego przeważającym przedmiotem działalności jest działalność telekomunikacyjna. Opłaty za ten dostęp powinny umożliwiać zwrot proporcjonalnej części poniesionych przez ten podmiot kosztów powstania tej infrastruktury oraz ponoszonych przez ten podmiot kosztów jej utrzymania oraz uwzględniać wpływ zapewnienia dostępu na plan biznesowy tego podmiotu, w szczególności na realizowane przez niego inwestycje dotyczące szybkich sieci telekomunikacyjnych oraz powiązanych zasobów.</w:t>
            </w:r>
          </w:p>
          <w:p w14:paraId="66487D7E" w14:textId="77777777" w:rsidR="00AE53A5" w:rsidRPr="00317ABF" w:rsidRDefault="00AE53A5" w:rsidP="00DB3BEC">
            <w:pPr>
              <w:spacing w:before="120"/>
              <w:jc w:val="both"/>
            </w:pPr>
          </w:p>
          <w:p w14:paraId="7169816E" w14:textId="77777777" w:rsidR="00AE53A5" w:rsidRPr="00317ABF" w:rsidRDefault="00AE53A5" w:rsidP="00DB3BEC">
            <w:pPr>
              <w:spacing w:before="120"/>
              <w:jc w:val="both"/>
            </w:pPr>
          </w:p>
          <w:p w14:paraId="65E9731D" w14:textId="77777777" w:rsidR="00AE53A5" w:rsidRPr="00317ABF" w:rsidRDefault="00AE53A5" w:rsidP="00DB3BEC">
            <w:pPr>
              <w:spacing w:before="120"/>
              <w:jc w:val="both"/>
              <w:rPr>
                <w:sz w:val="22"/>
                <w:szCs w:val="22"/>
              </w:rPr>
            </w:pPr>
          </w:p>
          <w:p w14:paraId="51288FD1" w14:textId="76BC6469" w:rsidR="001E1112" w:rsidRPr="00317ABF" w:rsidRDefault="001E1112" w:rsidP="00DB3BEC">
            <w:pPr>
              <w:jc w:val="both"/>
              <w:rPr>
                <w:sz w:val="22"/>
                <w:szCs w:val="22"/>
              </w:rPr>
            </w:pPr>
            <w:r w:rsidRPr="00317ABF">
              <w:rPr>
                <w:sz w:val="22"/>
                <w:szCs w:val="22"/>
              </w:rPr>
              <w:t xml:space="preserve">Art. </w:t>
            </w:r>
            <w:r w:rsidR="0082453A" w:rsidRPr="00317ABF">
              <w:rPr>
                <w:sz w:val="22"/>
                <w:szCs w:val="22"/>
              </w:rPr>
              <w:t>217</w:t>
            </w:r>
            <w:r w:rsidRPr="00317ABF">
              <w:rPr>
                <w:sz w:val="22"/>
                <w:szCs w:val="22"/>
              </w:rPr>
              <w:t xml:space="preserve"> ust. </w:t>
            </w:r>
            <w:r w:rsidR="0082453A" w:rsidRPr="00317ABF">
              <w:rPr>
                <w:sz w:val="22"/>
                <w:szCs w:val="22"/>
              </w:rPr>
              <w:t>7</w:t>
            </w:r>
          </w:p>
          <w:p w14:paraId="5E62F32B" w14:textId="77777777" w:rsidR="0082453A" w:rsidRPr="00317ABF" w:rsidRDefault="0082453A" w:rsidP="0082453A">
            <w:pPr>
              <w:pStyle w:val="USTustnpkodeksu"/>
              <w:spacing w:line="240" w:lineRule="auto"/>
              <w:rPr>
                <w:rFonts w:ascii="Times New Roman" w:hAnsi="Times New Roman" w:cs="Times New Roman"/>
                <w:szCs w:val="24"/>
              </w:rPr>
            </w:pPr>
            <w:r w:rsidRPr="00317ABF">
              <w:rPr>
                <w:rFonts w:ascii="Times New Roman" w:hAnsi="Times New Roman" w:cs="Times New Roman"/>
                <w:sz w:val="22"/>
                <w:szCs w:val="22"/>
              </w:rPr>
              <w:t>7. W przypadku, gdy przedsiębiorca komunikacji elektronicznej poniósł wydatki na nowe przedsięwzięcie inwestycyjne, w tym budowę sieci składającej się z elementów światłowodowych, w tym sieci o bardzo dużej przepustowości, Prezes UKE, ustalając opłaty z tytułu dostępu telekomunikacyjnego, bierze pod uwagę wykonane przez przedsiębiorcę komunikacji elektronicznej inwestycje oraz umożliwia temu przedsiębiorcy komunikacji elektronicznej uzyskanie rozsądnej stopy zwrotu z zaangażowanego w nowe przedsięwzięcie inwestycyjne kapitału, uwzględniając ryzyko typowe dla danego nowego przedsięwzięcia inwestycyjnego</w:t>
            </w:r>
            <w:r w:rsidRPr="00317ABF">
              <w:rPr>
                <w:rFonts w:ascii="Times New Roman" w:hAnsi="Times New Roman" w:cs="Times New Roman"/>
                <w:szCs w:val="24"/>
              </w:rPr>
              <w:t>.</w:t>
            </w:r>
          </w:p>
          <w:p w14:paraId="13C2A7EA" w14:textId="09BF4169" w:rsidR="001E1112" w:rsidRPr="00317ABF" w:rsidRDefault="001E1112" w:rsidP="00DB3BEC">
            <w:pPr>
              <w:jc w:val="both"/>
              <w:rPr>
                <w:sz w:val="22"/>
                <w:szCs w:val="22"/>
              </w:rPr>
            </w:pPr>
          </w:p>
          <w:p w14:paraId="056F35C1" w14:textId="17B6267D" w:rsidR="001E1112" w:rsidRPr="00317ABF" w:rsidRDefault="001E1112" w:rsidP="00DB3BEC">
            <w:pPr>
              <w:spacing w:before="120"/>
              <w:jc w:val="both"/>
              <w:rPr>
                <w:sz w:val="22"/>
                <w:szCs w:val="22"/>
              </w:rPr>
            </w:pPr>
            <w:r w:rsidRPr="00317ABF">
              <w:rPr>
                <w:sz w:val="22"/>
                <w:szCs w:val="22"/>
              </w:rPr>
              <w:t xml:space="preserve">Art. </w:t>
            </w:r>
            <w:r w:rsidR="005E0212" w:rsidRPr="00317ABF">
              <w:rPr>
                <w:sz w:val="22"/>
                <w:szCs w:val="22"/>
              </w:rPr>
              <w:t>407</w:t>
            </w:r>
            <w:r w:rsidRPr="00317ABF">
              <w:rPr>
                <w:sz w:val="22"/>
                <w:szCs w:val="22"/>
              </w:rPr>
              <w:t xml:space="preserve">  ust. 2 pkt 1 c i e</w:t>
            </w:r>
          </w:p>
          <w:p w14:paraId="166DD73A" w14:textId="362985DA" w:rsidR="001E1112" w:rsidRPr="00317ABF" w:rsidRDefault="001E1112" w:rsidP="00DB3BEC">
            <w:pPr>
              <w:spacing w:before="120"/>
              <w:jc w:val="both"/>
              <w:rPr>
                <w:sz w:val="22"/>
                <w:szCs w:val="22"/>
              </w:rPr>
            </w:pPr>
            <w:r w:rsidRPr="00317ABF">
              <w:rPr>
                <w:sz w:val="22"/>
                <w:szCs w:val="22"/>
              </w:rPr>
              <w:t>Organy właściwe w sprawach telekomunikacji prowadzą politykę regulacyjną, mając na celu w szczególności:</w:t>
            </w:r>
          </w:p>
          <w:p w14:paraId="0EE682B2" w14:textId="7200BEA7" w:rsidR="001E1112" w:rsidRPr="00317ABF" w:rsidRDefault="001E1112" w:rsidP="00DB3BEC">
            <w:pPr>
              <w:spacing w:before="120"/>
              <w:jc w:val="both"/>
              <w:rPr>
                <w:sz w:val="22"/>
                <w:szCs w:val="22"/>
              </w:rPr>
            </w:pPr>
            <w:r w:rsidRPr="00317ABF">
              <w:rPr>
                <w:sz w:val="22"/>
                <w:szCs w:val="22"/>
              </w:rPr>
              <w:t xml:space="preserve">c)  efektywne inwestowanie w dziedzinie infrastruktury oraz promocję technologii innowacyjnych, </w:t>
            </w:r>
          </w:p>
          <w:p w14:paraId="3C30AA1A" w14:textId="77777777" w:rsidR="001E1112" w:rsidRPr="00317ABF" w:rsidRDefault="001E1112" w:rsidP="00DB3BEC">
            <w:pPr>
              <w:spacing w:before="120"/>
              <w:jc w:val="both"/>
              <w:rPr>
                <w:sz w:val="22"/>
                <w:szCs w:val="22"/>
              </w:rPr>
            </w:pPr>
            <w:r w:rsidRPr="00317ABF">
              <w:rPr>
                <w:sz w:val="22"/>
                <w:szCs w:val="22"/>
              </w:rPr>
              <w:t>e) uwzględnienie ryzyka inwestycyjnego;</w:t>
            </w:r>
          </w:p>
          <w:p w14:paraId="17545EE3" w14:textId="3C2AD87A" w:rsidR="001E1112" w:rsidRPr="00317ABF" w:rsidRDefault="001E1112" w:rsidP="00DB3BEC">
            <w:pPr>
              <w:jc w:val="both"/>
              <w:rPr>
                <w:sz w:val="22"/>
                <w:szCs w:val="22"/>
              </w:rPr>
            </w:pPr>
          </w:p>
          <w:p w14:paraId="081CA062" w14:textId="74E09311" w:rsidR="001E1112" w:rsidRPr="00317ABF" w:rsidRDefault="001E1112" w:rsidP="00DB3BEC">
            <w:pPr>
              <w:jc w:val="both"/>
              <w:rPr>
                <w:sz w:val="22"/>
                <w:szCs w:val="22"/>
              </w:rPr>
            </w:pPr>
          </w:p>
          <w:p w14:paraId="0DD9428D" w14:textId="1847A9DE" w:rsidR="001E1112" w:rsidRPr="00317ABF" w:rsidRDefault="00DC28FC" w:rsidP="00DB3BEC">
            <w:pPr>
              <w:jc w:val="both"/>
              <w:rPr>
                <w:sz w:val="22"/>
                <w:szCs w:val="22"/>
              </w:rPr>
            </w:pPr>
            <w:r w:rsidRPr="00317ABF">
              <w:rPr>
                <w:rFonts w:eastAsia="Times"/>
                <w:b/>
                <w:bCs/>
                <w:sz w:val="22"/>
                <w:szCs w:val="22"/>
              </w:rPr>
              <w:t>A</w:t>
            </w:r>
            <w:r w:rsidR="001E1112" w:rsidRPr="00317ABF">
              <w:rPr>
                <w:rFonts w:eastAsia="Times"/>
                <w:b/>
                <w:bCs/>
                <w:sz w:val="22"/>
                <w:szCs w:val="22"/>
              </w:rPr>
              <w:t>rt. 178.</w:t>
            </w:r>
            <w:r w:rsidR="001E1112" w:rsidRPr="00317ABF">
              <w:rPr>
                <w:rFonts w:eastAsia="Times"/>
                <w:sz w:val="22"/>
                <w:szCs w:val="22"/>
              </w:rPr>
              <w:t xml:space="preserve"> 1. Po przeprowadzeniu analizy, o której mowa w art. 176 ust. 1, Prezes UKE przeprowadza postępowanie w celu:</w:t>
            </w:r>
          </w:p>
          <w:p w14:paraId="713E6C80" w14:textId="49197B71" w:rsidR="001E1112" w:rsidRPr="00317ABF" w:rsidRDefault="001E1112" w:rsidP="00DB3BEC">
            <w:pPr>
              <w:ind w:left="510" w:hanging="510"/>
              <w:jc w:val="both"/>
              <w:rPr>
                <w:sz w:val="22"/>
                <w:szCs w:val="22"/>
              </w:rPr>
            </w:pPr>
            <w:r w:rsidRPr="00317ABF">
              <w:rPr>
                <w:rFonts w:eastAsia="Times"/>
                <w:sz w:val="22"/>
                <w:szCs w:val="22"/>
              </w:rPr>
              <w:t>3)     wyznaczenia przedsiębiorcy komunikacji elektronicznej o znaczącej pozycji rynkowej lub przedsiębiorców komunikacji elektronicznej zajmujących kolektywną pozycję znaczącą, w przypadku stwierdzenia, że na rynku właściwym nie występuje skuteczna konkurencja oraz nałożenia na tego przedsiębiorcę lub przedsiębiorców komunikacji elektronicznej zajmujących kolektywną pozycję znaczącą obowiązków regulacyjnych;</w:t>
            </w:r>
          </w:p>
          <w:p w14:paraId="53774BC3" w14:textId="3B4CDEAA" w:rsidR="001E1112" w:rsidRPr="00317ABF" w:rsidRDefault="001E1112" w:rsidP="00DB3BEC">
            <w:pPr>
              <w:jc w:val="both"/>
              <w:rPr>
                <w:sz w:val="22"/>
                <w:szCs w:val="22"/>
              </w:rPr>
            </w:pPr>
            <w:r w:rsidRPr="00317ABF">
              <w:rPr>
                <w:sz w:val="22"/>
                <w:szCs w:val="22"/>
              </w:rPr>
              <w:t>4)         utrzymania, zmiany albo uchylenia obowiązków regulacyjnych nałożonych na przedsiębiorcę komunikacji elektronicznej o znaczącej pozycji rynkowej lub przedsiębiorców komunikacji elektronicznej zajmujących kolektywną pozycję znaczącą przed przeprowadzeniem analizy rynku.</w:t>
            </w:r>
          </w:p>
          <w:p w14:paraId="501ADF1C" w14:textId="2CE5A87F" w:rsidR="001E1112" w:rsidRPr="00317ABF" w:rsidRDefault="001E1112" w:rsidP="00DB3BEC">
            <w:pPr>
              <w:jc w:val="both"/>
              <w:rPr>
                <w:sz w:val="22"/>
                <w:szCs w:val="22"/>
              </w:rPr>
            </w:pPr>
          </w:p>
          <w:p w14:paraId="0B30DC61" w14:textId="27D0E7AC" w:rsidR="001E1112" w:rsidRPr="00317ABF" w:rsidRDefault="001E1112" w:rsidP="00DB3BEC">
            <w:pPr>
              <w:ind w:left="476" w:hanging="476"/>
              <w:jc w:val="both"/>
              <w:rPr>
                <w:sz w:val="22"/>
                <w:szCs w:val="22"/>
              </w:rPr>
            </w:pPr>
            <w:r w:rsidRPr="00317ABF">
              <w:rPr>
                <w:rFonts w:eastAsia="Times"/>
                <w:sz w:val="22"/>
                <w:szCs w:val="22"/>
              </w:rPr>
              <w:t>b)     zapobieganie zniekształcaniu lub ograniczaniu konkurencji na rynku komunikacji elektronicznej,</w:t>
            </w:r>
          </w:p>
          <w:p w14:paraId="44F69B9A" w14:textId="0490125A" w:rsidR="001E1112" w:rsidRPr="00317ABF" w:rsidRDefault="001E1112" w:rsidP="00DB3BEC">
            <w:pPr>
              <w:jc w:val="both"/>
              <w:rPr>
                <w:sz w:val="22"/>
                <w:szCs w:val="22"/>
              </w:rPr>
            </w:pPr>
          </w:p>
        </w:tc>
      </w:tr>
      <w:tr w:rsidR="001E1112" w:rsidRPr="00317ABF" w14:paraId="2A7955DA" w14:textId="77777777" w:rsidTr="7753F98D">
        <w:trPr>
          <w:gridAfter w:val="2"/>
          <w:wAfter w:w="175" w:type="dxa"/>
        </w:trPr>
        <w:tc>
          <w:tcPr>
            <w:tcW w:w="704" w:type="dxa"/>
          </w:tcPr>
          <w:p w14:paraId="18E061EA" w14:textId="77777777" w:rsidR="001E1112" w:rsidRPr="00317ABF" w:rsidRDefault="001E1112" w:rsidP="00DB3BEC">
            <w:pPr>
              <w:jc w:val="both"/>
              <w:rPr>
                <w:b/>
                <w:sz w:val="22"/>
                <w:szCs w:val="22"/>
              </w:rPr>
            </w:pPr>
            <w:r w:rsidRPr="00317ABF">
              <w:rPr>
                <w:b/>
                <w:sz w:val="22"/>
                <w:szCs w:val="22"/>
              </w:rPr>
              <w:lastRenderedPageBreak/>
              <w:t>Art. 4</w:t>
            </w:r>
          </w:p>
        </w:tc>
        <w:tc>
          <w:tcPr>
            <w:tcW w:w="4308" w:type="dxa"/>
          </w:tcPr>
          <w:p w14:paraId="5208793E" w14:textId="77777777" w:rsidR="001E1112" w:rsidRPr="00317ABF" w:rsidRDefault="001E1112" w:rsidP="00DB3BEC">
            <w:pPr>
              <w:spacing w:before="60" w:after="120"/>
              <w:jc w:val="both"/>
              <w:rPr>
                <w:b/>
                <w:bCs/>
                <w:sz w:val="22"/>
                <w:szCs w:val="22"/>
              </w:rPr>
            </w:pPr>
            <w:r w:rsidRPr="00317ABF">
              <w:rPr>
                <w:b/>
                <w:bCs/>
                <w:sz w:val="22"/>
                <w:szCs w:val="22"/>
              </w:rPr>
              <w:t>Planowanie strategiczne i koordynacja polityki w zakresie widma radiowego</w:t>
            </w:r>
          </w:p>
        </w:tc>
        <w:tc>
          <w:tcPr>
            <w:tcW w:w="986" w:type="dxa"/>
          </w:tcPr>
          <w:p w14:paraId="5F07D11E" w14:textId="77777777" w:rsidR="001E1112" w:rsidRPr="00317ABF" w:rsidRDefault="001E1112" w:rsidP="00DB3BEC">
            <w:pPr>
              <w:jc w:val="both"/>
              <w:rPr>
                <w:sz w:val="22"/>
                <w:szCs w:val="22"/>
              </w:rPr>
            </w:pPr>
          </w:p>
        </w:tc>
        <w:tc>
          <w:tcPr>
            <w:tcW w:w="910" w:type="dxa"/>
          </w:tcPr>
          <w:p w14:paraId="41508A3C" w14:textId="77777777" w:rsidR="001E1112" w:rsidRPr="00317ABF" w:rsidRDefault="001E1112" w:rsidP="00DB3BEC">
            <w:pPr>
              <w:pStyle w:val="Tekstpodstawowy"/>
              <w:rPr>
                <w:b/>
                <w:noProof/>
                <w:sz w:val="22"/>
                <w:szCs w:val="22"/>
              </w:rPr>
            </w:pPr>
          </w:p>
        </w:tc>
        <w:tc>
          <w:tcPr>
            <w:tcW w:w="6814" w:type="dxa"/>
            <w:gridSpan w:val="2"/>
          </w:tcPr>
          <w:p w14:paraId="43D6B1D6" w14:textId="77777777" w:rsidR="001E1112" w:rsidRPr="00317ABF" w:rsidRDefault="001E1112" w:rsidP="00DB3BEC">
            <w:pPr>
              <w:pStyle w:val="Tekstpodstawowy"/>
              <w:rPr>
                <w:sz w:val="22"/>
                <w:szCs w:val="22"/>
              </w:rPr>
            </w:pPr>
          </w:p>
        </w:tc>
      </w:tr>
      <w:tr w:rsidR="001E1112" w:rsidRPr="00317ABF" w14:paraId="3A8A285C" w14:textId="77777777" w:rsidTr="7753F98D">
        <w:trPr>
          <w:gridAfter w:val="2"/>
          <w:wAfter w:w="175" w:type="dxa"/>
        </w:trPr>
        <w:tc>
          <w:tcPr>
            <w:tcW w:w="704" w:type="dxa"/>
          </w:tcPr>
          <w:p w14:paraId="237A79C6" w14:textId="77777777" w:rsidR="001E1112" w:rsidRPr="00317ABF" w:rsidRDefault="001E1112" w:rsidP="00DB3BEC">
            <w:pPr>
              <w:jc w:val="both"/>
              <w:rPr>
                <w:sz w:val="22"/>
                <w:szCs w:val="22"/>
              </w:rPr>
            </w:pPr>
            <w:r w:rsidRPr="00317ABF">
              <w:rPr>
                <w:sz w:val="22"/>
                <w:szCs w:val="22"/>
              </w:rPr>
              <w:t>Art. 4 ust. 1</w:t>
            </w:r>
          </w:p>
        </w:tc>
        <w:tc>
          <w:tcPr>
            <w:tcW w:w="4308" w:type="dxa"/>
          </w:tcPr>
          <w:p w14:paraId="3BDF301E" w14:textId="77777777" w:rsidR="001E1112" w:rsidRPr="00317ABF" w:rsidRDefault="001E1112" w:rsidP="00DB3BEC">
            <w:pPr>
              <w:spacing w:before="120"/>
              <w:jc w:val="both"/>
              <w:rPr>
                <w:sz w:val="22"/>
                <w:szCs w:val="22"/>
              </w:rPr>
            </w:pPr>
            <w:r w:rsidRPr="00317ABF">
              <w:rPr>
                <w:sz w:val="22"/>
                <w:szCs w:val="22"/>
              </w:rPr>
              <w:t xml:space="preserve">1.   Państwa członkowskie współpracują ze sobą oraz z Komisją przy planowaniu strategicznym, koordynacji i harmonizacji wykorzystania widma radiowego w Unii zgodnie z politykami Unii w zakresie ustanowienia i funkcjonowania rynku wewnętrznego łączności elektronicznej. W tym </w:t>
            </w:r>
            <w:r w:rsidRPr="00317ABF">
              <w:rPr>
                <w:sz w:val="22"/>
                <w:szCs w:val="22"/>
              </w:rPr>
              <w:lastRenderedPageBreak/>
              <w:t>celu biorą pod uwagę między innymi aspekty ekonomiczne, bezpieczeństwo, zdrowie, interes ogólny, wolność wypowiedzi, aspekty kulturalne, naukowe, społeczne i techniczne polityk Unii, jak również różne interesy społeczności użytkowników widma radiowego, mając na celu optymalizację wykorzystania widma radiowego oraz unikanie szkodliwych zakłóceń.</w:t>
            </w:r>
          </w:p>
        </w:tc>
        <w:tc>
          <w:tcPr>
            <w:tcW w:w="986" w:type="dxa"/>
          </w:tcPr>
          <w:p w14:paraId="17DBC151" w14:textId="52628A5F" w:rsidR="001E1112" w:rsidRPr="00317ABF" w:rsidRDefault="001E1112" w:rsidP="00DB3BEC">
            <w:pPr>
              <w:jc w:val="both"/>
              <w:rPr>
                <w:sz w:val="22"/>
                <w:szCs w:val="22"/>
              </w:rPr>
            </w:pPr>
            <w:r w:rsidRPr="00317ABF">
              <w:rPr>
                <w:sz w:val="22"/>
                <w:szCs w:val="22"/>
              </w:rPr>
              <w:lastRenderedPageBreak/>
              <w:t>T</w:t>
            </w:r>
          </w:p>
        </w:tc>
        <w:tc>
          <w:tcPr>
            <w:tcW w:w="910" w:type="dxa"/>
          </w:tcPr>
          <w:p w14:paraId="6CD4372A" w14:textId="4C9F40E8" w:rsidR="001E1112" w:rsidRPr="00317ABF" w:rsidRDefault="001E1112" w:rsidP="00DB3BEC">
            <w:pPr>
              <w:pStyle w:val="Tekstpodstawowy"/>
              <w:rPr>
                <w:b/>
                <w:sz w:val="22"/>
                <w:szCs w:val="22"/>
                <w:lang w:val="en-US"/>
              </w:rPr>
            </w:pPr>
            <w:r w:rsidRPr="00317ABF">
              <w:rPr>
                <w:b/>
                <w:sz w:val="22"/>
                <w:szCs w:val="22"/>
                <w:lang w:val="en-US"/>
              </w:rPr>
              <w:t xml:space="preserve">Art. </w:t>
            </w:r>
            <w:r w:rsidR="00AB14A2" w:rsidRPr="00317ABF">
              <w:rPr>
                <w:b/>
                <w:sz w:val="22"/>
                <w:szCs w:val="22"/>
                <w:lang w:val="en-US"/>
              </w:rPr>
              <w:t>62</w:t>
            </w:r>
            <w:r w:rsidRPr="00317ABF">
              <w:rPr>
                <w:b/>
                <w:sz w:val="22"/>
                <w:szCs w:val="22"/>
                <w:lang w:val="en-US"/>
              </w:rPr>
              <w:t xml:space="preserve"> ust. 3</w:t>
            </w:r>
          </w:p>
          <w:p w14:paraId="3260874B" w14:textId="76673A56" w:rsidR="001E1112" w:rsidRPr="00317ABF" w:rsidRDefault="001E1112" w:rsidP="00DB3BEC">
            <w:pPr>
              <w:pStyle w:val="Tekstpodstawowy"/>
              <w:rPr>
                <w:b/>
                <w:sz w:val="22"/>
                <w:szCs w:val="22"/>
                <w:lang w:val="en-US"/>
              </w:rPr>
            </w:pPr>
          </w:p>
          <w:p w14:paraId="3DECA1A0" w14:textId="3CF26623" w:rsidR="001E1112" w:rsidRPr="00317ABF" w:rsidRDefault="001E1112" w:rsidP="00DB3BEC">
            <w:pPr>
              <w:pStyle w:val="Tekstpodstawowy"/>
              <w:rPr>
                <w:b/>
                <w:sz w:val="22"/>
                <w:szCs w:val="22"/>
                <w:lang w:val="en-US"/>
              </w:rPr>
            </w:pPr>
          </w:p>
          <w:p w14:paraId="300E8F4B" w14:textId="302A4B84" w:rsidR="001E1112" w:rsidRPr="00317ABF" w:rsidRDefault="001E1112" w:rsidP="00DB3BEC">
            <w:pPr>
              <w:pStyle w:val="Tekstpodstawowy"/>
              <w:rPr>
                <w:b/>
                <w:sz w:val="22"/>
                <w:szCs w:val="22"/>
                <w:lang w:val="en-US"/>
              </w:rPr>
            </w:pPr>
          </w:p>
          <w:p w14:paraId="0E3A5F76" w14:textId="71EBAA6E" w:rsidR="001E1112" w:rsidRPr="00317ABF" w:rsidRDefault="001E1112" w:rsidP="00DB3BEC">
            <w:pPr>
              <w:pStyle w:val="Tekstpodstawowy"/>
              <w:rPr>
                <w:b/>
                <w:sz w:val="22"/>
                <w:szCs w:val="22"/>
                <w:lang w:val="en-US"/>
              </w:rPr>
            </w:pPr>
          </w:p>
          <w:p w14:paraId="191F7E87" w14:textId="7DAD2D4D" w:rsidR="001E1112" w:rsidRPr="00317ABF" w:rsidRDefault="001E1112" w:rsidP="00DB3BEC">
            <w:pPr>
              <w:pStyle w:val="Tekstpodstawowy"/>
              <w:rPr>
                <w:b/>
                <w:sz w:val="22"/>
                <w:szCs w:val="22"/>
                <w:lang w:val="en-US"/>
              </w:rPr>
            </w:pPr>
          </w:p>
          <w:p w14:paraId="3B1A82B7" w14:textId="581B0405" w:rsidR="001E1112" w:rsidRPr="00317ABF" w:rsidRDefault="001E1112" w:rsidP="00DB3BEC">
            <w:pPr>
              <w:pStyle w:val="Tekstpodstawowy"/>
              <w:rPr>
                <w:b/>
                <w:sz w:val="22"/>
                <w:szCs w:val="22"/>
                <w:lang w:val="en-US"/>
              </w:rPr>
            </w:pPr>
          </w:p>
          <w:p w14:paraId="7B94CF42" w14:textId="193269A4" w:rsidR="001E1112" w:rsidRPr="00317ABF" w:rsidRDefault="001E1112" w:rsidP="00DB3BEC">
            <w:pPr>
              <w:pStyle w:val="Tekstpodstawowy"/>
              <w:rPr>
                <w:b/>
                <w:sz w:val="22"/>
                <w:szCs w:val="22"/>
                <w:lang w:val="en-US"/>
              </w:rPr>
            </w:pPr>
          </w:p>
          <w:p w14:paraId="2322F489" w14:textId="78A5B027" w:rsidR="001E1112" w:rsidRPr="00317ABF" w:rsidRDefault="001E1112" w:rsidP="00DB3BEC">
            <w:pPr>
              <w:pStyle w:val="Tekstpodstawowy"/>
              <w:rPr>
                <w:b/>
                <w:sz w:val="22"/>
                <w:szCs w:val="22"/>
                <w:lang w:val="en-US"/>
              </w:rPr>
            </w:pPr>
          </w:p>
          <w:p w14:paraId="0BB1E242" w14:textId="2A13CC22" w:rsidR="001E1112" w:rsidRPr="00317ABF" w:rsidRDefault="001E1112" w:rsidP="00DB3BEC">
            <w:pPr>
              <w:pStyle w:val="Tekstpodstawowy"/>
              <w:rPr>
                <w:b/>
                <w:sz w:val="22"/>
                <w:szCs w:val="22"/>
                <w:lang w:val="en-US"/>
              </w:rPr>
            </w:pPr>
          </w:p>
          <w:p w14:paraId="2D0A7120" w14:textId="5CB4B4A0" w:rsidR="001E1112" w:rsidRPr="00317ABF" w:rsidRDefault="001E1112" w:rsidP="00DB3BEC">
            <w:pPr>
              <w:pStyle w:val="Tekstpodstawowy"/>
              <w:rPr>
                <w:b/>
                <w:sz w:val="22"/>
                <w:szCs w:val="22"/>
                <w:lang w:val="en-US"/>
              </w:rPr>
            </w:pPr>
          </w:p>
          <w:p w14:paraId="5D806C67" w14:textId="6B8EBAEB" w:rsidR="001E1112" w:rsidRPr="00317ABF" w:rsidRDefault="001E1112" w:rsidP="00DB3BEC">
            <w:pPr>
              <w:pStyle w:val="Tekstpodstawowy"/>
              <w:rPr>
                <w:b/>
                <w:sz w:val="22"/>
                <w:szCs w:val="22"/>
                <w:lang w:val="en-US"/>
              </w:rPr>
            </w:pPr>
          </w:p>
          <w:p w14:paraId="3C7E2B2D" w14:textId="1E7EAACB" w:rsidR="001E1112" w:rsidRPr="00317ABF" w:rsidRDefault="001E1112" w:rsidP="00DB3BEC">
            <w:pPr>
              <w:pStyle w:val="Tekstpodstawowy"/>
              <w:rPr>
                <w:b/>
                <w:sz w:val="22"/>
                <w:szCs w:val="22"/>
                <w:lang w:val="en-US"/>
              </w:rPr>
            </w:pPr>
          </w:p>
          <w:p w14:paraId="7BD58AB7" w14:textId="6C65FA34" w:rsidR="001E1112" w:rsidRPr="00317ABF" w:rsidRDefault="001E1112" w:rsidP="00DB3BEC">
            <w:pPr>
              <w:pStyle w:val="Tekstpodstawowy"/>
              <w:rPr>
                <w:b/>
                <w:sz w:val="22"/>
                <w:szCs w:val="22"/>
                <w:lang w:val="en-US"/>
              </w:rPr>
            </w:pPr>
          </w:p>
          <w:p w14:paraId="286137D4" w14:textId="56E184CE" w:rsidR="001E1112" w:rsidRPr="00317ABF" w:rsidRDefault="001E1112" w:rsidP="00DB3BEC">
            <w:pPr>
              <w:pStyle w:val="Tekstpodstawowy"/>
              <w:rPr>
                <w:b/>
                <w:sz w:val="22"/>
                <w:szCs w:val="22"/>
                <w:lang w:val="en-US"/>
              </w:rPr>
            </w:pPr>
          </w:p>
          <w:p w14:paraId="3FC3293E" w14:textId="2EA59A44" w:rsidR="001E1112" w:rsidRPr="00317ABF" w:rsidRDefault="001E1112" w:rsidP="00DB3BEC">
            <w:pPr>
              <w:pStyle w:val="Tekstpodstawowy"/>
              <w:rPr>
                <w:b/>
                <w:sz w:val="22"/>
                <w:szCs w:val="22"/>
                <w:lang w:val="en-US"/>
              </w:rPr>
            </w:pPr>
          </w:p>
          <w:p w14:paraId="642D6642" w14:textId="4DD8C653" w:rsidR="001E1112" w:rsidRPr="00317ABF" w:rsidRDefault="001E1112" w:rsidP="00DB3BEC">
            <w:pPr>
              <w:pStyle w:val="Tekstpodstawowy"/>
              <w:rPr>
                <w:b/>
                <w:sz w:val="22"/>
                <w:szCs w:val="22"/>
                <w:lang w:val="en-US"/>
              </w:rPr>
            </w:pPr>
          </w:p>
          <w:p w14:paraId="59847B0F" w14:textId="586EA521" w:rsidR="001E1112" w:rsidRPr="00317ABF" w:rsidRDefault="001E1112" w:rsidP="00DB3BEC">
            <w:pPr>
              <w:pStyle w:val="Tekstpodstawowy"/>
              <w:rPr>
                <w:b/>
                <w:sz w:val="22"/>
                <w:szCs w:val="22"/>
                <w:lang w:val="en-US"/>
              </w:rPr>
            </w:pPr>
          </w:p>
          <w:p w14:paraId="2EFDC75C" w14:textId="4D9B928C" w:rsidR="001E1112" w:rsidRPr="00317ABF" w:rsidRDefault="001E1112" w:rsidP="00DB3BEC">
            <w:pPr>
              <w:pStyle w:val="Tekstpodstawowy"/>
              <w:rPr>
                <w:b/>
                <w:sz w:val="22"/>
                <w:szCs w:val="22"/>
                <w:lang w:val="en-US"/>
              </w:rPr>
            </w:pPr>
          </w:p>
          <w:p w14:paraId="462A35EB" w14:textId="77777777" w:rsidR="00AB14A2" w:rsidRPr="00317ABF" w:rsidRDefault="00AB14A2" w:rsidP="00DB3BEC">
            <w:pPr>
              <w:pStyle w:val="Tekstpodstawowy"/>
              <w:rPr>
                <w:b/>
                <w:sz w:val="22"/>
                <w:szCs w:val="22"/>
                <w:lang w:val="en-US"/>
              </w:rPr>
            </w:pPr>
          </w:p>
          <w:p w14:paraId="5D886F14" w14:textId="77777777" w:rsidR="00AB14A2" w:rsidRPr="00317ABF" w:rsidRDefault="00AB14A2" w:rsidP="00DB3BEC">
            <w:pPr>
              <w:pStyle w:val="Tekstpodstawowy"/>
              <w:rPr>
                <w:b/>
                <w:sz w:val="22"/>
                <w:szCs w:val="22"/>
                <w:lang w:val="en-US"/>
              </w:rPr>
            </w:pPr>
          </w:p>
          <w:p w14:paraId="48DDCE28" w14:textId="77777777" w:rsidR="00AB14A2" w:rsidRPr="00317ABF" w:rsidRDefault="00AB14A2" w:rsidP="00DB3BEC">
            <w:pPr>
              <w:pStyle w:val="Tekstpodstawowy"/>
              <w:rPr>
                <w:b/>
                <w:sz w:val="22"/>
                <w:szCs w:val="22"/>
                <w:lang w:val="en-US"/>
              </w:rPr>
            </w:pPr>
          </w:p>
          <w:p w14:paraId="6F8BD81B" w14:textId="4C84D4DE" w:rsidR="001E1112" w:rsidRPr="00317ABF" w:rsidRDefault="001E1112" w:rsidP="00DB3BEC">
            <w:pPr>
              <w:pStyle w:val="Tekstpodstawowy"/>
              <w:rPr>
                <w:b/>
                <w:sz w:val="22"/>
                <w:szCs w:val="22"/>
                <w:lang w:val="en-US"/>
              </w:rPr>
            </w:pPr>
            <w:r w:rsidRPr="00317ABF">
              <w:rPr>
                <w:b/>
                <w:sz w:val="22"/>
                <w:szCs w:val="22"/>
                <w:lang w:val="en-US"/>
              </w:rPr>
              <w:t xml:space="preserve">Art. </w:t>
            </w:r>
            <w:r w:rsidR="00AB14A2" w:rsidRPr="00317ABF">
              <w:rPr>
                <w:b/>
                <w:sz w:val="22"/>
                <w:szCs w:val="22"/>
                <w:lang w:val="en-US"/>
              </w:rPr>
              <w:t>407</w:t>
            </w:r>
            <w:r w:rsidRPr="00317ABF">
              <w:rPr>
                <w:b/>
                <w:sz w:val="22"/>
                <w:szCs w:val="22"/>
                <w:lang w:val="en-US"/>
              </w:rPr>
              <w:t xml:space="preserve"> ust. 2 pkt 2 lit. E tiret 1</w:t>
            </w:r>
          </w:p>
        </w:tc>
        <w:tc>
          <w:tcPr>
            <w:tcW w:w="6814" w:type="dxa"/>
            <w:gridSpan w:val="2"/>
          </w:tcPr>
          <w:p w14:paraId="3B733A6D" w14:textId="1CE28B7E" w:rsidR="001E1112" w:rsidRPr="00317ABF" w:rsidRDefault="001E1112" w:rsidP="00AB14A2">
            <w:pPr>
              <w:pStyle w:val="USTustnpkodeksu"/>
              <w:keepNext/>
              <w:spacing w:line="240" w:lineRule="auto"/>
              <w:ind w:firstLine="0"/>
              <w:rPr>
                <w:rFonts w:ascii="Times New Roman" w:hAnsi="Times New Roman" w:cs="Times New Roman"/>
                <w:sz w:val="22"/>
                <w:szCs w:val="22"/>
              </w:rPr>
            </w:pPr>
            <w:r w:rsidRPr="00317ABF">
              <w:rPr>
                <w:rFonts w:ascii="Times New Roman" w:eastAsia="Times" w:hAnsi="Times New Roman" w:cs="Times New Roman"/>
                <w:sz w:val="22"/>
                <w:szCs w:val="22"/>
              </w:rPr>
              <w:lastRenderedPageBreak/>
              <w:t>3. Rada Ministrów określi, w drodze rozporządzenia, Krajową Tablicę Przeznaczeń Częstotliwości, realizując politykę państwa w zakresie gospodarki zasobami częstotliwości, spełniania wymagań dotyczących kompatybilności elektromagnetycznej oraz telekomunikacji, z uwzględnieniem:</w:t>
            </w:r>
          </w:p>
          <w:p w14:paraId="598404DB" w14:textId="77777777" w:rsidR="00AB14A2" w:rsidRPr="00317ABF" w:rsidRDefault="00AB14A2" w:rsidP="00AB14A2">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1)</w:t>
            </w:r>
            <w:r w:rsidRPr="00317ABF">
              <w:rPr>
                <w:rFonts w:ascii="Times New Roman" w:hAnsi="Times New Roman" w:cs="Times New Roman"/>
                <w:sz w:val="22"/>
                <w:szCs w:val="22"/>
              </w:rPr>
              <w:tab/>
              <w:t>międzynarodowych przepisów radiokomunikacyjnych;</w:t>
            </w:r>
          </w:p>
          <w:p w14:paraId="38BB3667" w14:textId="77777777" w:rsidR="00AB14A2" w:rsidRPr="00317ABF" w:rsidRDefault="00AB14A2" w:rsidP="00AB14A2">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lastRenderedPageBreak/>
              <w:t>2)</w:t>
            </w:r>
            <w:r w:rsidRPr="00317ABF">
              <w:rPr>
                <w:rFonts w:ascii="Times New Roman" w:hAnsi="Times New Roman" w:cs="Times New Roman"/>
                <w:sz w:val="22"/>
                <w:szCs w:val="22"/>
              </w:rPr>
              <w:tab/>
              <w:t>kierunków i celów polityki w zakresie planowania strategicznego, koordynacji i harmonizacji wykorzystania częstotliwości określonych w wieloletnich programach dotyczących polityki w zakresie częstotliwości przyjętych przez Parlament Europejski i Radę na podstawie art. 4 EKŁE;</w:t>
            </w:r>
          </w:p>
          <w:p w14:paraId="0122D607" w14:textId="77777777" w:rsidR="00AB14A2" w:rsidRPr="00317ABF" w:rsidRDefault="00AB14A2" w:rsidP="00AB14A2">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3)</w:t>
            </w:r>
            <w:r w:rsidRPr="00317ABF">
              <w:rPr>
                <w:rFonts w:ascii="Times New Roman" w:hAnsi="Times New Roman" w:cs="Times New Roman"/>
                <w:sz w:val="22"/>
                <w:szCs w:val="22"/>
              </w:rPr>
              <w:tab/>
              <w:t>zharmonizowanych warunków ustanowionych w drodze technicznych środków wykonawczych przyjętych zgodnie decyzją 676/2002/WE;</w:t>
            </w:r>
          </w:p>
          <w:p w14:paraId="30797E65" w14:textId="77777777" w:rsidR="00AB14A2" w:rsidRPr="00317ABF" w:rsidRDefault="00AB14A2" w:rsidP="00AB14A2">
            <w:pPr>
              <w:pStyle w:val="PKTpunkt0"/>
              <w:keepNext/>
              <w:spacing w:line="240" w:lineRule="auto"/>
              <w:rPr>
                <w:rFonts w:ascii="Times New Roman" w:hAnsi="Times New Roman" w:cs="Times New Roman"/>
                <w:sz w:val="22"/>
                <w:szCs w:val="22"/>
              </w:rPr>
            </w:pPr>
            <w:r w:rsidRPr="00317ABF">
              <w:rPr>
                <w:rFonts w:ascii="Times New Roman" w:hAnsi="Times New Roman" w:cs="Times New Roman"/>
                <w:sz w:val="22"/>
                <w:szCs w:val="22"/>
              </w:rPr>
              <w:t>4)</w:t>
            </w:r>
            <w:r w:rsidRPr="00317ABF">
              <w:rPr>
                <w:rFonts w:ascii="Times New Roman" w:hAnsi="Times New Roman" w:cs="Times New Roman"/>
                <w:sz w:val="22"/>
                <w:szCs w:val="22"/>
              </w:rPr>
              <w:tab/>
              <w:t>wymagań dotyczących:</w:t>
            </w:r>
          </w:p>
          <w:p w14:paraId="3FF2B6D8" w14:textId="77777777" w:rsidR="00AB14A2" w:rsidRPr="00317ABF" w:rsidRDefault="00AB14A2" w:rsidP="00AB14A2">
            <w:pPr>
              <w:pStyle w:val="LITlitera"/>
              <w:spacing w:line="240" w:lineRule="auto"/>
              <w:rPr>
                <w:rFonts w:ascii="Times New Roman" w:hAnsi="Times New Roman" w:cs="Times New Roman"/>
                <w:sz w:val="22"/>
                <w:szCs w:val="22"/>
              </w:rPr>
            </w:pPr>
            <w:r w:rsidRPr="00317ABF">
              <w:rPr>
                <w:rFonts w:ascii="Times New Roman" w:hAnsi="Times New Roman" w:cs="Times New Roman"/>
                <w:sz w:val="22"/>
                <w:szCs w:val="22"/>
              </w:rPr>
              <w:t>a)</w:t>
            </w:r>
            <w:r w:rsidRPr="00317ABF">
              <w:rPr>
                <w:rFonts w:ascii="Times New Roman" w:hAnsi="Times New Roman" w:cs="Times New Roman"/>
                <w:sz w:val="22"/>
                <w:szCs w:val="22"/>
              </w:rPr>
              <w:tab/>
              <w:t>zapewnienia warunków do harmonijnego rozwoju służb radiokomunikacyjnych oraz dziedzin nauki i techniki, wykorzystujących zasoby częstotliwości,</w:t>
            </w:r>
          </w:p>
          <w:p w14:paraId="5D5D4CC1" w14:textId="77777777" w:rsidR="00AB14A2" w:rsidRPr="00317ABF" w:rsidRDefault="00AB14A2" w:rsidP="00AB14A2">
            <w:pPr>
              <w:pStyle w:val="LITlitera"/>
              <w:spacing w:line="240" w:lineRule="auto"/>
              <w:rPr>
                <w:rFonts w:ascii="Times New Roman" w:hAnsi="Times New Roman" w:cs="Times New Roman"/>
                <w:sz w:val="22"/>
                <w:szCs w:val="22"/>
              </w:rPr>
            </w:pPr>
            <w:r w:rsidRPr="00317ABF">
              <w:rPr>
                <w:rFonts w:ascii="Times New Roman" w:hAnsi="Times New Roman" w:cs="Times New Roman"/>
                <w:sz w:val="22"/>
                <w:szCs w:val="22"/>
              </w:rPr>
              <w:t>b)</w:t>
            </w:r>
            <w:r w:rsidRPr="00317ABF">
              <w:rPr>
                <w:rFonts w:ascii="Times New Roman" w:hAnsi="Times New Roman" w:cs="Times New Roman"/>
                <w:sz w:val="22"/>
                <w:szCs w:val="22"/>
              </w:rPr>
              <w:tab/>
              <w:t>wdrażania nowych, efektywnych technik radiokomunikacyjnych,</w:t>
            </w:r>
          </w:p>
          <w:p w14:paraId="2873FB15" w14:textId="7DF2DE52" w:rsidR="001E1112" w:rsidRPr="00317ABF" w:rsidRDefault="00AB14A2" w:rsidP="00156E7C">
            <w:pPr>
              <w:ind w:left="530"/>
              <w:jc w:val="both"/>
              <w:rPr>
                <w:sz w:val="22"/>
                <w:szCs w:val="22"/>
              </w:rPr>
            </w:pPr>
            <w:r w:rsidRPr="00317ABF">
              <w:rPr>
                <w:sz w:val="22"/>
                <w:szCs w:val="22"/>
              </w:rPr>
              <w:t>c)</w:t>
            </w:r>
            <w:r w:rsidRPr="00317ABF">
              <w:rPr>
                <w:sz w:val="22"/>
                <w:szCs w:val="22"/>
              </w:rPr>
              <w:tab/>
            </w:r>
            <w:r w:rsidR="00156E7C" w:rsidRPr="00317ABF">
              <w:rPr>
                <w:sz w:val="22"/>
                <w:szCs w:val="22"/>
              </w:rPr>
              <w:t xml:space="preserve">  </w:t>
            </w:r>
            <w:r w:rsidRPr="00317ABF">
              <w:rPr>
                <w:sz w:val="22"/>
                <w:szCs w:val="22"/>
              </w:rPr>
              <w:t>obronności, bezpieczeństwa państwa oraz bezpieczeństwa i porządku publicznego, w tym ustaleń sojuszniczych dokumentów i porozumień cywilno-wojskowych dotyczących zharmonizowanych potrzeb widmowych NATO.</w:t>
            </w:r>
          </w:p>
          <w:p w14:paraId="783353F9" w14:textId="79698AD1" w:rsidR="001E1112" w:rsidRPr="00317ABF" w:rsidRDefault="001E1112" w:rsidP="00DB3BEC">
            <w:pPr>
              <w:jc w:val="both"/>
              <w:rPr>
                <w:sz w:val="22"/>
                <w:szCs w:val="22"/>
              </w:rPr>
            </w:pPr>
          </w:p>
          <w:p w14:paraId="42D17DF9" w14:textId="77777777" w:rsidR="00AB14A2" w:rsidRPr="00317ABF" w:rsidRDefault="00AB14A2" w:rsidP="00AB14A2">
            <w:pPr>
              <w:pStyle w:val="LITlitera"/>
              <w:spacing w:line="240" w:lineRule="auto"/>
              <w:rPr>
                <w:rFonts w:ascii="Times New Roman" w:hAnsi="Times New Roman" w:cs="Times New Roman"/>
                <w:sz w:val="22"/>
                <w:szCs w:val="22"/>
              </w:rPr>
            </w:pPr>
            <w:r w:rsidRPr="00317ABF">
              <w:rPr>
                <w:rFonts w:ascii="Times New Roman" w:hAnsi="Times New Roman" w:cs="Times New Roman"/>
                <w:sz w:val="22"/>
                <w:szCs w:val="22"/>
              </w:rPr>
              <w:t>e)</w:t>
            </w:r>
            <w:r w:rsidRPr="00317ABF">
              <w:rPr>
                <w:rFonts w:ascii="Times New Roman" w:hAnsi="Times New Roman" w:cs="Times New Roman"/>
                <w:sz w:val="22"/>
                <w:szCs w:val="22"/>
              </w:rPr>
              <w:tab/>
              <w:t>współpracę z innymi organami regulacyjnymi państw członkowskich i Komisją Europejską, w tym w ramach RSPG, a na ich wniosek także z Parlamentem Europejskim i Radą w zakresie:</w:t>
            </w:r>
          </w:p>
          <w:p w14:paraId="2613E9C1" w14:textId="79DA8954" w:rsidR="001E1112" w:rsidRPr="00317ABF" w:rsidRDefault="00AB14A2" w:rsidP="00DB3BEC">
            <w:pPr>
              <w:jc w:val="both"/>
              <w:rPr>
                <w:sz w:val="22"/>
                <w:szCs w:val="22"/>
              </w:rPr>
            </w:pPr>
            <w:r w:rsidRPr="00317ABF">
              <w:rPr>
                <w:sz w:val="22"/>
                <w:szCs w:val="22"/>
              </w:rPr>
              <w:t>–</w:t>
            </w:r>
            <w:r w:rsidRPr="00317ABF">
              <w:rPr>
                <w:sz w:val="22"/>
                <w:szCs w:val="22"/>
              </w:rPr>
              <w:tab/>
            </w:r>
            <w:r w:rsidR="001E1112" w:rsidRPr="00317ABF">
              <w:rPr>
                <w:rFonts w:eastAsia="Times"/>
                <w:sz w:val="22"/>
                <w:szCs w:val="22"/>
              </w:rPr>
              <w:t>planowania strategicznego, koordynacji i harmonizacji wykorzystania częstotliwości w Unii Europejskiej, mając na celu optymalizację wykorzystania częstotliwości oraz unikanie szkodliwych zakłóceń oraz</w:t>
            </w:r>
          </w:p>
        </w:tc>
      </w:tr>
      <w:tr w:rsidR="001E1112" w:rsidRPr="00317ABF" w14:paraId="67E36E60" w14:textId="77777777" w:rsidTr="7753F98D">
        <w:trPr>
          <w:gridAfter w:val="2"/>
          <w:wAfter w:w="175" w:type="dxa"/>
        </w:trPr>
        <w:tc>
          <w:tcPr>
            <w:tcW w:w="704" w:type="dxa"/>
          </w:tcPr>
          <w:p w14:paraId="72C2DE1F" w14:textId="77777777" w:rsidR="001E1112" w:rsidRPr="00317ABF" w:rsidRDefault="001E1112" w:rsidP="00DB3BEC">
            <w:pPr>
              <w:jc w:val="both"/>
              <w:rPr>
                <w:sz w:val="22"/>
                <w:szCs w:val="22"/>
              </w:rPr>
            </w:pPr>
            <w:r w:rsidRPr="00317ABF">
              <w:rPr>
                <w:sz w:val="22"/>
                <w:szCs w:val="22"/>
              </w:rPr>
              <w:lastRenderedPageBreak/>
              <w:t>Art. 4 ust. 2</w:t>
            </w:r>
          </w:p>
        </w:tc>
        <w:tc>
          <w:tcPr>
            <w:tcW w:w="4308" w:type="dxa"/>
          </w:tcPr>
          <w:p w14:paraId="1218C3AF" w14:textId="77777777" w:rsidR="001E1112" w:rsidRPr="00317ABF" w:rsidRDefault="001E1112" w:rsidP="00DB3BEC">
            <w:pPr>
              <w:spacing w:before="120"/>
              <w:jc w:val="both"/>
              <w:rPr>
                <w:sz w:val="22"/>
                <w:szCs w:val="22"/>
              </w:rPr>
            </w:pPr>
            <w:r w:rsidRPr="00317ABF">
              <w:rPr>
                <w:sz w:val="22"/>
                <w:szCs w:val="22"/>
              </w:rPr>
              <w:t>2.   Państwa członkowskie współpracują ze sobą oraz z Komisją w zakresie promowania koordynacji podejść do polityki widma radiowego w Unii oraz, w stosownych przypadkach, zharmonizowanych warunków w odniesieniu do dostępności i efektywnego wykorzystania widma radiowego, koniecznego do ustanowienia i funkcjonowania rynku wewnętrznego łączności elektronicznej.</w:t>
            </w:r>
          </w:p>
        </w:tc>
        <w:tc>
          <w:tcPr>
            <w:tcW w:w="986" w:type="dxa"/>
          </w:tcPr>
          <w:p w14:paraId="1037B8A3" w14:textId="2636D8D8" w:rsidR="001E1112" w:rsidRPr="00317ABF" w:rsidRDefault="001E1112" w:rsidP="00DB3BEC">
            <w:pPr>
              <w:jc w:val="both"/>
              <w:rPr>
                <w:sz w:val="22"/>
                <w:szCs w:val="22"/>
              </w:rPr>
            </w:pPr>
            <w:r w:rsidRPr="00317ABF">
              <w:rPr>
                <w:sz w:val="22"/>
                <w:szCs w:val="22"/>
              </w:rPr>
              <w:t>T</w:t>
            </w:r>
          </w:p>
        </w:tc>
        <w:tc>
          <w:tcPr>
            <w:tcW w:w="910" w:type="dxa"/>
          </w:tcPr>
          <w:p w14:paraId="3B780B0E" w14:textId="71091E5A" w:rsidR="001E1112" w:rsidRPr="00317ABF" w:rsidRDefault="001E1112" w:rsidP="00DB3BEC">
            <w:pPr>
              <w:pStyle w:val="Tekstpodstawowy"/>
              <w:rPr>
                <w:b/>
                <w:bCs/>
                <w:noProof/>
                <w:sz w:val="22"/>
                <w:szCs w:val="22"/>
              </w:rPr>
            </w:pPr>
            <w:r w:rsidRPr="00317ABF">
              <w:rPr>
                <w:b/>
                <w:bCs/>
                <w:noProof/>
                <w:sz w:val="22"/>
                <w:szCs w:val="22"/>
              </w:rPr>
              <w:t xml:space="preserve">Art. </w:t>
            </w:r>
            <w:r w:rsidR="00156E7C" w:rsidRPr="00317ABF">
              <w:rPr>
                <w:b/>
                <w:bCs/>
                <w:noProof/>
                <w:sz w:val="22"/>
                <w:szCs w:val="22"/>
              </w:rPr>
              <w:t>62</w:t>
            </w:r>
            <w:r w:rsidRPr="00317ABF">
              <w:rPr>
                <w:b/>
                <w:bCs/>
                <w:noProof/>
                <w:sz w:val="22"/>
                <w:szCs w:val="22"/>
              </w:rPr>
              <w:t xml:space="preserve"> ust. 3</w:t>
            </w:r>
          </w:p>
          <w:p w14:paraId="010C7FA2" w14:textId="031873EC" w:rsidR="001E1112" w:rsidRPr="00317ABF" w:rsidRDefault="001E1112" w:rsidP="00DB3BEC">
            <w:pPr>
              <w:pStyle w:val="Tekstpodstawowy"/>
              <w:rPr>
                <w:b/>
                <w:bCs/>
                <w:noProof/>
                <w:sz w:val="22"/>
                <w:szCs w:val="22"/>
              </w:rPr>
            </w:pPr>
          </w:p>
          <w:p w14:paraId="5283271A" w14:textId="28BC5159" w:rsidR="001E1112" w:rsidRPr="00317ABF" w:rsidRDefault="001E1112" w:rsidP="00DB3BEC">
            <w:pPr>
              <w:pStyle w:val="Tekstpodstawowy"/>
              <w:rPr>
                <w:b/>
                <w:bCs/>
                <w:noProof/>
                <w:sz w:val="22"/>
                <w:szCs w:val="22"/>
              </w:rPr>
            </w:pPr>
          </w:p>
          <w:p w14:paraId="24A3E8E5" w14:textId="06D4A5AE" w:rsidR="001E1112" w:rsidRPr="00317ABF" w:rsidRDefault="001E1112" w:rsidP="00DB3BEC">
            <w:pPr>
              <w:pStyle w:val="Tekstpodstawowy"/>
              <w:rPr>
                <w:b/>
                <w:bCs/>
                <w:noProof/>
                <w:sz w:val="22"/>
                <w:szCs w:val="22"/>
              </w:rPr>
            </w:pPr>
          </w:p>
          <w:p w14:paraId="00A8B268" w14:textId="6A5222FE" w:rsidR="001E1112" w:rsidRPr="00317ABF" w:rsidRDefault="001E1112" w:rsidP="00DB3BEC">
            <w:pPr>
              <w:pStyle w:val="Tekstpodstawowy"/>
              <w:rPr>
                <w:b/>
                <w:bCs/>
                <w:noProof/>
                <w:sz w:val="22"/>
                <w:szCs w:val="22"/>
              </w:rPr>
            </w:pPr>
          </w:p>
          <w:p w14:paraId="6B80B60E" w14:textId="21DCC531" w:rsidR="001E1112" w:rsidRPr="00317ABF" w:rsidRDefault="001E1112" w:rsidP="00DB3BEC">
            <w:pPr>
              <w:pStyle w:val="Tekstpodstawowy"/>
              <w:rPr>
                <w:b/>
                <w:bCs/>
                <w:noProof/>
                <w:sz w:val="22"/>
                <w:szCs w:val="22"/>
              </w:rPr>
            </w:pPr>
          </w:p>
          <w:p w14:paraId="4AEA678A" w14:textId="41ADB27A" w:rsidR="001E1112" w:rsidRPr="00317ABF" w:rsidRDefault="001E1112" w:rsidP="00DB3BEC">
            <w:pPr>
              <w:pStyle w:val="Tekstpodstawowy"/>
              <w:rPr>
                <w:b/>
                <w:bCs/>
                <w:noProof/>
                <w:sz w:val="22"/>
                <w:szCs w:val="22"/>
              </w:rPr>
            </w:pPr>
          </w:p>
          <w:p w14:paraId="086010DA" w14:textId="24922CD9" w:rsidR="001E1112" w:rsidRPr="00317ABF" w:rsidRDefault="001E1112" w:rsidP="00DB3BEC">
            <w:pPr>
              <w:pStyle w:val="Tekstpodstawowy"/>
              <w:rPr>
                <w:b/>
                <w:bCs/>
                <w:noProof/>
                <w:sz w:val="22"/>
                <w:szCs w:val="22"/>
              </w:rPr>
            </w:pPr>
          </w:p>
          <w:p w14:paraId="3F095B6F" w14:textId="5DF97607" w:rsidR="001E1112" w:rsidRPr="00317ABF" w:rsidRDefault="001E1112" w:rsidP="00DB3BEC">
            <w:pPr>
              <w:pStyle w:val="Tekstpodstawowy"/>
              <w:rPr>
                <w:b/>
                <w:bCs/>
                <w:noProof/>
                <w:sz w:val="22"/>
                <w:szCs w:val="22"/>
              </w:rPr>
            </w:pPr>
          </w:p>
          <w:p w14:paraId="04B6426D" w14:textId="7A4BFA0C" w:rsidR="001E1112" w:rsidRPr="00317ABF" w:rsidRDefault="001E1112" w:rsidP="00DB3BEC">
            <w:pPr>
              <w:pStyle w:val="Tekstpodstawowy"/>
              <w:rPr>
                <w:b/>
                <w:bCs/>
                <w:noProof/>
                <w:sz w:val="22"/>
                <w:szCs w:val="22"/>
              </w:rPr>
            </w:pPr>
          </w:p>
          <w:p w14:paraId="78784250" w14:textId="4B160C64" w:rsidR="001E1112" w:rsidRPr="00317ABF" w:rsidRDefault="001E1112" w:rsidP="00DB3BEC">
            <w:pPr>
              <w:pStyle w:val="Tekstpodstawowy"/>
              <w:rPr>
                <w:b/>
                <w:bCs/>
                <w:noProof/>
                <w:sz w:val="22"/>
                <w:szCs w:val="22"/>
              </w:rPr>
            </w:pPr>
          </w:p>
          <w:p w14:paraId="280AA7D3" w14:textId="0F12E038" w:rsidR="001E1112" w:rsidRPr="00317ABF" w:rsidRDefault="001E1112" w:rsidP="00DB3BEC">
            <w:pPr>
              <w:pStyle w:val="Tekstpodstawowy"/>
              <w:rPr>
                <w:b/>
                <w:bCs/>
                <w:noProof/>
                <w:sz w:val="22"/>
                <w:szCs w:val="22"/>
              </w:rPr>
            </w:pPr>
          </w:p>
          <w:p w14:paraId="478AA81A" w14:textId="01BFF1A1" w:rsidR="001E1112" w:rsidRPr="00317ABF" w:rsidRDefault="001E1112" w:rsidP="00DB3BEC">
            <w:pPr>
              <w:pStyle w:val="Tekstpodstawowy"/>
              <w:rPr>
                <w:b/>
                <w:bCs/>
                <w:noProof/>
                <w:sz w:val="22"/>
                <w:szCs w:val="22"/>
              </w:rPr>
            </w:pPr>
          </w:p>
          <w:p w14:paraId="02B9E0B7" w14:textId="77777777" w:rsidR="00156E7C" w:rsidRPr="00317ABF" w:rsidRDefault="00156E7C" w:rsidP="00DB3BEC">
            <w:pPr>
              <w:pStyle w:val="Tekstpodstawowy"/>
              <w:rPr>
                <w:b/>
                <w:bCs/>
                <w:noProof/>
                <w:sz w:val="22"/>
                <w:szCs w:val="22"/>
              </w:rPr>
            </w:pPr>
          </w:p>
          <w:p w14:paraId="49A25CE2" w14:textId="77777777" w:rsidR="00156E7C" w:rsidRPr="00317ABF" w:rsidRDefault="00156E7C" w:rsidP="00DB3BEC">
            <w:pPr>
              <w:pStyle w:val="Tekstpodstawowy"/>
              <w:rPr>
                <w:b/>
                <w:bCs/>
                <w:noProof/>
                <w:sz w:val="22"/>
                <w:szCs w:val="22"/>
              </w:rPr>
            </w:pPr>
          </w:p>
          <w:p w14:paraId="3C100DDA" w14:textId="77777777" w:rsidR="00156E7C" w:rsidRPr="00317ABF" w:rsidRDefault="00156E7C" w:rsidP="00DB3BEC">
            <w:pPr>
              <w:pStyle w:val="Tekstpodstawowy"/>
              <w:rPr>
                <w:b/>
                <w:bCs/>
                <w:noProof/>
                <w:sz w:val="22"/>
                <w:szCs w:val="22"/>
              </w:rPr>
            </w:pPr>
          </w:p>
          <w:p w14:paraId="4EF04A9F" w14:textId="77777777" w:rsidR="00156E7C" w:rsidRPr="00317ABF" w:rsidRDefault="00156E7C" w:rsidP="00DB3BEC">
            <w:pPr>
              <w:pStyle w:val="Tekstpodstawowy"/>
              <w:rPr>
                <w:b/>
                <w:bCs/>
                <w:noProof/>
                <w:sz w:val="22"/>
                <w:szCs w:val="22"/>
              </w:rPr>
            </w:pPr>
          </w:p>
          <w:p w14:paraId="736B9B36" w14:textId="77777777" w:rsidR="00156E7C" w:rsidRPr="00317ABF" w:rsidRDefault="00156E7C" w:rsidP="00DB3BEC">
            <w:pPr>
              <w:pStyle w:val="Tekstpodstawowy"/>
              <w:rPr>
                <w:b/>
                <w:bCs/>
                <w:noProof/>
                <w:sz w:val="22"/>
                <w:szCs w:val="22"/>
              </w:rPr>
            </w:pPr>
          </w:p>
          <w:p w14:paraId="022E6493" w14:textId="77777777" w:rsidR="00156E7C" w:rsidRPr="00317ABF" w:rsidRDefault="00156E7C" w:rsidP="00DB3BEC">
            <w:pPr>
              <w:pStyle w:val="Tekstpodstawowy"/>
              <w:rPr>
                <w:b/>
                <w:bCs/>
                <w:noProof/>
                <w:sz w:val="22"/>
                <w:szCs w:val="22"/>
              </w:rPr>
            </w:pPr>
          </w:p>
          <w:p w14:paraId="48D51BEA" w14:textId="77777777" w:rsidR="00156E7C" w:rsidRPr="00317ABF" w:rsidRDefault="00156E7C" w:rsidP="00DB3BEC">
            <w:pPr>
              <w:pStyle w:val="Tekstpodstawowy"/>
              <w:rPr>
                <w:b/>
                <w:bCs/>
                <w:noProof/>
                <w:sz w:val="22"/>
                <w:szCs w:val="22"/>
              </w:rPr>
            </w:pPr>
          </w:p>
          <w:p w14:paraId="329CC8E9" w14:textId="77777777" w:rsidR="00156E7C" w:rsidRPr="00317ABF" w:rsidRDefault="00156E7C" w:rsidP="00DB3BEC">
            <w:pPr>
              <w:pStyle w:val="Tekstpodstawowy"/>
              <w:rPr>
                <w:b/>
                <w:bCs/>
                <w:noProof/>
                <w:sz w:val="22"/>
                <w:szCs w:val="22"/>
              </w:rPr>
            </w:pPr>
          </w:p>
          <w:p w14:paraId="43D46883" w14:textId="77777777" w:rsidR="00156E7C" w:rsidRPr="00317ABF" w:rsidRDefault="00156E7C" w:rsidP="00DB3BEC">
            <w:pPr>
              <w:pStyle w:val="Tekstpodstawowy"/>
              <w:rPr>
                <w:b/>
                <w:bCs/>
                <w:noProof/>
                <w:sz w:val="22"/>
                <w:szCs w:val="22"/>
              </w:rPr>
            </w:pPr>
          </w:p>
          <w:p w14:paraId="739E5E73" w14:textId="056FCD9B" w:rsidR="001E1112" w:rsidRPr="00317ABF" w:rsidRDefault="001E1112" w:rsidP="00DB3BEC">
            <w:pPr>
              <w:pStyle w:val="Tekstpodstawowy"/>
              <w:rPr>
                <w:b/>
                <w:bCs/>
                <w:noProof/>
                <w:sz w:val="22"/>
                <w:szCs w:val="22"/>
              </w:rPr>
            </w:pPr>
            <w:r w:rsidRPr="00317ABF">
              <w:rPr>
                <w:b/>
                <w:bCs/>
                <w:noProof/>
                <w:sz w:val="22"/>
                <w:szCs w:val="22"/>
              </w:rPr>
              <w:t xml:space="preserve">Art. </w:t>
            </w:r>
            <w:r w:rsidR="00156E7C" w:rsidRPr="00317ABF">
              <w:rPr>
                <w:b/>
                <w:bCs/>
                <w:noProof/>
                <w:sz w:val="22"/>
                <w:szCs w:val="22"/>
              </w:rPr>
              <w:t>414</w:t>
            </w:r>
            <w:r w:rsidRPr="00317ABF">
              <w:rPr>
                <w:b/>
                <w:bCs/>
                <w:noProof/>
                <w:sz w:val="22"/>
                <w:szCs w:val="22"/>
              </w:rPr>
              <w:t xml:space="preserve"> ust. 1 pkt </w:t>
            </w:r>
            <w:r w:rsidR="00156E7C" w:rsidRPr="00317ABF">
              <w:rPr>
                <w:b/>
                <w:bCs/>
                <w:noProof/>
                <w:sz w:val="22"/>
                <w:szCs w:val="22"/>
              </w:rPr>
              <w:t>18</w:t>
            </w:r>
          </w:p>
          <w:p w14:paraId="577EB7E5" w14:textId="0794B009" w:rsidR="001E1112" w:rsidRPr="00317ABF" w:rsidRDefault="001E1112" w:rsidP="00DB3BEC">
            <w:pPr>
              <w:pStyle w:val="Tekstpodstawowy"/>
              <w:rPr>
                <w:b/>
                <w:bCs/>
                <w:noProof/>
                <w:sz w:val="22"/>
                <w:szCs w:val="22"/>
              </w:rPr>
            </w:pPr>
          </w:p>
          <w:p w14:paraId="295EA86F" w14:textId="58D55D93" w:rsidR="001E1112" w:rsidRPr="00317ABF" w:rsidRDefault="001E1112" w:rsidP="00DB3BEC">
            <w:pPr>
              <w:pStyle w:val="Tekstpodstawowy"/>
              <w:rPr>
                <w:b/>
                <w:bCs/>
                <w:noProof/>
                <w:sz w:val="22"/>
                <w:szCs w:val="22"/>
              </w:rPr>
            </w:pPr>
          </w:p>
          <w:p w14:paraId="11717AC2" w14:textId="40341932" w:rsidR="001E1112" w:rsidRPr="00317ABF" w:rsidRDefault="001E1112" w:rsidP="00DB3BEC">
            <w:pPr>
              <w:pStyle w:val="Tekstpodstawowy"/>
              <w:rPr>
                <w:b/>
                <w:bCs/>
                <w:noProof/>
                <w:sz w:val="22"/>
                <w:szCs w:val="22"/>
              </w:rPr>
            </w:pPr>
          </w:p>
          <w:p w14:paraId="1FBB373F" w14:textId="74558032" w:rsidR="001E1112" w:rsidRPr="00317ABF" w:rsidRDefault="001E1112" w:rsidP="00DB3BEC">
            <w:pPr>
              <w:pStyle w:val="Tekstpodstawowy"/>
              <w:rPr>
                <w:b/>
                <w:bCs/>
                <w:noProof/>
                <w:sz w:val="22"/>
                <w:szCs w:val="22"/>
              </w:rPr>
            </w:pPr>
          </w:p>
          <w:p w14:paraId="6FD935AA" w14:textId="3172803C" w:rsidR="001E1112" w:rsidRPr="00317ABF" w:rsidRDefault="001E1112" w:rsidP="00DB3BEC">
            <w:pPr>
              <w:pStyle w:val="Tekstpodstawowy"/>
              <w:rPr>
                <w:b/>
                <w:sz w:val="22"/>
                <w:szCs w:val="22"/>
                <w:lang w:val="en-US"/>
              </w:rPr>
            </w:pPr>
            <w:r w:rsidRPr="00317ABF">
              <w:rPr>
                <w:b/>
                <w:sz w:val="22"/>
                <w:szCs w:val="22"/>
                <w:lang w:val="en-US"/>
              </w:rPr>
              <w:t xml:space="preserve">Art. </w:t>
            </w:r>
            <w:r w:rsidR="00156E7C" w:rsidRPr="00317ABF">
              <w:rPr>
                <w:b/>
                <w:sz w:val="22"/>
                <w:szCs w:val="22"/>
                <w:lang w:val="en-US"/>
              </w:rPr>
              <w:t>407</w:t>
            </w:r>
            <w:r w:rsidRPr="00317ABF">
              <w:rPr>
                <w:b/>
                <w:sz w:val="22"/>
                <w:szCs w:val="22"/>
                <w:lang w:val="en-US"/>
              </w:rPr>
              <w:t xml:space="preserve"> ust. 2 pkt 2 lit. E tiret 2</w:t>
            </w:r>
          </w:p>
          <w:p w14:paraId="687C6DE0" w14:textId="3CEBDAC4" w:rsidR="001E1112" w:rsidRPr="00317ABF" w:rsidRDefault="001E1112" w:rsidP="00DB3BEC">
            <w:pPr>
              <w:pStyle w:val="Tekstpodstawowy"/>
              <w:rPr>
                <w:b/>
                <w:sz w:val="22"/>
                <w:szCs w:val="22"/>
                <w:lang w:val="en-US"/>
              </w:rPr>
            </w:pPr>
          </w:p>
        </w:tc>
        <w:tc>
          <w:tcPr>
            <w:tcW w:w="6814" w:type="dxa"/>
            <w:gridSpan w:val="2"/>
          </w:tcPr>
          <w:p w14:paraId="5A403416" w14:textId="51B70EFB" w:rsidR="001E1112" w:rsidRPr="00317ABF" w:rsidRDefault="001E1112" w:rsidP="00156E7C">
            <w:pPr>
              <w:pStyle w:val="USTustnpkodeksu"/>
              <w:keepNext/>
              <w:spacing w:line="240" w:lineRule="auto"/>
              <w:ind w:firstLine="0"/>
              <w:rPr>
                <w:rFonts w:ascii="Times New Roman" w:hAnsi="Times New Roman" w:cs="Times New Roman"/>
                <w:sz w:val="22"/>
                <w:szCs w:val="22"/>
              </w:rPr>
            </w:pPr>
            <w:r w:rsidRPr="00317ABF">
              <w:rPr>
                <w:rFonts w:ascii="Times New Roman" w:eastAsia="Times" w:hAnsi="Times New Roman" w:cs="Times New Roman"/>
                <w:sz w:val="22"/>
                <w:szCs w:val="22"/>
              </w:rPr>
              <w:lastRenderedPageBreak/>
              <w:t>3. Rada Ministrów określi, w drodze rozporządzenia, Krajową Tablicę Przeznaczeń Częstotliwości, realizując politykę państwa w zakresie gospodarki zasobami częstotliwości, spełniania wymagań dotyczących kompatybilności elektromagnetycznej oraz telekomunikacji, z uwzględnieniem:</w:t>
            </w:r>
          </w:p>
          <w:p w14:paraId="6616B91C" w14:textId="77777777" w:rsidR="00156E7C" w:rsidRPr="00317ABF" w:rsidRDefault="00156E7C" w:rsidP="00156E7C">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1)</w:t>
            </w:r>
            <w:r w:rsidRPr="00317ABF">
              <w:rPr>
                <w:rFonts w:ascii="Times New Roman" w:hAnsi="Times New Roman" w:cs="Times New Roman"/>
                <w:sz w:val="22"/>
                <w:szCs w:val="22"/>
              </w:rPr>
              <w:tab/>
              <w:t>międzynarodowych przepisów radiokomunikacyjnych;</w:t>
            </w:r>
          </w:p>
          <w:p w14:paraId="10C86222" w14:textId="77777777" w:rsidR="00156E7C" w:rsidRPr="00317ABF" w:rsidRDefault="00156E7C" w:rsidP="00156E7C">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2)</w:t>
            </w:r>
            <w:r w:rsidRPr="00317ABF">
              <w:rPr>
                <w:rFonts w:ascii="Times New Roman" w:hAnsi="Times New Roman" w:cs="Times New Roman"/>
                <w:sz w:val="22"/>
                <w:szCs w:val="22"/>
              </w:rPr>
              <w:tab/>
              <w:t>kierunków i celów polityki w zakresie planowania strategicznego, koordynacji i harmonizacji wykorzystania częstotliwości określonych w wieloletnich programach dotyczących polityki w zakresie częstotliwości przyjętych przez Parlament Europejski i Radę na podstawie art. 4 EKŁE;</w:t>
            </w:r>
          </w:p>
          <w:p w14:paraId="72696899" w14:textId="77777777" w:rsidR="00156E7C" w:rsidRPr="00317ABF" w:rsidRDefault="001E1112" w:rsidP="00156E7C">
            <w:pPr>
              <w:pStyle w:val="PKTpunkt0"/>
              <w:spacing w:line="240" w:lineRule="auto"/>
              <w:rPr>
                <w:rFonts w:ascii="Times New Roman" w:hAnsi="Times New Roman" w:cs="Times New Roman"/>
                <w:sz w:val="22"/>
                <w:szCs w:val="22"/>
              </w:rPr>
            </w:pPr>
            <w:r w:rsidRPr="00317ABF">
              <w:rPr>
                <w:rFonts w:ascii="Times New Roman" w:eastAsia="Times" w:hAnsi="Times New Roman" w:cs="Times New Roman"/>
                <w:sz w:val="22"/>
                <w:szCs w:val="22"/>
              </w:rPr>
              <w:t>3)</w:t>
            </w:r>
            <w:r w:rsidR="00156E7C" w:rsidRPr="00317ABF">
              <w:rPr>
                <w:rFonts w:ascii="Times New Roman" w:hAnsi="Times New Roman" w:cs="Times New Roman"/>
                <w:sz w:val="22"/>
                <w:szCs w:val="22"/>
              </w:rPr>
              <w:tab/>
            </w:r>
            <w:r w:rsidRPr="00317ABF">
              <w:rPr>
                <w:rFonts w:ascii="Times New Roman" w:eastAsia="Times" w:hAnsi="Times New Roman" w:cs="Times New Roman"/>
                <w:sz w:val="22"/>
                <w:szCs w:val="22"/>
              </w:rPr>
              <w:t>zharmonizowanych warunków ustanowionych w drodze technicznych środków wykonawczych przyjętych zgodnie decyzją 676/2002/WE;</w:t>
            </w:r>
          </w:p>
          <w:p w14:paraId="50DEA2E7" w14:textId="77777777" w:rsidR="00156E7C" w:rsidRPr="00317ABF" w:rsidRDefault="00156E7C" w:rsidP="00156E7C">
            <w:pPr>
              <w:pStyle w:val="PKTpunkt0"/>
              <w:keepNext/>
              <w:spacing w:line="240" w:lineRule="auto"/>
              <w:rPr>
                <w:rFonts w:ascii="Times New Roman" w:hAnsi="Times New Roman" w:cs="Times New Roman"/>
                <w:sz w:val="22"/>
                <w:szCs w:val="22"/>
              </w:rPr>
            </w:pPr>
            <w:r w:rsidRPr="00317ABF">
              <w:rPr>
                <w:rFonts w:ascii="Times New Roman" w:hAnsi="Times New Roman" w:cs="Times New Roman"/>
                <w:sz w:val="22"/>
                <w:szCs w:val="22"/>
              </w:rPr>
              <w:t>4)</w:t>
            </w:r>
            <w:r w:rsidRPr="00317ABF">
              <w:rPr>
                <w:rFonts w:ascii="Times New Roman" w:hAnsi="Times New Roman" w:cs="Times New Roman"/>
                <w:sz w:val="22"/>
                <w:szCs w:val="22"/>
              </w:rPr>
              <w:tab/>
              <w:t>wymagań dotyczących:</w:t>
            </w:r>
          </w:p>
          <w:p w14:paraId="081C525C" w14:textId="77777777" w:rsidR="00156E7C" w:rsidRPr="00317ABF" w:rsidRDefault="00156E7C" w:rsidP="00156E7C">
            <w:pPr>
              <w:pStyle w:val="LITlitera"/>
              <w:spacing w:line="240" w:lineRule="auto"/>
              <w:rPr>
                <w:rFonts w:ascii="Times New Roman" w:hAnsi="Times New Roman" w:cs="Times New Roman"/>
                <w:sz w:val="22"/>
                <w:szCs w:val="22"/>
              </w:rPr>
            </w:pPr>
            <w:r w:rsidRPr="00317ABF">
              <w:rPr>
                <w:rFonts w:ascii="Times New Roman" w:hAnsi="Times New Roman" w:cs="Times New Roman"/>
                <w:sz w:val="22"/>
                <w:szCs w:val="22"/>
              </w:rPr>
              <w:lastRenderedPageBreak/>
              <w:t>a)</w:t>
            </w:r>
            <w:r w:rsidRPr="00317ABF">
              <w:rPr>
                <w:rFonts w:ascii="Times New Roman" w:hAnsi="Times New Roman" w:cs="Times New Roman"/>
                <w:sz w:val="22"/>
                <w:szCs w:val="22"/>
              </w:rPr>
              <w:tab/>
              <w:t>zapewnienia warunków do harmonijnego rozwoju służb radiokomunikacyjnych oraz dziedzin nauki i techniki, wykorzystujących zasoby częstotliwości,</w:t>
            </w:r>
          </w:p>
          <w:p w14:paraId="4190501D" w14:textId="77777777" w:rsidR="00156E7C" w:rsidRPr="00317ABF" w:rsidRDefault="00156E7C" w:rsidP="00156E7C">
            <w:pPr>
              <w:pStyle w:val="LITlitera"/>
              <w:spacing w:line="240" w:lineRule="auto"/>
              <w:rPr>
                <w:rFonts w:ascii="Times New Roman" w:hAnsi="Times New Roman" w:cs="Times New Roman"/>
                <w:sz w:val="22"/>
                <w:szCs w:val="22"/>
              </w:rPr>
            </w:pPr>
            <w:r w:rsidRPr="00317ABF">
              <w:rPr>
                <w:rFonts w:ascii="Times New Roman" w:hAnsi="Times New Roman" w:cs="Times New Roman"/>
                <w:sz w:val="22"/>
                <w:szCs w:val="22"/>
              </w:rPr>
              <w:t>b)</w:t>
            </w:r>
            <w:r w:rsidRPr="00317ABF">
              <w:rPr>
                <w:rFonts w:ascii="Times New Roman" w:hAnsi="Times New Roman" w:cs="Times New Roman"/>
                <w:sz w:val="22"/>
                <w:szCs w:val="22"/>
              </w:rPr>
              <w:tab/>
              <w:t>wdrażania nowych, efektywnych technik radiokomunikacyjnych,</w:t>
            </w:r>
          </w:p>
          <w:p w14:paraId="28920FFF" w14:textId="585E4751" w:rsidR="001E1112" w:rsidRPr="00317ABF" w:rsidRDefault="00156E7C" w:rsidP="00156E7C">
            <w:pPr>
              <w:ind w:left="955" w:hanging="425"/>
              <w:jc w:val="both"/>
              <w:rPr>
                <w:sz w:val="22"/>
                <w:szCs w:val="22"/>
              </w:rPr>
            </w:pPr>
            <w:r w:rsidRPr="00317ABF">
              <w:rPr>
                <w:sz w:val="22"/>
                <w:szCs w:val="22"/>
              </w:rPr>
              <w:t>c)</w:t>
            </w:r>
            <w:r w:rsidRPr="00317ABF">
              <w:rPr>
                <w:sz w:val="22"/>
                <w:szCs w:val="22"/>
              </w:rPr>
              <w:tab/>
              <w:t>obronności, bezpieczeństwa państwa oraz bezpieczeństwa i porządku publicznego, w tym ustaleń sojuszniczych dokumentów i porozumień cywilno-wojskowych dotyczących zharmonizowanych potrzeb widmowych NATO.</w:t>
            </w:r>
          </w:p>
          <w:p w14:paraId="4C1FF334" w14:textId="7419F677" w:rsidR="001E1112" w:rsidRPr="00317ABF" w:rsidRDefault="001E1112" w:rsidP="00DB3BEC">
            <w:pPr>
              <w:jc w:val="both"/>
              <w:rPr>
                <w:sz w:val="22"/>
                <w:szCs w:val="22"/>
              </w:rPr>
            </w:pPr>
          </w:p>
          <w:p w14:paraId="7563DFD9" w14:textId="77777777" w:rsidR="00156E7C" w:rsidRPr="00317ABF" w:rsidRDefault="00156E7C" w:rsidP="00156E7C">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18)</w:t>
            </w:r>
            <w:r w:rsidRPr="00317ABF">
              <w:rPr>
                <w:rFonts w:ascii="Times New Roman" w:hAnsi="Times New Roman" w:cs="Times New Roman"/>
                <w:sz w:val="22"/>
                <w:szCs w:val="22"/>
              </w:rPr>
              <w:tab/>
            </w:r>
            <w:r w:rsidR="001E1112" w:rsidRPr="00317ABF">
              <w:rPr>
                <w:rFonts w:ascii="Times New Roman" w:hAnsi="Times New Roman" w:cs="Times New Roman"/>
                <w:sz w:val="22"/>
                <w:szCs w:val="22"/>
              </w:rPr>
              <w:t>prowadzenie transgranicznych koordynacji częstotliwości z innymi państwami, w tym zawieranie niezbędnych umów lub porozumień, w sposób i w terminach pozwalających na realizację zobowiązań wynikających z wiążących Rzeczpospolitą Polską umów międzynarodowych lub aktów prawnych Unii Europejskiej, dotyczących gospodarowania częstotliwościami;</w:t>
            </w:r>
          </w:p>
          <w:p w14:paraId="7BBB994F" w14:textId="0296FC90" w:rsidR="001E1112" w:rsidRPr="00317ABF" w:rsidRDefault="001E1112" w:rsidP="00DB3BEC">
            <w:pPr>
              <w:jc w:val="both"/>
              <w:rPr>
                <w:sz w:val="22"/>
                <w:szCs w:val="22"/>
              </w:rPr>
            </w:pPr>
          </w:p>
          <w:p w14:paraId="7C182DA9" w14:textId="0FFE95F7" w:rsidR="001E1112" w:rsidRPr="00317ABF" w:rsidRDefault="001E1112" w:rsidP="00DB3BEC">
            <w:pPr>
              <w:jc w:val="both"/>
              <w:rPr>
                <w:sz w:val="22"/>
                <w:szCs w:val="22"/>
              </w:rPr>
            </w:pPr>
          </w:p>
          <w:p w14:paraId="18B74273" w14:textId="7E5A0BBF" w:rsidR="001E1112" w:rsidRPr="00317ABF" w:rsidRDefault="001E1112" w:rsidP="003E7C72">
            <w:pPr>
              <w:pStyle w:val="LITlitera"/>
              <w:numPr>
                <w:ilvl w:val="0"/>
                <w:numId w:val="4"/>
              </w:numPr>
              <w:spacing w:line="240" w:lineRule="auto"/>
              <w:ind w:left="388" w:hanging="283"/>
              <w:rPr>
                <w:rFonts w:ascii="Times New Roman" w:hAnsi="Times New Roman" w:cs="Times New Roman"/>
                <w:sz w:val="22"/>
                <w:szCs w:val="22"/>
              </w:rPr>
            </w:pPr>
            <w:r w:rsidRPr="00317ABF">
              <w:rPr>
                <w:rFonts w:ascii="Times New Roman" w:eastAsia="Times" w:hAnsi="Times New Roman" w:cs="Times New Roman"/>
                <w:sz w:val="22"/>
                <w:szCs w:val="22"/>
              </w:rPr>
              <w:t>współpracę z innymi organami regulacyjnymi państw członkowskich i Komisją Europejską, w tym w ramach RSPG, a na ich wniosek także z Parlamentem Europejskim i Radą w zakresie:</w:t>
            </w:r>
          </w:p>
          <w:p w14:paraId="5B2F9378" w14:textId="11C42507" w:rsidR="001E1112" w:rsidRPr="00317ABF" w:rsidRDefault="001E1112" w:rsidP="00DB3BEC">
            <w:pPr>
              <w:ind w:left="397" w:hanging="397"/>
              <w:jc w:val="both"/>
              <w:rPr>
                <w:sz w:val="22"/>
                <w:szCs w:val="22"/>
              </w:rPr>
            </w:pPr>
            <w:r w:rsidRPr="00317ABF">
              <w:rPr>
                <w:rFonts w:eastAsia="Times"/>
                <w:sz w:val="22"/>
                <w:szCs w:val="22"/>
              </w:rPr>
              <w:t>–     promowania koordynacji polityki w zakresie częstotliwości w Unii Europejskiej, a także zharmonizowanych warunków w odniesieniu do dostępności i efektywnego wykorzystania częstotliwości, koniecznego do ustanowienia i funkcjonowania rynku wewnętrznego usług komunikacji elektronicznej</w:t>
            </w:r>
          </w:p>
        </w:tc>
      </w:tr>
      <w:tr w:rsidR="001E1112" w:rsidRPr="00317ABF" w14:paraId="27F54A55" w14:textId="77777777" w:rsidTr="7753F98D">
        <w:trPr>
          <w:gridAfter w:val="2"/>
          <w:wAfter w:w="175" w:type="dxa"/>
        </w:trPr>
        <w:tc>
          <w:tcPr>
            <w:tcW w:w="704" w:type="dxa"/>
          </w:tcPr>
          <w:p w14:paraId="3BB02BE1" w14:textId="77777777" w:rsidR="001E1112" w:rsidRPr="00317ABF" w:rsidRDefault="001E1112" w:rsidP="00DB3BEC">
            <w:pPr>
              <w:jc w:val="both"/>
              <w:rPr>
                <w:sz w:val="22"/>
                <w:szCs w:val="22"/>
              </w:rPr>
            </w:pPr>
            <w:r w:rsidRPr="00317ABF">
              <w:rPr>
                <w:sz w:val="22"/>
                <w:szCs w:val="22"/>
              </w:rPr>
              <w:lastRenderedPageBreak/>
              <w:t>Art. 4 ust. 3</w:t>
            </w:r>
          </w:p>
        </w:tc>
        <w:tc>
          <w:tcPr>
            <w:tcW w:w="4308" w:type="dxa"/>
          </w:tcPr>
          <w:p w14:paraId="72FB0FC9" w14:textId="77777777" w:rsidR="001E1112" w:rsidRPr="00317ABF" w:rsidRDefault="001E1112" w:rsidP="00DB3BEC">
            <w:pPr>
              <w:spacing w:before="120"/>
              <w:jc w:val="both"/>
              <w:rPr>
                <w:sz w:val="22"/>
                <w:szCs w:val="22"/>
              </w:rPr>
            </w:pPr>
            <w:r w:rsidRPr="00317ABF">
              <w:rPr>
                <w:sz w:val="22"/>
                <w:szCs w:val="22"/>
              </w:rPr>
              <w:t>3.   Państwa członkowskie, w ramach RSPG współpracują ze sobą oraz z Komisją zgodnie z ust. 1, a także – na ich wniosek – z Parlamentem Europejskim i Radą, aby wspierać planowanie strategiczne i koordynację mechanizmów kształtowania polityki w zakresie widma radiowego w Unii poprzez:</w:t>
            </w:r>
          </w:p>
          <w:tbl>
            <w:tblPr>
              <w:tblW w:w="5000" w:type="pct"/>
              <w:tblCellSpacing w:w="0" w:type="dxa"/>
              <w:tblLayout w:type="fixed"/>
              <w:tblCellMar>
                <w:left w:w="0" w:type="dxa"/>
                <w:right w:w="0" w:type="dxa"/>
              </w:tblCellMar>
              <w:tblLook w:val="04A0" w:firstRow="1" w:lastRow="0" w:firstColumn="1" w:lastColumn="0" w:noHBand="0" w:noVBand="1"/>
            </w:tblPr>
            <w:tblGrid>
              <w:gridCol w:w="20"/>
              <w:gridCol w:w="4148"/>
            </w:tblGrid>
            <w:tr w:rsidR="001E1112" w:rsidRPr="00317ABF" w14:paraId="7636F133" w14:textId="77777777" w:rsidTr="009D0AC1">
              <w:trPr>
                <w:tblCellSpacing w:w="0" w:type="dxa"/>
              </w:trPr>
              <w:tc>
                <w:tcPr>
                  <w:tcW w:w="6" w:type="dxa"/>
                  <w:hideMark/>
                </w:tcPr>
                <w:p w14:paraId="58E6DD4E" w14:textId="77777777" w:rsidR="001E1112" w:rsidRPr="00317ABF" w:rsidRDefault="001E1112" w:rsidP="00EE0AC3">
                  <w:pPr>
                    <w:framePr w:hSpace="141" w:wrap="around" w:vAnchor="text" w:hAnchor="text" w:xAlign="right" w:y="1"/>
                    <w:spacing w:before="120"/>
                    <w:suppressOverlap/>
                    <w:jc w:val="both"/>
                    <w:rPr>
                      <w:sz w:val="22"/>
                      <w:szCs w:val="22"/>
                    </w:rPr>
                  </w:pPr>
                </w:p>
              </w:tc>
              <w:tc>
                <w:tcPr>
                  <w:tcW w:w="9066" w:type="dxa"/>
                  <w:hideMark/>
                </w:tcPr>
                <w:p w14:paraId="155AA65D" w14:textId="77777777" w:rsidR="001E1112" w:rsidRPr="00317ABF" w:rsidRDefault="001E1112" w:rsidP="00EE0AC3">
                  <w:pPr>
                    <w:framePr w:hSpace="141" w:wrap="around" w:vAnchor="text" w:hAnchor="text" w:xAlign="right" w:y="1"/>
                    <w:numPr>
                      <w:ilvl w:val="0"/>
                      <w:numId w:val="6"/>
                    </w:numPr>
                    <w:spacing w:before="120"/>
                    <w:suppressOverlap/>
                    <w:jc w:val="both"/>
                    <w:rPr>
                      <w:sz w:val="22"/>
                      <w:szCs w:val="22"/>
                    </w:rPr>
                  </w:pPr>
                  <w:r w:rsidRPr="00317ABF">
                    <w:rPr>
                      <w:sz w:val="22"/>
                      <w:szCs w:val="22"/>
                    </w:rPr>
                    <w:t>opracowanie najlepszych praktyk dotyczących kwestii związanych z widmem radiowym z myślą o wdrażaniu niniejszej dyrektywy;</w:t>
                  </w:r>
                </w:p>
              </w:tc>
            </w:tr>
          </w:tbl>
          <w:p w14:paraId="7D3BEE8F" w14:textId="77777777" w:rsidR="001E1112" w:rsidRPr="00317ABF" w:rsidRDefault="001E1112" w:rsidP="00DB3BEC">
            <w:pPr>
              <w:jc w:val="both"/>
              <w:rPr>
                <w:vanish/>
                <w:sz w:val="22"/>
                <w:szCs w:val="22"/>
              </w:rPr>
            </w:pPr>
          </w:p>
          <w:tbl>
            <w:tblPr>
              <w:tblW w:w="5000" w:type="pct"/>
              <w:tblCellSpacing w:w="0" w:type="dxa"/>
              <w:tblLayout w:type="fixed"/>
              <w:tblCellMar>
                <w:left w:w="0" w:type="dxa"/>
                <w:right w:w="0" w:type="dxa"/>
              </w:tblCellMar>
              <w:tblLook w:val="04A0" w:firstRow="1" w:lastRow="0" w:firstColumn="1" w:lastColumn="0" w:noHBand="0" w:noVBand="1"/>
            </w:tblPr>
            <w:tblGrid>
              <w:gridCol w:w="20"/>
              <w:gridCol w:w="4148"/>
            </w:tblGrid>
            <w:tr w:rsidR="001E1112" w:rsidRPr="00317ABF" w14:paraId="234EFE41" w14:textId="77777777" w:rsidTr="009D0AC1">
              <w:trPr>
                <w:tblCellSpacing w:w="0" w:type="dxa"/>
              </w:trPr>
              <w:tc>
                <w:tcPr>
                  <w:tcW w:w="6" w:type="dxa"/>
                  <w:hideMark/>
                </w:tcPr>
                <w:p w14:paraId="3B88899E" w14:textId="77777777" w:rsidR="001E1112" w:rsidRPr="00317ABF" w:rsidRDefault="001E1112" w:rsidP="00EE0AC3">
                  <w:pPr>
                    <w:framePr w:hSpace="141" w:wrap="around" w:vAnchor="text" w:hAnchor="text" w:xAlign="right" w:y="1"/>
                    <w:spacing w:before="120"/>
                    <w:suppressOverlap/>
                    <w:jc w:val="both"/>
                    <w:rPr>
                      <w:sz w:val="22"/>
                      <w:szCs w:val="22"/>
                    </w:rPr>
                  </w:pPr>
                </w:p>
              </w:tc>
              <w:tc>
                <w:tcPr>
                  <w:tcW w:w="9066" w:type="dxa"/>
                  <w:hideMark/>
                </w:tcPr>
                <w:p w14:paraId="295F9D43" w14:textId="77777777" w:rsidR="001E1112" w:rsidRPr="00317ABF" w:rsidRDefault="001E1112" w:rsidP="00EE0AC3">
                  <w:pPr>
                    <w:framePr w:hSpace="141" w:wrap="around" w:vAnchor="text" w:hAnchor="text" w:xAlign="right" w:y="1"/>
                    <w:numPr>
                      <w:ilvl w:val="0"/>
                      <w:numId w:val="6"/>
                    </w:numPr>
                    <w:spacing w:before="120"/>
                    <w:suppressOverlap/>
                    <w:jc w:val="both"/>
                    <w:rPr>
                      <w:sz w:val="22"/>
                      <w:szCs w:val="22"/>
                    </w:rPr>
                  </w:pPr>
                  <w:r w:rsidRPr="00317ABF">
                    <w:rPr>
                      <w:sz w:val="22"/>
                      <w:szCs w:val="22"/>
                    </w:rPr>
                    <w:t>ułatwianie koordynacji między państwami członkowskimi z myślą o wdrażaniu niniejszej dyrektywy i innych przepisów prawa unijnego oraz o przyczynieniu się do rozwoju rynku wewnętrznego;</w:t>
                  </w:r>
                </w:p>
              </w:tc>
            </w:tr>
          </w:tbl>
          <w:p w14:paraId="69E2BB2B" w14:textId="77777777" w:rsidR="001E1112" w:rsidRPr="00317ABF" w:rsidRDefault="001E1112" w:rsidP="00DB3BEC">
            <w:pPr>
              <w:jc w:val="both"/>
              <w:rPr>
                <w:vanish/>
                <w:sz w:val="22"/>
                <w:szCs w:val="22"/>
              </w:rPr>
            </w:pPr>
          </w:p>
          <w:tbl>
            <w:tblPr>
              <w:tblW w:w="5000" w:type="pct"/>
              <w:tblCellSpacing w:w="0" w:type="dxa"/>
              <w:tblLayout w:type="fixed"/>
              <w:tblCellMar>
                <w:left w:w="0" w:type="dxa"/>
                <w:right w:w="0" w:type="dxa"/>
              </w:tblCellMar>
              <w:tblLook w:val="04A0" w:firstRow="1" w:lastRow="0" w:firstColumn="1" w:lastColumn="0" w:noHBand="0" w:noVBand="1"/>
            </w:tblPr>
            <w:tblGrid>
              <w:gridCol w:w="20"/>
              <w:gridCol w:w="4148"/>
            </w:tblGrid>
            <w:tr w:rsidR="001E1112" w:rsidRPr="00317ABF" w14:paraId="1131E1DE" w14:textId="77777777" w:rsidTr="009D0AC1">
              <w:trPr>
                <w:tblCellSpacing w:w="0" w:type="dxa"/>
              </w:trPr>
              <w:tc>
                <w:tcPr>
                  <w:tcW w:w="6" w:type="dxa"/>
                  <w:hideMark/>
                </w:tcPr>
                <w:p w14:paraId="57C0D796" w14:textId="77777777" w:rsidR="001E1112" w:rsidRPr="00317ABF" w:rsidRDefault="001E1112" w:rsidP="00EE0AC3">
                  <w:pPr>
                    <w:framePr w:hSpace="141" w:wrap="around" w:vAnchor="text" w:hAnchor="text" w:xAlign="right" w:y="1"/>
                    <w:spacing w:before="120"/>
                    <w:suppressOverlap/>
                    <w:jc w:val="both"/>
                    <w:rPr>
                      <w:sz w:val="22"/>
                      <w:szCs w:val="22"/>
                    </w:rPr>
                  </w:pPr>
                </w:p>
              </w:tc>
              <w:tc>
                <w:tcPr>
                  <w:tcW w:w="9066" w:type="dxa"/>
                  <w:hideMark/>
                </w:tcPr>
                <w:p w14:paraId="50409EFE" w14:textId="77777777" w:rsidR="001E1112" w:rsidRPr="00317ABF" w:rsidRDefault="001E1112" w:rsidP="00EE0AC3">
                  <w:pPr>
                    <w:framePr w:hSpace="141" w:wrap="around" w:vAnchor="text" w:hAnchor="text" w:xAlign="right" w:y="1"/>
                    <w:numPr>
                      <w:ilvl w:val="0"/>
                      <w:numId w:val="6"/>
                    </w:numPr>
                    <w:spacing w:before="120"/>
                    <w:suppressOverlap/>
                    <w:jc w:val="both"/>
                    <w:rPr>
                      <w:sz w:val="22"/>
                      <w:szCs w:val="22"/>
                    </w:rPr>
                  </w:pPr>
                  <w:r w:rsidRPr="00317ABF">
                    <w:rPr>
                      <w:sz w:val="22"/>
                      <w:szCs w:val="22"/>
                    </w:rPr>
                    <w:t>koordynowanie swoich podejść do przydzielania i zezwalania na użytkowanie widma radiowego oraz publikowanie sprawozdań lub opinii dotyczących kwestii związanych z widmem radiowym.</w:t>
                  </w:r>
                </w:p>
                <w:p w14:paraId="54D7F4C9" w14:textId="77777777" w:rsidR="001E1112" w:rsidRPr="00317ABF" w:rsidRDefault="001E1112" w:rsidP="00EE0AC3">
                  <w:pPr>
                    <w:framePr w:hSpace="141" w:wrap="around" w:vAnchor="text" w:hAnchor="text" w:xAlign="right" w:y="1"/>
                    <w:spacing w:before="120"/>
                    <w:suppressOverlap/>
                    <w:jc w:val="both"/>
                    <w:rPr>
                      <w:sz w:val="22"/>
                      <w:szCs w:val="22"/>
                    </w:rPr>
                  </w:pPr>
                  <w:r w:rsidRPr="00317ABF">
                    <w:rPr>
                      <w:sz w:val="22"/>
                      <w:szCs w:val="22"/>
                    </w:rPr>
                    <w:t>BEREC uczestniczy w kwestiach dotyczących jego kompetencji w odniesieniu do regulacji rynku i konkurencji w związku z widmem radiowym.</w:t>
                  </w:r>
                </w:p>
              </w:tc>
            </w:tr>
          </w:tbl>
          <w:p w14:paraId="0D142F6F" w14:textId="77777777" w:rsidR="001E1112" w:rsidRPr="00317ABF" w:rsidRDefault="001E1112" w:rsidP="00DB3BEC">
            <w:pPr>
              <w:autoSpaceDE w:val="0"/>
              <w:autoSpaceDN w:val="0"/>
              <w:adjustRightInd w:val="0"/>
              <w:jc w:val="both"/>
              <w:rPr>
                <w:rFonts w:eastAsia="EUAlbertina-Regular-Identity-H"/>
                <w:sz w:val="22"/>
                <w:szCs w:val="22"/>
              </w:rPr>
            </w:pPr>
          </w:p>
        </w:tc>
        <w:tc>
          <w:tcPr>
            <w:tcW w:w="986" w:type="dxa"/>
          </w:tcPr>
          <w:p w14:paraId="4475AD14" w14:textId="079B93E3" w:rsidR="001E1112" w:rsidRPr="00317ABF" w:rsidRDefault="001E1112" w:rsidP="00DB3BEC">
            <w:pPr>
              <w:jc w:val="both"/>
              <w:rPr>
                <w:sz w:val="22"/>
                <w:szCs w:val="22"/>
              </w:rPr>
            </w:pPr>
            <w:r w:rsidRPr="00317ABF">
              <w:rPr>
                <w:sz w:val="22"/>
                <w:szCs w:val="22"/>
              </w:rPr>
              <w:lastRenderedPageBreak/>
              <w:t>T</w:t>
            </w:r>
          </w:p>
        </w:tc>
        <w:tc>
          <w:tcPr>
            <w:tcW w:w="910" w:type="dxa"/>
          </w:tcPr>
          <w:p w14:paraId="6DEFE3BB" w14:textId="54204AD8" w:rsidR="001E1112" w:rsidRPr="00317ABF" w:rsidRDefault="00DB3BEC" w:rsidP="00DB3BEC">
            <w:pPr>
              <w:pStyle w:val="Tekstpodstawowy"/>
              <w:rPr>
                <w:b/>
                <w:sz w:val="22"/>
                <w:szCs w:val="22"/>
                <w:lang w:val="en-US"/>
              </w:rPr>
            </w:pPr>
            <w:r w:rsidRPr="00317ABF">
              <w:rPr>
                <w:b/>
                <w:sz w:val="22"/>
                <w:szCs w:val="22"/>
                <w:lang w:val="en-US"/>
              </w:rPr>
              <w:t xml:space="preserve">Art. </w:t>
            </w:r>
            <w:r w:rsidR="003E7C72" w:rsidRPr="00317ABF">
              <w:rPr>
                <w:b/>
                <w:sz w:val="22"/>
                <w:szCs w:val="22"/>
                <w:lang w:val="en-US"/>
              </w:rPr>
              <w:t>407</w:t>
            </w:r>
            <w:r w:rsidR="001E1112" w:rsidRPr="00317ABF">
              <w:rPr>
                <w:b/>
                <w:sz w:val="22"/>
                <w:szCs w:val="22"/>
                <w:lang w:val="en-US"/>
              </w:rPr>
              <w:t xml:space="preserve"> pkt 2 lit e</w:t>
            </w:r>
          </w:p>
          <w:p w14:paraId="718EB92E" w14:textId="0CD8095A" w:rsidR="001E1112" w:rsidRPr="00317ABF" w:rsidRDefault="001E1112" w:rsidP="00DB3BEC">
            <w:pPr>
              <w:pStyle w:val="Tekstpodstawowy"/>
              <w:rPr>
                <w:b/>
                <w:sz w:val="22"/>
                <w:szCs w:val="22"/>
                <w:lang w:val="en-US"/>
              </w:rPr>
            </w:pPr>
          </w:p>
          <w:p w14:paraId="7FBE4456" w14:textId="66ADD4E8" w:rsidR="001E1112" w:rsidRPr="00317ABF" w:rsidRDefault="001E1112" w:rsidP="00DB3BEC">
            <w:pPr>
              <w:pStyle w:val="Tekstpodstawowy"/>
              <w:rPr>
                <w:b/>
                <w:sz w:val="22"/>
                <w:szCs w:val="22"/>
                <w:lang w:val="en-US"/>
              </w:rPr>
            </w:pPr>
          </w:p>
          <w:p w14:paraId="4FB08B84" w14:textId="09766073" w:rsidR="001E1112" w:rsidRPr="00317ABF" w:rsidRDefault="001E1112" w:rsidP="00DB3BEC">
            <w:pPr>
              <w:pStyle w:val="Tekstpodstawowy"/>
              <w:rPr>
                <w:b/>
                <w:sz w:val="22"/>
                <w:szCs w:val="22"/>
                <w:lang w:val="en-US"/>
              </w:rPr>
            </w:pPr>
          </w:p>
          <w:p w14:paraId="3224CE2B" w14:textId="7B76D809" w:rsidR="001E1112" w:rsidRPr="00317ABF" w:rsidRDefault="001E1112" w:rsidP="00DB3BEC">
            <w:pPr>
              <w:pStyle w:val="Tekstpodstawowy"/>
              <w:rPr>
                <w:b/>
                <w:sz w:val="22"/>
                <w:szCs w:val="22"/>
                <w:lang w:val="en-US"/>
              </w:rPr>
            </w:pPr>
          </w:p>
          <w:p w14:paraId="5279BF03" w14:textId="14FE5E5E" w:rsidR="001E1112" w:rsidRPr="00317ABF" w:rsidRDefault="001E1112" w:rsidP="00DB3BEC">
            <w:pPr>
              <w:pStyle w:val="Tekstpodstawowy"/>
              <w:rPr>
                <w:b/>
                <w:sz w:val="22"/>
                <w:szCs w:val="22"/>
                <w:lang w:val="en-US"/>
              </w:rPr>
            </w:pPr>
          </w:p>
          <w:p w14:paraId="16B5B936" w14:textId="1AA82753" w:rsidR="001E1112" w:rsidRPr="00317ABF" w:rsidRDefault="001E1112" w:rsidP="00DB3BEC">
            <w:pPr>
              <w:pStyle w:val="Tekstpodstawowy"/>
              <w:rPr>
                <w:b/>
                <w:sz w:val="22"/>
                <w:szCs w:val="22"/>
                <w:lang w:val="en-US"/>
              </w:rPr>
            </w:pPr>
          </w:p>
          <w:p w14:paraId="5E678892" w14:textId="7443593A" w:rsidR="001E1112" w:rsidRPr="00317ABF" w:rsidRDefault="001E1112" w:rsidP="00DB3BEC">
            <w:pPr>
              <w:pStyle w:val="Tekstpodstawowy"/>
              <w:rPr>
                <w:b/>
                <w:sz w:val="22"/>
                <w:szCs w:val="22"/>
                <w:lang w:val="en-US"/>
              </w:rPr>
            </w:pPr>
          </w:p>
          <w:p w14:paraId="22CA78DF" w14:textId="1A1B7860" w:rsidR="001E1112" w:rsidRPr="00317ABF" w:rsidRDefault="001E1112" w:rsidP="00DB3BEC">
            <w:pPr>
              <w:pStyle w:val="Tekstpodstawowy"/>
              <w:rPr>
                <w:b/>
                <w:sz w:val="22"/>
                <w:szCs w:val="22"/>
                <w:lang w:val="en-US"/>
              </w:rPr>
            </w:pPr>
          </w:p>
          <w:p w14:paraId="5B638596" w14:textId="1A1B7860" w:rsidR="001E1112" w:rsidRPr="00317ABF" w:rsidRDefault="001E1112" w:rsidP="00DB3BEC">
            <w:pPr>
              <w:pStyle w:val="Tekstpodstawowy"/>
              <w:rPr>
                <w:b/>
                <w:sz w:val="22"/>
                <w:szCs w:val="22"/>
                <w:lang w:val="en-US"/>
              </w:rPr>
            </w:pPr>
          </w:p>
          <w:p w14:paraId="5962BE87" w14:textId="1A1B7860" w:rsidR="001E1112" w:rsidRPr="00317ABF" w:rsidRDefault="001E1112" w:rsidP="00DB3BEC">
            <w:pPr>
              <w:pStyle w:val="Tekstpodstawowy"/>
              <w:rPr>
                <w:b/>
                <w:sz w:val="22"/>
                <w:szCs w:val="22"/>
                <w:lang w:val="en-US"/>
              </w:rPr>
            </w:pPr>
          </w:p>
          <w:p w14:paraId="64126938" w14:textId="77777777" w:rsidR="00DC28FC" w:rsidRPr="00317ABF" w:rsidRDefault="00DC28FC" w:rsidP="00DB3BEC">
            <w:pPr>
              <w:pStyle w:val="Tekstpodstawowy"/>
              <w:rPr>
                <w:b/>
                <w:sz w:val="22"/>
                <w:szCs w:val="22"/>
                <w:lang w:val="en-US"/>
              </w:rPr>
            </w:pPr>
          </w:p>
          <w:p w14:paraId="120C4E94" w14:textId="60CCA0EB" w:rsidR="001E1112" w:rsidRPr="00317ABF" w:rsidRDefault="00DB3BEC" w:rsidP="00DB3BEC">
            <w:pPr>
              <w:pStyle w:val="Tekstpodstawowy"/>
              <w:rPr>
                <w:b/>
                <w:sz w:val="22"/>
                <w:szCs w:val="22"/>
                <w:lang w:val="en-US"/>
              </w:rPr>
            </w:pPr>
            <w:r w:rsidRPr="00317ABF">
              <w:rPr>
                <w:b/>
                <w:sz w:val="22"/>
                <w:szCs w:val="22"/>
                <w:lang w:val="en-US"/>
              </w:rPr>
              <w:lastRenderedPageBreak/>
              <w:t xml:space="preserve">Art. </w:t>
            </w:r>
            <w:r w:rsidR="00F753A7" w:rsidRPr="00317ABF">
              <w:rPr>
                <w:b/>
                <w:sz w:val="22"/>
                <w:szCs w:val="22"/>
                <w:lang w:val="en-US"/>
              </w:rPr>
              <w:t>414</w:t>
            </w:r>
            <w:r w:rsidR="001E1112" w:rsidRPr="00317ABF">
              <w:rPr>
                <w:b/>
                <w:sz w:val="22"/>
                <w:szCs w:val="22"/>
                <w:lang w:val="en-US"/>
              </w:rPr>
              <w:t xml:space="preserve"> ust. 1 pkt </w:t>
            </w:r>
            <w:r w:rsidR="00F753A7" w:rsidRPr="00317ABF">
              <w:rPr>
                <w:b/>
                <w:sz w:val="22"/>
                <w:szCs w:val="22"/>
                <w:lang w:val="en-US"/>
              </w:rPr>
              <w:t>11</w:t>
            </w:r>
          </w:p>
        </w:tc>
        <w:tc>
          <w:tcPr>
            <w:tcW w:w="6814" w:type="dxa"/>
            <w:gridSpan w:val="2"/>
          </w:tcPr>
          <w:p w14:paraId="697AAE33" w14:textId="77777777" w:rsidR="003E7C72" w:rsidRPr="00317ABF" w:rsidRDefault="003E7C72" w:rsidP="003E7C72">
            <w:pPr>
              <w:pStyle w:val="LITlitera"/>
              <w:spacing w:line="240" w:lineRule="auto"/>
              <w:ind w:left="510" w:hanging="510"/>
              <w:rPr>
                <w:rFonts w:ascii="Times New Roman" w:hAnsi="Times New Roman" w:cs="Times New Roman"/>
                <w:sz w:val="22"/>
                <w:szCs w:val="22"/>
              </w:rPr>
            </w:pPr>
            <w:r w:rsidRPr="00317ABF">
              <w:rPr>
                <w:rFonts w:ascii="Times New Roman" w:hAnsi="Times New Roman" w:cs="Times New Roman"/>
                <w:sz w:val="22"/>
                <w:szCs w:val="22"/>
              </w:rPr>
              <w:lastRenderedPageBreak/>
              <w:t>e)</w:t>
            </w:r>
            <w:r w:rsidRPr="00317ABF">
              <w:rPr>
                <w:rFonts w:ascii="Times New Roman" w:hAnsi="Times New Roman" w:cs="Times New Roman"/>
                <w:sz w:val="22"/>
                <w:szCs w:val="22"/>
              </w:rPr>
              <w:tab/>
              <w:t>współpracę z innymi organami regulacyjnymi państw członkowskich i Komisją Europejską, w tym w ramach RSPG, a na ich wniosek także z Parlamentem Europejskim i Radą w zakresie:</w:t>
            </w:r>
          </w:p>
          <w:p w14:paraId="2279C441" w14:textId="77777777" w:rsidR="003E7C72" w:rsidRPr="00317ABF" w:rsidRDefault="003E7C72" w:rsidP="003E7C72">
            <w:pPr>
              <w:pStyle w:val="TIRtiret"/>
              <w:spacing w:line="240" w:lineRule="auto"/>
              <w:ind w:hanging="287"/>
              <w:rPr>
                <w:rFonts w:ascii="Times New Roman" w:hAnsi="Times New Roman" w:cs="Times New Roman"/>
                <w:sz w:val="22"/>
                <w:szCs w:val="22"/>
              </w:rPr>
            </w:pPr>
            <w:r w:rsidRPr="00317ABF">
              <w:rPr>
                <w:rFonts w:ascii="Times New Roman" w:hAnsi="Times New Roman" w:cs="Times New Roman"/>
                <w:sz w:val="22"/>
                <w:szCs w:val="22"/>
              </w:rPr>
              <w:t>–</w:t>
            </w:r>
            <w:r w:rsidRPr="00317ABF">
              <w:rPr>
                <w:rFonts w:ascii="Times New Roman" w:hAnsi="Times New Roman" w:cs="Times New Roman"/>
                <w:sz w:val="22"/>
                <w:szCs w:val="22"/>
              </w:rPr>
              <w:tab/>
              <w:t>planowania strategicznego, koordynacji i harmonizacji wykorzystania częstotliwości w Unii Europejskiej, mając na celu optymalizację wykorzystania częstotliwości oraz unikanie szkodliwych zakłóceń oraz</w:t>
            </w:r>
          </w:p>
          <w:p w14:paraId="118A1850" w14:textId="346AB067" w:rsidR="001E1112" w:rsidRPr="00317ABF" w:rsidRDefault="003E7C72" w:rsidP="003E7C72">
            <w:pPr>
              <w:ind w:left="1239" w:hanging="108"/>
              <w:jc w:val="both"/>
              <w:rPr>
                <w:rFonts w:eastAsia="Times"/>
                <w:sz w:val="22"/>
                <w:szCs w:val="22"/>
              </w:rPr>
            </w:pPr>
            <w:r w:rsidRPr="00317ABF">
              <w:rPr>
                <w:sz w:val="22"/>
                <w:szCs w:val="22"/>
              </w:rPr>
              <w:t>–</w:t>
            </w:r>
            <w:r w:rsidRPr="00317ABF">
              <w:rPr>
                <w:sz w:val="22"/>
                <w:szCs w:val="22"/>
              </w:rPr>
              <w:tab/>
            </w:r>
            <w:r w:rsidR="001E1112" w:rsidRPr="00317ABF">
              <w:rPr>
                <w:sz w:val="22"/>
                <w:szCs w:val="22"/>
              </w:rPr>
              <w:t>promowania koordynacji polityki w zakresie częstotliwości w Unii Europejskiej, a także zharmonizowanych warunków w odniesieniu do dostępności i efektywnego wykorzystania częstotliwości, koniecznego do ustanowienia i funkcjonowania rynku wewnętrznego usług komunikacji elektronicznej;</w:t>
            </w:r>
          </w:p>
          <w:p w14:paraId="3969E78A" w14:textId="77777777" w:rsidR="00F753A7" w:rsidRPr="00317ABF" w:rsidRDefault="00F753A7" w:rsidP="00DB3BEC">
            <w:pPr>
              <w:jc w:val="both"/>
              <w:rPr>
                <w:rFonts w:eastAsia="Times"/>
                <w:sz w:val="22"/>
                <w:szCs w:val="22"/>
              </w:rPr>
            </w:pPr>
          </w:p>
          <w:p w14:paraId="12842327" w14:textId="77777777" w:rsidR="00F753A7" w:rsidRPr="00317ABF" w:rsidRDefault="00F753A7" w:rsidP="00F753A7">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lastRenderedPageBreak/>
              <w:t>11)</w:t>
            </w:r>
            <w:r w:rsidRPr="00317ABF">
              <w:rPr>
                <w:rFonts w:ascii="Times New Roman" w:hAnsi="Times New Roman" w:cs="Times New Roman"/>
                <w:sz w:val="22"/>
                <w:szCs w:val="22"/>
              </w:rPr>
              <w:tab/>
            </w:r>
            <w:r w:rsidR="001E1112" w:rsidRPr="00317ABF">
              <w:rPr>
                <w:rFonts w:ascii="Times New Roman" w:eastAsia="Times" w:hAnsi="Times New Roman" w:cs="Times New Roman"/>
                <w:sz w:val="22"/>
                <w:szCs w:val="22"/>
              </w:rPr>
              <w:t>występowanie do RSPG z wnioskiem o pomoc w rozwiązaniu problemów lub sporów związanych z transgraniczną koordynacją częstotliwości lub szkodliwymi zakłóceniami o charakterze transgranicznym</w:t>
            </w:r>
            <w:r w:rsidRPr="00317ABF">
              <w:rPr>
                <w:rFonts w:ascii="Times New Roman" w:hAnsi="Times New Roman" w:cs="Times New Roman"/>
                <w:sz w:val="22"/>
                <w:szCs w:val="22"/>
              </w:rPr>
              <w:t>;</w:t>
            </w:r>
          </w:p>
          <w:p w14:paraId="42AFC42D" w14:textId="25463C4D" w:rsidR="001E1112" w:rsidRPr="00317ABF" w:rsidRDefault="001E1112" w:rsidP="00DB3BEC">
            <w:pPr>
              <w:jc w:val="both"/>
              <w:rPr>
                <w:sz w:val="22"/>
                <w:szCs w:val="22"/>
              </w:rPr>
            </w:pPr>
          </w:p>
        </w:tc>
      </w:tr>
      <w:tr w:rsidR="001E1112" w:rsidRPr="00317ABF" w14:paraId="7B3B222F" w14:textId="77777777" w:rsidTr="7753F98D">
        <w:trPr>
          <w:gridAfter w:val="2"/>
          <w:wAfter w:w="175" w:type="dxa"/>
        </w:trPr>
        <w:tc>
          <w:tcPr>
            <w:tcW w:w="704" w:type="dxa"/>
          </w:tcPr>
          <w:p w14:paraId="4AB17A5C" w14:textId="77777777" w:rsidR="001E1112" w:rsidRPr="00317ABF" w:rsidRDefault="001E1112" w:rsidP="00DB3BEC">
            <w:pPr>
              <w:jc w:val="both"/>
              <w:rPr>
                <w:sz w:val="22"/>
                <w:szCs w:val="22"/>
              </w:rPr>
            </w:pPr>
            <w:r w:rsidRPr="00317ABF">
              <w:rPr>
                <w:sz w:val="22"/>
                <w:szCs w:val="22"/>
              </w:rPr>
              <w:lastRenderedPageBreak/>
              <w:t>Art. 4 ust. 4</w:t>
            </w:r>
          </w:p>
        </w:tc>
        <w:tc>
          <w:tcPr>
            <w:tcW w:w="4308" w:type="dxa"/>
          </w:tcPr>
          <w:p w14:paraId="42254250" w14:textId="77777777" w:rsidR="001E1112" w:rsidRPr="00317ABF" w:rsidRDefault="001E1112" w:rsidP="00DB3BEC">
            <w:pPr>
              <w:spacing w:before="120"/>
              <w:jc w:val="both"/>
              <w:rPr>
                <w:sz w:val="22"/>
                <w:szCs w:val="22"/>
              </w:rPr>
            </w:pPr>
            <w:r w:rsidRPr="00317ABF">
              <w:rPr>
                <w:sz w:val="22"/>
                <w:szCs w:val="22"/>
              </w:rPr>
              <w:t>4.   Komisja, w jak największym stopniu uwzględniając opinię RSPG, może przedkładać Parlamentowi Europejskiemu i Radzie wnioski ustawodawcze służące ustanowieniu wieloletnich programów dotyczących polityki w zakresie widma radiowego, określeniu kierunków i celów polityki w odniesieniu do planowania strategicznego oraz harmonizacji korzystania z widma radiowego zgodnie z niniejszą dyrektywą, a także celem zwolnienia zharmonizowanego widma radiowego na potrzeby wspólnego użytkowania lub na użytkowanie nie podlegające przyznaniu indywidulanych praw.</w:t>
            </w:r>
          </w:p>
        </w:tc>
        <w:tc>
          <w:tcPr>
            <w:tcW w:w="986" w:type="dxa"/>
          </w:tcPr>
          <w:p w14:paraId="3FA15983" w14:textId="77777777" w:rsidR="001E1112" w:rsidRPr="00317ABF" w:rsidRDefault="001E1112" w:rsidP="00DB3BEC">
            <w:pPr>
              <w:jc w:val="both"/>
              <w:rPr>
                <w:sz w:val="22"/>
                <w:szCs w:val="22"/>
              </w:rPr>
            </w:pPr>
            <w:r w:rsidRPr="00317ABF">
              <w:rPr>
                <w:sz w:val="22"/>
                <w:szCs w:val="22"/>
              </w:rPr>
              <w:t>N</w:t>
            </w:r>
          </w:p>
        </w:tc>
        <w:tc>
          <w:tcPr>
            <w:tcW w:w="910" w:type="dxa"/>
          </w:tcPr>
          <w:p w14:paraId="271CA723" w14:textId="77777777" w:rsidR="001E1112" w:rsidRPr="00317ABF" w:rsidRDefault="001E1112" w:rsidP="00DB3BEC">
            <w:pPr>
              <w:pStyle w:val="Tekstpodstawowy"/>
              <w:rPr>
                <w:b/>
                <w:noProof/>
                <w:sz w:val="22"/>
                <w:szCs w:val="22"/>
              </w:rPr>
            </w:pPr>
          </w:p>
        </w:tc>
        <w:tc>
          <w:tcPr>
            <w:tcW w:w="6814" w:type="dxa"/>
            <w:gridSpan w:val="2"/>
          </w:tcPr>
          <w:p w14:paraId="75FBE423" w14:textId="77777777" w:rsidR="001E1112" w:rsidRPr="00317ABF" w:rsidRDefault="001E1112" w:rsidP="00DB3BEC">
            <w:pPr>
              <w:pStyle w:val="Tekstpodstawowy"/>
              <w:rPr>
                <w:sz w:val="22"/>
                <w:szCs w:val="22"/>
              </w:rPr>
            </w:pPr>
          </w:p>
        </w:tc>
      </w:tr>
      <w:tr w:rsidR="001E1112" w:rsidRPr="00317ABF" w14:paraId="5CC09D98" w14:textId="77777777" w:rsidTr="7753F98D">
        <w:trPr>
          <w:gridAfter w:val="2"/>
          <w:wAfter w:w="175" w:type="dxa"/>
        </w:trPr>
        <w:tc>
          <w:tcPr>
            <w:tcW w:w="704" w:type="dxa"/>
          </w:tcPr>
          <w:p w14:paraId="55E28635" w14:textId="77777777" w:rsidR="001E1112" w:rsidRPr="00317ABF" w:rsidRDefault="001E1112" w:rsidP="00DB3BEC">
            <w:pPr>
              <w:jc w:val="both"/>
              <w:rPr>
                <w:b/>
                <w:sz w:val="22"/>
                <w:szCs w:val="22"/>
              </w:rPr>
            </w:pPr>
            <w:r w:rsidRPr="00317ABF">
              <w:rPr>
                <w:b/>
                <w:sz w:val="22"/>
                <w:szCs w:val="22"/>
              </w:rPr>
              <w:t>Art. 5</w:t>
            </w:r>
          </w:p>
        </w:tc>
        <w:tc>
          <w:tcPr>
            <w:tcW w:w="4308" w:type="dxa"/>
          </w:tcPr>
          <w:p w14:paraId="70F7888D" w14:textId="77777777" w:rsidR="001E1112" w:rsidRPr="00317ABF" w:rsidRDefault="001E1112" w:rsidP="00DB3BEC">
            <w:pPr>
              <w:spacing w:before="60" w:after="120"/>
              <w:jc w:val="both"/>
              <w:rPr>
                <w:b/>
                <w:bCs/>
                <w:sz w:val="22"/>
                <w:szCs w:val="22"/>
              </w:rPr>
            </w:pPr>
            <w:r w:rsidRPr="00317ABF">
              <w:rPr>
                <w:b/>
                <w:bCs/>
                <w:sz w:val="22"/>
                <w:szCs w:val="22"/>
              </w:rPr>
              <w:t>Krajowe organy regulacyjne i inne właściwe organy</w:t>
            </w:r>
          </w:p>
        </w:tc>
        <w:tc>
          <w:tcPr>
            <w:tcW w:w="986" w:type="dxa"/>
          </w:tcPr>
          <w:p w14:paraId="2D3F0BEC" w14:textId="77777777" w:rsidR="001E1112" w:rsidRPr="00317ABF" w:rsidRDefault="001E1112" w:rsidP="00DB3BEC">
            <w:pPr>
              <w:jc w:val="both"/>
              <w:rPr>
                <w:sz w:val="22"/>
                <w:szCs w:val="22"/>
              </w:rPr>
            </w:pPr>
          </w:p>
        </w:tc>
        <w:tc>
          <w:tcPr>
            <w:tcW w:w="910" w:type="dxa"/>
          </w:tcPr>
          <w:p w14:paraId="75CF4315" w14:textId="77777777" w:rsidR="001E1112" w:rsidRPr="00317ABF" w:rsidRDefault="001E1112" w:rsidP="00DB3BEC">
            <w:pPr>
              <w:pStyle w:val="Tekstpodstawowy"/>
              <w:rPr>
                <w:b/>
                <w:noProof/>
                <w:sz w:val="22"/>
                <w:szCs w:val="22"/>
              </w:rPr>
            </w:pPr>
          </w:p>
        </w:tc>
        <w:tc>
          <w:tcPr>
            <w:tcW w:w="6814" w:type="dxa"/>
            <w:gridSpan w:val="2"/>
          </w:tcPr>
          <w:p w14:paraId="3CB648E9" w14:textId="77777777" w:rsidR="001E1112" w:rsidRPr="00317ABF" w:rsidRDefault="001E1112" w:rsidP="00DB3BEC">
            <w:pPr>
              <w:pStyle w:val="Tekstpodstawowy"/>
              <w:rPr>
                <w:sz w:val="22"/>
                <w:szCs w:val="22"/>
              </w:rPr>
            </w:pPr>
          </w:p>
        </w:tc>
      </w:tr>
      <w:tr w:rsidR="001E1112" w:rsidRPr="00317ABF" w14:paraId="29075C5F" w14:textId="77777777" w:rsidTr="7753F98D">
        <w:trPr>
          <w:gridAfter w:val="2"/>
          <w:wAfter w:w="175" w:type="dxa"/>
        </w:trPr>
        <w:tc>
          <w:tcPr>
            <w:tcW w:w="704" w:type="dxa"/>
          </w:tcPr>
          <w:p w14:paraId="28E93FD3" w14:textId="77777777" w:rsidR="001E1112" w:rsidRPr="00317ABF" w:rsidRDefault="001E1112" w:rsidP="00DB3BEC">
            <w:pPr>
              <w:jc w:val="both"/>
              <w:rPr>
                <w:sz w:val="22"/>
                <w:szCs w:val="22"/>
              </w:rPr>
            </w:pPr>
            <w:r w:rsidRPr="00317ABF">
              <w:rPr>
                <w:sz w:val="22"/>
                <w:szCs w:val="22"/>
              </w:rPr>
              <w:t>Art. 5 ust. 1</w:t>
            </w:r>
          </w:p>
        </w:tc>
        <w:tc>
          <w:tcPr>
            <w:tcW w:w="4308" w:type="dxa"/>
          </w:tcPr>
          <w:p w14:paraId="66332D7D" w14:textId="77777777" w:rsidR="001E1112" w:rsidRPr="00317ABF" w:rsidRDefault="001E1112" w:rsidP="00DB3BEC">
            <w:pPr>
              <w:spacing w:before="120"/>
              <w:jc w:val="both"/>
              <w:rPr>
                <w:sz w:val="22"/>
                <w:szCs w:val="22"/>
              </w:rPr>
            </w:pPr>
            <w:r w:rsidRPr="00317ABF">
              <w:rPr>
                <w:sz w:val="22"/>
                <w:szCs w:val="22"/>
              </w:rPr>
              <w:t xml:space="preserve">1.   Państwa członkowskie zapewniają, by wszystkie zadania określone w niniejszej </w:t>
            </w:r>
            <w:r w:rsidRPr="00317ABF">
              <w:rPr>
                <w:sz w:val="22"/>
                <w:szCs w:val="22"/>
              </w:rPr>
              <w:lastRenderedPageBreak/>
              <w:t>dyrektywie były realizowane przez właściwe organy.</w:t>
            </w:r>
          </w:p>
          <w:p w14:paraId="34F7B3F5" w14:textId="77777777" w:rsidR="001E1112" w:rsidRPr="00317ABF" w:rsidRDefault="001E1112" w:rsidP="00DB3BEC">
            <w:pPr>
              <w:spacing w:before="120"/>
              <w:jc w:val="both"/>
              <w:rPr>
                <w:sz w:val="22"/>
                <w:szCs w:val="22"/>
              </w:rPr>
            </w:pPr>
            <w:r w:rsidRPr="00317ABF">
              <w:rPr>
                <w:sz w:val="22"/>
                <w:szCs w:val="22"/>
              </w:rPr>
              <w:t>W ramach zakresu stosowania niniejszej dyrektywy krajowe organy regulacyjne odpowiadają za realizację co najmniej następujących zadań:</w:t>
            </w:r>
          </w:p>
          <w:tbl>
            <w:tblPr>
              <w:tblW w:w="4956" w:type="pct"/>
              <w:tblCellSpacing w:w="0" w:type="dxa"/>
              <w:tblLayout w:type="fixed"/>
              <w:tblCellMar>
                <w:left w:w="0" w:type="dxa"/>
                <w:right w:w="0" w:type="dxa"/>
              </w:tblCellMar>
              <w:tblLook w:val="04A0" w:firstRow="1" w:lastRow="0" w:firstColumn="1" w:lastColumn="0" w:noHBand="0" w:noVBand="1"/>
            </w:tblPr>
            <w:tblGrid>
              <w:gridCol w:w="4131"/>
            </w:tblGrid>
            <w:tr w:rsidR="001E1112" w:rsidRPr="00317ABF" w14:paraId="22F8CBCA" w14:textId="77777777" w:rsidTr="009D0AC1">
              <w:trPr>
                <w:tblCellSpacing w:w="0" w:type="dxa"/>
              </w:trPr>
              <w:tc>
                <w:tcPr>
                  <w:tcW w:w="8992" w:type="dxa"/>
                  <w:hideMark/>
                </w:tcPr>
                <w:p w14:paraId="12B329DE" w14:textId="77777777" w:rsidR="001E1112" w:rsidRPr="00317ABF" w:rsidRDefault="001E1112" w:rsidP="00EE0AC3">
                  <w:pPr>
                    <w:framePr w:hSpace="141" w:wrap="around" w:vAnchor="text" w:hAnchor="text" w:xAlign="right" w:y="1"/>
                    <w:numPr>
                      <w:ilvl w:val="0"/>
                      <w:numId w:val="7"/>
                    </w:numPr>
                    <w:spacing w:before="120"/>
                    <w:suppressOverlap/>
                    <w:jc w:val="both"/>
                    <w:rPr>
                      <w:sz w:val="22"/>
                      <w:szCs w:val="22"/>
                    </w:rPr>
                  </w:pPr>
                  <w:r w:rsidRPr="00317ABF">
                    <w:rPr>
                      <w:sz w:val="22"/>
                      <w:szCs w:val="22"/>
                    </w:rPr>
                    <w:t>regulację rynku ex ante, w tym nakładanie obowiązków w zakresie dostępu i wzajemnych połączeń;</w:t>
                  </w:r>
                </w:p>
              </w:tc>
            </w:tr>
          </w:tbl>
          <w:p w14:paraId="0C178E9E" w14:textId="77777777" w:rsidR="001E1112" w:rsidRPr="00317ABF" w:rsidRDefault="001E1112" w:rsidP="00DB3BEC">
            <w:pPr>
              <w:jc w:val="both"/>
              <w:rPr>
                <w:vanish/>
                <w:sz w:val="22"/>
                <w:szCs w:val="22"/>
              </w:rPr>
            </w:pPr>
          </w:p>
          <w:tbl>
            <w:tblPr>
              <w:tblW w:w="5000" w:type="pct"/>
              <w:tblCellSpacing w:w="0" w:type="dxa"/>
              <w:tblLayout w:type="fixed"/>
              <w:tblCellMar>
                <w:left w:w="0" w:type="dxa"/>
                <w:right w:w="0" w:type="dxa"/>
              </w:tblCellMar>
              <w:tblLook w:val="04A0" w:firstRow="1" w:lastRow="0" w:firstColumn="1" w:lastColumn="0" w:noHBand="0" w:noVBand="1"/>
            </w:tblPr>
            <w:tblGrid>
              <w:gridCol w:w="20"/>
              <w:gridCol w:w="4148"/>
            </w:tblGrid>
            <w:tr w:rsidR="001E1112" w:rsidRPr="00317ABF" w14:paraId="3093674A" w14:textId="77777777" w:rsidTr="009D0AC1">
              <w:trPr>
                <w:tblCellSpacing w:w="0" w:type="dxa"/>
              </w:trPr>
              <w:tc>
                <w:tcPr>
                  <w:tcW w:w="9" w:type="dxa"/>
                  <w:hideMark/>
                </w:tcPr>
                <w:p w14:paraId="3C0395D3" w14:textId="77777777" w:rsidR="001E1112" w:rsidRPr="00317ABF" w:rsidRDefault="001E1112" w:rsidP="00EE0AC3">
                  <w:pPr>
                    <w:framePr w:hSpace="141" w:wrap="around" w:vAnchor="text" w:hAnchor="text" w:xAlign="right" w:y="1"/>
                    <w:spacing w:before="120"/>
                    <w:suppressOverlap/>
                    <w:jc w:val="both"/>
                    <w:rPr>
                      <w:sz w:val="22"/>
                      <w:szCs w:val="22"/>
                    </w:rPr>
                  </w:pPr>
                </w:p>
              </w:tc>
              <w:tc>
                <w:tcPr>
                  <w:tcW w:w="9063" w:type="dxa"/>
                  <w:hideMark/>
                </w:tcPr>
                <w:p w14:paraId="02186079" w14:textId="77777777" w:rsidR="001E1112" w:rsidRPr="00317ABF" w:rsidRDefault="001E1112" w:rsidP="00EE0AC3">
                  <w:pPr>
                    <w:framePr w:hSpace="141" w:wrap="around" w:vAnchor="text" w:hAnchor="text" w:xAlign="right" w:y="1"/>
                    <w:numPr>
                      <w:ilvl w:val="0"/>
                      <w:numId w:val="7"/>
                    </w:numPr>
                    <w:spacing w:before="120"/>
                    <w:suppressOverlap/>
                    <w:jc w:val="both"/>
                    <w:rPr>
                      <w:sz w:val="22"/>
                      <w:szCs w:val="22"/>
                    </w:rPr>
                  </w:pPr>
                  <w:r w:rsidRPr="00317ABF">
                    <w:rPr>
                      <w:sz w:val="22"/>
                      <w:szCs w:val="22"/>
                    </w:rPr>
                    <w:t>zapewnianie rozstrzygnięcia sporów między przedsiębiorstwami;</w:t>
                  </w:r>
                </w:p>
              </w:tc>
            </w:tr>
          </w:tbl>
          <w:p w14:paraId="3254BC2F" w14:textId="77777777" w:rsidR="001E1112" w:rsidRPr="00317ABF" w:rsidRDefault="001E1112" w:rsidP="00DB3BEC">
            <w:pPr>
              <w:jc w:val="both"/>
              <w:rPr>
                <w:vanish/>
                <w:sz w:val="22"/>
                <w:szCs w:val="22"/>
              </w:rPr>
            </w:pPr>
          </w:p>
          <w:tbl>
            <w:tblPr>
              <w:tblW w:w="5000" w:type="pct"/>
              <w:tblCellSpacing w:w="0" w:type="dxa"/>
              <w:tblLayout w:type="fixed"/>
              <w:tblCellMar>
                <w:left w:w="0" w:type="dxa"/>
                <w:right w:w="0" w:type="dxa"/>
              </w:tblCellMar>
              <w:tblLook w:val="04A0" w:firstRow="1" w:lastRow="0" w:firstColumn="1" w:lastColumn="0" w:noHBand="0" w:noVBand="1"/>
            </w:tblPr>
            <w:tblGrid>
              <w:gridCol w:w="20"/>
              <w:gridCol w:w="4148"/>
            </w:tblGrid>
            <w:tr w:rsidR="001E1112" w:rsidRPr="00317ABF" w14:paraId="4B59CAE2" w14:textId="77777777" w:rsidTr="009D0AC1">
              <w:trPr>
                <w:tblCellSpacing w:w="0" w:type="dxa"/>
              </w:trPr>
              <w:tc>
                <w:tcPr>
                  <w:tcW w:w="6" w:type="dxa"/>
                  <w:hideMark/>
                </w:tcPr>
                <w:p w14:paraId="651E9592" w14:textId="77777777" w:rsidR="001E1112" w:rsidRPr="00317ABF" w:rsidRDefault="001E1112" w:rsidP="00EE0AC3">
                  <w:pPr>
                    <w:framePr w:hSpace="141" w:wrap="around" w:vAnchor="text" w:hAnchor="text" w:xAlign="right" w:y="1"/>
                    <w:spacing w:before="120"/>
                    <w:suppressOverlap/>
                    <w:jc w:val="both"/>
                    <w:rPr>
                      <w:sz w:val="22"/>
                      <w:szCs w:val="22"/>
                    </w:rPr>
                  </w:pPr>
                </w:p>
              </w:tc>
              <w:tc>
                <w:tcPr>
                  <w:tcW w:w="9066" w:type="dxa"/>
                  <w:hideMark/>
                </w:tcPr>
                <w:p w14:paraId="0DAE4421" w14:textId="77777777" w:rsidR="001E1112" w:rsidRPr="00317ABF" w:rsidRDefault="001E1112" w:rsidP="00EE0AC3">
                  <w:pPr>
                    <w:framePr w:hSpace="141" w:wrap="around" w:vAnchor="text" w:hAnchor="text" w:xAlign="right" w:y="1"/>
                    <w:numPr>
                      <w:ilvl w:val="0"/>
                      <w:numId w:val="7"/>
                    </w:numPr>
                    <w:spacing w:before="120"/>
                    <w:suppressOverlap/>
                    <w:jc w:val="both"/>
                    <w:rPr>
                      <w:sz w:val="22"/>
                      <w:szCs w:val="22"/>
                    </w:rPr>
                  </w:pPr>
                  <w:r w:rsidRPr="00317ABF">
                    <w:rPr>
                      <w:sz w:val="22"/>
                      <w:szCs w:val="22"/>
                    </w:rPr>
                    <w:t>prowadzenie spraw związanych z zarządzaniem widmem radiowym oraz podejmowanie decyzji w sprawie widma radiowego lub, w przypadku gdy te zadania zostaną przydzielone innym właściwym organom, zapewnianie doradztwa w odniesieniu do kształtowania rynku i do dotyczących konkurencji aspektów procesów krajowych związanych z prawami użytkowania widma w zakresie usług i sieci łączności elektronicznej;</w:t>
                  </w:r>
                </w:p>
              </w:tc>
            </w:tr>
          </w:tbl>
          <w:p w14:paraId="269E314A" w14:textId="77777777" w:rsidR="001E1112" w:rsidRPr="00317ABF" w:rsidRDefault="001E1112" w:rsidP="00DB3BEC">
            <w:pPr>
              <w:jc w:val="both"/>
              <w:rPr>
                <w:vanish/>
                <w:sz w:val="22"/>
                <w:szCs w:val="22"/>
              </w:rPr>
            </w:pPr>
          </w:p>
          <w:tbl>
            <w:tblPr>
              <w:tblW w:w="5000" w:type="pct"/>
              <w:tblCellSpacing w:w="0" w:type="dxa"/>
              <w:tblLayout w:type="fixed"/>
              <w:tblCellMar>
                <w:left w:w="0" w:type="dxa"/>
                <w:right w:w="0" w:type="dxa"/>
              </w:tblCellMar>
              <w:tblLook w:val="04A0" w:firstRow="1" w:lastRow="0" w:firstColumn="1" w:lastColumn="0" w:noHBand="0" w:noVBand="1"/>
            </w:tblPr>
            <w:tblGrid>
              <w:gridCol w:w="20"/>
              <w:gridCol w:w="4148"/>
            </w:tblGrid>
            <w:tr w:rsidR="001E1112" w:rsidRPr="00317ABF" w14:paraId="738D1B74" w14:textId="77777777" w:rsidTr="009D0AC1">
              <w:trPr>
                <w:tblCellSpacing w:w="0" w:type="dxa"/>
              </w:trPr>
              <w:tc>
                <w:tcPr>
                  <w:tcW w:w="6" w:type="dxa"/>
                  <w:hideMark/>
                </w:tcPr>
                <w:p w14:paraId="47341341" w14:textId="77777777" w:rsidR="001E1112" w:rsidRPr="00317ABF" w:rsidRDefault="001E1112" w:rsidP="00EE0AC3">
                  <w:pPr>
                    <w:framePr w:hSpace="141" w:wrap="around" w:vAnchor="text" w:hAnchor="text" w:xAlign="right" w:y="1"/>
                    <w:spacing w:before="120"/>
                    <w:suppressOverlap/>
                    <w:jc w:val="both"/>
                    <w:rPr>
                      <w:sz w:val="22"/>
                      <w:szCs w:val="22"/>
                    </w:rPr>
                  </w:pPr>
                </w:p>
              </w:tc>
              <w:tc>
                <w:tcPr>
                  <w:tcW w:w="9066" w:type="dxa"/>
                  <w:hideMark/>
                </w:tcPr>
                <w:p w14:paraId="77610585" w14:textId="77777777" w:rsidR="001E1112" w:rsidRPr="00317ABF" w:rsidRDefault="001E1112" w:rsidP="00EE0AC3">
                  <w:pPr>
                    <w:framePr w:hSpace="141" w:wrap="around" w:vAnchor="text" w:hAnchor="text" w:xAlign="right" w:y="1"/>
                    <w:numPr>
                      <w:ilvl w:val="0"/>
                      <w:numId w:val="7"/>
                    </w:numPr>
                    <w:spacing w:before="120"/>
                    <w:suppressOverlap/>
                    <w:jc w:val="both"/>
                    <w:rPr>
                      <w:sz w:val="22"/>
                      <w:szCs w:val="22"/>
                    </w:rPr>
                  </w:pPr>
                  <w:r w:rsidRPr="00317ABF">
                    <w:rPr>
                      <w:sz w:val="22"/>
                      <w:szCs w:val="22"/>
                    </w:rPr>
                    <w:t>przyczynianie się do ochrony praw użytkowników końcowych w sektorze łączności elektronicznej, w stosownych przypadkach, w porozumieniu z innymi właściwymi organami;</w:t>
                  </w:r>
                </w:p>
              </w:tc>
            </w:tr>
          </w:tbl>
          <w:p w14:paraId="42EF2083" w14:textId="77777777" w:rsidR="001E1112" w:rsidRPr="00317ABF" w:rsidRDefault="001E1112" w:rsidP="00DB3BEC">
            <w:pPr>
              <w:jc w:val="both"/>
              <w:rPr>
                <w:vanish/>
                <w:sz w:val="22"/>
                <w:szCs w:val="22"/>
              </w:rPr>
            </w:pPr>
          </w:p>
          <w:tbl>
            <w:tblPr>
              <w:tblW w:w="5000" w:type="pct"/>
              <w:tblCellSpacing w:w="0" w:type="dxa"/>
              <w:tblLayout w:type="fixed"/>
              <w:tblCellMar>
                <w:left w:w="0" w:type="dxa"/>
                <w:right w:w="0" w:type="dxa"/>
              </w:tblCellMar>
              <w:tblLook w:val="04A0" w:firstRow="1" w:lastRow="0" w:firstColumn="1" w:lastColumn="0" w:noHBand="0" w:noVBand="1"/>
            </w:tblPr>
            <w:tblGrid>
              <w:gridCol w:w="20"/>
              <w:gridCol w:w="4148"/>
            </w:tblGrid>
            <w:tr w:rsidR="001E1112" w:rsidRPr="00317ABF" w14:paraId="0889048F" w14:textId="77777777" w:rsidTr="009D0AC1">
              <w:trPr>
                <w:tblCellSpacing w:w="0" w:type="dxa"/>
              </w:trPr>
              <w:tc>
                <w:tcPr>
                  <w:tcW w:w="6" w:type="dxa"/>
                  <w:hideMark/>
                </w:tcPr>
                <w:p w14:paraId="7B40C951" w14:textId="77777777" w:rsidR="001E1112" w:rsidRPr="00317ABF" w:rsidRDefault="001E1112" w:rsidP="00EE0AC3">
                  <w:pPr>
                    <w:framePr w:hSpace="141" w:wrap="around" w:vAnchor="text" w:hAnchor="text" w:xAlign="right" w:y="1"/>
                    <w:spacing w:before="120"/>
                    <w:suppressOverlap/>
                    <w:jc w:val="both"/>
                    <w:rPr>
                      <w:sz w:val="22"/>
                      <w:szCs w:val="22"/>
                    </w:rPr>
                  </w:pPr>
                </w:p>
              </w:tc>
              <w:tc>
                <w:tcPr>
                  <w:tcW w:w="9066" w:type="dxa"/>
                  <w:hideMark/>
                </w:tcPr>
                <w:p w14:paraId="3EDE3569" w14:textId="77777777" w:rsidR="001E1112" w:rsidRPr="00317ABF" w:rsidRDefault="001E1112" w:rsidP="00EE0AC3">
                  <w:pPr>
                    <w:framePr w:hSpace="141" w:wrap="around" w:vAnchor="text" w:hAnchor="text" w:xAlign="right" w:y="1"/>
                    <w:numPr>
                      <w:ilvl w:val="0"/>
                      <w:numId w:val="7"/>
                    </w:numPr>
                    <w:spacing w:before="120"/>
                    <w:suppressOverlap/>
                    <w:jc w:val="both"/>
                    <w:rPr>
                      <w:sz w:val="22"/>
                      <w:szCs w:val="22"/>
                    </w:rPr>
                  </w:pPr>
                  <w:r w:rsidRPr="00317ABF">
                    <w:rPr>
                      <w:sz w:val="22"/>
                      <w:szCs w:val="22"/>
                    </w:rPr>
                    <w:t xml:space="preserve">ocenę i ścisłe monitorowanie kwestii dotyczących kształtowania rynku </w:t>
                  </w:r>
                  <w:r w:rsidRPr="00317ABF">
                    <w:rPr>
                      <w:sz w:val="22"/>
                      <w:szCs w:val="22"/>
                    </w:rPr>
                    <w:lastRenderedPageBreak/>
                    <w:t>i konkurencji w odniesieniu do otwartego dostępu do internetu;</w:t>
                  </w:r>
                </w:p>
              </w:tc>
            </w:tr>
          </w:tbl>
          <w:p w14:paraId="4B4D7232" w14:textId="77777777" w:rsidR="001E1112" w:rsidRPr="00317ABF" w:rsidRDefault="001E1112" w:rsidP="00DB3BEC">
            <w:pPr>
              <w:jc w:val="both"/>
              <w:rPr>
                <w:vanish/>
                <w:sz w:val="22"/>
                <w:szCs w:val="22"/>
              </w:rPr>
            </w:pPr>
          </w:p>
          <w:tbl>
            <w:tblPr>
              <w:tblW w:w="5000" w:type="pct"/>
              <w:tblCellSpacing w:w="0" w:type="dxa"/>
              <w:tblLayout w:type="fixed"/>
              <w:tblCellMar>
                <w:left w:w="0" w:type="dxa"/>
                <w:right w:w="0" w:type="dxa"/>
              </w:tblCellMar>
              <w:tblLook w:val="04A0" w:firstRow="1" w:lastRow="0" w:firstColumn="1" w:lastColumn="0" w:noHBand="0" w:noVBand="1"/>
            </w:tblPr>
            <w:tblGrid>
              <w:gridCol w:w="20"/>
              <w:gridCol w:w="4148"/>
            </w:tblGrid>
            <w:tr w:rsidR="001E1112" w:rsidRPr="00317ABF" w14:paraId="27EF6B65" w14:textId="77777777" w:rsidTr="009D0AC1">
              <w:trPr>
                <w:tblCellSpacing w:w="0" w:type="dxa"/>
              </w:trPr>
              <w:tc>
                <w:tcPr>
                  <w:tcW w:w="6" w:type="dxa"/>
                  <w:hideMark/>
                </w:tcPr>
                <w:p w14:paraId="2093CA67" w14:textId="77777777" w:rsidR="001E1112" w:rsidRPr="00317ABF" w:rsidRDefault="001E1112" w:rsidP="00EE0AC3">
                  <w:pPr>
                    <w:framePr w:hSpace="141" w:wrap="around" w:vAnchor="text" w:hAnchor="text" w:xAlign="right" w:y="1"/>
                    <w:spacing w:before="120"/>
                    <w:suppressOverlap/>
                    <w:jc w:val="both"/>
                    <w:rPr>
                      <w:sz w:val="22"/>
                      <w:szCs w:val="22"/>
                    </w:rPr>
                  </w:pPr>
                </w:p>
              </w:tc>
              <w:tc>
                <w:tcPr>
                  <w:tcW w:w="9066" w:type="dxa"/>
                  <w:hideMark/>
                </w:tcPr>
                <w:p w14:paraId="677E6255" w14:textId="77777777" w:rsidR="001E1112" w:rsidRPr="00317ABF" w:rsidRDefault="001E1112" w:rsidP="00EE0AC3">
                  <w:pPr>
                    <w:framePr w:hSpace="141" w:wrap="around" w:vAnchor="text" w:hAnchor="text" w:xAlign="right" w:y="1"/>
                    <w:numPr>
                      <w:ilvl w:val="0"/>
                      <w:numId w:val="7"/>
                    </w:numPr>
                    <w:spacing w:before="120"/>
                    <w:suppressOverlap/>
                    <w:jc w:val="both"/>
                    <w:rPr>
                      <w:sz w:val="22"/>
                      <w:szCs w:val="22"/>
                    </w:rPr>
                  </w:pPr>
                  <w:r w:rsidRPr="00317ABF">
                    <w:rPr>
                      <w:sz w:val="22"/>
                      <w:szCs w:val="22"/>
                    </w:rPr>
                    <w:t>ocenę niesprawiedliwego obciążenia oraz obliczanie kosztu netto świadczenia usługi powszechnej;</w:t>
                  </w:r>
                </w:p>
              </w:tc>
            </w:tr>
          </w:tbl>
          <w:p w14:paraId="2503B197" w14:textId="77777777" w:rsidR="001E1112" w:rsidRPr="00317ABF" w:rsidRDefault="001E1112" w:rsidP="00DB3BEC">
            <w:pPr>
              <w:jc w:val="both"/>
              <w:rPr>
                <w:vanish/>
                <w:sz w:val="22"/>
                <w:szCs w:val="22"/>
              </w:rPr>
            </w:pPr>
          </w:p>
          <w:tbl>
            <w:tblPr>
              <w:tblW w:w="5000" w:type="pct"/>
              <w:tblCellSpacing w:w="0" w:type="dxa"/>
              <w:tblLayout w:type="fixed"/>
              <w:tblCellMar>
                <w:left w:w="0" w:type="dxa"/>
                <w:right w:w="0" w:type="dxa"/>
              </w:tblCellMar>
              <w:tblLook w:val="04A0" w:firstRow="1" w:lastRow="0" w:firstColumn="1" w:lastColumn="0" w:noHBand="0" w:noVBand="1"/>
            </w:tblPr>
            <w:tblGrid>
              <w:gridCol w:w="20"/>
              <w:gridCol w:w="4148"/>
            </w:tblGrid>
            <w:tr w:rsidR="001E1112" w:rsidRPr="00317ABF" w14:paraId="44C7849C" w14:textId="77777777" w:rsidTr="009D0AC1">
              <w:trPr>
                <w:tblCellSpacing w:w="0" w:type="dxa"/>
              </w:trPr>
              <w:tc>
                <w:tcPr>
                  <w:tcW w:w="8" w:type="dxa"/>
                  <w:hideMark/>
                </w:tcPr>
                <w:p w14:paraId="38288749" w14:textId="77777777" w:rsidR="001E1112" w:rsidRPr="00317ABF" w:rsidRDefault="001E1112" w:rsidP="00EE0AC3">
                  <w:pPr>
                    <w:framePr w:hSpace="141" w:wrap="around" w:vAnchor="text" w:hAnchor="text" w:xAlign="right" w:y="1"/>
                    <w:spacing w:before="120"/>
                    <w:suppressOverlap/>
                    <w:jc w:val="both"/>
                    <w:rPr>
                      <w:sz w:val="22"/>
                      <w:szCs w:val="22"/>
                    </w:rPr>
                  </w:pPr>
                </w:p>
              </w:tc>
              <w:tc>
                <w:tcPr>
                  <w:tcW w:w="9064" w:type="dxa"/>
                  <w:hideMark/>
                </w:tcPr>
                <w:p w14:paraId="1AE88751" w14:textId="77777777" w:rsidR="001E1112" w:rsidRPr="00317ABF" w:rsidRDefault="001E1112" w:rsidP="00EE0AC3">
                  <w:pPr>
                    <w:framePr w:hSpace="141" w:wrap="around" w:vAnchor="text" w:hAnchor="text" w:xAlign="right" w:y="1"/>
                    <w:numPr>
                      <w:ilvl w:val="0"/>
                      <w:numId w:val="7"/>
                    </w:numPr>
                    <w:spacing w:before="120"/>
                    <w:suppressOverlap/>
                    <w:jc w:val="both"/>
                    <w:rPr>
                      <w:sz w:val="22"/>
                      <w:szCs w:val="22"/>
                    </w:rPr>
                  </w:pPr>
                  <w:r w:rsidRPr="00317ABF">
                    <w:rPr>
                      <w:sz w:val="22"/>
                      <w:szCs w:val="22"/>
                    </w:rPr>
                    <w:t>zapewnianie możliwości przenoszenia numerów między dostawcami;</w:t>
                  </w:r>
                </w:p>
              </w:tc>
            </w:tr>
          </w:tbl>
          <w:p w14:paraId="20BD9A1A" w14:textId="77777777" w:rsidR="001E1112" w:rsidRPr="00317ABF" w:rsidRDefault="001E1112" w:rsidP="00DB3BEC">
            <w:pPr>
              <w:jc w:val="both"/>
              <w:rPr>
                <w:vanish/>
                <w:sz w:val="22"/>
                <w:szCs w:val="22"/>
              </w:rPr>
            </w:pPr>
          </w:p>
          <w:tbl>
            <w:tblPr>
              <w:tblW w:w="5000" w:type="pct"/>
              <w:tblCellSpacing w:w="0" w:type="dxa"/>
              <w:tblLayout w:type="fixed"/>
              <w:tblCellMar>
                <w:left w:w="0" w:type="dxa"/>
                <w:right w:w="0" w:type="dxa"/>
              </w:tblCellMar>
              <w:tblLook w:val="04A0" w:firstRow="1" w:lastRow="0" w:firstColumn="1" w:lastColumn="0" w:noHBand="0" w:noVBand="1"/>
            </w:tblPr>
            <w:tblGrid>
              <w:gridCol w:w="20"/>
              <w:gridCol w:w="4148"/>
            </w:tblGrid>
            <w:tr w:rsidR="001E1112" w:rsidRPr="00317ABF" w14:paraId="3C5B54AB" w14:textId="77777777" w:rsidTr="009D0AC1">
              <w:trPr>
                <w:tblCellSpacing w:w="0" w:type="dxa"/>
              </w:trPr>
              <w:tc>
                <w:tcPr>
                  <w:tcW w:w="6" w:type="dxa"/>
                  <w:hideMark/>
                </w:tcPr>
                <w:p w14:paraId="0C136CF1" w14:textId="77777777" w:rsidR="001E1112" w:rsidRPr="00317ABF" w:rsidRDefault="001E1112" w:rsidP="00EE0AC3">
                  <w:pPr>
                    <w:framePr w:hSpace="141" w:wrap="around" w:vAnchor="text" w:hAnchor="text" w:xAlign="right" w:y="1"/>
                    <w:spacing w:before="120"/>
                    <w:suppressOverlap/>
                    <w:jc w:val="both"/>
                    <w:rPr>
                      <w:sz w:val="22"/>
                      <w:szCs w:val="22"/>
                    </w:rPr>
                  </w:pPr>
                </w:p>
              </w:tc>
              <w:tc>
                <w:tcPr>
                  <w:tcW w:w="9066" w:type="dxa"/>
                  <w:hideMark/>
                </w:tcPr>
                <w:p w14:paraId="5F87AF37" w14:textId="77777777" w:rsidR="001E1112" w:rsidRPr="00317ABF" w:rsidRDefault="001E1112" w:rsidP="00EE0AC3">
                  <w:pPr>
                    <w:framePr w:hSpace="141" w:wrap="around" w:vAnchor="text" w:hAnchor="text" w:xAlign="right" w:y="1"/>
                    <w:numPr>
                      <w:ilvl w:val="0"/>
                      <w:numId w:val="7"/>
                    </w:numPr>
                    <w:spacing w:before="120"/>
                    <w:suppressOverlap/>
                    <w:jc w:val="both"/>
                    <w:rPr>
                      <w:sz w:val="22"/>
                      <w:szCs w:val="22"/>
                    </w:rPr>
                  </w:pPr>
                  <w:r w:rsidRPr="00317ABF">
                    <w:rPr>
                      <w:sz w:val="22"/>
                      <w:szCs w:val="22"/>
                    </w:rPr>
                    <w:t>wykonywanie wszelkich innych zadań, które w niniejszej dyrektywie zastrzeżono dla krajowych organów regulacyjnych.</w:t>
                  </w:r>
                </w:p>
              </w:tc>
            </w:tr>
          </w:tbl>
          <w:p w14:paraId="42C33604" w14:textId="77777777" w:rsidR="001E1112" w:rsidRPr="00317ABF" w:rsidRDefault="001E1112" w:rsidP="00DB3BEC">
            <w:pPr>
              <w:spacing w:before="120"/>
              <w:jc w:val="both"/>
              <w:rPr>
                <w:sz w:val="22"/>
                <w:szCs w:val="22"/>
              </w:rPr>
            </w:pPr>
            <w:r w:rsidRPr="00317ABF">
              <w:rPr>
                <w:sz w:val="22"/>
                <w:szCs w:val="22"/>
              </w:rPr>
              <w:t>Państwa członkowskie mogą powierzyć krajowym organom regulacyjnym inne zadania przewidziane w niniejszej dyrektywie i innych przepisach unijnych, w szczególności zadania związane z konkurencją na rynku lub wejściem na rynek, jak np. wydawaniem ogólnych zezwoleń, i zadania związane z rolą powierzoną BEREC. W przypadkach gdy zadania te związane z konkurencją na rynku lub wejściem na rynek są przydzielane innym właściwym organom, konsultują się one przed podjęciem decyzji z krajowymi organami regulacyjnymi. Do celów przyczyniania się do realizacji zadań BEREC krajowe organy regulacyjne są uprawnione do gromadzenia niezbędnych danych i innych informacji od uczestników rynku.</w:t>
            </w:r>
          </w:p>
          <w:p w14:paraId="71DC10C1" w14:textId="77777777" w:rsidR="001E1112" w:rsidRPr="00317ABF" w:rsidRDefault="001E1112" w:rsidP="00DB3BEC">
            <w:pPr>
              <w:spacing w:before="120"/>
              <w:jc w:val="both"/>
              <w:rPr>
                <w:sz w:val="22"/>
                <w:szCs w:val="22"/>
              </w:rPr>
            </w:pPr>
            <w:r w:rsidRPr="00317ABF">
              <w:rPr>
                <w:sz w:val="22"/>
                <w:szCs w:val="22"/>
              </w:rPr>
              <w:t>Państwa członkowskie mogą również przydzielać krajowym organom regulacyjnym inne zadania na podstawie prawa krajowego, w tym prawa krajowego wdrażającego prawo unijne.</w:t>
            </w:r>
          </w:p>
          <w:p w14:paraId="345ECAAD" w14:textId="77777777" w:rsidR="001E1112" w:rsidRPr="00317ABF" w:rsidRDefault="001E1112" w:rsidP="00DB3BEC">
            <w:pPr>
              <w:spacing w:before="120"/>
              <w:jc w:val="both"/>
              <w:rPr>
                <w:sz w:val="22"/>
                <w:szCs w:val="22"/>
              </w:rPr>
            </w:pPr>
            <w:r w:rsidRPr="00317ABF">
              <w:rPr>
                <w:sz w:val="22"/>
                <w:szCs w:val="22"/>
              </w:rPr>
              <w:lastRenderedPageBreak/>
              <w:t>Państwa członkowskie wspierają w szczególności stabilność kompetencji krajowych organów regulacyjnych przy transponowaniu niniejszej dyrektywy w odniesieniu do podziału zadań wynikających z unijnych ram regulacyjnych ram łączności elektronicznej, zmienionych w 2009 r.</w:t>
            </w:r>
          </w:p>
        </w:tc>
        <w:tc>
          <w:tcPr>
            <w:tcW w:w="986" w:type="dxa"/>
          </w:tcPr>
          <w:p w14:paraId="0A392C6A" w14:textId="1EC8F027" w:rsidR="001E1112" w:rsidRPr="00317ABF" w:rsidRDefault="001E1112" w:rsidP="00DB3BEC">
            <w:pPr>
              <w:jc w:val="both"/>
              <w:rPr>
                <w:sz w:val="22"/>
                <w:szCs w:val="22"/>
              </w:rPr>
            </w:pPr>
            <w:r w:rsidRPr="00317ABF">
              <w:rPr>
                <w:sz w:val="22"/>
                <w:szCs w:val="22"/>
              </w:rPr>
              <w:lastRenderedPageBreak/>
              <w:t>T</w:t>
            </w:r>
          </w:p>
        </w:tc>
        <w:tc>
          <w:tcPr>
            <w:tcW w:w="910" w:type="dxa"/>
          </w:tcPr>
          <w:p w14:paraId="658872EB" w14:textId="571C86E6" w:rsidR="001E1112" w:rsidRPr="00317ABF" w:rsidRDefault="001E1112" w:rsidP="00DB3BEC">
            <w:pPr>
              <w:pStyle w:val="Tekstpodstawowy"/>
              <w:rPr>
                <w:b/>
                <w:bCs/>
                <w:noProof/>
                <w:sz w:val="22"/>
                <w:szCs w:val="22"/>
              </w:rPr>
            </w:pPr>
            <w:r w:rsidRPr="00317ABF">
              <w:rPr>
                <w:b/>
                <w:bCs/>
                <w:noProof/>
                <w:sz w:val="22"/>
                <w:szCs w:val="22"/>
              </w:rPr>
              <w:t xml:space="preserve">Art. </w:t>
            </w:r>
            <w:r w:rsidR="002E09C5" w:rsidRPr="00317ABF">
              <w:rPr>
                <w:b/>
                <w:bCs/>
                <w:noProof/>
                <w:sz w:val="22"/>
                <w:szCs w:val="22"/>
              </w:rPr>
              <w:t>407</w:t>
            </w:r>
            <w:r w:rsidRPr="00317ABF">
              <w:rPr>
                <w:b/>
                <w:bCs/>
                <w:noProof/>
                <w:sz w:val="22"/>
                <w:szCs w:val="22"/>
              </w:rPr>
              <w:t xml:space="preserve"> ust. 1, art. </w:t>
            </w:r>
            <w:r w:rsidR="002E09C5" w:rsidRPr="00317ABF">
              <w:rPr>
                <w:b/>
                <w:bCs/>
                <w:noProof/>
                <w:sz w:val="22"/>
                <w:szCs w:val="22"/>
              </w:rPr>
              <w:t>408</w:t>
            </w:r>
            <w:r w:rsidRPr="00317ABF">
              <w:rPr>
                <w:b/>
                <w:bCs/>
                <w:noProof/>
                <w:sz w:val="22"/>
                <w:szCs w:val="22"/>
              </w:rPr>
              <w:t xml:space="preserve">, </w:t>
            </w:r>
            <w:r w:rsidRPr="00317ABF">
              <w:rPr>
                <w:b/>
                <w:bCs/>
                <w:noProof/>
                <w:sz w:val="22"/>
                <w:szCs w:val="22"/>
              </w:rPr>
              <w:lastRenderedPageBreak/>
              <w:t>1</w:t>
            </w:r>
            <w:r w:rsidR="002E09C5" w:rsidRPr="00317ABF">
              <w:rPr>
                <w:b/>
                <w:bCs/>
                <w:noProof/>
                <w:sz w:val="22"/>
                <w:szCs w:val="22"/>
              </w:rPr>
              <w:t>83</w:t>
            </w:r>
            <w:r w:rsidRPr="00317ABF">
              <w:rPr>
                <w:b/>
                <w:bCs/>
                <w:noProof/>
                <w:sz w:val="22"/>
                <w:szCs w:val="22"/>
              </w:rPr>
              <w:t xml:space="preserve"> ust. 1 w zakresie lit. b,</w:t>
            </w:r>
          </w:p>
          <w:p w14:paraId="56DB0B41" w14:textId="145DAD83" w:rsidR="001E1112" w:rsidRPr="00317ABF" w:rsidRDefault="00DB3BEC" w:rsidP="00DB3BEC">
            <w:pPr>
              <w:pStyle w:val="Tekstpodstawowy"/>
              <w:rPr>
                <w:b/>
                <w:bCs/>
                <w:noProof/>
                <w:sz w:val="22"/>
                <w:szCs w:val="22"/>
              </w:rPr>
            </w:pPr>
            <w:r w:rsidRPr="00317ABF">
              <w:rPr>
                <w:b/>
                <w:bCs/>
                <w:noProof/>
                <w:sz w:val="22"/>
                <w:szCs w:val="22"/>
              </w:rPr>
              <w:t xml:space="preserve">Art. </w:t>
            </w:r>
            <w:r w:rsidR="002E09C5" w:rsidRPr="00317ABF">
              <w:rPr>
                <w:b/>
                <w:bCs/>
                <w:noProof/>
                <w:sz w:val="22"/>
                <w:szCs w:val="22"/>
              </w:rPr>
              <w:t>414</w:t>
            </w:r>
            <w:r w:rsidR="001E1112" w:rsidRPr="00317ABF">
              <w:rPr>
                <w:b/>
                <w:bCs/>
                <w:noProof/>
                <w:sz w:val="22"/>
                <w:szCs w:val="22"/>
              </w:rPr>
              <w:t xml:space="preserve"> ust. 1, </w:t>
            </w:r>
            <w:r w:rsidR="001E1112" w:rsidRPr="00317ABF">
              <w:rPr>
                <w:b/>
                <w:sz w:val="22"/>
                <w:szCs w:val="22"/>
              </w:rPr>
              <w:t xml:space="preserve">w zakresie lit. c art. </w:t>
            </w:r>
            <w:r w:rsidR="00175AA9" w:rsidRPr="00317ABF">
              <w:rPr>
                <w:b/>
                <w:sz w:val="22"/>
                <w:szCs w:val="22"/>
              </w:rPr>
              <w:t>68, 106</w:t>
            </w:r>
            <w:r w:rsidR="001E1112" w:rsidRPr="00317ABF">
              <w:rPr>
                <w:b/>
                <w:sz w:val="22"/>
                <w:szCs w:val="22"/>
              </w:rPr>
              <w:t>,</w:t>
            </w:r>
            <w:r w:rsidR="005D4845" w:rsidRPr="00317ABF">
              <w:rPr>
                <w:b/>
                <w:bCs/>
                <w:noProof/>
                <w:sz w:val="22"/>
                <w:szCs w:val="22"/>
              </w:rPr>
              <w:t xml:space="preserve"> 128</w:t>
            </w:r>
          </w:p>
          <w:p w14:paraId="290583F9" w14:textId="04B55C4E" w:rsidR="001E1112" w:rsidRPr="00317ABF" w:rsidRDefault="00175AA9" w:rsidP="00DB3BEC">
            <w:pPr>
              <w:pStyle w:val="Tekstpodstawowy"/>
              <w:rPr>
                <w:b/>
                <w:bCs/>
                <w:noProof/>
                <w:sz w:val="22"/>
                <w:szCs w:val="22"/>
              </w:rPr>
            </w:pPr>
            <w:r w:rsidRPr="00317ABF">
              <w:rPr>
                <w:b/>
                <w:sz w:val="22"/>
                <w:szCs w:val="22"/>
              </w:rPr>
              <w:t>w</w:t>
            </w:r>
            <w:r w:rsidR="001E1112" w:rsidRPr="00317ABF">
              <w:rPr>
                <w:b/>
                <w:sz w:val="22"/>
                <w:szCs w:val="22"/>
              </w:rPr>
              <w:t xml:space="preserve"> zakresie lit. a art. </w:t>
            </w:r>
            <w:r w:rsidRPr="00317ABF">
              <w:rPr>
                <w:b/>
                <w:sz w:val="22"/>
                <w:szCs w:val="22"/>
              </w:rPr>
              <w:t>197</w:t>
            </w:r>
            <w:r w:rsidR="001E1112" w:rsidRPr="00317ABF">
              <w:rPr>
                <w:b/>
                <w:sz w:val="22"/>
                <w:szCs w:val="22"/>
              </w:rPr>
              <w:t xml:space="preserve"> ust. 1,</w:t>
            </w:r>
            <w:r w:rsidR="001E1112" w:rsidRPr="00317ABF">
              <w:rPr>
                <w:b/>
                <w:bCs/>
                <w:noProof/>
                <w:sz w:val="22"/>
                <w:szCs w:val="22"/>
              </w:rPr>
              <w:t xml:space="preserve"> </w:t>
            </w:r>
          </w:p>
        </w:tc>
        <w:tc>
          <w:tcPr>
            <w:tcW w:w="6814" w:type="dxa"/>
            <w:gridSpan w:val="2"/>
          </w:tcPr>
          <w:p w14:paraId="72A33D1B" w14:textId="77777777" w:rsidR="001E1112" w:rsidRPr="00317ABF" w:rsidRDefault="001E1112" w:rsidP="009D3773">
            <w:pPr>
              <w:pStyle w:val="ARTartustawynprozporzdzenia"/>
              <w:spacing w:line="240" w:lineRule="auto"/>
              <w:rPr>
                <w:rFonts w:ascii="Times New Roman" w:hAnsi="Times New Roman" w:cs="Times New Roman"/>
                <w:sz w:val="22"/>
                <w:szCs w:val="22"/>
              </w:rPr>
            </w:pPr>
            <w:r w:rsidRPr="00317ABF">
              <w:rPr>
                <w:rStyle w:val="Ppogrubienie"/>
                <w:rFonts w:ascii="Times New Roman" w:hAnsi="Times New Roman"/>
                <w:sz w:val="22"/>
                <w:szCs w:val="22"/>
              </w:rPr>
              <w:lastRenderedPageBreak/>
              <w:t xml:space="preserve">Art. </w:t>
            </w:r>
            <w:r w:rsidR="00222184" w:rsidRPr="00317ABF">
              <w:rPr>
                <w:rStyle w:val="Ppogrubienie"/>
                <w:rFonts w:ascii="Times New Roman" w:hAnsi="Times New Roman"/>
                <w:sz w:val="22"/>
                <w:szCs w:val="22"/>
              </w:rPr>
              <w:t>407.</w:t>
            </w:r>
            <w:r w:rsidRPr="00317ABF">
              <w:rPr>
                <w:rFonts w:ascii="Times New Roman" w:hAnsi="Times New Roman" w:cs="Times New Roman"/>
                <w:sz w:val="22"/>
                <w:szCs w:val="22"/>
              </w:rPr>
              <w:t xml:space="preserve"> 1. Organami właściwymi w sprawach</w:t>
            </w:r>
            <w:bookmarkStart w:id="1" w:name="mip52137274"/>
            <w:bookmarkEnd w:id="1"/>
            <w:r w:rsidRPr="00317ABF">
              <w:rPr>
                <w:rFonts w:ascii="Times New Roman" w:hAnsi="Times New Roman" w:cs="Times New Roman"/>
                <w:sz w:val="22"/>
                <w:szCs w:val="22"/>
              </w:rPr>
              <w:t xml:space="preserve"> telekomunikacji są minister właściwy do spraw informatyzacji i Prezes UKE.</w:t>
            </w:r>
          </w:p>
          <w:p w14:paraId="29BE57E3" w14:textId="77777777" w:rsidR="001E1112" w:rsidRPr="00317ABF" w:rsidRDefault="001E1112" w:rsidP="009D3773">
            <w:pPr>
              <w:pStyle w:val="ARTartustawynprozporzdzenia"/>
              <w:spacing w:line="240" w:lineRule="auto"/>
              <w:rPr>
                <w:rFonts w:ascii="Times New Roman" w:hAnsi="Times New Roman" w:cs="Times New Roman"/>
                <w:sz w:val="22"/>
                <w:szCs w:val="22"/>
              </w:rPr>
            </w:pPr>
            <w:r w:rsidRPr="00317ABF">
              <w:rPr>
                <w:rStyle w:val="Ppogrubienie"/>
                <w:rFonts w:ascii="Times New Roman" w:hAnsi="Times New Roman"/>
                <w:sz w:val="22"/>
                <w:szCs w:val="22"/>
              </w:rPr>
              <w:lastRenderedPageBreak/>
              <w:t>Art. </w:t>
            </w:r>
            <w:r w:rsidR="00D34EED" w:rsidRPr="00317ABF">
              <w:rPr>
                <w:rStyle w:val="Ppogrubienie"/>
                <w:rFonts w:ascii="Times New Roman" w:hAnsi="Times New Roman"/>
                <w:sz w:val="22"/>
                <w:szCs w:val="22"/>
              </w:rPr>
              <w:t>408</w:t>
            </w:r>
            <w:r w:rsidRPr="00317ABF">
              <w:rPr>
                <w:rStyle w:val="Ppogrubienie"/>
                <w:rFonts w:ascii="Times New Roman" w:hAnsi="Times New Roman"/>
                <w:sz w:val="22"/>
                <w:szCs w:val="22"/>
              </w:rPr>
              <w:t>.</w:t>
            </w:r>
            <w:r w:rsidRPr="00317ABF">
              <w:rPr>
                <w:rFonts w:ascii="Times New Roman" w:hAnsi="Times New Roman" w:cs="Times New Roman"/>
                <w:sz w:val="22"/>
                <w:szCs w:val="22"/>
              </w:rPr>
              <w:t xml:space="preserve"> 1. Prezes UKE jest organem regulacyjnym w dziedzinie rynku usług telekomunikacyjnych i pocztowych.</w:t>
            </w:r>
          </w:p>
          <w:p w14:paraId="063E6585" w14:textId="77777777" w:rsidR="001E1112" w:rsidRPr="00317ABF" w:rsidRDefault="001E1112" w:rsidP="009D3773">
            <w:pPr>
              <w:pStyle w:val="USTustnpkodeksu"/>
              <w:spacing w:line="240" w:lineRule="auto"/>
              <w:rPr>
                <w:rFonts w:ascii="Times New Roman" w:hAnsi="Times New Roman" w:cs="Times New Roman"/>
                <w:sz w:val="22"/>
                <w:szCs w:val="22"/>
              </w:rPr>
            </w:pPr>
            <w:r w:rsidRPr="00317ABF">
              <w:rPr>
                <w:rFonts w:ascii="Times New Roman" w:hAnsi="Times New Roman" w:cs="Times New Roman"/>
                <w:sz w:val="22"/>
                <w:szCs w:val="22"/>
              </w:rPr>
              <w:t>2. Prezes UKE jest centralnym organem administracji rządowej.</w:t>
            </w:r>
          </w:p>
          <w:p w14:paraId="6582547B" w14:textId="77777777" w:rsidR="00D34EED" w:rsidRPr="00317ABF" w:rsidRDefault="001E1112" w:rsidP="009D3773">
            <w:pPr>
              <w:pStyle w:val="USTustnpkodeksu"/>
              <w:spacing w:line="240" w:lineRule="auto"/>
              <w:rPr>
                <w:rFonts w:ascii="Times New Roman" w:hAnsi="Times New Roman" w:cs="Times New Roman"/>
                <w:sz w:val="22"/>
                <w:szCs w:val="22"/>
              </w:rPr>
            </w:pPr>
            <w:bookmarkStart w:id="2" w:name="mip52137285"/>
            <w:bookmarkEnd w:id="2"/>
            <w:r w:rsidRPr="00317ABF">
              <w:rPr>
                <w:rFonts w:ascii="Times New Roman" w:hAnsi="Times New Roman" w:cs="Times New Roman"/>
                <w:sz w:val="22"/>
                <w:szCs w:val="22"/>
              </w:rPr>
              <w:t>3. Prezes UKE jest organem egzekucyjnym w zakresie administracyjnej egzekucji obowiązków o charakterze niepieniężnym wskazanych w przepisach ustawy, ustawy z dnia 7 maja 2010 r. o wspieraniu rozwoju usług i sieci telekomunikacyjnych oraz ustawy z dnia 23 listopada 2012 r. - Prawo pocztowe (Dz. U. z 2018 r. poz. 2188 oraz z 2019 r. poz. 1051, 1495 i 2005 oraz z 2020 r. poz. 695), a także obowiązków o charakterze niepieniężnym nałożonych na podstawie przepisów tych ustaw.</w:t>
            </w:r>
          </w:p>
          <w:p w14:paraId="1160A011" w14:textId="118B5295" w:rsidR="002E09C5" w:rsidRPr="00317ABF" w:rsidRDefault="002E09C5" w:rsidP="00AE53A5">
            <w:pPr>
              <w:pStyle w:val="ARTartustawynprozporzdzenia"/>
              <w:spacing w:line="240" w:lineRule="auto"/>
              <w:ind w:firstLine="0"/>
              <w:rPr>
                <w:rFonts w:ascii="Times New Roman" w:hAnsi="Times New Roman" w:cs="Times New Roman"/>
                <w:sz w:val="22"/>
                <w:szCs w:val="22"/>
              </w:rPr>
            </w:pPr>
            <w:r w:rsidRPr="00317ABF">
              <w:rPr>
                <w:rStyle w:val="Ppogrubienie"/>
                <w:rFonts w:ascii="Times New Roman" w:hAnsi="Times New Roman"/>
                <w:sz w:val="22"/>
                <w:szCs w:val="22"/>
              </w:rPr>
              <w:t>Art. 183.</w:t>
            </w:r>
            <w:r w:rsidRPr="00317ABF">
              <w:rPr>
                <w:rFonts w:ascii="Times New Roman" w:hAnsi="Times New Roman" w:cs="Times New Roman"/>
                <w:sz w:val="22"/>
                <w:szCs w:val="22"/>
              </w:rPr>
              <w:t xml:space="preserve"> 1. Prezes UKE, w drodze decyzji wydawanej na wniosek w sprawie rozstrzygnięcia sporu dotyczącego dostępu telekomunikacyjnego, w terminie 60 dni od dnia złożenia wniosku, rozstrzyga spór dotyczący dostępu pomiędzy przedsiębiorcami komunikacji elektronicznej albo przedsiębiorcą komunikacji elektronicznej a innym podmiotem, o ile jest on obowiązany do zapewnienia dostępu telekomunikacyjnego.</w:t>
            </w:r>
          </w:p>
          <w:p w14:paraId="1FC9AD45" w14:textId="77777777" w:rsidR="001E1112" w:rsidRPr="00317ABF" w:rsidRDefault="001E1112" w:rsidP="005E0212">
            <w:pPr>
              <w:pStyle w:val="USTustnpkodeksu"/>
              <w:spacing w:line="240" w:lineRule="auto"/>
              <w:ind w:firstLine="0"/>
              <w:rPr>
                <w:rFonts w:ascii="Times New Roman" w:hAnsi="Times New Roman" w:cs="Times New Roman"/>
                <w:sz w:val="22"/>
                <w:szCs w:val="22"/>
              </w:rPr>
            </w:pPr>
          </w:p>
          <w:p w14:paraId="7C502F28" w14:textId="77777777" w:rsidR="002E09C5" w:rsidRPr="00317ABF" w:rsidRDefault="002E09C5" w:rsidP="009D3773">
            <w:pPr>
              <w:pStyle w:val="ARTartustawynprozporzdzenia"/>
              <w:keepNext/>
              <w:spacing w:line="240" w:lineRule="auto"/>
              <w:rPr>
                <w:rFonts w:ascii="Times New Roman" w:hAnsi="Times New Roman" w:cs="Times New Roman"/>
                <w:sz w:val="22"/>
                <w:szCs w:val="22"/>
              </w:rPr>
            </w:pPr>
            <w:r w:rsidRPr="00317ABF">
              <w:rPr>
                <w:rStyle w:val="Ppogrubienie"/>
                <w:rFonts w:ascii="Times New Roman" w:hAnsi="Times New Roman"/>
                <w:sz w:val="22"/>
                <w:szCs w:val="22"/>
              </w:rPr>
              <w:t>Art. 414.</w:t>
            </w:r>
            <w:r w:rsidRPr="00317ABF">
              <w:rPr>
                <w:rFonts w:ascii="Times New Roman" w:hAnsi="Times New Roman" w:cs="Times New Roman"/>
                <w:sz w:val="22"/>
                <w:szCs w:val="22"/>
              </w:rPr>
              <w:t xml:space="preserve"> 1. Do zakresu działania Prezesa UKE należy w szczególności:</w:t>
            </w:r>
          </w:p>
          <w:p w14:paraId="2B2E1D33" w14:textId="77777777" w:rsidR="002E09C5" w:rsidRPr="00317ABF" w:rsidRDefault="002E09C5" w:rsidP="009D3773">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1)</w:t>
            </w:r>
            <w:r w:rsidRPr="00317ABF">
              <w:rPr>
                <w:rFonts w:ascii="Times New Roman" w:hAnsi="Times New Roman" w:cs="Times New Roman"/>
                <w:sz w:val="22"/>
                <w:szCs w:val="22"/>
              </w:rPr>
              <w:tab/>
              <w:t>opracowywanie wskazanych przez ministra właściwego do spraw informatyzacji projektów aktów prawnych w zakresie komunikacji elektronicznej;</w:t>
            </w:r>
          </w:p>
          <w:p w14:paraId="2322F72F" w14:textId="77777777" w:rsidR="002E09C5" w:rsidRPr="00317ABF" w:rsidRDefault="002E09C5" w:rsidP="009D3773">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2)</w:t>
            </w:r>
            <w:r w:rsidRPr="00317ABF">
              <w:rPr>
                <w:rFonts w:ascii="Times New Roman" w:hAnsi="Times New Roman" w:cs="Times New Roman"/>
                <w:sz w:val="22"/>
                <w:szCs w:val="22"/>
              </w:rPr>
              <w:tab/>
              <w:t>wykonywanie zadań wynikających z przepisów rozporządzenia Parlamentu Europejskiego i Rady (UE) nr 2018/1971 z dnia 11 grudnia 2018 r. ustanawiającego Organ Europejskich Regulatorów Łączności Elektronicznej (BEREC) oraz Agencję Wsparcia BEREC (Urząd BEREC), zmieniającego rozporządzenie (UE) 2015/2120 oraz uchylającego rozporządzenie (WE) nr 1211/2009);</w:t>
            </w:r>
          </w:p>
          <w:p w14:paraId="0F718EC2" w14:textId="77777777" w:rsidR="002E09C5" w:rsidRPr="00317ABF" w:rsidRDefault="002E09C5" w:rsidP="009D3773">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3)</w:t>
            </w:r>
            <w:r w:rsidRPr="00317ABF">
              <w:rPr>
                <w:rFonts w:ascii="Times New Roman" w:hAnsi="Times New Roman" w:cs="Times New Roman"/>
                <w:sz w:val="22"/>
                <w:szCs w:val="22"/>
              </w:rPr>
              <w:tab/>
              <w:t>analiza i ocena funkcjonowania rynków usług komunikacji elektronicznej;</w:t>
            </w:r>
          </w:p>
          <w:p w14:paraId="127E634C" w14:textId="77777777" w:rsidR="002E09C5" w:rsidRPr="00317ABF" w:rsidRDefault="002E09C5" w:rsidP="009D3773">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4)</w:t>
            </w:r>
            <w:r w:rsidRPr="00317ABF">
              <w:rPr>
                <w:rFonts w:ascii="Times New Roman" w:hAnsi="Times New Roman" w:cs="Times New Roman"/>
                <w:sz w:val="22"/>
                <w:szCs w:val="22"/>
              </w:rPr>
              <w:tab/>
              <w:t>monitorowanie jakości usług komunikacji elektronicznej;</w:t>
            </w:r>
          </w:p>
          <w:p w14:paraId="15B424A4" w14:textId="77777777" w:rsidR="002E09C5" w:rsidRPr="00317ABF" w:rsidRDefault="002E09C5" w:rsidP="009D3773">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5)</w:t>
            </w:r>
            <w:r w:rsidRPr="00317ABF">
              <w:rPr>
                <w:rFonts w:ascii="Times New Roman" w:hAnsi="Times New Roman" w:cs="Times New Roman"/>
                <w:sz w:val="22"/>
                <w:szCs w:val="22"/>
              </w:rPr>
              <w:tab/>
              <w:t>podejmowanie interwencji w sprawach dotyczących funkcjonowania rynków usług komunikacji elektronicznej oraz rynku aparatury, w tym rynku urządzeń telekomunikacyjnych, z własnej inicjatywy lub wniesionych przez zainteresowane podmioty, w szczególności użytkowników i przedsiębiorców komunikacji elektronicznej;</w:t>
            </w:r>
          </w:p>
          <w:p w14:paraId="3AEE6CBD" w14:textId="77777777" w:rsidR="002E09C5" w:rsidRPr="00317ABF" w:rsidRDefault="002E09C5" w:rsidP="009D3773">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lastRenderedPageBreak/>
              <w:t>6)</w:t>
            </w:r>
            <w:r w:rsidRPr="00317ABF">
              <w:rPr>
                <w:rFonts w:ascii="Times New Roman" w:hAnsi="Times New Roman" w:cs="Times New Roman"/>
                <w:sz w:val="22"/>
                <w:szCs w:val="22"/>
              </w:rPr>
              <w:tab/>
              <w:t>kontrolowanie realizacji obowiązków wynikających z przepisów rozporządzenia Parlamentu Europejskiego i Rady (UE) nr 531/2012 z dnia 13 czerwca 2012 r. w sprawie roamingu w publicznych sieciach łączności ruchomej wewnątrz Unii (Dz. Urz. UE L 172 z 30.06.2012, str. 10);</w:t>
            </w:r>
          </w:p>
          <w:p w14:paraId="67CE5B3C" w14:textId="77777777" w:rsidR="002E09C5" w:rsidRPr="00317ABF" w:rsidRDefault="002E09C5" w:rsidP="009D3773">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7)</w:t>
            </w:r>
            <w:r w:rsidRPr="00317ABF">
              <w:rPr>
                <w:rFonts w:ascii="Times New Roman" w:hAnsi="Times New Roman" w:cs="Times New Roman"/>
                <w:sz w:val="22"/>
                <w:szCs w:val="22"/>
              </w:rPr>
              <w:tab/>
              <w:t>realizacja obowiązków nałożonych na Prezesa UKE i kontrolowanie realizacji pozostałych obowiązków, wynikających z przepisów rozporządzenia Parlamentu Europejskiego i Rady (UE) 2015/2120 z dnia 25 listopada 2015 r. ustanawiającego środki dotyczące dostępu do otwartego internetu i dotyczące opłat detalicznych za uregulowane usługi łączności wewnątrzunijnej oraz zmieniającego dyrektywę 2002/22/WE, a także rozporządzenie (UE) nr 531/2012;</w:t>
            </w:r>
          </w:p>
          <w:p w14:paraId="728EFF0F" w14:textId="77777777" w:rsidR="002E09C5" w:rsidRPr="00317ABF" w:rsidRDefault="002E09C5" w:rsidP="009D3773">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8)</w:t>
            </w:r>
            <w:r w:rsidRPr="00317ABF">
              <w:rPr>
                <w:rFonts w:ascii="Times New Roman" w:hAnsi="Times New Roman" w:cs="Times New Roman"/>
                <w:sz w:val="22"/>
                <w:szCs w:val="22"/>
              </w:rPr>
              <w:tab/>
              <w:t>zarządzanie zasobami częstotliwości przeznaczonymi do użytkowania cywilnego i cywilno-rządowego oraz tworzenie warunków dla rozwoju krajowych służb radiokomunikacyjnych przez zapewnianie Rzeczypospolitej Polskiej niezbędnych zasobów częstotliwości oraz dostępu do zasobów orbitalnych;</w:t>
            </w:r>
          </w:p>
          <w:p w14:paraId="72DBE2B9" w14:textId="77777777" w:rsidR="002E09C5" w:rsidRPr="00317ABF" w:rsidRDefault="002E09C5" w:rsidP="009D3773">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9) współpraca z użytkownikami rządowymi w celu zapewnienia warunków do utrzymania ciągłości funkcjonowania systemów komunikacji elektronicznej tych użytkowników;</w:t>
            </w:r>
          </w:p>
          <w:p w14:paraId="7895D235" w14:textId="77777777" w:rsidR="002E09C5" w:rsidRPr="00317ABF" w:rsidRDefault="002E09C5" w:rsidP="009D3773">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10)</w:t>
            </w:r>
            <w:r w:rsidRPr="00317ABF">
              <w:rPr>
                <w:rFonts w:ascii="Times New Roman" w:hAnsi="Times New Roman" w:cs="Times New Roman"/>
                <w:sz w:val="22"/>
                <w:szCs w:val="22"/>
              </w:rPr>
              <w:tab/>
              <w:t>realizacja harmonogramu rozdysponowania zasobów częstotliwości, o którym mowa w przepisach wykonawczych wydanych na podstawie art. 62 ust. 4;</w:t>
            </w:r>
          </w:p>
          <w:p w14:paraId="553C51EC" w14:textId="77777777" w:rsidR="002E09C5" w:rsidRPr="00317ABF" w:rsidRDefault="002E09C5" w:rsidP="009D3773">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11)</w:t>
            </w:r>
            <w:r w:rsidRPr="00317ABF">
              <w:rPr>
                <w:rFonts w:ascii="Times New Roman" w:hAnsi="Times New Roman" w:cs="Times New Roman"/>
                <w:sz w:val="22"/>
                <w:szCs w:val="22"/>
              </w:rPr>
              <w:tab/>
              <w:t>występowanie do RSPG z wnioskiem o pomoc w rozwiązaniu problemów lub sporów związanych z transgraniczną koordynacją częstotliwości lub szkodliwymi zakłóceniami o charakterze transgranicznym;</w:t>
            </w:r>
          </w:p>
          <w:p w14:paraId="061F9EE2" w14:textId="77777777" w:rsidR="002E09C5" w:rsidRPr="00317ABF" w:rsidRDefault="002E09C5" w:rsidP="009D3773">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12)</w:t>
            </w:r>
            <w:r w:rsidRPr="00317ABF">
              <w:rPr>
                <w:rFonts w:ascii="Times New Roman" w:hAnsi="Times New Roman" w:cs="Times New Roman"/>
                <w:sz w:val="22"/>
                <w:szCs w:val="22"/>
              </w:rPr>
              <w:tab/>
              <w:t xml:space="preserve"> wykonywanie zadań i obowiązków na rzecz obronności, bezpieczeństwa państwa oraz bezpieczeństwa i porządku publicznego;</w:t>
            </w:r>
          </w:p>
          <w:p w14:paraId="061EF6E8" w14:textId="77777777" w:rsidR="002E09C5" w:rsidRPr="00317ABF" w:rsidRDefault="002E09C5" w:rsidP="009D3773">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13)</w:t>
            </w:r>
            <w:r w:rsidRPr="00317ABF">
              <w:rPr>
                <w:rFonts w:ascii="Times New Roman" w:hAnsi="Times New Roman" w:cs="Times New Roman"/>
                <w:sz w:val="22"/>
                <w:szCs w:val="22"/>
              </w:rPr>
              <w:tab/>
              <w:t>współpraca z krajowymi i międzynarodowymi organizacjami telekomunikacyjnymi;</w:t>
            </w:r>
          </w:p>
          <w:p w14:paraId="6CF2DB99" w14:textId="77777777" w:rsidR="002E09C5" w:rsidRPr="00317ABF" w:rsidRDefault="002E09C5" w:rsidP="009D3773">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14)</w:t>
            </w:r>
            <w:r w:rsidRPr="00317ABF">
              <w:rPr>
                <w:rFonts w:ascii="Times New Roman" w:hAnsi="Times New Roman" w:cs="Times New Roman"/>
                <w:sz w:val="22"/>
                <w:szCs w:val="22"/>
              </w:rPr>
              <w:tab/>
              <w:t>współpraca z Komisją Europejską i instytucjami Unii Europejskiej, a także z BEREC oraz organami regulacyjnymi innych państw członkowskich;</w:t>
            </w:r>
          </w:p>
          <w:p w14:paraId="3BDF7B10" w14:textId="77777777" w:rsidR="002E09C5" w:rsidRPr="00317ABF" w:rsidRDefault="002E09C5" w:rsidP="009D3773">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15)</w:t>
            </w:r>
            <w:r w:rsidRPr="00317ABF">
              <w:rPr>
                <w:rFonts w:ascii="Times New Roman" w:hAnsi="Times New Roman" w:cs="Times New Roman"/>
                <w:sz w:val="22"/>
                <w:szCs w:val="22"/>
              </w:rPr>
              <w:tab/>
              <w:t>współpraca z Prezesem UOKiK w sprawach dotyczących przestrzegania praw podmiotów korzystających z usług komunikacji elektronicznej, przeciwdziałania praktykom ograniczającym konkurencję oraz antykonkurencyjnym koncentracjom przedsiębiorców komunikacji elektronicznej i ich związków;</w:t>
            </w:r>
          </w:p>
          <w:p w14:paraId="0780DFAB" w14:textId="77777777" w:rsidR="002E09C5" w:rsidRPr="00317ABF" w:rsidRDefault="002E09C5" w:rsidP="009D3773">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lastRenderedPageBreak/>
              <w:t>16)</w:t>
            </w:r>
            <w:r w:rsidRPr="00317ABF">
              <w:rPr>
                <w:rFonts w:ascii="Times New Roman" w:hAnsi="Times New Roman" w:cs="Times New Roman"/>
                <w:sz w:val="22"/>
                <w:szCs w:val="22"/>
              </w:rPr>
              <w:tab/>
              <w:t>współpraca z Krajową Radą Radiofonii i Telewizji w zakresie właściwości tego organu;</w:t>
            </w:r>
          </w:p>
          <w:p w14:paraId="76116834" w14:textId="77777777" w:rsidR="002E09C5" w:rsidRPr="00317ABF" w:rsidRDefault="002E09C5" w:rsidP="009D3773">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17)</w:t>
            </w:r>
            <w:r w:rsidRPr="00317ABF">
              <w:rPr>
                <w:rFonts w:ascii="Times New Roman" w:hAnsi="Times New Roman" w:cs="Times New Roman"/>
                <w:sz w:val="22"/>
                <w:szCs w:val="22"/>
              </w:rPr>
              <w:tab/>
              <w:t>wykonywanie zadań w sprawach międzynarodowej i unijnej polityki komunikacji elektronicznej z upoważnienia ministra właściwego do spraw informatyzacji;</w:t>
            </w:r>
          </w:p>
          <w:p w14:paraId="14D77EDE" w14:textId="77777777" w:rsidR="002E09C5" w:rsidRPr="00317ABF" w:rsidRDefault="002E09C5" w:rsidP="009D3773">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18)</w:t>
            </w:r>
            <w:r w:rsidRPr="00317ABF">
              <w:rPr>
                <w:rFonts w:ascii="Times New Roman" w:hAnsi="Times New Roman" w:cs="Times New Roman"/>
                <w:sz w:val="22"/>
                <w:szCs w:val="22"/>
              </w:rPr>
              <w:tab/>
              <w:t>prowadzenie transgranicznych koordynacji częstotliwości z innymi państwami, w tym zawieranie niezbędnych umów lub porozumień, w sposób i w terminach pozwalających na realizację zobowiązań wynikających z wiążących Rzeczpospolitą Polską umów międzynarodowych lub aktów prawnych Unii Europejskiej, dotyczących gospodarowania częstotliwościami;</w:t>
            </w:r>
          </w:p>
          <w:p w14:paraId="2A2AB463" w14:textId="77777777" w:rsidR="002E09C5" w:rsidRPr="00317ABF" w:rsidRDefault="002E09C5" w:rsidP="009D3773">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19)</w:t>
            </w:r>
            <w:r w:rsidRPr="00317ABF">
              <w:rPr>
                <w:rFonts w:ascii="Times New Roman" w:hAnsi="Times New Roman" w:cs="Times New Roman"/>
                <w:sz w:val="22"/>
                <w:szCs w:val="22"/>
              </w:rPr>
              <w:tab/>
              <w:t>przedstawianie Komisji Europejskiej, BEREC i organom regulacyjnym innych państw członkowskich informacji z zakresu komunikacji elektronicznej, w tym wykonywanie obowiązków notyfikacyjnych, obejmujących przekazywanie treści rozstrzygnięć, o których mowa w art. 201 ust. 1, oraz informacji o przedsiębiorcach komunikacji elektronicznej, którzy zostali uznani za posiadających znaczącą pozycję rynkową, świadczących usługę powszechną i realizujących połączenia sieci telekomunikacyjnych oraz nałożonych na nich obowiązkach;</w:t>
            </w:r>
          </w:p>
          <w:p w14:paraId="4356F41C" w14:textId="77777777" w:rsidR="002E09C5" w:rsidRPr="00317ABF" w:rsidRDefault="002E09C5" w:rsidP="009D3773">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20)</w:t>
            </w:r>
            <w:r w:rsidRPr="00317ABF">
              <w:rPr>
                <w:rFonts w:ascii="Times New Roman" w:hAnsi="Times New Roman" w:cs="Times New Roman"/>
                <w:sz w:val="22"/>
                <w:szCs w:val="22"/>
              </w:rPr>
              <w:tab/>
              <w:t>przeprowadzanie konsultacji środowiskowych w sprawach związanych z zasięgiem, dostępnością oraz jakością usług komunikacji elektronicznej, z zainteresowanymi podmiotami i ich związkami, w szczególności z przedsiębiorcami komunikacji elektronicznej, użytkownikami, konsumentami, w tym użytkownikami końcowymi z niepełnosprawnościami, oraz producentami;</w:t>
            </w:r>
          </w:p>
          <w:p w14:paraId="79DFAE36" w14:textId="77777777" w:rsidR="002E09C5" w:rsidRPr="00317ABF" w:rsidRDefault="002E09C5" w:rsidP="009D3773">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21)</w:t>
            </w:r>
            <w:r w:rsidRPr="00317ABF">
              <w:rPr>
                <w:rFonts w:ascii="Times New Roman" w:hAnsi="Times New Roman" w:cs="Times New Roman"/>
                <w:sz w:val="22"/>
                <w:szCs w:val="22"/>
              </w:rPr>
              <w:tab/>
              <w:t>kontrola obowiązku wyposażenia pojazdów kategorii M w samochodowe odbiorniki radiofoniczne zdolne do odbioru cyfrowych transmisji;</w:t>
            </w:r>
          </w:p>
          <w:p w14:paraId="152B37DE" w14:textId="77777777" w:rsidR="002E09C5" w:rsidRPr="00317ABF" w:rsidRDefault="002E09C5" w:rsidP="009D3773">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22)</w:t>
            </w:r>
            <w:r w:rsidRPr="00317ABF">
              <w:rPr>
                <w:rFonts w:ascii="Times New Roman" w:hAnsi="Times New Roman" w:cs="Times New Roman"/>
                <w:sz w:val="22"/>
                <w:szCs w:val="22"/>
              </w:rPr>
              <w:tab/>
              <w:t>kontrola obowiązku sprzedaży odbiorników sygnału telewizyjnego spełniających wymagania wynikające z  przepisów wykonawczych wydanych na podstawie art. 401 ust. 6;</w:t>
            </w:r>
          </w:p>
          <w:p w14:paraId="360B0901" w14:textId="77777777" w:rsidR="002E09C5" w:rsidRPr="00317ABF" w:rsidRDefault="002E09C5" w:rsidP="009D3773">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23)</w:t>
            </w:r>
            <w:r w:rsidRPr="00317ABF">
              <w:rPr>
                <w:rFonts w:ascii="Times New Roman" w:hAnsi="Times New Roman" w:cs="Times New Roman"/>
                <w:sz w:val="22"/>
                <w:szCs w:val="22"/>
              </w:rPr>
              <w:tab/>
            </w:r>
            <w:r w:rsidR="001E1112" w:rsidRPr="00317ABF">
              <w:rPr>
                <w:rFonts w:ascii="Times New Roman" w:hAnsi="Times New Roman" w:cs="Times New Roman"/>
                <w:sz w:val="22"/>
                <w:szCs w:val="22"/>
              </w:rPr>
              <w:t xml:space="preserve">kontrola obowiązku sprzedaży odbiorników radiofonii cyfrowej spełniających wymagania wynikające z  przepisów wykonawczych wydanych na podstawie art. </w:t>
            </w:r>
            <w:r w:rsidRPr="00317ABF">
              <w:rPr>
                <w:rFonts w:ascii="Times New Roman" w:hAnsi="Times New Roman" w:cs="Times New Roman"/>
                <w:sz w:val="22"/>
                <w:szCs w:val="22"/>
              </w:rPr>
              <w:t>401</w:t>
            </w:r>
            <w:r w:rsidR="001E1112" w:rsidRPr="00317ABF">
              <w:rPr>
                <w:rFonts w:ascii="Times New Roman" w:hAnsi="Times New Roman" w:cs="Times New Roman"/>
                <w:sz w:val="22"/>
                <w:szCs w:val="22"/>
              </w:rPr>
              <w:t xml:space="preserve"> ust. </w:t>
            </w:r>
            <w:r w:rsidRPr="00317ABF">
              <w:rPr>
                <w:rFonts w:ascii="Times New Roman" w:hAnsi="Times New Roman" w:cs="Times New Roman"/>
                <w:sz w:val="22"/>
                <w:szCs w:val="22"/>
              </w:rPr>
              <w:t>7.</w:t>
            </w:r>
          </w:p>
          <w:p w14:paraId="434D022B" w14:textId="4617060E" w:rsidR="001E1112" w:rsidRPr="00317ABF" w:rsidRDefault="001E1112" w:rsidP="00DB3BEC">
            <w:pPr>
              <w:jc w:val="both"/>
              <w:rPr>
                <w:sz w:val="22"/>
                <w:szCs w:val="22"/>
              </w:rPr>
            </w:pPr>
          </w:p>
          <w:p w14:paraId="7C590FCC" w14:textId="77777777" w:rsidR="001E1112" w:rsidRPr="00317ABF" w:rsidRDefault="001E1112" w:rsidP="005D4845">
            <w:pPr>
              <w:pStyle w:val="ARTartustawynprozporzdzenia"/>
              <w:spacing w:before="0" w:line="240" w:lineRule="auto"/>
              <w:ind w:firstLine="0"/>
              <w:rPr>
                <w:rFonts w:ascii="Times New Roman" w:hAnsi="Times New Roman" w:cs="Times New Roman"/>
                <w:sz w:val="22"/>
                <w:szCs w:val="22"/>
              </w:rPr>
            </w:pPr>
            <w:r w:rsidRPr="00317ABF">
              <w:rPr>
                <w:rStyle w:val="Ppogrubienie"/>
                <w:rFonts w:ascii="Times New Roman" w:hAnsi="Times New Roman"/>
                <w:sz w:val="22"/>
                <w:szCs w:val="22"/>
              </w:rPr>
              <w:t>Art. 71.</w:t>
            </w:r>
            <w:r w:rsidRPr="00317ABF">
              <w:rPr>
                <w:rFonts w:ascii="Times New Roman" w:hAnsi="Times New Roman" w:cs="Times New Roman"/>
                <w:sz w:val="22"/>
                <w:szCs w:val="22"/>
              </w:rPr>
              <w:t xml:space="preserve"> 1. Rezerwacji częstotliwości dokonuje, zmienia lub cofa Prezes UKE. Rezerwacji częstotliwości na cele rozprowadzania lub rozpowszechniania programów radiofonicznych lub telewizyjnych, Prezes </w:t>
            </w:r>
            <w:r w:rsidRPr="00317ABF">
              <w:rPr>
                <w:rFonts w:ascii="Times New Roman" w:hAnsi="Times New Roman" w:cs="Times New Roman"/>
                <w:sz w:val="22"/>
                <w:szCs w:val="22"/>
              </w:rPr>
              <w:lastRenderedPageBreak/>
              <w:t>UKE dokonuje, zmienia lub cofa w porozumieniu z Przewodniczącym KRRiT. Niezajęcie stanowiska przez Przewodniczącego KRRiT w terminie 30 dni od dnia otrzymania projektu decyzji w sprawie rezerwacji częstotliwości jest równoznaczne z uzgodnieniem projektu.</w:t>
            </w:r>
          </w:p>
          <w:p w14:paraId="0598578A" w14:textId="3E46E291" w:rsidR="001E1112" w:rsidRPr="00317ABF" w:rsidRDefault="001E1112" w:rsidP="005D4845">
            <w:pPr>
              <w:rPr>
                <w:sz w:val="22"/>
                <w:szCs w:val="22"/>
              </w:rPr>
            </w:pPr>
            <w:r w:rsidRPr="00317ABF">
              <w:rPr>
                <w:sz w:val="22"/>
                <w:szCs w:val="22"/>
              </w:rPr>
              <w:t>2. Porozumienie, o którym mowa w ust. 1, nie jest wymagane w przypadku dokonania, zmiany lub cofnięcia rezerwacji częstotliwości na cele rozpowszechniania programów radiofonicznych w sposób analogowy, na które Przewodniczący KRRiT odpowiednio udzielił, zmienił lub cofnął koncesję.</w:t>
            </w:r>
          </w:p>
          <w:p w14:paraId="259A0084" w14:textId="38339B80" w:rsidR="001E1112" w:rsidRPr="00317ABF" w:rsidRDefault="001E1112" w:rsidP="009D3773">
            <w:pPr>
              <w:pStyle w:val="ARTartustawynprozporzdzenia"/>
              <w:spacing w:line="240" w:lineRule="auto"/>
              <w:ind w:firstLine="0"/>
              <w:rPr>
                <w:rFonts w:ascii="Times New Roman" w:hAnsi="Times New Roman" w:cs="Times New Roman"/>
                <w:sz w:val="22"/>
                <w:szCs w:val="22"/>
              </w:rPr>
            </w:pPr>
            <w:r w:rsidRPr="00317ABF">
              <w:rPr>
                <w:rStyle w:val="Ppogrubienie"/>
                <w:rFonts w:ascii="Times New Roman" w:hAnsi="Times New Roman"/>
                <w:sz w:val="22"/>
                <w:szCs w:val="22"/>
              </w:rPr>
              <w:t>Art. </w:t>
            </w:r>
            <w:r w:rsidR="00175AA9" w:rsidRPr="00317ABF">
              <w:rPr>
                <w:rStyle w:val="Ppogrubienie"/>
                <w:rFonts w:ascii="Times New Roman" w:hAnsi="Times New Roman"/>
                <w:sz w:val="22"/>
                <w:szCs w:val="22"/>
              </w:rPr>
              <w:t>106</w:t>
            </w:r>
            <w:r w:rsidRPr="00317ABF">
              <w:rPr>
                <w:rStyle w:val="Ppogrubienie"/>
                <w:rFonts w:ascii="Times New Roman" w:hAnsi="Times New Roman"/>
                <w:sz w:val="22"/>
                <w:szCs w:val="22"/>
              </w:rPr>
              <w:t>.</w:t>
            </w:r>
            <w:r w:rsidRPr="00317ABF">
              <w:rPr>
                <w:rFonts w:ascii="Times New Roman" w:hAnsi="Times New Roman" w:cs="Times New Roman"/>
                <w:sz w:val="22"/>
                <w:szCs w:val="22"/>
              </w:rPr>
              <w:t xml:space="preserve"> Postępowanie selekcyjne przeprowadza Prezes UKE.</w:t>
            </w:r>
          </w:p>
          <w:p w14:paraId="7FB49A98" w14:textId="531F9344" w:rsidR="005D4845" w:rsidRPr="00317ABF" w:rsidRDefault="005D4845" w:rsidP="005D4845">
            <w:pPr>
              <w:pStyle w:val="USTustnpkodeksu"/>
              <w:spacing w:line="240" w:lineRule="auto"/>
              <w:ind w:firstLine="0"/>
              <w:rPr>
                <w:rStyle w:val="Ppogrubienie"/>
                <w:rFonts w:ascii="Times New Roman" w:hAnsi="Times New Roman"/>
                <w:b w:val="0"/>
                <w:sz w:val="22"/>
                <w:szCs w:val="22"/>
              </w:rPr>
            </w:pPr>
            <w:r w:rsidRPr="00317ABF">
              <w:rPr>
                <w:rStyle w:val="Ppogrubienie"/>
                <w:rFonts w:ascii="Times New Roman" w:hAnsi="Times New Roman"/>
                <w:sz w:val="22"/>
                <w:szCs w:val="22"/>
              </w:rPr>
              <w:t>Art. 128.</w:t>
            </w:r>
            <w:r w:rsidRPr="00317ABF">
              <w:rPr>
                <w:rStyle w:val="Ppogrubienie"/>
                <w:rFonts w:ascii="Times New Roman" w:hAnsi="Times New Roman"/>
                <w:b w:val="0"/>
                <w:sz w:val="22"/>
                <w:szCs w:val="22"/>
              </w:rPr>
              <w:t xml:space="preserve"> 1. Wykorzystywanie częstotliwości użytkowanych jako cywilno-rządowe przez użytkowników rządowych wymaga uzyskania przydziału częstotliwości. </w:t>
            </w:r>
          </w:p>
          <w:p w14:paraId="68D6285E" w14:textId="4E9BB167" w:rsidR="005D4845" w:rsidRPr="00317ABF" w:rsidRDefault="005D4845" w:rsidP="005D4845">
            <w:pPr>
              <w:pStyle w:val="ARTartustawynprozporzdzenia"/>
              <w:spacing w:before="0" w:line="240" w:lineRule="auto"/>
              <w:ind w:firstLine="0"/>
              <w:rPr>
                <w:rFonts w:ascii="Times New Roman" w:hAnsi="Times New Roman" w:cs="Times New Roman"/>
                <w:sz w:val="22"/>
                <w:szCs w:val="22"/>
              </w:rPr>
            </w:pPr>
            <w:r w:rsidRPr="00317ABF">
              <w:rPr>
                <w:rStyle w:val="Ppogrubienie"/>
                <w:rFonts w:ascii="Times New Roman" w:hAnsi="Times New Roman"/>
                <w:b w:val="0"/>
                <w:sz w:val="22"/>
                <w:szCs w:val="22"/>
              </w:rPr>
              <w:t xml:space="preserve">2. Przydziału </w:t>
            </w:r>
            <w:r w:rsidRPr="00317ABF">
              <w:rPr>
                <w:rFonts w:ascii="Times New Roman" w:hAnsi="Times New Roman" w:cs="Times New Roman"/>
                <w:sz w:val="22"/>
                <w:szCs w:val="22"/>
              </w:rPr>
              <w:t>częstotliwości</w:t>
            </w:r>
            <w:r w:rsidRPr="00317ABF">
              <w:rPr>
                <w:rStyle w:val="Ppogrubienie"/>
                <w:rFonts w:ascii="Times New Roman" w:hAnsi="Times New Roman"/>
                <w:b w:val="0"/>
                <w:sz w:val="22"/>
                <w:szCs w:val="22"/>
              </w:rPr>
              <w:t>, o którym mowa w ust. 1 dokonuje, zmienia lub cofa Prezes UKE.</w:t>
            </w:r>
          </w:p>
          <w:p w14:paraId="68F21D90" w14:textId="0B762871" w:rsidR="001E1112" w:rsidRPr="00317ABF" w:rsidRDefault="001E1112" w:rsidP="00DB3BEC">
            <w:pPr>
              <w:jc w:val="both"/>
              <w:rPr>
                <w:sz w:val="22"/>
                <w:szCs w:val="22"/>
              </w:rPr>
            </w:pPr>
            <w:r w:rsidRPr="00317ABF">
              <w:rPr>
                <w:rStyle w:val="Ppogrubienie"/>
                <w:sz w:val="22"/>
                <w:szCs w:val="22"/>
              </w:rPr>
              <w:t>Art. </w:t>
            </w:r>
            <w:r w:rsidR="00175AA9" w:rsidRPr="00317ABF">
              <w:rPr>
                <w:rStyle w:val="Ppogrubienie"/>
                <w:sz w:val="22"/>
                <w:szCs w:val="22"/>
              </w:rPr>
              <w:t>197</w:t>
            </w:r>
            <w:r w:rsidRPr="00317ABF">
              <w:rPr>
                <w:rStyle w:val="Ppogrubienie"/>
                <w:sz w:val="22"/>
                <w:szCs w:val="22"/>
              </w:rPr>
              <w:t>.</w:t>
            </w:r>
            <w:r w:rsidRPr="00317ABF">
              <w:rPr>
                <w:sz w:val="22"/>
                <w:szCs w:val="22"/>
              </w:rPr>
              <w:t xml:space="preserve"> 1. Prezes UKE przeprowadza analizę rynku w zakresie produktów lub usług komunikacji elektronicznej.</w:t>
            </w:r>
          </w:p>
        </w:tc>
      </w:tr>
      <w:tr w:rsidR="001E1112" w:rsidRPr="00317ABF" w14:paraId="6195C132" w14:textId="77777777" w:rsidTr="7753F98D">
        <w:trPr>
          <w:gridAfter w:val="2"/>
          <w:wAfter w:w="175" w:type="dxa"/>
        </w:trPr>
        <w:tc>
          <w:tcPr>
            <w:tcW w:w="704" w:type="dxa"/>
          </w:tcPr>
          <w:p w14:paraId="62C2402C" w14:textId="77777777" w:rsidR="001E1112" w:rsidRPr="00317ABF" w:rsidRDefault="001E1112" w:rsidP="00DB3BEC">
            <w:pPr>
              <w:jc w:val="both"/>
              <w:rPr>
                <w:sz w:val="22"/>
                <w:szCs w:val="22"/>
              </w:rPr>
            </w:pPr>
            <w:r w:rsidRPr="00317ABF">
              <w:rPr>
                <w:sz w:val="22"/>
                <w:szCs w:val="22"/>
              </w:rPr>
              <w:lastRenderedPageBreak/>
              <w:t>Art. 5 ust. 2</w:t>
            </w:r>
          </w:p>
        </w:tc>
        <w:tc>
          <w:tcPr>
            <w:tcW w:w="4308" w:type="dxa"/>
          </w:tcPr>
          <w:p w14:paraId="4E7F1D20" w14:textId="77777777" w:rsidR="001E1112" w:rsidRPr="00317ABF" w:rsidRDefault="001E1112" w:rsidP="00DB3BEC">
            <w:pPr>
              <w:spacing w:before="120"/>
              <w:jc w:val="both"/>
              <w:rPr>
                <w:sz w:val="22"/>
                <w:szCs w:val="22"/>
              </w:rPr>
            </w:pPr>
            <w:r w:rsidRPr="00317ABF">
              <w:rPr>
                <w:sz w:val="22"/>
                <w:szCs w:val="22"/>
              </w:rPr>
              <w:t>2.   Krajowe organy regulacyjne i inne właściwe organy tego samego państwa członkowskiego lub różnych państw członkowskich zawierają między sobą, w razie potrzeby, porozumienia o współpracy w celu rozwijania współpracy regulacyjnej.</w:t>
            </w:r>
          </w:p>
        </w:tc>
        <w:tc>
          <w:tcPr>
            <w:tcW w:w="986" w:type="dxa"/>
          </w:tcPr>
          <w:p w14:paraId="13C326F3" w14:textId="0EFD3DA9" w:rsidR="001E1112" w:rsidRPr="00317ABF" w:rsidRDefault="001E1112" w:rsidP="00DB3BEC">
            <w:pPr>
              <w:jc w:val="both"/>
              <w:rPr>
                <w:sz w:val="22"/>
                <w:szCs w:val="22"/>
              </w:rPr>
            </w:pPr>
            <w:r w:rsidRPr="00317ABF">
              <w:rPr>
                <w:sz w:val="22"/>
                <w:szCs w:val="22"/>
              </w:rPr>
              <w:t>T</w:t>
            </w:r>
          </w:p>
        </w:tc>
        <w:tc>
          <w:tcPr>
            <w:tcW w:w="910" w:type="dxa"/>
          </w:tcPr>
          <w:p w14:paraId="4853B841" w14:textId="4392B3D8" w:rsidR="001E1112" w:rsidRPr="00317ABF" w:rsidRDefault="001E1112" w:rsidP="00DB3BEC">
            <w:pPr>
              <w:pStyle w:val="Tekstpodstawowy"/>
              <w:rPr>
                <w:b/>
                <w:noProof/>
                <w:sz w:val="22"/>
                <w:szCs w:val="22"/>
              </w:rPr>
            </w:pPr>
            <w:r w:rsidRPr="00317ABF">
              <w:rPr>
                <w:b/>
                <w:noProof/>
                <w:sz w:val="22"/>
                <w:szCs w:val="22"/>
              </w:rPr>
              <w:t xml:space="preserve">Art. </w:t>
            </w:r>
            <w:r w:rsidR="007433F7" w:rsidRPr="00317ABF">
              <w:rPr>
                <w:b/>
                <w:noProof/>
                <w:sz w:val="22"/>
                <w:szCs w:val="22"/>
              </w:rPr>
              <w:t>414</w:t>
            </w:r>
            <w:r w:rsidRPr="00317ABF">
              <w:rPr>
                <w:b/>
                <w:noProof/>
                <w:sz w:val="22"/>
                <w:szCs w:val="22"/>
              </w:rPr>
              <w:t xml:space="preserve"> ust. 1 pkt  13 i </w:t>
            </w:r>
            <w:r w:rsidR="007433F7" w:rsidRPr="00317ABF">
              <w:rPr>
                <w:b/>
                <w:noProof/>
                <w:sz w:val="22"/>
                <w:szCs w:val="22"/>
              </w:rPr>
              <w:t>14</w:t>
            </w:r>
          </w:p>
        </w:tc>
        <w:tc>
          <w:tcPr>
            <w:tcW w:w="6814" w:type="dxa"/>
            <w:gridSpan w:val="2"/>
          </w:tcPr>
          <w:p w14:paraId="38171991" w14:textId="21333238" w:rsidR="001E1112" w:rsidRPr="00317ABF" w:rsidRDefault="001E1112" w:rsidP="00DB3BEC">
            <w:pPr>
              <w:jc w:val="both"/>
              <w:rPr>
                <w:sz w:val="22"/>
                <w:szCs w:val="22"/>
              </w:rPr>
            </w:pPr>
            <w:r w:rsidRPr="00317ABF">
              <w:rPr>
                <w:sz w:val="22"/>
                <w:szCs w:val="22"/>
              </w:rPr>
              <w:t xml:space="preserve">Art. </w:t>
            </w:r>
            <w:r w:rsidR="007433F7" w:rsidRPr="00317ABF">
              <w:rPr>
                <w:sz w:val="22"/>
                <w:szCs w:val="22"/>
              </w:rPr>
              <w:t>414</w:t>
            </w:r>
            <w:r w:rsidRPr="00317ABF">
              <w:rPr>
                <w:sz w:val="22"/>
                <w:szCs w:val="22"/>
              </w:rPr>
              <w:t>. 1. Do zakresu działania Prezesa UKE należy w szczególności:</w:t>
            </w:r>
          </w:p>
          <w:p w14:paraId="563C5811" w14:textId="77777777" w:rsidR="007433F7" w:rsidRPr="00317ABF" w:rsidRDefault="007433F7" w:rsidP="009D3773">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13)</w:t>
            </w:r>
            <w:r w:rsidRPr="00317ABF">
              <w:rPr>
                <w:rFonts w:ascii="Times New Roman" w:hAnsi="Times New Roman" w:cs="Times New Roman"/>
                <w:sz w:val="22"/>
                <w:szCs w:val="22"/>
              </w:rPr>
              <w:tab/>
              <w:t>współpraca z krajowymi i międzynarodowymi organizacjami telekomunikacyjnymi;</w:t>
            </w:r>
          </w:p>
          <w:p w14:paraId="640B7564" w14:textId="77777777" w:rsidR="007433F7" w:rsidRPr="00317ABF" w:rsidRDefault="007433F7" w:rsidP="009D3773">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14)</w:t>
            </w:r>
            <w:r w:rsidRPr="00317ABF">
              <w:rPr>
                <w:rFonts w:ascii="Times New Roman" w:hAnsi="Times New Roman" w:cs="Times New Roman"/>
                <w:sz w:val="22"/>
                <w:szCs w:val="22"/>
              </w:rPr>
              <w:tab/>
            </w:r>
            <w:r w:rsidR="001E1112" w:rsidRPr="00317ABF">
              <w:rPr>
                <w:rFonts w:ascii="Times New Roman" w:hAnsi="Times New Roman" w:cs="Times New Roman"/>
                <w:sz w:val="22"/>
                <w:szCs w:val="22"/>
              </w:rPr>
              <w:t>współpraca z Komisją Europejską i instytucjami Unii Europejskiej, a także z BEREC oraz organami regulacyjnymi innych państw członkowskich;</w:t>
            </w:r>
          </w:p>
          <w:p w14:paraId="50125231" w14:textId="375F1884" w:rsidR="001E1112" w:rsidRPr="00317ABF" w:rsidRDefault="001E1112" w:rsidP="00DB3BEC">
            <w:pPr>
              <w:jc w:val="both"/>
              <w:rPr>
                <w:sz w:val="22"/>
                <w:szCs w:val="22"/>
              </w:rPr>
            </w:pPr>
          </w:p>
        </w:tc>
      </w:tr>
      <w:tr w:rsidR="001E1112" w:rsidRPr="00317ABF" w14:paraId="76C64CB7" w14:textId="77777777" w:rsidTr="7753F98D">
        <w:trPr>
          <w:gridAfter w:val="2"/>
          <w:wAfter w:w="175" w:type="dxa"/>
        </w:trPr>
        <w:tc>
          <w:tcPr>
            <w:tcW w:w="704" w:type="dxa"/>
          </w:tcPr>
          <w:p w14:paraId="3DC18CC0" w14:textId="77777777" w:rsidR="001E1112" w:rsidRPr="00317ABF" w:rsidRDefault="001E1112" w:rsidP="00DB3BEC">
            <w:pPr>
              <w:jc w:val="both"/>
              <w:rPr>
                <w:sz w:val="22"/>
                <w:szCs w:val="22"/>
              </w:rPr>
            </w:pPr>
            <w:r w:rsidRPr="00317ABF">
              <w:rPr>
                <w:sz w:val="22"/>
                <w:szCs w:val="22"/>
              </w:rPr>
              <w:t>Art. 5 ust. 3</w:t>
            </w:r>
          </w:p>
        </w:tc>
        <w:tc>
          <w:tcPr>
            <w:tcW w:w="4308" w:type="dxa"/>
          </w:tcPr>
          <w:p w14:paraId="6461191B" w14:textId="77777777" w:rsidR="001E1112" w:rsidRPr="00317ABF" w:rsidRDefault="001E1112" w:rsidP="00DB3BEC">
            <w:pPr>
              <w:spacing w:before="120"/>
              <w:jc w:val="both"/>
              <w:rPr>
                <w:sz w:val="22"/>
                <w:szCs w:val="22"/>
              </w:rPr>
            </w:pPr>
            <w:r w:rsidRPr="00317ABF">
              <w:rPr>
                <w:sz w:val="22"/>
                <w:szCs w:val="22"/>
              </w:rPr>
              <w:t xml:space="preserve">3.   Państwa członkowskie ogłaszają w formie łatwo dostępnej zakres zadań, jakie mają być realizowane przez krajowe organy regulacyjne i inne właściwe organy, a w szczególności, gdy takie zadania zostały przydzielone więcej niż jednemu organowi. W razie potrzeby, państwa członkowskie zapewnią wzajemną konsultację i współpracę pomiędzy powyższymi organami, pomiędzy tymi organami a krajowymi organami, którym powierzono wdrażanie przepisów z zakresu prawa konkurencji, lub przepisów z zakresu ochrony konsumenta, w zakresie obejmującym ich wspólne interesy. Jeżeli więcej niż jeden organ jest uprawniony </w:t>
            </w:r>
            <w:r w:rsidRPr="00317ABF">
              <w:rPr>
                <w:sz w:val="22"/>
                <w:szCs w:val="22"/>
              </w:rPr>
              <w:lastRenderedPageBreak/>
              <w:t>do rozpatrywania takich spraw, państwa członkowskie zapewnią, by odpowiednie zadania każdego organu zostały ogłoszone w formie łatwo dostępnej.</w:t>
            </w:r>
          </w:p>
        </w:tc>
        <w:tc>
          <w:tcPr>
            <w:tcW w:w="986" w:type="dxa"/>
          </w:tcPr>
          <w:p w14:paraId="5A25747A" w14:textId="4BBDEE5C" w:rsidR="001E1112" w:rsidRPr="00317ABF" w:rsidRDefault="001E1112" w:rsidP="00DB3BEC">
            <w:pPr>
              <w:jc w:val="both"/>
              <w:rPr>
                <w:sz w:val="22"/>
                <w:szCs w:val="22"/>
              </w:rPr>
            </w:pPr>
            <w:r w:rsidRPr="00317ABF">
              <w:rPr>
                <w:sz w:val="22"/>
                <w:szCs w:val="22"/>
              </w:rPr>
              <w:lastRenderedPageBreak/>
              <w:t>T</w:t>
            </w:r>
          </w:p>
        </w:tc>
        <w:tc>
          <w:tcPr>
            <w:tcW w:w="910" w:type="dxa"/>
          </w:tcPr>
          <w:p w14:paraId="09B8D95D" w14:textId="388A166D" w:rsidR="001E1112" w:rsidRPr="00317ABF" w:rsidRDefault="001E1112" w:rsidP="00DB3BEC">
            <w:pPr>
              <w:pStyle w:val="Tekstpodstawowy"/>
              <w:rPr>
                <w:b/>
                <w:noProof/>
                <w:sz w:val="22"/>
                <w:szCs w:val="22"/>
              </w:rPr>
            </w:pPr>
            <w:r w:rsidRPr="00317ABF">
              <w:rPr>
                <w:b/>
                <w:noProof/>
                <w:sz w:val="22"/>
                <w:szCs w:val="22"/>
              </w:rPr>
              <w:t xml:space="preserve">Art. </w:t>
            </w:r>
            <w:r w:rsidR="001B4F14" w:rsidRPr="00317ABF">
              <w:rPr>
                <w:b/>
                <w:noProof/>
                <w:sz w:val="22"/>
                <w:szCs w:val="22"/>
              </w:rPr>
              <w:t>414</w:t>
            </w:r>
            <w:r w:rsidRPr="00317ABF">
              <w:rPr>
                <w:b/>
                <w:noProof/>
                <w:sz w:val="22"/>
                <w:szCs w:val="22"/>
              </w:rPr>
              <w:t xml:space="preserve"> ust. 1</w:t>
            </w:r>
          </w:p>
        </w:tc>
        <w:tc>
          <w:tcPr>
            <w:tcW w:w="6814" w:type="dxa"/>
            <w:gridSpan w:val="2"/>
          </w:tcPr>
          <w:p w14:paraId="70248E88" w14:textId="77777777" w:rsidR="001B4F14" w:rsidRPr="00317ABF" w:rsidRDefault="001B4F14" w:rsidP="009D3773">
            <w:pPr>
              <w:pStyle w:val="ARTartustawynprozporzdzenia"/>
              <w:keepNext/>
              <w:spacing w:line="240" w:lineRule="auto"/>
              <w:ind w:firstLine="0"/>
              <w:rPr>
                <w:rFonts w:ascii="Times New Roman" w:hAnsi="Times New Roman" w:cs="Times New Roman"/>
                <w:sz w:val="22"/>
                <w:szCs w:val="22"/>
              </w:rPr>
            </w:pPr>
            <w:r w:rsidRPr="00317ABF">
              <w:rPr>
                <w:rStyle w:val="Ppogrubienie"/>
                <w:rFonts w:ascii="Times New Roman" w:hAnsi="Times New Roman"/>
                <w:sz w:val="22"/>
                <w:szCs w:val="22"/>
              </w:rPr>
              <w:t>Art. 414.</w:t>
            </w:r>
            <w:r w:rsidRPr="00317ABF">
              <w:rPr>
                <w:rFonts w:ascii="Times New Roman" w:hAnsi="Times New Roman" w:cs="Times New Roman"/>
                <w:sz w:val="22"/>
                <w:szCs w:val="22"/>
              </w:rPr>
              <w:t xml:space="preserve"> 1. Do zakresu działania Prezesa UKE należy w szczególności:</w:t>
            </w:r>
          </w:p>
          <w:p w14:paraId="457CED6B" w14:textId="77777777" w:rsidR="001B4F14" w:rsidRPr="00317ABF" w:rsidRDefault="001B4F14" w:rsidP="009D3773">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1)</w:t>
            </w:r>
            <w:r w:rsidRPr="00317ABF">
              <w:rPr>
                <w:rFonts w:ascii="Times New Roman" w:hAnsi="Times New Roman" w:cs="Times New Roman"/>
                <w:sz w:val="22"/>
                <w:szCs w:val="22"/>
              </w:rPr>
              <w:tab/>
              <w:t>opracowywanie wskazanych przez ministra właściwego do spraw informatyzacji projektów aktów prawnych w zakresie komunikacji elektronicznej;</w:t>
            </w:r>
          </w:p>
          <w:p w14:paraId="64ACFF01" w14:textId="77777777" w:rsidR="001B4F14" w:rsidRPr="00317ABF" w:rsidRDefault="001B4F14" w:rsidP="009D3773">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2)</w:t>
            </w:r>
            <w:r w:rsidRPr="00317ABF">
              <w:rPr>
                <w:rFonts w:ascii="Times New Roman" w:hAnsi="Times New Roman" w:cs="Times New Roman"/>
                <w:sz w:val="22"/>
                <w:szCs w:val="22"/>
              </w:rPr>
              <w:tab/>
              <w:t>wykonywanie zadań wynikających z przepisów rozporządzenia Parlamentu Europejskiego i Rady (UE) nr 2018/1971 z dnia 11 grudnia 2018 r. ustanawiającego Organ Europejskich Regulatorów Łączności Elektronicznej (BEREC) oraz Agencję Wsparcia BEREC (Urząd BEREC), zmieniającego rozporządzenie (UE) 2015/2120 oraz uchylającego rozporządzenie (WE) nr 1211/2009);</w:t>
            </w:r>
          </w:p>
          <w:p w14:paraId="5BBFC119" w14:textId="77777777" w:rsidR="001B4F14" w:rsidRPr="00317ABF" w:rsidRDefault="001B4F14" w:rsidP="009D3773">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3)</w:t>
            </w:r>
            <w:r w:rsidRPr="00317ABF">
              <w:rPr>
                <w:rFonts w:ascii="Times New Roman" w:hAnsi="Times New Roman" w:cs="Times New Roman"/>
                <w:sz w:val="22"/>
                <w:szCs w:val="22"/>
              </w:rPr>
              <w:tab/>
              <w:t>analiza i ocena funkcjonowania rynków usług komunikacji elektronicznej;</w:t>
            </w:r>
          </w:p>
          <w:p w14:paraId="665FBFF6" w14:textId="77777777" w:rsidR="001B4F14" w:rsidRPr="00317ABF" w:rsidRDefault="001B4F14" w:rsidP="009D3773">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4)</w:t>
            </w:r>
            <w:r w:rsidRPr="00317ABF">
              <w:rPr>
                <w:rFonts w:ascii="Times New Roman" w:hAnsi="Times New Roman" w:cs="Times New Roman"/>
                <w:sz w:val="22"/>
                <w:szCs w:val="22"/>
              </w:rPr>
              <w:tab/>
              <w:t>monitorowanie jakości usług komunikacji elektronicznej;</w:t>
            </w:r>
          </w:p>
          <w:p w14:paraId="02541F15" w14:textId="77777777" w:rsidR="001B4F14" w:rsidRPr="00317ABF" w:rsidRDefault="001B4F14" w:rsidP="009D3773">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lastRenderedPageBreak/>
              <w:t>5)</w:t>
            </w:r>
            <w:r w:rsidRPr="00317ABF">
              <w:rPr>
                <w:rFonts w:ascii="Times New Roman" w:hAnsi="Times New Roman" w:cs="Times New Roman"/>
                <w:sz w:val="22"/>
                <w:szCs w:val="22"/>
              </w:rPr>
              <w:tab/>
              <w:t>podejmowanie interwencji w sprawach dotyczących funkcjonowania rynków usług komunikacji elektronicznej oraz rynku aparatury, w tym rynku urządzeń telekomunikacyjnych, z własnej inicjatywy lub wniesionych przez zainteresowane podmioty, w szczególności użytkowników i przedsiębiorców komunikacji elektronicznej;</w:t>
            </w:r>
          </w:p>
          <w:p w14:paraId="70390C84" w14:textId="77777777" w:rsidR="001B4F14" w:rsidRPr="00317ABF" w:rsidRDefault="001B4F14" w:rsidP="009D3773">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6)</w:t>
            </w:r>
            <w:r w:rsidRPr="00317ABF">
              <w:rPr>
                <w:rFonts w:ascii="Times New Roman" w:hAnsi="Times New Roman" w:cs="Times New Roman"/>
                <w:sz w:val="22"/>
                <w:szCs w:val="22"/>
              </w:rPr>
              <w:tab/>
              <w:t>kontrolowanie realizacji obowiązków wynikających z przepisów rozporządzenia Parlamentu Europejskiego i Rady (UE) nr 531/2012 z dnia 13 czerwca 2012 r. w sprawie roamingu w publicznych sieciach łączności ruchomej wewnątrz Unii (Dz. Urz. UE L 172 z 30.06.2012, str. 10);</w:t>
            </w:r>
          </w:p>
          <w:p w14:paraId="57A22462" w14:textId="77777777" w:rsidR="001B4F14" w:rsidRPr="00317ABF" w:rsidRDefault="001B4F14" w:rsidP="009D3773">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7)</w:t>
            </w:r>
            <w:r w:rsidRPr="00317ABF">
              <w:rPr>
                <w:rFonts w:ascii="Times New Roman" w:hAnsi="Times New Roman" w:cs="Times New Roman"/>
                <w:sz w:val="22"/>
                <w:szCs w:val="22"/>
              </w:rPr>
              <w:tab/>
              <w:t>realizacja obowiązków nałożonych na Prezesa UKE i kontrolowanie realizacji pozostałych obowiązków, wynikających z przepisów rozporządzenia Parlamentu Europejskiego i Rady (UE) 2015/2120 z dnia 25 listopada 2015 r. ustanawiającego środki dotyczące dostępu do otwartego internetu i dotyczące opłat detalicznych za uregulowane usługi łączności wewnątrzunijnej oraz zmieniającego dyrektywę 2002/22/WE, a także rozporządzenie (UE) nr 531/2012;</w:t>
            </w:r>
          </w:p>
          <w:p w14:paraId="025A9AE6" w14:textId="77777777" w:rsidR="001B4F14" w:rsidRPr="00317ABF" w:rsidRDefault="001B4F14" w:rsidP="009D3773">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8)</w:t>
            </w:r>
            <w:r w:rsidRPr="00317ABF">
              <w:rPr>
                <w:rFonts w:ascii="Times New Roman" w:hAnsi="Times New Roman" w:cs="Times New Roman"/>
                <w:sz w:val="22"/>
                <w:szCs w:val="22"/>
              </w:rPr>
              <w:tab/>
              <w:t>zarządzanie zasobami częstotliwości przeznaczonymi do użytkowania cywilnego i cywilno-rządowego oraz tworzenie warunków dla rozwoju krajowych służb radiokomunikacyjnych przez zapewnianie Rzeczypospolitej Polskiej niezbędnych zasobów częstotliwości oraz dostępu do zasobów orbitalnych;</w:t>
            </w:r>
          </w:p>
          <w:p w14:paraId="68F50E1E" w14:textId="77777777" w:rsidR="001B4F14" w:rsidRPr="00317ABF" w:rsidRDefault="001B4F14" w:rsidP="009D3773">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9) współpraca z użytkownikami rządowymi w celu zapewnienia warunków do utrzymania ciągłości funkcjonowania systemów komunikacji elektronicznej tych użytkowników;</w:t>
            </w:r>
          </w:p>
          <w:p w14:paraId="1C2B8752" w14:textId="77777777" w:rsidR="001B4F14" w:rsidRPr="00317ABF" w:rsidRDefault="001B4F14" w:rsidP="009D3773">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10)</w:t>
            </w:r>
            <w:r w:rsidRPr="00317ABF">
              <w:rPr>
                <w:rFonts w:ascii="Times New Roman" w:hAnsi="Times New Roman" w:cs="Times New Roman"/>
                <w:sz w:val="22"/>
                <w:szCs w:val="22"/>
              </w:rPr>
              <w:tab/>
              <w:t>realizacja harmonogramu rozdysponowania zasobów częstotliwości, o którym mowa w przepisach wykonawczych wydanych na podstawie art. 62 ust. 4;</w:t>
            </w:r>
          </w:p>
          <w:p w14:paraId="4CF306EA" w14:textId="77777777" w:rsidR="001B4F14" w:rsidRPr="00317ABF" w:rsidRDefault="001B4F14" w:rsidP="009D3773">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11)</w:t>
            </w:r>
            <w:r w:rsidRPr="00317ABF">
              <w:rPr>
                <w:rFonts w:ascii="Times New Roman" w:hAnsi="Times New Roman" w:cs="Times New Roman"/>
                <w:sz w:val="22"/>
                <w:szCs w:val="22"/>
              </w:rPr>
              <w:tab/>
              <w:t>występowanie do RSPG z wnioskiem o pomoc w rozwiązaniu problemów lub sporów związanych z transgraniczną koordynacją częstotliwości lub szkodliwymi zakłóceniami o charakterze transgranicznym;</w:t>
            </w:r>
          </w:p>
          <w:p w14:paraId="225D2CB4" w14:textId="77777777" w:rsidR="001B4F14" w:rsidRPr="00317ABF" w:rsidRDefault="001B4F14" w:rsidP="009D3773">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12)</w:t>
            </w:r>
            <w:r w:rsidRPr="00317ABF">
              <w:rPr>
                <w:rFonts w:ascii="Times New Roman" w:hAnsi="Times New Roman" w:cs="Times New Roman"/>
                <w:sz w:val="22"/>
                <w:szCs w:val="22"/>
              </w:rPr>
              <w:tab/>
              <w:t xml:space="preserve"> wykonywanie zadań i obowiązków na rzecz obronności, bezpieczeństwa państwa oraz bezpieczeństwa i porządku publicznego;</w:t>
            </w:r>
          </w:p>
          <w:p w14:paraId="6B88CC3B" w14:textId="77777777" w:rsidR="001B4F14" w:rsidRPr="00317ABF" w:rsidRDefault="001B4F14" w:rsidP="009D3773">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13)</w:t>
            </w:r>
            <w:r w:rsidRPr="00317ABF">
              <w:rPr>
                <w:rFonts w:ascii="Times New Roman" w:hAnsi="Times New Roman" w:cs="Times New Roman"/>
                <w:sz w:val="22"/>
                <w:szCs w:val="22"/>
              </w:rPr>
              <w:tab/>
              <w:t>współpraca z krajowymi i międzynarodowymi organizacjami telekomunikacyjnymi;</w:t>
            </w:r>
          </w:p>
          <w:p w14:paraId="7A0FE146" w14:textId="77777777" w:rsidR="001B4F14" w:rsidRPr="00317ABF" w:rsidRDefault="001B4F14" w:rsidP="009D3773">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14)</w:t>
            </w:r>
            <w:r w:rsidRPr="00317ABF">
              <w:rPr>
                <w:rFonts w:ascii="Times New Roman" w:hAnsi="Times New Roman" w:cs="Times New Roman"/>
                <w:sz w:val="22"/>
                <w:szCs w:val="22"/>
              </w:rPr>
              <w:tab/>
              <w:t>współpraca z Komisją Europejską i instytucjami Unii Europejskiej, a także z BEREC oraz organami regulacyjnymi innych państw członkowskich;</w:t>
            </w:r>
          </w:p>
          <w:p w14:paraId="4E4245B9" w14:textId="77777777" w:rsidR="001B4F14" w:rsidRPr="00317ABF" w:rsidRDefault="001B4F14" w:rsidP="009D3773">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lastRenderedPageBreak/>
              <w:t>15)</w:t>
            </w:r>
            <w:r w:rsidRPr="00317ABF">
              <w:rPr>
                <w:rFonts w:ascii="Times New Roman" w:hAnsi="Times New Roman" w:cs="Times New Roman"/>
                <w:sz w:val="22"/>
                <w:szCs w:val="22"/>
              </w:rPr>
              <w:tab/>
              <w:t>współpraca z Prezesem UOKiK w sprawach dotyczących przestrzegania praw podmiotów korzystających z usług komunikacji elektronicznej, przeciwdziałania praktykom ograniczającym konkurencję oraz antykonkurencyjnym koncentracjom przedsiębiorców komunikacji elektronicznej i ich związków;</w:t>
            </w:r>
          </w:p>
          <w:p w14:paraId="5F799775" w14:textId="77777777" w:rsidR="001B4F14" w:rsidRPr="00317ABF" w:rsidRDefault="001B4F14" w:rsidP="009D3773">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16)</w:t>
            </w:r>
            <w:r w:rsidRPr="00317ABF">
              <w:rPr>
                <w:rFonts w:ascii="Times New Roman" w:hAnsi="Times New Roman" w:cs="Times New Roman"/>
                <w:sz w:val="22"/>
                <w:szCs w:val="22"/>
              </w:rPr>
              <w:tab/>
              <w:t>współpraca z Krajową Radą Radiofonii i Telewizji w zakresie właściwości tego organu;</w:t>
            </w:r>
          </w:p>
          <w:p w14:paraId="56B447C2" w14:textId="77777777" w:rsidR="001B4F14" w:rsidRPr="00317ABF" w:rsidRDefault="001B4F14" w:rsidP="009D3773">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17)</w:t>
            </w:r>
            <w:r w:rsidRPr="00317ABF">
              <w:rPr>
                <w:rFonts w:ascii="Times New Roman" w:hAnsi="Times New Roman" w:cs="Times New Roman"/>
                <w:sz w:val="22"/>
                <w:szCs w:val="22"/>
              </w:rPr>
              <w:tab/>
              <w:t>wykonywanie zadań w sprawach międzynarodowej i unijnej polityki komunikacji elektronicznej z upoważnienia ministra właściwego do spraw informatyzacji;</w:t>
            </w:r>
          </w:p>
          <w:p w14:paraId="5D31B8AA" w14:textId="77777777" w:rsidR="001B4F14" w:rsidRPr="00317ABF" w:rsidRDefault="001B4F14" w:rsidP="009D3773">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18)</w:t>
            </w:r>
            <w:r w:rsidRPr="00317ABF">
              <w:rPr>
                <w:rFonts w:ascii="Times New Roman" w:hAnsi="Times New Roman" w:cs="Times New Roman"/>
                <w:sz w:val="22"/>
                <w:szCs w:val="22"/>
              </w:rPr>
              <w:tab/>
              <w:t>prowadzenie transgranicznych koordynacji częstotliwości z innymi państwami, w tym zawieranie niezbędnych umów lub porozumień, w sposób i w terminach pozwalających na realizację zobowiązań wynikających z wiążących Rzeczpospolitą Polską umów międzynarodowych lub aktów prawnych Unii Europejskiej, dotyczących gospodarowania częstotliwościami;</w:t>
            </w:r>
          </w:p>
          <w:p w14:paraId="57862DC5" w14:textId="77777777" w:rsidR="001B4F14" w:rsidRPr="00317ABF" w:rsidRDefault="001B4F14" w:rsidP="009D3773">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19)</w:t>
            </w:r>
            <w:r w:rsidRPr="00317ABF">
              <w:rPr>
                <w:rFonts w:ascii="Times New Roman" w:hAnsi="Times New Roman" w:cs="Times New Roman"/>
                <w:sz w:val="22"/>
                <w:szCs w:val="22"/>
              </w:rPr>
              <w:tab/>
              <w:t>przedstawianie Komisji Europejskiej, BEREC i organom regulacyjnym innych państw członkowskich informacji z zakresu komunikacji elektronicznej, w tym wykonywanie obowiązków notyfikacyjnych, obejmujących przekazywanie treści rozstrzygnięć, o których mowa w art. 201 ust. 1, oraz informacji o przedsiębiorcach komunikacji elektronicznej, którzy zostali uznani za posiadających znaczącą pozycję rynkową, świadczących usługę powszechną i realizujących połączenia sieci telekomunikacyjnych oraz nałożonych na nich obowiązkach;</w:t>
            </w:r>
          </w:p>
          <w:p w14:paraId="5196BA81" w14:textId="77777777" w:rsidR="001B4F14" w:rsidRPr="00317ABF" w:rsidRDefault="001B4F14" w:rsidP="009D3773">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20)</w:t>
            </w:r>
            <w:r w:rsidRPr="00317ABF">
              <w:rPr>
                <w:rFonts w:ascii="Times New Roman" w:hAnsi="Times New Roman" w:cs="Times New Roman"/>
                <w:sz w:val="22"/>
                <w:szCs w:val="22"/>
              </w:rPr>
              <w:tab/>
              <w:t>przeprowadzanie konsultacji środowiskowych w sprawach związanych z zasięgiem, dostępnością oraz jakością usług komunikacji elektronicznej, z zainteresowanymi podmiotami i ich związkami, w szczególności z przedsiębiorcami komunikacji elektronicznej, użytkownikami, konsumentami, w tym użytkownikami końcowymi z niepełnosprawnościami, oraz producentami;</w:t>
            </w:r>
          </w:p>
          <w:p w14:paraId="1E7DBBD6" w14:textId="77777777" w:rsidR="001B4F14" w:rsidRPr="00317ABF" w:rsidRDefault="001B4F14" w:rsidP="009D3773">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21)</w:t>
            </w:r>
            <w:r w:rsidRPr="00317ABF">
              <w:rPr>
                <w:rFonts w:ascii="Times New Roman" w:hAnsi="Times New Roman" w:cs="Times New Roman"/>
                <w:sz w:val="22"/>
                <w:szCs w:val="22"/>
              </w:rPr>
              <w:tab/>
              <w:t>kontrola obowiązku wyposażenia pojazdów kategorii M w samochodowe odbiorniki radiofoniczne zdolne do odbioru cyfrowych transmisji;</w:t>
            </w:r>
          </w:p>
          <w:p w14:paraId="589BB378" w14:textId="77777777" w:rsidR="001B4F14" w:rsidRPr="00317ABF" w:rsidRDefault="001B4F14" w:rsidP="009D3773">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22)</w:t>
            </w:r>
            <w:r w:rsidRPr="00317ABF">
              <w:rPr>
                <w:rFonts w:ascii="Times New Roman" w:hAnsi="Times New Roman" w:cs="Times New Roman"/>
                <w:sz w:val="22"/>
                <w:szCs w:val="22"/>
              </w:rPr>
              <w:tab/>
              <w:t>kontrola obowiązku sprzedaży odbiorników sygnału telewizyjnego spełniających wymagania wynikające z  przepisów wykonawczych wydanych na podstawie art. 401 ust. 6;</w:t>
            </w:r>
          </w:p>
          <w:p w14:paraId="6840DB4F" w14:textId="77777777" w:rsidR="001B4F14" w:rsidRPr="00317ABF" w:rsidRDefault="001B4F14" w:rsidP="009D3773">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lastRenderedPageBreak/>
              <w:t>23)</w:t>
            </w:r>
            <w:r w:rsidRPr="00317ABF">
              <w:rPr>
                <w:rFonts w:ascii="Times New Roman" w:hAnsi="Times New Roman" w:cs="Times New Roman"/>
                <w:sz w:val="22"/>
                <w:szCs w:val="22"/>
              </w:rPr>
              <w:tab/>
            </w:r>
            <w:r w:rsidR="001E1112" w:rsidRPr="00317ABF">
              <w:rPr>
                <w:rFonts w:ascii="Times New Roman" w:hAnsi="Times New Roman" w:cs="Times New Roman"/>
                <w:sz w:val="22"/>
                <w:szCs w:val="22"/>
              </w:rPr>
              <w:t xml:space="preserve">kontrola obowiązku sprzedaży odbiorników radiofonii cyfrowej spełniających wymagania wynikające z  przepisów wykonawczych wydanych na podstawie art. </w:t>
            </w:r>
            <w:r w:rsidRPr="00317ABF">
              <w:rPr>
                <w:rFonts w:ascii="Times New Roman" w:hAnsi="Times New Roman" w:cs="Times New Roman"/>
                <w:sz w:val="22"/>
                <w:szCs w:val="22"/>
              </w:rPr>
              <w:t>401</w:t>
            </w:r>
            <w:r w:rsidR="001E1112" w:rsidRPr="00317ABF">
              <w:rPr>
                <w:rFonts w:ascii="Times New Roman" w:hAnsi="Times New Roman" w:cs="Times New Roman"/>
                <w:sz w:val="22"/>
                <w:szCs w:val="22"/>
              </w:rPr>
              <w:t xml:space="preserve"> ust. </w:t>
            </w:r>
            <w:r w:rsidRPr="00317ABF">
              <w:rPr>
                <w:rFonts w:ascii="Times New Roman" w:hAnsi="Times New Roman" w:cs="Times New Roman"/>
                <w:sz w:val="22"/>
                <w:szCs w:val="22"/>
              </w:rPr>
              <w:t>7.</w:t>
            </w:r>
          </w:p>
          <w:p w14:paraId="78BEFD2A" w14:textId="715F4D47" w:rsidR="001E1112" w:rsidRPr="00317ABF" w:rsidRDefault="001E1112" w:rsidP="00DB3BEC">
            <w:pPr>
              <w:jc w:val="both"/>
              <w:rPr>
                <w:sz w:val="22"/>
                <w:szCs w:val="22"/>
              </w:rPr>
            </w:pPr>
          </w:p>
        </w:tc>
      </w:tr>
      <w:tr w:rsidR="001E1112" w:rsidRPr="00317ABF" w14:paraId="3C81CD47" w14:textId="77777777" w:rsidTr="7753F98D">
        <w:trPr>
          <w:gridAfter w:val="2"/>
          <w:wAfter w:w="175" w:type="dxa"/>
        </w:trPr>
        <w:tc>
          <w:tcPr>
            <w:tcW w:w="704" w:type="dxa"/>
          </w:tcPr>
          <w:p w14:paraId="08C19C4E" w14:textId="77777777" w:rsidR="001E1112" w:rsidRPr="00317ABF" w:rsidRDefault="001E1112" w:rsidP="00DB3BEC">
            <w:pPr>
              <w:jc w:val="both"/>
              <w:rPr>
                <w:sz w:val="22"/>
                <w:szCs w:val="22"/>
              </w:rPr>
            </w:pPr>
            <w:r w:rsidRPr="00317ABF">
              <w:rPr>
                <w:sz w:val="22"/>
                <w:szCs w:val="22"/>
              </w:rPr>
              <w:lastRenderedPageBreak/>
              <w:t>Art. 5 ust. 4</w:t>
            </w:r>
          </w:p>
        </w:tc>
        <w:tc>
          <w:tcPr>
            <w:tcW w:w="4308" w:type="dxa"/>
          </w:tcPr>
          <w:p w14:paraId="7AB310C8" w14:textId="77777777" w:rsidR="001E1112" w:rsidRPr="00317ABF" w:rsidRDefault="001E1112" w:rsidP="00DB3BEC">
            <w:pPr>
              <w:spacing w:before="120"/>
              <w:jc w:val="both"/>
              <w:rPr>
                <w:sz w:val="22"/>
                <w:szCs w:val="22"/>
              </w:rPr>
            </w:pPr>
            <w:r w:rsidRPr="00317ABF">
              <w:rPr>
                <w:sz w:val="22"/>
                <w:szCs w:val="22"/>
              </w:rPr>
              <w:t>4.   Państwa członkowskie powiadomią Komisję o wszystkich krajowych organach regulacyjnych i innych właściwych organach, którym zostały przydzielone zadania wynikające z niniejszej dyrektywy, oraz o zakresie odpowiedzialności każdego z tych organów, a także o wszelkich dotyczących ich zmianach.</w:t>
            </w:r>
          </w:p>
        </w:tc>
        <w:tc>
          <w:tcPr>
            <w:tcW w:w="986" w:type="dxa"/>
          </w:tcPr>
          <w:p w14:paraId="15DC2D20" w14:textId="77777777" w:rsidR="001E1112" w:rsidRPr="00317ABF" w:rsidRDefault="001E1112" w:rsidP="00DB3BEC">
            <w:pPr>
              <w:jc w:val="both"/>
              <w:rPr>
                <w:sz w:val="22"/>
                <w:szCs w:val="22"/>
              </w:rPr>
            </w:pPr>
            <w:r w:rsidRPr="00317ABF">
              <w:rPr>
                <w:sz w:val="22"/>
                <w:szCs w:val="22"/>
              </w:rPr>
              <w:t>N</w:t>
            </w:r>
          </w:p>
        </w:tc>
        <w:tc>
          <w:tcPr>
            <w:tcW w:w="910" w:type="dxa"/>
          </w:tcPr>
          <w:p w14:paraId="27A76422" w14:textId="77777777" w:rsidR="001E1112" w:rsidRPr="00317ABF" w:rsidRDefault="001E1112" w:rsidP="00DB3BEC">
            <w:pPr>
              <w:pStyle w:val="Tekstpodstawowy"/>
              <w:rPr>
                <w:b/>
                <w:noProof/>
                <w:sz w:val="22"/>
                <w:szCs w:val="22"/>
              </w:rPr>
            </w:pPr>
          </w:p>
        </w:tc>
        <w:tc>
          <w:tcPr>
            <w:tcW w:w="6814" w:type="dxa"/>
            <w:gridSpan w:val="2"/>
          </w:tcPr>
          <w:p w14:paraId="49206A88" w14:textId="77777777" w:rsidR="001E1112" w:rsidRPr="00317ABF" w:rsidRDefault="001E1112" w:rsidP="00DB3BEC">
            <w:pPr>
              <w:pStyle w:val="Tekstpodstawowy"/>
              <w:rPr>
                <w:sz w:val="22"/>
                <w:szCs w:val="22"/>
              </w:rPr>
            </w:pPr>
          </w:p>
        </w:tc>
      </w:tr>
      <w:tr w:rsidR="001E1112" w:rsidRPr="00317ABF" w14:paraId="7A9497D2" w14:textId="77777777" w:rsidTr="7753F98D">
        <w:trPr>
          <w:gridAfter w:val="2"/>
          <w:wAfter w:w="175" w:type="dxa"/>
        </w:trPr>
        <w:tc>
          <w:tcPr>
            <w:tcW w:w="704" w:type="dxa"/>
          </w:tcPr>
          <w:p w14:paraId="3D15805D" w14:textId="77777777" w:rsidR="001E1112" w:rsidRPr="00317ABF" w:rsidRDefault="001E1112" w:rsidP="00DB3BEC">
            <w:pPr>
              <w:jc w:val="both"/>
              <w:rPr>
                <w:b/>
                <w:sz w:val="22"/>
                <w:szCs w:val="22"/>
              </w:rPr>
            </w:pPr>
            <w:r w:rsidRPr="00317ABF">
              <w:rPr>
                <w:b/>
                <w:sz w:val="22"/>
                <w:szCs w:val="22"/>
              </w:rPr>
              <w:t>Art. 6</w:t>
            </w:r>
          </w:p>
        </w:tc>
        <w:tc>
          <w:tcPr>
            <w:tcW w:w="4308" w:type="dxa"/>
          </w:tcPr>
          <w:p w14:paraId="012DA080" w14:textId="77777777" w:rsidR="001E1112" w:rsidRPr="00317ABF" w:rsidRDefault="001E1112" w:rsidP="00DB3BEC">
            <w:pPr>
              <w:spacing w:before="60" w:after="120"/>
              <w:jc w:val="both"/>
              <w:rPr>
                <w:b/>
                <w:bCs/>
                <w:sz w:val="22"/>
                <w:szCs w:val="22"/>
              </w:rPr>
            </w:pPr>
            <w:r w:rsidRPr="00317ABF">
              <w:rPr>
                <w:b/>
                <w:bCs/>
                <w:sz w:val="22"/>
                <w:szCs w:val="22"/>
              </w:rPr>
              <w:t>Niezależność krajowych organów regulacyjnych i innych właściwych organów</w:t>
            </w:r>
          </w:p>
        </w:tc>
        <w:tc>
          <w:tcPr>
            <w:tcW w:w="986" w:type="dxa"/>
          </w:tcPr>
          <w:p w14:paraId="67B7A70C" w14:textId="77777777" w:rsidR="001E1112" w:rsidRPr="00317ABF" w:rsidRDefault="001E1112" w:rsidP="00DB3BEC">
            <w:pPr>
              <w:jc w:val="both"/>
              <w:rPr>
                <w:sz w:val="22"/>
                <w:szCs w:val="22"/>
              </w:rPr>
            </w:pPr>
          </w:p>
        </w:tc>
        <w:tc>
          <w:tcPr>
            <w:tcW w:w="910" w:type="dxa"/>
          </w:tcPr>
          <w:p w14:paraId="71887C79" w14:textId="77777777" w:rsidR="001E1112" w:rsidRPr="00317ABF" w:rsidRDefault="001E1112" w:rsidP="00DB3BEC">
            <w:pPr>
              <w:pStyle w:val="Tekstpodstawowy"/>
              <w:rPr>
                <w:b/>
                <w:noProof/>
                <w:sz w:val="22"/>
                <w:szCs w:val="22"/>
              </w:rPr>
            </w:pPr>
          </w:p>
        </w:tc>
        <w:tc>
          <w:tcPr>
            <w:tcW w:w="6814" w:type="dxa"/>
            <w:gridSpan w:val="2"/>
          </w:tcPr>
          <w:p w14:paraId="3B7FD67C" w14:textId="77777777" w:rsidR="001E1112" w:rsidRPr="00317ABF" w:rsidRDefault="001E1112" w:rsidP="00DB3BEC">
            <w:pPr>
              <w:pStyle w:val="Tekstpodstawowy"/>
              <w:rPr>
                <w:sz w:val="22"/>
                <w:szCs w:val="22"/>
              </w:rPr>
            </w:pPr>
          </w:p>
        </w:tc>
      </w:tr>
      <w:tr w:rsidR="001E1112" w:rsidRPr="00317ABF" w14:paraId="55941114" w14:textId="77777777" w:rsidTr="7753F98D">
        <w:trPr>
          <w:gridAfter w:val="2"/>
          <w:wAfter w:w="175" w:type="dxa"/>
        </w:trPr>
        <w:tc>
          <w:tcPr>
            <w:tcW w:w="704" w:type="dxa"/>
          </w:tcPr>
          <w:p w14:paraId="140DD4D7" w14:textId="77777777" w:rsidR="001E1112" w:rsidRPr="00317ABF" w:rsidRDefault="001E1112" w:rsidP="00DB3BEC">
            <w:pPr>
              <w:jc w:val="both"/>
              <w:rPr>
                <w:sz w:val="22"/>
                <w:szCs w:val="22"/>
              </w:rPr>
            </w:pPr>
            <w:r w:rsidRPr="00317ABF">
              <w:rPr>
                <w:sz w:val="22"/>
                <w:szCs w:val="22"/>
              </w:rPr>
              <w:t>Art. 6 ust. 1</w:t>
            </w:r>
          </w:p>
        </w:tc>
        <w:tc>
          <w:tcPr>
            <w:tcW w:w="4308" w:type="dxa"/>
          </w:tcPr>
          <w:p w14:paraId="4993ABDC" w14:textId="77777777" w:rsidR="001E1112" w:rsidRPr="00317ABF" w:rsidRDefault="001E1112" w:rsidP="00DB3BEC">
            <w:pPr>
              <w:spacing w:before="120"/>
              <w:jc w:val="both"/>
              <w:rPr>
                <w:sz w:val="22"/>
                <w:szCs w:val="22"/>
              </w:rPr>
            </w:pPr>
            <w:r w:rsidRPr="00317ABF">
              <w:rPr>
                <w:sz w:val="22"/>
                <w:szCs w:val="22"/>
              </w:rPr>
              <w:t>1.   Państwa członkowskie gwarantują niezależność krajowych organów regulacyjnych i innych właściwych organów, zapewniając, by były one prawnie oddzielone i funkcjonalnie niezależne od każdej osoby fizycznej lub prawnej udostępniających sieci, urządzenia lub usługi łączności elektronicznej. Państwa członkowskie, które zachowają prawo własności przedsiębiorstw udostępniających sieci lub świadczących usługi łączności elektronicznej lub które będą sprawowały nad nimi kontrolę, zobowiązane są zapewnić skuteczny strukturalny rozdział funkcji regulacyjnych od działalności związanej z wykonywaniem prawa własności lub kontroli.</w:t>
            </w:r>
          </w:p>
        </w:tc>
        <w:tc>
          <w:tcPr>
            <w:tcW w:w="986" w:type="dxa"/>
          </w:tcPr>
          <w:p w14:paraId="38D6B9B6" w14:textId="4AD577DB" w:rsidR="001E1112" w:rsidRPr="00317ABF" w:rsidRDefault="001E1112" w:rsidP="00DB3BEC">
            <w:pPr>
              <w:jc w:val="both"/>
              <w:rPr>
                <w:sz w:val="22"/>
                <w:szCs w:val="22"/>
              </w:rPr>
            </w:pPr>
            <w:r w:rsidRPr="00317ABF">
              <w:rPr>
                <w:sz w:val="22"/>
                <w:szCs w:val="22"/>
              </w:rPr>
              <w:t>T</w:t>
            </w:r>
          </w:p>
        </w:tc>
        <w:tc>
          <w:tcPr>
            <w:tcW w:w="910" w:type="dxa"/>
          </w:tcPr>
          <w:p w14:paraId="22F860BB" w14:textId="4FC2C20A" w:rsidR="001E1112" w:rsidRPr="00317ABF" w:rsidRDefault="001E1112" w:rsidP="00DB3BEC">
            <w:pPr>
              <w:pStyle w:val="Tekstpodstawowy"/>
              <w:rPr>
                <w:b/>
                <w:noProof/>
                <w:sz w:val="22"/>
                <w:szCs w:val="22"/>
              </w:rPr>
            </w:pPr>
            <w:r w:rsidRPr="00317ABF">
              <w:rPr>
                <w:b/>
                <w:bCs/>
                <w:noProof/>
                <w:sz w:val="22"/>
                <w:szCs w:val="22"/>
              </w:rPr>
              <w:t xml:space="preserve">Art. </w:t>
            </w:r>
            <w:r w:rsidR="00AB3C44" w:rsidRPr="00317ABF">
              <w:rPr>
                <w:b/>
                <w:bCs/>
                <w:noProof/>
                <w:sz w:val="22"/>
                <w:szCs w:val="22"/>
              </w:rPr>
              <w:t>406</w:t>
            </w:r>
          </w:p>
        </w:tc>
        <w:tc>
          <w:tcPr>
            <w:tcW w:w="6814" w:type="dxa"/>
            <w:gridSpan w:val="2"/>
          </w:tcPr>
          <w:p w14:paraId="1BDFB619" w14:textId="2707633F" w:rsidR="00AB3C44" w:rsidRPr="00317ABF" w:rsidRDefault="001E1112" w:rsidP="009D3773">
            <w:pPr>
              <w:pStyle w:val="ARTartustawynprozporzdzenia"/>
              <w:keepNext/>
              <w:spacing w:line="240" w:lineRule="auto"/>
              <w:ind w:firstLine="0"/>
              <w:rPr>
                <w:rFonts w:ascii="Times New Roman" w:hAnsi="Times New Roman" w:cs="Times New Roman"/>
                <w:sz w:val="22"/>
                <w:szCs w:val="22"/>
              </w:rPr>
            </w:pPr>
            <w:r w:rsidRPr="00317ABF">
              <w:rPr>
                <w:rStyle w:val="Ppogrubienie"/>
                <w:rFonts w:ascii="Times New Roman" w:hAnsi="Times New Roman"/>
                <w:sz w:val="22"/>
                <w:szCs w:val="22"/>
              </w:rPr>
              <w:t>Art.</w:t>
            </w:r>
            <w:r w:rsidR="00AB3C44" w:rsidRPr="00317ABF">
              <w:rPr>
                <w:rStyle w:val="Ppogrubienie"/>
                <w:rFonts w:ascii="Times New Roman" w:hAnsi="Times New Roman"/>
                <w:sz w:val="22"/>
                <w:szCs w:val="22"/>
              </w:rPr>
              <w:t> 406.</w:t>
            </w:r>
            <w:r w:rsidRPr="00317ABF">
              <w:rPr>
                <w:rFonts w:ascii="Times New Roman" w:hAnsi="Times New Roman" w:cs="Times New Roman"/>
                <w:sz w:val="22"/>
                <w:szCs w:val="22"/>
              </w:rPr>
              <w:t xml:space="preserve"> Organy administracji publicznej pełniące kontrolę nad przedsiębiorcą komunikacji elektronicznej lub posiadające pakiet kontrolny przedsiębiorcy komunikacji elektronicznej zapewniają strukturalny rozdział funkcji związanych z wykonywaniem przez nie zadań i uprawnień właścicielskich wobec tego przedsiębiorcy.</w:t>
            </w:r>
          </w:p>
          <w:p w14:paraId="698536F5" w14:textId="4B6C7C0C" w:rsidR="001E1112" w:rsidRPr="00317ABF" w:rsidRDefault="001E1112" w:rsidP="00DB3BEC">
            <w:pPr>
              <w:jc w:val="both"/>
              <w:rPr>
                <w:sz w:val="22"/>
                <w:szCs w:val="22"/>
              </w:rPr>
            </w:pPr>
          </w:p>
        </w:tc>
      </w:tr>
      <w:tr w:rsidR="001E1112" w:rsidRPr="00317ABF" w14:paraId="490C37A4" w14:textId="77777777" w:rsidTr="7753F98D">
        <w:trPr>
          <w:gridAfter w:val="2"/>
          <w:wAfter w:w="175" w:type="dxa"/>
        </w:trPr>
        <w:tc>
          <w:tcPr>
            <w:tcW w:w="704" w:type="dxa"/>
          </w:tcPr>
          <w:p w14:paraId="45EB2400" w14:textId="77777777" w:rsidR="001E1112" w:rsidRPr="00317ABF" w:rsidRDefault="001E1112" w:rsidP="00DB3BEC">
            <w:pPr>
              <w:jc w:val="both"/>
              <w:rPr>
                <w:sz w:val="22"/>
                <w:szCs w:val="22"/>
              </w:rPr>
            </w:pPr>
            <w:r w:rsidRPr="00317ABF">
              <w:rPr>
                <w:sz w:val="22"/>
                <w:szCs w:val="22"/>
              </w:rPr>
              <w:t>Art. 6 ust. 2</w:t>
            </w:r>
          </w:p>
        </w:tc>
        <w:tc>
          <w:tcPr>
            <w:tcW w:w="4308" w:type="dxa"/>
          </w:tcPr>
          <w:p w14:paraId="23D6CB6D" w14:textId="77777777" w:rsidR="001E1112" w:rsidRPr="00317ABF" w:rsidRDefault="001E1112" w:rsidP="00DB3BEC">
            <w:pPr>
              <w:spacing w:before="120"/>
              <w:jc w:val="both"/>
              <w:rPr>
                <w:sz w:val="22"/>
                <w:szCs w:val="22"/>
              </w:rPr>
            </w:pPr>
            <w:r w:rsidRPr="00317ABF">
              <w:rPr>
                <w:sz w:val="22"/>
                <w:szCs w:val="22"/>
              </w:rPr>
              <w:t xml:space="preserve">2.   Państwa członkowskie zapewniają, aby krajowe organy regulacyjne i inne właściwe organy wykonywały swoje uprawnienia w sposób bezstronny, przejrzysty i terminowy. Państwa członkowskie zapewniają, aby organy te posiadały wystarczające zasoby techniczne, </w:t>
            </w:r>
            <w:r w:rsidRPr="00317ABF">
              <w:rPr>
                <w:sz w:val="22"/>
                <w:szCs w:val="22"/>
              </w:rPr>
              <w:lastRenderedPageBreak/>
              <w:t>finansowe i ludzkie do wykonywania przydzielonych im zadań.</w:t>
            </w:r>
          </w:p>
        </w:tc>
        <w:tc>
          <w:tcPr>
            <w:tcW w:w="986" w:type="dxa"/>
          </w:tcPr>
          <w:p w14:paraId="7BC1BAF2" w14:textId="39802F60" w:rsidR="001E1112" w:rsidRPr="00317ABF" w:rsidRDefault="001E1112" w:rsidP="00DB3BEC">
            <w:pPr>
              <w:jc w:val="both"/>
              <w:rPr>
                <w:sz w:val="22"/>
                <w:szCs w:val="22"/>
              </w:rPr>
            </w:pPr>
            <w:r w:rsidRPr="00317ABF">
              <w:rPr>
                <w:sz w:val="22"/>
                <w:szCs w:val="22"/>
              </w:rPr>
              <w:lastRenderedPageBreak/>
              <w:t>T</w:t>
            </w:r>
          </w:p>
        </w:tc>
        <w:tc>
          <w:tcPr>
            <w:tcW w:w="910" w:type="dxa"/>
          </w:tcPr>
          <w:p w14:paraId="74A44000" w14:textId="56F16F07" w:rsidR="001E1112" w:rsidRPr="00317ABF" w:rsidRDefault="001E1112" w:rsidP="00DB3BEC">
            <w:pPr>
              <w:pStyle w:val="Tekstpodstawowy"/>
              <w:rPr>
                <w:b/>
                <w:bCs/>
                <w:noProof/>
                <w:sz w:val="22"/>
                <w:szCs w:val="22"/>
              </w:rPr>
            </w:pPr>
            <w:r w:rsidRPr="00317ABF">
              <w:rPr>
                <w:b/>
                <w:bCs/>
                <w:noProof/>
                <w:sz w:val="22"/>
                <w:szCs w:val="22"/>
              </w:rPr>
              <w:t>Przepisy KPA,</w:t>
            </w:r>
          </w:p>
          <w:p w14:paraId="61C988F9" w14:textId="1334EE26" w:rsidR="001E1112" w:rsidRPr="00317ABF" w:rsidRDefault="00DC28FC" w:rsidP="00DB3BEC">
            <w:pPr>
              <w:pStyle w:val="Tekstpodstawowy"/>
              <w:rPr>
                <w:b/>
                <w:bCs/>
                <w:noProof/>
                <w:sz w:val="22"/>
                <w:szCs w:val="22"/>
              </w:rPr>
            </w:pPr>
            <w:r w:rsidRPr="00317ABF">
              <w:rPr>
                <w:b/>
                <w:bCs/>
                <w:noProof/>
                <w:sz w:val="22"/>
                <w:szCs w:val="22"/>
              </w:rPr>
              <w:t>Art.</w:t>
            </w:r>
            <w:r w:rsidR="001E1112" w:rsidRPr="00317ABF">
              <w:rPr>
                <w:b/>
                <w:bCs/>
                <w:noProof/>
                <w:sz w:val="22"/>
                <w:szCs w:val="22"/>
              </w:rPr>
              <w:t xml:space="preserve"> </w:t>
            </w:r>
            <w:r w:rsidR="00876956" w:rsidRPr="00317ABF">
              <w:rPr>
                <w:b/>
                <w:bCs/>
                <w:noProof/>
                <w:sz w:val="22"/>
                <w:szCs w:val="22"/>
              </w:rPr>
              <w:t>415</w:t>
            </w:r>
          </w:p>
        </w:tc>
        <w:tc>
          <w:tcPr>
            <w:tcW w:w="6814" w:type="dxa"/>
            <w:gridSpan w:val="2"/>
          </w:tcPr>
          <w:p w14:paraId="352C6644" w14:textId="77777777" w:rsidR="001E1112" w:rsidRPr="00317ABF" w:rsidRDefault="001E1112" w:rsidP="009D3773">
            <w:pPr>
              <w:pStyle w:val="ARTartustawynprozporzdzenia"/>
              <w:spacing w:line="240" w:lineRule="auto"/>
              <w:ind w:firstLine="0"/>
              <w:rPr>
                <w:rFonts w:ascii="Times New Roman" w:hAnsi="Times New Roman" w:cs="Times New Roman"/>
                <w:sz w:val="22"/>
                <w:szCs w:val="22"/>
              </w:rPr>
            </w:pPr>
            <w:r w:rsidRPr="00317ABF">
              <w:rPr>
                <w:rStyle w:val="Ppogrubienie"/>
                <w:rFonts w:ascii="Times New Roman" w:hAnsi="Times New Roman"/>
                <w:sz w:val="22"/>
                <w:szCs w:val="22"/>
              </w:rPr>
              <w:t>Art. </w:t>
            </w:r>
            <w:r w:rsidR="00876956" w:rsidRPr="00317ABF">
              <w:rPr>
                <w:rStyle w:val="Ppogrubienie"/>
                <w:rFonts w:ascii="Times New Roman" w:hAnsi="Times New Roman"/>
                <w:sz w:val="22"/>
                <w:szCs w:val="22"/>
              </w:rPr>
              <w:t>415</w:t>
            </w:r>
            <w:r w:rsidRPr="00317ABF">
              <w:rPr>
                <w:rStyle w:val="Ppogrubienie"/>
                <w:rFonts w:ascii="Times New Roman" w:hAnsi="Times New Roman"/>
                <w:sz w:val="22"/>
                <w:szCs w:val="22"/>
              </w:rPr>
              <w:t>.</w:t>
            </w:r>
            <w:r w:rsidRPr="00317ABF">
              <w:rPr>
                <w:rFonts w:ascii="Times New Roman" w:hAnsi="Times New Roman" w:cs="Times New Roman"/>
                <w:sz w:val="22"/>
                <w:szCs w:val="22"/>
              </w:rPr>
              <w:t xml:space="preserve"> </w:t>
            </w:r>
            <w:bookmarkStart w:id="3" w:name="mip52137394"/>
            <w:bookmarkEnd w:id="3"/>
            <w:r w:rsidRPr="00317ABF">
              <w:rPr>
                <w:rFonts w:ascii="Times New Roman" w:hAnsi="Times New Roman" w:cs="Times New Roman"/>
                <w:sz w:val="22"/>
                <w:szCs w:val="22"/>
              </w:rPr>
              <w:t>1. Prezes UKE wykonuje zadania przy pomocy UKE.</w:t>
            </w:r>
          </w:p>
          <w:p w14:paraId="035C06DD" w14:textId="77777777" w:rsidR="001E1112" w:rsidRPr="00317ABF" w:rsidRDefault="001E1112" w:rsidP="009D3773">
            <w:pPr>
              <w:pStyle w:val="USTustnpkodeksu"/>
              <w:spacing w:line="240" w:lineRule="auto"/>
              <w:rPr>
                <w:rFonts w:ascii="Times New Roman" w:hAnsi="Times New Roman" w:cs="Times New Roman"/>
                <w:sz w:val="22"/>
                <w:szCs w:val="22"/>
              </w:rPr>
            </w:pPr>
            <w:bookmarkStart w:id="4" w:name="mip52137395"/>
            <w:bookmarkEnd w:id="4"/>
            <w:r w:rsidRPr="00317ABF">
              <w:rPr>
                <w:rFonts w:ascii="Times New Roman" w:hAnsi="Times New Roman" w:cs="Times New Roman"/>
                <w:sz w:val="22"/>
                <w:szCs w:val="22"/>
              </w:rPr>
              <w:t>2. UKE prowadzi gospodarkę finansową na zasadach określonych dla jednostek budżetowych.</w:t>
            </w:r>
          </w:p>
          <w:p w14:paraId="7C7FFCAF" w14:textId="77777777" w:rsidR="001E1112" w:rsidRPr="00317ABF" w:rsidRDefault="001E1112" w:rsidP="009D3773">
            <w:pPr>
              <w:pStyle w:val="USTustnpkodeksu"/>
              <w:spacing w:line="240" w:lineRule="auto"/>
              <w:rPr>
                <w:rFonts w:ascii="Times New Roman" w:hAnsi="Times New Roman" w:cs="Times New Roman"/>
                <w:sz w:val="22"/>
                <w:szCs w:val="22"/>
              </w:rPr>
            </w:pPr>
            <w:bookmarkStart w:id="5" w:name="mip52137396"/>
            <w:bookmarkEnd w:id="5"/>
            <w:r w:rsidRPr="00317ABF">
              <w:rPr>
                <w:rFonts w:ascii="Times New Roman" w:hAnsi="Times New Roman" w:cs="Times New Roman"/>
                <w:sz w:val="22"/>
                <w:szCs w:val="22"/>
              </w:rPr>
              <w:t>3. Minister właściwy do spraw informatyzacji, po zasięgnięciu opinii ministra właściwego do spraw łączności, w drodze zarządzenia, nadaje statut UKE, określając jego komórki organizacyjne.</w:t>
            </w:r>
          </w:p>
          <w:p w14:paraId="575805F1" w14:textId="550DD2D0" w:rsidR="001E1112" w:rsidRPr="00317ABF" w:rsidRDefault="001E1112" w:rsidP="009D3773">
            <w:pPr>
              <w:pStyle w:val="USTustnpkodeksu"/>
              <w:spacing w:line="240" w:lineRule="auto"/>
              <w:rPr>
                <w:rFonts w:ascii="Times New Roman" w:hAnsi="Times New Roman" w:cs="Times New Roman"/>
                <w:sz w:val="22"/>
                <w:szCs w:val="22"/>
              </w:rPr>
            </w:pPr>
            <w:bookmarkStart w:id="6" w:name="mip52137397"/>
            <w:bookmarkEnd w:id="6"/>
            <w:r w:rsidRPr="00317ABF">
              <w:rPr>
                <w:rFonts w:ascii="Times New Roman" w:hAnsi="Times New Roman" w:cs="Times New Roman"/>
                <w:sz w:val="22"/>
                <w:szCs w:val="22"/>
              </w:rPr>
              <w:lastRenderedPageBreak/>
              <w:t>4. Statut UKE może przewidywać utworzenie zamiejscowych jednostek organizacyjnych przez Prezesa UKE. Prezes UKE tworząc zamiejscową jednostkę organizacyjną określa jej siedzibę, właściwość rzeczową oraz miejscową, z uwzględnieniem zasadniczego podziału terytorialnego państwa.</w:t>
            </w:r>
          </w:p>
          <w:p w14:paraId="3B22BB7D" w14:textId="7A97C531" w:rsidR="001E1112" w:rsidRPr="00317ABF" w:rsidRDefault="001E1112" w:rsidP="00DB3BEC">
            <w:pPr>
              <w:jc w:val="both"/>
              <w:rPr>
                <w:sz w:val="22"/>
                <w:szCs w:val="22"/>
              </w:rPr>
            </w:pPr>
          </w:p>
        </w:tc>
      </w:tr>
      <w:tr w:rsidR="001E1112" w:rsidRPr="00317ABF" w14:paraId="6C979045" w14:textId="77777777" w:rsidTr="7753F98D">
        <w:trPr>
          <w:gridAfter w:val="2"/>
          <w:wAfter w:w="175" w:type="dxa"/>
        </w:trPr>
        <w:tc>
          <w:tcPr>
            <w:tcW w:w="704" w:type="dxa"/>
          </w:tcPr>
          <w:p w14:paraId="17D180E3" w14:textId="77777777" w:rsidR="001E1112" w:rsidRPr="00317ABF" w:rsidRDefault="001E1112" w:rsidP="00DB3BEC">
            <w:pPr>
              <w:jc w:val="both"/>
              <w:rPr>
                <w:b/>
                <w:sz w:val="22"/>
                <w:szCs w:val="22"/>
              </w:rPr>
            </w:pPr>
            <w:r w:rsidRPr="00317ABF">
              <w:rPr>
                <w:b/>
                <w:sz w:val="22"/>
                <w:szCs w:val="22"/>
              </w:rPr>
              <w:lastRenderedPageBreak/>
              <w:t>Art. 7</w:t>
            </w:r>
          </w:p>
        </w:tc>
        <w:tc>
          <w:tcPr>
            <w:tcW w:w="4308" w:type="dxa"/>
          </w:tcPr>
          <w:p w14:paraId="0E9471E7" w14:textId="77777777" w:rsidR="001E1112" w:rsidRPr="00317ABF" w:rsidRDefault="001E1112" w:rsidP="00DB3BEC">
            <w:pPr>
              <w:autoSpaceDE w:val="0"/>
              <w:autoSpaceDN w:val="0"/>
              <w:adjustRightInd w:val="0"/>
              <w:jc w:val="both"/>
              <w:rPr>
                <w:rFonts w:eastAsia="EUAlbertina-Regular-Identity-H"/>
                <w:sz w:val="22"/>
                <w:szCs w:val="22"/>
              </w:rPr>
            </w:pPr>
            <w:r w:rsidRPr="00317ABF">
              <w:rPr>
                <w:b/>
                <w:bCs/>
                <w:sz w:val="22"/>
                <w:szCs w:val="22"/>
              </w:rPr>
              <w:t>Powoływanie i odwoływanie członków krajowych organów regulacyjnych</w:t>
            </w:r>
          </w:p>
        </w:tc>
        <w:tc>
          <w:tcPr>
            <w:tcW w:w="986" w:type="dxa"/>
          </w:tcPr>
          <w:p w14:paraId="17B246DD" w14:textId="77777777" w:rsidR="001E1112" w:rsidRPr="00317ABF" w:rsidRDefault="001E1112" w:rsidP="00DB3BEC">
            <w:pPr>
              <w:jc w:val="both"/>
              <w:rPr>
                <w:sz w:val="22"/>
                <w:szCs w:val="22"/>
              </w:rPr>
            </w:pPr>
          </w:p>
        </w:tc>
        <w:tc>
          <w:tcPr>
            <w:tcW w:w="910" w:type="dxa"/>
          </w:tcPr>
          <w:p w14:paraId="6BF89DA3" w14:textId="77777777" w:rsidR="001E1112" w:rsidRPr="00317ABF" w:rsidRDefault="001E1112" w:rsidP="00DB3BEC">
            <w:pPr>
              <w:pStyle w:val="Tekstpodstawowy"/>
              <w:rPr>
                <w:b/>
                <w:noProof/>
                <w:sz w:val="22"/>
                <w:szCs w:val="22"/>
              </w:rPr>
            </w:pPr>
          </w:p>
        </w:tc>
        <w:tc>
          <w:tcPr>
            <w:tcW w:w="6814" w:type="dxa"/>
            <w:gridSpan w:val="2"/>
          </w:tcPr>
          <w:p w14:paraId="5C3E0E74" w14:textId="77777777" w:rsidR="001E1112" w:rsidRPr="00317ABF" w:rsidRDefault="001E1112" w:rsidP="00DB3BEC">
            <w:pPr>
              <w:pStyle w:val="Tekstpodstawowy"/>
              <w:rPr>
                <w:sz w:val="22"/>
                <w:szCs w:val="22"/>
              </w:rPr>
            </w:pPr>
          </w:p>
        </w:tc>
      </w:tr>
      <w:tr w:rsidR="001E1112" w:rsidRPr="00317ABF" w14:paraId="1F45972B" w14:textId="77777777" w:rsidTr="7753F98D">
        <w:trPr>
          <w:gridAfter w:val="2"/>
          <w:wAfter w:w="175" w:type="dxa"/>
        </w:trPr>
        <w:tc>
          <w:tcPr>
            <w:tcW w:w="704" w:type="dxa"/>
          </w:tcPr>
          <w:p w14:paraId="5FC3DBEA" w14:textId="77777777" w:rsidR="001E1112" w:rsidRPr="00317ABF" w:rsidRDefault="001E1112" w:rsidP="00DB3BEC">
            <w:pPr>
              <w:jc w:val="both"/>
              <w:rPr>
                <w:sz w:val="22"/>
                <w:szCs w:val="22"/>
              </w:rPr>
            </w:pPr>
            <w:r w:rsidRPr="00317ABF">
              <w:rPr>
                <w:sz w:val="22"/>
                <w:szCs w:val="22"/>
              </w:rPr>
              <w:t>Art. 7 ust. 1</w:t>
            </w:r>
          </w:p>
        </w:tc>
        <w:tc>
          <w:tcPr>
            <w:tcW w:w="4308" w:type="dxa"/>
          </w:tcPr>
          <w:p w14:paraId="1D7A22C5" w14:textId="77777777" w:rsidR="001E1112" w:rsidRPr="00317ABF" w:rsidRDefault="001E1112" w:rsidP="00DB3BEC">
            <w:pPr>
              <w:spacing w:before="120"/>
              <w:jc w:val="both"/>
              <w:rPr>
                <w:sz w:val="22"/>
                <w:szCs w:val="22"/>
              </w:rPr>
            </w:pPr>
            <w:r w:rsidRPr="00317ABF">
              <w:rPr>
                <w:sz w:val="22"/>
                <w:szCs w:val="22"/>
              </w:rPr>
              <w:t>1.   Szefa krajowego organu regulacyjnego lub, w stosownych przypadkach, członków organu kolegialnego pełniącego tę funkcję w krajowym organie regulacyjnym lub ich zastępców powołuje się w drodze otwartego i przejrzystego postępowania kwalifikacyjnego na co najmniej trzyletnią kadencję, spośród osób o uznanej pozycji i doświadczeniu zawodowym, w oparciu o osiągnięcia, umiejętności, wiedzę i doświadczenie. Państwa członkowskie zapewniają ciągłość procesu podejmowania decyzji.</w:t>
            </w:r>
          </w:p>
        </w:tc>
        <w:tc>
          <w:tcPr>
            <w:tcW w:w="986" w:type="dxa"/>
          </w:tcPr>
          <w:p w14:paraId="66A1FAB9" w14:textId="430FD5CB" w:rsidR="001E1112" w:rsidRPr="00317ABF" w:rsidRDefault="001E1112" w:rsidP="00DB3BEC">
            <w:pPr>
              <w:jc w:val="both"/>
              <w:rPr>
                <w:sz w:val="22"/>
                <w:szCs w:val="22"/>
              </w:rPr>
            </w:pPr>
            <w:r w:rsidRPr="00317ABF">
              <w:rPr>
                <w:sz w:val="22"/>
                <w:szCs w:val="22"/>
              </w:rPr>
              <w:t>T</w:t>
            </w:r>
          </w:p>
        </w:tc>
        <w:tc>
          <w:tcPr>
            <w:tcW w:w="910" w:type="dxa"/>
          </w:tcPr>
          <w:p w14:paraId="25B815AE" w14:textId="02AA6AF1" w:rsidR="001E1112" w:rsidRPr="00317ABF" w:rsidRDefault="001E1112" w:rsidP="00DB3BEC">
            <w:pPr>
              <w:pStyle w:val="Tekstpodstawowy"/>
              <w:rPr>
                <w:b/>
                <w:noProof/>
                <w:sz w:val="22"/>
                <w:szCs w:val="22"/>
              </w:rPr>
            </w:pPr>
            <w:r w:rsidRPr="00317ABF">
              <w:rPr>
                <w:b/>
                <w:noProof/>
                <w:sz w:val="22"/>
                <w:szCs w:val="22"/>
              </w:rPr>
              <w:t xml:space="preserve">Art. </w:t>
            </w:r>
            <w:r w:rsidR="006529C7" w:rsidRPr="00317ABF">
              <w:rPr>
                <w:b/>
                <w:noProof/>
                <w:sz w:val="22"/>
                <w:szCs w:val="22"/>
              </w:rPr>
              <w:t>410, art. 412</w:t>
            </w:r>
          </w:p>
          <w:p w14:paraId="6C2E7FA3" w14:textId="77777777" w:rsidR="001E1112" w:rsidRPr="00317ABF" w:rsidRDefault="001E1112" w:rsidP="00DB3BEC">
            <w:pPr>
              <w:pStyle w:val="Tekstpodstawowy"/>
              <w:rPr>
                <w:b/>
                <w:noProof/>
                <w:sz w:val="22"/>
                <w:szCs w:val="22"/>
              </w:rPr>
            </w:pPr>
          </w:p>
          <w:p w14:paraId="4EE38D92" w14:textId="77777777" w:rsidR="001E1112" w:rsidRPr="00317ABF" w:rsidRDefault="001E1112" w:rsidP="00DB3BEC">
            <w:pPr>
              <w:pStyle w:val="Tekstpodstawowy"/>
              <w:rPr>
                <w:b/>
                <w:noProof/>
                <w:sz w:val="22"/>
                <w:szCs w:val="22"/>
              </w:rPr>
            </w:pPr>
          </w:p>
          <w:p w14:paraId="0ABAEF89" w14:textId="77777777" w:rsidR="001E1112" w:rsidRPr="00317ABF" w:rsidRDefault="001E1112" w:rsidP="00DB3BEC">
            <w:pPr>
              <w:pStyle w:val="Tekstpodstawowy"/>
              <w:rPr>
                <w:b/>
                <w:noProof/>
                <w:sz w:val="22"/>
                <w:szCs w:val="22"/>
              </w:rPr>
            </w:pPr>
          </w:p>
          <w:p w14:paraId="408417E9" w14:textId="77777777" w:rsidR="001E1112" w:rsidRPr="00317ABF" w:rsidRDefault="001E1112" w:rsidP="00DB3BEC">
            <w:pPr>
              <w:pStyle w:val="Tekstpodstawowy"/>
              <w:rPr>
                <w:b/>
                <w:noProof/>
                <w:sz w:val="22"/>
                <w:szCs w:val="22"/>
              </w:rPr>
            </w:pPr>
          </w:p>
          <w:p w14:paraId="269627E1" w14:textId="77777777" w:rsidR="001E1112" w:rsidRPr="00317ABF" w:rsidRDefault="001E1112" w:rsidP="00DB3BEC">
            <w:pPr>
              <w:pStyle w:val="Tekstpodstawowy"/>
              <w:rPr>
                <w:b/>
                <w:noProof/>
                <w:sz w:val="22"/>
                <w:szCs w:val="22"/>
              </w:rPr>
            </w:pPr>
          </w:p>
          <w:p w14:paraId="69849B3B" w14:textId="77777777" w:rsidR="001E1112" w:rsidRPr="00317ABF" w:rsidRDefault="001E1112" w:rsidP="00DB3BEC">
            <w:pPr>
              <w:pStyle w:val="Tekstpodstawowy"/>
              <w:rPr>
                <w:b/>
                <w:noProof/>
                <w:sz w:val="22"/>
                <w:szCs w:val="22"/>
              </w:rPr>
            </w:pPr>
          </w:p>
          <w:p w14:paraId="1F4424FD" w14:textId="77777777" w:rsidR="001E1112" w:rsidRPr="00317ABF" w:rsidRDefault="001E1112" w:rsidP="00DB3BEC">
            <w:pPr>
              <w:pStyle w:val="Tekstpodstawowy"/>
              <w:rPr>
                <w:b/>
                <w:noProof/>
                <w:sz w:val="22"/>
                <w:szCs w:val="22"/>
              </w:rPr>
            </w:pPr>
          </w:p>
          <w:p w14:paraId="144BCFBC" w14:textId="77777777" w:rsidR="001E1112" w:rsidRPr="00317ABF" w:rsidRDefault="001E1112" w:rsidP="00DB3BEC">
            <w:pPr>
              <w:pStyle w:val="Tekstpodstawowy"/>
              <w:rPr>
                <w:b/>
                <w:noProof/>
                <w:sz w:val="22"/>
                <w:szCs w:val="22"/>
              </w:rPr>
            </w:pPr>
          </w:p>
          <w:p w14:paraId="3B6D2043" w14:textId="77777777" w:rsidR="001E1112" w:rsidRPr="00317ABF" w:rsidRDefault="001E1112" w:rsidP="00DB3BEC">
            <w:pPr>
              <w:pStyle w:val="Tekstpodstawowy"/>
              <w:rPr>
                <w:b/>
                <w:noProof/>
                <w:sz w:val="22"/>
                <w:szCs w:val="22"/>
              </w:rPr>
            </w:pPr>
          </w:p>
          <w:p w14:paraId="647B7052" w14:textId="77777777" w:rsidR="001E1112" w:rsidRPr="00317ABF" w:rsidRDefault="001E1112" w:rsidP="00DB3BEC">
            <w:pPr>
              <w:pStyle w:val="Tekstpodstawowy"/>
              <w:rPr>
                <w:b/>
                <w:noProof/>
                <w:sz w:val="22"/>
                <w:szCs w:val="22"/>
              </w:rPr>
            </w:pPr>
          </w:p>
          <w:p w14:paraId="6E90ECA7" w14:textId="77777777" w:rsidR="001E1112" w:rsidRPr="00317ABF" w:rsidRDefault="001E1112" w:rsidP="00DB3BEC">
            <w:pPr>
              <w:pStyle w:val="Tekstpodstawowy"/>
              <w:rPr>
                <w:b/>
                <w:noProof/>
                <w:sz w:val="22"/>
                <w:szCs w:val="22"/>
              </w:rPr>
            </w:pPr>
          </w:p>
          <w:p w14:paraId="48D3ADF7" w14:textId="77777777" w:rsidR="001E1112" w:rsidRPr="00317ABF" w:rsidRDefault="001E1112" w:rsidP="00DB3BEC">
            <w:pPr>
              <w:pStyle w:val="Tekstpodstawowy"/>
              <w:rPr>
                <w:b/>
                <w:noProof/>
                <w:sz w:val="22"/>
                <w:szCs w:val="22"/>
              </w:rPr>
            </w:pPr>
          </w:p>
          <w:p w14:paraId="7BC5BAC3" w14:textId="77777777" w:rsidR="001E1112" w:rsidRPr="00317ABF" w:rsidRDefault="001E1112" w:rsidP="00DB3BEC">
            <w:pPr>
              <w:pStyle w:val="Tekstpodstawowy"/>
              <w:rPr>
                <w:b/>
                <w:noProof/>
                <w:sz w:val="22"/>
                <w:szCs w:val="22"/>
              </w:rPr>
            </w:pPr>
          </w:p>
          <w:p w14:paraId="6B9AC977" w14:textId="77777777" w:rsidR="001E1112" w:rsidRPr="00317ABF" w:rsidRDefault="001E1112" w:rsidP="00DB3BEC">
            <w:pPr>
              <w:pStyle w:val="Tekstpodstawowy"/>
              <w:rPr>
                <w:b/>
                <w:noProof/>
                <w:sz w:val="22"/>
                <w:szCs w:val="22"/>
              </w:rPr>
            </w:pPr>
          </w:p>
          <w:p w14:paraId="2C2FD989" w14:textId="77777777" w:rsidR="001E1112" w:rsidRPr="00317ABF" w:rsidRDefault="001E1112" w:rsidP="00DB3BEC">
            <w:pPr>
              <w:pStyle w:val="Tekstpodstawowy"/>
              <w:rPr>
                <w:b/>
                <w:noProof/>
                <w:sz w:val="22"/>
                <w:szCs w:val="22"/>
              </w:rPr>
            </w:pPr>
          </w:p>
          <w:p w14:paraId="42B927A0" w14:textId="77777777" w:rsidR="001E1112" w:rsidRPr="00317ABF" w:rsidRDefault="001E1112" w:rsidP="00DB3BEC">
            <w:pPr>
              <w:pStyle w:val="Tekstpodstawowy"/>
              <w:rPr>
                <w:b/>
                <w:noProof/>
                <w:sz w:val="22"/>
                <w:szCs w:val="22"/>
              </w:rPr>
            </w:pPr>
          </w:p>
          <w:p w14:paraId="5431EA35" w14:textId="77777777" w:rsidR="001E1112" w:rsidRPr="00317ABF" w:rsidRDefault="001E1112" w:rsidP="00DB3BEC">
            <w:pPr>
              <w:pStyle w:val="Tekstpodstawowy"/>
              <w:rPr>
                <w:b/>
                <w:noProof/>
                <w:sz w:val="22"/>
                <w:szCs w:val="22"/>
              </w:rPr>
            </w:pPr>
          </w:p>
          <w:p w14:paraId="19F2DF3A" w14:textId="77777777" w:rsidR="001E1112" w:rsidRPr="00317ABF" w:rsidRDefault="001E1112" w:rsidP="00DB3BEC">
            <w:pPr>
              <w:pStyle w:val="Tekstpodstawowy"/>
              <w:rPr>
                <w:b/>
                <w:noProof/>
                <w:sz w:val="22"/>
                <w:szCs w:val="22"/>
              </w:rPr>
            </w:pPr>
          </w:p>
          <w:p w14:paraId="156A8419" w14:textId="77777777" w:rsidR="001E1112" w:rsidRPr="00317ABF" w:rsidRDefault="001E1112" w:rsidP="00DB3BEC">
            <w:pPr>
              <w:pStyle w:val="Tekstpodstawowy"/>
              <w:rPr>
                <w:b/>
                <w:noProof/>
                <w:sz w:val="22"/>
                <w:szCs w:val="22"/>
              </w:rPr>
            </w:pPr>
          </w:p>
          <w:p w14:paraId="325A6642" w14:textId="77777777" w:rsidR="001E1112" w:rsidRPr="00317ABF" w:rsidRDefault="001E1112" w:rsidP="00DB3BEC">
            <w:pPr>
              <w:pStyle w:val="Tekstpodstawowy"/>
              <w:rPr>
                <w:b/>
                <w:noProof/>
                <w:sz w:val="22"/>
                <w:szCs w:val="22"/>
              </w:rPr>
            </w:pPr>
          </w:p>
          <w:p w14:paraId="5111CE23" w14:textId="77777777" w:rsidR="001E1112" w:rsidRPr="00317ABF" w:rsidRDefault="001E1112" w:rsidP="00DB3BEC">
            <w:pPr>
              <w:pStyle w:val="Tekstpodstawowy"/>
              <w:rPr>
                <w:b/>
                <w:noProof/>
                <w:sz w:val="22"/>
                <w:szCs w:val="22"/>
              </w:rPr>
            </w:pPr>
          </w:p>
          <w:p w14:paraId="331DFE97" w14:textId="77777777" w:rsidR="001E1112" w:rsidRPr="00317ABF" w:rsidRDefault="001E1112" w:rsidP="00DB3BEC">
            <w:pPr>
              <w:pStyle w:val="Tekstpodstawowy"/>
              <w:rPr>
                <w:b/>
                <w:noProof/>
                <w:sz w:val="22"/>
                <w:szCs w:val="22"/>
              </w:rPr>
            </w:pPr>
          </w:p>
          <w:p w14:paraId="20BCB396" w14:textId="77777777" w:rsidR="001E1112" w:rsidRPr="00317ABF" w:rsidRDefault="001E1112" w:rsidP="00DB3BEC">
            <w:pPr>
              <w:pStyle w:val="Tekstpodstawowy"/>
              <w:rPr>
                <w:b/>
                <w:noProof/>
                <w:sz w:val="22"/>
                <w:szCs w:val="22"/>
              </w:rPr>
            </w:pPr>
          </w:p>
          <w:p w14:paraId="024234F9" w14:textId="77777777" w:rsidR="001E1112" w:rsidRPr="00317ABF" w:rsidRDefault="001E1112" w:rsidP="00DB3BEC">
            <w:pPr>
              <w:pStyle w:val="Tekstpodstawowy"/>
              <w:rPr>
                <w:b/>
                <w:noProof/>
                <w:sz w:val="22"/>
                <w:szCs w:val="22"/>
              </w:rPr>
            </w:pPr>
          </w:p>
          <w:p w14:paraId="40F6DFC4" w14:textId="77777777" w:rsidR="001E1112" w:rsidRPr="00317ABF" w:rsidRDefault="001E1112" w:rsidP="00DB3BEC">
            <w:pPr>
              <w:pStyle w:val="Tekstpodstawowy"/>
              <w:rPr>
                <w:b/>
                <w:noProof/>
                <w:sz w:val="22"/>
                <w:szCs w:val="22"/>
              </w:rPr>
            </w:pPr>
          </w:p>
          <w:p w14:paraId="59F33B98" w14:textId="77777777" w:rsidR="001E1112" w:rsidRPr="00317ABF" w:rsidRDefault="001E1112" w:rsidP="00DB3BEC">
            <w:pPr>
              <w:pStyle w:val="Tekstpodstawowy"/>
              <w:rPr>
                <w:b/>
                <w:noProof/>
                <w:sz w:val="22"/>
                <w:szCs w:val="22"/>
              </w:rPr>
            </w:pPr>
          </w:p>
          <w:p w14:paraId="63421B72" w14:textId="77777777" w:rsidR="001E1112" w:rsidRPr="00317ABF" w:rsidRDefault="001E1112" w:rsidP="00DB3BEC">
            <w:pPr>
              <w:pStyle w:val="Tekstpodstawowy"/>
              <w:rPr>
                <w:b/>
                <w:noProof/>
                <w:sz w:val="22"/>
                <w:szCs w:val="22"/>
              </w:rPr>
            </w:pPr>
          </w:p>
          <w:p w14:paraId="7A23CD76" w14:textId="77777777" w:rsidR="001E1112" w:rsidRPr="00317ABF" w:rsidRDefault="001E1112" w:rsidP="00DB3BEC">
            <w:pPr>
              <w:pStyle w:val="Tekstpodstawowy"/>
              <w:rPr>
                <w:b/>
                <w:noProof/>
                <w:sz w:val="22"/>
                <w:szCs w:val="22"/>
              </w:rPr>
            </w:pPr>
          </w:p>
          <w:p w14:paraId="4A8E1B08" w14:textId="77777777" w:rsidR="001E1112" w:rsidRPr="00317ABF" w:rsidRDefault="001E1112" w:rsidP="00DB3BEC">
            <w:pPr>
              <w:pStyle w:val="Tekstpodstawowy"/>
              <w:rPr>
                <w:b/>
                <w:noProof/>
                <w:sz w:val="22"/>
                <w:szCs w:val="22"/>
              </w:rPr>
            </w:pPr>
          </w:p>
          <w:p w14:paraId="48AFE2CA" w14:textId="77777777" w:rsidR="001E1112" w:rsidRPr="00317ABF" w:rsidRDefault="001E1112" w:rsidP="00DB3BEC">
            <w:pPr>
              <w:pStyle w:val="Tekstpodstawowy"/>
              <w:rPr>
                <w:b/>
                <w:noProof/>
                <w:sz w:val="22"/>
                <w:szCs w:val="22"/>
              </w:rPr>
            </w:pPr>
          </w:p>
          <w:p w14:paraId="1E9C33E7" w14:textId="77777777" w:rsidR="001E1112" w:rsidRPr="00317ABF" w:rsidRDefault="001E1112" w:rsidP="00DB3BEC">
            <w:pPr>
              <w:pStyle w:val="Tekstpodstawowy"/>
              <w:rPr>
                <w:b/>
                <w:noProof/>
                <w:sz w:val="22"/>
                <w:szCs w:val="22"/>
              </w:rPr>
            </w:pPr>
          </w:p>
          <w:p w14:paraId="697FFA8F" w14:textId="77777777" w:rsidR="001E1112" w:rsidRPr="00317ABF" w:rsidRDefault="001E1112" w:rsidP="00DB3BEC">
            <w:pPr>
              <w:pStyle w:val="Tekstpodstawowy"/>
              <w:rPr>
                <w:b/>
                <w:noProof/>
                <w:sz w:val="22"/>
                <w:szCs w:val="22"/>
              </w:rPr>
            </w:pPr>
          </w:p>
          <w:p w14:paraId="6DBC3163" w14:textId="77777777" w:rsidR="001E1112" w:rsidRPr="00317ABF" w:rsidRDefault="001E1112" w:rsidP="00DB3BEC">
            <w:pPr>
              <w:pStyle w:val="Tekstpodstawowy"/>
              <w:rPr>
                <w:b/>
                <w:noProof/>
                <w:sz w:val="22"/>
                <w:szCs w:val="22"/>
              </w:rPr>
            </w:pPr>
          </w:p>
          <w:p w14:paraId="67BFA351" w14:textId="77777777" w:rsidR="001E1112" w:rsidRPr="00317ABF" w:rsidRDefault="001E1112" w:rsidP="00DB3BEC">
            <w:pPr>
              <w:pStyle w:val="Tekstpodstawowy"/>
              <w:rPr>
                <w:b/>
                <w:noProof/>
                <w:sz w:val="22"/>
                <w:szCs w:val="22"/>
              </w:rPr>
            </w:pPr>
          </w:p>
          <w:p w14:paraId="3DE93A1C" w14:textId="77777777" w:rsidR="001E1112" w:rsidRPr="00317ABF" w:rsidRDefault="001E1112" w:rsidP="00DB3BEC">
            <w:pPr>
              <w:pStyle w:val="Tekstpodstawowy"/>
              <w:rPr>
                <w:b/>
                <w:noProof/>
                <w:sz w:val="22"/>
                <w:szCs w:val="22"/>
              </w:rPr>
            </w:pPr>
          </w:p>
          <w:p w14:paraId="37671C4A" w14:textId="77777777" w:rsidR="001E1112" w:rsidRPr="00317ABF" w:rsidRDefault="001E1112" w:rsidP="00DB3BEC">
            <w:pPr>
              <w:pStyle w:val="Tekstpodstawowy"/>
              <w:rPr>
                <w:b/>
                <w:noProof/>
                <w:sz w:val="22"/>
                <w:szCs w:val="22"/>
              </w:rPr>
            </w:pPr>
          </w:p>
          <w:p w14:paraId="09B50DBD" w14:textId="77777777" w:rsidR="001E1112" w:rsidRPr="00317ABF" w:rsidRDefault="001E1112" w:rsidP="00DB3BEC">
            <w:pPr>
              <w:pStyle w:val="Tekstpodstawowy"/>
              <w:rPr>
                <w:b/>
                <w:noProof/>
                <w:sz w:val="22"/>
                <w:szCs w:val="22"/>
              </w:rPr>
            </w:pPr>
          </w:p>
          <w:p w14:paraId="01DCD0C0" w14:textId="77777777" w:rsidR="001E1112" w:rsidRPr="00317ABF" w:rsidRDefault="001E1112" w:rsidP="00DB3BEC">
            <w:pPr>
              <w:pStyle w:val="Tekstpodstawowy"/>
              <w:rPr>
                <w:b/>
                <w:noProof/>
                <w:sz w:val="22"/>
                <w:szCs w:val="22"/>
              </w:rPr>
            </w:pPr>
          </w:p>
          <w:p w14:paraId="0F40F500" w14:textId="77777777" w:rsidR="001E1112" w:rsidRPr="00317ABF" w:rsidRDefault="001E1112" w:rsidP="00DB3BEC">
            <w:pPr>
              <w:pStyle w:val="Tekstpodstawowy"/>
              <w:rPr>
                <w:b/>
                <w:noProof/>
                <w:sz w:val="22"/>
                <w:szCs w:val="22"/>
              </w:rPr>
            </w:pPr>
          </w:p>
          <w:p w14:paraId="4A03AAAA" w14:textId="77777777" w:rsidR="001E1112" w:rsidRPr="00317ABF" w:rsidRDefault="001E1112" w:rsidP="00DB3BEC">
            <w:pPr>
              <w:pStyle w:val="Tekstpodstawowy"/>
              <w:rPr>
                <w:b/>
                <w:noProof/>
                <w:sz w:val="22"/>
                <w:szCs w:val="22"/>
              </w:rPr>
            </w:pPr>
          </w:p>
          <w:p w14:paraId="09B705F1" w14:textId="77777777" w:rsidR="001E1112" w:rsidRPr="00317ABF" w:rsidRDefault="001E1112" w:rsidP="00DB3BEC">
            <w:pPr>
              <w:pStyle w:val="Tekstpodstawowy"/>
              <w:rPr>
                <w:b/>
                <w:noProof/>
                <w:sz w:val="22"/>
                <w:szCs w:val="22"/>
              </w:rPr>
            </w:pPr>
          </w:p>
          <w:p w14:paraId="4D6B9B48" w14:textId="77777777" w:rsidR="001E1112" w:rsidRPr="00317ABF" w:rsidRDefault="001E1112" w:rsidP="00DB3BEC">
            <w:pPr>
              <w:pStyle w:val="Tekstpodstawowy"/>
              <w:rPr>
                <w:b/>
                <w:noProof/>
                <w:sz w:val="22"/>
                <w:szCs w:val="22"/>
              </w:rPr>
            </w:pPr>
          </w:p>
          <w:p w14:paraId="343103DB" w14:textId="77777777" w:rsidR="001E1112" w:rsidRPr="00317ABF" w:rsidRDefault="001E1112" w:rsidP="00DB3BEC">
            <w:pPr>
              <w:pStyle w:val="Tekstpodstawowy"/>
              <w:rPr>
                <w:b/>
                <w:noProof/>
                <w:sz w:val="22"/>
                <w:szCs w:val="22"/>
              </w:rPr>
            </w:pPr>
          </w:p>
          <w:p w14:paraId="576DB536" w14:textId="77777777" w:rsidR="001E1112" w:rsidRPr="00317ABF" w:rsidRDefault="001E1112" w:rsidP="00DB3BEC">
            <w:pPr>
              <w:pStyle w:val="Tekstpodstawowy"/>
              <w:rPr>
                <w:b/>
                <w:noProof/>
                <w:sz w:val="22"/>
                <w:szCs w:val="22"/>
              </w:rPr>
            </w:pPr>
          </w:p>
          <w:p w14:paraId="26CDAB7D" w14:textId="77777777" w:rsidR="001E1112" w:rsidRPr="00317ABF" w:rsidRDefault="001E1112" w:rsidP="00DB3BEC">
            <w:pPr>
              <w:pStyle w:val="Tekstpodstawowy"/>
              <w:rPr>
                <w:b/>
                <w:noProof/>
                <w:sz w:val="22"/>
                <w:szCs w:val="22"/>
              </w:rPr>
            </w:pPr>
          </w:p>
          <w:p w14:paraId="3B38B034" w14:textId="77777777" w:rsidR="001E1112" w:rsidRPr="00317ABF" w:rsidRDefault="001E1112" w:rsidP="00DB3BEC">
            <w:pPr>
              <w:pStyle w:val="Tekstpodstawowy"/>
              <w:rPr>
                <w:b/>
                <w:noProof/>
                <w:sz w:val="22"/>
                <w:szCs w:val="22"/>
              </w:rPr>
            </w:pPr>
          </w:p>
          <w:p w14:paraId="08CC93E9" w14:textId="77777777" w:rsidR="001E1112" w:rsidRPr="00317ABF" w:rsidRDefault="001E1112" w:rsidP="00DB3BEC">
            <w:pPr>
              <w:pStyle w:val="Tekstpodstawowy"/>
              <w:rPr>
                <w:b/>
                <w:noProof/>
                <w:sz w:val="22"/>
                <w:szCs w:val="22"/>
              </w:rPr>
            </w:pPr>
          </w:p>
          <w:p w14:paraId="2B52FD08" w14:textId="77777777" w:rsidR="001E1112" w:rsidRPr="00317ABF" w:rsidRDefault="001E1112" w:rsidP="00DB3BEC">
            <w:pPr>
              <w:pStyle w:val="Tekstpodstawowy"/>
              <w:rPr>
                <w:b/>
                <w:noProof/>
                <w:sz w:val="22"/>
                <w:szCs w:val="22"/>
              </w:rPr>
            </w:pPr>
          </w:p>
          <w:p w14:paraId="29C1D5E7" w14:textId="77777777" w:rsidR="001E1112" w:rsidRPr="00317ABF" w:rsidRDefault="001E1112" w:rsidP="00DB3BEC">
            <w:pPr>
              <w:pStyle w:val="Tekstpodstawowy"/>
              <w:rPr>
                <w:b/>
                <w:noProof/>
                <w:sz w:val="22"/>
                <w:szCs w:val="22"/>
              </w:rPr>
            </w:pPr>
          </w:p>
          <w:p w14:paraId="0C37C907" w14:textId="77777777" w:rsidR="001E1112" w:rsidRPr="00317ABF" w:rsidRDefault="001E1112" w:rsidP="00DB3BEC">
            <w:pPr>
              <w:pStyle w:val="Tekstpodstawowy"/>
              <w:rPr>
                <w:b/>
                <w:noProof/>
                <w:sz w:val="22"/>
                <w:szCs w:val="22"/>
              </w:rPr>
            </w:pPr>
          </w:p>
          <w:p w14:paraId="5327B74E" w14:textId="77777777" w:rsidR="001E1112" w:rsidRPr="00317ABF" w:rsidRDefault="001E1112" w:rsidP="00DB3BEC">
            <w:pPr>
              <w:pStyle w:val="Tekstpodstawowy"/>
              <w:rPr>
                <w:b/>
                <w:noProof/>
                <w:sz w:val="22"/>
                <w:szCs w:val="22"/>
              </w:rPr>
            </w:pPr>
          </w:p>
          <w:p w14:paraId="35B01A28" w14:textId="77777777" w:rsidR="001E1112" w:rsidRPr="00317ABF" w:rsidRDefault="001E1112" w:rsidP="00DB3BEC">
            <w:pPr>
              <w:pStyle w:val="Tekstpodstawowy"/>
              <w:rPr>
                <w:b/>
                <w:noProof/>
                <w:sz w:val="22"/>
                <w:szCs w:val="22"/>
              </w:rPr>
            </w:pPr>
          </w:p>
          <w:p w14:paraId="3FE83CCF" w14:textId="77777777" w:rsidR="001E1112" w:rsidRPr="00317ABF" w:rsidRDefault="001E1112" w:rsidP="00DB3BEC">
            <w:pPr>
              <w:pStyle w:val="Tekstpodstawowy"/>
              <w:rPr>
                <w:b/>
                <w:noProof/>
                <w:sz w:val="22"/>
                <w:szCs w:val="22"/>
              </w:rPr>
            </w:pPr>
          </w:p>
          <w:p w14:paraId="4B71A797" w14:textId="77777777" w:rsidR="001E1112" w:rsidRPr="00317ABF" w:rsidRDefault="001E1112" w:rsidP="00DB3BEC">
            <w:pPr>
              <w:pStyle w:val="Tekstpodstawowy"/>
              <w:rPr>
                <w:b/>
                <w:noProof/>
                <w:sz w:val="22"/>
                <w:szCs w:val="22"/>
              </w:rPr>
            </w:pPr>
          </w:p>
          <w:p w14:paraId="62373640" w14:textId="77777777" w:rsidR="001E1112" w:rsidRPr="00317ABF" w:rsidRDefault="001E1112" w:rsidP="00DB3BEC">
            <w:pPr>
              <w:pStyle w:val="Tekstpodstawowy"/>
              <w:rPr>
                <w:b/>
                <w:noProof/>
                <w:sz w:val="22"/>
                <w:szCs w:val="22"/>
              </w:rPr>
            </w:pPr>
          </w:p>
          <w:p w14:paraId="7B2932C0" w14:textId="77777777" w:rsidR="001E1112" w:rsidRPr="00317ABF" w:rsidRDefault="001E1112" w:rsidP="00DB3BEC">
            <w:pPr>
              <w:pStyle w:val="Tekstpodstawowy"/>
              <w:rPr>
                <w:b/>
                <w:noProof/>
                <w:sz w:val="22"/>
                <w:szCs w:val="22"/>
              </w:rPr>
            </w:pPr>
          </w:p>
          <w:p w14:paraId="768CF977" w14:textId="77777777" w:rsidR="001E1112" w:rsidRPr="00317ABF" w:rsidRDefault="001E1112" w:rsidP="00DB3BEC">
            <w:pPr>
              <w:pStyle w:val="Tekstpodstawowy"/>
              <w:rPr>
                <w:b/>
                <w:noProof/>
                <w:sz w:val="22"/>
                <w:szCs w:val="22"/>
              </w:rPr>
            </w:pPr>
          </w:p>
          <w:p w14:paraId="194B450A" w14:textId="77777777" w:rsidR="001E1112" w:rsidRPr="00317ABF" w:rsidRDefault="001E1112" w:rsidP="00DB3BEC">
            <w:pPr>
              <w:pStyle w:val="Tekstpodstawowy"/>
              <w:rPr>
                <w:b/>
                <w:noProof/>
                <w:sz w:val="22"/>
                <w:szCs w:val="22"/>
              </w:rPr>
            </w:pPr>
          </w:p>
          <w:p w14:paraId="77A45F61" w14:textId="77777777" w:rsidR="001E1112" w:rsidRPr="00317ABF" w:rsidRDefault="001E1112" w:rsidP="00DB3BEC">
            <w:pPr>
              <w:pStyle w:val="Tekstpodstawowy"/>
              <w:rPr>
                <w:b/>
                <w:noProof/>
                <w:sz w:val="22"/>
                <w:szCs w:val="22"/>
              </w:rPr>
            </w:pPr>
          </w:p>
          <w:p w14:paraId="77EC08C4" w14:textId="77777777" w:rsidR="001E1112" w:rsidRPr="00317ABF" w:rsidRDefault="001E1112" w:rsidP="00DB3BEC">
            <w:pPr>
              <w:pStyle w:val="Tekstpodstawowy"/>
              <w:rPr>
                <w:b/>
                <w:noProof/>
                <w:sz w:val="22"/>
                <w:szCs w:val="22"/>
              </w:rPr>
            </w:pPr>
          </w:p>
          <w:p w14:paraId="35194336" w14:textId="77777777" w:rsidR="001E1112" w:rsidRPr="00317ABF" w:rsidRDefault="001E1112" w:rsidP="00DB3BEC">
            <w:pPr>
              <w:pStyle w:val="Tekstpodstawowy"/>
              <w:rPr>
                <w:b/>
                <w:noProof/>
                <w:sz w:val="22"/>
                <w:szCs w:val="22"/>
              </w:rPr>
            </w:pPr>
          </w:p>
          <w:p w14:paraId="253439C6" w14:textId="77777777" w:rsidR="001E1112" w:rsidRPr="00317ABF" w:rsidRDefault="001E1112" w:rsidP="00DB3BEC">
            <w:pPr>
              <w:pStyle w:val="Tekstpodstawowy"/>
              <w:rPr>
                <w:b/>
                <w:noProof/>
                <w:sz w:val="22"/>
                <w:szCs w:val="22"/>
              </w:rPr>
            </w:pPr>
          </w:p>
          <w:p w14:paraId="5F991B86" w14:textId="77777777" w:rsidR="001E1112" w:rsidRPr="00317ABF" w:rsidRDefault="001E1112" w:rsidP="00DB3BEC">
            <w:pPr>
              <w:pStyle w:val="Tekstpodstawowy"/>
              <w:rPr>
                <w:b/>
                <w:noProof/>
                <w:sz w:val="22"/>
                <w:szCs w:val="22"/>
              </w:rPr>
            </w:pPr>
          </w:p>
          <w:p w14:paraId="0FC1BF2C" w14:textId="77777777" w:rsidR="001E1112" w:rsidRPr="00317ABF" w:rsidRDefault="001E1112" w:rsidP="00DB3BEC">
            <w:pPr>
              <w:pStyle w:val="Tekstpodstawowy"/>
              <w:rPr>
                <w:b/>
                <w:noProof/>
                <w:sz w:val="22"/>
                <w:szCs w:val="22"/>
              </w:rPr>
            </w:pPr>
          </w:p>
          <w:p w14:paraId="16CFA625" w14:textId="77777777" w:rsidR="001E1112" w:rsidRPr="00317ABF" w:rsidRDefault="001E1112" w:rsidP="00DB3BEC">
            <w:pPr>
              <w:pStyle w:val="Tekstpodstawowy"/>
              <w:rPr>
                <w:b/>
                <w:noProof/>
                <w:sz w:val="22"/>
                <w:szCs w:val="22"/>
              </w:rPr>
            </w:pPr>
          </w:p>
          <w:p w14:paraId="3725A4E5" w14:textId="77777777" w:rsidR="001E1112" w:rsidRPr="00317ABF" w:rsidRDefault="001E1112" w:rsidP="00DB3BEC">
            <w:pPr>
              <w:pStyle w:val="Tekstpodstawowy"/>
              <w:rPr>
                <w:b/>
                <w:noProof/>
                <w:sz w:val="22"/>
                <w:szCs w:val="22"/>
              </w:rPr>
            </w:pPr>
          </w:p>
          <w:p w14:paraId="3A33BBA9" w14:textId="2A8F68AE" w:rsidR="001E1112" w:rsidRPr="00317ABF" w:rsidRDefault="001E1112" w:rsidP="00DB3BEC">
            <w:pPr>
              <w:pStyle w:val="Tekstpodstawowy"/>
              <w:rPr>
                <w:b/>
                <w:bCs/>
                <w:noProof/>
                <w:sz w:val="22"/>
                <w:szCs w:val="22"/>
              </w:rPr>
            </w:pPr>
          </w:p>
          <w:p w14:paraId="69A0BC9F" w14:textId="2A8F68AE" w:rsidR="001E1112" w:rsidRPr="00317ABF" w:rsidRDefault="001E1112" w:rsidP="00DB3BEC">
            <w:pPr>
              <w:pStyle w:val="Tekstpodstawowy"/>
              <w:rPr>
                <w:b/>
                <w:bCs/>
                <w:noProof/>
                <w:sz w:val="22"/>
                <w:szCs w:val="22"/>
              </w:rPr>
            </w:pPr>
          </w:p>
          <w:p w14:paraId="19417135" w14:textId="77777777" w:rsidR="00DC28FC" w:rsidRPr="00317ABF" w:rsidRDefault="00DC28FC" w:rsidP="00DB3BEC">
            <w:pPr>
              <w:pStyle w:val="Tekstpodstawowy"/>
              <w:rPr>
                <w:b/>
                <w:bCs/>
                <w:noProof/>
                <w:sz w:val="22"/>
                <w:szCs w:val="22"/>
              </w:rPr>
            </w:pPr>
          </w:p>
          <w:p w14:paraId="7EA0ABBB" w14:textId="77777777" w:rsidR="00DC28FC" w:rsidRPr="00317ABF" w:rsidRDefault="00DC28FC" w:rsidP="00DB3BEC">
            <w:pPr>
              <w:pStyle w:val="Tekstpodstawowy"/>
              <w:rPr>
                <w:b/>
                <w:bCs/>
                <w:noProof/>
                <w:sz w:val="22"/>
                <w:szCs w:val="22"/>
              </w:rPr>
            </w:pPr>
          </w:p>
          <w:p w14:paraId="74E92EF3" w14:textId="77777777" w:rsidR="00DC28FC" w:rsidRPr="00317ABF" w:rsidRDefault="00DC28FC" w:rsidP="00DB3BEC">
            <w:pPr>
              <w:pStyle w:val="Tekstpodstawowy"/>
              <w:rPr>
                <w:b/>
                <w:bCs/>
                <w:noProof/>
                <w:sz w:val="22"/>
                <w:szCs w:val="22"/>
              </w:rPr>
            </w:pPr>
          </w:p>
          <w:p w14:paraId="30BB1099" w14:textId="77777777" w:rsidR="00DC28FC" w:rsidRPr="00317ABF" w:rsidRDefault="00DC28FC" w:rsidP="00DB3BEC">
            <w:pPr>
              <w:pStyle w:val="Tekstpodstawowy"/>
              <w:rPr>
                <w:b/>
                <w:bCs/>
                <w:noProof/>
                <w:sz w:val="22"/>
                <w:szCs w:val="22"/>
              </w:rPr>
            </w:pPr>
          </w:p>
          <w:p w14:paraId="13787BDA" w14:textId="77777777" w:rsidR="00DC28FC" w:rsidRPr="00317ABF" w:rsidRDefault="00DC28FC" w:rsidP="00DB3BEC">
            <w:pPr>
              <w:pStyle w:val="Tekstpodstawowy"/>
              <w:rPr>
                <w:b/>
                <w:bCs/>
                <w:noProof/>
                <w:sz w:val="22"/>
                <w:szCs w:val="22"/>
              </w:rPr>
            </w:pPr>
          </w:p>
          <w:p w14:paraId="10340B80" w14:textId="77777777" w:rsidR="00DC28FC" w:rsidRPr="00317ABF" w:rsidRDefault="00DC28FC" w:rsidP="00DB3BEC">
            <w:pPr>
              <w:pStyle w:val="Tekstpodstawowy"/>
              <w:rPr>
                <w:b/>
                <w:bCs/>
                <w:noProof/>
                <w:sz w:val="22"/>
                <w:szCs w:val="22"/>
              </w:rPr>
            </w:pPr>
          </w:p>
          <w:p w14:paraId="379B466B" w14:textId="77777777" w:rsidR="00DC28FC" w:rsidRPr="00317ABF" w:rsidRDefault="00DC28FC" w:rsidP="00DB3BEC">
            <w:pPr>
              <w:pStyle w:val="Tekstpodstawowy"/>
              <w:rPr>
                <w:b/>
                <w:bCs/>
                <w:noProof/>
                <w:sz w:val="22"/>
                <w:szCs w:val="22"/>
              </w:rPr>
            </w:pPr>
          </w:p>
          <w:p w14:paraId="76BB753C" w14:textId="1128CECC" w:rsidR="001E1112" w:rsidRPr="00317ABF" w:rsidRDefault="001E1112" w:rsidP="00DB3BEC">
            <w:pPr>
              <w:pStyle w:val="Tekstpodstawowy"/>
              <w:rPr>
                <w:b/>
                <w:noProof/>
                <w:sz w:val="22"/>
                <w:szCs w:val="22"/>
              </w:rPr>
            </w:pPr>
          </w:p>
        </w:tc>
        <w:tc>
          <w:tcPr>
            <w:tcW w:w="6814" w:type="dxa"/>
            <w:gridSpan w:val="2"/>
          </w:tcPr>
          <w:p w14:paraId="58294CD3" w14:textId="77777777" w:rsidR="006529C7" w:rsidRPr="00317ABF" w:rsidRDefault="006529C7" w:rsidP="009D3773">
            <w:pPr>
              <w:pStyle w:val="ARTartustawynprozporzdzenia"/>
              <w:keepNext/>
              <w:spacing w:line="240" w:lineRule="auto"/>
              <w:rPr>
                <w:rFonts w:ascii="Times New Roman" w:hAnsi="Times New Roman" w:cs="Times New Roman"/>
                <w:sz w:val="22"/>
                <w:szCs w:val="22"/>
              </w:rPr>
            </w:pPr>
            <w:r w:rsidRPr="00317ABF">
              <w:rPr>
                <w:rStyle w:val="Ppogrubienie"/>
                <w:rFonts w:ascii="Times New Roman" w:hAnsi="Times New Roman"/>
                <w:sz w:val="22"/>
                <w:szCs w:val="22"/>
              </w:rPr>
              <w:lastRenderedPageBreak/>
              <w:t>Art. 410.</w:t>
            </w:r>
            <w:r w:rsidRPr="00317ABF">
              <w:rPr>
                <w:rFonts w:ascii="Times New Roman" w:hAnsi="Times New Roman" w:cs="Times New Roman"/>
                <w:sz w:val="22"/>
                <w:szCs w:val="22"/>
              </w:rPr>
              <w:t xml:space="preserve"> 1. Prezesa UKE powołuje i odwołuje Sejm na wniosek Prezesa Rady Ministrów. Kadencja Prezesa UKE trwa 5 lat.</w:t>
            </w:r>
          </w:p>
          <w:p w14:paraId="4A290980" w14:textId="77777777" w:rsidR="001E1112" w:rsidRPr="00317ABF" w:rsidRDefault="001E1112" w:rsidP="009D3773">
            <w:pPr>
              <w:pStyle w:val="USTustnpkodeksu"/>
              <w:spacing w:line="240" w:lineRule="auto"/>
              <w:rPr>
                <w:rFonts w:ascii="Times New Roman" w:hAnsi="Times New Roman" w:cs="Times New Roman"/>
                <w:sz w:val="22"/>
                <w:szCs w:val="22"/>
              </w:rPr>
            </w:pPr>
            <w:r w:rsidRPr="00317ABF">
              <w:rPr>
                <w:rFonts w:ascii="Times New Roman" w:hAnsi="Times New Roman" w:cs="Times New Roman"/>
                <w:sz w:val="22"/>
                <w:szCs w:val="22"/>
              </w:rPr>
              <w:t>2. Kandydat na Prezesa UKE wskazywany przez Prezesa Rady Ministrów Sejmowi we wniosku, o którym mowa w ust. 1, jest wyłaniany w drodze otwartego i konkurencyjnego naboru.</w:t>
            </w:r>
          </w:p>
          <w:p w14:paraId="235E5FC6" w14:textId="77777777" w:rsidR="001E1112" w:rsidRPr="00317ABF" w:rsidRDefault="001E1112" w:rsidP="009D3773">
            <w:pPr>
              <w:pStyle w:val="USTustnpkodeksu"/>
              <w:spacing w:line="240" w:lineRule="auto"/>
              <w:rPr>
                <w:rFonts w:ascii="Times New Roman" w:hAnsi="Times New Roman" w:cs="Times New Roman"/>
                <w:sz w:val="22"/>
                <w:szCs w:val="22"/>
              </w:rPr>
            </w:pPr>
            <w:r w:rsidRPr="00317ABF">
              <w:rPr>
                <w:rFonts w:ascii="Times New Roman" w:hAnsi="Times New Roman" w:cs="Times New Roman"/>
                <w:sz w:val="22"/>
                <w:szCs w:val="22"/>
              </w:rPr>
              <w:t>3. Do naboru, o którym mowa w ust. 2, może przystąpić osoba, która łącznie spełnia następujące warunki:</w:t>
            </w:r>
          </w:p>
          <w:p w14:paraId="436DAAEC" w14:textId="77777777" w:rsidR="006529C7" w:rsidRPr="00317ABF" w:rsidRDefault="006529C7" w:rsidP="009D3773">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1)</w:t>
            </w:r>
            <w:r w:rsidRPr="00317ABF">
              <w:rPr>
                <w:rFonts w:ascii="Times New Roman" w:hAnsi="Times New Roman" w:cs="Times New Roman"/>
                <w:sz w:val="22"/>
                <w:szCs w:val="22"/>
              </w:rPr>
              <w:tab/>
              <w:t>posiada tytuł zawodowy magistra, magistra inżyniera lub równorzędny;</w:t>
            </w:r>
          </w:p>
          <w:p w14:paraId="6142E8CA" w14:textId="77777777" w:rsidR="006529C7" w:rsidRPr="00317ABF" w:rsidRDefault="006529C7" w:rsidP="009D3773">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2)</w:t>
            </w:r>
            <w:r w:rsidRPr="00317ABF">
              <w:rPr>
                <w:rFonts w:ascii="Times New Roman" w:hAnsi="Times New Roman" w:cs="Times New Roman"/>
                <w:sz w:val="22"/>
                <w:szCs w:val="22"/>
              </w:rPr>
              <w:tab/>
              <w:t>jest obywatelem polskim;</w:t>
            </w:r>
          </w:p>
          <w:p w14:paraId="5EE96B0B" w14:textId="77777777" w:rsidR="006529C7" w:rsidRPr="00317ABF" w:rsidRDefault="006529C7" w:rsidP="009D3773">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3)</w:t>
            </w:r>
            <w:r w:rsidRPr="00317ABF">
              <w:rPr>
                <w:rFonts w:ascii="Times New Roman" w:hAnsi="Times New Roman" w:cs="Times New Roman"/>
                <w:sz w:val="22"/>
                <w:szCs w:val="22"/>
              </w:rPr>
              <w:tab/>
              <w:t>korzysta z pełni praw publicznych;</w:t>
            </w:r>
          </w:p>
          <w:p w14:paraId="3BBC60C9" w14:textId="77777777" w:rsidR="006529C7" w:rsidRPr="00317ABF" w:rsidRDefault="006529C7" w:rsidP="009D3773">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4)</w:t>
            </w:r>
            <w:r w:rsidRPr="00317ABF">
              <w:rPr>
                <w:rFonts w:ascii="Times New Roman" w:hAnsi="Times New Roman" w:cs="Times New Roman"/>
                <w:sz w:val="22"/>
                <w:szCs w:val="22"/>
              </w:rPr>
              <w:tab/>
              <w:t>nie była skazana prawomocnym wyrokiem za umyślne przestępstwo lub umyślne przestępstwo skarbowe;</w:t>
            </w:r>
          </w:p>
          <w:p w14:paraId="44D9C60D" w14:textId="77777777" w:rsidR="006529C7" w:rsidRPr="00317ABF" w:rsidRDefault="006529C7" w:rsidP="009D3773">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5)</w:t>
            </w:r>
            <w:r w:rsidRPr="00317ABF">
              <w:rPr>
                <w:rFonts w:ascii="Times New Roman" w:hAnsi="Times New Roman" w:cs="Times New Roman"/>
                <w:sz w:val="22"/>
                <w:szCs w:val="22"/>
              </w:rPr>
              <w:tab/>
              <w:t>posiada kompetencje kierownicze;</w:t>
            </w:r>
          </w:p>
          <w:p w14:paraId="718FC20D" w14:textId="77777777" w:rsidR="006529C7" w:rsidRPr="00317ABF" w:rsidRDefault="006529C7" w:rsidP="009D3773">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6)</w:t>
            </w:r>
            <w:r w:rsidRPr="00317ABF">
              <w:rPr>
                <w:rFonts w:ascii="Times New Roman" w:hAnsi="Times New Roman" w:cs="Times New Roman"/>
                <w:sz w:val="22"/>
                <w:szCs w:val="22"/>
              </w:rPr>
              <w:tab/>
              <w:t>posiada co najmniej 5-letni okres zatrudnienia na podstawie umowy o pracę, powołania, wyboru, mianowania, spółdzielczej umowy o pracę, lub świadczenia usług na podstawie innej umowy lub wykonywania działalności gospodarczej na własny rachunek, w tym co najmniej 3-letnie doświadczenie na stanowiskach kierowniczych lub samodzielnych albo wynikające z prowadzenia działalności gospodarczej na własny rachunek;</w:t>
            </w:r>
          </w:p>
          <w:p w14:paraId="33146B0E" w14:textId="77777777" w:rsidR="006529C7" w:rsidRPr="00317ABF" w:rsidRDefault="006529C7" w:rsidP="009D3773">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7)</w:t>
            </w:r>
            <w:r w:rsidRPr="00317ABF">
              <w:rPr>
                <w:rFonts w:ascii="Times New Roman" w:hAnsi="Times New Roman" w:cs="Times New Roman"/>
                <w:sz w:val="22"/>
                <w:szCs w:val="22"/>
              </w:rPr>
              <w:tab/>
              <w:t>posiada wykształcenie i wiedzę z zakresu spraw należących do właściwości Prezesa UKE;</w:t>
            </w:r>
          </w:p>
          <w:p w14:paraId="315BB527" w14:textId="77777777" w:rsidR="006529C7" w:rsidRPr="00317ABF" w:rsidRDefault="006529C7" w:rsidP="009D3773">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8)</w:t>
            </w:r>
            <w:r w:rsidRPr="00317ABF">
              <w:rPr>
                <w:rFonts w:ascii="Times New Roman" w:hAnsi="Times New Roman" w:cs="Times New Roman"/>
                <w:sz w:val="22"/>
                <w:szCs w:val="22"/>
              </w:rPr>
              <w:tab/>
              <w:t>posiada co najmniej 3-letnie doświadczenie w pracy na stanowiskach związanych z telekomunikacją lub pocztą;</w:t>
            </w:r>
          </w:p>
          <w:p w14:paraId="2641746F" w14:textId="77777777" w:rsidR="006529C7" w:rsidRPr="00317ABF" w:rsidRDefault="006529C7" w:rsidP="009D3773">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9)</w:t>
            </w:r>
            <w:r w:rsidRPr="00317ABF">
              <w:rPr>
                <w:rFonts w:ascii="Times New Roman" w:hAnsi="Times New Roman" w:cs="Times New Roman"/>
                <w:sz w:val="22"/>
                <w:szCs w:val="22"/>
              </w:rPr>
              <w:tab/>
              <w:t>cieszy się nieposzlakowaną opinią.</w:t>
            </w:r>
          </w:p>
          <w:p w14:paraId="381C82F1" w14:textId="77777777" w:rsidR="006529C7" w:rsidRPr="00317ABF" w:rsidRDefault="006529C7" w:rsidP="009D3773">
            <w:pPr>
              <w:pStyle w:val="USTustnpkodeksu"/>
              <w:spacing w:line="240" w:lineRule="auto"/>
              <w:rPr>
                <w:rFonts w:ascii="Times New Roman" w:hAnsi="Times New Roman" w:cs="Times New Roman"/>
                <w:sz w:val="22"/>
                <w:szCs w:val="22"/>
              </w:rPr>
            </w:pPr>
            <w:r w:rsidRPr="00317ABF">
              <w:rPr>
                <w:rFonts w:ascii="Times New Roman" w:hAnsi="Times New Roman" w:cs="Times New Roman"/>
                <w:sz w:val="22"/>
                <w:szCs w:val="22"/>
              </w:rPr>
              <w:t xml:space="preserve">4. Informację o naborze kandydatów na stanowisko Prezesa UKE ogłasza się przez umieszczenie ogłoszenia w miejscu powszechnie dostępnym w siedzibie Kancelarii Prezesa Rady Ministrów oraz w </w:t>
            </w:r>
            <w:r w:rsidRPr="00317ABF">
              <w:rPr>
                <w:rFonts w:ascii="Times New Roman" w:hAnsi="Times New Roman" w:cs="Times New Roman"/>
                <w:sz w:val="22"/>
                <w:szCs w:val="22"/>
              </w:rPr>
              <w:lastRenderedPageBreak/>
              <w:t>Biuletynie Informacji Publicznej na stronie podmiotowej Kancelarii Prezesa Rady Ministrów. Ogłoszenie zawiera:</w:t>
            </w:r>
          </w:p>
          <w:p w14:paraId="38D82F5E" w14:textId="77777777" w:rsidR="006529C7" w:rsidRPr="00317ABF" w:rsidRDefault="006529C7" w:rsidP="009D3773">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1)</w:t>
            </w:r>
            <w:r w:rsidRPr="00317ABF">
              <w:rPr>
                <w:rFonts w:ascii="Times New Roman" w:hAnsi="Times New Roman" w:cs="Times New Roman"/>
                <w:sz w:val="22"/>
                <w:szCs w:val="22"/>
              </w:rPr>
              <w:tab/>
              <w:t>nazwę i adres urzędu;</w:t>
            </w:r>
          </w:p>
          <w:p w14:paraId="589DFE7E" w14:textId="77777777" w:rsidR="006529C7" w:rsidRPr="00317ABF" w:rsidRDefault="006529C7" w:rsidP="009D3773">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2)</w:t>
            </w:r>
            <w:r w:rsidRPr="00317ABF">
              <w:rPr>
                <w:rFonts w:ascii="Times New Roman" w:hAnsi="Times New Roman" w:cs="Times New Roman"/>
                <w:sz w:val="22"/>
                <w:szCs w:val="22"/>
              </w:rPr>
              <w:tab/>
              <w:t>określenie stanowiska;</w:t>
            </w:r>
          </w:p>
          <w:p w14:paraId="4038FD58" w14:textId="77777777" w:rsidR="006529C7" w:rsidRPr="00317ABF" w:rsidRDefault="006529C7" w:rsidP="009D3773">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3)</w:t>
            </w:r>
            <w:r w:rsidRPr="00317ABF">
              <w:rPr>
                <w:rFonts w:ascii="Times New Roman" w:hAnsi="Times New Roman" w:cs="Times New Roman"/>
                <w:sz w:val="22"/>
                <w:szCs w:val="22"/>
              </w:rPr>
              <w:tab/>
              <w:t>wymagania związane ze stanowiskiem wynikające z przepisów prawa;</w:t>
            </w:r>
          </w:p>
          <w:p w14:paraId="655BDD14" w14:textId="77777777" w:rsidR="006529C7" w:rsidRPr="00317ABF" w:rsidRDefault="006529C7" w:rsidP="009D3773">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4)</w:t>
            </w:r>
            <w:r w:rsidRPr="00317ABF">
              <w:rPr>
                <w:rFonts w:ascii="Times New Roman" w:hAnsi="Times New Roman" w:cs="Times New Roman"/>
                <w:sz w:val="22"/>
                <w:szCs w:val="22"/>
              </w:rPr>
              <w:tab/>
              <w:t>zakres zadań wykonywanych na stanowisku;</w:t>
            </w:r>
          </w:p>
          <w:p w14:paraId="103D2661" w14:textId="77777777" w:rsidR="006529C7" w:rsidRPr="00317ABF" w:rsidRDefault="006529C7" w:rsidP="009D3773">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5)</w:t>
            </w:r>
            <w:r w:rsidRPr="00317ABF">
              <w:rPr>
                <w:rFonts w:ascii="Times New Roman" w:hAnsi="Times New Roman" w:cs="Times New Roman"/>
                <w:sz w:val="22"/>
                <w:szCs w:val="22"/>
              </w:rPr>
              <w:tab/>
              <w:t>wskazanie wymaganych dokumentów;</w:t>
            </w:r>
          </w:p>
          <w:p w14:paraId="14F6101D" w14:textId="77777777" w:rsidR="006529C7" w:rsidRPr="00317ABF" w:rsidRDefault="006529C7" w:rsidP="009D3773">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6)</w:t>
            </w:r>
            <w:r w:rsidRPr="00317ABF">
              <w:rPr>
                <w:rFonts w:ascii="Times New Roman" w:hAnsi="Times New Roman" w:cs="Times New Roman"/>
                <w:sz w:val="22"/>
                <w:szCs w:val="22"/>
              </w:rPr>
              <w:tab/>
              <w:t>termin i miejsce składania dokumentów;</w:t>
            </w:r>
          </w:p>
          <w:p w14:paraId="3ED4D6D7" w14:textId="77777777" w:rsidR="006529C7" w:rsidRPr="00317ABF" w:rsidRDefault="006529C7" w:rsidP="009D3773">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7)</w:t>
            </w:r>
            <w:r w:rsidRPr="00317ABF">
              <w:rPr>
                <w:rFonts w:ascii="Times New Roman" w:hAnsi="Times New Roman" w:cs="Times New Roman"/>
                <w:sz w:val="22"/>
                <w:szCs w:val="22"/>
              </w:rPr>
              <w:tab/>
              <w:t>informację o metodach i technikach naboru.</w:t>
            </w:r>
          </w:p>
          <w:p w14:paraId="0642D9B0" w14:textId="77777777" w:rsidR="006529C7" w:rsidRPr="00317ABF" w:rsidRDefault="006529C7" w:rsidP="009D3773">
            <w:pPr>
              <w:pStyle w:val="USTustnpkodeksu"/>
              <w:spacing w:line="240" w:lineRule="auto"/>
              <w:rPr>
                <w:rFonts w:ascii="Times New Roman" w:hAnsi="Times New Roman" w:cs="Times New Roman"/>
                <w:sz w:val="22"/>
                <w:szCs w:val="22"/>
              </w:rPr>
            </w:pPr>
            <w:r w:rsidRPr="00317ABF">
              <w:rPr>
                <w:rFonts w:ascii="Times New Roman" w:hAnsi="Times New Roman" w:cs="Times New Roman"/>
                <w:sz w:val="22"/>
                <w:szCs w:val="22"/>
              </w:rPr>
              <w:t>5. Termin, o którym mowa w ust. 4 pkt 6, nie może być krótszy niż 10 dni od dnia opublikowania ogłoszenia w Biuletynie Informacji Publicznej Kancelarii Prezesa Rady Ministrów.</w:t>
            </w:r>
          </w:p>
          <w:p w14:paraId="4DA5F7C6" w14:textId="77777777" w:rsidR="006529C7" w:rsidRPr="00317ABF" w:rsidRDefault="006529C7" w:rsidP="009D3773">
            <w:pPr>
              <w:pStyle w:val="USTustnpkodeksu"/>
              <w:spacing w:line="240" w:lineRule="auto"/>
              <w:rPr>
                <w:rFonts w:ascii="Times New Roman" w:hAnsi="Times New Roman" w:cs="Times New Roman"/>
                <w:sz w:val="22"/>
                <w:szCs w:val="22"/>
              </w:rPr>
            </w:pPr>
            <w:r w:rsidRPr="00317ABF">
              <w:rPr>
                <w:rFonts w:ascii="Times New Roman" w:hAnsi="Times New Roman" w:cs="Times New Roman"/>
                <w:sz w:val="22"/>
                <w:szCs w:val="22"/>
              </w:rPr>
              <w:t>6. Nabór kandydata na stanowisko Prezesa UKE przeprowadza zespół powołany przez Szefa Kancelarii Prezesa Rady Ministrów, liczący co najmniej 3 osoby, których wiedza i doświadczenie dają rękojmię wyłonienia najlepszych kandydatów. W toku naboru ocenia się doświadczenie zawodowe, wiedzę niezbędną do wykonywania zadań na stanowisku Prezesa UKE oraz kompetencje kierownicze kandydatów.</w:t>
            </w:r>
          </w:p>
          <w:p w14:paraId="731F41AA" w14:textId="77777777" w:rsidR="006529C7" w:rsidRPr="00317ABF" w:rsidRDefault="006529C7" w:rsidP="009D3773">
            <w:pPr>
              <w:pStyle w:val="USTustnpkodeksu"/>
              <w:spacing w:line="240" w:lineRule="auto"/>
              <w:rPr>
                <w:rFonts w:ascii="Times New Roman" w:hAnsi="Times New Roman" w:cs="Times New Roman"/>
                <w:sz w:val="22"/>
                <w:szCs w:val="22"/>
              </w:rPr>
            </w:pPr>
            <w:r w:rsidRPr="00317ABF">
              <w:rPr>
                <w:rFonts w:ascii="Times New Roman" w:hAnsi="Times New Roman" w:cs="Times New Roman"/>
                <w:sz w:val="22"/>
                <w:szCs w:val="22"/>
              </w:rPr>
              <w:t>7. Ocena wiedzy i kompetencji kierowniczych, o których mowa w ust. 5, może być dokonana na zlecenie zespołu przez osobę niebędącą członkiem zespołu, która posiada odpowiednie kwalifikacje do dokonania tej oceny.</w:t>
            </w:r>
          </w:p>
          <w:p w14:paraId="112715B1" w14:textId="77777777" w:rsidR="006529C7" w:rsidRPr="00317ABF" w:rsidRDefault="006529C7" w:rsidP="009D3773">
            <w:pPr>
              <w:pStyle w:val="USTustnpkodeksu"/>
              <w:spacing w:line="240" w:lineRule="auto"/>
              <w:rPr>
                <w:rFonts w:ascii="Times New Roman" w:hAnsi="Times New Roman" w:cs="Times New Roman"/>
                <w:sz w:val="22"/>
                <w:szCs w:val="22"/>
              </w:rPr>
            </w:pPr>
            <w:r w:rsidRPr="00317ABF">
              <w:rPr>
                <w:rFonts w:ascii="Times New Roman" w:hAnsi="Times New Roman" w:cs="Times New Roman"/>
                <w:sz w:val="22"/>
                <w:szCs w:val="22"/>
              </w:rPr>
              <w:t>8. Członek zespołu oraz osoba, o której mowa w ust. 6, mają obowiązek zachowania w tajemnicy informacji dotyczących kandydatów na stanowisko Prezesa UKE uzyskanych w trakcie naboru.</w:t>
            </w:r>
          </w:p>
          <w:p w14:paraId="2377CF64" w14:textId="77777777" w:rsidR="006529C7" w:rsidRPr="00317ABF" w:rsidRDefault="006529C7" w:rsidP="009D3773">
            <w:pPr>
              <w:pStyle w:val="USTustnpkodeksu"/>
              <w:spacing w:line="240" w:lineRule="auto"/>
              <w:rPr>
                <w:rFonts w:ascii="Times New Roman" w:hAnsi="Times New Roman" w:cs="Times New Roman"/>
                <w:sz w:val="22"/>
                <w:szCs w:val="22"/>
              </w:rPr>
            </w:pPr>
            <w:r w:rsidRPr="00317ABF">
              <w:rPr>
                <w:rFonts w:ascii="Times New Roman" w:hAnsi="Times New Roman" w:cs="Times New Roman"/>
                <w:sz w:val="22"/>
                <w:szCs w:val="22"/>
              </w:rPr>
              <w:t>9. W toku naboru zespół wyłania nie więcej niż 3 kandydatów na stanowisko Prezesa UKE, których przedstawia za pośrednictwem Szefa Kancelarii Prezesa Rady Ministrów Prezesowi Rady Ministrów.</w:t>
            </w:r>
          </w:p>
          <w:p w14:paraId="465BE99F" w14:textId="77777777" w:rsidR="006529C7" w:rsidRPr="00317ABF" w:rsidRDefault="006529C7" w:rsidP="009D3773">
            <w:pPr>
              <w:pStyle w:val="USTustnpkodeksu"/>
              <w:spacing w:line="240" w:lineRule="auto"/>
              <w:rPr>
                <w:rFonts w:ascii="Times New Roman" w:hAnsi="Times New Roman" w:cs="Times New Roman"/>
                <w:sz w:val="22"/>
                <w:szCs w:val="22"/>
              </w:rPr>
            </w:pPr>
            <w:r w:rsidRPr="00317ABF">
              <w:rPr>
                <w:rFonts w:ascii="Times New Roman" w:hAnsi="Times New Roman" w:cs="Times New Roman"/>
                <w:sz w:val="22"/>
                <w:szCs w:val="22"/>
              </w:rPr>
              <w:t>10. Z przeprowadzonego naboru zespół sporządza protokół zawierający:</w:t>
            </w:r>
          </w:p>
          <w:p w14:paraId="4F1E5EBD" w14:textId="77777777" w:rsidR="006529C7" w:rsidRPr="00317ABF" w:rsidRDefault="006529C7" w:rsidP="009D3773">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1)</w:t>
            </w:r>
            <w:r w:rsidRPr="00317ABF">
              <w:rPr>
                <w:rFonts w:ascii="Times New Roman" w:hAnsi="Times New Roman" w:cs="Times New Roman"/>
                <w:sz w:val="22"/>
                <w:szCs w:val="22"/>
              </w:rPr>
              <w:tab/>
              <w:t>nazwę i adres urzędu przeprowadzającego nabór kandydatów na Prezesa UKE;</w:t>
            </w:r>
          </w:p>
          <w:p w14:paraId="5B255AAA" w14:textId="77777777" w:rsidR="006529C7" w:rsidRPr="00317ABF" w:rsidRDefault="006529C7" w:rsidP="009D3773">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2)</w:t>
            </w:r>
            <w:r w:rsidRPr="00317ABF">
              <w:rPr>
                <w:rFonts w:ascii="Times New Roman" w:hAnsi="Times New Roman" w:cs="Times New Roman"/>
                <w:sz w:val="22"/>
                <w:szCs w:val="22"/>
              </w:rPr>
              <w:tab/>
              <w:t>liczbę kandydatów;</w:t>
            </w:r>
          </w:p>
          <w:p w14:paraId="43141C13" w14:textId="77777777" w:rsidR="006529C7" w:rsidRPr="00317ABF" w:rsidRDefault="006529C7" w:rsidP="009D3773">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3)</w:t>
            </w:r>
            <w:r w:rsidRPr="00317ABF">
              <w:rPr>
                <w:rFonts w:ascii="Times New Roman" w:hAnsi="Times New Roman" w:cs="Times New Roman"/>
                <w:sz w:val="22"/>
                <w:szCs w:val="22"/>
              </w:rPr>
              <w:tab/>
              <w:t>imiona, nazwiska i adresy nie więcej niż 3 najlepszych kandydatów uszeregowanych według poziomu spełniania przez nich wymagań określonych w ogłoszeniu o naborze;</w:t>
            </w:r>
          </w:p>
          <w:p w14:paraId="7585E974" w14:textId="77777777" w:rsidR="006529C7" w:rsidRPr="00317ABF" w:rsidRDefault="006529C7" w:rsidP="009D3773">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4)</w:t>
            </w:r>
            <w:r w:rsidRPr="00317ABF">
              <w:rPr>
                <w:rFonts w:ascii="Times New Roman" w:hAnsi="Times New Roman" w:cs="Times New Roman"/>
                <w:sz w:val="22"/>
                <w:szCs w:val="22"/>
              </w:rPr>
              <w:tab/>
              <w:t>informację o zastosowanych metodach i technikach naboru;</w:t>
            </w:r>
          </w:p>
          <w:p w14:paraId="2D59FE34" w14:textId="77777777" w:rsidR="006529C7" w:rsidRPr="00317ABF" w:rsidRDefault="006529C7" w:rsidP="009D3773">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5)</w:t>
            </w:r>
            <w:r w:rsidRPr="00317ABF">
              <w:rPr>
                <w:rFonts w:ascii="Times New Roman" w:hAnsi="Times New Roman" w:cs="Times New Roman"/>
                <w:sz w:val="22"/>
                <w:szCs w:val="22"/>
              </w:rPr>
              <w:tab/>
              <w:t>uzasadnienie dokonanego wyboru albo powody niewyłonienia kandydata;</w:t>
            </w:r>
          </w:p>
          <w:p w14:paraId="7ED1E7CC" w14:textId="77777777" w:rsidR="001E1112" w:rsidRPr="00317ABF" w:rsidRDefault="001E1112" w:rsidP="009D3773">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6) skład zespołu.</w:t>
            </w:r>
          </w:p>
          <w:p w14:paraId="6454EA5B" w14:textId="77777777" w:rsidR="001E1112" w:rsidRPr="00317ABF" w:rsidRDefault="001E1112" w:rsidP="009D3773">
            <w:pPr>
              <w:pStyle w:val="USTustnpkodeksu"/>
              <w:spacing w:line="240" w:lineRule="auto"/>
              <w:rPr>
                <w:rFonts w:ascii="Times New Roman" w:hAnsi="Times New Roman" w:cs="Times New Roman"/>
                <w:sz w:val="22"/>
                <w:szCs w:val="22"/>
              </w:rPr>
            </w:pPr>
            <w:r w:rsidRPr="00317ABF">
              <w:rPr>
                <w:rFonts w:ascii="Times New Roman" w:hAnsi="Times New Roman" w:cs="Times New Roman"/>
                <w:sz w:val="22"/>
                <w:szCs w:val="22"/>
              </w:rPr>
              <w:lastRenderedPageBreak/>
              <w:t>11. Po przeprowadzeniu naboru, o którym mowa w ust. 2, spośród osób, które uzyskały najlepszy wynik, Prezes Rady Ministrów wskazuje jedną, której kandydatura na Prezesa UKE przedstawiana jest we wniosku kierowanym przez Prezesa Rady Ministrów do Sejmu.</w:t>
            </w:r>
          </w:p>
          <w:p w14:paraId="744FD96D" w14:textId="77777777" w:rsidR="001E1112" w:rsidRPr="00317ABF" w:rsidRDefault="001E1112" w:rsidP="00DB3BEC">
            <w:pPr>
              <w:jc w:val="both"/>
              <w:rPr>
                <w:sz w:val="22"/>
                <w:szCs w:val="22"/>
              </w:rPr>
            </w:pPr>
          </w:p>
          <w:p w14:paraId="113384F6" w14:textId="77777777" w:rsidR="001E1112" w:rsidRPr="00317ABF" w:rsidRDefault="006529C7" w:rsidP="009D3773">
            <w:pPr>
              <w:pStyle w:val="ARTartustawynprozporzdzenia"/>
              <w:spacing w:line="240" w:lineRule="auto"/>
              <w:rPr>
                <w:rFonts w:ascii="Times New Roman" w:hAnsi="Times New Roman" w:cs="Times New Roman"/>
                <w:sz w:val="22"/>
                <w:szCs w:val="22"/>
              </w:rPr>
            </w:pPr>
            <w:r w:rsidRPr="00317ABF">
              <w:rPr>
                <w:rStyle w:val="Ppogrubienie"/>
                <w:rFonts w:ascii="Times New Roman" w:hAnsi="Times New Roman"/>
                <w:sz w:val="22"/>
                <w:szCs w:val="22"/>
              </w:rPr>
              <w:t>Art. 412.</w:t>
            </w:r>
            <w:r w:rsidRPr="00317ABF">
              <w:rPr>
                <w:rFonts w:ascii="Times New Roman" w:hAnsi="Times New Roman" w:cs="Times New Roman"/>
                <w:sz w:val="22"/>
                <w:szCs w:val="22"/>
              </w:rPr>
              <w:t xml:space="preserve"> </w:t>
            </w:r>
            <w:r w:rsidR="001E1112" w:rsidRPr="00317ABF">
              <w:rPr>
                <w:rFonts w:ascii="Times New Roman" w:hAnsi="Times New Roman" w:cs="Times New Roman"/>
                <w:sz w:val="22"/>
                <w:szCs w:val="22"/>
              </w:rPr>
              <w:t>1. Minister właściwy do spraw informatyzacji, na wniosek Prezesa UKE, powołuje zastępców Prezesa UKE do spraw telekomunikacyjnych oraz po zasięgnięciu opinii ministra właściwego do spraw łączności, do spraw pocztowych, spośród osób wyłonionych w drodze otwartego i konkurencyjnego naboru. Minister właściwy do spraw informatyzacji odwołuje zastępcę Prezesa UKE, na wniosek Prezesa UKE, wyłącznie w przypadkach zaprzestania spełniania wymagań, o których mowa w ust. 2.</w:t>
            </w:r>
          </w:p>
          <w:p w14:paraId="00808A2B" w14:textId="77777777" w:rsidR="001E1112" w:rsidRPr="00317ABF" w:rsidRDefault="001E1112" w:rsidP="009D3773">
            <w:pPr>
              <w:pStyle w:val="USTustnpkodeksu"/>
              <w:keepNext/>
              <w:spacing w:line="240" w:lineRule="auto"/>
              <w:rPr>
                <w:rFonts w:ascii="Times New Roman" w:hAnsi="Times New Roman" w:cs="Times New Roman"/>
                <w:sz w:val="22"/>
                <w:szCs w:val="22"/>
              </w:rPr>
            </w:pPr>
            <w:bookmarkStart w:id="7" w:name="mip52137304"/>
            <w:bookmarkEnd w:id="7"/>
            <w:r w:rsidRPr="00317ABF">
              <w:rPr>
                <w:rFonts w:ascii="Times New Roman" w:hAnsi="Times New Roman" w:cs="Times New Roman"/>
                <w:sz w:val="22"/>
                <w:szCs w:val="22"/>
              </w:rPr>
              <w:t>2. Stanowisko zastępcy Prezesa UKE może zajmować osoba, która:</w:t>
            </w:r>
          </w:p>
          <w:p w14:paraId="6940DAF4" w14:textId="77777777" w:rsidR="006529C7" w:rsidRPr="00317ABF" w:rsidRDefault="006529C7" w:rsidP="009D3773">
            <w:pPr>
              <w:pStyle w:val="PKTpunkt0"/>
              <w:spacing w:line="240" w:lineRule="auto"/>
              <w:rPr>
                <w:rFonts w:ascii="Times New Roman" w:hAnsi="Times New Roman" w:cs="Times New Roman"/>
                <w:sz w:val="22"/>
                <w:szCs w:val="22"/>
              </w:rPr>
            </w:pPr>
            <w:bookmarkStart w:id="8" w:name="mip52137306"/>
            <w:bookmarkEnd w:id="8"/>
            <w:r w:rsidRPr="00317ABF">
              <w:rPr>
                <w:rFonts w:ascii="Times New Roman" w:hAnsi="Times New Roman" w:cs="Times New Roman"/>
                <w:sz w:val="22"/>
                <w:szCs w:val="22"/>
              </w:rPr>
              <w:t>1)</w:t>
            </w:r>
            <w:r w:rsidRPr="00317ABF">
              <w:rPr>
                <w:rFonts w:ascii="Times New Roman" w:hAnsi="Times New Roman" w:cs="Times New Roman"/>
                <w:sz w:val="22"/>
                <w:szCs w:val="22"/>
              </w:rPr>
              <w:tab/>
              <w:t xml:space="preserve">posiada tytuł zawodowy magistra, magistra inżyniera lub równorzędny; </w:t>
            </w:r>
          </w:p>
          <w:p w14:paraId="781CB713" w14:textId="77777777" w:rsidR="006529C7" w:rsidRPr="00317ABF" w:rsidRDefault="006529C7" w:rsidP="009D3773">
            <w:pPr>
              <w:pStyle w:val="PKTpunkt0"/>
              <w:spacing w:line="240" w:lineRule="auto"/>
              <w:rPr>
                <w:rFonts w:ascii="Times New Roman" w:hAnsi="Times New Roman" w:cs="Times New Roman"/>
                <w:sz w:val="22"/>
                <w:szCs w:val="22"/>
              </w:rPr>
            </w:pPr>
            <w:bookmarkStart w:id="9" w:name="mip52137307"/>
            <w:bookmarkEnd w:id="9"/>
            <w:r w:rsidRPr="00317ABF">
              <w:rPr>
                <w:rFonts w:ascii="Times New Roman" w:hAnsi="Times New Roman" w:cs="Times New Roman"/>
                <w:sz w:val="22"/>
                <w:szCs w:val="22"/>
              </w:rPr>
              <w:t>2)</w:t>
            </w:r>
            <w:r w:rsidRPr="00317ABF">
              <w:rPr>
                <w:rFonts w:ascii="Times New Roman" w:hAnsi="Times New Roman" w:cs="Times New Roman"/>
                <w:sz w:val="22"/>
                <w:szCs w:val="22"/>
              </w:rPr>
              <w:tab/>
              <w:t>jest obywatelem polskim;</w:t>
            </w:r>
          </w:p>
          <w:p w14:paraId="00A85E73" w14:textId="77777777" w:rsidR="006529C7" w:rsidRPr="00317ABF" w:rsidRDefault="006529C7" w:rsidP="009D3773">
            <w:pPr>
              <w:pStyle w:val="PKTpunkt0"/>
              <w:spacing w:line="240" w:lineRule="auto"/>
              <w:rPr>
                <w:rFonts w:ascii="Times New Roman" w:hAnsi="Times New Roman" w:cs="Times New Roman"/>
                <w:sz w:val="22"/>
                <w:szCs w:val="22"/>
              </w:rPr>
            </w:pPr>
            <w:bookmarkStart w:id="10" w:name="mip52137308"/>
            <w:bookmarkEnd w:id="10"/>
            <w:r w:rsidRPr="00317ABF">
              <w:rPr>
                <w:rFonts w:ascii="Times New Roman" w:hAnsi="Times New Roman" w:cs="Times New Roman"/>
                <w:sz w:val="22"/>
                <w:szCs w:val="22"/>
              </w:rPr>
              <w:t>3)</w:t>
            </w:r>
            <w:r w:rsidRPr="00317ABF">
              <w:rPr>
                <w:rFonts w:ascii="Times New Roman" w:hAnsi="Times New Roman" w:cs="Times New Roman"/>
                <w:sz w:val="22"/>
                <w:szCs w:val="22"/>
              </w:rPr>
              <w:tab/>
              <w:t>korzysta z pełni praw publicznych;</w:t>
            </w:r>
          </w:p>
          <w:p w14:paraId="563C0FB5" w14:textId="77777777" w:rsidR="006529C7" w:rsidRPr="00317ABF" w:rsidRDefault="006529C7" w:rsidP="009D3773">
            <w:pPr>
              <w:pStyle w:val="PKTpunkt0"/>
              <w:spacing w:line="240" w:lineRule="auto"/>
              <w:rPr>
                <w:rFonts w:ascii="Times New Roman" w:hAnsi="Times New Roman" w:cs="Times New Roman"/>
                <w:sz w:val="22"/>
                <w:szCs w:val="22"/>
              </w:rPr>
            </w:pPr>
            <w:bookmarkStart w:id="11" w:name="mip52137309"/>
            <w:bookmarkEnd w:id="11"/>
            <w:r w:rsidRPr="00317ABF">
              <w:rPr>
                <w:rFonts w:ascii="Times New Roman" w:hAnsi="Times New Roman" w:cs="Times New Roman"/>
                <w:sz w:val="22"/>
                <w:szCs w:val="22"/>
              </w:rPr>
              <w:t>4)</w:t>
            </w:r>
            <w:r w:rsidRPr="00317ABF">
              <w:rPr>
                <w:rFonts w:ascii="Times New Roman" w:hAnsi="Times New Roman" w:cs="Times New Roman"/>
                <w:sz w:val="22"/>
                <w:szCs w:val="22"/>
              </w:rPr>
              <w:tab/>
              <w:t>nie była skazana prawomocnym wyrokiem za umyślne przestępstwo lub umyślne przestępstwo skarbowe;</w:t>
            </w:r>
          </w:p>
          <w:p w14:paraId="593379DB" w14:textId="77777777" w:rsidR="006529C7" w:rsidRPr="00317ABF" w:rsidRDefault="006529C7" w:rsidP="009D3773">
            <w:pPr>
              <w:pStyle w:val="PKTpunkt0"/>
              <w:spacing w:line="240" w:lineRule="auto"/>
              <w:rPr>
                <w:rFonts w:ascii="Times New Roman" w:hAnsi="Times New Roman" w:cs="Times New Roman"/>
                <w:sz w:val="22"/>
                <w:szCs w:val="22"/>
              </w:rPr>
            </w:pPr>
            <w:bookmarkStart w:id="12" w:name="mip52137310"/>
            <w:bookmarkEnd w:id="12"/>
            <w:r w:rsidRPr="00317ABF">
              <w:rPr>
                <w:rFonts w:ascii="Times New Roman" w:hAnsi="Times New Roman" w:cs="Times New Roman"/>
                <w:sz w:val="22"/>
                <w:szCs w:val="22"/>
              </w:rPr>
              <w:t>5)</w:t>
            </w:r>
            <w:r w:rsidRPr="00317ABF">
              <w:rPr>
                <w:rFonts w:ascii="Times New Roman" w:hAnsi="Times New Roman" w:cs="Times New Roman"/>
                <w:sz w:val="22"/>
                <w:szCs w:val="22"/>
              </w:rPr>
              <w:tab/>
              <w:t>posiada kompetencje kierownicze;</w:t>
            </w:r>
          </w:p>
          <w:p w14:paraId="26D6A977" w14:textId="77777777" w:rsidR="006529C7" w:rsidRPr="00317ABF" w:rsidRDefault="006529C7" w:rsidP="009D3773">
            <w:pPr>
              <w:pStyle w:val="PKTpunkt0"/>
              <w:spacing w:line="240" w:lineRule="auto"/>
              <w:rPr>
                <w:rFonts w:ascii="Times New Roman" w:hAnsi="Times New Roman" w:cs="Times New Roman"/>
                <w:sz w:val="22"/>
                <w:szCs w:val="22"/>
              </w:rPr>
            </w:pPr>
            <w:bookmarkStart w:id="13" w:name="mip52137311"/>
            <w:bookmarkEnd w:id="13"/>
            <w:r w:rsidRPr="00317ABF">
              <w:rPr>
                <w:rFonts w:ascii="Times New Roman" w:hAnsi="Times New Roman" w:cs="Times New Roman"/>
                <w:sz w:val="22"/>
                <w:szCs w:val="22"/>
              </w:rPr>
              <w:t>6)</w:t>
            </w:r>
            <w:r w:rsidRPr="00317ABF">
              <w:rPr>
                <w:rFonts w:ascii="Times New Roman" w:hAnsi="Times New Roman" w:cs="Times New Roman"/>
                <w:sz w:val="22"/>
                <w:szCs w:val="22"/>
              </w:rPr>
              <w:tab/>
              <w:t>posiada co najmniej 6-letni staż pracy, w tym co najmniej 3-letni staż pracy na stanowisku kierowniczym;</w:t>
            </w:r>
          </w:p>
          <w:p w14:paraId="58F3681F" w14:textId="77777777" w:rsidR="001E1112" w:rsidRPr="00317ABF" w:rsidRDefault="001E1112" w:rsidP="009D3773">
            <w:pPr>
              <w:pStyle w:val="PKTpunkt0"/>
              <w:spacing w:line="240" w:lineRule="auto"/>
              <w:rPr>
                <w:rFonts w:ascii="Times New Roman" w:hAnsi="Times New Roman" w:cs="Times New Roman"/>
                <w:sz w:val="22"/>
                <w:szCs w:val="22"/>
              </w:rPr>
            </w:pPr>
            <w:bookmarkStart w:id="14" w:name="mip52137312"/>
            <w:bookmarkEnd w:id="14"/>
            <w:r w:rsidRPr="00317ABF">
              <w:rPr>
                <w:rFonts w:ascii="Times New Roman" w:hAnsi="Times New Roman" w:cs="Times New Roman"/>
                <w:sz w:val="22"/>
                <w:szCs w:val="22"/>
              </w:rPr>
              <w:t>7) posiada wykształcenie i wiedzę z zakresu spraw należących do właściwości Prezesa UKE.</w:t>
            </w:r>
          </w:p>
          <w:p w14:paraId="0CEE489A" w14:textId="77777777" w:rsidR="001E1112" w:rsidRPr="00317ABF" w:rsidRDefault="001E1112" w:rsidP="009D3773">
            <w:pPr>
              <w:pStyle w:val="USTustnpkodeksu"/>
              <w:keepNext/>
              <w:spacing w:line="240" w:lineRule="auto"/>
              <w:rPr>
                <w:rFonts w:ascii="Times New Roman" w:hAnsi="Times New Roman" w:cs="Times New Roman"/>
                <w:sz w:val="22"/>
                <w:szCs w:val="22"/>
              </w:rPr>
            </w:pPr>
            <w:bookmarkStart w:id="15" w:name="mip52137313"/>
            <w:bookmarkEnd w:id="15"/>
            <w:r w:rsidRPr="00317ABF">
              <w:rPr>
                <w:rFonts w:ascii="Times New Roman" w:hAnsi="Times New Roman" w:cs="Times New Roman"/>
                <w:sz w:val="22"/>
                <w:szCs w:val="22"/>
              </w:rPr>
              <w:t xml:space="preserve">3. Informację o naborze na stanowisko zastępcy Prezesa UKE udostępnia się w miejscu powszechnie dostępnym w siedzibie urzędu oraz na stronie podmiotowej BIP UKE i Biuletynu Informacji Publicznej Kancelarii Prezesa Rady Ministrów. Ogłoszenie </w:t>
            </w:r>
            <w:r w:rsidR="006529C7" w:rsidRPr="00317ABF">
              <w:rPr>
                <w:rFonts w:ascii="Times New Roman" w:hAnsi="Times New Roman" w:cs="Times New Roman"/>
                <w:sz w:val="22"/>
                <w:szCs w:val="22"/>
              </w:rPr>
              <w:t>zawiera</w:t>
            </w:r>
            <w:r w:rsidRPr="00317ABF">
              <w:rPr>
                <w:rFonts w:ascii="Times New Roman" w:hAnsi="Times New Roman" w:cs="Times New Roman"/>
                <w:sz w:val="22"/>
                <w:szCs w:val="22"/>
              </w:rPr>
              <w:t>:</w:t>
            </w:r>
          </w:p>
          <w:p w14:paraId="50D1F620" w14:textId="77777777" w:rsidR="006529C7" w:rsidRPr="00317ABF" w:rsidRDefault="006529C7" w:rsidP="009D3773">
            <w:pPr>
              <w:pStyle w:val="PKTpunkt0"/>
              <w:spacing w:line="240" w:lineRule="auto"/>
              <w:rPr>
                <w:rFonts w:ascii="Times New Roman" w:hAnsi="Times New Roman" w:cs="Times New Roman"/>
                <w:sz w:val="22"/>
                <w:szCs w:val="22"/>
              </w:rPr>
            </w:pPr>
            <w:bookmarkStart w:id="16" w:name="mip52137315"/>
            <w:bookmarkEnd w:id="16"/>
            <w:r w:rsidRPr="00317ABF">
              <w:rPr>
                <w:rFonts w:ascii="Times New Roman" w:hAnsi="Times New Roman" w:cs="Times New Roman"/>
                <w:sz w:val="22"/>
                <w:szCs w:val="22"/>
              </w:rPr>
              <w:t>1)</w:t>
            </w:r>
            <w:r w:rsidRPr="00317ABF">
              <w:rPr>
                <w:rFonts w:ascii="Times New Roman" w:hAnsi="Times New Roman" w:cs="Times New Roman"/>
                <w:sz w:val="22"/>
                <w:szCs w:val="22"/>
              </w:rPr>
              <w:tab/>
              <w:t>nazwę i adres urzędu;</w:t>
            </w:r>
          </w:p>
          <w:p w14:paraId="21DC179F" w14:textId="77777777" w:rsidR="006529C7" w:rsidRPr="00317ABF" w:rsidRDefault="006529C7" w:rsidP="009D3773">
            <w:pPr>
              <w:pStyle w:val="PKTpunkt0"/>
              <w:spacing w:line="240" w:lineRule="auto"/>
              <w:rPr>
                <w:rFonts w:ascii="Times New Roman" w:hAnsi="Times New Roman" w:cs="Times New Roman"/>
                <w:sz w:val="22"/>
                <w:szCs w:val="22"/>
              </w:rPr>
            </w:pPr>
            <w:bookmarkStart w:id="17" w:name="mip52137316"/>
            <w:bookmarkEnd w:id="17"/>
            <w:r w:rsidRPr="00317ABF">
              <w:rPr>
                <w:rFonts w:ascii="Times New Roman" w:hAnsi="Times New Roman" w:cs="Times New Roman"/>
                <w:sz w:val="22"/>
                <w:szCs w:val="22"/>
              </w:rPr>
              <w:t>2)</w:t>
            </w:r>
            <w:r w:rsidRPr="00317ABF">
              <w:rPr>
                <w:rFonts w:ascii="Times New Roman" w:hAnsi="Times New Roman" w:cs="Times New Roman"/>
                <w:sz w:val="22"/>
                <w:szCs w:val="22"/>
              </w:rPr>
              <w:tab/>
              <w:t>określenie stanowiska;</w:t>
            </w:r>
          </w:p>
          <w:p w14:paraId="1382FB1E" w14:textId="77777777" w:rsidR="006529C7" w:rsidRPr="00317ABF" w:rsidRDefault="006529C7" w:rsidP="009D3773">
            <w:pPr>
              <w:pStyle w:val="PKTpunkt0"/>
              <w:spacing w:line="240" w:lineRule="auto"/>
              <w:rPr>
                <w:rFonts w:ascii="Times New Roman" w:hAnsi="Times New Roman" w:cs="Times New Roman"/>
                <w:sz w:val="22"/>
                <w:szCs w:val="22"/>
              </w:rPr>
            </w:pPr>
            <w:bookmarkStart w:id="18" w:name="mip52137317"/>
            <w:bookmarkEnd w:id="18"/>
            <w:r w:rsidRPr="00317ABF">
              <w:rPr>
                <w:rFonts w:ascii="Times New Roman" w:hAnsi="Times New Roman" w:cs="Times New Roman"/>
                <w:sz w:val="22"/>
                <w:szCs w:val="22"/>
              </w:rPr>
              <w:t>3)</w:t>
            </w:r>
            <w:r w:rsidRPr="00317ABF">
              <w:rPr>
                <w:rFonts w:ascii="Times New Roman" w:hAnsi="Times New Roman" w:cs="Times New Roman"/>
                <w:sz w:val="22"/>
                <w:szCs w:val="22"/>
              </w:rPr>
              <w:tab/>
              <w:t>wymagania związane ze stanowiskiem wynikające z przepisów prawa;</w:t>
            </w:r>
          </w:p>
          <w:p w14:paraId="22E864E6" w14:textId="77777777" w:rsidR="006529C7" w:rsidRPr="00317ABF" w:rsidRDefault="006529C7" w:rsidP="009D3773">
            <w:pPr>
              <w:pStyle w:val="PKTpunkt0"/>
              <w:spacing w:line="240" w:lineRule="auto"/>
              <w:rPr>
                <w:rFonts w:ascii="Times New Roman" w:hAnsi="Times New Roman" w:cs="Times New Roman"/>
                <w:sz w:val="22"/>
                <w:szCs w:val="22"/>
              </w:rPr>
            </w:pPr>
            <w:bookmarkStart w:id="19" w:name="mip52137318"/>
            <w:bookmarkEnd w:id="19"/>
            <w:r w:rsidRPr="00317ABF">
              <w:rPr>
                <w:rFonts w:ascii="Times New Roman" w:hAnsi="Times New Roman" w:cs="Times New Roman"/>
                <w:sz w:val="22"/>
                <w:szCs w:val="22"/>
              </w:rPr>
              <w:t>4)</w:t>
            </w:r>
            <w:r w:rsidRPr="00317ABF">
              <w:rPr>
                <w:rFonts w:ascii="Times New Roman" w:hAnsi="Times New Roman" w:cs="Times New Roman"/>
                <w:sz w:val="22"/>
                <w:szCs w:val="22"/>
              </w:rPr>
              <w:tab/>
              <w:t>zakres zadań wykonywanych na stanowisku;</w:t>
            </w:r>
          </w:p>
          <w:p w14:paraId="48738B78" w14:textId="77777777" w:rsidR="006529C7" w:rsidRPr="00317ABF" w:rsidRDefault="006529C7" w:rsidP="009D3773">
            <w:pPr>
              <w:pStyle w:val="PKTpunkt0"/>
              <w:spacing w:line="240" w:lineRule="auto"/>
              <w:rPr>
                <w:rFonts w:ascii="Times New Roman" w:hAnsi="Times New Roman" w:cs="Times New Roman"/>
                <w:sz w:val="22"/>
                <w:szCs w:val="22"/>
              </w:rPr>
            </w:pPr>
            <w:bookmarkStart w:id="20" w:name="mip52137319"/>
            <w:bookmarkEnd w:id="20"/>
            <w:r w:rsidRPr="00317ABF">
              <w:rPr>
                <w:rFonts w:ascii="Times New Roman" w:hAnsi="Times New Roman" w:cs="Times New Roman"/>
                <w:sz w:val="22"/>
                <w:szCs w:val="22"/>
              </w:rPr>
              <w:t>5)</w:t>
            </w:r>
            <w:r w:rsidRPr="00317ABF">
              <w:rPr>
                <w:rFonts w:ascii="Times New Roman" w:hAnsi="Times New Roman" w:cs="Times New Roman"/>
                <w:sz w:val="22"/>
                <w:szCs w:val="22"/>
              </w:rPr>
              <w:tab/>
              <w:t>wskazanie wymaganych dokumentów;</w:t>
            </w:r>
          </w:p>
          <w:p w14:paraId="13BA521D" w14:textId="77777777" w:rsidR="006529C7" w:rsidRPr="00317ABF" w:rsidRDefault="006529C7" w:rsidP="009D3773">
            <w:pPr>
              <w:pStyle w:val="PKTpunkt0"/>
              <w:spacing w:line="240" w:lineRule="auto"/>
              <w:rPr>
                <w:rFonts w:ascii="Times New Roman" w:hAnsi="Times New Roman" w:cs="Times New Roman"/>
                <w:sz w:val="22"/>
                <w:szCs w:val="22"/>
              </w:rPr>
            </w:pPr>
            <w:bookmarkStart w:id="21" w:name="mip52137320"/>
            <w:bookmarkEnd w:id="21"/>
            <w:r w:rsidRPr="00317ABF">
              <w:rPr>
                <w:rFonts w:ascii="Times New Roman" w:hAnsi="Times New Roman" w:cs="Times New Roman"/>
                <w:sz w:val="22"/>
                <w:szCs w:val="22"/>
              </w:rPr>
              <w:t>6)</w:t>
            </w:r>
            <w:r w:rsidRPr="00317ABF">
              <w:rPr>
                <w:rFonts w:ascii="Times New Roman" w:hAnsi="Times New Roman" w:cs="Times New Roman"/>
                <w:sz w:val="22"/>
                <w:szCs w:val="22"/>
              </w:rPr>
              <w:tab/>
              <w:t>termin i miejsce składania dokumentów;</w:t>
            </w:r>
          </w:p>
          <w:p w14:paraId="05AC4ABF" w14:textId="77777777" w:rsidR="001E1112" w:rsidRPr="00317ABF" w:rsidRDefault="001E1112" w:rsidP="009D3773">
            <w:pPr>
              <w:pStyle w:val="PKTpunkt0"/>
              <w:spacing w:line="240" w:lineRule="auto"/>
              <w:rPr>
                <w:rFonts w:ascii="Times New Roman" w:hAnsi="Times New Roman" w:cs="Times New Roman"/>
                <w:sz w:val="22"/>
                <w:szCs w:val="22"/>
              </w:rPr>
            </w:pPr>
            <w:bookmarkStart w:id="22" w:name="mip52137321"/>
            <w:bookmarkEnd w:id="22"/>
            <w:r w:rsidRPr="00317ABF">
              <w:rPr>
                <w:rFonts w:ascii="Times New Roman" w:hAnsi="Times New Roman" w:cs="Times New Roman"/>
                <w:sz w:val="22"/>
                <w:szCs w:val="22"/>
              </w:rPr>
              <w:t>7) informację o metodach i technikach naboru.</w:t>
            </w:r>
          </w:p>
          <w:p w14:paraId="3DBC3384" w14:textId="77777777" w:rsidR="001E1112" w:rsidRPr="00317ABF" w:rsidRDefault="001E1112" w:rsidP="009D3773">
            <w:pPr>
              <w:pStyle w:val="USTustnpkodeksu"/>
              <w:spacing w:line="240" w:lineRule="auto"/>
              <w:rPr>
                <w:rFonts w:ascii="Times New Roman" w:hAnsi="Times New Roman" w:cs="Times New Roman"/>
                <w:sz w:val="22"/>
                <w:szCs w:val="22"/>
              </w:rPr>
            </w:pPr>
            <w:bookmarkStart w:id="23" w:name="mip52137322"/>
            <w:bookmarkEnd w:id="23"/>
            <w:r w:rsidRPr="00317ABF">
              <w:rPr>
                <w:rFonts w:ascii="Times New Roman" w:hAnsi="Times New Roman" w:cs="Times New Roman"/>
                <w:sz w:val="22"/>
                <w:szCs w:val="22"/>
              </w:rPr>
              <w:lastRenderedPageBreak/>
              <w:t>4. Termin, o którym mowa w ust. 3 pkt 6, nie może być krótszy niż 10 dni od dnia udostępnienia ogłoszenia w Biuletynie Informacji Publicznej Kancelarii Prezesa Rady Ministrów.</w:t>
            </w:r>
          </w:p>
          <w:p w14:paraId="78111648" w14:textId="77777777" w:rsidR="001E1112" w:rsidRPr="00317ABF" w:rsidRDefault="001E1112" w:rsidP="009D3773">
            <w:pPr>
              <w:pStyle w:val="USTustnpkodeksu"/>
              <w:spacing w:line="240" w:lineRule="auto"/>
              <w:rPr>
                <w:rFonts w:ascii="Times New Roman" w:hAnsi="Times New Roman" w:cs="Times New Roman"/>
                <w:sz w:val="22"/>
                <w:szCs w:val="22"/>
              </w:rPr>
            </w:pPr>
            <w:bookmarkStart w:id="24" w:name="mip52137323"/>
            <w:bookmarkEnd w:id="24"/>
            <w:r w:rsidRPr="00317ABF">
              <w:rPr>
                <w:rFonts w:ascii="Times New Roman" w:hAnsi="Times New Roman" w:cs="Times New Roman"/>
                <w:sz w:val="22"/>
                <w:szCs w:val="22"/>
              </w:rPr>
              <w:t>5. Nabór na stanowisko zastępcy Prezesa UKE przeprowadza zespół, powołany przez Prezesa UKE, liczący co najmniej 3 osoby, których wiedza i doświadczenie dają rękojmię wyłonienia najlepszych kandydatów. W toku naboru ocenia się doświadczenie zawodowe kandydata, wiedzę niezbędną do wykonywania zadań na stanowisku, na które jest przeprowadzany nabór, oraz kompetencje kierownicze.</w:t>
            </w:r>
          </w:p>
          <w:p w14:paraId="4290C55D" w14:textId="77777777" w:rsidR="001E1112" w:rsidRPr="00317ABF" w:rsidRDefault="001E1112" w:rsidP="009D3773">
            <w:pPr>
              <w:pStyle w:val="USTustnpkodeksu"/>
              <w:spacing w:line="240" w:lineRule="auto"/>
              <w:rPr>
                <w:rFonts w:ascii="Times New Roman" w:hAnsi="Times New Roman" w:cs="Times New Roman"/>
                <w:sz w:val="22"/>
                <w:szCs w:val="22"/>
              </w:rPr>
            </w:pPr>
            <w:bookmarkStart w:id="25" w:name="mip52137324"/>
            <w:bookmarkEnd w:id="25"/>
            <w:r w:rsidRPr="00317ABF">
              <w:rPr>
                <w:rFonts w:ascii="Times New Roman" w:hAnsi="Times New Roman" w:cs="Times New Roman"/>
                <w:sz w:val="22"/>
                <w:szCs w:val="22"/>
              </w:rPr>
              <w:t>6. Ocena wiedzy i kompetencji kierowniczych, o których mowa w ust. 5, może być dokonana na zlecenie zespołu przez osobę niebędącą członkiem zespołu, która posiada odpowiednie kwalifikacje do dokonania tej oceny.</w:t>
            </w:r>
          </w:p>
          <w:p w14:paraId="46F04857" w14:textId="77777777" w:rsidR="001E1112" w:rsidRPr="00317ABF" w:rsidRDefault="001E1112" w:rsidP="009D3773">
            <w:pPr>
              <w:pStyle w:val="USTustnpkodeksu"/>
              <w:spacing w:line="240" w:lineRule="auto"/>
              <w:rPr>
                <w:rFonts w:ascii="Times New Roman" w:hAnsi="Times New Roman" w:cs="Times New Roman"/>
                <w:sz w:val="22"/>
                <w:szCs w:val="22"/>
              </w:rPr>
            </w:pPr>
            <w:bookmarkStart w:id="26" w:name="mip52137325"/>
            <w:bookmarkEnd w:id="26"/>
            <w:r w:rsidRPr="00317ABF">
              <w:rPr>
                <w:rFonts w:ascii="Times New Roman" w:hAnsi="Times New Roman" w:cs="Times New Roman"/>
                <w:sz w:val="22"/>
                <w:szCs w:val="22"/>
              </w:rPr>
              <w:t>7. Członek zespołu oraz osoba, o której mowa w ust. 6, mają obowiązek zachowania w tajemnicy informacji dotyczących osób ubiegających się o stanowisko, uzyskanych w trakcie naboru.</w:t>
            </w:r>
          </w:p>
          <w:p w14:paraId="0B141D5B" w14:textId="77777777" w:rsidR="001E1112" w:rsidRPr="00317ABF" w:rsidRDefault="001E1112" w:rsidP="009D3773">
            <w:pPr>
              <w:pStyle w:val="USTustnpkodeksu"/>
              <w:spacing w:line="240" w:lineRule="auto"/>
              <w:rPr>
                <w:rFonts w:ascii="Times New Roman" w:hAnsi="Times New Roman" w:cs="Times New Roman"/>
                <w:sz w:val="22"/>
                <w:szCs w:val="22"/>
              </w:rPr>
            </w:pPr>
            <w:bookmarkStart w:id="27" w:name="mip52137326"/>
            <w:bookmarkEnd w:id="27"/>
            <w:r w:rsidRPr="00317ABF">
              <w:rPr>
                <w:rFonts w:ascii="Times New Roman" w:hAnsi="Times New Roman" w:cs="Times New Roman"/>
                <w:sz w:val="22"/>
                <w:szCs w:val="22"/>
              </w:rPr>
              <w:t>8. W toku naboru zespół wyłania nie więcej niż 3 kandydatów, których przedstawia ministrowi właściwemu do spraw informatyzacji.</w:t>
            </w:r>
          </w:p>
          <w:p w14:paraId="1DB6E72E" w14:textId="77777777" w:rsidR="001E1112" w:rsidRPr="00317ABF" w:rsidRDefault="001E1112" w:rsidP="009D3773">
            <w:pPr>
              <w:pStyle w:val="USTustnpkodeksu"/>
              <w:keepNext/>
              <w:spacing w:line="240" w:lineRule="auto"/>
              <w:rPr>
                <w:rFonts w:ascii="Times New Roman" w:hAnsi="Times New Roman" w:cs="Times New Roman"/>
                <w:sz w:val="22"/>
                <w:szCs w:val="22"/>
              </w:rPr>
            </w:pPr>
            <w:bookmarkStart w:id="28" w:name="mip52137327"/>
            <w:bookmarkEnd w:id="28"/>
            <w:r w:rsidRPr="00317ABF">
              <w:rPr>
                <w:rFonts w:ascii="Times New Roman" w:hAnsi="Times New Roman" w:cs="Times New Roman"/>
                <w:sz w:val="22"/>
                <w:szCs w:val="22"/>
              </w:rPr>
              <w:t>9. Z przeprowadzonego naboru zespół sporządza protokół zawierający:</w:t>
            </w:r>
          </w:p>
          <w:p w14:paraId="769B3863" w14:textId="77777777" w:rsidR="006529C7" w:rsidRPr="00317ABF" w:rsidRDefault="006529C7" w:rsidP="009D3773">
            <w:pPr>
              <w:pStyle w:val="PKTpunkt0"/>
              <w:spacing w:line="240" w:lineRule="auto"/>
              <w:rPr>
                <w:rFonts w:ascii="Times New Roman" w:hAnsi="Times New Roman" w:cs="Times New Roman"/>
                <w:sz w:val="22"/>
                <w:szCs w:val="22"/>
              </w:rPr>
            </w:pPr>
            <w:bookmarkStart w:id="29" w:name="mip52137329"/>
            <w:bookmarkEnd w:id="29"/>
            <w:r w:rsidRPr="00317ABF">
              <w:rPr>
                <w:rFonts w:ascii="Times New Roman" w:hAnsi="Times New Roman" w:cs="Times New Roman"/>
                <w:sz w:val="22"/>
                <w:szCs w:val="22"/>
              </w:rPr>
              <w:t>1)</w:t>
            </w:r>
            <w:r w:rsidRPr="00317ABF">
              <w:rPr>
                <w:rFonts w:ascii="Times New Roman" w:hAnsi="Times New Roman" w:cs="Times New Roman"/>
                <w:sz w:val="22"/>
                <w:szCs w:val="22"/>
              </w:rPr>
              <w:tab/>
              <w:t>nazwę i adres urzędu;</w:t>
            </w:r>
          </w:p>
          <w:p w14:paraId="3BCF1464" w14:textId="77777777" w:rsidR="006529C7" w:rsidRPr="00317ABF" w:rsidRDefault="006529C7" w:rsidP="009D3773">
            <w:pPr>
              <w:pStyle w:val="PKTpunkt0"/>
              <w:spacing w:line="240" w:lineRule="auto"/>
              <w:rPr>
                <w:rFonts w:ascii="Times New Roman" w:hAnsi="Times New Roman" w:cs="Times New Roman"/>
                <w:sz w:val="22"/>
                <w:szCs w:val="22"/>
              </w:rPr>
            </w:pPr>
            <w:bookmarkStart w:id="30" w:name="mip52137330"/>
            <w:bookmarkEnd w:id="30"/>
            <w:r w:rsidRPr="00317ABF">
              <w:rPr>
                <w:rFonts w:ascii="Times New Roman" w:hAnsi="Times New Roman" w:cs="Times New Roman"/>
                <w:sz w:val="22"/>
                <w:szCs w:val="22"/>
              </w:rPr>
              <w:t>2)</w:t>
            </w:r>
            <w:r w:rsidRPr="00317ABF">
              <w:rPr>
                <w:rFonts w:ascii="Times New Roman" w:hAnsi="Times New Roman" w:cs="Times New Roman"/>
                <w:sz w:val="22"/>
                <w:szCs w:val="22"/>
              </w:rPr>
              <w:tab/>
              <w:t>określenie stanowiska, na które był prowadzony nabór, oraz liczbę kandydatów;</w:t>
            </w:r>
          </w:p>
          <w:p w14:paraId="124E25DC" w14:textId="77777777" w:rsidR="006529C7" w:rsidRPr="00317ABF" w:rsidRDefault="006529C7" w:rsidP="009D3773">
            <w:pPr>
              <w:pStyle w:val="PKTpunkt0"/>
              <w:spacing w:line="240" w:lineRule="auto"/>
              <w:rPr>
                <w:rFonts w:ascii="Times New Roman" w:hAnsi="Times New Roman" w:cs="Times New Roman"/>
                <w:sz w:val="22"/>
                <w:szCs w:val="22"/>
              </w:rPr>
            </w:pPr>
            <w:bookmarkStart w:id="31" w:name="mip52137331"/>
            <w:bookmarkEnd w:id="31"/>
            <w:r w:rsidRPr="00317ABF">
              <w:rPr>
                <w:rFonts w:ascii="Times New Roman" w:hAnsi="Times New Roman" w:cs="Times New Roman"/>
                <w:sz w:val="22"/>
                <w:szCs w:val="22"/>
              </w:rPr>
              <w:t>3)</w:t>
            </w:r>
            <w:r w:rsidRPr="00317ABF">
              <w:rPr>
                <w:rFonts w:ascii="Times New Roman" w:hAnsi="Times New Roman" w:cs="Times New Roman"/>
                <w:sz w:val="22"/>
                <w:szCs w:val="22"/>
              </w:rPr>
              <w:tab/>
              <w:t>imiona, nazwiska i adresy nie więcej niż 3 najlepszych kandydatów uszeregowanych według poziomu spełniania przez nich wymagań określonych w ogłoszeniu o naborze;</w:t>
            </w:r>
          </w:p>
          <w:p w14:paraId="5B0F211E" w14:textId="77777777" w:rsidR="006529C7" w:rsidRPr="00317ABF" w:rsidRDefault="006529C7" w:rsidP="009D3773">
            <w:pPr>
              <w:pStyle w:val="PKTpunkt0"/>
              <w:spacing w:line="240" w:lineRule="auto"/>
              <w:rPr>
                <w:rFonts w:ascii="Times New Roman" w:hAnsi="Times New Roman" w:cs="Times New Roman"/>
                <w:sz w:val="22"/>
                <w:szCs w:val="22"/>
              </w:rPr>
            </w:pPr>
            <w:bookmarkStart w:id="32" w:name="mip52137332"/>
            <w:bookmarkEnd w:id="32"/>
            <w:r w:rsidRPr="00317ABF">
              <w:rPr>
                <w:rFonts w:ascii="Times New Roman" w:hAnsi="Times New Roman" w:cs="Times New Roman"/>
                <w:sz w:val="22"/>
                <w:szCs w:val="22"/>
              </w:rPr>
              <w:t>4)</w:t>
            </w:r>
            <w:r w:rsidRPr="00317ABF">
              <w:rPr>
                <w:rFonts w:ascii="Times New Roman" w:hAnsi="Times New Roman" w:cs="Times New Roman"/>
                <w:sz w:val="22"/>
                <w:szCs w:val="22"/>
              </w:rPr>
              <w:tab/>
              <w:t>informację o zastosowanych metodach i technikach naboru;</w:t>
            </w:r>
          </w:p>
          <w:p w14:paraId="6E765E94" w14:textId="77777777" w:rsidR="006529C7" w:rsidRPr="00317ABF" w:rsidRDefault="006529C7" w:rsidP="009D3773">
            <w:pPr>
              <w:pStyle w:val="PKTpunkt0"/>
              <w:spacing w:line="240" w:lineRule="auto"/>
              <w:rPr>
                <w:rFonts w:ascii="Times New Roman" w:hAnsi="Times New Roman" w:cs="Times New Roman"/>
                <w:sz w:val="22"/>
                <w:szCs w:val="22"/>
              </w:rPr>
            </w:pPr>
            <w:bookmarkStart w:id="33" w:name="mip52137333"/>
            <w:bookmarkEnd w:id="33"/>
            <w:r w:rsidRPr="00317ABF">
              <w:rPr>
                <w:rFonts w:ascii="Times New Roman" w:hAnsi="Times New Roman" w:cs="Times New Roman"/>
                <w:sz w:val="22"/>
                <w:szCs w:val="22"/>
              </w:rPr>
              <w:t>5)</w:t>
            </w:r>
            <w:r w:rsidRPr="00317ABF">
              <w:rPr>
                <w:rFonts w:ascii="Times New Roman" w:hAnsi="Times New Roman" w:cs="Times New Roman"/>
                <w:sz w:val="22"/>
                <w:szCs w:val="22"/>
              </w:rPr>
              <w:tab/>
              <w:t>uzasadnienie dokonanego wyboru albo powody niewyłonienia kandydata;</w:t>
            </w:r>
          </w:p>
          <w:p w14:paraId="00BFBC62" w14:textId="77777777" w:rsidR="001E1112" w:rsidRPr="00317ABF" w:rsidRDefault="001E1112" w:rsidP="009D3773">
            <w:pPr>
              <w:pStyle w:val="PKTpunkt0"/>
              <w:spacing w:line="240" w:lineRule="auto"/>
              <w:rPr>
                <w:rFonts w:ascii="Times New Roman" w:hAnsi="Times New Roman" w:cs="Times New Roman"/>
                <w:sz w:val="22"/>
                <w:szCs w:val="22"/>
              </w:rPr>
            </w:pPr>
            <w:bookmarkStart w:id="34" w:name="mip52137334"/>
            <w:bookmarkEnd w:id="34"/>
            <w:r w:rsidRPr="00317ABF">
              <w:rPr>
                <w:rFonts w:ascii="Times New Roman" w:hAnsi="Times New Roman" w:cs="Times New Roman"/>
                <w:sz w:val="22"/>
                <w:szCs w:val="22"/>
              </w:rPr>
              <w:t>6) skład zespołu.</w:t>
            </w:r>
          </w:p>
          <w:p w14:paraId="56AAB0CD" w14:textId="77777777" w:rsidR="001E1112" w:rsidRPr="00317ABF" w:rsidRDefault="001E1112" w:rsidP="009D3773">
            <w:pPr>
              <w:pStyle w:val="USTustnpkodeksu"/>
              <w:keepNext/>
              <w:spacing w:line="240" w:lineRule="auto"/>
              <w:rPr>
                <w:rFonts w:ascii="Times New Roman" w:hAnsi="Times New Roman" w:cs="Times New Roman"/>
                <w:sz w:val="22"/>
                <w:szCs w:val="22"/>
              </w:rPr>
            </w:pPr>
            <w:bookmarkStart w:id="35" w:name="mip52137335"/>
            <w:bookmarkEnd w:id="35"/>
            <w:r w:rsidRPr="00317ABF">
              <w:rPr>
                <w:rFonts w:ascii="Times New Roman" w:hAnsi="Times New Roman" w:cs="Times New Roman"/>
                <w:sz w:val="22"/>
                <w:szCs w:val="22"/>
              </w:rPr>
              <w:t>10. Wynik naboru udostępnia się niezwłocznie na stronie podmiotowej Biuletynu Informacji Publicznej Kancelarii Prezesa Rady Ministrów. Informacja o wyniku naboru zawiera:</w:t>
            </w:r>
          </w:p>
          <w:p w14:paraId="7D6C8837" w14:textId="77777777" w:rsidR="006529C7" w:rsidRPr="00317ABF" w:rsidRDefault="006529C7" w:rsidP="009D3773">
            <w:pPr>
              <w:pStyle w:val="PKTpunkt0"/>
              <w:spacing w:line="240" w:lineRule="auto"/>
              <w:rPr>
                <w:rFonts w:ascii="Times New Roman" w:hAnsi="Times New Roman" w:cs="Times New Roman"/>
                <w:sz w:val="22"/>
                <w:szCs w:val="22"/>
              </w:rPr>
            </w:pPr>
            <w:bookmarkStart w:id="36" w:name="mip52137337"/>
            <w:bookmarkEnd w:id="36"/>
            <w:r w:rsidRPr="00317ABF">
              <w:rPr>
                <w:rFonts w:ascii="Times New Roman" w:hAnsi="Times New Roman" w:cs="Times New Roman"/>
                <w:sz w:val="22"/>
                <w:szCs w:val="22"/>
              </w:rPr>
              <w:t>1)</w:t>
            </w:r>
            <w:r w:rsidRPr="00317ABF">
              <w:rPr>
                <w:rFonts w:ascii="Times New Roman" w:hAnsi="Times New Roman" w:cs="Times New Roman"/>
                <w:sz w:val="22"/>
                <w:szCs w:val="22"/>
              </w:rPr>
              <w:tab/>
              <w:t>nazwę i adres urzędu;</w:t>
            </w:r>
          </w:p>
          <w:p w14:paraId="47B29EB1" w14:textId="77777777" w:rsidR="006529C7" w:rsidRPr="00317ABF" w:rsidRDefault="006529C7" w:rsidP="009D3773">
            <w:pPr>
              <w:pStyle w:val="PKTpunkt0"/>
              <w:spacing w:line="240" w:lineRule="auto"/>
              <w:rPr>
                <w:rFonts w:ascii="Times New Roman" w:hAnsi="Times New Roman" w:cs="Times New Roman"/>
                <w:sz w:val="22"/>
                <w:szCs w:val="22"/>
              </w:rPr>
            </w:pPr>
            <w:bookmarkStart w:id="37" w:name="mip52137338"/>
            <w:bookmarkEnd w:id="37"/>
            <w:r w:rsidRPr="00317ABF">
              <w:rPr>
                <w:rFonts w:ascii="Times New Roman" w:hAnsi="Times New Roman" w:cs="Times New Roman"/>
                <w:sz w:val="22"/>
                <w:szCs w:val="22"/>
              </w:rPr>
              <w:t>2)</w:t>
            </w:r>
            <w:r w:rsidRPr="00317ABF">
              <w:rPr>
                <w:rFonts w:ascii="Times New Roman" w:hAnsi="Times New Roman" w:cs="Times New Roman"/>
                <w:sz w:val="22"/>
                <w:szCs w:val="22"/>
              </w:rPr>
              <w:tab/>
              <w:t>określenie stanowiska, na które był prowadzony nabór;</w:t>
            </w:r>
          </w:p>
          <w:p w14:paraId="2A7EB7C1" w14:textId="77777777" w:rsidR="006529C7" w:rsidRPr="00317ABF" w:rsidRDefault="006529C7" w:rsidP="009D3773">
            <w:pPr>
              <w:pStyle w:val="PKTpunkt0"/>
              <w:spacing w:line="240" w:lineRule="auto"/>
              <w:rPr>
                <w:rFonts w:ascii="Times New Roman" w:hAnsi="Times New Roman" w:cs="Times New Roman"/>
                <w:sz w:val="22"/>
                <w:szCs w:val="22"/>
              </w:rPr>
            </w:pPr>
            <w:bookmarkStart w:id="38" w:name="mip52137339"/>
            <w:bookmarkEnd w:id="38"/>
            <w:r w:rsidRPr="00317ABF">
              <w:rPr>
                <w:rFonts w:ascii="Times New Roman" w:hAnsi="Times New Roman" w:cs="Times New Roman"/>
                <w:sz w:val="22"/>
                <w:szCs w:val="22"/>
              </w:rPr>
              <w:t>3)</w:t>
            </w:r>
            <w:r w:rsidRPr="00317ABF">
              <w:rPr>
                <w:rFonts w:ascii="Times New Roman" w:hAnsi="Times New Roman" w:cs="Times New Roman"/>
                <w:sz w:val="22"/>
                <w:szCs w:val="22"/>
              </w:rPr>
              <w:tab/>
              <w:t>imiona, nazwiska wybranych kandydatów oraz ich miejsca zamieszkania w rozumieniu przepisów ustawy Kodeks cywilny albo informację o niewyłonieniu kandydata.</w:t>
            </w:r>
          </w:p>
          <w:p w14:paraId="513DA1E0" w14:textId="1E45B5D4" w:rsidR="001E1112" w:rsidRPr="00317ABF" w:rsidRDefault="001E1112" w:rsidP="00DB3BEC">
            <w:pPr>
              <w:jc w:val="both"/>
              <w:rPr>
                <w:sz w:val="22"/>
                <w:szCs w:val="22"/>
              </w:rPr>
            </w:pPr>
          </w:p>
        </w:tc>
      </w:tr>
      <w:tr w:rsidR="001E1112" w:rsidRPr="00317ABF" w14:paraId="51F22D8A" w14:textId="77777777" w:rsidTr="7753F98D">
        <w:trPr>
          <w:gridAfter w:val="2"/>
          <w:wAfter w:w="175" w:type="dxa"/>
        </w:trPr>
        <w:tc>
          <w:tcPr>
            <w:tcW w:w="704" w:type="dxa"/>
          </w:tcPr>
          <w:p w14:paraId="6F9674F3" w14:textId="77777777" w:rsidR="001E1112" w:rsidRPr="00317ABF" w:rsidRDefault="001E1112" w:rsidP="00DB3BEC">
            <w:pPr>
              <w:jc w:val="both"/>
              <w:rPr>
                <w:sz w:val="22"/>
                <w:szCs w:val="22"/>
              </w:rPr>
            </w:pPr>
            <w:r w:rsidRPr="00317ABF">
              <w:rPr>
                <w:sz w:val="22"/>
                <w:szCs w:val="22"/>
              </w:rPr>
              <w:lastRenderedPageBreak/>
              <w:t>Art. 7 ust. 2</w:t>
            </w:r>
          </w:p>
        </w:tc>
        <w:tc>
          <w:tcPr>
            <w:tcW w:w="4308" w:type="dxa"/>
          </w:tcPr>
          <w:p w14:paraId="42E4CEE8" w14:textId="77777777" w:rsidR="001E1112" w:rsidRPr="00317ABF" w:rsidRDefault="001E1112" w:rsidP="00DB3BEC">
            <w:pPr>
              <w:spacing w:before="120"/>
              <w:jc w:val="both"/>
              <w:rPr>
                <w:sz w:val="22"/>
                <w:szCs w:val="22"/>
              </w:rPr>
            </w:pPr>
            <w:r w:rsidRPr="00317ABF">
              <w:rPr>
                <w:sz w:val="22"/>
                <w:szCs w:val="22"/>
              </w:rPr>
              <w:t>2.   Państwa członkowskie zapewniają, aby szefów krajowych organów regulacyjnych lub, w stosownych przypadkach, członków organu kolegialnego pełniącego tę funkcję w krajowym organie regulacyjnym lub ich zastępców można było odwołać w trakcie ich kadencji tylko wtedy, gdy przestaną oni spełniać warunki wymagane do wykonywania obowiązków określonych w prawie krajowym przed ich powołaniem.</w:t>
            </w:r>
          </w:p>
        </w:tc>
        <w:tc>
          <w:tcPr>
            <w:tcW w:w="986" w:type="dxa"/>
          </w:tcPr>
          <w:p w14:paraId="75CAC6F5" w14:textId="2FE85011" w:rsidR="001E1112" w:rsidRPr="00317ABF" w:rsidRDefault="001E1112" w:rsidP="00DB3BEC">
            <w:pPr>
              <w:jc w:val="both"/>
              <w:rPr>
                <w:sz w:val="22"/>
                <w:szCs w:val="22"/>
              </w:rPr>
            </w:pPr>
            <w:r w:rsidRPr="00317ABF">
              <w:rPr>
                <w:sz w:val="22"/>
                <w:szCs w:val="22"/>
              </w:rPr>
              <w:t>T</w:t>
            </w:r>
          </w:p>
        </w:tc>
        <w:tc>
          <w:tcPr>
            <w:tcW w:w="910" w:type="dxa"/>
          </w:tcPr>
          <w:p w14:paraId="6CBB8B88" w14:textId="441B6D47" w:rsidR="001E1112" w:rsidRPr="00317ABF" w:rsidRDefault="001E1112" w:rsidP="00DB3BEC">
            <w:pPr>
              <w:pStyle w:val="Tekstpodstawowy"/>
              <w:rPr>
                <w:b/>
                <w:noProof/>
                <w:sz w:val="22"/>
                <w:szCs w:val="22"/>
              </w:rPr>
            </w:pPr>
            <w:r w:rsidRPr="00317ABF">
              <w:rPr>
                <w:b/>
                <w:noProof/>
                <w:sz w:val="22"/>
                <w:szCs w:val="22"/>
              </w:rPr>
              <w:t xml:space="preserve">Art. </w:t>
            </w:r>
            <w:r w:rsidR="007E637B" w:rsidRPr="00317ABF">
              <w:rPr>
                <w:b/>
                <w:noProof/>
                <w:sz w:val="22"/>
                <w:szCs w:val="22"/>
              </w:rPr>
              <w:t>411</w:t>
            </w:r>
            <w:r w:rsidRPr="00317ABF">
              <w:rPr>
                <w:b/>
                <w:noProof/>
                <w:sz w:val="22"/>
                <w:szCs w:val="22"/>
              </w:rPr>
              <w:t xml:space="preserve"> ust. 1 i 5-7</w:t>
            </w:r>
            <w:r w:rsidR="007E637B" w:rsidRPr="00317ABF">
              <w:rPr>
                <w:b/>
                <w:noProof/>
                <w:sz w:val="22"/>
                <w:szCs w:val="22"/>
              </w:rPr>
              <w:t xml:space="preserve">, art. 412 ust. 1 </w:t>
            </w:r>
          </w:p>
          <w:p w14:paraId="71E4D24B" w14:textId="04F9953F" w:rsidR="001E1112" w:rsidRPr="00317ABF" w:rsidRDefault="001E1112" w:rsidP="00DB3BEC">
            <w:pPr>
              <w:pStyle w:val="Tekstpodstawowy"/>
              <w:rPr>
                <w:b/>
                <w:noProof/>
                <w:sz w:val="22"/>
                <w:szCs w:val="22"/>
              </w:rPr>
            </w:pPr>
          </w:p>
          <w:p w14:paraId="72648B0B" w14:textId="04F9953F" w:rsidR="001E1112" w:rsidRPr="00317ABF" w:rsidRDefault="001E1112" w:rsidP="00DB3BEC">
            <w:pPr>
              <w:pStyle w:val="Tekstpodstawowy"/>
              <w:rPr>
                <w:b/>
                <w:noProof/>
                <w:sz w:val="22"/>
                <w:szCs w:val="22"/>
              </w:rPr>
            </w:pPr>
          </w:p>
          <w:p w14:paraId="16371252" w14:textId="04F9953F" w:rsidR="001E1112" w:rsidRPr="00317ABF" w:rsidRDefault="001E1112" w:rsidP="00DB3BEC">
            <w:pPr>
              <w:pStyle w:val="Tekstpodstawowy"/>
              <w:rPr>
                <w:b/>
                <w:noProof/>
                <w:sz w:val="22"/>
                <w:szCs w:val="22"/>
              </w:rPr>
            </w:pPr>
          </w:p>
          <w:p w14:paraId="59C687DD" w14:textId="04F9953F" w:rsidR="001E1112" w:rsidRPr="00317ABF" w:rsidRDefault="001E1112" w:rsidP="00DB3BEC">
            <w:pPr>
              <w:pStyle w:val="Tekstpodstawowy"/>
              <w:rPr>
                <w:b/>
                <w:noProof/>
                <w:sz w:val="22"/>
                <w:szCs w:val="22"/>
              </w:rPr>
            </w:pPr>
          </w:p>
          <w:p w14:paraId="30570C57" w14:textId="04F9953F" w:rsidR="001E1112" w:rsidRPr="00317ABF" w:rsidRDefault="001E1112" w:rsidP="00DB3BEC">
            <w:pPr>
              <w:pStyle w:val="Tekstpodstawowy"/>
              <w:rPr>
                <w:b/>
                <w:noProof/>
                <w:sz w:val="22"/>
                <w:szCs w:val="22"/>
              </w:rPr>
            </w:pPr>
          </w:p>
          <w:p w14:paraId="16814465" w14:textId="04F9953F" w:rsidR="001E1112" w:rsidRPr="00317ABF" w:rsidRDefault="001E1112" w:rsidP="00DB3BEC">
            <w:pPr>
              <w:pStyle w:val="Tekstpodstawowy"/>
              <w:rPr>
                <w:b/>
                <w:noProof/>
                <w:sz w:val="22"/>
                <w:szCs w:val="22"/>
              </w:rPr>
            </w:pPr>
          </w:p>
          <w:p w14:paraId="7829818C" w14:textId="04F9953F" w:rsidR="001E1112" w:rsidRPr="00317ABF" w:rsidRDefault="001E1112" w:rsidP="00DB3BEC">
            <w:pPr>
              <w:pStyle w:val="Tekstpodstawowy"/>
              <w:rPr>
                <w:b/>
                <w:noProof/>
                <w:sz w:val="22"/>
                <w:szCs w:val="22"/>
              </w:rPr>
            </w:pPr>
          </w:p>
          <w:p w14:paraId="6B5BD42A" w14:textId="04F9953F" w:rsidR="001E1112" w:rsidRPr="00317ABF" w:rsidRDefault="001E1112" w:rsidP="00DB3BEC">
            <w:pPr>
              <w:pStyle w:val="Tekstpodstawowy"/>
              <w:rPr>
                <w:b/>
                <w:noProof/>
                <w:sz w:val="22"/>
                <w:szCs w:val="22"/>
              </w:rPr>
            </w:pPr>
          </w:p>
          <w:p w14:paraId="3CE73649" w14:textId="04F9953F" w:rsidR="001E1112" w:rsidRPr="00317ABF" w:rsidRDefault="001E1112" w:rsidP="00DB3BEC">
            <w:pPr>
              <w:pStyle w:val="Tekstpodstawowy"/>
              <w:rPr>
                <w:b/>
                <w:noProof/>
                <w:sz w:val="22"/>
                <w:szCs w:val="22"/>
              </w:rPr>
            </w:pPr>
          </w:p>
          <w:p w14:paraId="0D1A5F12" w14:textId="04F9953F" w:rsidR="001E1112" w:rsidRPr="00317ABF" w:rsidRDefault="001E1112" w:rsidP="00DB3BEC">
            <w:pPr>
              <w:pStyle w:val="Tekstpodstawowy"/>
              <w:rPr>
                <w:b/>
                <w:noProof/>
                <w:sz w:val="22"/>
                <w:szCs w:val="22"/>
              </w:rPr>
            </w:pPr>
          </w:p>
          <w:p w14:paraId="713BC889" w14:textId="47DC67CD" w:rsidR="001E1112" w:rsidRPr="00317ABF" w:rsidRDefault="001E1112" w:rsidP="00DB3BEC">
            <w:pPr>
              <w:pStyle w:val="Tekstpodstawowy"/>
              <w:rPr>
                <w:b/>
                <w:bCs/>
                <w:noProof/>
                <w:sz w:val="22"/>
                <w:szCs w:val="22"/>
              </w:rPr>
            </w:pPr>
          </w:p>
          <w:p w14:paraId="5206C1F2" w14:textId="3B6A4354" w:rsidR="001E1112" w:rsidRPr="00317ABF" w:rsidRDefault="001E1112" w:rsidP="00DB3BEC">
            <w:pPr>
              <w:pStyle w:val="Tekstpodstawowy"/>
              <w:rPr>
                <w:b/>
                <w:bCs/>
                <w:noProof/>
                <w:sz w:val="22"/>
                <w:szCs w:val="22"/>
              </w:rPr>
            </w:pPr>
          </w:p>
          <w:p w14:paraId="66060428" w14:textId="6B3C1E7F" w:rsidR="001E1112" w:rsidRPr="00317ABF" w:rsidRDefault="001E1112" w:rsidP="00DB3BEC">
            <w:pPr>
              <w:pStyle w:val="Tekstpodstawowy"/>
              <w:rPr>
                <w:b/>
                <w:noProof/>
                <w:sz w:val="22"/>
                <w:szCs w:val="22"/>
              </w:rPr>
            </w:pPr>
          </w:p>
        </w:tc>
        <w:tc>
          <w:tcPr>
            <w:tcW w:w="6814" w:type="dxa"/>
            <w:gridSpan w:val="2"/>
          </w:tcPr>
          <w:p w14:paraId="58F0BC52" w14:textId="77777777" w:rsidR="007E637B" w:rsidRPr="00317ABF" w:rsidRDefault="001E1112" w:rsidP="009D3773">
            <w:pPr>
              <w:pStyle w:val="ARTartustawynprozporzdzenia"/>
              <w:spacing w:line="240" w:lineRule="auto"/>
              <w:ind w:firstLine="0"/>
              <w:rPr>
                <w:rFonts w:ascii="Times New Roman" w:hAnsi="Times New Roman" w:cs="Times New Roman"/>
                <w:sz w:val="22"/>
                <w:szCs w:val="22"/>
              </w:rPr>
            </w:pPr>
            <w:r w:rsidRPr="00317ABF">
              <w:rPr>
                <w:rStyle w:val="Ppogrubienie"/>
                <w:rFonts w:ascii="Times New Roman" w:hAnsi="Times New Roman"/>
                <w:sz w:val="22"/>
                <w:szCs w:val="22"/>
              </w:rPr>
              <w:t xml:space="preserve">Art. </w:t>
            </w:r>
            <w:r w:rsidR="007E637B" w:rsidRPr="00317ABF">
              <w:rPr>
                <w:rStyle w:val="Ppogrubienie"/>
                <w:rFonts w:ascii="Times New Roman" w:hAnsi="Times New Roman"/>
                <w:sz w:val="22"/>
                <w:szCs w:val="22"/>
              </w:rPr>
              <w:t>411.</w:t>
            </w:r>
            <w:r w:rsidR="007E637B" w:rsidRPr="00317ABF">
              <w:rPr>
                <w:rFonts w:ascii="Times New Roman" w:hAnsi="Times New Roman" w:cs="Times New Roman"/>
                <w:sz w:val="22"/>
                <w:szCs w:val="22"/>
              </w:rPr>
              <w:t xml:space="preserve"> </w:t>
            </w:r>
          </w:p>
          <w:p w14:paraId="6DEB206D" w14:textId="26758D14" w:rsidR="001E1112" w:rsidRPr="00317ABF" w:rsidRDefault="001E1112" w:rsidP="009D3773">
            <w:pPr>
              <w:pStyle w:val="ARTartustawynprozporzdzenia"/>
              <w:spacing w:line="240" w:lineRule="auto"/>
              <w:ind w:firstLine="0"/>
              <w:rPr>
                <w:rFonts w:ascii="Times New Roman" w:hAnsi="Times New Roman" w:cs="Times New Roman"/>
                <w:sz w:val="22"/>
                <w:szCs w:val="22"/>
              </w:rPr>
            </w:pPr>
            <w:r w:rsidRPr="00317ABF">
              <w:rPr>
                <w:rFonts w:ascii="Times New Roman" w:hAnsi="Times New Roman" w:cs="Times New Roman"/>
                <w:sz w:val="22"/>
                <w:szCs w:val="22"/>
              </w:rPr>
              <w:t xml:space="preserve">1. Prezes UKE może być odwołany przed upływem kadencji, na którą został powołany, wyłącznie w przypadku zaprzestania spełniania warunków, o których mowa w art. </w:t>
            </w:r>
            <w:r w:rsidR="007E637B" w:rsidRPr="00317ABF">
              <w:rPr>
                <w:rFonts w:ascii="Times New Roman" w:hAnsi="Times New Roman" w:cs="Times New Roman"/>
                <w:sz w:val="22"/>
                <w:szCs w:val="22"/>
              </w:rPr>
              <w:t>410</w:t>
            </w:r>
            <w:r w:rsidRPr="00317ABF">
              <w:rPr>
                <w:rFonts w:ascii="Times New Roman" w:hAnsi="Times New Roman" w:cs="Times New Roman"/>
                <w:sz w:val="22"/>
                <w:szCs w:val="22"/>
              </w:rPr>
              <w:t xml:space="preserve"> ust. 3.</w:t>
            </w:r>
          </w:p>
          <w:p w14:paraId="13A7F4B8" w14:textId="77777777" w:rsidR="001E1112" w:rsidRPr="00317ABF" w:rsidRDefault="001E1112" w:rsidP="009D3773">
            <w:pPr>
              <w:pStyle w:val="USTustnpkodeksu"/>
              <w:keepNext/>
              <w:spacing w:line="240" w:lineRule="auto"/>
              <w:rPr>
                <w:rFonts w:ascii="Times New Roman" w:hAnsi="Times New Roman" w:cs="Times New Roman"/>
                <w:sz w:val="22"/>
                <w:szCs w:val="22"/>
              </w:rPr>
            </w:pPr>
            <w:r w:rsidRPr="00317ABF">
              <w:rPr>
                <w:rFonts w:ascii="Times New Roman" w:hAnsi="Times New Roman" w:cs="Times New Roman"/>
                <w:sz w:val="22"/>
                <w:szCs w:val="22"/>
              </w:rPr>
              <w:t>5. Kadencja Prezesa UKE ulega skróceniu w przypadku:</w:t>
            </w:r>
          </w:p>
          <w:p w14:paraId="4FBC94EB" w14:textId="77777777" w:rsidR="007E637B" w:rsidRPr="00317ABF" w:rsidRDefault="007E637B" w:rsidP="009D3773">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1)</w:t>
            </w:r>
            <w:r w:rsidRPr="00317ABF">
              <w:rPr>
                <w:rFonts w:ascii="Times New Roman" w:hAnsi="Times New Roman" w:cs="Times New Roman"/>
                <w:sz w:val="22"/>
                <w:szCs w:val="22"/>
              </w:rPr>
              <w:tab/>
              <w:t>śmierci Prezesa UKE;</w:t>
            </w:r>
          </w:p>
          <w:p w14:paraId="10A9DBF5" w14:textId="77777777" w:rsidR="007E637B" w:rsidRPr="00317ABF" w:rsidRDefault="007E637B" w:rsidP="009D3773">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2)</w:t>
            </w:r>
            <w:r w:rsidRPr="00317ABF">
              <w:rPr>
                <w:rFonts w:ascii="Times New Roman" w:hAnsi="Times New Roman" w:cs="Times New Roman"/>
                <w:sz w:val="22"/>
                <w:szCs w:val="22"/>
              </w:rPr>
              <w:tab/>
              <w:t>choroby trwale uniemożliwiającej wykonywanie zadań przez Prezesa UKE;</w:t>
            </w:r>
          </w:p>
          <w:p w14:paraId="5F67FEA6" w14:textId="77777777" w:rsidR="007E637B" w:rsidRPr="00317ABF" w:rsidRDefault="007E637B" w:rsidP="009D3773">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3)</w:t>
            </w:r>
            <w:r w:rsidRPr="00317ABF">
              <w:rPr>
                <w:rFonts w:ascii="Times New Roman" w:hAnsi="Times New Roman" w:cs="Times New Roman"/>
                <w:sz w:val="22"/>
                <w:szCs w:val="22"/>
              </w:rPr>
              <w:tab/>
              <w:t>złożenia rezygnacji przez Prezesa UKE.</w:t>
            </w:r>
          </w:p>
          <w:p w14:paraId="33A10C6F" w14:textId="77777777" w:rsidR="007E637B" w:rsidRPr="00317ABF" w:rsidRDefault="007E637B" w:rsidP="009D3773">
            <w:pPr>
              <w:pStyle w:val="USTustnpkodeksu"/>
              <w:spacing w:line="240" w:lineRule="auto"/>
              <w:rPr>
                <w:rFonts w:ascii="Times New Roman" w:hAnsi="Times New Roman" w:cs="Times New Roman"/>
                <w:sz w:val="22"/>
                <w:szCs w:val="22"/>
              </w:rPr>
            </w:pPr>
            <w:r w:rsidRPr="00317ABF">
              <w:rPr>
                <w:rFonts w:ascii="Times New Roman" w:hAnsi="Times New Roman" w:cs="Times New Roman"/>
                <w:sz w:val="22"/>
                <w:szCs w:val="22"/>
              </w:rPr>
              <w:t>6. Do skrócenia kadencji Prezesa UKE z przyczyn, o których mowa w ust. 5, przepisy o odwołaniu Prezesa UKE stosuje się odpowiednio.</w:t>
            </w:r>
          </w:p>
          <w:p w14:paraId="6B3F5975" w14:textId="04F9953F" w:rsidR="001E1112" w:rsidRPr="00317ABF" w:rsidRDefault="001E1112" w:rsidP="009D3773">
            <w:pPr>
              <w:pStyle w:val="USTustnpkodeksu"/>
              <w:spacing w:line="240" w:lineRule="auto"/>
              <w:rPr>
                <w:rFonts w:ascii="Times New Roman" w:hAnsi="Times New Roman" w:cs="Times New Roman"/>
                <w:sz w:val="22"/>
                <w:szCs w:val="22"/>
              </w:rPr>
            </w:pPr>
            <w:r w:rsidRPr="00317ABF">
              <w:rPr>
                <w:rFonts w:ascii="Times New Roman" w:hAnsi="Times New Roman" w:cs="Times New Roman"/>
                <w:sz w:val="22"/>
                <w:szCs w:val="22"/>
              </w:rPr>
              <w:t>7. W przypadku skrócenia kadencji Prezesa UKE z przyczyn, o których mowa w ust. 5, do czasu powołania nowego Prezesa UKE obowiązki Prezesa sprawuje wskazany przez Prezesa Rady Ministrów zastępca Prezesa UKE.</w:t>
            </w:r>
          </w:p>
          <w:p w14:paraId="7857DBAE" w14:textId="04F9953F" w:rsidR="001E1112" w:rsidRPr="00317ABF" w:rsidRDefault="001E1112" w:rsidP="00DB3BEC">
            <w:pPr>
              <w:jc w:val="both"/>
              <w:rPr>
                <w:sz w:val="22"/>
                <w:szCs w:val="22"/>
              </w:rPr>
            </w:pPr>
          </w:p>
          <w:p w14:paraId="1D0656FE" w14:textId="2ABA31F6" w:rsidR="001E1112" w:rsidRPr="00317ABF" w:rsidRDefault="00DB3BEC" w:rsidP="009D3773">
            <w:pPr>
              <w:pStyle w:val="ARTartustawynprozporzdzenia"/>
              <w:spacing w:line="240" w:lineRule="auto"/>
              <w:rPr>
                <w:rFonts w:ascii="Times New Roman" w:hAnsi="Times New Roman" w:cs="Times New Roman"/>
                <w:sz w:val="22"/>
                <w:szCs w:val="22"/>
              </w:rPr>
            </w:pPr>
            <w:r w:rsidRPr="00317ABF">
              <w:rPr>
                <w:rStyle w:val="Ppogrubienie"/>
                <w:rFonts w:ascii="Times New Roman" w:hAnsi="Times New Roman"/>
                <w:sz w:val="22"/>
                <w:szCs w:val="22"/>
              </w:rPr>
              <w:t>Art.</w:t>
            </w:r>
            <w:r w:rsidR="007E637B" w:rsidRPr="00317ABF">
              <w:rPr>
                <w:rStyle w:val="Ppogrubienie"/>
                <w:rFonts w:ascii="Times New Roman" w:hAnsi="Times New Roman"/>
                <w:sz w:val="22"/>
                <w:szCs w:val="22"/>
              </w:rPr>
              <w:t> 412.</w:t>
            </w:r>
            <w:r w:rsidR="001E1112" w:rsidRPr="00317ABF">
              <w:rPr>
                <w:rFonts w:ascii="Times New Roman" w:hAnsi="Times New Roman" w:cs="Times New Roman"/>
                <w:sz w:val="22"/>
                <w:szCs w:val="22"/>
              </w:rPr>
              <w:t xml:space="preserve"> 1. Minister właściwy do spraw informatyzacji, na wniosek Prezesa UKE, powołuje zastępców Prezesa UKE do spraw telekomunikacyjnych oraz po zasięgnięciu opinii ministra właściwego do spraw łączności, do spraw pocztowych, spośród osób wyłonionych w drodze otwartego i konkurencyjnego naboru. Minister właściwy do spraw informatyzacji odwołuje zastępcę Prezesa UKE, na wniosek Prezesa UKE, wyłącznie w przypadkach zaprzestania spełniania wymagań, o których mowa w ust. 2.</w:t>
            </w:r>
          </w:p>
        </w:tc>
      </w:tr>
      <w:tr w:rsidR="001E1112" w:rsidRPr="00317ABF" w14:paraId="7B01919D" w14:textId="77777777" w:rsidTr="7753F98D">
        <w:trPr>
          <w:gridAfter w:val="2"/>
          <w:wAfter w:w="175" w:type="dxa"/>
        </w:trPr>
        <w:tc>
          <w:tcPr>
            <w:tcW w:w="704" w:type="dxa"/>
          </w:tcPr>
          <w:p w14:paraId="1F00A5DD" w14:textId="77777777" w:rsidR="001E1112" w:rsidRPr="00317ABF" w:rsidRDefault="001E1112" w:rsidP="00DB3BEC">
            <w:pPr>
              <w:jc w:val="both"/>
              <w:rPr>
                <w:sz w:val="22"/>
                <w:szCs w:val="22"/>
              </w:rPr>
            </w:pPr>
            <w:r w:rsidRPr="00317ABF">
              <w:rPr>
                <w:sz w:val="22"/>
                <w:szCs w:val="22"/>
              </w:rPr>
              <w:t>Art. 7 ust. 3</w:t>
            </w:r>
          </w:p>
        </w:tc>
        <w:tc>
          <w:tcPr>
            <w:tcW w:w="4308" w:type="dxa"/>
          </w:tcPr>
          <w:p w14:paraId="747C1B45" w14:textId="77777777" w:rsidR="001E1112" w:rsidRPr="00317ABF" w:rsidRDefault="001E1112" w:rsidP="00DB3BEC">
            <w:pPr>
              <w:spacing w:before="120"/>
              <w:jc w:val="both"/>
              <w:rPr>
                <w:sz w:val="22"/>
                <w:szCs w:val="22"/>
              </w:rPr>
            </w:pPr>
            <w:r w:rsidRPr="00317ABF">
              <w:rPr>
                <w:sz w:val="22"/>
                <w:szCs w:val="22"/>
              </w:rPr>
              <w:t xml:space="preserve">3.   Decyzję o odwołaniu szefa danego krajowego organu regulacyjnego lub, w stosownych przypadkach, członków organu kolegialnego pełniącego tę funkcję podaje się do wiadomości publicznej w chwili odwołania. Odwołany szef krajowego organu regulacyjnego lub, w stosownych przypadkach, członkowie organu kolegialnego pełniącego tę funkcję otrzymują uzasadnienie decyzji. W przypadku, gdy nie doszłoby do jego publikacji, może być ono opublikowanie na wniosek tej osoby. Państwa członkowskie zapewniają, aby decyzja ta podlegała kontroli </w:t>
            </w:r>
            <w:r w:rsidRPr="00317ABF">
              <w:rPr>
                <w:sz w:val="22"/>
                <w:szCs w:val="22"/>
              </w:rPr>
              <w:lastRenderedPageBreak/>
              <w:t>sądowej w zakresie stanu faktycznego, jak i kwestii prawnych.</w:t>
            </w:r>
          </w:p>
        </w:tc>
        <w:tc>
          <w:tcPr>
            <w:tcW w:w="986" w:type="dxa"/>
          </w:tcPr>
          <w:p w14:paraId="7B37605A" w14:textId="4E74F451" w:rsidR="001E1112" w:rsidRPr="00317ABF" w:rsidRDefault="001E1112" w:rsidP="00DB3BEC">
            <w:pPr>
              <w:jc w:val="both"/>
              <w:rPr>
                <w:sz w:val="22"/>
                <w:szCs w:val="22"/>
              </w:rPr>
            </w:pPr>
            <w:r w:rsidRPr="00317ABF">
              <w:rPr>
                <w:sz w:val="22"/>
                <w:szCs w:val="22"/>
              </w:rPr>
              <w:lastRenderedPageBreak/>
              <w:t>T</w:t>
            </w:r>
          </w:p>
        </w:tc>
        <w:tc>
          <w:tcPr>
            <w:tcW w:w="910" w:type="dxa"/>
          </w:tcPr>
          <w:p w14:paraId="394798F2" w14:textId="0BC5397F" w:rsidR="001E1112" w:rsidRPr="00317ABF" w:rsidRDefault="001E1112" w:rsidP="00DB3BEC">
            <w:pPr>
              <w:pStyle w:val="Tekstpodstawowy"/>
              <w:rPr>
                <w:b/>
                <w:noProof/>
                <w:sz w:val="22"/>
                <w:szCs w:val="22"/>
              </w:rPr>
            </w:pPr>
            <w:r w:rsidRPr="00317ABF">
              <w:rPr>
                <w:b/>
                <w:noProof/>
                <w:sz w:val="22"/>
                <w:szCs w:val="22"/>
              </w:rPr>
              <w:t xml:space="preserve">Art. </w:t>
            </w:r>
            <w:r w:rsidR="000C65E5" w:rsidRPr="00317ABF">
              <w:rPr>
                <w:b/>
                <w:noProof/>
                <w:sz w:val="22"/>
                <w:szCs w:val="22"/>
              </w:rPr>
              <w:t>411</w:t>
            </w:r>
            <w:r w:rsidRPr="00317ABF">
              <w:rPr>
                <w:b/>
                <w:noProof/>
                <w:sz w:val="22"/>
                <w:szCs w:val="22"/>
              </w:rPr>
              <w:t xml:space="preserve"> ust. 2-4</w:t>
            </w:r>
          </w:p>
        </w:tc>
        <w:tc>
          <w:tcPr>
            <w:tcW w:w="6814" w:type="dxa"/>
            <w:gridSpan w:val="2"/>
          </w:tcPr>
          <w:p w14:paraId="15E84A8C" w14:textId="77777777" w:rsidR="000C65E5" w:rsidRPr="00317ABF" w:rsidRDefault="000C65E5" w:rsidP="009D3773">
            <w:pPr>
              <w:pStyle w:val="USTustnpkodeksu"/>
              <w:spacing w:line="240" w:lineRule="auto"/>
              <w:rPr>
                <w:rFonts w:ascii="Times New Roman" w:hAnsi="Times New Roman" w:cs="Times New Roman"/>
                <w:b/>
                <w:sz w:val="22"/>
                <w:szCs w:val="22"/>
              </w:rPr>
            </w:pPr>
            <w:r w:rsidRPr="00317ABF">
              <w:rPr>
                <w:rFonts w:ascii="Times New Roman" w:hAnsi="Times New Roman" w:cs="Times New Roman"/>
                <w:b/>
                <w:sz w:val="22"/>
                <w:szCs w:val="22"/>
              </w:rPr>
              <w:t>Art. 411</w:t>
            </w:r>
          </w:p>
          <w:p w14:paraId="511FB4F4" w14:textId="04F9953F" w:rsidR="001E1112" w:rsidRPr="00317ABF" w:rsidRDefault="001E1112" w:rsidP="009D3773">
            <w:pPr>
              <w:pStyle w:val="USTustnpkodeksu"/>
              <w:spacing w:line="240" w:lineRule="auto"/>
              <w:rPr>
                <w:rFonts w:ascii="Times New Roman" w:hAnsi="Times New Roman" w:cs="Times New Roman"/>
                <w:sz w:val="22"/>
                <w:szCs w:val="22"/>
              </w:rPr>
            </w:pPr>
            <w:r w:rsidRPr="00317ABF">
              <w:rPr>
                <w:rFonts w:ascii="Times New Roman" w:hAnsi="Times New Roman" w:cs="Times New Roman"/>
                <w:sz w:val="22"/>
                <w:szCs w:val="22"/>
              </w:rPr>
              <w:t>2. Informację o odwołaniu Prezesa UKE wskazującą powody jego odwołania podaje się do publicznej wiadomości przez ogłoszenie jej treści na stronie podmiotowej Biuletynu Informacji Publicznej ministra właściwego do spraw informatyzacji i ministra właściwego do spraw łączności.</w:t>
            </w:r>
          </w:p>
          <w:p w14:paraId="486DDC31" w14:textId="77777777" w:rsidR="001E1112" w:rsidRPr="00317ABF" w:rsidRDefault="001E1112" w:rsidP="009D3773">
            <w:pPr>
              <w:pStyle w:val="USTustnpkodeksu"/>
              <w:spacing w:line="240" w:lineRule="auto"/>
              <w:rPr>
                <w:rFonts w:ascii="Times New Roman" w:hAnsi="Times New Roman" w:cs="Times New Roman"/>
                <w:sz w:val="22"/>
                <w:szCs w:val="22"/>
              </w:rPr>
            </w:pPr>
            <w:r w:rsidRPr="00317ABF">
              <w:rPr>
                <w:rFonts w:ascii="Times New Roman" w:hAnsi="Times New Roman" w:cs="Times New Roman"/>
                <w:sz w:val="22"/>
                <w:szCs w:val="22"/>
              </w:rPr>
              <w:t xml:space="preserve">3. W przypadku odwołania Prezesa UKE przed upływem kadencji z powodów, o których mowa w ust. 1, Prezesowi UKE przysługuje odwołanie do sądu pracy. </w:t>
            </w:r>
            <w:r w:rsidR="000C65E5" w:rsidRPr="00317ABF">
              <w:rPr>
                <w:rFonts w:ascii="Times New Roman" w:hAnsi="Times New Roman" w:cs="Times New Roman"/>
                <w:sz w:val="22"/>
                <w:szCs w:val="22"/>
              </w:rPr>
              <w:t>Przepisy </w:t>
            </w:r>
            <w:hyperlink r:id="rId11" w:history="1">
              <w:r w:rsidR="000C65E5" w:rsidRPr="00317ABF">
                <w:rPr>
                  <w:rFonts w:ascii="Times New Roman" w:hAnsi="Times New Roman" w:cs="Times New Roman"/>
                  <w:sz w:val="22"/>
                  <w:szCs w:val="22"/>
                </w:rPr>
                <w:t>art. 45 § 2 i 3</w:t>
              </w:r>
            </w:hyperlink>
            <w:r w:rsidR="000C65E5" w:rsidRPr="00317ABF">
              <w:rPr>
                <w:rFonts w:ascii="Times New Roman" w:hAnsi="Times New Roman" w:cs="Times New Roman"/>
                <w:sz w:val="22"/>
                <w:szCs w:val="22"/>
              </w:rPr>
              <w:t> </w:t>
            </w:r>
            <w:r w:rsidRPr="00317ABF">
              <w:rPr>
                <w:rFonts w:ascii="Times New Roman" w:hAnsi="Times New Roman" w:cs="Times New Roman"/>
                <w:sz w:val="22"/>
                <w:szCs w:val="22"/>
              </w:rPr>
              <w:t>ustawy z dnia 26 czerwca 1974 r. Kodeks Pracy (Dz. U. z 2019 r. poz. 1040, 1043 i 1495) stosuje się odpowiednio.</w:t>
            </w:r>
          </w:p>
          <w:p w14:paraId="39A51EB1" w14:textId="77777777" w:rsidR="001E1112" w:rsidRPr="00317ABF" w:rsidRDefault="001E1112" w:rsidP="009D3773">
            <w:pPr>
              <w:pStyle w:val="USTustnpkodeksu"/>
              <w:keepNext/>
              <w:spacing w:line="240" w:lineRule="auto"/>
              <w:rPr>
                <w:rFonts w:ascii="Times New Roman" w:hAnsi="Times New Roman" w:cs="Times New Roman"/>
                <w:sz w:val="22"/>
                <w:szCs w:val="22"/>
              </w:rPr>
            </w:pPr>
            <w:r w:rsidRPr="00317ABF">
              <w:rPr>
                <w:rFonts w:ascii="Times New Roman" w:hAnsi="Times New Roman" w:cs="Times New Roman"/>
                <w:sz w:val="22"/>
                <w:szCs w:val="22"/>
              </w:rPr>
              <w:t>4. Sąd pracy rozpatruje odwołanie Prezesa UKE, o którym mowa w ust. 3 nie później niż w terminie 7 dni od dnia otrzymania odwołania.</w:t>
            </w:r>
          </w:p>
          <w:p w14:paraId="3889A505" w14:textId="04F9953F" w:rsidR="001E1112" w:rsidRPr="00317ABF" w:rsidRDefault="001E1112" w:rsidP="00DB3BEC">
            <w:pPr>
              <w:jc w:val="both"/>
              <w:rPr>
                <w:sz w:val="22"/>
                <w:szCs w:val="22"/>
              </w:rPr>
            </w:pPr>
          </w:p>
        </w:tc>
      </w:tr>
      <w:tr w:rsidR="001E1112" w:rsidRPr="00317ABF" w14:paraId="302BF9C9" w14:textId="77777777" w:rsidTr="7753F98D">
        <w:trPr>
          <w:gridAfter w:val="2"/>
          <w:wAfter w:w="175" w:type="dxa"/>
        </w:trPr>
        <w:tc>
          <w:tcPr>
            <w:tcW w:w="704" w:type="dxa"/>
          </w:tcPr>
          <w:p w14:paraId="5A028292" w14:textId="77777777" w:rsidR="001E1112" w:rsidRPr="00317ABF" w:rsidRDefault="001E1112" w:rsidP="00DB3BEC">
            <w:pPr>
              <w:jc w:val="both"/>
              <w:rPr>
                <w:b/>
                <w:sz w:val="22"/>
                <w:szCs w:val="22"/>
              </w:rPr>
            </w:pPr>
            <w:r w:rsidRPr="00317ABF">
              <w:rPr>
                <w:b/>
                <w:sz w:val="22"/>
                <w:szCs w:val="22"/>
              </w:rPr>
              <w:lastRenderedPageBreak/>
              <w:t>Art. 8</w:t>
            </w:r>
          </w:p>
        </w:tc>
        <w:tc>
          <w:tcPr>
            <w:tcW w:w="4308" w:type="dxa"/>
          </w:tcPr>
          <w:p w14:paraId="05DA7131" w14:textId="77777777" w:rsidR="001E1112" w:rsidRPr="00317ABF" w:rsidRDefault="001E1112" w:rsidP="00DB3BEC">
            <w:pPr>
              <w:spacing w:before="60" w:after="120"/>
              <w:jc w:val="both"/>
              <w:rPr>
                <w:b/>
                <w:bCs/>
                <w:sz w:val="22"/>
                <w:szCs w:val="22"/>
              </w:rPr>
            </w:pPr>
            <w:r w:rsidRPr="00317ABF">
              <w:rPr>
                <w:rFonts w:eastAsia="EUAlbertina-Regular-Identity-H"/>
                <w:sz w:val="22"/>
                <w:szCs w:val="22"/>
              </w:rPr>
              <w:tab/>
            </w:r>
            <w:r w:rsidRPr="00317ABF">
              <w:rPr>
                <w:b/>
                <w:bCs/>
                <w:sz w:val="22"/>
                <w:szCs w:val="22"/>
              </w:rPr>
              <w:t>Polityczna niezależność i odpowiedzialność krajowych organów regulacyjnych</w:t>
            </w:r>
          </w:p>
        </w:tc>
        <w:tc>
          <w:tcPr>
            <w:tcW w:w="986" w:type="dxa"/>
          </w:tcPr>
          <w:p w14:paraId="29079D35" w14:textId="77777777" w:rsidR="001E1112" w:rsidRPr="00317ABF" w:rsidRDefault="001E1112" w:rsidP="00DB3BEC">
            <w:pPr>
              <w:jc w:val="both"/>
              <w:rPr>
                <w:sz w:val="22"/>
                <w:szCs w:val="22"/>
              </w:rPr>
            </w:pPr>
          </w:p>
        </w:tc>
        <w:tc>
          <w:tcPr>
            <w:tcW w:w="910" w:type="dxa"/>
          </w:tcPr>
          <w:p w14:paraId="17686DC7" w14:textId="77777777" w:rsidR="001E1112" w:rsidRPr="00317ABF" w:rsidRDefault="001E1112" w:rsidP="00DB3BEC">
            <w:pPr>
              <w:pStyle w:val="Tekstpodstawowy"/>
              <w:rPr>
                <w:b/>
                <w:noProof/>
                <w:sz w:val="22"/>
                <w:szCs w:val="22"/>
              </w:rPr>
            </w:pPr>
          </w:p>
        </w:tc>
        <w:tc>
          <w:tcPr>
            <w:tcW w:w="6814" w:type="dxa"/>
            <w:gridSpan w:val="2"/>
          </w:tcPr>
          <w:p w14:paraId="53BD644D" w14:textId="77777777" w:rsidR="001E1112" w:rsidRPr="00317ABF" w:rsidRDefault="001E1112" w:rsidP="00DB3BEC">
            <w:pPr>
              <w:pStyle w:val="Tekstpodstawowy"/>
              <w:rPr>
                <w:sz w:val="22"/>
                <w:szCs w:val="22"/>
              </w:rPr>
            </w:pPr>
          </w:p>
        </w:tc>
      </w:tr>
      <w:tr w:rsidR="001E1112" w:rsidRPr="00317ABF" w14:paraId="2938D01E" w14:textId="77777777" w:rsidTr="7753F98D">
        <w:trPr>
          <w:gridAfter w:val="2"/>
          <w:wAfter w:w="175" w:type="dxa"/>
        </w:trPr>
        <w:tc>
          <w:tcPr>
            <w:tcW w:w="704" w:type="dxa"/>
          </w:tcPr>
          <w:p w14:paraId="29E4E418" w14:textId="77777777" w:rsidR="001E1112" w:rsidRPr="00317ABF" w:rsidRDefault="001E1112" w:rsidP="00DB3BEC">
            <w:pPr>
              <w:jc w:val="both"/>
              <w:rPr>
                <w:sz w:val="22"/>
                <w:szCs w:val="22"/>
              </w:rPr>
            </w:pPr>
            <w:r w:rsidRPr="00317ABF">
              <w:rPr>
                <w:sz w:val="22"/>
                <w:szCs w:val="22"/>
              </w:rPr>
              <w:t>Art. 8 ust. 1</w:t>
            </w:r>
          </w:p>
        </w:tc>
        <w:tc>
          <w:tcPr>
            <w:tcW w:w="4308" w:type="dxa"/>
          </w:tcPr>
          <w:p w14:paraId="6A29479D" w14:textId="77777777" w:rsidR="001E1112" w:rsidRPr="00317ABF" w:rsidRDefault="001E1112" w:rsidP="00DB3BEC">
            <w:pPr>
              <w:spacing w:before="120"/>
              <w:jc w:val="both"/>
              <w:rPr>
                <w:sz w:val="22"/>
                <w:szCs w:val="22"/>
              </w:rPr>
            </w:pPr>
            <w:r w:rsidRPr="00317ABF">
              <w:rPr>
                <w:sz w:val="22"/>
                <w:szCs w:val="22"/>
              </w:rPr>
              <w:t>1.   Nie naruszając art. 10, krajowe organy regulacyjne działają niezależnie i obiektywnie, w tym w zakresie opracowywania procedur wewnętrznych i organizacji personelu, działają w przejrzysty i odpowiedzialny sposób zgodnie z prawem Unii i nie występują o instrukcje do żadnego innego podmiotu ani nie przyjmują takich instrukcji w związku z wykonywaniem zadań przydzielonych im na podstawie prawa krajowego wdrażającego prawo Unii. Nie wyklucza to nadzoru zgodnie z krajowym prawem konstytucyjnym. Decyzje krajowych organów regulacyjnych mogą zostać zawieszone lub uchylone wyłącznie przez organy odwoławcze ustanowione zgodnie z art. 31.</w:t>
            </w:r>
          </w:p>
        </w:tc>
        <w:tc>
          <w:tcPr>
            <w:tcW w:w="986" w:type="dxa"/>
          </w:tcPr>
          <w:p w14:paraId="1A3FAC43" w14:textId="44FC73EC" w:rsidR="001E1112" w:rsidRPr="00317ABF" w:rsidRDefault="001E1112" w:rsidP="00DB3BEC">
            <w:pPr>
              <w:jc w:val="both"/>
              <w:rPr>
                <w:sz w:val="22"/>
                <w:szCs w:val="22"/>
              </w:rPr>
            </w:pPr>
            <w:r w:rsidRPr="00317ABF">
              <w:rPr>
                <w:sz w:val="22"/>
                <w:szCs w:val="22"/>
              </w:rPr>
              <w:t>T</w:t>
            </w:r>
          </w:p>
        </w:tc>
        <w:tc>
          <w:tcPr>
            <w:tcW w:w="910" w:type="dxa"/>
          </w:tcPr>
          <w:p w14:paraId="79ADB407" w14:textId="186BD9A8" w:rsidR="001E1112" w:rsidRPr="00317ABF" w:rsidRDefault="001E1112" w:rsidP="00DB3BEC">
            <w:pPr>
              <w:pStyle w:val="Tekstpodstawowy"/>
              <w:rPr>
                <w:b/>
                <w:bCs/>
                <w:noProof/>
                <w:sz w:val="22"/>
                <w:szCs w:val="22"/>
              </w:rPr>
            </w:pPr>
            <w:r w:rsidRPr="00317ABF">
              <w:rPr>
                <w:b/>
                <w:bCs/>
                <w:noProof/>
                <w:sz w:val="22"/>
                <w:szCs w:val="22"/>
              </w:rPr>
              <w:t xml:space="preserve">Art. </w:t>
            </w:r>
            <w:r w:rsidR="000C65E5" w:rsidRPr="00317ABF">
              <w:rPr>
                <w:b/>
                <w:bCs/>
                <w:noProof/>
                <w:sz w:val="22"/>
                <w:szCs w:val="22"/>
              </w:rPr>
              <w:t>409</w:t>
            </w:r>
            <w:r w:rsidRPr="00317ABF">
              <w:rPr>
                <w:b/>
                <w:bCs/>
                <w:noProof/>
                <w:sz w:val="22"/>
                <w:szCs w:val="22"/>
              </w:rPr>
              <w:t xml:space="preserve"> ust. 4</w:t>
            </w:r>
          </w:p>
          <w:p w14:paraId="75EDC4A5" w14:textId="77777777" w:rsidR="001E1112" w:rsidRPr="00317ABF" w:rsidRDefault="001E1112" w:rsidP="00DB3BEC">
            <w:pPr>
              <w:pStyle w:val="Tekstpodstawowy"/>
              <w:rPr>
                <w:b/>
                <w:bCs/>
                <w:noProof/>
                <w:sz w:val="22"/>
                <w:szCs w:val="22"/>
              </w:rPr>
            </w:pPr>
          </w:p>
          <w:p w14:paraId="0E617F78" w14:textId="3D9DDA10" w:rsidR="001E1112" w:rsidRPr="00317ABF" w:rsidRDefault="001E1112" w:rsidP="00DB3BEC">
            <w:pPr>
              <w:pStyle w:val="Tekstpodstawowy"/>
              <w:rPr>
                <w:b/>
                <w:bCs/>
                <w:noProof/>
                <w:sz w:val="22"/>
                <w:szCs w:val="22"/>
              </w:rPr>
            </w:pPr>
            <w:r w:rsidRPr="00317ABF">
              <w:rPr>
                <w:b/>
                <w:bCs/>
                <w:noProof/>
                <w:sz w:val="22"/>
                <w:szCs w:val="22"/>
              </w:rPr>
              <w:t>Art. 34a ustawy o Radzie Ministrów</w:t>
            </w:r>
          </w:p>
          <w:p w14:paraId="74FAD559" w14:textId="6E4322C0" w:rsidR="001E1112" w:rsidRPr="00317ABF" w:rsidRDefault="001E1112" w:rsidP="00DB3BEC">
            <w:pPr>
              <w:pStyle w:val="Tekstpodstawowy"/>
              <w:rPr>
                <w:b/>
                <w:bCs/>
                <w:noProof/>
                <w:sz w:val="22"/>
                <w:szCs w:val="22"/>
              </w:rPr>
            </w:pPr>
          </w:p>
          <w:p w14:paraId="42B48C4F" w14:textId="30F83F55" w:rsidR="001E1112" w:rsidRPr="00317ABF" w:rsidRDefault="001E1112" w:rsidP="00DB3BEC">
            <w:pPr>
              <w:pStyle w:val="Tekstpodstawowy"/>
              <w:rPr>
                <w:b/>
                <w:bCs/>
                <w:noProof/>
                <w:sz w:val="22"/>
                <w:szCs w:val="22"/>
              </w:rPr>
            </w:pPr>
          </w:p>
          <w:p w14:paraId="7F45EDA1" w14:textId="520FBF65" w:rsidR="001E1112" w:rsidRPr="00317ABF" w:rsidRDefault="001E1112" w:rsidP="00DB3BEC">
            <w:pPr>
              <w:pStyle w:val="Tekstpodstawowy"/>
              <w:rPr>
                <w:b/>
                <w:bCs/>
                <w:noProof/>
                <w:sz w:val="22"/>
                <w:szCs w:val="22"/>
              </w:rPr>
            </w:pPr>
          </w:p>
          <w:p w14:paraId="05011158" w14:textId="0F416E83" w:rsidR="001E1112" w:rsidRPr="00317ABF" w:rsidRDefault="001E1112" w:rsidP="00DB3BEC">
            <w:pPr>
              <w:pStyle w:val="Tekstpodstawowy"/>
              <w:rPr>
                <w:b/>
                <w:bCs/>
                <w:noProof/>
                <w:sz w:val="22"/>
                <w:szCs w:val="22"/>
              </w:rPr>
            </w:pPr>
          </w:p>
          <w:p w14:paraId="6C74C094" w14:textId="7872825E" w:rsidR="001E1112" w:rsidRPr="00317ABF" w:rsidRDefault="001E1112" w:rsidP="00DB3BEC">
            <w:pPr>
              <w:pStyle w:val="Tekstpodstawowy"/>
              <w:rPr>
                <w:b/>
                <w:bCs/>
                <w:noProof/>
                <w:sz w:val="22"/>
                <w:szCs w:val="22"/>
              </w:rPr>
            </w:pPr>
          </w:p>
          <w:p w14:paraId="0D301147" w14:textId="4A5D6FD8" w:rsidR="001E1112" w:rsidRPr="00317ABF" w:rsidRDefault="001E1112" w:rsidP="00DB3BEC">
            <w:pPr>
              <w:pStyle w:val="Tekstpodstawowy"/>
              <w:rPr>
                <w:b/>
                <w:bCs/>
                <w:noProof/>
                <w:sz w:val="22"/>
                <w:szCs w:val="22"/>
              </w:rPr>
            </w:pPr>
          </w:p>
          <w:p w14:paraId="62D26149" w14:textId="24FB96F7" w:rsidR="001E1112" w:rsidRPr="00317ABF" w:rsidRDefault="001E1112" w:rsidP="00DB3BEC">
            <w:pPr>
              <w:pStyle w:val="Tekstpodstawowy"/>
              <w:rPr>
                <w:b/>
                <w:bCs/>
                <w:noProof/>
                <w:sz w:val="22"/>
                <w:szCs w:val="22"/>
              </w:rPr>
            </w:pPr>
          </w:p>
          <w:p w14:paraId="3199445C" w14:textId="1DCB968B" w:rsidR="001E1112" w:rsidRPr="00317ABF" w:rsidRDefault="001E1112" w:rsidP="00DB3BEC">
            <w:pPr>
              <w:pStyle w:val="Tekstpodstawowy"/>
              <w:rPr>
                <w:b/>
                <w:bCs/>
                <w:noProof/>
                <w:sz w:val="22"/>
                <w:szCs w:val="22"/>
              </w:rPr>
            </w:pPr>
          </w:p>
          <w:p w14:paraId="007CD800" w14:textId="03D1DACD" w:rsidR="001E1112" w:rsidRPr="00317ABF" w:rsidRDefault="001E1112" w:rsidP="00DB3BEC">
            <w:pPr>
              <w:pStyle w:val="Tekstpodstawowy"/>
              <w:rPr>
                <w:b/>
                <w:bCs/>
                <w:noProof/>
                <w:sz w:val="22"/>
                <w:szCs w:val="22"/>
              </w:rPr>
            </w:pPr>
          </w:p>
          <w:p w14:paraId="7C89BF9E" w14:textId="77777777" w:rsidR="000C65E5" w:rsidRPr="00317ABF" w:rsidRDefault="000C65E5" w:rsidP="00DB3BEC">
            <w:pPr>
              <w:pStyle w:val="Tekstpodstawowy"/>
              <w:rPr>
                <w:b/>
                <w:bCs/>
                <w:noProof/>
                <w:sz w:val="22"/>
                <w:szCs w:val="22"/>
              </w:rPr>
            </w:pPr>
          </w:p>
          <w:p w14:paraId="5BBA0EED" w14:textId="77777777" w:rsidR="000C65E5" w:rsidRPr="00317ABF" w:rsidRDefault="000C65E5" w:rsidP="00DB3BEC">
            <w:pPr>
              <w:pStyle w:val="Tekstpodstawowy"/>
              <w:rPr>
                <w:b/>
                <w:bCs/>
                <w:noProof/>
                <w:sz w:val="22"/>
                <w:szCs w:val="22"/>
              </w:rPr>
            </w:pPr>
          </w:p>
          <w:p w14:paraId="24A370AB" w14:textId="1CD37D48" w:rsidR="001E1112" w:rsidRPr="00317ABF" w:rsidRDefault="001E1112" w:rsidP="00DB3BEC">
            <w:pPr>
              <w:pStyle w:val="Tekstpodstawowy"/>
              <w:rPr>
                <w:b/>
                <w:bCs/>
                <w:noProof/>
                <w:sz w:val="22"/>
                <w:szCs w:val="22"/>
              </w:rPr>
            </w:pPr>
            <w:r w:rsidRPr="00317ABF">
              <w:rPr>
                <w:b/>
                <w:bCs/>
                <w:noProof/>
                <w:sz w:val="22"/>
                <w:szCs w:val="22"/>
              </w:rPr>
              <w:t>Art. 4</w:t>
            </w:r>
            <w:r w:rsidR="000C65E5" w:rsidRPr="00317ABF">
              <w:rPr>
                <w:b/>
                <w:bCs/>
                <w:noProof/>
                <w:sz w:val="22"/>
                <w:szCs w:val="22"/>
              </w:rPr>
              <w:t>35</w:t>
            </w:r>
          </w:p>
          <w:p w14:paraId="308BACED" w14:textId="2952C379" w:rsidR="001E1112" w:rsidRPr="00317ABF" w:rsidRDefault="001E1112" w:rsidP="00DB3BEC">
            <w:pPr>
              <w:pStyle w:val="Tekstpodstawowy"/>
              <w:rPr>
                <w:b/>
                <w:bCs/>
                <w:noProof/>
                <w:sz w:val="22"/>
                <w:szCs w:val="22"/>
              </w:rPr>
            </w:pPr>
          </w:p>
          <w:p w14:paraId="66351421" w14:textId="77777777" w:rsidR="001E1112" w:rsidRPr="00317ABF" w:rsidRDefault="001E1112" w:rsidP="00DB3BEC">
            <w:pPr>
              <w:pStyle w:val="Tekstpodstawowy"/>
              <w:rPr>
                <w:b/>
                <w:noProof/>
                <w:sz w:val="22"/>
                <w:szCs w:val="22"/>
              </w:rPr>
            </w:pPr>
          </w:p>
          <w:p w14:paraId="1D522D80" w14:textId="77777777" w:rsidR="005665A0" w:rsidRPr="00317ABF" w:rsidRDefault="005665A0" w:rsidP="00DB3BEC">
            <w:pPr>
              <w:pStyle w:val="Tekstpodstawowy"/>
              <w:rPr>
                <w:b/>
                <w:noProof/>
                <w:sz w:val="22"/>
                <w:szCs w:val="22"/>
              </w:rPr>
            </w:pPr>
          </w:p>
          <w:p w14:paraId="488514FB" w14:textId="77777777" w:rsidR="005665A0" w:rsidRPr="00317ABF" w:rsidRDefault="005665A0" w:rsidP="00DB3BEC">
            <w:pPr>
              <w:pStyle w:val="Tekstpodstawowy"/>
              <w:rPr>
                <w:b/>
                <w:noProof/>
                <w:sz w:val="22"/>
                <w:szCs w:val="22"/>
              </w:rPr>
            </w:pPr>
          </w:p>
          <w:p w14:paraId="18BA8AEB" w14:textId="77777777" w:rsidR="005665A0" w:rsidRPr="00317ABF" w:rsidRDefault="005665A0" w:rsidP="00DB3BEC">
            <w:pPr>
              <w:pStyle w:val="Tekstpodstawowy"/>
              <w:rPr>
                <w:b/>
                <w:noProof/>
                <w:sz w:val="22"/>
                <w:szCs w:val="22"/>
              </w:rPr>
            </w:pPr>
          </w:p>
          <w:p w14:paraId="47702AF8" w14:textId="77777777" w:rsidR="005665A0" w:rsidRPr="00317ABF" w:rsidRDefault="005665A0" w:rsidP="00DB3BEC">
            <w:pPr>
              <w:pStyle w:val="Tekstpodstawowy"/>
              <w:rPr>
                <w:b/>
                <w:noProof/>
                <w:sz w:val="22"/>
                <w:szCs w:val="22"/>
              </w:rPr>
            </w:pPr>
          </w:p>
          <w:p w14:paraId="352D3E84" w14:textId="77777777" w:rsidR="005665A0" w:rsidRPr="00317ABF" w:rsidRDefault="005665A0" w:rsidP="00DB3BEC">
            <w:pPr>
              <w:pStyle w:val="Tekstpodstawowy"/>
              <w:rPr>
                <w:b/>
                <w:noProof/>
                <w:sz w:val="22"/>
                <w:szCs w:val="22"/>
              </w:rPr>
            </w:pPr>
          </w:p>
          <w:p w14:paraId="23C4204D" w14:textId="77777777" w:rsidR="005665A0" w:rsidRPr="00317ABF" w:rsidRDefault="005665A0" w:rsidP="00DB3BEC">
            <w:pPr>
              <w:pStyle w:val="Tekstpodstawowy"/>
              <w:rPr>
                <w:b/>
                <w:noProof/>
                <w:sz w:val="22"/>
                <w:szCs w:val="22"/>
              </w:rPr>
            </w:pPr>
          </w:p>
          <w:p w14:paraId="3617F55A" w14:textId="77777777" w:rsidR="005665A0" w:rsidRPr="00317ABF" w:rsidRDefault="005665A0" w:rsidP="00DB3BEC">
            <w:pPr>
              <w:pStyle w:val="Tekstpodstawowy"/>
              <w:rPr>
                <w:b/>
                <w:noProof/>
                <w:sz w:val="22"/>
                <w:szCs w:val="22"/>
              </w:rPr>
            </w:pPr>
          </w:p>
          <w:p w14:paraId="502C4D32" w14:textId="77777777" w:rsidR="005665A0" w:rsidRPr="00317ABF" w:rsidRDefault="005665A0" w:rsidP="00DB3BEC">
            <w:pPr>
              <w:pStyle w:val="Tekstpodstawowy"/>
              <w:rPr>
                <w:b/>
                <w:noProof/>
                <w:sz w:val="22"/>
                <w:szCs w:val="22"/>
              </w:rPr>
            </w:pPr>
          </w:p>
          <w:p w14:paraId="4E9A464A" w14:textId="77777777" w:rsidR="005665A0" w:rsidRPr="00317ABF" w:rsidRDefault="005665A0" w:rsidP="00DB3BEC">
            <w:pPr>
              <w:pStyle w:val="Tekstpodstawowy"/>
              <w:rPr>
                <w:b/>
                <w:noProof/>
                <w:sz w:val="22"/>
                <w:szCs w:val="22"/>
              </w:rPr>
            </w:pPr>
          </w:p>
          <w:p w14:paraId="0F875788" w14:textId="77777777" w:rsidR="005665A0" w:rsidRPr="00317ABF" w:rsidRDefault="005665A0" w:rsidP="00DB3BEC">
            <w:pPr>
              <w:pStyle w:val="Tekstpodstawowy"/>
              <w:rPr>
                <w:b/>
                <w:noProof/>
                <w:sz w:val="22"/>
                <w:szCs w:val="22"/>
              </w:rPr>
            </w:pPr>
          </w:p>
          <w:p w14:paraId="5635BD4B" w14:textId="77777777" w:rsidR="005665A0" w:rsidRPr="00317ABF" w:rsidRDefault="005665A0" w:rsidP="00DB3BEC">
            <w:pPr>
              <w:pStyle w:val="Tekstpodstawowy"/>
              <w:rPr>
                <w:b/>
                <w:noProof/>
                <w:sz w:val="22"/>
                <w:szCs w:val="22"/>
              </w:rPr>
            </w:pPr>
          </w:p>
          <w:p w14:paraId="66ABCB9F" w14:textId="77777777" w:rsidR="005665A0" w:rsidRPr="00317ABF" w:rsidRDefault="005665A0" w:rsidP="00DB3BEC">
            <w:pPr>
              <w:pStyle w:val="Tekstpodstawowy"/>
              <w:rPr>
                <w:b/>
                <w:noProof/>
                <w:sz w:val="22"/>
                <w:szCs w:val="22"/>
              </w:rPr>
            </w:pPr>
          </w:p>
          <w:p w14:paraId="67AF89BF" w14:textId="77777777" w:rsidR="005665A0" w:rsidRPr="00317ABF" w:rsidRDefault="005665A0" w:rsidP="00DB3BEC">
            <w:pPr>
              <w:pStyle w:val="Tekstpodstawowy"/>
              <w:rPr>
                <w:b/>
                <w:noProof/>
                <w:sz w:val="22"/>
                <w:szCs w:val="22"/>
              </w:rPr>
            </w:pPr>
          </w:p>
          <w:p w14:paraId="54444F4F" w14:textId="77777777" w:rsidR="005665A0" w:rsidRPr="00317ABF" w:rsidRDefault="005665A0" w:rsidP="00DB3BEC">
            <w:pPr>
              <w:pStyle w:val="Tekstpodstawowy"/>
              <w:rPr>
                <w:b/>
                <w:noProof/>
                <w:sz w:val="22"/>
                <w:szCs w:val="22"/>
              </w:rPr>
            </w:pPr>
          </w:p>
          <w:p w14:paraId="5BA36B41" w14:textId="77777777" w:rsidR="005665A0" w:rsidRPr="00317ABF" w:rsidRDefault="005665A0" w:rsidP="00DB3BEC">
            <w:pPr>
              <w:pStyle w:val="Tekstpodstawowy"/>
              <w:rPr>
                <w:b/>
                <w:noProof/>
                <w:sz w:val="22"/>
                <w:szCs w:val="22"/>
              </w:rPr>
            </w:pPr>
          </w:p>
          <w:p w14:paraId="2756897C" w14:textId="77777777" w:rsidR="005665A0" w:rsidRPr="00317ABF" w:rsidRDefault="005665A0" w:rsidP="00DB3BEC">
            <w:pPr>
              <w:pStyle w:val="Tekstpodstawowy"/>
              <w:rPr>
                <w:b/>
                <w:noProof/>
                <w:sz w:val="22"/>
                <w:szCs w:val="22"/>
              </w:rPr>
            </w:pPr>
          </w:p>
          <w:p w14:paraId="3DE530F7" w14:textId="77777777" w:rsidR="005665A0" w:rsidRPr="00317ABF" w:rsidRDefault="005665A0" w:rsidP="00DB3BEC">
            <w:pPr>
              <w:pStyle w:val="Tekstpodstawowy"/>
              <w:rPr>
                <w:b/>
                <w:noProof/>
                <w:sz w:val="22"/>
                <w:szCs w:val="22"/>
              </w:rPr>
            </w:pPr>
          </w:p>
          <w:p w14:paraId="1C94422F" w14:textId="77777777" w:rsidR="005665A0" w:rsidRPr="00317ABF" w:rsidRDefault="005665A0" w:rsidP="00DB3BEC">
            <w:pPr>
              <w:pStyle w:val="Tekstpodstawowy"/>
              <w:rPr>
                <w:b/>
                <w:noProof/>
                <w:sz w:val="22"/>
                <w:szCs w:val="22"/>
              </w:rPr>
            </w:pPr>
          </w:p>
          <w:p w14:paraId="7EBBBF5D" w14:textId="77777777" w:rsidR="005665A0" w:rsidRPr="00317ABF" w:rsidRDefault="005665A0" w:rsidP="00DB3BEC">
            <w:pPr>
              <w:pStyle w:val="Tekstpodstawowy"/>
              <w:rPr>
                <w:b/>
                <w:noProof/>
                <w:sz w:val="22"/>
                <w:szCs w:val="22"/>
              </w:rPr>
            </w:pPr>
          </w:p>
          <w:p w14:paraId="03A95F21" w14:textId="77777777" w:rsidR="005665A0" w:rsidRPr="00317ABF" w:rsidRDefault="005665A0" w:rsidP="00DB3BEC">
            <w:pPr>
              <w:pStyle w:val="Tekstpodstawowy"/>
              <w:rPr>
                <w:b/>
                <w:noProof/>
                <w:sz w:val="22"/>
                <w:szCs w:val="22"/>
              </w:rPr>
            </w:pPr>
          </w:p>
          <w:p w14:paraId="13B330B6" w14:textId="77777777" w:rsidR="005665A0" w:rsidRPr="00317ABF" w:rsidRDefault="005665A0" w:rsidP="00DB3BEC">
            <w:pPr>
              <w:pStyle w:val="Tekstpodstawowy"/>
              <w:rPr>
                <w:b/>
                <w:noProof/>
                <w:sz w:val="22"/>
                <w:szCs w:val="22"/>
              </w:rPr>
            </w:pPr>
          </w:p>
          <w:p w14:paraId="5C6060AD" w14:textId="77777777" w:rsidR="005665A0" w:rsidRPr="00317ABF" w:rsidRDefault="005665A0" w:rsidP="00DB3BEC">
            <w:pPr>
              <w:pStyle w:val="Tekstpodstawowy"/>
              <w:rPr>
                <w:b/>
                <w:noProof/>
                <w:sz w:val="22"/>
                <w:szCs w:val="22"/>
              </w:rPr>
            </w:pPr>
          </w:p>
          <w:p w14:paraId="7869AD47" w14:textId="77777777" w:rsidR="005665A0" w:rsidRPr="00317ABF" w:rsidRDefault="005665A0" w:rsidP="00DB3BEC">
            <w:pPr>
              <w:pStyle w:val="Tekstpodstawowy"/>
              <w:rPr>
                <w:b/>
                <w:noProof/>
                <w:sz w:val="22"/>
                <w:szCs w:val="22"/>
              </w:rPr>
            </w:pPr>
          </w:p>
          <w:p w14:paraId="0929743B" w14:textId="77777777" w:rsidR="005665A0" w:rsidRPr="00317ABF" w:rsidRDefault="005665A0" w:rsidP="00DB3BEC">
            <w:pPr>
              <w:pStyle w:val="Tekstpodstawowy"/>
              <w:rPr>
                <w:b/>
                <w:noProof/>
                <w:sz w:val="22"/>
                <w:szCs w:val="22"/>
              </w:rPr>
            </w:pPr>
          </w:p>
          <w:p w14:paraId="165CC398" w14:textId="77777777" w:rsidR="005665A0" w:rsidRPr="00317ABF" w:rsidRDefault="005665A0" w:rsidP="00DB3BEC">
            <w:pPr>
              <w:pStyle w:val="Tekstpodstawowy"/>
              <w:rPr>
                <w:b/>
                <w:noProof/>
                <w:sz w:val="22"/>
                <w:szCs w:val="22"/>
              </w:rPr>
            </w:pPr>
          </w:p>
          <w:p w14:paraId="7FC84E9E" w14:textId="77777777" w:rsidR="005665A0" w:rsidRPr="00317ABF" w:rsidRDefault="005665A0" w:rsidP="00DB3BEC">
            <w:pPr>
              <w:pStyle w:val="Tekstpodstawowy"/>
              <w:rPr>
                <w:b/>
                <w:noProof/>
                <w:sz w:val="22"/>
                <w:szCs w:val="22"/>
              </w:rPr>
            </w:pPr>
          </w:p>
          <w:p w14:paraId="427D10A3" w14:textId="77777777" w:rsidR="005665A0" w:rsidRPr="00317ABF" w:rsidRDefault="005665A0" w:rsidP="00DB3BEC">
            <w:pPr>
              <w:pStyle w:val="Tekstpodstawowy"/>
              <w:rPr>
                <w:b/>
                <w:noProof/>
                <w:sz w:val="22"/>
                <w:szCs w:val="22"/>
              </w:rPr>
            </w:pPr>
          </w:p>
          <w:p w14:paraId="52F42630" w14:textId="77777777" w:rsidR="005665A0" w:rsidRPr="00317ABF" w:rsidRDefault="005665A0" w:rsidP="00DB3BEC">
            <w:pPr>
              <w:pStyle w:val="Tekstpodstawowy"/>
              <w:rPr>
                <w:b/>
                <w:noProof/>
                <w:sz w:val="22"/>
                <w:szCs w:val="22"/>
              </w:rPr>
            </w:pPr>
          </w:p>
          <w:p w14:paraId="7B69EBA1" w14:textId="77777777" w:rsidR="005665A0" w:rsidRPr="00317ABF" w:rsidRDefault="005665A0" w:rsidP="00DB3BEC">
            <w:pPr>
              <w:pStyle w:val="Tekstpodstawowy"/>
              <w:rPr>
                <w:b/>
                <w:noProof/>
                <w:sz w:val="22"/>
                <w:szCs w:val="22"/>
              </w:rPr>
            </w:pPr>
          </w:p>
          <w:p w14:paraId="29818AC8" w14:textId="77777777" w:rsidR="005665A0" w:rsidRPr="00317ABF" w:rsidRDefault="005665A0" w:rsidP="00DB3BEC">
            <w:pPr>
              <w:pStyle w:val="Tekstpodstawowy"/>
              <w:rPr>
                <w:b/>
                <w:noProof/>
                <w:sz w:val="22"/>
                <w:szCs w:val="22"/>
              </w:rPr>
            </w:pPr>
          </w:p>
          <w:p w14:paraId="69B5E7E8" w14:textId="77777777" w:rsidR="005665A0" w:rsidRPr="00317ABF" w:rsidRDefault="005665A0" w:rsidP="00DB3BEC">
            <w:pPr>
              <w:pStyle w:val="Tekstpodstawowy"/>
              <w:rPr>
                <w:b/>
                <w:noProof/>
                <w:sz w:val="22"/>
                <w:szCs w:val="22"/>
              </w:rPr>
            </w:pPr>
          </w:p>
          <w:p w14:paraId="028E938A" w14:textId="7E66D04E" w:rsidR="005665A0" w:rsidRPr="00317ABF" w:rsidRDefault="005665A0" w:rsidP="00FB5885">
            <w:pPr>
              <w:pStyle w:val="Tekstpodstawowy"/>
              <w:rPr>
                <w:b/>
                <w:bCs/>
                <w:noProof/>
                <w:sz w:val="22"/>
                <w:szCs w:val="22"/>
              </w:rPr>
            </w:pPr>
            <w:r w:rsidRPr="00317ABF">
              <w:rPr>
                <w:b/>
                <w:bCs/>
                <w:noProof/>
                <w:sz w:val="22"/>
                <w:szCs w:val="22"/>
              </w:rPr>
              <w:t>Art. 30 pkt 13 lit. c; art. 30 pkt 16 lit. c; art. 30 pkt 38 lit. b ustawy wprowadzającej PKE</w:t>
            </w:r>
          </w:p>
          <w:p w14:paraId="2BBD94B2" w14:textId="2952C379" w:rsidR="005665A0" w:rsidRPr="00317ABF" w:rsidRDefault="005665A0" w:rsidP="00DB3BEC">
            <w:pPr>
              <w:pStyle w:val="Tekstpodstawowy"/>
              <w:rPr>
                <w:b/>
                <w:noProof/>
                <w:sz w:val="22"/>
                <w:szCs w:val="22"/>
              </w:rPr>
            </w:pPr>
          </w:p>
        </w:tc>
        <w:tc>
          <w:tcPr>
            <w:tcW w:w="6814" w:type="dxa"/>
            <w:gridSpan w:val="2"/>
          </w:tcPr>
          <w:p w14:paraId="47871101" w14:textId="77777777" w:rsidR="000C65E5" w:rsidRPr="00317ABF" w:rsidRDefault="000C65E5" w:rsidP="009D3773">
            <w:pPr>
              <w:pStyle w:val="USTustnpkodeksu"/>
              <w:spacing w:line="240" w:lineRule="auto"/>
              <w:ind w:firstLine="0"/>
              <w:rPr>
                <w:rFonts w:ascii="Times New Roman" w:hAnsi="Times New Roman" w:cs="Times New Roman"/>
                <w:b/>
                <w:sz w:val="22"/>
                <w:szCs w:val="22"/>
              </w:rPr>
            </w:pPr>
            <w:r w:rsidRPr="00317ABF">
              <w:rPr>
                <w:rFonts w:ascii="Times New Roman" w:hAnsi="Times New Roman" w:cs="Times New Roman"/>
                <w:b/>
                <w:sz w:val="22"/>
                <w:szCs w:val="22"/>
              </w:rPr>
              <w:lastRenderedPageBreak/>
              <w:t>Art. 409</w:t>
            </w:r>
          </w:p>
          <w:p w14:paraId="6CC976FD" w14:textId="77777777" w:rsidR="001E1112" w:rsidRPr="00317ABF" w:rsidRDefault="001E1112" w:rsidP="00DB3BEC">
            <w:pPr>
              <w:pStyle w:val="USTustnpkodeksu"/>
              <w:spacing w:line="240" w:lineRule="auto"/>
              <w:ind w:firstLine="0"/>
              <w:rPr>
                <w:rFonts w:ascii="Times New Roman" w:hAnsi="Times New Roman" w:cs="Times New Roman"/>
                <w:sz w:val="22"/>
                <w:szCs w:val="22"/>
              </w:rPr>
            </w:pPr>
            <w:r w:rsidRPr="00317ABF">
              <w:rPr>
                <w:rFonts w:ascii="Times New Roman" w:hAnsi="Times New Roman" w:cs="Times New Roman"/>
                <w:sz w:val="22"/>
                <w:szCs w:val="22"/>
              </w:rPr>
              <w:t>4. Prezes UKE przekazuje na żądanie ministra właściwego do spraw informatyzacji i ministra właściwego do spraw łączności informacje o swojej działalności.</w:t>
            </w:r>
            <w:bookmarkStart w:id="39" w:name="mip52137289"/>
            <w:bookmarkStart w:id="40" w:name="mip52137290"/>
            <w:bookmarkStart w:id="41" w:name="mip52137291"/>
            <w:bookmarkStart w:id="42" w:name="mip52137293"/>
            <w:bookmarkStart w:id="43" w:name="mip52137294"/>
            <w:bookmarkStart w:id="44" w:name="mip52137295"/>
            <w:bookmarkStart w:id="45" w:name="mip52137296"/>
            <w:bookmarkStart w:id="46" w:name="mip52137297"/>
            <w:bookmarkEnd w:id="39"/>
            <w:bookmarkEnd w:id="40"/>
            <w:bookmarkEnd w:id="41"/>
            <w:bookmarkEnd w:id="42"/>
            <w:bookmarkEnd w:id="43"/>
            <w:bookmarkEnd w:id="44"/>
            <w:bookmarkEnd w:id="45"/>
            <w:bookmarkEnd w:id="46"/>
          </w:p>
          <w:p w14:paraId="0927BE04" w14:textId="77777777" w:rsidR="001E1112" w:rsidRPr="00317ABF" w:rsidRDefault="001E1112" w:rsidP="00DB3BEC">
            <w:pPr>
              <w:jc w:val="both"/>
              <w:rPr>
                <w:sz w:val="22"/>
                <w:szCs w:val="22"/>
              </w:rPr>
            </w:pPr>
          </w:p>
          <w:p w14:paraId="6C4254D7" w14:textId="750E6F12" w:rsidR="001E1112" w:rsidRPr="00317ABF" w:rsidRDefault="001E1112" w:rsidP="00DB3BEC">
            <w:pPr>
              <w:jc w:val="both"/>
              <w:rPr>
                <w:sz w:val="22"/>
                <w:szCs w:val="22"/>
              </w:rPr>
            </w:pPr>
            <w:r w:rsidRPr="00317ABF">
              <w:rPr>
                <w:sz w:val="22"/>
                <w:szCs w:val="22"/>
              </w:rPr>
              <w:t>1. Minister, w celu dostosowania do polityki ustalonej przez Radę Ministrów zasad i kierunków działania podległych lub nadzorowanych centralnych organów administracji rządowej, innych urzędów lub jednostek organizacyjnych niemających osobowości prawnej, może wydawać kierownikom urzędów centralnych oraz kierownikom innych urzędów i jednostek organizacyjnych wiążące ich wytyczne i polecenia.</w:t>
            </w:r>
          </w:p>
          <w:p w14:paraId="35B8DE2E" w14:textId="00449C63" w:rsidR="001E1112" w:rsidRPr="00317ABF" w:rsidRDefault="001E1112" w:rsidP="00DB3BEC">
            <w:pPr>
              <w:jc w:val="both"/>
              <w:rPr>
                <w:sz w:val="22"/>
                <w:szCs w:val="22"/>
              </w:rPr>
            </w:pPr>
            <w:r w:rsidRPr="00317ABF">
              <w:rPr>
                <w:sz w:val="22"/>
                <w:szCs w:val="22"/>
              </w:rPr>
              <w:t>2. Wytyczne i polecenia, o których mowa w ust. 1, nie mogą dotyczyć rozstrzygnięć co do istoty sprawy załatwianej w drodze decyzji administracyjnej.</w:t>
            </w:r>
          </w:p>
          <w:p w14:paraId="21BDD67A" w14:textId="573E1046" w:rsidR="001E1112" w:rsidRPr="00317ABF" w:rsidRDefault="001E1112" w:rsidP="00DB3BEC">
            <w:pPr>
              <w:jc w:val="both"/>
              <w:rPr>
                <w:sz w:val="22"/>
                <w:szCs w:val="22"/>
              </w:rPr>
            </w:pPr>
            <w:r w:rsidRPr="00317ABF">
              <w:rPr>
                <w:sz w:val="22"/>
                <w:szCs w:val="22"/>
              </w:rPr>
              <w:t>3. Wytyczne i polecenia, o których mowa w ust. 1, wydane ustnie, wymagają potwierdzenia na piśmie.</w:t>
            </w:r>
          </w:p>
          <w:p w14:paraId="02BEAF41" w14:textId="2DB418ED" w:rsidR="001E1112" w:rsidRPr="00317ABF" w:rsidRDefault="001E1112" w:rsidP="00DB3BEC">
            <w:pPr>
              <w:jc w:val="both"/>
              <w:rPr>
                <w:sz w:val="22"/>
                <w:szCs w:val="22"/>
              </w:rPr>
            </w:pPr>
            <w:r w:rsidRPr="00317ABF">
              <w:rPr>
                <w:sz w:val="22"/>
                <w:szCs w:val="22"/>
              </w:rPr>
              <w:t>4. Przepisów ust. 1-3 nie stosuje się do organów, urzędów i jednostek organizacyjnych wchodzących w skład zespolonej administracji rządowej, chyba że przepisy szczególne stanowią inaczej.</w:t>
            </w:r>
          </w:p>
          <w:p w14:paraId="1C141E28" w14:textId="0D2CD93B" w:rsidR="001E1112" w:rsidRPr="00317ABF" w:rsidRDefault="001E1112" w:rsidP="00DB3BEC">
            <w:pPr>
              <w:jc w:val="both"/>
              <w:rPr>
                <w:sz w:val="22"/>
                <w:szCs w:val="22"/>
              </w:rPr>
            </w:pPr>
          </w:p>
          <w:p w14:paraId="2DD28D4F" w14:textId="77777777" w:rsidR="000C65E5" w:rsidRPr="00317ABF" w:rsidRDefault="000C65E5" w:rsidP="009D3773">
            <w:pPr>
              <w:pStyle w:val="ARTartustawynprozporzdzenia"/>
              <w:spacing w:line="240" w:lineRule="auto"/>
              <w:rPr>
                <w:rFonts w:ascii="Times New Roman" w:hAnsi="Times New Roman" w:cs="Times New Roman"/>
                <w:sz w:val="22"/>
                <w:szCs w:val="22"/>
              </w:rPr>
            </w:pPr>
            <w:r w:rsidRPr="00317ABF">
              <w:rPr>
                <w:rStyle w:val="Ppogrubienie"/>
                <w:rFonts w:ascii="Times New Roman" w:hAnsi="Times New Roman"/>
                <w:sz w:val="22"/>
                <w:szCs w:val="22"/>
              </w:rPr>
              <w:t>Art. 435.</w:t>
            </w:r>
            <w:r w:rsidRPr="00317ABF">
              <w:rPr>
                <w:rFonts w:ascii="Times New Roman" w:hAnsi="Times New Roman" w:cs="Times New Roman"/>
                <w:sz w:val="22"/>
                <w:szCs w:val="22"/>
              </w:rPr>
              <w:t xml:space="preserve"> 1. Postępowanie przed Prezesem UKE toczy się na podstawie przepisów ustawy z dnia 14 czerwca 1960 r. - Kodeks postępowania administracyjnego ze zmianami wynikającymi z ustawy oraz ustawy z dnia 7 maja 2010 r. o wspieraniu rozwoju usług i sieci telekomunikacyjnych.</w:t>
            </w:r>
          </w:p>
          <w:p w14:paraId="0183C919" w14:textId="77777777" w:rsidR="000C65E5" w:rsidRPr="00317ABF" w:rsidRDefault="000C65E5" w:rsidP="009D3773">
            <w:pPr>
              <w:pStyle w:val="USTustnpkodeksu"/>
              <w:keepNext/>
              <w:spacing w:line="240" w:lineRule="auto"/>
              <w:rPr>
                <w:rFonts w:ascii="Times New Roman" w:hAnsi="Times New Roman" w:cs="Times New Roman"/>
                <w:sz w:val="22"/>
                <w:szCs w:val="22"/>
              </w:rPr>
            </w:pPr>
            <w:r w:rsidRPr="00317ABF">
              <w:rPr>
                <w:rFonts w:ascii="Times New Roman" w:hAnsi="Times New Roman" w:cs="Times New Roman"/>
                <w:sz w:val="22"/>
                <w:szCs w:val="22"/>
              </w:rPr>
              <w:t>2. Odwołanie do Sądu Okręgowego w Warszawie - Sądu Ochrony Konkurencji i Konsumentów przysługuje od decyzji:</w:t>
            </w:r>
          </w:p>
          <w:p w14:paraId="37C67CCE" w14:textId="77777777" w:rsidR="000C65E5" w:rsidRPr="00317ABF" w:rsidRDefault="000C65E5" w:rsidP="009D3773">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 xml:space="preserve">1) </w:t>
            </w:r>
            <w:r w:rsidRPr="00317ABF">
              <w:rPr>
                <w:rFonts w:ascii="Times New Roman" w:hAnsi="Times New Roman" w:cs="Times New Roman"/>
                <w:sz w:val="22"/>
                <w:szCs w:val="22"/>
              </w:rPr>
              <w:tab/>
              <w:t>o której mowa w art. 202 ust. 1 o ustaleniu znaczącej pozycji rynkowej;</w:t>
            </w:r>
          </w:p>
          <w:p w14:paraId="54AEB192" w14:textId="77777777" w:rsidR="000C65E5" w:rsidRPr="00317ABF" w:rsidRDefault="000C65E5" w:rsidP="009D3773">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 xml:space="preserve">2) </w:t>
            </w:r>
            <w:r w:rsidRPr="00317ABF">
              <w:rPr>
                <w:rFonts w:ascii="Times New Roman" w:hAnsi="Times New Roman" w:cs="Times New Roman"/>
                <w:sz w:val="22"/>
                <w:szCs w:val="22"/>
              </w:rPr>
              <w:tab/>
              <w:t>w sprawie nałożenia, zmiany lub uchylenia obowiązków regulacyjnych, o których mowa w art. 199 ust. 4;</w:t>
            </w:r>
          </w:p>
          <w:p w14:paraId="4CDEFEF6" w14:textId="77777777" w:rsidR="000C65E5" w:rsidRPr="00317ABF" w:rsidRDefault="000C65E5" w:rsidP="009D3773">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 xml:space="preserve">3) </w:t>
            </w:r>
            <w:r w:rsidRPr="00317ABF">
              <w:rPr>
                <w:rFonts w:ascii="Times New Roman" w:hAnsi="Times New Roman" w:cs="Times New Roman"/>
                <w:sz w:val="22"/>
                <w:szCs w:val="22"/>
              </w:rPr>
              <w:tab/>
              <w:t>w sprawie nałożenia, uchylenia, zmiany lub utrzymania obowiązków dostępowych symetrycznych, o których mowa w art. 177 ust. 1;</w:t>
            </w:r>
          </w:p>
          <w:p w14:paraId="21E803CD" w14:textId="77777777" w:rsidR="000C65E5" w:rsidRPr="00317ABF" w:rsidRDefault="000C65E5" w:rsidP="009D3773">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lastRenderedPageBreak/>
              <w:t xml:space="preserve">4) </w:t>
            </w:r>
            <w:r w:rsidRPr="00317ABF">
              <w:rPr>
                <w:rFonts w:ascii="Times New Roman" w:hAnsi="Times New Roman" w:cs="Times New Roman"/>
                <w:sz w:val="22"/>
                <w:szCs w:val="22"/>
              </w:rPr>
              <w:tab/>
              <w:t>w sprawie nałożenia kar przez Prezesa UKE;</w:t>
            </w:r>
          </w:p>
          <w:p w14:paraId="5CE6A08B" w14:textId="77777777" w:rsidR="000C65E5" w:rsidRPr="00317ABF" w:rsidRDefault="000C65E5" w:rsidP="009D3773">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 xml:space="preserve">5) </w:t>
            </w:r>
            <w:r w:rsidRPr="00317ABF">
              <w:rPr>
                <w:rFonts w:ascii="Times New Roman" w:hAnsi="Times New Roman" w:cs="Times New Roman"/>
                <w:sz w:val="22"/>
                <w:szCs w:val="22"/>
              </w:rPr>
              <w:tab/>
              <w:t>o których mowa w art. 428 ust. 4-6 - wydawanych w wyniku działań kontrolnych;</w:t>
            </w:r>
          </w:p>
          <w:p w14:paraId="16A9E2DE" w14:textId="77777777" w:rsidR="000C65E5" w:rsidRPr="00317ABF" w:rsidRDefault="000C65E5" w:rsidP="009D3773">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 xml:space="preserve">6) </w:t>
            </w:r>
            <w:r w:rsidRPr="00317ABF">
              <w:rPr>
                <w:rFonts w:ascii="Times New Roman" w:hAnsi="Times New Roman" w:cs="Times New Roman"/>
                <w:sz w:val="22"/>
                <w:szCs w:val="22"/>
              </w:rPr>
              <w:tab/>
              <w:t>wydawanych na podstawie:</w:t>
            </w:r>
          </w:p>
          <w:p w14:paraId="0E71277B" w14:textId="77777777" w:rsidR="000C65E5" w:rsidRPr="00317ABF" w:rsidRDefault="000C65E5" w:rsidP="009D3773">
            <w:pPr>
              <w:pStyle w:val="LITlitera"/>
              <w:spacing w:line="240" w:lineRule="auto"/>
              <w:rPr>
                <w:rFonts w:ascii="Times New Roman" w:hAnsi="Times New Roman" w:cs="Times New Roman"/>
                <w:sz w:val="22"/>
                <w:szCs w:val="22"/>
              </w:rPr>
            </w:pPr>
            <w:r w:rsidRPr="00317ABF">
              <w:rPr>
                <w:rFonts w:ascii="Times New Roman" w:hAnsi="Times New Roman" w:cs="Times New Roman"/>
                <w:sz w:val="22"/>
                <w:szCs w:val="22"/>
              </w:rPr>
              <w:t>a)</w:t>
            </w:r>
            <w:r w:rsidRPr="00317ABF">
              <w:rPr>
                <w:rFonts w:ascii="Times New Roman" w:hAnsi="Times New Roman" w:cs="Times New Roman"/>
                <w:sz w:val="22"/>
                <w:szCs w:val="22"/>
              </w:rPr>
              <w:tab/>
              <w:t>art. 164 ust. 5,</w:t>
            </w:r>
          </w:p>
          <w:p w14:paraId="26046271" w14:textId="77777777" w:rsidR="000C65E5" w:rsidRPr="00317ABF" w:rsidRDefault="000C65E5" w:rsidP="009D3773">
            <w:pPr>
              <w:pStyle w:val="LITlitera"/>
              <w:spacing w:line="240" w:lineRule="auto"/>
              <w:rPr>
                <w:rFonts w:ascii="Times New Roman" w:hAnsi="Times New Roman" w:cs="Times New Roman"/>
                <w:sz w:val="22"/>
                <w:szCs w:val="22"/>
                <w:lang w:val="en-US"/>
              </w:rPr>
            </w:pPr>
            <w:r w:rsidRPr="00317ABF">
              <w:rPr>
                <w:rFonts w:ascii="Times New Roman" w:hAnsi="Times New Roman" w:cs="Times New Roman"/>
                <w:sz w:val="22"/>
                <w:szCs w:val="22"/>
                <w:lang w:val="en-US"/>
              </w:rPr>
              <w:t>b)</w:t>
            </w:r>
            <w:r w:rsidRPr="00317ABF">
              <w:rPr>
                <w:rFonts w:ascii="Times New Roman" w:hAnsi="Times New Roman" w:cs="Times New Roman"/>
                <w:sz w:val="22"/>
                <w:szCs w:val="22"/>
                <w:lang w:val="en-US"/>
              </w:rPr>
              <w:tab/>
              <w:t>art. 166,</w:t>
            </w:r>
          </w:p>
          <w:p w14:paraId="11414AD7" w14:textId="77777777" w:rsidR="000C65E5" w:rsidRPr="00317ABF" w:rsidRDefault="000C65E5" w:rsidP="009D3773">
            <w:pPr>
              <w:pStyle w:val="LITlitera"/>
              <w:spacing w:line="240" w:lineRule="auto"/>
              <w:rPr>
                <w:rFonts w:ascii="Times New Roman" w:hAnsi="Times New Roman" w:cs="Times New Roman"/>
                <w:sz w:val="22"/>
                <w:szCs w:val="22"/>
                <w:lang w:val="en-US"/>
              </w:rPr>
            </w:pPr>
            <w:r w:rsidRPr="00317ABF">
              <w:rPr>
                <w:rFonts w:ascii="Times New Roman" w:hAnsi="Times New Roman" w:cs="Times New Roman"/>
                <w:sz w:val="22"/>
                <w:szCs w:val="22"/>
                <w:lang w:val="en-US"/>
              </w:rPr>
              <w:t>c)</w:t>
            </w:r>
            <w:r w:rsidRPr="00317ABF">
              <w:rPr>
                <w:rFonts w:ascii="Times New Roman" w:hAnsi="Times New Roman" w:cs="Times New Roman"/>
                <w:sz w:val="22"/>
                <w:szCs w:val="22"/>
                <w:lang w:val="en-US"/>
              </w:rPr>
              <w:tab/>
              <w:t>art. 175 ust. 1,</w:t>
            </w:r>
          </w:p>
          <w:p w14:paraId="10E0E004" w14:textId="77777777" w:rsidR="000C65E5" w:rsidRPr="00317ABF" w:rsidRDefault="000C65E5" w:rsidP="009D3773">
            <w:pPr>
              <w:pStyle w:val="LITlitera"/>
              <w:spacing w:line="240" w:lineRule="auto"/>
              <w:rPr>
                <w:rFonts w:ascii="Times New Roman" w:hAnsi="Times New Roman" w:cs="Times New Roman"/>
                <w:sz w:val="22"/>
                <w:szCs w:val="22"/>
                <w:lang w:val="en-US"/>
              </w:rPr>
            </w:pPr>
            <w:r w:rsidRPr="00317ABF">
              <w:rPr>
                <w:rFonts w:ascii="Times New Roman" w:hAnsi="Times New Roman" w:cs="Times New Roman"/>
                <w:sz w:val="22"/>
                <w:szCs w:val="22"/>
                <w:lang w:val="en-US"/>
              </w:rPr>
              <w:t>d)</w:t>
            </w:r>
            <w:r w:rsidRPr="00317ABF">
              <w:rPr>
                <w:rFonts w:ascii="Times New Roman" w:hAnsi="Times New Roman" w:cs="Times New Roman"/>
                <w:sz w:val="22"/>
                <w:szCs w:val="22"/>
                <w:lang w:val="en-US"/>
              </w:rPr>
              <w:tab/>
              <w:t>art. 183 ust. 1,</w:t>
            </w:r>
          </w:p>
          <w:p w14:paraId="1DFEBEFD" w14:textId="77777777" w:rsidR="000C65E5" w:rsidRPr="00317ABF" w:rsidRDefault="000C65E5" w:rsidP="009D3773">
            <w:pPr>
              <w:pStyle w:val="LITlitera"/>
              <w:spacing w:line="240" w:lineRule="auto"/>
              <w:rPr>
                <w:rFonts w:ascii="Times New Roman" w:hAnsi="Times New Roman" w:cs="Times New Roman"/>
                <w:sz w:val="22"/>
                <w:szCs w:val="22"/>
                <w:lang w:val="en-US"/>
              </w:rPr>
            </w:pPr>
            <w:r w:rsidRPr="00317ABF">
              <w:rPr>
                <w:rFonts w:ascii="Times New Roman" w:hAnsi="Times New Roman" w:cs="Times New Roman"/>
                <w:sz w:val="22"/>
                <w:szCs w:val="22"/>
                <w:lang w:val="en-US"/>
              </w:rPr>
              <w:t>e)</w:t>
            </w:r>
            <w:r w:rsidRPr="00317ABF">
              <w:rPr>
                <w:rFonts w:ascii="Times New Roman" w:hAnsi="Times New Roman" w:cs="Times New Roman"/>
                <w:sz w:val="22"/>
                <w:szCs w:val="22"/>
                <w:lang w:val="en-US"/>
              </w:rPr>
              <w:tab/>
              <w:t>art. 187,</w:t>
            </w:r>
          </w:p>
          <w:p w14:paraId="50F1B8F7" w14:textId="77777777" w:rsidR="000C65E5" w:rsidRPr="00317ABF" w:rsidRDefault="000C65E5" w:rsidP="009D3773">
            <w:pPr>
              <w:pStyle w:val="LITlitera"/>
              <w:spacing w:line="240" w:lineRule="auto"/>
              <w:rPr>
                <w:rFonts w:ascii="Times New Roman" w:hAnsi="Times New Roman" w:cs="Times New Roman"/>
                <w:sz w:val="22"/>
                <w:szCs w:val="22"/>
                <w:lang w:val="en-US"/>
              </w:rPr>
            </w:pPr>
            <w:r w:rsidRPr="00317ABF">
              <w:rPr>
                <w:rFonts w:ascii="Times New Roman" w:hAnsi="Times New Roman" w:cs="Times New Roman"/>
                <w:sz w:val="22"/>
                <w:szCs w:val="22"/>
                <w:lang w:val="en-US"/>
              </w:rPr>
              <w:t>f) art. 191,</w:t>
            </w:r>
          </w:p>
          <w:p w14:paraId="6451B964" w14:textId="77777777" w:rsidR="000C65E5" w:rsidRPr="00317ABF" w:rsidRDefault="000C65E5" w:rsidP="009D3773">
            <w:pPr>
              <w:pStyle w:val="LITlitera"/>
              <w:spacing w:line="240" w:lineRule="auto"/>
              <w:rPr>
                <w:rFonts w:ascii="Times New Roman" w:hAnsi="Times New Roman" w:cs="Times New Roman"/>
                <w:sz w:val="22"/>
                <w:szCs w:val="22"/>
                <w:lang w:val="en-US"/>
              </w:rPr>
            </w:pPr>
            <w:r w:rsidRPr="00317ABF">
              <w:rPr>
                <w:rFonts w:ascii="Times New Roman" w:hAnsi="Times New Roman" w:cs="Times New Roman"/>
                <w:sz w:val="22"/>
                <w:szCs w:val="22"/>
                <w:lang w:val="en-US"/>
              </w:rPr>
              <w:t>g)</w:t>
            </w:r>
            <w:r w:rsidRPr="00317ABF">
              <w:rPr>
                <w:rFonts w:ascii="Times New Roman" w:hAnsi="Times New Roman" w:cs="Times New Roman"/>
                <w:sz w:val="22"/>
                <w:szCs w:val="22"/>
                <w:lang w:val="en-US"/>
              </w:rPr>
              <w:tab/>
              <w:t>art. 201 ust. 1,</w:t>
            </w:r>
          </w:p>
          <w:p w14:paraId="2E420D1E" w14:textId="77777777" w:rsidR="000C65E5" w:rsidRPr="00317ABF" w:rsidRDefault="000C65E5" w:rsidP="009D3773">
            <w:pPr>
              <w:pStyle w:val="LITlitera"/>
              <w:spacing w:line="240" w:lineRule="auto"/>
              <w:rPr>
                <w:rFonts w:ascii="Times New Roman" w:hAnsi="Times New Roman" w:cs="Times New Roman"/>
                <w:sz w:val="22"/>
                <w:szCs w:val="22"/>
              </w:rPr>
            </w:pPr>
            <w:r w:rsidRPr="00317ABF">
              <w:rPr>
                <w:rFonts w:ascii="Times New Roman" w:hAnsi="Times New Roman" w:cs="Times New Roman"/>
                <w:sz w:val="22"/>
                <w:szCs w:val="22"/>
              </w:rPr>
              <w:t>h)</w:t>
            </w:r>
            <w:r w:rsidRPr="00317ABF">
              <w:rPr>
                <w:rFonts w:ascii="Times New Roman" w:hAnsi="Times New Roman" w:cs="Times New Roman"/>
                <w:sz w:val="22"/>
                <w:szCs w:val="22"/>
              </w:rPr>
              <w:tab/>
              <w:t>art. 217 ust. 3 i 5,</w:t>
            </w:r>
          </w:p>
          <w:p w14:paraId="36FDFEEE" w14:textId="77777777" w:rsidR="000C65E5" w:rsidRPr="00317ABF" w:rsidRDefault="000C65E5" w:rsidP="009D3773">
            <w:pPr>
              <w:pStyle w:val="LITlitera"/>
              <w:spacing w:line="240" w:lineRule="auto"/>
              <w:rPr>
                <w:rFonts w:ascii="Times New Roman" w:hAnsi="Times New Roman" w:cs="Times New Roman"/>
                <w:sz w:val="22"/>
                <w:szCs w:val="22"/>
              </w:rPr>
            </w:pPr>
            <w:r w:rsidRPr="00317ABF">
              <w:rPr>
                <w:rFonts w:ascii="Times New Roman" w:hAnsi="Times New Roman" w:cs="Times New Roman"/>
                <w:sz w:val="22"/>
                <w:szCs w:val="22"/>
              </w:rPr>
              <w:t>i)</w:t>
            </w:r>
            <w:r w:rsidRPr="00317ABF">
              <w:rPr>
                <w:rFonts w:ascii="Times New Roman" w:hAnsi="Times New Roman" w:cs="Times New Roman"/>
                <w:sz w:val="22"/>
                <w:szCs w:val="22"/>
              </w:rPr>
              <w:tab/>
              <w:t>art. 221,</w:t>
            </w:r>
          </w:p>
          <w:p w14:paraId="4929D1CB" w14:textId="77777777" w:rsidR="000C65E5" w:rsidRPr="00317ABF" w:rsidRDefault="000C65E5" w:rsidP="009D3773">
            <w:pPr>
              <w:pStyle w:val="LITlitera"/>
              <w:spacing w:line="240" w:lineRule="auto"/>
              <w:rPr>
                <w:rFonts w:ascii="Times New Roman" w:hAnsi="Times New Roman" w:cs="Times New Roman"/>
                <w:sz w:val="22"/>
                <w:szCs w:val="22"/>
              </w:rPr>
            </w:pPr>
            <w:r w:rsidRPr="00317ABF">
              <w:rPr>
                <w:rFonts w:ascii="Times New Roman" w:hAnsi="Times New Roman" w:cs="Times New Roman"/>
                <w:sz w:val="22"/>
                <w:szCs w:val="22"/>
              </w:rPr>
              <w:t>j)</w:t>
            </w:r>
            <w:r w:rsidRPr="00317ABF">
              <w:rPr>
                <w:rFonts w:ascii="Times New Roman" w:hAnsi="Times New Roman" w:cs="Times New Roman"/>
                <w:sz w:val="22"/>
                <w:szCs w:val="22"/>
              </w:rPr>
              <w:tab/>
              <w:t>art. 230,</w:t>
            </w:r>
          </w:p>
          <w:p w14:paraId="646230B6" w14:textId="77777777" w:rsidR="000C65E5" w:rsidRPr="00317ABF" w:rsidRDefault="000C65E5" w:rsidP="009D3773">
            <w:pPr>
              <w:pStyle w:val="LITlitera"/>
              <w:spacing w:line="240" w:lineRule="auto"/>
              <w:rPr>
                <w:rFonts w:ascii="Times New Roman" w:hAnsi="Times New Roman" w:cs="Times New Roman"/>
                <w:sz w:val="22"/>
                <w:szCs w:val="22"/>
              </w:rPr>
            </w:pPr>
            <w:r w:rsidRPr="00317ABF">
              <w:rPr>
                <w:rFonts w:ascii="Times New Roman" w:hAnsi="Times New Roman" w:cs="Times New Roman"/>
                <w:sz w:val="22"/>
                <w:szCs w:val="22"/>
              </w:rPr>
              <w:t>k)</w:t>
            </w:r>
            <w:r w:rsidRPr="00317ABF">
              <w:rPr>
                <w:rFonts w:ascii="Times New Roman" w:hAnsi="Times New Roman" w:cs="Times New Roman"/>
                <w:sz w:val="22"/>
                <w:szCs w:val="22"/>
              </w:rPr>
              <w:tab/>
              <w:t>art. 232 ust. 2,</w:t>
            </w:r>
          </w:p>
          <w:p w14:paraId="25F39966" w14:textId="77777777" w:rsidR="000C65E5" w:rsidRPr="00317ABF" w:rsidRDefault="000C65E5" w:rsidP="009D3773">
            <w:pPr>
              <w:pStyle w:val="LITlitera"/>
              <w:spacing w:line="240" w:lineRule="auto"/>
              <w:rPr>
                <w:rFonts w:ascii="Times New Roman" w:hAnsi="Times New Roman" w:cs="Times New Roman"/>
                <w:sz w:val="22"/>
                <w:szCs w:val="22"/>
              </w:rPr>
            </w:pPr>
            <w:r w:rsidRPr="00317ABF">
              <w:rPr>
                <w:rFonts w:ascii="Times New Roman" w:hAnsi="Times New Roman" w:cs="Times New Roman"/>
                <w:sz w:val="22"/>
                <w:szCs w:val="22"/>
              </w:rPr>
              <w:t xml:space="preserve">l) </w:t>
            </w:r>
            <w:r w:rsidRPr="00317ABF">
              <w:rPr>
                <w:rFonts w:ascii="Times New Roman" w:hAnsi="Times New Roman" w:cs="Times New Roman"/>
                <w:sz w:val="22"/>
                <w:szCs w:val="22"/>
              </w:rPr>
              <w:tab/>
              <w:t>art. 235,</w:t>
            </w:r>
          </w:p>
          <w:p w14:paraId="0D50AB62" w14:textId="77777777" w:rsidR="000C65E5" w:rsidRPr="00317ABF" w:rsidRDefault="000C65E5" w:rsidP="009D3773">
            <w:pPr>
              <w:pStyle w:val="LITlitera"/>
              <w:spacing w:line="240" w:lineRule="auto"/>
              <w:rPr>
                <w:rFonts w:ascii="Times New Roman" w:hAnsi="Times New Roman" w:cs="Times New Roman"/>
                <w:sz w:val="22"/>
                <w:szCs w:val="22"/>
              </w:rPr>
            </w:pPr>
            <w:r w:rsidRPr="00317ABF">
              <w:rPr>
                <w:rFonts w:ascii="Times New Roman" w:hAnsi="Times New Roman" w:cs="Times New Roman"/>
                <w:sz w:val="22"/>
                <w:szCs w:val="22"/>
              </w:rPr>
              <w:t>m)</w:t>
            </w:r>
            <w:r w:rsidRPr="00317ABF">
              <w:rPr>
                <w:rFonts w:ascii="Times New Roman" w:hAnsi="Times New Roman" w:cs="Times New Roman"/>
                <w:sz w:val="22"/>
                <w:szCs w:val="22"/>
              </w:rPr>
              <w:tab/>
              <w:t>art. 239,</w:t>
            </w:r>
          </w:p>
          <w:p w14:paraId="6ACB9375" w14:textId="77777777" w:rsidR="000C65E5" w:rsidRPr="00317ABF" w:rsidRDefault="000C65E5" w:rsidP="009D3773">
            <w:pPr>
              <w:pStyle w:val="LITlitera"/>
              <w:spacing w:line="240" w:lineRule="auto"/>
              <w:rPr>
                <w:rFonts w:ascii="Times New Roman" w:hAnsi="Times New Roman" w:cs="Times New Roman"/>
                <w:sz w:val="22"/>
                <w:szCs w:val="22"/>
              </w:rPr>
            </w:pPr>
            <w:r w:rsidRPr="00317ABF">
              <w:rPr>
                <w:rFonts w:ascii="Times New Roman" w:hAnsi="Times New Roman" w:cs="Times New Roman"/>
                <w:sz w:val="22"/>
                <w:szCs w:val="22"/>
              </w:rPr>
              <w:t>n)</w:t>
            </w:r>
            <w:r w:rsidRPr="00317ABF">
              <w:rPr>
                <w:rFonts w:ascii="Times New Roman" w:hAnsi="Times New Roman" w:cs="Times New Roman"/>
                <w:sz w:val="22"/>
                <w:szCs w:val="22"/>
              </w:rPr>
              <w:tab/>
              <w:t>art. 242 ust. 1 i 3,</w:t>
            </w:r>
          </w:p>
          <w:p w14:paraId="1EE4ECF0" w14:textId="77777777" w:rsidR="000C65E5" w:rsidRPr="00317ABF" w:rsidRDefault="000C65E5" w:rsidP="009D3773">
            <w:pPr>
              <w:pStyle w:val="LITlitera"/>
              <w:spacing w:line="240" w:lineRule="auto"/>
              <w:rPr>
                <w:rFonts w:ascii="Times New Roman" w:hAnsi="Times New Roman" w:cs="Times New Roman"/>
                <w:sz w:val="22"/>
                <w:szCs w:val="22"/>
              </w:rPr>
            </w:pPr>
            <w:r w:rsidRPr="00317ABF">
              <w:rPr>
                <w:rFonts w:ascii="Times New Roman" w:hAnsi="Times New Roman" w:cs="Times New Roman"/>
                <w:sz w:val="22"/>
                <w:szCs w:val="22"/>
              </w:rPr>
              <w:t>o)</w:t>
            </w:r>
            <w:r w:rsidRPr="00317ABF">
              <w:rPr>
                <w:rFonts w:ascii="Times New Roman" w:hAnsi="Times New Roman" w:cs="Times New Roman"/>
                <w:sz w:val="22"/>
                <w:szCs w:val="22"/>
              </w:rPr>
              <w:tab/>
              <w:t>art. 250,</w:t>
            </w:r>
          </w:p>
          <w:p w14:paraId="4F62695C" w14:textId="77777777" w:rsidR="000C65E5" w:rsidRPr="00317ABF" w:rsidRDefault="000C65E5" w:rsidP="009D3773">
            <w:pPr>
              <w:pStyle w:val="LITlitera"/>
              <w:spacing w:line="240" w:lineRule="auto"/>
              <w:rPr>
                <w:rFonts w:ascii="Times New Roman" w:hAnsi="Times New Roman" w:cs="Times New Roman"/>
                <w:sz w:val="22"/>
                <w:szCs w:val="22"/>
              </w:rPr>
            </w:pPr>
            <w:r w:rsidRPr="00317ABF">
              <w:rPr>
                <w:rFonts w:ascii="Times New Roman" w:hAnsi="Times New Roman" w:cs="Times New Roman"/>
                <w:sz w:val="22"/>
                <w:szCs w:val="22"/>
              </w:rPr>
              <w:t>p)</w:t>
            </w:r>
            <w:r w:rsidRPr="00317ABF">
              <w:rPr>
                <w:rFonts w:ascii="Times New Roman" w:hAnsi="Times New Roman" w:cs="Times New Roman"/>
                <w:sz w:val="22"/>
                <w:szCs w:val="22"/>
              </w:rPr>
              <w:tab/>
              <w:t>art. 327 ust. 2,</w:t>
            </w:r>
          </w:p>
          <w:p w14:paraId="0D70D4C7" w14:textId="77777777" w:rsidR="000C65E5" w:rsidRPr="00317ABF" w:rsidRDefault="000C65E5" w:rsidP="009D3773">
            <w:pPr>
              <w:pStyle w:val="LITlitera"/>
              <w:spacing w:line="240" w:lineRule="auto"/>
              <w:rPr>
                <w:rFonts w:ascii="Times New Roman" w:hAnsi="Times New Roman" w:cs="Times New Roman"/>
                <w:sz w:val="22"/>
                <w:szCs w:val="22"/>
              </w:rPr>
            </w:pPr>
            <w:r w:rsidRPr="00317ABF">
              <w:rPr>
                <w:rFonts w:ascii="Times New Roman" w:hAnsi="Times New Roman" w:cs="Times New Roman"/>
                <w:sz w:val="22"/>
                <w:szCs w:val="22"/>
              </w:rPr>
              <w:t>r)</w:t>
            </w:r>
            <w:r w:rsidRPr="00317ABF">
              <w:rPr>
                <w:rFonts w:ascii="Times New Roman" w:hAnsi="Times New Roman" w:cs="Times New Roman"/>
                <w:sz w:val="22"/>
                <w:szCs w:val="22"/>
              </w:rPr>
              <w:tab/>
              <w:t>art. 403;</w:t>
            </w:r>
          </w:p>
          <w:p w14:paraId="3C9F8E6A" w14:textId="77777777" w:rsidR="000C65E5" w:rsidRPr="00317ABF" w:rsidRDefault="000C65E5" w:rsidP="009D3773">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 xml:space="preserve">7) </w:t>
            </w:r>
            <w:r w:rsidRPr="00317ABF">
              <w:rPr>
                <w:rFonts w:ascii="Times New Roman" w:hAnsi="Times New Roman" w:cs="Times New Roman"/>
                <w:sz w:val="22"/>
                <w:szCs w:val="22"/>
              </w:rPr>
              <w:tab/>
              <w:t>wydanych na podstawie ustawy z dnia 7 maja 2010 r. o wspieraniu rozwoju usług i sieci telekomunikacyjnych, obejmujących decyzje wydawane na podstawie: art. 12, art. 13 ust. 1 i 2, art. 18 ust. 3, art. 18 ust. 9, art. 20, art. 24a, art. 25d ust. 1 oraz art. 35a ust. 3.</w:t>
            </w:r>
          </w:p>
          <w:p w14:paraId="50275438" w14:textId="77777777" w:rsidR="000C65E5" w:rsidRPr="00317ABF" w:rsidRDefault="000C65E5" w:rsidP="009D3773">
            <w:pPr>
              <w:pStyle w:val="USTustnpkodeksu"/>
              <w:spacing w:line="240" w:lineRule="auto"/>
              <w:rPr>
                <w:rFonts w:ascii="Times New Roman" w:hAnsi="Times New Roman" w:cs="Times New Roman"/>
                <w:sz w:val="22"/>
                <w:szCs w:val="22"/>
              </w:rPr>
            </w:pPr>
            <w:r w:rsidRPr="00317ABF">
              <w:rPr>
                <w:rFonts w:ascii="Times New Roman" w:hAnsi="Times New Roman" w:cs="Times New Roman"/>
                <w:sz w:val="22"/>
                <w:szCs w:val="22"/>
              </w:rPr>
              <w:t>3. Na postanowienia, o których mowa w art. 182 i art. 193, przysługuje zażalenie do Sądu Ochrony Konkurencji i Konsumentów.</w:t>
            </w:r>
          </w:p>
          <w:p w14:paraId="0FD6CEC6" w14:textId="77777777" w:rsidR="000C65E5" w:rsidRPr="00317ABF" w:rsidRDefault="000C65E5" w:rsidP="009D3773">
            <w:pPr>
              <w:pStyle w:val="USTustnpkodeksu"/>
              <w:spacing w:line="240" w:lineRule="auto"/>
              <w:ind w:left="150" w:firstLine="0"/>
              <w:rPr>
                <w:rFonts w:ascii="Times New Roman" w:hAnsi="Times New Roman" w:cs="Times New Roman"/>
                <w:sz w:val="22"/>
                <w:szCs w:val="22"/>
              </w:rPr>
            </w:pPr>
            <w:r w:rsidRPr="00317ABF">
              <w:rPr>
                <w:rFonts w:ascii="Times New Roman" w:hAnsi="Times New Roman" w:cs="Times New Roman"/>
                <w:sz w:val="22"/>
                <w:szCs w:val="22"/>
              </w:rPr>
              <w:t>4. Decyzje, o których mowa w ust. 2, z wyjątkiem decyzji w sprawie nałożenia kar, podlegają natychmiastowemu wykonaniu.</w:t>
            </w:r>
          </w:p>
          <w:p w14:paraId="3EC74105" w14:textId="77777777" w:rsidR="000C65E5" w:rsidRPr="00317ABF" w:rsidRDefault="001E1112" w:rsidP="009D3773">
            <w:pPr>
              <w:pStyle w:val="USTustnpkodeksu"/>
              <w:spacing w:line="240" w:lineRule="auto"/>
              <w:rPr>
                <w:rFonts w:ascii="Times New Roman" w:hAnsi="Times New Roman" w:cs="Times New Roman"/>
                <w:sz w:val="22"/>
                <w:szCs w:val="22"/>
              </w:rPr>
            </w:pPr>
            <w:r w:rsidRPr="00317ABF">
              <w:rPr>
                <w:rFonts w:ascii="Times New Roman" w:hAnsi="Times New Roman" w:cs="Times New Roman"/>
                <w:sz w:val="22"/>
                <w:szCs w:val="22"/>
              </w:rPr>
              <w:t>5.</w:t>
            </w:r>
            <w:r w:rsidR="000C65E5" w:rsidRPr="00317ABF">
              <w:rPr>
                <w:rFonts w:ascii="Times New Roman" w:hAnsi="Times New Roman" w:cs="Times New Roman"/>
                <w:sz w:val="22"/>
                <w:szCs w:val="22"/>
              </w:rPr>
              <w:t> </w:t>
            </w:r>
            <w:r w:rsidRPr="00317ABF">
              <w:rPr>
                <w:rFonts w:ascii="Times New Roman" w:hAnsi="Times New Roman" w:cs="Times New Roman"/>
                <w:sz w:val="22"/>
                <w:szCs w:val="22"/>
              </w:rPr>
              <w:t>Postępowania w sprawach odwołań</w:t>
            </w:r>
            <w:r w:rsidR="000C65E5" w:rsidRPr="00317ABF">
              <w:rPr>
                <w:rFonts w:ascii="Times New Roman" w:hAnsi="Times New Roman" w:cs="Times New Roman"/>
                <w:sz w:val="22"/>
                <w:szCs w:val="22"/>
              </w:rPr>
              <w:t xml:space="preserve"> i zażaleń</w:t>
            </w:r>
            <w:r w:rsidRPr="00317ABF">
              <w:rPr>
                <w:rFonts w:ascii="Times New Roman" w:hAnsi="Times New Roman" w:cs="Times New Roman"/>
                <w:sz w:val="22"/>
                <w:szCs w:val="22"/>
              </w:rPr>
              <w:t>, o których mowa w ust.</w:t>
            </w:r>
            <w:r w:rsidR="000C65E5" w:rsidRPr="00317ABF">
              <w:rPr>
                <w:rFonts w:ascii="Times New Roman" w:hAnsi="Times New Roman" w:cs="Times New Roman"/>
                <w:sz w:val="22"/>
                <w:szCs w:val="22"/>
              </w:rPr>
              <w:t xml:space="preserve"> 2 i</w:t>
            </w:r>
            <w:r w:rsidRPr="00317ABF">
              <w:rPr>
                <w:rFonts w:ascii="Times New Roman" w:hAnsi="Times New Roman" w:cs="Times New Roman"/>
                <w:sz w:val="22"/>
                <w:szCs w:val="22"/>
              </w:rPr>
              <w:t xml:space="preserve"> 3, toczą się według przepisów ustawy z dnia 17 listopada 1964 r. - Kodeks postępowania cywilnego (Dz. U. z 2019 r. poz. 1460, z późn. zm</w:t>
            </w:r>
            <w:r w:rsidR="000C65E5" w:rsidRPr="00317ABF">
              <w:rPr>
                <w:rFonts w:ascii="Times New Roman" w:hAnsi="Times New Roman" w:cs="Times New Roman"/>
                <w:sz w:val="22"/>
                <w:szCs w:val="22"/>
              </w:rPr>
              <w:t>.),</w:t>
            </w:r>
            <w:r w:rsidRPr="00317ABF">
              <w:rPr>
                <w:rFonts w:ascii="Times New Roman" w:hAnsi="Times New Roman" w:cs="Times New Roman"/>
                <w:sz w:val="22"/>
                <w:szCs w:val="22"/>
              </w:rPr>
              <w:t xml:space="preserve"> o postępowaniu w sprawach z zakresu regulacji telekomunikacji i poczty.</w:t>
            </w:r>
          </w:p>
          <w:p w14:paraId="15BF52B7" w14:textId="14931D3E" w:rsidR="005665A0" w:rsidRPr="00317ABF" w:rsidRDefault="005665A0" w:rsidP="009D3773">
            <w:pPr>
              <w:pStyle w:val="USTustnpkodeksu"/>
              <w:spacing w:line="240" w:lineRule="auto"/>
              <w:rPr>
                <w:rFonts w:ascii="Times New Roman" w:hAnsi="Times New Roman" w:cs="Times New Roman"/>
                <w:sz w:val="22"/>
                <w:szCs w:val="22"/>
              </w:rPr>
            </w:pPr>
          </w:p>
          <w:p w14:paraId="20940244" w14:textId="68F71241" w:rsidR="005665A0" w:rsidRPr="00317ABF" w:rsidRDefault="005665A0" w:rsidP="005665A0">
            <w:pPr>
              <w:spacing w:before="120" w:after="120"/>
              <w:jc w:val="both"/>
              <w:rPr>
                <w:b/>
              </w:rPr>
            </w:pPr>
            <w:r w:rsidRPr="00317ABF">
              <w:rPr>
                <w:b/>
              </w:rPr>
              <w:t>Art. 30 pkt 13 lit. c ustawy wprowadzającej PKE</w:t>
            </w:r>
          </w:p>
          <w:p w14:paraId="2A5CB5A3" w14:textId="713D1FC8" w:rsidR="005665A0" w:rsidRPr="00317ABF" w:rsidRDefault="005665A0" w:rsidP="005665A0">
            <w:pPr>
              <w:spacing w:before="120" w:after="120"/>
              <w:jc w:val="both"/>
              <w:rPr>
                <w:color w:val="FF0000"/>
              </w:rPr>
            </w:pPr>
            <w:r w:rsidRPr="00317ABF">
              <w:t xml:space="preserve">Celem zmiany jest przyspieszenie procesu wydawania decyzji w zakresie określenia warunków dostępu do infrastruktury technicznej. </w:t>
            </w:r>
            <w:r w:rsidRPr="00317ABF">
              <w:lastRenderedPageBreak/>
              <w:t>Dotychczasowe brzmienie przepisów wymaga akceptacji przez Prezesa UKE wszystkich (z wyjątkiem warunków finansowych) kwestii zgłoszonych przez regulatora - Prezesa URE lub Prezesa UTK, co znacząco wpływa na efektywność prowadzenia postępowania i osiągnięcie celu jakim jest realizacja szybkiej sieci telekomunikacyjnej. W skrajnych sytuacjach, w przypadku braku uzgodnienia projektu decyzji z innymi wymaganymi organami, może to doprowadzić do niemożliwości zakończenia postępowania administracyjnego wydaniem decyzji ustalającej warunki dostępu do infrastruktury technicznej. Z oczywistych względów takie rozwiązanie w praktyce może przełożyć się na opóźnienie czy też całkowite umożliwienie realizacji szybkich sieci telekomunikacyjnych z wykorzystaniem dostępu do infrastruktury technicznej, co należy uznać za jedną z istotnych barier dla procesu inwestycyjnego w telekomunikacji. Należy ponadto podkreślić, iż przepisy Dyrektywy Parlamentu Europejskiego i Rady 2014/61/UE z dnia 15 maja 2014 r. w sprawie środków mających na celu zmniejszenie kosztów realizacji szybkich sieci łączności elektronicznej (dalej również „Dyrektywa kosztowa”) w części dotyczącej dostępu do infrastruktury technicznej (art. 3), które zostały implementowane m.in. do przepisów dotyczących dostępu do infrastruktury technicznej operatorów sieci, nie przewidują jakiejkolwiek formy obowiązku uzgadniania lub opiniowania decyzji krajowego regulatora sektora telekomunikacyjnego z innymi krajowymi regulatorami sektorowymi. Natomiast takie rozwiązanie jest niezgodne z art. 8 ust. 1 EKŁE, zgodnie z którym „</w:t>
            </w:r>
            <w:r w:rsidRPr="00317ABF">
              <w:rPr>
                <w:i/>
              </w:rPr>
              <w:t xml:space="preserve">krajowe organy regulacyjne działają niezależnie i obiektywnie, w tym w zakresie opracowywania procedur wewnętrznych i organizacji personelu, działają w przejrzysty i odpowiedzialny sposób zgodnie z prawem Unii i nie występują o instrukcje do żadnego innego podmiotu ani nie przyjmują takich instrukcji w związku z wykonywaniem zadań przydzielonych im na podstawie prawa krajowego wdrażającego prawo Unii. Nie wyklucza to nadzoru zgodnie z krajowym prawem konstytucyjnym. Decyzje krajowych organów regulacyjnych mogą zostać zawieszone lub uchylone wyłącznie przez organy odwoławcze </w:t>
            </w:r>
            <w:r w:rsidRPr="00317ABF">
              <w:rPr>
                <w:i/>
              </w:rPr>
              <w:lastRenderedPageBreak/>
              <w:t>ustanowione zgodnie z art. 31.</w:t>
            </w:r>
            <w:r w:rsidRPr="00317ABF">
              <w:t>”. „</w:t>
            </w:r>
            <w:r w:rsidRPr="00317ABF">
              <w:rPr>
                <w:bCs/>
              </w:rPr>
              <w:t xml:space="preserve">Uzgodnienie” </w:t>
            </w:r>
            <w:r w:rsidRPr="00317ABF">
              <w:t>oznacza procedurę, w ramach prowadzonego postępowania administracyjnego, w której Prezes Urzędu Komunikacji Elektronicznej musi bezwarunkowo uzyskać akceptację ze strony Prezesa URE/Prezesa UTK w kwestiach będących przedmiotem rozstrzygnięcia, jeżeli takie rozstrzygnięcie odnosi się do infrastruktury technicznej przedsiębiorstwa energetycznego lub przedsiębiorstwa zapewniającego infrastrukturę techniczną na potrzeby transportu kolejowego. Jest to więc niewątpliwie nawet dalej idące ograniczenie Prezesa UKE niż wskazane w polskiej wersji językowej EKŁE „instrukcje”.</w:t>
            </w:r>
          </w:p>
          <w:p w14:paraId="200E8AFF" w14:textId="4ACFD0CB" w:rsidR="005665A0" w:rsidRPr="00317ABF" w:rsidRDefault="005665A0" w:rsidP="005665A0">
            <w:pPr>
              <w:spacing w:before="120" w:after="120"/>
              <w:jc w:val="both"/>
              <w:rPr>
                <w:b/>
                <w:bCs/>
              </w:rPr>
            </w:pPr>
            <w:r w:rsidRPr="00317ABF">
              <w:rPr>
                <w:b/>
                <w:bCs/>
              </w:rPr>
              <w:t xml:space="preserve">Art. 30 pkt 16 lit. c </w:t>
            </w:r>
            <w:r w:rsidRPr="00317ABF">
              <w:rPr>
                <w:b/>
              </w:rPr>
              <w:t>ustawy wprowadzającej PKE</w:t>
            </w:r>
          </w:p>
          <w:p w14:paraId="428D56F0" w14:textId="77777777" w:rsidR="005665A0" w:rsidRPr="00317ABF" w:rsidRDefault="005665A0" w:rsidP="005665A0">
            <w:pPr>
              <w:spacing w:before="120" w:after="120"/>
              <w:jc w:val="both"/>
            </w:pPr>
            <w:r w:rsidRPr="00317ABF">
              <w:t>Proponuje się uchylenie 22 ust. 5 Megaustawy w związku z projektowanym art. 183 ust. 1 pkt 2 Pke, przewidującym możliwość wydania przez Prezesa UKE decyzji rozstrzygającej spór zmieniającej w całości lub w części umowę o dostępie. Natomiast zgodnie z ogólną regułą wyrażoną w art. 188 Pke, zawarcie umowy o dostępie w przedmiocie określonym wcześniej decyzją, skutkuje wygaśnięciem z mocy prawa decyzji w zakresie objętym umową.</w:t>
            </w:r>
          </w:p>
          <w:p w14:paraId="434D1D43" w14:textId="77777777" w:rsidR="005665A0" w:rsidRPr="00317ABF" w:rsidRDefault="005665A0" w:rsidP="005665A0">
            <w:pPr>
              <w:spacing w:before="120" w:after="120"/>
              <w:jc w:val="both"/>
            </w:pPr>
            <w:r w:rsidRPr="00317ABF">
              <w:t>Przewiduje się również usunięcie art. 22 ust. 6-7a dotyczących uzgodnień (a w zakresie warunków finansowych – opiniowania) decyzji w sprawie dostępu do infrastruktury technicznej z:</w:t>
            </w:r>
          </w:p>
          <w:p w14:paraId="006878A6" w14:textId="77777777" w:rsidR="005665A0" w:rsidRPr="00317ABF" w:rsidRDefault="005665A0" w:rsidP="005665A0">
            <w:pPr>
              <w:pStyle w:val="Akapitzlist"/>
              <w:numPr>
                <w:ilvl w:val="0"/>
                <w:numId w:val="95"/>
              </w:numPr>
              <w:spacing w:before="120" w:after="120"/>
              <w:jc w:val="both"/>
            </w:pPr>
            <w:r w:rsidRPr="00317ABF">
              <w:t>Prezesem URE, w odniesieniu do przedsiębiorstw energetycznych;</w:t>
            </w:r>
          </w:p>
          <w:p w14:paraId="42E91B99" w14:textId="77777777" w:rsidR="005665A0" w:rsidRPr="00317ABF" w:rsidRDefault="005665A0" w:rsidP="005665A0">
            <w:pPr>
              <w:pStyle w:val="Akapitzlist"/>
              <w:numPr>
                <w:ilvl w:val="0"/>
                <w:numId w:val="95"/>
              </w:numPr>
              <w:spacing w:before="120" w:after="120"/>
              <w:jc w:val="both"/>
            </w:pPr>
            <w:r w:rsidRPr="00317ABF">
              <w:t>Prezesem UTK, w odniesieniu do przedsiębiorstw zapewniających infrastrukturę techniczną na potrzeby transportu kolejowego.</w:t>
            </w:r>
          </w:p>
          <w:p w14:paraId="551EF7A0" w14:textId="0B094AE9" w:rsidR="005665A0" w:rsidRPr="00317ABF" w:rsidRDefault="005665A0" w:rsidP="005665A0">
            <w:pPr>
              <w:spacing w:before="120" w:after="120"/>
              <w:jc w:val="both"/>
              <w:rPr>
                <w:b/>
              </w:rPr>
            </w:pPr>
            <w:r w:rsidRPr="00317ABF">
              <w:t>Szczegółowe uzasadnienie rzeczonego rozwiązania jest zawarte w części dotyczącej zmian wprowadzanych na podstawie art. 30 pkt 13 lit. c</w:t>
            </w:r>
            <w:r w:rsidRPr="00317ABF">
              <w:rPr>
                <w:b/>
              </w:rPr>
              <w:t xml:space="preserve"> </w:t>
            </w:r>
            <w:r w:rsidRPr="00317ABF">
              <w:t xml:space="preserve"> niniejszej nowelizacji.</w:t>
            </w:r>
          </w:p>
          <w:p w14:paraId="2831D52E" w14:textId="406EE62E" w:rsidR="005665A0" w:rsidRPr="00317ABF" w:rsidRDefault="005665A0" w:rsidP="005665A0">
            <w:pPr>
              <w:spacing w:before="120" w:after="120"/>
              <w:jc w:val="both"/>
              <w:rPr>
                <w:b/>
                <w:bCs/>
              </w:rPr>
            </w:pPr>
            <w:r w:rsidRPr="00317ABF">
              <w:rPr>
                <w:b/>
                <w:bCs/>
              </w:rPr>
              <w:t xml:space="preserve">Art. 30 pkt 38 lit. b </w:t>
            </w:r>
            <w:r w:rsidRPr="00317ABF">
              <w:rPr>
                <w:b/>
              </w:rPr>
              <w:t>ustawy wprowadzającej PKE</w:t>
            </w:r>
          </w:p>
          <w:p w14:paraId="60E38C88" w14:textId="2F7B72F0" w:rsidR="005665A0" w:rsidRPr="00317ABF" w:rsidRDefault="005665A0" w:rsidP="005665A0">
            <w:pPr>
              <w:spacing w:before="120" w:after="120"/>
              <w:jc w:val="both"/>
              <w:rPr>
                <w:bCs/>
                <w:color w:val="000000" w:themeColor="text1"/>
              </w:rPr>
            </w:pPr>
            <w:r w:rsidRPr="00317ABF">
              <w:rPr>
                <w:bCs/>
                <w:color w:val="000000" w:themeColor="text1"/>
              </w:rPr>
              <w:t xml:space="preserve">Usuwa się odesłanie do odpowiedniego przepisu art. 22 ust. 5-8 Megaustawy, który to przepis zostaje uchylony. Uzgodnienie </w:t>
            </w:r>
            <w:r w:rsidRPr="00317ABF">
              <w:rPr>
                <w:bCs/>
                <w:color w:val="000000" w:themeColor="text1"/>
              </w:rPr>
              <w:lastRenderedPageBreak/>
              <w:t xml:space="preserve">rozstrzygnięć starosty, w niektórych przypadkach, z Prezesem URE oraz Prezesem UTK uznaje się za nadmiarowe i niezgodne z Dyrektywą kosztową oraz EKŁE, co zostało wskazane w uzasadnieniu do art. 30 </w:t>
            </w:r>
            <w:r w:rsidRPr="00317ABF">
              <w:rPr>
                <w:color w:val="000000" w:themeColor="text1"/>
              </w:rPr>
              <w:t>pkt 13 lit. c niniejszej nowelizacji</w:t>
            </w:r>
          </w:p>
          <w:p w14:paraId="5854DE7F" w14:textId="46866B63" w:rsidR="001E1112" w:rsidRPr="00317ABF" w:rsidRDefault="001E1112" w:rsidP="009D3773">
            <w:pPr>
              <w:pStyle w:val="USTustnpkodeksu"/>
              <w:spacing w:line="240" w:lineRule="auto"/>
              <w:rPr>
                <w:rFonts w:ascii="Times New Roman" w:hAnsi="Times New Roman" w:cs="Times New Roman"/>
                <w:sz w:val="22"/>
                <w:szCs w:val="22"/>
              </w:rPr>
            </w:pPr>
          </w:p>
        </w:tc>
      </w:tr>
      <w:tr w:rsidR="001E1112" w:rsidRPr="00317ABF" w14:paraId="298C140D" w14:textId="77777777" w:rsidTr="7753F98D">
        <w:trPr>
          <w:gridAfter w:val="2"/>
          <w:wAfter w:w="175" w:type="dxa"/>
        </w:trPr>
        <w:tc>
          <w:tcPr>
            <w:tcW w:w="704" w:type="dxa"/>
          </w:tcPr>
          <w:p w14:paraId="4A57A8BA" w14:textId="77777777" w:rsidR="001E1112" w:rsidRPr="00317ABF" w:rsidRDefault="001E1112" w:rsidP="00DB3BEC">
            <w:pPr>
              <w:jc w:val="both"/>
              <w:rPr>
                <w:sz w:val="22"/>
                <w:szCs w:val="22"/>
              </w:rPr>
            </w:pPr>
            <w:r w:rsidRPr="00317ABF">
              <w:rPr>
                <w:sz w:val="22"/>
                <w:szCs w:val="22"/>
              </w:rPr>
              <w:lastRenderedPageBreak/>
              <w:t>Art. 8 ust. 2</w:t>
            </w:r>
          </w:p>
        </w:tc>
        <w:tc>
          <w:tcPr>
            <w:tcW w:w="4308" w:type="dxa"/>
          </w:tcPr>
          <w:p w14:paraId="3BD8690D" w14:textId="77777777" w:rsidR="001E1112" w:rsidRPr="00317ABF" w:rsidRDefault="001E1112" w:rsidP="00DB3BEC">
            <w:pPr>
              <w:spacing w:before="120"/>
              <w:jc w:val="both"/>
              <w:rPr>
                <w:sz w:val="22"/>
                <w:szCs w:val="22"/>
              </w:rPr>
            </w:pPr>
            <w:r w:rsidRPr="00317ABF">
              <w:rPr>
                <w:sz w:val="22"/>
                <w:szCs w:val="22"/>
              </w:rPr>
              <w:t>2.   Krajowe organy regulacyjne składają raz do roku sprawozdanie dotyczące między innymi stanu rynku łączności elektronicznej, decyzji, które wydały, swoich zasobów ludzkich i finansowych oraz sposobu ich rozdysponowania, a także przyszłych planów. Sprawozdania tych organów podaje się do wiadomości publicznej.</w:t>
            </w:r>
          </w:p>
        </w:tc>
        <w:tc>
          <w:tcPr>
            <w:tcW w:w="986" w:type="dxa"/>
          </w:tcPr>
          <w:p w14:paraId="2CA7ADD4" w14:textId="4D54C68D" w:rsidR="001E1112" w:rsidRPr="00317ABF" w:rsidRDefault="001E1112" w:rsidP="00DB3BEC">
            <w:pPr>
              <w:jc w:val="both"/>
              <w:rPr>
                <w:sz w:val="22"/>
                <w:szCs w:val="22"/>
              </w:rPr>
            </w:pPr>
            <w:r w:rsidRPr="00317ABF">
              <w:rPr>
                <w:sz w:val="22"/>
                <w:szCs w:val="22"/>
              </w:rPr>
              <w:t>T</w:t>
            </w:r>
          </w:p>
        </w:tc>
        <w:tc>
          <w:tcPr>
            <w:tcW w:w="910" w:type="dxa"/>
          </w:tcPr>
          <w:p w14:paraId="314EE24A" w14:textId="6606721D" w:rsidR="001E1112" w:rsidRPr="00317ABF" w:rsidRDefault="001E1112" w:rsidP="00DB3BEC">
            <w:pPr>
              <w:pStyle w:val="Tekstpodstawowy"/>
              <w:rPr>
                <w:b/>
                <w:noProof/>
                <w:sz w:val="22"/>
                <w:szCs w:val="22"/>
              </w:rPr>
            </w:pPr>
            <w:r w:rsidRPr="00317ABF">
              <w:rPr>
                <w:b/>
                <w:noProof/>
                <w:sz w:val="22"/>
                <w:szCs w:val="22"/>
              </w:rPr>
              <w:t xml:space="preserve">Art. </w:t>
            </w:r>
            <w:r w:rsidR="00540472" w:rsidRPr="00317ABF">
              <w:rPr>
                <w:b/>
                <w:noProof/>
                <w:sz w:val="22"/>
                <w:szCs w:val="22"/>
              </w:rPr>
              <w:t>409</w:t>
            </w:r>
            <w:r w:rsidRPr="00317ABF">
              <w:rPr>
                <w:b/>
                <w:noProof/>
                <w:sz w:val="22"/>
                <w:szCs w:val="22"/>
              </w:rPr>
              <w:t xml:space="preserve"> ust. 1 i 3</w:t>
            </w:r>
          </w:p>
        </w:tc>
        <w:tc>
          <w:tcPr>
            <w:tcW w:w="6814" w:type="dxa"/>
            <w:gridSpan w:val="2"/>
          </w:tcPr>
          <w:p w14:paraId="25A0A29E" w14:textId="77777777" w:rsidR="00540472" w:rsidRPr="00317ABF" w:rsidRDefault="00540472" w:rsidP="009D3773">
            <w:pPr>
              <w:pStyle w:val="ARTartustawynprozporzdzenia"/>
              <w:spacing w:line="240" w:lineRule="auto"/>
              <w:rPr>
                <w:rFonts w:ascii="Times New Roman" w:hAnsi="Times New Roman" w:cs="Times New Roman"/>
                <w:sz w:val="22"/>
                <w:szCs w:val="22"/>
              </w:rPr>
            </w:pPr>
            <w:r w:rsidRPr="00317ABF">
              <w:rPr>
                <w:rStyle w:val="Ppogrubienie"/>
                <w:rFonts w:ascii="Times New Roman" w:hAnsi="Times New Roman"/>
                <w:sz w:val="22"/>
                <w:szCs w:val="22"/>
              </w:rPr>
              <w:t>Art. 409.</w:t>
            </w:r>
            <w:r w:rsidRPr="00317ABF">
              <w:rPr>
                <w:rFonts w:ascii="Times New Roman" w:hAnsi="Times New Roman" w:cs="Times New Roman"/>
                <w:sz w:val="22"/>
                <w:szCs w:val="22"/>
              </w:rPr>
              <w:t xml:space="preserve"> 1. Prezes UKE składa ministrowi właściwemu do spraw informatyzacji oraz ministrowi właściwemu do spraw łączności, w celu zaopiniowania, coroczne sprawozdanie ze swojej działalności regulacyjnej, w szczególności w zakresie stanu rynku komunikacji elektronicznej, decyzji, które wydał, zasobów ludzkich, finansowych i sposobu ich rozdysponowania oraz przyszłych planów, a także realizacji polityki rządu i unijnej polityki komunikacji elektronicznej, za rok poprzedni, w terminie do dnia 30 kwietnia.</w:t>
            </w:r>
          </w:p>
          <w:p w14:paraId="1E8B3B2D" w14:textId="6BF01CC2" w:rsidR="001E1112" w:rsidRPr="00317ABF" w:rsidRDefault="001E1112" w:rsidP="009D3773">
            <w:pPr>
              <w:pStyle w:val="USTustnpkodeksu"/>
              <w:spacing w:line="240" w:lineRule="auto"/>
              <w:rPr>
                <w:rFonts w:ascii="Times New Roman" w:hAnsi="Times New Roman" w:cs="Times New Roman"/>
                <w:sz w:val="22"/>
                <w:szCs w:val="22"/>
              </w:rPr>
            </w:pPr>
            <w:bookmarkStart w:id="47" w:name="mip52137286"/>
            <w:bookmarkEnd w:id="47"/>
            <w:r w:rsidRPr="00317ABF">
              <w:rPr>
                <w:rFonts w:ascii="Times New Roman" w:hAnsi="Times New Roman" w:cs="Times New Roman"/>
                <w:sz w:val="22"/>
                <w:szCs w:val="22"/>
              </w:rPr>
              <w:t>2. (…)</w:t>
            </w:r>
          </w:p>
          <w:p w14:paraId="5E69F487" w14:textId="77777777" w:rsidR="00540472" w:rsidRPr="00317ABF" w:rsidRDefault="001E1112" w:rsidP="009D3773">
            <w:pPr>
              <w:pStyle w:val="USTustnpkodeksu"/>
              <w:spacing w:line="240" w:lineRule="auto"/>
              <w:rPr>
                <w:rFonts w:ascii="Times New Roman" w:hAnsi="Times New Roman" w:cs="Times New Roman"/>
                <w:sz w:val="22"/>
                <w:szCs w:val="22"/>
              </w:rPr>
            </w:pPr>
            <w:bookmarkStart w:id="48" w:name="mip52137287"/>
            <w:bookmarkEnd w:id="48"/>
            <w:r w:rsidRPr="00317ABF">
              <w:rPr>
                <w:rFonts w:ascii="Times New Roman" w:hAnsi="Times New Roman" w:cs="Times New Roman"/>
                <w:sz w:val="22"/>
                <w:szCs w:val="22"/>
              </w:rPr>
              <w:t>3. Minister właściwy do spraw informatyzacji, w terminie miesiąca od dnia przedstawienia sprawozdania przez Prezesa UKE, przekazuje Prezesowi Rady Ministrów sprawozdanie wraz z opinią własną i ministra właściwego do spraw łączności.</w:t>
            </w:r>
          </w:p>
          <w:p w14:paraId="76614669" w14:textId="614B6CFA" w:rsidR="001E1112" w:rsidRPr="00317ABF" w:rsidRDefault="001E1112" w:rsidP="00DB3BEC">
            <w:pPr>
              <w:jc w:val="both"/>
              <w:rPr>
                <w:sz w:val="22"/>
                <w:szCs w:val="22"/>
              </w:rPr>
            </w:pPr>
          </w:p>
        </w:tc>
      </w:tr>
      <w:tr w:rsidR="001E1112" w:rsidRPr="00317ABF" w14:paraId="52C36338" w14:textId="77777777" w:rsidTr="7753F98D">
        <w:trPr>
          <w:gridAfter w:val="2"/>
          <w:wAfter w:w="175" w:type="dxa"/>
        </w:trPr>
        <w:tc>
          <w:tcPr>
            <w:tcW w:w="704" w:type="dxa"/>
          </w:tcPr>
          <w:p w14:paraId="2301884A" w14:textId="77777777" w:rsidR="001E1112" w:rsidRPr="00317ABF" w:rsidRDefault="001E1112" w:rsidP="00DB3BEC">
            <w:pPr>
              <w:jc w:val="both"/>
              <w:rPr>
                <w:b/>
                <w:sz w:val="22"/>
                <w:szCs w:val="22"/>
              </w:rPr>
            </w:pPr>
            <w:r w:rsidRPr="00317ABF">
              <w:rPr>
                <w:b/>
                <w:sz w:val="22"/>
                <w:szCs w:val="22"/>
              </w:rPr>
              <w:t>Art. 9</w:t>
            </w:r>
          </w:p>
        </w:tc>
        <w:tc>
          <w:tcPr>
            <w:tcW w:w="4308" w:type="dxa"/>
          </w:tcPr>
          <w:p w14:paraId="6306E376" w14:textId="77777777" w:rsidR="001E1112" w:rsidRPr="00317ABF" w:rsidRDefault="001E1112" w:rsidP="00DB3BEC">
            <w:pPr>
              <w:autoSpaceDE w:val="0"/>
              <w:autoSpaceDN w:val="0"/>
              <w:adjustRightInd w:val="0"/>
              <w:ind w:firstLine="708"/>
              <w:jc w:val="both"/>
              <w:rPr>
                <w:rFonts w:eastAsia="EUAlbertina-Regular-Identity-H"/>
                <w:sz w:val="22"/>
                <w:szCs w:val="22"/>
              </w:rPr>
            </w:pPr>
            <w:r w:rsidRPr="00317ABF">
              <w:rPr>
                <w:b/>
                <w:bCs/>
                <w:sz w:val="22"/>
                <w:szCs w:val="22"/>
              </w:rPr>
              <w:t>Zdolność regulacyjna krajowych organów regulacyjnych</w:t>
            </w:r>
          </w:p>
        </w:tc>
        <w:tc>
          <w:tcPr>
            <w:tcW w:w="986" w:type="dxa"/>
          </w:tcPr>
          <w:p w14:paraId="57590049" w14:textId="77777777" w:rsidR="001E1112" w:rsidRPr="00317ABF" w:rsidRDefault="001E1112" w:rsidP="00DB3BEC">
            <w:pPr>
              <w:jc w:val="both"/>
              <w:rPr>
                <w:sz w:val="22"/>
                <w:szCs w:val="22"/>
              </w:rPr>
            </w:pPr>
          </w:p>
        </w:tc>
        <w:tc>
          <w:tcPr>
            <w:tcW w:w="910" w:type="dxa"/>
          </w:tcPr>
          <w:p w14:paraId="0C5B615A" w14:textId="77777777" w:rsidR="001E1112" w:rsidRPr="00317ABF" w:rsidRDefault="001E1112" w:rsidP="00DB3BEC">
            <w:pPr>
              <w:pStyle w:val="Tekstpodstawowy"/>
              <w:rPr>
                <w:b/>
                <w:noProof/>
                <w:sz w:val="22"/>
                <w:szCs w:val="22"/>
              </w:rPr>
            </w:pPr>
          </w:p>
        </w:tc>
        <w:tc>
          <w:tcPr>
            <w:tcW w:w="6814" w:type="dxa"/>
            <w:gridSpan w:val="2"/>
          </w:tcPr>
          <w:p w14:paraId="792F1AA2" w14:textId="77777777" w:rsidR="001E1112" w:rsidRPr="00317ABF" w:rsidRDefault="001E1112" w:rsidP="00DB3BEC">
            <w:pPr>
              <w:pStyle w:val="Tekstpodstawowy"/>
              <w:rPr>
                <w:sz w:val="22"/>
                <w:szCs w:val="22"/>
              </w:rPr>
            </w:pPr>
          </w:p>
        </w:tc>
      </w:tr>
      <w:tr w:rsidR="001E1112" w:rsidRPr="00317ABF" w14:paraId="047E4715" w14:textId="77777777" w:rsidTr="7753F98D">
        <w:trPr>
          <w:gridAfter w:val="2"/>
          <w:wAfter w:w="175" w:type="dxa"/>
        </w:trPr>
        <w:tc>
          <w:tcPr>
            <w:tcW w:w="704" w:type="dxa"/>
          </w:tcPr>
          <w:p w14:paraId="6C250E94" w14:textId="77777777" w:rsidR="001E1112" w:rsidRPr="00317ABF" w:rsidRDefault="001E1112" w:rsidP="00DB3BEC">
            <w:pPr>
              <w:jc w:val="both"/>
              <w:rPr>
                <w:sz w:val="22"/>
                <w:szCs w:val="22"/>
              </w:rPr>
            </w:pPr>
            <w:r w:rsidRPr="00317ABF">
              <w:rPr>
                <w:sz w:val="22"/>
                <w:szCs w:val="22"/>
              </w:rPr>
              <w:t>Art. 9 ust. 1</w:t>
            </w:r>
          </w:p>
        </w:tc>
        <w:tc>
          <w:tcPr>
            <w:tcW w:w="4308" w:type="dxa"/>
          </w:tcPr>
          <w:p w14:paraId="1A499DFC" w14:textId="0557CFAB" w:rsidR="001E1112" w:rsidRPr="00317ABF" w:rsidRDefault="001E1112" w:rsidP="00DB3BEC">
            <w:pPr>
              <w:autoSpaceDE w:val="0"/>
              <w:autoSpaceDN w:val="0"/>
              <w:adjustRightInd w:val="0"/>
              <w:spacing w:before="120"/>
              <w:jc w:val="both"/>
              <w:rPr>
                <w:sz w:val="22"/>
                <w:szCs w:val="22"/>
              </w:rPr>
            </w:pPr>
            <w:r w:rsidRPr="00317ABF">
              <w:rPr>
                <w:sz w:val="22"/>
                <w:szCs w:val="22"/>
              </w:rPr>
              <w:t>1.   Państwa członkowskie zapewniają, aby krajowe organy regulacyjne miały oddzielne budżety roczne i posiadały autonomię w wykonaniu przyznanego budżetu. Budżety te są podawane do wiadomości publicznej.</w:t>
            </w:r>
          </w:p>
        </w:tc>
        <w:tc>
          <w:tcPr>
            <w:tcW w:w="986" w:type="dxa"/>
          </w:tcPr>
          <w:p w14:paraId="5E7E3C41" w14:textId="0720F146" w:rsidR="001E1112" w:rsidRPr="00317ABF" w:rsidRDefault="001E1112" w:rsidP="00DB3BEC">
            <w:pPr>
              <w:jc w:val="both"/>
              <w:rPr>
                <w:sz w:val="22"/>
                <w:szCs w:val="22"/>
              </w:rPr>
            </w:pPr>
            <w:r w:rsidRPr="00317ABF">
              <w:rPr>
                <w:sz w:val="22"/>
                <w:szCs w:val="22"/>
              </w:rPr>
              <w:t>T</w:t>
            </w:r>
          </w:p>
        </w:tc>
        <w:tc>
          <w:tcPr>
            <w:tcW w:w="910" w:type="dxa"/>
          </w:tcPr>
          <w:p w14:paraId="5C4E2C69" w14:textId="7889FC3B" w:rsidR="001E1112" w:rsidRPr="00317ABF" w:rsidRDefault="001E1112" w:rsidP="00DB3BEC">
            <w:pPr>
              <w:pStyle w:val="Tekstpodstawowy"/>
              <w:rPr>
                <w:b/>
                <w:bCs/>
                <w:noProof/>
                <w:sz w:val="22"/>
                <w:szCs w:val="22"/>
              </w:rPr>
            </w:pPr>
            <w:r w:rsidRPr="00317ABF">
              <w:rPr>
                <w:b/>
                <w:bCs/>
                <w:noProof/>
                <w:sz w:val="22"/>
                <w:szCs w:val="22"/>
              </w:rPr>
              <w:t xml:space="preserve">Art. </w:t>
            </w:r>
            <w:r w:rsidR="00BB2CD9" w:rsidRPr="00317ABF">
              <w:rPr>
                <w:b/>
                <w:bCs/>
                <w:noProof/>
                <w:sz w:val="22"/>
                <w:szCs w:val="22"/>
              </w:rPr>
              <w:t>415</w:t>
            </w:r>
            <w:r w:rsidRPr="00317ABF">
              <w:rPr>
                <w:b/>
                <w:bCs/>
                <w:noProof/>
                <w:sz w:val="22"/>
                <w:szCs w:val="22"/>
              </w:rPr>
              <w:t xml:space="preserve"> ust. 2, odrębny budżet</w:t>
            </w:r>
          </w:p>
          <w:p w14:paraId="4ECDF339" w14:textId="3EF1E9D6" w:rsidR="001E1112" w:rsidRPr="00317ABF" w:rsidRDefault="001E1112" w:rsidP="00DB3BEC">
            <w:pPr>
              <w:pStyle w:val="Tekstpodstawowy"/>
              <w:rPr>
                <w:b/>
                <w:bCs/>
                <w:noProof/>
                <w:sz w:val="22"/>
                <w:szCs w:val="22"/>
              </w:rPr>
            </w:pPr>
            <w:r w:rsidRPr="00317ABF">
              <w:rPr>
                <w:b/>
                <w:bCs/>
                <w:noProof/>
                <w:sz w:val="22"/>
                <w:szCs w:val="22"/>
              </w:rPr>
              <w:t xml:space="preserve">Art. 114 Ustawy o finansach publicznych, </w:t>
            </w:r>
          </w:p>
          <w:p w14:paraId="03F828E4" w14:textId="51417568" w:rsidR="001E1112" w:rsidRPr="00317ABF" w:rsidRDefault="001E1112" w:rsidP="00DB3BEC">
            <w:pPr>
              <w:pStyle w:val="Tekstpodstawowy"/>
              <w:rPr>
                <w:b/>
                <w:bCs/>
                <w:noProof/>
                <w:sz w:val="22"/>
                <w:szCs w:val="22"/>
              </w:rPr>
            </w:pPr>
            <w:r w:rsidRPr="00317ABF">
              <w:rPr>
                <w:b/>
                <w:bCs/>
                <w:noProof/>
                <w:sz w:val="22"/>
                <w:szCs w:val="22"/>
              </w:rPr>
              <w:t>Rozporządzenie Ministr</w:t>
            </w:r>
            <w:r w:rsidRPr="00317ABF">
              <w:rPr>
                <w:b/>
                <w:bCs/>
                <w:noProof/>
                <w:sz w:val="22"/>
                <w:szCs w:val="22"/>
              </w:rPr>
              <w:lastRenderedPageBreak/>
              <w:t>a Finansów sprawie klasyfikacji częśći budżetowych oraz określenia ich dysponentów</w:t>
            </w:r>
          </w:p>
        </w:tc>
        <w:tc>
          <w:tcPr>
            <w:tcW w:w="6814" w:type="dxa"/>
            <w:gridSpan w:val="2"/>
          </w:tcPr>
          <w:p w14:paraId="77BCC17C" w14:textId="3E3E8A88" w:rsidR="001E1112" w:rsidRPr="00317ABF" w:rsidRDefault="001E1112" w:rsidP="00DB3BEC">
            <w:pPr>
              <w:jc w:val="both"/>
              <w:rPr>
                <w:sz w:val="22"/>
                <w:szCs w:val="22"/>
              </w:rPr>
            </w:pPr>
            <w:r w:rsidRPr="00317ABF">
              <w:rPr>
                <w:sz w:val="22"/>
                <w:szCs w:val="22"/>
              </w:rPr>
              <w:lastRenderedPageBreak/>
              <w:t xml:space="preserve">Art. </w:t>
            </w:r>
            <w:r w:rsidR="00BB2CD9" w:rsidRPr="00317ABF">
              <w:rPr>
                <w:sz w:val="22"/>
                <w:szCs w:val="22"/>
              </w:rPr>
              <w:t>415</w:t>
            </w:r>
            <w:r w:rsidRPr="00317ABF">
              <w:rPr>
                <w:sz w:val="22"/>
                <w:szCs w:val="22"/>
              </w:rPr>
              <w:t>. 1. Prezes UKE wykonuje zadania przy pomocy UKE.</w:t>
            </w:r>
          </w:p>
          <w:p w14:paraId="1F2D99E1" w14:textId="77777777" w:rsidR="001E1112" w:rsidRPr="00317ABF" w:rsidRDefault="001E1112" w:rsidP="00DB3BEC">
            <w:pPr>
              <w:jc w:val="both"/>
              <w:rPr>
                <w:sz w:val="22"/>
                <w:szCs w:val="22"/>
              </w:rPr>
            </w:pPr>
            <w:r w:rsidRPr="00317ABF">
              <w:rPr>
                <w:sz w:val="22"/>
                <w:szCs w:val="22"/>
              </w:rPr>
              <w:t>2. UKE prowadzi gospodarkę finansową na zasadach określonych dla jednostek budżetowych.</w:t>
            </w:r>
          </w:p>
          <w:p w14:paraId="11D2CCE3" w14:textId="7C0F6ED7" w:rsidR="001E1112" w:rsidRPr="00317ABF" w:rsidRDefault="001E1112" w:rsidP="00DB3BEC">
            <w:pPr>
              <w:jc w:val="both"/>
              <w:rPr>
                <w:sz w:val="22"/>
                <w:szCs w:val="22"/>
              </w:rPr>
            </w:pPr>
          </w:p>
          <w:p w14:paraId="7A04B3B2" w14:textId="509AB86F" w:rsidR="001E1112" w:rsidRPr="00317ABF" w:rsidRDefault="001E1112" w:rsidP="00DB3BEC">
            <w:pPr>
              <w:jc w:val="both"/>
              <w:rPr>
                <w:b/>
                <w:sz w:val="22"/>
                <w:szCs w:val="22"/>
              </w:rPr>
            </w:pPr>
            <w:r w:rsidRPr="00317ABF">
              <w:rPr>
                <w:b/>
                <w:sz w:val="22"/>
                <w:szCs w:val="22"/>
              </w:rPr>
              <w:t>Ustawa z dnia 4 kwietnia 2019 roku o finansach publicznych (Dz. U. z 2019 r. poz. 869 ze zm.) – art. 109  ust. 1 i art. 114</w:t>
            </w:r>
          </w:p>
          <w:p w14:paraId="33590054" w14:textId="7BCC894A" w:rsidR="001E1112" w:rsidRPr="00317ABF" w:rsidRDefault="001E1112" w:rsidP="00DB3BEC">
            <w:pPr>
              <w:jc w:val="both"/>
              <w:rPr>
                <w:sz w:val="22"/>
                <w:szCs w:val="22"/>
              </w:rPr>
            </w:pPr>
            <w:r w:rsidRPr="00317ABF">
              <w:rPr>
                <w:sz w:val="22"/>
                <w:szCs w:val="22"/>
              </w:rPr>
              <w:t>Art. 109 ust. 1</w:t>
            </w:r>
          </w:p>
          <w:p w14:paraId="369AC627" w14:textId="77777777" w:rsidR="001E1112" w:rsidRPr="00317ABF" w:rsidRDefault="001E1112" w:rsidP="00DB3BEC">
            <w:pPr>
              <w:jc w:val="both"/>
              <w:rPr>
                <w:sz w:val="22"/>
                <w:szCs w:val="22"/>
              </w:rPr>
            </w:pPr>
            <w:bookmarkStart w:id="49" w:name="mip48895258"/>
            <w:bookmarkEnd w:id="49"/>
            <w:r w:rsidRPr="00317ABF">
              <w:rPr>
                <w:sz w:val="22"/>
                <w:szCs w:val="22"/>
              </w:rPr>
              <w:t>1. Ustawa budżetowa jest podstawą gospodarki finansowej państwa w danym roku budżetowym.</w:t>
            </w:r>
          </w:p>
          <w:p w14:paraId="1A01A4E3" w14:textId="77777777" w:rsidR="001E1112" w:rsidRPr="00317ABF" w:rsidRDefault="001E1112" w:rsidP="00DB3BEC">
            <w:pPr>
              <w:jc w:val="both"/>
              <w:rPr>
                <w:sz w:val="22"/>
                <w:szCs w:val="22"/>
              </w:rPr>
            </w:pPr>
          </w:p>
          <w:p w14:paraId="2FFB174F" w14:textId="3E2A675F" w:rsidR="001E1112" w:rsidRPr="00317ABF" w:rsidRDefault="001E1112" w:rsidP="00DB3BEC">
            <w:pPr>
              <w:jc w:val="both"/>
              <w:rPr>
                <w:sz w:val="22"/>
                <w:szCs w:val="22"/>
              </w:rPr>
            </w:pPr>
            <w:r w:rsidRPr="00317ABF">
              <w:rPr>
                <w:sz w:val="22"/>
                <w:szCs w:val="22"/>
              </w:rPr>
              <w:t>Art. 114</w:t>
            </w:r>
          </w:p>
          <w:p w14:paraId="1A4E9B7E" w14:textId="77777777" w:rsidR="001E1112" w:rsidRPr="00317ABF" w:rsidRDefault="001E1112" w:rsidP="00DB3BEC">
            <w:pPr>
              <w:jc w:val="both"/>
              <w:rPr>
                <w:sz w:val="22"/>
                <w:szCs w:val="22"/>
              </w:rPr>
            </w:pPr>
            <w:bookmarkStart w:id="50" w:name="mip48895354"/>
            <w:bookmarkEnd w:id="50"/>
            <w:r w:rsidRPr="00317ABF">
              <w:rPr>
                <w:sz w:val="22"/>
                <w:szCs w:val="22"/>
              </w:rPr>
              <w:t xml:space="preserve">1. Budżet państwa składa się z części odpowiadających organom władzy publicznej, kontroli państwowej, sądom, trybunałom i innym organom wymienionym w </w:t>
            </w:r>
            <w:hyperlink r:id="rId12" w:history="1">
              <w:r w:rsidRPr="00317ABF">
                <w:rPr>
                  <w:sz w:val="22"/>
                  <w:szCs w:val="22"/>
                </w:rPr>
                <w:t>art. 139 ust. 2</w:t>
              </w:r>
            </w:hyperlink>
            <w:r w:rsidRPr="00317ABF">
              <w:rPr>
                <w:sz w:val="22"/>
                <w:szCs w:val="22"/>
              </w:rPr>
              <w:t xml:space="preserve">, administracji rządowej, przy czym dla poszczególnych działów administracji rządowej oraz dla urzędów </w:t>
            </w:r>
            <w:r w:rsidRPr="00317ABF">
              <w:rPr>
                <w:sz w:val="22"/>
                <w:szCs w:val="22"/>
              </w:rPr>
              <w:lastRenderedPageBreak/>
              <w:t>nadzorowanych przez Prezesa Rady Ministrów ustala się odpowiednio odrębne części budżetu.</w:t>
            </w:r>
          </w:p>
          <w:p w14:paraId="54AFDFE7" w14:textId="77777777" w:rsidR="001E1112" w:rsidRPr="00317ABF" w:rsidRDefault="001E1112" w:rsidP="00DB3BEC">
            <w:pPr>
              <w:jc w:val="both"/>
              <w:rPr>
                <w:sz w:val="22"/>
                <w:szCs w:val="22"/>
              </w:rPr>
            </w:pPr>
            <w:bookmarkStart w:id="51" w:name="mip48895355"/>
            <w:bookmarkEnd w:id="51"/>
            <w:r w:rsidRPr="00317ABF">
              <w:rPr>
                <w:sz w:val="22"/>
                <w:szCs w:val="22"/>
              </w:rPr>
              <w:t>2. W odrębnych częściach budżetu państwa ujmuje się:</w:t>
            </w:r>
          </w:p>
          <w:p w14:paraId="3F3E0577" w14:textId="1E5ADC86" w:rsidR="001E1112" w:rsidRPr="00317ABF" w:rsidRDefault="001E1112" w:rsidP="00DB3BEC">
            <w:pPr>
              <w:jc w:val="both"/>
              <w:rPr>
                <w:bCs/>
                <w:sz w:val="22"/>
                <w:szCs w:val="22"/>
              </w:rPr>
            </w:pPr>
            <w:bookmarkStart w:id="52" w:name="mip48895357"/>
            <w:bookmarkEnd w:id="52"/>
            <w:r w:rsidRPr="00317ABF">
              <w:rPr>
                <w:bCs/>
                <w:sz w:val="22"/>
                <w:szCs w:val="22"/>
              </w:rPr>
              <w:t xml:space="preserve">1) </w:t>
            </w:r>
            <w:r w:rsidRPr="00317ABF">
              <w:rPr>
                <w:sz w:val="22"/>
                <w:szCs w:val="22"/>
              </w:rPr>
              <w:t>subwencje ogólne dla jednostek samorządu terytorialnego;</w:t>
            </w:r>
          </w:p>
          <w:p w14:paraId="30557B6B" w14:textId="1ECABBE0" w:rsidR="001E1112" w:rsidRPr="00317ABF" w:rsidRDefault="001E1112" w:rsidP="00DB3BEC">
            <w:pPr>
              <w:jc w:val="both"/>
              <w:rPr>
                <w:b/>
                <w:bCs/>
                <w:sz w:val="22"/>
                <w:szCs w:val="22"/>
              </w:rPr>
            </w:pPr>
            <w:bookmarkStart w:id="53" w:name="mip48895358"/>
            <w:bookmarkEnd w:id="53"/>
            <w:r w:rsidRPr="00317ABF">
              <w:rPr>
                <w:bCs/>
                <w:sz w:val="22"/>
                <w:szCs w:val="22"/>
              </w:rPr>
              <w:t>2)</w:t>
            </w:r>
            <w:r w:rsidRPr="00317ABF">
              <w:rPr>
                <w:b/>
                <w:bCs/>
                <w:sz w:val="22"/>
                <w:szCs w:val="22"/>
              </w:rPr>
              <w:t xml:space="preserve"> </w:t>
            </w:r>
            <w:r w:rsidRPr="00317ABF">
              <w:rPr>
                <w:sz w:val="22"/>
                <w:szCs w:val="22"/>
              </w:rPr>
              <w:t>rezerwę ogólną;</w:t>
            </w:r>
          </w:p>
          <w:p w14:paraId="104D19BE" w14:textId="629646E1" w:rsidR="001E1112" w:rsidRPr="00317ABF" w:rsidRDefault="001E1112" w:rsidP="00DB3BEC">
            <w:pPr>
              <w:jc w:val="both"/>
              <w:rPr>
                <w:b/>
                <w:bCs/>
                <w:sz w:val="22"/>
                <w:szCs w:val="22"/>
              </w:rPr>
            </w:pPr>
            <w:bookmarkStart w:id="54" w:name="mip48895359"/>
            <w:bookmarkEnd w:id="54"/>
            <w:r w:rsidRPr="00317ABF">
              <w:rPr>
                <w:bCs/>
                <w:sz w:val="22"/>
                <w:szCs w:val="22"/>
              </w:rPr>
              <w:t>3)</w:t>
            </w:r>
            <w:r w:rsidRPr="00317ABF">
              <w:rPr>
                <w:b/>
                <w:bCs/>
                <w:sz w:val="22"/>
                <w:szCs w:val="22"/>
              </w:rPr>
              <w:t xml:space="preserve"> </w:t>
            </w:r>
            <w:r w:rsidRPr="00317ABF">
              <w:rPr>
                <w:sz w:val="22"/>
                <w:szCs w:val="22"/>
              </w:rPr>
              <w:t>rezerwy celowe;</w:t>
            </w:r>
          </w:p>
          <w:p w14:paraId="76D9834E" w14:textId="3A2A2305" w:rsidR="001E1112" w:rsidRPr="00317ABF" w:rsidRDefault="001E1112" w:rsidP="00DB3BEC">
            <w:pPr>
              <w:jc w:val="both"/>
              <w:rPr>
                <w:b/>
                <w:bCs/>
                <w:sz w:val="22"/>
                <w:szCs w:val="22"/>
              </w:rPr>
            </w:pPr>
            <w:bookmarkStart w:id="55" w:name="mip48895360"/>
            <w:bookmarkEnd w:id="55"/>
            <w:r w:rsidRPr="00317ABF">
              <w:rPr>
                <w:bCs/>
                <w:sz w:val="22"/>
                <w:szCs w:val="22"/>
              </w:rPr>
              <w:t>4)</w:t>
            </w:r>
            <w:r w:rsidRPr="00317ABF">
              <w:rPr>
                <w:b/>
                <w:bCs/>
                <w:sz w:val="22"/>
                <w:szCs w:val="22"/>
              </w:rPr>
              <w:t xml:space="preserve"> </w:t>
            </w:r>
            <w:r w:rsidRPr="00317ABF">
              <w:rPr>
                <w:sz w:val="22"/>
                <w:szCs w:val="22"/>
              </w:rPr>
              <w:t>obsługę długu Skarbu Państwa;</w:t>
            </w:r>
          </w:p>
          <w:p w14:paraId="3DE3EB78" w14:textId="7D8E4543" w:rsidR="001E1112" w:rsidRPr="00317ABF" w:rsidRDefault="001E1112" w:rsidP="00DB3BEC">
            <w:pPr>
              <w:jc w:val="both"/>
              <w:rPr>
                <w:b/>
                <w:bCs/>
                <w:sz w:val="22"/>
                <w:szCs w:val="22"/>
              </w:rPr>
            </w:pPr>
            <w:bookmarkStart w:id="56" w:name="mip48895361"/>
            <w:bookmarkEnd w:id="56"/>
            <w:r w:rsidRPr="00317ABF">
              <w:rPr>
                <w:bCs/>
                <w:sz w:val="22"/>
                <w:szCs w:val="22"/>
              </w:rPr>
              <w:t>5)</w:t>
            </w:r>
            <w:r w:rsidRPr="00317ABF">
              <w:rPr>
                <w:b/>
                <w:bCs/>
                <w:sz w:val="22"/>
                <w:szCs w:val="22"/>
              </w:rPr>
              <w:t xml:space="preserve"> </w:t>
            </w:r>
            <w:r w:rsidRPr="00317ABF">
              <w:rPr>
                <w:sz w:val="22"/>
                <w:szCs w:val="22"/>
              </w:rPr>
              <w:t>środki własne Unii Europejskiej;</w:t>
            </w:r>
          </w:p>
          <w:p w14:paraId="3BC2E817" w14:textId="5604225C" w:rsidR="001E1112" w:rsidRPr="00317ABF" w:rsidRDefault="001E1112" w:rsidP="00DB3BEC">
            <w:pPr>
              <w:jc w:val="both"/>
              <w:rPr>
                <w:bCs/>
                <w:sz w:val="22"/>
                <w:szCs w:val="22"/>
              </w:rPr>
            </w:pPr>
            <w:bookmarkStart w:id="57" w:name="mip48895362"/>
            <w:bookmarkEnd w:id="57"/>
            <w:r w:rsidRPr="00317ABF">
              <w:rPr>
                <w:bCs/>
                <w:sz w:val="22"/>
                <w:szCs w:val="22"/>
              </w:rPr>
              <w:t xml:space="preserve">6) </w:t>
            </w:r>
            <w:r w:rsidRPr="00317ABF">
              <w:rPr>
                <w:sz w:val="22"/>
                <w:szCs w:val="22"/>
              </w:rPr>
              <w:t>przychody i rozchody związane z finansowaniem potrzeb pożyczkowych budżetu państwa;</w:t>
            </w:r>
          </w:p>
          <w:p w14:paraId="43506294" w14:textId="65A24C6D" w:rsidR="001E1112" w:rsidRPr="00317ABF" w:rsidRDefault="001E1112" w:rsidP="00DB3BEC">
            <w:pPr>
              <w:jc w:val="both"/>
              <w:rPr>
                <w:b/>
                <w:bCs/>
                <w:sz w:val="22"/>
                <w:szCs w:val="22"/>
              </w:rPr>
            </w:pPr>
            <w:bookmarkStart w:id="58" w:name="mip48895363"/>
            <w:bookmarkEnd w:id="58"/>
            <w:r w:rsidRPr="00317ABF">
              <w:rPr>
                <w:bCs/>
                <w:sz w:val="22"/>
                <w:szCs w:val="22"/>
              </w:rPr>
              <w:t>7)</w:t>
            </w:r>
            <w:r w:rsidRPr="00317ABF">
              <w:rPr>
                <w:b/>
                <w:bCs/>
                <w:sz w:val="22"/>
                <w:szCs w:val="22"/>
              </w:rPr>
              <w:t xml:space="preserve"> </w:t>
            </w:r>
            <w:r w:rsidRPr="00317ABF">
              <w:rPr>
                <w:sz w:val="22"/>
                <w:szCs w:val="22"/>
              </w:rPr>
              <w:t xml:space="preserve">dochody, o których mowa w </w:t>
            </w:r>
            <w:hyperlink r:id="rId13" w:history="1">
              <w:r w:rsidRPr="00317ABF">
                <w:rPr>
                  <w:sz w:val="22"/>
                  <w:szCs w:val="22"/>
                </w:rPr>
                <w:t>art. 111 pkt 16</w:t>
              </w:r>
            </w:hyperlink>
            <w:r w:rsidRPr="00317ABF">
              <w:rPr>
                <w:sz w:val="22"/>
                <w:szCs w:val="22"/>
              </w:rPr>
              <w:t>.</w:t>
            </w:r>
          </w:p>
          <w:p w14:paraId="7DE2AA98" w14:textId="77777777" w:rsidR="001E1112" w:rsidRPr="00317ABF" w:rsidRDefault="001E1112" w:rsidP="00DB3BEC">
            <w:pPr>
              <w:jc w:val="both"/>
              <w:rPr>
                <w:sz w:val="22"/>
                <w:szCs w:val="22"/>
              </w:rPr>
            </w:pPr>
            <w:bookmarkStart w:id="59" w:name="mip48895364"/>
            <w:bookmarkEnd w:id="59"/>
            <w:r w:rsidRPr="00317ABF">
              <w:rPr>
                <w:sz w:val="22"/>
                <w:szCs w:val="22"/>
              </w:rPr>
              <w:t>3. W uzasadnionych przypadkach, na wniosek właściwego ministra, w budżecie państwa mogą być tworzone odrębne części dla:</w:t>
            </w:r>
          </w:p>
          <w:p w14:paraId="48BB819A" w14:textId="06FE5227" w:rsidR="001E1112" w:rsidRPr="00317ABF" w:rsidRDefault="001E1112" w:rsidP="00DB3BEC">
            <w:pPr>
              <w:jc w:val="both"/>
              <w:rPr>
                <w:b/>
                <w:bCs/>
                <w:sz w:val="22"/>
                <w:szCs w:val="22"/>
              </w:rPr>
            </w:pPr>
            <w:bookmarkStart w:id="60" w:name="mip48895366"/>
            <w:bookmarkEnd w:id="60"/>
            <w:r w:rsidRPr="00317ABF">
              <w:rPr>
                <w:bCs/>
                <w:sz w:val="22"/>
                <w:szCs w:val="22"/>
              </w:rPr>
              <w:t>1)</w:t>
            </w:r>
            <w:r w:rsidRPr="00317ABF">
              <w:rPr>
                <w:b/>
                <w:bCs/>
                <w:sz w:val="22"/>
                <w:szCs w:val="22"/>
              </w:rPr>
              <w:t xml:space="preserve"> </w:t>
            </w:r>
            <w:r w:rsidRPr="00317ABF">
              <w:rPr>
                <w:sz w:val="22"/>
                <w:szCs w:val="22"/>
              </w:rPr>
              <w:t>urzędów centralnych nadzorowanych przez ministra;</w:t>
            </w:r>
          </w:p>
          <w:p w14:paraId="1634432D" w14:textId="3118298A" w:rsidR="001E1112" w:rsidRPr="00317ABF" w:rsidRDefault="001E1112" w:rsidP="00DB3BEC">
            <w:pPr>
              <w:jc w:val="both"/>
              <w:rPr>
                <w:b/>
                <w:bCs/>
                <w:sz w:val="22"/>
                <w:szCs w:val="22"/>
              </w:rPr>
            </w:pPr>
            <w:bookmarkStart w:id="61" w:name="mip48895367"/>
            <w:bookmarkEnd w:id="61"/>
            <w:r w:rsidRPr="00317ABF">
              <w:rPr>
                <w:bCs/>
                <w:sz w:val="22"/>
                <w:szCs w:val="22"/>
              </w:rPr>
              <w:t>2)</w:t>
            </w:r>
            <w:r w:rsidRPr="00317ABF">
              <w:rPr>
                <w:b/>
                <w:bCs/>
                <w:sz w:val="22"/>
                <w:szCs w:val="22"/>
              </w:rPr>
              <w:t xml:space="preserve"> </w:t>
            </w:r>
            <w:r w:rsidRPr="00317ABF">
              <w:rPr>
                <w:sz w:val="22"/>
                <w:szCs w:val="22"/>
              </w:rPr>
              <w:t>państwowych jednostek organizacyjnych, które nie są organami władzy lub administracji rządowej;</w:t>
            </w:r>
          </w:p>
          <w:p w14:paraId="5611D1DB" w14:textId="3E2874DD" w:rsidR="001E1112" w:rsidRPr="00317ABF" w:rsidRDefault="001E1112" w:rsidP="00DB3BEC">
            <w:pPr>
              <w:jc w:val="both"/>
              <w:rPr>
                <w:b/>
                <w:bCs/>
                <w:sz w:val="22"/>
                <w:szCs w:val="22"/>
              </w:rPr>
            </w:pPr>
            <w:bookmarkStart w:id="62" w:name="mip48895368"/>
            <w:bookmarkEnd w:id="62"/>
            <w:r w:rsidRPr="00317ABF">
              <w:rPr>
                <w:bCs/>
                <w:sz w:val="22"/>
                <w:szCs w:val="22"/>
              </w:rPr>
              <w:t>3)</w:t>
            </w:r>
            <w:r w:rsidRPr="00317ABF">
              <w:rPr>
                <w:b/>
                <w:bCs/>
                <w:sz w:val="22"/>
                <w:szCs w:val="22"/>
              </w:rPr>
              <w:t xml:space="preserve"> </w:t>
            </w:r>
            <w:r w:rsidRPr="00317ABF">
              <w:rPr>
                <w:sz w:val="22"/>
                <w:szCs w:val="22"/>
              </w:rPr>
              <w:t>zadań ogólnych, jeżeli wyodrębnienie części jest uzasadnione koniecznością zapewnienia bieżącej kontroli dochodów lub wydatków.</w:t>
            </w:r>
          </w:p>
          <w:p w14:paraId="04ACB014" w14:textId="77777777" w:rsidR="001E1112" w:rsidRPr="00317ABF" w:rsidRDefault="001E1112" w:rsidP="00DB3BEC">
            <w:pPr>
              <w:jc w:val="both"/>
              <w:rPr>
                <w:sz w:val="22"/>
                <w:szCs w:val="22"/>
              </w:rPr>
            </w:pPr>
            <w:bookmarkStart w:id="63" w:name="mip48895369"/>
            <w:bookmarkEnd w:id="63"/>
            <w:r w:rsidRPr="00317ABF">
              <w:rPr>
                <w:sz w:val="22"/>
                <w:szCs w:val="22"/>
              </w:rPr>
              <w:t>4. Częściami budżetu państwa dysponują dysponenci części budżetowych, jeżeli odrębne ustawy nie stanowią inaczej.</w:t>
            </w:r>
          </w:p>
          <w:p w14:paraId="6FEBA9DB" w14:textId="77777777" w:rsidR="001E1112" w:rsidRPr="00317ABF" w:rsidRDefault="001E1112" w:rsidP="00DB3BEC">
            <w:pPr>
              <w:jc w:val="both"/>
              <w:rPr>
                <w:sz w:val="22"/>
                <w:szCs w:val="22"/>
              </w:rPr>
            </w:pPr>
            <w:bookmarkStart w:id="64" w:name="mip48895370"/>
            <w:bookmarkEnd w:id="64"/>
            <w:r w:rsidRPr="00317ABF">
              <w:rPr>
                <w:sz w:val="22"/>
                <w:szCs w:val="22"/>
              </w:rPr>
              <w:t xml:space="preserve">5. Dochody i wydatki oraz przychody i rozchody budżetu państwa klasyfikuje się według zasad określonych w </w:t>
            </w:r>
            <w:hyperlink r:id="rId14" w:history="1">
              <w:r w:rsidRPr="00317ABF">
                <w:rPr>
                  <w:sz w:val="22"/>
                  <w:szCs w:val="22"/>
                </w:rPr>
                <w:t>art. 39</w:t>
              </w:r>
            </w:hyperlink>
            <w:r w:rsidRPr="00317ABF">
              <w:rPr>
                <w:sz w:val="22"/>
                <w:szCs w:val="22"/>
              </w:rPr>
              <w:t xml:space="preserve"> oraz według części budżetowych, o których mowa w ust. 1-4.</w:t>
            </w:r>
          </w:p>
          <w:p w14:paraId="3EE03869" w14:textId="77777777" w:rsidR="001E1112" w:rsidRPr="00317ABF" w:rsidRDefault="001E1112" w:rsidP="00DB3BEC">
            <w:pPr>
              <w:jc w:val="both"/>
              <w:rPr>
                <w:sz w:val="22"/>
                <w:szCs w:val="22"/>
              </w:rPr>
            </w:pPr>
            <w:bookmarkStart w:id="65" w:name="mip48895371"/>
            <w:bookmarkEnd w:id="65"/>
            <w:r w:rsidRPr="00317ABF">
              <w:rPr>
                <w:sz w:val="22"/>
                <w:szCs w:val="22"/>
              </w:rPr>
              <w:t>6. Minister Finansów ustala, w drodze rozporządzenia, klasyfikację części budżetowych oraz dysponentów części budżetowych dla części budżetowych, o których mowa w ust. 1-3, mając na celu zapewnienie przejrzystości gospodarowania środkami budżetu państwa.</w:t>
            </w:r>
          </w:p>
          <w:p w14:paraId="2788782C" w14:textId="77777777" w:rsidR="001E1112" w:rsidRPr="00317ABF" w:rsidRDefault="001E1112" w:rsidP="00DB3BEC">
            <w:pPr>
              <w:jc w:val="both"/>
              <w:rPr>
                <w:sz w:val="22"/>
                <w:szCs w:val="22"/>
              </w:rPr>
            </w:pPr>
          </w:p>
          <w:p w14:paraId="567ACB2B" w14:textId="7BBB9E55" w:rsidR="001E1112" w:rsidRPr="00317ABF" w:rsidRDefault="001E1112" w:rsidP="00DB3BEC">
            <w:pPr>
              <w:pStyle w:val="Tekstkomentarza"/>
              <w:jc w:val="both"/>
              <w:rPr>
                <w:sz w:val="22"/>
                <w:szCs w:val="22"/>
              </w:rPr>
            </w:pPr>
            <w:r w:rsidRPr="00317ABF">
              <w:rPr>
                <w:b/>
                <w:sz w:val="22"/>
                <w:szCs w:val="22"/>
              </w:rPr>
              <w:t>Rozporządzenie Ministra Finansów z dnia 4 grudnia 2009 r. w sprawie klasyfikacji części budżetowych oraz określenia ich dysponentów (Dz.U. z 2020 r. poz. 361)</w:t>
            </w:r>
            <w:r w:rsidRPr="00317ABF">
              <w:rPr>
                <w:sz w:val="22"/>
                <w:szCs w:val="22"/>
              </w:rPr>
              <w:t xml:space="preserve"> ─ § 1 pkt 76, §2 ust.1.</w:t>
            </w:r>
          </w:p>
          <w:p w14:paraId="367C252C" w14:textId="564ED6F7" w:rsidR="001E1112" w:rsidRPr="00317ABF" w:rsidRDefault="001E1112" w:rsidP="00DB3BEC">
            <w:pPr>
              <w:pStyle w:val="Tekstkomentarza"/>
              <w:jc w:val="both"/>
              <w:rPr>
                <w:sz w:val="22"/>
                <w:szCs w:val="22"/>
              </w:rPr>
            </w:pPr>
            <w:r w:rsidRPr="00317ABF">
              <w:rPr>
                <w:sz w:val="22"/>
                <w:szCs w:val="22"/>
              </w:rPr>
              <w:t xml:space="preserve"> §1 Ustala się następującą klasyfikację części budżetowych: (…)pkt 76 Urząd Komunikacji Elektronicznej.</w:t>
            </w:r>
          </w:p>
          <w:p w14:paraId="2AC57CB0" w14:textId="2D462849" w:rsidR="001E1112" w:rsidRPr="00317ABF" w:rsidRDefault="001E1112" w:rsidP="00DB3BEC">
            <w:pPr>
              <w:jc w:val="both"/>
              <w:rPr>
                <w:sz w:val="22"/>
                <w:szCs w:val="22"/>
              </w:rPr>
            </w:pPr>
            <w:bookmarkStart w:id="66" w:name="mip53365027"/>
            <w:bookmarkEnd w:id="66"/>
            <w:r w:rsidRPr="00317ABF">
              <w:rPr>
                <w:sz w:val="22"/>
                <w:szCs w:val="22"/>
              </w:rPr>
              <w:t xml:space="preserve">§ 2 ust. 1. Częściami budżetu państwa dysponują, z zastrzeżeniem ust. 2, dysponenci części budżetowych określeni w </w:t>
            </w:r>
            <w:hyperlink r:id="rId15">
              <w:r w:rsidRPr="00317ABF">
                <w:rPr>
                  <w:sz w:val="22"/>
                  <w:szCs w:val="22"/>
                </w:rPr>
                <w:t>art. 2 pkt 8</w:t>
              </w:r>
            </w:hyperlink>
            <w:r w:rsidRPr="00317ABF">
              <w:rPr>
                <w:sz w:val="22"/>
                <w:szCs w:val="22"/>
              </w:rPr>
              <w:t xml:space="preserve"> oraz </w:t>
            </w:r>
            <w:hyperlink r:id="rId16">
              <w:r w:rsidRPr="00317ABF">
                <w:rPr>
                  <w:sz w:val="22"/>
                  <w:szCs w:val="22"/>
                </w:rPr>
                <w:t>art. 114 ust. 4</w:t>
              </w:r>
            </w:hyperlink>
            <w:r w:rsidRPr="00317ABF">
              <w:rPr>
                <w:sz w:val="22"/>
                <w:szCs w:val="22"/>
              </w:rPr>
              <w:t xml:space="preserve"> ustawy z dnia 27 sierpnia 2009 r. o finansach publicznych.</w:t>
            </w:r>
          </w:p>
        </w:tc>
      </w:tr>
      <w:tr w:rsidR="001E1112" w:rsidRPr="00317ABF" w14:paraId="5F15161E" w14:textId="77777777" w:rsidTr="7753F98D">
        <w:trPr>
          <w:gridAfter w:val="2"/>
          <w:wAfter w:w="175" w:type="dxa"/>
        </w:trPr>
        <w:tc>
          <w:tcPr>
            <w:tcW w:w="704" w:type="dxa"/>
          </w:tcPr>
          <w:p w14:paraId="2B976F63" w14:textId="77777777" w:rsidR="001E1112" w:rsidRPr="00317ABF" w:rsidRDefault="001E1112" w:rsidP="00DB3BEC">
            <w:pPr>
              <w:jc w:val="both"/>
              <w:rPr>
                <w:sz w:val="22"/>
                <w:szCs w:val="22"/>
              </w:rPr>
            </w:pPr>
            <w:r w:rsidRPr="00317ABF">
              <w:rPr>
                <w:sz w:val="22"/>
                <w:szCs w:val="22"/>
              </w:rPr>
              <w:lastRenderedPageBreak/>
              <w:t>Art. 9 ust. 2</w:t>
            </w:r>
          </w:p>
        </w:tc>
        <w:tc>
          <w:tcPr>
            <w:tcW w:w="4308" w:type="dxa"/>
          </w:tcPr>
          <w:p w14:paraId="26A6F442" w14:textId="77777777" w:rsidR="001E1112" w:rsidRPr="00317ABF" w:rsidRDefault="001E1112" w:rsidP="00DB3BEC">
            <w:pPr>
              <w:spacing w:before="120"/>
              <w:jc w:val="both"/>
              <w:rPr>
                <w:sz w:val="22"/>
                <w:szCs w:val="22"/>
              </w:rPr>
            </w:pPr>
            <w:r w:rsidRPr="00317ABF">
              <w:rPr>
                <w:sz w:val="22"/>
                <w:szCs w:val="22"/>
              </w:rPr>
              <w:t xml:space="preserve">2.   Bez uszczerbku dla obowiązku zapewnienia krajowym organom regulacyjnym </w:t>
            </w:r>
            <w:r w:rsidRPr="00317ABF">
              <w:rPr>
                <w:sz w:val="22"/>
                <w:szCs w:val="22"/>
              </w:rPr>
              <w:lastRenderedPageBreak/>
              <w:t>odpowiednich zasobów finansowych i ludzkich, aby mogły realizować powierzone im zadania, autonomia finansowa nie może stać na przeszkodzie nadzorowi ani kontroli zgodnie z przepisami krajowego prawa konstytucyjnego. Wszelką kontrolę budżetu krajowych organów regulacyjnych wykonuje się w przejrzysty sposób, a jej wyniki podaje się do wiadomości publicznej.</w:t>
            </w:r>
          </w:p>
        </w:tc>
        <w:tc>
          <w:tcPr>
            <w:tcW w:w="986" w:type="dxa"/>
          </w:tcPr>
          <w:p w14:paraId="5186B13D" w14:textId="4580B32A" w:rsidR="001E1112" w:rsidRPr="00317ABF" w:rsidRDefault="001E1112" w:rsidP="00DB3BEC">
            <w:pPr>
              <w:jc w:val="both"/>
              <w:rPr>
                <w:sz w:val="22"/>
                <w:szCs w:val="22"/>
              </w:rPr>
            </w:pPr>
            <w:r w:rsidRPr="00317ABF">
              <w:rPr>
                <w:sz w:val="22"/>
                <w:szCs w:val="22"/>
              </w:rPr>
              <w:lastRenderedPageBreak/>
              <w:t>N</w:t>
            </w:r>
          </w:p>
        </w:tc>
        <w:tc>
          <w:tcPr>
            <w:tcW w:w="910" w:type="dxa"/>
          </w:tcPr>
          <w:p w14:paraId="16BCBDCA" w14:textId="77777777" w:rsidR="001E1112" w:rsidRPr="00317ABF" w:rsidRDefault="001E1112" w:rsidP="00DB3BEC">
            <w:pPr>
              <w:pStyle w:val="Tekstpodstawowy"/>
              <w:rPr>
                <w:b/>
                <w:bCs/>
                <w:noProof/>
                <w:sz w:val="22"/>
                <w:szCs w:val="22"/>
              </w:rPr>
            </w:pPr>
            <w:r w:rsidRPr="00317ABF">
              <w:rPr>
                <w:b/>
                <w:bCs/>
                <w:noProof/>
                <w:sz w:val="22"/>
                <w:szCs w:val="22"/>
              </w:rPr>
              <w:t>Zasady ogólne,</w:t>
            </w:r>
          </w:p>
          <w:p w14:paraId="6C57C439" w14:textId="5E80433B" w:rsidR="001E1112" w:rsidRPr="00317ABF" w:rsidRDefault="001E1112" w:rsidP="00DB3BEC">
            <w:pPr>
              <w:pStyle w:val="Tekstpodstawowy"/>
              <w:rPr>
                <w:b/>
                <w:bCs/>
                <w:noProof/>
                <w:sz w:val="22"/>
                <w:szCs w:val="22"/>
              </w:rPr>
            </w:pPr>
            <w:r w:rsidRPr="00317ABF">
              <w:rPr>
                <w:b/>
                <w:bCs/>
                <w:noProof/>
                <w:sz w:val="22"/>
                <w:szCs w:val="22"/>
              </w:rPr>
              <w:lastRenderedPageBreak/>
              <w:t>Ustawa o Najwyższej Izbie Kontroli</w:t>
            </w:r>
          </w:p>
        </w:tc>
        <w:tc>
          <w:tcPr>
            <w:tcW w:w="6814" w:type="dxa"/>
            <w:gridSpan w:val="2"/>
          </w:tcPr>
          <w:p w14:paraId="176EE515" w14:textId="5E85734A" w:rsidR="001E1112" w:rsidRPr="00317ABF" w:rsidRDefault="001E1112" w:rsidP="00DB3BEC">
            <w:pPr>
              <w:pStyle w:val="Tekstpodstawowy"/>
              <w:rPr>
                <w:sz w:val="22"/>
                <w:szCs w:val="22"/>
              </w:rPr>
            </w:pPr>
            <w:r w:rsidRPr="00317ABF">
              <w:rPr>
                <w:sz w:val="22"/>
                <w:szCs w:val="22"/>
              </w:rPr>
              <w:lastRenderedPageBreak/>
              <w:t>Ustawa z dnia 23 grudnia 1994 r. o Najwyższej Izbie Kontroli (Dz. U. z 2020 r. poz. 1200) ─ art. 2 ust. 1, art. 10.</w:t>
            </w:r>
          </w:p>
          <w:p w14:paraId="3B6B45BD" w14:textId="77777777" w:rsidR="001E1112" w:rsidRPr="00317ABF" w:rsidRDefault="001E1112" w:rsidP="00DB3BEC">
            <w:pPr>
              <w:pStyle w:val="Tekstpodstawowy"/>
              <w:rPr>
                <w:sz w:val="22"/>
                <w:szCs w:val="22"/>
              </w:rPr>
            </w:pPr>
            <w:r w:rsidRPr="00317ABF">
              <w:rPr>
                <w:sz w:val="22"/>
                <w:szCs w:val="22"/>
              </w:rPr>
              <w:t>Art. 2 ust. 1.</w:t>
            </w:r>
          </w:p>
          <w:p w14:paraId="2A458A65" w14:textId="77777777" w:rsidR="001E1112" w:rsidRPr="00317ABF" w:rsidRDefault="001E1112" w:rsidP="00DB3BEC">
            <w:pPr>
              <w:pStyle w:val="Tekstpodstawowy"/>
              <w:rPr>
                <w:sz w:val="22"/>
                <w:szCs w:val="22"/>
              </w:rPr>
            </w:pPr>
            <w:r w:rsidRPr="00317ABF">
              <w:rPr>
                <w:sz w:val="22"/>
                <w:szCs w:val="22"/>
              </w:rPr>
              <w:lastRenderedPageBreak/>
              <w:t>1. Najwyższa Izba Kontroli kontroluje działalność organów administracji rządowej, Narodowego Banku Polskiego, państwowych osób prawnych i innych państwowych jednostek organizacyjnych.</w:t>
            </w:r>
          </w:p>
          <w:p w14:paraId="154F65B3" w14:textId="12E1DC06" w:rsidR="001E1112" w:rsidRPr="00317ABF" w:rsidRDefault="001E1112" w:rsidP="00DB3BEC">
            <w:pPr>
              <w:pStyle w:val="Tekstpodstawowy"/>
              <w:rPr>
                <w:sz w:val="22"/>
                <w:szCs w:val="22"/>
              </w:rPr>
            </w:pPr>
            <w:r w:rsidRPr="00317ABF">
              <w:rPr>
                <w:sz w:val="22"/>
                <w:szCs w:val="22"/>
              </w:rPr>
              <w:t>Art. 10</w:t>
            </w:r>
          </w:p>
          <w:p w14:paraId="3D404BC9" w14:textId="3D593FE9" w:rsidR="001E1112" w:rsidRPr="00317ABF" w:rsidRDefault="001E1112" w:rsidP="00DB3BEC">
            <w:pPr>
              <w:pStyle w:val="Tekstpodstawowy"/>
              <w:rPr>
                <w:sz w:val="22"/>
                <w:szCs w:val="22"/>
              </w:rPr>
            </w:pPr>
            <w:bookmarkStart w:id="67" w:name="mip54889327"/>
            <w:bookmarkEnd w:id="67"/>
            <w:r w:rsidRPr="00317ABF">
              <w:rPr>
                <w:bCs/>
                <w:sz w:val="22"/>
                <w:szCs w:val="22"/>
              </w:rPr>
              <w:t>Art. 10.</w:t>
            </w:r>
            <w:r w:rsidRPr="00317ABF">
              <w:rPr>
                <w:b/>
                <w:bCs/>
                <w:sz w:val="22"/>
                <w:szCs w:val="22"/>
              </w:rPr>
              <w:t xml:space="preserve"> </w:t>
            </w:r>
            <w:r w:rsidRPr="00317ABF">
              <w:rPr>
                <w:sz w:val="22"/>
                <w:szCs w:val="22"/>
              </w:rPr>
              <w:t xml:space="preserve">Prezes Najwyższej Izby Kontroli podaje do wiadomości publicznej, z zachowaniem przepisów o tajemnicy ustawowo chronionej, dokumenty, o których mowa w </w:t>
            </w:r>
            <w:hyperlink r:id="rId17" w:history="1">
              <w:r w:rsidRPr="00317ABF">
                <w:rPr>
                  <w:sz w:val="22"/>
                  <w:szCs w:val="22"/>
                </w:rPr>
                <w:t>art. 7 ust. 1 i 1a</w:t>
              </w:r>
            </w:hyperlink>
            <w:r w:rsidRPr="00317ABF">
              <w:rPr>
                <w:sz w:val="22"/>
                <w:szCs w:val="22"/>
              </w:rPr>
              <w:t xml:space="preserve">, </w:t>
            </w:r>
            <w:hyperlink r:id="rId18" w:history="1">
              <w:r w:rsidRPr="00317ABF">
                <w:rPr>
                  <w:sz w:val="22"/>
                  <w:szCs w:val="22"/>
                </w:rPr>
                <w:t>art. 8</w:t>
              </w:r>
            </w:hyperlink>
            <w:r w:rsidRPr="00317ABF">
              <w:rPr>
                <w:sz w:val="22"/>
                <w:szCs w:val="22"/>
              </w:rPr>
              <w:t xml:space="preserve"> i </w:t>
            </w:r>
            <w:hyperlink r:id="rId19" w:history="1">
              <w:r w:rsidRPr="00317ABF">
                <w:rPr>
                  <w:sz w:val="22"/>
                  <w:szCs w:val="22"/>
                </w:rPr>
                <w:t>art. 9</w:t>
              </w:r>
            </w:hyperlink>
            <w:r w:rsidRPr="00317ABF">
              <w:rPr>
                <w:sz w:val="22"/>
                <w:szCs w:val="22"/>
              </w:rPr>
              <w:t>, oraz wystąpienia pokontrolne.</w:t>
            </w:r>
          </w:p>
        </w:tc>
      </w:tr>
      <w:tr w:rsidR="001E1112" w:rsidRPr="00317ABF" w14:paraId="67693BEA" w14:textId="77777777" w:rsidTr="7753F98D">
        <w:trPr>
          <w:gridAfter w:val="2"/>
          <w:wAfter w:w="175" w:type="dxa"/>
        </w:trPr>
        <w:tc>
          <w:tcPr>
            <w:tcW w:w="704" w:type="dxa"/>
          </w:tcPr>
          <w:p w14:paraId="46E834F9" w14:textId="77777777" w:rsidR="001E1112" w:rsidRPr="00317ABF" w:rsidRDefault="001E1112" w:rsidP="00DB3BEC">
            <w:pPr>
              <w:jc w:val="both"/>
              <w:rPr>
                <w:sz w:val="22"/>
                <w:szCs w:val="22"/>
              </w:rPr>
            </w:pPr>
            <w:r w:rsidRPr="00317ABF">
              <w:rPr>
                <w:sz w:val="22"/>
                <w:szCs w:val="22"/>
              </w:rPr>
              <w:lastRenderedPageBreak/>
              <w:t>Art. 9 ust. 3</w:t>
            </w:r>
          </w:p>
        </w:tc>
        <w:tc>
          <w:tcPr>
            <w:tcW w:w="4308" w:type="dxa"/>
          </w:tcPr>
          <w:p w14:paraId="7027200A" w14:textId="77777777" w:rsidR="001E1112" w:rsidRPr="00317ABF" w:rsidRDefault="001E1112" w:rsidP="00DB3BEC">
            <w:pPr>
              <w:spacing w:before="120"/>
              <w:jc w:val="both"/>
              <w:rPr>
                <w:sz w:val="22"/>
                <w:szCs w:val="22"/>
              </w:rPr>
            </w:pPr>
            <w:r w:rsidRPr="00317ABF">
              <w:rPr>
                <w:sz w:val="22"/>
                <w:szCs w:val="22"/>
              </w:rPr>
              <w:t>3.   Państwa członkowskie zapewniają również, aby krajowe organy regulacyjne miały odpowiednie zasoby finansowe i ludzkie umożliwiające im aktywne uczestnictwo w pracach BEREC i przyczynianie się do realizowanych przez niego funkcji.</w:t>
            </w:r>
          </w:p>
        </w:tc>
        <w:tc>
          <w:tcPr>
            <w:tcW w:w="986" w:type="dxa"/>
          </w:tcPr>
          <w:p w14:paraId="61319B8A" w14:textId="22A3A90C" w:rsidR="001E1112" w:rsidRPr="00317ABF" w:rsidRDefault="001E1112" w:rsidP="00DB3BEC">
            <w:pPr>
              <w:jc w:val="both"/>
              <w:rPr>
                <w:sz w:val="22"/>
                <w:szCs w:val="22"/>
              </w:rPr>
            </w:pPr>
            <w:r w:rsidRPr="00317ABF">
              <w:rPr>
                <w:sz w:val="22"/>
                <w:szCs w:val="22"/>
              </w:rPr>
              <w:t>N</w:t>
            </w:r>
          </w:p>
        </w:tc>
        <w:tc>
          <w:tcPr>
            <w:tcW w:w="910" w:type="dxa"/>
          </w:tcPr>
          <w:p w14:paraId="31A560F4" w14:textId="68802308" w:rsidR="001E1112" w:rsidRPr="00317ABF" w:rsidRDefault="001E1112" w:rsidP="00DB3BEC">
            <w:pPr>
              <w:pStyle w:val="Tekstpodstawowy"/>
              <w:rPr>
                <w:b/>
                <w:bCs/>
                <w:noProof/>
                <w:sz w:val="22"/>
                <w:szCs w:val="22"/>
              </w:rPr>
            </w:pPr>
            <w:r w:rsidRPr="00317ABF">
              <w:rPr>
                <w:b/>
                <w:bCs/>
                <w:noProof/>
                <w:sz w:val="22"/>
                <w:szCs w:val="22"/>
              </w:rPr>
              <w:t>Odrębny budżet</w:t>
            </w:r>
          </w:p>
        </w:tc>
        <w:tc>
          <w:tcPr>
            <w:tcW w:w="6814" w:type="dxa"/>
            <w:gridSpan w:val="2"/>
          </w:tcPr>
          <w:p w14:paraId="70DF735C" w14:textId="77777777" w:rsidR="001E1112" w:rsidRPr="00317ABF" w:rsidRDefault="001E1112" w:rsidP="00DB3BEC">
            <w:pPr>
              <w:pStyle w:val="Tekstpodstawowy"/>
              <w:rPr>
                <w:sz w:val="22"/>
                <w:szCs w:val="22"/>
              </w:rPr>
            </w:pPr>
          </w:p>
        </w:tc>
      </w:tr>
      <w:tr w:rsidR="001E1112" w:rsidRPr="00317ABF" w14:paraId="0E8E1AC0" w14:textId="77777777" w:rsidTr="7753F98D">
        <w:trPr>
          <w:gridAfter w:val="2"/>
          <w:wAfter w:w="175" w:type="dxa"/>
        </w:trPr>
        <w:tc>
          <w:tcPr>
            <w:tcW w:w="704" w:type="dxa"/>
          </w:tcPr>
          <w:p w14:paraId="1C883FD0" w14:textId="77777777" w:rsidR="001E1112" w:rsidRPr="00317ABF" w:rsidRDefault="001E1112" w:rsidP="00DB3BEC">
            <w:pPr>
              <w:jc w:val="both"/>
              <w:rPr>
                <w:b/>
                <w:sz w:val="22"/>
                <w:szCs w:val="22"/>
              </w:rPr>
            </w:pPr>
            <w:r w:rsidRPr="00317ABF">
              <w:rPr>
                <w:b/>
                <w:sz w:val="22"/>
                <w:szCs w:val="22"/>
              </w:rPr>
              <w:t>Art. 10</w:t>
            </w:r>
          </w:p>
        </w:tc>
        <w:tc>
          <w:tcPr>
            <w:tcW w:w="4308" w:type="dxa"/>
          </w:tcPr>
          <w:p w14:paraId="73D1B2E1" w14:textId="77777777" w:rsidR="001E1112" w:rsidRPr="00317ABF" w:rsidRDefault="001E1112" w:rsidP="00DB3BEC">
            <w:pPr>
              <w:spacing w:before="60" w:after="120"/>
              <w:jc w:val="both"/>
              <w:rPr>
                <w:b/>
                <w:bCs/>
                <w:sz w:val="22"/>
                <w:szCs w:val="22"/>
              </w:rPr>
            </w:pPr>
            <w:r w:rsidRPr="00317ABF">
              <w:rPr>
                <w:b/>
                <w:bCs/>
                <w:sz w:val="22"/>
                <w:szCs w:val="22"/>
              </w:rPr>
              <w:t>Udział krajowych organów regulacyjnych w BEREC</w:t>
            </w:r>
          </w:p>
        </w:tc>
        <w:tc>
          <w:tcPr>
            <w:tcW w:w="986" w:type="dxa"/>
          </w:tcPr>
          <w:p w14:paraId="3A413BF6" w14:textId="77777777" w:rsidR="001E1112" w:rsidRPr="00317ABF" w:rsidRDefault="001E1112" w:rsidP="00DB3BEC">
            <w:pPr>
              <w:jc w:val="both"/>
              <w:rPr>
                <w:sz w:val="22"/>
                <w:szCs w:val="22"/>
              </w:rPr>
            </w:pPr>
          </w:p>
        </w:tc>
        <w:tc>
          <w:tcPr>
            <w:tcW w:w="910" w:type="dxa"/>
          </w:tcPr>
          <w:p w14:paraId="33D28B4B" w14:textId="77777777" w:rsidR="001E1112" w:rsidRPr="00317ABF" w:rsidRDefault="001E1112" w:rsidP="00DB3BEC">
            <w:pPr>
              <w:pStyle w:val="Tekstpodstawowy"/>
              <w:rPr>
                <w:b/>
                <w:noProof/>
                <w:sz w:val="22"/>
                <w:szCs w:val="22"/>
              </w:rPr>
            </w:pPr>
          </w:p>
        </w:tc>
        <w:tc>
          <w:tcPr>
            <w:tcW w:w="6814" w:type="dxa"/>
            <w:gridSpan w:val="2"/>
          </w:tcPr>
          <w:p w14:paraId="37EFA3E3" w14:textId="77777777" w:rsidR="001E1112" w:rsidRPr="00317ABF" w:rsidRDefault="001E1112" w:rsidP="00DB3BEC">
            <w:pPr>
              <w:pStyle w:val="Tekstpodstawowy"/>
              <w:rPr>
                <w:sz w:val="22"/>
                <w:szCs w:val="22"/>
              </w:rPr>
            </w:pPr>
          </w:p>
        </w:tc>
      </w:tr>
      <w:tr w:rsidR="001E1112" w:rsidRPr="00317ABF" w14:paraId="064B228B" w14:textId="77777777" w:rsidTr="7753F98D">
        <w:trPr>
          <w:gridAfter w:val="2"/>
          <w:wAfter w:w="175" w:type="dxa"/>
        </w:trPr>
        <w:tc>
          <w:tcPr>
            <w:tcW w:w="704" w:type="dxa"/>
          </w:tcPr>
          <w:p w14:paraId="4DDD4C55" w14:textId="77777777" w:rsidR="001E1112" w:rsidRPr="00317ABF" w:rsidRDefault="001E1112" w:rsidP="00DB3BEC">
            <w:pPr>
              <w:jc w:val="both"/>
              <w:rPr>
                <w:sz w:val="22"/>
                <w:szCs w:val="22"/>
              </w:rPr>
            </w:pPr>
            <w:r w:rsidRPr="00317ABF">
              <w:rPr>
                <w:sz w:val="22"/>
                <w:szCs w:val="22"/>
              </w:rPr>
              <w:t>Art. 10 ust. 1</w:t>
            </w:r>
          </w:p>
        </w:tc>
        <w:tc>
          <w:tcPr>
            <w:tcW w:w="4308" w:type="dxa"/>
          </w:tcPr>
          <w:p w14:paraId="10DA2D9B" w14:textId="77777777" w:rsidR="001E1112" w:rsidRPr="00317ABF" w:rsidRDefault="001E1112" w:rsidP="00DB3BEC">
            <w:pPr>
              <w:spacing w:before="120"/>
              <w:jc w:val="both"/>
              <w:rPr>
                <w:sz w:val="22"/>
                <w:szCs w:val="22"/>
              </w:rPr>
            </w:pPr>
            <w:r w:rsidRPr="00317ABF">
              <w:rPr>
                <w:sz w:val="22"/>
                <w:szCs w:val="22"/>
              </w:rPr>
              <w:t>1.   Państwa członkowskie zapewniają, aby ich odpowiednie krajowe organy regulacyjne aktywnie wspierały cele BEREC w promowaniu lepszej koordynacji i spójności regulacyjnej.</w:t>
            </w:r>
          </w:p>
        </w:tc>
        <w:tc>
          <w:tcPr>
            <w:tcW w:w="986" w:type="dxa"/>
          </w:tcPr>
          <w:p w14:paraId="41C6AC2A" w14:textId="382EE90E" w:rsidR="001E1112" w:rsidRPr="00317ABF" w:rsidRDefault="001E1112" w:rsidP="00DB3BEC">
            <w:pPr>
              <w:jc w:val="both"/>
              <w:rPr>
                <w:sz w:val="22"/>
                <w:szCs w:val="22"/>
              </w:rPr>
            </w:pPr>
            <w:r w:rsidRPr="00317ABF">
              <w:rPr>
                <w:sz w:val="22"/>
                <w:szCs w:val="22"/>
              </w:rPr>
              <w:t>T</w:t>
            </w:r>
          </w:p>
        </w:tc>
        <w:tc>
          <w:tcPr>
            <w:tcW w:w="910" w:type="dxa"/>
          </w:tcPr>
          <w:p w14:paraId="6CFAAB8C" w14:textId="63A21C37" w:rsidR="001E1112" w:rsidRPr="00317ABF" w:rsidRDefault="00DB3BEC" w:rsidP="00DB3BEC">
            <w:pPr>
              <w:pStyle w:val="Tekstpodstawowy"/>
              <w:rPr>
                <w:b/>
                <w:bCs/>
                <w:noProof/>
                <w:sz w:val="22"/>
                <w:szCs w:val="22"/>
              </w:rPr>
            </w:pPr>
            <w:r w:rsidRPr="00317ABF">
              <w:rPr>
                <w:b/>
                <w:bCs/>
                <w:noProof/>
                <w:sz w:val="22"/>
                <w:szCs w:val="22"/>
              </w:rPr>
              <w:t xml:space="preserve">Art. </w:t>
            </w:r>
            <w:r w:rsidR="008503D0" w:rsidRPr="00317ABF">
              <w:rPr>
                <w:b/>
                <w:bCs/>
                <w:noProof/>
                <w:sz w:val="22"/>
                <w:szCs w:val="22"/>
              </w:rPr>
              <w:t>414</w:t>
            </w:r>
            <w:r w:rsidR="001E1112" w:rsidRPr="00317ABF">
              <w:rPr>
                <w:b/>
                <w:bCs/>
                <w:noProof/>
                <w:sz w:val="22"/>
                <w:szCs w:val="22"/>
              </w:rPr>
              <w:t xml:space="preserve"> ust. 1 pkt 2</w:t>
            </w:r>
            <w:r w:rsidR="008503D0" w:rsidRPr="00317ABF">
              <w:rPr>
                <w:b/>
                <w:bCs/>
                <w:noProof/>
                <w:sz w:val="22"/>
                <w:szCs w:val="22"/>
              </w:rPr>
              <w:t xml:space="preserve"> i 14</w:t>
            </w:r>
          </w:p>
          <w:p w14:paraId="0B3F2F3B" w14:textId="6644AC26" w:rsidR="001E1112" w:rsidRPr="00317ABF" w:rsidRDefault="001E1112" w:rsidP="00DB3BEC">
            <w:pPr>
              <w:pStyle w:val="Tekstpodstawowy"/>
              <w:rPr>
                <w:b/>
                <w:bCs/>
                <w:noProof/>
                <w:sz w:val="22"/>
                <w:szCs w:val="22"/>
              </w:rPr>
            </w:pPr>
          </w:p>
          <w:p w14:paraId="3F5BEBBF" w14:textId="4AB44518" w:rsidR="001E1112" w:rsidRPr="00317ABF" w:rsidRDefault="001E1112" w:rsidP="00DB3BEC">
            <w:pPr>
              <w:pStyle w:val="Tekstpodstawowy"/>
              <w:rPr>
                <w:b/>
                <w:bCs/>
                <w:noProof/>
                <w:sz w:val="22"/>
                <w:szCs w:val="22"/>
              </w:rPr>
            </w:pPr>
          </w:p>
          <w:p w14:paraId="1F45A961" w14:textId="01C7FF2C" w:rsidR="001E1112" w:rsidRPr="00317ABF" w:rsidRDefault="001E1112" w:rsidP="00DB3BEC">
            <w:pPr>
              <w:pStyle w:val="Tekstpodstawowy"/>
              <w:rPr>
                <w:b/>
                <w:bCs/>
                <w:noProof/>
                <w:sz w:val="22"/>
                <w:szCs w:val="22"/>
              </w:rPr>
            </w:pPr>
          </w:p>
          <w:p w14:paraId="2DC44586" w14:textId="7FD6571D" w:rsidR="001E1112" w:rsidRPr="00317ABF" w:rsidRDefault="001E1112" w:rsidP="00DB3BEC">
            <w:pPr>
              <w:pStyle w:val="Tekstpodstawowy"/>
              <w:rPr>
                <w:b/>
                <w:noProof/>
                <w:sz w:val="22"/>
                <w:szCs w:val="22"/>
              </w:rPr>
            </w:pPr>
          </w:p>
        </w:tc>
        <w:tc>
          <w:tcPr>
            <w:tcW w:w="6814" w:type="dxa"/>
            <w:gridSpan w:val="2"/>
          </w:tcPr>
          <w:p w14:paraId="680728B2" w14:textId="61380A59" w:rsidR="001E1112" w:rsidRPr="00317ABF" w:rsidRDefault="008503D0" w:rsidP="00DB3BEC">
            <w:pPr>
              <w:jc w:val="both"/>
              <w:rPr>
                <w:sz w:val="22"/>
                <w:szCs w:val="22"/>
              </w:rPr>
            </w:pPr>
            <w:r w:rsidRPr="00317ABF">
              <w:rPr>
                <w:sz w:val="22"/>
                <w:szCs w:val="22"/>
              </w:rPr>
              <w:t xml:space="preserve">Art. 414. </w:t>
            </w:r>
          </w:p>
          <w:p w14:paraId="7D131C77" w14:textId="77777777" w:rsidR="008503D0" w:rsidRPr="00317ABF" w:rsidRDefault="008503D0" w:rsidP="009D3773">
            <w:pPr>
              <w:jc w:val="both"/>
              <w:rPr>
                <w:sz w:val="22"/>
                <w:szCs w:val="22"/>
              </w:rPr>
            </w:pPr>
          </w:p>
          <w:p w14:paraId="34396F2D" w14:textId="77777777" w:rsidR="008503D0" w:rsidRPr="00317ABF" w:rsidRDefault="008503D0" w:rsidP="009D3773">
            <w:pPr>
              <w:pStyle w:val="ARTartustawynprozporzdzenia"/>
              <w:keepNext/>
              <w:spacing w:line="240" w:lineRule="auto"/>
              <w:rPr>
                <w:rFonts w:ascii="Times New Roman" w:hAnsi="Times New Roman" w:cs="Times New Roman"/>
                <w:sz w:val="22"/>
                <w:szCs w:val="22"/>
              </w:rPr>
            </w:pPr>
            <w:r w:rsidRPr="00317ABF">
              <w:rPr>
                <w:rFonts w:ascii="Times New Roman" w:hAnsi="Times New Roman" w:cs="Times New Roman"/>
                <w:sz w:val="22"/>
                <w:szCs w:val="22"/>
              </w:rPr>
              <w:t>1. Do zakresu działania Prezesa UKE należy w szczególności:</w:t>
            </w:r>
          </w:p>
          <w:p w14:paraId="0F2A0C04" w14:textId="77777777" w:rsidR="008503D0" w:rsidRPr="00317ABF" w:rsidRDefault="008503D0" w:rsidP="009D3773">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2)</w:t>
            </w:r>
            <w:r w:rsidRPr="00317ABF">
              <w:rPr>
                <w:rFonts w:ascii="Times New Roman" w:hAnsi="Times New Roman" w:cs="Times New Roman"/>
                <w:sz w:val="22"/>
                <w:szCs w:val="22"/>
              </w:rPr>
              <w:tab/>
              <w:t>wykonywanie zadań wynikających z przepisów rozporządzenia Parlamentu Europejskiego i Rady (UE) nr 2018/1971 z dnia 11 grudnia 2018 r. ustanawiającego Organ Europejskich Regulatorów Łączności Elektronicznej (BEREC) oraz Agencję Wsparcia BEREC (Urząd BEREC), zmieniającego rozporządzenie (UE) 2015/2120 oraz uchylającego rozporządzenie (WE) nr 1211/2009);</w:t>
            </w:r>
          </w:p>
          <w:p w14:paraId="705DE0A2" w14:textId="77777777" w:rsidR="008503D0" w:rsidRPr="00317ABF" w:rsidRDefault="008503D0" w:rsidP="009D3773">
            <w:pPr>
              <w:jc w:val="both"/>
              <w:rPr>
                <w:sz w:val="22"/>
                <w:szCs w:val="22"/>
              </w:rPr>
            </w:pPr>
          </w:p>
          <w:p w14:paraId="6192682F" w14:textId="77777777" w:rsidR="008503D0" w:rsidRPr="00317ABF" w:rsidRDefault="008503D0" w:rsidP="009D3773">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14)</w:t>
            </w:r>
            <w:r w:rsidRPr="00317ABF">
              <w:rPr>
                <w:rFonts w:ascii="Times New Roman" w:hAnsi="Times New Roman" w:cs="Times New Roman"/>
                <w:sz w:val="22"/>
                <w:szCs w:val="22"/>
              </w:rPr>
              <w:tab/>
            </w:r>
            <w:r w:rsidR="001E1112" w:rsidRPr="00317ABF">
              <w:rPr>
                <w:rFonts w:ascii="Times New Roman" w:hAnsi="Times New Roman" w:cs="Times New Roman"/>
                <w:sz w:val="22"/>
                <w:szCs w:val="22"/>
              </w:rPr>
              <w:t>współpraca z Komisją Europejską i instytucjami Unii Europejskiej, a także z BEREC oraz organami regulacyjnymi innych państw członkowskich;</w:t>
            </w:r>
          </w:p>
          <w:p w14:paraId="4FFCBC07" w14:textId="5D214CF6" w:rsidR="001E1112" w:rsidRPr="00317ABF" w:rsidRDefault="001E1112" w:rsidP="00DB3BEC">
            <w:pPr>
              <w:jc w:val="both"/>
              <w:rPr>
                <w:sz w:val="22"/>
                <w:szCs w:val="22"/>
              </w:rPr>
            </w:pPr>
          </w:p>
        </w:tc>
      </w:tr>
      <w:tr w:rsidR="001E1112" w:rsidRPr="00317ABF" w14:paraId="69D14E9D" w14:textId="77777777" w:rsidTr="7753F98D">
        <w:trPr>
          <w:gridAfter w:val="2"/>
          <w:wAfter w:w="175" w:type="dxa"/>
        </w:trPr>
        <w:tc>
          <w:tcPr>
            <w:tcW w:w="704" w:type="dxa"/>
          </w:tcPr>
          <w:p w14:paraId="78633E12" w14:textId="77777777" w:rsidR="001E1112" w:rsidRPr="00317ABF" w:rsidRDefault="001E1112" w:rsidP="00DB3BEC">
            <w:pPr>
              <w:jc w:val="both"/>
              <w:rPr>
                <w:sz w:val="22"/>
                <w:szCs w:val="22"/>
              </w:rPr>
            </w:pPr>
            <w:r w:rsidRPr="00317ABF">
              <w:rPr>
                <w:sz w:val="22"/>
                <w:szCs w:val="22"/>
              </w:rPr>
              <w:t>Art. 10 ust. 2</w:t>
            </w:r>
          </w:p>
        </w:tc>
        <w:tc>
          <w:tcPr>
            <w:tcW w:w="4308" w:type="dxa"/>
          </w:tcPr>
          <w:p w14:paraId="0573AFE6" w14:textId="77777777" w:rsidR="001E1112" w:rsidRPr="00317ABF" w:rsidRDefault="001E1112" w:rsidP="00DB3BEC">
            <w:pPr>
              <w:spacing w:before="120"/>
              <w:jc w:val="both"/>
              <w:rPr>
                <w:sz w:val="22"/>
                <w:szCs w:val="22"/>
              </w:rPr>
            </w:pPr>
            <w:r w:rsidRPr="00317ABF">
              <w:rPr>
                <w:sz w:val="22"/>
                <w:szCs w:val="22"/>
              </w:rPr>
              <w:t xml:space="preserve">2.   Państwa członkowskie zapewniają, aby krajowe organy regulacyjne, przyjmując swoje własne decyzje dotyczące ich rynków krajowych, w jak największym stopniu uwzględniały wytyczne, opinie, zalecenia, </w:t>
            </w:r>
            <w:r w:rsidRPr="00317ABF">
              <w:rPr>
                <w:sz w:val="22"/>
                <w:szCs w:val="22"/>
              </w:rPr>
              <w:lastRenderedPageBreak/>
              <w:t>wspólne stanowiska, najlepsze praktyki i metodologie przyjmowane przez BEREC.</w:t>
            </w:r>
          </w:p>
        </w:tc>
        <w:tc>
          <w:tcPr>
            <w:tcW w:w="986" w:type="dxa"/>
          </w:tcPr>
          <w:p w14:paraId="1728B4D0" w14:textId="543B8306" w:rsidR="001E1112" w:rsidRPr="00317ABF" w:rsidRDefault="001E1112" w:rsidP="00DB3BEC">
            <w:pPr>
              <w:jc w:val="both"/>
              <w:rPr>
                <w:sz w:val="22"/>
                <w:szCs w:val="22"/>
              </w:rPr>
            </w:pPr>
            <w:r w:rsidRPr="00317ABF">
              <w:rPr>
                <w:sz w:val="22"/>
                <w:szCs w:val="22"/>
              </w:rPr>
              <w:lastRenderedPageBreak/>
              <w:t>T</w:t>
            </w:r>
          </w:p>
        </w:tc>
        <w:tc>
          <w:tcPr>
            <w:tcW w:w="910" w:type="dxa"/>
          </w:tcPr>
          <w:p w14:paraId="34959D4B" w14:textId="4010B498" w:rsidR="001E1112" w:rsidRPr="00317ABF" w:rsidRDefault="001E1112" w:rsidP="00DB3BEC">
            <w:pPr>
              <w:pStyle w:val="Tekstpodstawowy"/>
              <w:rPr>
                <w:b/>
                <w:noProof/>
                <w:sz w:val="22"/>
                <w:szCs w:val="22"/>
              </w:rPr>
            </w:pPr>
            <w:r w:rsidRPr="00317ABF">
              <w:rPr>
                <w:b/>
                <w:noProof/>
                <w:sz w:val="22"/>
                <w:szCs w:val="22"/>
              </w:rPr>
              <w:t>Art. 4 ust. 3</w:t>
            </w:r>
          </w:p>
        </w:tc>
        <w:tc>
          <w:tcPr>
            <w:tcW w:w="6814" w:type="dxa"/>
            <w:gridSpan w:val="2"/>
          </w:tcPr>
          <w:p w14:paraId="13F1CC6C" w14:textId="77777777" w:rsidR="008503D0" w:rsidRPr="00317ABF" w:rsidRDefault="001E1112" w:rsidP="009D3773">
            <w:pPr>
              <w:pStyle w:val="USTustnpkodeksu"/>
              <w:spacing w:line="240" w:lineRule="auto"/>
              <w:rPr>
                <w:rFonts w:ascii="Times New Roman" w:hAnsi="Times New Roman" w:cs="Times New Roman"/>
                <w:sz w:val="22"/>
                <w:szCs w:val="22"/>
              </w:rPr>
            </w:pPr>
            <w:r w:rsidRPr="00317ABF">
              <w:rPr>
                <w:rFonts w:ascii="Times New Roman" w:hAnsi="Times New Roman" w:cs="Times New Roman"/>
                <w:sz w:val="22"/>
                <w:szCs w:val="22"/>
              </w:rPr>
              <w:t>3. Prezes UKE uwzględnia przy stosowaniu ustawy w największym możliwie stopniu wytyczne, opinie, zalecenia, wspólne stanowiska, najlepsze praktyki i metodologie przyjmowane przez Organ Europejskich Regulatorów Łączności Elektronicznej, zwany dalej „BEREC”, w ich aktualnym brzmieniu.</w:t>
            </w:r>
          </w:p>
          <w:p w14:paraId="7BD58BA2" w14:textId="34149055" w:rsidR="001E1112" w:rsidRPr="00317ABF" w:rsidRDefault="001E1112" w:rsidP="00DB3BEC">
            <w:pPr>
              <w:jc w:val="both"/>
              <w:rPr>
                <w:sz w:val="22"/>
                <w:szCs w:val="22"/>
              </w:rPr>
            </w:pPr>
          </w:p>
        </w:tc>
      </w:tr>
      <w:tr w:rsidR="001E1112" w:rsidRPr="00317ABF" w14:paraId="43E9F8CB" w14:textId="77777777" w:rsidTr="7753F98D">
        <w:trPr>
          <w:gridAfter w:val="2"/>
          <w:wAfter w:w="175" w:type="dxa"/>
        </w:trPr>
        <w:tc>
          <w:tcPr>
            <w:tcW w:w="704" w:type="dxa"/>
          </w:tcPr>
          <w:p w14:paraId="04E02201" w14:textId="77777777" w:rsidR="001E1112" w:rsidRPr="00317ABF" w:rsidRDefault="001E1112" w:rsidP="00DB3BEC">
            <w:pPr>
              <w:jc w:val="both"/>
              <w:rPr>
                <w:b/>
                <w:sz w:val="22"/>
                <w:szCs w:val="22"/>
              </w:rPr>
            </w:pPr>
            <w:r w:rsidRPr="00317ABF">
              <w:rPr>
                <w:b/>
                <w:sz w:val="22"/>
                <w:szCs w:val="22"/>
              </w:rPr>
              <w:lastRenderedPageBreak/>
              <w:t>Art. 11</w:t>
            </w:r>
          </w:p>
        </w:tc>
        <w:tc>
          <w:tcPr>
            <w:tcW w:w="4308" w:type="dxa"/>
          </w:tcPr>
          <w:p w14:paraId="4D73BF1F" w14:textId="77777777" w:rsidR="001E1112" w:rsidRPr="00317ABF" w:rsidRDefault="001E1112" w:rsidP="00DB3BEC">
            <w:pPr>
              <w:spacing w:before="60" w:after="120"/>
              <w:jc w:val="both"/>
              <w:rPr>
                <w:b/>
                <w:bCs/>
                <w:sz w:val="22"/>
                <w:szCs w:val="22"/>
              </w:rPr>
            </w:pPr>
            <w:r w:rsidRPr="00317ABF">
              <w:rPr>
                <w:b/>
                <w:bCs/>
                <w:sz w:val="22"/>
                <w:szCs w:val="22"/>
              </w:rPr>
              <w:t>Współpraca z organami krajowymi</w:t>
            </w:r>
          </w:p>
          <w:p w14:paraId="21124C37" w14:textId="77777777" w:rsidR="001E1112" w:rsidRPr="00317ABF" w:rsidRDefault="001E1112" w:rsidP="00DB3BEC">
            <w:pPr>
              <w:spacing w:before="120"/>
              <w:jc w:val="both"/>
              <w:rPr>
                <w:sz w:val="22"/>
                <w:szCs w:val="22"/>
              </w:rPr>
            </w:pPr>
            <w:r w:rsidRPr="00317ABF">
              <w:rPr>
                <w:sz w:val="22"/>
                <w:szCs w:val="22"/>
              </w:rPr>
              <w:t>Krajowe organy regulacyjne, inne właściwe organy przewidziane w niniejszej dyrektywie oraz krajowe organy ds. ochrony konkurencji zobowiązane są do dostarczania sobie wzajemnie informacji niezbędnych do stosowania niniejszej dyrektywy. W odniesieniu do wymienianych informacji obowiązują unijne przepisy dotyczące ochrony danych, a organ, którą otrzymał dane informacje, zapewnia taki sam stopień poufności jak organ, który ją dostarczył.</w:t>
            </w:r>
          </w:p>
        </w:tc>
        <w:tc>
          <w:tcPr>
            <w:tcW w:w="986" w:type="dxa"/>
          </w:tcPr>
          <w:p w14:paraId="4357A966" w14:textId="4B8F011C" w:rsidR="001E1112" w:rsidRPr="00317ABF" w:rsidRDefault="001E1112" w:rsidP="00DB3BEC">
            <w:pPr>
              <w:jc w:val="both"/>
              <w:rPr>
                <w:sz w:val="22"/>
                <w:szCs w:val="22"/>
              </w:rPr>
            </w:pPr>
            <w:r w:rsidRPr="00317ABF">
              <w:rPr>
                <w:sz w:val="22"/>
                <w:szCs w:val="22"/>
              </w:rPr>
              <w:t>T</w:t>
            </w:r>
          </w:p>
        </w:tc>
        <w:tc>
          <w:tcPr>
            <w:tcW w:w="910" w:type="dxa"/>
          </w:tcPr>
          <w:p w14:paraId="44690661" w14:textId="23CFD069" w:rsidR="001E1112" w:rsidRPr="00317ABF" w:rsidRDefault="00DB3BEC" w:rsidP="00DB3BEC">
            <w:pPr>
              <w:pStyle w:val="Tekstpodstawowy"/>
              <w:rPr>
                <w:b/>
                <w:noProof/>
                <w:sz w:val="22"/>
                <w:szCs w:val="22"/>
              </w:rPr>
            </w:pPr>
            <w:r w:rsidRPr="00317ABF">
              <w:rPr>
                <w:b/>
                <w:bCs/>
                <w:noProof/>
                <w:sz w:val="22"/>
                <w:szCs w:val="22"/>
              </w:rPr>
              <w:t xml:space="preserve">Art. </w:t>
            </w:r>
            <w:r w:rsidR="009D3773" w:rsidRPr="00317ABF">
              <w:rPr>
                <w:b/>
                <w:bCs/>
                <w:noProof/>
                <w:sz w:val="22"/>
                <w:szCs w:val="22"/>
              </w:rPr>
              <w:t>414</w:t>
            </w:r>
            <w:r w:rsidR="001E1112" w:rsidRPr="00317ABF">
              <w:rPr>
                <w:b/>
                <w:bCs/>
                <w:noProof/>
                <w:sz w:val="22"/>
                <w:szCs w:val="22"/>
              </w:rPr>
              <w:t xml:space="preserve"> ust. 1 pkt 15 i </w:t>
            </w:r>
            <w:r w:rsidR="009D3773" w:rsidRPr="00317ABF">
              <w:rPr>
                <w:b/>
                <w:bCs/>
                <w:noProof/>
                <w:sz w:val="22"/>
                <w:szCs w:val="22"/>
              </w:rPr>
              <w:t>16</w:t>
            </w:r>
          </w:p>
        </w:tc>
        <w:tc>
          <w:tcPr>
            <w:tcW w:w="6814" w:type="dxa"/>
            <w:gridSpan w:val="2"/>
          </w:tcPr>
          <w:p w14:paraId="1CE656DF" w14:textId="3DA30273" w:rsidR="008503D0" w:rsidRPr="00317ABF" w:rsidRDefault="008503D0" w:rsidP="009D3773">
            <w:pPr>
              <w:pStyle w:val="ARTartustawynprozporzdzenia"/>
              <w:keepNext/>
              <w:spacing w:line="240" w:lineRule="auto"/>
              <w:rPr>
                <w:rFonts w:ascii="Times New Roman" w:hAnsi="Times New Roman" w:cs="Times New Roman"/>
                <w:sz w:val="22"/>
                <w:szCs w:val="22"/>
              </w:rPr>
            </w:pPr>
            <w:r w:rsidRPr="00317ABF">
              <w:rPr>
                <w:rFonts w:ascii="Times New Roman" w:hAnsi="Times New Roman" w:cs="Times New Roman"/>
                <w:sz w:val="22"/>
                <w:szCs w:val="22"/>
              </w:rPr>
              <w:t xml:space="preserve"> </w:t>
            </w:r>
            <w:r w:rsidRPr="00317ABF">
              <w:rPr>
                <w:rStyle w:val="Ppogrubienie"/>
                <w:rFonts w:ascii="Times New Roman" w:hAnsi="Times New Roman"/>
                <w:sz w:val="22"/>
                <w:szCs w:val="22"/>
              </w:rPr>
              <w:t>Art. 414.</w:t>
            </w:r>
            <w:r w:rsidRPr="00317ABF">
              <w:rPr>
                <w:rFonts w:ascii="Times New Roman" w:hAnsi="Times New Roman" w:cs="Times New Roman"/>
                <w:sz w:val="22"/>
                <w:szCs w:val="22"/>
              </w:rPr>
              <w:t xml:space="preserve"> 1. Do zakresu działania Prezesa UKE należy w szczególności:</w:t>
            </w:r>
          </w:p>
          <w:p w14:paraId="1F4B1596" w14:textId="77777777" w:rsidR="008503D0" w:rsidRPr="00317ABF" w:rsidRDefault="008503D0" w:rsidP="009D3773">
            <w:pPr>
              <w:ind w:left="510" w:hanging="510"/>
              <w:jc w:val="both"/>
              <w:rPr>
                <w:rFonts w:eastAsia="Times"/>
                <w:sz w:val="22"/>
                <w:szCs w:val="22"/>
              </w:rPr>
            </w:pPr>
          </w:p>
          <w:p w14:paraId="63BEFB77" w14:textId="77777777" w:rsidR="008503D0" w:rsidRPr="00317ABF" w:rsidRDefault="008503D0" w:rsidP="009D3773">
            <w:pPr>
              <w:ind w:left="510" w:hanging="510"/>
              <w:jc w:val="both"/>
              <w:rPr>
                <w:rFonts w:eastAsia="Times"/>
                <w:sz w:val="22"/>
                <w:szCs w:val="22"/>
              </w:rPr>
            </w:pPr>
          </w:p>
          <w:p w14:paraId="0FB634A2" w14:textId="77777777" w:rsidR="009D3773" w:rsidRPr="00317ABF" w:rsidRDefault="009D3773" w:rsidP="009D3773">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15)</w:t>
            </w:r>
            <w:r w:rsidRPr="00317ABF">
              <w:rPr>
                <w:rFonts w:ascii="Times New Roman" w:hAnsi="Times New Roman" w:cs="Times New Roman"/>
                <w:sz w:val="22"/>
                <w:szCs w:val="22"/>
              </w:rPr>
              <w:tab/>
              <w:t>współpraca z Prezesem UOKiK w sprawach dotyczących przestrzegania praw podmiotów korzystających z usług komunikacji elektronicznej, przeciwdziałania praktykom ograniczającym konkurencję oraz antykonkurencyjnym koncentracjom przedsiębiorców komunikacji elektronicznej i ich związków;</w:t>
            </w:r>
          </w:p>
          <w:p w14:paraId="5C0DE3B9" w14:textId="77777777" w:rsidR="009D3773" w:rsidRPr="00317ABF" w:rsidRDefault="009D3773" w:rsidP="009D3773">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16)</w:t>
            </w:r>
            <w:r w:rsidRPr="00317ABF">
              <w:rPr>
                <w:rFonts w:ascii="Times New Roman" w:hAnsi="Times New Roman" w:cs="Times New Roman"/>
                <w:sz w:val="22"/>
                <w:szCs w:val="22"/>
              </w:rPr>
              <w:tab/>
              <w:t>współpraca z Krajową Radą Radiofonii i Telewizji w zakresie właściwości tego organu;</w:t>
            </w:r>
          </w:p>
          <w:p w14:paraId="74539910" w14:textId="6B555F06" w:rsidR="001E1112" w:rsidRPr="00317ABF" w:rsidRDefault="001E1112" w:rsidP="00DB3BEC">
            <w:pPr>
              <w:jc w:val="both"/>
              <w:rPr>
                <w:sz w:val="22"/>
                <w:szCs w:val="22"/>
              </w:rPr>
            </w:pPr>
          </w:p>
        </w:tc>
      </w:tr>
      <w:tr w:rsidR="001E1112" w:rsidRPr="00317ABF" w14:paraId="56D003D8" w14:textId="77777777" w:rsidTr="7753F98D">
        <w:trPr>
          <w:gridAfter w:val="2"/>
          <w:wAfter w:w="175" w:type="dxa"/>
        </w:trPr>
        <w:tc>
          <w:tcPr>
            <w:tcW w:w="704" w:type="dxa"/>
          </w:tcPr>
          <w:p w14:paraId="3D2ED524" w14:textId="77777777" w:rsidR="001E1112" w:rsidRPr="00317ABF" w:rsidRDefault="001E1112" w:rsidP="00DB3BEC">
            <w:pPr>
              <w:jc w:val="both"/>
              <w:rPr>
                <w:b/>
                <w:sz w:val="22"/>
                <w:szCs w:val="22"/>
              </w:rPr>
            </w:pPr>
            <w:r w:rsidRPr="00317ABF">
              <w:rPr>
                <w:b/>
                <w:sz w:val="22"/>
                <w:szCs w:val="22"/>
              </w:rPr>
              <w:t>Art. 12</w:t>
            </w:r>
          </w:p>
        </w:tc>
        <w:tc>
          <w:tcPr>
            <w:tcW w:w="4308" w:type="dxa"/>
          </w:tcPr>
          <w:p w14:paraId="458B5289" w14:textId="77777777" w:rsidR="001E1112" w:rsidRPr="00317ABF" w:rsidRDefault="001E1112" w:rsidP="00DB3BEC">
            <w:pPr>
              <w:spacing w:before="60" w:after="120"/>
              <w:jc w:val="both"/>
              <w:rPr>
                <w:b/>
                <w:bCs/>
                <w:sz w:val="22"/>
                <w:szCs w:val="22"/>
              </w:rPr>
            </w:pPr>
            <w:r w:rsidRPr="00317ABF">
              <w:rPr>
                <w:b/>
                <w:bCs/>
                <w:sz w:val="22"/>
                <w:szCs w:val="22"/>
              </w:rPr>
              <w:t>Ogólne zezwolenie na sieci i usługi łączności elektronicznej</w:t>
            </w:r>
          </w:p>
        </w:tc>
        <w:tc>
          <w:tcPr>
            <w:tcW w:w="986" w:type="dxa"/>
          </w:tcPr>
          <w:p w14:paraId="5A7E0CF2" w14:textId="77777777" w:rsidR="001E1112" w:rsidRPr="00317ABF" w:rsidRDefault="001E1112" w:rsidP="00DB3BEC">
            <w:pPr>
              <w:jc w:val="both"/>
              <w:rPr>
                <w:sz w:val="22"/>
                <w:szCs w:val="22"/>
              </w:rPr>
            </w:pPr>
          </w:p>
        </w:tc>
        <w:tc>
          <w:tcPr>
            <w:tcW w:w="910" w:type="dxa"/>
          </w:tcPr>
          <w:p w14:paraId="60FA6563" w14:textId="77777777" w:rsidR="001E1112" w:rsidRPr="00317ABF" w:rsidRDefault="001E1112" w:rsidP="00DB3BEC">
            <w:pPr>
              <w:pStyle w:val="Tekstpodstawowy"/>
              <w:rPr>
                <w:b/>
                <w:noProof/>
                <w:sz w:val="22"/>
                <w:szCs w:val="22"/>
              </w:rPr>
            </w:pPr>
          </w:p>
        </w:tc>
        <w:tc>
          <w:tcPr>
            <w:tcW w:w="6814" w:type="dxa"/>
            <w:gridSpan w:val="2"/>
          </w:tcPr>
          <w:p w14:paraId="1AC5CDBE" w14:textId="77777777" w:rsidR="001E1112" w:rsidRPr="00317ABF" w:rsidRDefault="001E1112" w:rsidP="00DB3BEC">
            <w:pPr>
              <w:pStyle w:val="Tekstpodstawowy"/>
              <w:rPr>
                <w:sz w:val="22"/>
                <w:szCs w:val="22"/>
              </w:rPr>
            </w:pPr>
          </w:p>
        </w:tc>
      </w:tr>
      <w:tr w:rsidR="001E1112" w:rsidRPr="00317ABF" w14:paraId="3D3A623A" w14:textId="77777777" w:rsidTr="7753F98D">
        <w:trPr>
          <w:gridAfter w:val="2"/>
          <w:wAfter w:w="175" w:type="dxa"/>
        </w:trPr>
        <w:tc>
          <w:tcPr>
            <w:tcW w:w="704" w:type="dxa"/>
          </w:tcPr>
          <w:p w14:paraId="75335BEB" w14:textId="77777777" w:rsidR="001E1112" w:rsidRPr="00317ABF" w:rsidRDefault="001E1112" w:rsidP="00DB3BEC">
            <w:pPr>
              <w:jc w:val="both"/>
              <w:rPr>
                <w:sz w:val="22"/>
                <w:szCs w:val="22"/>
              </w:rPr>
            </w:pPr>
            <w:r w:rsidRPr="00317ABF">
              <w:rPr>
                <w:sz w:val="22"/>
                <w:szCs w:val="22"/>
              </w:rPr>
              <w:t>Art. 12 ust. 1</w:t>
            </w:r>
          </w:p>
        </w:tc>
        <w:tc>
          <w:tcPr>
            <w:tcW w:w="4308" w:type="dxa"/>
          </w:tcPr>
          <w:p w14:paraId="4295DE81" w14:textId="77777777" w:rsidR="001E1112" w:rsidRPr="00317ABF" w:rsidRDefault="001E1112" w:rsidP="00DB3BEC">
            <w:pPr>
              <w:spacing w:before="120"/>
              <w:jc w:val="both"/>
              <w:rPr>
                <w:sz w:val="22"/>
                <w:szCs w:val="22"/>
              </w:rPr>
            </w:pPr>
            <w:r w:rsidRPr="00317ABF">
              <w:rPr>
                <w:sz w:val="22"/>
                <w:szCs w:val="22"/>
              </w:rPr>
              <w:t>1.   Państwa członkowskie zapewniają swobodę dostarczania sieci łączności elektronicznej i świadczenia usług łączności elektronicznej na warunkach określonych w niniejszej dyrektywie. W tym celu państwa członkowskie nie będą utrudniać przedsiębiorstwu dostarczania sieci łączności elektronicznej ani świadczenia usług łączności elektronicznej, chyba że jest to niezbędne z przyczyn określonych w art. 52 ust. 1 TFUE. Każde takie ograniczenie swobody dostarczania sieci łączności elektronicznej i świadczenia usług łączności elektronicznej należycie uzasadnia się, a ograniczenie to zgłasza się do Komisji.</w:t>
            </w:r>
          </w:p>
        </w:tc>
        <w:tc>
          <w:tcPr>
            <w:tcW w:w="986" w:type="dxa"/>
          </w:tcPr>
          <w:p w14:paraId="342D4C27" w14:textId="05FFFE4A" w:rsidR="001E1112" w:rsidRPr="00317ABF" w:rsidRDefault="001E1112" w:rsidP="00DB3BEC">
            <w:pPr>
              <w:jc w:val="both"/>
              <w:rPr>
                <w:sz w:val="22"/>
                <w:szCs w:val="22"/>
              </w:rPr>
            </w:pPr>
            <w:r w:rsidRPr="00317ABF">
              <w:rPr>
                <w:sz w:val="22"/>
                <w:szCs w:val="22"/>
              </w:rPr>
              <w:t>N</w:t>
            </w:r>
          </w:p>
        </w:tc>
        <w:tc>
          <w:tcPr>
            <w:tcW w:w="910" w:type="dxa"/>
          </w:tcPr>
          <w:p w14:paraId="3572E399" w14:textId="740592D2" w:rsidR="001E1112" w:rsidRPr="00317ABF" w:rsidRDefault="001E1112" w:rsidP="00DB3BEC">
            <w:pPr>
              <w:pStyle w:val="Tekstpodstawowy"/>
              <w:rPr>
                <w:b/>
                <w:bCs/>
                <w:noProof/>
                <w:sz w:val="22"/>
                <w:szCs w:val="22"/>
              </w:rPr>
            </w:pPr>
            <w:r w:rsidRPr="00317ABF">
              <w:rPr>
                <w:b/>
                <w:bCs/>
                <w:noProof/>
                <w:sz w:val="22"/>
                <w:szCs w:val="22"/>
              </w:rPr>
              <w:t>Art. 5 ust. 1</w:t>
            </w:r>
            <w:r w:rsidR="00282E4B" w:rsidRPr="00317ABF">
              <w:rPr>
                <w:b/>
                <w:bCs/>
                <w:noProof/>
                <w:sz w:val="22"/>
                <w:szCs w:val="22"/>
              </w:rPr>
              <w:t xml:space="preserve"> i 2</w:t>
            </w:r>
            <w:r w:rsidRPr="00317ABF">
              <w:rPr>
                <w:b/>
                <w:bCs/>
                <w:noProof/>
                <w:sz w:val="22"/>
                <w:szCs w:val="22"/>
              </w:rPr>
              <w:t xml:space="preserve"> - okreslający jedyny wymóg podjęcia działalności</w:t>
            </w:r>
          </w:p>
        </w:tc>
        <w:tc>
          <w:tcPr>
            <w:tcW w:w="6814" w:type="dxa"/>
            <w:gridSpan w:val="2"/>
          </w:tcPr>
          <w:p w14:paraId="05DFAD5C" w14:textId="77777777" w:rsidR="00282E4B" w:rsidRPr="00317ABF" w:rsidRDefault="001E1112" w:rsidP="00282E4B">
            <w:pPr>
              <w:jc w:val="both"/>
              <w:rPr>
                <w:sz w:val="22"/>
                <w:szCs w:val="22"/>
              </w:rPr>
            </w:pPr>
            <w:r w:rsidRPr="00317ABF">
              <w:rPr>
                <w:b/>
                <w:bCs/>
                <w:sz w:val="22"/>
                <w:szCs w:val="22"/>
              </w:rPr>
              <w:t>Art. 5.</w:t>
            </w:r>
            <w:r w:rsidRPr="00317ABF">
              <w:rPr>
                <w:sz w:val="22"/>
                <w:szCs w:val="22"/>
              </w:rPr>
              <w:t xml:space="preserve"> 1. Działalność telekomunikacyjna będąca działalnością gospodarczą jest działalnością regulowaną i podlega wpisowi do rejestru przedsiębiorców telekomunikacyjnych, zwanego dalej „rejestrem PT”.</w:t>
            </w:r>
          </w:p>
          <w:p w14:paraId="6CEB15CE" w14:textId="710A4FC0" w:rsidR="001E1112" w:rsidRPr="00317ABF" w:rsidRDefault="00282E4B" w:rsidP="00DB3BEC">
            <w:pPr>
              <w:jc w:val="both"/>
              <w:rPr>
                <w:sz w:val="22"/>
                <w:szCs w:val="22"/>
              </w:rPr>
            </w:pPr>
            <w:r w:rsidRPr="00317ABF">
              <w:rPr>
                <w:sz w:val="22"/>
                <w:szCs w:val="22"/>
              </w:rPr>
              <w:t xml:space="preserve"> 2.</w:t>
            </w:r>
            <w:r w:rsidR="001E1112" w:rsidRPr="00317ABF">
              <w:rPr>
                <w:sz w:val="22"/>
                <w:szCs w:val="22"/>
              </w:rPr>
              <w:t xml:space="preserve"> Wpisowi do rejestru PT podlega również działalność telekomunikacyjna prowadzona przez przedsiębiorcę telekomunikacyjnego z innego państwa członkowskiego Unii Europejskiej (UE) oraz państw członkowskich Europejskiego Porozumienia o Wolnym Handlu (EFTA) – stron umowy o Europejskim Obszarze Gospodarczym, zwanych dalej „państwami członkowskimi” albo państwa, które zawarło z UE i jej państwami członkowskimi umowę regulującą swobodę świadczenia usług, który czasowo świadczy na terytorium Rzeczypospolitej Polskiej usługi na zasadach określonych odpowiednio w przepisach Traktatu o funkcjonowaniu Unii Europejskiej, umowy o Europejskim Obszarze Gospodarczym albo w przepisach innej umowy regulującej swobodę świadczenia usług.</w:t>
            </w:r>
          </w:p>
        </w:tc>
      </w:tr>
      <w:tr w:rsidR="001E1112" w:rsidRPr="00317ABF" w14:paraId="494C8C05" w14:textId="77777777" w:rsidTr="7753F98D">
        <w:trPr>
          <w:gridAfter w:val="2"/>
          <w:wAfter w:w="175" w:type="dxa"/>
        </w:trPr>
        <w:tc>
          <w:tcPr>
            <w:tcW w:w="704" w:type="dxa"/>
          </w:tcPr>
          <w:p w14:paraId="15BFC50C" w14:textId="77777777" w:rsidR="001E1112" w:rsidRPr="00317ABF" w:rsidRDefault="001E1112" w:rsidP="00DB3BEC">
            <w:pPr>
              <w:jc w:val="both"/>
              <w:rPr>
                <w:sz w:val="22"/>
                <w:szCs w:val="22"/>
              </w:rPr>
            </w:pPr>
            <w:r w:rsidRPr="00317ABF">
              <w:rPr>
                <w:sz w:val="22"/>
                <w:szCs w:val="22"/>
              </w:rPr>
              <w:t>Art. 12 ust. 2</w:t>
            </w:r>
          </w:p>
        </w:tc>
        <w:tc>
          <w:tcPr>
            <w:tcW w:w="4308" w:type="dxa"/>
          </w:tcPr>
          <w:p w14:paraId="00D6CC23" w14:textId="77777777" w:rsidR="001E1112" w:rsidRPr="00317ABF" w:rsidRDefault="001E1112" w:rsidP="00DB3BEC">
            <w:pPr>
              <w:spacing w:before="120"/>
              <w:jc w:val="both"/>
              <w:rPr>
                <w:sz w:val="22"/>
                <w:szCs w:val="22"/>
              </w:rPr>
            </w:pPr>
            <w:r w:rsidRPr="00317ABF">
              <w:rPr>
                <w:sz w:val="22"/>
                <w:szCs w:val="22"/>
              </w:rPr>
              <w:t xml:space="preserve">2.   Dostarczanie sieci łączności elektronicznej lub świadczenie usług łączności elektronicznej innych niż usług łączności interpersonalnej niewykorzystujących numerów może jedynie podlegać ogólnemu zezwoleniu, bez uszczerbku dla szczegółowych obowiązków, </w:t>
            </w:r>
            <w:r w:rsidRPr="00317ABF">
              <w:rPr>
                <w:sz w:val="22"/>
                <w:szCs w:val="22"/>
              </w:rPr>
              <w:lastRenderedPageBreak/>
              <w:t>o których mowa w art. 13 ust. 2, lub praw, o których mowa w art. 46 i 94.</w:t>
            </w:r>
          </w:p>
        </w:tc>
        <w:tc>
          <w:tcPr>
            <w:tcW w:w="986" w:type="dxa"/>
          </w:tcPr>
          <w:p w14:paraId="66518E39" w14:textId="03563894" w:rsidR="001E1112" w:rsidRPr="00317ABF" w:rsidRDefault="001E1112" w:rsidP="00DB3BEC">
            <w:pPr>
              <w:jc w:val="both"/>
              <w:rPr>
                <w:sz w:val="22"/>
                <w:szCs w:val="22"/>
              </w:rPr>
            </w:pPr>
            <w:r w:rsidRPr="00317ABF">
              <w:rPr>
                <w:sz w:val="22"/>
                <w:szCs w:val="22"/>
              </w:rPr>
              <w:lastRenderedPageBreak/>
              <w:t>T</w:t>
            </w:r>
          </w:p>
        </w:tc>
        <w:tc>
          <w:tcPr>
            <w:tcW w:w="910" w:type="dxa"/>
          </w:tcPr>
          <w:p w14:paraId="7E75FCD0" w14:textId="3371C63C" w:rsidR="001E1112" w:rsidRPr="00317ABF" w:rsidRDefault="001E1112" w:rsidP="00DB3BEC">
            <w:pPr>
              <w:pStyle w:val="Tekstpodstawowy"/>
              <w:rPr>
                <w:b/>
                <w:noProof/>
                <w:sz w:val="22"/>
                <w:szCs w:val="22"/>
              </w:rPr>
            </w:pPr>
            <w:r w:rsidRPr="00317ABF">
              <w:rPr>
                <w:b/>
                <w:bCs/>
                <w:noProof/>
                <w:sz w:val="22"/>
                <w:szCs w:val="22"/>
              </w:rPr>
              <w:t>Art. 5 ust. 1</w:t>
            </w:r>
            <w:r w:rsidR="005453BE" w:rsidRPr="00317ABF">
              <w:rPr>
                <w:b/>
                <w:bCs/>
                <w:noProof/>
                <w:sz w:val="22"/>
                <w:szCs w:val="22"/>
              </w:rPr>
              <w:t xml:space="preserve"> i 2</w:t>
            </w:r>
          </w:p>
        </w:tc>
        <w:tc>
          <w:tcPr>
            <w:tcW w:w="6814" w:type="dxa"/>
            <w:gridSpan w:val="2"/>
          </w:tcPr>
          <w:p w14:paraId="2C8EE604" w14:textId="77777777" w:rsidR="005453BE" w:rsidRPr="00317ABF" w:rsidRDefault="001E1112" w:rsidP="005453BE">
            <w:pPr>
              <w:jc w:val="both"/>
              <w:rPr>
                <w:sz w:val="22"/>
                <w:szCs w:val="22"/>
              </w:rPr>
            </w:pPr>
            <w:r w:rsidRPr="00317ABF">
              <w:rPr>
                <w:b/>
                <w:bCs/>
                <w:sz w:val="22"/>
                <w:szCs w:val="22"/>
              </w:rPr>
              <w:t>Art. 5.</w:t>
            </w:r>
            <w:r w:rsidRPr="00317ABF">
              <w:rPr>
                <w:sz w:val="22"/>
                <w:szCs w:val="22"/>
              </w:rPr>
              <w:t xml:space="preserve"> 1. Działalność telekomunikacyjna będąca działalnością gospodarczą jest działalnością regulowaną i podlega wpisowi do rejestru przedsiębiorców telekomunikacyjnych, zwanego dalej „rejestrem PT”.</w:t>
            </w:r>
          </w:p>
          <w:p w14:paraId="10FDAA0E" w14:textId="011AEFC3" w:rsidR="001E1112" w:rsidRPr="00317ABF" w:rsidRDefault="005453BE" w:rsidP="00DB3BEC">
            <w:pPr>
              <w:jc w:val="both"/>
              <w:rPr>
                <w:sz w:val="22"/>
                <w:szCs w:val="22"/>
              </w:rPr>
            </w:pPr>
            <w:r w:rsidRPr="00317ABF">
              <w:rPr>
                <w:sz w:val="22"/>
                <w:szCs w:val="22"/>
              </w:rPr>
              <w:t xml:space="preserve"> 2.</w:t>
            </w:r>
            <w:r w:rsidR="001E1112" w:rsidRPr="00317ABF">
              <w:rPr>
                <w:sz w:val="22"/>
                <w:szCs w:val="22"/>
              </w:rPr>
              <w:t xml:space="preserve"> Wpisowi do rejestru PT podlega również działalność telekomunikacyjna prowadzona przez przedsiębiorcę telekomunikacyjnego z innego państwa członkowskiego Unii Europejskiej (UE) oraz państw członkowskich </w:t>
            </w:r>
            <w:r w:rsidR="001E1112" w:rsidRPr="00317ABF">
              <w:rPr>
                <w:sz w:val="22"/>
                <w:szCs w:val="22"/>
              </w:rPr>
              <w:lastRenderedPageBreak/>
              <w:t>Europejskiego Porozumienia o Wolnym Handlu (EFTA) – stron umowy o Europejskim Obszarze Gospodarczym, zwanych dalej „państwami członkowskimi” albo państwa, które zawarło z UE i jej państwami członkowskimi umowę regulującą swobodę świadczenia usług, który czasowo świadczy na terytorium Rzeczypospolitej Polskiej usługi na zasadach określonych odpowiednio w przepisach Traktatu o funkcjonowaniu Unii Europejskiej, umowy o Europejskim Obszarze Gospodarczym albo w przepisach innej umowy regulującej swobodę świadczenia usług.</w:t>
            </w:r>
          </w:p>
        </w:tc>
      </w:tr>
      <w:tr w:rsidR="001E1112" w:rsidRPr="00317ABF" w14:paraId="041E593C" w14:textId="77777777" w:rsidTr="7753F98D">
        <w:trPr>
          <w:gridAfter w:val="2"/>
          <w:wAfter w:w="175" w:type="dxa"/>
        </w:trPr>
        <w:tc>
          <w:tcPr>
            <w:tcW w:w="704" w:type="dxa"/>
          </w:tcPr>
          <w:p w14:paraId="72C80343" w14:textId="77777777" w:rsidR="001E1112" w:rsidRPr="00317ABF" w:rsidRDefault="001E1112" w:rsidP="00DB3BEC">
            <w:pPr>
              <w:jc w:val="both"/>
              <w:rPr>
                <w:sz w:val="22"/>
                <w:szCs w:val="22"/>
              </w:rPr>
            </w:pPr>
            <w:r w:rsidRPr="00317ABF">
              <w:rPr>
                <w:sz w:val="22"/>
                <w:szCs w:val="22"/>
              </w:rPr>
              <w:lastRenderedPageBreak/>
              <w:t>Art. 12 ust. 3</w:t>
            </w:r>
          </w:p>
        </w:tc>
        <w:tc>
          <w:tcPr>
            <w:tcW w:w="4308" w:type="dxa"/>
          </w:tcPr>
          <w:p w14:paraId="12CA4780" w14:textId="77777777" w:rsidR="001E1112" w:rsidRPr="00317ABF" w:rsidRDefault="001E1112" w:rsidP="00DB3BEC">
            <w:pPr>
              <w:spacing w:before="120"/>
              <w:jc w:val="both"/>
              <w:rPr>
                <w:sz w:val="22"/>
                <w:szCs w:val="22"/>
              </w:rPr>
            </w:pPr>
            <w:r w:rsidRPr="00317ABF">
              <w:rPr>
                <w:sz w:val="22"/>
                <w:szCs w:val="22"/>
              </w:rPr>
              <w:t>3.   Jeżeli państwo członkowskie uzna wymóg zgłoszenia za uzasadniony w odniesieniu do przedsiębiorstw podlegających ogólnemu zezwoleniu, dane państwo członkowskie może wymagać od takich przedsiębiorstw wyłącznie dokonania zgłoszenia krajowemu organowi regulacyjnemu lub innemu właściwemu organowi. Państwo członkowskie nie może od takich przedsiębiorstw wymagać uzyskania jednoznacznej decyzji lub innego aktu administracyjnego od takiego organu lub jakiegokolwiek innego organu przed rozpoczęciem wykonywania uprawnień wynikających z ogólnego zezwolenia.</w:t>
            </w:r>
          </w:p>
          <w:p w14:paraId="74385B6C" w14:textId="77777777" w:rsidR="001E1112" w:rsidRPr="00317ABF" w:rsidRDefault="001E1112" w:rsidP="00DB3BEC">
            <w:pPr>
              <w:spacing w:before="120"/>
              <w:jc w:val="both"/>
              <w:rPr>
                <w:sz w:val="22"/>
                <w:szCs w:val="22"/>
              </w:rPr>
            </w:pPr>
            <w:r w:rsidRPr="00317ABF">
              <w:rPr>
                <w:sz w:val="22"/>
                <w:szCs w:val="22"/>
              </w:rPr>
              <w:t>Po dokonaniu zgłoszenia, jeżeli było ono wymagane, przedsiębiorstwo może rozpocząć działalność z zastrzeżeniem, w razie potrzeby, przepisów dotyczących praw użytkowania przewidzianych w niniejszej dyrektywie.</w:t>
            </w:r>
          </w:p>
        </w:tc>
        <w:tc>
          <w:tcPr>
            <w:tcW w:w="986" w:type="dxa"/>
          </w:tcPr>
          <w:p w14:paraId="774AF2BF" w14:textId="0F34FABA" w:rsidR="001E1112" w:rsidRPr="00317ABF" w:rsidRDefault="001E1112" w:rsidP="00DB3BEC">
            <w:pPr>
              <w:jc w:val="both"/>
              <w:rPr>
                <w:sz w:val="22"/>
                <w:szCs w:val="22"/>
              </w:rPr>
            </w:pPr>
            <w:r w:rsidRPr="00317ABF">
              <w:rPr>
                <w:sz w:val="22"/>
                <w:szCs w:val="22"/>
              </w:rPr>
              <w:t>T</w:t>
            </w:r>
          </w:p>
        </w:tc>
        <w:tc>
          <w:tcPr>
            <w:tcW w:w="910" w:type="dxa"/>
          </w:tcPr>
          <w:p w14:paraId="2C996DF4" w14:textId="2C38AAD3" w:rsidR="001E1112" w:rsidRPr="00317ABF" w:rsidRDefault="001E1112" w:rsidP="00DB3BEC">
            <w:pPr>
              <w:pStyle w:val="Tekstpodstawowy"/>
              <w:rPr>
                <w:b/>
                <w:bCs/>
                <w:noProof/>
                <w:sz w:val="22"/>
                <w:szCs w:val="22"/>
              </w:rPr>
            </w:pPr>
            <w:r w:rsidRPr="00317ABF">
              <w:rPr>
                <w:b/>
                <w:noProof/>
                <w:sz w:val="22"/>
                <w:szCs w:val="22"/>
              </w:rPr>
              <w:t>Art. 5 ust. 1</w:t>
            </w:r>
          </w:p>
          <w:p w14:paraId="7A292896" w14:textId="67374710" w:rsidR="001E1112" w:rsidRPr="00317ABF" w:rsidRDefault="00DB3BEC" w:rsidP="00DB3BEC">
            <w:pPr>
              <w:pStyle w:val="Tekstpodstawowy"/>
              <w:rPr>
                <w:b/>
                <w:noProof/>
                <w:sz w:val="22"/>
                <w:szCs w:val="22"/>
              </w:rPr>
            </w:pPr>
            <w:r w:rsidRPr="00317ABF">
              <w:rPr>
                <w:b/>
                <w:bCs/>
                <w:noProof/>
                <w:sz w:val="22"/>
                <w:szCs w:val="22"/>
              </w:rPr>
              <w:t xml:space="preserve">Art. </w:t>
            </w:r>
            <w:r w:rsidR="001E1112" w:rsidRPr="00317ABF">
              <w:rPr>
                <w:b/>
                <w:bCs/>
                <w:noProof/>
                <w:sz w:val="22"/>
                <w:szCs w:val="22"/>
              </w:rPr>
              <w:t>8</w:t>
            </w:r>
          </w:p>
        </w:tc>
        <w:tc>
          <w:tcPr>
            <w:tcW w:w="6814" w:type="dxa"/>
            <w:gridSpan w:val="2"/>
          </w:tcPr>
          <w:p w14:paraId="12978930" w14:textId="77777777" w:rsidR="005453BE" w:rsidRPr="00317ABF" w:rsidRDefault="005453BE" w:rsidP="005453BE">
            <w:pPr>
              <w:jc w:val="both"/>
              <w:rPr>
                <w:sz w:val="22"/>
                <w:szCs w:val="22"/>
              </w:rPr>
            </w:pPr>
            <w:r w:rsidRPr="00317ABF">
              <w:rPr>
                <w:b/>
                <w:bCs/>
                <w:sz w:val="22"/>
                <w:szCs w:val="22"/>
              </w:rPr>
              <w:t>Art. 5.</w:t>
            </w:r>
            <w:r w:rsidRPr="00317ABF">
              <w:rPr>
                <w:sz w:val="22"/>
                <w:szCs w:val="22"/>
              </w:rPr>
              <w:t xml:space="preserve"> 1. Działalność telekomunikacyjna będąca działalnością gospodarczą jest działalnością regulowaną i podlega wpisowi do rejestru przedsiębiorców telekomunikacyjnych, zwanego dalej „rejestrem PT”.</w:t>
            </w:r>
          </w:p>
          <w:p w14:paraId="00F54149" w14:textId="5A76C410" w:rsidR="001E1112" w:rsidRPr="00317ABF" w:rsidRDefault="005453BE" w:rsidP="00DB3BEC">
            <w:pPr>
              <w:jc w:val="both"/>
              <w:rPr>
                <w:rFonts w:eastAsia="Times"/>
                <w:b/>
                <w:bCs/>
                <w:sz w:val="22"/>
                <w:szCs w:val="22"/>
              </w:rPr>
            </w:pPr>
            <w:r w:rsidRPr="00317ABF">
              <w:rPr>
                <w:sz w:val="22"/>
                <w:szCs w:val="22"/>
              </w:rPr>
              <w:t xml:space="preserve"> 2. Wpisowi do rejestru PT podlega również działalność telekomunikacyjna prowadzona przez przedsiębiorcę telekomunikacyjnego z innego państwa członkowskiego Unii Europejskiej (UE) oraz państw członkowskich Europejskiego Porozumienia o Wolnym Handlu (EFTA) – stron umowy o Europejskim Obszarze Gospodarczym, zwanych dalej „państwami członkowskimi” albo państwa, które zawarło z UE i jej państwami członkowskimi umowę regulującą swobodę świadczenia usług, który czasowo świadczy na terytorium Rzeczypospolitej Polskiej usługi na zasadach określonych odpowiednio w przepisach Traktatu o funkcjonowaniu Unii Europejskiej, umowy o Europejskim Obszarze Gospodarczym albo w przepisach innej umowy regulującej swobodę świadczenia usług.</w:t>
            </w:r>
          </w:p>
          <w:p w14:paraId="0DA12E07" w14:textId="6CF578E8" w:rsidR="001E1112" w:rsidRPr="00317ABF" w:rsidRDefault="001E1112" w:rsidP="00DB3BEC">
            <w:pPr>
              <w:jc w:val="both"/>
              <w:rPr>
                <w:rFonts w:eastAsia="Times"/>
                <w:sz w:val="22"/>
                <w:szCs w:val="22"/>
              </w:rPr>
            </w:pPr>
            <w:r w:rsidRPr="00317ABF">
              <w:rPr>
                <w:rFonts w:eastAsia="Times"/>
                <w:b/>
                <w:bCs/>
                <w:sz w:val="22"/>
                <w:szCs w:val="22"/>
              </w:rPr>
              <w:t>Art. 8.</w:t>
            </w:r>
            <w:r w:rsidRPr="00317ABF">
              <w:rPr>
                <w:rFonts w:eastAsia="Times"/>
                <w:b/>
                <w:sz w:val="22"/>
                <w:szCs w:val="22"/>
              </w:rPr>
              <w:t xml:space="preserve"> </w:t>
            </w:r>
            <w:r w:rsidRPr="00317ABF">
              <w:rPr>
                <w:rFonts w:eastAsia="Times"/>
                <w:sz w:val="22"/>
                <w:szCs w:val="22"/>
              </w:rPr>
              <w:t>1. Prezes UKE dokona wpisu wnioskodawcy do rejestru PT albo rejestru JST w terminie do 3 dni roboczych od dnia wpływu tego wniosku lub od dnia uzupełnienia wniosku.</w:t>
            </w:r>
          </w:p>
          <w:p w14:paraId="5EAC3F4D" w14:textId="77777777" w:rsidR="001E1112" w:rsidRPr="00317ABF" w:rsidRDefault="001E1112" w:rsidP="005453BE">
            <w:pPr>
              <w:jc w:val="both"/>
              <w:rPr>
                <w:rFonts w:eastAsia="Times"/>
                <w:sz w:val="22"/>
                <w:szCs w:val="22"/>
              </w:rPr>
            </w:pPr>
            <w:r w:rsidRPr="00317ABF">
              <w:rPr>
                <w:rFonts w:eastAsia="Times"/>
                <w:sz w:val="22"/>
                <w:szCs w:val="22"/>
              </w:rPr>
              <w:t xml:space="preserve">2. W przypadku, gdy wniosek nie zawiera danych, o których mowa w art. 6 ust. 1 albo art. 7 ust. </w:t>
            </w:r>
            <w:r w:rsidR="005453BE" w:rsidRPr="00317ABF">
              <w:rPr>
                <w:rFonts w:eastAsia="Times"/>
                <w:bCs/>
                <w:sz w:val="22"/>
                <w:szCs w:val="22"/>
              </w:rPr>
              <w:t>1 lub oświadczenia, o którym mowa w art. 6 ust. 2 albo art. 7 ust. 2</w:t>
            </w:r>
            <w:r w:rsidRPr="00317ABF">
              <w:rPr>
                <w:rFonts w:eastAsia="Times"/>
                <w:sz w:val="22"/>
                <w:szCs w:val="22"/>
              </w:rPr>
              <w:t>, Prezes UKE niezwłocznie, jednak nie później niż przed upływem terminu, o którym mowa w ust. 1, wzywa wnioskodawcę do uzupełnienia wniosku w terminie 7 dni od dnia doręczenia wezwania. Wniosek nieuzupełniony w wyznaczonym terminie pozostawia się bez rozpoznania.</w:t>
            </w:r>
          </w:p>
          <w:p w14:paraId="4EDAE5F0" w14:textId="39B08A6A" w:rsidR="001E1112" w:rsidRPr="00317ABF" w:rsidRDefault="001E1112" w:rsidP="005453BE">
            <w:pPr>
              <w:jc w:val="both"/>
              <w:rPr>
                <w:rFonts w:eastAsia="Times"/>
                <w:sz w:val="22"/>
                <w:szCs w:val="22"/>
              </w:rPr>
            </w:pPr>
            <w:r w:rsidRPr="00317ABF">
              <w:rPr>
                <w:rFonts w:eastAsia="Times"/>
                <w:sz w:val="22"/>
                <w:szCs w:val="22"/>
              </w:rPr>
              <w:t>3. Jeżeli Prezes UKE, z zastrzeżeniem ust. 2, nie dokona wpisu w terminie, o którym mowa w ust. 1, wnioskodawca może rozpocząć wykonywanie działalności telekomunikacyjnej.</w:t>
            </w:r>
          </w:p>
          <w:p w14:paraId="7B5A117F" w14:textId="77777777" w:rsidR="001E1112" w:rsidRPr="00317ABF" w:rsidRDefault="001E1112" w:rsidP="005453BE">
            <w:pPr>
              <w:jc w:val="both"/>
              <w:rPr>
                <w:rFonts w:eastAsia="Times"/>
                <w:sz w:val="22"/>
                <w:szCs w:val="22"/>
              </w:rPr>
            </w:pPr>
            <w:r w:rsidRPr="00317ABF">
              <w:rPr>
                <w:rFonts w:eastAsia="Times"/>
                <w:sz w:val="22"/>
                <w:szCs w:val="22"/>
              </w:rPr>
              <w:t xml:space="preserve">4. Prezes UKE korzysta z informacji zawartych w publicznie dostępnych rejestrach w postaci elektronicznej w zakresie danych objętych wnioskiem o </w:t>
            </w:r>
            <w:r w:rsidRPr="00317ABF">
              <w:rPr>
                <w:rFonts w:eastAsia="Times"/>
                <w:sz w:val="22"/>
                <w:szCs w:val="22"/>
              </w:rPr>
              <w:lastRenderedPageBreak/>
              <w:t xml:space="preserve">wpis do rejestru PT albo rejestru JST, w szczególności w celu weryfikacji danych </w:t>
            </w:r>
            <w:r w:rsidR="005453BE" w:rsidRPr="00317ABF">
              <w:rPr>
                <w:rFonts w:eastAsia="Times"/>
                <w:bCs/>
                <w:sz w:val="22"/>
                <w:szCs w:val="22"/>
              </w:rPr>
              <w:t xml:space="preserve">wskazanych we wniosku o wpis do rejestru PT albo rejestru JST. W przypadku wystąpienia rozbieżności między informacjami zawartymi w publicznie dostępnych rejestrach, a informacjami zawartymi we wniosku o wpis, przyjmuje się dane z rejestru, o czym Prezes UKE informuje wnioskodawcę.  </w:t>
            </w:r>
          </w:p>
          <w:p w14:paraId="2191599E" w14:textId="74A4C755" w:rsidR="001E1112" w:rsidRPr="00317ABF" w:rsidRDefault="001E1112" w:rsidP="00DB3BEC">
            <w:pPr>
              <w:jc w:val="both"/>
              <w:rPr>
                <w:sz w:val="22"/>
                <w:szCs w:val="22"/>
              </w:rPr>
            </w:pPr>
            <w:r w:rsidRPr="00317ABF">
              <w:rPr>
                <w:rFonts w:eastAsia="Times"/>
                <w:sz w:val="22"/>
                <w:szCs w:val="22"/>
              </w:rPr>
              <w:t>5. Prezes UKE prostuje z urzędu wpis do rejestru PT albo rejestru JST zawierający oczywiste błędy lub niezgodności ze stanem faktycznym.</w:t>
            </w:r>
          </w:p>
        </w:tc>
      </w:tr>
      <w:tr w:rsidR="001E1112" w:rsidRPr="00317ABF" w14:paraId="43D4247C" w14:textId="77777777" w:rsidTr="7753F98D">
        <w:trPr>
          <w:gridAfter w:val="2"/>
          <w:wAfter w:w="175" w:type="dxa"/>
        </w:trPr>
        <w:tc>
          <w:tcPr>
            <w:tcW w:w="704" w:type="dxa"/>
          </w:tcPr>
          <w:p w14:paraId="75EC8755" w14:textId="77777777" w:rsidR="001E1112" w:rsidRPr="00317ABF" w:rsidRDefault="001E1112" w:rsidP="00DB3BEC">
            <w:pPr>
              <w:jc w:val="both"/>
              <w:rPr>
                <w:sz w:val="22"/>
                <w:szCs w:val="22"/>
              </w:rPr>
            </w:pPr>
            <w:r w:rsidRPr="00317ABF">
              <w:rPr>
                <w:sz w:val="22"/>
                <w:szCs w:val="22"/>
              </w:rPr>
              <w:lastRenderedPageBreak/>
              <w:t>Art. 12 ust. 4</w:t>
            </w:r>
          </w:p>
        </w:tc>
        <w:tc>
          <w:tcPr>
            <w:tcW w:w="4308" w:type="dxa"/>
          </w:tcPr>
          <w:p w14:paraId="59D87D1B" w14:textId="77777777" w:rsidR="001E1112" w:rsidRPr="00317ABF" w:rsidRDefault="001E1112" w:rsidP="00DB3BEC">
            <w:pPr>
              <w:spacing w:before="120"/>
              <w:jc w:val="both"/>
              <w:rPr>
                <w:sz w:val="22"/>
                <w:szCs w:val="22"/>
              </w:rPr>
            </w:pPr>
            <w:r w:rsidRPr="00317ABF">
              <w:rPr>
                <w:sz w:val="22"/>
                <w:szCs w:val="22"/>
              </w:rPr>
              <w:t>4.   Na zgłoszenie, o którym mowa w ust. 3, składa się co najwyżej złożona właściwemu krajowemu organowi regulacyjnemu lub innemu właściwemu organowi deklaracja osoby fizycznej lub prawnej o zamiarze rozpoczęcia dostarczania sieci łączności elektronicznej lub świadczenia usług łączności elektronicznej, wraz z możliwie najkrótszą informacją wymaganą w celu umożliwienia BEREC i temu organowi prowadzenia rejestru lub wykazu dostawców sieci i usług łączności elektronicznej. Taka informacja ogranicza się do:</w:t>
            </w:r>
          </w:p>
          <w:tbl>
            <w:tblPr>
              <w:tblW w:w="5000" w:type="pct"/>
              <w:tblCellSpacing w:w="0" w:type="dxa"/>
              <w:tblLayout w:type="fixed"/>
              <w:tblCellMar>
                <w:left w:w="0" w:type="dxa"/>
                <w:right w:w="0" w:type="dxa"/>
              </w:tblCellMar>
              <w:tblLook w:val="04A0" w:firstRow="1" w:lastRow="0" w:firstColumn="1" w:lastColumn="0" w:noHBand="0" w:noVBand="1"/>
            </w:tblPr>
            <w:tblGrid>
              <w:gridCol w:w="26"/>
              <w:gridCol w:w="4142"/>
            </w:tblGrid>
            <w:tr w:rsidR="001E1112" w:rsidRPr="00317ABF" w14:paraId="79A26E37" w14:textId="77777777" w:rsidTr="009D0AC1">
              <w:trPr>
                <w:tblCellSpacing w:w="0" w:type="dxa"/>
              </w:trPr>
              <w:tc>
                <w:tcPr>
                  <w:tcW w:w="33" w:type="dxa"/>
                  <w:hideMark/>
                </w:tcPr>
                <w:p w14:paraId="7673E5AE" w14:textId="77777777" w:rsidR="001E1112" w:rsidRPr="00317ABF" w:rsidRDefault="001E1112" w:rsidP="00EE0AC3">
                  <w:pPr>
                    <w:framePr w:hSpace="141" w:wrap="around" w:vAnchor="text" w:hAnchor="text" w:xAlign="right" w:y="1"/>
                    <w:spacing w:before="120"/>
                    <w:suppressOverlap/>
                    <w:jc w:val="both"/>
                    <w:rPr>
                      <w:sz w:val="22"/>
                      <w:szCs w:val="22"/>
                    </w:rPr>
                  </w:pPr>
                </w:p>
              </w:tc>
              <w:tc>
                <w:tcPr>
                  <w:tcW w:w="9039" w:type="dxa"/>
                  <w:hideMark/>
                </w:tcPr>
                <w:p w14:paraId="58E28370" w14:textId="77777777" w:rsidR="001E1112" w:rsidRPr="00317ABF" w:rsidRDefault="001E1112" w:rsidP="00EE0AC3">
                  <w:pPr>
                    <w:framePr w:hSpace="141" w:wrap="around" w:vAnchor="text" w:hAnchor="text" w:xAlign="right" w:y="1"/>
                    <w:numPr>
                      <w:ilvl w:val="0"/>
                      <w:numId w:val="8"/>
                    </w:numPr>
                    <w:spacing w:before="120"/>
                    <w:suppressOverlap/>
                    <w:jc w:val="both"/>
                    <w:rPr>
                      <w:sz w:val="22"/>
                      <w:szCs w:val="22"/>
                    </w:rPr>
                  </w:pPr>
                  <w:r w:rsidRPr="00317ABF">
                    <w:rPr>
                      <w:sz w:val="22"/>
                      <w:szCs w:val="22"/>
                    </w:rPr>
                    <w:t>nazwy dostawcy;</w:t>
                  </w:r>
                </w:p>
              </w:tc>
            </w:tr>
          </w:tbl>
          <w:p w14:paraId="041D98D7" w14:textId="77777777" w:rsidR="001E1112" w:rsidRPr="00317ABF" w:rsidRDefault="001E1112" w:rsidP="00DB3BEC">
            <w:pPr>
              <w:jc w:val="both"/>
              <w:rPr>
                <w:vanish/>
                <w:sz w:val="22"/>
                <w:szCs w:val="22"/>
              </w:rPr>
            </w:pPr>
          </w:p>
          <w:tbl>
            <w:tblPr>
              <w:tblW w:w="5000" w:type="pct"/>
              <w:tblCellSpacing w:w="0" w:type="dxa"/>
              <w:tblLayout w:type="fixed"/>
              <w:tblCellMar>
                <w:left w:w="0" w:type="dxa"/>
                <w:right w:w="0" w:type="dxa"/>
              </w:tblCellMar>
              <w:tblLook w:val="04A0" w:firstRow="1" w:lastRow="0" w:firstColumn="1" w:lastColumn="0" w:noHBand="0" w:noVBand="1"/>
            </w:tblPr>
            <w:tblGrid>
              <w:gridCol w:w="20"/>
              <w:gridCol w:w="4148"/>
            </w:tblGrid>
            <w:tr w:rsidR="001E1112" w:rsidRPr="00317ABF" w14:paraId="63A38FEE" w14:textId="77777777" w:rsidTr="009D0AC1">
              <w:trPr>
                <w:tblCellSpacing w:w="0" w:type="dxa"/>
              </w:trPr>
              <w:tc>
                <w:tcPr>
                  <w:tcW w:w="6" w:type="dxa"/>
                  <w:hideMark/>
                </w:tcPr>
                <w:p w14:paraId="5AB7C0C5" w14:textId="77777777" w:rsidR="001E1112" w:rsidRPr="00317ABF" w:rsidRDefault="001E1112" w:rsidP="00EE0AC3">
                  <w:pPr>
                    <w:framePr w:hSpace="141" w:wrap="around" w:vAnchor="text" w:hAnchor="text" w:xAlign="right" w:y="1"/>
                    <w:spacing w:before="120"/>
                    <w:suppressOverlap/>
                    <w:jc w:val="both"/>
                    <w:rPr>
                      <w:sz w:val="22"/>
                      <w:szCs w:val="22"/>
                    </w:rPr>
                  </w:pPr>
                </w:p>
              </w:tc>
              <w:tc>
                <w:tcPr>
                  <w:tcW w:w="9066" w:type="dxa"/>
                  <w:hideMark/>
                </w:tcPr>
                <w:p w14:paraId="7FC10A1F" w14:textId="77777777" w:rsidR="001E1112" w:rsidRPr="00317ABF" w:rsidRDefault="001E1112" w:rsidP="00EE0AC3">
                  <w:pPr>
                    <w:framePr w:hSpace="141" w:wrap="around" w:vAnchor="text" w:hAnchor="text" w:xAlign="right" w:y="1"/>
                    <w:numPr>
                      <w:ilvl w:val="0"/>
                      <w:numId w:val="8"/>
                    </w:numPr>
                    <w:spacing w:before="120"/>
                    <w:suppressOverlap/>
                    <w:jc w:val="both"/>
                    <w:rPr>
                      <w:sz w:val="22"/>
                      <w:szCs w:val="22"/>
                    </w:rPr>
                  </w:pPr>
                  <w:r w:rsidRPr="00317ABF">
                    <w:rPr>
                      <w:sz w:val="22"/>
                      <w:szCs w:val="22"/>
                    </w:rPr>
                    <w:t>statusu prawnego, formy prawnej i numeru rejestracyjnego dostawcy, jeżeli dany dostawca jest zarejestrowany w rejestrze handlowym lub innym podobnym rejestrze publicznym w Unii;</w:t>
                  </w:r>
                </w:p>
              </w:tc>
            </w:tr>
          </w:tbl>
          <w:p w14:paraId="55B33694" w14:textId="77777777" w:rsidR="001E1112" w:rsidRPr="00317ABF" w:rsidRDefault="001E1112" w:rsidP="00DB3BEC">
            <w:pPr>
              <w:jc w:val="both"/>
              <w:rPr>
                <w:vanish/>
                <w:sz w:val="22"/>
                <w:szCs w:val="22"/>
              </w:rPr>
            </w:pPr>
          </w:p>
          <w:tbl>
            <w:tblPr>
              <w:tblW w:w="5000" w:type="pct"/>
              <w:tblCellSpacing w:w="0" w:type="dxa"/>
              <w:tblLayout w:type="fixed"/>
              <w:tblCellMar>
                <w:left w:w="0" w:type="dxa"/>
                <w:right w:w="0" w:type="dxa"/>
              </w:tblCellMar>
              <w:tblLook w:val="04A0" w:firstRow="1" w:lastRow="0" w:firstColumn="1" w:lastColumn="0" w:noHBand="0" w:noVBand="1"/>
            </w:tblPr>
            <w:tblGrid>
              <w:gridCol w:w="20"/>
              <w:gridCol w:w="4148"/>
            </w:tblGrid>
            <w:tr w:rsidR="001E1112" w:rsidRPr="00317ABF" w14:paraId="7E2A3792" w14:textId="77777777" w:rsidTr="009D0AC1">
              <w:trPr>
                <w:tblCellSpacing w:w="0" w:type="dxa"/>
              </w:trPr>
              <w:tc>
                <w:tcPr>
                  <w:tcW w:w="6" w:type="dxa"/>
                  <w:hideMark/>
                </w:tcPr>
                <w:p w14:paraId="4455F193" w14:textId="77777777" w:rsidR="001E1112" w:rsidRPr="00317ABF" w:rsidRDefault="001E1112" w:rsidP="00EE0AC3">
                  <w:pPr>
                    <w:framePr w:hSpace="141" w:wrap="around" w:vAnchor="text" w:hAnchor="text" w:xAlign="right" w:y="1"/>
                    <w:spacing w:before="120"/>
                    <w:suppressOverlap/>
                    <w:jc w:val="both"/>
                    <w:rPr>
                      <w:sz w:val="22"/>
                      <w:szCs w:val="22"/>
                    </w:rPr>
                  </w:pPr>
                </w:p>
              </w:tc>
              <w:tc>
                <w:tcPr>
                  <w:tcW w:w="9066" w:type="dxa"/>
                  <w:hideMark/>
                </w:tcPr>
                <w:p w14:paraId="4D90B7D5" w14:textId="77777777" w:rsidR="001E1112" w:rsidRPr="00317ABF" w:rsidRDefault="001E1112" w:rsidP="00EE0AC3">
                  <w:pPr>
                    <w:framePr w:hSpace="141" w:wrap="around" w:vAnchor="text" w:hAnchor="text" w:xAlign="right" w:y="1"/>
                    <w:numPr>
                      <w:ilvl w:val="0"/>
                      <w:numId w:val="8"/>
                    </w:numPr>
                    <w:spacing w:before="120"/>
                    <w:suppressOverlap/>
                    <w:jc w:val="both"/>
                    <w:rPr>
                      <w:sz w:val="22"/>
                      <w:szCs w:val="22"/>
                    </w:rPr>
                  </w:pPr>
                  <w:r w:rsidRPr="00317ABF">
                    <w:rPr>
                      <w:sz w:val="22"/>
                      <w:szCs w:val="22"/>
                    </w:rPr>
                    <w:t>adresu geograficznego głównego miejsca prowadzenia działalności dostawcy w Unii, jeżeli ma to zastosowanie, oraz drugorzędnego oddziału w państwie członkowskim, o ile takowy istnieje;</w:t>
                  </w:r>
                </w:p>
              </w:tc>
            </w:tr>
          </w:tbl>
          <w:p w14:paraId="1C2776EB" w14:textId="77777777" w:rsidR="001E1112" w:rsidRPr="00317ABF" w:rsidRDefault="001E1112" w:rsidP="00DB3BEC">
            <w:pPr>
              <w:jc w:val="both"/>
              <w:rPr>
                <w:vanish/>
                <w:sz w:val="22"/>
                <w:szCs w:val="22"/>
              </w:rPr>
            </w:pPr>
          </w:p>
          <w:tbl>
            <w:tblPr>
              <w:tblW w:w="5000" w:type="pct"/>
              <w:tblCellSpacing w:w="0" w:type="dxa"/>
              <w:tblLayout w:type="fixed"/>
              <w:tblCellMar>
                <w:left w:w="0" w:type="dxa"/>
                <w:right w:w="0" w:type="dxa"/>
              </w:tblCellMar>
              <w:tblLook w:val="04A0" w:firstRow="1" w:lastRow="0" w:firstColumn="1" w:lastColumn="0" w:noHBand="0" w:noVBand="1"/>
            </w:tblPr>
            <w:tblGrid>
              <w:gridCol w:w="20"/>
              <w:gridCol w:w="4148"/>
            </w:tblGrid>
            <w:tr w:rsidR="001E1112" w:rsidRPr="00317ABF" w14:paraId="7D1B3325" w14:textId="77777777" w:rsidTr="009D0AC1">
              <w:trPr>
                <w:tblCellSpacing w:w="0" w:type="dxa"/>
              </w:trPr>
              <w:tc>
                <w:tcPr>
                  <w:tcW w:w="6" w:type="dxa"/>
                  <w:hideMark/>
                </w:tcPr>
                <w:p w14:paraId="15342E60" w14:textId="77777777" w:rsidR="001E1112" w:rsidRPr="00317ABF" w:rsidRDefault="001E1112" w:rsidP="00EE0AC3">
                  <w:pPr>
                    <w:framePr w:hSpace="141" w:wrap="around" w:vAnchor="text" w:hAnchor="text" w:xAlign="right" w:y="1"/>
                    <w:spacing w:before="120"/>
                    <w:suppressOverlap/>
                    <w:jc w:val="both"/>
                    <w:rPr>
                      <w:sz w:val="22"/>
                      <w:szCs w:val="22"/>
                    </w:rPr>
                  </w:pPr>
                </w:p>
              </w:tc>
              <w:tc>
                <w:tcPr>
                  <w:tcW w:w="9066" w:type="dxa"/>
                  <w:hideMark/>
                </w:tcPr>
                <w:p w14:paraId="0B6CD776" w14:textId="77777777" w:rsidR="001E1112" w:rsidRPr="00317ABF" w:rsidRDefault="001E1112" w:rsidP="00EE0AC3">
                  <w:pPr>
                    <w:framePr w:hSpace="141" w:wrap="around" w:vAnchor="text" w:hAnchor="text" w:xAlign="right" w:y="1"/>
                    <w:numPr>
                      <w:ilvl w:val="0"/>
                      <w:numId w:val="8"/>
                    </w:numPr>
                    <w:spacing w:before="120"/>
                    <w:suppressOverlap/>
                    <w:jc w:val="both"/>
                    <w:rPr>
                      <w:sz w:val="22"/>
                      <w:szCs w:val="22"/>
                    </w:rPr>
                  </w:pPr>
                  <w:r w:rsidRPr="00317ABF">
                    <w:rPr>
                      <w:sz w:val="22"/>
                      <w:szCs w:val="22"/>
                    </w:rPr>
                    <w:t>adresu strony internetowej dostawcy, jeżeli ma to zastosowanie, związanej z dostarczaniem sieci lub świadczeniem usług łączności elektronicznej;</w:t>
                  </w:r>
                </w:p>
              </w:tc>
            </w:tr>
          </w:tbl>
          <w:p w14:paraId="5EB89DE8" w14:textId="77777777" w:rsidR="001E1112" w:rsidRPr="00317ABF" w:rsidRDefault="001E1112" w:rsidP="00DB3BEC">
            <w:pPr>
              <w:jc w:val="both"/>
              <w:rPr>
                <w:vanish/>
                <w:sz w:val="22"/>
                <w:szCs w:val="22"/>
              </w:rPr>
            </w:pPr>
          </w:p>
          <w:tbl>
            <w:tblPr>
              <w:tblW w:w="5000" w:type="pct"/>
              <w:tblCellSpacing w:w="0" w:type="dxa"/>
              <w:tblLayout w:type="fixed"/>
              <w:tblCellMar>
                <w:left w:w="0" w:type="dxa"/>
                <w:right w:w="0" w:type="dxa"/>
              </w:tblCellMar>
              <w:tblLook w:val="04A0" w:firstRow="1" w:lastRow="0" w:firstColumn="1" w:lastColumn="0" w:noHBand="0" w:noVBand="1"/>
            </w:tblPr>
            <w:tblGrid>
              <w:gridCol w:w="20"/>
              <w:gridCol w:w="4148"/>
            </w:tblGrid>
            <w:tr w:rsidR="001E1112" w:rsidRPr="00317ABF" w14:paraId="2C310BC8" w14:textId="77777777" w:rsidTr="009D0AC1">
              <w:trPr>
                <w:tblCellSpacing w:w="0" w:type="dxa"/>
              </w:trPr>
              <w:tc>
                <w:tcPr>
                  <w:tcW w:w="10" w:type="dxa"/>
                  <w:hideMark/>
                </w:tcPr>
                <w:p w14:paraId="7D62D461" w14:textId="77777777" w:rsidR="001E1112" w:rsidRPr="00317ABF" w:rsidRDefault="001E1112" w:rsidP="00EE0AC3">
                  <w:pPr>
                    <w:framePr w:hSpace="141" w:wrap="around" w:vAnchor="text" w:hAnchor="text" w:xAlign="right" w:y="1"/>
                    <w:spacing w:before="120"/>
                    <w:suppressOverlap/>
                    <w:jc w:val="both"/>
                    <w:rPr>
                      <w:sz w:val="22"/>
                      <w:szCs w:val="22"/>
                    </w:rPr>
                  </w:pPr>
                </w:p>
              </w:tc>
              <w:tc>
                <w:tcPr>
                  <w:tcW w:w="9062" w:type="dxa"/>
                  <w:hideMark/>
                </w:tcPr>
                <w:p w14:paraId="3733E240" w14:textId="77777777" w:rsidR="001E1112" w:rsidRPr="00317ABF" w:rsidRDefault="001E1112" w:rsidP="00EE0AC3">
                  <w:pPr>
                    <w:framePr w:hSpace="141" w:wrap="around" w:vAnchor="text" w:hAnchor="text" w:xAlign="right" w:y="1"/>
                    <w:numPr>
                      <w:ilvl w:val="0"/>
                      <w:numId w:val="8"/>
                    </w:numPr>
                    <w:spacing w:before="120"/>
                    <w:suppressOverlap/>
                    <w:jc w:val="both"/>
                    <w:rPr>
                      <w:sz w:val="22"/>
                      <w:szCs w:val="22"/>
                    </w:rPr>
                  </w:pPr>
                  <w:r w:rsidRPr="00317ABF">
                    <w:rPr>
                      <w:sz w:val="22"/>
                      <w:szCs w:val="22"/>
                    </w:rPr>
                    <w:t>osoby wyznaczonej do kontaktów i danych kontaktowych;</w:t>
                  </w:r>
                </w:p>
              </w:tc>
            </w:tr>
          </w:tbl>
          <w:p w14:paraId="078B034E" w14:textId="77777777" w:rsidR="001E1112" w:rsidRPr="00317ABF" w:rsidRDefault="001E1112" w:rsidP="00DB3BEC">
            <w:pPr>
              <w:jc w:val="both"/>
              <w:rPr>
                <w:vanish/>
                <w:sz w:val="22"/>
                <w:szCs w:val="22"/>
              </w:rPr>
            </w:pPr>
          </w:p>
          <w:tbl>
            <w:tblPr>
              <w:tblW w:w="5000" w:type="pct"/>
              <w:tblCellSpacing w:w="0" w:type="dxa"/>
              <w:tblLayout w:type="fixed"/>
              <w:tblCellMar>
                <w:left w:w="0" w:type="dxa"/>
                <w:right w:w="0" w:type="dxa"/>
              </w:tblCellMar>
              <w:tblLook w:val="04A0" w:firstRow="1" w:lastRow="0" w:firstColumn="1" w:lastColumn="0" w:noHBand="0" w:noVBand="1"/>
            </w:tblPr>
            <w:tblGrid>
              <w:gridCol w:w="20"/>
              <w:gridCol w:w="4148"/>
            </w:tblGrid>
            <w:tr w:rsidR="001E1112" w:rsidRPr="00317ABF" w14:paraId="08588A5C" w14:textId="77777777" w:rsidTr="009D0AC1">
              <w:trPr>
                <w:tblCellSpacing w:w="0" w:type="dxa"/>
              </w:trPr>
              <w:tc>
                <w:tcPr>
                  <w:tcW w:w="6" w:type="dxa"/>
                  <w:hideMark/>
                </w:tcPr>
                <w:p w14:paraId="492506DD" w14:textId="77777777" w:rsidR="001E1112" w:rsidRPr="00317ABF" w:rsidRDefault="001E1112" w:rsidP="00EE0AC3">
                  <w:pPr>
                    <w:framePr w:hSpace="141" w:wrap="around" w:vAnchor="text" w:hAnchor="text" w:xAlign="right" w:y="1"/>
                    <w:spacing w:before="120"/>
                    <w:suppressOverlap/>
                    <w:jc w:val="both"/>
                    <w:rPr>
                      <w:sz w:val="22"/>
                      <w:szCs w:val="22"/>
                    </w:rPr>
                  </w:pPr>
                </w:p>
              </w:tc>
              <w:tc>
                <w:tcPr>
                  <w:tcW w:w="9066" w:type="dxa"/>
                  <w:hideMark/>
                </w:tcPr>
                <w:p w14:paraId="4AA4A2DF" w14:textId="77777777" w:rsidR="001E1112" w:rsidRPr="00317ABF" w:rsidRDefault="001E1112" w:rsidP="00EE0AC3">
                  <w:pPr>
                    <w:framePr w:hSpace="141" w:wrap="around" w:vAnchor="text" w:hAnchor="text" w:xAlign="right" w:y="1"/>
                    <w:numPr>
                      <w:ilvl w:val="0"/>
                      <w:numId w:val="8"/>
                    </w:numPr>
                    <w:spacing w:before="120"/>
                    <w:suppressOverlap/>
                    <w:jc w:val="both"/>
                    <w:rPr>
                      <w:sz w:val="22"/>
                      <w:szCs w:val="22"/>
                    </w:rPr>
                  </w:pPr>
                  <w:r w:rsidRPr="00317ABF">
                    <w:rPr>
                      <w:sz w:val="22"/>
                      <w:szCs w:val="22"/>
                    </w:rPr>
                    <w:t>krótkiego opisu sieci, które dostawca zamierza udostępniać, lub usług, które zamierza świadczyć;</w:t>
                  </w:r>
                </w:p>
              </w:tc>
            </w:tr>
          </w:tbl>
          <w:p w14:paraId="31CD0C16" w14:textId="77777777" w:rsidR="001E1112" w:rsidRPr="00317ABF" w:rsidRDefault="001E1112" w:rsidP="00DB3BEC">
            <w:pPr>
              <w:jc w:val="both"/>
              <w:rPr>
                <w:vanish/>
                <w:sz w:val="22"/>
                <w:szCs w:val="22"/>
              </w:rPr>
            </w:pPr>
          </w:p>
          <w:tbl>
            <w:tblPr>
              <w:tblW w:w="5000" w:type="pct"/>
              <w:tblCellSpacing w:w="0" w:type="dxa"/>
              <w:tblLayout w:type="fixed"/>
              <w:tblCellMar>
                <w:left w:w="0" w:type="dxa"/>
                <w:right w:w="0" w:type="dxa"/>
              </w:tblCellMar>
              <w:tblLook w:val="04A0" w:firstRow="1" w:lastRow="0" w:firstColumn="1" w:lastColumn="0" w:noHBand="0" w:noVBand="1"/>
            </w:tblPr>
            <w:tblGrid>
              <w:gridCol w:w="20"/>
              <w:gridCol w:w="4148"/>
            </w:tblGrid>
            <w:tr w:rsidR="001E1112" w:rsidRPr="00317ABF" w14:paraId="2E125280" w14:textId="77777777" w:rsidTr="009D0AC1">
              <w:trPr>
                <w:tblCellSpacing w:w="0" w:type="dxa"/>
              </w:trPr>
              <w:tc>
                <w:tcPr>
                  <w:tcW w:w="12" w:type="dxa"/>
                  <w:hideMark/>
                </w:tcPr>
                <w:p w14:paraId="7FD8715F" w14:textId="77777777" w:rsidR="001E1112" w:rsidRPr="00317ABF" w:rsidRDefault="001E1112" w:rsidP="00EE0AC3">
                  <w:pPr>
                    <w:framePr w:hSpace="141" w:wrap="around" w:vAnchor="text" w:hAnchor="text" w:xAlign="right" w:y="1"/>
                    <w:spacing w:before="120"/>
                    <w:suppressOverlap/>
                    <w:jc w:val="both"/>
                    <w:rPr>
                      <w:sz w:val="22"/>
                      <w:szCs w:val="22"/>
                    </w:rPr>
                  </w:pPr>
                </w:p>
              </w:tc>
              <w:tc>
                <w:tcPr>
                  <w:tcW w:w="9060" w:type="dxa"/>
                  <w:hideMark/>
                </w:tcPr>
                <w:p w14:paraId="675D2EF1" w14:textId="77777777" w:rsidR="001E1112" w:rsidRPr="00317ABF" w:rsidRDefault="001E1112" w:rsidP="00EE0AC3">
                  <w:pPr>
                    <w:framePr w:hSpace="141" w:wrap="around" w:vAnchor="text" w:hAnchor="text" w:xAlign="right" w:y="1"/>
                    <w:numPr>
                      <w:ilvl w:val="0"/>
                      <w:numId w:val="8"/>
                    </w:numPr>
                    <w:spacing w:before="120"/>
                    <w:suppressOverlap/>
                    <w:jc w:val="both"/>
                    <w:rPr>
                      <w:sz w:val="22"/>
                      <w:szCs w:val="22"/>
                    </w:rPr>
                  </w:pPr>
                  <w:r w:rsidRPr="00317ABF">
                    <w:rPr>
                      <w:sz w:val="22"/>
                      <w:szCs w:val="22"/>
                    </w:rPr>
                    <w:t>państw członkowskich, których to dotyczy; oraz</w:t>
                  </w:r>
                </w:p>
              </w:tc>
            </w:tr>
          </w:tbl>
          <w:p w14:paraId="6BDFDFC2" w14:textId="77777777" w:rsidR="001E1112" w:rsidRPr="00317ABF" w:rsidRDefault="001E1112" w:rsidP="00DB3BEC">
            <w:pPr>
              <w:jc w:val="both"/>
              <w:rPr>
                <w:vanish/>
                <w:sz w:val="22"/>
                <w:szCs w:val="22"/>
              </w:rPr>
            </w:pPr>
          </w:p>
          <w:tbl>
            <w:tblPr>
              <w:tblW w:w="5000" w:type="pct"/>
              <w:tblCellSpacing w:w="0" w:type="dxa"/>
              <w:tblLayout w:type="fixed"/>
              <w:tblCellMar>
                <w:left w:w="0" w:type="dxa"/>
                <w:right w:w="0" w:type="dxa"/>
              </w:tblCellMar>
              <w:tblLook w:val="04A0" w:firstRow="1" w:lastRow="0" w:firstColumn="1" w:lastColumn="0" w:noHBand="0" w:noVBand="1"/>
            </w:tblPr>
            <w:tblGrid>
              <w:gridCol w:w="20"/>
              <w:gridCol w:w="4148"/>
            </w:tblGrid>
            <w:tr w:rsidR="001E1112" w:rsidRPr="00317ABF" w14:paraId="412511D2" w14:textId="77777777" w:rsidTr="009D0AC1">
              <w:trPr>
                <w:tblCellSpacing w:w="0" w:type="dxa"/>
              </w:trPr>
              <w:tc>
                <w:tcPr>
                  <w:tcW w:w="13" w:type="dxa"/>
                  <w:hideMark/>
                </w:tcPr>
                <w:p w14:paraId="41F9AE5E" w14:textId="77777777" w:rsidR="001E1112" w:rsidRPr="00317ABF" w:rsidRDefault="001E1112" w:rsidP="00EE0AC3">
                  <w:pPr>
                    <w:framePr w:hSpace="141" w:wrap="around" w:vAnchor="text" w:hAnchor="text" w:xAlign="right" w:y="1"/>
                    <w:spacing w:before="120"/>
                    <w:suppressOverlap/>
                    <w:jc w:val="both"/>
                    <w:rPr>
                      <w:sz w:val="22"/>
                      <w:szCs w:val="22"/>
                    </w:rPr>
                  </w:pPr>
                </w:p>
              </w:tc>
              <w:tc>
                <w:tcPr>
                  <w:tcW w:w="9059" w:type="dxa"/>
                  <w:hideMark/>
                </w:tcPr>
                <w:p w14:paraId="3009E3DF" w14:textId="77777777" w:rsidR="001E1112" w:rsidRPr="00317ABF" w:rsidRDefault="001E1112" w:rsidP="00EE0AC3">
                  <w:pPr>
                    <w:framePr w:hSpace="141" w:wrap="around" w:vAnchor="text" w:hAnchor="text" w:xAlign="right" w:y="1"/>
                    <w:numPr>
                      <w:ilvl w:val="0"/>
                      <w:numId w:val="8"/>
                    </w:numPr>
                    <w:spacing w:before="120"/>
                    <w:suppressOverlap/>
                    <w:jc w:val="both"/>
                    <w:rPr>
                      <w:sz w:val="22"/>
                      <w:szCs w:val="22"/>
                    </w:rPr>
                  </w:pPr>
                  <w:r w:rsidRPr="00317ABF">
                    <w:rPr>
                      <w:sz w:val="22"/>
                      <w:szCs w:val="22"/>
                    </w:rPr>
                    <w:t>planowanej daty rozpoczęcia działalności.</w:t>
                  </w:r>
                </w:p>
              </w:tc>
            </w:tr>
          </w:tbl>
          <w:p w14:paraId="57D6B1D1" w14:textId="77777777" w:rsidR="001E1112" w:rsidRPr="00317ABF" w:rsidRDefault="001E1112" w:rsidP="00DB3BEC">
            <w:pPr>
              <w:spacing w:before="120"/>
              <w:jc w:val="both"/>
              <w:rPr>
                <w:sz w:val="22"/>
                <w:szCs w:val="22"/>
              </w:rPr>
            </w:pPr>
            <w:r w:rsidRPr="00317ABF">
              <w:rPr>
                <w:sz w:val="22"/>
                <w:szCs w:val="22"/>
              </w:rPr>
              <w:t>Państwa członkowskie nie mogą nakładać żadnych dodatkowych ani odrębnych wymogów w zakresie zgłaszania.</w:t>
            </w:r>
          </w:p>
          <w:p w14:paraId="48F393EB" w14:textId="77777777" w:rsidR="001E1112" w:rsidRPr="00317ABF" w:rsidRDefault="001E1112" w:rsidP="00DB3BEC">
            <w:pPr>
              <w:spacing w:before="120"/>
              <w:jc w:val="both"/>
              <w:rPr>
                <w:sz w:val="22"/>
                <w:szCs w:val="22"/>
              </w:rPr>
            </w:pPr>
            <w:r w:rsidRPr="00317ABF">
              <w:rPr>
                <w:sz w:val="22"/>
                <w:szCs w:val="22"/>
              </w:rPr>
              <w:t>Aby zbliżyć do siebie wymogi dotyczące zgłaszania, BEREC publikuje wytyczne dotyczące wzoru zgłoszenia i utrzymuje unijną bazę danych dotyczących zgłoszeń przekazywanych właściwym organom. W tym celu właściwe organy przekazują BEREC bez zbędnej zwłoki za pomocą środków elektronicznych każde otrzymane zgłoszenie. Zgłoszenia przekazane właściwym organom przed dniem 21 grudnia 2020 r., są przesyłane do BEREC do dnia 21 grudnia 2021 r.</w:t>
            </w:r>
          </w:p>
        </w:tc>
        <w:tc>
          <w:tcPr>
            <w:tcW w:w="986" w:type="dxa"/>
          </w:tcPr>
          <w:p w14:paraId="00F03A6D" w14:textId="4A13B691" w:rsidR="001E1112" w:rsidRPr="00317ABF" w:rsidRDefault="001E1112" w:rsidP="00DB3BEC">
            <w:pPr>
              <w:jc w:val="both"/>
              <w:rPr>
                <w:sz w:val="22"/>
                <w:szCs w:val="22"/>
              </w:rPr>
            </w:pPr>
            <w:r w:rsidRPr="00317ABF">
              <w:rPr>
                <w:sz w:val="22"/>
                <w:szCs w:val="22"/>
              </w:rPr>
              <w:lastRenderedPageBreak/>
              <w:t>T</w:t>
            </w:r>
          </w:p>
        </w:tc>
        <w:tc>
          <w:tcPr>
            <w:tcW w:w="910" w:type="dxa"/>
          </w:tcPr>
          <w:p w14:paraId="237FAD1D" w14:textId="77777777" w:rsidR="001E1112" w:rsidRPr="00317ABF" w:rsidRDefault="001E1112" w:rsidP="00DB3BEC">
            <w:pPr>
              <w:pStyle w:val="Tekstpodstawowy"/>
              <w:rPr>
                <w:b/>
                <w:noProof/>
                <w:sz w:val="22"/>
                <w:szCs w:val="22"/>
              </w:rPr>
            </w:pPr>
            <w:r w:rsidRPr="00317ABF">
              <w:rPr>
                <w:b/>
                <w:noProof/>
                <w:sz w:val="22"/>
                <w:szCs w:val="22"/>
              </w:rPr>
              <w:t>Art. 6 ust. 1</w:t>
            </w:r>
          </w:p>
          <w:p w14:paraId="1B3E58FA" w14:textId="0EFF8785" w:rsidR="001E1112" w:rsidRPr="00317ABF" w:rsidRDefault="001E1112" w:rsidP="00DB3BEC">
            <w:pPr>
              <w:pStyle w:val="Tekstpodstawowy"/>
              <w:rPr>
                <w:b/>
                <w:noProof/>
                <w:sz w:val="22"/>
                <w:szCs w:val="22"/>
              </w:rPr>
            </w:pPr>
            <w:r w:rsidRPr="00317ABF">
              <w:rPr>
                <w:b/>
                <w:noProof/>
                <w:sz w:val="22"/>
                <w:szCs w:val="22"/>
              </w:rPr>
              <w:t>Art. 12</w:t>
            </w:r>
          </w:p>
          <w:p w14:paraId="7420EB87" w14:textId="77777777" w:rsidR="001E1112" w:rsidRPr="00317ABF" w:rsidRDefault="001E1112" w:rsidP="00DB3BEC">
            <w:pPr>
              <w:pStyle w:val="Tekstpodstawowy"/>
              <w:rPr>
                <w:b/>
                <w:noProof/>
                <w:sz w:val="22"/>
                <w:szCs w:val="22"/>
              </w:rPr>
            </w:pPr>
          </w:p>
          <w:p w14:paraId="75A72BE0" w14:textId="77777777" w:rsidR="001E1112" w:rsidRPr="00317ABF" w:rsidRDefault="001E1112" w:rsidP="00DB3BEC">
            <w:pPr>
              <w:pStyle w:val="Tekstpodstawowy"/>
              <w:rPr>
                <w:b/>
                <w:noProof/>
                <w:sz w:val="22"/>
                <w:szCs w:val="22"/>
              </w:rPr>
            </w:pPr>
          </w:p>
          <w:p w14:paraId="294B196D" w14:textId="77777777" w:rsidR="001E1112" w:rsidRPr="00317ABF" w:rsidRDefault="001E1112" w:rsidP="00DB3BEC">
            <w:pPr>
              <w:pStyle w:val="Tekstpodstawowy"/>
              <w:rPr>
                <w:b/>
                <w:noProof/>
                <w:sz w:val="22"/>
                <w:szCs w:val="22"/>
              </w:rPr>
            </w:pPr>
          </w:p>
          <w:p w14:paraId="411B378D" w14:textId="77777777" w:rsidR="001E1112" w:rsidRPr="00317ABF" w:rsidRDefault="001E1112" w:rsidP="00DB3BEC">
            <w:pPr>
              <w:pStyle w:val="Tekstpodstawowy"/>
              <w:rPr>
                <w:b/>
                <w:noProof/>
                <w:sz w:val="22"/>
                <w:szCs w:val="22"/>
              </w:rPr>
            </w:pPr>
          </w:p>
          <w:p w14:paraId="4C2EE49A" w14:textId="77777777" w:rsidR="001E1112" w:rsidRPr="00317ABF" w:rsidRDefault="001E1112" w:rsidP="00DB3BEC">
            <w:pPr>
              <w:pStyle w:val="Tekstpodstawowy"/>
              <w:rPr>
                <w:b/>
                <w:noProof/>
                <w:sz w:val="22"/>
                <w:szCs w:val="22"/>
              </w:rPr>
            </w:pPr>
          </w:p>
          <w:p w14:paraId="3E04D39E" w14:textId="77777777" w:rsidR="001E1112" w:rsidRPr="00317ABF" w:rsidRDefault="001E1112" w:rsidP="00DB3BEC">
            <w:pPr>
              <w:pStyle w:val="Tekstpodstawowy"/>
              <w:rPr>
                <w:b/>
                <w:noProof/>
                <w:sz w:val="22"/>
                <w:szCs w:val="22"/>
              </w:rPr>
            </w:pPr>
          </w:p>
          <w:p w14:paraId="5A372EE9" w14:textId="77777777" w:rsidR="001E1112" w:rsidRPr="00317ABF" w:rsidRDefault="001E1112" w:rsidP="00DB3BEC">
            <w:pPr>
              <w:pStyle w:val="Tekstpodstawowy"/>
              <w:rPr>
                <w:b/>
                <w:noProof/>
                <w:sz w:val="22"/>
                <w:szCs w:val="22"/>
              </w:rPr>
            </w:pPr>
          </w:p>
          <w:p w14:paraId="120F8AAC" w14:textId="77777777" w:rsidR="001E1112" w:rsidRPr="00317ABF" w:rsidRDefault="001E1112" w:rsidP="00DB3BEC">
            <w:pPr>
              <w:pStyle w:val="Tekstpodstawowy"/>
              <w:rPr>
                <w:b/>
                <w:noProof/>
                <w:sz w:val="22"/>
                <w:szCs w:val="22"/>
              </w:rPr>
            </w:pPr>
          </w:p>
          <w:p w14:paraId="79479CC8" w14:textId="77777777" w:rsidR="001E1112" w:rsidRPr="00317ABF" w:rsidRDefault="001E1112" w:rsidP="00DB3BEC">
            <w:pPr>
              <w:pStyle w:val="Tekstpodstawowy"/>
              <w:rPr>
                <w:b/>
                <w:noProof/>
                <w:sz w:val="22"/>
                <w:szCs w:val="22"/>
              </w:rPr>
            </w:pPr>
          </w:p>
          <w:p w14:paraId="4B569C9E" w14:textId="77777777" w:rsidR="001E1112" w:rsidRPr="00317ABF" w:rsidRDefault="001E1112" w:rsidP="00DB3BEC">
            <w:pPr>
              <w:pStyle w:val="Tekstpodstawowy"/>
              <w:rPr>
                <w:b/>
                <w:noProof/>
                <w:sz w:val="22"/>
                <w:szCs w:val="22"/>
              </w:rPr>
            </w:pPr>
          </w:p>
          <w:p w14:paraId="54C32BE5" w14:textId="77777777" w:rsidR="001E1112" w:rsidRPr="00317ABF" w:rsidRDefault="001E1112" w:rsidP="00DB3BEC">
            <w:pPr>
              <w:pStyle w:val="Tekstpodstawowy"/>
              <w:rPr>
                <w:b/>
                <w:noProof/>
                <w:sz w:val="22"/>
                <w:szCs w:val="22"/>
              </w:rPr>
            </w:pPr>
          </w:p>
          <w:p w14:paraId="5E77C981" w14:textId="77777777" w:rsidR="001E1112" w:rsidRPr="00317ABF" w:rsidRDefault="001E1112" w:rsidP="00DB3BEC">
            <w:pPr>
              <w:pStyle w:val="Tekstpodstawowy"/>
              <w:rPr>
                <w:b/>
                <w:noProof/>
                <w:sz w:val="22"/>
                <w:szCs w:val="22"/>
              </w:rPr>
            </w:pPr>
          </w:p>
          <w:p w14:paraId="347A477C" w14:textId="77777777" w:rsidR="001E1112" w:rsidRPr="00317ABF" w:rsidRDefault="001E1112" w:rsidP="00DB3BEC">
            <w:pPr>
              <w:pStyle w:val="Tekstpodstawowy"/>
              <w:rPr>
                <w:b/>
                <w:noProof/>
                <w:sz w:val="22"/>
                <w:szCs w:val="22"/>
              </w:rPr>
            </w:pPr>
          </w:p>
          <w:p w14:paraId="52152FEB" w14:textId="77777777" w:rsidR="001E1112" w:rsidRPr="00317ABF" w:rsidRDefault="001E1112" w:rsidP="00DB3BEC">
            <w:pPr>
              <w:pStyle w:val="Tekstpodstawowy"/>
              <w:rPr>
                <w:b/>
                <w:noProof/>
                <w:sz w:val="22"/>
                <w:szCs w:val="22"/>
              </w:rPr>
            </w:pPr>
          </w:p>
          <w:p w14:paraId="11DC3C57" w14:textId="77777777" w:rsidR="001E1112" w:rsidRPr="00317ABF" w:rsidRDefault="001E1112" w:rsidP="00DB3BEC">
            <w:pPr>
              <w:pStyle w:val="Tekstpodstawowy"/>
              <w:rPr>
                <w:b/>
                <w:noProof/>
                <w:sz w:val="22"/>
                <w:szCs w:val="22"/>
              </w:rPr>
            </w:pPr>
          </w:p>
          <w:p w14:paraId="490393A5" w14:textId="77777777" w:rsidR="001E1112" w:rsidRPr="00317ABF" w:rsidRDefault="001E1112" w:rsidP="00DB3BEC">
            <w:pPr>
              <w:pStyle w:val="Tekstpodstawowy"/>
              <w:rPr>
                <w:b/>
                <w:noProof/>
                <w:sz w:val="22"/>
                <w:szCs w:val="22"/>
              </w:rPr>
            </w:pPr>
          </w:p>
          <w:p w14:paraId="29440A11" w14:textId="77777777" w:rsidR="001E1112" w:rsidRPr="00317ABF" w:rsidRDefault="001E1112" w:rsidP="00DB3BEC">
            <w:pPr>
              <w:pStyle w:val="Tekstpodstawowy"/>
              <w:rPr>
                <w:b/>
                <w:noProof/>
                <w:sz w:val="22"/>
                <w:szCs w:val="22"/>
              </w:rPr>
            </w:pPr>
          </w:p>
          <w:p w14:paraId="324301F2" w14:textId="77777777" w:rsidR="001E1112" w:rsidRPr="00317ABF" w:rsidRDefault="001E1112" w:rsidP="00DB3BEC">
            <w:pPr>
              <w:pStyle w:val="Tekstpodstawowy"/>
              <w:rPr>
                <w:b/>
                <w:noProof/>
                <w:sz w:val="22"/>
                <w:szCs w:val="22"/>
              </w:rPr>
            </w:pPr>
          </w:p>
          <w:p w14:paraId="4FAE7D9A" w14:textId="77777777" w:rsidR="001E1112" w:rsidRPr="00317ABF" w:rsidRDefault="001E1112" w:rsidP="00DB3BEC">
            <w:pPr>
              <w:pStyle w:val="Tekstpodstawowy"/>
              <w:rPr>
                <w:b/>
                <w:noProof/>
                <w:sz w:val="22"/>
                <w:szCs w:val="22"/>
              </w:rPr>
            </w:pPr>
          </w:p>
          <w:p w14:paraId="74154ADE" w14:textId="77777777" w:rsidR="001E1112" w:rsidRPr="00317ABF" w:rsidRDefault="001E1112" w:rsidP="00DB3BEC">
            <w:pPr>
              <w:pStyle w:val="Tekstpodstawowy"/>
              <w:rPr>
                <w:b/>
                <w:noProof/>
                <w:sz w:val="22"/>
                <w:szCs w:val="22"/>
              </w:rPr>
            </w:pPr>
          </w:p>
          <w:p w14:paraId="6FE62340" w14:textId="77777777" w:rsidR="001E1112" w:rsidRPr="00317ABF" w:rsidRDefault="001E1112" w:rsidP="00DB3BEC">
            <w:pPr>
              <w:pStyle w:val="Tekstpodstawowy"/>
              <w:rPr>
                <w:b/>
                <w:noProof/>
                <w:sz w:val="22"/>
                <w:szCs w:val="22"/>
              </w:rPr>
            </w:pPr>
          </w:p>
          <w:p w14:paraId="6AE35126" w14:textId="77777777" w:rsidR="001E1112" w:rsidRPr="00317ABF" w:rsidRDefault="001E1112" w:rsidP="00DB3BEC">
            <w:pPr>
              <w:pStyle w:val="Tekstpodstawowy"/>
              <w:rPr>
                <w:b/>
                <w:noProof/>
                <w:sz w:val="22"/>
                <w:szCs w:val="22"/>
              </w:rPr>
            </w:pPr>
          </w:p>
          <w:p w14:paraId="2DAD053C" w14:textId="77777777" w:rsidR="001E1112" w:rsidRPr="00317ABF" w:rsidRDefault="001E1112" w:rsidP="00DB3BEC">
            <w:pPr>
              <w:pStyle w:val="Tekstpodstawowy"/>
              <w:rPr>
                <w:b/>
                <w:noProof/>
                <w:sz w:val="22"/>
                <w:szCs w:val="22"/>
              </w:rPr>
            </w:pPr>
          </w:p>
          <w:p w14:paraId="391F8E4C" w14:textId="77777777" w:rsidR="001E1112" w:rsidRPr="00317ABF" w:rsidRDefault="001E1112" w:rsidP="00DB3BEC">
            <w:pPr>
              <w:pStyle w:val="Tekstpodstawowy"/>
              <w:rPr>
                <w:b/>
                <w:noProof/>
                <w:sz w:val="22"/>
                <w:szCs w:val="22"/>
              </w:rPr>
            </w:pPr>
          </w:p>
          <w:p w14:paraId="0AA2C73D" w14:textId="77777777" w:rsidR="001E1112" w:rsidRPr="00317ABF" w:rsidRDefault="001E1112" w:rsidP="00DB3BEC">
            <w:pPr>
              <w:pStyle w:val="Tekstpodstawowy"/>
              <w:rPr>
                <w:b/>
                <w:noProof/>
                <w:sz w:val="22"/>
                <w:szCs w:val="22"/>
              </w:rPr>
            </w:pPr>
          </w:p>
          <w:p w14:paraId="21C22988" w14:textId="77777777" w:rsidR="001E1112" w:rsidRPr="00317ABF" w:rsidRDefault="001E1112" w:rsidP="00DB3BEC">
            <w:pPr>
              <w:pStyle w:val="Tekstpodstawowy"/>
              <w:rPr>
                <w:b/>
                <w:noProof/>
                <w:sz w:val="22"/>
                <w:szCs w:val="22"/>
              </w:rPr>
            </w:pPr>
          </w:p>
          <w:p w14:paraId="30C00CFD" w14:textId="77777777" w:rsidR="001E1112" w:rsidRPr="00317ABF" w:rsidRDefault="001E1112" w:rsidP="00DB3BEC">
            <w:pPr>
              <w:pStyle w:val="Tekstpodstawowy"/>
              <w:rPr>
                <w:b/>
                <w:noProof/>
                <w:sz w:val="22"/>
                <w:szCs w:val="22"/>
              </w:rPr>
            </w:pPr>
          </w:p>
          <w:p w14:paraId="52BF23CB" w14:textId="77777777" w:rsidR="001E1112" w:rsidRPr="00317ABF" w:rsidRDefault="001E1112" w:rsidP="00DB3BEC">
            <w:pPr>
              <w:pStyle w:val="Tekstpodstawowy"/>
              <w:rPr>
                <w:b/>
                <w:noProof/>
                <w:sz w:val="22"/>
                <w:szCs w:val="22"/>
              </w:rPr>
            </w:pPr>
          </w:p>
          <w:p w14:paraId="09CD1371" w14:textId="77777777" w:rsidR="001E1112" w:rsidRPr="00317ABF" w:rsidRDefault="001E1112" w:rsidP="00DB3BEC">
            <w:pPr>
              <w:pStyle w:val="Tekstpodstawowy"/>
              <w:rPr>
                <w:b/>
                <w:noProof/>
                <w:sz w:val="22"/>
                <w:szCs w:val="22"/>
              </w:rPr>
            </w:pPr>
          </w:p>
          <w:p w14:paraId="1B6F90B9" w14:textId="77777777" w:rsidR="001E1112" w:rsidRPr="00317ABF" w:rsidRDefault="001E1112" w:rsidP="00DB3BEC">
            <w:pPr>
              <w:pStyle w:val="Tekstpodstawowy"/>
              <w:rPr>
                <w:b/>
                <w:noProof/>
                <w:sz w:val="22"/>
                <w:szCs w:val="22"/>
              </w:rPr>
            </w:pPr>
          </w:p>
          <w:p w14:paraId="220FC54D" w14:textId="77777777" w:rsidR="001E1112" w:rsidRPr="00317ABF" w:rsidRDefault="001E1112" w:rsidP="00DB3BEC">
            <w:pPr>
              <w:pStyle w:val="Tekstpodstawowy"/>
              <w:rPr>
                <w:b/>
                <w:noProof/>
                <w:sz w:val="22"/>
                <w:szCs w:val="22"/>
              </w:rPr>
            </w:pPr>
          </w:p>
          <w:p w14:paraId="5210E85F" w14:textId="77777777" w:rsidR="001E1112" w:rsidRPr="00317ABF" w:rsidRDefault="001E1112" w:rsidP="00DB3BEC">
            <w:pPr>
              <w:pStyle w:val="Tekstpodstawowy"/>
              <w:rPr>
                <w:b/>
                <w:noProof/>
                <w:sz w:val="22"/>
                <w:szCs w:val="22"/>
              </w:rPr>
            </w:pPr>
          </w:p>
          <w:p w14:paraId="6DAF76B3" w14:textId="77777777" w:rsidR="001E1112" w:rsidRPr="00317ABF" w:rsidRDefault="001E1112" w:rsidP="00DB3BEC">
            <w:pPr>
              <w:pStyle w:val="Tekstpodstawowy"/>
              <w:rPr>
                <w:b/>
                <w:noProof/>
                <w:sz w:val="22"/>
                <w:szCs w:val="22"/>
              </w:rPr>
            </w:pPr>
          </w:p>
          <w:p w14:paraId="7F69AA55" w14:textId="77777777" w:rsidR="001E1112" w:rsidRPr="00317ABF" w:rsidRDefault="001E1112" w:rsidP="00DB3BEC">
            <w:pPr>
              <w:pStyle w:val="Tekstpodstawowy"/>
              <w:rPr>
                <w:b/>
                <w:noProof/>
                <w:sz w:val="22"/>
                <w:szCs w:val="22"/>
              </w:rPr>
            </w:pPr>
          </w:p>
          <w:p w14:paraId="13B88215" w14:textId="77777777" w:rsidR="001E1112" w:rsidRPr="00317ABF" w:rsidRDefault="001E1112" w:rsidP="00DB3BEC">
            <w:pPr>
              <w:pStyle w:val="Tekstpodstawowy"/>
              <w:rPr>
                <w:b/>
                <w:noProof/>
                <w:sz w:val="22"/>
                <w:szCs w:val="22"/>
              </w:rPr>
            </w:pPr>
          </w:p>
          <w:p w14:paraId="28631534" w14:textId="77777777" w:rsidR="001E1112" w:rsidRPr="00317ABF" w:rsidRDefault="001E1112" w:rsidP="00DB3BEC">
            <w:pPr>
              <w:pStyle w:val="Tekstpodstawowy"/>
              <w:rPr>
                <w:b/>
                <w:noProof/>
                <w:sz w:val="22"/>
                <w:szCs w:val="22"/>
              </w:rPr>
            </w:pPr>
          </w:p>
          <w:p w14:paraId="46E74A4F" w14:textId="77777777" w:rsidR="001E1112" w:rsidRPr="00317ABF" w:rsidRDefault="001E1112" w:rsidP="00DB3BEC">
            <w:pPr>
              <w:pStyle w:val="Tekstpodstawowy"/>
              <w:rPr>
                <w:b/>
                <w:noProof/>
                <w:sz w:val="22"/>
                <w:szCs w:val="22"/>
              </w:rPr>
            </w:pPr>
          </w:p>
          <w:p w14:paraId="321A8667" w14:textId="77777777" w:rsidR="001E1112" w:rsidRPr="00317ABF" w:rsidRDefault="001E1112" w:rsidP="00DB3BEC">
            <w:pPr>
              <w:pStyle w:val="Tekstpodstawowy"/>
              <w:rPr>
                <w:b/>
                <w:noProof/>
                <w:sz w:val="22"/>
                <w:szCs w:val="22"/>
              </w:rPr>
            </w:pPr>
          </w:p>
          <w:p w14:paraId="09487AF1" w14:textId="77777777" w:rsidR="001E1112" w:rsidRPr="00317ABF" w:rsidRDefault="001E1112" w:rsidP="00DB3BEC">
            <w:pPr>
              <w:pStyle w:val="Tekstpodstawowy"/>
              <w:rPr>
                <w:b/>
                <w:noProof/>
                <w:sz w:val="22"/>
                <w:szCs w:val="22"/>
              </w:rPr>
            </w:pPr>
          </w:p>
          <w:p w14:paraId="3CA12773" w14:textId="77777777" w:rsidR="001E1112" w:rsidRPr="00317ABF" w:rsidRDefault="001E1112" w:rsidP="00DB3BEC">
            <w:pPr>
              <w:pStyle w:val="Tekstpodstawowy"/>
              <w:rPr>
                <w:b/>
                <w:noProof/>
                <w:sz w:val="22"/>
                <w:szCs w:val="22"/>
              </w:rPr>
            </w:pPr>
          </w:p>
          <w:p w14:paraId="0D732D97" w14:textId="77777777" w:rsidR="001E1112" w:rsidRPr="00317ABF" w:rsidRDefault="001E1112" w:rsidP="00DB3BEC">
            <w:pPr>
              <w:pStyle w:val="Tekstpodstawowy"/>
              <w:rPr>
                <w:b/>
                <w:noProof/>
                <w:sz w:val="22"/>
                <w:szCs w:val="22"/>
              </w:rPr>
            </w:pPr>
          </w:p>
          <w:p w14:paraId="16A89FEC" w14:textId="1BE300D4" w:rsidR="001E1112" w:rsidRPr="00317ABF" w:rsidRDefault="001E1112" w:rsidP="00DB3BEC">
            <w:pPr>
              <w:pStyle w:val="Tekstpodstawowy"/>
              <w:rPr>
                <w:b/>
                <w:noProof/>
                <w:sz w:val="22"/>
                <w:szCs w:val="22"/>
              </w:rPr>
            </w:pPr>
          </w:p>
          <w:p w14:paraId="0656BB09" w14:textId="1BE300D4" w:rsidR="001E1112" w:rsidRPr="00317ABF" w:rsidRDefault="001E1112" w:rsidP="00DB3BEC">
            <w:pPr>
              <w:pStyle w:val="Tekstpodstawowy"/>
              <w:rPr>
                <w:b/>
                <w:noProof/>
                <w:sz w:val="22"/>
                <w:szCs w:val="22"/>
              </w:rPr>
            </w:pPr>
          </w:p>
          <w:p w14:paraId="04565CEC" w14:textId="1BE300D4" w:rsidR="001E1112" w:rsidRPr="00317ABF" w:rsidRDefault="001E1112" w:rsidP="00DB3BEC">
            <w:pPr>
              <w:pStyle w:val="Tekstpodstawowy"/>
              <w:rPr>
                <w:b/>
                <w:noProof/>
                <w:sz w:val="22"/>
                <w:szCs w:val="22"/>
              </w:rPr>
            </w:pPr>
          </w:p>
          <w:p w14:paraId="61AE8DF6" w14:textId="77777777" w:rsidR="001E1112" w:rsidRPr="00317ABF" w:rsidRDefault="001E1112" w:rsidP="00DB3BEC">
            <w:pPr>
              <w:pStyle w:val="Tekstpodstawowy"/>
              <w:rPr>
                <w:b/>
                <w:noProof/>
                <w:sz w:val="22"/>
                <w:szCs w:val="22"/>
              </w:rPr>
            </w:pPr>
          </w:p>
          <w:p w14:paraId="14FC48E5" w14:textId="76954BAF" w:rsidR="001E1112" w:rsidRPr="00317ABF" w:rsidRDefault="001E1112" w:rsidP="00DB3BEC">
            <w:pPr>
              <w:pStyle w:val="Tekstpodstawowy"/>
              <w:rPr>
                <w:b/>
                <w:bCs/>
                <w:noProof/>
                <w:sz w:val="22"/>
                <w:szCs w:val="22"/>
              </w:rPr>
            </w:pPr>
          </w:p>
          <w:p w14:paraId="01BD409E" w14:textId="4D9ACC0D" w:rsidR="001E1112" w:rsidRPr="00317ABF" w:rsidRDefault="001E1112" w:rsidP="00DB3BEC">
            <w:pPr>
              <w:pStyle w:val="Tekstpodstawowy"/>
              <w:rPr>
                <w:b/>
                <w:bCs/>
                <w:noProof/>
                <w:sz w:val="22"/>
                <w:szCs w:val="22"/>
              </w:rPr>
            </w:pPr>
          </w:p>
          <w:p w14:paraId="68549772" w14:textId="712DC385" w:rsidR="001E1112" w:rsidRPr="00317ABF" w:rsidRDefault="001E1112" w:rsidP="00DB3BEC">
            <w:pPr>
              <w:pStyle w:val="Tekstpodstawowy"/>
              <w:rPr>
                <w:b/>
                <w:bCs/>
                <w:noProof/>
                <w:sz w:val="22"/>
                <w:szCs w:val="22"/>
              </w:rPr>
            </w:pPr>
          </w:p>
          <w:p w14:paraId="1A8A8B25" w14:textId="4F18FA22" w:rsidR="001E1112" w:rsidRPr="00317ABF" w:rsidRDefault="001E1112" w:rsidP="00DB3BEC">
            <w:pPr>
              <w:pStyle w:val="Tekstpodstawowy"/>
              <w:rPr>
                <w:b/>
                <w:bCs/>
                <w:noProof/>
                <w:sz w:val="22"/>
                <w:szCs w:val="22"/>
              </w:rPr>
            </w:pPr>
          </w:p>
          <w:p w14:paraId="6AF43BD8" w14:textId="3F06F3AE" w:rsidR="001E1112" w:rsidRPr="00317ABF" w:rsidRDefault="001E1112" w:rsidP="00DB3BEC">
            <w:pPr>
              <w:pStyle w:val="Tekstpodstawowy"/>
              <w:rPr>
                <w:b/>
                <w:bCs/>
                <w:noProof/>
                <w:sz w:val="22"/>
                <w:szCs w:val="22"/>
              </w:rPr>
            </w:pPr>
          </w:p>
          <w:p w14:paraId="61CF1843" w14:textId="1CCA4C02" w:rsidR="001E1112" w:rsidRPr="00317ABF" w:rsidRDefault="001E1112" w:rsidP="00DB3BEC">
            <w:pPr>
              <w:pStyle w:val="Tekstpodstawowy"/>
              <w:rPr>
                <w:b/>
                <w:bCs/>
                <w:noProof/>
                <w:sz w:val="22"/>
                <w:szCs w:val="22"/>
              </w:rPr>
            </w:pPr>
          </w:p>
          <w:p w14:paraId="11AC8AAC" w14:textId="4BEFC99A" w:rsidR="001E1112" w:rsidRPr="00317ABF" w:rsidRDefault="001E1112" w:rsidP="00DB3BEC">
            <w:pPr>
              <w:pStyle w:val="Tekstpodstawowy"/>
              <w:rPr>
                <w:b/>
                <w:bCs/>
                <w:noProof/>
                <w:sz w:val="22"/>
                <w:szCs w:val="22"/>
              </w:rPr>
            </w:pPr>
          </w:p>
          <w:p w14:paraId="3903D60F" w14:textId="3A59F4C9" w:rsidR="001E1112" w:rsidRPr="00317ABF" w:rsidRDefault="001E1112" w:rsidP="00DB3BEC">
            <w:pPr>
              <w:pStyle w:val="Tekstpodstawowy"/>
              <w:rPr>
                <w:b/>
                <w:bCs/>
                <w:noProof/>
                <w:sz w:val="22"/>
                <w:szCs w:val="22"/>
              </w:rPr>
            </w:pPr>
          </w:p>
          <w:p w14:paraId="0DB3C4C4" w14:textId="0F567A09" w:rsidR="001E1112" w:rsidRPr="00317ABF" w:rsidRDefault="001E1112" w:rsidP="00DB3BEC">
            <w:pPr>
              <w:pStyle w:val="Tekstpodstawowy"/>
              <w:rPr>
                <w:b/>
                <w:bCs/>
                <w:noProof/>
                <w:sz w:val="22"/>
                <w:szCs w:val="22"/>
              </w:rPr>
            </w:pPr>
          </w:p>
          <w:p w14:paraId="7FF2A5F8" w14:textId="6353CB0F" w:rsidR="001E1112" w:rsidRPr="00317ABF" w:rsidRDefault="001E1112" w:rsidP="00DB3BEC">
            <w:pPr>
              <w:pStyle w:val="Tekstpodstawowy"/>
              <w:rPr>
                <w:b/>
                <w:bCs/>
                <w:noProof/>
                <w:sz w:val="22"/>
                <w:szCs w:val="22"/>
              </w:rPr>
            </w:pPr>
          </w:p>
          <w:p w14:paraId="3F3EDCBD" w14:textId="43091D23" w:rsidR="001E1112" w:rsidRPr="00317ABF" w:rsidRDefault="001E1112" w:rsidP="00DB3BEC">
            <w:pPr>
              <w:pStyle w:val="Tekstpodstawowy"/>
              <w:rPr>
                <w:b/>
                <w:bCs/>
                <w:noProof/>
                <w:sz w:val="22"/>
                <w:szCs w:val="22"/>
              </w:rPr>
            </w:pPr>
          </w:p>
          <w:p w14:paraId="7103AC1E" w14:textId="2335B52C" w:rsidR="001E1112" w:rsidRPr="00317ABF" w:rsidRDefault="001E1112" w:rsidP="00DB3BEC">
            <w:pPr>
              <w:pStyle w:val="Tekstpodstawowy"/>
              <w:rPr>
                <w:b/>
                <w:bCs/>
                <w:noProof/>
                <w:sz w:val="22"/>
                <w:szCs w:val="22"/>
              </w:rPr>
            </w:pPr>
          </w:p>
          <w:p w14:paraId="4FBC35C7" w14:textId="77777777" w:rsidR="0078177A" w:rsidRPr="00317ABF" w:rsidRDefault="0078177A" w:rsidP="00DB3BEC">
            <w:pPr>
              <w:pStyle w:val="Tekstpodstawowy"/>
              <w:rPr>
                <w:b/>
                <w:bCs/>
                <w:noProof/>
                <w:sz w:val="22"/>
                <w:szCs w:val="22"/>
              </w:rPr>
            </w:pPr>
          </w:p>
          <w:p w14:paraId="4B4F807C" w14:textId="7ABCBE73" w:rsidR="001E1112" w:rsidRPr="00317ABF" w:rsidRDefault="001E1112" w:rsidP="00DB3BEC">
            <w:pPr>
              <w:pStyle w:val="Tekstpodstawowy"/>
              <w:rPr>
                <w:b/>
                <w:bCs/>
                <w:noProof/>
                <w:sz w:val="22"/>
                <w:szCs w:val="22"/>
              </w:rPr>
            </w:pPr>
            <w:r w:rsidRPr="00317ABF">
              <w:rPr>
                <w:b/>
                <w:bCs/>
                <w:noProof/>
                <w:sz w:val="22"/>
                <w:szCs w:val="22"/>
              </w:rPr>
              <w:t>Art. 18</w:t>
            </w:r>
          </w:p>
          <w:p w14:paraId="53E0345D" w14:textId="442AF7B5" w:rsidR="001E1112" w:rsidRPr="00317ABF" w:rsidRDefault="001E1112" w:rsidP="00DB3BEC">
            <w:pPr>
              <w:pStyle w:val="Tekstpodstawowy"/>
              <w:rPr>
                <w:b/>
                <w:bCs/>
                <w:noProof/>
                <w:sz w:val="22"/>
                <w:szCs w:val="22"/>
              </w:rPr>
            </w:pPr>
          </w:p>
          <w:p w14:paraId="3D8DC07A" w14:textId="531F2B6A" w:rsidR="001E1112" w:rsidRPr="00317ABF" w:rsidRDefault="001E1112" w:rsidP="00DB3BEC">
            <w:pPr>
              <w:pStyle w:val="Tekstpodstawowy"/>
              <w:rPr>
                <w:b/>
                <w:bCs/>
                <w:noProof/>
                <w:sz w:val="22"/>
                <w:szCs w:val="22"/>
              </w:rPr>
            </w:pPr>
          </w:p>
          <w:p w14:paraId="6930E822" w14:textId="7B622B92" w:rsidR="001E1112" w:rsidRPr="00317ABF" w:rsidRDefault="001E1112" w:rsidP="00DB3BEC">
            <w:pPr>
              <w:pStyle w:val="Tekstpodstawowy"/>
              <w:rPr>
                <w:b/>
                <w:bCs/>
                <w:noProof/>
                <w:sz w:val="22"/>
                <w:szCs w:val="22"/>
              </w:rPr>
            </w:pPr>
            <w:r w:rsidRPr="00317ABF">
              <w:rPr>
                <w:b/>
                <w:bCs/>
                <w:noProof/>
                <w:sz w:val="22"/>
                <w:szCs w:val="22"/>
              </w:rPr>
              <w:t xml:space="preserve">Art. </w:t>
            </w:r>
            <w:r w:rsidR="0078177A" w:rsidRPr="00317ABF">
              <w:rPr>
                <w:b/>
                <w:bCs/>
                <w:noProof/>
                <w:sz w:val="22"/>
                <w:szCs w:val="22"/>
              </w:rPr>
              <w:t>70</w:t>
            </w:r>
            <w:r w:rsidRPr="00317ABF">
              <w:rPr>
                <w:b/>
                <w:bCs/>
                <w:noProof/>
                <w:sz w:val="22"/>
                <w:szCs w:val="22"/>
              </w:rPr>
              <w:t xml:space="preserve"> ust. </w:t>
            </w:r>
            <w:r w:rsidR="0078177A" w:rsidRPr="00317ABF">
              <w:rPr>
                <w:b/>
                <w:bCs/>
                <w:noProof/>
                <w:sz w:val="22"/>
                <w:szCs w:val="22"/>
              </w:rPr>
              <w:t>10</w:t>
            </w:r>
            <w:r w:rsidRPr="00317ABF">
              <w:rPr>
                <w:b/>
                <w:bCs/>
                <w:noProof/>
                <w:sz w:val="22"/>
                <w:szCs w:val="22"/>
              </w:rPr>
              <w:t xml:space="preserve"> ustawy wprowadzającej Pke</w:t>
            </w:r>
          </w:p>
        </w:tc>
        <w:tc>
          <w:tcPr>
            <w:tcW w:w="6814" w:type="dxa"/>
            <w:gridSpan w:val="2"/>
          </w:tcPr>
          <w:p w14:paraId="45DE0E06" w14:textId="77777777" w:rsidR="0078177A" w:rsidRPr="00317ABF" w:rsidRDefault="0078177A" w:rsidP="0078177A">
            <w:pPr>
              <w:pStyle w:val="Tekstpodstawowy"/>
              <w:rPr>
                <w:sz w:val="22"/>
                <w:szCs w:val="22"/>
              </w:rPr>
            </w:pPr>
            <w:r w:rsidRPr="00317ABF">
              <w:rPr>
                <w:sz w:val="22"/>
                <w:szCs w:val="22"/>
              </w:rPr>
              <w:lastRenderedPageBreak/>
              <w:t>Art. 6. 1. Wpis do rejestru PT dokonywany jest na wniosek przedsiębiorcy lub innego podmiotu uprawnionego do wykonywania działalności gospodarczej na podstawie odrębnych przepisów, zawierający następujące dane:</w:t>
            </w:r>
          </w:p>
          <w:p w14:paraId="72CCC66E" w14:textId="77777777" w:rsidR="0078177A" w:rsidRPr="00317ABF" w:rsidRDefault="0078177A" w:rsidP="0078177A">
            <w:pPr>
              <w:pStyle w:val="Tekstpodstawowy"/>
              <w:rPr>
                <w:sz w:val="22"/>
                <w:szCs w:val="22"/>
              </w:rPr>
            </w:pPr>
            <w:r w:rsidRPr="00317ABF">
              <w:rPr>
                <w:sz w:val="22"/>
                <w:szCs w:val="22"/>
              </w:rPr>
              <w:t>1)</w:t>
            </w:r>
            <w:r w:rsidRPr="00317ABF">
              <w:rPr>
                <w:sz w:val="22"/>
                <w:szCs w:val="22"/>
              </w:rPr>
              <w:tab/>
              <w:t>firmę lub nazwę wnioskodawcy, jego siedzibę i adres lub adres stałego miejsca wykonywania działalności gospodarczej jeżeli wnioskodawca posiada takie miejsce;</w:t>
            </w:r>
          </w:p>
          <w:p w14:paraId="34E56A64" w14:textId="77777777" w:rsidR="0078177A" w:rsidRPr="00317ABF" w:rsidRDefault="0078177A" w:rsidP="0078177A">
            <w:pPr>
              <w:pStyle w:val="Tekstpodstawowy"/>
              <w:rPr>
                <w:sz w:val="22"/>
                <w:szCs w:val="22"/>
              </w:rPr>
            </w:pPr>
            <w:r w:rsidRPr="00317ABF">
              <w:rPr>
                <w:sz w:val="22"/>
                <w:szCs w:val="22"/>
              </w:rPr>
              <w:t>2)</w:t>
            </w:r>
            <w:r w:rsidRPr="00317ABF">
              <w:rPr>
                <w:sz w:val="22"/>
                <w:szCs w:val="22"/>
              </w:rPr>
              <w:tab/>
              <w:t>oznaczenie formy prawnej wnioskodawcy;</w:t>
            </w:r>
          </w:p>
          <w:p w14:paraId="602F3EB1" w14:textId="77777777" w:rsidR="0078177A" w:rsidRPr="00317ABF" w:rsidRDefault="0078177A" w:rsidP="0078177A">
            <w:pPr>
              <w:pStyle w:val="Tekstpodstawowy"/>
              <w:rPr>
                <w:sz w:val="22"/>
                <w:szCs w:val="22"/>
              </w:rPr>
            </w:pPr>
            <w:r w:rsidRPr="00317ABF">
              <w:rPr>
                <w:sz w:val="22"/>
                <w:szCs w:val="22"/>
              </w:rPr>
              <w:t>3)</w:t>
            </w:r>
            <w:r w:rsidRPr="00317ABF">
              <w:rPr>
                <w:sz w:val="22"/>
                <w:szCs w:val="22"/>
              </w:rPr>
              <w:tab/>
              <w:t>numer identyfikacji podatkowej (NIP) lub numer w innym właściwym rejestrze prowadzonym w państwie członkowskim lub innym państwie określonym w art. 5 ust. 1, o ile przedsiębiorca taki numer posiada;</w:t>
            </w:r>
          </w:p>
          <w:p w14:paraId="0F84E744" w14:textId="77777777" w:rsidR="0078177A" w:rsidRPr="00317ABF" w:rsidRDefault="0078177A" w:rsidP="0078177A">
            <w:pPr>
              <w:pStyle w:val="Tekstpodstawowy"/>
              <w:rPr>
                <w:sz w:val="22"/>
                <w:szCs w:val="22"/>
              </w:rPr>
            </w:pPr>
            <w:r w:rsidRPr="00317ABF">
              <w:rPr>
                <w:sz w:val="22"/>
                <w:szCs w:val="22"/>
              </w:rPr>
              <w:t>4)</w:t>
            </w:r>
            <w:r w:rsidRPr="00317ABF">
              <w:rPr>
                <w:sz w:val="22"/>
                <w:szCs w:val="22"/>
              </w:rPr>
              <w:tab/>
              <w:t>imię, nazwisko, adres do korespondencji, adres poczty elektronicznej i numer telefonu osoby wyznaczonej do kontaktu z Prezesem UKE;</w:t>
            </w:r>
          </w:p>
          <w:p w14:paraId="78A8E2CF" w14:textId="77777777" w:rsidR="0078177A" w:rsidRPr="00317ABF" w:rsidRDefault="0078177A" w:rsidP="0078177A">
            <w:pPr>
              <w:pStyle w:val="Tekstpodstawowy"/>
              <w:rPr>
                <w:sz w:val="22"/>
                <w:szCs w:val="22"/>
              </w:rPr>
            </w:pPr>
            <w:r w:rsidRPr="00317ABF">
              <w:rPr>
                <w:sz w:val="22"/>
                <w:szCs w:val="22"/>
              </w:rPr>
              <w:t>5)</w:t>
            </w:r>
            <w:r w:rsidRPr="00317ABF">
              <w:rPr>
                <w:sz w:val="22"/>
                <w:szCs w:val="22"/>
              </w:rPr>
              <w:tab/>
              <w:t>krótki opis sieci telekomunikacyjnej, usługi telekomunikacyjnej lub powiązanych usług, których dotyczy wniosek;</w:t>
            </w:r>
          </w:p>
          <w:p w14:paraId="02120781" w14:textId="77777777" w:rsidR="0078177A" w:rsidRPr="00317ABF" w:rsidRDefault="0078177A" w:rsidP="0078177A">
            <w:pPr>
              <w:pStyle w:val="Tekstpodstawowy"/>
              <w:rPr>
                <w:sz w:val="22"/>
                <w:szCs w:val="22"/>
              </w:rPr>
            </w:pPr>
            <w:r w:rsidRPr="00317ABF">
              <w:rPr>
                <w:sz w:val="22"/>
                <w:szCs w:val="22"/>
              </w:rPr>
              <w:t>6)</w:t>
            </w:r>
            <w:r w:rsidRPr="00317ABF">
              <w:rPr>
                <w:sz w:val="22"/>
                <w:szCs w:val="22"/>
              </w:rPr>
              <w:tab/>
              <w:t>planowaną datę rozpoczęcia działalności telekomunikacyjnej, a w przypadku przedsiębiorcy telekomunikacyjnego z państwa członkowskiego albo państwa, które zawarło z Unią Europejską i jej państwami członkowskimi umowę regulującą swobodę świadczenia usług, który czasowo świadczy na terytorium Rzeczypospolitej Polskiej usługi na zasadach określonych odpowiednio w przepisach Traktatu ustanawiającego Wspólnotę Europejską, umowy o Europejskim Obszarze Gospodarczym albo w przepisach innej umowy regulującej swobodę świadczenia usług, również planowaną datę zakończenia działalności;</w:t>
            </w:r>
          </w:p>
          <w:p w14:paraId="08B68D59" w14:textId="77777777" w:rsidR="0078177A" w:rsidRPr="00317ABF" w:rsidRDefault="0078177A" w:rsidP="0078177A">
            <w:pPr>
              <w:pStyle w:val="Tekstpodstawowy"/>
              <w:rPr>
                <w:sz w:val="22"/>
                <w:szCs w:val="22"/>
              </w:rPr>
            </w:pPr>
            <w:r w:rsidRPr="00317ABF">
              <w:rPr>
                <w:sz w:val="22"/>
                <w:szCs w:val="22"/>
              </w:rPr>
              <w:t>7)</w:t>
            </w:r>
            <w:r w:rsidRPr="00317ABF">
              <w:rPr>
                <w:sz w:val="22"/>
                <w:szCs w:val="22"/>
              </w:rPr>
              <w:tab/>
              <w:t>adres strony internetowej wnioskodawcy, jeżeli taką stronę posiada;</w:t>
            </w:r>
          </w:p>
          <w:p w14:paraId="0088F4EE" w14:textId="77777777" w:rsidR="001E1112" w:rsidRPr="00317ABF" w:rsidRDefault="001E1112" w:rsidP="0078177A">
            <w:pPr>
              <w:pStyle w:val="Tekstpodstawowy"/>
              <w:rPr>
                <w:sz w:val="22"/>
                <w:szCs w:val="22"/>
              </w:rPr>
            </w:pPr>
            <w:r w:rsidRPr="00317ABF">
              <w:rPr>
                <w:sz w:val="22"/>
                <w:szCs w:val="22"/>
              </w:rPr>
              <w:t>8) obszar, na którym będzie wykonywana działalność telekomunikacyjna.</w:t>
            </w:r>
          </w:p>
          <w:p w14:paraId="302E38AC" w14:textId="77777777" w:rsidR="001E1112" w:rsidRPr="00317ABF" w:rsidRDefault="001E1112" w:rsidP="0078177A">
            <w:pPr>
              <w:pStyle w:val="Tekstpodstawowy"/>
              <w:rPr>
                <w:sz w:val="22"/>
                <w:szCs w:val="22"/>
              </w:rPr>
            </w:pPr>
            <w:r w:rsidRPr="00317ABF">
              <w:rPr>
                <w:rFonts w:eastAsia="Times"/>
                <w:sz w:val="22"/>
                <w:szCs w:val="22"/>
              </w:rPr>
              <w:t xml:space="preserve">2. Wniosek o wpis do rejestru PT zawiera oświadczenie </w:t>
            </w:r>
            <w:r w:rsidR="0078177A" w:rsidRPr="00317ABF">
              <w:rPr>
                <w:sz w:val="22"/>
                <w:szCs w:val="22"/>
              </w:rPr>
              <w:t xml:space="preserve">osoby uprawnionej do reprezentowania przedsiębiorcy lub innego podmiotu uprawnionego do wykonywania działalności gospodarczej na podstawie odrębnych przepisów, </w:t>
            </w:r>
            <w:r w:rsidRPr="00317ABF">
              <w:rPr>
                <w:rFonts w:eastAsia="Times"/>
                <w:sz w:val="22"/>
                <w:szCs w:val="22"/>
              </w:rPr>
              <w:t xml:space="preserve">o następującej treści: „Świadomy odpowiedzialności karnej za </w:t>
            </w:r>
            <w:r w:rsidRPr="00317ABF">
              <w:rPr>
                <w:rFonts w:eastAsia="Times"/>
                <w:sz w:val="22"/>
                <w:szCs w:val="22"/>
              </w:rPr>
              <w:lastRenderedPageBreak/>
              <w:t>złożenie fałszywego oświadczenia wynikającej z art. 233 § 6 Kodeksu karnego oświadczam, że:</w:t>
            </w:r>
          </w:p>
          <w:p w14:paraId="2528205D" w14:textId="553CA8F8" w:rsidR="0078177A" w:rsidRPr="00317ABF" w:rsidRDefault="0078177A" w:rsidP="0078177A">
            <w:pPr>
              <w:pStyle w:val="Tekstpodstawowy"/>
              <w:rPr>
                <w:sz w:val="22"/>
                <w:szCs w:val="22"/>
              </w:rPr>
            </w:pPr>
            <w:r w:rsidRPr="00317ABF">
              <w:rPr>
                <w:sz w:val="22"/>
                <w:szCs w:val="22"/>
              </w:rPr>
              <w:t>1) dane zawarte we wniosku są zgodne z prawdą;</w:t>
            </w:r>
          </w:p>
          <w:p w14:paraId="1A24C652" w14:textId="79DFD7E5" w:rsidR="0078177A" w:rsidRPr="00317ABF" w:rsidRDefault="0078177A" w:rsidP="0078177A">
            <w:pPr>
              <w:pStyle w:val="ARTartustawynprozporzdzenia"/>
              <w:spacing w:line="240" w:lineRule="auto"/>
              <w:ind w:firstLine="0"/>
              <w:rPr>
                <w:sz w:val="22"/>
                <w:szCs w:val="22"/>
              </w:rPr>
            </w:pPr>
            <w:r w:rsidRPr="00317ABF">
              <w:rPr>
                <w:sz w:val="22"/>
                <w:szCs w:val="22"/>
              </w:rPr>
              <w:t>2) znane mi są warunki wykonywania działalności telekomunikacyjnej, której dotyczy wniosek, wynikające z ustawy z dnia …… r. - Prawo komunikacji elektronicznej i podmiot wnioskujący je spełnia.”. Klauzula ta zastępuje pouczenie organu uprawnionego do odebrania oświadczenia o odpowiedzialności karnej za złożenie fałszywego oświadczenia.</w:t>
            </w:r>
          </w:p>
          <w:p w14:paraId="58316440" w14:textId="77777777" w:rsidR="0078177A" w:rsidRPr="00317ABF" w:rsidRDefault="0078177A" w:rsidP="0078177A">
            <w:pPr>
              <w:pStyle w:val="ARTartustawynprozporzdzenia"/>
              <w:spacing w:line="240" w:lineRule="auto"/>
              <w:ind w:firstLine="0"/>
              <w:rPr>
                <w:sz w:val="22"/>
                <w:szCs w:val="22"/>
              </w:rPr>
            </w:pPr>
          </w:p>
          <w:p w14:paraId="143B4EC2" w14:textId="4FCD82EE" w:rsidR="0078177A" w:rsidRPr="00317ABF" w:rsidRDefault="0078177A" w:rsidP="0078177A">
            <w:pPr>
              <w:pStyle w:val="Tekstpodstawowy"/>
              <w:rPr>
                <w:sz w:val="22"/>
                <w:szCs w:val="22"/>
              </w:rPr>
            </w:pPr>
            <w:r w:rsidRPr="00317ABF">
              <w:rPr>
                <w:b/>
              </w:rPr>
              <w:t xml:space="preserve"> </w:t>
            </w:r>
            <w:r w:rsidRPr="00317ABF">
              <w:rPr>
                <w:b/>
                <w:sz w:val="22"/>
                <w:szCs w:val="22"/>
              </w:rPr>
              <w:t>Art. 12</w:t>
            </w:r>
            <w:r w:rsidRPr="00317ABF">
              <w:rPr>
                <w:sz w:val="22"/>
                <w:szCs w:val="22"/>
              </w:rPr>
              <w:t>. 1. Jeżeli nastąpiła zmiana danych, o których mowa w art. 6 ust. 1 i art. 7 ust. 1, podmiot wpisany do rejestru PT albo rejestru JST, z wyjątkiem przypadku określonego w ust. 5, jest obowiązany w terminie 14 dni od dnia zmiany tych danych złożyć do Prezesa UKE wniosek o zmianę wpisu w rejestrze PT albo w rejestrze JST.</w:t>
            </w:r>
          </w:p>
          <w:p w14:paraId="42491D87" w14:textId="77777777" w:rsidR="0078177A" w:rsidRPr="00317ABF" w:rsidRDefault="0078177A" w:rsidP="0078177A">
            <w:pPr>
              <w:pStyle w:val="Tekstpodstawowy"/>
              <w:rPr>
                <w:sz w:val="22"/>
                <w:szCs w:val="22"/>
              </w:rPr>
            </w:pPr>
            <w:r w:rsidRPr="00317ABF">
              <w:rPr>
                <w:sz w:val="22"/>
                <w:szCs w:val="22"/>
              </w:rPr>
              <w:t>2. Wniosek, o którym mowa w ust. 1, zawiera numer z rejestru PT albo rejestru JST, dane podlegające zmianie oraz oświadczenie, o którym mowa w art. 6 ust. 2 albo art. 7 ust. 2.</w:t>
            </w:r>
          </w:p>
          <w:p w14:paraId="09FE8E9A" w14:textId="77777777" w:rsidR="0078177A" w:rsidRPr="00317ABF" w:rsidRDefault="0078177A" w:rsidP="0078177A">
            <w:pPr>
              <w:pStyle w:val="Tekstpodstawowy"/>
              <w:rPr>
                <w:sz w:val="22"/>
                <w:szCs w:val="22"/>
              </w:rPr>
            </w:pPr>
            <w:r w:rsidRPr="00317ABF">
              <w:rPr>
                <w:sz w:val="22"/>
                <w:szCs w:val="22"/>
              </w:rPr>
              <w:t>3. W przypadku braków formalnych wniosku o zmianę wpisu, stosuje się art. 8 ust. 2.</w:t>
            </w:r>
          </w:p>
          <w:p w14:paraId="05B15329" w14:textId="77777777" w:rsidR="0078177A" w:rsidRPr="00317ABF" w:rsidRDefault="0078177A" w:rsidP="0078177A">
            <w:pPr>
              <w:pStyle w:val="Tekstpodstawowy"/>
              <w:rPr>
                <w:sz w:val="22"/>
                <w:szCs w:val="22"/>
              </w:rPr>
            </w:pPr>
            <w:r w:rsidRPr="00317ABF">
              <w:rPr>
                <w:sz w:val="22"/>
                <w:szCs w:val="22"/>
              </w:rPr>
              <w:t>4. Prezes UKE na podstawie wniosku, o którym mowa w ust. 1, dokonuje zmiany wpisu w rejestrze PT albo rejestrze JST i wystawia aktualne zaświadczenie w trybie, o którym mowa w art. 11.</w:t>
            </w:r>
          </w:p>
          <w:p w14:paraId="7C3140DB" w14:textId="7ECFFB9F" w:rsidR="001E1112" w:rsidRPr="00317ABF" w:rsidRDefault="0078177A" w:rsidP="0078177A">
            <w:pPr>
              <w:pStyle w:val="Tekstpodstawowy"/>
              <w:rPr>
                <w:b/>
                <w:sz w:val="22"/>
                <w:szCs w:val="22"/>
              </w:rPr>
            </w:pPr>
            <w:r w:rsidRPr="00317ABF">
              <w:rPr>
                <w:sz w:val="22"/>
                <w:szCs w:val="22"/>
              </w:rPr>
              <w:t>5. Jeżeli dane, o których mowa w art. 6 ust. 1 pkt 1 w zakresie firmy lub adresu stałego miejsca wykonywania działalności gospodarczej, lub pkt 7, zostały zmienione w Centralnej Ewidencji i Informacji o Działalności Gospodarczej Prezes UKE z urzędu dokonuje zmiany wpisu w rejestrze PT i wystawia aktualne zaświadczenie w trybie, o którym mowa w art. 11</w:t>
            </w:r>
            <w:r w:rsidRPr="00317ABF">
              <w:rPr>
                <w:rStyle w:val="Ppogrubienie"/>
                <w:b w:val="0"/>
                <w:sz w:val="22"/>
                <w:szCs w:val="22"/>
              </w:rPr>
              <w:t>.</w:t>
            </w:r>
          </w:p>
          <w:p w14:paraId="08921104" w14:textId="77777777" w:rsidR="001E1112" w:rsidRPr="00317ABF" w:rsidRDefault="001E1112" w:rsidP="00DB3BEC">
            <w:pPr>
              <w:jc w:val="both"/>
              <w:rPr>
                <w:sz w:val="22"/>
                <w:szCs w:val="22"/>
              </w:rPr>
            </w:pPr>
          </w:p>
          <w:p w14:paraId="7B804E5B" w14:textId="62139CB5" w:rsidR="001E1112" w:rsidRPr="00317ABF" w:rsidRDefault="001E1112" w:rsidP="00DB3BEC">
            <w:pPr>
              <w:jc w:val="both"/>
              <w:rPr>
                <w:sz w:val="22"/>
                <w:szCs w:val="22"/>
              </w:rPr>
            </w:pPr>
            <w:r w:rsidRPr="00317ABF">
              <w:rPr>
                <w:sz w:val="22"/>
                <w:szCs w:val="22"/>
              </w:rPr>
              <w:t>Art. 18. Prezes UKE niezwłocznie przekazuje do BEREC drogą elektroniczną każdy wniosek, na podstawie którego dokonano wpisu do rejestru PT.</w:t>
            </w:r>
          </w:p>
          <w:p w14:paraId="55A7200B" w14:textId="5D4ECE02" w:rsidR="001E1112" w:rsidRPr="00317ABF" w:rsidRDefault="001E1112" w:rsidP="00DB3BEC">
            <w:pPr>
              <w:jc w:val="both"/>
              <w:rPr>
                <w:sz w:val="22"/>
                <w:szCs w:val="22"/>
              </w:rPr>
            </w:pPr>
          </w:p>
          <w:p w14:paraId="20E36DAB" w14:textId="44C2F1A4" w:rsidR="001E1112" w:rsidRPr="00317ABF" w:rsidRDefault="0078177A" w:rsidP="00DB3BEC">
            <w:pPr>
              <w:jc w:val="both"/>
              <w:rPr>
                <w:sz w:val="22"/>
                <w:szCs w:val="22"/>
              </w:rPr>
            </w:pPr>
            <w:r w:rsidRPr="00317ABF">
              <w:rPr>
                <w:sz w:val="22"/>
                <w:szCs w:val="22"/>
              </w:rPr>
              <w:t>10</w:t>
            </w:r>
            <w:r w:rsidR="001E1112" w:rsidRPr="00317ABF">
              <w:rPr>
                <w:sz w:val="22"/>
                <w:szCs w:val="22"/>
              </w:rPr>
              <w:t xml:space="preserve">. Prezes UKE do dnia 21 grudnia 2021 r. przekazuje do Organu Europejskich Regulatorów Łączności Elektronicznej (BEREC) treść wpisów do rejestru, o którym mowa w art. 10 ust. 1 ustawy uchylanej w art. </w:t>
            </w:r>
            <w:r w:rsidRPr="00317ABF">
              <w:rPr>
                <w:sz w:val="22"/>
                <w:szCs w:val="22"/>
              </w:rPr>
              <w:t>57, dokonanych przed dniem wejścia w życie ustawy, o której mowa w art. 1.</w:t>
            </w:r>
          </w:p>
        </w:tc>
      </w:tr>
      <w:tr w:rsidR="001E1112" w:rsidRPr="00317ABF" w14:paraId="6F7E98CD" w14:textId="77777777" w:rsidTr="7753F98D">
        <w:trPr>
          <w:gridAfter w:val="2"/>
          <w:wAfter w:w="175" w:type="dxa"/>
        </w:trPr>
        <w:tc>
          <w:tcPr>
            <w:tcW w:w="704" w:type="dxa"/>
          </w:tcPr>
          <w:p w14:paraId="60E1588D" w14:textId="77777777" w:rsidR="001E1112" w:rsidRPr="00317ABF" w:rsidRDefault="001E1112" w:rsidP="00DB3BEC">
            <w:pPr>
              <w:jc w:val="both"/>
              <w:rPr>
                <w:sz w:val="22"/>
                <w:szCs w:val="22"/>
              </w:rPr>
            </w:pPr>
            <w:r w:rsidRPr="00317ABF">
              <w:rPr>
                <w:sz w:val="22"/>
                <w:szCs w:val="22"/>
              </w:rPr>
              <w:lastRenderedPageBreak/>
              <w:t>Art. 13</w:t>
            </w:r>
          </w:p>
        </w:tc>
        <w:tc>
          <w:tcPr>
            <w:tcW w:w="4308" w:type="dxa"/>
          </w:tcPr>
          <w:p w14:paraId="1D643E02" w14:textId="77777777" w:rsidR="001E1112" w:rsidRPr="00317ABF" w:rsidRDefault="001E1112" w:rsidP="00DB3BEC">
            <w:pPr>
              <w:spacing w:before="60" w:after="120"/>
              <w:jc w:val="both"/>
              <w:rPr>
                <w:b/>
                <w:bCs/>
                <w:sz w:val="22"/>
                <w:szCs w:val="22"/>
              </w:rPr>
            </w:pPr>
            <w:r w:rsidRPr="00317ABF">
              <w:rPr>
                <w:b/>
                <w:bCs/>
                <w:sz w:val="22"/>
                <w:szCs w:val="22"/>
              </w:rPr>
              <w:t>Warunki, którymi obwarowano ogólne zezwolenie i prawa użytkowania widma radiowego i zasobów numeracyjnych, oraz szczegółowe obowiązki</w:t>
            </w:r>
          </w:p>
        </w:tc>
        <w:tc>
          <w:tcPr>
            <w:tcW w:w="986" w:type="dxa"/>
          </w:tcPr>
          <w:p w14:paraId="32D85219" w14:textId="77777777" w:rsidR="001E1112" w:rsidRPr="00317ABF" w:rsidRDefault="001E1112" w:rsidP="00DB3BEC">
            <w:pPr>
              <w:jc w:val="both"/>
              <w:rPr>
                <w:sz w:val="22"/>
                <w:szCs w:val="22"/>
              </w:rPr>
            </w:pPr>
          </w:p>
        </w:tc>
        <w:tc>
          <w:tcPr>
            <w:tcW w:w="910" w:type="dxa"/>
          </w:tcPr>
          <w:p w14:paraId="0CE19BC3" w14:textId="77777777" w:rsidR="001E1112" w:rsidRPr="00317ABF" w:rsidRDefault="001E1112" w:rsidP="00DB3BEC">
            <w:pPr>
              <w:pStyle w:val="Tekstpodstawowy"/>
              <w:rPr>
                <w:b/>
                <w:noProof/>
                <w:sz w:val="22"/>
                <w:szCs w:val="22"/>
              </w:rPr>
            </w:pPr>
          </w:p>
        </w:tc>
        <w:tc>
          <w:tcPr>
            <w:tcW w:w="6814" w:type="dxa"/>
            <w:gridSpan w:val="2"/>
          </w:tcPr>
          <w:p w14:paraId="63966B72" w14:textId="77777777" w:rsidR="001E1112" w:rsidRPr="00317ABF" w:rsidRDefault="001E1112" w:rsidP="00DB3BEC">
            <w:pPr>
              <w:pStyle w:val="Tekstpodstawowy"/>
              <w:rPr>
                <w:sz w:val="22"/>
                <w:szCs w:val="22"/>
              </w:rPr>
            </w:pPr>
          </w:p>
        </w:tc>
      </w:tr>
      <w:tr w:rsidR="001E1112" w:rsidRPr="00317ABF" w14:paraId="1D614366" w14:textId="77777777" w:rsidTr="7753F98D">
        <w:trPr>
          <w:gridAfter w:val="2"/>
          <w:wAfter w:w="175" w:type="dxa"/>
        </w:trPr>
        <w:tc>
          <w:tcPr>
            <w:tcW w:w="704" w:type="dxa"/>
          </w:tcPr>
          <w:p w14:paraId="7AB5A4D1" w14:textId="77777777" w:rsidR="001E1112" w:rsidRPr="00317ABF" w:rsidRDefault="001E1112" w:rsidP="00DB3BEC">
            <w:pPr>
              <w:jc w:val="both"/>
              <w:rPr>
                <w:sz w:val="22"/>
                <w:szCs w:val="22"/>
              </w:rPr>
            </w:pPr>
            <w:r w:rsidRPr="00317ABF">
              <w:rPr>
                <w:sz w:val="22"/>
                <w:szCs w:val="22"/>
              </w:rPr>
              <w:t>Art. 13 ust. 1</w:t>
            </w:r>
          </w:p>
        </w:tc>
        <w:tc>
          <w:tcPr>
            <w:tcW w:w="4308" w:type="dxa"/>
          </w:tcPr>
          <w:p w14:paraId="25B52FDA" w14:textId="77777777" w:rsidR="001E1112" w:rsidRPr="00317ABF" w:rsidRDefault="001E1112" w:rsidP="00DB3BEC">
            <w:pPr>
              <w:spacing w:before="120"/>
              <w:jc w:val="both"/>
              <w:rPr>
                <w:sz w:val="22"/>
                <w:szCs w:val="22"/>
              </w:rPr>
            </w:pPr>
            <w:r w:rsidRPr="00317ABF">
              <w:rPr>
                <w:sz w:val="22"/>
                <w:szCs w:val="22"/>
              </w:rPr>
              <w:t>1.   Ogólne zezwolenie na dostarczanie sieci łączności elektronicznej lub świadczenie usług łączności elektronicznej oraz prawa użytkowania widma radiowego i prawa użytkowania zasobami numeracyjnymi mogą jedynie podlegać warunkom określonym w załączniku I. Warunki te muszą być niedyskryminacyjne, proporcjonalne i przejrzyste. W przypadku praw użytkowania widma radiowego, takie warunki muszą zapewniać jego efektywne i wydajne użytkowanie i być zgodne z art. 45 i 51, a w przypadku prawa użytkowania zasobami numeracyjnymi – zgodne z art. 94.</w:t>
            </w:r>
          </w:p>
        </w:tc>
        <w:tc>
          <w:tcPr>
            <w:tcW w:w="986" w:type="dxa"/>
          </w:tcPr>
          <w:p w14:paraId="23536548" w14:textId="3F9759EE" w:rsidR="001E1112" w:rsidRPr="00317ABF" w:rsidRDefault="001E1112" w:rsidP="00DB3BEC">
            <w:pPr>
              <w:jc w:val="both"/>
              <w:rPr>
                <w:sz w:val="22"/>
                <w:szCs w:val="22"/>
              </w:rPr>
            </w:pPr>
            <w:r w:rsidRPr="00317ABF">
              <w:rPr>
                <w:sz w:val="22"/>
                <w:szCs w:val="22"/>
              </w:rPr>
              <w:t>N</w:t>
            </w:r>
          </w:p>
        </w:tc>
        <w:tc>
          <w:tcPr>
            <w:tcW w:w="910" w:type="dxa"/>
          </w:tcPr>
          <w:p w14:paraId="271AE1F2" w14:textId="77777777" w:rsidR="001E1112" w:rsidRPr="00317ABF" w:rsidRDefault="001E1112" w:rsidP="00DB3BEC">
            <w:pPr>
              <w:pStyle w:val="Tekstpodstawowy"/>
              <w:rPr>
                <w:b/>
                <w:noProof/>
                <w:sz w:val="22"/>
                <w:szCs w:val="22"/>
              </w:rPr>
            </w:pPr>
          </w:p>
        </w:tc>
        <w:tc>
          <w:tcPr>
            <w:tcW w:w="6814" w:type="dxa"/>
            <w:gridSpan w:val="2"/>
          </w:tcPr>
          <w:p w14:paraId="4AE5B7AF" w14:textId="77777777" w:rsidR="001E1112" w:rsidRPr="00317ABF" w:rsidRDefault="001E1112" w:rsidP="00DB3BEC">
            <w:pPr>
              <w:pStyle w:val="Tekstpodstawowy"/>
              <w:rPr>
                <w:sz w:val="22"/>
                <w:szCs w:val="22"/>
              </w:rPr>
            </w:pPr>
          </w:p>
        </w:tc>
      </w:tr>
      <w:tr w:rsidR="001E1112" w:rsidRPr="00317ABF" w14:paraId="68A43DDA" w14:textId="77777777" w:rsidTr="7753F98D">
        <w:trPr>
          <w:gridAfter w:val="2"/>
          <w:wAfter w:w="175" w:type="dxa"/>
        </w:trPr>
        <w:tc>
          <w:tcPr>
            <w:tcW w:w="704" w:type="dxa"/>
          </w:tcPr>
          <w:p w14:paraId="005EB812" w14:textId="77777777" w:rsidR="001E1112" w:rsidRPr="00317ABF" w:rsidRDefault="001E1112" w:rsidP="00DB3BEC">
            <w:pPr>
              <w:jc w:val="both"/>
              <w:rPr>
                <w:sz w:val="22"/>
                <w:szCs w:val="22"/>
              </w:rPr>
            </w:pPr>
            <w:r w:rsidRPr="00317ABF">
              <w:rPr>
                <w:sz w:val="22"/>
                <w:szCs w:val="22"/>
              </w:rPr>
              <w:t>Art. 13 ust. 2</w:t>
            </w:r>
          </w:p>
        </w:tc>
        <w:tc>
          <w:tcPr>
            <w:tcW w:w="4308" w:type="dxa"/>
          </w:tcPr>
          <w:p w14:paraId="6AB03002" w14:textId="77777777" w:rsidR="001E1112" w:rsidRPr="00317ABF" w:rsidRDefault="001E1112" w:rsidP="00DB3BEC">
            <w:pPr>
              <w:spacing w:before="120"/>
              <w:jc w:val="both"/>
              <w:rPr>
                <w:sz w:val="22"/>
                <w:szCs w:val="22"/>
              </w:rPr>
            </w:pPr>
            <w:r w:rsidRPr="00317ABF">
              <w:rPr>
                <w:sz w:val="22"/>
                <w:szCs w:val="22"/>
              </w:rPr>
              <w:t>2.   Szczególne obowiązki, które mogą być nałożone na przedsiębiorstwa udostępniające sieci i świadczące usługi łączności elektronicznej na podstawie art. 61 ust. 1 i 5 i art. 62, 68 i 83 lub na podmioty wyznaczone do świadczenia usługi powszechnej na podstawie niniejszej dyrektywy, muszą być prawnie oddzielone od praw i obowiązków wynikających z ogólnego zezwolenia. Celem zapewnienia przejrzystości, kryteria i procedury nakładania takich szczególnych obowiązków na poszczególne przedsiębiorstwa wskazuje się w ogólnym zezwoleniu.</w:t>
            </w:r>
          </w:p>
        </w:tc>
        <w:tc>
          <w:tcPr>
            <w:tcW w:w="986" w:type="dxa"/>
          </w:tcPr>
          <w:p w14:paraId="3955E093" w14:textId="09B457E3" w:rsidR="001E1112" w:rsidRPr="00317ABF" w:rsidRDefault="001E1112" w:rsidP="00DB3BEC">
            <w:pPr>
              <w:jc w:val="both"/>
              <w:rPr>
                <w:sz w:val="22"/>
                <w:szCs w:val="22"/>
              </w:rPr>
            </w:pPr>
            <w:r w:rsidRPr="00317ABF">
              <w:rPr>
                <w:sz w:val="22"/>
                <w:szCs w:val="22"/>
              </w:rPr>
              <w:t>T</w:t>
            </w:r>
          </w:p>
        </w:tc>
        <w:tc>
          <w:tcPr>
            <w:tcW w:w="910" w:type="dxa"/>
          </w:tcPr>
          <w:p w14:paraId="542BB7FB" w14:textId="684F1682" w:rsidR="001E1112" w:rsidRPr="00317ABF" w:rsidRDefault="001E1112" w:rsidP="00DB3BEC">
            <w:pPr>
              <w:pStyle w:val="Tekstpodstawowy"/>
              <w:rPr>
                <w:b/>
                <w:sz w:val="22"/>
                <w:szCs w:val="22"/>
              </w:rPr>
            </w:pPr>
            <w:r w:rsidRPr="00317ABF">
              <w:rPr>
                <w:b/>
                <w:sz w:val="22"/>
                <w:szCs w:val="22"/>
              </w:rPr>
              <w:t xml:space="preserve">Art. </w:t>
            </w:r>
            <w:r w:rsidR="00F753A7" w:rsidRPr="00317ABF">
              <w:rPr>
                <w:b/>
                <w:bCs/>
                <w:noProof/>
                <w:sz w:val="22"/>
                <w:szCs w:val="22"/>
              </w:rPr>
              <w:t>199 ust. 1</w:t>
            </w:r>
            <w:r w:rsidRPr="00317ABF">
              <w:rPr>
                <w:b/>
                <w:sz w:val="22"/>
                <w:szCs w:val="22"/>
              </w:rPr>
              <w:t xml:space="preserve"> (w zakresieart. 68 EKŁE) </w:t>
            </w:r>
          </w:p>
          <w:p w14:paraId="6F2C7A43" w14:textId="22E0B881" w:rsidR="001E1112" w:rsidRPr="00317ABF" w:rsidRDefault="001E1112" w:rsidP="00DB3BEC">
            <w:pPr>
              <w:pStyle w:val="Tekstpodstawowy"/>
              <w:rPr>
                <w:b/>
                <w:bCs/>
                <w:noProof/>
                <w:sz w:val="22"/>
                <w:szCs w:val="22"/>
              </w:rPr>
            </w:pPr>
            <w:r w:rsidRPr="00317ABF">
              <w:rPr>
                <w:b/>
                <w:sz w:val="22"/>
                <w:szCs w:val="22"/>
              </w:rPr>
              <w:t xml:space="preserve">Art. </w:t>
            </w:r>
            <w:r w:rsidR="00F753A7" w:rsidRPr="00317ABF">
              <w:rPr>
                <w:b/>
                <w:bCs/>
                <w:noProof/>
                <w:sz w:val="22"/>
                <w:szCs w:val="22"/>
              </w:rPr>
              <w:t>231 ust. 1</w:t>
            </w:r>
            <w:r w:rsidRPr="00317ABF">
              <w:rPr>
                <w:b/>
                <w:sz w:val="22"/>
                <w:szCs w:val="22"/>
              </w:rPr>
              <w:t xml:space="preserve"> (w zakresieart. 83 EKŁE)</w:t>
            </w:r>
            <w:r w:rsidRPr="00317ABF">
              <w:rPr>
                <w:b/>
                <w:bCs/>
                <w:noProof/>
                <w:sz w:val="22"/>
                <w:szCs w:val="22"/>
              </w:rPr>
              <w:t xml:space="preserve"> </w:t>
            </w:r>
          </w:p>
          <w:p w14:paraId="185B3E59" w14:textId="77777777" w:rsidR="001E1112" w:rsidRPr="00317ABF" w:rsidRDefault="001E1112" w:rsidP="00DB3BEC">
            <w:pPr>
              <w:pStyle w:val="Tekstpodstawowy"/>
              <w:rPr>
                <w:b/>
                <w:bCs/>
                <w:noProof/>
                <w:sz w:val="22"/>
                <w:szCs w:val="22"/>
              </w:rPr>
            </w:pPr>
          </w:p>
          <w:p w14:paraId="12C42424" w14:textId="53012E28" w:rsidR="001E1112" w:rsidRPr="00317ABF" w:rsidRDefault="001E1112" w:rsidP="00DB3BEC">
            <w:pPr>
              <w:pStyle w:val="Tekstpodstawowy"/>
              <w:rPr>
                <w:b/>
                <w:bCs/>
                <w:noProof/>
                <w:sz w:val="22"/>
                <w:szCs w:val="22"/>
              </w:rPr>
            </w:pPr>
            <w:r w:rsidRPr="00317ABF">
              <w:rPr>
                <w:b/>
                <w:bCs/>
                <w:noProof/>
                <w:sz w:val="22"/>
                <w:szCs w:val="22"/>
              </w:rPr>
              <w:t>Art. 370, 319</w:t>
            </w:r>
          </w:p>
        </w:tc>
        <w:tc>
          <w:tcPr>
            <w:tcW w:w="6814" w:type="dxa"/>
            <w:gridSpan w:val="2"/>
          </w:tcPr>
          <w:p w14:paraId="29BD8B5F" w14:textId="77777777" w:rsidR="00F753A7" w:rsidRPr="00317ABF" w:rsidRDefault="00F753A7" w:rsidP="00F753A7">
            <w:pPr>
              <w:pStyle w:val="ARTartustawynprozporzdzenia"/>
              <w:keepNext/>
              <w:spacing w:before="0" w:line="240" w:lineRule="auto"/>
              <w:ind w:firstLine="0"/>
              <w:rPr>
                <w:rFonts w:ascii="Times New Roman" w:hAnsi="Times New Roman" w:cs="Times New Roman"/>
                <w:sz w:val="22"/>
                <w:szCs w:val="22"/>
              </w:rPr>
            </w:pPr>
            <w:r w:rsidRPr="00317ABF">
              <w:rPr>
                <w:rStyle w:val="Ppogrubienie"/>
                <w:rFonts w:ascii="Times New Roman" w:hAnsi="Times New Roman"/>
                <w:sz w:val="22"/>
                <w:szCs w:val="22"/>
              </w:rPr>
              <w:t>Art. 199.</w:t>
            </w:r>
            <w:r w:rsidRPr="00317ABF">
              <w:rPr>
                <w:rFonts w:ascii="Times New Roman" w:hAnsi="Times New Roman" w:cs="Times New Roman"/>
                <w:sz w:val="22"/>
                <w:szCs w:val="22"/>
              </w:rPr>
              <w:t xml:space="preserve"> 1. Po przeprowadzeniu analizy, o której mowa w art. 197 ust. 1, Prezes UKE przeprowadza postępowanie w celu:</w:t>
            </w:r>
          </w:p>
          <w:p w14:paraId="6798774D" w14:textId="77777777" w:rsidR="00F753A7" w:rsidRPr="00317ABF" w:rsidRDefault="00F753A7" w:rsidP="00F753A7">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1)</w:t>
            </w:r>
            <w:r w:rsidRPr="00317ABF">
              <w:rPr>
                <w:rFonts w:ascii="Times New Roman" w:hAnsi="Times New Roman" w:cs="Times New Roman"/>
                <w:sz w:val="22"/>
                <w:szCs w:val="22"/>
              </w:rPr>
              <w:tab/>
              <w:t>określenia rynku właściwego, zgodnie z prawem konkurencji, uwzględniając uwarunkowania krajowe, konkurencję w zakresie infrastruktury telekomunikacyjnej na danym obszarze i wyniki inwentaryzacji, o których mowa w ustawie z dnia 7 maja 2010 r. o wspieraniu rozwoju usług i sieci telekomunikacyjnych, w zakresie produktów i usług komunikacji elektronicznej, zwanego dalej „rynkiem właściwym”;</w:t>
            </w:r>
          </w:p>
          <w:p w14:paraId="5F25C33A" w14:textId="77777777" w:rsidR="00F753A7" w:rsidRPr="00317ABF" w:rsidRDefault="00F753A7" w:rsidP="00F753A7">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2)</w:t>
            </w:r>
            <w:r w:rsidRPr="00317ABF">
              <w:rPr>
                <w:rFonts w:ascii="Times New Roman" w:hAnsi="Times New Roman" w:cs="Times New Roman"/>
                <w:sz w:val="22"/>
                <w:szCs w:val="22"/>
              </w:rPr>
              <w:tab/>
              <w:t>ustalenia, czy na rynku właściwym występuje przedsiębiorca komunikacji elektronicznej</w:t>
            </w:r>
            <w:r w:rsidRPr="00317ABF" w:rsidDel="00AF135B">
              <w:rPr>
                <w:rFonts w:ascii="Times New Roman" w:hAnsi="Times New Roman" w:cs="Times New Roman"/>
                <w:sz w:val="22"/>
                <w:szCs w:val="22"/>
              </w:rPr>
              <w:t xml:space="preserve"> </w:t>
            </w:r>
            <w:r w:rsidRPr="00317ABF">
              <w:rPr>
                <w:rFonts w:ascii="Times New Roman" w:hAnsi="Times New Roman" w:cs="Times New Roman"/>
                <w:sz w:val="22"/>
                <w:szCs w:val="22"/>
              </w:rPr>
              <w:t>o znaczącej pozycji rynkowej lub przedsiębiorcy komunikacji elektronicznej</w:t>
            </w:r>
            <w:r w:rsidRPr="00317ABF" w:rsidDel="00AF135B">
              <w:rPr>
                <w:rFonts w:ascii="Times New Roman" w:hAnsi="Times New Roman" w:cs="Times New Roman"/>
                <w:sz w:val="22"/>
                <w:szCs w:val="22"/>
              </w:rPr>
              <w:t xml:space="preserve"> </w:t>
            </w:r>
            <w:r w:rsidRPr="00317ABF">
              <w:rPr>
                <w:rFonts w:ascii="Times New Roman" w:hAnsi="Times New Roman" w:cs="Times New Roman"/>
                <w:sz w:val="22"/>
                <w:szCs w:val="22"/>
              </w:rPr>
              <w:t>zajmujący kolektywną pozycję znaczącą;</w:t>
            </w:r>
          </w:p>
          <w:p w14:paraId="46BF6462" w14:textId="77777777" w:rsidR="00F753A7" w:rsidRPr="00317ABF" w:rsidRDefault="00F753A7" w:rsidP="00F753A7">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3)</w:t>
            </w:r>
            <w:r w:rsidRPr="00317ABF">
              <w:rPr>
                <w:rFonts w:ascii="Times New Roman" w:hAnsi="Times New Roman" w:cs="Times New Roman"/>
                <w:sz w:val="22"/>
                <w:szCs w:val="22"/>
              </w:rPr>
              <w:tab/>
              <w:t>wyznaczenia przedsiębiorcy komunikacji elektronicznej</w:t>
            </w:r>
            <w:r w:rsidRPr="00317ABF" w:rsidDel="00AF135B">
              <w:rPr>
                <w:rFonts w:ascii="Times New Roman" w:hAnsi="Times New Roman" w:cs="Times New Roman"/>
                <w:sz w:val="22"/>
                <w:szCs w:val="22"/>
              </w:rPr>
              <w:t xml:space="preserve"> </w:t>
            </w:r>
            <w:r w:rsidRPr="00317ABF">
              <w:rPr>
                <w:rFonts w:ascii="Times New Roman" w:hAnsi="Times New Roman" w:cs="Times New Roman"/>
                <w:sz w:val="22"/>
                <w:szCs w:val="22"/>
              </w:rPr>
              <w:t>o znaczącej pozycji rynkowej lub przedsiębiorców komunikacji elektronicznej</w:t>
            </w:r>
            <w:r w:rsidRPr="00317ABF" w:rsidDel="00AF135B">
              <w:rPr>
                <w:rFonts w:ascii="Times New Roman" w:hAnsi="Times New Roman" w:cs="Times New Roman"/>
                <w:sz w:val="22"/>
                <w:szCs w:val="22"/>
              </w:rPr>
              <w:t xml:space="preserve"> </w:t>
            </w:r>
            <w:r w:rsidRPr="00317ABF">
              <w:rPr>
                <w:rFonts w:ascii="Times New Roman" w:hAnsi="Times New Roman" w:cs="Times New Roman"/>
                <w:sz w:val="22"/>
                <w:szCs w:val="22"/>
              </w:rPr>
              <w:t xml:space="preserve">zajmujących kolektywną pozycję znaczącą, w przypadku stwierdzenia, że na rynku właściwym nie występuje skuteczna konkurencja oraz nałożenia na tego przedsiębiorcę lub </w:t>
            </w:r>
            <w:r w:rsidRPr="00317ABF">
              <w:rPr>
                <w:rFonts w:ascii="Times New Roman" w:hAnsi="Times New Roman" w:cs="Times New Roman"/>
                <w:sz w:val="22"/>
                <w:szCs w:val="22"/>
              </w:rPr>
              <w:lastRenderedPageBreak/>
              <w:t>przedsiębiorców komunikacji elektronicznej</w:t>
            </w:r>
            <w:r w:rsidRPr="00317ABF" w:rsidDel="00AF135B">
              <w:rPr>
                <w:rFonts w:ascii="Times New Roman" w:hAnsi="Times New Roman" w:cs="Times New Roman"/>
                <w:sz w:val="22"/>
                <w:szCs w:val="22"/>
              </w:rPr>
              <w:t xml:space="preserve"> </w:t>
            </w:r>
            <w:r w:rsidRPr="00317ABF">
              <w:rPr>
                <w:rFonts w:ascii="Times New Roman" w:hAnsi="Times New Roman" w:cs="Times New Roman"/>
                <w:sz w:val="22"/>
                <w:szCs w:val="22"/>
              </w:rPr>
              <w:t>zajmujących kolektywną pozycję znaczącą obowiązków regulacyjnych;</w:t>
            </w:r>
          </w:p>
          <w:p w14:paraId="1049A02D" w14:textId="377AD50D" w:rsidR="001E1112" w:rsidRPr="00317ABF" w:rsidRDefault="001E1112" w:rsidP="00DB3BEC">
            <w:pPr>
              <w:ind w:left="510" w:hanging="510"/>
              <w:jc w:val="both"/>
              <w:rPr>
                <w:sz w:val="22"/>
                <w:szCs w:val="22"/>
              </w:rPr>
            </w:pPr>
            <w:r w:rsidRPr="00317ABF">
              <w:rPr>
                <w:rFonts w:eastAsia="Times"/>
                <w:sz w:val="22"/>
                <w:szCs w:val="22"/>
              </w:rPr>
              <w:t>4)</w:t>
            </w:r>
            <w:r w:rsidR="00F753A7" w:rsidRPr="00317ABF">
              <w:rPr>
                <w:sz w:val="22"/>
                <w:szCs w:val="22"/>
              </w:rPr>
              <w:tab/>
            </w:r>
            <w:r w:rsidRPr="00317ABF">
              <w:rPr>
                <w:rFonts w:eastAsia="Times"/>
                <w:sz w:val="22"/>
                <w:szCs w:val="22"/>
              </w:rPr>
              <w:t>utrzymania, zmiany albo uchylenia obowiązków regulacyjnych nałożonych na przedsiębiorcę komunikacji elektronicznej o znaczącej pozycji rynkowej lub przedsiębiorców komunikacji elektronicznej zajmujących kolektywną pozycję znaczącą przed przeprowadzeniem analizy rynku.</w:t>
            </w:r>
          </w:p>
          <w:p w14:paraId="270CFFB8" w14:textId="238F26E8" w:rsidR="001E1112" w:rsidRPr="00317ABF" w:rsidRDefault="001E1112" w:rsidP="00DB3BEC">
            <w:pPr>
              <w:ind w:firstLine="510"/>
              <w:jc w:val="both"/>
              <w:rPr>
                <w:rFonts w:eastAsia="Times"/>
                <w:b/>
                <w:bCs/>
                <w:sz w:val="22"/>
                <w:szCs w:val="22"/>
              </w:rPr>
            </w:pPr>
          </w:p>
          <w:p w14:paraId="5BA7ABC6" w14:textId="77777777" w:rsidR="00F753A7" w:rsidRPr="00317ABF" w:rsidRDefault="00F753A7" w:rsidP="00F753A7">
            <w:pPr>
              <w:pStyle w:val="ARTartustawynprozporzdzenia"/>
              <w:keepNext/>
              <w:spacing w:before="0" w:line="240" w:lineRule="auto"/>
              <w:ind w:firstLine="0"/>
              <w:rPr>
                <w:rFonts w:ascii="Times New Roman" w:hAnsi="Times New Roman" w:cs="Times New Roman"/>
                <w:sz w:val="22"/>
                <w:szCs w:val="22"/>
              </w:rPr>
            </w:pPr>
            <w:r w:rsidRPr="00317ABF">
              <w:rPr>
                <w:rStyle w:val="Ppogrubienie"/>
                <w:rFonts w:ascii="Times New Roman" w:hAnsi="Times New Roman"/>
                <w:sz w:val="22"/>
                <w:szCs w:val="22"/>
              </w:rPr>
              <w:t>Art. 231.</w:t>
            </w:r>
            <w:r w:rsidRPr="00317ABF">
              <w:rPr>
                <w:rFonts w:ascii="Times New Roman" w:hAnsi="Times New Roman" w:cs="Times New Roman"/>
                <w:sz w:val="22"/>
                <w:szCs w:val="22"/>
              </w:rPr>
              <w:t xml:space="preserve"> 1. Jeżeli w wyniku analizy, o której mowa w art. 197 ust. 1, Prezes UKE stwierdzi, że:</w:t>
            </w:r>
          </w:p>
          <w:p w14:paraId="4A75B614" w14:textId="77777777" w:rsidR="00F753A7" w:rsidRPr="00317ABF" w:rsidRDefault="00F753A7" w:rsidP="00F753A7">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1)</w:t>
            </w:r>
            <w:r w:rsidRPr="00317ABF">
              <w:rPr>
                <w:rFonts w:ascii="Times New Roman" w:hAnsi="Times New Roman" w:cs="Times New Roman"/>
                <w:sz w:val="22"/>
                <w:szCs w:val="22"/>
              </w:rPr>
              <w:tab/>
              <w:t>dany rynek detaliczny nie jest skutecznie konkurencyjny,</w:t>
            </w:r>
          </w:p>
          <w:p w14:paraId="005035AE" w14:textId="77777777" w:rsidR="001E1112" w:rsidRPr="00317ABF" w:rsidRDefault="001E1112" w:rsidP="00F753A7">
            <w:pPr>
              <w:pStyle w:val="PKTpunkt0"/>
              <w:keepNext/>
              <w:spacing w:line="240" w:lineRule="auto"/>
              <w:rPr>
                <w:rFonts w:ascii="Times New Roman" w:hAnsi="Times New Roman" w:cs="Times New Roman"/>
                <w:sz w:val="22"/>
                <w:szCs w:val="22"/>
              </w:rPr>
            </w:pPr>
            <w:r w:rsidRPr="00317ABF">
              <w:rPr>
                <w:rFonts w:ascii="Times New Roman" w:eastAsia="Times" w:hAnsi="Times New Roman" w:cs="Times New Roman"/>
                <w:sz w:val="22"/>
                <w:szCs w:val="22"/>
              </w:rPr>
              <w:t>2)</w:t>
            </w:r>
            <w:r w:rsidR="00F753A7" w:rsidRPr="00317ABF">
              <w:rPr>
                <w:rFonts w:ascii="Times New Roman" w:hAnsi="Times New Roman" w:cs="Times New Roman"/>
                <w:sz w:val="22"/>
                <w:szCs w:val="22"/>
              </w:rPr>
              <w:tab/>
            </w:r>
            <w:r w:rsidRPr="00317ABF">
              <w:rPr>
                <w:rFonts w:ascii="Times New Roman" w:eastAsia="Times" w:hAnsi="Times New Roman" w:cs="Times New Roman"/>
                <w:sz w:val="22"/>
                <w:szCs w:val="22"/>
              </w:rPr>
              <w:t xml:space="preserve">obowiązki, o których mowa w art. </w:t>
            </w:r>
            <w:r w:rsidR="00F753A7" w:rsidRPr="00317ABF">
              <w:rPr>
                <w:rFonts w:ascii="Times New Roman" w:hAnsi="Times New Roman" w:cs="Times New Roman"/>
                <w:sz w:val="22"/>
                <w:szCs w:val="22"/>
              </w:rPr>
              <w:t>210-215, art. 216 ust. 1</w:t>
            </w:r>
            <w:r w:rsidRPr="00317ABF">
              <w:rPr>
                <w:rFonts w:ascii="Times New Roman" w:eastAsia="Times" w:hAnsi="Times New Roman" w:cs="Times New Roman"/>
                <w:sz w:val="22"/>
                <w:szCs w:val="22"/>
              </w:rPr>
              <w:t xml:space="preserve"> i art. </w:t>
            </w:r>
            <w:r w:rsidR="00F753A7" w:rsidRPr="00317ABF">
              <w:rPr>
                <w:rFonts w:ascii="Times New Roman" w:hAnsi="Times New Roman" w:cs="Times New Roman"/>
                <w:sz w:val="22"/>
                <w:szCs w:val="22"/>
              </w:rPr>
              <w:t>220</w:t>
            </w:r>
            <w:r w:rsidRPr="00317ABF">
              <w:rPr>
                <w:rFonts w:ascii="Times New Roman" w:eastAsia="Times" w:hAnsi="Times New Roman" w:cs="Times New Roman"/>
                <w:sz w:val="22"/>
                <w:szCs w:val="22"/>
              </w:rPr>
              <w:t xml:space="preserve"> nie doprowadziłyby do osiągnięcia celów, o których mowa w art. </w:t>
            </w:r>
            <w:r w:rsidR="00F753A7" w:rsidRPr="00317ABF">
              <w:rPr>
                <w:rFonts w:ascii="Times New Roman" w:hAnsi="Times New Roman" w:cs="Times New Roman"/>
                <w:sz w:val="22"/>
                <w:szCs w:val="22"/>
              </w:rPr>
              <w:t>407</w:t>
            </w:r>
            <w:r w:rsidRPr="00317ABF">
              <w:rPr>
                <w:rFonts w:ascii="Times New Roman" w:eastAsia="Times" w:hAnsi="Times New Roman" w:cs="Times New Roman"/>
                <w:sz w:val="22"/>
                <w:szCs w:val="22"/>
              </w:rPr>
              <w:t xml:space="preserve"> ust. 2</w:t>
            </w:r>
          </w:p>
          <w:p w14:paraId="00503AC6" w14:textId="709A1490" w:rsidR="001E1112" w:rsidRPr="00317ABF" w:rsidRDefault="001E1112" w:rsidP="00DB3BEC">
            <w:pPr>
              <w:jc w:val="both"/>
              <w:rPr>
                <w:rFonts w:eastAsia="Times"/>
              </w:rPr>
            </w:pPr>
            <w:r w:rsidRPr="00317ABF">
              <w:rPr>
                <w:rFonts w:eastAsia="Times"/>
              </w:rPr>
              <w:t>- nakłada co najmniej jeden z obowiązków, o których mowa w ust. 2, na przedsiębiorcę komunikacji elektronicznej o znaczącej pozycji rynkowej na danym rynku detalicznym.</w:t>
            </w:r>
          </w:p>
          <w:p w14:paraId="062911BC" w14:textId="77777777" w:rsidR="00F753A7" w:rsidRPr="00317ABF" w:rsidRDefault="00F753A7" w:rsidP="00F753A7">
            <w:pPr>
              <w:jc w:val="both"/>
              <w:rPr>
                <w:rFonts w:eastAsia="Times"/>
                <w:sz w:val="22"/>
                <w:szCs w:val="22"/>
              </w:rPr>
            </w:pPr>
          </w:p>
          <w:p w14:paraId="1BC30605" w14:textId="4A75316A" w:rsidR="001E1112" w:rsidRPr="00317ABF" w:rsidRDefault="001E1112" w:rsidP="00DB3BEC">
            <w:pPr>
              <w:jc w:val="both"/>
              <w:rPr>
                <w:sz w:val="22"/>
                <w:szCs w:val="22"/>
              </w:rPr>
            </w:pPr>
            <w:r w:rsidRPr="00317ABF">
              <w:rPr>
                <w:sz w:val="22"/>
                <w:szCs w:val="22"/>
              </w:rPr>
              <w:t xml:space="preserve"> Art. 370. Po przeprowadzeniu analizy rynku zgodnie z art. 176, Prezes UKE może, w drodze decyzji, znieść w stosunku do przedsiębiorcy telekomunikacyjnego nieposiadającego znaczącej pozycji na rynku dostarczania systemów dostępu warunkowego obowiązek, o którym mowa w art. 369 ust. 1, po przeprowadzeniu postępowania konsultacyjnego i konsolidacyjnego, o ile uchylenie tego obowiązku nie naruszy:</w:t>
            </w:r>
          </w:p>
          <w:p w14:paraId="23CABCF1" w14:textId="77777777" w:rsidR="001E1112" w:rsidRPr="00317ABF" w:rsidRDefault="001E1112" w:rsidP="00DB3BEC">
            <w:pPr>
              <w:jc w:val="both"/>
              <w:rPr>
                <w:sz w:val="22"/>
                <w:szCs w:val="22"/>
              </w:rPr>
            </w:pPr>
            <w:r w:rsidRPr="00317ABF">
              <w:rPr>
                <w:sz w:val="22"/>
                <w:szCs w:val="22"/>
              </w:rPr>
              <w:t>1)</w:t>
            </w:r>
            <w:r w:rsidRPr="00317ABF">
              <w:rPr>
                <w:sz w:val="22"/>
                <w:szCs w:val="22"/>
              </w:rPr>
              <w:tab/>
              <w:t>dostępu użytkowników końcowych do programów radiofonicznych i telewizyjnych, wynikającego z nałożonego obowiązku transmisji obowiązkowej;</w:t>
            </w:r>
          </w:p>
          <w:p w14:paraId="6F549E07" w14:textId="77777777" w:rsidR="001E1112" w:rsidRPr="00317ABF" w:rsidRDefault="001E1112" w:rsidP="00DB3BEC">
            <w:pPr>
              <w:jc w:val="both"/>
              <w:rPr>
                <w:sz w:val="22"/>
                <w:szCs w:val="22"/>
              </w:rPr>
            </w:pPr>
            <w:r w:rsidRPr="00317ABF">
              <w:rPr>
                <w:sz w:val="22"/>
                <w:szCs w:val="22"/>
              </w:rPr>
              <w:t>2)</w:t>
            </w:r>
            <w:r w:rsidRPr="00317ABF">
              <w:rPr>
                <w:sz w:val="22"/>
                <w:szCs w:val="22"/>
              </w:rPr>
              <w:tab/>
              <w:t>skutecznej konkurencji na rynku detalicznych usług telewizji cyfrowej i na rynku detalicznych usług radiofonii cyfrowej oraz na rynku dostarczania systemów dostępu warunkowego i rynku powiązanych zasobów.</w:t>
            </w:r>
          </w:p>
          <w:p w14:paraId="1C3F6928" w14:textId="77777777" w:rsidR="001E1112" w:rsidRPr="00317ABF" w:rsidRDefault="001E1112" w:rsidP="00DB3BEC">
            <w:pPr>
              <w:jc w:val="both"/>
              <w:rPr>
                <w:sz w:val="22"/>
                <w:szCs w:val="22"/>
              </w:rPr>
            </w:pPr>
          </w:p>
          <w:p w14:paraId="30B340AA" w14:textId="2D5A31E1" w:rsidR="001E1112" w:rsidRPr="00317ABF" w:rsidRDefault="001E1112" w:rsidP="00DB3BEC">
            <w:pPr>
              <w:jc w:val="both"/>
              <w:rPr>
                <w:sz w:val="22"/>
                <w:szCs w:val="22"/>
              </w:rPr>
            </w:pPr>
            <w:r w:rsidRPr="00317ABF">
              <w:rPr>
                <w:rFonts w:eastAsiaTheme="minorEastAsia"/>
                <w:sz w:val="22"/>
                <w:szCs w:val="22"/>
              </w:rPr>
              <w:t xml:space="preserve"> </w:t>
            </w:r>
            <w:r w:rsidRPr="00317ABF">
              <w:rPr>
                <w:sz w:val="22"/>
                <w:szCs w:val="22"/>
              </w:rPr>
              <w:t xml:space="preserve">Art. 319. 1. Prezes UKE ogłasza na stronie podmiotowej BIP UKE konkurs na przedsiębiorcę wyznaczonego. </w:t>
            </w:r>
          </w:p>
          <w:p w14:paraId="67C49445" w14:textId="77777777" w:rsidR="001E1112" w:rsidRPr="00317ABF" w:rsidRDefault="001E1112" w:rsidP="00DB3BEC">
            <w:pPr>
              <w:jc w:val="both"/>
              <w:rPr>
                <w:bCs/>
                <w:sz w:val="22"/>
                <w:szCs w:val="22"/>
              </w:rPr>
            </w:pPr>
            <w:r w:rsidRPr="00317ABF">
              <w:rPr>
                <w:bCs/>
                <w:sz w:val="22"/>
                <w:szCs w:val="22"/>
              </w:rPr>
              <w:t>2. Prezes UKE ustala warunki konkursu, kierując się stopniem rozwoju usług telekomunikacyjnych, potrzebami użytkowników końcowych oraz potrzebą minimalizacji zniekształceń lub ograniczeń konkurencji na danym obszarze w zakresie usługi, której dotyczy obowiązek.</w:t>
            </w:r>
          </w:p>
          <w:p w14:paraId="7B790516" w14:textId="77777777" w:rsidR="001E1112" w:rsidRPr="00317ABF" w:rsidRDefault="001E1112" w:rsidP="00DB3BEC">
            <w:pPr>
              <w:jc w:val="both"/>
              <w:rPr>
                <w:bCs/>
                <w:sz w:val="22"/>
                <w:szCs w:val="22"/>
              </w:rPr>
            </w:pPr>
            <w:r w:rsidRPr="00317ABF">
              <w:rPr>
                <w:bCs/>
                <w:sz w:val="22"/>
                <w:szCs w:val="22"/>
              </w:rPr>
              <w:lastRenderedPageBreak/>
              <w:t>3. W ogłoszeniu o konkursie określa się:</w:t>
            </w:r>
          </w:p>
          <w:p w14:paraId="6CC51E04" w14:textId="77777777" w:rsidR="001E1112" w:rsidRPr="00317ABF" w:rsidRDefault="001E1112" w:rsidP="00DB3BEC">
            <w:pPr>
              <w:jc w:val="both"/>
              <w:rPr>
                <w:bCs/>
                <w:sz w:val="22"/>
                <w:szCs w:val="22"/>
              </w:rPr>
            </w:pPr>
            <w:r w:rsidRPr="00317ABF">
              <w:rPr>
                <w:bCs/>
                <w:sz w:val="22"/>
                <w:szCs w:val="22"/>
              </w:rPr>
              <w:t xml:space="preserve">1) przedmiot konkursu poprzez wskazanie obowiązku w zakresie usługi lub usług, o których mowa w art. 314 ust. 1; </w:t>
            </w:r>
          </w:p>
          <w:p w14:paraId="611D7790" w14:textId="77777777" w:rsidR="001E1112" w:rsidRPr="00317ABF" w:rsidRDefault="001E1112" w:rsidP="00DB3BEC">
            <w:pPr>
              <w:jc w:val="both"/>
              <w:rPr>
                <w:bCs/>
                <w:sz w:val="22"/>
                <w:szCs w:val="22"/>
              </w:rPr>
            </w:pPr>
            <w:r w:rsidRPr="00317ABF">
              <w:rPr>
                <w:bCs/>
                <w:sz w:val="22"/>
                <w:szCs w:val="22"/>
              </w:rPr>
              <w:t>2) obszar, na którym ma być realizowany obowiązek, o którym mowa w pkt 1;</w:t>
            </w:r>
          </w:p>
          <w:p w14:paraId="4280AFBF" w14:textId="77777777" w:rsidR="001E1112" w:rsidRPr="00317ABF" w:rsidRDefault="001E1112" w:rsidP="00DB3BEC">
            <w:pPr>
              <w:jc w:val="both"/>
              <w:rPr>
                <w:bCs/>
                <w:sz w:val="22"/>
                <w:szCs w:val="22"/>
              </w:rPr>
            </w:pPr>
            <w:r w:rsidRPr="00317ABF">
              <w:rPr>
                <w:bCs/>
                <w:sz w:val="22"/>
                <w:szCs w:val="22"/>
              </w:rPr>
              <w:t>3) ogólne wymagania dotyczące realizacji obowiązku, o którym mowa w pkt 1;</w:t>
            </w:r>
          </w:p>
          <w:p w14:paraId="5DE30375" w14:textId="77777777" w:rsidR="001E1112" w:rsidRPr="00317ABF" w:rsidRDefault="001E1112" w:rsidP="00DB3BEC">
            <w:pPr>
              <w:jc w:val="both"/>
              <w:rPr>
                <w:bCs/>
                <w:sz w:val="22"/>
                <w:szCs w:val="22"/>
              </w:rPr>
            </w:pPr>
            <w:r w:rsidRPr="00317ABF">
              <w:rPr>
                <w:bCs/>
                <w:sz w:val="22"/>
                <w:szCs w:val="22"/>
              </w:rPr>
              <w:t>4) inne wymagane informacje, o których mowa w rozporządzeniu wydanym na podstawie ust. 7.</w:t>
            </w:r>
          </w:p>
          <w:p w14:paraId="69088DDF" w14:textId="77777777" w:rsidR="001E1112" w:rsidRPr="00317ABF" w:rsidRDefault="001E1112" w:rsidP="00DB3BEC">
            <w:pPr>
              <w:jc w:val="both"/>
              <w:rPr>
                <w:bCs/>
                <w:sz w:val="22"/>
                <w:szCs w:val="22"/>
              </w:rPr>
            </w:pPr>
            <w:r w:rsidRPr="00317ABF">
              <w:rPr>
                <w:bCs/>
                <w:sz w:val="22"/>
                <w:szCs w:val="22"/>
              </w:rPr>
              <w:t>4. Kryteriami wyboru przedsiębiorcy w konkursie są najniższy prognozowany koszt netto realizacji obowiązku, o którym mowa w ust. 3 pkt 1, oraz zdolność ekonomiczna i techniczna przedsiębiorcy do realizacji tego obowiązku.</w:t>
            </w:r>
          </w:p>
          <w:p w14:paraId="08379336" w14:textId="77777777" w:rsidR="001E1112" w:rsidRPr="00317ABF" w:rsidRDefault="001E1112" w:rsidP="00DB3BEC">
            <w:pPr>
              <w:jc w:val="both"/>
              <w:rPr>
                <w:bCs/>
                <w:sz w:val="22"/>
                <w:szCs w:val="22"/>
              </w:rPr>
            </w:pPr>
            <w:r w:rsidRPr="00317ABF">
              <w:rPr>
                <w:bCs/>
                <w:sz w:val="22"/>
                <w:szCs w:val="22"/>
              </w:rPr>
              <w:t>5. Prezes UKE, w drodze decyzji wyznacza wybranego w konkursie przedsiębiorcę do realizacji obowiązku będącego przedmiotem konkursu.</w:t>
            </w:r>
          </w:p>
          <w:p w14:paraId="379CA55B" w14:textId="334A7D51" w:rsidR="001E1112" w:rsidRPr="00317ABF" w:rsidRDefault="001E1112" w:rsidP="00DB3BEC">
            <w:pPr>
              <w:jc w:val="both"/>
              <w:rPr>
                <w:bCs/>
                <w:sz w:val="22"/>
                <w:szCs w:val="22"/>
              </w:rPr>
            </w:pPr>
            <w:r w:rsidRPr="00317ABF">
              <w:rPr>
                <w:bCs/>
                <w:sz w:val="22"/>
                <w:szCs w:val="22"/>
              </w:rPr>
              <w:t>6. W decyzji, o której mowa w ust. 5, której przedmiotem jest nałożenie obowiązku oferowania specjalnego pakietu cenowego, Prezes UKE może dodatkowo nałożyć obowiązek stosowania jednolitych cen w ramach specjalnego pakietu cenowego, na obszarze świadczenia usługi, której dotyczy ten pakiet.</w:t>
            </w:r>
          </w:p>
        </w:tc>
      </w:tr>
      <w:tr w:rsidR="001E1112" w:rsidRPr="00317ABF" w14:paraId="007E1CAC" w14:textId="77777777" w:rsidTr="7753F98D">
        <w:trPr>
          <w:gridAfter w:val="2"/>
          <w:wAfter w:w="175" w:type="dxa"/>
        </w:trPr>
        <w:tc>
          <w:tcPr>
            <w:tcW w:w="704" w:type="dxa"/>
          </w:tcPr>
          <w:p w14:paraId="1FA7C079" w14:textId="77777777" w:rsidR="001E1112" w:rsidRPr="00317ABF" w:rsidRDefault="001E1112" w:rsidP="00DB3BEC">
            <w:pPr>
              <w:jc w:val="both"/>
              <w:rPr>
                <w:sz w:val="22"/>
                <w:szCs w:val="22"/>
              </w:rPr>
            </w:pPr>
            <w:r w:rsidRPr="00317ABF">
              <w:rPr>
                <w:sz w:val="22"/>
                <w:szCs w:val="22"/>
              </w:rPr>
              <w:lastRenderedPageBreak/>
              <w:t>Art. 13 ust. 3</w:t>
            </w:r>
          </w:p>
        </w:tc>
        <w:tc>
          <w:tcPr>
            <w:tcW w:w="4308" w:type="dxa"/>
          </w:tcPr>
          <w:p w14:paraId="2F203025" w14:textId="77777777" w:rsidR="001E1112" w:rsidRPr="00317ABF" w:rsidRDefault="001E1112" w:rsidP="00DB3BEC">
            <w:pPr>
              <w:spacing w:before="120"/>
              <w:jc w:val="both"/>
              <w:rPr>
                <w:sz w:val="22"/>
                <w:szCs w:val="22"/>
              </w:rPr>
            </w:pPr>
            <w:r w:rsidRPr="00317ABF">
              <w:rPr>
                <w:sz w:val="22"/>
                <w:szCs w:val="22"/>
              </w:rPr>
              <w:t>3.   Ogólne zezwolenie zawiera jedynie te warunki, które są właściwe dla danego sektora i które zostały określone w częściach A, B i C załącznika I oraz nie pokrywają się z warunkami, które mają zastosowanie do przedsiębiorstw na mocy innych przepisów prawa krajowego.</w:t>
            </w:r>
          </w:p>
        </w:tc>
        <w:tc>
          <w:tcPr>
            <w:tcW w:w="986" w:type="dxa"/>
          </w:tcPr>
          <w:p w14:paraId="5ABF93C4" w14:textId="19E73D05" w:rsidR="001E1112" w:rsidRPr="00317ABF" w:rsidRDefault="001E1112" w:rsidP="00DB3BEC">
            <w:pPr>
              <w:jc w:val="both"/>
              <w:rPr>
                <w:sz w:val="22"/>
                <w:szCs w:val="22"/>
              </w:rPr>
            </w:pPr>
            <w:r w:rsidRPr="00317ABF">
              <w:rPr>
                <w:sz w:val="22"/>
                <w:szCs w:val="22"/>
              </w:rPr>
              <w:t>N</w:t>
            </w:r>
          </w:p>
        </w:tc>
        <w:tc>
          <w:tcPr>
            <w:tcW w:w="910" w:type="dxa"/>
          </w:tcPr>
          <w:p w14:paraId="71DCB018" w14:textId="77777777" w:rsidR="001E1112" w:rsidRPr="00317ABF" w:rsidRDefault="001E1112" w:rsidP="00DB3BEC">
            <w:pPr>
              <w:pStyle w:val="Tekstpodstawowy"/>
              <w:rPr>
                <w:b/>
                <w:noProof/>
                <w:sz w:val="22"/>
                <w:szCs w:val="22"/>
              </w:rPr>
            </w:pPr>
          </w:p>
        </w:tc>
        <w:tc>
          <w:tcPr>
            <w:tcW w:w="6814" w:type="dxa"/>
            <w:gridSpan w:val="2"/>
          </w:tcPr>
          <w:p w14:paraId="4B644A8D" w14:textId="77777777" w:rsidR="001E1112" w:rsidRPr="00317ABF" w:rsidRDefault="001E1112" w:rsidP="00DB3BEC">
            <w:pPr>
              <w:pStyle w:val="Tekstpodstawowy"/>
              <w:rPr>
                <w:sz w:val="22"/>
                <w:szCs w:val="22"/>
              </w:rPr>
            </w:pPr>
          </w:p>
        </w:tc>
      </w:tr>
      <w:tr w:rsidR="001E1112" w:rsidRPr="00317ABF" w14:paraId="45E8DC72" w14:textId="77777777" w:rsidTr="7753F98D">
        <w:trPr>
          <w:gridAfter w:val="2"/>
          <w:wAfter w:w="175" w:type="dxa"/>
        </w:trPr>
        <w:tc>
          <w:tcPr>
            <w:tcW w:w="704" w:type="dxa"/>
          </w:tcPr>
          <w:p w14:paraId="21AA1265" w14:textId="77777777" w:rsidR="001E1112" w:rsidRPr="00317ABF" w:rsidRDefault="001E1112" w:rsidP="00DB3BEC">
            <w:pPr>
              <w:jc w:val="both"/>
              <w:rPr>
                <w:sz w:val="22"/>
                <w:szCs w:val="22"/>
              </w:rPr>
            </w:pPr>
            <w:r w:rsidRPr="00317ABF">
              <w:rPr>
                <w:sz w:val="22"/>
                <w:szCs w:val="22"/>
              </w:rPr>
              <w:t>Art. 13 ust. 4</w:t>
            </w:r>
          </w:p>
        </w:tc>
        <w:tc>
          <w:tcPr>
            <w:tcW w:w="4308" w:type="dxa"/>
          </w:tcPr>
          <w:p w14:paraId="49067642" w14:textId="77777777" w:rsidR="001E1112" w:rsidRPr="00317ABF" w:rsidRDefault="001E1112" w:rsidP="00DB3BEC">
            <w:pPr>
              <w:spacing w:before="120"/>
              <w:jc w:val="both"/>
              <w:rPr>
                <w:sz w:val="22"/>
                <w:szCs w:val="22"/>
              </w:rPr>
            </w:pPr>
            <w:r w:rsidRPr="00317ABF">
              <w:rPr>
                <w:sz w:val="22"/>
                <w:szCs w:val="22"/>
              </w:rPr>
              <w:t>4.   Przyznając prawa użytkowania widma radiowego lub zasobów numeracyjnych, państwa członkowskie nie mogą powielać warunków zawartych w ogólnym zezwoleniu.</w:t>
            </w:r>
          </w:p>
        </w:tc>
        <w:tc>
          <w:tcPr>
            <w:tcW w:w="986" w:type="dxa"/>
          </w:tcPr>
          <w:p w14:paraId="082C48EB" w14:textId="12F21793" w:rsidR="001E1112" w:rsidRPr="00317ABF" w:rsidRDefault="001E1112" w:rsidP="00DB3BEC">
            <w:pPr>
              <w:jc w:val="both"/>
              <w:rPr>
                <w:sz w:val="22"/>
                <w:szCs w:val="22"/>
              </w:rPr>
            </w:pPr>
            <w:r w:rsidRPr="00317ABF">
              <w:rPr>
                <w:sz w:val="22"/>
                <w:szCs w:val="22"/>
              </w:rPr>
              <w:t>T</w:t>
            </w:r>
          </w:p>
        </w:tc>
        <w:tc>
          <w:tcPr>
            <w:tcW w:w="910" w:type="dxa"/>
          </w:tcPr>
          <w:p w14:paraId="2C0BCD3C" w14:textId="7B52FA3A" w:rsidR="001E1112" w:rsidRPr="00317ABF" w:rsidRDefault="001E1112" w:rsidP="00DB3BEC">
            <w:pPr>
              <w:pStyle w:val="Tekstpodstawowy"/>
              <w:rPr>
                <w:b/>
                <w:bCs/>
                <w:noProof/>
                <w:sz w:val="22"/>
                <w:szCs w:val="22"/>
              </w:rPr>
            </w:pPr>
            <w:r w:rsidRPr="00317ABF">
              <w:rPr>
                <w:b/>
                <w:sz w:val="22"/>
                <w:szCs w:val="22"/>
              </w:rPr>
              <w:t xml:space="preserve">w zakresie widma radiowego: art. </w:t>
            </w:r>
            <w:r w:rsidR="00307D43" w:rsidRPr="00317ABF">
              <w:rPr>
                <w:b/>
                <w:bCs/>
                <w:noProof/>
                <w:sz w:val="22"/>
                <w:szCs w:val="22"/>
              </w:rPr>
              <w:t xml:space="preserve">87, </w:t>
            </w:r>
            <w:r w:rsidR="005C61B6" w:rsidRPr="00317ABF">
              <w:rPr>
                <w:b/>
                <w:bCs/>
                <w:noProof/>
                <w:sz w:val="22"/>
                <w:szCs w:val="22"/>
              </w:rPr>
              <w:t xml:space="preserve">130, </w:t>
            </w:r>
            <w:r w:rsidR="00307D43" w:rsidRPr="00317ABF">
              <w:rPr>
                <w:b/>
                <w:bCs/>
                <w:noProof/>
                <w:sz w:val="22"/>
                <w:szCs w:val="22"/>
              </w:rPr>
              <w:t>140, 141</w:t>
            </w:r>
            <w:r w:rsidR="006B1C8E" w:rsidRPr="00317ABF">
              <w:rPr>
                <w:b/>
                <w:bCs/>
                <w:noProof/>
                <w:sz w:val="22"/>
                <w:szCs w:val="22"/>
              </w:rPr>
              <w:t xml:space="preserve"> </w:t>
            </w:r>
          </w:p>
          <w:p w14:paraId="313E5232" w14:textId="77777777" w:rsidR="001E1112" w:rsidRPr="00317ABF" w:rsidRDefault="001E1112" w:rsidP="00DB3BEC">
            <w:pPr>
              <w:pStyle w:val="Tekstpodstawowy"/>
              <w:rPr>
                <w:b/>
                <w:bCs/>
                <w:noProof/>
                <w:sz w:val="22"/>
                <w:szCs w:val="22"/>
              </w:rPr>
            </w:pPr>
          </w:p>
          <w:p w14:paraId="3EE4242D" w14:textId="77777777" w:rsidR="001E1112" w:rsidRPr="00317ABF" w:rsidRDefault="001E1112" w:rsidP="00DB3BEC">
            <w:pPr>
              <w:pStyle w:val="Tekstpodstawowy"/>
              <w:rPr>
                <w:b/>
                <w:bCs/>
                <w:noProof/>
                <w:sz w:val="22"/>
                <w:szCs w:val="22"/>
              </w:rPr>
            </w:pPr>
          </w:p>
          <w:p w14:paraId="3DAAC380" w14:textId="1764B0F4" w:rsidR="001E1112" w:rsidRPr="00317ABF" w:rsidRDefault="001E1112" w:rsidP="00DB3BEC">
            <w:pPr>
              <w:pStyle w:val="Tekstpodstawowy"/>
              <w:rPr>
                <w:sz w:val="22"/>
                <w:szCs w:val="22"/>
              </w:rPr>
            </w:pPr>
            <w:r w:rsidRPr="00317ABF">
              <w:rPr>
                <w:b/>
                <w:bCs/>
                <w:noProof/>
                <w:sz w:val="22"/>
                <w:szCs w:val="22"/>
              </w:rPr>
              <w:t xml:space="preserve">w zakresie </w:t>
            </w:r>
            <w:r w:rsidRPr="00317ABF">
              <w:rPr>
                <w:b/>
                <w:bCs/>
                <w:noProof/>
                <w:sz w:val="22"/>
                <w:szCs w:val="22"/>
              </w:rPr>
              <w:lastRenderedPageBreak/>
              <w:t>numeracji art. 139</w:t>
            </w:r>
          </w:p>
          <w:p w14:paraId="6658DED2" w14:textId="5BCD3A9B" w:rsidR="001E1112" w:rsidRPr="00317ABF" w:rsidRDefault="001E1112" w:rsidP="00DB3BEC">
            <w:pPr>
              <w:jc w:val="both"/>
              <w:rPr>
                <w:sz w:val="22"/>
                <w:szCs w:val="22"/>
              </w:rPr>
            </w:pPr>
          </w:p>
          <w:p w14:paraId="6B4E34E8" w14:textId="77777777" w:rsidR="001E1112" w:rsidRPr="00317ABF" w:rsidRDefault="001E1112" w:rsidP="00DB3BEC">
            <w:pPr>
              <w:jc w:val="both"/>
              <w:rPr>
                <w:sz w:val="22"/>
                <w:szCs w:val="22"/>
              </w:rPr>
            </w:pPr>
          </w:p>
        </w:tc>
        <w:tc>
          <w:tcPr>
            <w:tcW w:w="6814" w:type="dxa"/>
            <w:gridSpan w:val="2"/>
          </w:tcPr>
          <w:p w14:paraId="6B6D912D" w14:textId="77777777" w:rsidR="00307D43" w:rsidRPr="00317ABF" w:rsidRDefault="00307D43" w:rsidP="00307D43">
            <w:pPr>
              <w:pStyle w:val="ARTartustawynprozporzdzenia"/>
              <w:keepNext/>
              <w:spacing w:before="0" w:line="240" w:lineRule="auto"/>
              <w:ind w:firstLine="0"/>
              <w:rPr>
                <w:rFonts w:ascii="Times New Roman" w:hAnsi="Times New Roman" w:cs="Times New Roman"/>
                <w:sz w:val="22"/>
                <w:szCs w:val="22"/>
              </w:rPr>
            </w:pPr>
            <w:r w:rsidRPr="00317ABF">
              <w:rPr>
                <w:rStyle w:val="Ppogrubienie"/>
                <w:rFonts w:ascii="Times New Roman" w:hAnsi="Times New Roman"/>
                <w:sz w:val="22"/>
                <w:szCs w:val="22"/>
              </w:rPr>
              <w:lastRenderedPageBreak/>
              <w:t>Art. 87.</w:t>
            </w:r>
            <w:r w:rsidRPr="00317ABF">
              <w:rPr>
                <w:rFonts w:ascii="Times New Roman" w:hAnsi="Times New Roman" w:cs="Times New Roman"/>
                <w:sz w:val="22"/>
                <w:szCs w:val="22"/>
              </w:rPr>
              <w:t xml:space="preserve"> 1. W rezerwacji częstotliwości określa się:</w:t>
            </w:r>
          </w:p>
          <w:p w14:paraId="65674961" w14:textId="77777777" w:rsidR="00307D43" w:rsidRPr="00317ABF" w:rsidRDefault="00307D43" w:rsidP="00307D43">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1)</w:t>
            </w:r>
            <w:r w:rsidRPr="00317ABF">
              <w:rPr>
                <w:rFonts w:ascii="Times New Roman" w:hAnsi="Times New Roman" w:cs="Times New Roman"/>
                <w:sz w:val="22"/>
                <w:szCs w:val="22"/>
              </w:rPr>
              <w:tab/>
              <w:t>uprawniony podmiot, na rzecz którego dokonano rezerwacji częstotliwości, oraz jego siedzibę i adres;</w:t>
            </w:r>
          </w:p>
          <w:p w14:paraId="46770CF1" w14:textId="77777777" w:rsidR="00307D43" w:rsidRPr="00317ABF" w:rsidRDefault="00307D43" w:rsidP="00307D43">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2)</w:t>
            </w:r>
            <w:r w:rsidRPr="00317ABF">
              <w:rPr>
                <w:rFonts w:ascii="Times New Roman" w:hAnsi="Times New Roman" w:cs="Times New Roman"/>
                <w:sz w:val="22"/>
                <w:szCs w:val="22"/>
              </w:rPr>
              <w:tab/>
              <w:t>zakres częstotliwości lub pozycje orbitalne objęte rezerwacją;</w:t>
            </w:r>
          </w:p>
          <w:p w14:paraId="6038594F" w14:textId="77777777" w:rsidR="00307D43" w:rsidRPr="00317ABF" w:rsidRDefault="00307D43" w:rsidP="00307D43">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3)</w:t>
            </w:r>
            <w:r w:rsidRPr="00317ABF">
              <w:rPr>
                <w:rFonts w:ascii="Times New Roman" w:hAnsi="Times New Roman" w:cs="Times New Roman"/>
                <w:sz w:val="22"/>
                <w:szCs w:val="22"/>
              </w:rPr>
              <w:tab/>
              <w:t>obszar, na którym mogą być wykorzystywane częstotliwości;</w:t>
            </w:r>
          </w:p>
          <w:p w14:paraId="6CC70AC8" w14:textId="77777777" w:rsidR="00307D43" w:rsidRPr="00317ABF" w:rsidRDefault="00307D43" w:rsidP="00307D43">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4)</w:t>
            </w:r>
            <w:r w:rsidRPr="00317ABF">
              <w:rPr>
                <w:rFonts w:ascii="Times New Roman" w:hAnsi="Times New Roman" w:cs="Times New Roman"/>
                <w:sz w:val="22"/>
                <w:szCs w:val="22"/>
              </w:rPr>
              <w:tab/>
              <w:t>rodzaje służby radiokomunikacyjnej;</w:t>
            </w:r>
          </w:p>
          <w:p w14:paraId="2AF587C1" w14:textId="77777777" w:rsidR="00307D43" w:rsidRPr="00317ABF" w:rsidRDefault="00307D43" w:rsidP="00307D43">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5)</w:t>
            </w:r>
            <w:r w:rsidRPr="00317ABF">
              <w:rPr>
                <w:rFonts w:ascii="Times New Roman" w:hAnsi="Times New Roman" w:cs="Times New Roman"/>
                <w:sz w:val="22"/>
                <w:szCs w:val="22"/>
              </w:rPr>
              <w:tab/>
              <w:t>okres obowiązywania rezerwacji;</w:t>
            </w:r>
          </w:p>
          <w:p w14:paraId="2865BC93" w14:textId="77777777" w:rsidR="00307D43" w:rsidRPr="00317ABF" w:rsidRDefault="00307D43" w:rsidP="00307D43">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6)</w:t>
            </w:r>
            <w:r w:rsidRPr="00317ABF">
              <w:rPr>
                <w:rFonts w:ascii="Times New Roman" w:hAnsi="Times New Roman" w:cs="Times New Roman"/>
                <w:sz w:val="22"/>
                <w:szCs w:val="22"/>
              </w:rPr>
              <w:tab/>
              <w:t>okres wykorzystywania częstotliwości;</w:t>
            </w:r>
          </w:p>
          <w:p w14:paraId="6200157D" w14:textId="77777777" w:rsidR="00307D43" w:rsidRPr="00317ABF" w:rsidRDefault="00307D43" w:rsidP="00307D43">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7)</w:t>
            </w:r>
            <w:r w:rsidRPr="00317ABF">
              <w:rPr>
                <w:rFonts w:ascii="Times New Roman" w:hAnsi="Times New Roman" w:cs="Times New Roman"/>
                <w:sz w:val="22"/>
                <w:szCs w:val="22"/>
              </w:rPr>
              <w:tab/>
              <w:t>termin, w jakim podmiot jest obowiązany rozpocząć wykorzystywanie częstotliwości;</w:t>
            </w:r>
          </w:p>
          <w:p w14:paraId="38453E31" w14:textId="77777777" w:rsidR="00307D43" w:rsidRPr="00317ABF" w:rsidRDefault="00307D43" w:rsidP="00307D43">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lastRenderedPageBreak/>
              <w:t>8)</w:t>
            </w:r>
            <w:r w:rsidRPr="00317ABF">
              <w:rPr>
                <w:rFonts w:ascii="Times New Roman" w:hAnsi="Times New Roman" w:cs="Times New Roman"/>
                <w:sz w:val="22"/>
                <w:szCs w:val="22"/>
              </w:rPr>
              <w:tab/>
              <w:t>wymagania w zakresie wykorzystania częstotliwości oraz wskazanie czy ich realizacja jest możliwa w drodze dzierżawy lub przekazania do użytkowania częstotliwości;</w:t>
            </w:r>
          </w:p>
          <w:p w14:paraId="536FB936" w14:textId="77777777" w:rsidR="00307D43" w:rsidRPr="00317ABF" w:rsidRDefault="00307D43" w:rsidP="00307D43">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9)</w:t>
            </w:r>
            <w:r w:rsidRPr="00317ABF">
              <w:rPr>
                <w:rFonts w:ascii="Times New Roman" w:hAnsi="Times New Roman" w:cs="Times New Roman"/>
                <w:sz w:val="22"/>
                <w:szCs w:val="22"/>
              </w:rPr>
              <w:tab/>
              <w:t>warunki do wydania pozwolenia radiowego uwzględniające warunki wynikające z wiążących Rzeczpospolitą Polską umów międzynarodowych;</w:t>
            </w:r>
          </w:p>
          <w:p w14:paraId="00213D8A" w14:textId="77777777" w:rsidR="00307D43" w:rsidRPr="00317ABF" w:rsidRDefault="00307D43" w:rsidP="00307D43">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10)</w:t>
            </w:r>
            <w:r w:rsidRPr="00317ABF">
              <w:rPr>
                <w:rFonts w:ascii="Times New Roman" w:hAnsi="Times New Roman" w:cs="Times New Roman"/>
                <w:sz w:val="22"/>
                <w:szCs w:val="22"/>
              </w:rPr>
              <w:tab/>
              <w:t>zobowiązania podmiotu podjęte w ramach postępowania selekcyjnego, o ile zostały podjęte;</w:t>
            </w:r>
          </w:p>
          <w:p w14:paraId="16428059" w14:textId="77777777" w:rsidR="00307D43" w:rsidRPr="00317ABF" w:rsidRDefault="00307D43" w:rsidP="00307D43">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11)</w:t>
            </w:r>
            <w:r w:rsidRPr="00317ABF">
              <w:rPr>
                <w:rFonts w:ascii="Times New Roman" w:hAnsi="Times New Roman" w:cs="Times New Roman"/>
                <w:sz w:val="22"/>
                <w:szCs w:val="22"/>
              </w:rPr>
              <w:tab/>
              <w:t>wymagania dotyczące bezpieczeństwa i integralności infrastruktury telekomunikacyjnej i usług ustalone przez Prezesa UKE z uwzględnieniem rekomendacji i wytycznych Europejskiej Agencji do spraw Bezpieczeństwa Sieci i Informacji (ENISA), po zasięgnięciu opinii Kolegium, o którym mowa w art. 64 ustawy z dnia 5 lipca 2018 r. o krajowym systemie cyberbezpieczeństwa, jeżeli rezerwacja będzie obejmować co najmniej 30% obszaru kraju i jest dokonywana bez przeprowadzenia postępowania selekcyjnego, o którym mowa w art. 104 ust. 3 lub po przeprowadzeniu aukcji lub przetargu, o których mowa w art. 104 ust. 3 pkt 2.</w:t>
            </w:r>
          </w:p>
          <w:p w14:paraId="10428611" w14:textId="77777777" w:rsidR="00307D43" w:rsidRPr="00317ABF" w:rsidRDefault="00307D43" w:rsidP="00307D43">
            <w:pPr>
              <w:pStyle w:val="USTustnpkodeksu"/>
              <w:spacing w:line="240" w:lineRule="auto"/>
              <w:rPr>
                <w:rFonts w:ascii="Times New Roman" w:hAnsi="Times New Roman" w:cs="Times New Roman"/>
                <w:sz w:val="22"/>
                <w:szCs w:val="22"/>
              </w:rPr>
            </w:pPr>
            <w:r w:rsidRPr="00317ABF">
              <w:rPr>
                <w:rFonts w:ascii="Times New Roman" w:hAnsi="Times New Roman" w:cs="Times New Roman"/>
                <w:sz w:val="22"/>
                <w:szCs w:val="22"/>
              </w:rPr>
              <w:t>2. W rezerwacji częstotliwości dotyczącej zajętych zasobów częstotliwości, o których mowa w art. 105 ust. 2, dokonywanej dla podmiotu wyłonionego w drodze postępowania selekcyjnego określa się okres rezerwacji częstotliwości rozpoczynający się nie wcześniej niż w dniu, w którym częstotliwości staną się dostępne.</w:t>
            </w:r>
          </w:p>
          <w:p w14:paraId="631DF0B4" w14:textId="77777777" w:rsidR="00307D43" w:rsidRPr="00317ABF" w:rsidRDefault="00307D43" w:rsidP="00307D43">
            <w:pPr>
              <w:pStyle w:val="USTustnpkodeksu"/>
              <w:keepNext/>
              <w:spacing w:line="240" w:lineRule="auto"/>
              <w:rPr>
                <w:rFonts w:ascii="Times New Roman" w:hAnsi="Times New Roman" w:cs="Times New Roman"/>
                <w:sz w:val="22"/>
                <w:szCs w:val="22"/>
              </w:rPr>
            </w:pPr>
            <w:r w:rsidRPr="00317ABF">
              <w:rPr>
                <w:rFonts w:ascii="Times New Roman" w:hAnsi="Times New Roman" w:cs="Times New Roman"/>
                <w:sz w:val="22"/>
                <w:szCs w:val="22"/>
              </w:rPr>
              <w:t>3. W rezerwacji częstotliwości można określić w szczególności:</w:t>
            </w:r>
          </w:p>
          <w:p w14:paraId="0EA81413" w14:textId="77777777" w:rsidR="00307D43" w:rsidRPr="00317ABF" w:rsidRDefault="00307D43" w:rsidP="00307D43">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1)</w:t>
            </w:r>
            <w:r w:rsidRPr="00317ABF">
              <w:rPr>
                <w:rFonts w:ascii="Times New Roman" w:hAnsi="Times New Roman" w:cs="Times New Roman"/>
                <w:sz w:val="22"/>
                <w:szCs w:val="22"/>
              </w:rPr>
              <w:tab/>
              <w:t>warunki wykorzystywania, w tym także w ramach współużytkowania częstotliwości, o których mowa w art. 141;</w:t>
            </w:r>
          </w:p>
          <w:p w14:paraId="6116CB0E" w14:textId="77777777" w:rsidR="00307D43" w:rsidRPr="00317ABF" w:rsidRDefault="00307D43" w:rsidP="00307D43">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2)</w:t>
            </w:r>
            <w:r w:rsidRPr="00317ABF">
              <w:rPr>
                <w:rFonts w:ascii="Times New Roman" w:hAnsi="Times New Roman" w:cs="Times New Roman"/>
                <w:sz w:val="22"/>
                <w:szCs w:val="22"/>
              </w:rPr>
              <w:tab/>
              <w:t>wymagania dotyczące zapobiegania szkodliwym zaburzeniom elektromagnetycznym lub kolizjom z przyznanymi na rzecz innych podmiotów rezerwacjami częstotliwości, przydziałami częstotliwości, pozwoleniami lub decyzjami o prawie do wykorzystania częstotliwości;</w:t>
            </w:r>
          </w:p>
          <w:p w14:paraId="4278D418" w14:textId="77777777" w:rsidR="00307D43" w:rsidRPr="00317ABF" w:rsidRDefault="00307D43" w:rsidP="00307D43">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3)</w:t>
            </w:r>
            <w:r w:rsidRPr="00317ABF">
              <w:rPr>
                <w:rFonts w:ascii="Times New Roman" w:hAnsi="Times New Roman" w:cs="Times New Roman"/>
                <w:sz w:val="22"/>
                <w:szCs w:val="22"/>
              </w:rPr>
              <w:tab/>
              <w:t>obowiązki ochronne w zakresie promieniowania elektromagnetycznego;</w:t>
            </w:r>
          </w:p>
          <w:p w14:paraId="306D67CC" w14:textId="77777777" w:rsidR="00307D43" w:rsidRPr="00317ABF" w:rsidRDefault="00307D43" w:rsidP="00307D43">
            <w:pPr>
              <w:pStyle w:val="PKTpunkt0"/>
              <w:keepNext/>
              <w:spacing w:line="240" w:lineRule="auto"/>
              <w:rPr>
                <w:rFonts w:ascii="Times New Roman" w:hAnsi="Times New Roman" w:cs="Times New Roman"/>
                <w:sz w:val="22"/>
                <w:szCs w:val="22"/>
              </w:rPr>
            </w:pPr>
            <w:r w:rsidRPr="00317ABF">
              <w:rPr>
                <w:rFonts w:ascii="Times New Roman" w:hAnsi="Times New Roman" w:cs="Times New Roman"/>
                <w:sz w:val="22"/>
                <w:szCs w:val="22"/>
              </w:rPr>
              <w:t>4)</w:t>
            </w:r>
            <w:r w:rsidRPr="00317ABF">
              <w:rPr>
                <w:rFonts w:ascii="Times New Roman" w:hAnsi="Times New Roman" w:cs="Times New Roman"/>
                <w:sz w:val="22"/>
                <w:szCs w:val="22"/>
              </w:rPr>
              <w:tab/>
              <w:t>proporcjonalne i niedyskryminujące ograniczenia sposobu wykorzystywania częstotliwości objętych rezerwacją mogące polegać na określeniu rodzaju:</w:t>
            </w:r>
          </w:p>
          <w:p w14:paraId="7033D718" w14:textId="77777777" w:rsidR="00307D43" w:rsidRPr="00317ABF" w:rsidRDefault="00307D43" w:rsidP="00307D43">
            <w:pPr>
              <w:pStyle w:val="LITlitera"/>
              <w:spacing w:line="240" w:lineRule="auto"/>
              <w:rPr>
                <w:rFonts w:ascii="Times New Roman" w:hAnsi="Times New Roman" w:cs="Times New Roman"/>
                <w:sz w:val="22"/>
                <w:szCs w:val="22"/>
              </w:rPr>
            </w:pPr>
            <w:r w:rsidRPr="00317ABF">
              <w:rPr>
                <w:rFonts w:ascii="Times New Roman" w:hAnsi="Times New Roman" w:cs="Times New Roman"/>
                <w:sz w:val="22"/>
                <w:szCs w:val="22"/>
              </w:rPr>
              <w:t>a)</w:t>
            </w:r>
            <w:r w:rsidRPr="00317ABF">
              <w:rPr>
                <w:rFonts w:ascii="Times New Roman" w:hAnsi="Times New Roman" w:cs="Times New Roman"/>
                <w:sz w:val="22"/>
                <w:szCs w:val="22"/>
              </w:rPr>
              <w:tab/>
              <w:t>sieci radiowych lub rodzaju technik dostępu radiowego, które mogą być używane z wykorzystaniem tych częstotliwości, z zastrzeżeniem art. 88 ust. 1,</w:t>
            </w:r>
          </w:p>
          <w:p w14:paraId="0FCFB9B2" w14:textId="77777777" w:rsidR="00307D43" w:rsidRPr="00317ABF" w:rsidRDefault="00307D43" w:rsidP="00307D43">
            <w:pPr>
              <w:pStyle w:val="LITlitera"/>
              <w:spacing w:line="240" w:lineRule="auto"/>
              <w:rPr>
                <w:rFonts w:ascii="Times New Roman" w:hAnsi="Times New Roman" w:cs="Times New Roman"/>
                <w:sz w:val="22"/>
                <w:szCs w:val="22"/>
              </w:rPr>
            </w:pPr>
            <w:r w:rsidRPr="00317ABF">
              <w:rPr>
                <w:rFonts w:ascii="Times New Roman" w:hAnsi="Times New Roman" w:cs="Times New Roman"/>
                <w:sz w:val="22"/>
                <w:szCs w:val="22"/>
              </w:rPr>
              <w:lastRenderedPageBreak/>
              <w:t>b)</w:t>
            </w:r>
            <w:r w:rsidRPr="00317ABF">
              <w:rPr>
                <w:rFonts w:ascii="Times New Roman" w:hAnsi="Times New Roman" w:cs="Times New Roman"/>
                <w:sz w:val="22"/>
                <w:szCs w:val="22"/>
              </w:rPr>
              <w:tab/>
              <w:t>usługi telekomunikacyjnej, która powinna być świadczona z wykorzystaniem tych częstotliwości, z zastrzeżeniem art. 88 ust. 2,</w:t>
            </w:r>
          </w:p>
          <w:p w14:paraId="2F138C73" w14:textId="77777777" w:rsidR="00307D43" w:rsidRPr="00317ABF" w:rsidRDefault="00307D43" w:rsidP="00307D43">
            <w:pPr>
              <w:pStyle w:val="LITlitera"/>
              <w:spacing w:line="240" w:lineRule="auto"/>
              <w:rPr>
                <w:rFonts w:ascii="Times New Roman" w:hAnsi="Times New Roman" w:cs="Times New Roman"/>
                <w:sz w:val="22"/>
                <w:szCs w:val="22"/>
              </w:rPr>
            </w:pPr>
            <w:r w:rsidRPr="00317ABF">
              <w:rPr>
                <w:rFonts w:ascii="Times New Roman" w:hAnsi="Times New Roman" w:cs="Times New Roman"/>
                <w:sz w:val="22"/>
                <w:szCs w:val="22"/>
              </w:rPr>
              <w:t>c)</w:t>
            </w:r>
            <w:r w:rsidRPr="00317ABF">
              <w:rPr>
                <w:rFonts w:ascii="Times New Roman" w:hAnsi="Times New Roman" w:cs="Times New Roman"/>
                <w:sz w:val="22"/>
                <w:szCs w:val="22"/>
              </w:rPr>
              <w:tab/>
              <w:t>usługi telekomunikacyjnej objętej zakazem świadczenia z wykorzystaniem tych częstotliwości, z zastrzeżeniem art. 88 ust. 3;</w:t>
            </w:r>
          </w:p>
          <w:p w14:paraId="1BFFE6C1" w14:textId="77777777" w:rsidR="00307D43" w:rsidRPr="00317ABF" w:rsidRDefault="00307D43" w:rsidP="00307D43">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5)</w:t>
            </w:r>
            <w:r w:rsidRPr="00317ABF">
              <w:rPr>
                <w:rFonts w:ascii="Times New Roman" w:hAnsi="Times New Roman" w:cs="Times New Roman"/>
                <w:sz w:val="22"/>
                <w:szCs w:val="22"/>
              </w:rPr>
              <w:tab/>
              <w:t>możliwość lub obowiązek współużytkowania częstotliwości lub dostępu do elementów sieci telekomunikacyjnej i usług dodatkowych służącej do wykorzystywania częstotliwości objętych rezerwacją;</w:t>
            </w:r>
          </w:p>
          <w:p w14:paraId="43443ED3" w14:textId="77777777" w:rsidR="00307D43" w:rsidRPr="00317ABF" w:rsidRDefault="00307D43" w:rsidP="00307D43">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6)</w:t>
            </w:r>
            <w:r w:rsidRPr="00317ABF">
              <w:rPr>
                <w:rFonts w:ascii="Times New Roman" w:hAnsi="Times New Roman" w:cs="Times New Roman"/>
                <w:sz w:val="22"/>
                <w:szCs w:val="22"/>
              </w:rPr>
              <w:tab/>
              <w:t>możliwość lub obowiązek zapewnienia dostępu telekomunikacyjnego na potrzeby roamingu lokalnego;</w:t>
            </w:r>
          </w:p>
          <w:p w14:paraId="2C2AEDC9" w14:textId="77777777" w:rsidR="00307D43" w:rsidRPr="00317ABF" w:rsidRDefault="00307D43" w:rsidP="00307D43">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7)</w:t>
            </w:r>
            <w:r w:rsidRPr="00317ABF">
              <w:rPr>
                <w:rFonts w:ascii="Times New Roman" w:hAnsi="Times New Roman" w:cs="Times New Roman"/>
                <w:sz w:val="22"/>
                <w:szCs w:val="22"/>
              </w:rPr>
              <w:tab/>
              <w:t>obowiązek uruchamiania, wspólnie z innym podmiotem, infrastruktury na potrzeby dostarczania sieci lub świadczenia usług, które uzależnione są od wykorzystania częstotliwości objętych rezerwacją;</w:t>
            </w:r>
          </w:p>
          <w:p w14:paraId="782895EA" w14:textId="77777777" w:rsidR="001E1112" w:rsidRPr="00317ABF" w:rsidRDefault="001E1112" w:rsidP="00307D43">
            <w:pPr>
              <w:pStyle w:val="PKTpunkt0"/>
              <w:spacing w:line="240" w:lineRule="auto"/>
              <w:rPr>
                <w:rFonts w:ascii="Times New Roman" w:hAnsi="Times New Roman" w:cs="Times New Roman"/>
                <w:sz w:val="22"/>
                <w:szCs w:val="22"/>
              </w:rPr>
            </w:pPr>
            <w:r w:rsidRPr="00317ABF">
              <w:rPr>
                <w:rFonts w:ascii="Times New Roman" w:eastAsia="Times" w:hAnsi="Times New Roman" w:cs="Times New Roman"/>
                <w:sz w:val="22"/>
                <w:szCs w:val="22"/>
              </w:rPr>
              <w:t>8)</w:t>
            </w:r>
            <w:r w:rsidR="00307D43" w:rsidRPr="00317ABF">
              <w:rPr>
                <w:rFonts w:ascii="Times New Roman" w:hAnsi="Times New Roman" w:cs="Times New Roman"/>
                <w:sz w:val="22"/>
                <w:szCs w:val="22"/>
              </w:rPr>
              <w:tab/>
            </w:r>
            <w:r w:rsidRPr="00317ABF">
              <w:rPr>
                <w:rFonts w:ascii="Times New Roman" w:eastAsia="Times" w:hAnsi="Times New Roman" w:cs="Times New Roman"/>
                <w:sz w:val="22"/>
                <w:szCs w:val="22"/>
              </w:rPr>
              <w:t>wyłączenie możliwości dokonania rezerwacji częstotliwości na kolejny okres.</w:t>
            </w:r>
          </w:p>
          <w:p w14:paraId="46DC111A" w14:textId="77777777" w:rsidR="001E1112" w:rsidRPr="00317ABF" w:rsidRDefault="001E1112" w:rsidP="00307D43">
            <w:pPr>
              <w:pStyle w:val="USTustnpkodeksu"/>
              <w:spacing w:line="240" w:lineRule="auto"/>
              <w:rPr>
                <w:rFonts w:ascii="Times New Roman" w:hAnsi="Times New Roman" w:cs="Times New Roman"/>
                <w:sz w:val="22"/>
                <w:szCs w:val="22"/>
              </w:rPr>
            </w:pPr>
            <w:r w:rsidRPr="00317ABF">
              <w:rPr>
                <w:rFonts w:ascii="Times New Roman" w:eastAsia="Times" w:hAnsi="Times New Roman" w:cs="Times New Roman"/>
                <w:sz w:val="22"/>
                <w:szCs w:val="22"/>
              </w:rPr>
              <w:t xml:space="preserve">4. Prezes UKE w rezerwacji częstotliwości może zwolnić z obowiązku uzyskania pozwolenia radiowego, o ile zawarte zostały porozumienia międzynarodowe z państwami sąsiadującymi dotyczące warunków wykorzystywania częstotliwości w rejonach przygranicznych oraz jeżeli określono warunki wykorzystywania częstotliwości, o których mowa w art. </w:t>
            </w:r>
            <w:r w:rsidR="00307D43" w:rsidRPr="00317ABF">
              <w:rPr>
                <w:rFonts w:ascii="Times New Roman" w:hAnsi="Times New Roman" w:cs="Times New Roman"/>
                <w:sz w:val="22"/>
                <w:szCs w:val="22"/>
              </w:rPr>
              <w:t>141</w:t>
            </w:r>
            <w:r w:rsidRPr="00317ABF">
              <w:rPr>
                <w:rFonts w:ascii="Times New Roman" w:eastAsia="Times" w:hAnsi="Times New Roman" w:cs="Times New Roman"/>
                <w:sz w:val="22"/>
                <w:szCs w:val="22"/>
              </w:rPr>
              <w:t>.</w:t>
            </w:r>
          </w:p>
          <w:p w14:paraId="38887E71" w14:textId="59076988" w:rsidR="001E1112" w:rsidRPr="00317ABF" w:rsidRDefault="001E1112" w:rsidP="00307D43">
            <w:pPr>
              <w:pStyle w:val="USTustnpkodeksu"/>
              <w:keepNext/>
              <w:spacing w:line="240" w:lineRule="auto"/>
              <w:rPr>
                <w:rFonts w:ascii="Times New Roman" w:hAnsi="Times New Roman" w:cs="Times New Roman"/>
                <w:sz w:val="22"/>
                <w:szCs w:val="22"/>
              </w:rPr>
            </w:pPr>
            <w:r w:rsidRPr="00317ABF">
              <w:rPr>
                <w:rFonts w:ascii="Times New Roman" w:eastAsia="Times" w:hAnsi="Times New Roman" w:cs="Times New Roman"/>
                <w:sz w:val="22"/>
                <w:szCs w:val="22"/>
              </w:rPr>
              <w:t>5. Prezes UKE w rezerwacji częstotliwości przeznaczonych do rozpowszechniania lub rozprowadzania programów w sposób cyfrowy drogą rozsiewczą naziemną lub rozsiewczą satelitarną ponadto:</w:t>
            </w:r>
          </w:p>
          <w:p w14:paraId="14772A48" w14:textId="77777777" w:rsidR="00307D43" w:rsidRPr="00317ABF" w:rsidRDefault="00307D43" w:rsidP="00307D43">
            <w:pPr>
              <w:pStyle w:val="PKTpunkt0"/>
              <w:spacing w:line="240" w:lineRule="auto"/>
              <w:rPr>
                <w:rFonts w:ascii="Times New Roman" w:hAnsi="Times New Roman" w:cs="Times New Roman"/>
                <w:bCs w:val="0"/>
                <w:color w:val="333333"/>
                <w:sz w:val="22"/>
                <w:szCs w:val="22"/>
              </w:rPr>
            </w:pPr>
            <w:r w:rsidRPr="00317ABF">
              <w:rPr>
                <w:rFonts w:ascii="Times New Roman" w:hAnsi="Times New Roman" w:cs="Times New Roman"/>
                <w:sz w:val="22"/>
                <w:szCs w:val="22"/>
              </w:rPr>
              <w:t>1)</w:t>
            </w:r>
            <w:r w:rsidRPr="00317ABF">
              <w:rPr>
                <w:rFonts w:ascii="Times New Roman" w:hAnsi="Times New Roman" w:cs="Times New Roman"/>
                <w:sz w:val="22"/>
                <w:szCs w:val="22"/>
              </w:rPr>
              <w:tab/>
              <w:t xml:space="preserve">określa programy telewizyjne lub radiofoniczne umieszczone w multipleksie, zwane dalej „audiowizualnymi składnikami”; </w:t>
            </w:r>
            <w:r w:rsidRPr="00317ABF">
              <w:rPr>
                <w:rFonts w:ascii="Times New Roman" w:hAnsi="Times New Roman" w:cs="Times New Roman"/>
                <w:bCs w:val="0"/>
                <w:color w:val="333333"/>
                <w:sz w:val="22"/>
                <w:szCs w:val="22"/>
              </w:rPr>
              <w:t>,</w:t>
            </w:r>
          </w:p>
          <w:p w14:paraId="3A9DCF84" w14:textId="77777777" w:rsidR="00307D43" w:rsidRPr="00317ABF" w:rsidRDefault="00307D43" w:rsidP="00307D43">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2)</w:t>
            </w:r>
            <w:r w:rsidRPr="00317ABF">
              <w:rPr>
                <w:rFonts w:ascii="Times New Roman" w:hAnsi="Times New Roman" w:cs="Times New Roman"/>
                <w:sz w:val="22"/>
                <w:szCs w:val="22"/>
              </w:rPr>
              <w:tab/>
              <w:t>porządkuje w multipleksie jego audiowizualne składniki;</w:t>
            </w:r>
          </w:p>
          <w:p w14:paraId="532EE01B" w14:textId="77777777" w:rsidR="00307D43" w:rsidRPr="00317ABF" w:rsidRDefault="00307D43" w:rsidP="00307D43">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3)</w:t>
            </w:r>
            <w:r w:rsidRPr="00317ABF">
              <w:rPr>
                <w:rFonts w:ascii="Times New Roman" w:hAnsi="Times New Roman" w:cs="Times New Roman"/>
                <w:sz w:val="22"/>
                <w:szCs w:val="22"/>
              </w:rPr>
              <w:tab/>
              <w:t>określa proporcje udziału audiowizualnych składników w multipleksie;</w:t>
            </w:r>
          </w:p>
          <w:p w14:paraId="6F3E1B01" w14:textId="77777777" w:rsidR="001E1112" w:rsidRPr="00317ABF" w:rsidRDefault="001E1112" w:rsidP="00307D43">
            <w:pPr>
              <w:pStyle w:val="PKTpunkt0"/>
              <w:spacing w:line="240" w:lineRule="auto"/>
              <w:rPr>
                <w:rFonts w:ascii="Times New Roman" w:hAnsi="Times New Roman" w:cs="Times New Roman"/>
                <w:sz w:val="22"/>
                <w:szCs w:val="22"/>
              </w:rPr>
            </w:pPr>
            <w:r w:rsidRPr="00317ABF">
              <w:rPr>
                <w:rFonts w:ascii="Times New Roman" w:eastAsia="Times" w:hAnsi="Times New Roman" w:cs="Times New Roman"/>
                <w:sz w:val="22"/>
                <w:szCs w:val="22"/>
              </w:rPr>
              <w:t>4)</w:t>
            </w:r>
            <w:r w:rsidR="00307D43" w:rsidRPr="00317ABF">
              <w:rPr>
                <w:rFonts w:ascii="Times New Roman" w:hAnsi="Times New Roman" w:cs="Times New Roman"/>
                <w:sz w:val="22"/>
                <w:szCs w:val="22"/>
              </w:rPr>
              <w:tab/>
            </w:r>
            <w:r w:rsidRPr="00317ABF">
              <w:rPr>
                <w:rFonts w:ascii="Times New Roman" w:eastAsia="Times" w:hAnsi="Times New Roman" w:cs="Times New Roman"/>
                <w:sz w:val="22"/>
                <w:szCs w:val="22"/>
              </w:rPr>
              <w:t>określa obszar, na którym mogą być rozpowszechniane lub rozprowadzane audiowizualne składniki multipleksu.</w:t>
            </w:r>
          </w:p>
          <w:p w14:paraId="10844D55" w14:textId="154FF9A8" w:rsidR="001E1112" w:rsidRPr="00317ABF" w:rsidRDefault="001E1112" w:rsidP="00307D43">
            <w:pPr>
              <w:pStyle w:val="USTustnpkodeksu"/>
              <w:keepNext/>
              <w:spacing w:line="240" w:lineRule="auto"/>
              <w:rPr>
                <w:rFonts w:ascii="Times New Roman" w:hAnsi="Times New Roman" w:cs="Times New Roman"/>
                <w:sz w:val="22"/>
                <w:szCs w:val="22"/>
              </w:rPr>
            </w:pPr>
            <w:r w:rsidRPr="00317ABF">
              <w:rPr>
                <w:rFonts w:ascii="Times New Roman" w:eastAsia="Times" w:hAnsi="Times New Roman" w:cs="Times New Roman"/>
                <w:sz w:val="22"/>
                <w:szCs w:val="22"/>
              </w:rPr>
              <w:t>6. Prezes UKE w rezerwacji częstotliwości przeznaczonych do rozpowszechniania lub rozprowadzania programów w sposób cyfrowy drogą rozsiewczą naziemną ponadto określa:</w:t>
            </w:r>
          </w:p>
          <w:p w14:paraId="65AA4A2E" w14:textId="77777777" w:rsidR="00307D43" w:rsidRPr="00317ABF" w:rsidRDefault="00307D43" w:rsidP="00307D43">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1)</w:t>
            </w:r>
            <w:r w:rsidRPr="00317ABF">
              <w:rPr>
                <w:rFonts w:ascii="Times New Roman" w:hAnsi="Times New Roman" w:cs="Times New Roman"/>
                <w:sz w:val="22"/>
                <w:szCs w:val="22"/>
              </w:rPr>
              <w:tab/>
              <w:t>parametry i standardy techniczne cyfrowej transmisji telewizyjnej i radiofonicznej;</w:t>
            </w:r>
          </w:p>
          <w:p w14:paraId="619C9D68" w14:textId="50ECBE39" w:rsidR="001E1112" w:rsidRPr="00317ABF" w:rsidRDefault="001E1112" w:rsidP="00DB3BEC">
            <w:pPr>
              <w:jc w:val="both"/>
              <w:rPr>
                <w:sz w:val="22"/>
                <w:szCs w:val="22"/>
              </w:rPr>
            </w:pPr>
            <w:r w:rsidRPr="00317ABF">
              <w:rPr>
                <w:sz w:val="22"/>
                <w:szCs w:val="22"/>
              </w:rPr>
              <w:t>2)</w:t>
            </w:r>
            <w:r w:rsidR="00307D43" w:rsidRPr="00317ABF">
              <w:rPr>
                <w:sz w:val="22"/>
                <w:szCs w:val="22"/>
              </w:rPr>
              <w:tab/>
            </w:r>
            <w:r w:rsidRPr="00317ABF">
              <w:rPr>
                <w:sz w:val="22"/>
                <w:szCs w:val="22"/>
              </w:rPr>
              <w:t>wykorzystanie pojemności multipleksu.</w:t>
            </w:r>
          </w:p>
          <w:p w14:paraId="11C17BAC" w14:textId="5C7BCE61" w:rsidR="001E1112" w:rsidRPr="00317ABF" w:rsidRDefault="001E1112" w:rsidP="00DB3BEC">
            <w:pPr>
              <w:jc w:val="both"/>
              <w:rPr>
                <w:sz w:val="22"/>
                <w:szCs w:val="22"/>
              </w:rPr>
            </w:pPr>
          </w:p>
          <w:p w14:paraId="6781E209" w14:textId="00D5117B" w:rsidR="005C61B6" w:rsidRPr="00317ABF" w:rsidRDefault="005C61B6" w:rsidP="005C61B6">
            <w:pPr>
              <w:rPr>
                <w:sz w:val="22"/>
                <w:szCs w:val="22"/>
              </w:rPr>
            </w:pPr>
            <w:r w:rsidRPr="00317ABF">
              <w:rPr>
                <w:b/>
                <w:bCs/>
                <w:sz w:val="22"/>
                <w:szCs w:val="22"/>
              </w:rPr>
              <w:t xml:space="preserve">Art. 130. </w:t>
            </w:r>
            <w:r w:rsidRPr="00317ABF">
              <w:rPr>
                <w:sz w:val="22"/>
                <w:szCs w:val="22"/>
              </w:rPr>
              <w:t>1. W przydziale częstotliwości określa się:</w:t>
            </w:r>
          </w:p>
          <w:p w14:paraId="7CC95CFD" w14:textId="77777777" w:rsidR="005C61B6" w:rsidRPr="00317ABF" w:rsidRDefault="005C61B6" w:rsidP="005C61B6">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1)  uprawniony podmiot będący użytkownikiem rządowym, na rzecz którego dokonano przydziału częstotliwości, oraz jego adres;</w:t>
            </w:r>
          </w:p>
          <w:p w14:paraId="5401616D" w14:textId="77777777" w:rsidR="005C61B6" w:rsidRPr="00317ABF" w:rsidRDefault="005C61B6" w:rsidP="005C61B6">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2)  zakres częstotliwości objęty przydziałem częstotliwości;</w:t>
            </w:r>
          </w:p>
          <w:p w14:paraId="540374D4" w14:textId="77777777" w:rsidR="005C61B6" w:rsidRPr="00317ABF" w:rsidRDefault="005C61B6" w:rsidP="005C61B6">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3)  obszar lub lokalizację, w której mogą być wykorzystywane częstotliwości;</w:t>
            </w:r>
          </w:p>
          <w:p w14:paraId="23A5C7E0" w14:textId="77777777" w:rsidR="005C61B6" w:rsidRPr="00317ABF" w:rsidRDefault="005C61B6" w:rsidP="005C61B6">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4)  rodzaj służby radiokomunikacyjnej;</w:t>
            </w:r>
          </w:p>
          <w:p w14:paraId="29F1B491" w14:textId="77777777" w:rsidR="005C61B6" w:rsidRPr="00317ABF" w:rsidRDefault="005C61B6" w:rsidP="005C61B6">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5)  termin, w jakim podmiot jest uprawniony do rozpoczęcia wykorzystywania częstotliwości;</w:t>
            </w:r>
          </w:p>
          <w:p w14:paraId="38A8F080" w14:textId="77777777" w:rsidR="005C61B6" w:rsidRPr="00317ABF" w:rsidRDefault="005C61B6" w:rsidP="005C61B6">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6) okres lub termin, w którym podmiot jest uprawniony do wykorzystywania częstotliwości;</w:t>
            </w:r>
          </w:p>
          <w:p w14:paraId="441F1F77" w14:textId="77777777" w:rsidR="005C61B6" w:rsidRPr="00317ABF" w:rsidRDefault="005C61B6" w:rsidP="005C61B6">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 xml:space="preserve">7) warunki wykorzystywania częstotliwości, o których mowa w art. 141, z uwzględnieniem warunków wynikających z umów międzynarodowych, których Rzeczpospolita Polska jest stroną. </w:t>
            </w:r>
          </w:p>
          <w:p w14:paraId="7906DE36" w14:textId="77777777" w:rsidR="005C61B6" w:rsidRPr="00317ABF" w:rsidRDefault="005C61B6" w:rsidP="005C61B6">
            <w:pPr>
              <w:pStyle w:val="USTustnpkodeksu"/>
              <w:spacing w:line="240" w:lineRule="auto"/>
              <w:rPr>
                <w:rFonts w:ascii="Times New Roman" w:hAnsi="Times New Roman" w:cs="Times New Roman"/>
                <w:sz w:val="22"/>
                <w:szCs w:val="22"/>
              </w:rPr>
            </w:pPr>
            <w:r w:rsidRPr="00317ABF">
              <w:rPr>
                <w:rFonts w:ascii="Times New Roman" w:hAnsi="Times New Roman" w:cs="Times New Roman"/>
                <w:sz w:val="22"/>
                <w:szCs w:val="22"/>
              </w:rPr>
              <w:t>2. W przydziale częstotliwości można określić:</w:t>
            </w:r>
          </w:p>
          <w:p w14:paraId="1787B07C" w14:textId="77777777" w:rsidR="005C61B6" w:rsidRPr="00317ABF" w:rsidRDefault="005C61B6" w:rsidP="005C61B6">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1)  termin, w jakim podmiot jest obowiązany rozpocząć wykorzystywanie częstotliwości;</w:t>
            </w:r>
          </w:p>
          <w:p w14:paraId="39567E7A" w14:textId="4B8A4A0E" w:rsidR="005C61B6" w:rsidRPr="00317ABF" w:rsidRDefault="005C61B6" w:rsidP="005C61B6">
            <w:pPr>
              <w:pStyle w:val="ARTartustawynprozporzdzenia"/>
              <w:keepNext/>
              <w:spacing w:before="0" w:line="240" w:lineRule="auto"/>
              <w:ind w:firstLine="0"/>
              <w:rPr>
                <w:rStyle w:val="Ppogrubienie"/>
                <w:rFonts w:ascii="Times New Roman" w:hAnsi="Times New Roman"/>
                <w:sz w:val="22"/>
                <w:szCs w:val="22"/>
              </w:rPr>
            </w:pPr>
            <w:r w:rsidRPr="00317ABF">
              <w:rPr>
                <w:rFonts w:ascii="Times New Roman" w:hAnsi="Times New Roman" w:cs="Times New Roman"/>
                <w:sz w:val="22"/>
                <w:szCs w:val="22"/>
              </w:rPr>
              <w:t>2)  wymagania dotyczące zapobiegania szkodliwym zakłóceniom elektromagnetycznym lub kolizjom z przyznanymi na rzecz innych podmiotów rezerwacjami częstotliwości, przydziałami częstotliwości, pozwoleniami lub decyzjami o prawie do wykorzystania częstotliwości, o których mowa w art. 152 lub art. 153.</w:t>
            </w:r>
          </w:p>
          <w:p w14:paraId="58FDA9ED" w14:textId="77777777" w:rsidR="006B1C8E" w:rsidRPr="00317ABF" w:rsidRDefault="006B1C8E" w:rsidP="006B1C8E">
            <w:pPr>
              <w:pStyle w:val="ARTartustawynprozporzdzenia"/>
              <w:keepNext/>
              <w:spacing w:before="0" w:line="240" w:lineRule="auto"/>
              <w:ind w:firstLine="0"/>
              <w:rPr>
                <w:rFonts w:ascii="Times New Roman" w:hAnsi="Times New Roman" w:cs="Times New Roman"/>
                <w:sz w:val="22"/>
                <w:szCs w:val="22"/>
              </w:rPr>
            </w:pPr>
            <w:r w:rsidRPr="00317ABF">
              <w:rPr>
                <w:rStyle w:val="Ppogrubienie"/>
                <w:rFonts w:ascii="Times New Roman" w:hAnsi="Times New Roman"/>
                <w:sz w:val="22"/>
                <w:szCs w:val="22"/>
              </w:rPr>
              <w:t>Art. 140.</w:t>
            </w:r>
            <w:r w:rsidRPr="00317ABF">
              <w:rPr>
                <w:rFonts w:ascii="Times New Roman" w:hAnsi="Times New Roman" w:cs="Times New Roman"/>
                <w:sz w:val="22"/>
                <w:szCs w:val="22"/>
              </w:rPr>
              <w:t xml:space="preserve"> 1. Pozwolenie określa:</w:t>
            </w:r>
          </w:p>
          <w:p w14:paraId="166CD5AC" w14:textId="77777777" w:rsidR="006B1C8E" w:rsidRPr="00317ABF" w:rsidRDefault="006B1C8E" w:rsidP="006B1C8E">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1)</w:t>
            </w:r>
            <w:r w:rsidRPr="00317ABF">
              <w:rPr>
                <w:rFonts w:ascii="Times New Roman" w:hAnsi="Times New Roman" w:cs="Times New Roman"/>
                <w:sz w:val="22"/>
                <w:szCs w:val="22"/>
              </w:rPr>
              <w:tab/>
              <w:t>uprawniony podmiot oraz jego siedzibę i adres;</w:t>
            </w:r>
          </w:p>
          <w:p w14:paraId="684DF0E9" w14:textId="77777777" w:rsidR="006B1C8E" w:rsidRPr="00317ABF" w:rsidRDefault="006B1C8E" w:rsidP="006B1C8E">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2)</w:t>
            </w:r>
            <w:r w:rsidRPr="00317ABF">
              <w:rPr>
                <w:rFonts w:ascii="Times New Roman" w:hAnsi="Times New Roman" w:cs="Times New Roman"/>
                <w:sz w:val="22"/>
                <w:szCs w:val="22"/>
              </w:rPr>
              <w:tab/>
              <w:t>rodzaj, wyróżnik typu oraz nazwę producenta urządzeń radiowych, których dotyczy pozwolenie;</w:t>
            </w:r>
          </w:p>
          <w:p w14:paraId="11201B26" w14:textId="77777777" w:rsidR="006B1C8E" w:rsidRPr="00317ABF" w:rsidRDefault="006B1C8E" w:rsidP="006B1C8E">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3)</w:t>
            </w:r>
            <w:r w:rsidRPr="00317ABF">
              <w:rPr>
                <w:rFonts w:ascii="Times New Roman" w:hAnsi="Times New Roman" w:cs="Times New Roman"/>
                <w:sz w:val="22"/>
                <w:szCs w:val="22"/>
              </w:rPr>
              <w:tab/>
              <w:t>warunki wykorzystywania częstotliwości;</w:t>
            </w:r>
          </w:p>
          <w:p w14:paraId="17BE47FD" w14:textId="77777777" w:rsidR="006B1C8E" w:rsidRPr="00317ABF" w:rsidRDefault="006B1C8E" w:rsidP="006B1C8E">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4)</w:t>
            </w:r>
            <w:r w:rsidRPr="00317ABF">
              <w:rPr>
                <w:rFonts w:ascii="Times New Roman" w:hAnsi="Times New Roman" w:cs="Times New Roman"/>
                <w:sz w:val="22"/>
                <w:szCs w:val="22"/>
              </w:rPr>
              <w:tab/>
              <w:t>warunki używania urządzenia, w szczególności rodzaj służby radiokomunikacyjnej lub sieci telekomunikacyjnej, w której urządzenie może być wykorzystywane;</w:t>
            </w:r>
          </w:p>
          <w:p w14:paraId="79DC7DD0" w14:textId="77777777" w:rsidR="006B1C8E" w:rsidRPr="00317ABF" w:rsidRDefault="006B1C8E" w:rsidP="006B1C8E">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5)</w:t>
            </w:r>
            <w:r w:rsidRPr="00317ABF">
              <w:rPr>
                <w:rFonts w:ascii="Times New Roman" w:hAnsi="Times New Roman" w:cs="Times New Roman"/>
                <w:sz w:val="22"/>
                <w:szCs w:val="22"/>
              </w:rPr>
              <w:tab/>
              <w:t>okres ważności;</w:t>
            </w:r>
          </w:p>
          <w:p w14:paraId="26075B95" w14:textId="77777777" w:rsidR="001E1112" w:rsidRPr="00317ABF" w:rsidRDefault="001E1112" w:rsidP="006B1C8E">
            <w:pPr>
              <w:pStyle w:val="PKTpunkt0"/>
              <w:spacing w:line="240" w:lineRule="auto"/>
              <w:rPr>
                <w:rFonts w:ascii="Times New Roman" w:hAnsi="Times New Roman" w:cs="Times New Roman"/>
                <w:sz w:val="22"/>
                <w:szCs w:val="22"/>
              </w:rPr>
            </w:pPr>
            <w:r w:rsidRPr="00317ABF">
              <w:rPr>
                <w:rFonts w:ascii="Times New Roman" w:eastAsia="Times" w:hAnsi="Times New Roman" w:cs="Times New Roman"/>
                <w:sz w:val="22"/>
                <w:szCs w:val="22"/>
              </w:rPr>
              <w:t>6)</w:t>
            </w:r>
            <w:r w:rsidR="006B1C8E" w:rsidRPr="00317ABF">
              <w:rPr>
                <w:rFonts w:ascii="Times New Roman" w:hAnsi="Times New Roman" w:cs="Times New Roman"/>
                <w:sz w:val="22"/>
                <w:szCs w:val="22"/>
              </w:rPr>
              <w:tab/>
            </w:r>
            <w:r w:rsidRPr="00317ABF">
              <w:rPr>
                <w:rFonts w:ascii="Times New Roman" w:eastAsia="Times" w:hAnsi="Times New Roman" w:cs="Times New Roman"/>
                <w:sz w:val="22"/>
                <w:szCs w:val="22"/>
              </w:rPr>
              <w:t>termin rozpoczęcia wykorzystywania częstotliwości, jednak nie dłuższy niż 12 miesięcy od dnia wydania pozwolenia.</w:t>
            </w:r>
          </w:p>
          <w:p w14:paraId="26E21F33" w14:textId="49FF55B7" w:rsidR="001E1112" w:rsidRPr="00317ABF" w:rsidRDefault="001E1112" w:rsidP="006B1C8E">
            <w:pPr>
              <w:pStyle w:val="USTustnpkodeksu"/>
              <w:spacing w:line="240" w:lineRule="auto"/>
              <w:rPr>
                <w:rFonts w:ascii="Times New Roman" w:hAnsi="Times New Roman" w:cs="Times New Roman"/>
                <w:sz w:val="22"/>
                <w:szCs w:val="22"/>
              </w:rPr>
            </w:pPr>
            <w:r w:rsidRPr="00317ABF">
              <w:rPr>
                <w:rFonts w:ascii="Times New Roman" w:eastAsia="Times" w:hAnsi="Times New Roman" w:cs="Times New Roman"/>
                <w:sz w:val="22"/>
                <w:szCs w:val="22"/>
              </w:rPr>
              <w:t>2. W pozwoleniu można określić warunki używania urządzenia i obowiązki użytkownika w sytuacjach szczególnych zagrożeń.</w:t>
            </w:r>
          </w:p>
          <w:p w14:paraId="77150603" w14:textId="5F7276BD" w:rsidR="001E1112" w:rsidRPr="00317ABF" w:rsidRDefault="001E1112" w:rsidP="006B1C8E">
            <w:pPr>
              <w:pStyle w:val="USTustnpkodeksu"/>
              <w:spacing w:line="240" w:lineRule="auto"/>
              <w:rPr>
                <w:rFonts w:ascii="Times New Roman" w:hAnsi="Times New Roman" w:cs="Times New Roman"/>
                <w:sz w:val="22"/>
                <w:szCs w:val="22"/>
              </w:rPr>
            </w:pPr>
            <w:r w:rsidRPr="00317ABF">
              <w:rPr>
                <w:rFonts w:ascii="Times New Roman" w:eastAsia="Times" w:hAnsi="Times New Roman" w:cs="Times New Roman"/>
                <w:sz w:val="22"/>
                <w:szCs w:val="22"/>
              </w:rPr>
              <w:t>3. Pozwolenie może zawierać przydział sygnałów identyfikacyjnych lub znaków wywoławczych. Znaki wywoławcze nie podlegają zmianie w okresie obowiązywania pozwolenia.</w:t>
            </w:r>
          </w:p>
          <w:p w14:paraId="0B38AA05" w14:textId="34B4B0BB" w:rsidR="001E1112" w:rsidRPr="00317ABF" w:rsidRDefault="001E1112" w:rsidP="006B1C8E">
            <w:pPr>
              <w:pStyle w:val="USTustnpkodeksu"/>
              <w:spacing w:line="240" w:lineRule="auto"/>
              <w:rPr>
                <w:rFonts w:ascii="Times New Roman" w:hAnsi="Times New Roman" w:cs="Times New Roman"/>
                <w:sz w:val="22"/>
                <w:szCs w:val="22"/>
              </w:rPr>
            </w:pPr>
            <w:r w:rsidRPr="00317ABF">
              <w:rPr>
                <w:rFonts w:ascii="Times New Roman" w:eastAsia="Times" w:hAnsi="Times New Roman" w:cs="Times New Roman"/>
                <w:sz w:val="22"/>
                <w:szCs w:val="22"/>
              </w:rPr>
              <w:lastRenderedPageBreak/>
              <w:t>4. Pozwolenie uprawnia do wykorzystywania objętych pozwoleniem częstotliwości, sygnałów identyfikacyjnych oraz znaków wywoławczych.</w:t>
            </w:r>
          </w:p>
          <w:p w14:paraId="59247E1C" w14:textId="567EF8AD" w:rsidR="001E1112" w:rsidRPr="00317ABF" w:rsidRDefault="001E1112" w:rsidP="006B1C8E">
            <w:pPr>
              <w:pStyle w:val="USTustnpkodeksu"/>
              <w:spacing w:line="240" w:lineRule="auto"/>
              <w:rPr>
                <w:rFonts w:ascii="Times New Roman" w:hAnsi="Times New Roman" w:cs="Times New Roman"/>
                <w:sz w:val="22"/>
                <w:szCs w:val="22"/>
              </w:rPr>
            </w:pPr>
            <w:r w:rsidRPr="00317ABF">
              <w:rPr>
                <w:rFonts w:ascii="Times New Roman" w:eastAsia="Times" w:hAnsi="Times New Roman" w:cs="Times New Roman"/>
                <w:sz w:val="22"/>
                <w:szCs w:val="22"/>
              </w:rPr>
              <w:t>5. Prezes UKE może w pozwoleniu zobowiązać podmiot do informowania o przerwach w wykorzystywaniu częstotliwości trwających powyżej 14 dni.</w:t>
            </w:r>
          </w:p>
          <w:p w14:paraId="2C5B0A83" w14:textId="77777777" w:rsidR="001E1112" w:rsidRPr="00317ABF" w:rsidRDefault="001E1112" w:rsidP="006B1C8E">
            <w:pPr>
              <w:pStyle w:val="USTustnpkodeksu"/>
              <w:spacing w:line="240" w:lineRule="auto"/>
              <w:rPr>
                <w:rFonts w:ascii="Times New Roman" w:hAnsi="Times New Roman" w:cs="Times New Roman"/>
                <w:sz w:val="22"/>
                <w:szCs w:val="22"/>
              </w:rPr>
            </w:pPr>
            <w:r w:rsidRPr="00317ABF">
              <w:rPr>
                <w:rFonts w:ascii="Times New Roman" w:eastAsia="Times" w:hAnsi="Times New Roman" w:cs="Times New Roman"/>
                <w:sz w:val="22"/>
                <w:szCs w:val="22"/>
              </w:rPr>
              <w:t xml:space="preserve">6. Przepisu ust. 1 pkt 2 w zakresie wyróżnika typu oraz nazwy producenta urządzeń radiowych, których dotyczy pozwolenie, oraz przepisów ust. 5 i art. </w:t>
            </w:r>
            <w:r w:rsidR="006B1C8E" w:rsidRPr="00317ABF">
              <w:rPr>
                <w:rFonts w:ascii="Times New Roman" w:hAnsi="Times New Roman" w:cs="Times New Roman"/>
                <w:sz w:val="22"/>
                <w:szCs w:val="22"/>
              </w:rPr>
              <w:t>146</w:t>
            </w:r>
            <w:r w:rsidRPr="00317ABF">
              <w:rPr>
                <w:rFonts w:ascii="Times New Roman" w:eastAsia="Times" w:hAnsi="Times New Roman" w:cs="Times New Roman"/>
                <w:sz w:val="22"/>
                <w:szCs w:val="22"/>
              </w:rPr>
              <w:t xml:space="preserve"> ust. 2 pkt 4 nie stosuje się do pozwoleń w służbie radiokomunikacyjnej amatorskiej.</w:t>
            </w:r>
          </w:p>
          <w:p w14:paraId="10F27C28" w14:textId="15D04A99" w:rsidR="001E1112" w:rsidRPr="00317ABF" w:rsidRDefault="001E1112" w:rsidP="006B1C8E">
            <w:pPr>
              <w:pStyle w:val="USTustnpkodeksu"/>
              <w:spacing w:line="240" w:lineRule="auto"/>
              <w:rPr>
                <w:rFonts w:ascii="Times New Roman" w:hAnsi="Times New Roman" w:cs="Times New Roman"/>
                <w:sz w:val="22"/>
                <w:szCs w:val="22"/>
              </w:rPr>
            </w:pPr>
            <w:r w:rsidRPr="00317ABF">
              <w:rPr>
                <w:rFonts w:ascii="Times New Roman" w:eastAsia="Times" w:hAnsi="Times New Roman" w:cs="Times New Roman"/>
                <w:sz w:val="22"/>
                <w:szCs w:val="22"/>
              </w:rPr>
              <w:t xml:space="preserve">7. W pozwoleniu radiowym wydawanym na cele rozpowszechniania lub rozprowadzania programów radiofonicznych lub telewizyjnych w sposób rozsiewczy naziemny można określić dodatkowo warunki wykorzystania częstotliwości, o których mowa w art. </w:t>
            </w:r>
            <w:r w:rsidR="006B1C8E" w:rsidRPr="00317ABF">
              <w:rPr>
                <w:rFonts w:ascii="Times New Roman" w:hAnsi="Times New Roman" w:cs="Times New Roman"/>
                <w:sz w:val="22"/>
                <w:szCs w:val="22"/>
              </w:rPr>
              <w:t>141</w:t>
            </w:r>
            <w:r w:rsidRPr="00317ABF">
              <w:rPr>
                <w:rFonts w:ascii="Times New Roman" w:eastAsia="Times" w:hAnsi="Times New Roman" w:cs="Times New Roman"/>
                <w:sz w:val="22"/>
                <w:szCs w:val="22"/>
              </w:rPr>
              <w:t xml:space="preserve">, zgodne z wymaganiami określonymi w art. </w:t>
            </w:r>
            <w:r w:rsidR="006B1C8E" w:rsidRPr="00317ABF">
              <w:rPr>
                <w:rFonts w:ascii="Times New Roman" w:hAnsi="Times New Roman" w:cs="Times New Roman"/>
                <w:sz w:val="22"/>
                <w:szCs w:val="22"/>
              </w:rPr>
              <w:t>87</w:t>
            </w:r>
            <w:r w:rsidRPr="00317ABF">
              <w:rPr>
                <w:rFonts w:ascii="Times New Roman" w:eastAsia="Times" w:hAnsi="Times New Roman" w:cs="Times New Roman"/>
                <w:sz w:val="22"/>
                <w:szCs w:val="22"/>
              </w:rPr>
              <w:t xml:space="preserve"> ust. 3, na wypadek konserwacji urządzenia objętego pozwoleniem.</w:t>
            </w:r>
          </w:p>
          <w:p w14:paraId="186C8252" w14:textId="77777777" w:rsidR="006B1C8E" w:rsidRPr="00317ABF" w:rsidRDefault="006B1C8E" w:rsidP="006B1C8E">
            <w:pPr>
              <w:pStyle w:val="USTustnpkodeksu"/>
              <w:spacing w:line="240" w:lineRule="auto"/>
              <w:rPr>
                <w:rFonts w:ascii="Times New Roman" w:hAnsi="Times New Roman" w:cs="Times New Roman"/>
                <w:sz w:val="22"/>
                <w:szCs w:val="22"/>
              </w:rPr>
            </w:pPr>
          </w:p>
          <w:p w14:paraId="08EFACDE" w14:textId="77777777" w:rsidR="006B1C8E" w:rsidRPr="00317ABF" w:rsidRDefault="006B1C8E" w:rsidP="006B1C8E">
            <w:pPr>
              <w:pStyle w:val="ARTartustawynprozporzdzenia"/>
              <w:keepNext/>
              <w:spacing w:before="0" w:line="240" w:lineRule="auto"/>
              <w:ind w:firstLine="0"/>
              <w:rPr>
                <w:rFonts w:ascii="Times New Roman" w:hAnsi="Times New Roman" w:cs="Times New Roman"/>
                <w:sz w:val="22"/>
                <w:szCs w:val="22"/>
              </w:rPr>
            </w:pPr>
            <w:r w:rsidRPr="00317ABF">
              <w:rPr>
                <w:rStyle w:val="Ppogrubienie"/>
                <w:rFonts w:ascii="Times New Roman" w:hAnsi="Times New Roman"/>
                <w:sz w:val="22"/>
                <w:szCs w:val="22"/>
              </w:rPr>
              <w:t>Art. 141.</w:t>
            </w:r>
            <w:r w:rsidRPr="00317ABF">
              <w:rPr>
                <w:rFonts w:ascii="Times New Roman" w:hAnsi="Times New Roman" w:cs="Times New Roman"/>
                <w:sz w:val="22"/>
                <w:szCs w:val="22"/>
              </w:rPr>
              <w:t xml:space="preserve"> 1. Warunki wykorzystywania częstotliwości określają w szczególności:</w:t>
            </w:r>
          </w:p>
          <w:p w14:paraId="6DC784FB" w14:textId="77777777" w:rsidR="006B1C8E" w:rsidRPr="00317ABF" w:rsidRDefault="006B1C8E" w:rsidP="006B1C8E">
            <w:pPr>
              <w:pStyle w:val="PKTpunkt0"/>
              <w:keepNext/>
              <w:spacing w:line="240" w:lineRule="auto"/>
              <w:rPr>
                <w:rFonts w:ascii="Times New Roman" w:hAnsi="Times New Roman" w:cs="Times New Roman"/>
                <w:sz w:val="22"/>
                <w:szCs w:val="22"/>
              </w:rPr>
            </w:pPr>
            <w:r w:rsidRPr="00317ABF">
              <w:rPr>
                <w:rFonts w:ascii="Times New Roman" w:hAnsi="Times New Roman" w:cs="Times New Roman"/>
                <w:sz w:val="22"/>
                <w:szCs w:val="22"/>
              </w:rPr>
              <w:t xml:space="preserve">1) </w:t>
            </w:r>
            <w:r w:rsidRPr="00317ABF">
              <w:rPr>
                <w:rFonts w:ascii="Times New Roman" w:hAnsi="Times New Roman" w:cs="Times New Roman"/>
                <w:sz w:val="22"/>
                <w:szCs w:val="22"/>
              </w:rPr>
              <w:tab/>
              <w:t>dla urządzenia radiowego naziemnego lub rezerwacji częstotliwości w celu świadczenia usług telekomunikacyjnych za pomocą takich urządzeń:</w:t>
            </w:r>
          </w:p>
          <w:p w14:paraId="1A458433" w14:textId="77777777" w:rsidR="006B1C8E" w:rsidRPr="00317ABF" w:rsidRDefault="006B1C8E" w:rsidP="006B1C8E">
            <w:pPr>
              <w:pStyle w:val="LITlitera"/>
              <w:spacing w:line="240" w:lineRule="auto"/>
              <w:rPr>
                <w:rFonts w:ascii="Times New Roman" w:hAnsi="Times New Roman" w:cs="Times New Roman"/>
                <w:sz w:val="22"/>
                <w:szCs w:val="22"/>
              </w:rPr>
            </w:pPr>
            <w:r w:rsidRPr="00317ABF">
              <w:rPr>
                <w:rFonts w:ascii="Times New Roman" w:hAnsi="Times New Roman" w:cs="Times New Roman"/>
                <w:sz w:val="22"/>
                <w:szCs w:val="22"/>
              </w:rPr>
              <w:t xml:space="preserve">a) </w:t>
            </w:r>
            <w:r w:rsidRPr="00317ABF">
              <w:rPr>
                <w:rFonts w:ascii="Times New Roman" w:hAnsi="Times New Roman" w:cs="Times New Roman"/>
                <w:sz w:val="22"/>
                <w:szCs w:val="22"/>
              </w:rPr>
              <w:tab/>
              <w:t>częstotliwość lub częstotliwości graniczne kanałów lub zakresów częstotliwości albo numery kanałów,</w:t>
            </w:r>
          </w:p>
          <w:p w14:paraId="77ED6B78" w14:textId="77777777" w:rsidR="006B1C8E" w:rsidRPr="00317ABF" w:rsidRDefault="006B1C8E" w:rsidP="006B1C8E">
            <w:pPr>
              <w:pStyle w:val="LITlitera"/>
              <w:spacing w:line="240" w:lineRule="auto"/>
              <w:rPr>
                <w:rFonts w:ascii="Times New Roman" w:hAnsi="Times New Roman" w:cs="Times New Roman"/>
                <w:sz w:val="22"/>
                <w:szCs w:val="22"/>
              </w:rPr>
            </w:pPr>
            <w:r w:rsidRPr="00317ABF">
              <w:rPr>
                <w:rFonts w:ascii="Times New Roman" w:hAnsi="Times New Roman" w:cs="Times New Roman"/>
                <w:sz w:val="22"/>
                <w:szCs w:val="22"/>
              </w:rPr>
              <w:t xml:space="preserve">b) </w:t>
            </w:r>
            <w:r w:rsidRPr="00317ABF">
              <w:rPr>
                <w:rFonts w:ascii="Times New Roman" w:hAnsi="Times New Roman" w:cs="Times New Roman"/>
                <w:sz w:val="22"/>
                <w:szCs w:val="22"/>
              </w:rPr>
              <w:tab/>
              <w:t>lokalizację urządzenia albo obszar jego przemieszczania,</w:t>
            </w:r>
          </w:p>
          <w:p w14:paraId="6A40DDB7" w14:textId="77777777" w:rsidR="006B1C8E" w:rsidRPr="00317ABF" w:rsidRDefault="006B1C8E" w:rsidP="006B1C8E">
            <w:pPr>
              <w:pStyle w:val="LITlitera"/>
              <w:spacing w:line="240" w:lineRule="auto"/>
              <w:rPr>
                <w:rFonts w:ascii="Times New Roman" w:hAnsi="Times New Roman" w:cs="Times New Roman"/>
                <w:sz w:val="22"/>
                <w:szCs w:val="22"/>
              </w:rPr>
            </w:pPr>
            <w:r w:rsidRPr="00317ABF">
              <w:rPr>
                <w:rFonts w:ascii="Times New Roman" w:hAnsi="Times New Roman" w:cs="Times New Roman"/>
                <w:sz w:val="22"/>
                <w:szCs w:val="22"/>
              </w:rPr>
              <w:t>c)</w:t>
            </w:r>
            <w:r w:rsidRPr="00317ABF">
              <w:rPr>
                <w:rFonts w:ascii="Times New Roman" w:hAnsi="Times New Roman" w:cs="Times New Roman"/>
                <w:sz w:val="22"/>
                <w:szCs w:val="22"/>
              </w:rPr>
              <w:tab/>
              <w:t>moc promieniowaną lub moc wyjściową,</w:t>
            </w:r>
          </w:p>
          <w:p w14:paraId="5586B0E3" w14:textId="77777777" w:rsidR="006B1C8E" w:rsidRPr="00317ABF" w:rsidRDefault="006B1C8E" w:rsidP="006B1C8E">
            <w:pPr>
              <w:pStyle w:val="LITlitera"/>
              <w:spacing w:line="240" w:lineRule="auto"/>
              <w:rPr>
                <w:rFonts w:ascii="Times New Roman" w:hAnsi="Times New Roman" w:cs="Times New Roman"/>
                <w:sz w:val="22"/>
                <w:szCs w:val="22"/>
              </w:rPr>
            </w:pPr>
            <w:r w:rsidRPr="00317ABF">
              <w:rPr>
                <w:rFonts w:ascii="Times New Roman" w:hAnsi="Times New Roman" w:cs="Times New Roman"/>
                <w:sz w:val="22"/>
                <w:szCs w:val="22"/>
              </w:rPr>
              <w:t>d)</w:t>
            </w:r>
            <w:r w:rsidRPr="00317ABF">
              <w:rPr>
                <w:rFonts w:ascii="Times New Roman" w:hAnsi="Times New Roman" w:cs="Times New Roman"/>
                <w:sz w:val="22"/>
                <w:szCs w:val="22"/>
              </w:rPr>
              <w:tab/>
              <w:t>polaryzację, wysokość zawieszenia i charakterystykę promieniowania anteny nadawczej,</w:t>
            </w:r>
          </w:p>
          <w:p w14:paraId="2B3CD486" w14:textId="77777777" w:rsidR="006B1C8E" w:rsidRPr="00317ABF" w:rsidRDefault="006B1C8E" w:rsidP="006B1C8E">
            <w:pPr>
              <w:pStyle w:val="LITlitera"/>
              <w:spacing w:line="240" w:lineRule="auto"/>
              <w:rPr>
                <w:rFonts w:ascii="Times New Roman" w:hAnsi="Times New Roman" w:cs="Times New Roman"/>
                <w:sz w:val="22"/>
                <w:szCs w:val="22"/>
              </w:rPr>
            </w:pPr>
            <w:r w:rsidRPr="00317ABF">
              <w:rPr>
                <w:rFonts w:ascii="Times New Roman" w:hAnsi="Times New Roman" w:cs="Times New Roman"/>
                <w:sz w:val="22"/>
                <w:szCs w:val="22"/>
              </w:rPr>
              <w:t xml:space="preserve">e) </w:t>
            </w:r>
            <w:r w:rsidRPr="00317ABF">
              <w:rPr>
                <w:rFonts w:ascii="Times New Roman" w:hAnsi="Times New Roman" w:cs="Times New Roman"/>
                <w:sz w:val="22"/>
                <w:szCs w:val="22"/>
              </w:rPr>
              <w:tab/>
              <w:t>rodzaj sygnału i parametry techniczne jego nadawania;</w:t>
            </w:r>
          </w:p>
          <w:p w14:paraId="57B1ED46" w14:textId="77777777" w:rsidR="006B1C8E" w:rsidRPr="00317ABF" w:rsidRDefault="006B1C8E" w:rsidP="006B1C8E">
            <w:pPr>
              <w:pStyle w:val="PKTpunkt0"/>
              <w:keepNext/>
              <w:spacing w:line="240" w:lineRule="auto"/>
              <w:rPr>
                <w:rFonts w:ascii="Times New Roman" w:hAnsi="Times New Roman" w:cs="Times New Roman"/>
                <w:sz w:val="22"/>
                <w:szCs w:val="22"/>
              </w:rPr>
            </w:pPr>
            <w:r w:rsidRPr="00317ABF">
              <w:rPr>
                <w:rFonts w:ascii="Times New Roman" w:hAnsi="Times New Roman" w:cs="Times New Roman"/>
                <w:sz w:val="22"/>
                <w:szCs w:val="22"/>
              </w:rPr>
              <w:t xml:space="preserve">2) </w:t>
            </w:r>
            <w:r w:rsidRPr="00317ABF">
              <w:rPr>
                <w:rFonts w:ascii="Times New Roman" w:hAnsi="Times New Roman" w:cs="Times New Roman"/>
                <w:sz w:val="22"/>
                <w:szCs w:val="22"/>
              </w:rPr>
              <w:tab/>
              <w:t>dla naziemnej stacji satelitarnej lub rezerwacji częstotliwości dla świadczenia usług telekomunikacyjnych za pomocą nadawczo-odbiorczego urządzenia radiowego umieszczonego na sztucznym satelicie Ziemi:</w:t>
            </w:r>
          </w:p>
          <w:p w14:paraId="5FE8730A" w14:textId="77777777" w:rsidR="006B1C8E" w:rsidRPr="00317ABF" w:rsidRDefault="006B1C8E" w:rsidP="006B1C8E">
            <w:pPr>
              <w:pStyle w:val="LITlitera"/>
              <w:spacing w:line="240" w:lineRule="auto"/>
              <w:rPr>
                <w:rFonts w:ascii="Times New Roman" w:hAnsi="Times New Roman" w:cs="Times New Roman"/>
                <w:sz w:val="22"/>
                <w:szCs w:val="22"/>
              </w:rPr>
            </w:pPr>
            <w:r w:rsidRPr="00317ABF">
              <w:rPr>
                <w:rFonts w:ascii="Times New Roman" w:hAnsi="Times New Roman" w:cs="Times New Roman"/>
                <w:sz w:val="22"/>
                <w:szCs w:val="22"/>
              </w:rPr>
              <w:t xml:space="preserve">a) </w:t>
            </w:r>
            <w:r w:rsidRPr="00317ABF">
              <w:rPr>
                <w:rFonts w:ascii="Times New Roman" w:hAnsi="Times New Roman" w:cs="Times New Roman"/>
                <w:sz w:val="22"/>
                <w:szCs w:val="22"/>
              </w:rPr>
              <w:tab/>
              <w:t>nazwę wykorzystywanego satelity i jego położenie,</w:t>
            </w:r>
          </w:p>
          <w:p w14:paraId="739233F3" w14:textId="77777777" w:rsidR="006B1C8E" w:rsidRPr="00317ABF" w:rsidRDefault="006B1C8E" w:rsidP="006B1C8E">
            <w:pPr>
              <w:pStyle w:val="LITlitera"/>
              <w:spacing w:line="240" w:lineRule="auto"/>
              <w:rPr>
                <w:rFonts w:ascii="Times New Roman" w:hAnsi="Times New Roman" w:cs="Times New Roman"/>
                <w:sz w:val="22"/>
                <w:szCs w:val="22"/>
              </w:rPr>
            </w:pPr>
            <w:r w:rsidRPr="00317ABF">
              <w:rPr>
                <w:rFonts w:ascii="Times New Roman" w:hAnsi="Times New Roman" w:cs="Times New Roman"/>
                <w:sz w:val="22"/>
                <w:szCs w:val="22"/>
              </w:rPr>
              <w:t xml:space="preserve">b) </w:t>
            </w:r>
            <w:r w:rsidRPr="00317ABF">
              <w:rPr>
                <w:rFonts w:ascii="Times New Roman" w:hAnsi="Times New Roman" w:cs="Times New Roman"/>
                <w:sz w:val="22"/>
                <w:szCs w:val="22"/>
              </w:rPr>
              <w:tab/>
              <w:t>odpowiednio, lokalizację naziemnej stacji satelitarnej lub obszar jej przemieszczania,</w:t>
            </w:r>
          </w:p>
          <w:p w14:paraId="4ADFF201" w14:textId="77777777" w:rsidR="006B1C8E" w:rsidRPr="00317ABF" w:rsidRDefault="006B1C8E" w:rsidP="006B1C8E">
            <w:pPr>
              <w:pStyle w:val="LITlitera"/>
              <w:spacing w:line="240" w:lineRule="auto"/>
              <w:rPr>
                <w:rFonts w:ascii="Times New Roman" w:hAnsi="Times New Roman" w:cs="Times New Roman"/>
                <w:sz w:val="22"/>
                <w:szCs w:val="22"/>
              </w:rPr>
            </w:pPr>
            <w:r w:rsidRPr="00317ABF">
              <w:rPr>
                <w:rFonts w:ascii="Times New Roman" w:hAnsi="Times New Roman" w:cs="Times New Roman"/>
                <w:sz w:val="22"/>
                <w:szCs w:val="22"/>
              </w:rPr>
              <w:t>c)</w:t>
            </w:r>
            <w:r w:rsidRPr="00317ABF">
              <w:rPr>
                <w:rFonts w:ascii="Times New Roman" w:hAnsi="Times New Roman" w:cs="Times New Roman"/>
                <w:sz w:val="22"/>
                <w:szCs w:val="22"/>
              </w:rPr>
              <w:tab/>
              <w:t>częstotliwość lub częstotliwości skrajne zakresów częstotliwości lub kanałów częstotliwości albo numery kanałów, wykorzystywane do transmisji sygnałów w kierunkach: kosmos - Ziemia i Ziemia - kosmos,</w:t>
            </w:r>
          </w:p>
          <w:p w14:paraId="0C53EC9A" w14:textId="77777777" w:rsidR="006B1C8E" w:rsidRPr="00317ABF" w:rsidRDefault="006B1C8E" w:rsidP="006B1C8E">
            <w:pPr>
              <w:pStyle w:val="LITlitera"/>
              <w:spacing w:line="240" w:lineRule="auto"/>
              <w:rPr>
                <w:rFonts w:ascii="Times New Roman" w:hAnsi="Times New Roman" w:cs="Times New Roman"/>
                <w:sz w:val="22"/>
                <w:szCs w:val="22"/>
              </w:rPr>
            </w:pPr>
            <w:r w:rsidRPr="00317ABF">
              <w:rPr>
                <w:rFonts w:ascii="Times New Roman" w:hAnsi="Times New Roman" w:cs="Times New Roman"/>
                <w:sz w:val="22"/>
                <w:szCs w:val="22"/>
              </w:rPr>
              <w:lastRenderedPageBreak/>
              <w:t xml:space="preserve">d) </w:t>
            </w:r>
            <w:r w:rsidRPr="00317ABF">
              <w:rPr>
                <w:rFonts w:ascii="Times New Roman" w:hAnsi="Times New Roman" w:cs="Times New Roman"/>
                <w:sz w:val="22"/>
                <w:szCs w:val="22"/>
              </w:rPr>
              <w:tab/>
              <w:t>rodzaj sygnału i parametry techniczne jego nadawania.</w:t>
            </w:r>
          </w:p>
          <w:p w14:paraId="0CE5456E" w14:textId="0AA89A6D" w:rsidR="001E1112" w:rsidRPr="00317ABF" w:rsidRDefault="006B1C8E" w:rsidP="00DB3BEC">
            <w:pPr>
              <w:jc w:val="both"/>
              <w:rPr>
                <w:sz w:val="22"/>
                <w:szCs w:val="22"/>
              </w:rPr>
            </w:pPr>
            <w:r w:rsidRPr="00317ABF">
              <w:rPr>
                <w:sz w:val="22"/>
                <w:szCs w:val="22"/>
              </w:rPr>
              <w:t>2. Przepisów ust. 1 pkt 1 lit. d i e nie stosuje się do pozwoleń w służbie radiokomunikacyjnej amatorskiej.</w:t>
            </w:r>
          </w:p>
          <w:p w14:paraId="0E83EB23" w14:textId="77777777" w:rsidR="001E1112" w:rsidRPr="00317ABF" w:rsidRDefault="001E1112" w:rsidP="00DB3BEC">
            <w:pPr>
              <w:suppressAutoHyphens/>
              <w:autoSpaceDE w:val="0"/>
              <w:autoSpaceDN w:val="0"/>
              <w:adjustRightInd w:val="0"/>
              <w:spacing w:before="120"/>
              <w:jc w:val="both"/>
              <w:rPr>
                <w:sz w:val="22"/>
                <w:szCs w:val="22"/>
                <w:lang w:eastAsia="en-US"/>
              </w:rPr>
            </w:pPr>
            <w:r w:rsidRPr="00317ABF">
              <w:rPr>
                <w:sz w:val="22"/>
                <w:szCs w:val="22"/>
                <w:lang w:eastAsia="en-US"/>
              </w:rPr>
              <w:t>Art. 1</w:t>
            </w:r>
            <w:r w:rsidRPr="00317ABF">
              <w:rPr>
                <w:sz w:val="22"/>
                <w:szCs w:val="22"/>
              </w:rPr>
              <w:t>3</w:t>
            </w:r>
            <w:r w:rsidRPr="00317ABF">
              <w:rPr>
                <w:sz w:val="22"/>
                <w:szCs w:val="22"/>
                <w:lang w:eastAsia="en-US"/>
              </w:rPr>
              <w:t>9</w:t>
            </w:r>
            <w:r w:rsidRPr="00317ABF">
              <w:rPr>
                <w:sz w:val="22"/>
                <w:szCs w:val="22"/>
              </w:rPr>
              <w:t xml:space="preserve">. 1. </w:t>
            </w:r>
            <w:r w:rsidRPr="00317ABF">
              <w:rPr>
                <w:sz w:val="22"/>
                <w:szCs w:val="22"/>
                <w:lang w:eastAsia="en-US"/>
              </w:rPr>
              <w:t xml:space="preserve"> Prezes UKE, w drodze decyzji, przyznaje prawo do wykorzystywania zasobów numeracji, zgodnie z planami numeracji krajowej dla publicznych sieci telekomunikacyjnych, przedsiębiorcom telekomunikacyjnym, jednostkom samorządu terytorialnego prowadzącym działalność w zakresie telekomunikacji niebędącym przedsiębiorcami telekomunikacyjnymi i podmiotom, o których mowa w art. 2 pkt 86 lit a, b, d oraz h oraz podmiotom wskazan</w:t>
            </w:r>
            <w:r w:rsidRPr="00317ABF">
              <w:rPr>
                <w:sz w:val="22"/>
                <w:szCs w:val="22"/>
              </w:rPr>
              <w:t>ym</w:t>
            </w:r>
            <w:r w:rsidRPr="00317ABF">
              <w:rPr>
                <w:sz w:val="22"/>
                <w:szCs w:val="22"/>
                <w:lang w:eastAsia="en-US"/>
              </w:rPr>
              <w:t xml:space="preserve"> przez ministra właściwego do spraw energii do wykonywania zadań, o których mowa w art. 69 ust. 2, na ich wniosek.</w:t>
            </w:r>
            <w:bookmarkStart w:id="68" w:name="mip44758620"/>
            <w:bookmarkEnd w:id="68"/>
          </w:p>
          <w:p w14:paraId="75E04E74" w14:textId="77777777" w:rsidR="001E1112" w:rsidRPr="00317ABF" w:rsidRDefault="001E1112" w:rsidP="00DB3BEC">
            <w:pPr>
              <w:suppressAutoHyphens/>
              <w:autoSpaceDE w:val="0"/>
              <w:autoSpaceDN w:val="0"/>
              <w:adjustRightInd w:val="0"/>
              <w:ind w:firstLine="510"/>
              <w:jc w:val="both"/>
              <w:rPr>
                <w:bCs/>
                <w:sz w:val="22"/>
                <w:szCs w:val="22"/>
                <w:lang w:eastAsia="en-US"/>
              </w:rPr>
            </w:pPr>
            <w:r w:rsidRPr="00317ABF">
              <w:rPr>
                <w:bCs/>
                <w:sz w:val="22"/>
                <w:szCs w:val="22"/>
                <w:lang w:eastAsia="en-US"/>
              </w:rPr>
              <w:t xml:space="preserve">2. Prezes UKE, w drodze decyzji, może przyznać prawo do wykorzystywania zasobów numeracji, zgodnie z planami numeracji krajowej dla publicznych sieci telekomunikacyjnych, podmiotowi uprawnionemu do prowadzenia działalności gospodarczej innemu niż podmioty wskazane w ust. 1, na jego wniosek, na potrzeby świadczenia usług innych niż usługi komunikacji elektronicznej, o ile dostępne zasoby numeracji są wystarczające do zaspokojenia obecnego i prognozowanego zapotrzebowania na numerację, a podmioty </w:t>
            </w:r>
            <w:r w:rsidRPr="00317ABF">
              <w:rPr>
                <w:bCs/>
                <w:sz w:val="22"/>
                <w:szCs w:val="22"/>
              </w:rPr>
              <w:t xml:space="preserve">te </w:t>
            </w:r>
            <w:r w:rsidRPr="00317ABF">
              <w:rPr>
                <w:bCs/>
                <w:sz w:val="22"/>
                <w:szCs w:val="22"/>
                <w:lang w:eastAsia="en-US"/>
              </w:rPr>
              <w:t>wykażą swoją zdolność do efektywnego gospodarowania zasobami numeracji. Prezes UKE decydując o przyznaniu prawa do wykorzystywania zasobów numeracji uwzględnia wytyczne BEREC w sprawie wspólnych kryteriów oceny zdolności do zarządzania zasobami numeracji oraz ryzyka wyczerpania zasobów numeracji.</w:t>
            </w:r>
          </w:p>
          <w:p w14:paraId="392EAB32" w14:textId="77777777" w:rsidR="001E1112" w:rsidRPr="00317ABF" w:rsidRDefault="001E1112" w:rsidP="00DB3BEC">
            <w:pPr>
              <w:suppressAutoHyphens/>
              <w:autoSpaceDE w:val="0"/>
              <w:autoSpaceDN w:val="0"/>
              <w:adjustRightInd w:val="0"/>
              <w:ind w:firstLine="510"/>
              <w:jc w:val="both"/>
              <w:rPr>
                <w:bCs/>
                <w:sz w:val="22"/>
                <w:szCs w:val="22"/>
                <w:lang w:eastAsia="en-US"/>
              </w:rPr>
            </w:pPr>
            <w:bookmarkStart w:id="69" w:name="mip44758621"/>
            <w:bookmarkEnd w:id="69"/>
            <w:r w:rsidRPr="00317ABF">
              <w:rPr>
                <w:bCs/>
                <w:sz w:val="22"/>
                <w:szCs w:val="22"/>
              </w:rPr>
              <w:t>3</w:t>
            </w:r>
            <w:r w:rsidRPr="00317ABF">
              <w:rPr>
                <w:bCs/>
                <w:sz w:val="22"/>
                <w:szCs w:val="22"/>
                <w:lang w:eastAsia="en-US"/>
              </w:rPr>
              <w:t>. Przyznanie prawa do wykorzystywania zasobów numeracji o ustalonym przeznaczeniu następuje w terminie nie dłuższym niż 3 tygodnie od dnia złożenia wniosku.</w:t>
            </w:r>
          </w:p>
          <w:p w14:paraId="4E6A6060" w14:textId="77777777" w:rsidR="001E1112" w:rsidRPr="00317ABF" w:rsidRDefault="001E1112" w:rsidP="00DB3BEC">
            <w:pPr>
              <w:suppressAutoHyphens/>
              <w:autoSpaceDE w:val="0"/>
              <w:autoSpaceDN w:val="0"/>
              <w:adjustRightInd w:val="0"/>
              <w:ind w:firstLine="510"/>
              <w:jc w:val="both"/>
              <w:rPr>
                <w:bCs/>
                <w:sz w:val="22"/>
                <w:szCs w:val="22"/>
                <w:lang w:eastAsia="en-US"/>
              </w:rPr>
            </w:pPr>
            <w:bookmarkStart w:id="70" w:name="mip44758622"/>
            <w:bookmarkEnd w:id="70"/>
            <w:r w:rsidRPr="00317ABF">
              <w:rPr>
                <w:bCs/>
                <w:sz w:val="22"/>
                <w:szCs w:val="22"/>
              </w:rPr>
              <w:t>4</w:t>
            </w:r>
            <w:r w:rsidRPr="00317ABF">
              <w:rPr>
                <w:bCs/>
                <w:sz w:val="22"/>
                <w:szCs w:val="22"/>
                <w:lang w:eastAsia="en-US"/>
              </w:rPr>
              <w:t>. Prezes UKE przyznaje prawo do wykorzystywania zasobów numeracji, o przyznanie którego wpłynął więcej niż jeden wniosek:</w:t>
            </w:r>
          </w:p>
          <w:p w14:paraId="62001A17" w14:textId="77777777" w:rsidR="001E1112" w:rsidRPr="00317ABF" w:rsidRDefault="001E1112" w:rsidP="00DB3BEC">
            <w:pPr>
              <w:ind w:left="510" w:hanging="510"/>
              <w:jc w:val="both"/>
              <w:rPr>
                <w:bCs/>
                <w:sz w:val="22"/>
                <w:szCs w:val="22"/>
                <w:lang w:eastAsia="en-US"/>
              </w:rPr>
            </w:pPr>
            <w:bookmarkStart w:id="71" w:name="mip44758624"/>
            <w:bookmarkEnd w:id="71"/>
            <w:r w:rsidRPr="00317ABF">
              <w:rPr>
                <w:bCs/>
                <w:sz w:val="22"/>
                <w:szCs w:val="22"/>
                <w:lang w:eastAsia="en-US"/>
              </w:rPr>
              <w:t>1) po przeprowadzeniu postępowania konsultacyjnego,</w:t>
            </w:r>
          </w:p>
          <w:p w14:paraId="38F5CEAE" w14:textId="77777777" w:rsidR="001E1112" w:rsidRPr="00317ABF" w:rsidRDefault="001E1112" w:rsidP="00DB3BEC">
            <w:pPr>
              <w:ind w:left="510" w:hanging="510"/>
              <w:jc w:val="both"/>
              <w:rPr>
                <w:bCs/>
                <w:sz w:val="22"/>
                <w:szCs w:val="22"/>
                <w:lang w:eastAsia="en-US"/>
              </w:rPr>
            </w:pPr>
            <w:bookmarkStart w:id="72" w:name="mip44758625"/>
            <w:bookmarkEnd w:id="72"/>
            <w:r w:rsidRPr="00317ABF">
              <w:rPr>
                <w:bCs/>
                <w:sz w:val="22"/>
                <w:szCs w:val="22"/>
                <w:lang w:eastAsia="en-US"/>
              </w:rPr>
              <w:t>2) w drodze przetargu, jeżeli w postępowaniu konsultacyjnym stwierdzono konieczność przeprowadzenia takiego postępowania</w:t>
            </w:r>
          </w:p>
          <w:p w14:paraId="4906B962" w14:textId="77777777" w:rsidR="001E1112" w:rsidRPr="00317ABF" w:rsidRDefault="001E1112" w:rsidP="00DB3BEC">
            <w:pPr>
              <w:jc w:val="both"/>
              <w:rPr>
                <w:bCs/>
                <w:sz w:val="22"/>
                <w:szCs w:val="22"/>
                <w:lang w:eastAsia="en-US"/>
              </w:rPr>
            </w:pPr>
            <w:bookmarkStart w:id="73" w:name="mip44758626"/>
            <w:bookmarkEnd w:id="73"/>
            <w:r w:rsidRPr="00317ABF">
              <w:rPr>
                <w:bCs/>
                <w:sz w:val="22"/>
                <w:szCs w:val="22"/>
                <w:lang w:eastAsia="en-US"/>
              </w:rPr>
              <w:t>- w terminie nie dłuższym niż 6 tygodni od dnia złożenia pierwszego wniosku.</w:t>
            </w:r>
          </w:p>
          <w:p w14:paraId="2202CC14" w14:textId="77777777" w:rsidR="001E1112" w:rsidRPr="00317ABF" w:rsidRDefault="001E1112" w:rsidP="00DB3BEC">
            <w:pPr>
              <w:suppressAutoHyphens/>
              <w:autoSpaceDE w:val="0"/>
              <w:autoSpaceDN w:val="0"/>
              <w:adjustRightInd w:val="0"/>
              <w:ind w:firstLine="510"/>
              <w:jc w:val="both"/>
              <w:rPr>
                <w:bCs/>
                <w:sz w:val="22"/>
                <w:szCs w:val="22"/>
                <w:lang w:eastAsia="en-US"/>
              </w:rPr>
            </w:pPr>
            <w:bookmarkStart w:id="74" w:name="mip44758627"/>
            <w:bookmarkEnd w:id="74"/>
            <w:r w:rsidRPr="00317ABF">
              <w:rPr>
                <w:bCs/>
                <w:sz w:val="22"/>
                <w:szCs w:val="22"/>
              </w:rPr>
              <w:t>5</w:t>
            </w:r>
            <w:r w:rsidRPr="00317ABF">
              <w:rPr>
                <w:bCs/>
                <w:sz w:val="22"/>
                <w:szCs w:val="22"/>
                <w:lang w:eastAsia="en-US"/>
              </w:rPr>
              <w:t>. Przetarg przeprowadza Prezes UKE. Ogłoszenie o przetargu</w:t>
            </w:r>
            <w:r w:rsidRPr="00317ABF">
              <w:rPr>
                <w:bCs/>
                <w:sz w:val="22"/>
                <w:szCs w:val="22"/>
              </w:rPr>
              <w:t xml:space="preserve"> udostępnia</w:t>
            </w:r>
            <w:r w:rsidRPr="00317ABF">
              <w:rPr>
                <w:bCs/>
                <w:sz w:val="22"/>
                <w:szCs w:val="22"/>
                <w:lang w:eastAsia="en-US"/>
              </w:rPr>
              <w:t xml:space="preserve"> w prasie codziennej o zasięgu ogólnokrajowym oraz na stronie podmiotowej BIP UKE.</w:t>
            </w:r>
          </w:p>
          <w:p w14:paraId="605BEF2F" w14:textId="77777777" w:rsidR="001E1112" w:rsidRPr="00317ABF" w:rsidRDefault="001E1112" w:rsidP="00DB3BEC">
            <w:pPr>
              <w:suppressAutoHyphens/>
              <w:autoSpaceDE w:val="0"/>
              <w:autoSpaceDN w:val="0"/>
              <w:adjustRightInd w:val="0"/>
              <w:ind w:firstLine="510"/>
              <w:jc w:val="both"/>
              <w:rPr>
                <w:bCs/>
                <w:sz w:val="22"/>
                <w:szCs w:val="22"/>
                <w:lang w:eastAsia="en-US"/>
              </w:rPr>
            </w:pPr>
            <w:bookmarkStart w:id="75" w:name="mip44758628"/>
            <w:bookmarkEnd w:id="75"/>
            <w:r w:rsidRPr="00317ABF">
              <w:rPr>
                <w:bCs/>
                <w:sz w:val="22"/>
                <w:szCs w:val="22"/>
              </w:rPr>
              <w:lastRenderedPageBreak/>
              <w:t>6</w:t>
            </w:r>
            <w:r w:rsidRPr="00317ABF">
              <w:rPr>
                <w:bCs/>
                <w:sz w:val="22"/>
                <w:szCs w:val="22"/>
                <w:lang w:eastAsia="en-US"/>
              </w:rPr>
              <w:t>. Do przetargu stosuje się odpowiednio przepisy art. 105 ust. 1 i 2</w:t>
            </w:r>
            <w:r w:rsidRPr="00317ABF">
              <w:rPr>
                <w:bCs/>
                <w:sz w:val="22"/>
                <w:szCs w:val="22"/>
              </w:rPr>
              <w:t>, art. 107 ust. 1</w:t>
            </w:r>
            <w:r w:rsidRPr="00317ABF">
              <w:rPr>
                <w:bCs/>
                <w:sz w:val="22"/>
                <w:szCs w:val="22"/>
                <w:lang w:eastAsia="en-US"/>
              </w:rPr>
              <w:t xml:space="preserve">, art. 108 ust. 1, </w:t>
            </w:r>
            <w:hyperlink r:id="rId20">
              <w:r w:rsidRPr="00317ABF">
                <w:rPr>
                  <w:bCs/>
                  <w:sz w:val="22"/>
                  <w:szCs w:val="22"/>
                  <w:lang w:eastAsia="en-US"/>
                </w:rPr>
                <w:t xml:space="preserve">art. </w:t>
              </w:r>
            </w:hyperlink>
            <w:r w:rsidRPr="00317ABF">
              <w:rPr>
                <w:bCs/>
                <w:sz w:val="22"/>
                <w:szCs w:val="22"/>
              </w:rPr>
              <w:t>114</w:t>
            </w:r>
            <w:r w:rsidRPr="00317ABF">
              <w:rPr>
                <w:bCs/>
                <w:sz w:val="22"/>
                <w:szCs w:val="22"/>
                <w:lang w:eastAsia="en-US"/>
              </w:rPr>
              <w:t xml:space="preserve">, art. 115 ust. 1 , </w:t>
            </w:r>
            <w:hyperlink r:id="rId21">
              <w:r w:rsidRPr="00317ABF">
                <w:rPr>
                  <w:bCs/>
                  <w:sz w:val="22"/>
                  <w:szCs w:val="22"/>
                </w:rPr>
                <w:t xml:space="preserve">art. </w:t>
              </w:r>
            </w:hyperlink>
            <w:r w:rsidRPr="00317ABF">
              <w:rPr>
                <w:bCs/>
                <w:sz w:val="22"/>
                <w:szCs w:val="22"/>
              </w:rPr>
              <w:t>116 oraz 117</w:t>
            </w:r>
            <w:r w:rsidRPr="00317ABF">
              <w:rPr>
                <w:bCs/>
                <w:sz w:val="22"/>
                <w:szCs w:val="22"/>
                <w:lang w:eastAsia="en-US"/>
              </w:rPr>
              <w:t>.</w:t>
            </w:r>
          </w:p>
          <w:p w14:paraId="41F3C8B3" w14:textId="77777777" w:rsidR="001E1112" w:rsidRPr="00317ABF" w:rsidRDefault="001E1112" w:rsidP="00DB3BEC">
            <w:pPr>
              <w:suppressAutoHyphens/>
              <w:autoSpaceDE w:val="0"/>
              <w:autoSpaceDN w:val="0"/>
              <w:adjustRightInd w:val="0"/>
              <w:ind w:firstLine="510"/>
              <w:jc w:val="both"/>
              <w:rPr>
                <w:bCs/>
                <w:sz w:val="22"/>
                <w:szCs w:val="22"/>
                <w:lang w:eastAsia="en-US"/>
              </w:rPr>
            </w:pPr>
            <w:bookmarkStart w:id="76" w:name="mip44758629"/>
            <w:bookmarkEnd w:id="76"/>
            <w:r w:rsidRPr="00317ABF">
              <w:rPr>
                <w:bCs/>
                <w:sz w:val="22"/>
                <w:szCs w:val="22"/>
              </w:rPr>
              <w:t>7</w:t>
            </w:r>
            <w:r w:rsidRPr="00317ABF">
              <w:rPr>
                <w:bCs/>
                <w:sz w:val="22"/>
                <w:szCs w:val="22"/>
                <w:lang w:eastAsia="en-US"/>
              </w:rPr>
              <w:t>. Decydującym kryterium oceny ofert jest wysokość kwoty zadeklarowanej przez podmiot wnioskujący o przyznanie prawa do wykorzystywania zasobów numeracji.</w:t>
            </w:r>
          </w:p>
          <w:p w14:paraId="406740B6" w14:textId="77777777" w:rsidR="001E1112" w:rsidRPr="00317ABF" w:rsidRDefault="001E1112" w:rsidP="00DB3BEC">
            <w:pPr>
              <w:suppressAutoHyphens/>
              <w:autoSpaceDE w:val="0"/>
              <w:autoSpaceDN w:val="0"/>
              <w:adjustRightInd w:val="0"/>
              <w:ind w:firstLine="510"/>
              <w:jc w:val="both"/>
              <w:rPr>
                <w:bCs/>
                <w:sz w:val="22"/>
                <w:szCs w:val="22"/>
                <w:lang w:eastAsia="en-US"/>
              </w:rPr>
            </w:pPr>
            <w:bookmarkStart w:id="77" w:name="mip44758630"/>
            <w:bookmarkEnd w:id="77"/>
            <w:r w:rsidRPr="00317ABF">
              <w:rPr>
                <w:bCs/>
                <w:sz w:val="22"/>
                <w:szCs w:val="22"/>
              </w:rPr>
              <w:t>8</w:t>
            </w:r>
            <w:r w:rsidRPr="00317ABF">
              <w:rPr>
                <w:bCs/>
                <w:sz w:val="22"/>
                <w:szCs w:val="22"/>
                <w:lang w:eastAsia="en-US"/>
              </w:rPr>
              <w:t>. Przyznanie prawa do wykorzystywania zasobów numeracji może określać warunki wykorzystywania lub udostępniania numeracji, w szczególności:</w:t>
            </w:r>
          </w:p>
          <w:p w14:paraId="542A5D1C" w14:textId="77777777" w:rsidR="001E1112" w:rsidRPr="00317ABF" w:rsidRDefault="001E1112" w:rsidP="00DB3BEC">
            <w:pPr>
              <w:ind w:left="510" w:hanging="510"/>
              <w:jc w:val="both"/>
              <w:rPr>
                <w:bCs/>
                <w:sz w:val="22"/>
                <w:szCs w:val="22"/>
                <w:lang w:eastAsia="en-US"/>
              </w:rPr>
            </w:pPr>
            <w:bookmarkStart w:id="78" w:name="mip44758632"/>
            <w:bookmarkEnd w:id="78"/>
            <w:r w:rsidRPr="00317ABF">
              <w:rPr>
                <w:bCs/>
                <w:sz w:val="22"/>
                <w:szCs w:val="22"/>
                <w:lang w:eastAsia="en-US"/>
              </w:rPr>
              <w:t xml:space="preserve">1) wskazywać usługę </w:t>
            </w:r>
            <w:r w:rsidRPr="00317ABF">
              <w:rPr>
                <w:bCs/>
                <w:sz w:val="22"/>
                <w:szCs w:val="22"/>
              </w:rPr>
              <w:t xml:space="preserve">komunikacji </w:t>
            </w:r>
            <w:r w:rsidRPr="00317ABF">
              <w:rPr>
                <w:bCs/>
                <w:sz w:val="22"/>
                <w:szCs w:val="22"/>
                <w:lang w:eastAsia="en-US"/>
              </w:rPr>
              <w:t>elektronicznej, dla której przyznana numeracja ma być wykorzystywana, z podaniem wymogów związanych ze świadczeniem usługi oraz zasad taryfowych i cen maksymalnych;</w:t>
            </w:r>
          </w:p>
          <w:p w14:paraId="7842D096" w14:textId="77777777" w:rsidR="001E1112" w:rsidRPr="00317ABF" w:rsidRDefault="001E1112" w:rsidP="00DB3BEC">
            <w:pPr>
              <w:ind w:left="510" w:hanging="510"/>
              <w:jc w:val="both"/>
              <w:rPr>
                <w:bCs/>
                <w:sz w:val="22"/>
                <w:szCs w:val="22"/>
                <w:lang w:eastAsia="en-US"/>
              </w:rPr>
            </w:pPr>
            <w:bookmarkStart w:id="79" w:name="mip44758633"/>
            <w:bookmarkEnd w:id="79"/>
            <w:r w:rsidRPr="00317ABF">
              <w:rPr>
                <w:bCs/>
                <w:sz w:val="22"/>
                <w:szCs w:val="22"/>
                <w:lang w:eastAsia="en-US"/>
              </w:rPr>
              <w:t xml:space="preserve">2) zobowiązania przedsiębiorcy, któremu przyznano prawo do wykorzystywania zasobów numeracji, przyjęte podczas procedury przetargowej, o której mowa w ust. </w:t>
            </w:r>
            <w:r w:rsidRPr="00317ABF">
              <w:rPr>
                <w:bCs/>
                <w:sz w:val="22"/>
                <w:szCs w:val="22"/>
              </w:rPr>
              <w:t>4</w:t>
            </w:r>
            <w:r w:rsidRPr="00317ABF">
              <w:rPr>
                <w:bCs/>
                <w:sz w:val="22"/>
                <w:szCs w:val="22"/>
                <w:lang w:eastAsia="en-US"/>
              </w:rPr>
              <w:t xml:space="preserve"> pkt 2;</w:t>
            </w:r>
          </w:p>
          <w:p w14:paraId="36490D65" w14:textId="77777777" w:rsidR="001E1112" w:rsidRPr="00317ABF" w:rsidRDefault="001E1112" w:rsidP="00DB3BEC">
            <w:pPr>
              <w:ind w:left="510" w:hanging="510"/>
              <w:jc w:val="both"/>
              <w:rPr>
                <w:bCs/>
                <w:sz w:val="22"/>
                <w:szCs w:val="22"/>
                <w:lang w:eastAsia="en-US"/>
              </w:rPr>
            </w:pPr>
            <w:bookmarkStart w:id="80" w:name="mip44758634"/>
            <w:bookmarkEnd w:id="80"/>
            <w:r w:rsidRPr="00317ABF">
              <w:rPr>
                <w:bCs/>
                <w:sz w:val="22"/>
                <w:szCs w:val="22"/>
                <w:lang w:eastAsia="en-US"/>
              </w:rPr>
              <w:t xml:space="preserve">3) obowiązek niedyskryminującego dostępu do usług </w:t>
            </w:r>
            <w:r w:rsidRPr="00317ABF">
              <w:rPr>
                <w:bCs/>
                <w:sz w:val="22"/>
                <w:szCs w:val="22"/>
              </w:rPr>
              <w:t xml:space="preserve">komunikacji </w:t>
            </w:r>
            <w:r w:rsidRPr="00317ABF">
              <w:rPr>
                <w:bCs/>
                <w:sz w:val="22"/>
                <w:szCs w:val="22"/>
                <w:lang w:eastAsia="en-US"/>
              </w:rPr>
              <w:t>elektronicznej z wykorzystaniem numeracji przyznanej innym przedsiębiorcom;</w:t>
            </w:r>
          </w:p>
          <w:p w14:paraId="249BF8C6" w14:textId="5ABE8183" w:rsidR="001E1112" w:rsidRPr="00317ABF" w:rsidRDefault="001E1112" w:rsidP="0078177A">
            <w:pPr>
              <w:ind w:left="510" w:hanging="510"/>
              <w:jc w:val="both"/>
              <w:rPr>
                <w:sz w:val="22"/>
                <w:szCs w:val="22"/>
              </w:rPr>
            </w:pPr>
            <w:r w:rsidRPr="00317ABF">
              <w:rPr>
                <w:bCs/>
                <w:sz w:val="22"/>
                <w:szCs w:val="22"/>
                <w:lang w:eastAsia="en-US"/>
              </w:rPr>
              <w:t>4) zasady przyznania prawa do wykorzystywania numeracji wykorzystywanej transgranicznie na terenie Unii Europejskiej, uwzględniające przestrzeganie praw konsumentów i zasad użytkowania zasobów numeracji w państwach członkowskich, w których ta numeracja będzie użytkowana.</w:t>
            </w:r>
          </w:p>
        </w:tc>
      </w:tr>
      <w:tr w:rsidR="001E1112" w:rsidRPr="00317ABF" w14:paraId="76B51D39" w14:textId="77777777" w:rsidTr="7753F98D">
        <w:trPr>
          <w:gridAfter w:val="2"/>
          <w:wAfter w:w="175" w:type="dxa"/>
        </w:trPr>
        <w:tc>
          <w:tcPr>
            <w:tcW w:w="704" w:type="dxa"/>
          </w:tcPr>
          <w:p w14:paraId="7926F6C3" w14:textId="77777777" w:rsidR="001E1112" w:rsidRPr="00317ABF" w:rsidRDefault="001E1112" w:rsidP="00DB3BEC">
            <w:pPr>
              <w:jc w:val="both"/>
              <w:rPr>
                <w:b/>
                <w:sz w:val="22"/>
                <w:szCs w:val="22"/>
              </w:rPr>
            </w:pPr>
            <w:r w:rsidRPr="00317ABF">
              <w:rPr>
                <w:b/>
                <w:sz w:val="22"/>
                <w:szCs w:val="22"/>
              </w:rPr>
              <w:lastRenderedPageBreak/>
              <w:t>Art. 14</w:t>
            </w:r>
          </w:p>
        </w:tc>
        <w:tc>
          <w:tcPr>
            <w:tcW w:w="4308" w:type="dxa"/>
          </w:tcPr>
          <w:p w14:paraId="56395817" w14:textId="77777777" w:rsidR="001E1112" w:rsidRPr="00317ABF" w:rsidRDefault="001E1112" w:rsidP="00DB3BEC">
            <w:pPr>
              <w:spacing w:before="60" w:after="120"/>
              <w:jc w:val="both"/>
              <w:rPr>
                <w:b/>
                <w:bCs/>
                <w:sz w:val="22"/>
                <w:szCs w:val="22"/>
              </w:rPr>
            </w:pPr>
            <w:r w:rsidRPr="00317ABF">
              <w:rPr>
                <w:b/>
                <w:bCs/>
                <w:sz w:val="22"/>
                <w:szCs w:val="22"/>
              </w:rPr>
              <w:t>Deklaracje o umożliwianiu wykonywania prawa instalowania urządzeń i prawa do wzajemnych połączeń</w:t>
            </w:r>
          </w:p>
          <w:p w14:paraId="61ED01D2" w14:textId="77777777" w:rsidR="001E1112" w:rsidRPr="00317ABF" w:rsidRDefault="001E1112" w:rsidP="00DB3BEC">
            <w:pPr>
              <w:spacing w:before="120"/>
              <w:jc w:val="both"/>
              <w:rPr>
                <w:sz w:val="22"/>
                <w:szCs w:val="22"/>
              </w:rPr>
            </w:pPr>
            <w:r w:rsidRPr="00317ABF">
              <w:rPr>
                <w:sz w:val="22"/>
                <w:szCs w:val="22"/>
              </w:rPr>
              <w:t xml:space="preserve">Właściwe organy wydają w terminie jednego tygodnia od otrzymania wniosku przedsiębiorstwa, standardową deklarację stwierdzającą w danym przypadku, że przedsiębiorstwo dokonało zgłoszenia zgodnie z art. 12 ust. 3. Takie deklaracje szczegółowo określają, w jakich okolicznościach przedsiębiorstwo udostępniające sieci lub świadczące usługi łączności elektronicznej na podstawie ogólnego zezwolenia jest uprawnione do składania wniosku o przyznanie prawa instalowania urządzeń, negocjowania </w:t>
            </w:r>
            <w:r w:rsidRPr="00317ABF">
              <w:rPr>
                <w:sz w:val="22"/>
                <w:szCs w:val="22"/>
              </w:rPr>
              <w:lastRenderedPageBreak/>
              <w:t>wzajemnych połączeń oraz uzyskania dostępu do wzajemnych połączeń, w celu umożliwienia wykonywania tychże praw na przykład na innych szczeblach władzy państwowej lub w stosunku do innych przedsiębiorstw. W stosownych przypadkach taką deklarację można także wydawać jako automatyczną odpowiedź na zgłoszenie, o którym mowa w artykule 12 ust. 3.</w:t>
            </w:r>
          </w:p>
        </w:tc>
        <w:tc>
          <w:tcPr>
            <w:tcW w:w="986" w:type="dxa"/>
          </w:tcPr>
          <w:p w14:paraId="0EF46479" w14:textId="06D9D247" w:rsidR="001E1112" w:rsidRPr="00317ABF" w:rsidRDefault="001E1112" w:rsidP="00DB3BEC">
            <w:pPr>
              <w:jc w:val="both"/>
              <w:rPr>
                <w:sz w:val="22"/>
                <w:szCs w:val="22"/>
              </w:rPr>
            </w:pPr>
            <w:r w:rsidRPr="00317ABF">
              <w:rPr>
                <w:sz w:val="22"/>
                <w:szCs w:val="22"/>
              </w:rPr>
              <w:lastRenderedPageBreak/>
              <w:t>T</w:t>
            </w:r>
          </w:p>
        </w:tc>
        <w:tc>
          <w:tcPr>
            <w:tcW w:w="910" w:type="dxa"/>
          </w:tcPr>
          <w:p w14:paraId="6924719C" w14:textId="77777777" w:rsidR="001E1112" w:rsidRPr="00317ABF" w:rsidRDefault="001E1112" w:rsidP="00DB3BEC">
            <w:pPr>
              <w:pStyle w:val="Tekstpodstawowy"/>
              <w:rPr>
                <w:b/>
                <w:noProof/>
                <w:sz w:val="22"/>
                <w:szCs w:val="22"/>
              </w:rPr>
            </w:pPr>
            <w:r w:rsidRPr="00317ABF">
              <w:rPr>
                <w:b/>
                <w:noProof/>
                <w:sz w:val="22"/>
                <w:szCs w:val="22"/>
              </w:rPr>
              <w:t>Art. 11</w:t>
            </w:r>
          </w:p>
          <w:p w14:paraId="7E1EF6E1" w14:textId="77777777" w:rsidR="001E1112" w:rsidRPr="00317ABF" w:rsidRDefault="001E1112" w:rsidP="00DB3BEC">
            <w:pPr>
              <w:pStyle w:val="Tekstpodstawowy"/>
              <w:rPr>
                <w:b/>
                <w:noProof/>
                <w:sz w:val="22"/>
                <w:szCs w:val="22"/>
              </w:rPr>
            </w:pPr>
          </w:p>
          <w:p w14:paraId="3BD50A3F" w14:textId="77777777" w:rsidR="001E1112" w:rsidRPr="00317ABF" w:rsidRDefault="001E1112" w:rsidP="00DB3BEC">
            <w:pPr>
              <w:pStyle w:val="Tekstpodstawowy"/>
              <w:rPr>
                <w:b/>
                <w:noProof/>
                <w:sz w:val="22"/>
                <w:szCs w:val="22"/>
              </w:rPr>
            </w:pPr>
          </w:p>
          <w:p w14:paraId="76D0D0AD" w14:textId="77777777" w:rsidR="001E1112" w:rsidRPr="00317ABF" w:rsidRDefault="001E1112" w:rsidP="00DB3BEC">
            <w:pPr>
              <w:pStyle w:val="Tekstpodstawowy"/>
              <w:rPr>
                <w:b/>
                <w:noProof/>
                <w:sz w:val="22"/>
                <w:szCs w:val="22"/>
              </w:rPr>
            </w:pPr>
          </w:p>
          <w:p w14:paraId="43E266DF" w14:textId="77777777" w:rsidR="001E1112" w:rsidRPr="00317ABF" w:rsidRDefault="001E1112" w:rsidP="00DB3BEC">
            <w:pPr>
              <w:pStyle w:val="Tekstpodstawowy"/>
              <w:rPr>
                <w:b/>
                <w:noProof/>
                <w:sz w:val="22"/>
                <w:szCs w:val="22"/>
              </w:rPr>
            </w:pPr>
          </w:p>
          <w:p w14:paraId="5F9153C0" w14:textId="77777777" w:rsidR="001E1112" w:rsidRPr="00317ABF" w:rsidRDefault="001E1112" w:rsidP="00DB3BEC">
            <w:pPr>
              <w:pStyle w:val="Tekstpodstawowy"/>
              <w:rPr>
                <w:b/>
                <w:noProof/>
                <w:sz w:val="22"/>
                <w:szCs w:val="22"/>
              </w:rPr>
            </w:pPr>
          </w:p>
          <w:p w14:paraId="6546C550" w14:textId="77777777" w:rsidR="001E1112" w:rsidRPr="00317ABF" w:rsidRDefault="001E1112" w:rsidP="00DB3BEC">
            <w:pPr>
              <w:pStyle w:val="Tekstpodstawowy"/>
              <w:rPr>
                <w:b/>
                <w:noProof/>
                <w:sz w:val="22"/>
                <w:szCs w:val="22"/>
              </w:rPr>
            </w:pPr>
          </w:p>
          <w:p w14:paraId="670C82B9" w14:textId="77777777" w:rsidR="001E1112" w:rsidRPr="00317ABF" w:rsidRDefault="001E1112" w:rsidP="00DB3BEC">
            <w:pPr>
              <w:pStyle w:val="Tekstpodstawowy"/>
              <w:rPr>
                <w:b/>
                <w:noProof/>
                <w:sz w:val="22"/>
                <w:szCs w:val="22"/>
              </w:rPr>
            </w:pPr>
          </w:p>
          <w:p w14:paraId="65FFEC4A" w14:textId="77777777" w:rsidR="001E1112" w:rsidRPr="00317ABF" w:rsidRDefault="001E1112" w:rsidP="00DB3BEC">
            <w:pPr>
              <w:pStyle w:val="Tekstpodstawowy"/>
              <w:rPr>
                <w:b/>
                <w:noProof/>
                <w:sz w:val="22"/>
                <w:szCs w:val="22"/>
              </w:rPr>
            </w:pPr>
          </w:p>
          <w:p w14:paraId="2618C11B" w14:textId="77777777" w:rsidR="001E1112" w:rsidRPr="00317ABF" w:rsidRDefault="001E1112" w:rsidP="00DB3BEC">
            <w:pPr>
              <w:pStyle w:val="Tekstpodstawowy"/>
              <w:rPr>
                <w:b/>
                <w:noProof/>
                <w:sz w:val="22"/>
                <w:szCs w:val="22"/>
              </w:rPr>
            </w:pPr>
          </w:p>
          <w:p w14:paraId="1EB4E3B4" w14:textId="77777777" w:rsidR="001E1112" w:rsidRPr="00317ABF" w:rsidRDefault="001E1112" w:rsidP="00DB3BEC">
            <w:pPr>
              <w:pStyle w:val="Tekstpodstawowy"/>
              <w:rPr>
                <w:b/>
                <w:noProof/>
                <w:sz w:val="22"/>
                <w:szCs w:val="22"/>
              </w:rPr>
            </w:pPr>
          </w:p>
          <w:p w14:paraId="1C904164" w14:textId="77777777" w:rsidR="001E1112" w:rsidRPr="00317ABF" w:rsidRDefault="001E1112" w:rsidP="00DB3BEC">
            <w:pPr>
              <w:pStyle w:val="Tekstpodstawowy"/>
              <w:rPr>
                <w:b/>
                <w:noProof/>
                <w:sz w:val="22"/>
                <w:szCs w:val="22"/>
              </w:rPr>
            </w:pPr>
          </w:p>
          <w:p w14:paraId="65295A5D" w14:textId="77777777" w:rsidR="001E1112" w:rsidRPr="00317ABF" w:rsidRDefault="001E1112" w:rsidP="00DB3BEC">
            <w:pPr>
              <w:pStyle w:val="Tekstpodstawowy"/>
              <w:rPr>
                <w:b/>
                <w:noProof/>
                <w:sz w:val="22"/>
                <w:szCs w:val="22"/>
              </w:rPr>
            </w:pPr>
          </w:p>
          <w:p w14:paraId="7E7C9519" w14:textId="77777777" w:rsidR="001E1112" w:rsidRPr="00317ABF" w:rsidRDefault="001E1112" w:rsidP="00DB3BEC">
            <w:pPr>
              <w:pStyle w:val="Tekstpodstawowy"/>
              <w:rPr>
                <w:b/>
                <w:noProof/>
                <w:sz w:val="22"/>
                <w:szCs w:val="22"/>
              </w:rPr>
            </w:pPr>
          </w:p>
          <w:p w14:paraId="38A15D6E" w14:textId="2F5689CA" w:rsidR="00353E87" w:rsidRPr="00317ABF" w:rsidRDefault="00353E87" w:rsidP="00DB3BEC">
            <w:pPr>
              <w:pStyle w:val="Tekstpodstawowy"/>
              <w:rPr>
                <w:b/>
                <w:noProof/>
                <w:sz w:val="22"/>
                <w:szCs w:val="22"/>
              </w:rPr>
            </w:pPr>
          </w:p>
          <w:p w14:paraId="003293A3" w14:textId="77777777" w:rsidR="00353E87" w:rsidRPr="00317ABF" w:rsidRDefault="00353E87" w:rsidP="00DB3BEC">
            <w:pPr>
              <w:pStyle w:val="Tekstpodstawowy"/>
              <w:rPr>
                <w:b/>
                <w:noProof/>
                <w:sz w:val="22"/>
                <w:szCs w:val="22"/>
              </w:rPr>
            </w:pPr>
          </w:p>
          <w:p w14:paraId="6B98468A" w14:textId="77777777" w:rsidR="00353E87" w:rsidRPr="00317ABF" w:rsidRDefault="00353E87" w:rsidP="00DB3BEC">
            <w:pPr>
              <w:pStyle w:val="Tekstpodstawowy"/>
              <w:rPr>
                <w:b/>
                <w:noProof/>
                <w:sz w:val="22"/>
                <w:szCs w:val="22"/>
              </w:rPr>
            </w:pPr>
          </w:p>
          <w:p w14:paraId="6CAF5D0D" w14:textId="77777777" w:rsidR="00353E87" w:rsidRPr="00317ABF" w:rsidRDefault="00353E87" w:rsidP="00DB3BEC">
            <w:pPr>
              <w:pStyle w:val="Tekstpodstawowy"/>
              <w:rPr>
                <w:b/>
                <w:noProof/>
                <w:sz w:val="22"/>
                <w:szCs w:val="22"/>
              </w:rPr>
            </w:pPr>
          </w:p>
          <w:p w14:paraId="133C7AA9" w14:textId="77777777" w:rsidR="00353E87" w:rsidRPr="00317ABF" w:rsidRDefault="00353E87" w:rsidP="00DB3BEC">
            <w:pPr>
              <w:pStyle w:val="Tekstpodstawowy"/>
              <w:rPr>
                <w:b/>
                <w:noProof/>
                <w:sz w:val="22"/>
                <w:szCs w:val="22"/>
              </w:rPr>
            </w:pPr>
          </w:p>
          <w:p w14:paraId="521468E4" w14:textId="77777777" w:rsidR="00353E87" w:rsidRPr="00317ABF" w:rsidRDefault="00353E87" w:rsidP="00DB3BEC">
            <w:pPr>
              <w:pStyle w:val="Tekstpodstawowy"/>
              <w:rPr>
                <w:b/>
                <w:noProof/>
                <w:sz w:val="22"/>
                <w:szCs w:val="22"/>
              </w:rPr>
            </w:pPr>
          </w:p>
          <w:p w14:paraId="2FD69CE7" w14:textId="77777777" w:rsidR="00353E87" w:rsidRPr="00317ABF" w:rsidRDefault="00353E87" w:rsidP="00DB3BEC">
            <w:pPr>
              <w:pStyle w:val="Tekstpodstawowy"/>
              <w:rPr>
                <w:b/>
                <w:noProof/>
                <w:sz w:val="22"/>
                <w:szCs w:val="22"/>
              </w:rPr>
            </w:pPr>
          </w:p>
          <w:p w14:paraId="7E845CE1" w14:textId="77777777" w:rsidR="00353E87" w:rsidRPr="00317ABF" w:rsidRDefault="00353E87" w:rsidP="00DB3BEC">
            <w:pPr>
              <w:pStyle w:val="Tekstpodstawowy"/>
              <w:rPr>
                <w:b/>
                <w:noProof/>
                <w:sz w:val="22"/>
                <w:szCs w:val="22"/>
              </w:rPr>
            </w:pPr>
          </w:p>
          <w:p w14:paraId="55F2514F" w14:textId="77777777" w:rsidR="00353E87" w:rsidRPr="00317ABF" w:rsidRDefault="00353E87" w:rsidP="00DB3BEC">
            <w:pPr>
              <w:pStyle w:val="Tekstpodstawowy"/>
              <w:rPr>
                <w:b/>
                <w:noProof/>
                <w:sz w:val="22"/>
                <w:szCs w:val="22"/>
              </w:rPr>
            </w:pPr>
          </w:p>
          <w:p w14:paraId="19DB1FD4" w14:textId="77777777" w:rsidR="00353E87" w:rsidRPr="00317ABF" w:rsidRDefault="00353E87" w:rsidP="00DB3BEC">
            <w:pPr>
              <w:pStyle w:val="Tekstpodstawowy"/>
              <w:rPr>
                <w:b/>
                <w:noProof/>
                <w:sz w:val="22"/>
                <w:szCs w:val="22"/>
              </w:rPr>
            </w:pPr>
          </w:p>
          <w:p w14:paraId="237E7186" w14:textId="77777777" w:rsidR="00353E87" w:rsidRPr="00317ABF" w:rsidRDefault="00353E87" w:rsidP="00DB3BEC">
            <w:pPr>
              <w:pStyle w:val="Tekstpodstawowy"/>
              <w:rPr>
                <w:b/>
                <w:noProof/>
                <w:sz w:val="22"/>
                <w:szCs w:val="22"/>
              </w:rPr>
            </w:pPr>
          </w:p>
          <w:p w14:paraId="7791CECE" w14:textId="77777777" w:rsidR="00353E87" w:rsidRPr="00317ABF" w:rsidRDefault="00353E87" w:rsidP="00DB3BEC">
            <w:pPr>
              <w:pStyle w:val="Tekstpodstawowy"/>
              <w:rPr>
                <w:b/>
                <w:noProof/>
                <w:sz w:val="22"/>
                <w:szCs w:val="22"/>
              </w:rPr>
            </w:pPr>
          </w:p>
          <w:p w14:paraId="6597C628" w14:textId="77777777" w:rsidR="00353E87" w:rsidRPr="00317ABF" w:rsidRDefault="00353E87" w:rsidP="00DB3BEC">
            <w:pPr>
              <w:pStyle w:val="Tekstpodstawowy"/>
              <w:rPr>
                <w:b/>
                <w:noProof/>
                <w:sz w:val="22"/>
                <w:szCs w:val="22"/>
              </w:rPr>
            </w:pPr>
          </w:p>
          <w:p w14:paraId="27847387" w14:textId="77777777" w:rsidR="00353E87" w:rsidRPr="00317ABF" w:rsidRDefault="00353E87" w:rsidP="00DB3BEC">
            <w:pPr>
              <w:pStyle w:val="Tekstpodstawowy"/>
              <w:rPr>
                <w:b/>
                <w:noProof/>
                <w:sz w:val="22"/>
                <w:szCs w:val="22"/>
              </w:rPr>
            </w:pPr>
          </w:p>
          <w:p w14:paraId="430C24F3" w14:textId="77777777" w:rsidR="00353E87" w:rsidRPr="00317ABF" w:rsidRDefault="00353E87" w:rsidP="00DB3BEC">
            <w:pPr>
              <w:pStyle w:val="Tekstpodstawowy"/>
              <w:rPr>
                <w:b/>
                <w:noProof/>
                <w:sz w:val="22"/>
                <w:szCs w:val="22"/>
              </w:rPr>
            </w:pPr>
          </w:p>
          <w:p w14:paraId="608880A2" w14:textId="77777777" w:rsidR="001E1112" w:rsidRPr="00317ABF" w:rsidRDefault="001E1112" w:rsidP="00DB3BEC">
            <w:pPr>
              <w:pStyle w:val="Tekstpodstawowy"/>
              <w:ind w:left="-1629"/>
              <w:rPr>
                <w:b/>
                <w:noProof/>
                <w:sz w:val="22"/>
                <w:szCs w:val="22"/>
              </w:rPr>
            </w:pPr>
          </w:p>
          <w:p w14:paraId="3AB58C42" w14:textId="5A5E1F48" w:rsidR="001E1112" w:rsidRPr="00317ABF" w:rsidRDefault="001E1112" w:rsidP="00DB3BEC">
            <w:pPr>
              <w:pStyle w:val="Tekstpodstawowy"/>
              <w:rPr>
                <w:b/>
                <w:noProof/>
                <w:sz w:val="22"/>
                <w:szCs w:val="22"/>
              </w:rPr>
            </w:pPr>
            <w:r w:rsidRPr="00317ABF">
              <w:rPr>
                <w:b/>
                <w:noProof/>
                <w:sz w:val="22"/>
                <w:szCs w:val="22"/>
              </w:rPr>
              <w:t xml:space="preserve">Art. 12 ust. </w:t>
            </w:r>
            <w:r w:rsidR="0078177A" w:rsidRPr="00317ABF">
              <w:rPr>
                <w:b/>
                <w:noProof/>
                <w:sz w:val="22"/>
                <w:szCs w:val="22"/>
              </w:rPr>
              <w:t>4</w:t>
            </w:r>
          </w:p>
        </w:tc>
        <w:tc>
          <w:tcPr>
            <w:tcW w:w="6814" w:type="dxa"/>
            <w:gridSpan w:val="2"/>
          </w:tcPr>
          <w:p w14:paraId="08818A85" w14:textId="77777777" w:rsidR="0078177A" w:rsidRPr="00317ABF" w:rsidRDefault="0078177A" w:rsidP="0078177A">
            <w:pPr>
              <w:jc w:val="both"/>
              <w:rPr>
                <w:sz w:val="22"/>
                <w:szCs w:val="22"/>
              </w:rPr>
            </w:pPr>
            <w:r w:rsidRPr="00317ABF">
              <w:rPr>
                <w:b/>
                <w:sz w:val="22"/>
                <w:szCs w:val="22"/>
              </w:rPr>
              <w:lastRenderedPageBreak/>
              <w:t>Art. 11.</w:t>
            </w:r>
            <w:r w:rsidRPr="00317ABF">
              <w:rPr>
                <w:sz w:val="22"/>
                <w:szCs w:val="22"/>
              </w:rPr>
              <w:t xml:space="preserve"> 1. Prezes UKE w terminie 7 dni od dnia dokonania wpisu, wydaje z urzędu zaświadczenie o wpisie do rejestru PT albo rejestru JST.</w:t>
            </w:r>
          </w:p>
          <w:p w14:paraId="3C6FC8F2" w14:textId="77777777" w:rsidR="001E1112" w:rsidRPr="00317ABF" w:rsidRDefault="001E1112" w:rsidP="00DB3BEC">
            <w:pPr>
              <w:jc w:val="both"/>
              <w:rPr>
                <w:sz w:val="22"/>
                <w:szCs w:val="22"/>
              </w:rPr>
            </w:pPr>
            <w:r w:rsidRPr="00317ABF">
              <w:rPr>
                <w:sz w:val="22"/>
                <w:szCs w:val="22"/>
              </w:rPr>
              <w:t>2. Zaświadczenie zawiera:</w:t>
            </w:r>
          </w:p>
          <w:p w14:paraId="15B3C6B6" w14:textId="63AAC2C0" w:rsidR="0078177A" w:rsidRPr="00317ABF" w:rsidRDefault="00353E87" w:rsidP="0078177A">
            <w:pPr>
              <w:jc w:val="both"/>
              <w:rPr>
                <w:sz w:val="22"/>
                <w:szCs w:val="22"/>
              </w:rPr>
            </w:pPr>
            <w:r w:rsidRPr="00317ABF">
              <w:rPr>
                <w:sz w:val="22"/>
                <w:szCs w:val="22"/>
              </w:rPr>
              <w:t xml:space="preserve">1) </w:t>
            </w:r>
            <w:r w:rsidR="0078177A" w:rsidRPr="00317ABF">
              <w:rPr>
                <w:sz w:val="22"/>
                <w:szCs w:val="22"/>
              </w:rPr>
              <w:t>numer z rejestru PT albo rejestru JST;</w:t>
            </w:r>
          </w:p>
          <w:p w14:paraId="2CDAFEAC" w14:textId="28FE2A4D" w:rsidR="0078177A" w:rsidRPr="00317ABF" w:rsidRDefault="0078177A" w:rsidP="0078177A">
            <w:pPr>
              <w:jc w:val="both"/>
              <w:rPr>
                <w:sz w:val="22"/>
                <w:szCs w:val="22"/>
              </w:rPr>
            </w:pPr>
            <w:r w:rsidRPr="00317ABF">
              <w:rPr>
                <w:sz w:val="22"/>
                <w:szCs w:val="22"/>
              </w:rPr>
              <w:t>2) datę wpływu wniosku o wpis do rejestru Pt albo rejestru JST oraz datę dokonania wpisu;</w:t>
            </w:r>
          </w:p>
          <w:p w14:paraId="6868DC0E" w14:textId="383A5D0D" w:rsidR="0078177A" w:rsidRPr="00317ABF" w:rsidRDefault="0078177A" w:rsidP="0078177A">
            <w:pPr>
              <w:jc w:val="both"/>
              <w:rPr>
                <w:sz w:val="22"/>
                <w:szCs w:val="22"/>
              </w:rPr>
            </w:pPr>
            <w:r w:rsidRPr="00317ABF">
              <w:rPr>
                <w:sz w:val="22"/>
                <w:szCs w:val="22"/>
              </w:rPr>
              <w:t>3)</w:t>
            </w:r>
            <w:r w:rsidR="00353E87" w:rsidRPr="00317ABF">
              <w:rPr>
                <w:sz w:val="22"/>
                <w:szCs w:val="22"/>
              </w:rPr>
              <w:t xml:space="preserve"> </w:t>
            </w:r>
            <w:r w:rsidRPr="00317ABF">
              <w:rPr>
                <w:sz w:val="22"/>
                <w:szCs w:val="22"/>
              </w:rPr>
              <w:t>dane, o których mowa w art. 6 ust. 1 pkt 1–3 i pkt 5–8 albo art. 7 ust. 1 pkt 1–7 i pkt 9–10;</w:t>
            </w:r>
          </w:p>
          <w:p w14:paraId="19CF018B" w14:textId="408E8F43" w:rsidR="0078177A" w:rsidRPr="00317ABF" w:rsidRDefault="0078177A" w:rsidP="0078177A">
            <w:pPr>
              <w:jc w:val="both"/>
              <w:rPr>
                <w:sz w:val="22"/>
                <w:szCs w:val="22"/>
              </w:rPr>
            </w:pPr>
            <w:r w:rsidRPr="00317ABF">
              <w:rPr>
                <w:sz w:val="22"/>
                <w:szCs w:val="22"/>
              </w:rPr>
              <w:t>4)</w:t>
            </w:r>
            <w:r w:rsidR="00353E87" w:rsidRPr="00317ABF">
              <w:rPr>
                <w:sz w:val="22"/>
                <w:szCs w:val="22"/>
              </w:rPr>
              <w:t xml:space="preserve"> </w:t>
            </w:r>
            <w:r w:rsidRPr="00317ABF">
              <w:rPr>
                <w:sz w:val="22"/>
                <w:szCs w:val="22"/>
              </w:rPr>
              <w:t>informację o prawach przysługujących podmiotom wpisanym do rejestru PT albo rejestru JST na podstawie ustawy oraz ustawy z dnia 7 maja 2010 r. o wspieraniu rozwoju usług i sieci telekomunikacyjnych.</w:t>
            </w:r>
          </w:p>
          <w:p w14:paraId="357B0006" w14:textId="77777777" w:rsidR="0078177A" w:rsidRPr="00317ABF" w:rsidRDefault="0078177A" w:rsidP="0078177A">
            <w:pPr>
              <w:jc w:val="both"/>
              <w:rPr>
                <w:sz w:val="22"/>
                <w:szCs w:val="22"/>
              </w:rPr>
            </w:pPr>
            <w:r w:rsidRPr="00317ABF">
              <w:rPr>
                <w:sz w:val="22"/>
                <w:szCs w:val="22"/>
              </w:rPr>
              <w:t>3. Zaświadczenie mające moc dokumentu urzędowego wydaje się w postaci elektronicznej i doręcza przy użyciu Platformy Usług Elektronicznych Urzędu Komunikacji Elektronicznej zwanej dalej „PUE UKE”.</w:t>
            </w:r>
          </w:p>
          <w:p w14:paraId="4ABCA771" w14:textId="77777777" w:rsidR="0078177A" w:rsidRPr="00317ABF" w:rsidRDefault="0078177A" w:rsidP="0078177A">
            <w:pPr>
              <w:jc w:val="both"/>
              <w:rPr>
                <w:sz w:val="22"/>
                <w:szCs w:val="22"/>
              </w:rPr>
            </w:pPr>
            <w:r w:rsidRPr="00317ABF">
              <w:rPr>
                <w:sz w:val="22"/>
                <w:szCs w:val="22"/>
              </w:rPr>
              <w:t>4. Zaświadczenie może być wykorzystywane w formie wydruku przez podmiot wpisany do rejestru PT albo rejestru JST, który je uzyskał.</w:t>
            </w:r>
          </w:p>
          <w:p w14:paraId="42707BE8" w14:textId="77777777" w:rsidR="0078177A" w:rsidRPr="00317ABF" w:rsidRDefault="0078177A" w:rsidP="0078177A">
            <w:pPr>
              <w:jc w:val="both"/>
              <w:rPr>
                <w:sz w:val="22"/>
                <w:szCs w:val="22"/>
              </w:rPr>
            </w:pPr>
            <w:r w:rsidRPr="00317ABF">
              <w:rPr>
                <w:sz w:val="22"/>
                <w:szCs w:val="22"/>
              </w:rPr>
              <w:lastRenderedPageBreak/>
              <w:t>5. Prezes UKE umożliwia weryfikację zaświadczenia, o którym mowa w ust. 4, przez stronę podmiotową BIP UKE, po podaniu:</w:t>
            </w:r>
          </w:p>
          <w:p w14:paraId="704E55A9" w14:textId="77777777" w:rsidR="0078177A" w:rsidRPr="00317ABF" w:rsidRDefault="0078177A" w:rsidP="0078177A">
            <w:pPr>
              <w:jc w:val="both"/>
              <w:rPr>
                <w:sz w:val="22"/>
                <w:szCs w:val="22"/>
              </w:rPr>
            </w:pPr>
            <w:r w:rsidRPr="00317ABF">
              <w:rPr>
                <w:sz w:val="22"/>
                <w:szCs w:val="22"/>
              </w:rPr>
              <w:t>1) sygnatury, którą opatrzone jest zaświadczenie;</w:t>
            </w:r>
          </w:p>
          <w:p w14:paraId="08392132" w14:textId="77777777" w:rsidR="0078177A" w:rsidRPr="00317ABF" w:rsidRDefault="0078177A" w:rsidP="0078177A">
            <w:pPr>
              <w:jc w:val="both"/>
              <w:rPr>
                <w:sz w:val="22"/>
                <w:szCs w:val="22"/>
              </w:rPr>
            </w:pPr>
            <w:r w:rsidRPr="00317ABF">
              <w:rPr>
                <w:sz w:val="22"/>
                <w:szCs w:val="22"/>
              </w:rPr>
              <w:t>2) numeru w rejestrze PT lub rejestrze JST;</w:t>
            </w:r>
          </w:p>
          <w:p w14:paraId="12BB24C1" w14:textId="77777777" w:rsidR="0078177A" w:rsidRPr="00317ABF" w:rsidRDefault="0078177A" w:rsidP="0078177A">
            <w:pPr>
              <w:jc w:val="both"/>
              <w:rPr>
                <w:sz w:val="22"/>
                <w:szCs w:val="22"/>
              </w:rPr>
            </w:pPr>
            <w:r w:rsidRPr="00317ABF">
              <w:rPr>
                <w:sz w:val="22"/>
                <w:szCs w:val="22"/>
              </w:rPr>
              <w:t>3) daty wydania zaświadczenia.</w:t>
            </w:r>
          </w:p>
          <w:p w14:paraId="381AD1EF" w14:textId="77777777" w:rsidR="00353E87" w:rsidRPr="00317ABF" w:rsidRDefault="0078177A" w:rsidP="0078177A">
            <w:pPr>
              <w:jc w:val="both"/>
              <w:rPr>
                <w:sz w:val="22"/>
                <w:szCs w:val="22"/>
              </w:rPr>
            </w:pPr>
            <w:r w:rsidRPr="00317ABF">
              <w:rPr>
                <w:sz w:val="22"/>
                <w:szCs w:val="22"/>
              </w:rPr>
              <w:t>6. Wydruk, o którym mowa w ust. 4, może być wielokrotnie pobierany z elektronicznej skrzynki podawczej Prezesa UKE i ma moc zrównaną z mocą dokumentu wydawanego przez Prezesa UKE, o którym mowa w ust. 3, jeżeli zawiera dane, o których mowa w ust. 5.</w:t>
            </w:r>
          </w:p>
          <w:p w14:paraId="548F58EA" w14:textId="02DB7162" w:rsidR="001E1112" w:rsidRPr="00317ABF" w:rsidRDefault="0078177A" w:rsidP="00DB3BEC">
            <w:pPr>
              <w:jc w:val="both"/>
              <w:rPr>
                <w:sz w:val="22"/>
                <w:szCs w:val="22"/>
              </w:rPr>
            </w:pPr>
            <w:r w:rsidRPr="00317ABF">
              <w:rPr>
                <w:sz w:val="22"/>
                <w:szCs w:val="22"/>
              </w:rPr>
              <w:t>7</w:t>
            </w:r>
            <w:r w:rsidR="001E1112" w:rsidRPr="00317ABF">
              <w:rPr>
                <w:sz w:val="22"/>
                <w:szCs w:val="22"/>
              </w:rPr>
              <w:t>. W przypadku, gdy dane zawarte w zaświadczeniu różnią się od danych zawartych w rejestrze, przyjmuje się, że wiążący charakter mają dane zawarte w rejestrze.</w:t>
            </w:r>
          </w:p>
          <w:p w14:paraId="7DD581A4" w14:textId="77777777" w:rsidR="00353E87" w:rsidRPr="00317ABF" w:rsidRDefault="00353E87" w:rsidP="0078177A">
            <w:pPr>
              <w:jc w:val="both"/>
              <w:rPr>
                <w:sz w:val="22"/>
                <w:szCs w:val="22"/>
              </w:rPr>
            </w:pPr>
          </w:p>
          <w:p w14:paraId="4EA9BA15" w14:textId="6875FF2A" w:rsidR="001E1112" w:rsidRPr="00317ABF" w:rsidRDefault="00353E87" w:rsidP="00DB3BEC">
            <w:pPr>
              <w:jc w:val="both"/>
              <w:rPr>
                <w:sz w:val="22"/>
                <w:szCs w:val="22"/>
              </w:rPr>
            </w:pPr>
            <w:r w:rsidRPr="00317ABF">
              <w:rPr>
                <w:sz w:val="22"/>
                <w:szCs w:val="22"/>
              </w:rPr>
              <w:t>4</w:t>
            </w:r>
            <w:r w:rsidR="001E1112" w:rsidRPr="00317ABF">
              <w:rPr>
                <w:sz w:val="22"/>
                <w:szCs w:val="22"/>
              </w:rPr>
              <w:t>. Prezes UKE na podstawie wniosku, o którym mowa w ust. 1, dokonuje zmiany wpisu w rejestrze PT albo rejestrze JST i wystawia aktualne zaświadczenie w trybie, o którym mowa w art. 11.</w:t>
            </w:r>
          </w:p>
        </w:tc>
      </w:tr>
      <w:tr w:rsidR="001E1112" w:rsidRPr="00317ABF" w14:paraId="4EA47717" w14:textId="77777777" w:rsidTr="7753F98D">
        <w:trPr>
          <w:gridAfter w:val="2"/>
          <w:wAfter w:w="175" w:type="dxa"/>
        </w:trPr>
        <w:tc>
          <w:tcPr>
            <w:tcW w:w="704" w:type="dxa"/>
          </w:tcPr>
          <w:p w14:paraId="618BF771" w14:textId="77777777" w:rsidR="001E1112" w:rsidRPr="00317ABF" w:rsidRDefault="001E1112" w:rsidP="00DB3BEC">
            <w:pPr>
              <w:jc w:val="both"/>
              <w:rPr>
                <w:b/>
                <w:sz w:val="22"/>
                <w:szCs w:val="22"/>
              </w:rPr>
            </w:pPr>
            <w:r w:rsidRPr="00317ABF">
              <w:rPr>
                <w:b/>
                <w:sz w:val="22"/>
                <w:szCs w:val="22"/>
              </w:rPr>
              <w:lastRenderedPageBreak/>
              <w:t>Art. 15</w:t>
            </w:r>
          </w:p>
        </w:tc>
        <w:tc>
          <w:tcPr>
            <w:tcW w:w="4308" w:type="dxa"/>
          </w:tcPr>
          <w:p w14:paraId="22EF157D" w14:textId="77777777" w:rsidR="001E1112" w:rsidRPr="00317ABF" w:rsidRDefault="001E1112" w:rsidP="00DB3BEC">
            <w:pPr>
              <w:spacing w:before="60" w:after="120"/>
              <w:jc w:val="both"/>
              <w:rPr>
                <w:b/>
                <w:bCs/>
                <w:sz w:val="22"/>
                <w:szCs w:val="22"/>
              </w:rPr>
            </w:pPr>
            <w:r w:rsidRPr="00317ABF">
              <w:rPr>
                <w:b/>
                <w:bCs/>
                <w:sz w:val="22"/>
                <w:szCs w:val="22"/>
              </w:rPr>
              <w:t>Minimalna lista praw wynikających z ogólnego zezwolenia</w:t>
            </w:r>
          </w:p>
        </w:tc>
        <w:tc>
          <w:tcPr>
            <w:tcW w:w="986" w:type="dxa"/>
          </w:tcPr>
          <w:p w14:paraId="7332107B" w14:textId="77777777" w:rsidR="001E1112" w:rsidRPr="00317ABF" w:rsidRDefault="001E1112" w:rsidP="00DB3BEC">
            <w:pPr>
              <w:jc w:val="both"/>
              <w:rPr>
                <w:sz w:val="22"/>
                <w:szCs w:val="22"/>
              </w:rPr>
            </w:pPr>
          </w:p>
        </w:tc>
        <w:tc>
          <w:tcPr>
            <w:tcW w:w="910" w:type="dxa"/>
          </w:tcPr>
          <w:p w14:paraId="5D98A3F1" w14:textId="77777777" w:rsidR="001E1112" w:rsidRPr="00317ABF" w:rsidRDefault="001E1112" w:rsidP="00DB3BEC">
            <w:pPr>
              <w:pStyle w:val="Tekstpodstawowy"/>
              <w:rPr>
                <w:b/>
                <w:noProof/>
                <w:sz w:val="22"/>
                <w:szCs w:val="22"/>
              </w:rPr>
            </w:pPr>
          </w:p>
        </w:tc>
        <w:tc>
          <w:tcPr>
            <w:tcW w:w="6814" w:type="dxa"/>
            <w:gridSpan w:val="2"/>
          </w:tcPr>
          <w:p w14:paraId="50C86B8C" w14:textId="77777777" w:rsidR="001E1112" w:rsidRPr="00317ABF" w:rsidRDefault="001E1112" w:rsidP="00DB3BEC">
            <w:pPr>
              <w:pStyle w:val="Tekstpodstawowy"/>
              <w:rPr>
                <w:sz w:val="22"/>
                <w:szCs w:val="22"/>
              </w:rPr>
            </w:pPr>
          </w:p>
        </w:tc>
      </w:tr>
      <w:tr w:rsidR="001E1112" w:rsidRPr="00317ABF" w14:paraId="20526499" w14:textId="77777777" w:rsidTr="7753F98D">
        <w:trPr>
          <w:gridAfter w:val="2"/>
          <w:wAfter w:w="175" w:type="dxa"/>
        </w:trPr>
        <w:tc>
          <w:tcPr>
            <w:tcW w:w="704" w:type="dxa"/>
          </w:tcPr>
          <w:p w14:paraId="1B3194CA" w14:textId="77777777" w:rsidR="001E1112" w:rsidRPr="00317ABF" w:rsidRDefault="001E1112" w:rsidP="00DB3BEC">
            <w:pPr>
              <w:jc w:val="both"/>
              <w:rPr>
                <w:sz w:val="22"/>
                <w:szCs w:val="22"/>
              </w:rPr>
            </w:pPr>
            <w:r w:rsidRPr="00317ABF">
              <w:rPr>
                <w:sz w:val="22"/>
                <w:szCs w:val="22"/>
              </w:rPr>
              <w:t>Art. 15 ust. 1</w:t>
            </w:r>
          </w:p>
        </w:tc>
        <w:tc>
          <w:tcPr>
            <w:tcW w:w="4308" w:type="dxa"/>
          </w:tcPr>
          <w:p w14:paraId="3CE6BA7E" w14:textId="77777777" w:rsidR="001E1112" w:rsidRPr="00317ABF" w:rsidRDefault="001E1112" w:rsidP="00DB3BEC">
            <w:pPr>
              <w:spacing w:before="120"/>
              <w:jc w:val="both"/>
              <w:rPr>
                <w:sz w:val="22"/>
                <w:szCs w:val="22"/>
              </w:rPr>
            </w:pPr>
            <w:r w:rsidRPr="00317ABF">
              <w:rPr>
                <w:sz w:val="22"/>
                <w:szCs w:val="22"/>
              </w:rPr>
              <w:t>1.   Przedsiębiorstwa podlegające ogólnemu zezwoleniu na mocy art. 12 mają prawo do:</w:t>
            </w:r>
          </w:p>
          <w:tbl>
            <w:tblPr>
              <w:tblW w:w="5000" w:type="pct"/>
              <w:tblCellSpacing w:w="0" w:type="dxa"/>
              <w:tblLayout w:type="fixed"/>
              <w:tblCellMar>
                <w:left w:w="0" w:type="dxa"/>
                <w:right w:w="0" w:type="dxa"/>
              </w:tblCellMar>
              <w:tblLook w:val="04A0" w:firstRow="1" w:lastRow="0" w:firstColumn="1" w:lastColumn="0" w:noHBand="0" w:noVBand="1"/>
            </w:tblPr>
            <w:tblGrid>
              <w:gridCol w:w="20"/>
              <w:gridCol w:w="4148"/>
            </w:tblGrid>
            <w:tr w:rsidR="001E1112" w:rsidRPr="00317ABF" w14:paraId="0C04C842" w14:textId="77777777" w:rsidTr="00345B65">
              <w:trPr>
                <w:tblCellSpacing w:w="0" w:type="dxa"/>
              </w:trPr>
              <w:tc>
                <w:tcPr>
                  <w:tcW w:w="6" w:type="dxa"/>
                  <w:hideMark/>
                </w:tcPr>
                <w:p w14:paraId="60EDCC55" w14:textId="77777777" w:rsidR="001E1112" w:rsidRPr="00317ABF" w:rsidRDefault="001E1112" w:rsidP="00EE0AC3">
                  <w:pPr>
                    <w:framePr w:hSpace="141" w:wrap="around" w:vAnchor="text" w:hAnchor="text" w:xAlign="right" w:y="1"/>
                    <w:spacing w:before="120"/>
                    <w:suppressOverlap/>
                    <w:jc w:val="both"/>
                    <w:rPr>
                      <w:sz w:val="22"/>
                      <w:szCs w:val="22"/>
                    </w:rPr>
                  </w:pPr>
                </w:p>
              </w:tc>
              <w:tc>
                <w:tcPr>
                  <w:tcW w:w="9066" w:type="dxa"/>
                  <w:hideMark/>
                </w:tcPr>
                <w:p w14:paraId="4BF2B947" w14:textId="77777777" w:rsidR="001E1112" w:rsidRPr="00317ABF" w:rsidRDefault="001E1112" w:rsidP="00EE0AC3">
                  <w:pPr>
                    <w:framePr w:hSpace="141" w:wrap="around" w:vAnchor="text" w:hAnchor="text" w:xAlign="right" w:y="1"/>
                    <w:numPr>
                      <w:ilvl w:val="0"/>
                      <w:numId w:val="9"/>
                    </w:numPr>
                    <w:spacing w:before="120"/>
                    <w:suppressOverlap/>
                    <w:jc w:val="both"/>
                    <w:rPr>
                      <w:sz w:val="22"/>
                      <w:szCs w:val="22"/>
                    </w:rPr>
                  </w:pPr>
                  <w:r w:rsidRPr="00317ABF">
                    <w:rPr>
                      <w:sz w:val="22"/>
                      <w:szCs w:val="22"/>
                    </w:rPr>
                    <w:t>dostarczania sieci łączności elektronicznej i świadczenia usług łączności elektronicznej;</w:t>
                  </w:r>
                </w:p>
              </w:tc>
            </w:tr>
          </w:tbl>
          <w:p w14:paraId="3BBB8815" w14:textId="77777777" w:rsidR="001E1112" w:rsidRPr="00317ABF" w:rsidRDefault="001E1112" w:rsidP="00DB3BEC">
            <w:pPr>
              <w:jc w:val="both"/>
              <w:rPr>
                <w:vanish/>
                <w:sz w:val="22"/>
                <w:szCs w:val="22"/>
              </w:rPr>
            </w:pPr>
          </w:p>
          <w:tbl>
            <w:tblPr>
              <w:tblW w:w="5000" w:type="pct"/>
              <w:tblCellSpacing w:w="0" w:type="dxa"/>
              <w:tblLayout w:type="fixed"/>
              <w:tblCellMar>
                <w:left w:w="0" w:type="dxa"/>
                <w:right w:w="0" w:type="dxa"/>
              </w:tblCellMar>
              <w:tblLook w:val="04A0" w:firstRow="1" w:lastRow="0" w:firstColumn="1" w:lastColumn="0" w:noHBand="0" w:noVBand="1"/>
            </w:tblPr>
            <w:tblGrid>
              <w:gridCol w:w="20"/>
              <w:gridCol w:w="4148"/>
            </w:tblGrid>
            <w:tr w:rsidR="001E1112" w:rsidRPr="00317ABF" w14:paraId="20B724BC" w14:textId="77777777" w:rsidTr="00345B65">
              <w:trPr>
                <w:tblCellSpacing w:w="0" w:type="dxa"/>
              </w:trPr>
              <w:tc>
                <w:tcPr>
                  <w:tcW w:w="6" w:type="dxa"/>
                  <w:hideMark/>
                </w:tcPr>
                <w:p w14:paraId="55B91B0D" w14:textId="77777777" w:rsidR="001E1112" w:rsidRPr="00317ABF" w:rsidRDefault="001E1112" w:rsidP="00EE0AC3">
                  <w:pPr>
                    <w:framePr w:hSpace="141" w:wrap="around" w:vAnchor="text" w:hAnchor="text" w:xAlign="right" w:y="1"/>
                    <w:spacing w:before="120"/>
                    <w:suppressOverlap/>
                    <w:jc w:val="both"/>
                    <w:rPr>
                      <w:sz w:val="22"/>
                      <w:szCs w:val="22"/>
                    </w:rPr>
                  </w:pPr>
                </w:p>
              </w:tc>
              <w:tc>
                <w:tcPr>
                  <w:tcW w:w="9066" w:type="dxa"/>
                  <w:hideMark/>
                </w:tcPr>
                <w:p w14:paraId="74F79751" w14:textId="77777777" w:rsidR="001E1112" w:rsidRPr="00317ABF" w:rsidRDefault="001E1112" w:rsidP="00EE0AC3">
                  <w:pPr>
                    <w:framePr w:hSpace="141" w:wrap="around" w:vAnchor="text" w:hAnchor="text" w:xAlign="right" w:y="1"/>
                    <w:numPr>
                      <w:ilvl w:val="0"/>
                      <w:numId w:val="9"/>
                    </w:numPr>
                    <w:spacing w:before="120"/>
                    <w:suppressOverlap/>
                    <w:jc w:val="both"/>
                    <w:rPr>
                      <w:sz w:val="22"/>
                      <w:szCs w:val="22"/>
                    </w:rPr>
                  </w:pPr>
                  <w:r w:rsidRPr="00317ABF">
                    <w:rPr>
                      <w:sz w:val="22"/>
                      <w:szCs w:val="22"/>
                    </w:rPr>
                    <w:t>występowania z wnioskiem o przyznanie praw niezbędnych do instalowania urządzeń zgodnie z art. 43;</w:t>
                  </w:r>
                </w:p>
              </w:tc>
            </w:tr>
          </w:tbl>
          <w:p w14:paraId="6810F0D1" w14:textId="77777777" w:rsidR="001E1112" w:rsidRPr="00317ABF" w:rsidRDefault="001E1112" w:rsidP="00DB3BEC">
            <w:pPr>
              <w:jc w:val="both"/>
              <w:rPr>
                <w:vanish/>
                <w:sz w:val="22"/>
                <w:szCs w:val="22"/>
              </w:rPr>
            </w:pPr>
          </w:p>
          <w:tbl>
            <w:tblPr>
              <w:tblW w:w="5000" w:type="pct"/>
              <w:tblCellSpacing w:w="0" w:type="dxa"/>
              <w:tblLayout w:type="fixed"/>
              <w:tblCellMar>
                <w:left w:w="0" w:type="dxa"/>
                <w:right w:w="0" w:type="dxa"/>
              </w:tblCellMar>
              <w:tblLook w:val="04A0" w:firstRow="1" w:lastRow="0" w:firstColumn="1" w:lastColumn="0" w:noHBand="0" w:noVBand="1"/>
            </w:tblPr>
            <w:tblGrid>
              <w:gridCol w:w="20"/>
              <w:gridCol w:w="4148"/>
            </w:tblGrid>
            <w:tr w:rsidR="001E1112" w:rsidRPr="00317ABF" w14:paraId="2B199D20" w14:textId="77777777" w:rsidTr="0F283CAF">
              <w:trPr>
                <w:tblCellSpacing w:w="0" w:type="dxa"/>
              </w:trPr>
              <w:tc>
                <w:tcPr>
                  <w:tcW w:w="6" w:type="dxa"/>
                  <w:hideMark/>
                </w:tcPr>
                <w:p w14:paraId="74E797DC" w14:textId="77777777" w:rsidR="001E1112" w:rsidRPr="00317ABF" w:rsidRDefault="001E1112" w:rsidP="00EE0AC3">
                  <w:pPr>
                    <w:framePr w:hSpace="141" w:wrap="around" w:vAnchor="text" w:hAnchor="text" w:xAlign="right" w:y="1"/>
                    <w:spacing w:before="120"/>
                    <w:suppressOverlap/>
                    <w:jc w:val="both"/>
                    <w:rPr>
                      <w:sz w:val="22"/>
                      <w:szCs w:val="22"/>
                    </w:rPr>
                  </w:pPr>
                </w:p>
              </w:tc>
              <w:tc>
                <w:tcPr>
                  <w:tcW w:w="9066" w:type="dxa"/>
                  <w:hideMark/>
                </w:tcPr>
                <w:p w14:paraId="6B608B74" w14:textId="77777777" w:rsidR="001E1112" w:rsidRPr="00317ABF" w:rsidRDefault="001E1112" w:rsidP="00EE0AC3">
                  <w:pPr>
                    <w:framePr w:hSpace="141" w:wrap="around" w:vAnchor="text" w:hAnchor="text" w:xAlign="right" w:y="1"/>
                    <w:numPr>
                      <w:ilvl w:val="0"/>
                      <w:numId w:val="9"/>
                    </w:numPr>
                    <w:spacing w:before="120"/>
                    <w:suppressOverlap/>
                    <w:jc w:val="both"/>
                    <w:rPr>
                      <w:sz w:val="22"/>
                      <w:szCs w:val="22"/>
                    </w:rPr>
                  </w:pPr>
                  <w:r w:rsidRPr="00317ABF">
                    <w:rPr>
                      <w:sz w:val="22"/>
                      <w:szCs w:val="22"/>
                    </w:rPr>
                    <w:t>wykorzystywania, z zastrzeżeniem przepisów art. 13, 46 i 55, widma radiowego w odniesieniu do sieci i usług łączności elektronicznej;</w:t>
                  </w:r>
                </w:p>
              </w:tc>
            </w:tr>
          </w:tbl>
          <w:p w14:paraId="25AF7EAE" w14:textId="77777777" w:rsidR="001E1112" w:rsidRPr="00317ABF" w:rsidRDefault="001E1112" w:rsidP="00DB3BEC">
            <w:pPr>
              <w:jc w:val="both"/>
              <w:rPr>
                <w:vanish/>
                <w:sz w:val="22"/>
                <w:szCs w:val="22"/>
              </w:rPr>
            </w:pPr>
          </w:p>
          <w:tbl>
            <w:tblPr>
              <w:tblW w:w="5000" w:type="pct"/>
              <w:tblCellSpacing w:w="0" w:type="dxa"/>
              <w:tblLayout w:type="fixed"/>
              <w:tblCellMar>
                <w:left w:w="0" w:type="dxa"/>
                <w:right w:w="0" w:type="dxa"/>
              </w:tblCellMar>
              <w:tblLook w:val="04A0" w:firstRow="1" w:lastRow="0" w:firstColumn="1" w:lastColumn="0" w:noHBand="0" w:noVBand="1"/>
            </w:tblPr>
            <w:tblGrid>
              <w:gridCol w:w="20"/>
              <w:gridCol w:w="4148"/>
            </w:tblGrid>
            <w:tr w:rsidR="001E1112" w:rsidRPr="00317ABF" w14:paraId="487F25A7" w14:textId="77777777" w:rsidTr="00345B65">
              <w:trPr>
                <w:trHeight w:val="60"/>
                <w:tblCellSpacing w:w="0" w:type="dxa"/>
              </w:trPr>
              <w:tc>
                <w:tcPr>
                  <w:tcW w:w="6" w:type="dxa"/>
                  <w:hideMark/>
                </w:tcPr>
                <w:p w14:paraId="2633CEB9" w14:textId="77777777" w:rsidR="001E1112" w:rsidRPr="00317ABF" w:rsidRDefault="001E1112" w:rsidP="00EE0AC3">
                  <w:pPr>
                    <w:framePr w:hSpace="141" w:wrap="around" w:vAnchor="text" w:hAnchor="text" w:xAlign="right" w:y="1"/>
                    <w:spacing w:before="120"/>
                    <w:suppressOverlap/>
                    <w:jc w:val="both"/>
                    <w:rPr>
                      <w:sz w:val="22"/>
                      <w:szCs w:val="22"/>
                    </w:rPr>
                  </w:pPr>
                </w:p>
              </w:tc>
              <w:tc>
                <w:tcPr>
                  <w:tcW w:w="9066" w:type="dxa"/>
                  <w:hideMark/>
                </w:tcPr>
                <w:p w14:paraId="3AABA005" w14:textId="77777777" w:rsidR="001E1112" w:rsidRPr="00317ABF" w:rsidRDefault="001E1112" w:rsidP="00EE0AC3">
                  <w:pPr>
                    <w:framePr w:hSpace="141" w:wrap="around" w:vAnchor="text" w:hAnchor="text" w:xAlign="right" w:y="1"/>
                    <w:numPr>
                      <w:ilvl w:val="0"/>
                      <w:numId w:val="9"/>
                    </w:numPr>
                    <w:spacing w:before="120"/>
                    <w:suppressOverlap/>
                    <w:jc w:val="both"/>
                    <w:rPr>
                      <w:sz w:val="22"/>
                      <w:szCs w:val="22"/>
                    </w:rPr>
                  </w:pPr>
                  <w:r w:rsidRPr="00317ABF">
                    <w:rPr>
                      <w:sz w:val="22"/>
                      <w:szCs w:val="22"/>
                    </w:rPr>
                    <w:t xml:space="preserve">tego, by rozpatrzono ich wniosek o przyznanie niezbędnych praw </w:t>
                  </w:r>
                  <w:r w:rsidRPr="00317ABF">
                    <w:rPr>
                      <w:sz w:val="22"/>
                      <w:szCs w:val="22"/>
                    </w:rPr>
                    <w:lastRenderedPageBreak/>
                    <w:t>użytkowania zasobów numeracyjnych zgodnie z art. 94.</w:t>
                  </w:r>
                </w:p>
              </w:tc>
            </w:tr>
          </w:tbl>
          <w:p w14:paraId="4B1D477B" w14:textId="77777777" w:rsidR="001E1112" w:rsidRPr="00317ABF" w:rsidRDefault="001E1112" w:rsidP="00DB3BEC">
            <w:pPr>
              <w:spacing w:before="120"/>
              <w:jc w:val="both"/>
              <w:rPr>
                <w:sz w:val="22"/>
                <w:szCs w:val="22"/>
              </w:rPr>
            </w:pPr>
          </w:p>
        </w:tc>
        <w:tc>
          <w:tcPr>
            <w:tcW w:w="986" w:type="dxa"/>
          </w:tcPr>
          <w:p w14:paraId="65BE1F1D" w14:textId="77777777" w:rsidR="001E1112" w:rsidRPr="00317ABF" w:rsidRDefault="001E1112" w:rsidP="00DB3BEC">
            <w:pPr>
              <w:jc w:val="both"/>
              <w:rPr>
                <w:sz w:val="22"/>
                <w:szCs w:val="22"/>
              </w:rPr>
            </w:pPr>
          </w:p>
        </w:tc>
        <w:tc>
          <w:tcPr>
            <w:tcW w:w="910" w:type="dxa"/>
          </w:tcPr>
          <w:p w14:paraId="56EDAC7A" w14:textId="46FED851" w:rsidR="001E1112" w:rsidRPr="00317ABF" w:rsidRDefault="00BE5592" w:rsidP="00DB3BEC">
            <w:pPr>
              <w:pStyle w:val="Tekstpodstawowy"/>
              <w:rPr>
                <w:b/>
                <w:bCs/>
                <w:noProof/>
                <w:sz w:val="22"/>
                <w:szCs w:val="22"/>
              </w:rPr>
            </w:pPr>
            <w:r w:rsidRPr="00317ABF">
              <w:rPr>
                <w:b/>
                <w:bCs/>
                <w:noProof/>
                <w:sz w:val="22"/>
                <w:szCs w:val="22"/>
              </w:rPr>
              <w:t>Art. 181</w:t>
            </w:r>
            <w:r w:rsidR="001E1112" w:rsidRPr="00317ABF">
              <w:rPr>
                <w:b/>
                <w:bCs/>
                <w:noProof/>
                <w:sz w:val="22"/>
                <w:szCs w:val="22"/>
              </w:rPr>
              <w:t xml:space="preserve"> w zakresie lit. b</w:t>
            </w:r>
          </w:p>
          <w:p w14:paraId="1F46A759" w14:textId="77DBA2E8" w:rsidR="001E1112" w:rsidRPr="00317ABF" w:rsidRDefault="001E1112" w:rsidP="00DB3BEC">
            <w:pPr>
              <w:pStyle w:val="Tekstpodstawowy"/>
              <w:rPr>
                <w:b/>
                <w:bCs/>
                <w:noProof/>
                <w:sz w:val="22"/>
                <w:szCs w:val="22"/>
              </w:rPr>
            </w:pPr>
          </w:p>
          <w:p w14:paraId="1D544040" w14:textId="066B04D8" w:rsidR="001E1112" w:rsidRPr="00317ABF" w:rsidRDefault="001E1112" w:rsidP="00DB3BEC">
            <w:pPr>
              <w:pStyle w:val="Tekstpodstawowy"/>
              <w:rPr>
                <w:b/>
                <w:bCs/>
                <w:noProof/>
                <w:sz w:val="22"/>
                <w:szCs w:val="22"/>
              </w:rPr>
            </w:pPr>
          </w:p>
          <w:p w14:paraId="0A2C9B31" w14:textId="1F386500" w:rsidR="001E1112" w:rsidRPr="00317ABF" w:rsidRDefault="001E1112" w:rsidP="00DB3BEC">
            <w:pPr>
              <w:pStyle w:val="Tekstpodstawowy"/>
              <w:rPr>
                <w:b/>
                <w:bCs/>
                <w:noProof/>
                <w:sz w:val="22"/>
                <w:szCs w:val="22"/>
              </w:rPr>
            </w:pPr>
          </w:p>
          <w:p w14:paraId="3D7CBE25" w14:textId="33FAD9E3" w:rsidR="001E1112" w:rsidRPr="00317ABF" w:rsidRDefault="001E1112" w:rsidP="00DB3BEC">
            <w:pPr>
              <w:pStyle w:val="Tekstpodstawowy"/>
              <w:rPr>
                <w:b/>
                <w:bCs/>
                <w:noProof/>
                <w:sz w:val="22"/>
                <w:szCs w:val="22"/>
              </w:rPr>
            </w:pPr>
          </w:p>
          <w:p w14:paraId="759703CE" w14:textId="0ABB77A9" w:rsidR="001E1112" w:rsidRPr="00317ABF" w:rsidRDefault="001E1112" w:rsidP="00DB3BEC">
            <w:pPr>
              <w:pStyle w:val="Tekstpodstawowy"/>
              <w:rPr>
                <w:b/>
                <w:bCs/>
                <w:noProof/>
                <w:sz w:val="22"/>
                <w:szCs w:val="22"/>
              </w:rPr>
            </w:pPr>
          </w:p>
          <w:p w14:paraId="57FA5DBE" w14:textId="4A6521C0" w:rsidR="001E1112" w:rsidRPr="00317ABF" w:rsidRDefault="001E1112" w:rsidP="00DB3BEC">
            <w:pPr>
              <w:pStyle w:val="Tekstpodstawowy"/>
              <w:rPr>
                <w:b/>
                <w:bCs/>
                <w:noProof/>
                <w:sz w:val="22"/>
                <w:szCs w:val="22"/>
              </w:rPr>
            </w:pPr>
          </w:p>
          <w:p w14:paraId="24DC8C0C" w14:textId="4D93D7D8" w:rsidR="001E1112" w:rsidRPr="00317ABF" w:rsidRDefault="001E1112" w:rsidP="00DB3BEC">
            <w:pPr>
              <w:pStyle w:val="Tekstpodstawowy"/>
              <w:rPr>
                <w:b/>
                <w:bCs/>
                <w:noProof/>
                <w:sz w:val="22"/>
                <w:szCs w:val="22"/>
              </w:rPr>
            </w:pPr>
          </w:p>
          <w:p w14:paraId="6AFAB436" w14:textId="53EB5CC1" w:rsidR="001E1112" w:rsidRPr="00317ABF" w:rsidRDefault="001E1112" w:rsidP="00DB3BEC">
            <w:pPr>
              <w:pStyle w:val="Tekstpodstawowy"/>
              <w:rPr>
                <w:b/>
                <w:bCs/>
                <w:noProof/>
                <w:sz w:val="22"/>
                <w:szCs w:val="22"/>
              </w:rPr>
            </w:pPr>
            <w:r w:rsidRPr="00317ABF">
              <w:rPr>
                <w:b/>
                <w:sz w:val="22"/>
                <w:szCs w:val="22"/>
              </w:rPr>
              <w:t xml:space="preserve">w zakresie litery c - art. 2 pkt </w:t>
            </w:r>
            <w:r w:rsidR="00DD61BA" w:rsidRPr="00317ABF">
              <w:rPr>
                <w:b/>
                <w:bCs/>
                <w:noProof/>
                <w:sz w:val="22"/>
                <w:szCs w:val="22"/>
              </w:rPr>
              <w:t>52</w:t>
            </w:r>
            <w:r w:rsidRPr="00317ABF">
              <w:rPr>
                <w:b/>
                <w:sz w:val="22"/>
                <w:szCs w:val="22"/>
              </w:rPr>
              <w:t xml:space="preserve">, art. </w:t>
            </w:r>
            <w:r w:rsidR="001830AB" w:rsidRPr="00317ABF">
              <w:rPr>
                <w:b/>
                <w:bCs/>
                <w:noProof/>
                <w:sz w:val="22"/>
                <w:szCs w:val="22"/>
              </w:rPr>
              <w:t>63</w:t>
            </w:r>
            <w:r w:rsidRPr="00317ABF">
              <w:rPr>
                <w:b/>
                <w:sz w:val="22"/>
                <w:szCs w:val="22"/>
              </w:rPr>
              <w:t xml:space="preserve"> Art. </w:t>
            </w:r>
            <w:r w:rsidR="001830AB" w:rsidRPr="00317ABF">
              <w:rPr>
                <w:b/>
                <w:bCs/>
                <w:noProof/>
                <w:sz w:val="22"/>
                <w:szCs w:val="22"/>
              </w:rPr>
              <w:t>69</w:t>
            </w:r>
            <w:r w:rsidRPr="00317ABF">
              <w:rPr>
                <w:b/>
                <w:sz w:val="22"/>
                <w:szCs w:val="22"/>
              </w:rPr>
              <w:t xml:space="preserve"> ust. 1, art. </w:t>
            </w:r>
            <w:r w:rsidR="001830AB" w:rsidRPr="00317ABF">
              <w:rPr>
                <w:b/>
                <w:bCs/>
                <w:noProof/>
                <w:sz w:val="22"/>
                <w:szCs w:val="22"/>
              </w:rPr>
              <w:t>100</w:t>
            </w:r>
            <w:r w:rsidR="005C61B6" w:rsidRPr="00317ABF">
              <w:rPr>
                <w:b/>
                <w:bCs/>
                <w:noProof/>
                <w:sz w:val="22"/>
                <w:szCs w:val="22"/>
              </w:rPr>
              <w:t xml:space="preserve">, </w:t>
            </w:r>
            <w:r w:rsidR="005C61B6" w:rsidRPr="00317ABF">
              <w:rPr>
                <w:b/>
                <w:bCs/>
                <w:noProof/>
                <w:sz w:val="22"/>
                <w:szCs w:val="22"/>
              </w:rPr>
              <w:lastRenderedPageBreak/>
              <w:t>art. 129, 136, 137</w:t>
            </w:r>
            <w:r w:rsidRPr="00317ABF">
              <w:rPr>
                <w:b/>
                <w:bCs/>
                <w:noProof/>
                <w:sz w:val="22"/>
                <w:szCs w:val="22"/>
              </w:rPr>
              <w:t xml:space="preserve"> </w:t>
            </w:r>
            <w:r w:rsidR="00B53A54" w:rsidRPr="00317ABF">
              <w:rPr>
                <w:b/>
                <w:bCs/>
                <w:noProof/>
                <w:sz w:val="22"/>
                <w:szCs w:val="22"/>
              </w:rPr>
              <w:t>i art. 138</w:t>
            </w:r>
            <w:r w:rsidRPr="00317ABF">
              <w:rPr>
                <w:b/>
                <w:sz w:val="22"/>
                <w:szCs w:val="22"/>
              </w:rPr>
              <w:t xml:space="preserve"> ust. </w:t>
            </w:r>
            <w:r w:rsidR="00B53A54" w:rsidRPr="00317ABF">
              <w:rPr>
                <w:b/>
                <w:bCs/>
                <w:noProof/>
                <w:sz w:val="22"/>
                <w:szCs w:val="22"/>
              </w:rPr>
              <w:t>1-6 i 8</w:t>
            </w:r>
          </w:p>
        </w:tc>
        <w:tc>
          <w:tcPr>
            <w:tcW w:w="6814" w:type="dxa"/>
            <w:gridSpan w:val="2"/>
          </w:tcPr>
          <w:p w14:paraId="2CBD9D96" w14:textId="79B94FC1" w:rsidR="001E1112" w:rsidRPr="00317ABF" w:rsidRDefault="00BE5592" w:rsidP="00DB3BEC">
            <w:pPr>
              <w:jc w:val="both"/>
              <w:rPr>
                <w:rFonts w:eastAsia="Times"/>
                <w:bCs/>
                <w:sz w:val="22"/>
                <w:szCs w:val="22"/>
              </w:rPr>
            </w:pPr>
            <w:r w:rsidRPr="00317ABF">
              <w:rPr>
                <w:rFonts w:eastAsia="Times"/>
                <w:b/>
                <w:bCs/>
                <w:sz w:val="22"/>
                <w:szCs w:val="22"/>
              </w:rPr>
              <w:lastRenderedPageBreak/>
              <w:t>Art. 181.</w:t>
            </w:r>
            <w:r w:rsidRPr="00317ABF">
              <w:rPr>
                <w:rFonts w:eastAsia="Times"/>
                <w:bCs/>
                <w:sz w:val="22"/>
                <w:szCs w:val="22"/>
              </w:rPr>
              <w:t xml:space="preserve"> Prezes UKE może, w drodze decyzji, nałożyć na operatora obowiązek kolokacji, udostępniania elementów sieci telekomunikacyjnej oraz powiązanych zasobów, które zostały umieszczone na nieruchomości w związku z wykonywaniem uprawnień wynikających z przepisów prawa, wyroku sądu lub decyzji, o ile nałożenie takiego obowiązku jest niezbędne w celu ochrony środowiska, zdrowia publicznego, bezpieczeństwa publicznego lub z uwagi na realizację celów planowania i zagospodarowania przestrzennego.</w:t>
            </w:r>
          </w:p>
          <w:p w14:paraId="25332900" w14:textId="5C76C24C" w:rsidR="001E1112" w:rsidRPr="00317ABF" w:rsidRDefault="001E1112" w:rsidP="00DB3BEC">
            <w:pPr>
              <w:jc w:val="both"/>
              <w:rPr>
                <w:rFonts w:eastAsia="Times"/>
                <w:b/>
                <w:bCs/>
                <w:sz w:val="22"/>
                <w:szCs w:val="22"/>
              </w:rPr>
            </w:pPr>
          </w:p>
          <w:p w14:paraId="27249564" w14:textId="735B4137" w:rsidR="001E1112" w:rsidRPr="00317ABF" w:rsidRDefault="00DD61BA" w:rsidP="00DB3BEC">
            <w:pPr>
              <w:jc w:val="both"/>
              <w:rPr>
                <w:rFonts w:eastAsia="Times"/>
                <w:b/>
                <w:bCs/>
                <w:sz w:val="22"/>
                <w:szCs w:val="22"/>
              </w:rPr>
            </w:pPr>
            <w:r w:rsidRPr="00317ABF">
              <w:rPr>
                <w:sz w:val="22"/>
                <w:szCs w:val="22"/>
              </w:rPr>
              <w:t>52)</w:t>
            </w:r>
            <w:r w:rsidR="001E1112" w:rsidRPr="00317ABF">
              <w:rPr>
                <w:sz w:val="22"/>
                <w:szCs w:val="22"/>
              </w:rPr>
              <w:t xml:space="preserve"> rezerwacja częstotliwości – określenie częstotliwości lub zasobów orbitalnych, które we wskazanym w rezerwacji okresie pozostają w dyspozycji podmiotu, na rzecz którego dokonano rezerwacji, przeniesiono uprawnienia do częstotliwości lub uprawnienia do dysponowania częstotliwościami na cele związane z uzyskiwaniem pozwoleń radiowych;</w:t>
            </w:r>
          </w:p>
          <w:p w14:paraId="63EA7548" w14:textId="77777777" w:rsidR="001830AB" w:rsidRPr="00317ABF" w:rsidRDefault="001830AB" w:rsidP="001830AB">
            <w:pPr>
              <w:pStyle w:val="USTustnpkodeksu"/>
              <w:spacing w:line="240" w:lineRule="auto"/>
              <w:ind w:firstLine="0"/>
              <w:rPr>
                <w:rStyle w:val="Ppogrubienie"/>
                <w:rFonts w:ascii="Times New Roman" w:hAnsi="Times New Roman"/>
                <w:sz w:val="22"/>
                <w:szCs w:val="22"/>
              </w:rPr>
            </w:pPr>
          </w:p>
          <w:p w14:paraId="0B4B331B" w14:textId="77777777" w:rsidR="001E1112" w:rsidRPr="00317ABF" w:rsidRDefault="001E1112" w:rsidP="001830AB">
            <w:pPr>
              <w:pStyle w:val="USTustnpkodeksu"/>
              <w:spacing w:line="240" w:lineRule="auto"/>
              <w:ind w:firstLine="0"/>
              <w:rPr>
                <w:rFonts w:ascii="Times New Roman" w:hAnsi="Times New Roman" w:cs="Times New Roman"/>
                <w:sz w:val="22"/>
                <w:szCs w:val="22"/>
              </w:rPr>
            </w:pPr>
            <w:r w:rsidRPr="00317ABF">
              <w:rPr>
                <w:rStyle w:val="Ppogrubienie"/>
                <w:rFonts w:ascii="Times New Roman" w:hAnsi="Times New Roman"/>
                <w:sz w:val="22"/>
                <w:szCs w:val="22"/>
              </w:rPr>
              <w:t xml:space="preserve">Art. </w:t>
            </w:r>
            <w:r w:rsidR="001830AB" w:rsidRPr="00317ABF">
              <w:rPr>
                <w:rStyle w:val="Ppogrubienie"/>
                <w:rFonts w:ascii="Times New Roman" w:hAnsi="Times New Roman"/>
                <w:sz w:val="22"/>
                <w:szCs w:val="22"/>
              </w:rPr>
              <w:t>63</w:t>
            </w:r>
            <w:r w:rsidRPr="00317ABF">
              <w:rPr>
                <w:rStyle w:val="Ppogrubienie"/>
                <w:rFonts w:ascii="Times New Roman" w:hAnsi="Times New Roman"/>
                <w:sz w:val="22"/>
                <w:szCs w:val="22"/>
              </w:rPr>
              <w:t>.</w:t>
            </w:r>
            <w:r w:rsidRPr="00317ABF">
              <w:rPr>
                <w:rFonts w:ascii="Times New Roman" w:hAnsi="Times New Roman" w:cs="Times New Roman"/>
                <w:sz w:val="22"/>
                <w:szCs w:val="22"/>
              </w:rPr>
              <w:t xml:space="preserve"> 1. Prezes UKE ustala plany zagospodarowania częstotliwości oraz zmiany tych planów w miarę potrzeb i możliwości technicznych.</w:t>
            </w:r>
          </w:p>
          <w:p w14:paraId="5EF440E4" w14:textId="77777777" w:rsidR="001E1112" w:rsidRPr="00317ABF" w:rsidRDefault="001E1112" w:rsidP="00DB3BEC">
            <w:pPr>
              <w:pStyle w:val="USTustnpkodeksu"/>
              <w:spacing w:line="240" w:lineRule="auto"/>
              <w:rPr>
                <w:rFonts w:ascii="Times New Roman" w:hAnsi="Times New Roman" w:cs="Times New Roman"/>
                <w:sz w:val="22"/>
                <w:szCs w:val="22"/>
              </w:rPr>
            </w:pPr>
            <w:r w:rsidRPr="00317ABF">
              <w:rPr>
                <w:rFonts w:ascii="Times New Roman" w:hAnsi="Times New Roman" w:cs="Times New Roman"/>
                <w:sz w:val="22"/>
                <w:szCs w:val="22"/>
              </w:rPr>
              <w:t xml:space="preserve">2. W odniesieniu do częstotliwości przeznaczonych do rozpowszechniania programów radiofonicznych i telewizyjnych Prezes UKE ustala plany zagospodarowania częstotliwości oraz zmiany tych </w:t>
            </w:r>
            <w:r w:rsidRPr="00317ABF">
              <w:rPr>
                <w:rFonts w:ascii="Times New Roman" w:hAnsi="Times New Roman" w:cs="Times New Roman"/>
                <w:sz w:val="22"/>
                <w:szCs w:val="22"/>
              </w:rPr>
              <w:lastRenderedPageBreak/>
              <w:t>planów w uzgodnieniu z Przewodniczącym KRRiT na jego wniosek lub z własnej inicjatywy.</w:t>
            </w:r>
          </w:p>
          <w:p w14:paraId="5B6A4501" w14:textId="77777777" w:rsidR="001E1112" w:rsidRPr="00317ABF" w:rsidRDefault="001E1112" w:rsidP="00DB3BEC">
            <w:pPr>
              <w:pStyle w:val="USTustnpkodeksu"/>
              <w:keepNext/>
              <w:spacing w:line="240" w:lineRule="auto"/>
              <w:rPr>
                <w:rFonts w:ascii="Times New Roman" w:hAnsi="Times New Roman" w:cs="Times New Roman"/>
                <w:sz w:val="22"/>
                <w:szCs w:val="22"/>
              </w:rPr>
            </w:pPr>
            <w:r w:rsidRPr="00317ABF">
              <w:rPr>
                <w:rFonts w:ascii="Times New Roman" w:hAnsi="Times New Roman" w:cs="Times New Roman"/>
                <w:sz w:val="22"/>
                <w:szCs w:val="22"/>
              </w:rPr>
              <w:t>3. Plany zagospodarowania częstotliwości oraz ich zmiany uwzględniają w szczególności:</w:t>
            </w:r>
          </w:p>
          <w:p w14:paraId="16E6152D" w14:textId="77777777" w:rsidR="001E1112" w:rsidRPr="00317ABF" w:rsidRDefault="001E1112" w:rsidP="00DB3BEC">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1)</w:t>
            </w:r>
            <w:r w:rsidRPr="00317ABF">
              <w:rPr>
                <w:rFonts w:ascii="Times New Roman" w:hAnsi="Times New Roman" w:cs="Times New Roman"/>
                <w:sz w:val="22"/>
                <w:szCs w:val="22"/>
              </w:rPr>
              <w:tab/>
              <w:t>politykę państwa w zakresie gospodarki częstotliwościami;</w:t>
            </w:r>
          </w:p>
          <w:p w14:paraId="13C722B6" w14:textId="77777777" w:rsidR="001E1112" w:rsidRPr="00317ABF" w:rsidRDefault="001E1112" w:rsidP="00DB3BEC">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2)</w:t>
            </w:r>
            <w:r w:rsidRPr="00317ABF">
              <w:rPr>
                <w:rFonts w:ascii="Times New Roman" w:hAnsi="Times New Roman" w:cs="Times New Roman"/>
                <w:sz w:val="22"/>
                <w:szCs w:val="22"/>
              </w:rPr>
              <w:tab/>
              <w:t>politykę państwa w zakresie radiofonii i telewizji oraz telekomunikacji;</w:t>
            </w:r>
          </w:p>
          <w:p w14:paraId="598B5EE8" w14:textId="77777777" w:rsidR="001E1112" w:rsidRPr="00317ABF" w:rsidRDefault="001E1112" w:rsidP="00DB3BEC">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3)</w:t>
            </w:r>
            <w:r w:rsidRPr="00317ABF">
              <w:rPr>
                <w:rFonts w:ascii="Times New Roman" w:hAnsi="Times New Roman" w:cs="Times New Roman"/>
                <w:sz w:val="22"/>
                <w:szCs w:val="22"/>
              </w:rPr>
              <w:tab/>
              <w:t>spełnianie wymagań dotyczących kompatybilności elektromagnetycznej;</w:t>
            </w:r>
          </w:p>
          <w:p w14:paraId="52C4CC5D" w14:textId="390F590E" w:rsidR="001E1112" w:rsidRPr="00317ABF" w:rsidRDefault="001E1112" w:rsidP="00DB3BEC">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4)</w:t>
            </w:r>
            <w:r w:rsidRPr="00317ABF">
              <w:rPr>
                <w:rFonts w:ascii="Times New Roman" w:hAnsi="Times New Roman" w:cs="Times New Roman"/>
                <w:sz w:val="22"/>
                <w:szCs w:val="22"/>
              </w:rPr>
              <w:tab/>
              <w:t>spełnianie wymagań dotyczących obronności</w:t>
            </w:r>
            <w:r w:rsidR="001830AB" w:rsidRPr="00317ABF">
              <w:rPr>
                <w:rFonts w:ascii="Times New Roman" w:hAnsi="Times New Roman" w:cs="Times New Roman"/>
                <w:sz w:val="22"/>
                <w:szCs w:val="22"/>
              </w:rPr>
              <w:t>,</w:t>
            </w:r>
            <w:r w:rsidRPr="00317ABF">
              <w:rPr>
                <w:rFonts w:ascii="Times New Roman" w:hAnsi="Times New Roman" w:cs="Times New Roman"/>
                <w:sz w:val="22"/>
                <w:szCs w:val="22"/>
              </w:rPr>
              <w:t xml:space="preserve"> bezpieczeństwa państwa oraz bezpieczeństwa i porządku publicznego;</w:t>
            </w:r>
          </w:p>
          <w:p w14:paraId="62E0DCB5" w14:textId="77777777" w:rsidR="001E1112" w:rsidRPr="00317ABF" w:rsidRDefault="001E1112" w:rsidP="00DB3BEC">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5)</w:t>
            </w:r>
            <w:r w:rsidRPr="00317ABF">
              <w:rPr>
                <w:rFonts w:ascii="Times New Roman" w:hAnsi="Times New Roman" w:cs="Times New Roman"/>
                <w:sz w:val="22"/>
                <w:szCs w:val="22"/>
              </w:rPr>
              <w:tab/>
              <w:t>uzgodnione przeznaczenia częstotliwości w ramach Unii Europejskiej;</w:t>
            </w:r>
          </w:p>
          <w:p w14:paraId="677FEC2F" w14:textId="77777777" w:rsidR="001E1112" w:rsidRPr="00317ABF" w:rsidRDefault="001E1112" w:rsidP="00DB3BEC">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6)</w:t>
            </w:r>
            <w:r w:rsidRPr="00317ABF">
              <w:rPr>
                <w:rFonts w:ascii="Times New Roman" w:hAnsi="Times New Roman" w:cs="Times New Roman"/>
                <w:sz w:val="22"/>
                <w:szCs w:val="22"/>
              </w:rPr>
              <w:tab/>
              <w:t>potrzebę efektywnego wykorzystania częstotliwości, a także założenia polityki wydawania uprawnień do wykorzystywania częstotliwości objętych planem zagospodarowania częstotliwości;</w:t>
            </w:r>
          </w:p>
          <w:p w14:paraId="3194BE83" w14:textId="77777777" w:rsidR="001E1112" w:rsidRPr="00317ABF" w:rsidRDefault="001E1112" w:rsidP="00DB3BEC">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7)</w:t>
            </w:r>
            <w:r w:rsidRPr="00317ABF">
              <w:rPr>
                <w:rFonts w:ascii="Times New Roman" w:hAnsi="Times New Roman" w:cs="Times New Roman"/>
                <w:sz w:val="22"/>
                <w:szCs w:val="22"/>
              </w:rPr>
              <w:tab/>
              <w:t>konieczność zapewnienia neutralności technologicznej i usługowej;</w:t>
            </w:r>
          </w:p>
          <w:p w14:paraId="067CE6C0" w14:textId="325D6F99" w:rsidR="001E1112" w:rsidRPr="00317ABF" w:rsidRDefault="001E1112" w:rsidP="001830AB">
            <w:pPr>
              <w:pStyle w:val="PKTpunkt0"/>
              <w:spacing w:line="240" w:lineRule="auto"/>
              <w:rPr>
                <w:rFonts w:ascii="Times New Roman" w:eastAsia="Times" w:hAnsi="Times New Roman" w:cs="Times New Roman"/>
                <w:sz w:val="22"/>
                <w:szCs w:val="22"/>
              </w:rPr>
            </w:pPr>
            <w:r w:rsidRPr="00317ABF">
              <w:rPr>
                <w:rFonts w:ascii="Times New Roman" w:hAnsi="Times New Roman" w:cs="Times New Roman"/>
                <w:sz w:val="22"/>
                <w:szCs w:val="22"/>
              </w:rPr>
              <w:t>8)</w:t>
            </w:r>
            <w:r w:rsidRPr="00317ABF">
              <w:rPr>
                <w:rFonts w:ascii="Times New Roman" w:hAnsi="Times New Roman" w:cs="Times New Roman"/>
                <w:sz w:val="22"/>
                <w:szCs w:val="22"/>
              </w:rPr>
              <w:tab/>
              <w:t>zasadę zmniejszania ograniczeń sposobu wykorzystania częstotliwości.</w:t>
            </w:r>
          </w:p>
          <w:p w14:paraId="162FE1ED" w14:textId="77777777" w:rsidR="001830AB" w:rsidRPr="00317ABF" w:rsidRDefault="001830AB" w:rsidP="001830AB">
            <w:pPr>
              <w:pStyle w:val="USTustnpkodeksu"/>
              <w:spacing w:line="240" w:lineRule="auto"/>
              <w:rPr>
                <w:rFonts w:ascii="Times New Roman" w:hAnsi="Times New Roman" w:cs="Times New Roman"/>
                <w:sz w:val="22"/>
                <w:szCs w:val="22"/>
              </w:rPr>
            </w:pPr>
            <w:r w:rsidRPr="00317ABF">
              <w:rPr>
                <w:rFonts w:ascii="Times New Roman" w:hAnsi="Times New Roman" w:cs="Times New Roman"/>
                <w:sz w:val="22"/>
                <w:szCs w:val="22"/>
              </w:rPr>
              <w:t>4. Plany zagospodarowania częstotliwości oraz ich zmiany nie mogą naruszać dokonanych rezerwacji częstotliwości lub przydziałów częstotliwości.</w:t>
            </w:r>
          </w:p>
          <w:p w14:paraId="45FAF4B9" w14:textId="77777777" w:rsidR="001830AB" w:rsidRPr="00317ABF" w:rsidRDefault="001830AB" w:rsidP="001830AB">
            <w:pPr>
              <w:pStyle w:val="USTustnpkodeksu"/>
              <w:spacing w:line="240" w:lineRule="auto"/>
              <w:rPr>
                <w:rFonts w:ascii="Times New Roman" w:hAnsi="Times New Roman" w:cs="Times New Roman"/>
                <w:sz w:val="22"/>
                <w:szCs w:val="22"/>
              </w:rPr>
            </w:pPr>
            <w:r w:rsidRPr="00317ABF">
              <w:rPr>
                <w:rFonts w:ascii="Times New Roman" w:hAnsi="Times New Roman" w:cs="Times New Roman"/>
                <w:sz w:val="22"/>
                <w:szCs w:val="22"/>
              </w:rPr>
              <w:t>5. Prezes UKE udostępnia na stronie podmiotowej BIP UKE informację o przystąpieniu do opracowania planu zagospodarowania określonego zakresu częstotliwości lub do opracowania jego zmiany, w tym projekt planu zagospodarowania określonego zakresu częstotliwości lub projekt jego zmiany wraz z uzasadnieniem. Przepisy o postępowaniu konsultacyjnym stosuje się, z wyjątkiem art. 31 ust. 2 zdanie pierwsze.</w:t>
            </w:r>
          </w:p>
          <w:p w14:paraId="23746254" w14:textId="77777777" w:rsidR="001830AB" w:rsidRPr="00317ABF" w:rsidRDefault="001830AB" w:rsidP="001830AB">
            <w:pPr>
              <w:jc w:val="both"/>
              <w:rPr>
                <w:sz w:val="22"/>
                <w:szCs w:val="22"/>
              </w:rPr>
            </w:pPr>
            <w:r w:rsidRPr="00317ABF">
              <w:rPr>
                <w:sz w:val="22"/>
                <w:szCs w:val="22"/>
              </w:rPr>
              <w:t>6. Przepisu ust. 5 nie stosuje się do planu zagospodarowania częstotliwości przeznaczonych do rozpowszechniania lub rozprowadzania programów radiofonicznych w sposób analogowy</w:t>
            </w:r>
          </w:p>
          <w:p w14:paraId="17B39943" w14:textId="77777777" w:rsidR="001830AB" w:rsidRPr="00317ABF" w:rsidRDefault="001830AB" w:rsidP="001830AB">
            <w:pPr>
              <w:jc w:val="both"/>
              <w:rPr>
                <w:sz w:val="22"/>
                <w:szCs w:val="22"/>
              </w:rPr>
            </w:pPr>
          </w:p>
          <w:p w14:paraId="3C5D372A" w14:textId="77777777" w:rsidR="001830AB" w:rsidRPr="00317ABF" w:rsidRDefault="001830AB" w:rsidP="001830AB">
            <w:pPr>
              <w:pStyle w:val="ARTartustawynprozporzdzenia"/>
              <w:keepNext/>
              <w:spacing w:before="0" w:line="240" w:lineRule="auto"/>
              <w:ind w:firstLine="0"/>
              <w:rPr>
                <w:rFonts w:ascii="Times New Roman" w:hAnsi="Times New Roman" w:cs="Times New Roman"/>
                <w:sz w:val="22"/>
                <w:szCs w:val="22"/>
              </w:rPr>
            </w:pPr>
            <w:r w:rsidRPr="00317ABF">
              <w:rPr>
                <w:rStyle w:val="Ppogrubienie"/>
                <w:rFonts w:ascii="Times New Roman" w:hAnsi="Times New Roman"/>
                <w:sz w:val="22"/>
                <w:szCs w:val="22"/>
              </w:rPr>
              <w:t>Art. 69.</w:t>
            </w:r>
            <w:r w:rsidRPr="00317ABF">
              <w:rPr>
                <w:rFonts w:ascii="Times New Roman" w:hAnsi="Times New Roman" w:cs="Times New Roman"/>
                <w:sz w:val="22"/>
                <w:szCs w:val="22"/>
              </w:rPr>
              <w:t xml:space="preserve"> 1. Rezerwacji częstotliwości dokonuje się dla podmiotu, który spełnia wymagania określone ustawą oraz jeżeli częstotliwości:</w:t>
            </w:r>
          </w:p>
          <w:p w14:paraId="5F1A0AAA" w14:textId="77777777" w:rsidR="001830AB" w:rsidRPr="00317ABF" w:rsidRDefault="001E1112" w:rsidP="001830AB">
            <w:pPr>
              <w:pStyle w:val="PKTpunkt0"/>
              <w:spacing w:line="240" w:lineRule="auto"/>
              <w:rPr>
                <w:rFonts w:ascii="Times New Roman" w:hAnsi="Times New Roman" w:cs="Times New Roman"/>
                <w:sz w:val="22"/>
                <w:szCs w:val="22"/>
              </w:rPr>
            </w:pPr>
            <w:r w:rsidRPr="00317ABF">
              <w:rPr>
                <w:rFonts w:ascii="Times New Roman" w:eastAsia="Times" w:hAnsi="Times New Roman" w:cs="Times New Roman"/>
                <w:sz w:val="22"/>
                <w:szCs w:val="22"/>
              </w:rPr>
              <w:t>1)</w:t>
            </w:r>
            <w:r w:rsidR="001830AB" w:rsidRPr="00317ABF">
              <w:rPr>
                <w:rFonts w:ascii="Times New Roman" w:hAnsi="Times New Roman" w:cs="Times New Roman"/>
                <w:sz w:val="22"/>
                <w:szCs w:val="22"/>
              </w:rPr>
              <w:tab/>
            </w:r>
            <w:r w:rsidRPr="00317ABF">
              <w:rPr>
                <w:rFonts w:ascii="Times New Roman" w:eastAsia="Times" w:hAnsi="Times New Roman" w:cs="Times New Roman"/>
                <w:sz w:val="22"/>
                <w:szCs w:val="22"/>
              </w:rPr>
              <w:t xml:space="preserve">są dostępne, z zastrzeżeniem art. </w:t>
            </w:r>
            <w:r w:rsidR="001830AB" w:rsidRPr="00317ABF">
              <w:rPr>
                <w:rFonts w:ascii="Times New Roman" w:hAnsi="Times New Roman" w:cs="Times New Roman"/>
                <w:sz w:val="22"/>
                <w:szCs w:val="22"/>
              </w:rPr>
              <w:t>65</w:t>
            </w:r>
            <w:r w:rsidRPr="00317ABF">
              <w:rPr>
                <w:rFonts w:ascii="Times New Roman" w:eastAsia="Times" w:hAnsi="Times New Roman" w:cs="Times New Roman"/>
                <w:sz w:val="22"/>
                <w:szCs w:val="22"/>
              </w:rPr>
              <w:t xml:space="preserve"> i art. </w:t>
            </w:r>
            <w:r w:rsidR="001830AB" w:rsidRPr="00317ABF">
              <w:rPr>
                <w:rFonts w:ascii="Times New Roman" w:hAnsi="Times New Roman" w:cs="Times New Roman"/>
                <w:sz w:val="22"/>
                <w:szCs w:val="22"/>
              </w:rPr>
              <w:t xml:space="preserve">105 ust. </w:t>
            </w:r>
            <w:r w:rsidRPr="00317ABF">
              <w:rPr>
                <w:rFonts w:ascii="Times New Roman" w:eastAsia="Times" w:hAnsi="Times New Roman" w:cs="Times New Roman"/>
                <w:sz w:val="22"/>
                <w:szCs w:val="22"/>
              </w:rPr>
              <w:t>2</w:t>
            </w:r>
            <w:r w:rsidR="001830AB" w:rsidRPr="00317ABF">
              <w:rPr>
                <w:rFonts w:ascii="Times New Roman" w:hAnsi="Times New Roman" w:cs="Times New Roman"/>
                <w:sz w:val="22"/>
                <w:szCs w:val="22"/>
              </w:rPr>
              <w:t>;</w:t>
            </w:r>
          </w:p>
          <w:p w14:paraId="659EE247" w14:textId="77777777" w:rsidR="001E1112" w:rsidRPr="00317ABF" w:rsidRDefault="001830AB" w:rsidP="001830AB">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2)</w:t>
            </w:r>
            <w:r w:rsidRPr="00317ABF">
              <w:rPr>
                <w:rFonts w:ascii="Times New Roman" w:hAnsi="Times New Roman" w:cs="Times New Roman"/>
                <w:sz w:val="22"/>
                <w:szCs w:val="22"/>
              </w:rPr>
              <w:tab/>
            </w:r>
            <w:r w:rsidR="001E1112" w:rsidRPr="00317ABF">
              <w:rPr>
                <w:rFonts w:ascii="Times New Roman" w:eastAsia="Times" w:hAnsi="Times New Roman" w:cs="Times New Roman"/>
                <w:sz w:val="22"/>
                <w:szCs w:val="22"/>
              </w:rPr>
              <w:t>zostały przeznaczone w Krajowej Tablicy Przeznaczeń Częstotliwości dla wnioskowanej służby radiokomunikacyjnej i użytkowania oraz plan zagospodarowania częstotliwości przewiduje ich zagospodarowanie zgodnie z wnioskiem;</w:t>
            </w:r>
          </w:p>
          <w:p w14:paraId="0806E8C7" w14:textId="77777777" w:rsidR="001830AB" w:rsidRPr="00317ABF" w:rsidRDefault="001830AB" w:rsidP="001830AB">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3)</w:t>
            </w:r>
            <w:r w:rsidRPr="00317ABF">
              <w:rPr>
                <w:rFonts w:ascii="Times New Roman" w:hAnsi="Times New Roman" w:cs="Times New Roman"/>
                <w:sz w:val="22"/>
                <w:szCs w:val="22"/>
              </w:rPr>
              <w:tab/>
              <w:t>mogą być chronione przed szkodliwymi zakłóceniami;</w:t>
            </w:r>
          </w:p>
          <w:p w14:paraId="0C1CCA1A" w14:textId="77777777" w:rsidR="001830AB" w:rsidRPr="00317ABF" w:rsidRDefault="001830AB" w:rsidP="001830AB">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lastRenderedPageBreak/>
              <w:t>4)</w:t>
            </w:r>
            <w:r w:rsidRPr="00317ABF">
              <w:rPr>
                <w:rFonts w:ascii="Times New Roman" w:hAnsi="Times New Roman" w:cs="Times New Roman"/>
                <w:sz w:val="22"/>
                <w:szCs w:val="22"/>
              </w:rPr>
              <w:tab/>
              <w:t>mogą być wykorzystywane przez urządzenie radiowe bez powodowania szkodliwych zaburzeń elektromagnetycznych lub kolizji z przyznanymi na rzecz innych podmiotów rezerwacjami, przydziałami częstotliwości, pozwoleniami radiowymi lub decyzjami, o których mowa w art. 152 lub 153;</w:t>
            </w:r>
          </w:p>
          <w:p w14:paraId="4781F693" w14:textId="77777777" w:rsidR="001830AB" w:rsidRPr="00317ABF" w:rsidRDefault="001830AB" w:rsidP="001830AB">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5)</w:t>
            </w:r>
            <w:r w:rsidRPr="00317ABF">
              <w:rPr>
                <w:rFonts w:ascii="Times New Roman" w:hAnsi="Times New Roman" w:cs="Times New Roman"/>
                <w:sz w:val="22"/>
                <w:szCs w:val="22"/>
              </w:rPr>
              <w:tab/>
              <w:t>mogą być wykorzystywane w sposób efektywny;</w:t>
            </w:r>
          </w:p>
          <w:p w14:paraId="5FDD48E8" w14:textId="77777777" w:rsidR="001830AB" w:rsidRPr="00317ABF" w:rsidRDefault="001830AB" w:rsidP="001830AB">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6)</w:t>
            </w:r>
            <w:r w:rsidRPr="00317ABF">
              <w:rPr>
                <w:rFonts w:ascii="Times New Roman" w:hAnsi="Times New Roman" w:cs="Times New Roman"/>
                <w:sz w:val="22"/>
                <w:szCs w:val="22"/>
              </w:rPr>
              <w:tab/>
              <w:t>zostały międzynarodowo uzgodnione w zakresie i w formie określonej w międzynarodowych przepisach radiokomunikacyjnych lub wiążących Rzeczpospolitą Polską umowach międzynarodowych - w przypadku gdy zachodzi możliwość powodowania szkodliwych zakłóceń poza granicami Rzeczypospolitej Polskiej.</w:t>
            </w:r>
          </w:p>
          <w:p w14:paraId="4742CE83" w14:textId="77777777" w:rsidR="001830AB" w:rsidRPr="00317ABF" w:rsidRDefault="001830AB" w:rsidP="001830AB">
            <w:pPr>
              <w:pStyle w:val="USTustnpkodeksu"/>
              <w:keepNext/>
              <w:spacing w:line="240" w:lineRule="auto"/>
              <w:rPr>
                <w:rFonts w:ascii="Times New Roman" w:hAnsi="Times New Roman" w:cs="Times New Roman"/>
                <w:sz w:val="22"/>
                <w:szCs w:val="22"/>
              </w:rPr>
            </w:pPr>
            <w:r w:rsidRPr="00317ABF">
              <w:rPr>
                <w:rFonts w:ascii="Times New Roman" w:hAnsi="Times New Roman" w:cs="Times New Roman"/>
                <w:sz w:val="22"/>
                <w:szCs w:val="22"/>
              </w:rPr>
              <w:t>2. W przypadku dokonywania rezerwacji częstotliwości lub jej zmiany, w celu:</w:t>
            </w:r>
          </w:p>
          <w:p w14:paraId="68F95672" w14:textId="77777777" w:rsidR="001830AB" w:rsidRPr="00317ABF" w:rsidRDefault="001830AB" w:rsidP="001830AB">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1)</w:t>
            </w:r>
            <w:r w:rsidRPr="00317ABF">
              <w:rPr>
                <w:rFonts w:ascii="Times New Roman" w:hAnsi="Times New Roman" w:cs="Times New Roman"/>
                <w:sz w:val="22"/>
                <w:szCs w:val="22"/>
              </w:rPr>
              <w:tab/>
              <w:t>rozpowszechniania programów radiofonicznych w sposób analogowy drogą rozsiewczą naziemną,</w:t>
            </w:r>
          </w:p>
          <w:p w14:paraId="407651F8" w14:textId="77777777" w:rsidR="001830AB" w:rsidRPr="00317ABF" w:rsidRDefault="001830AB" w:rsidP="001830AB">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2)</w:t>
            </w:r>
            <w:r w:rsidRPr="00317ABF">
              <w:rPr>
                <w:rFonts w:ascii="Times New Roman" w:hAnsi="Times New Roman" w:cs="Times New Roman"/>
                <w:sz w:val="22"/>
                <w:szCs w:val="22"/>
              </w:rPr>
              <w:tab/>
              <w:t>rozpowszechniania lub rozprowadzania w sposób cyfrowy drogą rozsiewczą naziemną programów telewizyjnych na multipleksie pierwszym lub multipleksie drugim przez nadawców posiadających koncesję lub koncesję na kolejny okres,</w:t>
            </w:r>
          </w:p>
          <w:p w14:paraId="163368EB" w14:textId="77777777" w:rsidR="001830AB" w:rsidRPr="00317ABF" w:rsidRDefault="001830AB" w:rsidP="001830AB">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3)</w:t>
            </w:r>
            <w:r w:rsidRPr="00317ABF">
              <w:rPr>
                <w:rFonts w:ascii="Times New Roman" w:hAnsi="Times New Roman" w:cs="Times New Roman"/>
                <w:sz w:val="22"/>
                <w:szCs w:val="22"/>
              </w:rPr>
              <w:tab/>
              <w:t>wykonywania ustawowych zadań przez spółki, o których mowa w art. 26 ust. 2 i 3 ustawy z dnia 29 grudnia 1992 r. o radiofonii i telewizji</w:t>
            </w:r>
          </w:p>
          <w:p w14:paraId="523FF436" w14:textId="4D4CC055" w:rsidR="001E1112" w:rsidRPr="00317ABF" w:rsidRDefault="001830AB" w:rsidP="00DB3BEC">
            <w:pPr>
              <w:jc w:val="both"/>
              <w:rPr>
                <w:sz w:val="22"/>
                <w:szCs w:val="22"/>
              </w:rPr>
            </w:pPr>
            <w:r w:rsidRPr="00317ABF">
              <w:rPr>
                <w:sz w:val="22"/>
                <w:szCs w:val="22"/>
              </w:rPr>
              <w:t>- Prezes UKE wydaje decyzję niezwłocznie. Przepisów art. 104 i art. 105 nie stosuje się.</w:t>
            </w:r>
          </w:p>
          <w:p w14:paraId="248B911E" w14:textId="77777777" w:rsidR="005B1E48" w:rsidRPr="00317ABF" w:rsidRDefault="005B1E48" w:rsidP="001830AB">
            <w:pPr>
              <w:jc w:val="both"/>
              <w:rPr>
                <w:sz w:val="22"/>
                <w:szCs w:val="22"/>
              </w:rPr>
            </w:pPr>
          </w:p>
          <w:p w14:paraId="7A888FD5" w14:textId="7DBBBD87" w:rsidR="001E1112" w:rsidRPr="00317ABF" w:rsidRDefault="001E1112" w:rsidP="002459BA">
            <w:pPr>
              <w:pStyle w:val="ARTartustawynprozporzdzenia"/>
              <w:keepNext/>
              <w:spacing w:before="0" w:line="240" w:lineRule="auto"/>
              <w:ind w:firstLine="0"/>
              <w:rPr>
                <w:rFonts w:ascii="Times New Roman" w:hAnsi="Times New Roman" w:cs="Times New Roman"/>
                <w:sz w:val="22"/>
                <w:szCs w:val="22"/>
              </w:rPr>
            </w:pPr>
            <w:r w:rsidRPr="00317ABF">
              <w:rPr>
                <w:rStyle w:val="Ppogrubienie"/>
                <w:rFonts w:ascii="Times New Roman" w:hAnsi="Times New Roman"/>
                <w:sz w:val="22"/>
                <w:szCs w:val="22"/>
              </w:rPr>
              <w:t>Art. </w:t>
            </w:r>
            <w:r w:rsidR="002459BA" w:rsidRPr="00317ABF">
              <w:rPr>
                <w:rStyle w:val="Ppogrubienie"/>
                <w:rFonts w:ascii="Times New Roman" w:hAnsi="Times New Roman"/>
                <w:sz w:val="22"/>
                <w:szCs w:val="22"/>
              </w:rPr>
              <w:t>100</w:t>
            </w:r>
            <w:r w:rsidRPr="00317ABF">
              <w:rPr>
                <w:rStyle w:val="Ppogrubienie"/>
                <w:rFonts w:ascii="Times New Roman" w:hAnsi="Times New Roman"/>
                <w:sz w:val="22"/>
                <w:szCs w:val="22"/>
              </w:rPr>
              <w:t>.</w:t>
            </w:r>
            <w:r w:rsidRPr="00317ABF">
              <w:rPr>
                <w:rFonts w:ascii="Times New Roman" w:hAnsi="Times New Roman" w:cs="Times New Roman"/>
                <w:sz w:val="22"/>
                <w:szCs w:val="22"/>
              </w:rPr>
              <w:t xml:space="preserve"> 1. Prezes UKE odmawia udzielenia rezerwacji częstotliwości w przypadku, gdy:</w:t>
            </w:r>
          </w:p>
          <w:p w14:paraId="6402E4E0" w14:textId="77777777" w:rsidR="001E1112" w:rsidRPr="00317ABF" w:rsidRDefault="001E1112" w:rsidP="00DB3BEC">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1)</w:t>
            </w:r>
            <w:r w:rsidRPr="00317ABF">
              <w:rPr>
                <w:rFonts w:ascii="Times New Roman" w:hAnsi="Times New Roman" w:cs="Times New Roman"/>
                <w:sz w:val="22"/>
                <w:szCs w:val="22"/>
              </w:rPr>
              <w:tab/>
              <w:t>wnioskodawca nie jest w stanie wywiązać się z warunków związanych z wykorzystaniem częstotliwości lub zasobów orbitalnych;</w:t>
            </w:r>
          </w:p>
          <w:p w14:paraId="5E134103" w14:textId="77777777" w:rsidR="001E1112" w:rsidRPr="00317ABF" w:rsidRDefault="001E1112" w:rsidP="00DB3BEC">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2)</w:t>
            </w:r>
            <w:r w:rsidRPr="00317ABF">
              <w:rPr>
                <w:rFonts w:ascii="Times New Roman" w:hAnsi="Times New Roman" w:cs="Times New Roman"/>
                <w:sz w:val="22"/>
                <w:szCs w:val="22"/>
              </w:rPr>
              <w:tab/>
              <w:t>zachodzą okoliczności, o których mowa w art. 94 ust. 1 pkt 3;</w:t>
            </w:r>
          </w:p>
          <w:p w14:paraId="23B1EF8D" w14:textId="77777777" w:rsidR="001E1112" w:rsidRPr="00317ABF" w:rsidRDefault="001E1112" w:rsidP="00DB3BEC">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3)</w:t>
            </w:r>
            <w:r w:rsidRPr="00317ABF">
              <w:rPr>
                <w:rFonts w:ascii="Times New Roman" w:hAnsi="Times New Roman" w:cs="Times New Roman"/>
                <w:sz w:val="22"/>
                <w:szCs w:val="22"/>
              </w:rPr>
              <w:tab/>
              <w:t>powodowałoby to naruszenie wiążących Rzeczpospolitą Polską umów międzynarodowych;</w:t>
            </w:r>
          </w:p>
          <w:p w14:paraId="7C3FB76E" w14:textId="77777777" w:rsidR="001E1112" w:rsidRPr="00317ABF" w:rsidRDefault="001E1112" w:rsidP="00DB3BEC">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4)</w:t>
            </w:r>
            <w:r w:rsidRPr="00317ABF">
              <w:rPr>
                <w:rFonts w:ascii="Times New Roman" w:hAnsi="Times New Roman" w:cs="Times New Roman"/>
                <w:sz w:val="22"/>
                <w:szCs w:val="22"/>
              </w:rPr>
              <w:tab/>
              <w:t>zachodzi konieczność przeprowadzenia postępowania selekcyjnego, a wniosek o rezerwację częstotliwości złożony został przed ogłoszeniem postępowania selekcyjnego;</w:t>
            </w:r>
          </w:p>
          <w:p w14:paraId="336CF48B" w14:textId="77777777" w:rsidR="001E1112" w:rsidRPr="00317ABF" w:rsidRDefault="001E1112" w:rsidP="00DB3BEC">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5)</w:t>
            </w:r>
            <w:r w:rsidRPr="00317ABF">
              <w:rPr>
                <w:rFonts w:ascii="Times New Roman" w:hAnsi="Times New Roman" w:cs="Times New Roman"/>
                <w:sz w:val="22"/>
                <w:szCs w:val="22"/>
              </w:rPr>
              <w:tab/>
              <w:t>w postępowaniu selekcyjnym podmiot nie został wyłoniony jako ten, dla którego zostanie dokonana rezerwacja częstotliwości;</w:t>
            </w:r>
          </w:p>
          <w:p w14:paraId="75EE3C74" w14:textId="77777777" w:rsidR="001E1112" w:rsidRPr="00317ABF" w:rsidRDefault="001E1112" w:rsidP="00DB3BEC">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6)</w:t>
            </w:r>
            <w:r w:rsidRPr="00317ABF">
              <w:rPr>
                <w:rFonts w:ascii="Times New Roman" w:hAnsi="Times New Roman" w:cs="Times New Roman"/>
                <w:sz w:val="22"/>
                <w:szCs w:val="22"/>
              </w:rPr>
              <w:tab/>
              <w:t xml:space="preserve">udzielenie rezerwacji częstotliwości uniemożliwiałoby realizację zobowiązań wynikających z wiążących Rzeczpospolitą Polską umów </w:t>
            </w:r>
            <w:r w:rsidRPr="00317ABF">
              <w:rPr>
                <w:rFonts w:ascii="Times New Roman" w:hAnsi="Times New Roman" w:cs="Times New Roman"/>
                <w:sz w:val="22"/>
                <w:szCs w:val="22"/>
              </w:rPr>
              <w:lastRenderedPageBreak/>
              <w:t>międzynarodowych lub aktów prawnych Unii Europejskiej, dotyczących gospodarowania częstotliwościami.</w:t>
            </w:r>
          </w:p>
          <w:p w14:paraId="4F9224AD" w14:textId="77777777" w:rsidR="001E1112" w:rsidRPr="00317ABF" w:rsidRDefault="001E1112" w:rsidP="00DB3BEC">
            <w:pPr>
              <w:pStyle w:val="USTustnpkodeksu"/>
              <w:keepNext/>
              <w:spacing w:line="240" w:lineRule="auto"/>
              <w:rPr>
                <w:rFonts w:ascii="Times New Roman" w:hAnsi="Times New Roman" w:cs="Times New Roman"/>
                <w:sz w:val="22"/>
                <w:szCs w:val="22"/>
              </w:rPr>
            </w:pPr>
            <w:r w:rsidRPr="00317ABF">
              <w:rPr>
                <w:rFonts w:ascii="Times New Roman" w:hAnsi="Times New Roman" w:cs="Times New Roman"/>
                <w:sz w:val="22"/>
                <w:szCs w:val="22"/>
              </w:rPr>
              <w:t>2. W okresie ważności rezerwacji częstotliwości Prezes UKE może odmówić wydania lub cofnąć pozwolenie radiowe na używanie urządzenia radiowego wykorzystującego częstotliwości objęte rezerwacją z tytułu wystąpienia jednej z następujących okoliczności:</w:t>
            </w:r>
          </w:p>
          <w:p w14:paraId="3495E879" w14:textId="77777777" w:rsidR="001E1112" w:rsidRPr="00317ABF" w:rsidRDefault="001E1112" w:rsidP="00DB3BEC">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1)</w:t>
            </w:r>
            <w:r w:rsidRPr="00317ABF">
              <w:rPr>
                <w:rFonts w:ascii="Times New Roman" w:hAnsi="Times New Roman" w:cs="Times New Roman"/>
                <w:sz w:val="22"/>
                <w:szCs w:val="22"/>
              </w:rPr>
              <w:tab/>
              <w:t>zagrożenia obronności, bezpieczeństwa państwa lub bezpieczeństwa i porządku publicznego;</w:t>
            </w:r>
          </w:p>
          <w:p w14:paraId="76044BCF" w14:textId="77777777" w:rsidR="001E1112" w:rsidRPr="00317ABF" w:rsidRDefault="001E1112" w:rsidP="00DB3BEC">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2)</w:t>
            </w:r>
            <w:r w:rsidRPr="00317ABF">
              <w:rPr>
                <w:rFonts w:ascii="Times New Roman" w:hAnsi="Times New Roman" w:cs="Times New Roman"/>
                <w:sz w:val="22"/>
                <w:szCs w:val="22"/>
              </w:rPr>
              <w:tab/>
              <w:t>naruszenia wiążących Rzeczpospolitą Polską umów międzynarodowych;</w:t>
            </w:r>
          </w:p>
          <w:p w14:paraId="1DDD4CF2" w14:textId="77777777" w:rsidR="001E1112" w:rsidRPr="00317ABF" w:rsidRDefault="001E1112" w:rsidP="00DB3BEC">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3)</w:t>
            </w:r>
            <w:r w:rsidRPr="00317ABF">
              <w:rPr>
                <w:rFonts w:ascii="Times New Roman" w:hAnsi="Times New Roman" w:cs="Times New Roman"/>
                <w:sz w:val="22"/>
                <w:szCs w:val="22"/>
              </w:rPr>
              <w:tab/>
              <w:t>zakłócenia pracy urządzeń lub sieci telekomunikacyjnych;</w:t>
            </w:r>
          </w:p>
          <w:p w14:paraId="4DDDA66C" w14:textId="77777777" w:rsidR="001E1112" w:rsidRPr="00317ABF" w:rsidRDefault="001E1112" w:rsidP="00DB3BEC">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4)</w:t>
            </w:r>
            <w:r w:rsidRPr="00317ABF">
              <w:rPr>
                <w:rFonts w:ascii="Times New Roman" w:hAnsi="Times New Roman" w:cs="Times New Roman"/>
                <w:sz w:val="22"/>
                <w:szCs w:val="22"/>
              </w:rPr>
              <w:tab/>
              <w:t xml:space="preserve">niespełniania warunków, o których mowa w art. 72 ust. 1 pkt 2, chyba że uległ zmianie stan prawny lub faktyczny przyjęty za podstawę dokonania rezerwacji; </w:t>
            </w:r>
          </w:p>
          <w:p w14:paraId="4B465427" w14:textId="77777777" w:rsidR="001E1112" w:rsidRPr="00317ABF" w:rsidRDefault="001E1112" w:rsidP="00DB3BEC">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5)</w:t>
            </w:r>
            <w:r w:rsidRPr="00317ABF">
              <w:rPr>
                <w:rFonts w:ascii="Times New Roman" w:hAnsi="Times New Roman" w:cs="Times New Roman"/>
                <w:sz w:val="22"/>
                <w:szCs w:val="22"/>
              </w:rPr>
              <w:tab/>
              <w:t>braku możliwości realizacji zobowiązań wynikających z wiążących Rzeczpospolitą Polską umów międzynarodowych lub aktów prawnych Unii Europejskiej, dotyczących gospodarowania częstotliwościami.</w:t>
            </w:r>
          </w:p>
          <w:p w14:paraId="64172A9E" w14:textId="38ECACE1" w:rsidR="001E1112" w:rsidRPr="00317ABF" w:rsidRDefault="001E1112" w:rsidP="00DB3BEC">
            <w:pPr>
              <w:pStyle w:val="USTustnpkodeksu"/>
              <w:spacing w:line="240" w:lineRule="auto"/>
              <w:rPr>
                <w:rFonts w:ascii="Times New Roman" w:hAnsi="Times New Roman" w:cs="Times New Roman"/>
                <w:sz w:val="22"/>
                <w:szCs w:val="22"/>
              </w:rPr>
            </w:pPr>
            <w:r w:rsidRPr="00317ABF">
              <w:rPr>
                <w:rFonts w:ascii="Times New Roman" w:hAnsi="Times New Roman" w:cs="Times New Roman"/>
                <w:sz w:val="22"/>
                <w:szCs w:val="22"/>
              </w:rPr>
              <w:t xml:space="preserve">3. Odmowa udzielenia rezerwacji częstotliwości, jej zmiana lub cofnięcie w przypadku, o którym mowa w art. </w:t>
            </w:r>
            <w:r w:rsidR="002459BA" w:rsidRPr="00317ABF">
              <w:rPr>
                <w:rFonts w:ascii="Times New Roman" w:hAnsi="Times New Roman" w:cs="Times New Roman"/>
                <w:sz w:val="22"/>
                <w:szCs w:val="22"/>
              </w:rPr>
              <w:t>99</w:t>
            </w:r>
            <w:r w:rsidRPr="00317ABF">
              <w:rPr>
                <w:rFonts w:ascii="Times New Roman" w:hAnsi="Times New Roman" w:cs="Times New Roman"/>
                <w:sz w:val="22"/>
                <w:szCs w:val="22"/>
              </w:rPr>
              <w:t xml:space="preserve"> ust. 1 pkt 3, a także odmowa wydania pozwolenia radiowego lub jego cofnięcie </w:t>
            </w:r>
            <w:r w:rsidR="002459BA" w:rsidRPr="00317ABF">
              <w:rPr>
                <w:rFonts w:ascii="Times New Roman" w:hAnsi="Times New Roman" w:cs="Times New Roman"/>
                <w:sz w:val="22"/>
                <w:szCs w:val="22"/>
              </w:rPr>
              <w:t>w przypadku, o którym mowa w art. 99 ust. 1 pkt 3</w:t>
            </w:r>
            <w:r w:rsidRPr="00317ABF">
              <w:rPr>
                <w:rFonts w:ascii="Times New Roman" w:hAnsi="Times New Roman" w:cs="Times New Roman"/>
                <w:sz w:val="22"/>
                <w:szCs w:val="22"/>
              </w:rPr>
              <w:t xml:space="preserve">, następuje po zasięgnięciu opinii lub </w:t>
            </w:r>
            <w:r w:rsidR="002459BA" w:rsidRPr="00317ABF">
              <w:rPr>
                <w:rFonts w:ascii="Times New Roman" w:hAnsi="Times New Roman" w:cs="Times New Roman"/>
                <w:sz w:val="22"/>
                <w:szCs w:val="22"/>
              </w:rPr>
              <w:t xml:space="preserve">niezwłocznie, </w:t>
            </w:r>
            <w:r w:rsidRPr="00317ABF">
              <w:rPr>
                <w:rFonts w:ascii="Times New Roman" w:hAnsi="Times New Roman" w:cs="Times New Roman"/>
                <w:sz w:val="22"/>
                <w:szCs w:val="22"/>
              </w:rPr>
              <w:t>na wniosek Ministra Obrony Narodowej, ministra właściwego do spraw wewnętrznych, Szefa Agencji Bezpieczeństwa Wewnętrznego lub Szefa Agencji Wywiadu, w zakresie ich właściwości.</w:t>
            </w:r>
          </w:p>
          <w:p w14:paraId="67CAD00E" w14:textId="77777777" w:rsidR="001E1112" w:rsidRPr="00317ABF" w:rsidRDefault="001E1112" w:rsidP="00DB3BEC">
            <w:pPr>
              <w:pStyle w:val="USTustnpkodeksu"/>
              <w:spacing w:line="240" w:lineRule="auto"/>
              <w:rPr>
                <w:rFonts w:ascii="Times New Roman" w:hAnsi="Times New Roman" w:cs="Times New Roman"/>
                <w:sz w:val="22"/>
                <w:szCs w:val="22"/>
              </w:rPr>
            </w:pPr>
            <w:r w:rsidRPr="00317ABF">
              <w:rPr>
                <w:rFonts w:ascii="Times New Roman" w:hAnsi="Times New Roman" w:cs="Times New Roman"/>
                <w:sz w:val="22"/>
                <w:szCs w:val="22"/>
              </w:rPr>
              <w:t xml:space="preserve">4. Jeżeli uzasadnienie opinii lub wniosku organów, o których mowa w ust. 3, wskazujące na okoliczności prowadzące do zagrożenia obronności, bezpieczeństwa państwa lub bezpieczeństwa i porządku publicznego zawiera informacje niejawne, zamiast uzasadnienia </w:t>
            </w:r>
            <w:r w:rsidR="002459BA" w:rsidRPr="00317ABF">
              <w:rPr>
                <w:rFonts w:ascii="Times New Roman" w:hAnsi="Times New Roman" w:cs="Times New Roman"/>
                <w:sz w:val="22"/>
                <w:szCs w:val="22"/>
              </w:rPr>
              <w:t xml:space="preserve">stronie </w:t>
            </w:r>
            <w:r w:rsidRPr="00317ABF">
              <w:rPr>
                <w:rFonts w:ascii="Times New Roman" w:hAnsi="Times New Roman" w:cs="Times New Roman"/>
                <w:sz w:val="22"/>
                <w:szCs w:val="22"/>
              </w:rPr>
              <w:t>doręcza się zawiadomienie, że uzasadnienie takie zostało sporządzone.</w:t>
            </w:r>
          </w:p>
          <w:p w14:paraId="6A9C8F10" w14:textId="77777777" w:rsidR="001E1112" w:rsidRPr="00317ABF" w:rsidRDefault="001E1112" w:rsidP="00DB3BEC">
            <w:pPr>
              <w:pStyle w:val="USTustnpkodeksu"/>
              <w:spacing w:line="240" w:lineRule="auto"/>
              <w:rPr>
                <w:rFonts w:ascii="Times New Roman" w:hAnsi="Times New Roman" w:cs="Times New Roman"/>
                <w:sz w:val="22"/>
                <w:szCs w:val="22"/>
              </w:rPr>
            </w:pPr>
            <w:r w:rsidRPr="00317ABF">
              <w:rPr>
                <w:rFonts w:ascii="Times New Roman" w:hAnsi="Times New Roman" w:cs="Times New Roman"/>
                <w:sz w:val="22"/>
                <w:szCs w:val="22"/>
              </w:rPr>
              <w:t>5. Organy, o których mowa w ust. 3, zajmują stanowisko w terminie 21 dni od dnia wystąpienia o opinię lub dnia wystąpienia z wnioskiem, o których mowa w ust. 3.</w:t>
            </w:r>
          </w:p>
          <w:p w14:paraId="29DB153A" w14:textId="77777777" w:rsidR="001E1112" w:rsidRPr="00317ABF" w:rsidRDefault="001E1112" w:rsidP="002459BA">
            <w:pPr>
              <w:jc w:val="both"/>
              <w:rPr>
                <w:sz w:val="22"/>
                <w:szCs w:val="22"/>
              </w:rPr>
            </w:pPr>
            <w:r w:rsidRPr="00317ABF">
              <w:rPr>
                <w:sz w:val="22"/>
                <w:szCs w:val="22"/>
              </w:rPr>
              <w:t>6. Jeżeli organy, o których mowa w ust. 3, nie zajmą stanowiska w terminie, o którym mowa w ust. 5, uznaje się, że wymóg uzyskania stanowiska został spełniony.</w:t>
            </w:r>
          </w:p>
          <w:p w14:paraId="6FF2879D" w14:textId="7150CA7A" w:rsidR="005C61B6" w:rsidRPr="00317ABF" w:rsidRDefault="005C61B6" w:rsidP="002459BA">
            <w:pPr>
              <w:jc w:val="both"/>
              <w:rPr>
                <w:sz w:val="22"/>
                <w:szCs w:val="22"/>
              </w:rPr>
            </w:pPr>
          </w:p>
          <w:p w14:paraId="0CB991D1" w14:textId="77777777" w:rsidR="005C61B6" w:rsidRPr="00317ABF" w:rsidRDefault="005C61B6" w:rsidP="005C61B6">
            <w:pPr>
              <w:pStyle w:val="ARTartustawynprozporzdzenia"/>
              <w:spacing w:before="0" w:line="240" w:lineRule="auto"/>
              <w:ind w:firstLine="0"/>
              <w:rPr>
                <w:rStyle w:val="Ppogrubienie"/>
                <w:rFonts w:ascii="Times New Roman" w:hAnsi="Times New Roman"/>
                <w:b w:val="0"/>
                <w:bCs/>
                <w:sz w:val="22"/>
                <w:szCs w:val="22"/>
              </w:rPr>
            </w:pPr>
            <w:r w:rsidRPr="00317ABF">
              <w:rPr>
                <w:rStyle w:val="Ppogrubienie"/>
                <w:rFonts w:ascii="Times New Roman" w:hAnsi="Times New Roman"/>
                <w:bCs/>
                <w:sz w:val="22"/>
                <w:szCs w:val="22"/>
              </w:rPr>
              <w:t>Art. 129</w:t>
            </w:r>
            <w:r w:rsidRPr="00317ABF">
              <w:rPr>
                <w:rStyle w:val="Ppogrubienie"/>
                <w:rFonts w:ascii="Times New Roman" w:hAnsi="Times New Roman"/>
                <w:b w:val="0"/>
                <w:bCs/>
                <w:sz w:val="22"/>
                <w:szCs w:val="22"/>
              </w:rPr>
              <w:t xml:space="preserve">. Przydziału częstotliwości dokonuje się dla podmiotu, który spełnia wymagania określone ustawą oraz jeżeli częstotliwości: </w:t>
            </w:r>
          </w:p>
          <w:p w14:paraId="461BB852" w14:textId="77777777" w:rsidR="005C61B6" w:rsidRPr="00317ABF" w:rsidRDefault="005C61B6" w:rsidP="005C61B6">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 xml:space="preserve">1) są dostępne; </w:t>
            </w:r>
          </w:p>
          <w:p w14:paraId="307B00E0" w14:textId="77777777" w:rsidR="005C61B6" w:rsidRPr="00317ABF" w:rsidRDefault="005C61B6" w:rsidP="005C61B6">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lastRenderedPageBreak/>
              <w:t>2)  zostały przeznaczone w Krajowej Tablicy Przeznaczeń Częstotliwości dla wnioskowanej służby radiokomunikacyjnej oraz plan zagospodarowania częstotliwości przewiduje ich zagospodarowanie zgodnie z wnioskiem;</w:t>
            </w:r>
          </w:p>
          <w:p w14:paraId="79DD581B" w14:textId="77777777" w:rsidR="005C61B6" w:rsidRPr="00317ABF" w:rsidRDefault="005C61B6" w:rsidP="005C61B6">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3)  mogą być chronione przed szkodliwymi zakłóceniami;</w:t>
            </w:r>
          </w:p>
          <w:p w14:paraId="3B89EFA2" w14:textId="77777777" w:rsidR="005C61B6" w:rsidRPr="00317ABF" w:rsidRDefault="005C61B6" w:rsidP="005C61B6">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4)  mogą być wykorzystywane przez urządzenie radiowe bez powodowania szkodliwych zakłóceń lub kolizji z przyznanymi na rzecz innych podmiotów rezerwacjami, przydziałami częstotliwości, pozwoleniami radiowymi lub decyzjami, o których mowa w art. 152 lub art. 153;</w:t>
            </w:r>
          </w:p>
          <w:p w14:paraId="35BADC04" w14:textId="77777777" w:rsidR="005C61B6" w:rsidRPr="00317ABF" w:rsidRDefault="005C61B6" w:rsidP="005C61B6">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5)  będą wykorzystywane w sposób efektywny;</w:t>
            </w:r>
          </w:p>
          <w:p w14:paraId="5C9747D7" w14:textId="77777777" w:rsidR="005C61B6" w:rsidRPr="00317ABF" w:rsidRDefault="005C61B6" w:rsidP="005C61B6">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6)  zostały międzynarodowo uzgodnione w zakresie i formie określonej w międzynarodowych przepisach radiokomunikacyjnych lub umowach, których Rzeczpospolita Polska jest stroną - w przypadku gdy zachodzi możliwość powodowania szkodliwych zakłóceń poza granicami Rzeczypospolitej Polskiej;</w:t>
            </w:r>
          </w:p>
          <w:p w14:paraId="6FD2493E" w14:textId="6766720B" w:rsidR="005C61B6" w:rsidRPr="00317ABF" w:rsidRDefault="005C61B6" w:rsidP="005C61B6">
            <w:pPr>
              <w:jc w:val="both"/>
              <w:rPr>
                <w:sz w:val="22"/>
                <w:szCs w:val="22"/>
              </w:rPr>
            </w:pPr>
            <w:r w:rsidRPr="00317ABF">
              <w:rPr>
                <w:sz w:val="22"/>
                <w:szCs w:val="22"/>
              </w:rPr>
              <w:t xml:space="preserve">7) </w:t>
            </w:r>
            <w:r w:rsidRPr="00317ABF">
              <w:rPr>
                <w:color w:val="000000"/>
                <w:sz w:val="22"/>
                <w:szCs w:val="22"/>
              </w:rPr>
              <w:t>nie kolidują z pracą urządzeń kontrolno-pomiarowych UKE</w:t>
            </w:r>
            <w:r w:rsidRPr="00317ABF">
              <w:rPr>
                <w:sz w:val="22"/>
                <w:szCs w:val="22"/>
              </w:rPr>
              <w:t>.</w:t>
            </w:r>
          </w:p>
          <w:p w14:paraId="39C22085" w14:textId="77777777" w:rsidR="005C61B6" w:rsidRPr="00317ABF" w:rsidRDefault="005C61B6" w:rsidP="005C61B6">
            <w:pPr>
              <w:jc w:val="both"/>
              <w:rPr>
                <w:sz w:val="22"/>
                <w:szCs w:val="22"/>
              </w:rPr>
            </w:pPr>
          </w:p>
          <w:p w14:paraId="58C39D3C" w14:textId="77777777" w:rsidR="005C61B6" w:rsidRPr="00317ABF" w:rsidRDefault="005C61B6" w:rsidP="005C61B6">
            <w:pPr>
              <w:pStyle w:val="ARTartustawynprozporzdzenia"/>
              <w:spacing w:before="0" w:line="240" w:lineRule="auto"/>
              <w:rPr>
                <w:rFonts w:ascii="Times New Roman" w:hAnsi="Times New Roman" w:cs="Times New Roman"/>
                <w:sz w:val="22"/>
                <w:szCs w:val="22"/>
              </w:rPr>
            </w:pPr>
            <w:r w:rsidRPr="00317ABF">
              <w:rPr>
                <w:rFonts w:ascii="Times New Roman" w:hAnsi="Times New Roman" w:cs="Times New Roman"/>
                <w:b/>
                <w:sz w:val="22"/>
                <w:szCs w:val="22"/>
              </w:rPr>
              <w:t>Art. 136.</w:t>
            </w:r>
            <w:r w:rsidRPr="00317ABF">
              <w:rPr>
                <w:rFonts w:ascii="Times New Roman" w:hAnsi="Times New Roman" w:cs="Times New Roman"/>
                <w:sz w:val="22"/>
                <w:szCs w:val="22"/>
              </w:rPr>
              <w:t xml:space="preserve"> Prezes UKE odmawia dokonania przydziału częstotliwości w przypadku, gdy:</w:t>
            </w:r>
          </w:p>
          <w:p w14:paraId="6373FBC2" w14:textId="77777777" w:rsidR="005C61B6" w:rsidRPr="00317ABF" w:rsidRDefault="005C61B6" w:rsidP="005C61B6">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1) nie zostały spełnione przesłanki o których mowa w art. 129;</w:t>
            </w:r>
          </w:p>
          <w:p w14:paraId="738E3011" w14:textId="77777777" w:rsidR="005C61B6" w:rsidRPr="00317ABF" w:rsidRDefault="005C61B6" w:rsidP="005C61B6">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2) wnioskodawca nie jest w stanie wywiązać się z warunków związanych z wykorzystaniem częstotliwości;</w:t>
            </w:r>
          </w:p>
          <w:p w14:paraId="30D70047" w14:textId="77777777" w:rsidR="005C61B6" w:rsidRPr="00317ABF" w:rsidRDefault="005C61B6" w:rsidP="005C61B6">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3)  zachodzą okoliczności, o których mowa w art. 135 pkt 1-3;</w:t>
            </w:r>
          </w:p>
          <w:p w14:paraId="43326043" w14:textId="77777777" w:rsidR="005C61B6" w:rsidRPr="00317ABF" w:rsidRDefault="005C61B6" w:rsidP="005C61B6">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4)  powodowałoby to naruszenie umów międzynarodowych, których Rzeczpospolita Polska jest stroną;</w:t>
            </w:r>
          </w:p>
          <w:p w14:paraId="7EA3B437" w14:textId="77777777" w:rsidR="005C61B6" w:rsidRPr="00317ABF" w:rsidRDefault="005C61B6" w:rsidP="005C61B6">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5) postanowił o konieczności przeprowadzenia przetargu, aukcji albo konkursu na wnioskowane częstotliwości, a wniosek o przydział częstotliwości złożony został przed ogłoszeniem przetargu, aukcji albo konkursu;</w:t>
            </w:r>
          </w:p>
          <w:p w14:paraId="6945A5ED" w14:textId="77777777" w:rsidR="005C61B6" w:rsidRPr="00317ABF" w:rsidRDefault="005C61B6" w:rsidP="005C61B6">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6) dokonanie przydziału częstotliwości uniemożliwiałoby realizację zobowiązań wynikających z wiążących Rzeczpospolitą Polską umów międzynarodowych lub aktów prawnych Unii Europejskiej, dotyczących gospodarowania częstotliwościami.</w:t>
            </w:r>
          </w:p>
          <w:p w14:paraId="6CEEC88A" w14:textId="2FFB705B" w:rsidR="005C61B6" w:rsidRPr="00317ABF" w:rsidRDefault="005C61B6" w:rsidP="005C61B6">
            <w:pPr>
              <w:jc w:val="both"/>
              <w:rPr>
                <w:sz w:val="22"/>
                <w:szCs w:val="22"/>
              </w:rPr>
            </w:pPr>
            <w:r w:rsidRPr="00317ABF">
              <w:rPr>
                <w:b/>
                <w:sz w:val="22"/>
                <w:szCs w:val="22"/>
              </w:rPr>
              <w:t xml:space="preserve">Art. 137. </w:t>
            </w:r>
            <w:r w:rsidRPr="00317ABF">
              <w:rPr>
                <w:sz w:val="22"/>
                <w:szCs w:val="22"/>
              </w:rPr>
              <w:t>Do odmowy, zmiany lub cofnięcia przydziału częstotliwości z przyczyn, o których mowa w art. 135 pkt 3 stosuje się art. 100 ust. 3-6.</w:t>
            </w:r>
          </w:p>
          <w:p w14:paraId="54CA1787" w14:textId="77777777" w:rsidR="00B53A54" w:rsidRPr="00317ABF" w:rsidRDefault="00B53A54" w:rsidP="002459BA">
            <w:pPr>
              <w:jc w:val="both"/>
              <w:rPr>
                <w:sz w:val="22"/>
                <w:szCs w:val="22"/>
              </w:rPr>
            </w:pPr>
          </w:p>
          <w:p w14:paraId="697CA128" w14:textId="7D666E06" w:rsidR="00B53A54" w:rsidRPr="00317ABF" w:rsidRDefault="00B53A54" w:rsidP="00B53A54">
            <w:pPr>
              <w:pStyle w:val="ARTartustawynprozporzdzenia"/>
              <w:spacing w:before="0" w:line="240" w:lineRule="auto"/>
              <w:ind w:firstLine="0"/>
              <w:rPr>
                <w:rFonts w:ascii="Times New Roman" w:hAnsi="Times New Roman" w:cs="Times New Roman"/>
                <w:sz w:val="22"/>
                <w:szCs w:val="22"/>
              </w:rPr>
            </w:pPr>
            <w:r w:rsidRPr="00317ABF">
              <w:rPr>
                <w:rStyle w:val="Ppogrubienie"/>
                <w:rFonts w:ascii="Times New Roman" w:hAnsi="Times New Roman"/>
                <w:sz w:val="22"/>
                <w:szCs w:val="22"/>
              </w:rPr>
              <w:t>Art. 138.</w:t>
            </w:r>
            <w:r w:rsidRPr="00317ABF">
              <w:rPr>
                <w:rFonts w:ascii="Times New Roman" w:hAnsi="Times New Roman" w:cs="Times New Roman"/>
                <w:sz w:val="22"/>
                <w:szCs w:val="22"/>
              </w:rPr>
              <w:t xml:space="preserve"> 1. Z zastrzeżeniem art. 145, art. 152 i art. 153, używanie urządzenia radiowego wymaga posiadania pozwolenia radiowego, zwanego dalej „pozwoleniem”.</w:t>
            </w:r>
          </w:p>
          <w:p w14:paraId="6D3F7822" w14:textId="77777777" w:rsidR="00B53A54" w:rsidRPr="00317ABF" w:rsidRDefault="00B53A54" w:rsidP="00B53A54">
            <w:pPr>
              <w:pStyle w:val="USTustnpkodeksu"/>
              <w:spacing w:line="240" w:lineRule="auto"/>
              <w:rPr>
                <w:rFonts w:ascii="Times New Roman" w:hAnsi="Times New Roman" w:cs="Times New Roman"/>
                <w:sz w:val="22"/>
                <w:szCs w:val="22"/>
              </w:rPr>
            </w:pPr>
            <w:r w:rsidRPr="00317ABF">
              <w:rPr>
                <w:rFonts w:ascii="Times New Roman" w:hAnsi="Times New Roman" w:cs="Times New Roman"/>
                <w:sz w:val="22"/>
                <w:szCs w:val="22"/>
              </w:rPr>
              <w:lastRenderedPageBreak/>
              <w:t>2. Prezes UKE wydaje pozwolenie w drodze decyzji.</w:t>
            </w:r>
          </w:p>
          <w:p w14:paraId="36F0B32D" w14:textId="77777777" w:rsidR="00B53A54" w:rsidRPr="00317ABF" w:rsidRDefault="00B53A54" w:rsidP="00B53A54">
            <w:pPr>
              <w:pStyle w:val="USTustnpkodeksu"/>
              <w:spacing w:line="240" w:lineRule="auto"/>
              <w:rPr>
                <w:rFonts w:ascii="Times New Roman" w:hAnsi="Times New Roman" w:cs="Times New Roman"/>
                <w:sz w:val="22"/>
                <w:szCs w:val="22"/>
              </w:rPr>
            </w:pPr>
            <w:r w:rsidRPr="00317ABF">
              <w:rPr>
                <w:rFonts w:ascii="Times New Roman" w:hAnsi="Times New Roman" w:cs="Times New Roman"/>
                <w:sz w:val="22"/>
                <w:szCs w:val="22"/>
              </w:rPr>
              <w:t>3. Postępowanie w sprawie wydania pozwolenia wszczyna się na wniosek zainteresowanego podmiotu.</w:t>
            </w:r>
          </w:p>
          <w:p w14:paraId="4B16A4E2" w14:textId="77777777" w:rsidR="00B53A54" w:rsidRPr="00317ABF" w:rsidRDefault="00B53A54" w:rsidP="00B53A54">
            <w:pPr>
              <w:pStyle w:val="USTustnpkodeksu"/>
              <w:spacing w:line="240" w:lineRule="auto"/>
              <w:rPr>
                <w:rFonts w:ascii="Times New Roman" w:hAnsi="Times New Roman" w:cs="Times New Roman"/>
                <w:sz w:val="22"/>
                <w:szCs w:val="22"/>
              </w:rPr>
            </w:pPr>
            <w:r w:rsidRPr="00317ABF">
              <w:rPr>
                <w:rFonts w:ascii="Times New Roman" w:hAnsi="Times New Roman" w:cs="Times New Roman"/>
                <w:sz w:val="22"/>
                <w:szCs w:val="22"/>
              </w:rPr>
              <w:t>4. Podmiot posiadający rezerwację częstotliwości lub podmiot przez niego upoważniony lub podmiot, któremu częstotliwości zostały wydzierżawione lub przekazane do użytkowania zgodnie z art. 96, o ile nie została wydana decyzja, o której mowa w art. 96 ust. 5, może żądać wydania pozwolenia dotyczącego wykorzystania zasobu częstotliwości objętego rezerwacją częstotliwości w okresie jej obowiązywania.</w:t>
            </w:r>
          </w:p>
          <w:p w14:paraId="3EC03C48" w14:textId="77777777" w:rsidR="00B53A54" w:rsidRPr="00317ABF" w:rsidRDefault="00B53A54" w:rsidP="00B53A54">
            <w:pPr>
              <w:pStyle w:val="USTustnpkodeksu"/>
              <w:spacing w:line="240" w:lineRule="auto"/>
              <w:rPr>
                <w:rFonts w:ascii="Times New Roman" w:hAnsi="Times New Roman" w:cs="Times New Roman"/>
                <w:sz w:val="22"/>
                <w:szCs w:val="22"/>
              </w:rPr>
            </w:pPr>
            <w:r w:rsidRPr="00317ABF">
              <w:rPr>
                <w:rFonts w:ascii="Times New Roman" w:hAnsi="Times New Roman" w:cs="Times New Roman"/>
                <w:sz w:val="22"/>
                <w:szCs w:val="22"/>
              </w:rPr>
              <w:t>5. Do pozwolenia stosuje się odpowiednio art. 65.</w:t>
            </w:r>
          </w:p>
          <w:p w14:paraId="02E7CA1E" w14:textId="77777777" w:rsidR="00B53A54" w:rsidRPr="00317ABF" w:rsidRDefault="00B53A54" w:rsidP="00B53A54">
            <w:pPr>
              <w:jc w:val="both"/>
              <w:rPr>
                <w:sz w:val="22"/>
                <w:szCs w:val="22"/>
              </w:rPr>
            </w:pPr>
            <w:r w:rsidRPr="00317ABF">
              <w:rPr>
                <w:sz w:val="22"/>
                <w:szCs w:val="22"/>
              </w:rPr>
              <w:t>6. W przypadku wygaśnięcia lub rozwiązania umowy o wydzierżawienie częstotliwości lub umowy o przekazanie częstotliwości do użytkowania, o których mowa w art. 96, Prezes UKE stwierdza wygaśnięcie pozwolenia wydanego zgodnie z ust. 4.</w:t>
            </w:r>
          </w:p>
          <w:p w14:paraId="042C5D41" w14:textId="1AC73F93" w:rsidR="001E1112" w:rsidRPr="00317ABF" w:rsidRDefault="00B53A54" w:rsidP="00DB3BEC">
            <w:pPr>
              <w:jc w:val="both"/>
              <w:rPr>
                <w:sz w:val="22"/>
                <w:szCs w:val="22"/>
              </w:rPr>
            </w:pPr>
            <w:r w:rsidRPr="00317ABF">
              <w:rPr>
                <w:sz w:val="22"/>
                <w:szCs w:val="22"/>
              </w:rPr>
              <w:t>8. Przepisu ust. 7 nie stosuje się w przypadkach wymagających uzgodnień międzynarodowych lub wynikających z wiążących Rzeczpospolitą Polską umów międzynarodowych dotyczących użytkowania częstotliwości radiowych lub pozycji orbitalnych.</w:t>
            </w:r>
          </w:p>
        </w:tc>
      </w:tr>
      <w:tr w:rsidR="001E1112" w:rsidRPr="00317ABF" w14:paraId="5F39CFAF" w14:textId="77777777" w:rsidTr="7753F98D">
        <w:trPr>
          <w:gridAfter w:val="2"/>
          <w:wAfter w:w="175" w:type="dxa"/>
        </w:trPr>
        <w:tc>
          <w:tcPr>
            <w:tcW w:w="704" w:type="dxa"/>
          </w:tcPr>
          <w:p w14:paraId="73B13647" w14:textId="77777777" w:rsidR="001E1112" w:rsidRPr="00317ABF" w:rsidRDefault="001E1112" w:rsidP="00DB3BEC">
            <w:pPr>
              <w:jc w:val="both"/>
              <w:rPr>
                <w:sz w:val="22"/>
                <w:szCs w:val="22"/>
              </w:rPr>
            </w:pPr>
            <w:r w:rsidRPr="00317ABF">
              <w:rPr>
                <w:sz w:val="22"/>
                <w:szCs w:val="22"/>
              </w:rPr>
              <w:lastRenderedPageBreak/>
              <w:t>Art. 15 ust. 2</w:t>
            </w:r>
          </w:p>
        </w:tc>
        <w:tc>
          <w:tcPr>
            <w:tcW w:w="4308" w:type="dxa"/>
          </w:tcPr>
          <w:p w14:paraId="7D92630D" w14:textId="77777777" w:rsidR="001E1112" w:rsidRPr="00317ABF" w:rsidRDefault="001E1112" w:rsidP="00DB3BEC">
            <w:pPr>
              <w:spacing w:before="120"/>
              <w:jc w:val="both"/>
              <w:rPr>
                <w:sz w:val="22"/>
                <w:szCs w:val="22"/>
              </w:rPr>
            </w:pPr>
            <w:r w:rsidRPr="00317ABF">
              <w:rPr>
                <w:sz w:val="22"/>
                <w:szCs w:val="22"/>
              </w:rPr>
              <w:t>2.   Jeżeli takie przedsiębiorstwa udostępniają sieci łączności elektronicznej lub świadczą usługi łączności elektronicznej na rzecz ogółu ludności, ogólne zezwolenie uprawnia je do:</w:t>
            </w:r>
          </w:p>
          <w:tbl>
            <w:tblPr>
              <w:tblW w:w="5000" w:type="pct"/>
              <w:tblCellSpacing w:w="0" w:type="dxa"/>
              <w:tblLayout w:type="fixed"/>
              <w:tblCellMar>
                <w:left w:w="0" w:type="dxa"/>
                <w:right w:w="0" w:type="dxa"/>
              </w:tblCellMar>
              <w:tblLook w:val="04A0" w:firstRow="1" w:lastRow="0" w:firstColumn="1" w:lastColumn="0" w:noHBand="0" w:noVBand="1"/>
            </w:tblPr>
            <w:tblGrid>
              <w:gridCol w:w="20"/>
              <w:gridCol w:w="4148"/>
            </w:tblGrid>
            <w:tr w:rsidR="001E1112" w:rsidRPr="00317ABF" w14:paraId="0F621EBA" w14:textId="77777777" w:rsidTr="00345B65">
              <w:trPr>
                <w:tblCellSpacing w:w="0" w:type="dxa"/>
              </w:trPr>
              <w:tc>
                <w:tcPr>
                  <w:tcW w:w="6" w:type="dxa"/>
                  <w:hideMark/>
                </w:tcPr>
                <w:p w14:paraId="4D2E12B8" w14:textId="77777777" w:rsidR="001E1112" w:rsidRPr="00317ABF" w:rsidRDefault="001E1112" w:rsidP="00EE0AC3">
                  <w:pPr>
                    <w:framePr w:hSpace="141" w:wrap="around" w:vAnchor="text" w:hAnchor="text" w:xAlign="right" w:y="1"/>
                    <w:spacing w:before="120"/>
                    <w:suppressOverlap/>
                    <w:jc w:val="both"/>
                    <w:rPr>
                      <w:sz w:val="22"/>
                      <w:szCs w:val="22"/>
                    </w:rPr>
                  </w:pPr>
                </w:p>
              </w:tc>
              <w:tc>
                <w:tcPr>
                  <w:tcW w:w="9066" w:type="dxa"/>
                  <w:hideMark/>
                </w:tcPr>
                <w:p w14:paraId="1EB16884" w14:textId="77777777" w:rsidR="001E1112" w:rsidRPr="00317ABF" w:rsidRDefault="001E1112" w:rsidP="00EE0AC3">
                  <w:pPr>
                    <w:framePr w:hSpace="141" w:wrap="around" w:vAnchor="text" w:hAnchor="text" w:xAlign="right" w:y="1"/>
                    <w:numPr>
                      <w:ilvl w:val="0"/>
                      <w:numId w:val="10"/>
                    </w:numPr>
                    <w:spacing w:before="120"/>
                    <w:suppressOverlap/>
                    <w:jc w:val="both"/>
                    <w:rPr>
                      <w:sz w:val="22"/>
                      <w:szCs w:val="22"/>
                    </w:rPr>
                  </w:pPr>
                  <w:r w:rsidRPr="00317ABF">
                    <w:rPr>
                      <w:sz w:val="22"/>
                      <w:szCs w:val="22"/>
                    </w:rPr>
                    <w:t>negocjowania wzajemnych połączeń z oraz – tam gdzie ma to zastosowanie –uzyskiwania dostępu lub wzajemnych połączeń od innych dostawców udostępniających publiczne sieci łączności elektronicznej lub publicznie dostępne usługi łączności elektronicznej, objętych ogólnym zezwoleniem, w obrębie Unii zgodnie z niniejszą dyrektywą;</w:t>
                  </w:r>
                </w:p>
              </w:tc>
            </w:tr>
          </w:tbl>
          <w:p w14:paraId="308F224F" w14:textId="77777777" w:rsidR="001E1112" w:rsidRPr="00317ABF" w:rsidRDefault="001E1112" w:rsidP="00DB3BEC">
            <w:pPr>
              <w:jc w:val="both"/>
              <w:rPr>
                <w:vanish/>
                <w:sz w:val="22"/>
                <w:szCs w:val="22"/>
              </w:rPr>
            </w:pPr>
          </w:p>
          <w:tbl>
            <w:tblPr>
              <w:tblW w:w="5000" w:type="pct"/>
              <w:tblCellSpacing w:w="0" w:type="dxa"/>
              <w:tblLayout w:type="fixed"/>
              <w:tblCellMar>
                <w:left w:w="0" w:type="dxa"/>
                <w:right w:w="0" w:type="dxa"/>
              </w:tblCellMar>
              <w:tblLook w:val="04A0" w:firstRow="1" w:lastRow="0" w:firstColumn="1" w:lastColumn="0" w:noHBand="0" w:noVBand="1"/>
            </w:tblPr>
            <w:tblGrid>
              <w:gridCol w:w="20"/>
              <w:gridCol w:w="4148"/>
            </w:tblGrid>
            <w:tr w:rsidR="001E1112" w:rsidRPr="00317ABF" w14:paraId="0AB17FFC" w14:textId="77777777" w:rsidTr="00345B65">
              <w:trPr>
                <w:tblCellSpacing w:w="0" w:type="dxa"/>
              </w:trPr>
              <w:tc>
                <w:tcPr>
                  <w:tcW w:w="6" w:type="dxa"/>
                  <w:hideMark/>
                </w:tcPr>
                <w:p w14:paraId="5E6D6F63" w14:textId="77777777" w:rsidR="001E1112" w:rsidRPr="00317ABF" w:rsidRDefault="001E1112" w:rsidP="00EE0AC3">
                  <w:pPr>
                    <w:framePr w:hSpace="141" w:wrap="around" w:vAnchor="text" w:hAnchor="text" w:xAlign="right" w:y="1"/>
                    <w:spacing w:before="120"/>
                    <w:suppressOverlap/>
                    <w:jc w:val="both"/>
                    <w:rPr>
                      <w:sz w:val="22"/>
                      <w:szCs w:val="22"/>
                    </w:rPr>
                  </w:pPr>
                </w:p>
              </w:tc>
              <w:tc>
                <w:tcPr>
                  <w:tcW w:w="9066" w:type="dxa"/>
                  <w:hideMark/>
                </w:tcPr>
                <w:p w14:paraId="475A65E2" w14:textId="77777777" w:rsidR="001E1112" w:rsidRPr="00317ABF" w:rsidRDefault="001E1112" w:rsidP="00EE0AC3">
                  <w:pPr>
                    <w:framePr w:hSpace="141" w:wrap="around" w:vAnchor="text" w:hAnchor="text" w:xAlign="right" w:y="1"/>
                    <w:numPr>
                      <w:ilvl w:val="0"/>
                      <w:numId w:val="10"/>
                    </w:numPr>
                    <w:spacing w:before="120"/>
                    <w:suppressOverlap/>
                    <w:jc w:val="both"/>
                    <w:rPr>
                      <w:sz w:val="22"/>
                      <w:szCs w:val="22"/>
                    </w:rPr>
                  </w:pPr>
                  <w:r w:rsidRPr="00317ABF">
                    <w:rPr>
                      <w:sz w:val="22"/>
                      <w:szCs w:val="22"/>
                    </w:rPr>
                    <w:t xml:space="preserve">ubiegania się o wyznaczenie do świadczenia różnych elementów usługi powszechnej lub prowadzenia </w:t>
                  </w:r>
                  <w:r w:rsidRPr="00317ABF">
                    <w:rPr>
                      <w:sz w:val="22"/>
                      <w:szCs w:val="22"/>
                    </w:rPr>
                    <w:lastRenderedPageBreak/>
                    <w:t>działalności w różnych częściach terytorium państwowego zgodnie z art. 86 lub 87.</w:t>
                  </w:r>
                </w:p>
              </w:tc>
            </w:tr>
          </w:tbl>
          <w:p w14:paraId="7B969857" w14:textId="77777777" w:rsidR="001E1112" w:rsidRPr="00317ABF" w:rsidRDefault="001E1112" w:rsidP="00DB3BEC">
            <w:pPr>
              <w:spacing w:before="120"/>
              <w:jc w:val="both"/>
              <w:rPr>
                <w:sz w:val="22"/>
                <w:szCs w:val="22"/>
              </w:rPr>
            </w:pPr>
          </w:p>
        </w:tc>
        <w:tc>
          <w:tcPr>
            <w:tcW w:w="986" w:type="dxa"/>
          </w:tcPr>
          <w:p w14:paraId="0FE634FD" w14:textId="77777777" w:rsidR="001E1112" w:rsidRPr="00317ABF" w:rsidRDefault="001E1112" w:rsidP="00DB3BEC">
            <w:pPr>
              <w:jc w:val="both"/>
              <w:rPr>
                <w:sz w:val="22"/>
                <w:szCs w:val="22"/>
              </w:rPr>
            </w:pPr>
          </w:p>
        </w:tc>
        <w:tc>
          <w:tcPr>
            <w:tcW w:w="910" w:type="dxa"/>
          </w:tcPr>
          <w:p w14:paraId="57564F51" w14:textId="2AD9AAEC" w:rsidR="005D61AA" w:rsidRPr="00317ABF" w:rsidRDefault="005D61AA" w:rsidP="00DB3BEC">
            <w:pPr>
              <w:jc w:val="both"/>
              <w:rPr>
                <w:sz w:val="22"/>
                <w:szCs w:val="22"/>
              </w:rPr>
            </w:pPr>
          </w:p>
          <w:p w14:paraId="53C9248A" w14:textId="1F29D331" w:rsidR="001E1112" w:rsidRPr="00317ABF" w:rsidRDefault="005D61AA" w:rsidP="00DB3BEC">
            <w:pPr>
              <w:jc w:val="both"/>
              <w:rPr>
                <w:sz w:val="22"/>
                <w:szCs w:val="22"/>
              </w:rPr>
            </w:pPr>
            <w:r w:rsidRPr="00317ABF">
              <w:rPr>
                <w:sz w:val="22"/>
                <w:szCs w:val="22"/>
              </w:rPr>
              <w:t>Art. 170 w zakresie lit. a</w:t>
            </w:r>
          </w:p>
          <w:p w14:paraId="145317FC" w14:textId="77777777" w:rsidR="001E1112" w:rsidRPr="00317ABF" w:rsidRDefault="001E1112" w:rsidP="00DB3BEC">
            <w:pPr>
              <w:jc w:val="both"/>
              <w:rPr>
                <w:sz w:val="22"/>
                <w:szCs w:val="22"/>
              </w:rPr>
            </w:pPr>
          </w:p>
          <w:p w14:paraId="743034B7" w14:textId="77777777" w:rsidR="001E1112" w:rsidRPr="00317ABF" w:rsidRDefault="001E1112" w:rsidP="00DB3BEC">
            <w:pPr>
              <w:jc w:val="both"/>
              <w:rPr>
                <w:sz w:val="22"/>
                <w:szCs w:val="22"/>
              </w:rPr>
            </w:pPr>
          </w:p>
          <w:p w14:paraId="1BCDD016" w14:textId="78633D6C" w:rsidR="001E1112" w:rsidRPr="00317ABF" w:rsidRDefault="001E1112" w:rsidP="00DB3BEC">
            <w:pPr>
              <w:jc w:val="both"/>
              <w:rPr>
                <w:sz w:val="22"/>
                <w:szCs w:val="22"/>
              </w:rPr>
            </w:pPr>
          </w:p>
          <w:p w14:paraId="7E6089CE" w14:textId="44DF1FCA" w:rsidR="001E1112" w:rsidRPr="00317ABF" w:rsidRDefault="001E1112" w:rsidP="00DB3BEC">
            <w:pPr>
              <w:jc w:val="both"/>
              <w:rPr>
                <w:sz w:val="22"/>
                <w:szCs w:val="22"/>
              </w:rPr>
            </w:pPr>
            <w:r w:rsidRPr="00317ABF">
              <w:rPr>
                <w:sz w:val="22"/>
                <w:szCs w:val="22"/>
              </w:rPr>
              <w:t>w zakresiesie lit. b</w:t>
            </w:r>
          </w:p>
          <w:p w14:paraId="12385CA3" w14:textId="0CDDF335" w:rsidR="001E1112" w:rsidRPr="00317ABF" w:rsidRDefault="001E1112" w:rsidP="00DB3BEC">
            <w:pPr>
              <w:jc w:val="both"/>
              <w:rPr>
                <w:sz w:val="22"/>
                <w:szCs w:val="22"/>
              </w:rPr>
            </w:pPr>
            <w:r w:rsidRPr="00317ABF">
              <w:rPr>
                <w:sz w:val="22"/>
                <w:szCs w:val="22"/>
              </w:rPr>
              <w:t>art. 318 i art. 319</w:t>
            </w:r>
          </w:p>
        </w:tc>
        <w:tc>
          <w:tcPr>
            <w:tcW w:w="6814" w:type="dxa"/>
            <w:gridSpan w:val="2"/>
          </w:tcPr>
          <w:p w14:paraId="55E8AFE7" w14:textId="77777777" w:rsidR="005D61AA" w:rsidRPr="00317ABF" w:rsidRDefault="005D61AA" w:rsidP="005D61AA">
            <w:pPr>
              <w:jc w:val="both"/>
              <w:rPr>
                <w:sz w:val="22"/>
                <w:szCs w:val="22"/>
              </w:rPr>
            </w:pPr>
            <w:r w:rsidRPr="00317ABF">
              <w:rPr>
                <w:b/>
                <w:sz w:val="22"/>
                <w:szCs w:val="22"/>
              </w:rPr>
              <w:t>Art. 170.</w:t>
            </w:r>
            <w:r w:rsidRPr="00317ABF">
              <w:rPr>
                <w:sz w:val="22"/>
                <w:szCs w:val="22"/>
              </w:rPr>
              <w:t xml:space="preserve"> 1. Dążąc do zapewnienia świadczenia publicznie dostępnych usług telekomunikacyjnych i interoperacyjności w obrębie całej Unii Europejskiej, operator jest obowiązany do prowadzenia negocjacji w celu zawarcia umowy o dostępie w zakresie połączenia sieci na wniosek innego przedsiębiorcy telekomunikacyjnego.</w:t>
            </w:r>
          </w:p>
          <w:p w14:paraId="6A8EE06C" w14:textId="246EA7B2" w:rsidR="005D61AA" w:rsidRPr="00317ABF" w:rsidRDefault="005D61AA" w:rsidP="005D61AA">
            <w:pPr>
              <w:suppressAutoHyphens/>
              <w:autoSpaceDE w:val="0"/>
              <w:autoSpaceDN w:val="0"/>
              <w:adjustRightInd w:val="0"/>
              <w:spacing w:before="120"/>
              <w:jc w:val="both"/>
              <w:rPr>
                <w:sz w:val="22"/>
                <w:szCs w:val="22"/>
              </w:rPr>
            </w:pPr>
            <w:r w:rsidRPr="00317ABF">
              <w:rPr>
                <w:sz w:val="22"/>
                <w:szCs w:val="22"/>
              </w:rPr>
              <w:t>2. Operator jest obowiązany do prowadzenia negocjacji w celu zawarcia umowy o dostępie w zakresie połączenia sieci na uzasadniony wniosek użytkownika rządowego, o którym mowa w art. 2 pkt 88 lit. a, b, d, e, g oraz h.</w:t>
            </w:r>
          </w:p>
          <w:p w14:paraId="7BF1CA47" w14:textId="77777777" w:rsidR="001E1112" w:rsidRPr="00317ABF" w:rsidRDefault="001E1112" w:rsidP="00DB3BEC">
            <w:pPr>
              <w:suppressAutoHyphens/>
              <w:autoSpaceDE w:val="0"/>
              <w:autoSpaceDN w:val="0"/>
              <w:adjustRightInd w:val="0"/>
              <w:spacing w:before="120"/>
              <w:jc w:val="both"/>
              <w:rPr>
                <w:sz w:val="22"/>
                <w:szCs w:val="22"/>
              </w:rPr>
            </w:pPr>
            <w:r w:rsidRPr="00317ABF">
              <w:rPr>
                <w:sz w:val="22"/>
                <w:szCs w:val="22"/>
              </w:rPr>
              <w:t>Art. 318. Przez przedsiębiorcę wyznaczonego rozumie się przedsiębiorcę, który jest wyznaczany w decyzji, o której mowa w art. 319 ust. 5 albo w art. 320, do realizacji obowiązku oferowania specjalnego pakietu cenowego lub obowiązku świadczenia usługi oraz przedsiębiorcę, na którego nałożono obowiązek świadczenia usługi w trybie art. 327 ust. 2.</w:t>
            </w:r>
          </w:p>
          <w:p w14:paraId="05EA0FBD" w14:textId="77777777" w:rsidR="001E1112" w:rsidRPr="00317ABF" w:rsidRDefault="001E1112" w:rsidP="00DB3BEC">
            <w:pPr>
              <w:suppressAutoHyphens/>
              <w:autoSpaceDE w:val="0"/>
              <w:autoSpaceDN w:val="0"/>
              <w:adjustRightInd w:val="0"/>
              <w:spacing w:before="120"/>
              <w:jc w:val="both"/>
              <w:rPr>
                <w:sz w:val="22"/>
                <w:szCs w:val="22"/>
              </w:rPr>
            </w:pPr>
            <w:r w:rsidRPr="00317ABF">
              <w:rPr>
                <w:sz w:val="22"/>
                <w:szCs w:val="22"/>
              </w:rPr>
              <w:t xml:space="preserve">Art. 319. 1. Prezes UKE ogłasza na stronie podmiotowej BIP UKE konkurs na przedsiębiorcę wyznaczonego. </w:t>
            </w:r>
          </w:p>
          <w:p w14:paraId="7F6A8891" w14:textId="77777777" w:rsidR="001E1112" w:rsidRPr="00317ABF" w:rsidRDefault="001E1112" w:rsidP="00DB3BEC">
            <w:pPr>
              <w:suppressAutoHyphens/>
              <w:autoSpaceDE w:val="0"/>
              <w:autoSpaceDN w:val="0"/>
              <w:adjustRightInd w:val="0"/>
              <w:ind w:firstLine="510"/>
              <w:jc w:val="both"/>
              <w:rPr>
                <w:bCs/>
                <w:sz w:val="22"/>
                <w:szCs w:val="22"/>
              </w:rPr>
            </w:pPr>
            <w:r w:rsidRPr="00317ABF">
              <w:rPr>
                <w:bCs/>
                <w:sz w:val="22"/>
                <w:szCs w:val="22"/>
              </w:rPr>
              <w:t xml:space="preserve">2. Prezes UKE ustala warunki konkursu, kierując się stopniem rozwoju usług telekomunikacyjnych, potrzebami użytkowników końcowych oraz </w:t>
            </w:r>
            <w:r w:rsidRPr="00317ABF">
              <w:rPr>
                <w:bCs/>
                <w:sz w:val="22"/>
                <w:szCs w:val="22"/>
              </w:rPr>
              <w:lastRenderedPageBreak/>
              <w:t>potrzebą minimalizacji zniekształceń lub ograniczeń konkurencji na danym obszarze w zakresie usługi, której dotyczy obowiązek.</w:t>
            </w:r>
          </w:p>
          <w:p w14:paraId="35062ABF" w14:textId="77777777" w:rsidR="001E1112" w:rsidRPr="00317ABF" w:rsidRDefault="001E1112" w:rsidP="00DB3BEC">
            <w:pPr>
              <w:suppressAutoHyphens/>
              <w:autoSpaceDE w:val="0"/>
              <w:autoSpaceDN w:val="0"/>
              <w:adjustRightInd w:val="0"/>
              <w:ind w:firstLine="510"/>
              <w:jc w:val="both"/>
              <w:rPr>
                <w:bCs/>
                <w:sz w:val="22"/>
                <w:szCs w:val="22"/>
              </w:rPr>
            </w:pPr>
            <w:r w:rsidRPr="00317ABF">
              <w:rPr>
                <w:bCs/>
                <w:sz w:val="22"/>
                <w:szCs w:val="22"/>
              </w:rPr>
              <w:t>3. W ogłoszeniu o konkursie określa się:</w:t>
            </w:r>
          </w:p>
          <w:p w14:paraId="48A2B5D5" w14:textId="77777777" w:rsidR="001E1112" w:rsidRPr="00317ABF" w:rsidRDefault="001E1112" w:rsidP="00DB3BEC">
            <w:pPr>
              <w:ind w:left="510" w:hanging="510"/>
              <w:jc w:val="both"/>
              <w:rPr>
                <w:bCs/>
                <w:sz w:val="22"/>
                <w:szCs w:val="22"/>
              </w:rPr>
            </w:pPr>
            <w:r w:rsidRPr="00317ABF">
              <w:rPr>
                <w:bCs/>
                <w:sz w:val="22"/>
                <w:szCs w:val="22"/>
              </w:rPr>
              <w:t xml:space="preserve">1) przedmiot konkursu poprzez wskazanie obowiązku w zakresie usługi lub usług, o których mowa w art. 314 ust. 1; </w:t>
            </w:r>
          </w:p>
          <w:p w14:paraId="25267B0E" w14:textId="77777777" w:rsidR="001E1112" w:rsidRPr="00317ABF" w:rsidRDefault="001E1112" w:rsidP="00DB3BEC">
            <w:pPr>
              <w:ind w:left="510" w:hanging="510"/>
              <w:jc w:val="both"/>
              <w:rPr>
                <w:bCs/>
                <w:sz w:val="22"/>
                <w:szCs w:val="22"/>
              </w:rPr>
            </w:pPr>
            <w:r w:rsidRPr="00317ABF">
              <w:rPr>
                <w:bCs/>
                <w:sz w:val="22"/>
                <w:szCs w:val="22"/>
              </w:rPr>
              <w:t>2) obszar, na którym ma być realizowany obowiązek, o którym mowa w pkt 1;</w:t>
            </w:r>
          </w:p>
          <w:p w14:paraId="504B9749" w14:textId="77777777" w:rsidR="001E1112" w:rsidRPr="00317ABF" w:rsidRDefault="001E1112" w:rsidP="00DB3BEC">
            <w:pPr>
              <w:ind w:left="510" w:hanging="510"/>
              <w:jc w:val="both"/>
              <w:rPr>
                <w:bCs/>
                <w:sz w:val="22"/>
                <w:szCs w:val="22"/>
              </w:rPr>
            </w:pPr>
            <w:r w:rsidRPr="00317ABF">
              <w:rPr>
                <w:bCs/>
                <w:sz w:val="22"/>
                <w:szCs w:val="22"/>
              </w:rPr>
              <w:t>3) ogólne wymagania dotyczące realizacji obowiązku, o którym mowa w pkt 1;</w:t>
            </w:r>
          </w:p>
          <w:p w14:paraId="7EF7A521" w14:textId="77777777" w:rsidR="001E1112" w:rsidRPr="00317ABF" w:rsidRDefault="001E1112" w:rsidP="00DB3BEC">
            <w:pPr>
              <w:ind w:left="510" w:hanging="510"/>
              <w:jc w:val="both"/>
              <w:rPr>
                <w:bCs/>
                <w:sz w:val="22"/>
                <w:szCs w:val="22"/>
              </w:rPr>
            </w:pPr>
            <w:r w:rsidRPr="00317ABF">
              <w:rPr>
                <w:bCs/>
                <w:sz w:val="22"/>
                <w:szCs w:val="22"/>
              </w:rPr>
              <w:t>4) inne wymagane informacje, o których mowa w rozporządzeniu wydanym na podstawie ust. 7.</w:t>
            </w:r>
          </w:p>
          <w:p w14:paraId="7D86EC7A" w14:textId="77777777" w:rsidR="001E1112" w:rsidRPr="00317ABF" w:rsidRDefault="001E1112" w:rsidP="00DB3BEC">
            <w:pPr>
              <w:suppressAutoHyphens/>
              <w:autoSpaceDE w:val="0"/>
              <w:autoSpaceDN w:val="0"/>
              <w:adjustRightInd w:val="0"/>
              <w:ind w:firstLine="510"/>
              <w:jc w:val="both"/>
              <w:rPr>
                <w:bCs/>
                <w:sz w:val="22"/>
                <w:szCs w:val="22"/>
              </w:rPr>
            </w:pPr>
            <w:r w:rsidRPr="00317ABF">
              <w:rPr>
                <w:bCs/>
                <w:sz w:val="22"/>
                <w:szCs w:val="22"/>
              </w:rPr>
              <w:t>4. Kryteriami wyboru przedsiębiorcy w konkursie są najniższy prognozowany koszt netto realizacji obowiązku, o którym mowa w ust. 3 pkt 1, oraz zdolność ekonomiczna i techniczna przedsiębiorcy do realizacji tego obowiązku.</w:t>
            </w:r>
          </w:p>
          <w:p w14:paraId="3C2B1083" w14:textId="77777777" w:rsidR="001E1112" w:rsidRPr="00317ABF" w:rsidRDefault="001E1112" w:rsidP="00DB3BEC">
            <w:pPr>
              <w:suppressAutoHyphens/>
              <w:autoSpaceDE w:val="0"/>
              <w:autoSpaceDN w:val="0"/>
              <w:adjustRightInd w:val="0"/>
              <w:ind w:firstLine="510"/>
              <w:jc w:val="both"/>
              <w:rPr>
                <w:bCs/>
                <w:sz w:val="22"/>
                <w:szCs w:val="22"/>
              </w:rPr>
            </w:pPr>
            <w:r w:rsidRPr="00317ABF">
              <w:rPr>
                <w:bCs/>
                <w:sz w:val="22"/>
                <w:szCs w:val="22"/>
              </w:rPr>
              <w:t>5. Prezes UKE, w drodze decyzji wyznacza wybranego w konkursie przedsiębiorcę do realizacji obowiązku będącego przedmiotem konkursu.</w:t>
            </w:r>
          </w:p>
          <w:p w14:paraId="5B2545BC" w14:textId="77777777" w:rsidR="001E1112" w:rsidRPr="00317ABF" w:rsidRDefault="001E1112" w:rsidP="00DB3BEC">
            <w:pPr>
              <w:suppressAutoHyphens/>
              <w:autoSpaceDE w:val="0"/>
              <w:autoSpaceDN w:val="0"/>
              <w:adjustRightInd w:val="0"/>
              <w:ind w:firstLine="510"/>
              <w:jc w:val="both"/>
              <w:rPr>
                <w:bCs/>
                <w:sz w:val="22"/>
                <w:szCs w:val="22"/>
              </w:rPr>
            </w:pPr>
            <w:r w:rsidRPr="00317ABF">
              <w:rPr>
                <w:bCs/>
                <w:sz w:val="22"/>
                <w:szCs w:val="22"/>
              </w:rPr>
              <w:t>6. W decyzji, o której mowa w ust. 5, której przedmiotem jest nałożenie obowiązku oferowania specjalnego pakietu cenowego, Prezes UKE może dodatkowo nałożyć obowiązek stosowania jednolitych cen w ramach specjalnego pakietu cenowego, na obszarze świadczenia usługi, której dotyczy ten pakiet.</w:t>
            </w:r>
          </w:p>
          <w:p w14:paraId="300079F4" w14:textId="77777777" w:rsidR="001E1112" w:rsidRPr="00317ABF" w:rsidRDefault="001E1112" w:rsidP="00DB3BEC">
            <w:pPr>
              <w:suppressAutoHyphens/>
              <w:autoSpaceDE w:val="0"/>
              <w:autoSpaceDN w:val="0"/>
              <w:adjustRightInd w:val="0"/>
              <w:ind w:firstLine="510"/>
              <w:jc w:val="both"/>
              <w:rPr>
                <w:sz w:val="22"/>
                <w:szCs w:val="22"/>
              </w:rPr>
            </w:pPr>
          </w:p>
        </w:tc>
      </w:tr>
      <w:tr w:rsidR="001E1112" w:rsidRPr="00317ABF" w14:paraId="55E9993D" w14:textId="77777777" w:rsidTr="7753F98D">
        <w:trPr>
          <w:gridAfter w:val="2"/>
          <w:wAfter w:w="175" w:type="dxa"/>
        </w:trPr>
        <w:tc>
          <w:tcPr>
            <w:tcW w:w="704" w:type="dxa"/>
          </w:tcPr>
          <w:p w14:paraId="1239CA70" w14:textId="257D1A12" w:rsidR="001E1112" w:rsidRPr="00317ABF" w:rsidRDefault="001E1112" w:rsidP="00DB3BEC">
            <w:pPr>
              <w:jc w:val="both"/>
              <w:rPr>
                <w:b/>
                <w:sz w:val="22"/>
                <w:szCs w:val="22"/>
              </w:rPr>
            </w:pPr>
            <w:r w:rsidRPr="00317ABF">
              <w:rPr>
                <w:b/>
                <w:sz w:val="22"/>
                <w:szCs w:val="22"/>
              </w:rPr>
              <w:lastRenderedPageBreak/>
              <w:t>Art. 16</w:t>
            </w:r>
          </w:p>
        </w:tc>
        <w:tc>
          <w:tcPr>
            <w:tcW w:w="4308" w:type="dxa"/>
          </w:tcPr>
          <w:p w14:paraId="54068241" w14:textId="77777777" w:rsidR="001E1112" w:rsidRPr="00317ABF" w:rsidRDefault="001E1112" w:rsidP="00DB3BEC">
            <w:pPr>
              <w:spacing w:before="60" w:after="120"/>
              <w:jc w:val="both"/>
              <w:rPr>
                <w:b/>
                <w:bCs/>
                <w:sz w:val="22"/>
                <w:szCs w:val="22"/>
              </w:rPr>
            </w:pPr>
            <w:r w:rsidRPr="00317ABF">
              <w:rPr>
                <w:b/>
                <w:bCs/>
                <w:sz w:val="22"/>
                <w:szCs w:val="22"/>
              </w:rPr>
              <w:t>Opłaty administracyjne</w:t>
            </w:r>
          </w:p>
        </w:tc>
        <w:tc>
          <w:tcPr>
            <w:tcW w:w="986" w:type="dxa"/>
          </w:tcPr>
          <w:p w14:paraId="299D8616" w14:textId="77777777" w:rsidR="001E1112" w:rsidRPr="00317ABF" w:rsidRDefault="001E1112" w:rsidP="00DB3BEC">
            <w:pPr>
              <w:jc w:val="both"/>
              <w:rPr>
                <w:sz w:val="22"/>
                <w:szCs w:val="22"/>
              </w:rPr>
            </w:pPr>
          </w:p>
        </w:tc>
        <w:tc>
          <w:tcPr>
            <w:tcW w:w="910" w:type="dxa"/>
          </w:tcPr>
          <w:p w14:paraId="491D2769" w14:textId="203E78B3" w:rsidR="001E1112" w:rsidRPr="00317ABF" w:rsidRDefault="001E1112" w:rsidP="00DB3BEC">
            <w:pPr>
              <w:pStyle w:val="Tekstpodstawowy"/>
              <w:rPr>
                <w:b/>
                <w:bCs/>
                <w:noProof/>
                <w:sz w:val="22"/>
                <w:szCs w:val="22"/>
              </w:rPr>
            </w:pPr>
          </w:p>
        </w:tc>
        <w:tc>
          <w:tcPr>
            <w:tcW w:w="6814" w:type="dxa"/>
            <w:gridSpan w:val="2"/>
          </w:tcPr>
          <w:p w14:paraId="6F5CD9ED" w14:textId="77777777" w:rsidR="001E1112" w:rsidRPr="00317ABF" w:rsidRDefault="001E1112" w:rsidP="00DB3BEC">
            <w:pPr>
              <w:pStyle w:val="Tekstpodstawowy"/>
              <w:rPr>
                <w:sz w:val="22"/>
                <w:szCs w:val="22"/>
              </w:rPr>
            </w:pPr>
          </w:p>
        </w:tc>
      </w:tr>
      <w:tr w:rsidR="001E1112" w:rsidRPr="00317ABF" w14:paraId="3CF90FB5" w14:textId="77777777" w:rsidTr="7753F98D">
        <w:trPr>
          <w:gridAfter w:val="2"/>
          <w:wAfter w:w="175" w:type="dxa"/>
        </w:trPr>
        <w:tc>
          <w:tcPr>
            <w:tcW w:w="704" w:type="dxa"/>
          </w:tcPr>
          <w:p w14:paraId="713EC6A3" w14:textId="77777777" w:rsidR="001E1112" w:rsidRPr="00317ABF" w:rsidRDefault="001E1112" w:rsidP="00DB3BEC">
            <w:pPr>
              <w:jc w:val="both"/>
              <w:rPr>
                <w:sz w:val="22"/>
                <w:szCs w:val="22"/>
              </w:rPr>
            </w:pPr>
            <w:r w:rsidRPr="00317ABF">
              <w:rPr>
                <w:sz w:val="22"/>
                <w:szCs w:val="22"/>
              </w:rPr>
              <w:t>Art. 16 ust. 1</w:t>
            </w:r>
          </w:p>
        </w:tc>
        <w:tc>
          <w:tcPr>
            <w:tcW w:w="4308" w:type="dxa"/>
          </w:tcPr>
          <w:p w14:paraId="116C3FAB" w14:textId="77777777" w:rsidR="001E1112" w:rsidRPr="00317ABF" w:rsidRDefault="001E1112" w:rsidP="00DB3BEC">
            <w:pPr>
              <w:spacing w:before="120"/>
              <w:jc w:val="both"/>
              <w:rPr>
                <w:sz w:val="22"/>
                <w:szCs w:val="22"/>
              </w:rPr>
            </w:pPr>
            <w:r w:rsidRPr="00317ABF">
              <w:rPr>
                <w:sz w:val="22"/>
                <w:szCs w:val="22"/>
              </w:rPr>
              <w:t>1.   Każda opłata administracyjna nałożona na przedsiębiorstwa udostępniające sieci lub świadczące usługi łączności elektronicznej zgodnie z ogólnym zezwoleniem lub na rzecz których zostało ustanowione prawo użytkowania winna:</w:t>
            </w:r>
          </w:p>
          <w:tbl>
            <w:tblPr>
              <w:tblW w:w="5000" w:type="pct"/>
              <w:tblCellSpacing w:w="0" w:type="dxa"/>
              <w:tblLayout w:type="fixed"/>
              <w:tblCellMar>
                <w:left w:w="0" w:type="dxa"/>
                <w:right w:w="0" w:type="dxa"/>
              </w:tblCellMar>
              <w:tblLook w:val="04A0" w:firstRow="1" w:lastRow="0" w:firstColumn="1" w:lastColumn="0" w:noHBand="0" w:noVBand="1"/>
            </w:tblPr>
            <w:tblGrid>
              <w:gridCol w:w="20"/>
              <w:gridCol w:w="4148"/>
            </w:tblGrid>
            <w:tr w:rsidR="001E1112" w:rsidRPr="00317ABF" w14:paraId="0F99A9CA" w14:textId="77777777" w:rsidTr="00345B65">
              <w:trPr>
                <w:tblCellSpacing w:w="0" w:type="dxa"/>
              </w:trPr>
              <w:tc>
                <w:tcPr>
                  <w:tcW w:w="6" w:type="dxa"/>
                  <w:hideMark/>
                </w:tcPr>
                <w:p w14:paraId="4EF7FBD7" w14:textId="77777777" w:rsidR="001E1112" w:rsidRPr="00317ABF" w:rsidRDefault="001E1112" w:rsidP="00EE0AC3">
                  <w:pPr>
                    <w:framePr w:hSpace="141" w:wrap="around" w:vAnchor="text" w:hAnchor="text" w:xAlign="right" w:y="1"/>
                    <w:spacing w:before="120"/>
                    <w:suppressOverlap/>
                    <w:jc w:val="both"/>
                    <w:rPr>
                      <w:sz w:val="22"/>
                      <w:szCs w:val="22"/>
                    </w:rPr>
                  </w:pPr>
                </w:p>
              </w:tc>
              <w:tc>
                <w:tcPr>
                  <w:tcW w:w="9066" w:type="dxa"/>
                  <w:hideMark/>
                </w:tcPr>
                <w:p w14:paraId="4C81DD1D" w14:textId="77777777" w:rsidR="001E1112" w:rsidRPr="00317ABF" w:rsidRDefault="001E1112" w:rsidP="00EE0AC3">
                  <w:pPr>
                    <w:framePr w:hSpace="141" w:wrap="around" w:vAnchor="text" w:hAnchor="text" w:xAlign="right" w:y="1"/>
                    <w:numPr>
                      <w:ilvl w:val="0"/>
                      <w:numId w:val="11"/>
                    </w:numPr>
                    <w:spacing w:before="120"/>
                    <w:suppressOverlap/>
                    <w:jc w:val="both"/>
                    <w:rPr>
                      <w:sz w:val="22"/>
                      <w:szCs w:val="22"/>
                    </w:rPr>
                  </w:pPr>
                  <w:r w:rsidRPr="00317ABF">
                    <w:rPr>
                      <w:sz w:val="22"/>
                      <w:szCs w:val="22"/>
                    </w:rPr>
                    <w:t xml:space="preserve">w całości pokrywać jedynie koszty administracyjne, poniesione przy zarządzaniu, sprawowaniu nadzoru lub wdrażaniu systemu ogólnych zezwoleń, praw użytkowania i szczegółowych obowiązków, o których mowa w art. 13 ust. 2, w tym </w:t>
                  </w:r>
                  <w:r w:rsidRPr="00317ABF">
                    <w:rPr>
                      <w:sz w:val="22"/>
                      <w:szCs w:val="22"/>
                    </w:rPr>
                    <w:lastRenderedPageBreak/>
                    <w:t>kosztów współpracy międzynarodowej, związanych z harmonizacją i standaryzacją, analizą rynku, monitorowaniem zgodności ze stanem prawnym lub sprawowaniem kontroli rynku w inny sposób, jak również prac normatywnych związanych z przygotowaniem i wdrażaniem prawa wtórnego oraz decyzji administracyjnych, takich jak decyzje o dostępie do sieci i wzajemnych połączeniach; oraz</w:t>
                  </w:r>
                </w:p>
              </w:tc>
            </w:tr>
          </w:tbl>
          <w:p w14:paraId="740C982E" w14:textId="77777777" w:rsidR="001E1112" w:rsidRPr="00317ABF" w:rsidRDefault="001E1112" w:rsidP="00DB3BEC">
            <w:pPr>
              <w:jc w:val="both"/>
              <w:rPr>
                <w:vanish/>
                <w:sz w:val="22"/>
                <w:szCs w:val="22"/>
              </w:rPr>
            </w:pPr>
          </w:p>
          <w:tbl>
            <w:tblPr>
              <w:tblW w:w="5000" w:type="pct"/>
              <w:tblCellSpacing w:w="0" w:type="dxa"/>
              <w:tblLayout w:type="fixed"/>
              <w:tblCellMar>
                <w:left w:w="0" w:type="dxa"/>
                <w:right w:w="0" w:type="dxa"/>
              </w:tblCellMar>
              <w:tblLook w:val="04A0" w:firstRow="1" w:lastRow="0" w:firstColumn="1" w:lastColumn="0" w:noHBand="0" w:noVBand="1"/>
            </w:tblPr>
            <w:tblGrid>
              <w:gridCol w:w="20"/>
              <w:gridCol w:w="4148"/>
            </w:tblGrid>
            <w:tr w:rsidR="001E1112" w:rsidRPr="00317ABF" w14:paraId="5703E7B6" w14:textId="77777777" w:rsidTr="00345B65">
              <w:trPr>
                <w:tblCellSpacing w:w="0" w:type="dxa"/>
              </w:trPr>
              <w:tc>
                <w:tcPr>
                  <w:tcW w:w="6" w:type="dxa"/>
                  <w:hideMark/>
                </w:tcPr>
                <w:p w14:paraId="15C78039" w14:textId="77777777" w:rsidR="001E1112" w:rsidRPr="00317ABF" w:rsidRDefault="001E1112" w:rsidP="00EE0AC3">
                  <w:pPr>
                    <w:framePr w:hSpace="141" w:wrap="around" w:vAnchor="text" w:hAnchor="text" w:xAlign="right" w:y="1"/>
                    <w:spacing w:before="120"/>
                    <w:suppressOverlap/>
                    <w:jc w:val="both"/>
                    <w:rPr>
                      <w:sz w:val="22"/>
                      <w:szCs w:val="22"/>
                    </w:rPr>
                  </w:pPr>
                </w:p>
              </w:tc>
              <w:tc>
                <w:tcPr>
                  <w:tcW w:w="9066" w:type="dxa"/>
                  <w:hideMark/>
                </w:tcPr>
                <w:p w14:paraId="22E7CD7E" w14:textId="77777777" w:rsidR="001E1112" w:rsidRPr="00317ABF" w:rsidRDefault="001E1112" w:rsidP="00EE0AC3">
                  <w:pPr>
                    <w:framePr w:hSpace="141" w:wrap="around" w:vAnchor="text" w:hAnchor="text" w:xAlign="right" w:y="1"/>
                    <w:numPr>
                      <w:ilvl w:val="0"/>
                      <w:numId w:val="11"/>
                    </w:numPr>
                    <w:spacing w:before="120"/>
                    <w:suppressOverlap/>
                    <w:jc w:val="both"/>
                    <w:rPr>
                      <w:sz w:val="22"/>
                      <w:szCs w:val="22"/>
                    </w:rPr>
                  </w:pPr>
                  <w:r w:rsidRPr="00317ABF">
                    <w:rPr>
                      <w:sz w:val="22"/>
                      <w:szCs w:val="22"/>
                    </w:rPr>
                    <w:t>być nakładana na poszczególne przedsiębiorstwa w sposób obiektywny, przejrzysty i proporcjonalny, zmniejszając w ten sposób dodatkowe koszty administracyjne oraz związane opłaty.</w:t>
                  </w:r>
                </w:p>
              </w:tc>
            </w:tr>
          </w:tbl>
          <w:p w14:paraId="6B9AEBE6" w14:textId="77777777" w:rsidR="001E1112" w:rsidRPr="00317ABF" w:rsidRDefault="001E1112" w:rsidP="00DB3BEC">
            <w:pPr>
              <w:spacing w:before="120"/>
              <w:jc w:val="both"/>
              <w:rPr>
                <w:sz w:val="22"/>
                <w:szCs w:val="22"/>
              </w:rPr>
            </w:pPr>
            <w:r w:rsidRPr="00317ABF">
              <w:rPr>
                <w:sz w:val="22"/>
                <w:szCs w:val="22"/>
              </w:rPr>
              <w:t>Państwa członkowskie mogą zdecydować o niepobieraniu opłat administracyjnych od przedsiębiorstw, których obroty nie przekraczają określonego progu lub których działalność nie pozwala uzyskać minimalnego udziału w rynku lub ma bardzo ograniczony zasięg terytorialny.</w:t>
            </w:r>
          </w:p>
        </w:tc>
        <w:tc>
          <w:tcPr>
            <w:tcW w:w="986" w:type="dxa"/>
          </w:tcPr>
          <w:p w14:paraId="527D639D" w14:textId="5897B8A7" w:rsidR="001E1112" w:rsidRPr="00317ABF" w:rsidRDefault="00D573C5" w:rsidP="00DB3BEC">
            <w:pPr>
              <w:jc w:val="both"/>
              <w:rPr>
                <w:sz w:val="22"/>
                <w:szCs w:val="22"/>
              </w:rPr>
            </w:pPr>
            <w:r w:rsidRPr="00317ABF">
              <w:rPr>
                <w:sz w:val="22"/>
                <w:szCs w:val="22"/>
              </w:rPr>
              <w:lastRenderedPageBreak/>
              <w:t>T</w:t>
            </w:r>
          </w:p>
        </w:tc>
        <w:tc>
          <w:tcPr>
            <w:tcW w:w="910" w:type="dxa"/>
          </w:tcPr>
          <w:p w14:paraId="5101B52C" w14:textId="41C42D14" w:rsidR="001E1112" w:rsidRPr="00317ABF" w:rsidRDefault="001E1112" w:rsidP="00DB3BEC">
            <w:pPr>
              <w:pStyle w:val="Tekstpodstawowy"/>
              <w:rPr>
                <w:b/>
                <w:bCs/>
                <w:noProof/>
                <w:sz w:val="22"/>
                <w:szCs w:val="22"/>
              </w:rPr>
            </w:pPr>
            <w:r w:rsidRPr="00317ABF">
              <w:rPr>
                <w:b/>
                <w:bCs/>
                <w:noProof/>
                <w:sz w:val="22"/>
                <w:szCs w:val="22"/>
              </w:rPr>
              <w:t xml:space="preserve">Art. 23 </w:t>
            </w:r>
          </w:p>
        </w:tc>
        <w:tc>
          <w:tcPr>
            <w:tcW w:w="6814" w:type="dxa"/>
            <w:gridSpan w:val="2"/>
          </w:tcPr>
          <w:p w14:paraId="5A06AC10" w14:textId="024018A6" w:rsidR="001E1112" w:rsidRPr="00317ABF" w:rsidRDefault="001E1112" w:rsidP="00DB3BEC">
            <w:pPr>
              <w:spacing w:line="360" w:lineRule="auto"/>
              <w:ind w:firstLine="510"/>
              <w:jc w:val="both"/>
              <w:rPr>
                <w:b/>
                <w:sz w:val="22"/>
                <w:szCs w:val="22"/>
              </w:rPr>
            </w:pPr>
            <w:r w:rsidRPr="00317ABF">
              <w:rPr>
                <w:rFonts w:eastAsia="Times"/>
                <w:b/>
                <w:sz w:val="22"/>
                <w:szCs w:val="22"/>
              </w:rPr>
              <w:t>Art. 23</w:t>
            </w:r>
          </w:p>
          <w:p w14:paraId="366ADC1E" w14:textId="7B763D27" w:rsidR="00D573C5" w:rsidRPr="00317ABF" w:rsidRDefault="00D573C5" w:rsidP="00D573C5">
            <w:pPr>
              <w:pStyle w:val="ARTartustawynprozporzdzenia"/>
              <w:keepNext/>
              <w:spacing w:before="0" w:line="240" w:lineRule="auto"/>
              <w:rPr>
                <w:rFonts w:ascii="Times New Roman" w:hAnsi="Times New Roman" w:cs="Times New Roman"/>
                <w:sz w:val="22"/>
                <w:szCs w:val="22"/>
              </w:rPr>
            </w:pPr>
            <w:r w:rsidRPr="00317ABF">
              <w:rPr>
                <w:rFonts w:ascii="Times New Roman" w:hAnsi="Times New Roman" w:cs="Times New Roman"/>
                <w:sz w:val="22"/>
                <w:szCs w:val="22"/>
              </w:rPr>
              <w:t>1. Przedsiębiorca telekomunikacyjny uiszcza roczną opłatę telekomunikacyjną związaną z realizacją zadań w zakresie telekomunikacji przez organy administracji, o których mowa w art. 407 ust. 1, w tym:</w:t>
            </w:r>
          </w:p>
          <w:p w14:paraId="3C8B3D65" w14:textId="77777777" w:rsidR="00D573C5" w:rsidRPr="00317ABF" w:rsidRDefault="00D573C5" w:rsidP="00D573C5">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1)</w:t>
            </w:r>
            <w:r w:rsidRPr="00317ABF">
              <w:rPr>
                <w:rFonts w:ascii="Times New Roman" w:hAnsi="Times New Roman" w:cs="Times New Roman"/>
                <w:sz w:val="22"/>
                <w:szCs w:val="22"/>
              </w:rPr>
              <w:tab/>
              <w:t>prowadzeniem rejestru przedsiębiorców telekomunikacyjnych;</w:t>
            </w:r>
          </w:p>
          <w:p w14:paraId="44BF2502" w14:textId="77777777" w:rsidR="00D573C5" w:rsidRPr="00317ABF" w:rsidRDefault="00D573C5" w:rsidP="00D573C5">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2)</w:t>
            </w:r>
            <w:r w:rsidRPr="00317ABF">
              <w:rPr>
                <w:rFonts w:ascii="Times New Roman" w:hAnsi="Times New Roman" w:cs="Times New Roman"/>
                <w:sz w:val="22"/>
                <w:szCs w:val="22"/>
              </w:rPr>
              <w:tab/>
              <w:t>wydawaniem decyzji administracyjnych, z wyłączeniem decyzji, za które odrębne przepisy przewidują pobieranie opłat;</w:t>
            </w:r>
          </w:p>
          <w:p w14:paraId="73FB84FB" w14:textId="77777777" w:rsidR="00D573C5" w:rsidRPr="00317ABF" w:rsidRDefault="00D573C5" w:rsidP="00D573C5">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3)</w:t>
            </w:r>
            <w:r w:rsidRPr="00317ABF">
              <w:rPr>
                <w:rFonts w:ascii="Times New Roman" w:hAnsi="Times New Roman" w:cs="Times New Roman"/>
                <w:sz w:val="22"/>
                <w:szCs w:val="22"/>
              </w:rPr>
              <w:tab/>
              <w:t>badaniem, weryfikacją i kontrolą rynków właściwych produktów i usług telekomunikacyjnych;</w:t>
            </w:r>
          </w:p>
          <w:p w14:paraId="1329876C" w14:textId="77777777" w:rsidR="00D573C5" w:rsidRPr="00317ABF" w:rsidRDefault="00D573C5" w:rsidP="00D573C5">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4)</w:t>
            </w:r>
            <w:r w:rsidRPr="00317ABF">
              <w:rPr>
                <w:rFonts w:ascii="Times New Roman" w:hAnsi="Times New Roman" w:cs="Times New Roman"/>
                <w:sz w:val="22"/>
                <w:szCs w:val="22"/>
              </w:rPr>
              <w:tab/>
              <w:t>rozstrzyganiem sporów między przedsiębiorcami telekomunikacyjnymi;</w:t>
            </w:r>
          </w:p>
          <w:p w14:paraId="3B3D05FD" w14:textId="77777777" w:rsidR="00D573C5" w:rsidRPr="00317ABF" w:rsidRDefault="00D573C5" w:rsidP="00D573C5">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lastRenderedPageBreak/>
              <w:t>5)</w:t>
            </w:r>
            <w:r w:rsidRPr="00317ABF">
              <w:rPr>
                <w:rFonts w:ascii="Times New Roman" w:hAnsi="Times New Roman" w:cs="Times New Roman"/>
                <w:sz w:val="22"/>
                <w:szCs w:val="22"/>
              </w:rPr>
              <w:tab/>
              <w:t>współpracą z instytucjami unijnymi i międzynarodowymi w zakresie wynikającym z przepisów prawa krajowego i unijnego oraz zawartych umów międzynarodowych;</w:t>
            </w:r>
          </w:p>
          <w:p w14:paraId="2A646D3F" w14:textId="77777777" w:rsidR="001E1112" w:rsidRPr="00317ABF" w:rsidRDefault="001E1112" w:rsidP="00D573C5">
            <w:pPr>
              <w:pStyle w:val="PKTpunkt0"/>
              <w:spacing w:line="240" w:lineRule="auto"/>
              <w:rPr>
                <w:rFonts w:ascii="Times New Roman" w:hAnsi="Times New Roman" w:cs="Times New Roman"/>
                <w:sz w:val="22"/>
                <w:szCs w:val="22"/>
              </w:rPr>
            </w:pPr>
            <w:r w:rsidRPr="00317ABF">
              <w:rPr>
                <w:rFonts w:ascii="Times New Roman" w:eastAsia="Times" w:hAnsi="Times New Roman" w:cs="Times New Roman"/>
                <w:sz w:val="22"/>
                <w:szCs w:val="22"/>
              </w:rPr>
              <w:t>6)</w:t>
            </w:r>
            <w:r w:rsidR="00D573C5" w:rsidRPr="00317ABF">
              <w:rPr>
                <w:rFonts w:ascii="Times New Roman" w:hAnsi="Times New Roman" w:cs="Times New Roman"/>
                <w:sz w:val="22"/>
                <w:szCs w:val="22"/>
              </w:rPr>
              <w:tab/>
            </w:r>
            <w:r w:rsidRPr="00317ABF">
              <w:rPr>
                <w:rFonts w:ascii="Times New Roman" w:eastAsia="Times" w:hAnsi="Times New Roman" w:cs="Times New Roman"/>
                <w:sz w:val="22"/>
                <w:szCs w:val="22"/>
              </w:rPr>
              <w:t>pozostałymi zadaniami związanymi z funkcjonowaniem UKE i ministra właściwego do spraw informatyzacji, z wyłączeniem prowadzenia gospodarki zasobami numeracji i częstotliwości.</w:t>
            </w:r>
          </w:p>
          <w:p w14:paraId="7D590524" w14:textId="39B4E2EC" w:rsidR="001E1112" w:rsidRPr="00317ABF" w:rsidRDefault="001E1112" w:rsidP="00D573C5">
            <w:pPr>
              <w:pStyle w:val="USTustnpkodeksu"/>
              <w:spacing w:line="240" w:lineRule="auto"/>
              <w:rPr>
                <w:rFonts w:ascii="Times New Roman" w:hAnsi="Times New Roman" w:cs="Times New Roman"/>
                <w:sz w:val="22"/>
                <w:szCs w:val="22"/>
              </w:rPr>
            </w:pPr>
            <w:r w:rsidRPr="00317ABF">
              <w:rPr>
                <w:rFonts w:ascii="Times New Roman" w:eastAsia="Times" w:hAnsi="Times New Roman" w:cs="Times New Roman"/>
                <w:sz w:val="22"/>
                <w:szCs w:val="22"/>
              </w:rPr>
              <w:t>2. Wysokość opłaty, o której mowa w ust. 1, stanowi iloczyn rocznych przychodów z tytułu prowadzenia działalności telekomunikacyjnej przedsiębiorcy telekomunikacyjnego obowiązanego do uiszczenia opłaty, uzyskanych w roku obrotowym poprzedzającym o 2 lata rok, za który ta opłata jest należna, i wskaźnika opłaty, z zastrzeżeniem ust. 3 i 4.</w:t>
            </w:r>
          </w:p>
          <w:p w14:paraId="46A8BF2A" w14:textId="77777777" w:rsidR="001E1112" w:rsidRPr="00317ABF" w:rsidRDefault="001E1112" w:rsidP="00D573C5">
            <w:pPr>
              <w:pStyle w:val="USTustnpkodeksu"/>
              <w:spacing w:line="240" w:lineRule="auto"/>
              <w:rPr>
                <w:rFonts w:ascii="Times New Roman" w:hAnsi="Times New Roman" w:cs="Times New Roman"/>
                <w:sz w:val="22"/>
                <w:szCs w:val="22"/>
              </w:rPr>
            </w:pPr>
            <w:r w:rsidRPr="00317ABF">
              <w:rPr>
                <w:rFonts w:ascii="Times New Roman" w:eastAsia="Times" w:hAnsi="Times New Roman" w:cs="Times New Roman"/>
                <w:sz w:val="22"/>
                <w:szCs w:val="22"/>
              </w:rPr>
              <w:t xml:space="preserve">3. Wysokość opłaty, o której mowa w ust. 1, ulega obniżeniu o kwotę wynikającą z umowy inwestycyjnej, o której mowa w art. </w:t>
            </w:r>
            <w:r w:rsidR="00D573C5" w:rsidRPr="00317ABF">
              <w:rPr>
                <w:rFonts w:ascii="Times New Roman" w:hAnsi="Times New Roman" w:cs="Times New Roman"/>
                <w:sz w:val="22"/>
                <w:szCs w:val="22"/>
              </w:rPr>
              <w:t>252</w:t>
            </w:r>
            <w:r w:rsidRPr="00317ABF">
              <w:rPr>
                <w:rFonts w:ascii="Times New Roman" w:eastAsia="Times" w:hAnsi="Times New Roman" w:cs="Times New Roman"/>
                <w:sz w:val="22"/>
                <w:szCs w:val="22"/>
              </w:rPr>
              <w:t xml:space="preserve"> ust. 1.</w:t>
            </w:r>
          </w:p>
          <w:p w14:paraId="3EAB9192" w14:textId="4BFFED68" w:rsidR="001E1112" w:rsidRPr="00317ABF" w:rsidRDefault="001E1112" w:rsidP="00D573C5">
            <w:pPr>
              <w:pStyle w:val="USTustnpkodeksu"/>
              <w:spacing w:line="240" w:lineRule="auto"/>
              <w:rPr>
                <w:rFonts w:ascii="Times New Roman" w:hAnsi="Times New Roman" w:cs="Times New Roman"/>
                <w:sz w:val="22"/>
                <w:szCs w:val="22"/>
              </w:rPr>
            </w:pPr>
            <w:r w:rsidRPr="00317ABF">
              <w:rPr>
                <w:rFonts w:ascii="Times New Roman" w:eastAsia="Times" w:hAnsi="Times New Roman" w:cs="Times New Roman"/>
                <w:sz w:val="22"/>
                <w:szCs w:val="22"/>
              </w:rPr>
              <w:t>4. Wysokość opłaty, o której mowa w ust. 1, nie może przekroczyć 0,05% rocznych przychodów przedsiębiorcy telekomunikacyjnego obowiązanego do uiszczenia rocznej opłaty telekomunikacyjnej, z tytułu prowadzenia działalności telekomunikacyjnej, uzyskanych w roku obrotowym poprzedzającym o 2 lata rok, za który ta opłata jest należna.</w:t>
            </w:r>
          </w:p>
          <w:p w14:paraId="48735610" w14:textId="43B3A8DC" w:rsidR="001E1112" w:rsidRPr="00317ABF" w:rsidRDefault="001E1112" w:rsidP="00D573C5">
            <w:pPr>
              <w:pStyle w:val="USTustnpkodeksu"/>
              <w:spacing w:line="240" w:lineRule="auto"/>
              <w:rPr>
                <w:rFonts w:ascii="Times New Roman" w:hAnsi="Times New Roman" w:cs="Times New Roman"/>
                <w:sz w:val="22"/>
                <w:szCs w:val="22"/>
              </w:rPr>
            </w:pPr>
            <w:r w:rsidRPr="00317ABF">
              <w:rPr>
                <w:rFonts w:ascii="Times New Roman" w:eastAsia="Times" w:hAnsi="Times New Roman" w:cs="Times New Roman"/>
                <w:sz w:val="22"/>
                <w:szCs w:val="22"/>
              </w:rPr>
              <w:t>5. Przedsiębiorca telekomunikacyjny uiszcza opłatę, o której mowa w ust. 1, po upływie 2 lat od dnia rozpoczęcia prowadzenia działalności telekomunikacyjnej.</w:t>
            </w:r>
          </w:p>
          <w:p w14:paraId="6C130C8E" w14:textId="62574AF0" w:rsidR="001E1112" w:rsidRPr="00317ABF" w:rsidRDefault="001E1112" w:rsidP="00D573C5">
            <w:pPr>
              <w:pStyle w:val="USTustnpkodeksu"/>
              <w:spacing w:line="240" w:lineRule="auto"/>
              <w:rPr>
                <w:rFonts w:ascii="Times New Roman" w:hAnsi="Times New Roman" w:cs="Times New Roman"/>
                <w:sz w:val="22"/>
                <w:szCs w:val="22"/>
              </w:rPr>
            </w:pPr>
            <w:r w:rsidRPr="00317ABF">
              <w:rPr>
                <w:rFonts w:ascii="Times New Roman" w:eastAsia="Times" w:hAnsi="Times New Roman" w:cs="Times New Roman"/>
                <w:sz w:val="22"/>
                <w:szCs w:val="22"/>
              </w:rPr>
              <w:t>6. Opłatę, o której mowa w ust. 1, uiszcza przedsiębiorca telekomunikacyjny, którego przychody z tytułu prowadzenia działalności telekomunikacyjnej osiągnięte w roku obrotowym poprzedzającym o 2 lata rok, za który ta opłata jest należna, przekroczyły kwotę 10 milionów złotych.</w:t>
            </w:r>
          </w:p>
          <w:p w14:paraId="00403139" w14:textId="77777777" w:rsidR="001E1112" w:rsidRPr="00317ABF" w:rsidRDefault="00D573C5" w:rsidP="00D573C5">
            <w:pPr>
              <w:pStyle w:val="USTustnpkodeksu"/>
              <w:spacing w:line="240" w:lineRule="auto"/>
              <w:rPr>
                <w:rFonts w:ascii="Times New Roman" w:hAnsi="Times New Roman" w:cs="Times New Roman"/>
                <w:sz w:val="22"/>
                <w:szCs w:val="22"/>
              </w:rPr>
            </w:pPr>
            <w:r w:rsidRPr="00317ABF">
              <w:rPr>
                <w:rFonts w:ascii="Times New Roman" w:hAnsi="Times New Roman" w:cs="Times New Roman"/>
                <w:sz w:val="22"/>
                <w:szCs w:val="22"/>
              </w:rPr>
              <w:t>7. Opłatę, o której mowa w ust. 1, uiszcza się w ratach kwartalnych w wysokości równej 1/4 opłaty rocznej.</w:t>
            </w:r>
          </w:p>
          <w:p w14:paraId="1BC6AA62" w14:textId="77777777" w:rsidR="00D573C5" w:rsidRPr="00317ABF" w:rsidRDefault="00D573C5" w:rsidP="00D573C5">
            <w:pPr>
              <w:pStyle w:val="USTustnpkodeksu"/>
              <w:spacing w:line="240" w:lineRule="auto"/>
              <w:rPr>
                <w:rFonts w:ascii="Times New Roman" w:hAnsi="Times New Roman" w:cs="Times New Roman"/>
                <w:sz w:val="22"/>
                <w:szCs w:val="22"/>
              </w:rPr>
            </w:pPr>
            <w:r w:rsidRPr="00317ABF">
              <w:rPr>
                <w:rFonts w:ascii="Times New Roman" w:hAnsi="Times New Roman" w:cs="Times New Roman"/>
                <w:sz w:val="22"/>
                <w:szCs w:val="22"/>
              </w:rPr>
              <w:t>8. Opłatę, o której mowa w ust. 1, można uiszczać w ratach półrocznych, w wysokości równej 1/2 opłaty rocznej, lub jednorazowo, z zastrzeżeniem ust. 9.</w:t>
            </w:r>
          </w:p>
          <w:p w14:paraId="2F834094" w14:textId="77777777" w:rsidR="00D573C5" w:rsidRPr="00317ABF" w:rsidRDefault="00D573C5" w:rsidP="00D573C5">
            <w:pPr>
              <w:pStyle w:val="USTustnpkodeksu"/>
              <w:spacing w:line="240" w:lineRule="auto"/>
              <w:rPr>
                <w:rFonts w:ascii="Times New Roman" w:hAnsi="Times New Roman" w:cs="Times New Roman"/>
                <w:sz w:val="22"/>
                <w:szCs w:val="22"/>
              </w:rPr>
            </w:pPr>
            <w:r w:rsidRPr="00317ABF">
              <w:rPr>
                <w:rFonts w:ascii="Times New Roman" w:hAnsi="Times New Roman" w:cs="Times New Roman"/>
                <w:sz w:val="22"/>
                <w:szCs w:val="22"/>
              </w:rPr>
              <w:t>9. O wyborze sposobu uiszczenia opłaty, o której mowa w ust. 1, jednorazowo lub w ratach półrocznych, przedsiębiorca telekomunikacyjny pisemnie zawiadamia Prezesa UKE w terminie do końca lutego roku, za który opłata jest należna.</w:t>
            </w:r>
          </w:p>
          <w:p w14:paraId="59513279" w14:textId="77777777" w:rsidR="00D573C5" w:rsidRPr="00317ABF" w:rsidRDefault="00D573C5" w:rsidP="00D573C5">
            <w:pPr>
              <w:pStyle w:val="USTustnpkodeksu"/>
              <w:spacing w:line="240" w:lineRule="auto"/>
              <w:rPr>
                <w:rFonts w:ascii="Times New Roman" w:hAnsi="Times New Roman" w:cs="Times New Roman"/>
                <w:sz w:val="22"/>
                <w:szCs w:val="22"/>
              </w:rPr>
            </w:pPr>
            <w:r w:rsidRPr="00317ABF">
              <w:rPr>
                <w:rFonts w:ascii="Times New Roman" w:hAnsi="Times New Roman" w:cs="Times New Roman"/>
                <w:sz w:val="22"/>
                <w:szCs w:val="22"/>
              </w:rPr>
              <w:t>10. Minister właściwy do spraw informatyzacji przekazuje Prezesowi UKE, w terminie 4 miesięcy od zakończenia roku budżetowego, zestawienie kosztów związanych z wykonywaniem zadań, o których mowa w ust. 1, poniesionych w roku poprzednim.</w:t>
            </w:r>
          </w:p>
          <w:p w14:paraId="1B0A3B74" w14:textId="77777777" w:rsidR="00D573C5" w:rsidRPr="00317ABF" w:rsidRDefault="00D573C5" w:rsidP="00D573C5">
            <w:pPr>
              <w:pStyle w:val="USTustnpkodeksu"/>
              <w:spacing w:line="240" w:lineRule="auto"/>
              <w:rPr>
                <w:rFonts w:ascii="Times New Roman" w:hAnsi="Times New Roman" w:cs="Times New Roman"/>
                <w:sz w:val="22"/>
                <w:szCs w:val="22"/>
              </w:rPr>
            </w:pPr>
            <w:r w:rsidRPr="00317ABF">
              <w:rPr>
                <w:rFonts w:ascii="Times New Roman" w:hAnsi="Times New Roman" w:cs="Times New Roman"/>
                <w:sz w:val="22"/>
                <w:szCs w:val="22"/>
              </w:rPr>
              <w:lastRenderedPageBreak/>
              <w:t>11. Prezes UKE udostępnia corocznie na stronie podmiotowej BIP UKE, w terminie 5 miesięcy od zakończenia roku budżetowego, zestawienie kosztów związanych z wykonywaniem zadań, o których mowa w ust. 1, poniesionych w roku poprzednim oraz sumę wpływów z rocznej opłaty telekomunikacyjnej pobranej w roku poprzednim.</w:t>
            </w:r>
          </w:p>
          <w:p w14:paraId="72978F67" w14:textId="77777777" w:rsidR="00D573C5" w:rsidRPr="00317ABF" w:rsidRDefault="00D573C5" w:rsidP="00D573C5">
            <w:pPr>
              <w:pStyle w:val="USTustnpkodeksu"/>
              <w:spacing w:line="240" w:lineRule="auto"/>
              <w:rPr>
                <w:rFonts w:ascii="Times New Roman" w:hAnsi="Times New Roman" w:cs="Times New Roman"/>
                <w:sz w:val="22"/>
                <w:szCs w:val="22"/>
              </w:rPr>
            </w:pPr>
            <w:r w:rsidRPr="00317ABF">
              <w:rPr>
                <w:rFonts w:ascii="Times New Roman" w:hAnsi="Times New Roman" w:cs="Times New Roman"/>
                <w:sz w:val="22"/>
                <w:szCs w:val="22"/>
              </w:rPr>
              <w:t>12. Minister właściwy do spraw informatyzacji określi, w drodze rozporządzenia, sposób ustalania wysokości wskaźnika opłaty, o której mowa w ust. 1 oraz terminy i sposób jej uiszczania, kierując się wysokością wydatków Prezesa UKE i ministra właściwego do spraw informatyzacji, związanych z wykonywaniem ich zadań w zakresie telekomunikacji, o których mowa w ust. 1, przyjętych w ustawie budżetowej na rok poprzedzający rok, za który opłata ta jest należna, wysokością przychodów przedsiębiorców telekomunikacyjnych z tytułu prowadzenia działalności telekomunikacyjnej w roku poprzedzającym o 2 lata rok, za który opłata ta jest należna, oraz potrzebą wyrównania wysokości wpływów z tej opłaty w roku poprzednim i wysokością kosztów, o których mowa w ust. 11.</w:t>
            </w:r>
          </w:p>
          <w:p w14:paraId="3B656073" w14:textId="77777777" w:rsidR="00D573C5" w:rsidRPr="00317ABF" w:rsidRDefault="00D573C5" w:rsidP="00D573C5">
            <w:pPr>
              <w:pStyle w:val="USTustnpkodeksu"/>
              <w:spacing w:line="240" w:lineRule="auto"/>
              <w:rPr>
                <w:rFonts w:ascii="Times New Roman" w:hAnsi="Times New Roman" w:cs="Times New Roman"/>
                <w:sz w:val="22"/>
                <w:szCs w:val="22"/>
              </w:rPr>
            </w:pPr>
            <w:r w:rsidRPr="00317ABF">
              <w:rPr>
                <w:rFonts w:ascii="Times New Roman" w:hAnsi="Times New Roman" w:cs="Times New Roman"/>
                <w:sz w:val="22"/>
                <w:szCs w:val="22"/>
              </w:rPr>
              <w:t>13. Minister właściwy do spraw informatyzacji ogłasza w Dzienniku Urzędowym Rzeczypospolitej Polskiej „Monitor Polski” do 15 grudnia każdego roku komunikat o wysokości wskaźnika opłaty.</w:t>
            </w:r>
          </w:p>
          <w:p w14:paraId="36522D0A" w14:textId="77777777" w:rsidR="00D573C5" w:rsidRPr="00317ABF" w:rsidRDefault="00D573C5" w:rsidP="00DB3BEC">
            <w:pPr>
              <w:ind w:firstLine="510"/>
              <w:jc w:val="both"/>
              <w:rPr>
                <w:rFonts w:eastAsia="Times"/>
                <w:sz w:val="22"/>
                <w:szCs w:val="22"/>
              </w:rPr>
            </w:pPr>
          </w:p>
          <w:p w14:paraId="3C8EC45C" w14:textId="1712674A" w:rsidR="001E1112" w:rsidRPr="00317ABF" w:rsidRDefault="00D573C5" w:rsidP="00D573C5">
            <w:pPr>
              <w:tabs>
                <w:tab w:val="left" w:pos="2190"/>
              </w:tabs>
              <w:ind w:firstLine="510"/>
              <w:jc w:val="both"/>
              <w:rPr>
                <w:sz w:val="22"/>
                <w:szCs w:val="22"/>
              </w:rPr>
            </w:pPr>
            <w:r w:rsidRPr="00317ABF">
              <w:rPr>
                <w:sz w:val="22"/>
                <w:szCs w:val="22"/>
              </w:rPr>
              <w:tab/>
            </w:r>
          </w:p>
        </w:tc>
      </w:tr>
      <w:tr w:rsidR="001E1112" w:rsidRPr="00317ABF" w14:paraId="0A2151E0" w14:textId="77777777" w:rsidTr="7753F98D">
        <w:trPr>
          <w:gridAfter w:val="2"/>
          <w:wAfter w:w="175" w:type="dxa"/>
        </w:trPr>
        <w:tc>
          <w:tcPr>
            <w:tcW w:w="704" w:type="dxa"/>
          </w:tcPr>
          <w:p w14:paraId="07B731F6" w14:textId="77777777" w:rsidR="001E1112" w:rsidRPr="00317ABF" w:rsidRDefault="001E1112" w:rsidP="00DB3BEC">
            <w:pPr>
              <w:jc w:val="both"/>
              <w:rPr>
                <w:sz w:val="22"/>
                <w:szCs w:val="22"/>
              </w:rPr>
            </w:pPr>
            <w:r w:rsidRPr="00317ABF">
              <w:rPr>
                <w:sz w:val="22"/>
                <w:szCs w:val="22"/>
              </w:rPr>
              <w:lastRenderedPageBreak/>
              <w:t>Art. 16 ust. 2</w:t>
            </w:r>
          </w:p>
        </w:tc>
        <w:tc>
          <w:tcPr>
            <w:tcW w:w="4308" w:type="dxa"/>
          </w:tcPr>
          <w:p w14:paraId="0F190CA1" w14:textId="77777777" w:rsidR="001E1112" w:rsidRPr="00317ABF" w:rsidRDefault="001E1112" w:rsidP="00DB3BEC">
            <w:pPr>
              <w:spacing w:before="120"/>
              <w:jc w:val="both"/>
              <w:rPr>
                <w:sz w:val="22"/>
                <w:szCs w:val="22"/>
              </w:rPr>
            </w:pPr>
            <w:r w:rsidRPr="00317ABF">
              <w:rPr>
                <w:sz w:val="22"/>
                <w:szCs w:val="22"/>
              </w:rPr>
              <w:t>2.   Nakładając opłaty administracyjne, krajowy organ regulacyjny lub inny właściwy organ publikuje roczny bilans swoich wydatków administracyjnych oraz całkowitej kwoty zebranych opłat. W razie wystąpienia różnicy pomiędzy całkowitą kwotą zebranych opłat a wydatkami administracyjnymi, dokonuje się stosownej korekty.</w:t>
            </w:r>
          </w:p>
        </w:tc>
        <w:tc>
          <w:tcPr>
            <w:tcW w:w="986" w:type="dxa"/>
          </w:tcPr>
          <w:p w14:paraId="326DC100" w14:textId="21FE0783" w:rsidR="001E1112" w:rsidRPr="00317ABF" w:rsidRDefault="001E1112" w:rsidP="00DB3BEC">
            <w:pPr>
              <w:jc w:val="both"/>
              <w:rPr>
                <w:sz w:val="22"/>
                <w:szCs w:val="22"/>
              </w:rPr>
            </w:pPr>
            <w:r w:rsidRPr="00317ABF">
              <w:rPr>
                <w:sz w:val="22"/>
                <w:szCs w:val="22"/>
              </w:rPr>
              <w:t>T</w:t>
            </w:r>
          </w:p>
        </w:tc>
        <w:tc>
          <w:tcPr>
            <w:tcW w:w="910" w:type="dxa"/>
          </w:tcPr>
          <w:p w14:paraId="0A821549" w14:textId="526092B7" w:rsidR="001E1112" w:rsidRPr="00317ABF" w:rsidRDefault="001E1112" w:rsidP="00DB3BEC">
            <w:pPr>
              <w:pStyle w:val="Tekstpodstawowy"/>
              <w:rPr>
                <w:b/>
                <w:bCs/>
                <w:noProof/>
                <w:sz w:val="22"/>
                <w:szCs w:val="22"/>
              </w:rPr>
            </w:pPr>
            <w:r w:rsidRPr="00317ABF">
              <w:rPr>
                <w:b/>
                <w:bCs/>
                <w:noProof/>
                <w:sz w:val="22"/>
                <w:szCs w:val="22"/>
              </w:rPr>
              <w:t xml:space="preserve">Art. 23 ust. </w:t>
            </w:r>
            <w:r w:rsidR="00D573C5" w:rsidRPr="00317ABF">
              <w:rPr>
                <w:b/>
                <w:bCs/>
                <w:noProof/>
                <w:sz w:val="22"/>
                <w:szCs w:val="22"/>
              </w:rPr>
              <w:t>10-12</w:t>
            </w:r>
          </w:p>
        </w:tc>
        <w:tc>
          <w:tcPr>
            <w:tcW w:w="6814" w:type="dxa"/>
            <w:gridSpan w:val="2"/>
          </w:tcPr>
          <w:p w14:paraId="670BCDC1" w14:textId="273192B5" w:rsidR="001E1112" w:rsidRPr="00317ABF" w:rsidRDefault="001E1112" w:rsidP="00DB3BEC">
            <w:pPr>
              <w:spacing w:line="360" w:lineRule="auto"/>
              <w:ind w:firstLine="510"/>
              <w:jc w:val="both"/>
              <w:rPr>
                <w:rFonts w:eastAsia="Times"/>
                <w:b/>
                <w:sz w:val="22"/>
                <w:szCs w:val="22"/>
              </w:rPr>
            </w:pPr>
            <w:r w:rsidRPr="00317ABF">
              <w:rPr>
                <w:rFonts w:eastAsia="Times"/>
                <w:b/>
                <w:sz w:val="22"/>
                <w:szCs w:val="22"/>
              </w:rPr>
              <w:t xml:space="preserve">Art. 23 ust. </w:t>
            </w:r>
            <w:r w:rsidR="00D573C5" w:rsidRPr="00317ABF">
              <w:rPr>
                <w:rFonts w:eastAsia="Times"/>
                <w:b/>
                <w:sz w:val="22"/>
                <w:szCs w:val="22"/>
              </w:rPr>
              <w:t>10-12</w:t>
            </w:r>
          </w:p>
          <w:p w14:paraId="6E7D5E03" w14:textId="77777777" w:rsidR="00D573C5" w:rsidRPr="00317ABF" w:rsidRDefault="00D573C5" w:rsidP="00D573C5">
            <w:pPr>
              <w:pStyle w:val="USTustnpkodeksu"/>
              <w:spacing w:line="240" w:lineRule="auto"/>
              <w:rPr>
                <w:rFonts w:ascii="Times New Roman" w:hAnsi="Times New Roman" w:cs="Times New Roman"/>
                <w:sz w:val="22"/>
                <w:szCs w:val="22"/>
              </w:rPr>
            </w:pPr>
            <w:r w:rsidRPr="00317ABF">
              <w:rPr>
                <w:rFonts w:ascii="Times New Roman" w:hAnsi="Times New Roman" w:cs="Times New Roman"/>
                <w:sz w:val="22"/>
                <w:szCs w:val="22"/>
              </w:rPr>
              <w:t>10. Minister właściwy do spraw informatyzacji przekazuje Prezesowi UKE, w terminie 4 miesięcy od zakończenia roku budżetowego, zestawienie kosztów związanych z wykonywaniem zadań, o których mowa w ust. 1, poniesionych w roku poprzednim.</w:t>
            </w:r>
          </w:p>
          <w:p w14:paraId="5A8C9A0A" w14:textId="77777777" w:rsidR="00D573C5" w:rsidRPr="00317ABF" w:rsidRDefault="00D573C5" w:rsidP="00D573C5">
            <w:pPr>
              <w:pStyle w:val="USTustnpkodeksu"/>
              <w:spacing w:line="240" w:lineRule="auto"/>
              <w:rPr>
                <w:rFonts w:ascii="Times New Roman" w:hAnsi="Times New Roman" w:cs="Times New Roman"/>
                <w:sz w:val="22"/>
                <w:szCs w:val="22"/>
              </w:rPr>
            </w:pPr>
            <w:r w:rsidRPr="00317ABF">
              <w:rPr>
                <w:rFonts w:ascii="Times New Roman" w:hAnsi="Times New Roman" w:cs="Times New Roman"/>
                <w:sz w:val="22"/>
                <w:szCs w:val="22"/>
              </w:rPr>
              <w:t>11. Prezes UKE udostępnia corocznie na stronie podmiotowej BIP UKE, w terminie 5 miesięcy od zakończenia roku budżetowego, zestawienie kosztów związanych z wykonywaniem zadań, o których mowa w ust. 1, poniesionych w roku poprzednim oraz sumę wpływów z rocznej opłaty telekomunikacyjnej pobranej w roku poprzednim.</w:t>
            </w:r>
          </w:p>
          <w:p w14:paraId="5EFE62B3" w14:textId="77777777" w:rsidR="00D573C5" w:rsidRPr="00317ABF" w:rsidRDefault="00D573C5" w:rsidP="00D573C5">
            <w:pPr>
              <w:pStyle w:val="USTustnpkodeksu"/>
              <w:spacing w:line="240" w:lineRule="auto"/>
              <w:rPr>
                <w:rFonts w:ascii="Times New Roman" w:hAnsi="Times New Roman" w:cs="Times New Roman"/>
                <w:sz w:val="22"/>
                <w:szCs w:val="22"/>
              </w:rPr>
            </w:pPr>
            <w:r w:rsidRPr="00317ABF">
              <w:rPr>
                <w:rFonts w:ascii="Times New Roman" w:hAnsi="Times New Roman" w:cs="Times New Roman"/>
                <w:sz w:val="22"/>
                <w:szCs w:val="22"/>
              </w:rPr>
              <w:t xml:space="preserve">12. Minister właściwy do spraw informatyzacji określi, w drodze rozporządzenia, sposób ustalania wysokości wskaźnika opłaty, o której mowa w ust. 1 oraz terminy i sposób jej uiszczania, kierując się wysokością wydatków Prezesa UKE i ministra właściwego do spraw informatyzacji, związanych z wykonywaniem ich zadań w zakresie telekomunikacji, o których mowa w ust. 1, przyjętych w ustawie budżetowej na rok poprzedzający rok, za który opłata ta jest należna, wysokością przychodów </w:t>
            </w:r>
            <w:r w:rsidRPr="00317ABF">
              <w:rPr>
                <w:rFonts w:ascii="Times New Roman" w:hAnsi="Times New Roman" w:cs="Times New Roman"/>
                <w:sz w:val="22"/>
                <w:szCs w:val="22"/>
              </w:rPr>
              <w:lastRenderedPageBreak/>
              <w:t>przedsiębiorców telekomunikacyjnych z tytułu prowadzenia działalności telekomunikacyjnej w roku poprzedzającym o 2 lata rok, za który opłata ta jest należna, oraz potrzebą wyrównania wysokości wpływów z tej opłaty w roku poprzednim i wysokością kosztów, o których mowa w ust. 11.</w:t>
            </w:r>
          </w:p>
          <w:p w14:paraId="66FDCF4E" w14:textId="7041AF3D" w:rsidR="001E1112" w:rsidRPr="00317ABF" w:rsidRDefault="001E1112" w:rsidP="00DB3BEC">
            <w:pPr>
              <w:pStyle w:val="Tekstpodstawowy"/>
              <w:spacing w:before="240"/>
              <w:rPr>
                <w:sz w:val="22"/>
                <w:szCs w:val="22"/>
              </w:rPr>
            </w:pPr>
          </w:p>
        </w:tc>
      </w:tr>
      <w:tr w:rsidR="001E1112" w:rsidRPr="00317ABF" w14:paraId="0B83C007" w14:textId="77777777" w:rsidTr="7753F98D">
        <w:trPr>
          <w:gridAfter w:val="2"/>
          <w:wAfter w:w="175" w:type="dxa"/>
        </w:trPr>
        <w:tc>
          <w:tcPr>
            <w:tcW w:w="704" w:type="dxa"/>
          </w:tcPr>
          <w:p w14:paraId="316DDAA1" w14:textId="77777777" w:rsidR="001E1112" w:rsidRPr="00317ABF" w:rsidRDefault="001E1112" w:rsidP="00DB3BEC">
            <w:pPr>
              <w:jc w:val="both"/>
              <w:rPr>
                <w:b/>
                <w:sz w:val="22"/>
                <w:szCs w:val="22"/>
              </w:rPr>
            </w:pPr>
            <w:r w:rsidRPr="00317ABF">
              <w:rPr>
                <w:b/>
                <w:sz w:val="22"/>
                <w:szCs w:val="22"/>
              </w:rPr>
              <w:lastRenderedPageBreak/>
              <w:t>Art. 17</w:t>
            </w:r>
          </w:p>
        </w:tc>
        <w:tc>
          <w:tcPr>
            <w:tcW w:w="4308" w:type="dxa"/>
          </w:tcPr>
          <w:p w14:paraId="5CA2CBBF" w14:textId="77777777" w:rsidR="001E1112" w:rsidRPr="00317ABF" w:rsidRDefault="001E1112" w:rsidP="00DB3BEC">
            <w:pPr>
              <w:spacing w:before="60" w:after="120"/>
              <w:jc w:val="both"/>
              <w:rPr>
                <w:b/>
                <w:bCs/>
                <w:sz w:val="22"/>
                <w:szCs w:val="22"/>
              </w:rPr>
            </w:pPr>
            <w:r w:rsidRPr="00317ABF">
              <w:rPr>
                <w:b/>
                <w:bCs/>
                <w:sz w:val="22"/>
                <w:szCs w:val="22"/>
              </w:rPr>
              <w:t>Rozdzielność księgowa i sprawozdania finansowe</w:t>
            </w:r>
          </w:p>
        </w:tc>
        <w:tc>
          <w:tcPr>
            <w:tcW w:w="986" w:type="dxa"/>
          </w:tcPr>
          <w:p w14:paraId="3BEE236D" w14:textId="77777777" w:rsidR="001E1112" w:rsidRPr="00317ABF" w:rsidRDefault="001E1112" w:rsidP="00DB3BEC">
            <w:pPr>
              <w:jc w:val="both"/>
              <w:rPr>
                <w:sz w:val="22"/>
                <w:szCs w:val="22"/>
              </w:rPr>
            </w:pPr>
          </w:p>
        </w:tc>
        <w:tc>
          <w:tcPr>
            <w:tcW w:w="910" w:type="dxa"/>
          </w:tcPr>
          <w:p w14:paraId="0CCC0888" w14:textId="77777777" w:rsidR="001E1112" w:rsidRPr="00317ABF" w:rsidRDefault="001E1112" w:rsidP="00DB3BEC">
            <w:pPr>
              <w:pStyle w:val="Tekstpodstawowy"/>
              <w:rPr>
                <w:b/>
                <w:noProof/>
                <w:sz w:val="22"/>
                <w:szCs w:val="22"/>
              </w:rPr>
            </w:pPr>
          </w:p>
        </w:tc>
        <w:tc>
          <w:tcPr>
            <w:tcW w:w="6814" w:type="dxa"/>
            <w:gridSpan w:val="2"/>
          </w:tcPr>
          <w:p w14:paraId="4A990D24" w14:textId="77777777" w:rsidR="001E1112" w:rsidRPr="00317ABF" w:rsidRDefault="001E1112" w:rsidP="00DB3BEC">
            <w:pPr>
              <w:pStyle w:val="Tekstpodstawowy"/>
              <w:spacing w:before="240"/>
              <w:rPr>
                <w:sz w:val="22"/>
                <w:szCs w:val="22"/>
              </w:rPr>
            </w:pPr>
          </w:p>
        </w:tc>
      </w:tr>
      <w:tr w:rsidR="001E1112" w:rsidRPr="00317ABF" w14:paraId="0A0C03BB" w14:textId="77777777" w:rsidTr="7753F98D">
        <w:trPr>
          <w:gridAfter w:val="2"/>
          <w:wAfter w:w="175" w:type="dxa"/>
        </w:trPr>
        <w:tc>
          <w:tcPr>
            <w:tcW w:w="704" w:type="dxa"/>
          </w:tcPr>
          <w:p w14:paraId="3CBF08E8" w14:textId="77777777" w:rsidR="001E1112" w:rsidRPr="00317ABF" w:rsidRDefault="001E1112" w:rsidP="00DB3BEC">
            <w:pPr>
              <w:jc w:val="both"/>
              <w:rPr>
                <w:sz w:val="22"/>
                <w:szCs w:val="22"/>
              </w:rPr>
            </w:pPr>
            <w:r w:rsidRPr="00317ABF">
              <w:rPr>
                <w:sz w:val="22"/>
                <w:szCs w:val="22"/>
              </w:rPr>
              <w:t>Art. 17 ust. 1</w:t>
            </w:r>
          </w:p>
        </w:tc>
        <w:tc>
          <w:tcPr>
            <w:tcW w:w="4308" w:type="dxa"/>
          </w:tcPr>
          <w:p w14:paraId="2DCDF27C" w14:textId="77777777" w:rsidR="001E1112" w:rsidRPr="00317ABF" w:rsidRDefault="001E1112" w:rsidP="00DB3BEC">
            <w:pPr>
              <w:spacing w:before="120"/>
              <w:jc w:val="both"/>
              <w:rPr>
                <w:sz w:val="22"/>
                <w:szCs w:val="22"/>
              </w:rPr>
            </w:pPr>
            <w:r w:rsidRPr="00317ABF">
              <w:rPr>
                <w:sz w:val="22"/>
                <w:szCs w:val="22"/>
              </w:rPr>
              <w:t>1.   Państwa członkowskie nakładają na przedsiębiorstwa udostępniające publiczne sieci łączności elektronicznej lub świadczące publicznie dostępne usługi łączności elektronicznej, mające specjalne lub wyłączne prawo świadczenia usług w innych sektorach w tym samym lub w innym państwie członkowskim, obowiązek:</w:t>
            </w:r>
          </w:p>
          <w:tbl>
            <w:tblPr>
              <w:tblW w:w="5000" w:type="pct"/>
              <w:tblCellSpacing w:w="0" w:type="dxa"/>
              <w:tblLayout w:type="fixed"/>
              <w:tblCellMar>
                <w:left w:w="0" w:type="dxa"/>
                <w:right w:w="0" w:type="dxa"/>
              </w:tblCellMar>
              <w:tblLook w:val="04A0" w:firstRow="1" w:lastRow="0" w:firstColumn="1" w:lastColumn="0" w:noHBand="0" w:noVBand="1"/>
            </w:tblPr>
            <w:tblGrid>
              <w:gridCol w:w="20"/>
              <w:gridCol w:w="4148"/>
            </w:tblGrid>
            <w:tr w:rsidR="001E1112" w:rsidRPr="00317ABF" w14:paraId="242CF92C" w14:textId="77777777" w:rsidTr="00345B65">
              <w:trPr>
                <w:tblCellSpacing w:w="0" w:type="dxa"/>
              </w:trPr>
              <w:tc>
                <w:tcPr>
                  <w:tcW w:w="6" w:type="dxa"/>
                  <w:hideMark/>
                </w:tcPr>
                <w:p w14:paraId="603CC4DB" w14:textId="77777777" w:rsidR="001E1112" w:rsidRPr="00317ABF" w:rsidRDefault="001E1112" w:rsidP="00EE0AC3">
                  <w:pPr>
                    <w:framePr w:hSpace="141" w:wrap="around" w:vAnchor="text" w:hAnchor="text" w:xAlign="right" w:y="1"/>
                    <w:spacing w:before="120"/>
                    <w:suppressOverlap/>
                    <w:jc w:val="both"/>
                    <w:rPr>
                      <w:sz w:val="22"/>
                      <w:szCs w:val="22"/>
                    </w:rPr>
                  </w:pPr>
                </w:p>
              </w:tc>
              <w:tc>
                <w:tcPr>
                  <w:tcW w:w="9066" w:type="dxa"/>
                  <w:hideMark/>
                </w:tcPr>
                <w:p w14:paraId="12E2D419" w14:textId="77777777" w:rsidR="001E1112" w:rsidRPr="00317ABF" w:rsidRDefault="001E1112" w:rsidP="00EE0AC3">
                  <w:pPr>
                    <w:framePr w:hSpace="141" w:wrap="around" w:vAnchor="text" w:hAnchor="text" w:xAlign="right" w:y="1"/>
                    <w:numPr>
                      <w:ilvl w:val="0"/>
                      <w:numId w:val="12"/>
                    </w:numPr>
                    <w:spacing w:before="120"/>
                    <w:suppressOverlap/>
                    <w:jc w:val="both"/>
                    <w:rPr>
                      <w:sz w:val="22"/>
                      <w:szCs w:val="22"/>
                    </w:rPr>
                  </w:pPr>
                  <w:r w:rsidRPr="00317ABF">
                    <w:rPr>
                      <w:sz w:val="22"/>
                      <w:szCs w:val="22"/>
                    </w:rPr>
                    <w:t>prowadzenia rozdzielnej księgowości dla działalności związanej z dostarczaniem sieci lub świadczeniem usług łączności elektronicznej, w takim zakresie, w jakim byłoby to niezbędne, gdyby ta działalność prowadzona była przez prawnie niezależne od siebie podmioty, dla potrzeb identyfikacji wszystkich elementów kosztów i przychodów, wraz z podstawą ich kalkulacji oraz szczegółowym wskazaniem zastosowanych metod ich uzyskania, związanych z taką działalnością, w tym wyszczególnienie podziału środków trwałych i kosztów strukturalnych; lub</w:t>
                  </w:r>
                </w:p>
              </w:tc>
            </w:tr>
          </w:tbl>
          <w:p w14:paraId="5BAD3425" w14:textId="77777777" w:rsidR="001E1112" w:rsidRPr="00317ABF" w:rsidRDefault="001E1112" w:rsidP="00DB3BEC">
            <w:pPr>
              <w:jc w:val="both"/>
              <w:rPr>
                <w:vanish/>
                <w:sz w:val="22"/>
                <w:szCs w:val="22"/>
              </w:rPr>
            </w:pPr>
          </w:p>
          <w:tbl>
            <w:tblPr>
              <w:tblW w:w="5000" w:type="pct"/>
              <w:tblCellSpacing w:w="0" w:type="dxa"/>
              <w:tblLayout w:type="fixed"/>
              <w:tblCellMar>
                <w:left w:w="0" w:type="dxa"/>
                <w:right w:w="0" w:type="dxa"/>
              </w:tblCellMar>
              <w:tblLook w:val="04A0" w:firstRow="1" w:lastRow="0" w:firstColumn="1" w:lastColumn="0" w:noHBand="0" w:noVBand="1"/>
            </w:tblPr>
            <w:tblGrid>
              <w:gridCol w:w="20"/>
              <w:gridCol w:w="4148"/>
            </w:tblGrid>
            <w:tr w:rsidR="001E1112" w:rsidRPr="00317ABF" w14:paraId="617C03C6" w14:textId="77777777" w:rsidTr="00345B65">
              <w:trPr>
                <w:tblCellSpacing w:w="0" w:type="dxa"/>
              </w:trPr>
              <w:tc>
                <w:tcPr>
                  <w:tcW w:w="6" w:type="dxa"/>
                  <w:hideMark/>
                </w:tcPr>
                <w:p w14:paraId="0C7D08AC" w14:textId="77777777" w:rsidR="001E1112" w:rsidRPr="00317ABF" w:rsidRDefault="001E1112" w:rsidP="00EE0AC3">
                  <w:pPr>
                    <w:framePr w:hSpace="141" w:wrap="around" w:vAnchor="text" w:hAnchor="text" w:xAlign="right" w:y="1"/>
                    <w:spacing w:before="120"/>
                    <w:suppressOverlap/>
                    <w:jc w:val="both"/>
                    <w:rPr>
                      <w:sz w:val="22"/>
                      <w:szCs w:val="22"/>
                    </w:rPr>
                  </w:pPr>
                </w:p>
              </w:tc>
              <w:tc>
                <w:tcPr>
                  <w:tcW w:w="9066" w:type="dxa"/>
                  <w:hideMark/>
                </w:tcPr>
                <w:p w14:paraId="4A16CB4A" w14:textId="77777777" w:rsidR="001E1112" w:rsidRPr="00317ABF" w:rsidRDefault="001E1112" w:rsidP="00EE0AC3">
                  <w:pPr>
                    <w:framePr w:hSpace="141" w:wrap="around" w:vAnchor="text" w:hAnchor="text" w:xAlign="right" w:y="1"/>
                    <w:numPr>
                      <w:ilvl w:val="0"/>
                      <w:numId w:val="12"/>
                    </w:numPr>
                    <w:spacing w:before="120"/>
                    <w:suppressOverlap/>
                    <w:jc w:val="both"/>
                    <w:rPr>
                      <w:sz w:val="22"/>
                      <w:szCs w:val="22"/>
                    </w:rPr>
                  </w:pPr>
                  <w:r w:rsidRPr="00317ABF">
                    <w:rPr>
                      <w:sz w:val="22"/>
                      <w:szCs w:val="22"/>
                    </w:rPr>
                    <w:t xml:space="preserve">wprowadzenia strukturalnego rozdziału działalności związanej </w:t>
                  </w:r>
                  <w:r w:rsidRPr="00317ABF">
                    <w:rPr>
                      <w:sz w:val="22"/>
                      <w:szCs w:val="22"/>
                    </w:rPr>
                    <w:lastRenderedPageBreak/>
                    <w:t>z dostarczaniem sieci lub usług łączności elektronicznej.</w:t>
                  </w:r>
                </w:p>
              </w:tc>
            </w:tr>
          </w:tbl>
          <w:p w14:paraId="25C0100A" w14:textId="77777777" w:rsidR="001E1112" w:rsidRPr="00317ABF" w:rsidRDefault="001E1112" w:rsidP="00DB3BEC">
            <w:pPr>
              <w:spacing w:before="120"/>
              <w:jc w:val="both"/>
              <w:rPr>
                <w:sz w:val="22"/>
                <w:szCs w:val="22"/>
              </w:rPr>
            </w:pPr>
            <w:r w:rsidRPr="00317ABF">
              <w:rPr>
                <w:sz w:val="22"/>
                <w:szCs w:val="22"/>
              </w:rPr>
              <w:lastRenderedPageBreak/>
              <w:t>Państwa członkowskie mogą zrezygnować z zastosowania wymogów, o których mowa w akapicie pierwszym, wobec przedsiębiorstw, których roczny obrót z działalności związanej z sieciami i usługami łączności elektronicznej w Unii nie przekracza 50 mln EUR.</w:t>
            </w:r>
          </w:p>
        </w:tc>
        <w:tc>
          <w:tcPr>
            <w:tcW w:w="986" w:type="dxa"/>
          </w:tcPr>
          <w:p w14:paraId="37A31054" w14:textId="446C1CD8" w:rsidR="001E1112" w:rsidRPr="00317ABF" w:rsidRDefault="001E1112" w:rsidP="00DB3BEC">
            <w:pPr>
              <w:jc w:val="both"/>
              <w:rPr>
                <w:sz w:val="22"/>
                <w:szCs w:val="22"/>
              </w:rPr>
            </w:pPr>
            <w:r w:rsidRPr="00317ABF">
              <w:rPr>
                <w:sz w:val="22"/>
                <w:szCs w:val="22"/>
              </w:rPr>
              <w:lastRenderedPageBreak/>
              <w:t>N</w:t>
            </w:r>
          </w:p>
        </w:tc>
        <w:tc>
          <w:tcPr>
            <w:tcW w:w="910" w:type="dxa"/>
          </w:tcPr>
          <w:p w14:paraId="7DC8C081" w14:textId="10D730B5" w:rsidR="001E1112" w:rsidRPr="00317ABF" w:rsidRDefault="001E1112" w:rsidP="00DB3BEC">
            <w:pPr>
              <w:pStyle w:val="Tekstpodstawowy"/>
              <w:rPr>
                <w:b/>
                <w:bCs/>
                <w:noProof/>
                <w:sz w:val="22"/>
                <w:szCs w:val="22"/>
              </w:rPr>
            </w:pPr>
            <w:r w:rsidRPr="00317ABF">
              <w:rPr>
                <w:b/>
                <w:bCs/>
                <w:noProof/>
                <w:sz w:val="22"/>
                <w:szCs w:val="22"/>
              </w:rPr>
              <w:t>do wskazania przy wprowadzaniu praw specjalnych i wyłącznych</w:t>
            </w:r>
          </w:p>
        </w:tc>
        <w:tc>
          <w:tcPr>
            <w:tcW w:w="6814" w:type="dxa"/>
            <w:gridSpan w:val="2"/>
          </w:tcPr>
          <w:p w14:paraId="0477E574" w14:textId="77777777" w:rsidR="001E1112" w:rsidRPr="00317ABF" w:rsidRDefault="001E1112" w:rsidP="00DB3BEC">
            <w:pPr>
              <w:pStyle w:val="Tekstpodstawowy"/>
              <w:spacing w:before="240"/>
              <w:rPr>
                <w:sz w:val="22"/>
                <w:szCs w:val="22"/>
              </w:rPr>
            </w:pPr>
          </w:p>
        </w:tc>
      </w:tr>
      <w:tr w:rsidR="001E1112" w:rsidRPr="00317ABF" w14:paraId="34EAB3EF" w14:textId="77777777" w:rsidTr="7753F98D">
        <w:trPr>
          <w:gridAfter w:val="2"/>
          <w:wAfter w:w="175" w:type="dxa"/>
        </w:trPr>
        <w:tc>
          <w:tcPr>
            <w:tcW w:w="704" w:type="dxa"/>
          </w:tcPr>
          <w:p w14:paraId="037D3528" w14:textId="77777777" w:rsidR="001E1112" w:rsidRPr="00317ABF" w:rsidRDefault="001E1112" w:rsidP="00DB3BEC">
            <w:pPr>
              <w:jc w:val="both"/>
              <w:rPr>
                <w:sz w:val="22"/>
                <w:szCs w:val="22"/>
              </w:rPr>
            </w:pPr>
            <w:r w:rsidRPr="00317ABF">
              <w:rPr>
                <w:sz w:val="22"/>
                <w:szCs w:val="22"/>
              </w:rPr>
              <w:lastRenderedPageBreak/>
              <w:t>Art. 17 ust. 2</w:t>
            </w:r>
          </w:p>
        </w:tc>
        <w:tc>
          <w:tcPr>
            <w:tcW w:w="4308" w:type="dxa"/>
          </w:tcPr>
          <w:p w14:paraId="0AF69856" w14:textId="77777777" w:rsidR="001E1112" w:rsidRPr="00317ABF" w:rsidRDefault="001E1112" w:rsidP="00DB3BEC">
            <w:pPr>
              <w:spacing w:before="120"/>
              <w:jc w:val="both"/>
              <w:rPr>
                <w:sz w:val="22"/>
                <w:szCs w:val="22"/>
              </w:rPr>
            </w:pPr>
            <w:r w:rsidRPr="00317ABF">
              <w:rPr>
                <w:sz w:val="22"/>
                <w:szCs w:val="22"/>
              </w:rPr>
              <w:t>2.   Jeżeli przedsiębiorstwa udostępniające publiczne sieci łączności elektronicznej lub świadczące publicznie dostępne usługi łączności elektronicznej nie podlegają wymogom określonym w przepisach prawa spółek i nie spełniają wymogów określonych w przepisach prawa Unii o prowadzeniu księgowości przez małe i średnie przedsiębiorstwa, ich sprawozdania finansowe sporządza się i przekazuje do zbadania niezależnemu biegłemu rewidentowi, a następnie publikuje. Badanie przeprowadza się zgodnie z odpowiednimi przepisami prawa Unii i prawa krajowego.</w:t>
            </w:r>
          </w:p>
          <w:p w14:paraId="65C9D0F3" w14:textId="77777777" w:rsidR="001E1112" w:rsidRPr="00317ABF" w:rsidRDefault="001E1112" w:rsidP="00DB3BEC">
            <w:pPr>
              <w:spacing w:before="120"/>
              <w:jc w:val="both"/>
              <w:rPr>
                <w:sz w:val="22"/>
                <w:szCs w:val="22"/>
              </w:rPr>
            </w:pPr>
            <w:r w:rsidRPr="00317ABF">
              <w:rPr>
                <w:sz w:val="22"/>
                <w:szCs w:val="22"/>
              </w:rPr>
              <w:t>Akapit pierwszy niniejszego ustępu ma również zastosowanie w odniesieniu do rozdzielnej księgowości prowadzonej zgodnie z ust. 1 akapit pierwszy lit. a).</w:t>
            </w:r>
          </w:p>
        </w:tc>
        <w:tc>
          <w:tcPr>
            <w:tcW w:w="986" w:type="dxa"/>
          </w:tcPr>
          <w:p w14:paraId="3FD9042A" w14:textId="648E19BC" w:rsidR="001E1112" w:rsidRPr="00317ABF" w:rsidRDefault="001E1112" w:rsidP="00DB3BEC">
            <w:pPr>
              <w:jc w:val="both"/>
              <w:rPr>
                <w:sz w:val="22"/>
                <w:szCs w:val="22"/>
              </w:rPr>
            </w:pPr>
            <w:r w:rsidRPr="00317ABF">
              <w:rPr>
                <w:sz w:val="22"/>
                <w:szCs w:val="22"/>
              </w:rPr>
              <w:t>N</w:t>
            </w:r>
          </w:p>
        </w:tc>
        <w:tc>
          <w:tcPr>
            <w:tcW w:w="910" w:type="dxa"/>
          </w:tcPr>
          <w:p w14:paraId="347D5AA5" w14:textId="1D51C94B" w:rsidR="001E1112" w:rsidRPr="00317ABF" w:rsidRDefault="001E1112" w:rsidP="00DB3BEC">
            <w:pPr>
              <w:pStyle w:val="Tekstpodstawowy"/>
              <w:rPr>
                <w:b/>
                <w:bCs/>
                <w:noProof/>
                <w:sz w:val="22"/>
                <w:szCs w:val="22"/>
              </w:rPr>
            </w:pPr>
            <w:r w:rsidRPr="00317ABF">
              <w:rPr>
                <w:b/>
                <w:bCs/>
                <w:noProof/>
                <w:sz w:val="22"/>
                <w:szCs w:val="22"/>
              </w:rPr>
              <w:t>Ustawa o rachunkowości</w:t>
            </w:r>
          </w:p>
          <w:p w14:paraId="71BD62CA" w14:textId="192422B8" w:rsidR="001E1112" w:rsidRPr="00317ABF" w:rsidRDefault="001E1112" w:rsidP="00DB3BEC">
            <w:pPr>
              <w:pStyle w:val="Tekstpodstawowy"/>
              <w:rPr>
                <w:b/>
                <w:bCs/>
                <w:noProof/>
                <w:sz w:val="22"/>
                <w:szCs w:val="22"/>
              </w:rPr>
            </w:pPr>
          </w:p>
          <w:p w14:paraId="0A9A033A" w14:textId="761C43C9" w:rsidR="001E1112" w:rsidRPr="00317ABF" w:rsidRDefault="001E1112" w:rsidP="00DB3BEC">
            <w:pPr>
              <w:pStyle w:val="Tekstpodstawowy"/>
              <w:rPr>
                <w:b/>
                <w:bCs/>
                <w:noProof/>
                <w:sz w:val="22"/>
                <w:szCs w:val="22"/>
              </w:rPr>
            </w:pPr>
          </w:p>
          <w:p w14:paraId="519F2EA9" w14:textId="771198F1" w:rsidR="001E1112" w:rsidRPr="00317ABF" w:rsidRDefault="001E1112" w:rsidP="00DB3BEC">
            <w:pPr>
              <w:pStyle w:val="Tekstpodstawowy"/>
              <w:rPr>
                <w:b/>
                <w:bCs/>
                <w:noProof/>
                <w:sz w:val="22"/>
                <w:szCs w:val="22"/>
              </w:rPr>
            </w:pPr>
          </w:p>
          <w:p w14:paraId="29CDC0D5" w14:textId="6DD02C41" w:rsidR="001E1112" w:rsidRPr="00317ABF" w:rsidRDefault="001E1112" w:rsidP="00DB3BEC">
            <w:pPr>
              <w:pStyle w:val="Tekstpodstawowy"/>
              <w:rPr>
                <w:b/>
                <w:bCs/>
                <w:noProof/>
                <w:sz w:val="22"/>
                <w:szCs w:val="22"/>
              </w:rPr>
            </w:pPr>
          </w:p>
          <w:p w14:paraId="34DB42AB" w14:textId="0A1B3ABE" w:rsidR="001E1112" w:rsidRPr="00317ABF" w:rsidRDefault="001E1112" w:rsidP="00DB3BEC">
            <w:pPr>
              <w:pStyle w:val="Tekstpodstawowy"/>
              <w:rPr>
                <w:b/>
                <w:bCs/>
                <w:noProof/>
                <w:sz w:val="22"/>
                <w:szCs w:val="22"/>
              </w:rPr>
            </w:pPr>
          </w:p>
          <w:p w14:paraId="3AD95D15" w14:textId="23679CDD" w:rsidR="001E1112" w:rsidRPr="00317ABF" w:rsidRDefault="001E1112" w:rsidP="00DB3BEC">
            <w:pPr>
              <w:pStyle w:val="Tekstpodstawowy"/>
              <w:rPr>
                <w:b/>
                <w:bCs/>
                <w:noProof/>
                <w:sz w:val="22"/>
                <w:szCs w:val="22"/>
              </w:rPr>
            </w:pPr>
          </w:p>
          <w:p w14:paraId="3895A04D" w14:textId="2F0F1BAC" w:rsidR="001E1112" w:rsidRPr="00317ABF" w:rsidRDefault="001E1112" w:rsidP="00DB3BEC">
            <w:pPr>
              <w:pStyle w:val="Tekstpodstawowy"/>
              <w:rPr>
                <w:b/>
                <w:bCs/>
                <w:noProof/>
                <w:sz w:val="22"/>
                <w:szCs w:val="22"/>
              </w:rPr>
            </w:pPr>
          </w:p>
          <w:p w14:paraId="22C8F949" w14:textId="52095A04" w:rsidR="001E1112" w:rsidRPr="00317ABF" w:rsidRDefault="001E1112" w:rsidP="00DB3BEC">
            <w:pPr>
              <w:pStyle w:val="Tekstpodstawowy"/>
              <w:rPr>
                <w:b/>
                <w:bCs/>
                <w:noProof/>
                <w:sz w:val="22"/>
                <w:szCs w:val="22"/>
              </w:rPr>
            </w:pPr>
          </w:p>
          <w:p w14:paraId="3F11AA7D" w14:textId="1D822C3E" w:rsidR="001E1112" w:rsidRPr="00317ABF" w:rsidRDefault="001E1112" w:rsidP="00DB3BEC">
            <w:pPr>
              <w:pStyle w:val="Tekstpodstawowy"/>
              <w:rPr>
                <w:b/>
                <w:bCs/>
                <w:noProof/>
                <w:sz w:val="22"/>
                <w:szCs w:val="22"/>
              </w:rPr>
            </w:pPr>
          </w:p>
          <w:p w14:paraId="360A6A4D" w14:textId="70EF5DFD" w:rsidR="001E1112" w:rsidRPr="00317ABF" w:rsidRDefault="001E1112" w:rsidP="00DB3BEC">
            <w:pPr>
              <w:pStyle w:val="Tekstpodstawowy"/>
              <w:rPr>
                <w:b/>
                <w:bCs/>
                <w:noProof/>
                <w:sz w:val="22"/>
                <w:szCs w:val="22"/>
              </w:rPr>
            </w:pPr>
          </w:p>
          <w:p w14:paraId="7BC8C5E6" w14:textId="5AD5F7C7" w:rsidR="001E1112" w:rsidRPr="00317ABF" w:rsidRDefault="001E1112" w:rsidP="00DB3BEC">
            <w:pPr>
              <w:pStyle w:val="Tekstpodstawowy"/>
              <w:rPr>
                <w:b/>
                <w:bCs/>
                <w:noProof/>
                <w:sz w:val="22"/>
                <w:szCs w:val="22"/>
              </w:rPr>
            </w:pPr>
          </w:p>
          <w:p w14:paraId="140D89AA" w14:textId="56F717EE" w:rsidR="001E1112" w:rsidRPr="00317ABF" w:rsidRDefault="001E1112" w:rsidP="00DB3BEC">
            <w:pPr>
              <w:pStyle w:val="Tekstpodstawowy"/>
              <w:rPr>
                <w:b/>
                <w:bCs/>
                <w:noProof/>
                <w:sz w:val="22"/>
                <w:szCs w:val="22"/>
              </w:rPr>
            </w:pPr>
          </w:p>
          <w:p w14:paraId="3319A91F" w14:textId="1995B15F" w:rsidR="001E1112" w:rsidRPr="00317ABF" w:rsidRDefault="001E1112" w:rsidP="00DB3BEC">
            <w:pPr>
              <w:pStyle w:val="Tekstpodstawowy"/>
              <w:rPr>
                <w:b/>
                <w:bCs/>
                <w:noProof/>
                <w:sz w:val="22"/>
                <w:szCs w:val="22"/>
              </w:rPr>
            </w:pPr>
          </w:p>
          <w:p w14:paraId="052D4810" w14:textId="6089ADCF" w:rsidR="001E1112" w:rsidRPr="00317ABF" w:rsidRDefault="001E1112" w:rsidP="00DB3BEC">
            <w:pPr>
              <w:pStyle w:val="Tekstpodstawowy"/>
              <w:rPr>
                <w:b/>
                <w:bCs/>
                <w:noProof/>
                <w:sz w:val="22"/>
                <w:szCs w:val="22"/>
              </w:rPr>
            </w:pPr>
          </w:p>
        </w:tc>
        <w:tc>
          <w:tcPr>
            <w:tcW w:w="6814" w:type="dxa"/>
            <w:gridSpan w:val="2"/>
          </w:tcPr>
          <w:p w14:paraId="7402A859" w14:textId="2510E90A" w:rsidR="001E1112" w:rsidRPr="00317ABF" w:rsidRDefault="001E1112" w:rsidP="00DB3BEC">
            <w:pPr>
              <w:pStyle w:val="Tekstpodstawowy"/>
              <w:spacing w:before="240"/>
              <w:rPr>
                <w:sz w:val="22"/>
                <w:szCs w:val="22"/>
              </w:rPr>
            </w:pPr>
            <w:r w:rsidRPr="00317ABF">
              <w:rPr>
                <w:sz w:val="22"/>
                <w:szCs w:val="22"/>
              </w:rPr>
              <w:t xml:space="preserve">Ustawa z dnia 29 września 1994 r. o rachunkowości (Dz. U. z </w:t>
            </w:r>
            <w:r w:rsidR="00DF049D" w:rsidRPr="00317ABF">
              <w:rPr>
                <w:sz w:val="22"/>
                <w:szCs w:val="22"/>
              </w:rPr>
              <w:t>2021 poz. 217</w:t>
            </w:r>
            <w:r w:rsidRPr="00317ABF">
              <w:rPr>
                <w:sz w:val="22"/>
                <w:szCs w:val="22"/>
              </w:rPr>
              <w:t>) ─ art. 2 ust. 1, ust. 2a-3, art. 3 ust.1 pkt 1), art. 11</w:t>
            </w:r>
            <w:r w:rsidR="00AF269E" w:rsidRPr="00317ABF">
              <w:rPr>
                <w:sz w:val="22"/>
                <w:szCs w:val="22"/>
              </w:rPr>
              <w:t xml:space="preserve"> ust. 1 pkt 1)</w:t>
            </w:r>
            <w:r w:rsidRPr="00317ABF">
              <w:rPr>
                <w:sz w:val="22"/>
                <w:szCs w:val="22"/>
              </w:rPr>
              <w:t>, art. 64, art. 69 ust. 1-1b, art. 70</w:t>
            </w:r>
          </w:p>
          <w:p w14:paraId="05632B05" w14:textId="538668C5" w:rsidR="001E1112" w:rsidRPr="00317ABF" w:rsidRDefault="001E1112" w:rsidP="00DB3BEC">
            <w:pPr>
              <w:pStyle w:val="Tekstpodstawowy"/>
              <w:spacing w:before="240"/>
              <w:rPr>
                <w:b/>
                <w:sz w:val="22"/>
                <w:szCs w:val="22"/>
              </w:rPr>
            </w:pPr>
            <w:r w:rsidRPr="00317ABF">
              <w:rPr>
                <w:b/>
                <w:sz w:val="22"/>
                <w:szCs w:val="22"/>
              </w:rPr>
              <w:t>Art. 2, ust. 1, ust. 2a-3</w:t>
            </w:r>
          </w:p>
          <w:p w14:paraId="3AA68361" w14:textId="5CF4DD59" w:rsidR="00E10463" w:rsidRPr="00317ABF" w:rsidRDefault="00E10463" w:rsidP="00E10463">
            <w:pPr>
              <w:rPr>
                <w:color w:val="333333"/>
                <w:sz w:val="22"/>
                <w:szCs w:val="22"/>
              </w:rPr>
            </w:pPr>
            <w:bookmarkStart w:id="81" w:name="mip47519225"/>
            <w:bookmarkStart w:id="82" w:name="mip57581011"/>
            <w:bookmarkEnd w:id="81"/>
            <w:bookmarkEnd w:id="82"/>
            <w:r w:rsidRPr="00317ABF">
              <w:rPr>
                <w:color w:val="333333"/>
                <w:sz w:val="22"/>
                <w:szCs w:val="22"/>
              </w:rPr>
              <w:t xml:space="preserve">1. Przepisy </w:t>
            </w:r>
            <w:bookmarkStart w:id="83" w:name="highlightHit_5"/>
            <w:bookmarkEnd w:id="83"/>
            <w:r w:rsidR="00A14548">
              <w:rPr>
                <w:color w:val="333333"/>
                <w:sz w:val="22"/>
                <w:szCs w:val="22"/>
              </w:rPr>
              <w:t xml:space="preserve">ustawy o </w:t>
            </w:r>
            <w:bookmarkStart w:id="84" w:name="highlightHit_7"/>
            <w:bookmarkEnd w:id="84"/>
            <w:r w:rsidRPr="00317ABF">
              <w:rPr>
                <w:color w:val="333333"/>
                <w:sz w:val="22"/>
                <w:szCs w:val="22"/>
                <w:shd w:val="clear" w:color="auto" w:fill="C6E3FB"/>
              </w:rPr>
              <w:t>rachunkowości</w:t>
            </w:r>
            <w:r w:rsidRPr="00317ABF">
              <w:rPr>
                <w:color w:val="333333"/>
                <w:sz w:val="22"/>
                <w:szCs w:val="22"/>
              </w:rPr>
              <w:t>, zwanej dalej ,,</w:t>
            </w:r>
            <w:bookmarkStart w:id="85" w:name="highlightHit_8"/>
            <w:bookmarkEnd w:id="85"/>
            <w:r w:rsidRPr="00317ABF">
              <w:rPr>
                <w:color w:val="333333"/>
                <w:sz w:val="22"/>
                <w:szCs w:val="22"/>
                <w:shd w:val="clear" w:color="auto" w:fill="C6E3FB"/>
              </w:rPr>
              <w:t>ustawą</w:t>
            </w:r>
            <w:r w:rsidRPr="00317ABF">
              <w:rPr>
                <w:color w:val="333333"/>
                <w:sz w:val="22"/>
                <w:szCs w:val="22"/>
              </w:rPr>
              <w:t xml:space="preserve">'', stosuje się, z zastrzeżeniem ust. 3, do mających siedzibę lub miejsce sprawowania zarządu na terytorium Rzeczypospolitej Polskiej: </w:t>
            </w:r>
          </w:p>
          <w:p w14:paraId="3DB29CBB" w14:textId="0ECCBBBA" w:rsidR="00E10463" w:rsidRPr="00317ABF" w:rsidRDefault="00E10463" w:rsidP="00E10463">
            <w:pPr>
              <w:rPr>
                <w:bCs/>
                <w:color w:val="333333"/>
                <w:sz w:val="22"/>
                <w:szCs w:val="22"/>
              </w:rPr>
            </w:pPr>
            <w:bookmarkStart w:id="86" w:name="mip57581013"/>
            <w:bookmarkEnd w:id="86"/>
            <w:r w:rsidRPr="00317ABF">
              <w:rPr>
                <w:bCs/>
                <w:color w:val="333333"/>
                <w:sz w:val="22"/>
                <w:szCs w:val="22"/>
              </w:rPr>
              <w:t xml:space="preserve">1) </w:t>
            </w:r>
            <w:r w:rsidRPr="00317ABF">
              <w:rPr>
                <w:color w:val="333333"/>
                <w:sz w:val="22"/>
                <w:szCs w:val="22"/>
              </w:rPr>
              <w:t xml:space="preserve">spółek handlowych (osobowych i kapitałowych, w tym również w organizacji) oraz spółek cywilnych, z zastrzeżeniem pkt 2, a także innych osób prawnych, z wyjątkiem Skarbu Państwa i Narodowego Banku Polskiego; </w:t>
            </w:r>
          </w:p>
          <w:p w14:paraId="3B8EC7B9" w14:textId="77777777" w:rsidR="00E10463" w:rsidRPr="00317ABF" w:rsidRDefault="00E10463" w:rsidP="00E10463">
            <w:pPr>
              <w:rPr>
                <w:bCs/>
                <w:color w:val="333333"/>
                <w:sz w:val="22"/>
                <w:szCs w:val="22"/>
              </w:rPr>
            </w:pPr>
            <w:bookmarkStart w:id="87" w:name="mip57581014"/>
            <w:bookmarkEnd w:id="87"/>
            <w:r w:rsidRPr="00317ABF">
              <w:rPr>
                <w:bCs/>
                <w:color w:val="333333"/>
                <w:sz w:val="22"/>
                <w:szCs w:val="22"/>
              </w:rPr>
              <w:t xml:space="preserve">2) </w:t>
            </w:r>
            <w:r w:rsidRPr="00317ABF">
              <w:rPr>
                <w:color w:val="333333"/>
                <w:sz w:val="22"/>
                <w:szCs w:val="22"/>
              </w:rPr>
              <w:t xml:space="preserve">osób fizycznych, spółek cywilnych osób fizycznych, spółek cywilnych osób fizycznych i przedsiębiorstwa w spadku, spółek jawnych osób fizycznych, spółek partnerskich oraz przedsiębiorstw w spadku działających zgodnie z </w:t>
            </w:r>
            <w:bookmarkStart w:id="88" w:name="highlightHit_9"/>
            <w:bookmarkEnd w:id="88"/>
            <w:r w:rsidRPr="00317ABF">
              <w:rPr>
                <w:color w:val="333333"/>
                <w:sz w:val="22"/>
                <w:szCs w:val="22"/>
                <w:shd w:val="clear" w:color="auto" w:fill="C6E3FB"/>
              </w:rPr>
              <w:t>ustawą</w:t>
            </w:r>
            <w:r w:rsidRPr="00317ABF">
              <w:rPr>
                <w:color w:val="333333"/>
                <w:sz w:val="22"/>
                <w:szCs w:val="22"/>
              </w:rPr>
              <w:t xml:space="preserve"> z dnia 5 lipca 2018 r. </w:t>
            </w:r>
            <w:bookmarkStart w:id="89" w:name="highlightHit_10"/>
            <w:bookmarkEnd w:id="89"/>
            <w:r w:rsidRPr="00317ABF">
              <w:rPr>
                <w:color w:val="333333"/>
                <w:sz w:val="22"/>
                <w:szCs w:val="22"/>
                <w:shd w:val="clear" w:color="auto" w:fill="C6E3FB"/>
              </w:rPr>
              <w:t>o</w:t>
            </w:r>
            <w:r w:rsidRPr="00317ABF">
              <w:rPr>
                <w:color w:val="333333"/>
                <w:sz w:val="22"/>
                <w:szCs w:val="22"/>
              </w:rPr>
              <w:t xml:space="preserve"> zarządzie sukcesyjnym przedsiębiorstwem osoby fizycznej i innych ułatwieniach związanych z sukcesją przedsiębiorstw (</w:t>
            </w:r>
            <w:r w:rsidRPr="00317ABF">
              <w:rPr>
                <w:sz w:val="22"/>
                <w:szCs w:val="22"/>
              </w:rPr>
              <w:t xml:space="preserve">Dz.U. </w:t>
            </w:r>
            <w:hyperlink r:id="rId22" w:history="1">
              <w:r w:rsidRPr="00317ABF">
                <w:rPr>
                  <w:sz w:val="22"/>
                  <w:szCs w:val="22"/>
                </w:rPr>
                <w:t>poz. 1629</w:t>
              </w:r>
            </w:hyperlink>
            <w:r w:rsidRPr="00317ABF">
              <w:rPr>
                <w:sz w:val="22"/>
                <w:szCs w:val="22"/>
              </w:rPr>
              <w:t xml:space="preserve"> oraz z 2019 r. </w:t>
            </w:r>
            <w:hyperlink r:id="rId23" w:history="1">
              <w:r w:rsidRPr="00317ABF">
                <w:rPr>
                  <w:sz w:val="22"/>
                  <w:szCs w:val="22"/>
                </w:rPr>
                <w:t>poz. 1495</w:t>
              </w:r>
            </w:hyperlink>
            <w:r w:rsidRPr="00317ABF">
              <w:rPr>
                <w:sz w:val="22"/>
                <w:szCs w:val="22"/>
              </w:rPr>
              <w:t xml:space="preserve">), </w:t>
            </w:r>
            <w:r w:rsidRPr="00317ABF">
              <w:rPr>
                <w:color w:val="333333"/>
                <w:sz w:val="22"/>
                <w:szCs w:val="22"/>
              </w:rPr>
              <w:t xml:space="preserve">jeżeli ich przychody netto ze sprzedaży towarów, produktów i operacji finansowych za poprzedni rok obrotowy wyniosły co najmniej równowartość w walucie polskiej 2 000 000 euro; </w:t>
            </w:r>
            <w:bookmarkStart w:id="90" w:name="mip57581015"/>
            <w:bookmarkEnd w:id="90"/>
          </w:p>
          <w:p w14:paraId="24F0B508" w14:textId="600FFAE9" w:rsidR="00E10463" w:rsidRPr="00317ABF" w:rsidRDefault="00E10463" w:rsidP="00E10463">
            <w:pPr>
              <w:rPr>
                <w:bCs/>
                <w:color w:val="333333"/>
                <w:sz w:val="22"/>
                <w:szCs w:val="22"/>
              </w:rPr>
            </w:pPr>
            <w:r w:rsidRPr="00317ABF">
              <w:rPr>
                <w:bCs/>
                <w:color w:val="333333"/>
                <w:sz w:val="22"/>
                <w:szCs w:val="22"/>
              </w:rPr>
              <w:t xml:space="preserve">2a) </w:t>
            </w:r>
            <w:r w:rsidRPr="00317ABF">
              <w:rPr>
                <w:color w:val="333333"/>
                <w:sz w:val="22"/>
                <w:szCs w:val="22"/>
              </w:rPr>
              <w:t xml:space="preserve">przedsiębiorstw w spadku działających zgodnie z ustawą z dnia 5 lipca 2018 r. o zarządzie sukcesyjnym przedsiębiorstwem osoby fizycznej i innych ułatwieniach związanych z sukcesją przedsiębiorstw, jeżeli na dzień poprzedzający dzień otwarcia spadku prowadzone były księgi rachunkowe; </w:t>
            </w:r>
          </w:p>
          <w:p w14:paraId="43F90919" w14:textId="6019A1B9" w:rsidR="00E10463" w:rsidRPr="00317ABF" w:rsidRDefault="00E10463" w:rsidP="00E10463">
            <w:pPr>
              <w:rPr>
                <w:bCs/>
                <w:color w:val="333333"/>
                <w:sz w:val="22"/>
                <w:szCs w:val="22"/>
              </w:rPr>
            </w:pPr>
            <w:bookmarkStart w:id="91" w:name="mip57581016"/>
            <w:bookmarkEnd w:id="91"/>
            <w:r w:rsidRPr="00317ABF">
              <w:rPr>
                <w:bCs/>
                <w:color w:val="333333"/>
                <w:sz w:val="22"/>
                <w:szCs w:val="22"/>
              </w:rPr>
              <w:t xml:space="preserve">3) </w:t>
            </w:r>
            <w:r w:rsidRPr="00317ABF">
              <w:rPr>
                <w:color w:val="333333"/>
                <w:sz w:val="22"/>
                <w:szCs w:val="22"/>
              </w:rPr>
              <w:t xml:space="preserve">jednostek organizacyjnych działających na podstawie Prawa bankowego, przepisów o obrocie papierami wartościowymi, przepisów o funduszach inwestycyjnych i zarządzaniu alternatywnymi funduszami inwestycyjnymi, przepisów o działalności ubezpieczeniowej i </w:t>
            </w:r>
            <w:r w:rsidRPr="00317ABF">
              <w:rPr>
                <w:color w:val="333333"/>
                <w:sz w:val="22"/>
                <w:szCs w:val="22"/>
              </w:rPr>
              <w:lastRenderedPageBreak/>
              <w:t>reasekuracyjnej, przepisów o spółdzielczych kasach oszczędnościowo-kredytowych lub przepisów o organizacji i funkcjonowaniu funduszy emerytalnych, bez względu na wielkość przychodów;</w:t>
            </w:r>
          </w:p>
          <w:p w14:paraId="56A147AA" w14:textId="77777777" w:rsidR="00E10463" w:rsidRPr="00317ABF" w:rsidRDefault="00E10463" w:rsidP="00E10463">
            <w:pPr>
              <w:rPr>
                <w:color w:val="333333"/>
                <w:sz w:val="22"/>
                <w:szCs w:val="22"/>
              </w:rPr>
            </w:pPr>
            <w:bookmarkStart w:id="92" w:name="mip57581017"/>
            <w:bookmarkEnd w:id="92"/>
            <w:r w:rsidRPr="00317ABF">
              <w:rPr>
                <w:bCs/>
                <w:color w:val="333333"/>
                <w:sz w:val="22"/>
                <w:szCs w:val="22"/>
              </w:rPr>
              <w:t xml:space="preserve">4) </w:t>
            </w:r>
            <w:r w:rsidRPr="00317ABF">
              <w:rPr>
                <w:color w:val="333333"/>
                <w:sz w:val="22"/>
                <w:szCs w:val="22"/>
              </w:rPr>
              <w:t>gmin, powiatów, województw i ich związków, a także:</w:t>
            </w:r>
          </w:p>
          <w:p w14:paraId="3B3EF949" w14:textId="7DCB4BD4" w:rsidR="00E10463" w:rsidRPr="00317ABF" w:rsidRDefault="00E10463" w:rsidP="00E10463">
            <w:pPr>
              <w:rPr>
                <w:bCs/>
                <w:color w:val="333333"/>
                <w:sz w:val="22"/>
                <w:szCs w:val="22"/>
              </w:rPr>
            </w:pPr>
            <w:r w:rsidRPr="00317ABF">
              <w:rPr>
                <w:bCs/>
                <w:color w:val="333333"/>
                <w:sz w:val="22"/>
                <w:szCs w:val="22"/>
              </w:rPr>
              <w:t xml:space="preserve">a) </w:t>
            </w:r>
            <w:r w:rsidRPr="00317ABF">
              <w:rPr>
                <w:color w:val="333333"/>
                <w:sz w:val="22"/>
                <w:szCs w:val="22"/>
              </w:rPr>
              <w:t xml:space="preserve">państwowych, gminnych, powiatowych i wojewódzkich jednostek budżetowych, </w:t>
            </w:r>
          </w:p>
          <w:p w14:paraId="40EDE187" w14:textId="7B290A6F" w:rsidR="00E10463" w:rsidRPr="00317ABF" w:rsidRDefault="00E10463" w:rsidP="00E10463">
            <w:pPr>
              <w:rPr>
                <w:bCs/>
                <w:color w:val="333333"/>
                <w:sz w:val="22"/>
                <w:szCs w:val="22"/>
              </w:rPr>
            </w:pPr>
            <w:r w:rsidRPr="00317ABF">
              <w:rPr>
                <w:bCs/>
                <w:color w:val="333333"/>
                <w:sz w:val="22"/>
                <w:szCs w:val="22"/>
              </w:rPr>
              <w:t xml:space="preserve">b) </w:t>
            </w:r>
            <w:r w:rsidRPr="00317ABF">
              <w:rPr>
                <w:color w:val="333333"/>
                <w:sz w:val="22"/>
                <w:szCs w:val="22"/>
              </w:rPr>
              <w:t xml:space="preserve">gminnych, powiatowych i wojewódzkich zakładów budżetowych; </w:t>
            </w:r>
          </w:p>
          <w:p w14:paraId="70FE1836" w14:textId="77777777" w:rsidR="00E10463" w:rsidRPr="00317ABF" w:rsidRDefault="00E10463" w:rsidP="00E10463">
            <w:pPr>
              <w:rPr>
                <w:bCs/>
                <w:color w:val="333333"/>
                <w:sz w:val="22"/>
                <w:szCs w:val="22"/>
              </w:rPr>
            </w:pPr>
            <w:r w:rsidRPr="00317ABF">
              <w:rPr>
                <w:bCs/>
                <w:color w:val="333333"/>
                <w:sz w:val="22"/>
                <w:szCs w:val="22"/>
              </w:rPr>
              <w:t xml:space="preserve">c) </w:t>
            </w:r>
            <w:r w:rsidRPr="00317ABF">
              <w:rPr>
                <w:color w:val="333333"/>
                <w:sz w:val="22"/>
                <w:szCs w:val="22"/>
              </w:rPr>
              <w:t>(</w:t>
            </w:r>
            <w:r w:rsidRPr="00317ABF">
              <w:rPr>
                <w:i/>
                <w:iCs/>
                <w:color w:val="333333"/>
                <w:sz w:val="22"/>
                <w:szCs w:val="22"/>
              </w:rPr>
              <w:t>uchylona</w:t>
            </w:r>
            <w:r w:rsidRPr="00317ABF">
              <w:rPr>
                <w:color w:val="333333"/>
                <w:sz w:val="22"/>
                <w:szCs w:val="22"/>
              </w:rPr>
              <w:t xml:space="preserve">) </w:t>
            </w:r>
          </w:p>
          <w:p w14:paraId="5EF3D656" w14:textId="77777777" w:rsidR="00E10463" w:rsidRPr="00317ABF" w:rsidRDefault="00E10463" w:rsidP="00E10463">
            <w:pPr>
              <w:rPr>
                <w:bCs/>
                <w:color w:val="333333"/>
                <w:sz w:val="22"/>
                <w:szCs w:val="22"/>
              </w:rPr>
            </w:pPr>
            <w:bookmarkStart w:id="93" w:name="mip57581018"/>
            <w:bookmarkEnd w:id="93"/>
            <w:r w:rsidRPr="00317ABF">
              <w:rPr>
                <w:bCs/>
                <w:color w:val="333333"/>
                <w:sz w:val="22"/>
                <w:szCs w:val="22"/>
              </w:rPr>
              <w:t xml:space="preserve">5) </w:t>
            </w:r>
            <w:r w:rsidRPr="00317ABF">
              <w:rPr>
                <w:color w:val="333333"/>
                <w:sz w:val="22"/>
                <w:szCs w:val="22"/>
              </w:rPr>
              <w:t>jednostek organizacyjnych niemających osobowości prawnej, z wyjątkiem spółek, o których mowa w pkt 1 i 2;</w:t>
            </w:r>
          </w:p>
          <w:p w14:paraId="4B7291DC" w14:textId="77777777" w:rsidR="00E10463" w:rsidRPr="00317ABF" w:rsidRDefault="00E10463" w:rsidP="00E10463">
            <w:pPr>
              <w:rPr>
                <w:bCs/>
                <w:color w:val="333333"/>
                <w:sz w:val="22"/>
                <w:szCs w:val="22"/>
              </w:rPr>
            </w:pPr>
            <w:bookmarkStart w:id="94" w:name="mip57581019"/>
            <w:bookmarkEnd w:id="94"/>
            <w:r w:rsidRPr="00317ABF">
              <w:rPr>
                <w:bCs/>
                <w:color w:val="333333"/>
                <w:sz w:val="22"/>
                <w:szCs w:val="22"/>
              </w:rPr>
              <w:t xml:space="preserve">6) </w:t>
            </w:r>
            <w:r w:rsidRPr="00317ABF">
              <w:rPr>
                <w:color w:val="333333"/>
                <w:sz w:val="22"/>
                <w:szCs w:val="22"/>
              </w:rPr>
              <w:t xml:space="preserve">oddziałów i przedstawicielstw przedsiębiorców zagranicznych w rozumieniu przepisów ustawy z dnia 6 marca 2018 r. o zasadach uczestnictwa przedsiębiorców zagranicznych i innych osób zagranicznych w obrocie gospodarczym na terytorium Rzeczypospolitej Polskiej (Dz.U. z 2020 r. </w:t>
            </w:r>
            <w:hyperlink r:id="rId24" w:history="1">
              <w:r w:rsidRPr="00317ABF">
                <w:rPr>
                  <w:sz w:val="22"/>
                  <w:szCs w:val="22"/>
                </w:rPr>
                <w:t>poz. 1252</w:t>
              </w:r>
            </w:hyperlink>
            <w:r w:rsidRPr="00317ABF">
              <w:rPr>
                <w:sz w:val="22"/>
                <w:szCs w:val="22"/>
              </w:rPr>
              <w:t>);</w:t>
            </w:r>
          </w:p>
          <w:p w14:paraId="7BE5C1CA" w14:textId="2B8B0636" w:rsidR="00E10463" w:rsidRPr="00317ABF" w:rsidRDefault="00E10463" w:rsidP="00E10463">
            <w:pPr>
              <w:rPr>
                <w:color w:val="333333"/>
                <w:sz w:val="22"/>
                <w:szCs w:val="22"/>
              </w:rPr>
            </w:pPr>
            <w:bookmarkStart w:id="95" w:name="mip57581020"/>
            <w:bookmarkEnd w:id="95"/>
            <w:r w:rsidRPr="00317ABF">
              <w:rPr>
                <w:bCs/>
                <w:color w:val="333333"/>
                <w:sz w:val="22"/>
                <w:szCs w:val="22"/>
              </w:rPr>
              <w:t xml:space="preserve">7) </w:t>
            </w:r>
            <w:r w:rsidRPr="00317ABF">
              <w:rPr>
                <w:color w:val="333333"/>
                <w:sz w:val="22"/>
                <w:szCs w:val="22"/>
              </w:rPr>
              <w:t>jednostek niewymienionych w pkt 1-6, jeżeli otrzymują one na realizację zadań zleconych dotacje lub subwencje z budżetu państwa, budżetów jednostek samorządu terytorialnego lub funduszów celowych - od początku roku obrotowego, w którym dotacje lub subwencje zostały im przyznane.</w:t>
            </w:r>
          </w:p>
          <w:p w14:paraId="59CDEBEB" w14:textId="39813510" w:rsidR="00E10463" w:rsidRPr="00317ABF" w:rsidRDefault="00E10463" w:rsidP="00E10463">
            <w:pPr>
              <w:rPr>
                <w:color w:val="333333"/>
                <w:sz w:val="22"/>
                <w:szCs w:val="22"/>
              </w:rPr>
            </w:pPr>
            <w:r w:rsidRPr="00317ABF">
              <w:rPr>
                <w:color w:val="333333"/>
                <w:sz w:val="22"/>
                <w:szCs w:val="22"/>
              </w:rPr>
              <w:t>(…)</w:t>
            </w:r>
          </w:p>
          <w:p w14:paraId="49E15E59" w14:textId="1BFB854A" w:rsidR="00E10463" w:rsidRPr="00E30C17" w:rsidRDefault="00E10463" w:rsidP="00E10463">
            <w:pPr>
              <w:rPr>
                <w:color w:val="333333"/>
                <w:sz w:val="22"/>
                <w:szCs w:val="22"/>
              </w:rPr>
            </w:pPr>
            <w:bookmarkStart w:id="96" w:name="mip57581022"/>
            <w:bookmarkEnd w:id="96"/>
            <w:r w:rsidRPr="00317ABF">
              <w:rPr>
                <w:color w:val="333333"/>
                <w:sz w:val="22"/>
                <w:szCs w:val="22"/>
              </w:rPr>
              <w:t xml:space="preserve">2a. Do spółek jawnych osób fizycznych oraz spółek partnerskich, których przychody netto ze sprzedaży towarów, produktów i operacji finansowych za poprzedni rok obrotowy wyniosły mniej niż równowartość w walucie polskiej 2 000 000 euro i które nie stosują </w:t>
            </w:r>
            <w:r w:rsidRPr="00E30C17">
              <w:rPr>
                <w:color w:val="333333"/>
                <w:sz w:val="22"/>
                <w:szCs w:val="22"/>
              </w:rPr>
              <w:t xml:space="preserve">zasad </w:t>
            </w:r>
            <w:bookmarkStart w:id="97" w:name="highlightHit_20"/>
            <w:bookmarkEnd w:id="97"/>
            <w:r w:rsidRPr="00E30C17">
              <w:rPr>
                <w:color w:val="333333"/>
                <w:sz w:val="22"/>
                <w:szCs w:val="22"/>
                <w:shd w:val="clear" w:color="auto" w:fill="C6E3FB"/>
              </w:rPr>
              <w:t>rachunkowości</w:t>
            </w:r>
            <w:r w:rsidRPr="00E30C17">
              <w:rPr>
                <w:color w:val="333333"/>
                <w:sz w:val="22"/>
                <w:szCs w:val="22"/>
              </w:rPr>
              <w:t xml:space="preserve"> określonych </w:t>
            </w:r>
            <w:bookmarkStart w:id="98" w:name="highlightHit_21"/>
            <w:bookmarkEnd w:id="98"/>
            <w:r w:rsidR="00E30C17">
              <w:rPr>
                <w:color w:val="333333"/>
                <w:sz w:val="22"/>
                <w:szCs w:val="22"/>
                <w:shd w:val="clear" w:color="auto" w:fill="C6E3FB"/>
              </w:rPr>
              <w:t>ustawą</w:t>
            </w:r>
            <w:r w:rsidRPr="00E30C17">
              <w:rPr>
                <w:color w:val="333333"/>
                <w:sz w:val="22"/>
                <w:szCs w:val="22"/>
              </w:rPr>
              <w:t xml:space="preserve"> na podstawie ust. 2, stosuje </w:t>
            </w:r>
            <w:r w:rsidRPr="00E30C17">
              <w:rPr>
                <w:sz w:val="22"/>
                <w:szCs w:val="22"/>
              </w:rPr>
              <w:t xml:space="preserve">się </w:t>
            </w:r>
            <w:hyperlink r:id="rId25" w:history="1">
              <w:r w:rsidRPr="00E30C17">
                <w:rPr>
                  <w:sz w:val="22"/>
                  <w:szCs w:val="22"/>
                </w:rPr>
                <w:t>art. 70a</w:t>
              </w:r>
            </w:hyperlink>
            <w:r w:rsidRPr="00E30C17">
              <w:rPr>
                <w:sz w:val="22"/>
                <w:szCs w:val="22"/>
              </w:rPr>
              <w:t>.</w:t>
            </w:r>
          </w:p>
          <w:p w14:paraId="65ED5917" w14:textId="3EA65C75" w:rsidR="00E10463" w:rsidRPr="00E30C17" w:rsidRDefault="00E10463" w:rsidP="00E10463">
            <w:pPr>
              <w:rPr>
                <w:color w:val="333333"/>
                <w:sz w:val="22"/>
                <w:szCs w:val="22"/>
              </w:rPr>
            </w:pPr>
            <w:bookmarkStart w:id="99" w:name="mip57581023"/>
            <w:bookmarkEnd w:id="99"/>
            <w:r w:rsidRPr="00E30C17">
              <w:rPr>
                <w:color w:val="333333"/>
                <w:sz w:val="22"/>
                <w:szCs w:val="22"/>
              </w:rPr>
              <w:t xml:space="preserve">2b. Przepisy </w:t>
            </w:r>
            <w:bookmarkStart w:id="100" w:name="highlightHit_22"/>
            <w:bookmarkEnd w:id="100"/>
            <w:r w:rsidRPr="00E30C17">
              <w:rPr>
                <w:color w:val="333333"/>
                <w:sz w:val="22"/>
                <w:szCs w:val="22"/>
                <w:shd w:val="clear" w:color="auto" w:fill="C6E3FB"/>
              </w:rPr>
              <w:t>ustawy</w:t>
            </w:r>
            <w:r w:rsidRPr="00E30C17">
              <w:rPr>
                <w:color w:val="333333"/>
                <w:sz w:val="22"/>
                <w:szCs w:val="22"/>
              </w:rPr>
              <w:t xml:space="preserve"> stosuje się również, bez względu na wielkość przychodów, do alternatywnych spółek inwestycyjnych w rozumieniu przepisów </w:t>
            </w:r>
            <w:bookmarkStart w:id="101" w:name="highlightHit_23"/>
            <w:bookmarkEnd w:id="101"/>
            <w:r w:rsidR="00E30C17">
              <w:rPr>
                <w:color w:val="333333"/>
                <w:sz w:val="22"/>
                <w:szCs w:val="22"/>
              </w:rPr>
              <w:t>o</w:t>
            </w:r>
            <w:r w:rsidRPr="00E30C17">
              <w:rPr>
                <w:color w:val="333333"/>
                <w:sz w:val="22"/>
                <w:szCs w:val="22"/>
              </w:rPr>
              <w:t xml:space="preserve"> funduszach inwestycyjnych i zarządzaniu alternatywnymi funduszami inwestycyjnymi, w tym uprawnionych do posługiwania się nazwą ,,EuVECA'' albo ,,EuSEF''. </w:t>
            </w:r>
          </w:p>
          <w:p w14:paraId="5D7FC29C" w14:textId="77777777" w:rsidR="00E10463" w:rsidRPr="00317ABF" w:rsidRDefault="00E10463" w:rsidP="00E10463">
            <w:pPr>
              <w:rPr>
                <w:color w:val="333333"/>
                <w:sz w:val="22"/>
                <w:szCs w:val="22"/>
              </w:rPr>
            </w:pPr>
            <w:bookmarkStart w:id="102" w:name="mip57581024"/>
            <w:bookmarkEnd w:id="102"/>
            <w:r w:rsidRPr="00E30C17">
              <w:rPr>
                <w:color w:val="333333"/>
                <w:sz w:val="22"/>
                <w:szCs w:val="22"/>
              </w:rPr>
              <w:t xml:space="preserve">3. Jednostki sporządzające sprawozdania finansowe zgodnie z Międzynarodowymi Standardami </w:t>
            </w:r>
            <w:bookmarkStart w:id="103" w:name="highlightHit_24"/>
            <w:bookmarkEnd w:id="103"/>
            <w:r w:rsidRPr="00E30C17">
              <w:rPr>
                <w:color w:val="333333"/>
                <w:sz w:val="22"/>
                <w:szCs w:val="22"/>
                <w:shd w:val="clear" w:color="auto" w:fill="C6E3FB"/>
              </w:rPr>
              <w:t>Rachunkowości</w:t>
            </w:r>
            <w:r w:rsidRPr="00E30C17">
              <w:rPr>
                <w:color w:val="333333"/>
                <w:sz w:val="22"/>
                <w:szCs w:val="22"/>
              </w:rPr>
              <w:t xml:space="preserve">, Międzynarodowymi Standardami Sprawozdawczości Finansowej oraz związanymi z nimi interpretacjami ogłoszonymi w formie rozporządzeń Komisji Europejskiej, zwanymi dalej ,,MSR'', stosują przepisy </w:t>
            </w:r>
            <w:bookmarkStart w:id="104" w:name="highlightHit_25"/>
            <w:bookmarkEnd w:id="104"/>
            <w:r w:rsidRPr="00E30C17">
              <w:rPr>
                <w:color w:val="333333"/>
                <w:sz w:val="22"/>
                <w:szCs w:val="22"/>
                <w:shd w:val="clear" w:color="auto" w:fill="C6E3FB"/>
              </w:rPr>
              <w:t>ustawy</w:t>
            </w:r>
            <w:r w:rsidRPr="00E30C17">
              <w:rPr>
                <w:color w:val="333333"/>
                <w:sz w:val="22"/>
                <w:szCs w:val="22"/>
              </w:rPr>
              <w:t xml:space="preserve"> oraz</w:t>
            </w:r>
            <w:r w:rsidRPr="00317ABF">
              <w:rPr>
                <w:color w:val="333333"/>
                <w:sz w:val="22"/>
                <w:szCs w:val="22"/>
              </w:rPr>
              <w:t xml:space="preserve"> przepisy wykonawcze wydane na jej podstawie, w zakresie nieuregulowanym przez MSR. </w:t>
            </w:r>
          </w:p>
          <w:p w14:paraId="3ED696E1" w14:textId="77777777" w:rsidR="001E1112" w:rsidRPr="00317ABF" w:rsidRDefault="001E1112" w:rsidP="00DB3BEC">
            <w:pPr>
              <w:jc w:val="both"/>
              <w:rPr>
                <w:sz w:val="22"/>
                <w:szCs w:val="22"/>
              </w:rPr>
            </w:pPr>
          </w:p>
          <w:p w14:paraId="1D8B82AE" w14:textId="3721E85C" w:rsidR="001E1112" w:rsidRPr="00317ABF" w:rsidRDefault="001E1112" w:rsidP="00DB3BEC">
            <w:pPr>
              <w:jc w:val="both"/>
              <w:rPr>
                <w:b/>
                <w:sz w:val="22"/>
                <w:szCs w:val="22"/>
              </w:rPr>
            </w:pPr>
            <w:r w:rsidRPr="00317ABF">
              <w:rPr>
                <w:b/>
                <w:sz w:val="22"/>
                <w:szCs w:val="22"/>
              </w:rPr>
              <w:t>Art. 3 ust. 1 pkt 1)</w:t>
            </w:r>
          </w:p>
          <w:p w14:paraId="5635C9F1" w14:textId="172D1240" w:rsidR="001E1112" w:rsidRPr="00317ABF" w:rsidRDefault="001E1112" w:rsidP="00DB3BEC">
            <w:pPr>
              <w:jc w:val="both"/>
              <w:rPr>
                <w:sz w:val="22"/>
                <w:szCs w:val="22"/>
              </w:rPr>
            </w:pPr>
            <w:bookmarkStart w:id="105" w:name="mip47519243"/>
            <w:bookmarkEnd w:id="105"/>
            <w:r w:rsidRPr="00317ABF">
              <w:rPr>
                <w:sz w:val="22"/>
                <w:szCs w:val="22"/>
              </w:rPr>
              <w:lastRenderedPageBreak/>
              <w:t xml:space="preserve">1. Ilekroć w ustawie jest mowa o: </w:t>
            </w:r>
          </w:p>
          <w:p w14:paraId="1F73FFE1" w14:textId="08E5BEDC" w:rsidR="001E1112" w:rsidRPr="00317ABF" w:rsidRDefault="001E1112" w:rsidP="00DB3BEC">
            <w:pPr>
              <w:jc w:val="both"/>
              <w:rPr>
                <w:b/>
                <w:bCs/>
                <w:sz w:val="22"/>
                <w:szCs w:val="22"/>
              </w:rPr>
            </w:pPr>
            <w:bookmarkStart w:id="106" w:name="mip47519245"/>
            <w:bookmarkEnd w:id="106"/>
            <w:r w:rsidRPr="00317ABF">
              <w:rPr>
                <w:bCs/>
                <w:sz w:val="22"/>
                <w:szCs w:val="22"/>
              </w:rPr>
              <w:t>1)</w:t>
            </w:r>
            <w:r w:rsidRPr="00317ABF">
              <w:rPr>
                <w:b/>
                <w:bCs/>
                <w:sz w:val="22"/>
                <w:szCs w:val="22"/>
              </w:rPr>
              <w:t xml:space="preserve"> </w:t>
            </w:r>
            <w:r w:rsidRPr="00317ABF">
              <w:rPr>
                <w:sz w:val="22"/>
                <w:szCs w:val="22"/>
              </w:rPr>
              <w:t xml:space="preserve">jednostce - rozumie się przez to podmioty i osoby określone w </w:t>
            </w:r>
            <w:hyperlink r:id="rId26" w:history="1">
              <w:r w:rsidRPr="00317ABF">
                <w:rPr>
                  <w:sz w:val="22"/>
                  <w:szCs w:val="22"/>
                </w:rPr>
                <w:t>art. 2 ust. 1</w:t>
              </w:r>
            </w:hyperlink>
            <w:r w:rsidRPr="00317ABF">
              <w:rPr>
                <w:sz w:val="22"/>
                <w:szCs w:val="22"/>
              </w:rPr>
              <w:t xml:space="preserve">; </w:t>
            </w:r>
          </w:p>
          <w:p w14:paraId="3446A13C" w14:textId="77777777" w:rsidR="001E1112" w:rsidRPr="00317ABF" w:rsidRDefault="001E1112" w:rsidP="00DB3BEC">
            <w:pPr>
              <w:jc w:val="both"/>
              <w:rPr>
                <w:sz w:val="22"/>
                <w:szCs w:val="22"/>
              </w:rPr>
            </w:pPr>
          </w:p>
          <w:p w14:paraId="56241BAA" w14:textId="1D1E561D" w:rsidR="001E1112" w:rsidRPr="00317ABF" w:rsidRDefault="001E1112" w:rsidP="00DB3BEC">
            <w:pPr>
              <w:jc w:val="both"/>
              <w:rPr>
                <w:b/>
                <w:sz w:val="22"/>
                <w:szCs w:val="22"/>
              </w:rPr>
            </w:pPr>
            <w:r w:rsidRPr="00317ABF">
              <w:rPr>
                <w:b/>
                <w:sz w:val="22"/>
                <w:szCs w:val="22"/>
              </w:rPr>
              <w:t>Art. 11</w:t>
            </w:r>
          </w:p>
          <w:p w14:paraId="0E6EC7E1" w14:textId="01E79FB4" w:rsidR="001E1112" w:rsidRPr="00317ABF" w:rsidRDefault="001E1112" w:rsidP="00DB3BEC">
            <w:pPr>
              <w:jc w:val="both"/>
              <w:rPr>
                <w:sz w:val="22"/>
                <w:szCs w:val="22"/>
              </w:rPr>
            </w:pPr>
            <w:bookmarkStart w:id="107" w:name="mip47519414"/>
            <w:bookmarkEnd w:id="107"/>
            <w:r w:rsidRPr="00317ABF">
              <w:rPr>
                <w:sz w:val="22"/>
                <w:szCs w:val="22"/>
              </w:rPr>
              <w:t xml:space="preserve"> 1. Księgi rachunkowe są prowadzone przez jednostkę.</w:t>
            </w:r>
          </w:p>
          <w:p w14:paraId="0F6F4F5C" w14:textId="290D4C29" w:rsidR="001E1112" w:rsidRPr="00317ABF" w:rsidRDefault="001E1112" w:rsidP="00DB3BEC">
            <w:pPr>
              <w:pStyle w:val="Tekstpodstawowy"/>
              <w:spacing w:before="240"/>
              <w:rPr>
                <w:b/>
                <w:sz w:val="22"/>
                <w:szCs w:val="22"/>
              </w:rPr>
            </w:pPr>
            <w:r w:rsidRPr="00317ABF">
              <w:rPr>
                <w:b/>
                <w:sz w:val="22"/>
                <w:szCs w:val="22"/>
              </w:rPr>
              <w:t>Art. 64</w:t>
            </w:r>
          </w:p>
          <w:p w14:paraId="0D6F634A" w14:textId="77777777" w:rsidR="00703214" w:rsidRPr="00317ABF" w:rsidRDefault="00703214" w:rsidP="00703214">
            <w:pPr>
              <w:rPr>
                <w:color w:val="333333"/>
                <w:sz w:val="22"/>
                <w:szCs w:val="22"/>
              </w:rPr>
            </w:pPr>
            <w:bookmarkStart w:id="108" w:name="mip47520279"/>
            <w:bookmarkStart w:id="109" w:name="mip57582064"/>
            <w:bookmarkEnd w:id="108"/>
            <w:bookmarkEnd w:id="109"/>
            <w:r w:rsidRPr="00317ABF">
              <w:rPr>
                <w:color w:val="333333"/>
                <w:sz w:val="22"/>
                <w:szCs w:val="22"/>
              </w:rPr>
              <w:t>1. Badaniu podlegają roczne skonsolidowane sprawozdania finansowe grup kapitałowych oraz roczne sprawozdania finansowe - kontynuujących działalność:</w:t>
            </w:r>
          </w:p>
          <w:p w14:paraId="22631FC8" w14:textId="32C241A4" w:rsidR="00703214" w:rsidRPr="00317ABF" w:rsidRDefault="00703214" w:rsidP="00703214">
            <w:pPr>
              <w:rPr>
                <w:b/>
                <w:bCs/>
                <w:color w:val="333333"/>
                <w:sz w:val="22"/>
                <w:szCs w:val="22"/>
              </w:rPr>
            </w:pPr>
            <w:bookmarkStart w:id="110" w:name="mip57582066"/>
            <w:bookmarkEnd w:id="110"/>
            <w:r w:rsidRPr="00317ABF">
              <w:rPr>
                <w:bCs/>
                <w:color w:val="333333"/>
                <w:sz w:val="22"/>
                <w:szCs w:val="22"/>
              </w:rPr>
              <w:t>1)</w:t>
            </w:r>
            <w:r w:rsidRPr="00317ABF">
              <w:rPr>
                <w:b/>
                <w:bCs/>
                <w:color w:val="333333"/>
                <w:sz w:val="22"/>
                <w:szCs w:val="22"/>
              </w:rPr>
              <w:t xml:space="preserve"> </w:t>
            </w:r>
            <w:r w:rsidRPr="00317ABF">
              <w:rPr>
                <w:color w:val="333333"/>
                <w:sz w:val="22"/>
                <w:szCs w:val="22"/>
              </w:rPr>
              <w:t>banków krajowych, oddziałów instytucji kredytowych, oddziałów banków zagranicznych, zakładów ubezpieczeń, zakładów reasekuracji, głównych oddziałów i oddziałów zakładów ubezpieczeń, głównych oddziałów i oddziałów zakładów reasekuracji oraz oddziałów zagranicznych firm inwestycyjnych;</w:t>
            </w:r>
          </w:p>
          <w:p w14:paraId="225FC885" w14:textId="615D0518" w:rsidR="00703214" w:rsidRPr="00317ABF" w:rsidRDefault="00703214" w:rsidP="00703214">
            <w:pPr>
              <w:rPr>
                <w:bCs/>
                <w:color w:val="333333"/>
                <w:sz w:val="22"/>
                <w:szCs w:val="22"/>
              </w:rPr>
            </w:pPr>
            <w:bookmarkStart w:id="111" w:name="mip57582067"/>
            <w:bookmarkEnd w:id="111"/>
            <w:r w:rsidRPr="00317ABF">
              <w:rPr>
                <w:bCs/>
                <w:color w:val="333333"/>
                <w:sz w:val="22"/>
                <w:szCs w:val="22"/>
              </w:rPr>
              <w:t xml:space="preserve">1a) </w:t>
            </w:r>
            <w:r w:rsidRPr="00317ABF">
              <w:rPr>
                <w:color w:val="333333"/>
                <w:sz w:val="22"/>
                <w:szCs w:val="22"/>
              </w:rPr>
              <w:t>spółdzielczych kas oszczędnościowo-kredytowych;</w:t>
            </w:r>
          </w:p>
          <w:p w14:paraId="3BEFA997" w14:textId="489965BA" w:rsidR="00703214" w:rsidRPr="00317ABF" w:rsidRDefault="00703214" w:rsidP="00703214">
            <w:pPr>
              <w:rPr>
                <w:bCs/>
                <w:sz w:val="22"/>
                <w:szCs w:val="22"/>
              </w:rPr>
            </w:pPr>
            <w:bookmarkStart w:id="112" w:name="mip57582068"/>
            <w:bookmarkEnd w:id="112"/>
            <w:r w:rsidRPr="00317ABF">
              <w:rPr>
                <w:bCs/>
                <w:color w:val="333333"/>
                <w:sz w:val="22"/>
                <w:szCs w:val="22"/>
              </w:rPr>
              <w:t xml:space="preserve">2) </w:t>
            </w:r>
            <w:r w:rsidRPr="00317ABF">
              <w:rPr>
                <w:color w:val="333333"/>
                <w:sz w:val="22"/>
                <w:szCs w:val="22"/>
              </w:rPr>
              <w:t>jednostek działających na podstawie przepisów o obrocie papierami wartościowymi oraz przepisów o funduszach inwestycyjnych i zarządzaniu altern</w:t>
            </w:r>
            <w:r w:rsidRPr="00317ABF">
              <w:rPr>
                <w:sz w:val="22"/>
                <w:szCs w:val="22"/>
              </w:rPr>
              <w:t xml:space="preserve">atywnymi funduszami inwestycyjnymi oraz jednostek, o których mowa w </w:t>
            </w:r>
            <w:hyperlink r:id="rId27" w:history="1">
              <w:r w:rsidRPr="00317ABF">
                <w:rPr>
                  <w:sz w:val="22"/>
                  <w:szCs w:val="22"/>
                </w:rPr>
                <w:t>art. 2 ust. 2b</w:t>
              </w:r>
            </w:hyperlink>
            <w:r w:rsidRPr="00317ABF">
              <w:rPr>
                <w:sz w:val="22"/>
                <w:szCs w:val="22"/>
              </w:rPr>
              <w:t>;</w:t>
            </w:r>
          </w:p>
          <w:p w14:paraId="4D6E6B7F" w14:textId="3FE05BA6" w:rsidR="00703214" w:rsidRPr="00317ABF" w:rsidRDefault="00703214" w:rsidP="00703214">
            <w:pPr>
              <w:rPr>
                <w:bCs/>
                <w:sz w:val="22"/>
                <w:szCs w:val="22"/>
              </w:rPr>
            </w:pPr>
            <w:bookmarkStart w:id="113" w:name="mip57582069"/>
            <w:bookmarkEnd w:id="113"/>
            <w:r w:rsidRPr="00317ABF">
              <w:rPr>
                <w:bCs/>
                <w:sz w:val="22"/>
                <w:szCs w:val="22"/>
              </w:rPr>
              <w:t xml:space="preserve">2a) </w:t>
            </w:r>
            <w:r w:rsidRPr="00317ABF">
              <w:rPr>
                <w:color w:val="333333"/>
                <w:sz w:val="22"/>
                <w:szCs w:val="22"/>
              </w:rPr>
              <w:t>jednostek działających na podstawie przepisów o organizacji i funkcjonowaniu funduszy emerytalnych;</w:t>
            </w:r>
          </w:p>
          <w:p w14:paraId="56E987F9" w14:textId="1D28C94C" w:rsidR="00703214" w:rsidRPr="00317ABF" w:rsidRDefault="00703214" w:rsidP="00703214">
            <w:pPr>
              <w:rPr>
                <w:bCs/>
                <w:color w:val="333333"/>
                <w:sz w:val="22"/>
                <w:szCs w:val="22"/>
              </w:rPr>
            </w:pPr>
            <w:bookmarkStart w:id="114" w:name="mip57582070"/>
            <w:bookmarkEnd w:id="114"/>
            <w:r w:rsidRPr="00317ABF">
              <w:rPr>
                <w:bCs/>
                <w:color w:val="333333"/>
                <w:sz w:val="22"/>
                <w:szCs w:val="22"/>
              </w:rPr>
              <w:t xml:space="preserve">2b) </w:t>
            </w:r>
            <w:r w:rsidRPr="00317ABF">
              <w:rPr>
                <w:color w:val="333333"/>
                <w:sz w:val="22"/>
                <w:szCs w:val="22"/>
              </w:rPr>
              <w:t>krajowych instytucji płatniczych i instytucji pieniądza elektronicznego;</w:t>
            </w:r>
          </w:p>
          <w:p w14:paraId="50C9914B" w14:textId="40BF21DB" w:rsidR="00703214" w:rsidRPr="00317ABF" w:rsidRDefault="00703214" w:rsidP="00703214">
            <w:pPr>
              <w:rPr>
                <w:b/>
                <w:bCs/>
                <w:color w:val="333333"/>
                <w:sz w:val="22"/>
                <w:szCs w:val="22"/>
              </w:rPr>
            </w:pPr>
            <w:bookmarkStart w:id="115" w:name="mip57582071"/>
            <w:bookmarkEnd w:id="115"/>
            <w:r w:rsidRPr="00317ABF">
              <w:rPr>
                <w:bCs/>
                <w:color w:val="333333"/>
                <w:sz w:val="22"/>
                <w:szCs w:val="22"/>
              </w:rPr>
              <w:t xml:space="preserve">3) </w:t>
            </w:r>
            <w:r w:rsidRPr="00317ABF">
              <w:rPr>
                <w:color w:val="333333"/>
                <w:sz w:val="22"/>
                <w:szCs w:val="22"/>
              </w:rPr>
              <w:t>spółek akcyjnych, z wyjątkiem spółek będących na dzień bilansowy w organizacji;</w:t>
            </w:r>
          </w:p>
          <w:p w14:paraId="75114013" w14:textId="7F829FB4" w:rsidR="00703214" w:rsidRPr="00317ABF" w:rsidRDefault="00703214" w:rsidP="00703214">
            <w:pPr>
              <w:rPr>
                <w:bCs/>
                <w:color w:val="333333"/>
                <w:sz w:val="22"/>
                <w:szCs w:val="22"/>
              </w:rPr>
            </w:pPr>
            <w:bookmarkStart w:id="116" w:name="mip57582072"/>
            <w:bookmarkEnd w:id="116"/>
            <w:r w:rsidRPr="00317ABF">
              <w:rPr>
                <w:bCs/>
                <w:color w:val="333333"/>
                <w:sz w:val="22"/>
                <w:szCs w:val="22"/>
              </w:rPr>
              <w:t xml:space="preserve">4) </w:t>
            </w:r>
            <w:r w:rsidRPr="00317ABF">
              <w:rPr>
                <w:color w:val="333333"/>
                <w:sz w:val="22"/>
                <w:szCs w:val="22"/>
              </w:rPr>
              <w:t xml:space="preserve">pozostałych jednostek, które w poprzedzającym roku obrotowym, za który sporządzono sprawozdania finansowe, spełniły co najmniej dwa z następujących warunków: </w:t>
            </w:r>
          </w:p>
          <w:p w14:paraId="2D41DBAF" w14:textId="5135B1BA" w:rsidR="00703214" w:rsidRPr="00317ABF" w:rsidRDefault="00703214" w:rsidP="00703214">
            <w:pPr>
              <w:rPr>
                <w:bCs/>
                <w:color w:val="333333"/>
                <w:sz w:val="22"/>
                <w:szCs w:val="22"/>
              </w:rPr>
            </w:pPr>
            <w:r w:rsidRPr="00317ABF">
              <w:rPr>
                <w:bCs/>
                <w:color w:val="333333"/>
                <w:sz w:val="22"/>
                <w:szCs w:val="22"/>
              </w:rPr>
              <w:t xml:space="preserve">a) </w:t>
            </w:r>
            <w:r w:rsidRPr="00317ABF">
              <w:rPr>
                <w:color w:val="333333"/>
                <w:sz w:val="22"/>
                <w:szCs w:val="22"/>
              </w:rPr>
              <w:t xml:space="preserve">średnioroczne zatrudnienie w przeliczeniu na pełne etaty wyniosło co najmniej 50 osób, </w:t>
            </w:r>
          </w:p>
          <w:p w14:paraId="4DAA9A8A" w14:textId="13F017CC" w:rsidR="00703214" w:rsidRPr="00317ABF" w:rsidRDefault="00703214" w:rsidP="00703214">
            <w:pPr>
              <w:rPr>
                <w:bCs/>
                <w:color w:val="333333"/>
                <w:sz w:val="22"/>
                <w:szCs w:val="22"/>
              </w:rPr>
            </w:pPr>
            <w:r w:rsidRPr="00317ABF">
              <w:rPr>
                <w:bCs/>
                <w:color w:val="333333"/>
                <w:sz w:val="22"/>
                <w:szCs w:val="22"/>
              </w:rPr>
              <w:t xml:space="preserve">b) </w:t>
            </w:r>
            <w:r w:rsidRPr="00317ABF">
              <w:rPr>
                <w:color w:val="333333"/>
                <w:sz w:val="22"/>
                <w:szCs w:val="22"/>
              </w:rPr>
              <w:t xml:space="preserve">suma aktywów bilansu na koniec roku obrotowego stanowiła równowartość w walucie polskiej co najmniej 2 500 000 euro, </w:t>
            </w:r>
          </w:p>
          <w:p w14:paraId="441AC21F" w14:textId="26D31074" w:rsidR="00703214" w:rsidRPr="00317ABF" w:rsidRDefault="00703214" w:rsidP="00703214">
            <w:pPr>
              <w:rPr>
                <w:bCs/>
                <w:color w:val="333333"/>
                <w:sz w:val="22"/>
                <w:szCs w:val="22"/>
              </w:rPr>
            </w:pPr>
            <w:r w:rsidRPr="00317ABF">
              <w:rPr>
                <w:bCs/>
                <w:color w:val="333333"/>
                <w:sz w:val="22"/>
                <w:szCs w:val="22"/>
              </w:rPr>
              <w:t xml:space="preserve">c) </w:t>
            </w:r>
            <w:r w:rsidRPr="00317ABF">
              <w:rPr>
                <w:color w:val="333333"/>
                <w:sz w:val="22"/>
                <w:szCs w:val="22"/>
              </w:rPr>
              <w:t xml:space="preserve">przychody netto ze sprzedaży towarów i produktów oraz operacji finansowych za rok obrotowy stanowiły równowartość w walucie polskiej co najmniej 5 000 000 euro. </w:t>
            </w:r>
          </w:p>
          <w:p w14:paraId="63AF3139" w14:textId="77777777" w:rsidR="00703214" w:rsidRPr="00317ABF" w:rsidRDefault="00703214" w:rsidP="00703214">
            <w:pPr>
              <w:rPr>
                <w:color w:val="333333"/>
                <w:sz w:val="22"/>
                <w:szCs w:val="22"/>
              </w:rPr>
            </w:pPr>
            <w:bookmarkStart w:id="117" w:name="mip57582073"/>
            <w:bookmarkEnd w:id="117"/>
            <w:r w:rsidRPr="00317ABF">
              <w:rPr>
                <w:color w:val="333333"/>
                <w:sz w:val="22"/>
                <w:szCs w:val="22"/>
              </w:rPr>
              <w:t xml:space="preserve">2. W jednostkach sporządzających łączne sprawozdania finansowe, o których mowa </w:t>
            </w:r>
            <w:r w:rsidRPr="00317ABF">
              <w:rPr>
                <w:sz w:val="22"/>
                <w:szCs w:val="22"/>
              </w:rPr>
              <w:t xml:space="preserve">w </w:t>
            </w:r>
            <w:hyperlink r:id="rId28" w:history="1">
              <w:r w:rsidRPr="00317ABF">
                <w:rPr>
                  <w:sz w:val="22"/>
                  <w:szCs w:val="22"/>
                </w:rPr>
                <w:t>art. 51 ust. 1</w:t>
              </w:r>
            </w:hyperlink>
            <w:r w:rsidRPr="00317ABF">
              <w:rPr>
                <w:sz w:val="22"/>
                <w:szCs w:val="22"/>
              </w:rPr>
              <w:t xml:space="preserve">, warunki określone w ust. 1 stosuje się do łącznego rocznego sprawozdania </w:t>
            </w:r>
            <w:r w:rsidRPr="00317ABF">
              <w:rPr>
                <w:color w:val="333333"/>
                <w:sz w:val="22"/>
                <w:szCs w:val="22"/>
              </w:rPr>
              <w:t>finansowego.</w:t>
            </w:r>
          </w:p>
          <w:p w14:paraId="53004E9E" w14:textId="77777777" w:rsidR="00703214" w:rsidRPr="00317ABF" w:rsidRDefault="00703214" w:rsidP="00703214">
            <w:pPr>
              <w:rPr>
                <w:color w:val="333333"/>
                <w:sz w:val="22"/>
                <w:szCs w:val="22"/>
              </w:rPr>
            </w:pPr>
            <w:bookmarkStart w:id="118" w:name="mip57582074"/>
            <w:bookmarkEnd w:id="118"/>
            <w:r w:rsidRPr="00317ABF">
              <w:rPr>
                <w:color w:val="333333"/>
                <w:sz w:val="22"/>
                <w:szCs w:val="22"/>
              </w:rPr>
              <w:lastRenderedPageBreak/>
              <w:t>3. Badaniu podlegają sprawozdania finansowe spółek przejmujących i spółek nowo zawiązanych, sporządzone za rok obrotowy, w którym nastąpiło połączenie, a także roczne sprawozdania finansowe jednostek sporządzone zgodnie z MSR.</w:t>
            </w:r>
          </w:p>
          <w:p w14:paraId="4DD4F5BD" w14:textId="77777777" w:rsidR="00703214" w:rsidRPr="00317ABF" w:rsidRDefault="00703214" w:rsidP="00703214">
            <w:pPr>
              <w:rPr>
                <w:color w:val="333333"/>
                <w:sz w:val="22"/>
                <w:szCs w:val="22"/>
              </w:rPr>
            </w:pPr>
            <w:bookmarkStart w:id="119" w:name="mip57582075"/>
            <w:bookmarkEnd w:id="119"/>
            <w:r w:rsidRPr="00317ABF">
              <w:rPr>
                <w:color w:val="333333"/>
                <w:sz w:val="22"/>
                <w:szCs w:val="22"/>
              </w:rPr>
              <w:t xml:space="preserve">4. Badaniu podlegają również roczne połączone sprawozdania finansowe funduszy inwestycyjnych z wydzielonymi subfunduszami oraz roczne sprawozdania jednostkowe subfunduszy. </w:t>
            </w:r>
          </w:p>
          <w:p w14:paraId="5BA440A1" w14:textId="77777777" w:rsidR="001E1112" w:rsidRPr="00317ABF" w:rsidRDefault="001E1112" w:rsidP="00DB3BEC">
            <w:pPr>
              <w:jc w:val="both"/>
              <w:rPr>
                <w:sz w:val="22"/>
                <w:szCs w:val="22"/>
              </w:rPr>
            </w:pPr>
          </w:p>
          <w:p w14:paraId="7DF9A492" w14:textId="13F54429" w:rsidR="001E1112" w:rsidRPr="00317ABF" w:rsidRDefault="001E1112" w:rsidP="00DB3BEC">
            <w:pPr>
              <w:jc w:val="both"/>
              <w:rPr>
                <w:b/>
                <w:sz w:val="22"/>
                <w:szCs w:val="22"/>
              </w:rPr>
            </w:pPr>
            <w:r w:rsidRPr="00317ABF">
              <w:rPr>
                <w:b/>
                <w:sz w:val="22"/>
                <w:szCs w:val="22"/>
              </w:rPr>
              <w:t>Art. 69, ust. 1-1b.</w:t>
            </w:r>
          </w:p>
          <w:p w14:paraId="724DD3DA" w14:textId="77777777" w:rsidR="006823F8" w:rsidRPr="00317ABF" w:rsidRDefault="006823F8" w:rsidP="006823F8">
            <w:pPr>
              <w:rPr>
                <w:rFonts w:ascii="&amp;quot" w:hAnsi="&amp;quot"/>
                <w:sz w:val="22"/>
                <w:szCs w:val="22"/>
              </w:rPr>
            </w:pPr>
            <w:bookmarkStart w:id="120" w:name="mip47520329"/>
            <w:bookmarkStart w:id="121" w:name="mip57582114"/>
            <w:bookmarkEnd w:id="120"/>
            <w:bookmarkEnd w:id="121"/>
            <w:r w:rsidRPr="00317ABF">
              <w:rPr>
                <w:rFonts w:ascii="&amp;quot" w:hAnsi="&amp;quot"/>
                <w:sz w:val="22"/>
                <w:szCs w:val="22"/>
              </w:rPr>
              <w:t xml:space="preserve">1. Kierownik jednostki składa we właściwym rejestrze sądowym roczne sprawozdanie finansowe, sprawozdanie z badania, jeżeli podlegało ono badaniu, odpis uchwały bądź postanowienia organu zatwierdzającego o zatwierdzeniu rocznego sprawozdania finansowego i podziale zysku lub pokryciu straty, a w przypadku jednostek, o których mowa w </w:t>
            </w:r>
            <w:hyperlink r:id="rId29" w:history="1">
              <w:r w:rsidRPr="00317ABF">
                <w:rPr>
                  <w:rFonts w:ascii="&amp;quot" w:hAnsi="&amp;quot"/>
                  <w:sz w:val="22"/>
                  <w:szCs w:val="22"/>
                </w:rPr>
                <w:t>art. 49 ust. 1</w:t>
              </w:r>
            </w:hyperlink>
            <w:r w:rsidRPr="00317ABF">
              <w:rPr>
                <w:rFonts w:ascii="&amp;quot" w:hAnsi="&amp;quot"/>
                <w:sz w:val="22"/>
                <w:szCs w:val="22"/>
              </w:rPr>
              <w:t xml:space="preserve"> - także sprawozdanie z działalności - w ciągu 15 dni od dnia zatwierdzenia rocznego sprawozdania finansowego.</w:t>
            </w:r>
          </w:p>
          <w:p w14:paraId="2EC53C72" w14:textId="77777777" w:rsidR="006823F8" w:rsidRPr="00317ABF" w:rsidRDefault="006823F8" w:rsidP="006823F8">
            <w:pPr>
              <w:rPr>
                <w:rFonts w:ascii="&amp;quot" w:hAnsi="&amp;quot"/>
                <w:sz w:val="22"/>
                <w:szCs w:val="22"/>
              </w:rPr>
            </w:pPr>
            <w:bookmarkStart w:id="122" w:name="mip57582115"/>
            <w:bookmarkEnd w:id="122"/>
            <w:r w:rsidRPr="00317ABF">
              <w:rPr>
                <w:rFonts w:ascii="&amp;quot" w:hAnsi="&amp;quot"/>
                <w:sz w:val="22"/>
                <w:szCs w:val="22"/>
              </w:rPr>
              <w:t>1a.</w:t>
            </w:r>
            <w:r w:rsidRPr="00317ABF">
              <w:rPr>
                <w:rFonts w:ascii="&amp;quot" w:hAnsi="&amp;quot"/>
                <w:i/>
                <w:iCs/>
                <w:sz w:val="22"/>
                <w:szCs w:val="22"/>
              </w:rPr>
              <w:t>(uchylony)</w:t>
            </w:r>
          </w:p>
          <w:p w14:paraId="5FACAAC4" w14:textId="77777777" w:rsidR="006823F8" w:rsidRPr="00317ABF" w:rsidRDefault="006823F8" w:rsidP="006823F8">
            <w:pPr>
              <w:rPr>
                <w:rFonts w:ascii="&amp;quot" w:hAnsi="&amp;quot"/>
                <w:sz w:val="22"/>
                <w:szCs w:val="22"/>
              </w:rPr>
            </w:pPr>
            <w:bookmarkStart w:id="123" w:name="mip57582116"/>
            <w:bookmarkEnd w:id="123"/>
            <w:r w:rsidRPr="00317ABF">
              <w:rPr>
                <w:rFonts w:ascii="&amp;quot" w:hAnsi="&amp;quot"/>
                <w:sz w:val="22"/>
                <w:szCs w:val="22"/>
              </w:rPr>
              <w:t>1b. Kierownik oddziału przedsiębiorcy zagranicznego składa we właściwym rejestrze sądowym roczne sprawozdanie finansowe oddziału.</w:t>
            </w:r>
          </w:p>
          <w:p w14:paraId="2DDF8952" w14:textId="77777777" w:rsidR="001E1112" w:rsidRPr="00317ABF" w:rsidRDefault="001E1112" w:rsidP="00DB3BEC">
            <w:pPr>
              <w:jc w:val="both"/>
              <w:rPr>
                <w:sz w:val="22"/>
                <w:szCs w:val="22"/>
              </w:rPr>
            </w:pPr>
          </w:p>
          <w:p w14:paraId="47504052" w14:textId="515865FC" w:rsidR="001E1112" w:rsidRPr="00317ABF" w:rsidRDefault="001E1112" w:rsidP="00DB3BEC">
            <w:pPr>
              <w:jc w:val="both"/>
              <w:rPr>
                <w:b/>
                <w:bCs/>
                <w:sz w:val="22"/>
                <w:szCs w:val="22"/>
              </w:rPr>
            </w:pPr>
            <w:r w:rsidRPr="00317ABF">
              <w:rPr>
                <w:b/>
                <w:sz w:val="22"/>
                <w:szCs w:val="22"/>
              </w:rPr>
              <w:t>Art. 70</w:t>
            </w:r>
          </w:p>
          <w:p w14:paraId="311BAB30" w14:textId="0FA2D592" w:rsidR="007774B1" w:rsidRPr="00317ABF" w:rsidRDefault="001E1112" w:rsidP="00DB3BEC">
            <w:pPr>
              <w:jc w:val="both"/>
              <w:rPr>
                <w:sz w:val="22"/>
                <w:szCs w:val="22"/>
              </w:rPr>
            </w:pPr>
            <w:bookmarkStart w:id="124" w:name="mip47520349"/>
            <w:bookmarkEnd w:id="124"/>
            <w:r w:rsidRPr="00317ABF">
              <w:rPr>
                <w:sz w:val="22"/>
                <w:szCs w:val="22"/>
              </w:rPr>
              <w:t xml:space="preserve">1. </w:t>
            </w:r>
            <w:r w:rsidR="007774B1" w:rsidRPr="00317ABF">
              <w:rPr>
                <w:color w:val="333333"/>
                <w:sz w:val="22"/>
                <w:szCs w:val="22"/>
              </w:rPr>
              <w:t xml:space="preserve">Kierownik </w:t>
            </w:r>
            <w:r w:rsidR="007774B1" w:rsidRPr="00317ABF">
              <w:rPr>
                <w:sz w:val="22"/>
                <w:szCs w:val="22"/>
              </w:rPr>
              <w:t xml:space="preserve">jednostki, o której mowa w </w:t>
            </w:r>
            <w:hyperlink r:id="rId30" w:history="1">
              <w:r w:rsidR="007774B1" w:rsidRPr="00317ABF">
                <w:rPr>
                  <w:sz w:val="22"/>
                  <w:szCs w:val="22"/>
                </w:rPr>
                <w:t>art. 64</w:t>
              </w:r>
            </w:hyperlink>
            <w:r w:rsidR="007774B1" w:rsidRPr="00317ABF">
              <w:rPr>
                <w:sz w:val="22"/>
                <w:szCs w:val="22"/>
              </w:rPr>
              <w:t xml:space="preserve">, do której nie ma zastosowania </w:t>
            </w:r>
            <w:hyperlink r:id="rId31" w:history="1">
              <w:r w:rsidR="007774B1" w:rsidRPr="00317ABF">
                <w:rPr>
                  <w:sz w:val="22"/>
                  <w:szCs w:val="22"/>
                </w:rPr>
                <w:t>art. 69</w:t>
              </w:r>
            </w:hyperlink>
            <w:r w:rsidR="007774B1" w:rsidRPr="00317ABF">
              <w:rPr>
                <w:sz w:val="22"/>
                <w:szCs w:val="22"/>
              </w:rPr>
              <w:t xml:space="preserve">, jest obowiązany złożyć wprowadzenie do sprawozdania finansowego stanowiące część informacji dodatkowej, bilans, rachunek zysków i strat, zestawienie zmian w kapitale (funduszu) własnym oraz rachunek przepływów pieniężnych za rok obrotowy, do ogłoszenia w ciągu 15 dni od dnia ich zatwierdzenia, wraz ze sprawozdaniem z badania oraz odpisem uchwały bądź postanowienia organu zatwierdzającego </w:t>
            </w:r>
            <w:bookmarkStart w:id="125" w:name="highlightHit_93"/>
            <w:bookmarkEnd w:id="125"/>
            <w:r w:rsidR="007774B1" w:rsidRPr="00317ABF">
              <w:rPr>
                <w:sz w:val="22"/>
                <w:szCs w:val="22"/>
                <w:shd w:val="clear" w:color="auto" w:fill="C6E3FB"/>
              </w:rPr>
              <w:t>o</w:t>
            </w:r>
            <w:r w:rsidR="007774B1" w:rsidRPr="00317ABF">
              <w:rPr>
                <w:sz w:val="22"/>
                <w:szCs w:val="22"/>
              </w:rPr>
              <w:t xml:space="preserve"> zatwierdzeniu sprawozdania finansowego i podziale zysku lub pokryciu straty.</w:t>
            </w:r>
            <w:bookmarkStart w:id="126" w:name="mip47520354"/>
            <w:bookmarkEnd w:id="126"/>
          </w:p>
          <w:p w14:paraId="62D3F89E" w14:textId="43CC8E88" w:rsidR="001E1112" w:rsidRPr="00317ABF" w:rsidRDefault="001E1112" w:rsidP="00AF269E">
            <w:pPr>
              <w:jc w:val="both"/>
              <w:rPr>
                <w:sz w:val="22"/>
                <w:szCs w:val="22"/>
              </w:rPr>
            </w:pPr>
            <w:r w:rsidRPr="00317ABF">
              <w:rPr>
                <w:sz w:val="22"/>
                <w:szCs w:val="22"/>
              </w:rPr>
              <w:t>2. Ogłoszenie, o którym mowa w ust. 1, następuje w ,,Moni</w:t>
            </w:r>
            <w:r w:rsidR="00AF269E" w:rsidRPr="00317ABF">
              <w:rPr>
                <w:sz w:val="22"/>
                <w:szCs w:val="22"/>
              </w:rPr>
              <w:t>torze Sądowym i Gospodarczym''.</w:t>
            </w:r>
          </w:p>
        </w:tc>
      </w:tr>
      <w:tr w:rsidR="001E1112" w:rsidRPr="00317ABF" w14:paraId="4426C498" w14:textId="77777777" w:rsidTr="7753F98D">
        <w:trPr>
          <w:gridAfter w:val="2"/>
          <w:wAfter w:w="175" w:type="dxa"/>
        </w:trPr>
        <w:tc>
          <w:tcPr>
            <w:tcW w:w="704" w:type="dxa"/>
          </w:tcPr>
          <w:p w14:paraId="70AA2EF7" w14:textId="77777777" w:rsidR="001E1112" w:rsidRPr="00317ABF" w:rsidRDefault="001E1112" w:rsidP="00DB3BEC">
            <w:pPr>
              <w:jc w:val="both"/>
              <w:rPr>
                <w:b/>
                <w:sz w:val="22"/>
                <w:szCs w:val="22"/>
              </w:rPr>
            </w:pPr>
            <w:r w:rsidRPr="00317ABF">
              <w:rPr>
                <w:b/>
                <w:sz w:val="22"/>
                <w:szCs w:val="22"/>
              </w:rPr>
              <w:lastRenderedPageBreak/>
              <w:t>Art. 18</w:t>
            </w:r>
          </w:p>
        </w:tc>
        <w:tc>
          <w:tcPr>
            <w:tcW w:w="4308" w:type="dxa"/>
          </w:tcPr>
          <w:p w14:paraId="7C665E2E" w14:textId="77777777" w:rsidR="001E1112" w:rsidRPr="00317ABF" w:rsidRDefault="001E1112" w:rsidP="00DB3BEC">
            <w:pPr>
              <w:spacing w:before="60" w:after="120"/>
              <w:jc w:val="both"/>
              <w:rPr>
                <w:b/>
                <w:bCs/>
                <w:sz w:val="22"/>
                <w:szCs w:val="22"/>
              </w:rPr>
            </w:pPr>
            <w:r w:rsidRPr="00317ABF">
              <w:rPr>
                <w:b/>
                <w:bCs/>
                <w:sz w:val="22"/>
                <w:szCs w:val="22"/>
              </w:rPr>
              <w:t>Zmiana praw i obowiązków</w:t>
            </w:r>
          </w:p>
        </w:tc>
        <w:tc>
          <w:tcPr>
            <w:tcW w:w="986" w:type="dxa"/>
          </w:tcPr>
          <w:p w14:paraId="2780AF0D" w14:textId="77777777" w:rsidR="001E1112" w:rsidRPr="00317ABF" w:rsidRDefault="001E1112" w:rsidP="00DB3BEC">
            <w:pPr>
              <w:jc w:val="both"/>
              <w:rPr>
                <w:sz w:val="22"/>
                <w:szCs w:val="22"/>
              </w:rPr>
            </w:pPr>
          </w:p>
        </w:tc>
        <w:tc>
          <w:tcPr>
            <w:tcW w:w="910" w:type="dxa"/>
          </w:tcPr>
          <w:p w14:paraId="46FC4A0D" w14:textId="77777777" w:rsidR="001E1112" w:rsidRPr="00317ABF" w:rsidRDefault="001E1112" w:rsidP="00DB3BEC">
            <w:pPr>
              <w:pStyle w:val="Tekstpodstawowy"/>
              <w:rPr>
                <w:b/>
                <w:noProof/>
                <w:sz w:val="22"/>
                <w:szCs w:val="22"/>
              </w:rPr>
            </w:pPr>
          </w:p>
        </w:tc>
        <w:tc>
          <w:tcPr>
            <w:tcW w:w="6814" w:type="dxa"/>
            <w:gridSpan w:val="2"/>
          </w:tcPr>
          <w:p w14:paraId="4DC2ECC6" w14:textId="77777777" w:rsidR="001E1112" w:rsidRPr="00317ABF" w:rsidRDefault="001E1112" w:rsidP="00DB3BEC">
            <w:pPr>
              <w:pStyle w:val="Tekstpodstawowy"/>
              <w:rPr>
                <w:sz w:val="22"/>
                <w:szCs w:val="22"/>
              </w:rPr>
            </w:pPr>
          </w:p>
        </w:tc>
      </w:tr>
      <w:tr w:rsidR="001E1112" w:rsidRPr="00317ABF" w14:paraId="72FC286A" w14:textId="77777777" w:rsidTr="7753F98D">
        <w:trPr>
          <w:gridAfter w:val="2"/>
          <w:wAfter w:w="175" w:type="dxa"/>
        </w:trPr>
        <w:tc>
          <w:tcPr>
            <w:tcW w:w="704" w:type="dxa"/>
          </w:tcPr>
          <w:p w14:paraId="61F713B7" w14:textId="77777777" w:rsidR="001E1112" w:rsidRPr="00317ABF" w:rsidRDefault="001E1112" w:rsidP="00DB3BEC">
            <w:pPr>
              <w:jc w:val="both"/>
              <w:rPr>
                <w:sz w:val="22"/>
                <w:szCs w:val="22"/>
              </w:rPr>
            </w:pPr>
            <w:r w:rsidRPr="00317ABF">
              <w:rPr>
                <w:sz w:val="22"/>
                <w:szCs w:val="22"/>
              </w:rPr>
              <w:t>Art. 18 ust. 1</w:t>
            </w:r>
          </w:p>
        </w:tc>
        <w:tc>
          <w:tcPr>
            <w:tcW w:w="4308" w:type="dxa"/>
          </w:tcPr>
          <w:p w14:paraId="23A5A37F" w14:textId="77777777" w:rsidR="001E1112" w:rsidRPr="00317ABF" w:rsidRDefault="001E1112" w:rsidP="00DB3BEC">
            <w:pPr>
              <w:spacing w:before="120"/>
              <w:jc w:val="both"/>
              <w:rPr>
                <w:sz w:val="22"/>
                <w:szCs w:val="22"/>
              </w:rPr>
            </w:pPr>
            <w:r w:rsidRPr="00317ABF">
              <w:rPr>
                <w:sz w:val="22"/>
                <w:szCs w:val="22"/>
              </w:rPr>
              <w:t xml:space="preserve">1.   Państwa członkowskie zapewniają, aby prawa, warunki oraz procedury dotyczące ogólnych zezwoleń, praw użytkowania widma radiowego lub zasobów numeracyjnych albo </w:t>
            </w:r>
            <w:r w:rsidRPr="00317ABF">
              <w:rPr>
                <w:sz w:val="22"/>
                <w:szCs w:val="22"/>
              </w:rPr>
              <w:lastRenderedPageBreak/>
              <w:t>praw instalowania urządzeń mogły być zmieniane jedynie w obiektywnie uzasadnionych przypadkach oraz w sposób proporcjonalny, uwzględniając w stosownych przypadkach szczególne warunki dotyczące zbywalnych praw użytkowania widma radiowego lub zasobów numeracyjnych.</w:t>
            </w:r>
          </w:p>
        </w:tc>
        <w:tc>
          <w:tcPr>
            <w:tcW w:w="986" w:type="dxa"/>
          </w:tcPr>
          <w:p w14:paraId="79796693" w14:textId="37576D4D" w:rsidR="001E1112" w:rsidRPr="00317ABF" w:rsidRDefault="001E1112" w:rsidP="00DB3BEC">
            <w:pPr>
              <w:jc w:val="both"/>
              <w:rPr>
                <w:sz w:val="22"/>
                <w:szCs w:val="22"/>
              </w:rPr>
            </w:pPr>
            <w:r w:rsidRPr="00317ABF">
              <w:rPr>
                <w:sz w:val="22"/>
                <w:szCs w:val="22"/>
              </w:rPr>
              <w:lastRenderedPageBreak/>
              <w:t>T</w:t>
            </w:r>
          </w:p>
        </w:tc>
        <w:tc>
          <w:tcPr>
            <w:tcW w:w="910" w:type="dxa"/>
          </w:tcPr>
          <w:p w14:paraId="04D48590" w14:textId="106EB28E" w:rsidR="001E1112" w:rsidRPr="00317ABF" w:rsidRDefault="001E1112" w:rsidP="00DB3BEC">
            <w:pPr>
              <w:pStyle w:val="Tekstpodstawowy"/>
              <w:rPr>
                <w:b/>
                <w:sz w:val="22"/>
                <w:szCs w:val="22"/>
              </w:rPr>
            </w:pPr>
            <w:r w:rsidRPr="00317ABF">
              <w:rPr>
                <w:b/>
                <w:sz w:val="22"/>
                <w:szCs w:val="22"/>
              </w:rPr>
              <w:t xml:space="preserve">Art. </w:t>
            </w:r>
            <w:r w:rsidR="0050382E" w:rsidRPr="00317ABF">
              <w:rPr>
                <w:b/>
                <w:bCs/>
                <w:noProof/>
                <w:sz w:val="22"/>
                <w:szCs w:val="22"/>
              </w:rPr>
              <w:t>99,</w:t>
            </w:r>
            <w:r w:rsidR="00F9250D" w:rsidRPr="00317ABF">
              <w:rPr>
                <w:b/>
                <w:bCs/>
                <w:noProof/>
                <w:sz w:val="22"/>
                <w:szCs w:val="22"/>
              </w:rPr>
              <w:t xml:space="preserve"> art. 135</w:t>
            </w:r>
          </w:p>
          <w:p w14:paraId="47297C67" w14:textId="67266DC4" w:rsidR="001E1112" w:rsidRPr="00317ABF" w:rsidRDefault="001E1112" w:rsidP="00DB3BEC">
            <w:pPr>
              <w:pStyle w:val="Tekstpodstawowy"/>
              <w:rPr>
                <w:b/>
                <w:bCs/>
                <w:noProof/>
                <w:sz w:val="22"/>
                <w:szCs w:val="22"/>
              </w:rPr>
            </w:pPr>
            <w:r w:rsidRPr="00317ABF">
              <w:rPr>
                <w:b/>
                <w:sz w:val="22"/>
                <w:szCs w:val="22"/>
              </w:rPr>
              <w:t xml:space="preserve">Art. </w:t>
            </w:r>
            <w:r w:rsidR="0050382E" w:rsidRPr="00317ABF">
              <w:rPr>
                <w:b/>
                <w:bCs/>
                <w:noProof/>
                <w:sz w:val="22"/>
                <w:szCs w:val="22"/>
              </w:rPr>
              <w:t xml:space="preserve">146 w </w:t>
            </w:r>
            <w:r w:rsidR="0050382E" w:rsidRPr="00317ABF">
              <w:rPr>
                <w:b/>
                <w:bCs/>
                <w:noProof/>
                <w:sz w:val="22"/>
                <w:szCs w:val="22"/>
              </w:rPr>
              <w:lastRenderedPageBreak/>
              <w:t>zakresie widma</w:t>
            </w:r>
          </w:p>
          <w:p w14:paraId="2741E89C" w14:textId="77777777" w:rsidR="001E1112" w:rsidRPr="00317ABF" w:rsidRDefault="001E1112" w:rsidP="00DB3BEC">
            <w:pPr>
              <w:pStyle w:val="Tekstpodstawowy"/>
              <w:rPr>
                <w:b/>
                <w:bCs/>
                <w:noProof/>
                <w:sz w:val="22"/>
                <w:szCs w:val="22"/>
              </w:rPr>
            </w:pPr>
          </w:p>
          <w:p w14:paraId="1BE1C046" w14:textId="3FBE363B" w:rsidR="001E1112" w:rsidRPr="00317ABF" w:rsidRDefault="004D45A4" w:rsidP="00DB3BEC">
            <w:pPr>
              <w:pStyle w:val="Tekstpodstawowy"/>
              <w:rPr>
                <w:b/>
                <w:bCs/>
                <w:noProof/>
                <w:sz w:val="22"/>
                <w:szCs w:val="22"/>
              </w:rPr>
            </w:pPr>
            <w:r w:rsidRPr="00317ABF">
              <w:rPr>
                <w:b/>
                <w:bCs/>
                <w:noProof/>
                <w:sz w:val="22"/>
                <w:szCs w:val="22"/>
              </w:rPr>
              <w:t>Art. 187</w:t>
            </w:r>
            <w:r w:rsidR="001E1112" w:rsidRPr="00317ABF">
              <w:rPr>
                <w:b/>
                <w:bCs/>
                <w:noProof/>
                <w:sz w:val="22"/>
                <w:szCs w:val="22"/>
              </w:rPr>
              <w:t xml:space="preserve"> w zakresie instalacji urządzeń</w:t>
            </w:r>
          </w:p>
          <w:p w14:paraId="28D4684C" w14:textId="77777777" w:rsidR="001E1112" w:rsidRPr="00317ABF" w:rsidRDefault="001E1112" w:rsidP="00DB3BEC">
            <w:pPr>
              <w:pStyle w:val="Tekstpodstawowy"/>
              <w:rPr>
                <w:b/>
                <w:bCs/>
                <w:noProof/>
                <w:sz w:val="22"/>
                <w:szCs w:val="22"/>
              </w:rPr>
            </w:pPr>
          </w:p>
          <w:p w14:paraId="4917A7A3" w14:textId="48E18CFB" w:rsidR="001E1112" w:rsidRPr="00317ABF" w:rsidRDefault="001E1112" w:rsidP="00DB3BEC">
            <w:pPr>
              <w:pStyle w:val="Tekstpodstawowy"/>
              <w:rPr>
                <w:b/>
                <w:noProof/>
                <w:sz w:val="22"/>
                <w:szCs w:val="22"/>
              </w:rPr>
            </w:pPr>
            <w:r w:rsidRPr="00317ABF">
              <w:rPr>
                <w:b/>
                <w:bCs/>
                <w:noProof/>
                <w:sz w:val="22"/>
                <w:szCs w:val="22"/>
              </w:rPr>
              <w:t>W zakresie numeracji art. 140, 141</w:t>
            </w:r>
          </w:p>
          <w:p w14:paraId="125B390A" w14:textId="77777777" w:rsidR="001E1112" w:rsidRPr="00317ABF" w:rsidRDefault="001E1112" w:rsidP="00DB3BEC">
            <w:pPr>
              <w:jc w:val="both"/>
              <w:rPr>
                <w:sz w:val="22"/>
                <w:szCs w:val="22"/>
              </w:rPr>
            </w:pPr>
          </w:p>
          <w:p w14:paraId="555AC204" w14:textId="77777777" w:rsidR="001E1112" w:rsidRPr="00317ABF" w:rsidRDefault="001E1112" w:rsidP="00DB3BEC">
            <w:pPr>
              <w:jc w:val="both"/>
              <w:rPr>
                <w:sz w:val="22"/>
                <w:szCs w:val="22"/>
              </w:rPr>
            </w:pPr>
          </w:p>
          <w:p w14:paraId="06F8439C" w14:textId="15D1E68D" w:rsidR="001E1112" w:rsidRPr="00317ABF" w:rsidRDefault="001E1112" w:rsidP="00DB3BEC">
            <w:pPr>
              <w:jc w:val="both"/>
              <w:rPr>
                <w:sz w:val="22"/>
                <w:szCs w:val="22"/>
              </w:rPr>
            </w:pPr>
          </w:p>
          <w:p w14:paraId="3086738F" w14:textId="77777777" w:rsidR="001E1112" w:rsidRPr="00317ABF" w:rsidRDefault="001E1112" w:rsidP="00DB3BEC">
            <w:pPr>
              <w:jc w:val="both"/>
              <w:rPr>
                <w:sz w:val="22"/>
                <w:szCs w:val="22"/>
              </w:rPr>
            </w:pPr>
          </w:p>
        </w:tc>
        <w:tc>
          <w:tcPr>
            <w:tcW w:w="6814" w:type="dxa"/>
            <w:gridSpan w:val="2"/>
          </w:tcPr>
          <w:p w14:paraId="05E642F6" w14:textId="77777777" w:rsidR="0050382E" w:rsidRPr="00317ABF" w:rsidRDefault="0050382E" w:rsidP="0050382E">
            <w:pPr>
              <w:pStyle w:val="ARTartustawynprozporzdzenia"/>
              <w:keepNext/>
              <w:spacing w:before="0" w:line="240" w:lineRule="auto"/>
              <w:ind w:firstLine="0"/>
              <w:rPr>
                <w:rFonts w:ascii="Times New Roman" w:hAnsi="Times New Roman" w:cs="Times New Roman"/>
                <w:sz w:val="22"/>
                <w:szCs w:val="22"/>
              </w:rPr>
            </w:pPr>
            <w:r w:rsidRPr="00317ABF">
              <w:rPr>
                <w:rStyle w:val="Ppogrubienie"/>
                <w:rFonts w:ascii="Times New Roman" w:hAnsi="Times New Roman"/>
                <w:sz w:val="22"/>
                <w:szCs w:val="22"/>
              </w:rPr>
              <w:lastRenderedPageBreak/>
              <w:t>Art. 99.</w:t>
            </w:r>
            <w:r w:rsidRPr="00317ABF">
              <w:rPr>
                <w:rFonts w:ascii="Times New Roman" w:hAnsi="Times New Roman" w:cs="Times New Roman"/>
                <w:sz w:val="22"/>
                <w:szCs w:val="22"/>
              </w:rPr>
              <w:t xml:space="preserve"> 1. Prezes UKE, w drodze decyzji, może zmienić lub cofnąć rezerwację częstotliwości w przypadku:</w:t>
            </w:r>
          </w:p>
          <w:p w14:paraId="6DA39A80" w14:textId="77777777" w:rsidR="0050382E" w:rsidRPr="00317ABF" w:rsidRDefault="0050382E" w:rsidP="0050382E">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1)</w:t>
            </w:r>
            <w:r w:rsidRPr="00317ABF">
              <w:rPr>
                <w:rFonts w:ascii="Times New Roman" w:hAnsi="Times New Roman" w:cs="Times New Roman"/>
                <w:sz w:val="22"/>
                <w:szCs w:val="22"/>
              </w:rPr>
              <w:tab/>
              <w:t>stwierdzenia, że używanie urządzenia radiowego zgodnie z rezerwacją powoduje szkodliwe zakłócenia lub szkodliwe zaburzenia elektromagnetyczne;</w:t>
            </w:r>
          </w:p>
          <w:p w14:paraId="386B171D" w14:textId="77777777" w:rsidR="0050382E" w:rsidRPr="00317ABF" w:rsidRDefault="0050382E" w:rsidP="0050382E">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lastRenderedPageBreak/>
              <w:t>2)</w:t>
            </w:r>
            <w:r w:rsidRPr="00317ABF">
              <w:rPr>
                <w:rFonts w:ascii="Times New Roman" w:hAnsi="Times New Roman" w:cs="Times New Roman"/>
                <w:sz w:val="22"/>
                <w:szCs w:val="22"/>
              </w:rPr>
              <w:tab/>
              <w:t>zmiany w Krajowej Tablicy Przeznaczeń Częstotliwości przeznaczenia częstotliwości objętych rezerwacją częstotliwości;</w:t>
            </w:r>
          </w:p>
          <w:p w14:paraId="7F627BB0" w14:textId="77777777" w:rsidR="0050382E" w:rsidRPr="00317ABF" w:rsidRDefault="0050382E" w:rsidP="0050382E">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3)</w:t>
            </w:r>
            <w:r w:rsidRPr="00317ABF">
              <w:rPr>
                <w:rFonts w:ascii="Times New Roman" w:hAnsi="Times New Roman" w:cs="Times New Roman"/>
                <w:sz w:val="22"/>
                <w:szCs w:val="22"/>
              </w:rPr>
              <w:tab/>
              <w:t>wystąpienia okoliczności prowadzących do zagrożenia obronności, bezpieczeństwa państwa lub bezpieczeństwa i porządku publicznego;</w:t>
            </w:r>
          </w:p>
          <w:p w14:paraId="00300C12" w14:textId="77777777" w:rsidR="0050382E" w:rsidRPr="00317ABF" w:rsidRDefault="0050382E" w:rsidP="0050382E">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4)</w:t>
            </w:r>
            <w:r w:rsidRPr="00317ABF">
              <w:rPr>
                <w:rFonts w:ascii="Times New Roman" w:hAnsi="Times New Roman" w:cs="Times New Roman"/>
                <w:sz w:val="22"/>
                <w:szCs w:val="22"/>
              </w:rPr>
              <w:tab/>
              <w:t>nierozpoczęcia wykorzystywania częstotliwości objętych rezerwacją w terminie, o którym mowa w art. 87 ust. 1 pkt 7, z przyczyn leżących po stronie podmiotu dysponującego rezerwacją częstotliwości;</w:t>
            </w:r>
          </w:p>
          <w:p w14:paraId="4E4BCF34" w14:textId="77777777" w:rsidR="0050382E" w:rsidRPr="00317ABF" w:rsidRDefault="0050382E" w:rsidP="0050382E">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5)</w:t>
            </w:r>
            <w:r w:rsidRPr="00317ABF">
              <w:rPr>
                <w:rFonts w:ascii="Times New Roman" w:hAnsi="Times New Roman" w:cs="Times New Roman"/>
                <w:sz w:val="22"/>
                <w:szCs w:val="22"/>
              </w:rPr>
              <w:tab/>
              <w:t>zaprzestania wykorzystywania częstotliwości przez co najmniej 6 miesięcy, z przyczyn leżących po stronie podmiotu dysponującego rezerwacją częstotliwości;</w:t>
            </w:r>
          </w:p>
          <w:p w14:paraId="4D58CE5D" w14:textId="77777777" w:rsidR="0050382E" w:rsidRPr="00317ABF" w:rsidRDefault="0050382E" w:rsidP="0050382E">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6)</w:t>
            </w:r>
            <w:r w:rsidRPr="00317ABF">
              <w:rPr>
                <w:rFonts w:ascii="Times New Roman" w:hAnsi="Times New Roman" w:cs="Times New Roman"/>
                <w:sz w:val="22"/>
                <w:szCs w:val="22"/>
              </w:rPr>
              <w:tab/>
              <w:t>wystąpienia powtarzających się naruszeń warunków wykorzystania częstotliwości lub obowiązku wnoszenia opłat za częstotliwości;</w:t>
            </w:r>
          </w:p>
          <w:p w14:paraId="62F1B128" w14:textId="77777777" w:rsidR="0050382E" w:rsidRPr="00317ABF" w:rsidRDefault="0050382E" w:rsidP="0050382E">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7)</w:t>
            </w:r>
            <w:r w:rsidRPr="00317ABF">
              <w:rPr>
                <w:rFonts w:ascii="Times New Roman" w:hAnsi="Times New Roman" w:cs="Times New Roman"/>
                <w:sz w:val="22"/>
                <w:szCs w:val="22"/>
              </w:rPr>
              <w:tab/>
              <w:t>niewywiązywania się z zobowiązań, o których mowa w art. 87 ust. 1 pkt 10, z przyczyn leżących po stronie podmiotu dysponującego rezerwacją częstotliwości;</w:t>
            </w:r>
          </w:p>
          <w:p w14:paraId="6D263088" w14:textId="77777777" w:rsidR="0050382E" w:rsidRPr="00317ABF" w:rsidRDefault="0050382E" w:rsidP="0050382E">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8)</w:t>
            </w:r>
            <w:r w:rsidRPr="00317ABF">
              <w:rPr>
                <w:rFonts w:ascii="Times New Roman" w:hAnsi="Times New Roman" w:cs="Times New Roman"/>
                <w:sz w:val="22"/>
                <w:szCs w:val="22"/>
              </w:rPr>
              <w:tab/>
              <w:t>częstotliwości objęte rezerwacją są wykorzystywane w sposób nieefektywny;</w:t>
            </w:r>
          </w:p>
          <w:p w14:paraId="6D20CBE9" w14:textId="77777777" w:rsidR="0050382E" w:rsidRPr="00317ABF" w:rsidRDefault="0050382E" w:rsidP="0050382E">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9)</w:t>
            </w:r>
            <w:r w:rsidRPr="00317ABF">
              <w:rPr>
                <w:rFonts w:ascii="Times New Roman" w:hAnsi="Times New Roman" w:cs="Times New Roman"/>
                <w:sz w:val="22"/>
                <w:szCs w:val="22"/>
              </w:rPr>
              <w:tab/>
              <w:t>gdy jest to konieczne dla realizacji zobowiązań wynikających z wiążących Rzeczpospolitą Polską umów międzynarodowych lub aktów prawnych Unii Europejskiej, dotyczących gospodarowania częstotliwościami;</w:t>
            </w:r>
          </w:p>
          <w:p w14:paraId="1E3BA940" w14:textId="77777777" w:rsidR="0050382E" w:rsidRPr="00317ABF" w:rsidRDefault="0050382E" w:rsidP="0050382E">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10)</w:t>
            </w:r>
            <w:r w:rsidRPr="00317ABF">
              <w:rPr>
                <w:rFonts w:ascii="Times New Roman" w:hAnsi="Times New Roman" w:cs="Times New Roman"/>
                <w:sz w:val="22"/>
                <w:szCs w:val="22"/>
              </w:rPr>
              <w:tab/>
              <w:t>stwierdzenia, że na skutek transakcji handlowej, w szczególności skutkującej przejęciem kontroli w rozumieniu art. 4 pkt 4 ustawy z dnia 16 lutego 2007 r. o ochronie konkurencji i konsumentów nad podmiotem dysponującym rezerwacją częstotliwości, doszło do nadmiernego skupienia częstotliwości przez podmiot lub grupę kapitałową.</w:t>
            </w:r>
          </w:p>
          <w:p w14:paraId="71D8BC9C" w14:textId="77777777" w:rsidR="0050382E" w:rsidRPr="00317ABF" w:rsidRDefault="0050382E" w:rsidP="0050382E">
            <w:pPr>
              <w:pStyle w:val="USTustnpkodeksu"/>
              <w:spacing w:line="240" w:lineRule="auto"/>
              <w:rPr>
                <w:rFonts w:ascii="Times New Roman" w:hAnsi="Times New Roman" w:cs="Times New Roman"/>
                <w:sz w:val="22"/>
                <w:szCs w:val="22"/>
              </w:rPr>
            </w:pPr>
            <w:r w:rsidRPr="00317ABF">
              <w:rPr>
                <w:rFonts w:ascii="Times New Roman" w:hAnsi="Times New Roman" w:cs="Times New Roman"/>
                <w:sz w:val="22"/>
                <w:szCs w:val="22"/>
              </w:rPr>
              <w:t>2. Przepisu ust. 1 pkt 10 nie stosuje się, jeżeli strony transakcji handlowej zgłosiły na piśmie Prezesowi UKE zamiar jej przeprowadzenia, a Prezes UKE potwierdził, że zamierzona transakcja handlowa nie będzie prowadziła do nadmiernego skupienia częstotliwości. Prezes UKE zawiadamia strony transakcji handlowej o swoim stanowisku w tej sprawie w terminie 30 dni od dnia otrzymania zgłoszenia zamiaru przeprowadzenia transakcji. W przypadku niezawiadomienia przez Prezesa UKE stron transakcji handlowej w tym terminie uznaje się, że Prezes UKE potwierdził, że zamierzona transakcja handlowa nie będzie prowadziła do nadmiernego skupienia częstotliwości.</w:t>
            </w:r>
          </w:p>
          <w:p w14:paraId="22C8AE00" w14:textId="77777777" w:rsidR="0050382E" w:rsidRPr="00317ABF" w:rsidRDefault="0050382E" w:rsidP="0050382E">
            <w:pPr>
              <w:pStyle w:val="USTustnpkodeksu"/>
              <w:spacing w:line="240" w:lineRule="auto"/>
              <w:rPr>
                <w:rFonts w:ascii="Times New Roman" w:hAnsi="Times New Roman" w:cs="Times New Roman"/>
                <w:sz w:val="22"/>
                <w:szCs w:val="22"/>
              </w:rPr>
            </w:pPr>
            <w:r w:rsidRPr="00317ABF">
              <w:rPr>
                <w:rFonts w:ascii="Times New Roman" w:hAnsi="Times New Roman" w:cs="Times New Roman"/>
                <w:sz w:val="22"/>
                <w:szCs w:val="22"/>
              </w:rPr>
              <w:t>3. Przepisu ust. 1 pkt 10 nie stosuje się po upływie 5 lat od dnia dokonania transakcji handlowej.</w:t>
            </w:r>
          </w:p>
          <w:p w14:paraId="5B0C6575" w14:textId="77777777" w:rsidR="001E1112" w:rsidRPr="00317ABF" w:rsidRDefault="001E1112" w:rsidP="0050382E">
            <w:pPr>
              <w:pStyle w:val="USTustnpkodeksu"/>
              <w:spacing w:line="240" w:lineRule="auto"/>
              <w:rPr>
                <w:rFonts w:ascii="Times New Roman" w:hAnsi="Times New Roman" w:cs="Times New Roman"/>
                <w:sz w:val="22"/>
                <w:szCs w:val="22"/>
              </w:rPr>
            </w:pPr>
            <w:r w:rsidRPr="00317ABF">
              <w:rPr>
                <w:rFonts w:ascii="Times New Roman" w:eastAsia="Times" w:hAnsi="Times New Roman" w:cs="Times New Roman"/>
                <w:sz w:val="22"/>
                <w:szCs w:val="22"/>
              </w:rPr>
              <w:lastRenderedPageBreak/>
              <w:t xml:space="preserve">4. Niezależnie od przesłanek, o których mowa w ust. 1, Prezes UKE może zmienić rezerwację w zakresie warunków wykorzystywania częstotliwości, o których mowa w art. </w:t>
            </w:r>
            <w:r w:rsidR="0050382E" w:rsidRPr="00317ABF">
              <w:rPr>
                <w:rFonts w:ascii="Times New Roman" w:hAnsi="Times New Roman" w:cs="Times New Roman"/>
                <w:sz w:val="22"/>
                <w:szCs w:val="22"/>
              </w:rPr>
              <w:t>141</w:t>
            </w:r>
            <w:r w:rsidRPr="00317ABF">
              <w:rPr>
                <w:rFonts w:ascii="Times New Roman" w:eastAsia="Times" w:hAnsi="Times New Roman" w:cs="Times New Roman"/>
                <w:sz w:val="22"/>
                <w:szCs w:val="22"/>
              </w:rPr>
              <w:t>, również jeżeli praca urządzenia radiowego jest zakłócana przez inne urządzenia lub sieci telekomunikacyjne.</w:t>
            </w:r>
          </w:p>
          <w:p w14:paraId="3B0E2084" w14:textId="77777777" w:rsidR="001E1112" w:rsidRPr="00317ABF" w:rsidRDefault="001E1112" w:rsidP="0050382E">
            <w:pPr>
              <w:pStyle w:val="USTustnpkodeksu"/>
              <w:spacing w:line="240" w:lineRule="auto"/>
              <w:rPr>
                <w:rFonts w:ascii="Times New Roman" w:hAnsi="Times New Roman" w:cs="Times New Roman"/>
                <w:sz w:val="22"/>
                <w:szCs w:val="22"/>
              </w:rPr>
            </w:pPr>
            <w:r w:rsidRPr="00317ABF">
              <w:rPr>
                <w:rFonts w:ascii="Times New Roman" w:eastAsia="Times" w:hAnsi="Times New Roman" w:cs="Times New Roman"/>
                <w:sz w:val="22"/>
                <w:szCs w:val="22"/>
              </w:rPr>
              <w:t xml:space="preserve">5. Niezależnie od przesłanek, o których mowa w ust. 1 i 4, Prezes UKE zmienia rezerwację częstotliwości w zakresie ograniczeń, o których mowa </w:t>
            </w:r>
            <w:r w:rsidR="0050382E" w:rsidRPr="00317ABF">
              <w:rPr>
                <w:rFonts w:ascii="Times New Roman" w:hAnsi="Times New Roman" w:cs="Times New Roman"/>
                <w:sz w:val="22"/>
                <w:szCs w:val="22"/>
              </w:rPr>
              <w:t>w art. 87</w:t>
            </w:r>
            <w:r w:rsidRPr="00317ABF">
              <w:rPr>
                <w:rFonts w:ascii="Times New Roman" w:eastAsia="Times" w:hAnsi="Times New Roman" w:cs="Times New Roman"/>
                <w:sz w:val="22"/>
                <w:szCs w:val="22"/>
              </w:rPr>
              <w:t xml:space="preserve"> ust. 3 pkt 4, jeżeli nie zachodzi konieczność utrzymywania tych ograniczeń, w szczególności, gdy wynika to z przeglądu, o którym mowa w art. </w:t>
            </w:r>
            <w:r w:rsidR="0050382E" w:rsidRPr="00317ABF">
              <w:rPr>
                <w:rFonts w:ascii="Times New Roman" w:hAnsi="Times New Roman" w:cs="Times New Roman"/>
                <w:sz w:val="22"/>
                <w:szCs w:val="22"/>
              </w:rPr>
              <w:t>414</w:t>
            </w:r>
            <w:r w:rsidRPr="00317ABF">
              <w:rPr>
                <w:rFonts w:ascii="Times New Roman" w:eastAsia="Times" w:hAnsi="Times New Roman" w:cs="Times New Roman"/>
                <w:sz w:val="22"/>
                <w:szCs w:val="22"/>
              </w:rPr>
              <w:t xml:space="preserve"> ust. 3.</w:t>
            </w:r>
          </w:p>
          <w:p w14:paraId="55CD22CC" w14:textId="77777777" w:rsidR="0050382E" w:rsidRPr="00317ABF" w:rsidRDefault="001E1112" w:rsidP="0050382E">
            <w:pPr>
              <w:pStyle w:val="USTustnpkodeksu"/>
              <w:spacing w:line="240" w:lineRule="auto"/>
              <w:rPr>
                <w:rFonts w:ascii="Times New Roman" w:hAnsi="Times New Roman" w:cs="Times New Roman"/>
                <w:sz w:val="22"/>
                <w:szCs w:val="22"/>
              </w:rPr>
            </w:pPr>
            <w:r w:rsidRPr="00317ABF">
              <w:rPr>
                <w:rFonts w:ascii="Times New Roman" w:eastAsia="Times" w:hAnsi="Times New Roman" w:cs="Times New Roman"/>
                <w:sz w:val="22"/>
                <w:szCs w:val="22"/>
              </w:rPr>
              <w:t>6. Prezes UKE, w celu zapewnienia ładu w gospodarce częstotliwościami oraz zwiększenia efektywności wykorzystywanych częstotliwości, może dokonać zmiany przydzielonych rezerwacji częstotliwości z danego zakresu częstotliwości poprzez zamianę częstotliwości objętych rezerwacją na częstotliwości o analogicznych właściwościach. Zmiana może dotyczyć całości lub części częstotliwości objętych rezerwacją.</w:t>
            </w:r>
          </w:p>
          <w:p w14:paraId="39BCD084" w14:textId="77777777" w:rsidR="0050382E" w:rsidRPr="00317ABF" w:rsidRDefault="0050382E" w:rsidP="0050382E">
            <w:pPr>
              <w:pStyle w:val="USTustnpkodeksu"/>
              <w:spacing w:line="240" w:lineRule="auto"/>
              <w:rPr>
                <w:rFonts w:ascii="Times New Roman" w:hAnsi="Times New Roman" w:cs="Times New Roman"/>
                <w:sz w:val="22"/>
                <w:szCs w:val="22"/>
              </w:rPr>
            </w:pPr>
            <w:r w:rsidRPr="00317ABF">
              <w:rPr>
                <w:rFonts w:ascii="Times New Roman" w:hAnsi="Times New Roman" w:cs="Times New Roman"/>
                <w:sz w:val="22"/>
                <w:szCs w:val="22"/>
              </w:rPr>
              <w:t>7. Prezes UKE, w przypadku, o którym mowa w ust. 6, może wszcząć i prowadzić jedno postępowanie oraz wydać jedną decyzję lub odrębne decyzje dla każdej z rezerwacji częstotliwości albo prowadzić odrębne postępowania zakończone wydaniem odrębnych decyzji.</w:t>
            </w:r>
          </w:p>
          <w:p w14:paraId="01845576" w14:textId="418FE91F" w:rsidR="001E1112" w:rsidRPr="00317ABF" w:rsidRDefault="0050382E" w:rsidP="00DB3BEC">
            <w:pPr>
              <w:ind w:firstLine="510"/>
              <w:jc w:val="both"/>
              <w:rPr>
                <w:rFonts w:eastAsia="Times"/>
                <w:sz w:val="22"/>
                <w:szCs w:val="22"/>
              </w:rPr>
            </w:pPr>
            <w:r w:rsidRPr="00317ABF">
              <w:rPr>
                <w:sz w:val="22"/>
                <w:szCs w:val="22"/>
              </w:rPr>
              <w:t>8. Zmiany warunków wykorzystania lub cofnięcia rezerwacji częstotliwości przeznaczonych do rozpowszechniania lub rozprowadzania programów radiofonicznych lub telewizyjnych Prezes UKE dokonuje w porozumieniu z Przewodniczącym KRRiT. Niezajęcie stanowiska przez Przewodniczącego KRRiT w terminie 30 dni od dnia otrzymania projektu decyzji jest równoznaczne z uzgodnieniem projektu decyzji.</w:t>
            </w:r>
          </w:p>
          <w:p w14:paraId="14BB7620" w14:textId="418FE91F" w:rsidR="00F9250D" w:rsidRPr="00317ABF" w:rsidRDefault="00F9250D" w:rsidP="00DB3BEC">
            <w:pPr>
              <w:ind w:firstLine="510"/>
              <w:jc w:val="both"/>
              <w:rPr>
                <w:sz w:val="22"/>
                <w:szCs w:val="22"/>
              </w:rPr>
            </w:pPr>
          </w:p>
          <w:p w14:paraId="51011093" w14:textId="418FE91F" w:rsidR="00F9250D" w:rsidRPr="00317ABF" w:rsidRDefault="00F9250D" w:rsidP="00F9250D">
            <w:pPr>
              <w:jc w:val="both"/>
              <w:rPr>
                <w:rFonts w:eastAsia="Times"/>
                <w:sz w:val="22"/>
                <w:szCs w:val="22"/>
              </w:rPr>
            </w:pPr>
            <w:r w:rsidRPr="00317ABF">
              <w:rPr>
                <w:b/>
                <w:bCs/>
                <w:sz w:val="22"/>
                <w:szCs w:val="22"/>
              </w:rPr>
              <w:t>Art. 135</w:t>
            </w:r>
            <w:r w:rsidRPr="00317ABF">
              <w:rPr>
                <w:sz w:val="22"/>
                <w:szCs w:val="22"/>
              </w:rPr>
              <w:t>. Przydział częstotliwości może zostać zmieniony lub cofnięty, w drodze decyzji Prezesa UKE, w przypadku:</w:t>
            </w:r>
          </w:p>
          <w:p w14:paraId="30E5B8E3" w14:textId="418FE91F" w:rsidR="00F9250D" w:rsidRPr="00317ABF" w:rsidRDefault="00F9250D" w:rsidP="00F9250D">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1)  stwierdzenia, że używanie urządzenia radiowego zgodnie z przydziałem częstotliwości powoduje szkodliwe zakłócenia lub szkodliwe zaburzenia elektromagnetyczne;</w:t>
            </w:r>
          </w:p>
          <w:p w14:paraId="77F2A777" w14:textId="418FE91F" w:rsidR="00F9250D" w:rsidRPr="00317ABF" w:rsidRDefault="00F9250D" w:rsidP="00F9250D">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2)  zmiany w Krajowej Tablicy Przeznaczeń Częstotliwości przeznaczenia częstotliwości objętych przydziałem częstotliwości;</w:t>
            </w:r>
          </w:p>
          <w:p w14:paraId="330F799E" w14:textId="418FE91F" w:rsidR="00F9250D" w:rsidRPr="00317ABF" w:rsidRDefault="00F9250D" w:rsidP="00F9250D">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3)  wystąpienia okoliczności prowadzących do zagrożenia obronności, bezpieczeństwa państwa lub bezpieczeństwa i porządku publicznego;</w:t>
            </w:r>
          </w:p>
          <w:p w14:paraId="73B95FC3" w14:textId="418FE91F" w:rsidR="00F9250D" w:rsidRPr="00317ABF" w:rsidRDefault="00F9250D" w:rsidP="00F9250D">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4)  nierozpoczęcia wykorzystywania częstotliwości objętych przydziałem w terminie, o którym mowa w art. 130 ust. 2 pkt 1, z przyczyn leżących po stronie podmiotu dysponującego przydziałem częstotliwości;</w:t>
            </w:r>
          </w:p>
          <w:p w14:paraId="299BB2FA" w14:textId="418FE91F" w:rsidR="00F9250D" w:rsidRPr="00317ABF" w:rsidRDefault="00F9250D" w:rsidP="00F9250D">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lastRenderedPageBreak/>
              <w:t>5)  wystąpienia powtarzających się naruszeń warunków wykorzystania częstotliwości lub obowiązku wnoszenia opłat za częstotliwości;</w:t>
            </w:r>
          </w:p>
          <w:p w14:paraId="552DF377" w14:textId="418FE91F" w:rsidR="00F9250D" w:rsidRPr="00317ABF" w:rsidRDefault="00F9250D" w:rsidP="00F9250D">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 xml:space="preserve">6) gdy częstotliwości objęte przydziałem częstotliwości są wykorzystywane w sposób nieefektywny; </w:t>
            </w:r>
          </w:p>
          <w:p w14:paraId="49A82C49" w14:textId="418FE91F" w:rsidR="00F9250D" w:rsidRPr="00317ABF" w:rsidRDefault="00F9250D" w:rsidP="00F9250D">
            <w:pPr>
              <w:jc w:val="both"/>
              <w:rPr>
                <w:rFonts w:eastAsia="Times"/>
                <w:sz w:val="22"/>
                <w:szCs w:val="22"/>
              </w:rPr>
            </w:pPr>
            <w:r w:rsidRPr="00317ABF">
              <w:rPr>
                <w:sz w:val="22"/>
                <w:szCs w:val="22"/>
              </w:rPr>
              <w:t>7)  gdy jest to konieczne dla realizacji zobowiązań wynikających z wiążących Rzeczpospolitą Polską umów międzynarodowych lub aktów prawnych Unii Europejskiej, dotyczących gospodarowania częstotliwościami.</w:t>
            </w:r>
          </w:p>
          <w:p w14:paraId="58C75A22" w14:textId="77777777" w:rsidR="0050382E" w:rsidRPr="00317ABF" w:rsidRDefault="0050382E" w:rsidP="0050382E">
            <w:pPr>
              <w:ind w:firstLine="510"/>
              <w:jc w:val="both"/>
              <w:rPr>
                <w:rFonts w:eastAsia="Times"/>
                <w:sz w:val="22"/>
                <w:szCs w:val="22"/>
              </w:rPr>
            </w:pPr>
          </w:p>
          <w:p w14:paraId="493A504B" w14:textId="77777777" w:rsidR="0050382E" w:rsidRPr="00317ABF" w:rsidRDefault="0050382E" w:rsidP="0050382E">
            <w:pPr>
              <w:pStyle w:val="ARTartustawynprozporzdzenia"/>
              <w:spacing w:before="0" w:line="240" w:lineRule="auto"/>
              <w:ind w:firstLine="0"/>
              <w:rPr>
                <w:rFonts w:ascii="Times New Roman" w:hAnsi="Times New Roman" w:cs="Times New Roman"/>
                <w:sz w:val="22"/>
                <w:szCs w:val="22"/>
              </w:rPr>
            </w:pPr>
            <w:r w:rsidRPr="00317ABF">
              <w:rPr>
                <w:rStyle w:val="Ppogrubienie"/>
                <w:rFonts w:ascii="Times New Roman" w:hAnsi="Times New Roman"/>
                <w:sz w:val="22"/>
                <w:szCs w:val="22"/>
              </w:rPr>
              <w:t>Art. 146.</w:t>
            </w:r>
            <w:r w:rsidRPr="00317ABF">
              <w:rPr>
                <w:rFonts w:ascii="Times New Roman" w:hAnsi="Times New Roman" w:cs="Times New Roman"/>
                <w:sz w:val="22"/>
                <w:szCs w:val="22"/>
              </w:rPr>
              <w:t xml:space="preserve"> 1. Do cofnięcia lub zmiany pozwolenia stosuje się odpowiednio art. 95 i art. 99 -102.</w:t>
            </w:r>
          </w:p>
          <w:p w14:paraId="2CA65B1E" w14:textId="77777777" w:rsidR="001E1112" w:rsidRPr="00317ABF" w:rsidRDefault="001E1112" w:rsidP="00DB3BEC">
            <w:pPr>
              <w:pStyle w:val="USTustnpkodeksu"/>
              <w:keepNext/>
              <w:spacing w:line="240" w:lineRule="auto"/>
              <w:rPr>
                <w:rFonts w:ascii="Times New Roman" w:hAnsi="Times New Roman" w:cs="Times New Roman"/>
                <w:sz w:val="22"/>
                <w:szCs w:val="22"/>
              </w:rPr>
            </w:pPr>
            <w:r w:rsidRPr="00317ABF">
              <w:rPr>
                <w:rFonts w:ascii="Times New Roman" w:hAnsi="Times New Roman" w:cs="Times New Roman"/>
                <w:sz w:val="22"/>
                <w:szCs w:val="22"/>
              </w:rPr>
              <w:t>2. Prezes UKE może także cofnąć pozwolenie lub zmienić warunki wykorzystywania częstotliwości w przypadku:</w:t>
            </w:r>
          </w:p>
          <w:p w14:paraId="05026678" w14:textId="77777777" w:rsidR="001E1112" w:rsidRPr="00317ABF" w:rsidRDefault="001E1112" w:rsidP="00DB3BEC">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1)</w:t>
            </w:r>
            <w:r w:rsidRPr="00317ABF">
              <w:rPr>
                <w:rFonts w:ascii="Times New Roman" w:hAnsi="Times New Roman" w:cs="Times New Roman"/>
                <w:sz w:val="22"/>
                <w:szCs w:val="22"/>
              </w:rPr>
              <w:tab/>
              <w:t>stwierdzenia, że używanie urządzenia radiowego zgodnie z pozwoleniem zakłóca pracę innych urządzeń lub sieci telekomunikacyjnych;</w:t>
            </w:r>
          </w:p>
          <w:p w14:paraId="4821B188" w14:textId="77777777" w:rsidR="001E1112" w:rsidRPr="00317ABF" w:rsidRDefault="001E1112" w:rsidP="00DB3BEC">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2)</w:t>
            </w:r>
            <w:r w:rsidRPr="00317ABF">
              <w:rPr>
                <w:rFonts w:ascii="Times New Roman" w:hAnsi="Times New Roman" w:cs="Times New Roman"/>
                <w:sz w:val="22"/>
                <w:szCs w:val="22"/>
              </w:rPr>
              <w:tab/>
              <w:t>zmiany w Krajowej Tablicy Przeznaczeń Częstotliwości przeznaczenia częstotliwości objętych pozwoleniem;</w:t>
            </w:r>
          </w:p>
          <w:p w14:paraId="4FA48120" w14:textId="77777777" w:rsidR="001E1112" w:rsidRPr="00317ABF" w:rsidRDefault="001E1112" w:rsidP="00DB3BEC">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3)</w:t>
            </w:r>
            <w:r w:rsidRPr="00317ABF">
              <w:rPr>
                <w:rFonts w:ascii="Times New Roman" w:hAnsi="Times New Roman" w:cs="Times New Roman"/>
                <w:sz w:val="22"/>
                <w:szCs w:val="22"/>
              </w:rPr>
              <w:tab/>
              <w:t>nierozpoczęcia wykorzystywania częstotliwości objętych pozwoleniem w terminie 6 miesięcy od dnia wydania pozwolenia lub dnia rozpoczęcia ich wykorzystywania wskazanego w pozwoleniu;</w:t>
            </w:r>
          </w:p>
          <w:p w14:paraId="74FA96D7" w14:textId="77777777" w:rsidR="001E1112" w:rsidRPr="00317ABF" w:rsidRDefault="001E1112" w:rsidP="00DB3BEC">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4)</w:t>
            </w:r>
            <w:r w:rsidRPr="00317ABF">
              <w:rPr>
                <w:rFonts w:ascii="Times New Roman" w:hAnsi="Times New Roman" w:cs="Times New Roman"/>
                <w:sz w:val="22"/>
                <w:szCs w:val="22"/>
              </w:rPr>
              <w:tab/>
              <w:t>niewywiązania się przez podmiot z obowiązku, o którym mowa w art. 124 ust. 5.</w:t>
            </w:r>
          </w:p>
          <w:p w14:paraId="4C79BDBA" w14:textId="77777777" w:rsidR="001E1112" w:rsidRPr="00317ABF" w:rsidRDefault="001E1112" w:rsidP="00DB3BEC">
            <w:pPr>
              <w:pStyle w:val="USTustnpkodeksu"/>
              <w:keepNext/>
              <w:spacing w:line="240" w:lineRule="auto"/>
              <w:rPr>
                <w:rFonts w:ascii="Times New Roman" w:hAnsi="Times New Roman" w:cs="Times New Roman"/>
                <w:sz w:val="22"/>
                <w:szCs w:val="22"/>
              </w:rPr>
            </w:pPr>
            <w:r w:rsidRPr="00317ABF">
              <w:rPr>
                <w:rFonts w:ascii="Times New Roman" w:hAnsi="Times New Roman" w:cs="Times New Roman"/>
                <w:sz w:val="22"/>
                <w:szCs w:val="22"/>
              </w:rPr>
              <w:t>3. Prezes UKE może zmienić warunki wykorzystywania częstotliwości również w przypadku, gdy:</w:t>
            </w:r>
          </w:p>
          <w:p w14:paraId="757059B7" w14:textId="77777777" w:rsidR="001E1112" w:rsidRPr="00317ABF" w:rsidRDefault="001E1112" w:rsidP="00DB3BEC">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1)</w:t>
            </w:r>
            <w:r w:rsidRPr="00317ABF">
              <w:rPr>
                <w:rFonts w:ascii="Times New Roman" w:hAnsi="Times New Roman" w:cs="Times New Roman"/>
                <w:sz w:val="22"/>
                <w:szCs w:val="22"/>
              </w:rPr>
              <w:tab/>
              <w:t>częstotliwości objęte pozwoleniem są wykorzystywane w stopniu niewielkim lub w sposób nieefektywny;</w:t>
            </w:r>
          </w:p>
          <w:p w14:paraId="722EB6D1" w14:textId="77777777" w:rsidR="001E1112" w:rsidRPr="00317ABF" w:rsidRDefault="001E1112" w:rsidP="00DB3BEC">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2)</w:t>
            </w:r>
            <w:r w:rsidRPr="00317ABF">
              <w:rPr>
                <w:rFonts w:ascii="Times New Roman" w:hAnsi="Times New Roman" w:cs="Times New Roman"/>
                <w:sz w:val="22"/>
                <w:szCs w:val="22"/>
              </w:rPr>
              <w:tab/>
              <w:t>praca urządzenia radiowego jest zakłócana przez inne urządzenia lub sieci telekomunikacyjne.</w:t>
            </w:r>
          </w:p>
          <w:p w14:paraId="05285B27" w14:textId="77777777" w:rsidR="001E1112" w:rsidRPr="00317ABF" w:rsidRDefault="001E1112" w:rsidP="00DB3BEC">
            <w:pPr>
              <w:pStyle w:val="USTustnpkodeksu"/>
              <w:spacing w:line="240" w:lineRule="auto"/>
              <w:rPr>
                <w:rFonts w:ascii="Times New Roman" w:hAnsi="Times New Roman" w:cs="Times New Roman"/>
                <w:sz w:val="22"/>
                <w:szCs w:val="22"/>
              </w:rPr>
            </w:pPr>
            <w:r w:rsidRPr="00317ABF">
              <w:rPr>
                <w:rFonts w:ascii="Times New Roman" w:hAnsi="Times New Roman" w:cs="Times New Roman"/>
                <w:sz w:val="22"/>
                <w:szCs w:val="22"/>
              </w:rPr>
              <w:t xml:space="preserve">4. Do odmowy wydania pozwolenia stosuje się odpowiednio art. </w:t>
            </w:r>
            <w:r w:rsidR="0050382E" w:rsidRPr="00317ABF">
              <w:rPr>
                <w:rFonts w:ascii="Times New Roman" w:hAnsi="Times New Roman" w:cs="Times New Roman"/>
                <w:sz w:val="22"/>
                <w:szCs w:val="22"/>
              </w:rPr>
              <w:t>103</w:t>
            </w:r>
            <w:r w:rsidRPr="00317ABF">
              <w:rPr>
                <w:rFonts w:ascii="Times New Roman" w:hAnsi="Times New Roman" w:cs="Times New Roman"/>
                <w:sz w:val="22"/>
                <w:szCs w:val="22"/>
              </w:rPr>
              <w:t>.</w:t>
            </w:r>
          </w:p>
          <w:p w14:paraId="1A5C105B" w14:textId="783D97F1" w:rsidR="001E1112" w:rsidRPr="00317ABF" w:rsidRDefault="001E1112" w:rsidP="00DB3BEC">
            <w:pPr>
              <w:jc w:val="both"/>
              <w:rPr>
                <w:sz w:val="22"/>
                <w:szCs w:val="22"/>
              </w:rPr>
            </w:pPr>
            <w:r w:rsidRPr="00317ABF">
              <w:rPr>
                <w:sz w:val="22"/>
                <w:szCs w:val="22"/>
              </w:rPr>
              <w:t>5. Pozwolenie wygasa w przypadku wygaśnięcia rezerwacji częstotliwości.</w:t>
            </w:r>
          </w:p>
          <w:p w14:paraId="0FEA5C8B" w14:textId="23945876" w:rsidR="001E1112" w:rsidRPr="00317ABF" w:rsidRDefault="001E1112" w:rsidP="00DB3BEC">
            <w:pPr>
              <w:jc w:val="both"/>
              <w:rPr>
                <w:sz w:val="22"/>
                <w:szCs w:val="22"/>
              </w:rPr>
            </w:pPr>
          </w:p>
          <w:p w14:paraId="0F6B5479" w14:textId="067A839A" w:rsidR="001E1112" w:rsidRPr="00317ABF" w:rsidRDefault="004D45A4" w:rsidP="00DB3BEC">
            <w:pPr>
              <w:jc w:val="both"/>
              <w:rPr>
                <w:sz w:val="22"/>
                <w:szCs w:val="22"/>
              </w:rPr>
            </w:pPr>
            <w:r w:rsidRPr="00317ABF">
              <w:rPr>
                <w:b/>
                <w:sz w:val="22"/>
                <w:szCs w:val="22"/>
              </w:rPr>
              <w:t>Art. 187.</w:t>
            </w:r>
            <w:r w:rsidRPr="00317ABF">
              <w:rPr>
                <w:sz w:val="22"/>
                <w:szCs w:val="22"/>
              </w:rPr>
              <w:t xml:space="preserve"> Prezes UKE może, w drodze decyzji, zmienić umowę o dostępie lub decyzję, o której mowa w art. 183 ust. 1, w przypadkach uzasadnionych potrzebą zapewnienia ochrony interesów użytkowników końcowych, skutecznej konkurencji lub zapewnieniem interoperacyjności usług, o ile będzie to zgodne z obowiązkami stron.</w:t>
            </w:r>
          </w:p>
          <w:p w14:paraId="30179706" w14:textId="77777777" w:rsidR="001E1112" w:rsidRPr="00317ABF" w:rsidRDefault="001E1112" w:rsidP="00DB3BEC">
            <w:pPr>
              <w:suppressAutoHyphens/>
              <w:autoSpaceDE w:val="0"/>
              <w:autoSpaceDN w:val="0"/>
              <w:adjustRightInd w:val="0"/>
              <w:spacing w:before="120"/>
              <w:ind w:firstLine="510"/>
              <w:jc w:val="both"/>
              <w:rPr>
                <w:sz w:val="22"/>
                <w:szCs w:val="22"/>
                <w:lang w:eastAsia="en-US"/>
              </w:rPr>
            </w:pPr>
            <w:r w:rsidRPr="00317ABF">
              <w:rPr>
                <w:sz w:val="22"/>
                <w:szCs w:val="22"/>
              </w:rPr>
              <w:lastRenderedPageBreak/>
              <w:t>Art. 140</w:t>
            </w:r>
            <w:r w:rsidRPr="00317ABF">
              <w:rPr>
                <w:sz w:val="22"/>
                <w:szCs w:val="22"/>
                <w:lang w:eastAsia="en-US"/>
              </w:rPr>
              <w:t>.</w:t>
            </w:r>
            <w:r w:rsidRPr="00317ABF">
              <w:rPr>
                <w:sz w:val="22"/>
                <w:szCs w:val="22"/>
              </w:rPr>
              <w:t xml:space="preserve"> 1.</w:t>
            </w:r>
            <w:r w:rsidRPr="00317ABF">
              <w:rPr>
                <w:sz w:val="22"/>
                <w:szCs w:val="22"/>
                <w:lang w:eastAsia="en-US"/>
              </w:rPr>
              <w:t xml:space="preserve"> Prezes UKE odmawia przyznania prawa do wykorzystywania zasobów numeracji, jeżeli wnioskowane przeznaczenie numeracji nie jest zgodne z planem numeracji krajowej dla publicznych sieci telekomunikacyjnych.</w:t>
            </w:r>
          </w:p>
          <w:p w14:paraId="14099960" w14:textId="77777777" w:rsidR="001E1112" w:rsidRPr="00317ABF" w:rsidRDefault="001E1112" w:rsidP="00DB3BEC">
            <w:pPr>
              <w:suppressAutoHyphens/>
              <w:autoSpaceDE w:val="0"/>
              <w:autoSpaceDN w:val="0"/>
              <w:adjustRightInd w:val="0"/>
              <w:ind w:firstLine="510"/>
              <w:jc w:val="both"/>
              <w:rPr>
                <w:bCs/>
                <w:sz w:val="22"/>
                <w:szCs w:val="22"/>
                <w:lang w:eastAsia="en-US"/>
              </w:rPr>
            </w:pPr>
            <w:bookmarkStart w:id="127" w:name="mip44758636"/>
            <w:bookmarkEnd w:id="127"/>
            <w:r w:rsidRPr="00317ABF">
              <w:rPr>
                <w:bCs/>
                <w:sz w:val="22"/>
                <w:szCs w:val="22"/>
                <w:lang w:eastAsia="en-US"/>
              </w:rPr>
              <w:t>2. Prezes UKE może odmówić przyznania prawa do wykorzystywania nowego zakresu numeracji w przypadku wykorzystania mniej niż 75% wcześniej przyznanych zakresów numeracji.</w:t>
            </w:r>
          </w:p>
          <w:p w14:paraId="4F4DA355" w14:textId="77777777" w:rsidR="001E1112" w:rsidRPr="00317ABF" w:rsidRDefault="001E1112" w:rsidP="00DB3BEC">
            <w:pPr>
              <w:suppressAutoHyphens/>
              <w:autoSpaceDE w:val="0"/>
              <w:autoSpaceDN w:val="0"/>
              <w:adjustRightInd w:val="0"/>
              <w:spacing w:before="120"/>
              <w:ind w:firstLine="510"/>
              <w:jc w:val="both"/>
              <w:rPr>
                <w:sz w:val="22"/>
                <w:szCs w:val="22"/>
                <w:lang w:eastAsia="en-US"/>
              </w:rPr>
            </w:pPr>
            <w:bookmarkStart w:id="128" w:name="mip44758637"/>
            <w:bookmarkEnd w:id="128"/>
            <w:r w:rsidRPr="00317ABF">
              <w:rPr>
                <w:sz w:val="22"/>
                <w:szCs w:val="22"/>
              </w:rPr>
              <w:t>Art. 141. 1</w:t>
            </w:r>
            <w:r w:rsidRPr="00317ABF">
              <w:rPr>
                <w:sz w:val="22"/>
                <w:szCs w:val="22"/>
                <w:lang w:eastAsia="en-US"/>
              </w:rPr>
              <w:t>. Prezes UKE może cofnąć prawo do wykorzystywania zasobów numeracji albo zmienić jego zakres, jeżeli:</w:t>
            </w:r>
          </w:p>
          <w:p w14:paraId="707FDB34" w14:textId="77777777" w:rsidR="001E1112" w:rsidRPr="00317ABF" w:rsidRDefault="001E1112" w:rsidP="00DB3BEC">
            <w:pPr>
              <w:ind w:left="510" w:hanging="510"/>
              <w:jc w:val="both"/>
              <w:rPr>
                <w:bCs/>
                <w:sz w:val="22"/>
                <w:szCs w:val="22"/>
                <w:lang w:eastAsia="en-US"/>
              </w:rPr>
            </w:pPr>
            <w:bookmarkStart w:id="129" w:name="mip44758639"/>
            <w:bookmarkEnd w:id="129"/>
            <w:r w:rsidRPr="00317ABF">
              <w:rPr>
                <w:bCs/>
                <w:sz w:val="22"/>
                <w:szCs w:val="22"/>
                <w:lang w:eastAsia="en-US"/>
              </w:rPr>
              <w:t>1) nastąpiły zmiany we właściwym planie numeracji krajowej dla publicznych sieci telekomunikacyjnych;</w:t>
            </w:r>
          </w:p>
          <w:p w14:paraId="7409463C" w14:textId="77777777" w:rsidR="001E1112" w:rsidRPr="00317ABF" w:rsidRDefault="001E1112" w:rsidP="00DB3BEC">
            <w:pPr>
              <w:ind w:left="510" w:hanging="510"/>
              <w:jc w:val="both"/>
              <w:rPr>
                <w:bCs/>
                <w:sz w:val="22"/>
                <w:szCs w:val="22"/>
                <w:lang w:eastAsia="en-US"/>
              </w:rPr>
            </w:pPr>
            <w:bookmarkStart w:id="130" w:name="mip44758640"/>
            <w:bookmarkEnd w:id="130"/>
            <w:r w:rsidRPr="00317ABF">
              <w:rPr>
                <w:bCs/>
                <w:sz w:val="22"/>
                <w:szCs w:val="22"/>
                <w:lang w:eastAsia="en-US"/>
              </w:rPr>
              <w:t>2) podmiot, który uzyskał w drodze decyzji prawo do wykorzystywania zasobów numeracji, nie wykorzystuje przyznanego zakresu numeracji w sposób efektywny pod względem ilościowym, a w przypadku numerów dostępu i podobnych pojedynczych numerów nie uruchomił usługi określonej takim numerem w terminie 12 miesięcy od otrzymania decyzji o przyznaniu prawa do wykorzystywania numeracji;</w:t>
            </w:r>
          </w:p>
          <w:p w14:paraId="22D85ED0" w14:textId="77777777" w:rsidR="001E1112" w:rsidRPr="00317ABF" w:rsidRDefault="001E1112" w:rsidP="00DB3BEC">
            <w:pPr>
              <w:ind w:left="510" w:hanging="510"/>
              <w:jc w:val="both"/>
              <w:rPr>
                <w:bCs/>
                <w:sz w:val="22"/>
                <w:szCs w:val="22"/>
                <w:lang w:eastAsia="en-US"/>
              </w:rPr>
            </w:pPr>
            <w:bookmarkStart w:id="131" w:name="mip44758641"/>
            <w:bookmarkEnd w:id="131"/>
            <w:r w:rsidRPr="00317ABF">
              <w:rPr>
                <w:bCs/>
                <w:sz w:val="22"/>
                <w:szCs w:val="22"/>
                <w:lang w:eastAsia="en-US"/>
              </w:rPr>
              <w:t>3) podmiot, który uzyskał prawo do wykorzystywania zasobów numeracji, wykorzystuje przyznaną numerację w sposób niezgodny z warunkami przyznania numeracji lub jej przeznaczeniem określonym we właściwym planie numeracji krajowej dla publicznych sieci telekomunikacyjnych;</w:t>
            </w:r>
          </w:p>
          <w:p w14:paraId="61BA2482" w14:textId="77777777" w:rsidR="001E1112" w:rsidRPr="00317ABF" w:rsidRDefault="001E1112" w:rsidP="00DB3BEC">
            <w:pPr>
              <w:ind w:left="510" w:hanging="510"/>
              <w:jc w:val="both"/>
              <w:rPr>
                <w:bCs/>
                <w:sz w:val="22"/>
                <w:szCs w:val="22"/>
                <w:lang w:eastAsia="en-US"/>
              </w:rPr>
            </w:pPr>
            <w:bookmarkStart w:id="132" w:name="mip44758642"/>
            <w:bookmarkEnd w:id="132"/>
            <w:r w:rsidRPr="00317ABF">
              <w:rPr>
                <w:bCs/>
                <w:sz w:val="22"/>
                <w:szCs w:val="22"/>
                <w:lang w:eastAsia="en-US"/>
              </w:rPr>
              <w:t>4) podmiot, który uzyskał w drodze decyzji prawo do wykorzystywania</w:t>
            </w:r>
            <w:r w:rsidRPr="00317ABF">
              <w:rPr>
                <w:bCs/>
                <w:sz w:val="22"/>
                <w:szCs w:val="22"/>
              </w:rPr>
              <w:t xml:space="preserve"> </w:t>
            </w:r>
            <w:r w:rsidRPr="00317ABF">
              <w:rPr>
                <w:bCs/>
                <w:sz w:val="22"/>
                <w:szCs w:val="22"/>
                <w:lang w:eastAsia="en-US"/>
              </w:rPr>
              <w:t>zasobów numeracji, nie wnosi opłat za prawo do wykorzystywania numeracji;</w:t>
            </w:r>
          </w:p>
          <w:p w14:paraId="3D176BFD" w14:textId="77777777" w:rsidR="001E1112" w:rsidRPr="00317ABF" w:rsidRDefault="001E1112" w:rsidP="00DB3BEC">
            <w:pPr>
              <w:ind w:left="510" w:hanging="510"/>
              <w:jc w:val="both"/>
              <w:rPr>
                <w:bCs/>
                <w:sz w:val="22"/>
                <w:szCs w:val="22"/>
                <w:lang w:eastAsia="en-US"/>
              </w:rPr>
            </w:pPr>
            <w:r w:rsidRPr="00317ABF">
              <w:rPr>
                <w:bCs/>
                <w:sz w:val="22"/>
                <w:szCs w:val="22"/>
                <w:lang w:eastAsia="en-US"/>
              </w:rPr>
              <w:t xml:space="preserve">5) istnieje  zagrożenie </w:t>
            </w:r>
            <w:r w:rsidRPr="00317ABF">
              <w:rPr>
                <w:bCs/>
                <w:sz w:val="22"/>
                <w:szCs w:val="22"/>
              </w:rPr>
              <w:t>naruszenia interoperacyjności lub ciągłości świadczenia usług telekomunikacyjnych w sieciach telekomunikacyjnych</w:t>
            </w:r>
            <w:r w:rsidRPr="00317ABF">
              <w:rPr>
                <w:bCs/>
                <w:sz w:val="22"/>
                <w:szCs w:val="22"/>
                <w:lang w:eastAsia="en-US"/>
              </w:rPr>
              <w:t>.</w:t>
            </w:r>
          </w:p>
          <w:p w14:paraId="46969DCE" w14:textId="77777777" w:rsidR="001E1112" w:rsidRPr="00317ABF" w:rsidRDefault="001E1112" w:rsidP="00DB3BEC">
            <w:pPr>
              <w:suppressAutoHyphens/>
              <w:autoSpaceDE w:val="0"/>
              <w:autoSpaceDN w:val="0"/>
              <w:adjustRightInd w:val="0"/>
              <w:ind w:firstLine="510"/>
              <w:jc w:val="both"/>
              <w:rPr>
                <w:bCs/>
                <w:sz w:val="22"/>
                <w:szCs w:val="22"/>
                <w:lang w:eastAsia="en-US"/>
              </w:rPr>
            </w:pPr>
            <w:bookmarkStart w:id="133" w:name="mip44758643"/>
            <w:bookmarkEnd w:id="133"/>
            <w:r w:rsidRPr="00317ABF">
              <w:rPr>
                <w:bCs/>
                <w:sz w:val="22"/>
                <w:szCs w:val="22"/>
                <w:lang w:eastAsia="en-US"/>
              </w:rPr>
              <w:t>2. Prezes UKE informuje na stronie podmiotowej UKE o cofnięciu prawa do wykorzystywania zasobów numeracji oraz o możliwości przydziału tej numeracji innemu przedsiębiorcy telekomunikacyjnemu.</w:t>
            </w:r>
          </w:p>
          <w:p w14:paraId="1B30B9F6" w14:textId="77777777" w:rsidR="001E1112" w:rsidRPr="00317ABF" w:rsidRDefault="001E1112" w:rsidP="00DB3BEC">
            <w:pPr>
              <w:suppressAutoHyphens/>
              <w:autoSpaceDE w:val="0"/>
              <w:autoSpaceDN w:val="0"/>
              <w:adjustRightInd w:val="0"/>
              <w:ind w:firstLine="510"/>
              <w:jc w:val="both"/>
              <w:rPr>
                <w:bCs/>
                <w:sz w:val="22"/>
                <w:szCs w:val="22"/>
                <w:lang w:eastAsia="en-US"/>
              </w:rPr>
            </w:pPr>
            <w:r w:rsidRPr="00317ABF">
              <w:rPr>
                <w:bCs/>
                <w:sz w:val="22"/>
                <w:szCs w:val="22"/>
                <w:lang w:eastAsia="en-US"/>
              </w:rPr>
              <w:t>3. Decyzja o cofnięciu prawa do wykorzystywania zasobów numeracji albo o zmianie jego zakresu:</w:t>
            </w:r>
          </w:p>
          <w:p w14:paraId="375AC8D7" w14:textId="77777777" w:rsidR="001E1112" w:rsidRPr="00317ABF" w:rsidRDefault="001E1112" w:rsidP="00DB3BEC">
            <w:pPr>
              <w:ind w:left="510" w:hanging="510"/>
              <w:jc w:val="both"/>
              <w:rPr>
                <w:bCs/>
                <w:sz w:val="22"/>
                <w:szCs w:val="22"/>
                <w:lang w:eastAsia="en-US"/>
              </w:rPr>
            </w:pPr>
            <w:bookmarkStart w:id="134" w:name="mip44758645"/>
            <w:bookmarkEnd w:id="134"/>
            <w:r w:rsidRPr="00317ABF">
              <w:rPr>
                <w:bCs/>
                <w:sz w:val="22"/>
                <w:szCs w:val="22"/>
                <w:lang w:eastAsia="en-US"/>
              </w:rPr>
              <w:t>1)  uwzględnia konieczność zachowania interoperacyjności i  ciągłości świadczenia usług telekomunikacyjnych;</w:t>
            </w:r>
          </w:p>
          <w:p w14:paraId="30D7BBF8" w14:textId="77777777" w:rsidR="001E1112" w:rsidRPr="00317ABF" w:rsidRDefault="001E1112" w:rsidP="00DB3BEC">
            <w:pPr>
              <w:ind w:left="510" w:hanging="510"/>
              <w:jc w:val="both"/>
              <w:rPr>
                <w:bCs/>
                <w:sz w:val="22"/>
                <w:szCs w:val="22"/>
                <w:lang w:eastAsia="en-US"/>
              </w:rPr>
            </w:pPr>
            <w:bookmarkStart w:id="135" w:name="mip44758646"/>
            <w:bookmarkEnd w:id="135"/>
            <w:r w:rsidRPr="00317ABF">
              <w:rPr>
                <w:bCs/>
                <w:sz w:val="22"/>
                <w:szCs w:val="22"/>
                <w:lang w:eastAsia="en-US"/>
              </w:rPr>
              <w:lastRenderedPageBreak/>
              <w:t xml:space="preserve">2) może być podjęta po bezskutecznym wezwaniu podmiotu do usunięcia przyczyny nieprawidłowości w przypadkach, o których mowa w ust. </w:t>
            </w:r>
            <w:r w:rsidRPr="00317ABF">
              <w:rPr>
                <w:bCs/>
                <w:sz w:val="22"/>
                <w:szCs w:val="22"/>
              </w:rPr>
              <w:t>1 pkt 2, 3</w:t>
            </w:r>
            <w:bookmarkStart w:id="136" w:name="mip44758647"/>
            <w:bookmarkEnd w:id="136"/>
            <w:r w:rsidRPr="00317ABF">
              <w:rPr>
                <w:bCs/>
                <w:sz w:val="22"/>
                <w:szCs w:val="22"/>
              </w:rPr>
              <w:t xml:space="preserve"> i 5.</w:t>
            </w:r>
          </w:p>
          <w:p w14:paraId="5F52E718" w14:textId="77777777" w:rsidR="001E1112" w:rsidRPr="00317ABF" w:rsidRDefault="001E1112" w:rsidP="00DB3BEC">
            <w:pPr>
              <w:suppressAutoHyphens/>
              <w:autoSpaceDE w:val="0"/>
              <w:autoSpaceDN w:val="0"/>
              <w:adjustRightInd w:val="0"/>
              <w:ind w:firstLine="510"/>
              <w:jc w:val="both"/>
              <w:rPr>
                <w:bCs/>
                <w:sz w:val="22"/>
                <w:szCs w:val="22"/>
                <w:lang w:eastAsia="en-US"/>
              </w:rPr>
            </w:pPr>
            <w:r w:rsidRPr="00317ABF">
              <w:rPr>
                <w:bCs/>
                <w:sz w:val="22"/>
                <w:szCs w:val="22"/>
                <w:lang w:eastAsia="en-US"/>
              </w:rPr>
              <w:t>4. W sytuacji wystąpienia zagrożenia naruszenia interoperacyjności lub ciągłości świadczenia usług telekomunikacyjnych w sieciach telekomunikacyjnych, Prezes UKE prowadząc procedurę cofnięcia numeracji oraz przydziału numeracji innemu przedsiębiorcy telekomunikacyjnemu może:</w:t>
            </w:r>
          </w:p>
          <w:p w14:paraId="0A7860EF" w14:textId="1CF045AC" w:rsidR="001E1112" w:rsidRPr="00317ABF" w:rsidRDefault="001E1112" w:rsidP="00DB3BEC">
            <w:pPr>
              <w:ind w:left="510" w:hanging="510"/>
              <w:jc w:val="both"/>
              <w:rPr>
                <w:bCs/>
                <w:sz w:val="22"/>
                <w:szCs w:val="22"/>
                <w:lang w:eastAsia="en-US"/>
              </w:rPr>
            </w:pPr>
            <w:r w:rsidRPr="00317ABF">
              <w:rPr>
                <w:bCs/>
                <w:sz w:val="22"/>
                <w:szCs w:val="22"/>
                <w:lang w:eastAsia="en-US"/>
              </w:rPr>
              <w:t xml:space="preserve">1) pominąć realizację wezwania, o którym mowa w ust. 3 </w:t>
            </w:r>
            <w:r w:rsidR="00DB3BEC" w:rsidRPr="00317ABF">
              <w:rPr>
                <w:bCs/>
                <w:sz w:val="22"/>
                <w:szCs w:val="22"/>
                <w:lang w:eastAsia="en-US"/>
              </w:rPr>
              <w:t xml:space="preserve">pkt </w:t>
            </w:r>
            <w:r w:rsidRPr="00317ABF">
              <w:rPr>
                <w:bCs/>
                <w:sz w:val="22"/>
                <w:szCs w:val="22"/>
                <w:lang w:eastAsia="en-US"/>
              </w:rPr>
              <w:t xml:space="preserve"> 2; </w:t>
            </w:r>
          </w:p>
          <w:p w14:paraId="472B62CD" w14:textId="77777777" w:rsidR="001E1112" w:rsidRPr="00317ABF" w:rsidRDefault="001E1112" w:rsidP="00DB3BEC">
            <w:pPr>
              <w:widowControl w:val="0"/>
              <w:autoSpaceDE w:val="0"/>
              <w:autoSpaceDN w:val="0"/>
              <w:adjustRightInd w:val="0"/>
              <w:ind w:left="284" w:hanging="284"/>
              <w:jc w:val="both"/>
              <w:rPr>
                <w:sz w:val="22"/>
                <w:szCs w:val="22"/>
                <w:lang w:eastAsia="en-US"/>
              </w:rPr>
            </w:pPr>
            <w:r w:rsidRPr="00317ABF">
              <w:rPr>
                <w:sz w:val="22"/>
                <w:szCs w:val="22"/>
                <w:lang w:eastAsia="en-US"/>
              </w:rPr>
              <w:t>2) pominąć realizację procedury przetargowej, o której mowa w art. 139 ust. 4;</w:t>
            </w:r>
          </w:p>
          <w:p w14:paraId="667A323B" w14:textId="77777777" w:rsidR="001E1112" w:rsidRPr="00317ABF" w:rsidRDefault="001E1112" w:rsidP="00DB3BEC">
            <w:pPr>
              <w:widowControl w:val="0"/>
              <w:autoSpaceDE w:val="0"/>
              <w:autoSpaceDN w:val="0"/>
              <w:adjustRightInd w:val="0"/>
              <w:jc w:val="both"/>
              <w:rPr>
                <w:sz w:val="22"/>
                <w:szCs w:val="22"/>
                <w:lang w:eastAsia="en-US"/>
              </w:rPr>
            </w:pPr>
            <w:r w:rsidRPr="00317ABF">
              <w:rPr>
                <w:sz w:val="22"/>
                <w:szCs w:val="22"/>
                <w:lang w:eastAsia="en-US"/>
              </w:rPr>
              <w:t>3) przydzielić numerację biorąc pod uwagę::</w:t>
            </w:r>
          </w:p>
          <w:p w14:paraId="78E5E084" w14:textId="77777777" w:rsidR="001E1112" w:rsidRPr="00317ABF" w:rsidRDefault="001E1112" w:rsidP="00DB3BEC">
            <w:pPr>
              <w:widowControl w:val="0"/>
              <w:autoSpaceDE w:val="0"/>
              <w:autoSpaceDN w:val="0"/>
              <w:adjustRightInd w:val="0"/>
              <w:ind w:left="510"/>
              <w:jc w:val="both"/>
              <w:rPr>
                <w:rFonts w:eastAsia="Calibri"/>
                <w:sz w:val="22"/>
                <w:szCs w:val="22"/>
              </w:rPr>
            </w:pPr>
            <w:r w:rsidRPr="00317ABF">
              <w:rPr>
                <w:rFonts w:eastAsia="Times"/>
                <w:sz w:val="22"/>
                <w:szCs w:val="22"/>
              </w:rPr>
              <w:t xml:space="preserve">a) </w:t>
            </w:r>
            <w:r w:rsidRPr="00317ABF">
              <w:rPr>
                <w:sz w:val="22"/>
                <w:szCs w:val="22"/>
                <w:lang w:eastAsia="en-US"/>
              </w:rPr>
              <w:t>możliwości techniczne przyjmowania i kierowania połączeń na numery z przydzielanego bloku numerów;</w:t>
            </w:r>
          </w:p>
          <w:p w14:paraId="25E3150D" w14:textId="77777777" w:rsidR="001E1112" w:rsidRPr="00317ABF" w:rsidRDefault="001E1112" w:rsidP="00DB3BEC">
            <w:pPr>
              <w:widowControl w:val="0"/>
              <w:autoSpaceDE w:val="0"/>
              <w:autoSpaceDN w:val="0"/>
              <w:adjustRightInd w:val="0"/>
              <w:ind w:left="510"/>
              <w:jc w:val="both"/>
              <w:rPr>
                <w:rFonts w:eastAsia="Times"/>
                <w:sz w:val="22"/>
                <w:szCs w:val="22"/>
              </w:rPr>
            </w:pPr>
            <w:r w:rsidRPr="00317ABF">
              <w:rPr>
                <w:rFonts w:eastAsia="Times"/>
                <w:sz w:val="22"/>
                <w:szCs w:val="22"/>
              </w:rPr>
              <w:t>b)liczbę przeniesionych numerów z bloków numerów, dla których Prezes UKE cofnął przydział,</w:t>
            </w:r>
          </w:p>
          <w:p w14:paraId="13AB592F" w14:textId="77777777" w:rsidR="001E1112" w:rsidRPr="00317ABF" w:rsidRDefault="001E1112" w:rsidP="00DB3BEC">
            <w:pPr>
              <w:widowControl w:val="0"/>
              <w:autoSpaceDE w:val="0"/>
              <w:autoSpaceDN w:val="0"/>
              <w:adjustRightInd w:val="0"/>
              <w:ind w:left="510"/>
              <w:jc w:val="both"/>
              <w:rPr>
                <w:rFonts w:eastAsia="Times"/>
                <w:sz w:val="22"/>
                <w:szCs w:val="22"/>
              </w:rPr>
            </w:pPr>
            <w:r w:rsidRPr="00317ABF">
              <w:rPr>
                <w:rFonts w:eastAsia="Times"/>
                <w:sz w:val="22"/>
                <w:szCs w:val="22"/>
              </w:rPr>
              <w:t>c) liczbę abonentów w danej strefie numeracyjnej oraz</w:t>
            </w:r>
          </w:p>
          <w:p w14:paraId="2F89222A" w14:textId="77777777" w:rsidR="001E1112" w:rsidRPr="00317ABF" w:rsidRDefault="001E1112" w:rsidP="00DB3BEC">
            <w:pPr>
              <w:widowControl w:val="0"/>
              <w:autoSpaceDE w:val="0"/>
              <w:autoSpaceDN w:val="0"/>
              <w:adjustRightInd w:val="0"/>
              <w:ind w:left="510"/>
              <w:jc w:val="both"/>
              <w:rPr>
                <w:rFonts w:eastAsia="Times"/>
                <w:sz w:val="22"/>
                <w:szCs w:val="22"/>
              </w:rPr>
            </w:pPr>
            <w:r w:rsidRPr="00317ABF">
              <w:rPr>
                <w:rFonts w:eastAsia="Times"/>
                <w:sz w:val="22"/>
                <w:szCs w:val="22"/>
              </w:rPr>
              <w:t>d) przydział numeracji w bloku sąsiadującym z przydzielanym blokiem numerów;</w:t>
            </w:r>
          </w:p>
          <w:p w14:paraId="3AF060AD" w14:textId="77777777" w:rsidR="001E1112" w:rsidRPr="00317ABF" w:rsidRDefault="001E1112" w:rsidP="00DB3BEC">
            <w:pPr>
              <w:widowControl w:val="0"/>
              <w:autoSpaceDE w:val="0"/>
              <w:autoSpaceDN w:val="0"/>
              <w:adjustRightInd w:val="0"/>
              <w:ind w:left="510" w:hanging="510"/>
              <w:jc w:val="both"/>
              <w:rPr>
                <w:rFonts w:eastAsia="Times"/>
                <w:sz w:val="22"/>
                <w:szCs w:val="22"/>
              </w:rPr>
            </w:pPr>
            <w:r w:rsidRPr="00317ABF">
              <w:rPr>
                <w:rFonts w:eastAsia="Times"/>
                <w:sz w:val="22"/>
                <w:szCs w:val="22"/>
              </w:rPr>
              <w:t>4) zwolnić przedsiębiorcę telekomunikacyjnego, który otrzymał przydział numeracji z opłat za numerację, o których mowa w art. 25 na okres nie dłuższy niż 1 rok.</w:t>
            </w:r>
          </w:p>
          <w:p w14:paraId="048740F3" w14:textId="5886C3A2" w:rsidR="001E1112" w:rsidRPr="00317ABF" w:rsidRDefault="001E1112" w:rsidP="00DB3BEC">
            <w:pPr>
              <w:suppressAutoHyphens/>
              <w:autoSpaceDE w:val="0"/>
              <w:autoSpaceDN w:val="0"/>
              <w:adjustRightInd w:val="0"/>
              <w:spacing w:before="120"/>
              <w:ind w:firstLine="510"/>
              <w:jc w:val="both"/>
              <w:rPr>
                <w:sz w:val="22"/>
                <w:szCs w:val="22"/>
              </w:rPr>
            </w:pPr>
            <w:r w:rsidRPr="00317ABF">
              <w:rPr>
                <w:sz w:val="22"/>
                <w:szCs w:val="22"/>
                <w:lang w:eastAsia="en-US"/>
              </w:rPr>
              <w:t>5. W przypadku braku wniosków o dokonanie przydziału numeracji Prezes UKE, w drodze decyzji, przydziela numerację przedsiębiorcy telekomunikacyjnemu biorąc pod uwagę przesłanki, o których mowa w ust. 4 pkt 3.6</w:t>
            </w:r>
            <w:r w:rsidRPr="00317ABF">
              <w:rPr>
                <w:bCs/>
                <w:sz w:val="22"/>
                <w:szCs w:val="22"/>
                <w:lang w:eastAsia="en-US"/>
              </w:rPr>
              <w:t xml:space="preserve">. Przedsiębiorca telekomunikacyjny, który otrzymał przydział numeracji na warunkach określonych w ust. </w:t>
            </w:r>
            <w:r w:rsidRPr="00317ABF">
              <w:rPr>
                <w:sz w:val="22"/>
                <w:szCs w:val="22"/>
                <w:lang w:eastAsia="en-US"/>
              </w:rPr>
              <w:t>4</w:t>
            </w:r>
            <w:r w:rsidRPr="00317ABF">
              <w:rPr>
                <w:bCs/>
                <w:sz w:val="22"/>
                <w:szCs w:val="22"/>
                <w:lang w:eastAsia="en-US"/>
              </w:rPr>
              <w:t xml:space="preserve"> </w:t>
            </w:r>
            <w:r w:rsidRPr="00317ABF">
              <w:rPr>
                <w:sz w:val="22"/>
                <w:szCs w:val="22"/>
                <w:lang w:eastAsia="en-US"/>
              </w:rPr>
              <w:t>pkt 3</w:t>
            </w:r>
            <w:r w:rsidRPr="00317ABF">
              <w:rPr>
                <w:bCs/>
                <w:sz w:val="22"/>
                <w:szCs w:val="22"/>
                <w:lang w:eastAsia="en-US"/>
              </w:rPr>
              <w:t xml:space="preserve"> oraz w ust. </w:t>
            </w:r>
            <w:r w:rsidRPr="00317ABF">
              <w:rPr>
                <w:sz w:val="22"/>
                <w:szCs w:val="22"/>
                <w:lang w:eastAsia="en-US"/>
              </w:rPr>
              <w:t>5</w:t>
            </w:r>
            <w:r w:rsidRPr="00317ABF">
              <w:rPr>
                <w:bCs/>
                <w:sz w:val="22"/>
                <w:szCs w:val="22"/>
                <w:lang w:eastAsia="en-US"/>
              </w:rPr>
              <w:t xml:space="preserve"> informuje abonenta o przejęciu zobowiązań dostawcy usług</w:t>
            </w:r>
            <w:r w:rsidRPr="00317ABF">
              <w:rPr>
                <w:sz w:val="22"/>
                <w:szCs w:val="22"/>
                <w:lang w:eastAsia="en-US"/>
              </w:rPr>
              <w:t xml:space="preserve"> telekomunikacyjnych</w:t>
            </w:r>
            <w:r w:rsidRPr="00317ABF">
              <w:rPr>
                <w:bCs/>
                <w:sz w:val="22"/>
                <w:szCs w:val="22"/>
                <w:lang w:eastAsia="en-US"/>
              </w:rPr>
              <w:t>, któremu Prezes UKE cofnął przydział numeracji i świadczeniu usług ze wskazaniem terminu końcowego nie krótszego niż jeden miesiąc. Jednocześnie przedsiębiorca ten informuje abonenta o konieczności zawarcia przed upływem tego terminu umowy o świadczenie publicznie dostępnych usług komunikacji elektronicznej albo przeniesienia numeru do innego dostawcy usług w celu zachowania ciągłości świadczenia usług.</w:t>
            </w:r>
          </w:p>
        </w:tc>
      </w:tr>
      <w:tr w:rsidR="001E1112" w:rsidRPr="00317ABF" w14:paraId="6961FB99" w14:textId="77777777" w:rsidTr="7753F98D">
        <w:trPr>
          <w:gridAfter w:val="2"/>
          <w:wAfter w:w="175" w:type="dxa"/>
        </w:trPr>
        <w:tc>
          <w:tcPr>
            <w:tcW w:w="704" w:type="dxa"/>
          </w:tcPr>
          <w:p w14:paraId="746E8B66" w14:textId="77777777" w:rsidR="001E1112" w:rsidRPr="00317ABF" w:rsidRDefault="001E1112" w:rsidP="00DB3BEC">
            <w:pPr>
              <w:jc w:val="both"/>
              <w:rPr>
                <w:sz w:val="22"/>
                <w:szCs w:val="22"/>
              </w:rPr>
            </w:pPr>
            <w:r w:rsidRPr="00317ABF">
              <w:rPr>
                <w:sz w:val="22"/>
                <w:szCs w:val="22"/>
              </w:rPr>
              <w:lastRenderedPageBreak/>
              <w:t>Art. 18 ust. 2</w:t>
            </w:r>
          </w:p>
        </w:tc>
        <w:tc>
          <w:tcPr>
            <w:tcW w:w="4308" w:type="dxa"/>
          </w:tcPr>
          <w:p w14:paraId="16C3312E" w14:textId="77777777" w:rsidR="001E1112" w:rsidRPr="00317ABF" w:rsidRDefault="001E1112" w:rsidP="00DB3BEC">
            <w:pPr>
              <w:spacing w:before="120"/>
              <w:jc w:val="both"/>
              <w:rPr>
                <w:sz w:val="22"/>
                <w:szCs w:val="22"/>
              </w:rPr>
            </w:pPr>
            <w:r w:rsidRPr="00317ABF">
              <w:rPr>
                <w:sz w:val="22"/>
                <w:szCs w:val="22"/>
              </w:rPr>
              <w:t xml:space="preserve">2.   Z wyjątkiem przypadków, w których proponowane zmiany są niewielkie i zostały uzgodnione z posiadaczem praw lub ogólnego zezwolenia, zamiar wprowadzenia takich zmian </w:t>
            </w:r>
            <w:r w:rsidRPr="00317ABF">
              <w:rPr>
                <w:sz w:val="22"/>
                <w:szCs w:val="22"/>
              </w:rPr>
              <w:lastRenderedPageBreak/>
              <w:t>ogłasza się w odpowiedni sposób. Zainteresowanym stronom, w tym użytkownikom i konsumentom, przyznaje się wystarczająco dużo czasu na wypowiedzenie się w kwestii proponowanych zmian. Okres ten nie może być krótszy niż cztery tygodnie, z wyjątkiem okoliczności nadzwyczajnych.</w:t>
            </w:r>
          </w:p>
          <w:p w14:paraId="352AA340" w14:textId="77777777" w:rsidR="001E1112" w:rsidRPr="00317ABF" w:rsidRDefault="001E1112" w:rsidP="00DB3BEC">
            <w:pPr>
              <w:spacing w:before="120"/>
              <w:jc w:val="both"/>
              <w:rPr>
                <w:sz w:val="22"/>
                <w:szCs w:val="22"/>
              </w:rPr>
            </w:pPr>
            <w:r w:rsidRPr="00317ABF">
              <w:rPr>
                <w:sz w:val="22"/>
                <w:szCs w:val="22"/>
              </w:rPr>
              <w:t>Zmiany podlegają publikacji z podaniem ich uzasadnienia.</w:t>
            </w:r>
          </w:p>
        </w:tc>
        <w:tc>
          <w:tcPr>
            <w:tcW w:w="986" w:type="dxa"/>
          </w:tcPr>
          <w:p w14:paraId="51371A77" w14:textId="6BCFA6AA" w:rsidR="001E1112" w:rsidRPr="00317ABF" w:rsidRDefault="001E1112" w:rsidP="00DB3BEC">
            <w:pPr>
              <w:jc w:val="both"/>
              <w:rPr>
                <w:sz w:val="22"/>
                <w:szCs w:val="22"/>
              </w:rPr>
            </w:pPr>
            <w:r w:rsidRPr="00317ABF">
              <w:rPr>
                <w:sz w:val="22"/>
                <w:szCs w:val="22"/>
              </w:rPr>
              <w:lastRenderedPageBreak/>
              <w:t>T</w:t>
            </w:r>
          </w:p>
        </w:tc>
        <w:tc>
          <w:tcPr>
            <w:tcW w:w="910" w:type="dxa"/>
          </w:tcPr>
          <w:p w14:paraId="78902104" w14:textId="6DE76A56" w:rsidR="001E1112" w:rsidRPr="00317ABF" w:rsidRDefault="001E1112" w:rsidP="00DB3BEC">
            <w:pPr>
              <w:pStyle w:val="Tekstpodstawowy"/>
              <w:rPr>
                <w:b/>
                <w:bCs/>
                <w:noProof/>
                <w:sz w:val="22"/>
                <w:szCs w:val="22"/>
              </w:rPr>
            </w:pPr>
            <w:r w:rsidRPr="00317ABF">
              <w:rPr>
                <w:b/>
                <w:bCs/>
                <w:noProof/>
                <w:sz w:val="22"/>
                <w:szCs w:val="22"/>
              </w:rPr>
              <w:t xml:space="preserve">Art. </w:t>
            </w:r>
            <w:r w:rsidR="00B15746" w:rsidRPr="00317ABF">
              <w:rPr>
                <w:b/>
                <w:bCs/>
                <w:noProof/>
                <w:sz w:val="22"/>
                <w:szCs w:val="22"/>
              </w:rPr>
              <w:t>90,</w:t>
            </w:r>
            <w:r w:rsidRPr="00317ABF">
              <w:rPr>
                <w:b/>
                <w:bCs/>
                <w:noProof/>
                <w:sz w:val="22"/>
                <w:szCs w:val="22"/>
              </w:rPr>
              <w:t xml:space="preserve"> </w:t>
            </w:r>
          </w:p>
          <w:p w14:paraId="32453F84" w14:textId="25FAF73D" w:rsidR="001E1112" w:rsidRPr="00317ABF" w:rsidRDefault="001E1112" w:rsidP="00DB3BEC">
            <w:pPr>
              <w:pStyle w:val="Tekstpodstawowy"/>
              <w:rPr>
                <w:b/>
                <w:bCs/>
                <w:noProof/>
                <w:sz w:val="22"/>
                <w:szCs w:val="22"/>
              </w:rPr>
            </w:pPr>
            <w:r w:rsidRPr="00317ABF">
              <w:rPr>
                <w:b/>
                <w:bCs/>
                <w:noProof/>
                <w:sz w:val="22"/>
                <w:szCs w:val="22"/>
              </w:rPr>
              <w:t xml:space="preserve">Art. </w:t>
            </w:r>
            <w:r w:rsidR="00B15746" w:rsidRPr="00317ABF">
              <w:rPr>
                <w:b/>
                <w:bCs/>
                <w:noProof/>
                <w:sz w:val="22"/>
                <w:szCs w:val="22"/>
              </w:rPr>
              <w:t>84</w:t>
            </w:r>
          </w:p>
          <w:p w14:paraId="677E83B0" w14:textId="0E214AC7" w:rsidR="001E1112" w:rsidRPr="00317ABF" w:rsidRDefault="001E1112" w:rsidP="00DB3BEC">
            <w:pPr>
              <w:pStyle w:val="Tekstpodstawowy"/>
              <w:rPr>
                <w:b/>
                <w:bCs/>
                <w:noProof/>
                <w:sz w:val="22"/>
                <w:szCs w:val="22"/>
              </w:rPr>
            </w:pPr>
          </w:p>
          <w:p w14:paraId="732434A0" w14:textId="4CE20B16" w:rsidR="001E1112" w:rsidRPr="00317ABF" w:rsidRDefault="001E1112" w:rsidP="00DB3BEC">
            <w:pPr>
              <w:pStyle w:val="Tekstpodstawowy"/>
              <w:rPr>
                <w:b/>
                <w:noProof/>
                <w:sz w:val="22"/>
                <w:szCs w:val="22"/>
              </w:rPr>
            </w:pPr>
          </w:p>
        </w:tc>
        <w:tc>
          <w:tcPr>
            <w:tcW w:w="6814" w:type="dxa"/>
            <w:gridSpan w:val="2"/>
          </w:tcPr>
          <w:p w14:paraId="006E34CF" w14:textId="77777777" w:rsidR="00B15746" w:rsidRPr="00317ABF" w:rsidRDefault="00B15746" w:rsidP="00B15746">
            <w:pPr>
              <w:pStyle w:val="ARTartustawynprozporzdzenia"/>
              <w:spacing w:before="0" w:line="240" w:lineRule="auto"/>
              <w:ind w:firstLine="0"/>
              <w:rPr>
                <w:rFonts w:ascii="Times New Roman" w:hAnsi="Times New Roman" w:cs="Times New Roman"/>
                <w:sz w:val="22"/>
                <w:szCs w:val="22"/>
              </w:rPr>
            </w:pPr>
            <w:r w:rsidRPr="00317ABF">
              <w:rPr>
                <w:rStyle w:val="Ppogrubienie"/>
                <w:rFonts w:ascii="Times New Roman" w:hAnsi="Times New Roman"/>
                <w:sz w:val="22"/>
                <w:szCs w:val="22"/>
              </w:rPr>
              <w:t>Art. 90.</w:t>
            </w:r>
            <w:r w:rsidRPr="00317ABF">
              <w:rPr>
                <w:rFonts w:ascii="Times New Roman" w:hAnsi="Times New Roman" w:cs="Times New Roman"/>
                <w:sz w:val="22"/>
                <w:szCs w:val="22"/>
              </w:rPr>
              <w:t xml:space="preserve"> 1. Prezes UKE niezwłocznie udostępnia na stronie podmiotowej BIP UKE informację o wszczęciu postępowania w sprawie zmiany lub cofnięcia rezerwacji częstotliwości i przeprowadza postępowanie konsultacyjne w tej sprawie.</w:t>
            </w:r>
          </w:p>
          <w:p w14:paraId="5F7CB560" w14:textId="1ECC1619" w:rsidR="001E1112" w:rsidRPr="00317ABF" w:rsidRDefault="001E1112" w:rsidP="00B15746">
            <w:pPr>
              <w:pStyle w:val="USTustnpkodeksu"/>
              <w:keepNext/>
              <w:spacing w:line="240" w:lineRule="auto"/>
              <w:rPr>
                <w:rFonts w:ascii="Times New Roman" w:hAnsi="Times New Roman" w:cs="Times New Roman"/>
                <w:sz w:val="22"/>
                <w:szCs w:val="22"/>
              </w:rPr>
            </w:pPr>
            <w:r w:rsidRPr="00317ABF">
              <w:rPr>
                <w:rFonts w:ascii="Times New Roman" w:eastAsia="Times" w:hAnsi="Times New Roman" w:cs="Times New Roman"/>
                <w:sz w:val="22"/>
                <w:szCs w:val="22"/>
              </w:rPr>
              <w:lastRenderedPageBreak/>
              <w:t>2. Przepisu ust. 1 nie stosuje się:</w:t>
            </w:r>
          </w:p>
          <w:p w14:paraId="750CF87C" w14:textId="77777777" w:rsidR="00B15746" w:rsidRPr="00317ABF" w:rsidRDefault="00B15746" w:rsidP="00B15746">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1)</w:t>
            </w:r>
            <w:r w:rsidRPr="00317ABF">
              <w:rPr>
                <w:rFonts w:ascii="Times New Roman" w:hAnsi="Times New Roman" w:cs="Times New Roman"/>
                <w:sz w:val="22"/>
                <w:szCs w:val="22"/>
              </w:rPr>
              <w:tab/>
              <w:t>gdy zmiana ma charakter nieistotny i jest dokonywana na wniosek lub za zgodą podmiotu dysponującego rezerwacją częstotliwości;</w:t>
            </w:r>
          </w:p>
          <w:p w14:paraId="0DA5A905" w14:textId="77777777" w:rsidR="00B15746" w:rsidRPr="00317ABF" w:rsidRDefault="00B15746" w:rsidP="00B15746">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2)</w:t>
            </w:r>
            <w:r w:rsidRPr="00317ABF">
              <w:rPr>
                <w:rFonts w:ascii="Times New Roman" w:hAnsi="Times New Roman" w:cs="Times New Roman"/>
                <w:sz w:val="22"/>
                <w:szCs w:val="22"/>
              </w:rPr>
              <w:tab/>
              <w:t>w wyjątkowych przypadkach, wymagających pilnego działania ze względu na wystąpienie okoliczności, o których mowa w art. 99 ust. 1 pkt 3;</w:t>
            </w:r>
          </w:p>
          <w:p w14:paraId="1B130F72" w14:textId="77777777" w:rsidR="001E1112" w:rsidRPr="00317ABF" w:rsidRDefault="001E1112" w:rsidP="00B15746">
            <w:pPr>
              <w:pStyle w:val="PKTpunkt0"/>
              <w:spacing w:line="240" w:lineRule="auto"/>
              <w:rPr>
                <w:rFonts w:ascii="Times New Roman" w:hAnsi="Times New Roman" w:cs="Times New Roman"/>
                <w:sz w:val="22"/>
                <w:szCs w:val="22"/>
              </w:rPr>
            </w:pPr>
            <w:r w:rsidRPr="00317ABF">
              <w:rPr>
                <w:rFonts w:ascii="Times New Roman" w:eastAsia="Times" w:hAnsi="Times New Roman" w:cs="Times New Roman"/>
                <w:sz w:val="22"/>
                <w:szCs w:val="22"/>
              </w:rPr>
              <w:t>3)</w:t>
            </w:r>
            <w:r w:rsidR="00B15746" w:rsidRPr="00317ABF">
              <w:rPr>
                <w:rFonts w:ascii="Times New Roman" w:hAnsi="Times New Roman" w:cs="Times New Roman"/>
                <w:sz w:val="22"/>
                <w:szCs w:val="22"/>
              </w:rPr>
              <w:tab/>
            </w:r>
            <w:r w:rsidRPr="00317ABF">
              <w:rPr>
                <w:rFonts w:ascii="Times New Roman" w:eastAsia="Times" w:hAnsi="Times New Roman" w:cs="Times New Roman"/>
                <w:sz w:val="22"/>
                <w:szCs w:val="22"/>
              </w:rPr>
              <w:t>gdy zmiana dotyczy rezerwacji częstotliwości na cele rozpowszechniania programów radiofonicznych w sposób analogowy drogą rozsiewczą naziemną.</w:t>
            </w:r>
          </w:p>
          <w:p w14:paraId="325A35D2" w14:textId="1F235AA0" w:rsidR="001E1112" w:rsidRPr="00317ABF" w:rsidRDefault="001E1112" w:rsidP="00DB3BEC">
            <w:pPr>
              <w:jc w:val="both"/>
              <w:rPr>
                <w:sz w:val="22"/>
                <w:szCs w:val="22"/>
              </w:rPr>
            </w:pPr>
            <w:r w:rsidRPr="00317ABF">
              <w:rPr>
                <w:sz w:val="22"/>
                <w:szCs w:val="22"/>
              </w:rPr>
              <w:t>3. Za zmianę nieistotną nie można, w szczególności, uznać zmiany, która prowadzi do rozszerzenia zakresu uprawnień wynikających z rezerwacji częstotliwości.</w:t>
            </w:r>
          </w:p>
          <w:p w14:paraId="2328BB07" w14:textId="215E2ADE" w:rsidR="001E1112" w:rsidRPr="00317ABF" w:rsidRDefault="001E1112" w:rsidP="00DB3BEC">
            <w:pPr>
              <w:jc w:val="both"/>
              <w:rPr>
                <w:sz w:val="22"/>
                <w:szCs w:val="22"/>
              </w:rPr>
            </w:pPr>
            <w:r w:rsidRPr="00317ABF">
              <w:rPr>
                <w:rStyle w:val="Ppogrubienie"/>
                <w:sz w:val="22"/>
                <w:szCs w:val="22"/>
              </w:rPr>
              <w:t>Art.</w:t>
            </w:r>
            <w:r w:rsidR="00B15746" w:rsidRPr="00317ABF">
              <w:rPr>
                <w:rStyle w:val="Ppogrubienie"/>
                <w:sz w:val="22"/>
                <w:szCs w:val="22"/>
              </w:rPr>
              <w:t> 84</w:t>
            </w:r>
            <w:r w:rsidRPr="00317ABF">
              <w:rPr>
                <w:rStyle w:val="Ppogrubienie"/>
                <w:sz w:val="22"/>
                <w:szCs w:val="22"/>
              </w:rPr>
              <w:t>.</w:t>
            </w:r>
            <w:r w:rsidRPr="00317ABF">
              <w:rPr>
                <w:sz w:val="22"/>
                <w:szCs w:val="22"/>
              </w:rPr>
              <w:t xml:space="preserve"> Prezes UKE niezwłocznie udostępnia decyzję o dokonaniu lub zmianie rezerwacji częstotliwości na stronie podmiotowej BIP UKE.</w:t>
            </w:r>
          </w:p>
        </w:tc>
      </w:tr>
      <w:tr w:rsidR="001E1112" w:rsidRPr="00317ABF" w14:paraId="0D872F24" w14:textId="77777777" w:rsidTr="7753F98D">
        <w:trPr>
          <w:gridAfter w:val="2"/>
          <w:wAfter w:w="175" w:type="dxa"/>
        </w:trPr>
        <w:tc>
          <w:tcPr>
            <w:tcW w:w="704" w:type="dxa"/>
          </w:tcPr>
          <w:p w14:paraId="36827E08" w14:textId="77777777" w:rsidR="001E1112" w:rsidRPr="00317ABF" w:rsidRDefault="001E1112" w:rsidP="00DB3BEC">
            <w:pPr>
              <w:jc w:val="both"/>
              <w:rPr>
                <w:b/>
                <w:sz w:val="22"/>
                <w:szCs w:val="22"/>
              </w:rPr>
            </w:pPr>
            <w:r w:rsidRPr="00317ABF">
              <w:rPr>
                <w:b/>
                <w:sz w:val="22"/>
                <w:szCs w:val="22"/>
              </w:rPr>
              <w:lastRenderedPageBreak/>
              <w:t>Art. 19</w:t>
            </w:r>
          </w:p>
        </w:tc>
        <w:tc>
          <w:tcPr>
            <w:tcW w:w="4308" w:type="dxa"/>
          </w:tcPr>
          <w:p w14:paraId="0CD7E475" w14:textId="77777777" w:rsidR="001E1112" w:rsidRPr="00317ABF" w:rsidRDefault="001E1112" w:rsidP="00DB3BEC">
            <w:pPr>
              <w:spacing w:before="60" w:after="120"/>
              <w:jc w:val="both"/>
              <w:rPr>
                <w:b/>
                <w:bCs/>
                <w:sz w:val="22"/>
                <w:szCs w:val="22"/>
              </w:rPr>
            </w:pPr>
            <w:r w:rsidRPr="00317ABF">
              <w:rPr>
                <w:b/>
                <w:bCs/>
                <w:sz w:val="22"/>
                <w:szCs w:val="22"/>
              </w:rPr>
              <w:t>Ograniczenie lub cofnięcie praw</w:t>
            </w:r>
          </w:p>
        </w:tc>
        <w:tc>
          <w:tcPr>
            <w:tcW w:w="986" w:type="dxa"/>
          </w:tcPr>
          <w:p w14:paraId="256AC6DA" w14:textId="77777777" w:rsidR="001E1112" w:rsidRPr="00317ABF" w:rsidRDefault="001E1112" w:rsidP="00DB3BEC">
            <w:pPr>
              <w:jc w:val="both"/>
              <w:rPr>
                <w:sz w:val="22"/>
                <w:szCs w:val="22"/>
              </w:rPr>
            </w:pPr>
          </w:p>
        </w:tc>
        <w:tc>
          <w:tcPr>
            <w:tcW w:w="910" w:type="dxa"/>
          </w:tcPr>
          <w:p w14:paraId="38AA98D6" w14:textId="77777777" w:rsidR="001E1112" w:rsidRPr="00317ABF" w:rsidRDefault="001E1112" w:rsidP="00DB3BEC">
            <w:pPr>
              <w:pStyle w:val="Tekstpodstawowy"/>
              <w:rPr>
                <w:b/>
                <w:noProof/>
                <w:sz w:val="22"/>
                <w:szCs w:val="22"/>
              </w:rPr>
            </w:pPr>
          </w:p>
        </w:tc>
        <w:tc>
          <w:tcPr>
            <w:tcW w:w="6814" w:type="dxa"/>
            <w:gridSpan w:val="2"/>
          </w:tcPr>
          <w:p w14:paraId="665A1408" w14:textId="77777777" w:rsidR="001E1112" w:rsidRPr="00317ABF" w:rsidRDefault="001E1112" w:rsidP="00DB3BEC">
            <w:pPr>
              <w:pStyle w:val="Tekstpodstawowy"/>
              <w:rPr>
                <w:sz w:val="22"/>
                <w:szCs w:val="22"/>
              </w:rPr>
            </w:pPr>
          </w:p>
        </w:tc>
      </w:tr>
      <w:tr w:rsidR="001E1112" w:rsidRPr="00317ABF" w14:paraId="68D3CB3F" w14:textId="77777777" w:rsidTr="7753F98D">
        <w:trPr>
          <w:gridAfter w:val="2"/>
          <w:wAfter w:w="175" w:type="dxa"/>
        </w:trPr>
        <w:tc>
          <w:tcPr>
            <w:tcW w:w="704" w:type="dxa"/>
          </w:tcPr>
          <w:p w14:paraId="5C037D0B" w14:textId="77777777" w:rsidR="001E1112" w:rsidRPr="00317ABF" w:rsidRDefault="001E1112" w:rsidP="00DB3BEC">
            <w:pPr>
              <w:jc w:val="both"/>
              <w:rPr>
                <w:sz w:val="22"/>
                <w:szCs w:val="22"/>
              </w:rPr>
            </w:pPr>
            <w:r w:rsidRPr="00317ABF">
              <w:rPr>
                <w:sz w:val="22"/>
                <w:szCs w:val="22"/>
              </w:rPr>
              <w:t>Art. 19 ust. 1</w:t>
            </w:r>
          </w:p>
        </w:tc>
        <w:tc>
          <w:tcPr>
            <w:tcW w:w="4308" w:type="dxa"/>
          </w:tcPr>
          <w:p w14:paraId="3D225C80" w14:textId="77777777" w:rsidR="001E1112" w:rsidRPr="00317ABF" w:rsidRDefault="001E1112" w:rsidP="00DB3BEC">
            <w:pPr>
              <w:spacing w:before="120"/>
              <w:jc w:val="both"/>
              <w:rPr>
                <w:sz w:val="22"/>
                <w:szCs w:val="22"/>
              </w:rPr>
            </w:pPr>
            <w:r w:rsidRPr="00317ABF">
              <w:rPr>
                <w:sz w:val="22"/>
                <w:szCs w:val="22"/>
              </w:rPr>
              <w:t>1.   Bez uszczerbku dla art. 30 ust. 5 i 6 państwa członkowskie nie ograniczają ani nie cofają praw instalowania urządzeń ani praw użytkowania widma radiowego lub zasobów numeracyjnych przed upływem okresu, na jaki zostały one przyznane, chyba że jest to uzasadnione na podstawie ust. 2 niniejszego artykułu i, w stosownych przypadkach, zgodne z załącznikiem I oraz odpowiednimi przepisami prawa krajowego dotyczącymi odszkodowania w przypadku cofnięcia praw.</w:t>
            </w:r>
          </w:p>
        </w:tc>
        <w:tc>
          <w:tcPr>
            <w:tcW w:w="986" w:type="dxa"/>
          </w:tcPr>
          <w:p w14:paraId="712A6005" w14:textId="77777777" w:rsidR="001E1112" w:rsidRPr="00317ABF" w:rsidRDefault="001E1112" w:rsidP="00DB3BEC">
            <w:pPr>
              <w:jc w:val="both"/>
              <w:rPr>
                <w:sz w:val="22"/>
                <w:szCs w:val="22"/>
              </w:rPr>
            </w:pPr>
            <w:r w:rsidRPr="00317ABF">
              <w:rPr>
                <w:sz w:val="22"/>
                <w:szCs w:val="22"/>
              </w:rPr>
              <w:t>T</w:t>
            </w:r>
          </w:p>
          <w:p w14:paraId="01B28785" w14:textId="77777777" w:rsidR="001E1112" w:rsidRPr="00317ABF" w:rsidRDefault="001E1112" w:rsidP="00DB3BEC">
            <w:pPr>
              <w:jc w:val="both"/>
              <w:rPr>
                <w:sz w:val="22"/>
                <w:szCs w:val="22"/>
              </w:rPr>
            </w:pPr>
          </w:p>
          <w:p w14:paraId="71049383" w14:textId="69754BA9" w:rsidR="001E1112" w:rsidRPr="00317ABF" w:rsidRDefault="001E1112" w:rsidP="00DB3BEC">
            <w:pPr>
              <w:jc w:val="both"/>
              <w:rPr>
                <w:sz w:val="22"/>
                <w:szCs w:val="22"/>
              </w:rPr>
            </w:pPr>
            <w:r w:rsidRPr="00317ABF">
              <w:rPr>
                <w:sz w:val="22"/>
                <w:szCs w:val="22"/>
              </w:rPr>
              <w:t>N w zakresie cofania praw instalowania urządzeń</w:t>
            </w:r>
          </w:p>
        </w:tc>
        <w:tc>
          <w:tcPr>
            <w:tcW w:w="910" w:type="dxa"/>
          </w:tcPr>
          <w:p w14:paraId="02684544" w14:textId="44375DB5" w:rsidR="001E1112" w:rsidRPr="00317ABF" w:rsidRDefault="001E1112" w:rsidP="00DB3BEC">
            <w:pPr>
              <w:pStyle w:val="Tekstpodstawowy"/>
              <w:rPr>
                <w:b/>
                <w:bCs/>
                <w:noProof/>
                <w:sz w:val="22"/>
                <w:szCs w:val="22"/>
              </w:rPr>
            </w:pPr>
            <w:r w:rsidRPr="00317ABF">
              <w:rPr>
                <w:b/>
                <w:sz w:val="22"/>
                <w:szCs w:val="22"/>
              </w:rPr>
              <w:t xml:space="preserve">Art. </w:t>
            </w:r>
            <w:r w:rsidRPr="00317ABF">
              <w:rPr>
                <w:b/>
                <w:bCs/>
                <w:noProof/>
                <w:sz w:val="22"/>
                <w:szCs w:val="22"/>
              </w:rPr>
              <w:t>94</w:t>
            </w:r>
            <w:r w:rsidR="00B15746" w:rsidRPr="00317ABF">
              <w:rPr>
                <w:b/>
                <w:bCs/>
                <w:noProof/>
                <w:sz w:val="22"/>
                <w:szCs w:val="22"/>
              </w:rPr>
              <w:t xml:space="preserve"> w zakresie widma</w:t>
            </w:r>
          </w:p>
          <w:p w14:paraId="4C168ECB" w14:textId="3AADE95D" w:rsidR="001E1112" w:rsidRPr="00317ABF" w:rsidRDefault="001E1112" w:rsidP="00DB3BEC">
            <w:pPr>
              <w:pStyle w:val="Tekstpodstawowy"/>
              <w:rPr>
                <w:b/>
                <w:bCs/>
                <w:noProof/>
                <w:sz w:val="22"/>
                <w:szCs w:val="22"/>
              </w:rPr>
            </w:pPr>
          </w:p>
          <w:p w14:paraId="42F7E235" w14:textId="77777777" w:rsidR="001E1112" w:rsidRPr="00317ABF" w:rsidRDefault="001E1112" w:rsidP="00DB3BEC">
            <w:pPr>
              <w:pStyle w:val="Tekstpodstawowy"/>
              <w:rPr>
                <w:b/>
                <w:bCs/>
                <w:noProof/>
                <w:sz w:val="22"/>
                <w:szCs w:val="22"/>
              </w:rPr>
            </w:pPr>
          </w:p>
          <w:p w14:paraId="6848F352" w14:textId="77777777" w:rsidR="001E1112" w:rsidRPr="00317ABF" w:rsidRDefault="001E1112" w:rsidP="00DB3BEC">
            <w:pPr>
              <w:pStyle w:val="Tekstpodstawowy"/>
              <w:rPr>
                <w:b/>
                <w:bCs/>
                <w:noProof/>
                <w:sz w:val="22"/>
                <w:szCs w:val="22"/>
              </w:rPr>
            </w:pPr>
          </w:p>
          <w:p w14:paraId="1305F87F" w14:textId="52C69785" w:rsidR="001E1112" w:rsidRPr="00317ABF" w:rsidRDefault="001E1112" w:rsidP="00DB3BEC">
            <w:pPr>
              <w:pStyle w:val="Tekstpodstawowy"/>
              <w:rPr>
                <w:b/>
                <w:bCs/>
                <w:noProof/>
                <w:sz w:val="22"/>
                <w:szCs w:val="22"/>
              </w:rPr>
            </w:pPr>
            <w:r w:rsidRPr="00317ABF">
              <w:rPr>
                <w:b/>
                <w:bCs/>
                <w:noProof/>
                <w:sz w:val="22"/>
                <w:szCs w:val="22"/>
              </w:rPr>
              <w:t>W zakresie numeracji art. 141 ust. 1</w:t>
            </w:r>
          </w:p>
          <w:p w14:paraId="4D16AC41" w14:textId="72C9BC46" w:rsidR="001E1112" w:rsidRPr="00317ABF" w:rsidRDefault="001E1112" w:rsidP="00DB3BEC">
            <w:pPr>
              <w:pStyle w:val="Tekstpodstawowy"/>
              <w:rPr>
                <w:b/>
                <w:bCs/>
                <w:noProof/>
                <w:sz w:val="22"/>
                <w:szCs w:val="22"/>
              </w:rPr>
            </w:pPr>
          </w:p>
        </w:tc>
        <w:tc>
          <w:tcPr>
            <w:tcW w:w="6814" w:type="dxa"/>
            <w:gridSpan w:val="2"/>
          </w:tcPr>
          <w:p w14:paraId="5147B1A1" w14:textId="77777777" w:rsidR="001E1112" w:rsidRPr="00317ABF" w:rsidRDefault="001E1112" w:rsidP="00B15746">
            <w:pPr>
              <w:pStyle w:val="ARTartustawynprozporzdzenia"/>
              <w:keepNext/>
              <w:spacing w:before="0" w:line="240" w:lineRule="auto"/>
              <w:ind w:firstLine="0"/>
              <w:rPr>
                <w:rFonts w:ascii="Times New Roman" w:hAnsi="Times New Roman" w:cs="Times New Roman"/>
                <w:sz w:val="22"/>
                <w:szCs w:val="22"/>
              </w:rPr>
            </w:pPr>
            <w:r w:rsidRPr="00317ABF">
              <w:rPr>
                <w:rStyle w:val="Ppogrubienie"/>
                <w:rFonts w:ascii="Times New Roman" w:hAnsi="Times New Roman"/>
                <w:sz w:val="22"/>
                <w:szCs w:val="22"/>
              </w:rPr>
              <w:t>Art. 94.</w:t>
            </w:r>
            <w:r w:rsidRPr="00317ABF">
              <w:rPr>
                <w:rFonts w:ascii="Times New Roman" w:hAnsi="Times New Roman" w:cs="Times New Roman"/>
                <w:sz w:val="22"/>
                <w:szCs w:val="22"/>
              </w:rPr>
              <w:t xml:space="preserve"> 1. Prezes UKE, w drodze decyzji, może zmienić lub cofnąć rezerwację częstotliwości w przypadku:</w:t>
            </w:r>
          </w:p>
          <w:p w14:paraId="46765ABC" w14:textId="77777777" w:rsidR="001E1112" w:rsidRPr="00317ABF" w:rsidRDefault="001E1112" w:rsidP="00DB3BEC">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1)</w:t>
            </w:r>
            <w:r w:rsidRPr="00317ABF">
              <w:rPr>
                <w:rFonts w:ascii="Times New Roman" w:hAnsi="Times New Roman" w:cs="Times New Roman"/>
                <w:sz w:val="22"/>
                <w:szCs w:val="22"/>
              </w:rPr>
              <w:tab/>
              <w:t>stwierdzenia, że używanie urządzenia radiowego zgodnie z rezerwacją powoduje szkodliwe zakłócenia lub szkodliwe zaburzenia elektromagnetyczne;</w:t>
            </w:r>
          </w:p>
          <w:p w14:paraId="4583B1B1" w14:textId="77777777" w:rsidR="001E1112" w:rsidRPr="00317ABF" w:rsidRDefault="001E1112" w:rsidP="00DB3BEC">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2)</w:t>
            </w:r>
            <w:r w:rsidRPr="00317ABF">
              <w:rPr>
                <w:rFonts w:ascii="Times New Roman" w:hAnsi="Times New Roman" w:cs="Times New Roman"/>
                <w:sz w:val="22"/>
                <w:szCs w:val="22"/>
              </w:rPr>
              <w:tab/>
              <w:t>zmiany w Krajowej Tablicy Przeznaczeń Częstotliwości przeznaczenia częstotliwości objętych rezerwacją częstotliwości;</w:t>
            </w:r>
          </w:p>
          <w:p w14:paraId="6844B382" w14:textId="77777777" w:rsidR="001E1112" w:rsidRPr="00317ABF" w:rsidRDefault="001E1112" w:rsidP="00DB3BEC">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3)</w:t>
            </w:r>
            <w:r w:rsidRPr="00317ABF">
              <w:rPr>
                <w:rFonts w:ascii="Times New Roman" w:hAnsi="Times New Roman" w:cs="Times New Roman"/>
                <w:sz w:val="22"/>
                <w:szCs w:val="22"/>
              </w:rPr>
              <w:tab/>
              <w:t>wystąpienia okoliczności prowadzących do zagrożenia obronności, bezpieczeństwa państwa lub bezpieczeństwa i porządku publicznego;</w:t>
            </w:r>
          </w:p>
          <w:p w14:paraId="2EA764C2" w14:textId="77777777" w:rsidR="001E1112" w:rsidRPr="00317ABF" w:rsidRDefault="001E1112" w:rsidP="00DB3BEC">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4)</w:t>
            </w:r>
            <w:r w:rsidRPr="00317ABF">
              <w:rPr>
                <w:rFonts w:ascii="Times New Roman" w:hAnsi="Times New Roman" w:cs="Times New Roman"/>
                <w:sz w:val="22"/>
                <w:szCs w:val="22"/>
              </w:rPr>
              <w:tab/>
              <w:t>nierozpoczęcia wykorzystywania częstotliwości objętych rezerwacją w terminie, o którym mowa w art. 82 ust. 1 pkt 7, z przyczyn leżących po stronie podmiotu dysponującego rezerwacją częstotliwości;</w:t>
            </w:r>
          </w:p>
          <w:p w14:paraId="66D13AD8" w14:textId="77777777" w:rsidR="001E1112" w:rsidRPr="00317ABF" w:rsidRDefault="001E1112" w:rsidP="00DB3BEC">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5)</w:t>
            </w:r>
            <w:r w:rsidRPr="00317ABF">
              <w:rPr>
                <w:rFonts w:ascii="Times New Roman" w:hAnsi="Times New Roman" w:cs="Times New Roman"/>
                <w:sz w:val="22"/>
                <w:szCs w:val="22"/>
              </w:rPr>
              <w:tab/>
              <w:t>zaprzestania wykorzystywania częstotliwości przez co najmniej 6 miesięcy, z przyczyn leżących po stronie podmiotu dysponującego rezerwacją częstotliwości;</w:t>
            </w:r>
          </w:p>
          <w:p w14:paraId="03CB5E8B" w14:textId="77777777" w:rsidR="001E1112" w:rsidRPr="00317ABF" w:rsidRDefault="001E1112" w:rsidP="00DB3BEC">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6)</w:t>
            </w:r>
            <w:r w:rsidRPr="00317ABF">
              <w:rPr>
                <w:rFonts w:ascii="Times New Roman" w:hAnsi="Times New Roman" w:cs="Times New Roman"/>
                <w:sz w:val="22"/>
                <w:szCs w:val="22"/>
              </w:rPr>
              <w:tab/>
              <w:t>wystąpienia powtarzających się naruszeń warunków wykorzystania częstotliwości lub obowiązku wnoszenia opłat za częstotliwości;</w:t>
            </w:r>
          </w:p>
          <w:p w14:paraId="2BF6A774" w14:textId="77777777" w:rsidR="001E1112" w:rsidRPr="00317ABF" w:rsidRDefault="001E1112" w:rsidP="00DB3BEC">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7)</w:t>
            </w:r>
            <w:r w:rsidRPr="00317ABF">
              <w:rPr>
                <w:rFonts w:ascii="Times New Roman" w:hAnsi="Times New Roman" w:cs="Times New Roman"/>
                <w:sz w:val="22"/>
                <w:szCs w:val="22"/>
              </w:rPr>
              <w:tab/>
              <w:t>niewywiązywania się z zobowiązań, o których mowa w art. 82 ust. 1 pkt 10, z przyczyn leżących po stronie podmiotu dysponującego rezerwacją częstotliwości;</w:t>
            </w:r>
          </w:p>
          <w:p w14:paraId="3082E662" w14:textId="77777777" w:rsidR="001E1112" w:rsidRPr="00317ABF" w:rsidRDefault="001E1112" w:rsidP="00DB3BEC">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8)</w:t>
            </w:r>
            <w:r w:rsidRPr="00317ABF">
              <w:rPr>
                <w:rFonts w:ascii="Times New Roman" w:hAnsi="Times New Roman" w:cs="Times New Roman"/>
                <w:sz w:val="22"/>
                <w:szCs w:val="22"/>
              </w:rPr>
              <w:tab/>
              <w:t>częstotliwości objęte rezerwacją są wykorzystywane w sposób nieefektywny;</w:t>
            </w:r>
          </w:p>
          <w:p w14:paraId="28CCFDE4" w14:textId="77777777" w:rsidR="001E1112" w:rsidRPr="00317ABF" w:rsidRDefault="001E1112" w:rsidP="00DB3BEC">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lastRenderedPageBreak/>
              <w:t>9)</w:t>
            </w:r>
            <w:r w:rsidRPr="00317ABF">
              <w:rPr>
                <w:rFonts w:ascii="Times New Roman" w:hAnsi="Times New Roman" w:cs="Times New Roman"/>
                <w:sz w:val="22"/>
                <w:szCs w:val="22"/>
              </w:rPr>
              <w:tab/>
              <w:t>gdy jest to konieczne dla realizacji zobowiązań wynikających z wiążących Rzeczpospolitą Polską umów międzynarodowych lub aktów prawnych Unii Europejskiej, dotyczących gospodarowania częstotliwościami;</w:t>
            </w:r>
          </w:p>
          <w:p w14:paraId="5B34E7D2" w14:textId="77777777" w:rsidR="001E1112" w:rsidRPr="00317ABF" w:rsidRDefault="001E1112" w:rsidP="00DB3BEC">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10)</w:t>
            </w:r>
            <w:r w:rsidRPr="00317ABF">
              <w:rPr>
                <w:rFonts w:ascii="Times New Roman" w:hAnsi="Times New Roman" w:cs="Times New Roman"/>
                <w:sz w:val="22"/>
                <w:szCs w:val="22"/>
              </w:rPr>
              <w:tab/>
              <w:t>stwierdzenia, że na skutek transakcji handlowej, w szczególności skutkującej przejęciem kontroli w rozumieniu art. 4 pkt 4 ustawy z dnia 16 lutego 2007 r. o ochronie konkurencji i konsumentów nad podmiotem dysponującym rezerwacją częstotliwości, doszło do nadmiernego skupienia częstotliwości przez podmiot lub grupę kapitałową.</w:t>
            </w:r>
          </w:p>
          <w:p w14:paraId="17AE54E2" w14:textId="77777777" w:rsidR="001E1112" w:rsidRPr="00317ABF" w:rsidRDefault="001E1112" w:rsidP="00DB3BEC">
            <w:pPr>
              <w:pStyle w:val="USTustnpkodeksu"/>
              <w:spacing w:line="240" w:lineRule="auto"/>
              <w:rPr>
                <w:rFonts w:ascii="Times New Roman" w:hAnsi="Times New Roman" w:cs="Times New Roman"/>
                <w:sz w:val="22"/>
                <w:szCs w:val="22"/>
              </w:rPr>
            </w:pPr>
            <w:r w:rsidRPr="00317ABF">
              <w:rPr>
                <w:rFonts w:ascii="Times New Roman" w:hAnsi="Times New Roman" w:cs="Times New Roman"/>
                <w:sz w:val="22"/>
                <w:szCs w:val="22"/>
              </w:rPr>
              <w:t>2. Przepisu ust. 1 pkt 10 nie stosuje się, jeżeli strony transakcji handlowej zgłosiły na piśmie Prezesowi UKE zamiar jej przeprowadzenia, a Prezes UKE potwierdził, że zamierzona transakcja handlowa nie będzie prowadziła do nadmiernego skupienia częstotliwości. Prezes UKE zawiadamia strony transakcji handlowej o swoim stanowisku w tej sprawie w terminie 30 dni od dnia otrzymania zgłoszenia zamiaru przeprowadzenia transakcji. W przypadku niezawiadomienia przez Prezesa UKE stron transakcji handlowej w tym terminie uznaje się, że Prezes UKE potwierdził, że zamierzona transakcja handlowa nie będzie prowadziła do nadmiernego skupienia częstotliwości.</w:t>
            </w:r>
          </w:p>
          <w:p w14:paraId="15FB23AB" w14:textId="77777777" w:rsidR="001E1112" w:rsidRPr="00317ABF" w:rsidRDefault="001E1112" w:rsidP="00DB3BEC">
            <w:pPr>
              <w:pStyle w:val="USTustnpkodeksu"/>
              <w:spacing w:line="240" w:lineRule="auto"/>
              <w:rPr>
                <w:rFonts w:ascii="Times New Roman" w:hAnsi="Times New Roman" w:cs="Times New Roman"/>
                <w:sz w:val="22"/>
                <w:szCs w:val="22"/>
              </w:rPr>
            </w:pPr>
            <w:r w:rsidRPr="00317ABF">
              <w:rPr>
                <w:rFonts w:ascii="Times New Roman" w:hAnsi="Times New Roman" w:cs="Times New Roman"/>
                <w:sz w:val="22"/>
                <w:szCs w:val="22"/>
              </w:rPr>
              <w:t>3. Przepisu ust. 1 pkt 10 nie stosuje się po upływie 5 lat od dnia dokonania transakcji handlowej.</w:t>
            </w:r>
          </w:p>
          <w:p w14:paraId="08AFC53A" w14:textId="77777777" w:rsidR="001E1112" w:rsidRPr="00317ABF" w:rsidRDefault="001E1112" w:rsidP="00DB3BEC">
            <w:pPr>
              <w:pStyle w:val="USTustnpkodeksu"/>
              <w:spacing w:line="240" w:lineRule="auto"/>
              <w:rPr>
                <w:rFonts w:ascii="Times New Roman" w:hAnsi="Times New Roman" w:cs="Times New Roman"/>
                <w:sz w:val="22"/>
                <w:szCs w:val="22"/>
              </w:rPr>
            </w:pPr>
            <w:r w:rsidRPr="00317ABF">
              <w:rPr>
                <w:rFonts w:ascii="Times New Roman" w:hAnsi="Times New Roman" w:cs="Times New Roman"/>
                <w:sz w:val="22"/>
                <w:szCs w:val="22"/>
              </w:rPr>
              <w:t xml:space="preserve">4. Niezależnie od przesłanek, o których mowa w ust. 1, Prezes UKE może zmienić rezerwację w zakresie warunków wykorzystywania częstotliwości, o których mowa w art. </w:t>
            </w:r>
            <w:r w:rsidR="00B15746" w:rsidRPr="00317ABF">
              <w:rPr>
                <w:rFonts w:ascii="Times New Roman" w:hAnsi="Times New Roman" w:cs="Times New Roman"/>
                <w:sz w:val="22"/>
                <w:szCs w:val="22"/>
              </w:rPr>
              <w:t>141</w:t>
            </w:r>
            <w:r w:rsidRPr="00317ABF">
              <w:rPr>
                <w:rFonts w:ascii="Times New Roman" w:hAnsi="Times New Roman" w:cs="Times New Roman"/>
                <w:sz w:val="22"/>
                <w:szCs w:val="22"/>
              </w:rPr>
              <w:t>, również jeżeli praca urządzenia radiowego jest zakłócana przez inne urządzenia lub sieci telekomunikacyjne.</w:t>
            </w:r>
          </w:p>
          <w:p w14:paraId="547094C9" w14:textId="77777777" w:rsidR="001E1112" w:rsidRPr="00317ABF" w:rsidRDefault="001E1112" w:rsidP="00DB3BEC">
            <w:pPr>
              <w:pStyle w:val="USTustnpkodeksu"/>
              <w:spacing w:line="240" w:lineRule="auto"/>
              <w:rPr>
                <w:rFonts w:ascii="Times New Roman" w:hAnsi="Times New Roman" w:cs="Times New Roman"/>
                <w:sz w:val="22"/>
                <w:szCs w:val="22"/>
              </w:rPr>
            </w:pPr>
            <w:r w:rsidRPr="00317ABF">
              <w:rPr>
                <w:rFonts w:ascii="Times New Roman" w:hAnsi="Times New Roman" w:cs="Times New Roman"/>
                <w:sz w:val="22"/>
                <w:szCs w:val="22"/>
              </w:rPr>
              <w:t xml:space="preserve">5. Niezależnie od przesłanek, o których mowa w ust. 1 i 4, Prezes UKE zmienia rezerwację częstotliwości w zakresie ograniczeń, o których mowa </w:t>
            </w:r>
            <w:r w:rsidR="00B15746" w:rsidRPr="00317ABF">
              <w:rPr>
                <w:rFonts w:ascii="Times New Roman" w:hAnsi="Times New Roman" w:cs="Times New Roman"/>
                <w:sz w:val="22"/>
                <w:szCs w:val="22"/>
              </w:rPr>
              <w:t>w art. 87</w:t>
            </w:r>
            <w:r w:rsidRPr="00317ABF">
              <w:rPr>
                <w:rFonts w:ascii="Times New Roman" w:hAnsi="Times New Roman" w:cs="Times New Roman"/>
                <w:sz w:val="22"/>
                <w:szCs w:val="22"/>
              </w:rPr>
              <w:t xml:space="preserve"> ust. 3 pkt 4, jeżeli nie zachodzi konieczność utrzymywania tych ograniczeń, w szczególności, gdy wynika to z przeglądu, o którym mowa w art. </w:t>
            </w:r>
            <w:r w:rsidR="00B15746" w:rsidRPr="00317ABF">
              <w:rPr>
                <w:rFonts w:ascii="Times New Roman" w:hAnsi="Times New Roman" w:cs="Times New Roman"/>
                <w:sz w:val="22"/>
                <w:szCs w:val="22"/>
              </w:rPr>
              <w:t>414</w:t>
            </w:r>
            <w:r w:rsidRPr="00317ABF">
              <w:rPr>
                <w:rFonts w:ascii="Times New Roman" w:hAnsi="Times New Roman" w:cs="Times New Roman"/>
                <w:sz w:val="22"/>
                <w:szCs w:val="22"/>
              </w:rPr>
              <w:t xml:space="preserve"> ust. 3.</w:t>
            </w:r>
          </w:p>
          <w:p w14:paraId="6105698B" w14:textId="449E1646" w:rsidR="001E1112" w:rsidRPr="00317ABF" w:rsidRDefault="001E1112" w:rsidP="00DB3BEC">
            <w:pPr>
              <w:pStyle w:val="USTustnpkodeksu"/>
              <w:spacing w:line="240" w:lineRule="auto"/>
              <w:rPr>
                <w:rFonts w:ascii="Times New Roman" w:hAnsi="Times New Roman" w:cs="Times New Roman"/>
                <w:sz w:val="22"/>
                <w:szCs w:val="22"/>
              </w:rPr>
            </w:pPr>
            <w:r w:rsidRPr="00317ABF">
              <w:rPr>
                <w:rFonts w:ascii="Times New Roman" w:hAnsi="Times New Roman" w:cs="Times New Roman"/>
                <w:sz w:val="22"/>
                <w:szCs w:val="22"/>
              </w:rPr>
              <w:t>6. Prezes UKE, w celu zapewnienia ładu w gospodarce częstotliwościami oraz zwiększenia efektywności wykorzystywanych częstotliwości, może dokonać zmiany przydzielonych rezerwacji częstotliwości z danego zakresu częstotliwości poprzez zamianę częstotliwości objętych rezerwacją na częstotliwości o analogicznych właściwościach. Zmiana może dotyczyć całości lub części częstotliwości objętych rezerwacją.</w:t>
            </w:r>
          </w:p>
          <w:p w14:paraId="529DA1E5" w14:textId="77777777" w:rsidR="001E1112" w:rsidRPr="00317ABF" w:rsidRDefault="001E1112" w:rsidP="00DB3BEC">
            <w:pPr>
              <w:pStyle w:val="USTustnpkodeksu"/>
              <w:spacing w:line="240" w:lineRule="auto"/>
              <w:rPr>
                <w:rFonts w:ascii="Times New Roman" w:hAnsi="Times New Roman" w:cs="Times New Roman"/>
                <w:sz w:val="22"/>
                <w:szCs w:val="22"/>
              </w:rPr>
            </w:pPr>
            <w:r w:rsidRPr="00317ABF">
              <w:rPr>
                <w:rFonts w:ascii="Times New Roman" w:hAnsi="Times New Roman" w:cs="Times New Roman"/>
                <w:sz w:val="22"/>
                <w:szCs w:val="22"/>
              </w:rPr>
              <w:lastRenderedPageBreak/>
              <w:t>7. Prezes UKE, w przypadku, o którym mowa w ust. 6, może wszcząć i prowadzić jedno postępowanie oraz wydać jedną decyzję lub odrębne decyzje dla każdej z rezerwacji częstotliwości albo prowadzić odrębne postępowania zakończone wydaniem odrębnych decyzji.</w:t>
            </w:r>
          </w:p>
          <w:p w14:paraId="47F9000C" w14:textId="77777777" w:rsidR="001E1112" w:rsidRPr="00317ABF" w:rsidRDefault="001E1112" w:rsidP="00DB3BEC">
            <w:pPr>
              <w:jc w:val="both"/>
              <w:rPr>
                <w:sz w:val="22"/>
                <w:szCs w:val="22"/>
              </w:rPr>
            </w:pPr>
            <w:r w:rsidRPr="00317ABF">
              <w:rPr>
                <w:sz w:val="22"/>
                <w:szCs w:val="22"/>
              </w:rPr>
              <w:t>8. Zmiany warunków wykorzystania lub cofnięcia rezerwacji częstotliwości przeznaczonych do rozpowszechniania lub rozprowadzania programów radiofonicznych lub telewizyjnych Prezes UKE dokonuje w porozumieniu z Przewodniczącym KRRiT. Niezajęcie stanowiska przez Przewodniczącego KRRiT w terminie 30 dni od dnia otrzymania projektu decyzji jest równoznaczne z uzgodnieniem projektu decyzji.</w:t>
            </w:r>
          </w:p>
          <w:p w14:paraId="36839B8F" w14:textId="77777777" w:rsidR="001E1112" w:rsidRPr="00317ABF" w:rsidRDefault="001E1112" w:rsidP="00DB3BEC">
            <w:pPr>
              <w:jc w:val="both"/>
              <w:rPr>
                <w:sz w:val="22"/>
                <w:szCs w:val="22"/>
              </w:rPr>
            </w:pPr>
          </w:p>
          <w:p w14:paraId="33AF183A" w14:textId="4D7EA299" w:rsidR="001E1112" w:rsidRPr="00317ABF" w:rsidRDefault="001E1112" w:rsidP="00DB3BEC">
            <w:pPr>
              <w:jc w:val="both"/>
              <w:rPr>
                <w:sz w:val="22"/>
                <w:szCs w:val="22"/>
                <w:lang w:eastAsia="en-US"/>
              </w:rPr>
            </w:pPr>
            <w:r w:rsidRPr="00317ABF">
              <w:rPr>
                <w:sz w:val="22"/>
                <w:szCs w:val="22"/>
              </w:rPr>
              <w:t xml:space="preserve"> Art. 141. 1</w:t>
            </w:r>
            <w:r w:rsidRPr="00317ABF">
              <w:rPr>
                <w:sz w:val="22"/>
                <w:szCs w:val="22"/>
                <w:lang w:eastAsia="en-US"/>
              </w:rPr>
              <w:t>. Prezes UKE może cofnąć prawo do wykorzystywania zasobów numeracji albo zmienić jego zakres, jeżeli:</w:t>
            </w:r>
          </w:p>
          <w:p w14:paraId="5F412CCE" w14:textId="77777777" w:rsidR="001E1112" w:rsidRPr="00317ABF" w:rsidRDefault="001E1112" w:rsidP="00DB3BEC">
            <w:pPr>
              <w:ind w:left="510" w:hanging="510"/>
              <w:jc w:val="both"/>
              <w:rPr>
                <w:bCs/>
                <w:sz w:val="22"/>
                <w:szCs w:val="22"/>
                <w:lang w:eastAsia="en-US"/>
              </w:rPr>
            </w:pPr>
            <w:r w:rsidRPr="00317ABF">
              <w:rPr>
                <w:bCs/>
                <w:sz w:val="22"/>
                <w:szCs w:val="22"/>
                <w:lang w:eastAsia="en-US"/>
              </w:rPr>
              <w:t>1) nastąpiły zmiany we właściwym planie numeracji krajowej dla publicznych sieci telekomunikacyjnych;</w:t>
            </w:r>
          </w:p>
          <w:p w14:paraId="6260BC77" w14:textId="77777777" w:rsidR="001E1112" w:rsidRPr="00317ABF" w:rsidRDefault="001E1112" w:rsidP="00DB3BEC">
            <w:pPr>
              <w:ind w:left="510" w:hanging="510"/>
              <w:jc w:val="both"/>
              <w:rPr>
                <w:bCs/>
                <w:sz w:val="22"/>
                <w:szCs w:val="22"/>
                <w:lang w:eastAsia="en-US"/>
              </w:rPr>
            </w:pPr>
            <w:r w:rsidRPr="00317ABF">
              <w:rPr>
                <w:bCs/>
                <w:sz w:val="22"/>
                <w:szCs w:val="22"/>
                <w:lang w:eastAsia="en-US"/>
              </w:rPr>
              <w:t>2) podmiot, który uzyskał w drodze decyzji prawo do wykorzystywania zasobów numeracji, nie wykorzystuje przyznanego zakresu numeracji w sposób efektywny pod względem ilościowym, a w przypadku numerów dostępu i podobnych pojedynczych numerów nie uruchomił usługi określonej takim numerem w terminie 12 miesięcy od otrzymania decyzji o przyznaniu prawa do wykorzystywania numeracji;</w:t>
            </w:r>
          </w:p>
          <w:p w14:paraId="342B1512" w14:textId="77777777" w:rsidR="001E1112" w:rsidRPr="00317ABF" w:rsidRDefault="001E1112" w:rsidP="00DB3BEC">
            <w:pPr>
              <w:ind w:left="510" w:hanging="510"/>
              <w:jc w:val="both"/>
              <w:rPr>
                <w:bCs/>
                <w:sz w:val="22"/>
                <w:szCs w:val="22"/>
                <w:lang w:eastAsia="en-US"/>
              </w:rPr>
            </w:pPr>
            <w:r w:rsidRPr="00317ABF">
              <w:rPr>
                <w:bCs/>
                <w:sz w:val="22"/>
                <w:szCs w:val="22"/>
                <w:lang w:eastAsia="en-US"/>
              </w:rPr>
              <w:t>3) podmiot, który uzyskał prawo do wykorzystywania zasobów numeracji, wykorzystuje przyznaną numerację w sposób niezgodny z warunkami przyznania numeracji lub jej przeznaczeniem określonym we właściwym planie numeracji krajowej dla publicznych sieci telekomunikacyjnych;</w:t>
            </w:r>
          </w:p>
          <w:p w14:paraId="73D42655" w14:textId="77777777" w:rsidR="001E1112" w:rsidRPr="00317ABF" w:rsidRDefault="001E1112" w:rsidP="00DB3BEC">
            <w:pPr>
              <w:ind w:left="510" w:hanging="510"/>
              <w:jc w:val="both"/>
              <w:rPr>
                <w:bCs/>
                <w:sz w:val="22"/>
                <w:szCs w:val="22"/>
                <w:lang w:eastAsia="en-US"/>
              </w:rPr>
            </w:pPr>
            <w:r w:rsidRPr="00317ABF">
              <w:rPr>
                <w:bCs/>
                <w:sz w:val="22"/>
                <w:szCs w:val="22"/>
                <w:lang w:eastAsia="en-US"/>
              </w:rPr>
              <w:t>4) podmiot, który uzyskał w drodze decyzji prawo do wykorzystywania</w:t>
            </w:r>
            <w:r w:rsidRPr="00317ABF">
              <w:rPr>
                <w:bCs/>
                <w:sz w:val="22"/>
                <w:szCs w:val="22"/>
              </w:rPr>
              <w:t xml:space="preserve"> </w:t>
            </w:r>
            <w:r w:rsidRPr="00317ABF">
              <w:rPr>
                <w:bCs/>
                <w:sz w:val="22"/>
                <w:szCs w:val="22"/>
                <w:lang w:eastAsia="en-US"/>
              </w:rPr>
              <w:t>zasobów numeracji, nie wnosi opłat za prawo do wykorzystywania numeracji;</w:t>
            </w:r>
          </w:p>
          <w:p w14:paraId="2CCF8011" w14:textId="77777777" w:rsidR="001E1112" w:rsidRPr="00317ABF" w:rsidRDefault="001E1112" w:rsidP="00DB3BEC">
            <w:pPr>
              <w:ind w:left="510" w:hanging="510"/>
              <w:jc w:val="both"/>
              <w:rPr>
                <w:bCs/>
                <w:sz w:val="22"/>
                <w:szCs w:val="22"/>
                <w:lang w:eastAsia="en-US"/>
              </w:rPr>
            </w:pPr>
            <w:r w:rsidRPr="00317ABF">
              <w:rPr>
                <w:bCs/>
                <w:sz w:val="22"/>
                <w:szCs w:val="22"/>
                <w:lang w:eastAsia="en-US"/>
              </w:rPr>
              <w:t xml:space="preserve">5) istnieje  zagrożenie </w:t>
            </w:r>
            <w:r w:rsidRPr="00317ABF">
              <w:rPr>
                <w:bCs/>
                <w:sz w:val="22"/>
                <w:szCs w:val="22"/>
              </w:rPr>
              <w:t>naruszenia interoperacyjności lub ciągłości świadczenia usług telekomunikacyjnych w sieciach telekomunikacyjnych</w:t>
            </w:r>
            <w:r w:rsidRPr="00317ABF">
              <w:rPr>
                <w:bCs/>
                <w:sz w:val="22"/>
                <w:szCs w:val="22"/>
                <w:lang w:eastAsia="en-US"/>
              </w:rPr>
              <w:t>.</w:t>
            </w:r>
          </w:p>
          <w:p w14:paraId="32819366" w14:textId="77777777" w:rsidR="001E1112" w:rsidRPr="00317ABF" w:rsidRDefault="001E1112" w:rsidP="00DB3BEC">
            <w:pPr>
              <w:jc w:val="both"/>
              <w:rPr>
                <w:sz w:val="22"/>
                <w:szCs w:val="22"/>
              </w:rPr>
            </w:pPr>
          </w:p>
          <w:p w14:paraId="12A4EA11" w14:textId="30006D7F" w:rsidR="001E1112" w:rsidRPr="00317ABF" w:rsidRDefault="001E1112" w:rsidP="00DB3BEC">
            <w:pPr>
              <w:jc w:val="both"/>
              <w:rPr>
                <w:sz w:val="22"/>
                <w:szCs w:val="22"/>
              </w:rPr>
            </w:pPr>
          </w:p>
        </w:tc>
      </w:tr>
      <w:tr w:rsidR="001E1112" w:rsidRPr="00317ABF" w14:paraId="726722F0" w14:textId="77777777" w:rsidTr="7753F98D">
        <w:trPr>
          <w:gridAfter w:val="2"/>
          <w:wAfter w:w="175" w:type="dxa"/>
        </w:trPr>
        <w:tc>
          <w:tcPr>
            <w:tcW w:w="704" w:type="dxa"/>
          </w:tcPr>
          <w:p w14:paraId="651B7EF7" w14:textId="77777777" w:rsidR="001E1112" w:rsidRPr="00317ABF" w:rsidRDefault="001E1112" w:rsidP="00DB3BEC">
            <w:pPr>
              <w:jc w:val="both"/>
              <w:rPr>
                <w:sz w:val="22"/>
                <w:szCs w:val="22"/>
              </w:rPr>
            </w:pPr>
            <w:r w:rsidRPr="00317ABF">
              <w:rPr>
                <w:sz w:val="22"/>
                <w:szCs w:val="22"/>
              </w:rPr>
              <w:lastRenderedPageBreak/>
              <w:t>Art. 19 ust. 2</w:t>
            </w:r>
          </w:p>
        </w:tc>
        <w:tc>
          <w:tcPr>
            <w:tcW w:w="4308" w:type="dxa"/>
          </w:tcPr>
          <w:p w14:paraId="254A02D5" w14:textId="19CE7FCA" w:rsidR="001E1112" w:rsidRPr="00317ABF" w:rsidRDefault="001E1112" w:rsidP="00DB3BEC">
            <w:pPr>
              <w:spacing w:before="120"/>
              <w:jc w:val="both"/>
              <w:rPr>
                <w:sz w:val="22"/>
                <w:szCs w:val="22"/>
              </w:rPr>
            </w:pPr>
            <w:r w:rsidRPr="00317ABF">
              <w:rPr>
                <w:sz w:val="22"/>
                <w:szCs w:val="22"/>
              </w:rPr>
              <w:t xml:space="preserve">2.   Mając na względzie konieczność zapewnienia efektywnego i wydajnego wykorzystania widma radiowego lub </w:t>
            </w:r>
            <w:r w:rsidRPr="00317ABF">
              <w:rPr>
                <w:sz w:val="22"/>
                <w:szCs w:val="22"/>
              </w:rPr>
              <w:lastRenderedPageBreak/>
              <w:t>wdrożenia technicznych środków wykonawczych przyjętych na podstawie art. 4 decyzji nr 676/2002/WE, państwa członkowskie mogą dopuścić ograniczenie lub cofnięcie praw użytkowania widma radiowego, w tym praw, o których mowa w art. 49 niniejszej dyrektywy, w oparciu o ustanowione wcześniej i jasno określone procedury, zgodnie z zasadami proporcjonalności i niedyskryminacji. W takich przypadkach, posiadacze takich praw mogą, w stosownych przypadkach i zgodnie z prawem unijnym i odpowiednimi przepisami krajowymi, otrzymać odpowiednią rekompensatę.</w:t>
            </w:r>
          </w:p>
        </w:tc>
        <w:tc>
          <w:tcPr>
            <w:tcW w:w="986" w:type="dxa"/>
          </w:tcPr>
          <w:p w14:paraId="5A1EA135" w14:textId="4D995736" w:rsidR="001E1112" w:rsidRPr="00317ABF" w:rsidRDefault="001E1112" w:rsidP="00DB3BEC">
            <w:pPr>
              <w:jc w:val="both"/>
              <w:rPr>
                <w:sz w:val="22"/>
                <w:szCs w:val="22"/>
              </w:rPr>
            </w:pPr>
            <w:r w:rsidRPr="00317ABF">
              <w:rPr>
                <w:sz w:val="22"/>
                <w:szCs w:val="22"/>
              </w:rPr>
              <w:lastRenderedPageBreak/>
              <w:t>N</w:t>
            </w:r>
          </w:p>
        </w:tc>
        <w:tc>
          <w:tcPr>
            <w:tcW w:w="910" w:type="dxa"/>
          </w:tcPr>
          <w:p w14:paraId="41CE662D" w14:textId="2803EACC" w:rsidR="001E1112" w:rsidRPr="00317ABF" w:rsidRDefault="001E1112" w:rsidP="00DB3BEC">
            <w:pPr>
              <w:jc w:val="both"/>
              <w:rPr>
                <w:sz w:val="22"/>
                <w:szCs w:val="22"/>
              </w:rPr>
            </w:pPr>
            <w:r w:rsidRPr="00317ABF">
              <w:rPr>
                <w:sz w:val="22"/>
                <w:szCs w:val="22"/>
              </w:rPr>
              <w:t>Zasady ogólne KC</w:t>
            </w:r>
          </w:p>
          <w:p w14:paraId="58717D39" w14:textId="591D2015" w:rsidR="001E1112" w:rsidRPr="00317ABF" w:rsidRDefault="001E1112" w:rsidP="00DB3BEC">
            <w:pPr>
              <w:pStyle w:val="Tekstpodstawowy"/>
              <w:rPr>
                <w:b/>
                <w:bCs/>
                <w:noProof/>
                <w:sz w:val="22"/>
                <w:szCs w:val="22"/>
              </w:rPr>
            </w:pPr>
          </w:p>
        </w:tc>
        <w:tc>
          <w:tcPr>
            <w:tcW w:w="6814" w:type="dxa"/>
            <w:gridSpan w:val="2"/>
          </w:tcPr>
          <w:p w14:paraId="5338A720" w14:textId="71C41CDD" w:rsidR="001E1112" w:rsidRPr="00317ABF" w:rsidRDefault="001E1112" w:rsidP="00DB3BEC">
            <w:pPr>
              <w:jc w:val="both"/>
              <w:rPr>
                <w:sz w:val="22"/>
                <w:szCs w:val="22"/>
              </w:rPr>
            </w:pPr>
          </w:p>
        </w:tc>
      </w:tr>
      <w:tr w:rsidR="001E1112" w:rsidRPr="00317ABF" w14:paraId="28C282D6" w14:textId="77777777" w:rsidTr="7753F98D">
        <w:trPr>
          <w:gridAfter w:val="2"/>
          <w:wAfter w:w="175" w:type="dxa"/>
        </w:trPr>
        <w:tc>
          <w:tcPr>
            <w:tcW w:w="704" w:type="dxa"/>
          </w:tcPr>
          <w:p w14:paraId="39EE933F" w14:textId="77777777" w:rsidR="001E1112" w:rsidRPr="00317ABF" w:rsidRDefault="001E1112" w:rsidP="00DB3BEC">
            <w:pPr>
              <w:jc w:val="both"/>
              <w:rPr>
                <w:sz w:val="22"/>
                <w:szCs w:val="22"/>
              </w:rPr>
            </w:pPr>
            <w:r w:rsidRPr="00317ABF">
              <w:rPr>
                <w:sz w:val="22"/>
                <w:szCs w:val="22"/>
              </w:rPr>
              <w:lastRenderedPageBreak/>
              <w:t>Art. 19 ust. 3</w:t>
            </w:r>
          </w:p>
        </w:tc>
        <w:tc>
          <w:tcPr>
            <w:tcW w:w="4308" w:type="dxa"/>
          </w:tcPr>
          <w:p w14:paraId="3891CF62" w14:textId="18AE008F" w:rsidR="001E1112" w:rsidRPr="00317ABF" w:rsidRDefault="001E1112" w:rsidP="00DB3BEC">
            <w:pPr>
              <w:spacing w:before="120"/>
              <w:jc w:val="both"/>
              <w:rPr>
                <w:sz w:val="22"/>
                <w:szCs w:val="22"/>
              </w:rPr>
            </w:pPr>
            <w:r w:rsidRPr="00317ABF">
              <w:rPr>
                <w:sz w:val="22"/>
                <w:szCs w:val="22"/>
              </w:rPr>
              <w:t>3.   Zmiana wykorzystania widma radiowego w wyniku zastosowania art. 45 ust. 4 lub 5 nie stanowi sama w sobie przesłanki uzasadniającej cofnięcie prawa użytkowania widma radiowego.</w:t>
            </w:r>
          </w:p>
        </w:tc>
        <w:tc>
          <w:tcPr>
            <w:tcW w:w="986" w:type="dxa"/>
          </w:tcPr>
          <w:p w14:paraId="61DAA4D5" w14:textId="4DF443A1" w:rsidR="001E1112" w:rsidRPr="00317ABF" w:rsidRDefault="001E1112" w:rsidP="00DB3BEC">
            <w:pPr>
              <w:jc w:val="both"/>
              <w:rPr>
                <w:sz w:val="22"/>
                <w:szCs w:val="22"/>
              </w:rPr>
            </w:pPr>
            <w:r w:rsidRPr="00317ABF">
              <w:rPr>
                <w:sz w:val="22"/>
                <w:szCs w:val="22"/>
              </w:rPr>
              <w:t>T</w:t>
            </w:r>
          </w:p>
        </w:tc>
        <w:tc>
          <w:tcPr>
            <w:tcW w:w="910" w:type="dxa"/>
          </w:tcPr>
          <w:p w14:paraId="2AEAF47F" w14:textId="5AD4A1A4" w:rsidR="001E1112" w:rsidRPr="00317ABF" w:rsidRDefault="00DB3BEC" w:rsidP="00DB3BEC">
            <w:pPr>
              <w:pStyle w:val="Tekstpodstawowy"/>
              <w:rPr>
                <w:b/>
                <w:bCs/>
                <w:noProof/>
                <w:sz w:val="22"/>
                <w:szCs w:val="22"/>
              </w:rPr>
            </w:pPr>
            <w:r w:rsidRPr="00317ABF">
              <w:rPr>
                <w:b/>
                <w:bCs/>
                <w:noProof/>
                <w:sz w:val="22"/>
                <w:szCs w:val="22"/>
              </w:rPr>
              <w:t xml:space="preserve">Art. </w:t>
            </w:r>
            <w:r w:rsidR="00E8176B" w:rsidRPr="00317ABF">
              <w:rPr>
                <w:b/>
                <w:bCs/>
                <w:noProof/>
                <w:sz w:val="22"/>
                <w:szCs w:val="22"/>
              </w:rPr>
              <w:t>63</w:t>
            </w:r>
            <w:r w:rsidR="001E1112" w:rsidRPr="00317ABF">
              <w:rPr>
                <w:b/>
                <w:bCs/>
                <w:noProof/>
                <w:sz w:val="22"/>
                <w:szCs w:val="22"/>
              </w:rPr>
              <w:t xml:space="preserve"> ust. 4</w:t>
            </w:r>
          </w:p>
        </w:tc>
        <w:tc>
          <w:tcPr>
            <w:tcW w:w="6814" w:type="dxa"/>
            <w:gridSpan w:val="2"/>
          </w:tcPr>
          <w:p w14:paraId="281B37BA" w14:textId="36FF4875" w:rsidR="001E1112" w:rsidRPr="00317ABF" w:rsidRDefault="001E1112" w:rsidP="00DB3BEC">
            <w:pPr>
              <w:jc w:val="both"/>
              <w:rPr>
                <w:sz w:val="22"/>
                <w:szCs w:val="22"/>
              </w:rPr>
            </w:pPr>
            <w:r w:rsidRPr="00317ABF">
              <w:rPr>
                <w:sz w:val="22"/>
                <w:szCs w:val="22"/>
              </w:rPr>
              <w:t>4. Plany zagospodarowania częstotliwości oraz ich zmiany nie mogą naruszać dokonanych rezerwacji częstotliwości</w:t>
            </w:r>
            <w:r w:rsidR="00E8176B" w:rsidRPr="00317ABF">
              <w:rPr>
                <w:sz w:val="22"/>
                <w:szCs w:val="22"/>
              </w:rPr>
              <w:t xml:space="preserve"> lub przydziałów częstotliwości.</w:t>
            </w:r>
          </w:p>
        </w:tc>
      </w:tr>
      <w:tr w:rsidR="001E1112" w:rsidRPr="00317ABF" w14:paraId="33C440EC" w14:textId="77777777" w:rsidTr="7753F98D">
        <w:trPr>
          <w:gridAfter w:val="2"/>
          <w:wAfter w:w="175" w:type="dxa"/>
        </w:trPr>
        <w:tc>
          <w:tcPr>
            <w:tcW w:w="704" w:type="dxa"/>
          </w:tcPr>
          <w:p w14:paraId="2F1CF9B1" w14:textId="77777777" w:rsidR="001E1112" w:rsidRPr="00317ABF" w:rsidRDefault="001E1112" w:rsidP="00DB3BEC">
            <w:pPr>
              <w:jc w:val="both"/>
              <w:rPr>
                <w:sz w:val="22"/>
                <w:szCs w:val="22"/>
              </w:rPr>
            </w:pPr>
            <w:r w:rsidRPr="00317ABF">
              <w:rPr>
                <w:sz w:val="22"/>
                <w:szCs w:val="22"/>
              </w:rPr>
              <w:t>Art. 19 ust. 4</w:t>
            </w:r>
          </w:p>
        </w:tc>
        <w:tc>
          <w:tcPr>
            <w:tcW w:w="4308" w:type="dxa"/>
          </w:tcPr>
          <w:p w14:paraId="7FFE4DA6" w14:textId="77777777" w:rsidR="001E1112" w:rsidRPr="00317ABF" w:rsidRDefault="001E1112" w:rsidP="00DB3BEC">
            <w:pPr>
              <w:spacing w:before="120"/>
              <w:jc w:val="both"/>
              <w:rPr>
                <w:sz w:val="22"/>
                <w:szCs w:val="22"/>
              </w:rPr>
            </w:pPr>
            <w:r w:rsidRPr="00317ABF">
              <w:rPr>
                <w:sz w:val="22"/>
                <w:szCs w:val="22"/>
              </w:rPr>
              <w:t>4.   Każdy zamiar ograniczenia lub cofnięcia praw wynikających z ogólnego zezwolenia na użytkowanie widma radiowego lub indywidualnych praw użytkowania widma radiowego lub zasobów numeracyjnych bez zgody posiadacza tych praw poddaje się pod konsultacje z zainteresowanymi stronami zgodnie z art. 23.</w:t>
            </w:r>
          </w:p>
        </w:tc>
        <w:tc>
          <w:tcPr>
            <w:tcW w:w="986" w:type="dxa"/>
          </w:tcPr>
          <w:p w14:paraId="2E500C74" w14:textId="37CF3B59" w:rsidR="001E1112" w:rsidRPr="00317ABF" w:rsidRDefault="001E1112" w:rsidP="00DB3BEC">
            <w:pPr>
              <w:jc w:val="both"/>
              <w:rPr>
                <w:sz w:val="22"/>
                <w:szCs w:val="22"/>
              </w:rPr>
            </w:pPr>
            <w:r w:rsidRPr="00317ABF">
              <w:rPr>
                <w:sz w:val="22"/>
                <w:szCs w:val="22"/>
              </w:rPr>
              <w:t>T</w:t>
            </w:r>
          </w:p>
          <w:p w14:paraId="31167EFE" w14:textId="77777777" w:rsidR="001E1112" w:rsidRPr="00317ABF" w:rsidRDefault="001E1112" w:rsidP="00DB3BEC">
            <w:pPr>
              <w:jc w:val="both"/>
              <w:rPr>
                <w:sz w:val="22"/>
                <w:szCs w:val="22"/>
              </w:rPr>
            </w:pPr>
          </w:p>
          <w:p w14:paraId="2F1886F5" w14:textId="77777777" w:rsidR="001E1112" w:rsidRPr="00317ABF" w:rsidRDefault="001E1112" w:rsidP="00DB3BEC">
            <w:pPr>
              <w:jc w:val="both"/>
              <w:rPr>
                <w:sz w:val="22"/>
                <w:szCs w:val="22"/>
              </w:rPr>
            </w:pPr>
          </w:p>
          <w:p w14:paraId="61E3EE02" w14:textId="77777777" w:rsidR="001E1112" w:rsidRPr="00317ABF" w:rsidRDefault="001E1112" w:rsidP="00DB3BEC">
            <w:pPr>
              <w:jc w:val="both"/>
              <w:rPr>
                <w:sz w:val="22"/>
                <w:szCs w:val="22"/>
              </w:rPr>
            </w:pPr>
          </w:p>
          <w:p w14:paraId="197DDE3A" w14:textId="77777777" w:rsidR="001E1112" w:rsidRPr="00317ABF" w:rsidRDefault="001E1112" w:rsidP="00DB3BEC">
            <w:pPr>
              <w:jc w:val="both"/>
              <w:rPr>
                <w:sz w:val="22"/>
                <w:szCs w:val="22"/>
              </w:rPr>
            </w:pPr>
          </w:p>
          <w:p w14:paraId="3321E9C2" w14:textId="77777777" w:rsidR="001E1112" w:rsidRPr="00317ABF" w:rsidRDefault="001E1112" w:rsidP="00DB3BEC">
            <w:pPr>
              <w:jc w:val="both"/>
              <w:rPr>
                <w:sz w:val="22"/>
                <w:szCs w:val="22"/>
              </w:rPr>
            </w:pPr>
          </w:p>
          <w:p w14:paraId="38F9FEE6" w14:textId="77777777" w:rsidR="001E1112" w:rsidRPr="00317ABF" w:rsidRDefault="001E1112" w:rsidP="00DB3BEC">
            <w:pPr>
              <w:jc w:val="both"/>
              <w:rPr>
                <w:sz w:val="22"/>
                <w:szCs w:val="22"/>
              </w:rPr>
            </w:pPr>
          </w:p>
          <w:p w14:paraId="24248CF7" w14:textId="69B48C74" w:rsidR="001E1112" w:rsidRPr="00317ABF" w:rsidRDefault="001E1112" w:rsidP="00DB3BEC">
            <w:pPr>
              <w:jc w:val="both"/>
              <w:rPr>
                <w:sz w:val="22"/>
                <w:szCs w:val="22"/>
              </w:rPr>
            </w:pPr>
          </w:p>
          <w:p w14:paraId="4E7D223F" w14:textId="31979824" w:rsidR="001E1112" w:rsidRPr="00317ABF" w:rsidRDefault="001E1112" w:rsidP="00DB3BEC">
            <w:pPr>
              <w:jc w:val="both"/>
              <w:rPr>
                <w:sz w:val="22"/>
                <w:szCs w:val="22"/>
              </w:rPr>
            </w:pPr>
          </w:p>
          <w:p w14:paraId="1FB45AF9" w14:textId="77777777" w:rsidR="001E1112" w:rsidRPr="00317ABF" w:rsidRDefault="001E1112" w:rsidP="00DB3BEC">
            <w:pPr>
              <w:jc w:val="both"/>
              <w:rPr>
                <w:sz w:val="22"/>
                <w:szCs w:val="22"/>
              </w:rPr>
            </w:pPr>
          </w:p>
        </w:tc>
        <w:tc>
          <w:tcPr>
            <w:tcW w:w="910" w:type="dxa"/>
          </w:tcPr>
          <w:p w14:paraId="4AB17EC7" w14:textId="67CEAB0A" w:rsidR="001E1112" w:rsidRPr="00317ABF" w:rsidRDefault="001E1112" w:rsidP="00DB3BEC">
            <w:pPr>
              <w:pStyle w:val="Tekstpodstawowy"/>
              <w:rPr>
                <w:b/>
                <w:bCs/>
                <w:noProof/>
                <w:sz w:val="22"/>
                <w:szCs w:val="22"/>
              </w:rPr>
            </w:pPr>
            <w:r w:rsidRPr="00317ABF">
              <w:rPr>
                <w:b/>
                <w:sz w:val="22"/>
                <w:szCs w:val="22"/>
              </w:rPr>
              <w:t xml:space="preserve">Art. </w:t>
            </w:r>
            <w:r w:rsidR="00E8176B" w:rsidRPr="00317ABF">
              <w:rPr>
                <w:b/>
                <w:bCs/>
                <w:noProof/>
                <w:sz w:val="22"/>
                <w:szCs w:val="22"/>
              </w:rPr>
              <w:t>90</w:t>
            </w:r>
            <w:r w:rsidRPr="00317ABF">
              <w:rPr>
                <w:b/>
                <w:sz w:val="22"/>
                <w:szCs w:val="22"/>
              </w:rPr>
              <w:t xml:space="preserve"> ust. </w:t>
            </w:r>
            <w:r w:rsidRPr="00317ABF">
              <w:rPr>
                <w:b/>
                <w:bCs/>
                <w:noProof/>
                <w:sz w:val="22"/>
                <w:szCs w:val="22"/>
              </w:rPr>
              <w:t>1-3</w:t>
            </w:r>
            <w:r w:rsidR="00EE3DC9" w:rsidRPr="00317ABF">
              <w:rPr>
                <w:b/>
                <w:bCs/>
                <w:noProof/>
                <w:sz w:val="22"/>
                <w:szCs w:val="22"/>
              </w:rPr>
              <w:t>,</w:t>
            </w:r>
            <w:r w:rsidR="00E8176B" w:rsidRPr="00317ABF">
              <w:rPr>
                <w:b/>
                <w:bCs/>
                <w:noProof/>
                <w:sz w:val="22"/>
                <w:szCs w:val="22"/>
              </w:rPr>
              <w:t xml:space="preserve"> w zakresie widma</w:t>
            </w:r>
          </w:p>
          <w:p w14:paraId="2E779B76" w14:textId="7F1C75A2" w:rsidR="001E1112" w:rsidRPr="00317ABF" w:rsidRDefault="001E1112" w:rsidP="00DB3BEC">
            <w:pPr>
              <w:pStyle w:val="Tekstpodstawowy"/>
              <w:rPr>
                <w:b/>
                <w:bCs/>
                <w:noProof/>
                <w:sz w:val="22"/>
                <w:szCs w:val="22"/>
              </w:rPr>
            </w:pPr>
          </w:p>
          <w:p w14:paraId="44B216AB" w14:textId="77777777" w:rsidR="001E1112" w:rsidRPr="00317ABF" w:rsidRDefault="001E1112" w:rsidP="00DB3BEC">
            <w:pPr>
              <w:pStyle w:val="Tekstpodstawowy"/>
              <w:rPr>
                <w:b/>
                <w:bCs/>
                <w:noProof/>
                <w:sz w:val="22"/>
                <w:szCs w:val="22"/>
              </w:rPr>
            </w:pPr>
          </w:p>
          <w:p w14:paraId="0562A4FE" w14:textId="77777777" w:rsidR="001E1112" w:rsidRPr="00317ABF" w:rsidRDefault="001E1112" w:rsidP="00DB3BEC">
            <w:pPr>
              <w:pStyle w:val="Tekstpodstawowy"/>
              <w:rPr>
                <w:b/>
                <w:bCs/>
                <w:noProof/>
                <w:sz w:val="22"/>
                <w:szCs w:val="22"/>
              </w:rPr>
            </w:pPr>
          </w:p>
          <w:p w14:paraId="5267FE20" w14:textId="77777777" w:rsidR="001E1112" w:rsidRPr="00317ABF" w:rsidRDefault="001E1112" w:rsidP="00DB3BEC">
            <w:pPr>
              <w:pStyle w:val="Tekstpodstawowy"/>
              <w:rPr>
                <w:b/>
                <w:bCs/>
                <w:noProof/>
                <w:sz w:val="22"/>
                <w:szCs w:val="22"/>
              </w:rPr>
            </w:pPr>
          </w:p>
          <w:p w14:paraId="1D9E5094" w14:textId="77777777" w:rsidR="001E1112" w:rsidRPr="00317ABF" w:rsidRDefault="001E1112" w:rsidP="00DB3BEC">
            <w:pPr>
              <w:pStyle w:val="Tekstpodstawowy"/>
              <w:rPr>
                <w:b/>
                <w:bCs/>
                <w:noProof/>
                <w:sz w:val="22"/>
                <w:szCs w:val="22"/>
              </w:rPr>
            </w:pPr>
          </w:p>
          <w:p w14:paraId="245AA30B" w14:textId="7AD4841C" w:rsidR="001E1112" w:rsidRPr="00317ABF" w:rsidRDefault="001E1112" w:rsidP="00DB3BEC">
            <w:pPr>
              <w:pStyle w:val="Tekstpodstawowy"/>
              <w:rPr>
                <w:b/>
                <w:bCs/>
                <w:noProof/>
                <w:sz w:val="22"/>
                <w:szCs w:val="22"/>
              </w:rPr>
            </w:pPr>
            <w:r w:rsidRPr="00317ABF">
              <w:rPr>
                <w:b/>
                <w:bCs/>
                <w:noProof/>
                <w:sz w:val="22"/>
                <w:szCs w:val="22"/>
              </w:rPr>
              <w:t>W zakresie numeracji art. 141 ust. 2 i 3</w:t>
            </w:r>
          </w:p>
          <w:p w14:paraId="643911EF" w14:textId="0E214AC7" w:rsidR="001E1112" w:rsidRPr="00317ABF" w:rsidRDefault="001E1112" w:rsidP="00DB3BEC">
            <w:pPr>
              <w:pStyle w:val="Tekstpodstawowy"/>
              <w:rPr>
                <w:b/>
                <w:bCs/>
                <w:noProof/>
                <w:sz w:val="22"/>
                <w:szCs w:val="22"/>
              </w:rPr>
            </w:pPr>
          </w:p>
          <w:p w14:paraId="74CD1D1F" w14:textId="38ACC809" w:rsidR="001E1112" w:rsidRPr="00317ABF" w:rsidRDefault="001E1112" w:rsidP="00DB3BEC">
            <w:pPr>
              <w:pStyle w:val="Tekstpodstawowy"/>
              <w:rPr>
                <w:b/>
                <w:bCs/>
                <w:noProof/>
                <w:sz w:val="22"/>
                <w:szCs w:val="22"/>
              </w:rPr>
            </w:pPr>
          </w:p>
        </w:tc>
        <w:tc>
          <w:tcPr>
            <w:tcW w:w="6814" w:type="dxa"/>
            <w:gridSpan w:val="2"/>
          </w:tcPr>
          <w:p w14:paraId="24F620B0" w14:textId="77777777" w:rsidR="00E8176B" w:rsidRPr="00317ABF" w:rsidRDefault="00E8176B" w:rsidP="00E8176B">
            <w:pPr>
              <w:pStyle w:val="ARTartustawynprozporzdzenia"/>
              <w:spacing w:before="0" w:line="240" w:lineRule="auto"/>
              <w:ind w:firstLine="0"/>
              <w:rPr>
                <w:rFonts w:ascii="Times New Roman" w:hAnsi="Times New Roman" w:cs="Times New Roman"/>
                <w:sz w:val="22"/>
                <w:szCs w:val="22"/>
              </w:rPr>
            </w:pPr>
            <w:r w:rsidRPr="00317ABF">
              <w:rPr>
                <w:rStyle w:val="Ppogrubienie"/>
                <w:rFonts w:ascii="Times New Roman" w:hAnsi="Times New Roman"/>
                <w:sz w:val="22"/>
                <w:szCs w:val="22"/>
              </w:rPr>
              <w:t>Art. 90.</w:t>
            </w:r>
            <w:r w:rsidRPr="00317ABF">
              <w:rPr>
                <w:rFonts w:ascii="Times New Roman" w:hAnsi="Times New Roman" w:cs="Times New Roman"/>
                <w:sz w:val="22"/>
                <w:szCs w:val="22"/>
              </w:rPr>
              <w:t xml:space="preserve"> 1. Prezes UKE niezwłocznie udostępnia na stronie podmiotowej BIP UKE informację o wszczęciu postępowania w sprawie zmiany lub cofnięcia rezerwacji częstotliwości i przeprowadza postępowanie konsultacyjne w tej sprawie.</w:t>
            </w:r>
          </w:p>
          <w:p w14:paraId="7DBB0F8B" w14:textId="1ECC1619" w:rsidR="001E1112" w:rsidRPr="00317ABF" w:rsidRDefault="001E1112" w:rsidP="00E8176B">
            <w:pPr>
              <w:pStyle w:val="USTustnpkodeksu"/>
              <w:keepNext/>
              <w:spacing w:line="240" w:lineRule="auto"/>
              <w:rPr>
                <w:rFonts w:ascii="Times New Roman" w:hAnsi="Times New Roman" w:cs="Times New Roman"/>
                <w:sz w:val="22"/>
                <w:szCs w:val="22"/>
              </w:rPr>
            </w:pPr>
            <w:r w:rsidRPr="00317ABF">
              <w:rPr>
                <w:rFonts w:ascii="Times New Roman" w:eastAsia="Times" w:hAnsi="Times New Roman" w:cs="Times New Roman"/>
                <w:sz w:val="22"/>
                <w:szCs w:val="22"/>
              </w:rPr>
              <w:t>2. Przepisu ust. 1 nie stosuje się:</w:t>
            </w:r>
          </w:p>
          <w:p w14:paraId="65917B08" w14:textId="77777777" w:rsidR="00E8176B" w:rsidRPr="00317ABF" w:rsidRDefault="00E8176B" w:rsidP="00E8176B">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1)</w:t>
            </w:r>
            <w:r w:rsidRPr="00317ABF">
              <w:rPr>
                <w:rFonts w:ascii="Times New Roman" w:hAnsi="Times New Roman" w:cs="Times New Roman"/>
                <w:sz w:val="22"/>
                <w:szCs w:val="22"/>
              </w:rPr>
              <w:tab/>
              <w:t>gdy zmiana ma charakter nieistotny i jest dokonywana na wniosek lub za zgodą podmiotu dysponującego rezerwacją częstotliwości;</w:t>
            </w:r>
          </w:p>
          <w:p w14:paraId="1929D6DF" w14:textId="77777777" w:rsidR="00E8176B" w:rsidRPr="00317ABF" w:rsidRDefault="00E8176B" w:rsidP="00E8176B">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2)</w:t>
            </w:r>
            <w:r w:rsidRPr="00317ABF">
              <w:rPr>
                <w:rFonts w:ascii="Times New Roman" w:hAnsi="Times New Roman" w:cs="Times New Roman"/>
                <w:sz w:val="22"/>
                <w:szCs w:val="22"/>
              </w:rPr>
              <w:tab/>
              <w:t>w wyjątkowych przypadkach, wymagających pilnego działania ze względu na wystąpienie okoliczności, o których mowa w art. 99 ust. 1 pkt 3;</w:t>
            </w:r>
          </w:p>
          <w:p w14:paraId="6F67F227" w14:textId="77777777" w:rsidR="001E1112" w:rsidRPr="00317ABF" w:rsidRDefault="001E1112" w:rsidP="00E8176B">
            <w:pPr>
              <w:pStyle w:val="PKTpunkt0"/>
              <w:spacing w:line="240" w:lineRule="auto"/>
              <w:rPr>
                <w:rFonts w:ascii="Times New Roman" w:hAnsi="Times New Roman" w:cs="Times New Roman"/>
                <w:sz w:val="22"/>
                <w:szCs w:val="22"/>
              </w:rPr>
            </w:pPr>
            <w:r w:rsidRPr="00317ABF">
              <w:rPr>
                <w:rFonts w:ascii="Times New Roman" w:eastAsia="Times" w:hAnsi="Times New Roman" w:cs="Times New Roman"/>
                <w:sz w:val="22"/>
                <w:szCs w:val="22"/>
              </w:rPr>
              <w:t>3)</w:t>
            </w:r>
            <w:r w:rsidR="00E8176B" w:rsidRPr="00317ABF">
              <w:rPr>
                <w:rFonts w:ascii="Times New Roman" w:hAnsi="Times New Roman" w:cs="Times New Roman"/>
                <w:sz w:val="22"/>
                <w:szCs w:val="22"/>
              </w:rPr>
              <w:tab/>
            </w:r>
            <w:r w:rsidRPr="00317ABF">
              <w:rPr>
                <w:rFonts w:ascii="Times New Roman" w:eastAsia="Times" w:hAnsi="Times New Roman" w:cs="Times New Roman"/>
                <w:sz w:val="22"/>
                <w:szCs w:val="22"/>
              </w:rPr>
              <w:t>gdy zmiana dotyczy rezerwacji częstotliwości na cele rozpowszechniania programów radiofonicznych w sposób analogowy drogą rozsiewczą naziemną.</w:t>
            </w:r>
          </w:p>
          <w:p w14:paraId="4F239C7F" w14:textId="1F235AA0" w:rsidR="001E1112" w:rsidRPr="00317ABF" w:rsidRDefault="001E1112" w:rsidP="00E8176B">
            <w:pPr>
              <w:jc w:val="both"/>
              <w:rPr>
                <w:sz w:val="22"/>
                <w:szCs w:val="22"/>
              </w:rPr>
            </w:pPr>
            <w:r w:rsidRPr="00317ABF">
              <w:rPr>
                <w:sz w:val="22"/>
                <w:szCs w:val="22"/>
              </w:rPr>
              <w:t>3. Za zmianę nieistotną nie można, w szczególności, uznać zmiany, która prowadzi do rozszerzenia zakresu uprawnień wynikających z rezerwacji częstotliwości.</w:t>
            </w:r>
          </w:p>
          <w:p w14:paraId="0EFCCD88" w14:textId="17479104" w:rsidR="001E1112" w:rsidRPr="00317ABF" w:rsidRDefault="001E1112" w:rsidP="00DB3BEC">
            <w:pPr>
              <w:spacing w:line="276" w:lineRule="auto"/>
              <w:jc w:val="both"/>
              <w:rPr>
                <w:sz w:val="22"/>
                <w:szCs w:val="22"/>
              </w:rPr>
            </w:pPr>
          </w:p>
          <w:p w14:paraId="4FEECD52" w14:textId="6B0D8EF1" w:rsidR="001E1112" w:rsidRPr="00317ABF" w:rsidRDefault="001E1112" w:rsidP="00DB3BEC">
            <w:pPr>
              <w:spacing w:line="276" w:lineRule="auto"/>
              <w:jc w:val="both"/>
              <w:rPr>
                <w:sz w:val="22"/>
                <w:szCs w:val="22"/>
              </w:rPr>
            </w:pPr>
            <w:r w:rsidRPr="00317ABF">
              <w:rPr>
                <w:sz w:val="22"/>
                <w:szCs w:val="22"/>
              </w:rPr>
              <w:t>Art. 141</w:t>
            </w:r>
          </w:p>
          <w:p w14:paraId="27AF98D1" w14:textId="57A9816E" w:rsidR="001E1112" w:rsidRPr="00317ABF" w:rsidRDefault="001E1112" w:rsidP="00DB3BEC">
            <w:pPr>
              <w:spacing w:line="276" w:lineRule="auto"/>
              <w:jc w:val="both"/>
              <w:rPr>
                <w:sz w:val="22"/>
                <w:szCs w:val="22"/>
              </w:rPr>
            </w:pPr>
          </w:p>
          <w:p w14:paraId="73E88FB5" w14:textId="77777777" w:rsidR="001E1112" w:rsidRPr="00317ABF" w:rsidRDefault="001E1112" w:rsidP="00DB3BEC">
            <w:pPr>
              <w:suppressAutoHyphens/>
              <w:autoSpaceDE w:val="0"/>
              <w:autoSpaceDN w:val="0"/>
              <w:adjustRightInd w:val="0"/>
              <w:spacing w:line="276" w:lineRule="auto"/>
              <w:jc w:val="both"/>
              <w:rPr>
                <w:bCs/>
                <w:sz w:val="22"/>
                <w:szCs w:val="22"/>
                <w:lang w:eastAsia="en-US"/>
              </w:rPr>
            </w:pPr>
            <w:r w:rsidRPr="00317ABF">
              <w:rPr>
                <w:bCs/>
                <w:sz w:val="22"/>
                <w:szCs w:val="22"/>
                <w:lang w:eastAsia="en-US"/>
              </w:rPr>
              <w:t>2. Prezes UKE informuje na stronie podmiotowej UKE o cofnięciu prawa do wykorzystywania zasobów numeracji oraz o możliwości przydziału tej numeracji innemu przedsiębiorcy telekomunikacyjnemu.</w:t>
            </w:r>
          </w:p>
          <w:p w14:paraId="3BDDF74F" w14:textId="77777777" w:rsidR="001E1112" w:rsidRPr="00317ABF" w:rsidRDefault="001E1112" w:rsidP="00DB3BEC">
            <w:pPr>
              <w:suppressAutoHyphens/>
              <w:autoSpaceDE w:val="0"/>
              <w:autoSpaceDN w:val="0"/>
              <w:adjustRightInd w:val="0"/>
              <w:spacing w:line="276" w:lineRule="auto"/>
              <w:ind w:firstLine="510"/>
              <w:jc w:val="both"/>
              <w:rPr>
                <w:bCs/>
                <w:sz w:val="22"/>
                <w:szCs w:val="22"/>
                <w:lang w:eastAsia="en-US"/>
              </w:rPr>
            </w:pPr>
            <w:r w:rsidRPr="00317ABF">
              <w:rPr>
                <w:bCs/>
                <w:sz w:val="22"/>
                <w:szCs w:val="22"/>
                <w:lang w:eastAsia="en-US"/>
              </w:rPr>
              <w:t>3. Decyzja o cofnięciu prawa do wykorzystywania zasobów numeracji albo o zmianie jego zakresu:</w:t>
            </w:r>
          </w:p>
          <w:p w14:paraId="4D65628C" w14:textId="77777777" w:rsidR="001E1112" w:rsidRPr="00317ABF" w:rsidRDefault="001E1112" w:rsidP="00DB3BEC">
            <w:pPr>
              <w:spacing w:line="276" w:lineRule="auto"/>
              <w:ind w:left="510" w:hanging="510"/>
              <w:jc w:val="both"/>
              <w:rPr>
                <w:bCs/>
                <w:sz w:val="22"/>
                <w:szCs w:val="22"/>
                <w:lang w:eastAsia="en-US"/>
              </w:rPr>
            </w:pPr>
            <w:r w:rsidRPr="00317ABF">
              <w:rPr>
                <w:bCs/>
                <w:sz w:val="22"/>
                <w:szCs w:val="22"/>
                <w:lang w:eastAsia="en-US"/>
              </w:rPr>
              <w:t>1)  uwzględnia konieczność zachowania interoperacyjności i  ciągłości świadczenia usług telekomunikacyjnych;</w:t>
            </w:r>
          </w:p>
          <w:p w14:paraId="1C5BEDD8" w14:textId="19F45B4B" w:rsidR="001E1112" w:rsidRPr="00317ABF" w:rsidRDefault="001E1112" w:rsidP="00DB3BEC">
            <w:pPr>
              <w:spacing w:line="276" w:lineRule="auto"/>
              <w:ind w:left="510" w:hanging="510"/>
              <w:jc w:val="both"/>
              <w:rPr>
                <w:sz w:val="22"/>
                <w:szCs w:val="22"/>
              </w:rPr>
            </w:pPr>
            <w:r w:rsidRPr="00317ABF">
              <w:rPr>
                <w:bCs/>
                <w:sz w:val="22"/>
                <w:szCs w:val="22"/>
                <w:lang w:eastAsia="en-US"/>
              </w:rPr>
              <w:t xml:space="preserve">2) może być podjęta po bezskutecznym wezwaniu podmiotu do usunięcia przyczyny nieprawidłowości w przypadkach, o których mowa w ust. </w:t>
            </w:r>
            <w:r w:rsidRPr="00317ABF">
              <w:rPr>
                <w:bCs/>
                <w:sz w:val="22"/>
                <w:szCs w:val="22"/>
              </w:rPr>
              <w:t>1 pkt 2, 3 i 5.</w:t>
            </w:r>
          </w:p>
        </w:tc>
      </w:tr>
      <w:tr w:rsidR="001E1112" w:rsidRPr="00317ABF" w14:paraId="162B3233" w14:textId="77777777" w:rsidTr="7753F98D">
        <w:trPr>
          <w:gridAfter w:val="2"/>
          <w:wAfter w:w="175" w:type="dxa"/>
        </w:trPr>
        <w:tc>
          <w:tcPr>
            <w:tcW w:w="704" w:type="dxa"/>
          </w:tcPr>
          <w:p w14:paraId="5E55C233" w14:textId="77777777" w:rsidR="001E1112" w:rsidRPr="00317ABF" w:rsidRDefault="001E1112" w:rsidP="00DB3BEC">
            <w:pPr>
              <w:jc w:val="both"/>
              <w:rPr>
                <w:b/>
                <w:sz w:val="22"/>
                <w:szCs w:val="22"/>
              </w:rPr>
            </w:pPr>
            <w:r w:rsidRPr="00317ABF">
              <w:rPr>
                <w:b/>
                <w:sz w:val="22"/>
                <w:szCs w:val="22"/>
              </w:rPr>
              <w:lastRenderedPageBreak/>
              <w:t>Art. 20</w:t>
            </w:r>
          </w:p>
        </w:tc>
        <w:tc>
          <w:tcPr>
            <w:tcW w:w="4308" w:type="dxa"/>
          </w:tcPr>
          <w:p w14:paraId="186BC3B1" w14:textId="77777777" w:rsidR="001E1112" w:rsidRPr="00317ABF" w:rsidRDefault="001E1112" w:rsidP="00DB3BEC">
            <w:pPr>
              <w:spacing w:before="60" w:after="120"/>
              <w:jc w:val="both"/>
              <w:rPr>
                <w:b/>
                <w:bCs/>
                <w:sz w:val="22"/>
                <w:szCs w:val="22"/>
              </w:rPr>
            </w:pPr>
            <w:r w:rsidRPr="00317ABF">
              <w:rPr>
                <w:sz w:val="22"/>
                <w:szCs w:val="22"/>
              </w:rPr>
              <w:tab/>
            </w:r>
            <w:r w:rsidRPr="00317ABF">
              <w:rPr>
                <w:b/>
                <w:bCs/>
                <w:sz w:val="22"/>
                <w:szCs w:val="22"/>
              </w:rPr>
              <w:t>Żądanie informacji od przedsiębiorstw</w:t>
            </w:r>
          </w:p>
        </w:tc>
        <w:tc>
          <w:tcPr>
            <w:tcW w:w="986" w:type="dxa"/>
          </w:tcPr>
          <w:p w14:paraId="02915484" w14:textId="77777777" w:rsidR="001E1112" w:rsidRPr="00317ABF" w:rsidRDefault="001E1112" w:rsidP="00DB3BEC">
            <w:pPr>
              <w:jc w:val="both"/>
              <w:rPr>
                <w:sz w:val="22"/>
                <w:szCs w:val="22"/>
              </w:rPr>
            </w:pPr>
          </w:p>
        </w:tc>
        <w:tc>
          <w:tcPr>
            <w:tcW w:w="910" w:type="dxa"/>
          </w:tcPr>
          <w:p w14:paraId="03B94F49" w14:textId="77777777" w:rsidR="001E1112" w:rsidRPr="00317ABF" w:rsidRDefault="001E1112" w:rsidP="00DB3BEC">
            <w:pPr>
              <w:pStyle w:val="Tekstpodstawowy"/>
              <w:rPr>
                <w:b/>
                <w:noProof/>
                <w:sz w:val="22"/>
                <w:szCs w:val="22"/>
              </w:rPr>
            </w:pPr>
          </w:p>
        </w:tc>
        <w:tc>
          <w:tcPr>
            <w:tcW w:w="6814" w:type="dxa"/>
            <w:gridSpan w:val="2"/>
          </w:tcPr>
          <w:p w14:paraId="6D846F5D" w14:textId="77777777" w:rsidR="001E1112" w:rsidRPr="00317ABF" w:rsidRDefault="001E1112" w:rsidP="00DB3BEC">
            <w:pPr>
              <w:pStyle w:val="Tekstpodstawowy"/>
              <w:spacing w:line="276" w:lineRule="auto"/>
              <w:rPr>
                <w:sz w:val="22"/>
                <w:szCs w:val="22"/>
              </w:rPr>
            </w:pPr>
          </w:p>
        </w:tc>
      </w:tr>
      <w:tr w:rsidR="001E1112" w:rsidRPr="00317ABF" w14:paraId="2998109B" w14:textId="77777777" w:rsidTr="7753F98D">
        <w:trPr>
          <w:gridAfter w:val="2"/>
          <w:wAfter w:w="175" w:type="dxa"/>
        </w:trPr>
        <w:tc>
          <w:tcPr>
            <w:tcW w:w="704" w:type="dxa"/>
          </w:tcPr>
          <w:p w14:paraId="3A96E0D3" w14:textId="77777777" w:rsidR="001E1112" w:rsidRPr="00317ABF" w:rsidRDefault="001E1112" w:rsidP="00DB3BEC">
            <w:pPr>
              <w:jc w:val="both"/>
              <w:rPr>
                <w:sz w:val="22"/>
                <w:szCs w:val="22"/>
              </w:rPr>
            </w:pPr>
            <w:r w:rsidRPr="00317ABF">
              <w:rPr>
                <w:sz w:val="22"/>
                <w:szCs w:val="22"/>
              </w:rPr>
              <w:t>Art. 20 ust. 1</w:t>
            </w:r>
          </w:p>
        </w:tc>
        <w:tc>
          <w:tcPr>
            <w:tcW w:w="4308" w:type="dxa"/>
          </w:tcPr>
          <w:p w14:paraId="4B2CBD93" w14:textId="77777777" w:rsidR="001E1112" w:rsidRPr="00317ABF" w:rsidRDefault="001E1112" w:rsidP="00DB3BEC">
            <w:pPr>
              <w:spacing w:before="120"/>
              <w:jc w:val="both"/>
              <w:rPr>
                <w:sz w:val="22"/>
                <w:szCs w:val="22"/>
              </w:rPr>
            </w:pPr>
            <w:r w:rsidRPr="00317ABF">
              <w:rPr>
                <w:sz w:val="22"/>
                <w:szCs w:val="22"/>
              </w:rPr>
              <w:t>1.   Państwa członkowskie zapewniają, aby przedsiębiorstwa dostarczające sieci i świadczące usługi łączności elektronicznej, urządzenia towarzyszące lub usługi towarzyszące dostarczały wszystkich informacji, w tym informacji o charakterze finansowym, niezbędnych krajowym organom regulacyjnym, innym właściwym organom i BEREC do zapewnienia zgodności z przepisami niniejszej dyrektywy i rozporządzenia Parlamentu Europejskiego i Rady (UE) 2018/1971 </w:t>
            </w:r>
            <w:hyperlink r:id="rId32" w:anchor="ntr44-L_2018321PL.01003601-E0044" w:history="1">
              <w:r w:rsidRPr="00317ABF">
                <w:rPr>
                  <w:sz w:val="22"/>
                  <w:szCs w:val="22"/>
                  <w:u w:val="single"/>
                </w:rPr>
                <w:t>(</w:t>
              </w:r>
              <w:r w:rsidRPr="00317ABF">
                <w:rPr>
                  <w:sz w:val="22"/>
                  <w:szCs w:val="22"/>
                  <w:u w:val="single"/>
                  <w:vertAlign w:val="superscript"/>
                </w:rPr>
                <w:t>44</w:t>
              </w:r>
              <w:r w:rsidRPr="00317ABF">
                <w:rPr>
                  <w:sz w:val="22"/>
                  <w:szCs w:val="22"/>
                  <w:u w:val="single"/>
                </w:rPr>
                <w:t>)</w:t>
              </w:r>
            </w:hyperlink>
            <w:r w:rsidRPr="00317ABF">
              <w:rPr>
                <w:sz w:val="22"/>
                <w:szCs w:val="22"/>
              </w:rPr>
              <w:t xml:space="preserve"> lub przyjętych zgodnie z nimi decyzji lub opinii. Krajowe organy regulacyjne i, w razie konieczności ze względu na wykonywane zadania, inne właściwe organy mają prawo żądać od tych przedsiębiorstw w szczególności dostarczania informacji o przyszłym rozwoju sieci lub usług, który mógłby wywrzeć wpływ na usługi hurtowe udostępniane konkurentom przez te przedsiębiorstwa, a także informacji o sieciach łączności elektronicznej i urządzeniach towarzyszących, które są zdezagregowane na </w:t>
            </w:r>
            <w:r w:rsidRPr="00317ABF">
              <w:rPr>
                <w:sz w:val="22"/>
                <w:szCs w:val="22"/>
              </w:rPr>
              <w:lastRenderedPageBreak/>
              <w:t>poziomie lokalnym i na tyle szczegółowe, aby zapewnić przeprowadzenie analizy geograficznej i określenie obszarów zgodnie z art. 22.</w:t>
            </w:r>
          </w:p>
          <w:p w14:paraId="4BBB2146" w14:textId="77777777" w:rsidR="001E1112" w:rsidRPr="00317ABF" w:rsidRDefault="001E1112" w:rsidP="00DB3BEC">
            <w:pPr>
              <w:spacing w:before="120"/>
              <w:jc w:val="both"/>
              <w:rPr>
                <w:sz w:val="22"/>
                <w:szCs w:val="22"/>
              </w:rPr>
            </w:pPr>
            <w:r w:rsidRPr="00317ABF">
              <w:rPr>
                <w:sz w:val="22"/>
                <w:szCs w:val="22"/>
              </w:rPr>
              <w:t>W przypadku gdy informacje zebrane zgodnie z akapitem pierwszym są niewystarczające, aby krajowe organy regulacyjne, inne właściwe organy i BEREC wykonywały swoje zadania regulacyjne na mocy prawa unijnego, takie informacje mogą być pozyskiwane od innych stosownych przedsiębiorstw działających w sektorze łączności elektronicznej lub w ściśle powiązanych sektorach.</w:t>
            </w:r>
          </w:p>
          <w:p w14:paraId="2B780CAB" w14:textId="77777777" w:rsidR="001E1112" w:rsidRPr="00317ABF" w:rsidRDefault="001E1112" w:rsidP="00DB3BEC">
            <w:pPr>
              <w:spacing w:before="120"/>
              <w:jc w:val="both"/>
              <w:rPr>
                <w:sz w:val="22"/>
                <w:szCs w:val="22"/>
              </w:rPr>
            </w:pPr>
            <w:r w:rsidRPr="00317ABF">
              <w:rPr>
                <w:sz w:val="22"/>
                <w:szCs w:val="22"/>
              </w:rPr>
              <w:t>Od przedsiębiorstw wyznaczonych jako posiadające znaczącą pozycję na rynkach hurtowych można również wymagać, by przedstawiały dane księgowe dotyczące rynków detalicznych, które są związane z tymi rynkami hurtowymi.</w:t>
            </w:r>
          </w:p>
          <w:p w14:paraId="09C6C79D" w14:textId="77777777" w:rsidR="001E1112" w:rsidRPr="00317ABF" w:rsidRDefault="001E1112" w:rsidP="00DB3BEC">
            <w:pPr>
              <w:spacing w:before="120"/>
              <w:jc w:val="both"/>
              <w:rPr>
                <w:sz w:val="22"/>
                <w:szCs w:val="22"/>
              </w:rPr>
            </w:pPr>
            <w:r w:rsidRPr="00317ABF">
              <w:rPr>
                <w:sz w:val="22"/>
                <w:szCs w:val="22"/>
              </w:rPr>
              <w:t>Krajowe organy regulacyjne i inne właściwe organy mogą żądać informacji od pojedynczych punktów informacyjnych utworzonych na podstawie dyrektywy 2014/61/UE.</w:t>
            </w:r>
          </w:p>
          <w:p w14:paraId="77E64E2A" w14:textId="77777777" w:rsidR="001E1112" w:rsidRPr="00317ABF" w:rsidRDefault="001E1112" w:rsidP="00DB3BEC">
            <w:pPr>
              <w:spacing w:before="120"/>
              <w:jc w:val="both"/>
              <w:rPr>
                <w:sz w:val="22"/>
                <w:szCs w:val="22"/>
              </w:rPr>
            </w:pPr>
            <w:r w:rsidRPr="00317ABF">
              <w:rPr>
                <w:sz w:val="22"/>
                <w:szCs w:val="22"/>
              </w:rPr>
              <w:t>Każdy wniosek o informacje musi być proporcjonalny do wykonywanego zadania i musi być uzasadniony.</w:t>
            </w:r>
          </w:p>
          <w:p w14:paraId="412479A7" w14:textId="77777777" w:rsidR="001E1112" w:rsidRPr="00317ABF" w:rsidRDefault="001E1112" w:rsidP="00DB3BEC">
            <w:pPr>
              <w:spacing w:before="120"/>
              <w:jc w:val="both"/>
              <w:rPr>
                <w:sz w:val="22"/>
                <w:szCs w:val="22"/>
              </w:rPr>
            </w:pPr>
            <w:r w:rsidRPr="00317ABF">
              <w:rPr>
                <w:sz w:val="22"/>
                <w:szCs w:val="22"/>
              </w:rPr>
              <w:t>Przedsiębiorstwa niezwłocznie dostarczają informacji na żądanie w wymaganym terminie i na wymaganym poziomie szczegółowości.</w:t>
            </w:r>
          </w:p>
        </w:tc>
        <w:tc>
          <w:tcPr>
            <w:tcW w:w="986" w:type="dxa"/>
          </w:tcPr>
          <w:p w14:paraId="62F015AF" w14:textId="2EBB823A" w:rsidR="001E1112" w:rsidRPr="00317ABF" w:rsidRDefault="001E1112" w:rsidP="00DB3BEC">
            <w:pPr>
              <w:jc w:val="both"/>
              <w:rPr>
                <w:sz w:val="22"/>
                <w:szCs w:val="22"/>
              </w:rPr>
            </w:pPr>
            <w:r w:rsidRPr="00317ABF">
              <w:rPr>
                <w:sz w:val="22"/>
                <w:szCs w:val="22"/>
              </w:rPr>
              <w:lastRenderedPageBreak/>
              <w:t>T</w:t>
            </w:r>
          </w:p>
        </w:tc>
        <w:tc>
          <w:tcPr>
            <w:tcW w:w="910" w:type="dxa"/>
          </w:tcPr>
          <w:p w14:paraId="6C6F7808" w14:textId="4DAA9455" w:rsidR="001E1112" w:rsidRPr="00317ABF" w:rsidRDefault="001E1112" w:rsidP="00DB3BEC">
            <w:pPr>
              <w:pStyle w:val="Tekstpodstawowy"/>
              <w:rPr>
                <w:b/>
                <w:bCs/>
                <w:noProof/>
                <w:sz w:val="22"/>
                <w:szCs w:val="22"/>
              </w:rPr>
            </w:pPr>
            <w:r w:rsidRPr="00317ABF">
              <w:rPr>
                <w:b/>
                <w:bCs/>
                <w:noProof/>
                <w:sz w:val="22"/>
                <w:szCs w:val="22"/>
              </w:rPr>
              <w:t>Art. 19</w:t>
            </w:r>
          </w:p>
          <w:p w14:paraId="1B15DD1D" w14:textId="34B09218" w:rsidR="001E1112" w:rsidRPr="00317ABF" w:rsidRDefault="00DB3BEC" w:rsidP="00DB3BEC">
            <w:pPr>
              <w:pStyle w:val="Tekstpodstawowy"/>
              <w:rPr>
                <w:b/>
                <w:bCs/>
                <w:noProof/>
                <w:sz w:val="22"/>
                <w:szCs w:val="22"/>
              </w:rPr>
            </w:pPr>
            <w:r w:rsidRPr="00317ABF">
              <w:rPr>
                <w:b/>
                <w:bCs/>
                <w:noProof/>
                <w:sz w:val="22"/>
                <w:szCs w:val="22"/>
              </w:rPr>
              <w:t xml:space="preserve">Art. </w:t>
            </w:r>
            <w:r w:rsidR="001E1112" w:rsidRPr="00317ABF">
              <w:rPr>
                <w:b/>
                <w:bCs/>
                <w:noProof/>
                <w:sz w:val="22"/>
                <w:szCs w:val="22"/>
              </w:rPr>
              <w:t>20</w:t>
            </w:r>
          </w:p>
        </w:tc>
        <w:tc>
          <w:tcPr>
            <w:tcW w:w="6814" w:type="dxa"/>
            <w:gridSpan w:val="2"/>
          </w:tcPr>
          <w:p w14:paraId="3E8A1121" w14:textId="77777777" w:rsidR="006B69A1" w:rsidRPr="00317ABF" w:rsidRDefault="006B69A1" w:rsidP="006B69A1">
            <w:pPr>
              <w:ind w:firstLine="510"/>
              <w:jc w:val="both"/>
              <w:rPr>
                <w:rFonts w:eastAsia="Times"/>
                <w:bCs/>
                <w:sz w:val="22"/>
                <w:szCs w:val="22"/>
              </w:rPr>
            </w:pPr>
            <w:r w:rsidRPr="00317ABF">
              <w:rPr>
                <w:rFonts w:eastAsia="Times"/>
                <w:b/>
                <w:bCs/>
                <w:sz w:val="22"/>
                <w:szCs w:val="22"/>
              </w:rPr>
              <w:t>Art. 19</w:t>
            </w:r>
            <w:r w:rsidRPr="00317ABF">
              <w:rPr>
                <w:rFonts w:eastAsia="Times"/>
                <w:bCs/>
                <w:sz w:val="22"/>
                <w:szCs w:val="22"/>
              </w:rPr>
              <w:t>. 1. Przedsiębiorca komunikacji elektronicznej lub podmiot, który uzyskał pozwolenie radiowe, o którym mowa w art. 138 ust. 1, rezerwację częstotliwości lub zasobów orbitalnych lub prawo do wykorzystywania zasobów numeracji, z wyłączeniem użytkownika rządowego, jest obowiązany do przekazywania na żądanie Prezesa UKE informacji niezbędnych do wykonywania przez Prezesa UKE jego uprawnień i obowiązków.</w:t>
            </w:r>
          </w:p>
          <w:p w14:paraId="51BFF6E1" w14:textId="77777777" w:rsidR="006B69A1" w:rsidRPr="00317ABF" w:rsidRDefault="006B69A1" w:rsidP="006B69A1">
            <w:pPr>
              <w:ind w:firstLine="510"/>
              <w:jc w:val="both"/>
              <w:rPr>
                <w:rFonts w:eastAsia="Times"/>
                <w:bCs/>
                <w:sz w:val="22"/>
                <w:szCs w:val="22"/>
              </w:rPr>
            </w:pPr>
            <w:r w:rsidRPr="00317ABF">
              <w:rPr>
                <w:rFonts w:eastAsia="Times"/>
                <w:bCs/>
                <w:sz w:val="22"/>
                <w:szCs w:val="22"/>
              </w:rPr>
              <w:t>2. W przypadku, gdy niezbędne do wykonywania przez Prezesa UKE jego uprawnień i obowiązków informacje pozyskane na podstawie ust. 1, są niewystarczające Prezes UKE może pozyskiwać te informacje od innych podmiotów działających na rynku komunikacji elektronicznej lub innych rynkach ściśle powiązanych z tym rynkiem. Podmioty te mają obowiązek przekazania informacji na uzasadnione żądanie Prezesa UKE.</w:t>
            </w:r>
          </w:p>
          <w:p w14:paraId="4C6EF20D" w14:textId="77777777" w:rsidR="006B69A1" w:rsidRPr="00317ABF" w:rsidRDefault="006B69A1" w:rsidP="006B69A1">
            <w:pPr>
              <w:ind w:firstLine="510"/>
              <w:jc w:val="both"/>
              <w:rPr>
                <w:rFonts w:eastAsia="Times"/>
                <w:bCs/>
                <w:sz w:val="22"/>
                <w:szCs w:val="22"/>
              </w:rPr>
            </w:pPr>
            <w:r w:rsidRPr="00317ABF">
              <w:rPr>
                <w:rFonts w:eastAsia="Times"/>
                <w:bCs/>
                <w:sz w:val="22"/>
                <w:szCs w:val="22"/>
              </w:rPr>
              <w:t>3. Przedsiębiorca o znaczącej pozycji rynkowej na rynku hurtowym jest obowiązany do przekazywania, na żądanie Prezesa UKE, danych księgowych dotyczących rynków detalicznych związanych z tym rynkiem hurtowym.</w:t>
            </w:r>
          </w:p>
          <w:p w14:paraId="1A008C52" w14:textId="736C57B8" w:rsidR="001E1112" w:rsidRPr="00317ABF" w:rsidRDefault="001E1112" w:rsidP="00DB3BEC">
            <w:pPr>
              <w:ind w:firstLine="510"/>
              <w:jc w:val="both"/>
              <w:rPr>
                <w:rFonts w:eastAsia="Times"/>
                <w:sz w:val="22"/>
                <w:szCs w:val="22"/>
              </w:rPr>
            </w:pPr>
            <w:r w:rsidRPr="00317ABF">
              <w:rPr>
                <w:rFonts w:eastAsia="Times"/>
                <w:sz w:val="22"/>
                <w:szCs w:val="22"/>
              </w:rPr>
              <w:t>4. Żądania, o których mowa w ust. 1–3, powinny być proporcjonalne do celu, jakiemu mają służyć, oraz zawierać:</w:t>
            </w:r>
          </w:p>
          <w:p w14:paraId="1A4E9279" w14:textId="77777777" w:rsidR="006B69A1" w:rsidRPr="00317ABF" w:rsidRDefault="006B69A1" w:rsidP="006B69A1">
            <w:pPr>
              <w:ind w:firstLine="510"/>
              <w:jc w:val="both"/>
              <w:rPr>
                <w:rFonts w:eastAsia="Times"/>
                <w:bCs/>
                <w:sz w:val="22"/>
                <w:szCs w:val="22"/>
              </w:rPr>
            </w:pPr>
            <w:r w:rsidRPr="00317ABF">
              <w:rPr>
                <w:rFonts w:eastAsia="Times"/>
                <w:bCs/>
                <w:sz w:val="22"/>
                <w:szCs w:val="22"/>
              </w:rPr>
              <w:t>1)</w:t>
            </w:r>
            <w:r w:rsidRPr="00317ABF">
              <w:rPr>
                <w:rFonts w:eastAsia="Times"/>
                <w:bCs/>
                <w:sz w:val="22"/>
                <w:szCs w:val="22"/>
              </w:rPr>
              <w:tab/>
              <w:t>wskazanie podmiotu obowiązanego do przekazania informacji;</w:t>
            </w:r>
          </w:p>
          <w:p w14:paraId="5355E02E" w14:textId="77777777" w:rsidR="006B69A1" w:rsidRPr="00317ABF" w:rsidRDefault="006B69A1" w:rsidP="006B69A1">
            <w:pPr>
              <w:ind w:firstLine="510"/>
              <w:jc w:val="both"/>
              <w:rPr>
                <w:rFonts w:eastAsia="Times"/>
                <w:bCs/>
                <w:sz w:val="22"/>
                <w:szCs w:val="22"/>
              </w:rPr>
            </w:pPr>
            <w:r w:rsidRPr="00317ABF">
              <w:rPr>
                <w:rFonts w:eastAsia="Times"/>
                <w:bCs/>
                <w:sz w:val="22"/>
                <w:szCs w:val="22"/>
              </w:rPr>
              <w:t>2)</w:t>
            </w:r>
            <w:r w:rsidRPr="00317ABF">
              <w:rPr>
                <w:rFonts w:eastAsia="Times"/>
                <w:bCs/>
                <w:sz w:val="22"/>
                <w:szCs w:val="22"/>
              </w:rPr>
              <w:tab/>
              <w:t>datę;</w:t>
            </w:r>
          </w:p>
          <w:p w14:paraId="208635B4" w14:textId="77777777" w:rsidR="006B69A1" w:rsidRPr="00317ABF" w:rsidRDefault="006B69A1" w:rsidP="006B69A1">
            <w:pPr>
              <w:ind w:firstLine="510"/>
              <w:jc w:val="both"/>
              <w:rPr>
                <w:rFonts w:eastAsia="Times"/>
                <w:bCs/>
                <w:sz w:val="22"/>
                <w:szCs w:val="22"/>
              </w:rPr>
            </w:pPr>
            <w:r w:rsidRPr="00317ABF">
              <w:rPr>
                <w:rFonts w:eastAsia="Times"/>
                <w:bCs/>
                <w:sz w:val="22"/>
                <w:szCs w:val="22"/>
              </w:rPr>
              <w:t>3)</w:t>
            </w:r>
            <w:r w:rsidRPr="00317ABF">
              <w:rPr>
                <w:rFonts w:eastAsia="Times"/>
                <w:bCs/>
                <w:sz w:val="22"/>
                <w:szCs w:val="22"/>
              </w:rPr>
              <w:tab/>
              <w:t>wskazanie żądanych informacji oraz okresu, którego dotyczą;</w:t>
            </w:r>
          </w:p>
          <w:p w14:paraId="57C710EF" w14:textId="77777777" w:rsidR="006B69A1" w:rsidRPr="00317ABF" w:rsidRDefault="006B69A1" w:rsidP="006B69A1">
            <w:pPr>
              <w:ind w:firstLine="510"/>
              <w:jc w:val="both"/>
              <w:rPr>
                <w:rFonts w:eastAsia="Times"/>
                <w:bCs/>
                <w:sz w:val="22"/>
                <w:szCs w:val="22"/>
              </w:rPr>
            </w:pPr>
            <w:r w:rsidRPr="00317ABF">
              <w:rPr>
                <w:rFonts w:eastAsia="Times"/>
                <w:bCs/>
                <w:sz w:val="22"/>
                <w:szCs w:val="22"/>
              </w:rPr>
              <w:t>4)</w:t>
            </w:r>
            <w:r w:rsidRPr="00317ABF">
              <w:rPr>
                <w:rFonts w:eastAsia="Times"/>
                <w:bCs/>
                <w:sz w:val="22"/>
                <w:szCs w:val="22"/>
              </w:rPr>
              <w:tab/>
              <w:t>wskazanie celu, jakiemu informacje mają służyć;</w:t>
            </w:r>
          </w:p>
          <w:p w14:paraId="0AE172CD" w14:textId="77777777" w:rsidR="006B69A1" w:rsidRPr="00317ABF" w:rsidRDefault="006B69A1" w:rsidP="006B69A1">
            <w:pPr>
              <w:ind w:firstLine="510"/>
              <w:jc w:val="both"/>
              <w:rPr>
                <w:rFonts w:eastAsia="Times"/>
                <w:bCs/>
                <w:sz w:val="22"/>
                <w:szCs w:val="22"/>
              </w:rPr>
            </w:pPr>
            <w:r w:rsidRPr="00317ABF">
              <w:rPr>
                <w:rFonts w:eastAsia="Times"/>
                <w:bCs/>
                <w:sz w:val="22"/>
                <w:szCs w:val="22"/>
              </w:rPr>
              <w:lastRenderedPageBreak/>
              <w:t>5)</w:t>
            </w:r>
            <w:r w:rsidRPr="00317ABF">
              <w:rPr>
                <w:rFonts w:eastAsia="Times"/>
                <w:bCs/>
                <w:sz w:val="22"/>
                <w:szCs w:val="22"/>
              </w:rPr>
              <w:tab/>
              <w:t>wskazanie terminu przekazania informacji adekwatnego do zakresu tego żądania, nie krótszego niż 7 dni;</w:t>
            </w:r>
          </w:p>
          <w:p w14:paraId="05FDCB03" w14:textId="77777777" w:rsidR="006B69A1" w:rsidRPr="00317ABF" w:rsidRDefault="006B69A1" w:rsidP="006B69A1">
            <w:pPr>
              <w:ind w:firstLine="510"/>
              <w:jc w:val="both"/>
              <w:rPr>
                <w:rFonts w:eastAsia="Times"/>
                <w:bCs/>
                <w:sz w:val="22"/>
                <w:szCs w:val="22"/>
              </w:rPr>
            </w:pPr>
            <w:r w:rsidRPr="00317ABF">
              <w:rPr>
                <w:rFonts w:eastAsia="Times"/>
                <w:bCs/>
                <w:sz w:val="22"/>
                <w:szCs w:val="22"/>
              </w:rPr>
              <w:t>6)</w:t>
            </w:r>
            <w:r w:rsidRPr="00317ABF">
              <w:rPr>
                <w:rFonts w:eastAsia="Times"/>
                <w:bCs/>
                <w:sz w:val="22"/>
                <w:szCs w:val="22"/>
              </w:rPr>
              <w:tab/>
              <w:t>uzasadnienie;</w:t>
            </w:r>
          </w:p>
          <w:p w14:paraId="3F325518" w14:textId="77777777" w:rsidR="001E1112" w:rsidRPr="00317ABF" w:rsidRDefault="001E1112" w:rsidP="006B69A1">
            <w:pPr>
              <w:ind w:firstLine="510"/>
              <w:jc w:val="both"/>
              <w:rPr>
                <w:rFonts w:eastAsia="Times"/>
                <w:sz w:val="22"/>
                <w:szCs w:val="22"/>
              </w:rPr>
            </w:pPr>
            <w:r w:rsidRPr="00317ABF">
              <w:rPr>
                <w:rFonts w:eastAsia="Times"/>
                <w:sz w:val="22"/>
                <w:szCs w:val="22"/>
              </w:rPr>
              <w:t>7)</w:t>
            </w:r>
            <w:r w:rsidR="006B69A1" w:rsidRPr="00317ABF">
              <w:rPr>
                <w:rFonts w:eastAsia="Times"/>
                <w:bCs/>
                <w:sz w:val="22"/>
                <w:szCs w:val="22"/>
              </w:rPr>
              <w:tab/>
            </w:r>
            <w:r w:rsidRPr="00317ABF">
              <w:rPr>
                <w:rFonts w:eastAsia="Times"/>
                <w:sz w:val="22"/>
                <w:szCs w:val="22"/>
              </w:rPr>
              <w:t xml:space="preserve">pouczenie o zagrożeniu karą, o której mowa w art. </w:t>
            </w:r>
            <w:r w:rsidR="006B69A1" w:rsidRPr="00317ABF">
              <w:rPr>
                <w:rFonts w:eastAsia="Times"/>
                <w:bCs/>
                <w:sz w:val="22"/>
                <w:szCs w:val="22"/>
              </w:rPr>
              <w:t>441</w:t>
            </w:r>
            <w:r w:rsidRPr="00317ABF">
              <w:rPr>
                <w:rFonts w:eastAsia="Times"/>
                <w:sz w:val="22"/>
                <w:szCs w:val="22"/>
              </w:rPr>
              <w:t xml:space="preserve"> ust. 2.</w:t>
            </w:r>
          </w:p>
          <w:p w14:paraId="17A7D042" w14:textId="3AD0EF49" w:rsidR="001E1112" w:rsidRPr="00317ABF" w:rsidRDefault="001E1112" w:rsidP="006B69A1">
            <w:pPr>
              <w:ind w:firstLine="510"/>
              <w:jc w:val="both"/>
              <w:rPr>
                <w:rFonts w:eastAsia="Times"/>
                <w:sz w:val="22"/>
                <w:szCs w:val="22"/>
              </w:rPr>
            </w:pPr>
            <w:r w:rsidRPr="00317ABF">
              <w:rPr>
                <w:rFonts w:eastAsia="Times"/>
                <w:sz w:val="22"/>
                <w:szCs w:val="22"/>
              </w:rPr>
              <w:t>5. Prezes UKE może zastosować do pozyskania informacji, o których mowa w ust. 1–3, opracowane przez siebie formularze, dążąc do ujednolicenia i zapewnienia spójności pozyskanych informacji.</w:t>
            </w:r>
          </w:p>
          <w:p w14:paraId="5543B726" w14:textId="3AD0EF49" w:rsidR="001E1112" w:rsidRPr="00317ABF" w:rsidRDefault="001E1112" w:rsidP="006B69A1">
            <w:pPr>
              <w:ind w:firstLine="510"/>
              <w:jc w:val="both"/>
              <w:rPr>
                <w:rFonts w:eastAsia="Times"/>
                <w:sz w:val="22"/>
                <w:szCs w:val="22"/>
              </w:rPr>
            </w:pPr>
          </w:p>
          <w:p w14:paraId="083783BC" w14:textId="3AD0EF49" w:rsidR="001E1112" w:rsidRPr="00317ABF" w:rsidRDefault="001E1112" w:rsidP="00DB3BEC">
            <w:pPr>
              <w:ind w:firstLine="510"/>
              <w:jc w:val="both"/>
              <w:rPr>
                <w:rFonts w:eastAsia="Times"/>
                <w:sz w:val="22"/>
                <w:szCs w:val="22"/>
              </w:rPr>
            </w:pPr>
            <w:r w:rsidRPr="00317ABF">
              <w:rPr>
                <w:rFonts w:eastAsia="Times"/>
                <w:b/>
                <w:bCs/>
                <w:sz w:val="22"/>
                <w:szCs w:val="22"/>
              </w:rPr>
              <w:t>Art. 20.</w:t>
            </w:r>
            <w:r w:rsidRPr="00317ABF">
              <w:rPr>
                <w:rFonts w:eastAsia="Times"/>
                <w:sz w:val="22"/>
                <w:szCs w:val="22"/>
              </w:rPr>
              <w:t xml:space="preserve"> 1. Przedsiębiorca telekomunikacyjny jest obowiązany do przedkładania Prezesowi UKE, w terminie do dnia 31 marca, danych za poprzedni rok kalendarzowy dotyczących rodzaju i zakresu wykonywanej działalności telekomunikacyjnej oraz wielkości sprzedaży usług telekomunikacyjnych.</w:t>
            </w:r>
          </w:p>
          <w:p w14:paraId="252340D9" w14:textId="77777777" w:rsidR="001E1112" w:rsidRPr="00317ABF" w:rsidRDefault="001E1112" w:rsidP="00DB3BEC">
            <w:pPr>
              <w:ind w:firstLine="510"/>
              <w:jc w:val="both"/>
              <w:rPr>
                <w:rFonts w:eastAsia="Times"/>
                <w:sz w:val="22"/>
                <w:szCs w:val="22"/>
              </w:rPr>
            </w:pPr>
            <w:r w:rsidRPr="00317ABF">
              <w:rPr>
                <w:rFonts w:eastAsia="Times"/>
                <w:sz w:val="22"/>
                <w:szCs w:val="22"/>
              </w:rPr>
              <w:t xml:space="preserve">2. Obowiązkowi przedłożenia </w:t>
            </w:r>
            <w:r w:rsidR="006B69A1" w:rsidRPr="00317ABF">
              <w:rPr>
                <w:rFonts w:eastAsia="Times"/>
                <w:bCs/>
                <w:sz w:val="22"/>
                <w:szCs w:val="22"/>
              </w:rPr>
              <w:t>danych</w:t>
            </w:r>
            <w:r w:rsidRPr="00317ABF">
              <w:rPr>
                <w:rFonts w:eastAsia="Times"/>
                <w:sz w:val="22"/>
                <w:szCs w:val="22"/>
              </w:rPr>
              <w:t>, w terminie określonym w ust. 1, podlega podmiot wykreślony z rejestru</w:t>
            </w:r>
            <w:r w:rsidR="006B69A1" w:rsidRPr="00317ABF">
              <w:rPr>
                <w:rFonts w:eastAsia="Times"/>
                <w:bCs/>
                <w:sz w:val="22"/>
                <w:szCs w:val="22"/>
              </w:rPr>
              <w:t xml:space="preserve"> PT</w:t>
            </w:r>
            <w:r w:rsidRPr="00317ABF">
              <w:rPr>
                <w:rFonts w:eastAsia="Times"/>
                <w:sz w:val="22"/>
                <w:szCs w:val="22"/>
              </w:rPr>
              <w:t>, za okres wykonywanej działalności telekomunikacyjnej w roku, w którym nastąpiło wykreślenie z rejestru.</w:t>
            </w:r>
          </w:p>
          <w:p w14:paraId="149A9C65" w14:textId="77777777" w:rsidR="006B69A1" w:rsidRPr="00317ABF" w:rsidRDefault="006B69A1" w:rsidP="006B69A1">
            <w:pPr>
              <w:ind w:firstLine="510"/>
              <w:jc w:val="both"/>
              <w:rPr>
                <w:rFonts w:eastAsia="Times"/>
                <w:bCs/>
                <w:sz w:val="22"/>
                <w:szCs w:val="22"/>
              </w:rPr>
            </w:pPr>
            <w:r w:rsidRPr="00317ABF">
              <w:rPr>
                <w:rFonts w:eastAsia="Times"/>
                <w:bCs/>
                <w:sz w:val="22"/>
                <w:szCs w:val="22"/>
              </w:rPr>
              <w:t>3. Dane, o których mowa w ust. 1, przekazywane są przy użyciu formularza elektronicznego zamieszczonego na PUE UKE, w formie dokumentu elektronicznego opatrzonego kwalifikowanym podpisem elektronicznym, podpisem zaufanym albo podpisem osobistym.</w:t>
            </w:r>
          </w:p>
          <w:p w14:paraId="0A6E8086" w14:textId="77777777" w:rsidR="006B69A1" w:rsidRPr="00317ABF" w:rsidRDefault="006B69A1" w:rsidP="006B69A1">
            <w:pPr>
              <w:ind w:firstLine="510"/>
              <w:jc w:val="both"/>
              <w:rPr>
                <w:rFonts w:eastAsia="Times"/>
                <w:bCs/>
                <w:sz w:val="22"/>
                <w:szCs w:val="22"/>
              </w:rPr>
            </w:pPr>
            <w:r w:rsidRPr="00317ABF">
              <w:rPr>
                <w:rFonts w:eastAsia="Times"/>
                <w:bCs/>
                <w:sz w:val="22"/>
                <w:szCs w:val="22"/>
              </w:rPr>
              <w:t>4. Dane, o których mowa w ust. 1, uznaje się za przekazane w terminie określonym jako data wysłania dokumentu w urzędowym poświadczeniu odbioru, które jest automatycznie tworzone i udostępniane przez PUE UKE podmiotowi przekazującemu te dane.</w:t>
            </w:r>
          </w:p>
          <w:p w14:paraId="4C454023" w14:textId="77777777" w:rsidR="006B69A1" w:rsidRPr="00317ABF" w:rsidRDefault="006B69A1" w:rsidP="006B69A1">
            <w:pPr>
              <w:ind w:firstLine="510"/>
              <w:jc w:val="both"/>
              <w:rPr>
                <w:rFonts w:eastAsia="Times"/>
                <w:bCs/>
                <w:sz w:val="22"/>
                <w:szCs w:val="22"/>
              </w:rPr>
            </w:pPr>
            <w:r w:rsidRPr="00317ABF">
              <w:rPr>
                <w:rFonts w:eastAsia="Times"/>
                <w:bCs/>
                <w:sz w:val="22"/>
                <w:szCs w:val="22"/>
              </w:rPr>
              <w:t>5. Prezes UKE informuje, na stronie podmiotowej BIP UKE, o adresie strony internetowej PUE UKE, na której udostępniony jest formularz elektroniczny, o którym mowa w ust. 3.</w:t>
            </w:r>
          </w:p>
          <w:p w14:paraId="17BA660B" w14:textId="77777777" w:rsidR="006B69A1" w:rsidRPr="00317ABF" w:rsidRDefault="006B69A1" w:rsidP="006B69A1">
            <w:pPr>
              <w:ind w:firstLine="510"/>
              <w:jc w:val="both"/>
              <w:rPr>
                <w:rFonts w:eastAsia="Times"/>
                <w:bCs/>
                <w:sz w:val="22"/>
                <w:szCs w:val="22"/>
              </w:rPr>
            </w:pPr>
            <w:r w:rsidRPr="00317ABF">
              <w:rPr>
                <w:rFonts w:eastAsia="Times"/>
                <w:bCs/>
                <w:sz w:val="22"/>
                <w:szCs w:val="22"/>
              </w:rPr>
              <w:t xml:space="preserve"> 6. Minister właściwy do spraw informatyzacji określi, w drodze rozporządzenia szczegółowy zakres danych, o których mowa w ust. 1, wraz z objaśnieniami co do sposobu ich przedstawiania kierując się koniecznością zapewnienia Prezesowi UKE informacji niezbędnych do właściwego realizowania jego obowiązków oraz potrzebą usprawnienia i ujednolicenia procesu przekazywania danych.</w:t>
            </w:r>
          </w:p>
          <w:p w14:paraId="6E681184" w14:textId="38EAE5EB" w:rsidR="001E1112" w:rsidRPr="00317ABF" w:rsidRDefault="006B69A1" w:rsidP="00DB3BEC">
            <w:pPr>
              <w:jc w:val="both"/>
              <w:rPr>
                <w:sz w:val="22"/>
                <w:szCs w:val="22"/>
              </w:rPr>
            </w:pPr>
            <w:r w:rsidRPr="00317ABF">
              <w:rPr>
                <w:rFonts w:eastAsia="Times"/>
                <w:bCs/>
                <w:sz w:val="22"/>
                <w:szCs w:val="22"/>
              </w:rPr>
              <w:t xml:space="preserve">           7.</w:t>
            </w:r>
            <w:r w:rsidR="001E1112" w:rsidRPr="00317ABF">
              <w:rPr>
                <w:rFonts w:eastAsia="Times"/>
                <w:sz w:val="22"/>
                <w:szCs w:val="22"/>
              </w:rPr>
              <w:t xml:space="preserve"> Prezes UKE określi wzór dokumentu, przy użyciu którego przekazywane są dane, o których mowa w ust. 1, w formie dokumentu elektronicznego w rozumieniu ustawy z dnia 17 lutego 2005 r. o informatyzacji działalności podmiotów realizujących zadania publiczne.</w:t>
            </w:r>
          </w:p>
        </w:tc>
      </w:tr>
      <w:tr w:rsidR="001E1112" w:rsidRPr="00317ABF" w14:paraId="2683D406" w14:textId="77777777" w:rsidTr="7753F98D">
        <w:trPr>
          <w:gridAfter w:val="2"/>
          <w:wAfter w:w="175" w:type="dxa"/>
        </w:trPr>
        <w:tc>
          <w:tcPr>
            <w:tcW w:w="704" w:type="dxa"/>
          </w:tcPr>
          <w:p w14:paraId="6FB75EB2" w14:textId="77777777" w:rsidR="001E1112" w:rsidRPr="00317ABF" w:rsidRDefault="001E1112" w:rsidP="00DB3BEC">
            <w:pPr>
              <w:jc w:val="both"/>
              <w:rPr>
                <w:sz w:val="22"/>
                <w:szCs w:val="22"/>
              </w:rPr>
            </w:pPr>
            <w:r w:rsidRPr="00317ABF">
              <w:rPr>
                <w:sz w:val="22"/>
                <w:szCs w:val="22"/>
              </w:rPr>
              <w:lastRenderedPageBreak/>
              <w:t>Art. 20 ust. 2</w:t>
            </w:r>
          </w:p>
        </w:tc>
        <w:tc>
          <w:tcPr>
            <w:tcW w:w="4308" w:type="dxa"/>
          </w:tcPr>
          <w:p w14:paraId="6F42CA5A" w14:textId="77777777" w:rsidR="001E1112" w:rsidRPr="00317ABF" w:rsidRDefault="001E1112" w:rsidP="00DB3BEC">
            <w:pPr>
              <w:spacing w:before="120"/>
              <w:jc w:val="both"/>
              <w:rPr>
                <w:sz w:val="22"/>
                <w:szCs w:val="22"/>
              </w:rPr>
            </w:pPr>
            <w:r w:rsidRPr="00317ABF">
              <w:rPr>
                <w:sz w:val="22"/>
                <w:szCs w:val="22"/>
              </w:rPr>
              <w:tab/>
              <w:t>2.   Państwa członkowskie zapewniają, by krajowe organy regulacyjne i inne właściwe organy dostarczały Komisji, na jej uzasadniony wniosek, informacje, które są niezbędne dla realizacji przez Komisję jej zadań wynikających z TFUE. Informacja, której żąda Komisja, winna być proporcjonalna w świetle realizacji tychże zadań. Jeżeli dostarczona informacja odnosi się do informacji dostarczonej uprzednio przez przedsiębiorstwo na żądanie organu, informuje się o tym dane przedsiębiorstwa. Stosownie do potrzeb oraz jeżeli organ dostarczający informacje nie zastrzegł w wyraźny i uzasadniony sposób inaczej, Komisja udostępnia otrzymaną informację innemu organowi tego typu w innym państwie członkowskim.</w:t>
            </w:r>
          </w:p>
          <w:p w14:paraId="3A4E79B9" w14:textId="77777777" w:rsidR="001E1112" w:rsidRPr="00317ABF" w:rsidRDefault="001E1112" w:rsidP="00DB3BEC">
            <w:pPr>
              <w:spacing w:before="120"/>
              <w:jc w:val="both"/>
              <w:rPr>
                <w:sz w:val="22"/>
                <w:szCs w:val="22"/>
              </w:rPr>
            </w:pPr>
            <w:r w:rsidRPr="00317ABF">
              <w:rPr>
                <w:sz w:val="22"/>
                <w:szCs w:val="22"/>
              </w:rPr>
              <w:t>Z zastrzeżeniem wymogów określonych w ust. 3 państwa członkowskie zapewniają, by informacja dostarczona jednemu organowi została udostępniona innemu organowi tego typu w tym samym lub innym państwie członkowskim oraz BEREC, w odpowiedzi na jego uzasadniony wniosek, jeżeli jest to niezbędne dla umożliwienia tymże organom albo BEREC wypełniania obowiązków wynikających z prawa Unii.</w:t>
            </w:r>
          </w:p>
        </w:tc>
        <w:tc>
          <w:tcPr>
            <w:tcW w:w="986" w:type="dxa"/>
          </w:tcPr>
          <w:p w14:paraId="230165FA" w14:textId="67B55780" w:rsidR="001E1112" w:rsidRPr="00317ABF" w:rsidRDefault="001E1112" w:rsidP="00DB3BEC">
            <w:pPr>
              <w:jc w:val="both"/>
              <w:rPr>
                <w:sz w:val="22"/>
                <w:szCs w:val="22"/>
              </w:rPr>
            </w:pPr>
            <w:r w:rsidRPr="00317ABF">
              <w:rPr>
                <w:sz w:val="22"/>
                <w:szCs w:val="22"/>
              </w:rPr>
              <w:t>T</w:t>
            </w:r>
          </w:p>
        </w:tc>
        <w:tc>
          <w:tcPr>
            <w:tcW w:w="910" w:type="dxa"/>
          </w:tcPr>
          <w:p w14:paraId="7CB33CA5" w14:textId="23CB9B68" w:rsidR="001E1112" w:rsidRPr="00317ABF" w:rsidRDefault="001E1112" w:rsidP="00DB3BEC">
            <w:pPr>
              <w:pStyle w:val="Tekstpodstawowy"/>
              <w:rPr>
                <w:b/>
                <w:bCs/>
                <w:noProof/>
                <w:sz w:val="22"/>
                <w:szCs w:val="22"/>
              </w:rPr>
            </w:pPr>
            <w:r w:rsidRPr="00317ABF">
              <w:rPr>
                <w:b/>
                <w:bCs/>
                <w:noProof/>
                <w:sz w:val="22"/>
                <w:szCs w:val="22"/>
              </w:rPr>
              <w:t>Art. 21</w:t>
            </w:r>
          </w:p>
        </w:tc>
        <w:tc>
          <w:tcPr>
            <w:tcW w:w="6814" w:type="dxa"/>
            <w:gridSpan w:val="2"/>
          </w:tcPr>
          <w:p w14:paraId="1AD8954A" w14:textId="2186860D" w:rsidR="006B69A1" w:rsidRPr="00317ABF" w:rsidRDefault="006B69A1" w:rsidP="006B69A1">
            <w:pPr>
              <w:pStyle w:val="Tekstpodstawowy"/>
              <w:rPr>
                <w:sz w:val="22"/>
                <w:szCs w:val="22"/>
              </w:rPr>
            </w:pPr>
            <w:r w:rsidRPr="00317ABF">
              <w:rPr>
                <w:b/>
              </w:rPr>
              <w:t xml:space="preserve"> </w:t>
            </w:r>
            <w:r w:rsidRPr="00317ABF">
              <w:rPr>
                <w:b/>
                <w:sz w:val="22"/>
                <w:szCs w:val="22"/>
              </w:rPr>
              <w:t>Art. 21</w:t>
            </w:r>
            <w:r w:rsidRPr="00317ABF">
              <w:rPr>
                <w:sz w:val="22"/>
                <w:szCs w:val="22"/>
              </w:rPr>
              <w:t>. 1. Prezes UKE zapewnia dostęp do informacji otrzymanych od podmiotu, o którym mowa w art. 19 ust. 1-3, organom regulacyjnym państw członkowskich, BEREC i Komisji Europejskiej, z wyjątkiem przypadków określonych w przepisach prawa.</w:t>
            </w:r>
          </w:p>
          <w:p w14:paraId="17414610" w14:textId="01E3F6FA" w:rsidR="001E1112" w:rsidRPr="00317ABF" w:rsidRDefault="001E1112" w:rsidP="00DB3BEC">
            <w:pPr>
              <w:jc w:val="both"/>
              <w:rPr>
                <w:sz w:val="22"/>
                <w:szCs w:val="22"/>
              </w:rPr>
            </w:pPr>
            <w:r w:rsidRPr="00317ABF">
              <w:rPr>
                <w:sz w:val="22"/>
                <w:szCs w:val="22"/>
              </w:rPr>
              <w:t>2. Prezes UKE informuje podmiot, o którym mowa w art. 19 ust. 1–3 o udostępnieniu</w:t>
            </w:r>
            <w:r w:rsidR="006B69A1" w:rsidRPr="00317ABF">
              <w:rPr>
                <w:sz w:val="22"/>
                <w:szCs w:val="22"/>
              </w:rPr>
              <w:t>, na podstawie ust. 1,</w:t>
            </w:r>
            <w:r w:rsidRPr="00317ABF">
              <w:rPr>
                <w:sz w:val="22"/>
                <w:szCs w:val="22"/>
              </w:rPr>
              <w:t xml:space="preserve"> informacji dostarczonej uprzednio przez ten podmiot na żądanie Prezesa UKE.</w:t>
            </w:r>
          </w:p>
        </w:tc>
      </w:tr>
      <w:tr w:rsidR="001E1112" w:rsidRPr="00317ABF" w14:paraId="5F16C22D" w14:textId="77777777" w:rsidTr="7753F98D">
        <w:trPr>
          <w:gridAfter w:val="2"/>
          <w:wAfter w:w="175" w:type="dxa"/>
        </w:trPr>
        <w:tc>
          <w:tcPr>
            <w:tcW w:w="704" w:type="dxa"/>
          </w:tcPr>
          <w:p w14:paraId="5DFDEFF1" w14:textId="77777777" w:rsidR="001E1112" w:rsidRPr="00317ABF" w:rsidRDefault="001E1112" w:rsidP="00DB3BEC">
            <w:pPr>
              <w:jc w:val="both"/>
              <w:rPr>
                <w:sz w:val="22"/>
                <w:szCs w:val="22"/>
              </w:rPr>
            </w:pPr>
            <w:r w:rsidRPr="00317ABF">
              <w:rPr>
                <w:sz w:val="22"/>
                <w:szCs w:val="22"/>
              </w:rPr>
              <w:t>Art. 20 ust. 3</w:t>
            </w:r>
          </w:p>
        </w:tc>
        <w:tc>
          <w:tcPr>
            <w:tcW w:w="4308" w:type="dxa"/>
          </w:tcPr>
          <w:p w14:paraId="14478039" w14:textId="77777777" w:rsidR="001E1112" w:rsidRPr="00317ABF" w:rsidRDefault="001E1112" w:rsidP="00DB3BEC">
            <w:pPr>
              <w:spacing w:before="120"/>
              <w:jc w:val="both"/>
              <w:rPr>
                <w:sz w:val="22"/>
                <w:szCs w:val="22"/>
              </w:rPr>
            </w:pPr>
            <w:r w:rsidRPr="00317ABF">
              <w:rPr>
                <w:sz w:val="22"/>
                <w:szCs w:val="22"/>
              </w:rPr>
              <w:t xml:space="preserve">3.   Jeżeli dana informacja zebrana zgodnie z ust. 1, w tym informacja zebrana w kontekście analizy geograficznej, została uznana przez dany krajowy organ regulacyjny lub inny właściwy organ za informację poufną zgodnie z przepisami prawa Unii i prawa krajowego o tajemnicy handlowej, Komisja, BEREC oraz wszelkie inne zainteresowane właściwe organy zapewniają taką tajemnicę. Taka tajemnica nie utrudnia terminowej wymiany informacji </w:t>
            </w:r>
            <w:r w:rsidRPr="00317ABF">
              <w:rPr>
                <w:sz w:val="22"/>
                <w:szCs w:val="22"/>
              </w:rPr>
              <w:lastRenderedPageBreak/>
              <w:t>między właściwym organem, Komisją, BEREC i jakimikolwiek innymi zainteresowanymi właściwymi organami do celów przeglądu, monitorowania i nadzorowania stosowania niniejszej dyrektywy.</w:t>
            </w:r>
          </w:p>
        </w:tc>
        <w:tc>
          <w:tcPr>
            <w:tcW w:w="986" w:type="dxa"/>
          </w:tcPr>
          <w:p w14:paraId="781DF2CB" w14:textId="15EDF474" w:rsidR="001E1112" w:rsidRPr="00317ABF" w:rsidRDefault="001E1112" w:rsidP="00DB3BEC">
            <w:pPr>
              <w:jc w:val="both"/>
              <w:rPr>
                <w:sz w:val="22"/>
                <w:szCs w:val="22"/>
              </w:rPr>
            </w:pPr>
            <w:r w:rsidRPr="00317ABF">
              <w:rPr>
                <w:sz w:val="22"/>
                <w:szCs w:val="22"/>
              </w:rPr>
              <w:lastRenderedPageBreak/>
              <w:t>T</w:t>
            </w:r>
          </w:p>
        </w:tc>
        <w:tc>
          <w:tcPr>
            <w:tcW w:w="910" w:type="dxa"/>
          </w:tcPr>
          <w:p w14:paraId="16788234" w14:textId="6EE86537" w:rsidR="001E1112" w:rsidRPr="00317ABF" w:rsidRDefault="001E1112" w:rsidP="00DB3BEC">
            <w:pPr>
              <w:pStyle w:val="Tekstpodstawowy"/>
              <w:rPr>
                <w:b/>
                <w:bCs/>
                <w:noProof/>
                <w:sz w:val="22"/>
                <w:szCs w:val="22"/>
              </w:rPr>
            </w:pPr>
            <w:r w:rsidRPr="00317ABF">
              <w:rPr>
                <w:b/>
                <w:bCs/>
                <w:noProof/>
                <w:sz w:val="22"/>
                <w:szCs w:val="22"/>
              </w:rPr>
              <w:t>Art. 22</w:t>
            </w:r>
          </w:p>
        </w:tc>
        <w:tc>
          <w:tcPr>
            <w:tcW w:w="6814" w:type="dxa"/>
            <w:gridSpan w:val="2"/>
          </w:tcPr>
          <w:p w14:paraId="7EBFB70E" w14:textId="77777777" w:rsidR="006B69A1" w:rsidRPr="00317ABF" w:rsidRDefault="006B69A1" w:rsidP="006B69A1">
            <w:pPr>
              <w:ind w:firstLine="510"/>
              <w:jc w:val="both"/>
              <w:rPr>
                <w:rFonts w:eastAsia="Times"/>
                <w:bCs/>
                <w:sz w:val="22"/>
                <w:szCs w:val="22"/>
              </w:rPr>
            </w:pPr>
            <w:r w:rsidRPr="00317ABF">
              <w:rPr>
                <w:rFonts w:eastAsia="Times"/>
                <w:b/>
                <w:bCs/>
                <w:sz w:val="22"/>
                <w:szCs w:val="22"/>
              </w:rPr>
              <w:t>Art. 22.</w:t>
            </w:r>
            <w:r w:rsidRPr="00317ABF">
              <w:rPr>
                <w:rFonts w:eastAsia="Times"/>
                <w:bCs/>
                <w:sz w:val="22"/>
                <w:szCs w:val="22"/>
              </w:rPr>
              <w:t xml:space="preserve"> 1. Podmiot udostępniający Prezesowi UKE na jego żądanie lub na podstawie przepisów ustawy lub ustawy z dnia 7 maja 2010 r. o wspieraniu rozwoju usług i sieci telekomunikacyjnych informacje lub dokumenty zawierające tajemnicę przedsiębiorstwa może je zastrzec w całości lub w części.</w:t>
            </w:r>
          </w:p>
          <w:p w14:paraId="56AF1992" w14:textId="77777777" w:rsidR="001E1112" w:rsidRPr="00317ABF" w:rsidRDefault="006B69A1" w:rsidP="00DB3BEC">
            <w:pPr>
              <w:ind w:firstLine="510"/>
              <w:jc w:val="both"/>
              <w:rPr>
                <w:rFonts w:eastAsia="Times"/>
                <w:sz w:val="22"/>
                <w:szCs w:val="22"/>
              </w:rPr>
            </w:pPr>
            <w:r w:rsidRPr="00317ABF">
              <w:rPr>
                <w:rFonts w:eastAsia="Times"/>
                <w:bCs/>
                <w:sz w:val="22"/>
                <w:szCs w:val="22"/>
              </w:rPr>
              <w:t xml:space="preserve">2. </w:t>
            </w:r>
            <w:r w:rsidR="001E1112" w:rsidRPr="00317ABF">
              <w:rPr>
                <w:rFonts w:eastAsia="Times"/>
                <w:sz w:val="22"/>
                <w:szCs w:val="22"/>
              </w:rPr>
              <w:t xml:space="preserve">Zastrzegając część informacji lub dokumentu podmiot przekazuje </w:t>
            </w:r>
            <w:r w:rsidRPr="00317ABF">
              <w:rPr>
                <w:rFonts w:eastAsia="Times"/>
                <w:bCs/>
                <w:sz w:val="22"/>
                <w:szCs w:val="22"/>
              </w:rPr>
              <w:t>uzasadnienie zastrzeżenia informacji lub dokumentu oraz</w:t>
            </w:r>
            <w:r w:rsidR="001E1112" w:rsidRPr="00317ABF">
              <w:rPr>
                <w:rFonts w:eastAsia="Times"/>
                <w:sz w:val="22"/>
                <w:szCs w:val="22"/>
              </w:rPr>
              <w:t xml:space="preserve"> informacje lub dokumenty niezwierające zastrzeżonych części. W przypadku nieprzekazania informacji lub dokumentu niezawierających zastrzeżonych części, zastrzeżenie uważa się za nieskuteczne.</w:t>
            </w:r>
          </w:p>
          <w:p w14:paraId="7C51F4AB" w14:textId="50C54477" w:rsidR="001E1112" w:rsidRPr="00317ABF" w:rsidRDefault="001E1112" w:rsidP="00DB3BEC">
            <w:pPr>
              <w:ind w:firstLine="510"/>
              <w:jc w:val="both"/>
              <w:rPr>
                <w:rFonts w:eastAsia="Times"/>
                <w:sz w:val="22"/>
                <w:szCs w:val="22"/>
              </w:rPr>
            </w:pPr>
            <w:r w:rsidRPr="00317ABF">
              <w:rPr>
                <w:rFonts w:eastAsia="Times"/>
                <w:sz w:val="22"/>
                <w:szCs w:val="22"/>
              </w:rPr>
              <w:lastRenderedPageBreak/>
              <w:t>3. Prezes UKE może, w drodze decyzji, uchylić zastrzeżenie, jeżeli uzna, że zastrzeżone części informacji lub dokumentu nie stanowią tajemnicy przedsiębiorstwa.</w:t>
            </w:r>
          </w:p>
          <w:p w14:paraId="6ED4CC54" w14:textId="50C54477" w:rsidR="001E1112" w:rsidRPr="00317ABF" w:rsidRDefault="001E1112" w:rsidP="00DB3BEC">
            <w:pPr>
              <w:ind w:firstLine="510"/>
              <w:jc w:val="both"/>
              <w:rPr>
                <w:rFonts w:eastAsia="Times"/>
                <w:sz w:val="22"/>
                <w:szCs w:val="22"/>
              </w:rPr>
            </w:pPr>
            <w:r w:rsidRPr="00317ABF">
              <w:rPr>
                <w:rFonts w:eastAsia="Times"/>
                <w:sz w:val="22"/>
                <w:szCs w:val="22"/>
              </w:rPr>
              <w:t>4. Zastrzeżenie uwzględnia się przy udostępnianiu informacji lub dokumentów oraz zapewnianiu dostępu do informacji publicznej.</w:t>
            </w:r>
          </w:p>
          <w:p w14:paraId="57A6A0F0" w14:textId="20DC986D" w:rsidR="001E1112" w:rsidRPr="00317ABF" w:rsidRDefault="006B69A1" w:rsidP="00DB3BEC">
            <w:pPr>
              <w:jc w:val="both"/>
              <w:rPr>
                <w:sz w:val="22"/>
                <w:szCs w:val="22"/>
              </w:rPr>
            </w:pPr>
            <w:r w:rsidRPr="00317ABF">
              <w:rPr>
                <w:rFonts w:eastAsia="Times"/>
                <w:bCs/>
                <w:sz w:val="22"/>
                <w:szCs w:val="22"/>
              </w:rPr>
              <w:t xml:space="preserve">         5.</w:t>
            </w:r>
            <w:r w:rsidR="001E1112" w:rsidRPr="00317ABF">
              <w:rPr>
                <w:rFonts w:eastAsia="Times"/>
                <w:sz w:val="22"/>
                <w:szCs w:val="22"/>
              </w:rPr>
              <w:t xml:space="preserve"> W przypadku ustawowego obowiązku przekazania informacji lub dokumentów otrzymanych od podmiotu, o którym mowa w ust. 1, innym organom krajowym, zagranicznym organom regulacyjnym, Komisji Europejskiej lub BEREC, informacje i dokumenty przekazuje się wraz z zastrzeżeniem i pod warunkiem jego przestrzegania.</w:t>
            </w:r>
          </w:p>
        </w:tc>
      </w:tr>
      <w:tr w:rsidR="001E1112" w:rsidRPr="00317ABF" w14:paraId="130A65CD" w14:textId="77777777" w:rsidTr="7753F98D">
        <w:trPr>
          <w:gridAfter w:val="2"/>
          <w:wAfter w:w="175" w:type="dxa"/>
        </w:trPr>
        <w:tc>
          <w:tcPr>
            <w:tcW w:w="704" w:type="dxa"/>
          </w:tcPr>
          <w:p w14:paraId="4830A5A5" w14:textId="77777777" w:rsidR="001E1112" w:rsidRPr="00317ABF" w:rsidRDefault="001E1112" w:rsidP="00DB3BEC">
            <w:pPr>
              <w:jc w:val="both"/>
              <w:rPr>
                <w:sz w:val="22"/>
                <w:szCs w:val="22"/>
              </w:rPr>
            </w:pPr>
            <w:r w:rsidRPr="00317ABF">
              <w:rPr>
                <w:sz w:val="22"/>
                <w:szCs w:val="22"/>
              </w:rPr>
              <w:lastRenderedPageBreak/>
              <w:t>Art. 20 ust. 4</w:t>
            </w:r>
          </w:p>
        </w:tc>
        <w:tc>
          <w:tcPr>
            <w:tcW w:w="4308" w:type="dxa"/>
          </w:tcPr>
          <w:p w14:paraId="059EB489" w14:textId="77777777" w:rsidR="001E1112" w:rsidRPr="00317ABF" w:rsidRDefault="001E1112" w:rsidP="00DB3BEC">
            <w:pPr>
              <w:spacing w:before="120"/>
              <w:jc w:val="both"/>
              <w:rPr>
                <w:sz w:val="22"/>
                <w:szCs w:val="22"/>
              </w:rPr>
            </w:pPr>
            <w:r w:rsidRPr="00317ABF">
              <w:rPr>
                <w:sz w:val="22"/>
                <w:szCs w:val="22"/>
              </w:rPr>
              <w:t>4.   Państwa członkowskie zapewniają, by krajowe organy regulacyjne i inne właściwe organy, działając zgodnie z przepisami krajowymi dotyczącymi publicznego dostępu do informacji oraz przepisami prawa Unii i prawa krajowego o tajemnicy handlowej i o ochronie danych osobowych, publikowały informacje, które przyczyniają się do rozwoju otwartego i konkurencyjnego rynku.</w:t>
            </w:r>
          </w:p>
        </w:tc>
        <w:tc>
          <w:tcPr>
            <w:tcW w:w="986" w:type="dxa"/>
          </w:tcPr>
          <w:p w14:paraId="7DF0CA62" w14:textId="49F07E4E" w:rsidR="001E1112" w:rsidRPr="00317ABF" w:rsidRDefault="001E1112" w:rsidP="00DB3BEC">
            <w:pPr>
              <w:jc w:val="both"/>
              <w:rPr>
                <w:sz w:val="22"/>
                <w:szCs w:val="22"/>
              </w:rPr>
            </w:pPr>
            <w:r w:rsidRPr="00317ABF">
              <w:rPr>
                <w:sz w:val="22"/>
                <w:szCs w:val="22"/>
              </w:rPr>
              <w:t>T</w:t>
            </w:r>
          </w:p>
        </w:tc>
        <w:tc>
          <w:tcPr>
            <w:tcW w:w="910" w:type="dxa"/>
          </w:tcPr>
          <w:p w14:paraId="104EBCCC" w14:textId="33840544" w:rsidR="001E1112" w:rsidRPr="00317ABF" w:rsidRDefault="001E1112" w:rsidP="00DB3BEC">
            <w:pPr>
              <w:pStyle w:val="Tekstpodstawowy"/>
              <w:rPr>
                <w:b/>
                <w:bCs/>
                <w:noProof/>
                <w:sz w:val="22"/>
                <w:szCs w:val="22"/>
              </w:rPr>
            </w:pPr>
            <w:r w:rsidRPr="00317ABF">
              <w:rPr>
                <w:b/>
                <w:bCs/>
                <w:noProof/>
                <w:sz w:val="22"/>
                <w:szCs w:val="22"/>
              </w:rPr>
              <w:t xml:space="preserve">Art. 5 ust. </w:t>
            </w:r>
            <w:r w:rsidR="006B69A1" w:rsidRPr="00317ABF">
              <w:rPr>
                <w:b/>
                <w:bCs/>
                <w:noProof/>
                <w:sz w:val="22"/>
                <w:szCs w:val="22"/>
              </w:rPr>
              <w:t>5</w:t>
            </w:r>
            <w:r w:rsidRPr="00317ABF">
              <w:rPr>
                <w:b/>
                <w:bCs/>
                <w:noProof/>
                <w:sz w:val="22"/>
                <w:szCs w:val="22"/>
              </w:rPr>
              <w:t xml:space="preserve"> i </w:t>
            </w:r>
            <w:r w:rsidR="006B69A1" w:rsidRPr="00317ABF">
              <w:rPr>
                <w:b/>
                <w:bCs/>
                <w:noProof/>
                <w:sz w:val="22"/>
                <w:szCs w:val="22"/>
              </w:rPr>
              <w:t>6</w:t>
            </w:r>
          </w:p>
          <w:p w14:paraId="10EE13A7" w14:textId="5130E986" w:rsidR="001E1112" w:rsidRPr="00317ABF" w:rsidRDefault="001E1112" w:rsidP="00DB3BEC">
            <w:pPr>
              <w:pStyle w:val="Tekstpodstawowy"/>
              <w:rPr>
                <w:b/>
                <w:bCs/>
                <w:noProof/>
                <w:sz w:val="22"/>
                <w:szCs w:val="22"/>
              </w:rPr>
            </w:pPr>
          </w:p>
          <w:p w14:paraId="79E275A6" w14:textId="46EB0904" w:rsidR="001E1112" w:rsidRPr="00317ABF" w:rsidRDefault="001E1112" w:rsidP="00DB3BEC">
            <w:pPr>
              <w:pStyle w:val="Tekstpodstawowy"/>
              <w:rPr>
                <w:b/>
                <w:bCs/>
                <w:noProof/>
                <w:sz w:val="22"/>
                <w:szCs w:val="22"/>
              </w:rPr>
            </w:pPr>
          </w:p>
          <w:p w14:paraId="56BAD77A" w14:textId="55AA828F" w:rsidR="001E1112" w:rsidRPr="00317ABF" w:rsidRDefault="001E1112" w:rsidP="00DB3BEC">
            <w:pPr>
              <w:pStyle w:val="Tekstpodstawowy"/>
              <w:rPr>
                <w:b/>
                <w:bCs/>
                <w:noProof/>
                <w:sz w:val="22"/>
                <w:szCs w:val="22"/>
              </w:rPr>
            </w:pPr>
          </w:p>
          <w:p w14:paraId="59E02BBE" w14:textId="77777777" w:rsidR="001E1112" w:rsidRPr="00317ABF" w:rsidRDefault="001E1112" w:rsidP="00DB3BEC">
            <w:pPr>
              <w:pStyle w:val="Tekstpodstawowy"/>
              <w:rPr>
                <w:b/>
                <w:bCs/>
                <w:noProof/>
                <w:sz w:val="22"/>
                <w:szCs w:val="22"/>
              </w:rPr>
            </w:pPr>
          </w:p>
          <w:p w14:paraId="134962D7" w14:textId="77777777" w:rsidR="001E1112" w:rsidRPr="00317ABF" w:rsidRDefault="001E1112" w:rsidP="00DB3BEC">
            <w:pPr>
              <w:pStyle w:val="Tekstpodstawowy"/>
              <w:rPr>
                <w:b/>
                <w:bCs/>
                <w:noProof/>
                <w:sz w:val="22"/>
                <w:szCs w:val="22"/>
              </w:rPr>
            </w:pPr>
          </w:p>
          <w:p w14:paraId="7C65E429" w14:textId="0161959F" w:rsidR="001E1112" w:rsidRPr="00317ABF" w:rsidRDefault="001E1112" w:rsidP="00DB3BEC">
            <w:pPr>
              <w:pStyle w:val="Tekstpodstawowy"/>
              <w:rPr>
                <w:b/>
                <w:bCs/>
                <w:noProof/>
                <w:sz w:val="22"/>
                <w:szCs w:val="22"/>
              </w:rPr>
            </w:pPr>
            <w:r w:rsidRPr="00317ABF">
              <w:rPr>
                <w:b/>
                <w:bCs/>
                <w:noProof/>
                <w:sz w:val="22"/>
                <w:szCs w:val="22"/>
              </w:rPr>
              <w:t>Art. 9</w:t>
            </w:r>
          </w:p>
          <w:p w14:paraId="7583BAA2" w14:textId="51508508" w:rsidR="001E1112" w:rsidRPr="00317ABF" w:rsidRDefault="001E1112" w:rsidP="00DB3BEC">
            <w:pPr>
              <w:pStyle w:val="Tekstpodstawowy"/>
              <w:rPr>
                <w:b/>
                <w:bCs/>
                <w:noProof/>
                <w:sz w:val="22"/>
                <w:szCs w:val="22"/>
              </w:rPr>
            </w:pPr>
          </w:p>
          <w:p w14:paraId="6945AEF5" w14:textId="13195680" w:rsidR="001E1112" w:rsidRPr="00317ABF" w:rsidRDefault="001E1112" w:rsidP="00DB3BEC">
            <w:pPr>
              <w:pStyle w:val="Tekstpodstawowy"/>
              <w:rPr>
                <w:b/>
                <w:bCs/>
                <w:noProof/>
                <w:sz w:val="22"/>
                <w:szCs w:val="22"/>
              </w:rPr>
            </w:pPr>
          </w:p>
          <w:p w14:paraId="7107FE60" w14:textId="12AC1681" w:rsidR="001E1112" w:rsidRPr="00317ABF" w:rsidRDefault="001E1112" w:rsidP="00DB3BEC">
            <w:pPr>
              <w:pStyle w:val="Tekstpodstawowy"/>
              <w:rPr>
                <w:b/>
                <w:bCs/>
                <w:noProof/>
                <w:sz w:val="22"/>
                <w:szCs w:val="22"/>
              </w:rPr>
            </w:pPr>
          </w:p>
          <w:p w14:paraId="79FFB283" w14:textId="7D8FFA02" w:rsidR="001E1112" w:rsidRPr="00317ABF" w:rsidRDefault="001E1112" w:rsidP="00DB3BEC">
            <w:pPr>
              <w:pStyle w:val="Tekstpodstawowy"/>
              <w:rPr>
                <w:b/>
                <w:bCs/>
                <w:noProof/>
                <w:sz w:val="22"/>
                <w:szCs w:val="22"/>
              </w:rPr>
            </w:pPr>
          </w:p>
          <w:p w14:paraId="51D199EC" w14:textId="4DC1ED90" w:rsidR="001E1112" w:rsidRPr="00317ABF" w:rsidRDefault="001E1112" w:rsidP="00DB3BEC">
            <w:pPr>
              <w:pStyle w:val="Tekstpodstawowy"/>
              <w:rPr>
                <w:b/>
                <w:bCs/>
                <w:noProof/>
                <w:sz w:val="22"/>
                <w:szCs w:val="22"/>
              </w:rPr>
            </w:pPr>
          </w:p>
          <w:p w14:paraId="6F744066" w14:textId="39EC253A" w:rsidR="001E1112" w:rsidRPr="00317ABF" w:rsidRDefault="001E1112" w:rsidP="00DB3BEC">
            <w:pPr>
              <w:pStyle w:val="Tekstpodstawowy"/>
              <w:rPr>
                <w:b/>
                <w:bCs/>
                <w:noProof/>
                <w:sz w:val="22"/>
                <w:szCs w:val="22"/>
              </w:rPr>
            </w:pPr>
            <w:r w:rsidRPr="00317ABF">
              <w:rPr>
                <w:b/>
                <w:bCs/>
                <w:noProof/>
                <w:sz w:val="22"/>
                <w:szCs w:val="22"/>
              </w:rPr>
              <w:t xml:space="preserve">Art. </w:t>
            </w:r>
            <w:r w:rsidR="006B69A1" w:rsidRPr="00317ABF">
              <w:rPr>
                <w:b/>
                <w:bCs/>
                <w:noProof/>
                <w:sz w:val="22"/>
                <w:szCs w:val="22"/>
              </w:rPr>
              <w:t>4</w:t>
            </w:r>
            <w:r w:rsidRPr="00317ABF">
              <w:rPr>
                <w:b/>
                <w:bCs/>
                <w:noProof/>
                <w:sz w:val="22"/>
                <w:szCs w:val="22"/>
              </w:rPr>
              <w:t>1</w:t>
            </w:r>
            <w:r w:rsidR="006B69A1" w:rsidRPr="00317ABF">
              <w:rPr>
                <w:b/>
                <w:bCs/>
                <w:noProof/>
                <w:sz w:val="22"/>
                <w:szCs w:val="22"/>
              </w:rPr>
              <w:t>3</w:t>
            </w:r>
          </w:p>
          <w:p w14:paraId="232C676B" w14:textId="77777777" w:rsidR="001E1112" w:rsidRPr="00317ABF" w:rsidRDefault="001E1112" w:rsidP="00DB3BEC">
            <w:pPr>
              <w:pStyle w:val="Tekstpodstawowy"/>
              <w:rPr>
                <w:b/>
                <w:bCs/>
                <w:noProof/>
                <w:sz w:val="22"/>
                <w:szCs w:val="22"/>
              </w:rPr>
            </w:pPr>
          </w:p>
          <w:p w14:paraId="7B092895" w14:textId="77777777" w:rsidR="001E1112" w:rsidRPr="00317ABF" w:rsidRDefault="001E1112" w:rsidP="00DB3BEC">
            <w:pPr>
              <w:pStyle w:val="Tekstpodstawowy"/>
              <w:rPr>
                <w:b/>
                <w:bCs/>
                <w:noProof/>
                <w:sz w:val="22"/>
                <w:szCs w:val="22"/>
              </w:rPr>
            </w:pPr>
          </w:p>
          <w:p w14:paraId="2966D30B" w14:textId="77777777" w:rsidR="001E1112" w:rsidRPr="00317ABF" w:rsidRDefault="001E1112" w:rsidP="00DB3BEC">
            <w:pPr>
              <w:pStyle w:val="Tekstpodstawowy"/>
              <w:rPr>
                <w:b/>
                <w:bCs/>
                <w:noProof/>
                <w:sz w:val="22"/>
                <w:szCs w:val="22"/>
              </w:rPr>
            </w:pPr>
          </w:p>
          <w:p w14:paraId="68BB0AA9" w14:textId="77777777" w:rsidR="001E1112" w:rsidRPr="00317ABF" w:rsidRDefault="001E1112" w:rsidP="00DB3BEC">
            <w:pPr>
              <w:pStyle w:val="Tekstpodstawowy"/>
              <w:rPr>
                <w:b/>
                <w:bCs/>
                <w:noProof/>
                <w:sz w:val="22"/>
                <w:szCs w:val="22"/>
              </w:rPr>
            </w:pPr>
          </w:p>
          <w:p w14:paraId="6A94E20A" w14:textId="77777777" w:rsidR="001E1112" w:rsidRPr="00317ABF" w:rsidRDefault="001E1112" w:rsidP="00DB3BEC">
            <w:pPr>
              <w:pStyle w:val="Tekstpodstawowy"/>
              <w:rPr>
                <w:b/>
                <w:bCs/>
                <w:noProof/>
                <w:sz w:val="22"/>
                <w:szCs w:val="22"/>
              </w:rPr>
            </w:pPr>
          </w:p>
          <w:p w14:paraId="5AC7610A" w14:textId="62DB2244" w:rsidR="00C5505D" w:rsidRPr="00317ABF" w:rsidRDefault="00C5505D" w:rsidP="00DB3BEC">
            <w:pPr>
              <w:pStyle w:val="Tekstpodstawowy"/>
              <w:rPr>
                <w:b/>
                <w:bCs/>
                <w:noProof/>
                <w:sz w:val="22"/>
                <w:szCs w:val="22"/>
              </w:rPr>
            </w:pPr>
          </w:p>
          <w:p w14:paraId="7DD155F2" w14:textId="77777777" w:rsidR="00C5505D" w:rsidRPr="00317ABF" w:rsidRDefault="00C5505D" w:rsidP="00DB3BEC">
            <w:pPr>
              <w:pStyle w:val="Tekstpodstawowy"/>
              <w:rPr>
                <w:b/>
                <w:bCs/>
                <w:noProof/>
                <w:sz w:val="22"/>
                <w:szCs w:val="22"/>
              </w:rPr>
            </w:pPr>
          </w:p>
          <w:p w14:paraId="0B590660" w14:textId="77777777" w:rsidR="00C5505D" w:rsidRPr="00317ABF" w:rsidRDefault="00C5505D" w:rsidP="00DB3BEC">
            <w:pPr>
              <w:pStyle w:val="Tekstpodstawowy"/>
              <w:rPr>
                <w:b/>
                <w:bCs/>
                <w:noProof/>
                <w:sz w:val="22"/>
                <w:szCs w:val="22"/>
              </w:rPr>
            </w:pPr>
          </w:p>
          <w:p w14:paraId="030AC532" w14:textId="57D2A839" w:rsidR="001E1112" w:rsidRPr="00317ABF" w:rsidRDefault="001E1112" w:rsidP="00DB3BEC">
            <w:pPr>
              <w:pStyle w:val="Tekstpodstawowy"/>
              <w:rPr>
                <w:b/>
                <w:bCs/>
                <w:noProof/>
                <w:sz w:val="22"/>
                <w:szCs w:val="22"/>
              </w:rPr>
            </w:pPr>
            <w:r w:rsidRPr="00317ABF">
              <w:rPr>
                <w:b/>
                <w:bCs/>
                <w:noProof/>
                <w:sz w:val="22"/>
                <w:szCs w:val="22"/>
              </w:rPr>
              <w:t xml:space="preserve">Art. </w:t>
            </w:r>
            <w:r w:rsidR="00C5505D" w:rsidRPr="00317ABF">
              <w:rPr>
                <w:b/>
                <w:bCs/>
                <w:noProof/>
                <w:sz w:val="22"/>
                <w:szCs w:val="22"/>
              </w:rPr>
              <w:t>414</w:t>
            </w:r>
            <w:r w:rsidRPr="00317ABF">
              <w:rPr>
                <w:b/>
                <w:bCs/>
                <w:noProof/>
                <w:sz w:val="22"/>
                <w:szCs w:val="22"/>
              </w:rPr>
              <w:t xml:space="preserve"> ust. 2</w:t>
            </w:r>
          </w:p>
          <w:p w14:paraId="4F3BBCF2" w14:textId="77777777" w:rsidR="001E1112" w:rsidRPr="00317ABF" w:rsidRDefault="001E1112" w:rsidP="00DB3BEC">
            <w:pPr>
              <w:pStyle w:val="Tekstpodstawowy"/>
              <w:rPr>
                <w:b/>
                <w:bCs/>
                <w:noProof/>
                <w:sz w:val="22"/>
                <w:szCs w:val="22"/>
              </w:rPr>
            </w:pPr>
          </w:p>
          <w:p w14:paraId="003FE832" w14:textId="77777777" w:rsidR="001E1112" w:rsidRPr="00317ABF" w:rsidRDefault="001E1112" w:rsidP="00DB3BEC">
            <w:pPr>
              <w:pStyle w:val="Tekstpodstawowy"/>
              <w:rPr>
                <w:b/>
                <w:bCs/>
                <w:noProof/>
                <w:sz w:val="22"/>
                <w:szCs w:val="22"/>
              </w:rPr>
            </w:pPr>
          </w:p>
          <w:p w14:paraId="6AE2A6FB" w14:textId="77777777" w:rsidR="001E1112" w:rsidRPr="00317ABF" w:rsidRDefault="001E1112" w:rsidP="00DB3BEC">
            <w:pPr>
              <w:pStyle w:val="Tekstpodstawowy"/>
              <w:rPr>
                <w:b/>
                <w:bCs/>
                <w:noProof/>
                <w:sz w:val="22"/>
                <w:szCs w:val="22"/>
              </w:rPr>
            </w:pPr>
          </w:p>
          <w:p w14:paraId="142CD2BD" w14:textId="77777777" w:rsidR="001E1112" w:rsidRPr="00317ABF" w:rsidRDefault="001E1112" w:rsidP="00DB3BEC">
            <w:pPr>
              <w:pStyle w:val="Tekstpodstawowy"/>
              <w:rPr>
                <w:b/>
                <w:bCs/>
                <w:noProof/>
                <w:sz w:val="22"/>
                <w:szCs w:val="22"/>
              </w:rPr>
            </w:pPr>
          </w:p>
          <w:p w14:paraId="169D5156" w14:textId="77777777" w:rsidR="001E1112" w:rsidRPr="00317ABF" w:rsidRDefault="001E1112" w:rsidP="00DB3BEC">
            <w:pPr>
              <w:pStyle w:val="Tekstpodstawowy"/>
              <w:rPr>
                <w:b/>
                <w:bCs/>
                <w:noProof/>
                <w:sz w:val="22"/>
                <w:szCs w:val="22"/>
              </w:rPr>
            </w:pPr>
          </w:p>
          <w:p w14:paraId="2C461E52" w14:textId="77777777" w:rsidR="001E1112" w:rsidRPr="00317ABF" w:rsidRDefault="001E1112" w:rsidP="00DB3BEC">
            <w:pPr>
              <w:pStyle w:val="Tekstpodstawowy"/>
              <w:rPr>
                <w:b/>
                <w:bCs/>
                <w:noProof/>
                <w:sz w:val="22"/>
                <w:szCs w:val="22"/>
              </w:rPr>
            </w:pPr>
          </w:p>
          <w:p w14:paraId="1905ED9C" w14:textId="77777777" w:rsidR="001E1112" w:rsidRPr="00317ABF" w:rsidRDefault="001E1112" w:rsidP="00DB3BEC">
            <w:pPr>
              <w:pStyle w:val="Tekstpodstawowy"/>
              <w:rPr>
                <w:b/>
                <w:bCs/>
                <w:noProof/>
                <w:sz w:val="22"/>
                <w:szCs w:val="22"/>
              </w:rPr>
            </w:pPr>
          </w:p>
          <w:p w14:paraId="17B59B21" w14:textId="77777777" w:rsidR="001E1112" w:rsidRPr="00317ABF" w:rsidRDefault="001E1112" w:rsidP="00DB3BEC">
            <w:pPr>
              <w:pStyle w:val="Tekstpodstawowy"/>
              <w:rPr>
                <w:b/>
                <w:bCs/>
                <w:noProof/>
                <w:sz w:val="22"/>
                <w:szCs w:val="22"/>
              </w:rPr>
            </w:pPr>
          </w:p>
          <w:p w14:paraId="44BA3426" w14:textId="7513CE93" w:rsidR="001E1112" w:rsidRPr="00317ABF" w:rsidRDefault="001E1112" w:rsidP="00DB3BEC">
            <w:pPr>
              <w:pStyle w:val="Tekstpodstawowy"/>
              <w:rPr>
                <w:b/>
                <w:bCs/>
                <w:noProof/>
                <w:sz w:val="22"/>
                <w:szCs w:val="22"/>
              </w:rPr>
            </w:pPr>
            <w:r w:rsidRPr="00317ABF">
              <w:rPr>
                <w:b/>
                <w:bCs/>
                <w:noProof/>
                <w:sz w:val="22"/>
                <w:szCs w:val="22"/>
              </w:rPr>
              <w:t>Art. 6</w:t>
            </w:r>
            <w:r w:rsidR="001E3EFF" w:rsidRPr="00317ABF">
              <w:rPr>
                <w:b/>
                <w:bCs/>
                <w:noProof/>
                <w:sz w:val="22"/>
                <w:szCs w:val="22"/>
              </w:rPr>
              <w:t>3</w:t>
            </w:r>
            <w:r w:rsidRPr="00317ABF">
              <w:rPr>
                <w:b/>
                <w:bCs/>
                <w:noProof/>
                <w:sz w:val="22"/>
                <w:szCs w:val="22"/>
              </w:rPr>
              <w:t xml:space="preserve"> ust. 7</w:t>
            </w:r>
          </w:p>
        </w:tc>
        <w:tc>
          <w:tcPr>
            <w:tcW w:w="6814" w:type="dxa"/>
            <w:gridSpan w:val="2"/>
          </w:tcPr>
          <w:p w14:paraId="2DB7F669" w14:textId="77777777" w:rsidR="006B69A1" w:rsidRPr="00317ABF" w:rsidRDefault="006B69A1" w:rsidP="006B69A1">
            <w:pPr>
              <w:jc w:val="both"/>
              <w:rPr>
                <w:rFonts w:eastAsia="Times"/>
                <w:sz w:val="22"/>
                <w:szCs w:val="22"/>
              </w:rPr>
            </w:pPr>
            <w:r w:rsidRPr="00317ABF">
              <w:rPr>
                <w:rFonts w:eastAsia="Times"/>
                <w:sz w:val="22"/>
                <w:szCs w:val="22"/>
              </w:rPr>
              <w:lastRenderedPageBreak/>
              <w:t>5. Prezes UKE prowadzi rejestr PT oraz rejestr JST w systemie teleinformatycznym.</w:t>
            </w:r>
          </w:p>
          <w:p w14:paraId="64901D1F" w14:textId="77974348" w:rsidR="001E1112" w:rsidRPr="00317ABF" w:rsidRDefault="006B69A1" w:rsidP="00DB3BEC">
            <w:pPr>
              <w:jc w:val="both"/>
              <w:rPr>
                <w:rFonts w:eastAsia="Times"/>
                <w:sz w:val="22"/>
                <w:szCs w:val="22"/>
              </w:rPr>
            </w:pPr>
            <w:r w:rsidRPr="00317ABF">
              <w:rPr>
                <w:rFonts w:eastAsia="Times"/>
                <w:sz w:val="22"/>
                <w:szCs w:val="22"/>
              </w:rPr>
              <w:t>6</w:t>
            </w:r>
            <w:r w:rsidR="001E1112" w:rsidRPr="00317ABF">
              <w:rPr>
                <w:rFonts w:eastAsia="Times"/>
                <w:sz w:val="22"/>
                <w:szCs w:val="22"/>
              </w:rPr>
              <w:t>. Rejestr PT i rejestr JST są jawne i udostępniane w Biuletynie Informacji Publicznej na stronie podmiotowej Prezesa Urzędu Komunikacji Elektronicznej, zwanej dalej „stroną podmiotową BIP UKE”.</w:t>
            </w:r>
          </w:p>
          <w:p w14:paraId="443670EE" w14:textId="77777777" w:rsidR="006B69A1" w:rsidRPr="00317ABF" w:rsidRDefault="006B69A1" w:rsidP="006B69A1">
            <w:pPr>
              <w:jc w:val="both"/>
              <w:rPr>
                <w:sz w:val="22"/>
                <w:szCs w:val="22"/>
              </w:rPr>
            </w:pPr>
          </w:p>
          <w:p w14:paraId="0F340DE6" w14:textId="64440744" w:rsidR="001E1112" w:rsidRPr="00317ABF" w:rsidRDefault="001E1112" w:rsidP="00DB3BEC">
            <w:pPr>
              <w:jc w:val="both"/>
              <w:rPr>
                <w:sz w:val="22"/>
                <w:szCs w:val="22"/>
              </w:rPr>
            </w:pPr>
            <w:r w:rsidRPr="00317ABF">
              <w:rPr>
                <w:b/>
                <w:sz w:val="22"/>
                <w:szCs w:val="22"/>
              </w:rPr>
              <w:t>Art. 9.</w:t>
            </w:r>
            <w:r w:rsidRPr="00317ABF">
              <w:rPr>
                <w:sz w:val="22"/>
                <w:szCs w:val="22"/>
              </w:rPr>
              <w:t xml:space="preserve"> Rejestr PT obejmuje następujące dane:</w:t>
            </w:r>
          </w:p>
          <w:p w14:paraId="1B6BC8C0" w14:textId="42C99E4E" w:rsidR="006B69A1" w:rsidRPr="00317ABF" w:rsidRDefault="006B69A1" w:rsidP="006B69A1">
            <w:pPr>
              <w:jc w:val="both"/>
              <w:rPr>
                <w:sz w:val="22"/>
                <w:szCs w:val="22"/>
              </w:rPr>
            </w:pPr>
            <w:r w:rsidRPr="00317ABF">
              <w:rPr>
                <w:sz w:val="22"/>
                <w:szCs w:val="22"/>
              </w:rPr>
              <w:t>1) kolejny numer wpisu, zwany dalej „numerem z rejestru PT”;</w:t>
            </w:r>
          </w:p>
          <w:p w14:paraId="11013D67" w14:textId="445E3528" w:rsidR="006B69A1" w:rsidRPr="00317ABF" w:rsidRDefault="006B69A1" w:rsidP="006B69A1">
            <w:pPr>
              <w:jc w:val="both"/>
              <w:rPr>
                <w:sz w:val="22"/>
                <w:szCs w:val="22"/>
              </w:rPr>
            </w:pPr>
            <w:r w:rsidRPr="00317ABF">
              <w:rPr>
                <w:sz w:val="22"/>
                <w:szCs w:val="22"/>
              </w:rPr>
              <w:t>2) datę wpływu wniosku o wpis do rejestru PT oraz datę dokonania wpisu;</w:t>
            </w:r>
          </w:p>
          <w:p w14:paraId="779D4F1D" w14:textId="02E86584" w:rsidR="006B69A1" w:rsidRPr="00317ABF" w:rsidRDefault="006B69A1" w:rsidP="006B69A1">
            <w:pPr>
              <w:jc w:val="both"/>
              <w:rPr>
                <w:sz w:val="22"/>
                <w:szCs w:val="22"/>
              </w:rPr>
            </w:pPr>
            <w:r w:rsidRPr="00317ABF">
              <w:rPr>
                <w:sz w:val="22"/>
                <w:szCs w:val="22"/>
              </w:rPr>
              <w:t>3) dane, o których mowa w art. 6 ust. 1 pkt 1–3 i pkt 5–8;</w:t>
            </w:r>
          </w:p>
          <w:p w14:paraId="166BE622" w14:textId="0FD4832E" w:rsidR="001E1112" w:rsidRPr="00317ABF" w:rsidRDefault="006B69A1" w:rsidP="00DB3BEC">
            <w:pPr>
              <w:jc w:val="both"/>
              <w:rPr>
                <w:sz w:val="22"/>
                <w:szCs w:val="22"/>
              </w:rPr>
            </w:pPr>
            <w:r w:rsidRPr="00317ABF">
              <w:rPr>
                <w:sz w:val="22"/>
                <w:szCs w:val="22"/>
              </w:rPr>
              <w:t>4) datę wykreślenia wpisu z rejestru PT - w przypadku wykreślenia wpisu z rejestru PT.</w:t>
            </w:r>
          </w:p>
          <w:p w14:paraId="6A1A58FB" w14:textId="77777777" w:rsidR="006B69A1" w:rsidRPr="00317ABF" w:rsidRDefault="006B69A1" w:rsidP="006B69A1">
            <w:pPr>
              <w:jc w:val="both"/>
              <w:rPr>
                <w:sz w:val="22"/>
                <w:szCs w:val="22"/>
              </w:rPr>
            </w:pPr>
          </w:p>
          <w:p w14:paraId="24009457" w14:textId="77777777" w:rsidR="001E1112" w:rsidRPr="00317ABF" w:rsidRDefault="001E1112" w:rsidP="006B69A1">
            <w:pPr>
              <w:jc w:val="both"/>
              <w:rPr>
                <w:sz w:val="22"/>
                <w:szCs w:val="22"/>
              </w:rPr>
            </w:pPr>
            <w:r w:rsidRPr="00317ABF">
              <w:rPr>
                <w:b/>
                <w:sz w:val="22"/>
                <w:szCs w:val="22"/>
              </w:rPr>
              <w:t>Art.</w:t>
            </w:r>
            <w:r w:rsidR="006B69A1" w:rsidRPr="00317ABF">
              <w:rPr>
                <w:b/>
                <w:sz w:val="22"/>
                <w:szCs w:val="22"/>
              </w:rPr>
              <w:t xml:space="preserve"> 413</w:t>
            </w:r>
            <w:r w:rsidR="006B69A1" w:rsidRPr="00317ABF">
              <w:rPr>
                <w:sz w:val="22"/>
                <w:szCs w:val="22"/>
              </w:rPr>
              <w:t>.</w:t>
            </w:r>
            <w:r w:rsidRPr="00317ABF">
              <w:rPr>
                <w:sz w:val="22"/>
                <w:szCs w:val="22"/>
              </w:rPr>
              <w:t xml:space="preserve"> 1. Prezes UKE wydaje Dziennik Urzędowy Urzędu Komunikacji Elektronicznej.</w:t>
            </w:r>
          </w:p>
          <w:p w14:paraId="454789B3" w14:textId="77777777" w:rsidR="001E1112" w:rsidRPr="00317ABF" w:rsidRDefault="001E1112" w:rsidP="006B69A1">
            <w:pPr>
              <w:jc w:val="both"/>
              <w:rPr>
                <w:sz w:val="22"/>
                <w:szCs w:val="22"/>
              </w:rPr>
            </w:pPr>
            <w:r w:rsidRPr="00317ABF">
              <w:rPr>
                <w:sz w:val="22"/>
                <w:szCs w:val="22"/>
              </w:rPr>
              <w:t xml:space="preserve">2. W dzienniku urzędowym, o którym mowa w ust. </w:t>
            </w:r>
            <w:r w:rsidR="006B69A1" w:rsidRPr="00317ABF">
              <w:rPr>
                <w:sz w:val="22"/>
                <w:szCs w:val="22"/>
              </w:rPr>
              <w:t>1, ogłasza</w:t>
            </w:r>
            <w:r w:rsidRPr="00317ABF">
              <w:rPr>
                <w:sz w:val="22"/>
                <w:szCs w:val="22"/>
              </w:rPr>
              <w:t xml:space="preserve"> się w szczególności:</w:t>
            </w:r>
          </w:p>
          <w:p w14:paraId="647A656D" w14:textId="77777777" w:rsidR="001E1112" w:rsidRPr="00317ABF" w:rsidRDefault="001E1112" w:rsidP="006B69A1">
            <w:pPr>
              <w:jc w:val="both"/>
              <w:rPr>
                <w:sz w:val="22"/>
                <w:szCs w:val="22"/>
              </w:rPr>
            </w:pPr>
            <w:r w:rsidRPr="00317ABF">
              <w:rPr>
                <w:sz w:val="22"/>
                <w:szCs w:val="22"/>
              </w:rPr>
              <w:t>1)</w:t>
            </w:r>
            <w:r w:rsidRPr="00317ABF">
              <w:rPr>
                <w:sz w:val="22"/>
                <w:szCs w:val="22"/>
              </w:rPr>
              <w:tab/>
              <w:t>zarządzenia;</w:t>
            </w:r>
          </w:p>
          <w:p w14:paraId="4691F8CA" w14:textId="77777777" w:rsidR="001E1112" w:rsidRPr="00317ABF" w:rsidRDefault="001E1112" w:rsidP="006B69A1">
            <w:pPr>
              <w:jc w:val="both"/>
              <w:rPr>
                <w:sz w:val="22"/>
                <w:szCs w:val="22"/>
              </w:rPr>
            </w:pPr>
            <w:r w:rsidRPr="00317ABF">
              <w:rPr>
                <w:sz w:val="22"/>
                <w:szCs w:val="22"/>
              </w:rPr>
              <w:t>2)</w:t>
            </w:r>
            <w:r w:rsidRPr="00317ABF">
              <w:rPr>
                <w:sz w:val="22"/>
                <w:szCs w:val="22"/>
              </w:rPr>
              <w:tab/>
              <w:t>przepisy międzynarodowe;</w:t>
            </w:r>
          </w:p>
          <w:p w14:paraId="69023054" w14:textId="77777777" w:rsidR="001E1112" w:rsidRPr="00317ABF" w:rsidRDefault="001E1112" w:rsidP="006B69A1">
            <w:pPr>
              <w:jc w:val="both"/>
              <w:rPr>
                <w:sz w:val="22"/>
                <w:szCs w:val="22"/>
              </w:rPr>
            </w:pPr>
            <w:r w:rsidRPr="00317ABF">
              <w:rPr>
                <w:sz w:val="22"/>
                <w:szCs w:val="22"/>
              </w:rPr>
              <w:t>3)</w:t>
            </w:r>
            <w:r w:rsidRPr="00317ABF">
              <w:rPr>
                <w:sz w:val="22"/>
                <w:szCs w:val="22"/>
              </w:rPr>
              <w:tab/>
              <w:t>ogłoszenia, obwieszczenia i komunikaty.</w:t>
            </w:r>
          </w:p>
          <w:p w14:paraId="49E1AF36" w14:textId="3283D1D2" w:rsidR="001E1112" w:rsidRPr="00317ABF" w:rsidRDefault="006B69A1" w:rsidP="00DB3BEC">
            <w:pPr>
              <w:jc w:val="both"/>
              <w:rPr>
                <w:rFonts w:eastAsia="Times"/>
                <w:sz w:val="22"/>
                <w:szCs w:val="22"/>
              </w:rPr>
            </w:pPr>
            <w:r w:rsidRPr="00317ABF">
              <w:rPr>
                <w:sz w:val="22"/>
                <w:szCs w:val="22"/>
              </w:rPr>
              <w:t xml:space="preserve">4) </w:t>
            </w:r>
            <w:r w:rsidRPr="00317ABF">
              <w:rPr>
                <w:sz w:val="22"/>
                <w:szCs w:val="22"/>
              </w:rPr>
              <w:tab/>
              <w:t>decyzje obszarowe.</w:t>
            </w:r>
          </w:p>
          <w:p w14:paraId="481D9903" w14:textId="77777777" w:rsidR="00C5505D" w:rsidRPr="00317ABF" w:rsidRDefault="00C5505D" w:rsidP="006B69A1">
            <w:pPr>
              <w:jc w:val="both"/>
              <w:rPr>
                <w:sz w:val="22"/>
                <w:szCs w:val="22"/>
              </w:rPr>
            </w:pPr>
          </w:p>
          <w:p w14:paraId="2DC23675" w14:textId="35CCB48D" w:rsidR="001E1112" w:rsidRPr="00317ABF" w:rsidRDefault="001E1112" w:rsidP="00DB3BEC">
            <w:pPr>
              <w:jc w:val="both"/>
              <w:rPr>
                <w:rFonts w:eastAsia="Times"/>
                <w:sz w:val="22"/>
                <w:szCs w:val="22"/>
              </w:rPr>
            </w:pPr>
            <w:r w:rsidRPr="00317ABF">
              <w:rPr>
                <w:rFonts w:eastAsia="Times"/>
                <w:sz w:val="22"/>
                <w:szCs w:val="22"/>
              </w:rPr>
              <w:t xml:space="preserve">2. Prezes UKE na podstawie informacji uzyskanych od przedsiębiorców komunikacji elektronicznej oraz innych podmiotów dysponujących infrastrukturą telekomunikacyjną lub realizujących inwestycje w tym zakresie, w terminie do dnia 30 czerwca, sporządza i udostępnia raport o stanie rynku komunikacji elektronicznej za rok ubiegły, uwzględniający pokrycie terytorium Rzeczypospolitej Polskiej zasięgiem stacjonarnych i ruchomych publicznych sieci telekomunikacyjnych oraz przedstawia </w:t>
            </w:r>
            <w:r w:rsidRPr="00317ABF">
              <w:rPr>
                <w:rFonts w:eastAsia="Times"/>
                <w:sz w:val="22"/>
                <w:szCs w:val="22"/>
              </w:rPr>
              <w:lastRenderedPageBreak/>
              <w:t>prognozy inwestycyjne dotyczące rozwoju tych sieci. Raport udostępnia się na stronie podmiotowej BIP UKE.</w:t>
            </w:r>
          </w:p>
          <w:p w14:paraId="391EF568" w14:textId="77777777" w:rsidR="001E1112" w:rsidRPr="00317ABF" w:rsidRDefault="001E1112" w:rsidP="00DB3BEC">
            <w:pPr>
              <w:jc w:val="both"/>
              <w:rPr>
                <w:rFonts w:eastAsia="Times"/>
                <w:sz w:val="22"/>
                <w:szCs w:val="22"/>
              </w:rPr>
            </w:pPr>
          </w:p>
          <w:p w14:paraId="175D53C2" w14:textId="53C21B06" w:rsidR="001E1112" w:rsidRPr="00317ABF" w:rsidRDefault="001E1112" w:rsidP="00DB3BEC">
            <w:pPr>
              <w:jc w:val="both"/>
              <w:rPr>
                <w:sz w:val="22"/>
                <w:szCs w:val="22"/>
              </w:rPr>
            </w:pPr>
            <w:r w:rsidRPr="00317ABF">
              <w:rPr>
                <w:sz w:val="22"/>
                <w:szCs w:val="22"/>
              </w:rPr>
              <w:t>7.</w:t>
            </w:r>
            <w:r w:rsidR="001E3EFF" w:rsidRPr="00317ABF">
              <w:rPr>
                <w:sz w:val="22"/>
                <w:szCs w:val="22"/>
              </w:rPr>
              <w:t xml:space="preserve"> </w:t>
            </w:r>
            <w:r w:rsidRPr="00317ABF">
              <w:rPr>
                <w:sz w:val="22"/>
                <w:szCs w:val="22"/>
              </w:rPr>
              <w:t>Prezes UKE udziela nieodpłatnie zainteresowanym podmiotom</w:t>
            </w:r>
            <w:r w:rsidR="001E3EFF" w:rsidRPr="00317ABF">
              <w:rPr>
                <w:sz w:val="22"/>
                <w:szCs w:val="22"/>
              </w:rPr>
              <w:t xml:space="preserve"> informacji</w:t>
            </w:r>
            <w:r w:rsidRPr="00317ABF">
              <w:rPr>
                <w:sz w:val="22"/>
                <w:szCs w:val="22"/>
              </w:rPr>
              <w:t>, niebędących informacją przetworzoną, o możliwości wykorzystania częstotliwości.</w:t>
            </w:r>
          </w:p>
        </w:tc>
      </w:tr>
      <w:tr w:rsidR="001E1112" w:rsidRPr="00317ABF" w14:paraId="3F3C8A23" w14:textId="77777777" w:rsidTr="7753F98D">
        <w:trPr>
          <w:gridAfter w:val="2"/>
          <w:wAfter w:w="175" w:type="dxa"/>
        </w:trPr>
        <w:tc>
          <w:tcPr>
            <w:tcW w:w="704" w:type="dxa"/>
          </w:tcPr>
          <w:p w14:paraId="7C164E73" w14:textId="77777777" w:rsidR="001E1112" w:rsidRPr="00317ABF" w:rsidRDefault="001E1112" w:rsidP="00DB3BEC">
            <w:pPr>
              <w:jc w:val="both"/>
              <w:rPr>
                <w:sz w:val="22"/>
                <w:szCs w:val="22"/>
              </w:rPr>
            </w:pPr>
            <w:r w:rsidRPr="00317ABF">
              <w:rPr>
                <w:sz w:val="22"/>
                <w:szCs w:val="22"/>
              </w:rPr>
              <w:lastRenderedPageBreak/>
              <w:t>Art. 20 ust. 5</w:t>
            </w:r>
          </w:p>
        </w:tc>
        <w:tc>
          <w:tcPr>
            <w:tcW w:w="4308" w:type="dxa"/>
          </w:tcPr>
          <w:p w14:paraId="4F68D6C2" w14:textId="7AF2E434" w:rsidR="001E1112" w:rsidRPr="00317ABF" w:rsidRDefault="001E1112" w:rsidP="00DB3BEC">
            <w:pPr>
              <w:spacing w:before="120"/>
              <w:jc w:val="both"/>
              <w:rPr>
                <w:sz w:val="22"/>
                <w:szCs w:val="22"/>
              </w:rPr>
            </w:pPr>
            <w:r w:rsidRPr="00317ABF">
              <w:rPr>
                <w:sz w:val="22"/>
                <w:szCs w:val="22"/>
              </w:rPr>
              <w:t>5.   Krajowe organy regulacyjne i inne właściwe organy publikują warunki publicznego dostępu do informacji, o którym mowa w ust. 4, w tym procedury zapewniające uzyskanie takiego dostępu.</w:t>
            </w:r>
          </w:p>
        </w:tc>
        <w:tc>
          <w:tcPr>
            <w:tcW w:w="986" w:type="dxa"/>
          </w:tcPr>
          <w:p w14:paraId="7DB1D1D4" w14:textId="24FDA7F0" w:rsidR="001E1112" w:rsidRPr="00317ABF" w:rsidRDefault="00695DA7" w:rsidP="00DB3BEC">
            <w:pPr>
              <w:jc w:val="both"/>
              <w:rPr>
                <w:sz w:val="22"/>
                <w:szCs w:val="22"/>
              </w:rPr>
            </w:pPr>
            <w:r w:rsidRPr="00317ABF">
              <w:rPr>
                <w:sz w:val="22"/>
                <w:szCs w:val="22"/>
              </w:rPr>
              <w:t>N</w:t>
            </w:r>
          </w:p>
        </w:tc>
        <w:tc>
          <w:tcPr>
            <w:tcW w:w="910" w:type="dxa"/>
          </w:tcPr>
          <w:p w14:paraId="3E0F4961" w14:textId="6EBD4886" w:rsidR="001E1112" w:rsidRPr="00317ABF" w:rsidRDefault="001E1112" w:rsidP="00DB3BEC">
            <w:pPr>
              <w:jc w:val="both"/>
              <w:rPr>
                <w:sz w:val="22"/>
                <w:szCs w:val="22"/>
              </w:rPr>
            </w:pPr>
            <w:r w:rsidRPr="00317ABF">
              <w:rPr>
                <w:sz w:val="22"/>
                <w:szCs w:val="22"/>
              </w:rPr>
              <w:t>przepisy ogólne – zapisy w ustawie Pke</w:t>
            </w:r>
          </w:p>
          <w:p w14:paraId="0841E4F5" w14:textId="18B755E0" w:rsidR="001E1112" w:rsidRPr="00317ABF" w:rsidRDefault="001E1112" w:rsidP="00DB3BEC">
            <w:pPr>
              <w:pStyle w:val="Tekstpodstawowy"/>
              <w:rPr>
                <w:b/>
                <w:bCs/>
                <w:noProof/>
                <w:sz w:val="22"/>
                <w:szCs w:val="22"/>
              </w:rPr>
            </w:pPr>
          </w:p>
        </w:tc>
        <w:tc>
          <w:tcPr>
            <w:tcW w:w="6814" w:type="dxa"/>
            <w:gridSpan w:val="2"/>
          </w:tcPr>
          <w:p w14:paraId="711A9A35" w14:textId="571E8B38" w:rsidR="001E1112" w:rsidRPr="00317ABF" w:rsidRDefault="001E1112" w:rsidP="00DB3BEC">
            <w:pPr>
              <w:jc w:val="both"/>
              <w:rPr>
                <w:sz w:val="22"/>
                <w:szCs w:val="22"/>
              </w:rPr>
            </w:pPr>
          </w:p>
        </w:tc>
      </w:tr>
      <w:tr w:rsidR="001E1112" w:rsidRPr="00317ABF" w14:paraId="051AE014" w14:textId="77777777" w:rsidTr="7753F98D">
        <w:trPr>
          <w:gridAfter w:val="2"/>
          <w:wAfter w:w="175" w:type="dxa"/>
        </w:trPr>
        <w:tc>
          <w:tcPr>
            <w:tcW w:w="704" w:type="dxa"/>
          </w:tcPr>
          <w:p w14:paraId="2B5D7AEF" w14:textId="77777777" w:rsidR="001E1112" w:rsidRPr="00317ABF" w:rsidRDefault="001E1112" w:rsidP="00DB3BEC">
            <w:pPr>
              <w:jc w:val="both"/>
              <w:rPr>
                <w:b/>
                <w:sz w:val="22"/>
                <w:szCs w:val="22"/>
              </w:rPr>
            </w:pPr>
            <w:r w:rsidRPr="00317ABF">
              <w:rPr>
                <w:b/>
                <w:sz w:val="22"/>
                <w:szCs w:val="22"/>
              </w:rPr>
              <w:t>Art. 21</w:t>
            </w:r>
          </w:p>
        </w:tc>
        <w:tc>
          <w:tcPr>
            <w:tcW w:w="4308" w:type="dxa"/>
          </w:tcPr>
          <w:p w14:paraId="7456EAE9" w14:textId="77777777" w:rsidR="001E1112" w:rsidRPr="00317ABF" w:rsidRDefault="001E1112" w:rsidP="00DB3BEC">
            <w:pPr>
              <w:spacing w:before="60" w:after="120"/>
              <w:jc w:val="both"/>
              <w:rPr>
                <w:b/>
                <w:bCs/>
                <w:sz w:val="22"/>
                <w:szCs w:val="22"/>
              </w:rPr>
            </w:pPr>
            <w:r w:rsidRPr="00317ABF">
              <w:rPr>
                <w:b/>
                <w:bCs/>
                <w:sz w:val="22"/>
                <w:szCs w:val="22"/>
              </w:rPr>
              <w:t>Informacje wymagane w związku z ogólnym zezwoleniem, prawem użytkowania oraz szczegółowymi obowiązkami</w:t>
            </w:r>
          </w:p>
        </w:tc>
        <w:tc>
          <w:tcPr>
            <w:tcW w:w="986" w:type="dxa"/>
          </w:tcPr>
          <w:p w14:paraId="4EE333D4" w14:textId="77777777" w:rsidR="001E1112" w:rsidRPr="00317ABF" w:rsidRDefault="001E1112" w:rsidP="00DB3BEC">
            <w:pPr>
              <w:jc w:val="both"/>
              <w:rPr>
                <w:sz w:val="22"/>
                <w:szCs w:val="22"/>
              </w:rPr>
            </w:pPr>
          </w:p>
        </w:tc>
        <w:tc>
          <w:tcPr>
            <w:tcW w:w="910" w:type="dxa"/>
          </w:tcPr>
          <w:p w14:paraId="0D6BC734" w14:textId="77777777" w:rsidR="001E1112" w:rsidRPr="00317ABF" w:rsidRDefault="001E1112" w:rsidP="00DB3BEC">
            <w:pPr>
              <w:pStyle w:val="Tekstpodstawowy"/>
              <w:rPr>
                <w:b/>
                <w:bCs/>
                <w:noProof/>
                <w:sz w:val="22"/>
                <w:szCs w:val="22"/>
              </w:rPr>
            </w:pPr>
          </w:p>
        </w:tc>
        <w:tc>
          <w:tcPr>
            <w:tcW w:w="6814" w:type="dxa"/>
            <w:gridSpan w:val="2"/>
          </w:tcPr>
          <w:p w14:paraId="34A104AC" w14:textId="77777777" w:rsidR="001E1112" w:rsidRPr="00317ABF" w:rsidRDefault="001E1112" w:rsidP="00DB3BEC">
            <w:pPr>
              <w:pStyle w:val="Tekstpodstawowy"/>
              <w:rPr>
                <w:sz w:val="22"/>
                <w:szCs w:val="22"/>
              </w:rPr>
            </w:pPr>
          </w:p>
        </w:tc>
      </w:tr>
      <w:tr w:rsidR="001E1112" w:rsidRPr="00317ABF" w14:paraId="2EB4579A" w14:textId="77777777" w:rsidTr="7753F98D">
        <w:trPr>
          <w:gridAfter w:val="2"/>
          <w:wAfter w:w="175" w:type="dxa"/>
        </w:trPr>
        <w:tc>
          <w:tcPr>
            <w:tcW w:w="704" w:type="dxa"/>
          </w:tcPr>
          <w:p w14:paraId="4635A709" w14:textId="77777777" w:rsidR="001E1112" w:rsidRPr="00317ABF" w:rsidRDefault="001E1112" w:rsidP="00DB3BEC">
            <w:pPr>
              <w:jc w:val="both"/>
              <w:rPr>
                <w:sz w:val="22"/>
                <w:szCs w:val="22"/>
              </w:rPr>
            </w:pPr>
            <w:r w:rsidRPr="00317ABF">
              <w:rPr>
                <w:sz w:val="22"/>
                <w:szCs w:val="22"/>
              </w:rPr>
              <w:t>Art. 21 ust. 1</w:t>
            </w:r>
          </w:p>
        </w:tc>
        <w:tc>
          <w:tcPr>
            <w:tcW w:w="4308" w:type="dxa"/>
          </w:tcPr>
          <w:p w14:paraId="31E0A416" w14:textId="77777777" w:rsidR="001E1112" w:rsidRPr="00317ABF" w:rsidRDefault="001E1112" w:rsidP="00DB3BEC">
            <w:pPr>
              <w:spacing w:before="120"/>
              <w:jc w:val="both"/>
              <w:rPr>
                <w:sz w:val="22"/>
                <w:szCs w:val="22"/>
              </w:rPr>
            </w:pPr>
            <w:r w:rsidRPr="00317ABF">
              <w:rPr>
                <w:sz w:val="22"/>
                <w:szCs w:val="22"/>
              </w:rPr>
              <w:t>1.   Niezależnie od informacji wymaganych na podstawie art. 20 i obowiązku dostarczania informacji i sporządzania sprawozdań wynikającego z przepisów prawa krajowego, ale nie wynikającego z ogólnego zezwolenia, krajowe organy regulacyjne i inne właściwe organy mogą zażądać od przedsiębiorstw dostarczenia informacji w związku z ogólnym zezwoleniem, prawami użytkowania lub szczegółowymi obowiązkami, o których mowa w art. 13 ust. 2, które są proporcjonalne i obiektywnie uzasadnione, w szczególności w celach:</w:t>
            </w:r>
          </w:p>
          <w:tbl>
            <w:tblPr>
              <w:tblW w:w="5000" w:type="pct"/>
              <w:tblCellSpacing w:w="0" w:type="dxa"/>
              <w:tblLayout w:type="fixed"/>
              <w:tblCellMar>
                <w:left w:w="0" w:type="dxa"/>
                <w:right w:w="0" w:type="dxa"/>
              </w:tblCellMar>
              <w:tblLook w:val="04A0" w:firstRow="1" w:lastRow="0" w:firstColumn="1" w:lastColumn="0" w:noHBand="0" w:noVBand="1"/>
            </w:tblPr>
            <w:tblGrid>
              <w:gridCol w:w="20"/>
              <w:gridCol w:w="4148"/>
            </w:tblGrid>
            <w:tr w:rsidR="001E1112" w:rsidRPr="00317ABF" w14:paraId="4E962346" w14:textId="77777777" w:rsidTr="00345B65">
              <w:trPr>
                <w:tblCellSpacing w:w="0" w:type="dxa"/>
              </w:trPr>
              <w:tc>
                <w:tcPr>
                  <w:tcW w:w="6" w:type="dxa"/>
                  <w:hideMark/>
                </w:tcPr>
                <w:p w14:paraId="114B4F84" w14:textId="77777777" w:rsidR="001E1112" w:rsidRPr="00317ABF" w:rsidRDefault="001E1112" w:rsidP="00EE0AC3">
                  <w:pPr>
                    <w:framePr w:hSpace="141" w:wrap="around" w:vAnchor="text" w:hAnchor="text" w:xAlign="right" w:y="1"/>
                    <w:spacing w:before="120"/>
                    <w:suppressOverlap/>
                    <w:jc w:val="both"/>
                    <w:rPr>
                      <w:sz w:val="22"/>
                      <w:szCs w:val="22"/>
                    </w:rPr>
                  </w:pPr>
                </w:p>
              </w:tc>
              <w:tc>
                <w:tcPr>
                  <w:tcW w:w="9066" w:type="dxa"/>
                  <w:hideMark/>
                </w:tcPr>
                <w:p w14:paraId="48365BAB" w14:textId="77777777" w:rsidR="001E1112" w:rsidRPr="00317ABF" w:rsidRDefault="001E1112" w:rsidP="00EE0AC3">
                  <w:pPr>
                    <w:framePr w:hSpace="141" w:wrap="around" w:vAnchor="text" w:hAnchor="text" w:xAlign="right" w:y="1"/>
                    <w:numPr>
                      <w:ilvl w:val="0"/>
                      <w:numId w:val="13"/>
                    </w:numPr>
                    <w:spacing w:before="120"/>
                    <w:suppressOverlap/>
                    <w:jc w:val="both"/>
                    <w:rPr>
                      <w:sz w:val="22"/>
                      <w:szCs w:val="22"/>
                    </w:rPr>
                  </w:pPr>
                  <w:r w:rsidRPr="00317ABF">
                    <w:rPr>
                      <w:sz w:val="22"/>
                      <w:szCs w:val="22"/>
                    </w:rPr>
                    <w:t>systematycznej lub dotyczącej konkretnych przypadków weryfikacji przestrzegania warunku 1 z części A, warunków 2 i 6 z części D oraz warunków 2 i 7 z części E załącznika I oraz przestrzegania obowiązków, o których mowa w art. 13 ust. 2;</w:t>
                  </w:r>
                </w:p>
              </w:tc>
            </w:tr>
          </w:tbl>
          <w:p w14:paraId="1AABDC09" w14:textId="77777777" w:rsidR="001E1112" w:rsidRPr="00317ABF" w:rsidRDefault="001E1112" w:rsidP="00DB3BEC">
            <w:pPr>
              <w:jc w:val="both"/>
              <w:rPr>
                <w:vanish/>
                <w:sz w:val="22"/>
                <w:szCs w:val="22"/>
              </w:rPr>
            </w:pPr>
          </w:p>
          <w:tbl>
            <w:tblPr>
              <w:tblW w:w="5000" w:type="pct"/>
              <w:tblCellSpacing w:w="0" w:type="dxa"/>
              <w:tblLayout w:type="fixed"/>
              <w:tblCellMar>
                <w:left w:w="0" w:type="dxa"/>
                <w:right w:w="0" w:type="dxa"/>
              </w:tblCellMar>
              <w:tblLook w:val="04A0" w:firstRow="1" w:lastRow="0" w:firstColumn="1" w:lastColumn="0" w:noHBand="0" w:noVBand="1"/>
            </w:tblPr>
            <w:tblGrid>
              <w:gridCol w:w="20"/>
              <w:gridCol w:w="4148"/>
            </w:tblGrid>
            <w:tr w:rsidR="001E1112" w:rsidRPr="00317ABF" w14:paraId="53566118" w14:textId="77777777" w:rsidTr="00345B65">
              <w:trPr>
                <w:tblCellSpacing w:w="0" w:type="dxa"/>
              </w:trPr>
              <w:tc>
                <w:tcPr>
                  <w:tcW w:w="6" w:type="dxa"/>
                  <w:hideMark/>
                </w:tcPr>
                <w:p w14:paraId="3F82752B" w14:textId="77777777" w:rsidR="001E1112" w:rsidRPr="00317ABF" w:rsidRDefault="001E1112" w:rsidP="00EE0AC3">
                  <w:pPr>
                    <w:framePr w:hSpace="141" w:wrap="around" w:vAnchor="text" w:hAnchor="text" w:xAlign="right" w:y="1"/>
                    <w:spacing w:before="120"/>
                    <w:suppressOverlap/>
                    <w:jc w:val="both"/>
                    <w:rPr>
                      <w:sz w:val="22"/>
                      <w:szCs w:val="22"/>
                    </w:rPr>
                  </w:pPr>
                </w:p>
              </w:tc>
              <w:tc>
                <w:tcPr>
                  <w:tcW w:w="9066" w:type="dxa"/>
                  <w:hideMark/>
                </w:tcPr>
                <w:p w14:paraId="4AEE8D64" w14:textId="77777777" w:rsidR="001E1112" w:rsidRPr="00317ABF" w:rsidRDefault="001E1112" w:rsidP="00EE0AC3">
                  <w:pPr>
                    <w:framePr w:hSpace="141" w:wrap="around" w:vAnchor="text" w:hAnchor="text" w:xAlign="right" w:y="1"/>
                    <w:numPr>
                      <w:ilvl w:val="0"/>
                      <w:numId w:val="13"/>
                    </w:numPr>
                    <w:spacing w:before="120"/>
                    <w:suppressOverlap/>
                    <w:jc w:val="both"/>
                    <w:rPr>
                      <w:sz w:val="22"/>
                      <w:szCs w:val="22"/>
                    </w:rPr>
                  </w:pPr>
                  <w:r w:rsidRPr="00317ABF">
                    <w:rPr>
                      <w:sz w:val="22"/>
                      <w:szCs w:val="22"/>
                    </w:rPr>
                    <w:t>dotyczącej konkretnych przypadków weryfikacji zgodności z warunkami określonymi w załączniku I, jeżeli złożono skargę lub właściwy organ miał inne powody, ażeby twierdzić, że dany warunek nie został spełniony, albo w przypadku dochodzenia prowadzonego przez właściwy organ z urzędu;</w:t>
                  </w:r>
                </w:p>
              </w:tc>
            </w:tr>
          </w:tbl>
          <w:p w14:paraId="6CA203BD" w14:textId="77777777" w:rsidR="001E1112" w:rsidRPr="00317ABF" w:rsidRDefault="001E1112" w:rsidP="00DB3BEC">
            <w:pPr>
              <w:jc w:val="both"/>
              <w:rPr>
                <w:vanish/>
                <w:sz w:val="22"/>
                <w:szCs w:val="22"/>
              </w:rPr>
            </w:pPr>
          </w:p>
          <w:tbl>
            <w:tblPr>
              <w:tblW w:w="5000" w:type="pct"/>
              <w:tblCellSpacing w:w="0" w:type="dxa"/>
              <w:tblLayout w:type="fixed"/>
              <w:tblCellMar>
                <w:left w:w="0" w:type="dxa"/>
                <w:right w:w="0" w:type="dxa"/>
              </w:tblCellMar>
              <w:tblLook w:val="04A0" w:firstRow="1" w:lastRow="0" w:firstColumn="1" w:lastColumn="0" w:noHBand="0" w:noVBand="1"/>
            </w:tblPr>
            <w:tblGrid>
              <w:gridCol w:w="20"/>
              <w:gridCol w:w="4148"/>
            </w:tblGrid>
            <w:tr w:rsidR="001E1112" w:rsidRPr="00317ABF" w14:paraId="186C3A0B" w14:textId="77777777" w:rsidTr="00345B65">
              <w:trPr>
                <w:tblCellSpacing w:w="0" w:type="dxa"/>
              </w:trPr>
              <w:tc>
                <w:tcPr>
                  <w:tcW w:w="9" w:type="dxa"/>
                  <w:hideMark/>
                </w:tcPr>
                <w:p w14:paraId="1EEB5C65" w14:textId="77777777" w:rsidR="001E1112" w:rsidRPr="00317ABF" w:rsidRDefault="001E1112" w:rsidP="00EE0AC3">
                  <w:pPr>
                    <w:framePr w:hSpace="141" w:wrap="around" w:vAnchor="text" w:hAnchor="text" w:xAlign="right" w:y="1"/>
                    <w:spacing w:before="120"/>
                    <w:suppressOverlap/>
                    <w:jc w:val="both"/>
                    <w:rPr>
                      <w:sz w:val="22"/>
                      <w:szCs w:val="22"/>
                    </w:rPr>
                  </w:pPr>
                </w:p>
              </w:tc>
              <w:tc>
                <w:tcPr>
                  <w:tcW w:w="9063" w:type="dxa"/>
                  <w:hideMark/>
                </w:tcPr>
                <w:p w14:paraId="0E96EF39" w14:textId="77777777" w:rsidR="001E1112" w:rsidRPr="00317ABF" w:rsidRDefault="001E1112" w:rsidP="00EE0AC3">
                  <w:pPr>
                    <w:framePr w:hSpace="141" w:wrap="around" w:vAnchor="text" w:hAnchor="text" w:xAlign="right" w:y="1"/>
                    <w:numPr>
                      <w:ilvl w:val="0"/>
                      <w:numId w:val="13"/>
                    </w:numPr>
                    <w:spacing w:before="120"/>
                    <w:suppressOverlap/>
                    <w:jc w:val="both"/>
                    <w:rPr>
                      <w:sz w:val="22"/>
                      <w:szCs w:val="22"/>
                    </w:rPr>
                  </w:pPr>
                  <w:r w:rsidRPr="00317ABF">
                    <w:rPr>
                      <w:sz w:val="22"/>
                      <w:szCs w:val="22"/>
                    </w:rPr>
                    <w:t>procedury i oceny wniosków o przyznanie prawa użytkowania;</w:t>
                  </w:r>
                </w:p>
              </w:tc>
            </w:tr>
          </w:tbl>
          <w:p w14:paraId="27EFE50A" w14:textId="77777777" w:rsidR="001E1112" w:rsidRPr="00317ABF" w:rsidRDefault="001E1112" w:rsidP="00DB3BEC">
            <w:pPr>
              <w:jc w:val="both"/>
              <w:rPr>
                <w:vanish/>
                <w:sz w:val="22"/>
                <w:szCs w:val="22"/>
              </w:rPr>
            </w:pPr>
          </w:p>
          <w:tbl>
            <w:tblPr>
              <w:tblW w:w="5000" w:type="pct"/>
              <w:tblCellSpacing w:w="0" w:type="dxa"/>
              <w:tblLayout w:type="fixed"/>
              <w:tblCellMar>
                <w:left w:w="0" w:type="dxa"/>
                <w:right w:w="0" w:type="dxa"/>
              </w:tblCellMar>
              <w:tblLook w:val="04A0" w:firstRow="1" w:lastRow="0" w:firstColumn="1" w:lastColumn="0" w:noHBand="0" w:noVBand="1"/>
            </w:tblPr>
            <w:tblGrid>
              <w:gridCol w:w="20"/>
              <w:gridCol w:w="4148"/>
            </w:tblGrid>
            <w:tr w:rsidR="001E1112" w:rsidRPr="00317ABF" w14:paraId="015EE6C1" w14:textId="77777777" w:rsidTr="00345B65">
              <w:trPr>
                <w:tblCellSpacing w:w="0" w:type="dxa"/>
              </w:trPr>
              <w:tc>
                <w:tcPr>
                  <w:tcW w:w="6" w:type="dxa"/>
                  <w:hideMark/>
                </w:tcPr>
                <w:p w14:paraId="44D1216F" w14:textId="77777777" w:rsidR="001E1112" w:rsidRPr="00317ABF" w:rsidRDefault="001E1112" w:rsidP="00EE0AC3">
                  <w:pPr>
                    <w:framePr w:hSpace="141" w:wrap="around" w:vAnchor="text" w:hAnchor="text" w:xAlign="right" w:y="1"/>
                    <w:spacing w:before="120"/>
                    <w:suppressOverlap/>
                    <w:jc w:val="both"/>
                    <w:rPr>
                      <w:sz w:val="22"/>
                      <w:szCs w:val="22"/>
                    </w:rPr>
                  </w:pPr>
                </w:p>
              </w:tc>
              <w:tc>
                <w:tcPr>
                  <w:tcW w:w="9066" w:type="dxa"/>
                  <w:hideMark/>
                </w:tcPr>
                <w:p w14:paraId="14B6C1EA" w14:textId="77777777" w:rsidR="001E1112" w:rsidRPr="00317ABF" w:rsidRDefault="001E1112" w:rsidP="00EE0AC3">
                  <w:pPr>
                    <w:framePr w:hSpace="141" w:wrap="around" w:vAnchor="text" w:hAnchor="text" w:xAlign="right" w:y="1"/>
                    <w:numPr>
                      <w:ilvl w:val="0"/>
                      <w:numId w:val="13"/>
                    </w:numPr>
                    <w:spacing w:before="120"/>
                    <w:suppressOverlap/>
                    <w:jc w:val="both"/>
                    <w:rPr>
                      <w:sz w:val="22"/>
                      <w:szCs w:val="22"/>
                    </w:rPr>
                  </w:pPr>
                  <w:r w:rsidRPr="00317ABF">
                    <w:rPr>
                      <w:sz w:val="22"/>
                      <w:szCs w:val="22"/>
                    </w:rPr>
                    <w:t>publikacji zestawień dotyczących przeglądów jakości oraz cen usług, z uwagi na interes konsumenta;</w:t>
                  </w:r>
                </w:p>
              </w:tc>
            </w:tr>
          </w:tbl>
          <w:p w14:paraId="3517F98F" w14:textId="77777777" w:rsidR="001E1112" w:rsidRPr="00317ABF" w:rsidRDefault="001E1112" w:rsidP="00DB3BEC">
            <w:pPr>
              <w:jc w:val="both"/>
              <w:rPr>
                <w:vanish/>
                <w:sz w:val="22"/>
                <w:szCs w:val="22"/>
              </w:rPr>
            </w:pPr>
          </w:p>
          <w:tbl>
            <w:tblPr>
              <w:tblW w:w="5000" w:type="pct"/>
              <w:tblCellSpacing w:w="0" w:type="dxa"/>
              <w:tblLayout w:type="fixed"/>
              <w:tblCellMar>
                <w:left w:w="0" w:type="dxa"/>
                <w:right w:w="0" w:type="dxa"/>
              </w:tblCellMar>
              <w:tblLook w:val="04A0" w:firstRow="1" w:lastRow="0" w:firstColumn="1" w:lastColumn="0" w:noHBand="0" w:noVBand="1"/>
            </w:tblPr>
            <w:tblGrid>
              <w:gridCol w:w="20"/>
              <w:gridCol w:w="4148"/>
            </w:tblGrid>
            <w:tr w:rsidR="001E1112" w:rsidRPr="00317ABF" w14:paraId="75F33439" w14:textId="77777777" w:rsidTr="00345B65">
              <w:trPr>
                <w:tblCellSpacing w:w="0" w:type="dxa"/>
              </w:trPr>
              <w:tc>
                <w:tcPr>
                  <w:tcW w:w="8" w:type="dxa"/>
                  <w:hideMark/>
                </w:tcPr>
                <w:p w14:paraId="34223B45" w14:textId="77777777" w:rsidR="001E1112" w:rsidRPr="00317ABF" w:rsidRDefault="001E1112" w:rsidP="00EE0AC3">
                  <w:pPr>
                    <w:framePr w:hSpace="141" w:wrap="around" w:vAnchor="text" w:hAnchor="text" w:xAlign="right" w:y="1"/>
                    <w:spacing w:before="120"/>
                    <w:suppressOverlap/>
                    <w:jc w:val="both"/>
                    <w:rPr>
                      <w:sz w:val="22"/>
                      <w:szCs w:val="22"/>
                    </w:rPr>
                  </w:pPr>
                </w:p>
              </w:tc>
              <w:tc>
                <w:tcPr>
                  <w:tcW w:w="9064" w:type="dxa"/>
                  <w:hideMark/>
                </w:tcPr>
                <w:p w14:paraId="021BD515" w14:textId="77777777" w:rsidR="001E1112" w:rsidRPr="00317ABF" w:rsidRDefault="001E1112" w:rsidP="00EE0AC3">
                  <w:pPr>
                    <w:framePr w:hSpace="141" w:wrap="around" w:vAnchor="text" w:hAnchor="text" w:xAlign="right" w:y="1"/>
                    <w:numPr>
                      <w:ilvl w:val="0"/>
                      <w:numId w:val="13"/>
                    </w:numPr>
                    <w:spacing w:before="120"/>
                    <w:suppressOverlap/>
                    <w:jc w:val="both"/>
                    <w:rPr>
                      <w:sz w:val="22"/>
                      <w:szCs w:val="22"/>
                    </w:rPr>
                  </w:pPr>
                  <w:r w:rsidRPr="00317ABF">
                    <w:rPr>
                      <w:sz w:val="22"/>
                      <w:szCs w:val="22"/>
                    </w:rPr>
                    <w:t>jasno określone cele statystyczne, badawcze lub cele sprawozdawczości;</w:t>
                  </w:r>
                </w:p>
              </w:tc>
            </w:tr>
          </w:tbl>
          <w:p w14:paraId="539CD7A1" w14:textId="77777777" w:rsidR="001E1112" w:rsidRPr="00317ABF" w:rsidRDefault="001E1112" w:rsidP="00DB3BEC">
            <w:pPr>
              <w:jc w:val="both"/>
              <w:rPr>
                <w:vanish/>
                <w:sz w:val="22"/>
                <w:szCs w:val="22"/>
              </w:rPr>
            </w:pPr>
          </w:p>
          <w:tbl>
            <w:tblPr>
              <w:tblW w:w="5000" w:type="pct"/>
              <w:tblCellSpacing w:w="0" w:type="dxa"/>
              <w:tblLayout w:type="fixed"/>
              <w:tblCellMar>
                <w:left w:w="0" w:type="dxa"/>
                <w:right w:w="0" w:type="dxa"/>
              </w:tblCellMar>
              <w:tblLook w:val="04A0" w:firstRow="1" w:lastRow="0" w:firstColumn="1" w:lastColumn="0" w:noHBand="0" w:noVBand="1"/>
            </w:tblPr>
            <w:tblGrid>
              <w:gridCol w:w="20"/>
              <w:gridCol w:w="4148"/>
            </w:tblGrid>
            <w:tr w:rsidR="001E1112" w:rsidRPr="00317ABF" w14:paraId="56467240" w14:textId="77777777" w:rsidTr="00345B65">
              <w:trPr>
                <w:tblCellSpacing w:w="0" w:type="dxa"/>
              </w:trPr>
              <w:tc>
                <w:tcPr>
                  <w:tcW w:w="6" w:type="dxa"/>
                  <w:hideMark/>
                </w:tcPr>
                <w:p w14:paraId="6A9A2604" w14:textId="77777777" w:rsidR="001E1112" w:rsidRPr="00317ABF" w:rsidRDefault="001E1112" w:rsidP="00EE0AC3">
                  <w:pPr>
                    <w:framePr w:hSpace="141" w:wrap="around" w:vAnchor="text" w:hAnchor="text" w:xAlign="right" w:y="1"/>
                    <w:spacing w:before="120"/>
                    <w:suppressOverlap/>
                    <w:jc w:val="both"/>
                    <w:rPr>
                      <w:sz w:val="22"/>
                      <w:szCs w:val="22"/>
                    </w:rPr>
                  </w:pPr>
                </w:p>
              </w:tc>
              <w:tc>
                <w:tcPr>
                  <w:tcW w:w="9066" w:type="dxa"/>
                  <w:hideMark/>
                </w:tcPr>
                <w:p w14:paraId="0AC523F8" w14:textId="77777777" w:rsidR="001E1112" w:rsidRPr="00317ABF" w:rsidRDefault="001E1112" w:rsidP="00EE0AC3">
                  <w:pPr>
                    <w:framePr w:hSpace="141" w:wrap="around" w:vAnchor="text" w:hAnchor="text" w:xAlign="right" w:y="1"/>
                    <w:numPr>
                      <w:ilvl w:val="0"/>
                      <w:numId w:val="13"/>
                    </w:numPr>
                    <w:spacing w:before="120"/>
                    <w:suppressOverlap/>
                    <w:jc w:val="both"/>
                    <w:rPr>
                      <w:sz w:val="22"/>
                      <w:szCs w:val="22"/>
                    </w:rPr>
                  </w:pPr>
                  <w:r w:rsidRPr="00317ABF">
                    <w:rPr>
                      <w:sz w:val="22"/>
                      <w:szCs w:val="22"/>
                    </w:rPr>
                    <w:t>przeprowadzania analizy rynku dla celów niniejszej dyrektywy, w tym danych dotyczących rynków niższego szczebla lub rynków detalicznych związanych z rynkami poddawanymi analizie lub dotyczących tych rynków;</w:t>
                  </w:r>
                </w:p>
              </w:tc>
            </w:tr>
          </w:tbl>
          <w:p w14:paraId="3DD220FA" w14:textId="77777777" w:rsidR="001E1112" w:rsidRPr="00317ABF" w:rsidRDefault="001E1112" w:rsidP="00DB3BEC">
            <w:pPr>
              <w:jc w:val="both"/>
              <w:rPr>
                <w:vanish/>
                <w:sz w:val="22"/>
                <w:szCs w:val="22"/>
              </w:rPr>
            </w:pPr>
          </w:p>
          <w:tbl>
            <w:tblPr>
              <w:tblW w:w="5000" w:type="pct"/>
              <w:tblCellSpacing w:w="0" w:type="dxa"/>
              <w:tblLayout w:type="fixed"/>
              <w:tblCellMar>
                <w:left w:w="0" w:type="dxa"/>
                <w:right w:w="0" w:type="dxa"/>
              </w:tblCellMar>
              <w:tblLook w:val="04A0" w:firstRow="1" w:lastRow="0" w:firstColumn="1" w:lastColumn="0" w:noHBand="0" w:noVBand="1"/>
            </w:tblPr>
            <w:tblGrid>
              <w:gridCol w:w="20"/>
              <w:gridCol w:w="4148"/>
            </w:tblGrid>
            <w:tr w:rsidR="001E1112" w:rsidRPr="00317ABF" w14:paraId="5A4EC1EE" w14:textId="77777777" w:rsidTr="00345B65">
              <w:trPr>
                <w:tblCellSpacing w:w="0" w:type="dxa"/>
              </w:trPr>
              <w:tc>
                <w:tcPr>
                  <w:tcW w:w="6" w:type="dxa"/>
                  <w:hideMark/>
                </w:tcPr>
                <w:p w14:paraId="7B186A81" w14:textId="77777777" w:rsidR="001E1112" w:rsidRPr="00317ABF" w:rsidRDefault="001E1112" w:rsidP="00EE0AC3">
                  <w:pPr>
                    <w:framePr w:hSpace="141" w:wrap="around" w:vAnchor="text" w:hAnchor="text" w:xAlign="right" w:y="1"/>
                    <w:spacing w:before="120"/>
                    <w:suppressOverlap/>
                    <w:jc w:val="both"/>
                    <w:rPr>
                      <w:sz w:val="22"/>
                      <w:szCs w:val="22"/>
                    </w:rPr>
                  </w:pPr>
                </w:p>
              </w:tc>
              <w:tc>
                <w:tcPr>
                  <w:tcW w:w="9066" w:type="dxa"/>
                  <w:hideMark/>
                </w:tcPr>
                <w:p w14:paraId="187A6324" w14:textId="77777777" w:rsidR="001E1112" w:rsidRPr="00317ABF" w:rsidRDefault="001E1112" w:rsidP="00EE0AC3">
                  <w:pPr>
                    <w:framePr w:hSpace="141" w:wrap="around" w:vAnchor="text" w:hAnchor="text" w:xAlign="right" w:y="1"/>
                    <w:numPr>
                      <w:ilvl w:val="0"/>
                      <w:numId w:val="13"/>
                    </w:numPr>
                    <w:spacing w:before="120"/>
                    <w:suppressOverlap/>
                    <w:jc w:val="both"/>
                    <w:rPr>
                      <w:sz w:val="22"/>
                      <w:szCs w:val="22"/>
                    </w:rPr>
                  </w:pPr>
                  <w:r w:rsidRPr="00317ABF">
                    <w:rPr>
                      <w:sz w:val="22"/>
                      <w:szCs w:val="22"/>
                    </w:rPr>
                    <w:t>zagwarantowanie efektywnego użytkowania widma radiowego i zasobów numeracyjnych i zapewnienie skutecznego zarządzania nimi;</w:t>
                  </w:r>
                </w:p>
              </w:tc>
            </w:tr>
          </w:tbl>
          <w:p w14:paraId="4F24943C" w14:textId="77777777" w:rsidR="001E1112" w:rsidRPr="00317ABF" w:rsidRDefault="001E1112" w:rsidP="00DB3BEC">
            <w:pPr>
              <w:jc w:val="both"/>
              <w:rPr>
                <w:vanish/>
                <w:sz w:val="22"/>
                <w:szCs w:val="22"/>
              </w:rPr>
            </w:pPr>
          </w:p>
          <w:tbl>
            <w:tblPr>
              <w:tblW w:w="5000" w:type="pct"/>
              <w:tblCellSpacing w:w="0" w:type="dxa"/>
              <w:tblLayout w:type="fixed"/>
              <w:tblCellMar>
                <w:left w:w="0" w:type="dxa"/>
                <w:right w:w="0" w:type="dxa"/>
              </w:tblCellMar>
              <w:tblLook w:val="04A0" w:firstRow="1" w:lastRow="0" w:firstColumn="1" w:lastColumn="0" w:noHBand="0" w:noVBand="1"/>
            </w:tblPr>
            <w:tblGrid>
              <w:gridCol w:w="20"/>
              <w:gridCol w:w="4148"/>
            </w:tblGrid>
            <w:tr w:rsidR="001E1112" w:rsidRPr="00317ABF" w14:paraId="36F8E197" w14:textId="77777777" w:rsidTr="00345B65">
              <w:trPr>
                <w:tblCellSpacing w:w="0" w:type="dxa"/>
              </w:trPr>
              <w:tc>
                <w:tcPr>
                  <w:tcW w:w="6" w:type="dxa"/>
                  <w:hideMark/>
                </w:tcPr>
                <w:p w14:paraId="6AD9664E" w14:textId="77777777" w:rsidR="001E1112" w:rsidRPr="00317ABF" w:rsidRDefault="001E1112" w:rsidP="00EE0AC3">
                  <w:pPr>
                    <w:framePr w:hSpace="141" w:wrap="around" w:vAnchor="text" w:hAnchor="text" w:xAlign="right" w:y="1"/>
                    <w:spacing w:before="120"/>
                    <w:suppressOverlap/>
                    <w:jc w:val="both"/>
                    <w:rPr>
                      <w:sz w:val="22"/>
                      <w:szCs w:val="22"/>
                    </w:rPr>
                  </w:pPr>
                </w:p>
              </w:tc>
              <w:tc>
                <w:tcPr>
                  <w:tcW w:w="9066" w:type="dxa"/>
                  <w:hideMark/>
                </w:tcPr>
                <w:p w14:paraId="75568B80" w14:textId="77777777" w:rsidR="001E1112" w:rsidRPr="00317ABF" w:rsidRDefault="001E1112" w:rsidP="00EE0AC3">
                  <w:pPr>
                    <w:framePr w:hSpace="141" w:wrap="around" w:vAnchor="text" w:hAnchor="text" w:xAlign="right" w:y="1"/>
                    <w:numPr>
                      <w:ilvl w:val="0"/>
                      <w:numId w:val="13"/>
                    </w:numPr>
                    <w:spacing w:before="120"/>
                    <w:suppressOverlap/>
                    <w:jc w:val="both"/>
                    <w:rPr>
                      <w:sz w:val="22"/>
                      <w:szCs w:val="22"/>
                    </w:rPr>
                  </w:pPr>
                  <w:r w:rsidRPr="00317ABF">
                    <w:rPr>
                      <w:sz w:val="22"/>
                      <w:szCs w:val="22"/>
                    </w:rPr>
                    <w:t xml:space="preserve">ocenę przyszłych zmian w dziedzinie sieci lub usług, które mogłyby mieć </w:t>
                  </w:r>
                  <w:r w:rsidRPr="00317ABF">
                    <w:rPr>
                      <w:sz w:val="22"/>
                      <w:szCs w:val="22"/>
                    </w:rPr>
                    <w:lastRenderedPageBreak/>
                    <w:t>wpływ na usługi hurtowe udostępniane konkurentom, na zasięg terytorialny, na możliwości uzyskania dostępu do sieci przysługujące użytkownikom końcowym lub na określanie obszarów na podstawie art. 22;</w:t>
                  </w:r>
                </w:p>
              </w:tc>
            </w:tr>
          </w:tbl>
          <w:p w14:paraId="6BF7610E" w14:textId="77777777" w:rsidR="001E1112" w:rsidRPr="00317ABF" w:rsidRDefault="001E1112" w:rsidP="00DB3BEC">
            <w:pPr>
              <w:jc w:val="both"/>
              <w:rPr>
                <w:vanish/>
                <w:sz w:val="22"/>
                <w:szCs w:val="22"/>
              </w:rPr>
            </w:pPr>
          </w:p>
          <w:tbl>
            <w:tblPr>
              <w:tblW w:w="5000" w:type="pct"/>
              <w:tblCellSpacing w:w="0" w:type="dxa"/>
              <w:tblLayout w:type="fixed"/>
              <w:tblCellMar>
                <w:left w:w="0" w:type="dxa"/>
                <w:right w:w="0" w:type="dxa"/>
              </w:tblCellMar>
              <w:tblLook w:val="04A0" w:firstRow="1" w:lastRow="0" w:firstColumn="1" w:lastColumn="0" w:noHBand="0" w:noVBand="1"/>
            </w:tblPr>
            <w:tblGrid>
              <w:gridCol w:w="20"/>
              <w:gridCol w:w="4148"/>
            </w:tblGrid>
            <w:tr w:rsidR="001E1112" w:rsidRPr="00317ABF" w14:paraId="0325C2A2" w14:textId="77777777" w:rsidTr="00345B65">
              <w:trPr>
                <w:tblCellSpacing w:w="0" w:type="dxa"/>
              </w:trPr>
              <w:tc>
                <w:tcPr>
                  <w:tcW w:w="16" w:type="dxa"/>
                  <w:hideMark/>
                </w:tcPr>
                <w:p w14:paraId="25DC539F" w14:textId="77777777" w:rsidR="001E1112" w:rsidRPr="00317ABF" w:rsidRDefault="001E1112" w:rsidP="00EE0AC3">
                  <w:pPr>
                    <w:framePr w:hSpace="141" w:wrap="around" w:vAnchor="text" w:hAnchor="text" w:xAlign="right" w:y="1"/>
                    <w:spacing w:before="120"/>
                    <w:suppressOverlap/>
                    <w:jc w:val="both"/>
                    <w:rPr>
                      <w:sz w:val="22"/>
                      <w:szCs w:val="22"/>
                    </w:rPr>
                  </w:pPr>
                </w:p>
              </w:tc>
              <w:tc>
                <w:tcPr>
                  <w:tcW w:w="9056" w:type="dxa"/>
                  <w:hideMark/>
                </w:tcPr>
                <w:p w14:paraId="57644C55" w14:textId="77777777" w:rsidR="001E1112" w:rsidRPr="00317ABF" w:rsidRDefault="001E1112" w:rsidP="00EE0AC3">
                  <w:pPr>
                    <w:framePr w:hSpace="141" w:wrap="around" w:vAnchor="text" w:hAnchor="text" w:xAlign="right" w:y="1"/>
                    <w:numPr>
                      <w:ilvl w:val="0"/>
                      <w:numId w:val="13"/>
                    </w:numPr>
                    <w:spacing w:before="120"/>
                    <w:suppressOverlap/>
                    <w:jc w:val="both"/>
                    <w:rPr>
                      <w:sz w:val="22"/>
                      <w:szCs w:val="22"/>
                    </w:rPr>
                  </w:pPr>
                  <w:r w:rsidRPr="00317ABF">
                    <w:rPr>
                      <w:sz w:val="22"/>
                      <w:szCs w:val="22"/>
                    </w:rPr>
                    <w:t>prowadzenie analiz geograficznych;</w:t>
                  </w:r>
                </w:p>
              </w:tc>
            </w:tr>
          </w:tbl>
          <w:p w14:paraId="63E83F18" w14:textId="77777777" w:rsidR="001E1112" w:rsidRPr="00317ABF" w:rsidRDefault="001E1112" w:rsidP="00DB3BEC">
            <w:pPr>
              <w:jc w:val="both"/>
              <w:rPr>
                <w:vanish/>
                <w:sz w:val="22"/>
                <w:szCs w:val="22"/>
              </w:rPr>
            </w:pPr>
          </w:p>
          <w:tbl>
            <w:tblPr>
              <w:tblW w:w="5000" w:type="pct"/>
              <w:tblCellSpacing w:w="0" w:type="dxa"/>
              <w:tblLayout w:type="fixed"/>
              <w:tblCellMar>
                <w:left w:w="0" w:type="dxa"/>
                <w:right w:w="0" w:type="dxa"/>
              </w:tblCellMar>
              <w:tblLook w:val="04A0" w:firstRow="1" w:lastRow="0" w:firstColumn="1" w:lastColumn="0" w:noHBand="0" w:noVBand="1"/>
            </w:tblPr>
            <w:tblGrid>
              <w:gridCol w:w="20"/>
              <w:gridCol w:w="4148"/>
            </w:tblGrid>
            <w:tr w:rsidR="001E1112" w:rsidRPr="00317ABF" w14:paraId="74B33BAC" w14:textId="77777777" w:rsidTr="00345B65">
              <w:trPr>
                <w:tblCellSpacing w:w="0" w:type="dxa"/>
              </w:trPr>
              <w:tc>
                <w:tcPr>
                  <w:tcW w:w="7" w:type="dxa"/>
                  <w:hideMark/>
                </w:tcPr>
                <w:p w14:paraId="6FBAD364" w14:textId="77777777" w:rsidR="001E1112" w:rsidRPr="00317ABF" w:rsidRDefault="001E1112" w:rsidP="00EE0AC3">
                  <w:pPr>
                    <w:framePr w:hSpace="141" w:wrap="around" w:vAnchor="text" w:hAnchor="text" w:xAlign="right" w:y="1"/>
                    <w:spacing w:before="120"/>
                    <w:suppressOverlap/>
                    <w:jc w:val="both"/>
                    <w:rPr>
                      <w:sz w:val="22"/>
                      <w:szCs w:val="22"/>
                    </w:rPr>
                  </w:pPr>
                </w:p>
              </w:tc>
              <w:tc>
                <w:tcPr>
                  <w:tcW w:w="9065" w:type="dxa"/>
                  <w:hideMark/>
                </w:tcPr>
                <w:p w14:paraId="7430FA07" w14:textId="77777777" w:rsidR="001E1112" w:rsidRPr="00317ABF" w:rsidRDefault="001E1112" w:rsidP="00EE0AC3">
                  <w:pPr>
                    <w:framePr w:hSpace="141" w:wrap="around" w:vAnchor="text" w:hAnchor="text" w:xAlign="right" w:y="1"/>
                    <w:numPr>
                      <w:ilvl w:val="0"/>
                      <w:numId w:val="13"/>
                    </w:numPr>
                    <w:spacing w:before="120"/>
                    <w:suppressOverlap/>
                    <w:jc w:val="both"/>
                    <w:rPr>
                      <w:sz w:val="22"/>
                      <w:szCs w:val="22"/>
                    </w:rPr>
                  </w:pPr>
                  <w:r w:rsidRPr="00317ABF">
                    <w:rPr>
                      <w:sz w:val="22"/>
                      <w:szCs w:val="22"/>
                    </w:rPr>
                    <w:t>udzielanie odpowiedzi na uzasadnione wnioski BEREC o udzielenie informacji.</w:t>
                  </w:r>
                </w:p>
              </w:tc>
            </w:tr>
          </w:tbl>
          <w:p w14:paraId="7F41AD89" w14:textId="77777777" w:rsidR="001E1112" w:rsidRPr="00317ABF" w:rsidRDefault="001E1112" w:rsidP="00DB3BEC">
            <w:pPr>
              <w:spacing w:before="120"/>
              <w:jc w:val="both"/>
              <w:rPr>
                <w:sz w:val="22"/>
                <w:szCs w:val="22"/>
              </w:rPr>
            </w:pPr>
            <w:r w:rsidRPr="00317ABF">
              <w:rPr>
                <w:sz w:val="22"/>
                <w:szCs w:val="22"/>
              </w:rPr>
              <w:t>Informacje, o których mowa w akapicie pierwszym lit. a) i b) oraz d)–j), nie mogą być wymagane przed uzyskaniem dostępu do rynku lub jako warunek dostępu do rynku.</w:t>
            </w:r>
          </w:p>
          <w:p w14:paraId="5DC4596E" w14:textId="2CCB37F8" w:rsidR="001E1112" w:rsidRPr="00317ABF" w:rsidRDefault="001E1112" w:rsidP="00DB3BEC">
            <w:pPr>
              <w:spacing w:before="120"/>
              <w:jc w:val="both"/>
              <w:rPr>
                <w:sz w:val="22"/>
                <w:szCs w:val="22"/>
              </w:rPr>
            </w:pPr>
            <w:r w:rsidRPr="00317ABF">
              <w:rPr>
                <w:sz w:val="22"/>
                <w:szCs w:val="22"/>
              </w:rPr>
              <w:t>BEREC może opracować wzory wniosków o informacje, w razie potrzeby, aby ułatwić skonsolidowaną prezentację i analizę uzyskanych informacji.</w:t>
            </w:r>
          </w:p>
        </w:tc>
        <w:tc>
          <w:tcPr>
            <w:tcW w:w="986" w:type="dxa"/>
          </w:tcPr>
          <w:p w14:paraId="71E9947C" w14:textId="526207B0" w:rsidR="001E1112" w:rsidRPr="00317ABF" w:rsidRDefault="001E1112" w:rsidP="00DB3BEC">
            <w:pPr>
              <w:jc w:val="both"/>
              <w:rPr>
                <w:sz w:val="22"/>
                <w:szCs w:val="22"/>
              </w:rPr>
            </w:pPr>
            <w:r w:rsidRPr="00317ABF">
              <w:rPr>
                <w:sz w:val="22"/>
                <w:szCs w:val="22"/>
              </w:rPr>
              <w:lastRenderedPageBreak/>
              <w:t>T</w:t>
            </w:r>
          </w:p>
        </w:tc>
        <w:tc>
          <w:tcPr>
            <w:tcW w:w="910" w:type="dxa"/>
          </w:tcPr>
          <w:p w14:paraId="1413D853" w14:textId="04601E36" w:rsidR="001E1112" w:rsidRPr="00317ABF" w:rsidRDefault="001E1112" w:rsidP="00DB3BEC">
            <w:pPr>
              <w:pStyle w:val="Tekstpodstawowy"/>
              <w:rPr>
                <w:b/>
                <w:bCs/>
                <w:noProof/>
                <w:sz w:val="22"/>
                <w:szCs w:val="22"/>
              </w:rPr>
            </w:pPr>
            <w:r w:rsidRPr="00317ABF">
              <w:rPr>
                <w:b/>
                <w:bCs/>
                <w:noProof/>
                <w:sz w:val="22"/>
                <w:szCs w:val="22"/>
              </w:rPr>
              <w:t>Art. 19 ust. 1 i 4, art. 20</w:t>
            </w:r>
          </w:p>
        </w:tc>
        <w:tc>
          <w:tcPr>
            <w:tcW w:w="6814" w:type="dxa"/>
            <w:gridSpan w:val="2"/>
          </w:tcPr>
          <w:p w14:paraId="515E2410" w14:textId="77777777" w:rsidR="005E1C3E" w:rsidRPr="00317ABF" w:rsidRDefault="005E1C3E" w:rsidP="005E1C3E">
            <w:pPr>
              <w:ind w:firstLine="510"/>
              <w:jc w:val="both"/>
              <w:rPr>
                <w:rFonts w:eastAsia="Times"/>
                <w:bCs/>
                <w:sz w:val="22"/>
                <w:szCs w:val="22"/>
              </w:rPr>
            </w:pPr>
            <w:r w:rsidRPr="00317ABF">
              <w:rPr>
                <w:rFonts w:eastAsia="Times"/>
                <w:b/>
                <w:bCs/>
                <w:sz w:val="22"/>
                <w:szCs w:val="22"/>
              </w:rPr>
              <w:t>Art. 19</w:t>
            </w:r>
            <w:r w:rsidRPr="00317ABF">
              <w:rPr>
                <w:rFonts w:eastAsia="Times"/>
                <w:bCs/>
                <w:sz w:val="22"/>
                <w:szCs w:val="22"/>
              </w:rPr>
              <w:t>. 1. Przedsiębiorca komunikacji elektronicznej lub podmiot, który uzyskał pozwolenie radiowe, o którym mowa w art. 138 ust. 1, rezerwację częstotliwości lub zasobów orbitalnych lub prawo do wykorzystywania zasobów numeracji, z wyłączeniem użytkownika rządowego, jest obowiązany do przekazywania na żądanie Prezesa UKE informacji niezbędnych do wykonywania przez Prezesa UKE jego uprawnień i obowiązków.</w:t>
            </w:r>
          </w:p>
          <w:p w14:paraId="752AE32B" w14:textId="029C4088" w:rsidR="001E1112" w:rsidRPr="00317ABF" w:rsidRDefault="001E1112" w:rsidP="00DB3BEC">
            <w:pPr>
              <w:ind w:firstLine="510"/>
              <w:jc w:val="both"/>
              <w:rPr>
                <w:rFonts w:eastAsia="Times"/>
                <w:sz w:val="22"/>
                <w:szCs w:val="22"/>
              </w:rPr>
            </w:pPr>
            <w:r w:rsidRPr="00317ABF">
              <w:rPr>
                <w:rFonts w:eastAsia="Times"/>
                <w:sz w:val="22"/>
                <w:szCs w:val="22"/>
              </w:rPr>
              <w:t>4. Żądania, o których mowa w ust. 1–3, powinny być proporcjonalne do celu, jakiemu mają służyć, oraz zawierać:</w:t>
            </w:r>
          </w:p>
          <w:p w14:paraId="2BE05203" w14:textId="77777777" w:rsidR="005E1C3E" w:rsidRPr="00317ABF" w:rsidRDefault="005E1C3E" w:rsidP="005E1C3E">
            <w:pPr>
              <w:ind w:firstLine="510"/>
              <w:jc w:val="both"/>
              <w:rPr>
                <w:rFonts w:eastAsia="Times"/>
                <w:bCs/>
                <w:sz w:val="22"/>
                <w:szCs w:val="22"/>
              </w:rPr>
            </w:pPr>
            <w:r w:rsidRPr="00317ABF">
              <w:rPr>
                <w:rFonts w:eastAsia="Times"/>
                <w:bCs/>
                <w:sz w:val="22"/>
                <w:szCs w:val="22"/>
              </w:rPr>
              <w:t>1)</w:t>
            </w:r>
            <w:r w:rsidRPr="00317ABF">
              <w:rPr>
                <w:rFonts w:eastAsia="Times"/>
                <w:bCs/>
                <w:sz w:val="22"/>
                <w:szCs w:val="22"/>
              </w:rPr>
              <w:tab/>
              <w:t>wskazanie podmiotu obowiązanego do przekazania informacji;</w:t>
            </w:r>
          </w:p>
          <w:p w14:paraId="57B719DA" w14:textId="77777777" w:rsidR="005E1C3E" w:rsidRPr="00317ABF" w:rsidRDefault="005E1C3E" w:rsidP="005E1C3E">
            <w:pPr>
              <w:ind w:firstLine="510"/>
              <w:jc w:val="both"/>
              <w:rPr>
                <w:rFonts w:eastAsia="Times"/>
                <w:bCs/>
                <w:sz w:val="22"/>
                <w:szCs w:val="22"/>
              </w:rPr>
            </w:pPr>
            <w:r w:rsidRPr="00317ABF">
              <w:rPr>
                <w:rFonts w:eastAsia="Times"/>
                <w:bCs/>
                <w:sz w:val="22"/>
                <w:szCs w:val="22"/>
              </w:rPr>
              <w:t>2)</w:t>
            </w:r>
            <w:r w:rsidRPr="00317ABF">
              <w:rPr>
                <w:rFonts w:eastAsia="Times"/>
                <w:bCs/>
                <w:sz w:val="22"/>
                <w:szCs w:val="22"/>
              </w:rPr>
              <w:tab/>
              <w:t>datę;</w:t>
            </w:r>
          </w:p>
          <w:p w14:paraId="26679517" w14:textId="77777777" w:rsidR="005E1C3E" w:rsidRPr="00317ABF" w:rsidRDefault="005E1C3E" w:rsidP="005E1C3E">
            <w:pPr>
              <w:ind w:firstLine="510"/>
              <w:jc w:val="both"/>
              <w:rPr>
                <w:rFonts w:eastAsia="Times"/>
                <w:bCs/>
                <w:sz w:val="22"/>
                <w:szCs w:val="22"/>
              </w:rPr>
            </w:pPr>
            <w:r w:rsidRPr="00317ABF">
              <w:rPr>
                <w:rFonts w:eastAsia="Times"/>
                <w:bCs/>
                <w:sz w:val="22"/>
                <w:szCs w:val="22"/>
              </w:rPr>
              <w:t>3)</w:t>
            </w:r>
            <w:r w:rsidRPr="00317ABF">
              <w:rPr>
                <w:rFonts w:eastAsia="Times"/>
                <w:bCs/>
                <w:sz w:val="22"/>
                <w:szCs w:val="22"/>
              </w:rPr>
              <w:tab/>
              <w:t>wskazanie żądanych informacji oraz okresu, którego dotyczą;</w:t>
            </w:r>
          </w:p>
          <w:p w14:paraId="6ECF6579" w14:textId="77777777" w:rsidR="005E1C3E" w:rsidRPr="00317ABF" w:rsidRDefault="005E1C3E" w:rsidP="005E1C3E">
            <w:pPr>
              <w:ind w:firstLine="510"/>
              <w:jc w:val="both"/>
              <w:rPr>
                <w:rFonts w:eastAsia="Times"/>
                <w:bCs/>
                <w:sz w:val="22"/>
                <w:szCs w:val="22"/>
              </w:rPr>
            </w:pPr>
            <w:r w:rsidRPr="00317ABF">
              <w:rPr>
                <w:rFonts w:eastAsia="Times"/>
                <w:bCs/>
                <w:sz w:val="22"/>
                <w:szCs w:val="22"/>
              </w:rPr>
              <w:t>4)</w:t>
            </w:r>
            <w:r w:rsidRPr="00317ABF">
              <w:rPr>
                <w:rFonts w:eastAsia="Times"/>
                <w:bCs/>
                <w:sz w:val="22"/>
                <w:szCs w:val="22"/>
              </w:rPr>
              <w:tab/>
              <w:t>wskazanie celu, jakiemu informacje mają służyć;</w:t>
            </w:r>
          </w:p>
          <w:p w14:paraId="2574D629" w14:textId="77777777" w:rsidR="005E1C3E" w:rsidRPr="00317ABF" w:rsidRDefault="005E1C3E" w:rsidP="005E1C3E">
            <w:pPr>
              <w:ind w:firstLine="510"/>
              <w:jc w:val="both"/>
              <w:rPr>
                <w:rFonts w:eastAsia="Times"/>
                <w:bCs/>
                <w:sz w:val="22"/>
                <w:szCs w:val="22"/>
              </w:rPr>
            </w:pPr>
            <w:r w:rsidRPr="00317ABF">
              <w:rPr>
                <w:rFonts w:eastAsia="Times"/>
                <w:bCs/>
                <w:sz w:val="22"/>
                <w:szCs w:val="22"/>
              </w:rPr>
              <w:t>5)</w:t>
            </w:r>
            <w:r w:rsidRPr="00317ABF">
              <w:rPr>
                <w:rFonts w:eastAsia="Times"/>
                <w:bCs/>
                <w:sz w:val="22"/>
                <w:szCs w:val="22"/>
              </w:rPr>
              <w:tab/>
              <w:t>wskazanie terminu przekazania informacji adekwatnego do zakresu tego żądania, nie krótszego niż 7 dni;</w:t>
            </w:r>
          </w:p>
          <w:p w14:paraId="0E489879" w14:textId="77777777" w:rsidR="005E1C3E" w:rsidRPr="00317ABF" w:rsidRDefault="005E1C3E" w:rsidP="005E1C3E">
            <w:pPr>
              <w:ind w:firstLine="510"/>
              <w:jc w:val="both"/>
              <w:rPr>
                <w:rFonts w:eastAsia="Times"/>
                <w:bCs/>
                <w:sz w:val="22"/>
                <w:szCs w:val="22"/>
              </w:rPr>
            </w:pPr>
            <w:r w:rsidRPr="00317ABF">
              <w:rPr>
                <w:rFonts w:eastAsia="Times"/>
                <w:bCs/>
                <w:sz w:val="22"/>
                <w:szCs w:val="22"/>
              </w:rPr>
              <w:t>6)</w:t>
            </w:r>
            <w:r w:rsidRPr="00317ABF">
              <w:rPr>
                <w:rFonts w:eastAsia="Times"/>
                <w:bCs/>
                <w:sz w:val="22"/>
                <w:szCs w:val="22"/>
              </w:rPr>
              <w:tab/>
              <w:t>uzasadnienie;</w:t>
            </w:r>
          </w:p>
          <w:p w14:paraId="120E0891" w14:textId="77777777" w:rsidR="005E1C3E" w:rsidRPr="00317ABF" w:rsidRDefault="005E1C3E" w:rsidP="005E1C3E">
            <w:pPr>
              <w:ind w:firstLine="510"/>
              <w:jc w:val="both"/>
              <w:rPr>
                <w:rFonts w:eastAsia="Times"/>
                <w:sz w:val="22"/>
                <w:szCs w:val="22"/>
              </w:rPr>
            </w:pPr>
            <w:r w:rsidRPr="00317ABF">
              <w:rPr>
                <w:rFonts w:eastAsia="Times"/>
                <w:bCs/>
                <w:sz w:val="22"/>
                <w:szCs w:val="22"/>
              </w:rPr>
              <w:t>7)</w:t>
            </w:r>
            <w:r w:rsidRPr="00317ABF">
              <w:rPr>
                <w:rFonts w:eastAsia="Times"/>
                <w:bCs/>
                <w:sz w:val="22"/>
                <w:szCs w:val="22"/>
              </w:rPr>
              <w:tab/>
              <w:t>pouczenie o zagrożeniu karą, o której mowa w art. 441 ust. 2.</w:t>
            </w:r>
          </w:p>
          <w:p w14:paraId="7558A5FE" w14:textId="77777777" w:rsidR="001E1112" w:rsidRPr="00317ABF" w:rsidRDefault="001E1112" w:rsidP="005E1C3E">
            <w:pPr>
              <w:ind w:firstLine="510"/>
              <w:jc w:val="both"/>
              <w:rPr>
                <w:rFonts w:eastAsia="Times"/>
                <w:sz w:val="22"/>
                <w:szCs w:val="22"/>
              </w:rPr>
            </w:pPr>
          </w:p>
          <w:p w14:paraId="398FADE9" w14:textId="2A479DF2" w:rsidR="001E1112" w:rsidRPr="00317ABF" w:rsidRDefault="001E1112" w:rsidP="00DB3BEC">
            <w:pPr>
              <w:ind w:firstLine="510"/>
              <w:jc w:val="both"/>
              <w:rPr>
                <w:rFonts w:eastAsia="Times"/>
                <w:sz w:val="22"/>
                <w:szCs w:val="22"/>
              </w:rPr>
            </w:pPr>
            <w:r w:rsidRPr="00317ABF">
              <w:rPr>
                <w:rFonts w:eastAsia="Times"/>
                <w:b/>
                <w:bCs/>
                <w:sz w:val="22"/>
                <w:szCs w:val="22"/>
              </w:rPr>
              <w:t>Art. 20.</w:t>
            </w:r>
            <w:r w:rsidRPr="00317ABF">
              <w:rPr>
                <w:rFonts w:eastAsia="Times"/>
                <w:sz w:val="22"/>
                <w:szCs w:val="22"/>
              </w:rPr>
              <w:t xml:space="preserve"> 1. Przedsiębiorca telekomunikacyjny jest obowiązany do przedkładania Prezesowi UKE, w terminie do dnia 31 marca, danych za poprzedni rok kalendarzowy dotyczących rodzaju i zakresu wykonywanej działalności telekomunikacyjnej oraz wielkości sprzedaży usług telekomunikacyjnych.</w:t>
            </w:r>
          </w:p>
          <w:p w14:paraId="022B69BF" w14:textId="77777777" w:rsidR="001E1112" w:rsidRPr="00317ABF" w:rsidRDefault="001E1112" w:rsidP="00DB3BEC">
            <w:pPr>
              <w:ind w:firstLine="510"/>
              <w:jc w:val="both"/>
              <w:rPr>
                <w:rFonts w:eastAsia="Times"/>
                <w:sz w:val="22"/>
                <w:szCs w:val="22"/>
              </w:rPr>
            </w:pPr>
            <w:r w:rsidRPr="00317ABF">
              <w:rPr>
                <w:rFonts w:eastAsia="Times"/>
                <w:sz w:val="22"/>
                <w:szCs w:val="22"/>
              </w:rPr>
              <w:lastRenderedPageBreak/>
              <w:t xml:space="preserve">2. Obowiązkowi przedłożenia </w:t>
            </w:r>
            <w:r w:rsidR="005E1C3E" w:rsidRPr="00317ABF">
              <w:rPr>
                <w:rFonts w:eastAsia="Times"/>
                <w:bCs/>
                <w:sz w:val="22"/>
                <w:szCs w:val="22"/>
              </w:rPr>
              <w:t>danych</w:t>
            </w:r>
            <w:r w:rsidRPr="00317ABF">
              <w:rPr>
                <w:rFonts w:eastAsia="Times"/>
                <w:sz w:val="22"/>
                <w:szCs w:val="22"/>
              </w:rPr>
              <w:t>, w terminie określonym w ust. 1, podlega podmiot wykreślony z rejestru</w:t>
            </w:r>
            <w:r w:rsidR="005E1C3E" w:rsidRPr="00317ABF">
              <w:rPr>
                <w:rFonts w:eastAsia="Times"/>
                <w:bCs/>
                <w:sz w:val="22"/>
                <w:szCs w:val="22"/>
              </w:rPr>
              <w:t xml:space="preserve"> PT</w:t>
            </w:r>
            <w:r w:rsidRPr="00317ABF">
              <w:rPr>
                <w:rFonts w:eastAsia="Times"/>
                <w:sz w:val="22"/>
                <w:szCs w:val="22"/>
              </w:rPr>
              <w:t>, za okres wykonywanej działalności telekomunikacyjnej w roku, w którym nastąpiło wykreślenie z rejestru.</w:t>
            </w:r>
          </w:p>
          <w:p w14:paraId="54B6EBD9" w14:textId="77777777" w:rsidR="005E1C3E" w:rsidRPr="00317ABF" w:rsidRDefault="005E1C3E" w:rsidP="005E1C3E">
            <w:pPr>
              <w:ind w:firstLine="510"/>
              <w:jc w:val="both"/>
              <w:rPr>
                <w:rFonts w:eastAsia="Times"/>
                <w:bCs/>
                <w:sz w:val="22"/>
                <w:szCs w:val="22"/>
              </w:rPr>
            </w:pPr>
            <w:r w:rsidRPr="00317ABF">
              <w:rPr>
                <w:rFonts w:eastAsia="Times"/>
                <w:bCs/>
                <w:sz w:val="22"/>
                <w:szCs w:val="22"/>
              </w:rPr>
              <w:t>3. Dane, o których mowa w ust. 1, przekazywane są przy użyciu formularza elektronicznego zamieszczonego na PUE UKE, w formie dokumentu elektronicznego opatrzonego kwalifikowanym podpisem elektronicznym, podpisem zaufanym albo podpisem osobistym.</w:t>
            </w:r>
          </w:p>
          <w:p w14:paraId="0882BE0D" w14:textId="77777777" w:rsidR="005E1C3E" w:rsidRPr="00317ABF" w:rsidRDefault="005E1C3E" w:rsidP="005E1C3E">
            <w:pPr>
              <w:ind w:firstLine="510"/>
              <w:jc w:val="both"/>
              <w:rPr>
                <w:rFonts w:eastAsia="Times"/>
                <w:bCs/>
                <w:sz w:val="22"/>
                <w:szCs w:val="22"/>
              </w:rPr>
            </w:pPr>
            <w:r w:rsidRPr="00317ABF">
              <w:rPr>
                <w:rFonts w:eastAsia="Times"/>
                <w:bCs/>
                <w:sz w:val="22"/>
                <w:szCs w:val="22"/>
              </w:rPr>
              <w:t>4. Dane, o których mowa w ust. 1, uznaje się za przekazane w terminie określonym jako data wysłania dokumentu w urzędowym poświadczeniu odbioru, które jest automatycznie tworzone i udostępniane przez PUE UKE podmiotowi przekazującemu te dane.</w:t>
            </w:r>
          </w:p>
          <w:p w14:paraId="1AC1A083" w14:textId="77777777" w:rsidR="005E1C3E" w:rsidRPr="00317ABF" w:rsidRDefault="005E1C3E" w:rsidP="005E1C3E">
            <w:pPr>
              <w:ind w:firstLine="510"/>
              <w:jc w:val="both"/>
              <w:rPr>
                <w:rFonts w:eastAsia="Times"/>
                <w:bCs/>
                <w:sz w:val="22"/>
                <w:szCs w:val="22"/>
              </w:rPr>
            </w:pPr>
            <w:r w:rsidRPr="00317ABF">
              <w:rPr>
                <w:rFonts w:eastAsia="Times"/>
                <w:bCs/>
                <w:sz w:val="22"/>
                <w:szCs w:val="22"/>
              </w:rPr>
              <w:t>5. Prezes UKE informuje, na stronie podmiotowej BIP UKE, o adresie strony internetowej PUE UKE, na której udostępniony jest formularz elektroniczny, o którym mowa w ust. 3.</w:t>
            </w:r>
          </w:p>
          <w:p w14:paraId="11378661" w14:textId="77777777" w:rsidR="005E1C3E" w:rsidRPr="00317ABF" w:rsidRDefault="005E1C3E" w:rsidP="005E1C3E">
            <w:pPr>
              <w:ind w:firstLine="510"/>
              <w:jc w:val="both"/>
              <w:rPr>
                <w:rFonts w:eastAsia="Times"/>
                <w:bCs/>
                <w:sz w:val="22"/>
                <w:szCs w:val="22"/>
              </w:rPr>
            </w:pPr>
            <w:r w:rsidRPr="00317ABF">
              <w:rPr>
                <w:rFonts w:eastAsia="Times"/>
                <w:bCs/>
                <w:sz w:val="22"/>
                <w:szCs w:val="22"/>
              </w:rPr>
              <w:t xml:space="preserve"> 6. Minister właściwy do spraw informatyzacji określi, w drodze rozporządzenia szczegółowy zakres danych, o których mowa w ust. 1, wraz z objaśnieniami co do sposobu ich przedstawiania kierując się koniecznością zapewnienia Prezesowi UKE informacji niezbędnych do właściwego realizowania jego obowiązków oraz potrzebą usprawnienia i ujednolicenia procesu przekazywania danych.</w:t>
            </w:r>
          </w:p>
          <w:p w14:paraId="2A7A9836" w14:textId="1A2AE0FA" w:rsidR="001E1112" w:rsidRPr="00317ABF" w:rsidRDefault="005E1C3E" w:rsidP="00DB3BEC">
            <w:pPr>
              <w:jc w:val="both"/>
              <w:rPr>
                <w:sz w:val="22"/>
                <w:szCs w:val="22"/>
              </w:rPr>
            </w:pPr>
            <w:r w:rsidRPr="00317ABF">
              <w:rPr>
                <w:rFonts w:eastAsia="Times"/>
                <w:bCs/>
                <w:sz w:val="22"/>
                <w:szCs w:val="22"/>
              </w:rPr>
              <w:t xml:space="preserve">           7.</w:t>
            </w:r>
            <w:r w:rsidR="001E1112" w:rsidRPr="00317ABF">
              <w:rPr>
                <w:rFonts w:eastAsia="Times"/>
                <w:sz w:val="22"/>
                <w:szCs w:val="22"/>
              </w:rPr>
              <w:t xml:space="preserve"> Prezes UKE określi wzór dokumentu, przy użyciu którego przekazywane są dane, o których mowa w ust. 1, w formie dokumentu elektronicznego w rozumieniu ustawy z dnia 17 lutego 2005 r. o informatyzacji działalności podmiotów realizujących zadania publiczne.</w:t>
            </w:r>
          </w:p>
        </w:tc>
      </w:tr>
      <w:tr w:rsidR="001E1112" w:rsidRPr="00317ABF" w14:paraId="651ABFC4" w14:textId="77777777" w:rsidTr="7753F98D">
        <w:trPr>
          <w:gridAfter w:val="2"/>
          <w:wAfter w:w="175" w:type="dxa"/>
        </w:trPr>
        <w:tc>
          <w:tcPr>
            <w:tcW w:w="704" w:type="dxa"/>
          </w:tcPr>
          <w:p w14:paraId="68D38A60" w14:textId="77777777" w:rsidR="001E1112" w:rsidRPr="00317ABF" w:rsidRDefault="001E1112" w:rsidP="00DB3BEC">
            <w:pPr>
              <w:jc w:val="both"/>
              <w:rPr>
                <w:sz w:val="22"/>
                <w:szCs w:val="22"/>
              </w:rPr>
            </w:pPr>
            <w:r w:rsidRPr="00317ABF">
              <w:rPr>
                <w:sz w:val="22"/>
                <w:szCs w:val="22"/>
              </w:rPr>
              <w:lastRenderedPageBreak/>
              <w:t>Art. 21 ust. 2</w:t>
            </w:r>
          </w:p>
        </w:tc>
        <w:tc>
          <w:tcPr>
            <w:tcW w:w="4308" w:type="dxa"/>
          </w:tcPr>
          <w:p w14:paraId="23712420" w14:textId="77777777" w:rsidR="001E1112" w:rsidRPr="00317ABF" w:rsidRDefault="001E1112" w:rsidP="00DB3BEC">
            <w:pPr>
              <w:spacing w:before="120"/>
              <w:jc w:val="both"/>
              <w:rPr>
                <w:sz w:val="22"/>
                <w:szCs w:val="22"/>
              </w:rPr>
            </w:pPr>
            <w:r w:rsidRPr="00317ABF">
              <w:rPr>
                <w:sz w:val="22"/>
                <w:szCs w:val="22"/>
              </w:rPr>
              <w:t>2.   Jeśli chodzi o prawa użytkowania widma, informacje, o których mowa w ust.1 muszą dotyczyć w szczególności efektywnego i wydajnego wykorzystania widma radiowego oraz spełnienia wszelkich obowiązków zapewnienia zasięgu i odpowiedniej jakości usług, którymi obwarowano prawa użytkowania widma radiowego, i ich weryfikacji.</w:t>
            </w:r>
          </w:p>
        </w:tc>
        <w:tc>
          <w:tcPr>
            <w:tcW w:w="986" w:type="dxa"/>
          </w:tcPr>
          <w:p w14:paraId="47CE7A2C" w14:textId="5BFC99D2" w:rsidR="001E1112" w:rsidRPr="00317ABF" w:rsidRDefault="001E1112" w:rsidP="00DB3BEC">
            <w:pPr>
              <w:jc w:val="both"/>
              <w:rPr>
                <w:sz w:val="22"/>
                <w:szCs w:val="22"/>
              </w:rPr>
            </w:pPr>
            <w:r w:rsidRPr="00317ABF">
              <w:rPr>
                <w:sz w:val="22"/>
                <w:szCs w:val="22"/>
              </w:rPr>
              <w:t>N</w:t>
            </w:r>
          </w:p>
        </w:tc>
        <w:tc>
          <w:tcPr>
            <w:tcW w:w="910" w:type="dxa"/>
          </w:tcPr>
          <w:p w14:paraId="2C7DA92C" w14:textId="0615F26C" w:rsidR="001E1112" w:rsidRPr="00317ABF" w:rsidRDefault="00DB3BEC" w:rsidP="00DB3BEC">
            <w:pPr>
              <w:pStyle w:val="Tekstpodstawowy"/>
              <w:rPr>
                <w:b/>
                <w:bCs/>
                <w:noProof/>
                <w:sz w:val="22"/>
                <w:szCs w:val="22"/>
              </w:rPr>
            </w:pPr>
            <w:r w:rsidRPr="00317ABF">
              <w:rPr>
                <w:b/>
                <w:bCs/>
                <w:noProof/>
                <w:sz w:val="22"/>
                <w:szCs w:val="22"/>
              </w:rPr>
              <w:t xml:space="preserve">Art. </w:t>
            </w:r>
            <w:r w:rsidR="001E1112" w:rsidRPr="00317ABF">
              <w:rPr>
                <w:b/>
                <w:bCs/>
                <w:noProof/>
                <w:sz w:val="22"/>
                <w:szCs w:val="22"/>
              </w:rPr>
              <w:t>19 ust. 1</w:t>
            </w:r>
          </w:p>
        </w:tc>
        <w:tc>
          <w:tcPr>
            <w:tcW w:w="6814" w:type="dxa"/>
            <w:gridSpan w:val="2"/>
          </w:tcPr>
          <w:p w14:paraId="4530147A" w14:textId="77777777" w:rsidR="005E1C3E" w:rsidRPr="00317ABF" w:rsidRDefault="005E1C3E" w:rsidP="005E1C3E">
            <w:pPr>
              <w:ind w:firstLine="510"/>
              <w:jc w:val="both"/>
              <w:rPr>
                <w:rFonts w:eastAsia="Times"/>
                <w:bCs/>
                <w:sz w:val="22"/>
                <w:szCs w:val="22"/>
              </w:rPr>
            </w:pPr>
            <w:r w:rsidRPr="00317ABF">
              <w:rPr>
                <w:rFonts w:eastAsia="Times"/>
                <w:b/>
                <w:bCs/>
                <w:sz w:val="22"/>
                <w:szCs w:val="22"/>
              </w:rPr>
              <w:t>Art. 19</w:t>
            </w:r>
            <w:r w:rsidRPr="00317ABF">
              <w:rPr>
                <w:rFonts w:eastAsia="Times"/>
                <w:bCs/>
                <w:sz w:val="22"/>
                <w:szCs w:val="22"/>
              </w:rPr>
              <w:t>. 1. Przedsiębiorca komunikacji elektronicznej lub podmiot, który uzyskał pozwolenie radiowe, o którym mowa w art. 138 ust. 1, rezerwację częstotliwości lub zasobów orbitalnych lub prawo do wykorzystywania zasobów numeracji, z wyłączeniem użytkownika rządowego, jest obowiązany do przekazywania na żądanie Prezesa UKE informacji niezbędnych do wykonywania przez Prezesa UKE jego uprawnień i obowiązków.</w:t>
            </w:r>
          </w:p>
          <w:p w14:paraId="3F904CCB" w14:textId="6EC9910D" w:rsidR="001E1112" w:rsidRPr="00317ABF" w:rsidRDefault="001E1112" w:rsidP="00DB3BEC">
            <w:pPr>
              <w:jc w:val="both"/>
              <w:rPr>
                <w:sz w:val="22"/>
                <w:szCs w:val="22"/>
              </w:rPr>
            </w:pPr>
          </w:p>
        </w:tc>
      </w:tr>
      <w:tr w:rsidR="001E1112" w:rsidRPr="00317ABF" w14:paraId="6A27EFB0" w14:textId="77777777" w:rsidTr="7753F98D">
        <w:trPr>
          <w:gridAfter w:val="2"/>
          <w:wAfter w:w="175" w:type="dxa"/>
        </w:trPr>
        <w:tc>
          <w:tcPr>
            <w:tcW w:w="704" w:type="dxa"/>
          </w:tcPr>
          <w:p w14:paraId="34D2A2E0" w14:textId="77777777" w:rsidR="001E1112" w:rsidRPr="00317ABF" w:rsidRDefault="001E1112" w:rsidP="00DB3BEC">
            <w:pPr>
              <w:jc w:val="both"/>
              <w:rPr>
                <w:sz w:val="22"/>
                <w:szCs w:val="22"/>
              </w:rPr>
            </w:pPr>
            <w:r w:rsidRPr="00317ABF">
              <w:rPr>
                <w:sz w:val="22"/>
                <w:szCs w:val="22"/>
              </w:rPr>
              <w:t>Art. 21 ust. 3</w:t>
            </w:r>
          </w:p>
        </w:tc>
        <w:tc>
          <w:tcPr>
            <w:tcW w:w="4308" w:type="dxa"/>
          </w:tcPr>
          <w:p w14:paraId="5D2F3306" w14:textId="77777777" w:rsidR="001E1112" w:rsidRPr="00317ABF" w:rsidRDefault="001E1112" w:rsidP="00DB3BEC">
            <w:pPr>
              <w:spacing w:before="120"/>
              <w:jc w:val="both"/>
              <w:rPr>
                <w:rFonts w:eastAsia="Times"/>
                <w:sz w:val="22"/>
                <w:szCs w:val="22"/>
              </w:rPr>
            </w:pPr>
            <w:r w:rsidRPr="00317ABF">
              <w:rPr>
                <w:rFonts w:eastAsia="Times"/>
                <w:sz w:val="22"/>
                <w:szCs w:val="22"/>
              </w:rPr>
              <w:t>3.   Jeżeli krajowy organ regulacyjny lub inny właściwy organ zażąda od przedsiębiorstw dostarczenia informacji, o których mowa w ust. 1, informuje je o szczególnym celu, w jakim dana informacja ma zostać wykorzystana.</w:t>
            </w:r>
          </w:p>
        </w:tc>
        <w:tc>
          <w:tcPr>
            <w:tcW w:w="986" w:type="dxa"/>
          </w:tcPr>
          <w:p w14:paraId="040360B8" w14:textId="763DD97C" w:rsidR="001E1112" w:rsidRPr="00317ABF" w:rsidRDefault="001E1112" w:rsidP="00DB3BEC">
            <w:pPr>
              <w:jc w:val="both"/>
              <w:rPr>
                <w:sz w:val="22"/>
                <w:szCs w:val="22"/>
              </w:rPr>
            </w:pPr>
            <w:r w:rsidRPr="00317ABF">
              <w:rPr>
                <w:sz w:val="22"/>
                <w:szCs w:val="22"/>
              </w:rPr>
              <w:t>T</w:t>
            </w:r>
          </w:p>
        </w:tc>
        <w:tc>
          <w:tcPr>
            <w:tcW w:w="910" w:type="dxa"/>
          </w:tcPr>
          <w:p w14:paraId="17A1CA98" w14:textId="0086456F" w:rsidR="001E1112" w:rsidRPr="00317ABF" w:rsidRDefault="001E1112" w:rsidP="00DB3BEC">
            <w:pPr>
              <w:pStyle w:val="Tekstpodstawowy"/>
              <w:rPr>
                <w:b/>
                <w:bCs/>
                <w:noProof/>
                <w:sz w:val="22"/>
                <w:szCs w:val="22"/>
              </w:rPr>
            </w:pPr>
            <w:r w:rsidRPr="00317ABF">
              <w:rPr>
                <w:b/>
                <w:bCs/>
                <w:noProof/>
                <w:sz w:val="22"/>
                <w:szCs w:val="22"/>
              </w:rPr>
              <w:t>Art. 19 ust. 4 pkt 4</w:t>
            </w:r>
          </w:p>
        </w:tc>
        <w:tc>
          <w:tcPr>
            <w:tcW w:w="6814" w:type="dxa"/>
            <w:gridSpan w:val="2"/>
          </w:tcPr>
          <w:p w14:paraId="689519F0" w14:textId="029C4088" w:rsidR="001E1112" w:rsidRPr="00317ABF" w:rsidRDefault="001E1112" w:rsidP="005E1C3E">
            <w:pPr>
              <w:jc w:val="both"/>
              <w:rPr>
                <w:rFonts w:eastAsia="Times"/>
                <w:sz w:val="22"/>
                <w:szCs w:val="22"/>
              </w:rPr>
            </w:pPr>
            <w:r w:rsidRPr="00317ABF">
              <w:rPr>
                <w:rFonts w:eastAsia="Times"/>
                <w:sz w:val="22"/>
                <w:szCs w:val="22"/>
              </w:rPr>
              <w:t>4. Żądania, o których mowa w ust. 1–3, powinny być proporcjonalne do celu, jakiemu mają służyć, oraz zawierać:</w:t>
            </w:r>
          </w:p>
          <w:p w14:paraId="684FDC62" w14:textId="77777777" w:rsidR="005E1C3E" w:rsidRPr="00317ABF" w:rsidRDefault="005E1C3E" w:rsidP="005E1C3E">
            <w:pPr>
              <w:ind w:firstLine="510"/>
              <w:jc w:val="both"/>
              <w:rPr>
                <w:rFonts w:eastAsia="Times"/>
                <w:bCs/>
                <w:sz w:val="22"/>
                <w:szCs w:val="22"/>
              </w:rPr>
            </w:pPr>
            <w:r w:rsidRPr="00317ABF">
              <w:rPr>
                <w:rFonts w:eastAsia="Times"/>
                <w:bCs/>
                <w:sz w:val="22"/>
                <w:szCs w:val="22"/>
              </w:rPr>
              <w:t>1)</w:t>
            </w:r>
            <w:r w:rsidRPr="00317ABF">
              <w:rPr>
                <w:rFonts w:eastAsia="Times"/>
                <w:bCs/>
                <w:sz w:val="22"/>
                <w:szCs w:val="22"/>
              </w:rPr>
              <w:tab/>
              <w:t>wskazanie podmiotu obowiązanego do przekazania informacji;</w:t>
            </w:r>
          </w:p>
          <w:p w14:paraId="5AC6889F" w14:textId="77777777" w:rsidR="005E1C3E" w:rsidRPr="00317ABF" w:rsidRDefault="005E1C3E" w:rsidP="005E1C3E">
            <w:pPr>
              <w:ind w:firstLine="510"/>
              <w:jc w:val="both"/>
              <w:rPr>
                <w:rFonts w:eastAsia="Times"/>
                <w:bCs/>
                <w:sz w:val="22"/>
                <w:szCs w:val="22"/>
              </w:rPr>
            </w:pPr>
            <w:r w:rsidRPr="00317ABF">
              <w:rPr>
                <w:rFonts w:eastAsia="Times"/>
                <w:bCs/>
                <w:sz w:val="22"/>
                <w:szCs w:val="22"/>
              </w:rPr>
              <w:t>2)</w:t>
            </w:r>
            <w:r w:rsidRPr="00317ABF">
              <w:rPr>
                <w:rFonts w:eastAsia="Times"/>
                <w:bCs/>
                <w:sz w:val="22"/>
                <w:szCs w:val="22"/>
              </w:rPr>
              <w:tab/>
              <w:t>datę;</w:t>
            </w:r>
          </w:p>
          <w:p w14:paraId="0D74209E" w14:textId="77777777" w:rsidR="005E1C3E" w:rsidRPr="00317ABF" w:rsidRDefault="005E1C3E" w:rsidP="005E1C3E">
            <w:pPr>
              <w:ind w:firstLine="510"/>
              <w:jc w:val="both"/>
              <w:rPr>
                <w:rFonts w:eastAsia="Times"/>
                <w:bCs/>
                <w:sz w:val="22"/>
                <w:szCs w:val="22"/>
              </w:rPr>
            </w:pPr>
            <w:r w:rsidRPr="00317ABF">
              <w:rPr>
                <w:rFonts w:eastAsia="Times"/>
                <w:bCs/>
                <w:sz w:val="22"/>
                <w:szCs w:val="22"/>
              </w:rPr>
              <w:t>3)</w:t>
            </w:r>
            <w:r w:rsidRPr="00317ABF">
              <w:rPr>
                <w:rFonts w:eastAsia="Times"/>
                <w:bCs/>
                <w:sz w:val="22"/>
                <w:szCs w:val="22"/>
              </w:rPr>
              <w:tab/>
              <w:t>wskazanie żądanych informacji oraz okresu, którego dotyczą;</w:t>
            </w:r>
          </w:p>
          <w:p w14:paraId="3B14139B" w14:textId="77777777" w:rsidR="005E1C3E" w:rsidRPr="00317ABF" w:rsidRDefault="005E1C3E" w:rsidP="005E1C3E">
            <w:pPr>
              <w:ind w:firstLine="510"/>
              <w:jc w:val="both"/>
              <w:rPr>
                <w:rFonts w:eastAsia="Times"/>
                <w:bCs/>
                <w:sz w:val="22"/>
                <w:szCs w:val="22"/>
              </w:rPr>
            </w:pPr>
            <w:r w:rsidRPr="00317ABF">
              <w:rPr>
                <w:rFonts w:eastAsia="Times"/>
                <w:bCs/>
                <w:sz w:val="22"/>
                <w:szCs w:val="22"/>
              </w:rPr>
              <w:t>4)</w:t>
            </w:r>
            <w:r w:rsidRPr="00317ABF">
              <w:rPr>
                <w:rFonts w:eastAsia="Times"/>
                <w:bCs/>
                <w:sz w:val="22"/>
                <w:szCs w:val="22"/>
              </w:rPr>
              <w:tab/>
              <w:t>wskazanie celu, jakiemu informacje mają służyć;</w:t>
            </w:r>
          </w:p>
          <w:p w14:paraId="0C4102B8" w14:textId="77777777" w:rsidR="005E1C3E" w:rsidRPr="00317ABF" w:rsidRDefault="005E1C3E" w:rsidP="005E1C3E">
            <w:pPr>
              <w:ind w:firstLine="510"/>
              <w:jc w:val="both"/>
              <w:rPr>
                <w:rFonts w:eastAsia="Times"/>
                <w:bCs/>
                <w:sz w:val="22"/>
                <w:szCs w:val="22"/>
              </w:rPr>
            </w:pPr>
            <w:r w:rsidRPr="00317ABF">
              <w:rPr>
                <w:rFonts w:eastAsia="Times"/>
                <w:bCs/>
                <w:sz w:val="22"/>
                <w:szCs w:val="22"/>
              </w:rPr>
              <w:lastRenderedPageBreak/>
              <w:t>5)</w:t>
            </w:r>
            <w:r w:rsidRPr="00317ABF">
              <w:rPr>
                <w:rFonts w:eastAsia="Times"/>
                <w:bCs/>
                <w:sz w:val="22"/>
                <w:szCs w:val="22"/>
              </w:rPr>
              <w:tab/>
              <w:t>wskazanie terminu przekazania informacji adekwatnego do zakresu tego żądania, nie krótszego niż 7 dni;</w:t>
            </w:r>
          </w:p>
          <w:p w14:paraId="3512056A" w14:textId="77777777" w:rsidR="005E1C3E" w:rsidRPr="00317ABF" w:rsidRDefault="005E1C3E" w:rsidP="005E1C3E">
            <w:pPr>
              <w:ind w:firstLine="510"/>
              <w:jc w:val="both"/>
              <w:rPr>
                <w:rFonts w:eastAsia="Times"/>
                <w:bCs/>
                <w:sz w:val="22"/>
                <w:szCs w:val="22"/>
              </w:rPr>
            </w:pPr>
            <w:r w:rsidRPr="00317ABF">
              <w:rPr>
                <w:rFonts w:eastAsia="Times"/>
                <w:bCs/>
                <w:sz w:val="22"/>
                <w:szCs w:val="22"/>
              </w:rPr>
              <w:t>6)</w:t>
            </w:r>
            <w:r w:rsidRPr="00317ABF">
              <w:rPr>
                <w:rFonts w:eastAsia="Times"/>
                <w:bCs/>
                <w:sz w:val="22"/>
                <w:szCs w:val="22"/>
              </w:rPr>
              <w:tab/>
              <w:t>uzasadnienie;</w:t>
            </w:r>
          </w:p>
          <w:p w14:paraId="1A55251A" w14:textId="23784BF4" w:rsidR="001E1112" w:rsidRPr="00317ABF" w:rsidRDefault="001E1112" w:rsidP="005E1C3E">
            <w:pPr>
              <w:ind w:firstLine="510"/>
              <w:jc w:val="both"/>
              <w:rPr>
                <w:rFonts w:eastAsia="Times"/>
                <w:sz w:val="22"/>
                <w:szCs w:val="22"/>
              </w:rPr>
            </w:pPr>
            <w:r w:rsidRPr="00317ABF">
              <w:rPr>
                <w:rFonts w:eastAsia="Times"/>
                <w:sz w:val="22"/>
                <w:szCs w:val="22"/>
              </w:rPr>
              <w:t>7)</w:t>
            </w:r>
            <w:r w:rsidR="005E1C3E" w:rsidRPr="00317ABF">
              <w:rPr>
                <w:rFonts w:eastAsia="Times"/>
                <w:bCs/>
                <w:sz w:val="22"/>
                <w:szCs w:val="22"/>
              </w:rPr>
              <w:tab/>
            </w:r>
            <w:r w:rsidRPr="00317ABF">
              <w:rPr>
                <w:rFonts w:eastAsia="Times"/>
                <w:sz w:val="22"/>
                <w:szCs w:val="22"/>
              </w:rPr>
              <w:t xml:space="preserve">pouczenie o zagrożeniu karą, o której mowa w art. </w:t>
            </w:r>
            <w:r w:rsidR="005E1C3E" w:rsidRPr="00317ABF">
              <w:rPr>
                <w:rFonts w:eastAsia="Times"/>
                <w:bCs/>
                <w:sz w:val="22"/>
                <w:szCs w:val="22"/>
              </w:rPr>
              <w:t>441</w:t>
            </w:r>
            <w:r w:rsidRPr="00317ABF">
              <w:rPr>
                <w:rFonts w:eastAsia="Times"/>
                <w:sz w:val="22"/>
                <w:szCs w:val="22"/>
              </w:rPr>
              <w:t xml:space="preserve"> ust. 2.</w:t>
            </w:r>
          </w:p>
        </w:tc>
      </w:tr>
      <w:tr w:rsidR="001E1112" w:rsidRPr="00317ABF" w14:paraId="0B414BA3" w14:textId="77777777" w:rsidTr="7753F98D">
        <w:trPr>
          <w:gridAfter w:val="2"/>
          <w:wAfter w:w="175" w:type="dxa"/>
        </w:trPr>
        <w:tc>
          <w:tcPr>
            <w:tcW w:w="704" w:type="dxa"/>
          </w:tcPr>
          <w:p w14:paraId="58F2684B" w14:textId="77777777" w:rsidR="001E1112" w:rsidRPr="00317ABF" w:rsidRDefault="001E1112" w:rsidP="00DB3BEC">
            <w:pPr>
              <w:jc w:val="both"/>
              <w:rPr>
                <w:sz w:val="22"/>
                <w:szCs w:val="22"/>
              </w:rPr>
            </w:pPr>
            <w:r w:rsidRPr="00317ABF">
              <w:rPr>
                <w:sz w:val="22"/>
                <w:szCs w:val="22"/>
              </w:rPr>
              <w:lastRenderedPageBreak/>
              <w:t>Art. 21 ust. 4</w:t>
            </w:r>
          </w:p>
        </w:tc>
        <w:tc>
          <w:tcPr>
            <w:tcW w:w="4308" w:type="dxa"/>
          </w:tcPr>
          <w:p w14:paraId="4B07DC6C" w14:textId="77777777" w:rsidR="001E1112" w:rsidRPr="00317ABF" w:rsidRDefault="001E1112" w:rsidP="00DB3BEC">
            <w:pPr>
              <w:spacing w:before="120"/>
              <w:jc w:val="both"/>
              <w:rPr>
                <w:sz w:val="22"/>
                <w:szCs w:val="22"/>
              </w:rPr>
            </w:pPr>
            <w:r w:rsidRPr="00317ABF">
              <w:rPr>
                <w:sz w:val="22"/>
                <w:szCs w:val="22"/>
              </w:rPr>
              <w:t>4.   Krajowe organy regulacyjne lub inne właściwe organy nie mogą ponownie żądać udostępnienia informacji, o które wystąpił już BEREC na podstawie art. 40 rozporządzenia (UE) 2018/1971, w przypadku gdy BEREC udostępnił tym organom otrzymane informacje.</w:t>
            </w:r>
          </w:p>
        </w:tc>
        <w:tc>
          <w:tcPr>
            <w:tcW w:w="986" w:type="dxa"/>
          </w:tcPr>
          <w:p w14:paraId="4F6D2C48" w14:textId="2E4852DD" w:rsidR="001E1112" w:rsidRPr="00317ABF" w:rsidRDefault="001E1112" w:rsidP="00DB3BEC">
            <w:pPr>
              <w:jc w:val="both"/>
              <w:rPr>
                <w:sz w:val="22"/>
                <w:szCs w:val="22"/>
              </w:rPr>
            </w:pPr>
            <w:r w:rsidRPr="00317ABF">
              <w:rPr>
                <w:sz w:val="22"/>
                <w:szCs w:val="22"/>
              </w:rPr>
              <w:t>N</w:t>
            </w:r>
          </w:p>
        </w:tc>
        <w:tc>
          <w:tcPr>
            <w:tcW w:w="910" w:type="dxa"/>
          </w:tcPr>
          <w:p w14:paraId="31F27C88" w14:textId="77777777" w:rsidR="001E1112" w:rsidRPr="00317ABF" w:rsidRDefault="001E1112" w:rsidP="00DB3BEC">
            <w:pPr>
              <w:pStyle w:val="Tekstpodstawowy"/>
              <w:rPr>
                <w:b/>
                <w:noProof/>
                <w:sz w:val="22"/>
                <w:szCs w:val="22"/>
              </w:rPr>
            </w:pPr>
          </w:p>
        </w:tc>
        <w:tc>
          <w:tcPr>
            <w:tcW w:w="6814" w:type="dxa"/>
            <w:gridSpan w:val="2"/>
          </w:tcPr>
          <w:p w14:paraId="79B88F8C" w14:textId="77777777" w:rsidR="001E1112" w:rsidRPr="00317ABF" w:rsidRDefault="001E1112" w:rsidP="00DB3BEC">
            <w:pPr>
              <w:pStyle w:val="Tekstpodstawowy"/>
              <w:rPr>
                <w:sz w:val="22"/>
                <w:szCs w:val="22"/>
              </w:rPr>
            </w:pPr>
          </w:p>
        </w:tc>
      </w:tr>
      <w:tr w:rsidR="001E1112" w:rsidRPr="00317ABF" w14:paraId="69893151" w14:textId="77777777" w:rsidTr="7753F98D">
        <w:trPr>
          <w:gridAfter w:val="2"/>
          <w:wAfter w:w="175" w:type="dxa"/>
        </w:trPr>
        <w:tc>
          <w:tcPr>
            <w:tcW w:w="704" w:type="dxa"/>
          </w:tcPr>
          <w:p w14:paraId="6DED9212" w14:textId="77777777" w:rsidR="001E1112" w:rsidRPr="00317ABF" w:rsidRDefault="001E1112" w:rsidP="00DB3BEC">
            <w:pPr>
              <w:jc w:val="both"/>
              <w:rPr>
                <w:b/>
                <w:sz w:val="22"/>
                <w:szCs w:val="22"/>
              </w:rPr>
            </w:pPr>
            <w:r w:rsidRPr="00317ABF">
              <w:rPr>
                <w:b/>
                <w:sz w:val="22"/>
                <w:szCs w:val="22"/>
              </w:rPr>
              <w:t>Art. 22</w:t>
            </w:r>
          </w:p>
        </w:tc>
        <w:tc>
          <w:tcPr>
            <w:tcW w:w="4308" w:type="dxa"/>
          </w:tcPr>
          <w:p w14:paraId="79A81230" w14:textId="77777777" w:rsidR="001E1112" w:rsidRPr="00317ABF" w:rsidRDefault="001E1112" w:rsidP="00DB3BEC">
            <w:pPr>
              <w:spacing w:before="60" w:after="120"/>
              <w:jc w:val="both"/>
              <w:rPr>
                <w:b/>
                <w:bCs/>
                <w:sz w:val="22"/>
                <w:szCs w:val="22"/>
              </w:rPr>
            </w:pPr>
            <w:r w:rsidRPr="00317ABF">
              <w:rPr>
                <w:b/>
                <w:bCs/>
                <w:sz w:val="22"/>
                <w:szCs w:val="22"/>
              </w:rPr>
              <w:t>Analizy geograficzne realizacji sieci</w:t>
            </w:r>
          </w:p>
        </w:tc>
        <w:tc>
          <w:tcPr>
            <w:tcW w:w="986" w:type="dxa"/>
          </w:tcPr>
          <w:p w14:paraId="145C11DD" w14:textId="77777777" w:rsidR="001E1112" w:rsidRPr="00317ABF" w:rsidRDefault="001E1112" w:rsidP="00DB3BEC">
            <w:pPr>
              <w:jc w:val="both"/>
              <w:rPr>
                <w:sz w:val="22"/>
                <w:szCs w:val="22"/>
              </w:rPr>
            </w:pPr>
          </w:p>
        </w:tc>
        <w:tc>
          <w:tcPr>
            <w:tcW w:w="910" w:type="dxa"/>
          </w:tcPr>
          <w:p w14:paraId="6B40E7A7" w14:textId="77777777" w:rsidR="001E1112" w:rsidRPr="00317ABF" w:rsidRDefault="001E1112" w:rsidP="00DB3BEC">
            <w:pPr>
              <w:pStyle w:val="Tekstpodstawowy"/>
              <w:rPr>
                <w:b/>
                <w:noProof/>
                <w:sz w:val="22"/>
                <w:szCs w:val="22"/>
              </w:rPr>
            </w:pPr>
          </w:p>
        </w:tc>
        <w:tc>
          <w:tcPr>
            <w:tcW w:w="6814" w:type="dxa"/>
            <w:gridSpan w:val="2"/>
          </w:tcPr>
          <w:p w14:paraId="3FFF7D4A" w14:textId="77777777" w:rsidR="001E1112" w:rsidRPr="00317ABF" w:rsidRDefault="001E1112" w:rsidP="00DB3BEC">
            <w:pPr>
              <w:pStyle w:val="Tekstpodstawowy"/>
              <w:rPr>
                <w:sz w:val="22"/>
                <w:szCs w:val="22"/>
              </w:rPr>
            </w:pPr>
          </w:p>
        </w:tc>
      </w:tr>
      <w:tr w:rsidR="001E1112" w:rsidRPr="00317ABF" w14:paraId="4BA6316C" w14:textId="77777777" w:rsidTr="7753F98D">
        <w:trPr>
          <w:gridAfter w:val="2"/>
          <w:wAfter w:w="175" w:type="dxa"/>
        </w:trPr>
        <w:tc>
          <w:tcPr>
            <w:tcW w:w="704" w:type="dxa"/>
          </w:tcPr>
          <w:p w14:paraId="0032287B" w14:textId="77777777" w:rsidR="001E1112" w:rsidRPr="00317ABF" w:rsidRDefault="001E1112" w:rsidP="00DB3BEC">
            <w:pPr>
              <w:jc w:val="both"/>
              <w:rPr>
                <w:b/>
                <w:sz w:val="22"/>
                <w:szCs w:val="22"/>
              </w:rPr>
            </w:pPr>
            <w:r w:rsidRPr="00317ABF">
              <w:rPr>
                <w:b/>
                <w:sz w:val="22"/>
                <w:szCs w:val="22"/>
              </w:rPr>
              <w:t>Art. 22 ust. 1</w:t>
            </w:r>
          </w:p>
        </w:tc>
        <w:tc>
          <w:tcPr>
            <w:tcW w:w="4308" w:type="dxa"/>
          </w:tcPr>
          <w:p w14:paraId="56728C31" w14:textId="77777777" w:rsidR="001E1112" w:rsidRPr="00317ABF" w:rsidRDefault="001E1112" w:rsidP="00DB3BEC">
            <w:pPr>
              <w:spacing w:before="120"/>
              <w:jc w:val="both"/>
              <w:rPr>
                <w:sz w:val="22"/>
                <w:szCs w:val="22"/>
              </w:rPr>
            </w:pPr>
            <w:r w:rsidRPr="00317ABF">
              <w:rPr>
                <w:sz w:val="22"/>
                <w:szCs w:val="22"/>
              </w:rPr>
              <w:t>1.   Krajowe organy regulacyjne lub inne właściwe organy przeprowadzają analizę geograficzną zasięgu sieci łączności elektronicznej, które są w stanie zapewnić szerokopasmową transmisję danych (zwane dalej „sieciami szerokopasmowymi”), do dnia 21 grudnia 2023 r. i aktualizują ją nie rzadziej niż co trzy lata.</w:t>
            </w:r>
          </w:p>
          <w:p w14:paraId="6C066FCB" w14:textId="77777777" w:rsidR="001E1112" w:rsidRPr="00317ABF" w:rsidRDefault="001E1112" w:rsidP="00DB3BEC">
            <w:pPr>
              <w:spacing w:before="120"/>
              <w:jc w:val="both"/>
              <w:rPr>
                <w:sz w:val="22"/>
                <w:szCs w:val="22"/>
              </w:rPr>
            </w:pPr>
            <w:r w:rsidRPr="00317ABF">
              <w:rPr>
                <w:sz w:val="22"/>
                <w:szCs w:val="22"/>
              </w:rPr>
              <w:t>Analiza geograficzna zawiera analizę obecnego geograficznego zasięgu sieci szerokopasmowych na ich terytorium, wymaganą do realizacji zadań krajowych organów regulacyjnych lub innych właściwych organów na podstawie niniejszej dyrektywy, jak również na potrzeby badań wymaganych w celu stosowania przepisów dotyczących pomocy państwa.</w:t>
            </w:r>
          </w:p>
          <w:p w14:paraId="1FAEF0BE" w14:textId="77777777" w:rsidR="001E1112" w:rsidRPr="00317ABF" w:rsidRDefault="001E1112" w:rsidP="00DB3BEC">
            <w:pPr>
              <w:spacing w:before="120"/>
              <w:jc w:val="both"/>
              <w:rPr>
                <w:sz w:val="22"/>
                <w:szCs w:val="22"/>
              </w:rPr>
            </w:pPr>
            <w:r w:rsidRPr="00317ABF">
              <w:rPr>
                <w:sz w:val="22"/>
                <w:szCs w:val="22"/>
              </w:rPr>
              <w:t>Ta analiza geograficzna może również zawierać prognozę obejmującą okres ustalony przez odpowiedni organ dotyczącą zasięgu sieci szerokopasmowych, w tym sieci o bardzo dużej przepustowości, na ich terytorium.</w:t>
            </w:r>
          </w:p>
          <w:p w14:paraId="48737AC5" w14:textId="77777777" w:rsidR="001E1112" w:rsidRPr="00317ABF" w:rsidRDefault="001E1112" w:rsidP="00DB3BEC">
            <w:pPr>
              <w:spacing w:before="120"/>
              <w:jc w:val="both"/>
              <w:rPr>
                <w:sz w:val="22"/>
                <w:szCs w:val="22"/>
              </w:rPr>
            </w:pPr>
            <w:r w:rsidRPr="00317ABF">
              <w:rPr>
                <w:sz w:val="22"/>
                <w:szCs w:val="22"/>
              </w:rPr>
              <w:t xml:space="preserve">Taka prognoza musi uwzględniać wszystkie odpowiednie informacje, w tym informacje </w:t>
            </w:r>
            <w:r w:rsidRPr="00317ABF">
              <w:rPr>
                <w:sz w:val="22"/>
                <w:szCs w:val="22"/>
              </w:rPr>
              <w:lastRenderedPageBreak/>
              <w:t>na temat planowanych przez przedsiębiorstwa lub organy publiczną realizację sieci o bardzo dużej przepustowości i przeprowadzenia znaczących modernizacji lub rozbudowy sieci o prędkości pobierania danych na poziomie przynajmniej 100 Mb/s. W tym celu krajowe organy regulacyjne lub inne właściwe organy występują do przedsiębiorstw i organów publicznych o przekazanie takich informacji w zakresie, w jakim informacje te są dostępne i mogą być przekazane bez nadmiernych nakładów.</w:t>
            </w:r>
          </w:p>
          <w:p w14:paraId="576211BF" w14:textId="77777777" w:rsidR="001E1112" w:rsidRPr="00317ABF" w:rsidRDefault="001E1112" w:rsidP="00DB3BEC">
            <w:pPr>
              <w:spacing w:before="120"/>
              <w:jc w:val="both"/>
              <w:rPr>
                <w:sz w:val="22"/>
                <w:szCs w:val="22"/>
              </w:rPr>
            </w:pPr>
          </w:p>
          <w:p w14:paraId="6D87F17E" w14:textId="77777777" w:rsidR="001E1112" w:rsidRPr="00317ABF" w:rsidRDefault="001E1112" w:rsidP="00DB3BEC">
            <w:pPr>
              <w:spacing w:before="120"/>
              <w:jc w:val="both"/>
              <w:rPr>
                <w:sz w:val="22"/>
                <w:szCs w:val="22"/>
              </w:rPr>
            </w:pPr>
          </w:p>
          <w:p w14:paraId="5CF8BD04" w14:textId="77777777" w:rsidR="001E1112" w:rsidRPr="00317ABF" w:rsidRDefault="001E1112" w:rsidP="00DB3BEC">
            <w:pPr>
              <w:spacing w:before="120"/>
              <w:jc w:val="both"/>
              <w:rPr>
                <w:sz w:val="22"/>
                <w:szCs w:val="22"/>
              </w:rPr>
            </w:pPr>
          </w:p>
          <w:p w14:paraId="4D7817B9" w14:textId="77777777" w:rsidR="001E1112" w:rsidRPr="00317ABF" w:rsidRDefault="001E1112" w:rsidP="00DB3BEC">
            <w:pPr>
              <w:spacing w:before="120"/>
              <w:jc w:val="both"/>
              <w:rPr>
                <w:sz w:val="22"/>
                <w:szCs w:val="22"/>
              </w:rPr>
            </w:pPr>
          </w:p>
          <w:p w14:paraId="1332E2CF" w14:textId="77777777" w:rsidR="001E1112" w:rsidRPr="00317ABF" w:rsidRDefault="001E1112" w:rsidP="00DB3BEC">
            <w:pPr>
              <w:spacing w:before="120"/>
              <w:jc w:val="both"/>
              <w:rPr>
                <w:sz w:val="22"/>
                <w:szCs w:val="22"/>
              </w:rPr>
            </w:pPr>
          </w:p>
          <w:p w14:paraId="2233E76F" w14:textId="77777777" w:rsidR="001E1112" w:rsidRPr="00317ABF" w:rsidRDefault="001E1112" w:rsidP="00DB3BEC">
            <w:pPr>
              <w:spacing w:before="120"/>
              <w:jc w:val="both"/>
              <w:rPr>
                <w:sz w:val="22"/>
                <w:szCs w:val="22"/>
              </w:rPr>
            </w:pPr>
          </w:p>
          <w:p w14:paraId="3C4244B2" w14:textId="77777777" w:rsidR="001E1112" w:rsidRPr="00317ABF" w:rsidRDefault="001E1112" w:rsidP="00DB3BEC">
            <w:pPr>
              <w:spacing w:before="120"/>
              <w:jc w:val="both"/>
              <w:rPr>
                <w:sz w:val="22"/>
                <w:szCs w:val="22"/>
              </w:rPr>
            </w:pPr>
          </w:p>
          <w:p w14:paraId="5552436B" w14:textId="77777777" w:rsidR="001E1112" w:rsidRPr="00317ABF" w:rsidRDefault="001E1112" w:rsidP="00DB3BEC">
            <w:pPr>
              <w:spacing w:before="120"/>
              <w:jc w:val="both"/>
              <w:rPr>
                <w:sz w:val="22"/>
                <w:szCs w:val="22"/>
              </w:rPr>
            </w:pPr>
          </w:p>
          <w:p w14:paraId="4FF14925" w14:textId="77777777" w:rsidR="001E1112" w:rsidRPr="00317ABF" w:rsidRDefault="001E1112" w:rsidP="00DB3BEC">
            <w:pPr>
              <w:spacing w:before="120"/>
              <w:jc w:val="both"/>
              <w:rPr>
                <w:sz w:val="22"/>
                <w:szCs w:val="22"/>
              </w:rPr>
            </w:pPr>
          </w:p>
          <w:p w14:paraId="768FF225" w14:textId="77777777" w:rsidR="001E1112" w:rsidRPr="00317ABF" w:rsidRDefault="001E1112" w:rsidP="00DB3BEC">
            <w:pPr>
              <w:spacing w:before="120"/>
              <w:jc w:val="both"/>
              <w:rPr>
                <w:sz w:val="22"/>
                <w:szCs w:val="22"/>
              </w:rPr>
            </w:pPr>
          </w:p>
          <w:p w14:paraId="0B497041" w14:textId="77777777" w:rsidR="001E1112" w:rsidRPr="00317ABF" w:rsidRDefault="001E1112" w:rsidP="00DB3BEC">
            <w:pPr>
              <w:spacing w:before="120"/>
              <w:jc w:val="both"/>
              <w:rPr>
                <w:sz w:val="22"/>
                <w:szCs w:val="22"/>
              </w:rPr>
            </w:pPr>
          </w:p>
          <w:p w14:paraId="1B641601" w14:textId="77777777" w:rsidR="001E1112" w:rsidRPr="00317ABF" w:rsidRDefault="001E1112" w:rsidP="00DB3BEC">
            <w:pPr>
              <w:spacing w:before="120"/>
              <w:jc w:val="both"/>
              <w:rPr>
                <w:sz w:val="22"/>
                <w:szCs w:val="22"/>
              </w:rPr>
            </w:pPr>
          </w:p>
          <w:p w14:paraId="0AD27B0B" w14:textId="77777777" w:rsidR="001E1112" w:rsidRPr="00317ABF" w:rsidRDefault="001E1112" w:rsidP="00DB3BEC">
            <w:pPr>
              <w:spacing w:before="120"/>
              <w:jc w:val="both"/>
              <w:rPr>
                <w:sz w:val="22"/>
                <w:szCs w:val="22"/>
              </w:rPr>
            </w:pPr>
          </w:p>
          <w:p w14:paraId="5A72D5E3" w14:textId="3B462F94" w:rsidR="001E1112" w:rsidRPr="00317ABF" w:rsidRDefault="001E1112" w:rsidP="00DB3BEC">
            <w:pPr>
              <w:spacing w:before="120"/>
              <w:jc w:val="both"/>
              <w:rPr>
                <w:sz w:val="22"/>
                <w:szCs w:val="22"/>
              </w:rPr>
            </w:pPr>
          </w:p>
          <w:p w14:paraId="0826BEFA" w14:textId="13486FE1" w:rsidR="001E1112" w:rsidRPr="00317ABF" w:rsidRDefault="001E1112" w:rsidP="00DB3BEC">
            <w:pPr>
              <w:spacing w:before="120"/>
              <w:jc w:val="both"/>
              <w:rPr>
                <w:sz w:val="22"/>
                <w:szCs w:val="22"/>
              </w:rPr>
            </w:pPr>
            <w:r w:rsidRPr="00317ABF">
              <w:rPr>
                <w:sz w:val="22"/>
                <w:szCs w:val="22"/>
              </w:rPr>
              <w:t>Krajowy organ regulacyjny decyduje w odniesieniu do zadań przypisanych mu wyraźnie na mocy niniejszej dyrektywy o stopniu, w jakim należałoby oprzeć się na całości lub części informacji zebranych w kontekście takiej prognozy.</w:t>
            </w:r>
          </w:p>
          <w:p w14:paraId="14245682" w14:textId="77777777" w:rsidR="001E1112" w:rsidRPr="00317ABF" w:rsidRDefault="001E1112" w:rsidP="00DB3BEC">
            <w:pPr>
              <w:spacing w:before="120"/>
              <w:jc w:val="both"/>
              <w:rPr>
                <w:sz w:val="22"/>
                <w:szCs w:val="22"/>
              </w:rPr>
            </w:pPr>
            <w:r w:rsidRPr="00317ABF">
              <w:rPr>
                <w:sz w:val="22"/>
                <w:szCs w:val="22"/>
              </w:rPr>
              <w:lastRenderedPageBreak/>
              <w:t>W przypadku gdy analiza geograficzna nie jest prowadzona przez krajowy organ regulacyjny, jest prowadzona we współpracy z tym organem w zakresie, w jakim może to być istotne dla jego zadań.</w:t>
            </w:r>
          </w:p>
          <w:p w14:paraId="7C37EEB0" w14:textId="77777777" w:rsidR="001E1112" w:rsidRPr="00317ABF" w:rsidRDefault="001E1112" w:rsidP="00DB3BEC">
            <w:pPr>
              <w:spacing w:before="120"/>
              <w:jc w:val="both"/>
              <w:rPr>
                <w:sz w:val="22"/>
                <w:szCs w:val="22"/>
              </w:rPr>
            </w:pPr>
            <w:r w:rsidRPr="00317ABF">
              <w:rPr>
                <w:sz w:val="22"/>
                <w:szCs w:val="22"/>
              </w:rPr>
              <w:t>Informacje zgromadzone w ramach analizy geograficznej muszą być na odpowiednim poziomie szczegółowości lokalnej i obejmować wystarczająco dokładne informacje na temat jakości usługi i jej parametrów oraz muszą być przetwarzane zgodnie z art. 20 ust. 3.</w:t>
            </w:r>
          </w:p>
        </w:tc>
        <w:tc>
          <w:tcPr>
            <w:tcW w:w="986" w:type="dxa"/>
          </w:tcPr>
          <w:p w14:paraId="1206D08F" w14:textId="77777777" w:rsidR="001E1112" w:rsidRPr="00317ABF" w:rsidRDefault="001E1112" w:rsidP="00DB3BEC">
            <w:pPr>
              <w:jc w:val="both"/>
              <w:rPr>
                <w:sz w:val="22"/>
                <w:szCs w:val="22"/>
              </w:rPr>
            </w:pPr>
            <w:r w:rsidRPr="00317ABF">
              <w:rPr>
                <w:sz w:val="22"/>
                <w:szCs w:val="22"/>
              </w:rPr>
              <w:lastRenderedPageBreak/>
              <w:t>N</w:t>
            </w:r>
          </w:p>
          <w:p w14:paraId="2A7BAC68" w14:textId="77777777" w:rsidR="001E1112" w:rsidRPr="00317ABF" w:rsidRDefault="001E1112" w:rsidP="00DB3BEC">
            <w:pPr>
              <w:jc w:val="both"/>
              <w:rPr>
                <w:sz w:val="22"/>
                <w:szCs w:val="22"/>
              </w:rPr>
            </w:pPr>
          </w:p>
          <w:p w14:paraId="6591DCEF" w14:textId="77777777" w:rsidR="001E1112" w:rsidRPr="00317ABF" w:rsidRDefault="001E1112" w:rsidP="00DB3BEC">
            <w:pPr>
              <w:jc w:val="both"/>
              <w:rPr>
                <w:sz w:val="22"/>
                <w:szCs w:val="22"/>
              </w:rPr>
            </w:pPr>
          </w:p>
          <w:p w14:paraId="27D59DC9" w14:textId="77777777" w:rsidR="001E1112" w:rsidRPr="00317ABF" w:rsidRDefault="001E1112" w:rsidP="00DB3BEC">
            <w:pPr>
              <w:jc w:val="both"/>
              <w:rPr>
                <w:sz w:val="22"/>
                <w:szCs w:val="22"/>
              </w:rPr>
            </w:pPr>
          </w:p>
          <w:p w14:paraId="4912DD25" w14:textId="77777777" w:rsidR="001E1112" w:rsidRPr="00317ABF" w:rsidRDefault="001E1112" w:rsidP="00DB3BEC">
            <w:pPr>
              <w:jc w:val="both"/>
              <w:rPr>
                <w:sz w:val="22"/>
                <w:szCs w:val="22"/>
              </w:rPr>
            </w:pPr>
          </w:p>
          <w:p w14:paraId="73BAA5F6" w14:textId="77777777" w:rsidR="001E1112" w:rsidRPr="00317ABF" w:rsidRDefault="001E1112" w:rsidP="00DB3BEC">
            <w:pPr>
              <w:jc w:val="both"/>
              <w:rPr>
                <w:sz w:val="22"/>
                <w:szCs w:val="22"/>
              </w:rPr>
            </w:pPr>
          </w:p>
          <w:p w14:paraId="5A7DC02F" w14:textId="77777777" w:rsidR="001E1112" w:rsidRPr="00317ABF" w:rsidRDefault="001E1112" w:rsidP="00DB3BEC">
            <w:pPr>
              <w:jc w:val="both"/>
              <w:rPr>
                <w:sz w:val="22"/>
                <w:szCs w:val="22"/>
              </w:rPr>
            </w:pPr>
          </w:p>
          <w:p w14:paraId="2542A19E" w14:textId="77777777" w:rsidR="001E1112" w:rsidRPr="00317ABF" w:rsidRDefault="001E1112" w:rsidP="00DB3BEC">
            <w:pPr>
              <w:jc w:val="both"/>
              <w:rPr>
                <w:sz w:val="22"/>
                <w:szCs w:val="22"/>
              </w:rPr>
            </w:pPr>
          </w:p>
          <w:p w14:paraId="083EFC60" w14:textId="77777777" w:rsidR="001E1112" w:rsidRPr="00317ABF" w:rsidRDefault="001E1112" w:rsidP="00DB3BEC">
            <w:pPr>
              <w:jc w:val="both"/>
              <w:rPr>
                <w:sz w:val="22"/>
                <w:szCs w:val="22"/>
              </w:rPr>
            </w:pPr>
          </w:p>
          <w:p w14:paraId="73649769" w14:textId="77777777" w:rsidR="001E1112" w:rsidRPr="00317ABF" w:rsidRDefault="001E1112" w:rsidP="00DB3BEC">
            <w:pPr>
              <w:jc w:val="both"/>
              <w:rPr>
                <w:sz w:val="22"/>
                <w:szCs w:val="22"/>
              </w:rPr>
            </w:pPr>
            <w:r w:rsidRPr="00317ABF">
              <w:rPr>
                <w:sz w:val="22"/>
                <w:szCs w:val="22"/>
              </w:rPr>
              <w:t>N</w:t>
            </w:r>
          </w:p>
          <w:p w14:paraId="75117B3F" w14:textId="77777777" w:rsidR="001E1112" w:rsidRPr="00317ABF" w:rsidRDefault="001E1112" w:rsidP="00DB3BEC">
            <w:pPr>
              <w:jc w:val="both"/>
              <w:rPr>
                <w:sz w:val="22"/>
                <w:szCs w:val="22"/>
              </w:rPr>
            </w:pPr>
          </w:p>
          <w:p w14:paraId="3AB21380" w14:textId="77777777" w:rsidR="001E1112" w:rsidRPr="00317ABF" w:rsidRDefault="001E1112" w:rsidP="00DB3BEC">
            <w:pPr>
              <w:jc w:val="both"/>
              <w:rPr>
                <w:sz w:val="22"/>
                <w:szCs w:val="22"/>
              </w:rPr>
            </w:pPr>
          </w:p>
          <w:p w14:paraId="5CA2F9D4" w14:textId="77777777" w:rsidR="001E1112" w:rsidRPr="00317ABF" w:rsidRDefault="001E1112" w:rsidP="00DB3BEC">
            <w:pPr>
              <w:jc w:val="both"/>
              <w:rPr>
                <w:sz w:val="22"/>
                <w:szCs w:val="22"/>
              </w:rPr>
            </w:pPr>
          </w:p>
          <w:p w14:paraId="73571C2B" w14:textId="77777777" w:rsidR="001E1112" w:rsidRPr="00317ABF" w:rsidRDefault="001E1112" w:rsidP="00DB3BEC">
            <w:pPr>
              <w:jc w:val="both"/>
              <w:rPr>
                <w:sz w:val="22"/>
                <w:szCs w:val="22"/>
              </w:rPr>
            </w:pPr>
          </w:p>
          <w:p w14:paraId="6FE09BDF" w14:textId="77777777" w:rsidR="001E1112" w:rsidRPr="00317ABF" w:rsidRDefault="001E1112" w:rsidP="00DB3BEC">
            <w:pPr>
              <w:jc w:val="both"/>
              <w:rPr>
                <w:sz w:val="22"/>
                <w:szCs w:val="22"/>
              </w:rPr>
            </w:pPr>
          </w:p>
          <w:p w14:paraId="16C8BCC4" w14:textId="77777777" w:rsidR="001E1112" w:rsidRPr="00317ABF" w:rsidRDefault="001E1112" w:rsidP="00DB3BEC">
            <w:pPr>
              <w:jc w:val="both"/>
              <w:rPr>
                <w:sz w:val="22"/>
                <w:szCs w:val="22"/>
              </w:rPr>
            </w:pPr>
          </w:p>
          <w:p w14:paraId="2DFE5D55" w14:textId="77777777" w:rsidR="001E1112" w:rsidRPr="00317ABF" w:rsidRDefault="001E1112" w:rsidP="00DB3BEC">
            <w:pPr>
              <w:jc w:val="both"/>
              <w:rPr>
                <w:sz w:val="22"/>
                <w:szCs w:val="22"/>
              </w:rPr>
            </w:pPr>
          </w:p>
          <w:p w14:paraId="124F4D37" w14:textId="77777777" w:rsidR="001E1112" w:rsidRPr="00317ABF" w:rsidRDefault="001E1112" w:rsidP="00DB3BEC">
            <w:pPr>
              <w:jc w:val="both"/>
              <w:rPr>
                <w:sz w:val="22"/>
                <w:szCs w:val="22"/>
              </w:rPr>
            </w:pPr>
          </w:p>
          <w:p w14:paraId="0751E776" w14:textId="77777777" w:rsidR="001E1112" w:rsidRPr="00317ABF" w:rsidRDefault="001E1112" w:rsidP="00DB3BEC">
            <w:pPr>
              <w:jc w:val="both"/>
              <w:rPr>
                <w:sz w:val="22"/>
                <w:szCs w:val="22"/>
              </w:rPr>
            </w:pPr>
            <w:r w:rsidRPr="00317ABF">
              <w:rPr>
                <w:sz w:val="22"/>
                <w:szCs w:val="22"/>
              </w:rPr>
              <w:t>T</w:t>
            </w:r>
          </w:p>
          <w:p w14:paraId="6C296159" w14:textId="77777777" w:rsidR="001E1112" w:rsidRPr="00317ABF" w:rsidRDefault="001E1112" w:rsidP="00DB3BEC">
            <w:pPr>
              <w:jc w:val="both"/>
              <w:rPr>
                <w:sz w:val="22"/>
                <w:szCs w:val="22"/>
              </w:rPr>
            </w:pPr>
          </w:p>
          <w:p w14:paraId="0A88781D" w14:textId="77777777" w:rsidR="001E1112" w:rsidRPr="00317ABF" w:rsidRDefault="001E1112" w:rsidP="00DB3BEC">
            <w:pPr>
              <w:jc w:val="both"/>
              <w:rPr>
                <w:sz w:val="22"/>
                <w:szCs w:val="22"/>
              </w:rPr>
            </w:pPr>
          </w:p>
          <w:p w14:paraId="3074AFDA" w14:textId="77777777" w:rsidR="001E1112" w:rsidRPr="00317ABF" w:rsidRDefault="001E1112" w:rsidP="00DB3BEC">
            <w:pPr>
              <w:jc w:val="both"/>
              <w:rPr>
                <w:sz w:val="22"/>
                <w:szCs w:val="22"/>
              </w:rPr>
            </w:pPr>
          </w:p>
          <w:p w14:paraId="078B0455" w14:textId="77777777" w:rsidR="001E1112" w:rsidRPr="00317ABF" w:rsidRDefault="001E1112" w:rsidP="00DB3BEC">
            <w:pPr>
              <w:jc w:val="both"/>
              <w:rPr>
                <w:sz w:val="22"/>
                <w:szCs w:val="22"/>
              </w:rPr>
            </w:pPr>
          </w:p>
          <w:p w14:paraId="603B20B1" w14:textId="77777777" w:rsidR="001E1112" w:rsidRPr="00317ABF" w:rsidRDefault="001E1112" w:rsidP="00DB3BEC">
            <w:pPr>
              <w:jc w:val="both"/>
              <w:rPr>
                <w:sz w:val="22"/>
                <w:szCs w:val="22"/>
              </w:rPr>
            </w:pPr>
          </w:p>
          <w:p w14:paraId="551D5996" w14:textId="5141E924" w:rsidR="001E1112" w:rsidRPr="00317ABF" w:rsidRDefault="001E1112" w:rsidP="00DB3BEC">
            <w:pPr>
              <w:jc w:val="both"/>
              <w:rPr>
                <w:sz w:val="22"/>
                <w:szCs w:val="22"/>
              </w:rPr>
            </w:pPr>
          </w:p>
          <w:p w14:paraId="442947B2" w14:textId="77777777" w:rsidR="001E1112" w:rsidRPr="00317ABF" w:rsidRDefault="001E1112" w:rsidP="00DB3BEC">
            <w:pPr>
              <w:jc w:val="both"/>
              <w:rPr>
                <w:sz w:val="22"/>
                <w:szCs w:val="22"/>
              </w:rPr>
            </w:pPr>
            <w:r w:rsidRPr="00317ABF">
              <w:rPr>
                <w:sz w:val="22"/>
                <w:szCs w:val="22"/>
              </w:rPr>
              <w:t>T</w:t>
            </w:r>
          </w:p>
          <w:p w14:paraId="7EB05698" w14:textId="77777777" w:rsidR="001E1112" w:rsidRPr="00317ABF" w:rsidRDefault="001E1112" w:rsidP="00DB3BEC">
            <w:pPr>
              <w:jc w:val="both"/>
              <w:rPr>
                <w:sz w:val="22"/>
                <w:szCs w:val="22"/>
              </w:rPr>
            </w:pPr>
          </w:p>
          <w:p w14:paraId="4DF70ABE" w14:textId="77777777" w:rsidR="001E1112" w:rsidRPr="00317ABF" w:rsidRDefault="001E1112" w:rsidP="00DB3BEC">
            <w:pPr>
              <w:jc w:val="both"/>
              <w:rPr>
                <w:sz w:val="22"/>
                <w:szCs w:val="22"/>
              </w:rPr>
            </w:pPr>
          </w:p>
          <w:p w14:paraId="1963E8E0" w14:textId="77777777" w:rsidR="001E1112" w:rsidRPr="00317ABF" w:rsidRDefault="001E1112" w:rsidP="00DB3BEC">
            <w:pPr>
              <w:jc w:val="both"/>
              <w:rPr>
                <w:sz w:val="22"/>
                <w:szCs w:val="22"/>
              </w:rPr>
            </w:pPr>
          </w:p>
          <w:p w14:paraId="28E9A8A7" w14:textId="77777777" w:rsidR="001E1112" w:rsidRPr="00317ABF" w:rsidRDefault="001E1112" w:rsidP="00DB3BEC">
            <w:pPr>
              <w:jc w:val="both"/>
              <w:rPr>
                <w:sz w:val="22"/>
                <w:szCs w:val="22"/>
              </w:rPr>
            </w:pPr>
          </w:p>
          <w:p w14:paraId="26F7C8E4" w14:textId="77777777" w:rsidR="001E1112" w:rsidRPr="00317ABF" w:rsidRDefault="001E1112" w:rsidP="00DB3BEC">
            <w:pPr>
              <w:jc w:val="both"/>
              <w:rPr>
                <w:sz w:val="22"/>
                <w:szCs w:val="22"/>
              </w:rPr>
            </w:pPr>
          </w:p>
          <w:p w14:paraId="0AE28B7A" w14:textId="77777777" w:rsidR="001E1112" w:rsidRPr="00317ABF" w:rsidRDefault="001E1112" w:rsidP="00DB3BEC">
            <w:pPr>
              <w:jc w:val="both"/>
              <w:rPr>
                <w:sz w:val="22"/>
                <w:szCs w:val="22"/>
              </w:rPr>
            </w:pPr>
          </w:p>
          <w:p w14:paraId="300D8716" w14:textId="77777777" w:rsidR="001E1112" w:rsidRPr="00317ABF" w:rsidRDefault="001E1112" w:rsidP="00DB3BEC">
            <w:pPr>
              <w:jc w:val="both"/>
              <w:rPr>
                <w:sz w:val="22"/>
                <w:szCs w:val="22"/>
              </w:rPr>
            </w:pPr>
          </w:p>
          <w:p w14:paraId="12042093" w14:textId="77777777" w:rsidR="001E1112" w:rsidRPr="00317ABF" w:rsidRDefault="001E1112" w:rsidP="00DB3BEC">
            <w:pPr>
              <w:jc w:val="both"/>
              <w:rPr>
                <w:sz w:val="22"/>
                <w:szCs w:val="22"/>
              </w:rPr>
            </w:pPr>
          </w:p>
          <w:p w14:paraId="4362691D" w14:textId="77777777" w:rsidR="001E1112" w:rsidRPr="00317ABF" w:rsidRDefault="001E1112" w:rsidP="00DB3BEC">
            <w:pPr>
              <w:jc w:val="both"/>
              <w:rPr>
                <w:sz w:val="22"/>
                <w:szCs w:val="22"/>
              </w:rPr>
            </w:pPr>
          </w:p>
          <w:p w14:paraId="316762D7" w14:textId="77777777" w:rsidR="001E1112" w:rsidRPr="00317ABF" w:rsidRDefault="001E1112" w:rsidP="00DB3BEC">
            <w:pPr>
              <w:jc w:val="both"/>
              <w:rPr>
                <w:sz w:val="22"/>
                <w:szCs w:val="22"/>
              </w:rPr>
            </w:pPr>
          </w:p>
          <w:p w14:paraId="66479BC2" w14:textId="77777777" w:rsidR="001E1112" w:rsidRPr="00317ABF" w:rsidRDefault="001E1112" w:rsidP="00DB3BEC">
            <w:pPr>
              <w:jc w:val="both"/>
              <w:rPr>
                <w:sz w:val="22"/>
                <w:szCs w:val="22"/>
              </w:rPr>
            </w:pPr>
          </w:p>
          <w:p w14:paraId="642F5085" w14:textId="77777777" w:rsidR="001E1112" w:rsidRPr="00317ABF" w:rsidRDefault="001E1112" w:rsidP="00DB3BEC">
            <w:pPr>
              <w:jc w:val="both"/>
              <w:rPr>
                <w:sz w:val="22"/>
                <w:szCs w:val="22"/>
              </w:rPr>
            </w:pPr>
          </w:p>
          <w:p w14:paraId="0630DF81" w14:textId="77777777" w:rsidR="001E1112" w:rsidRPr="00317ABF" w:rsidRDefault="001E1112" w:rsidP="00DB3BEC">
            <w:pPr>
              <w:jc w:val="both"/>
              <w:rPr>
                <w:sz w:val="22"/>
                <w:szCs w:val="22"/>
              </w:rPr>
            </w:pPr>
          </w:p>
          <w:p w14:paraId="1BFAFB88" w14:textId="77777777" w:rsidR="001E1112" w:rsidRPr="00317ABF" w:rsidRDefault="001E1112" w:rsidP="00DB3BEC">
            <w:pPr>
              <w:jc w:val="both"/>
              <w:rPr>
                <w:sz w:val="22"/>
                <w:szCs w:val="22"/>
              </w:rPr>
            </w:pPr>
          </w:p>
          <w:p w14:paraId="06905592" w14:textId="77777777" w:rsidR="001E1112" w:rsidRPr="00317ABF" w:rsidRDefault="001E1112" w:rsidP="00DB3BEC">
            <w:pPr>
              <w:jc w:val="both"/>
              <w:rPr>
                <w:sz w:val="22"/>
                <w:szCs w:val="22"/>
              </w:rPr>
            </w:pPr>
          </w:p>
          <w:p w14:paraId="6A2F6840" w14:textId="77777777" w:rsidR="001E1112" w:rsidRPr="00317ABF" w:rsidRDefault="001E1112" w:rsidP="00DB3BEC">
            <w:pPr>
              <w:jc w:val="both"/>
              <w:rPr>
                <w:sz w:val="22"/>
                <w:szCs w:val="22"/>
              </w:rPr>
            </w:pPr>
          </w:p>
          <w:p w14:paraId="37BF5184" w14:textId="77777777" w:rsidR="001E1112" w:rsidRPr="00317ABF" w:rsidRDefault="001E1112" w:rsidP="00DB3BEC">
            <w:pPr>
              <w:jc w:val="both"/>
              <w:rPr>
                <w:sz w:val="22"/>
                <w:szCs w:val="22"/>
              </w:rPr>
            </w:pPr>
          </w:p>
          <w:p w14:paraId="41A70EDE" w14:textId="77777777" w:rsidR="001E1112" w:rsidRPr="00317ABF" w:rsidRDefault="001E1112" w:rsidP="00DB3BEC">
            <w:pPr>
              <w:jc w:val="both"/>
              <w:rPr>
                <w:sz w:val="22"/>
                <w:szCs w:val="22"/>
              </w:rPr>
            </w:pPr>
          </w:p>
          <w:p w14:paraId="40F2334A" w14:textId="77777777" w:rsidR="001E1112" w:rsidRPr="00317ABF" w:rsidRDefault="001E1112" w:rsidP="00DB3BEC">
            <w:pPr>
              <w:jc w:val="both"/>
              <w:rPr>
                <w:sz w:val="22"/>
                <w:szCs w:val="22"/>
              </w:rPr>
            </w:pPr>
          </w:p>
          <w:p w14:paraId="26A67327" w14:textId="77777777" w:rsidR="001E1112" w:rsidRPr="00317ABF" w:rsidRDefault="001E1112" w:rsidP="00DB3BEC">
            <w:pPr>
              <w:jc w:val="both"/>
              <w:rPr>
                <w:sz w:val="22"/>
                <w:szCs w:val="22"/>
              </w:rPr>
            </w:pPr>
          </w:p>
          <w:p w14:paraId="00441B65" w14:textId="77777777" w:rsidR="001E1112" w:rsidRPr="00317ABF" w:rsidRDefault="001E1112" w:rsidP="00DB3BEC">
            <w:pPr>
              <w:jc w:val="both"/>
              <w:rPr>
                <w:sz w:val="22"/>
                <w:szCs w:val="22"/>
              </w:rPr>
            </w:pPr>
          </w:p>
          <w:p w14:paraId="4FDBA7CA" w14:textId="77777777" w:rsidR="001E1112" w:rsidRPr="00317ABF" w:rsidRDefault="001E1112" w:rsidP="00DB3BEC">
            <w:pPr>
              <w:jc w:val="both"/>
              <w:rPr>
                <w:sz w:val="22"/>
                <w:szCs w:val="22"/>
              </w:rPr>
            </w:pPr>
          </w:p>
          <w:p w14:paraId="38C0CFC5" w14:textId="77777777" w:rsidR="001E1112" w:rsidRPr="00317ABF" w:rsidRDefault="001E1112" w:rsidP="00DB3BEC">
            <w:pPr>
              <w:jc w:val="both"/>
              <w:rPr>
                <w:sz w:val="22"/>
                <w:szCs w:val="22"/>
              </w:rPr>
            </w:pPr>
          </w:p>
          <w:p w14:paraId="57EF8332" w14:textId="77777777" w:rsidR="001E1112" w:rsidRPr="00317ABF" w:rsidRDefault="001E1112" w:rsidP="00DB3BEC">
            <w:pPr>
              <w:jc w:val="both"/>
              <w:rPr>
                <w:sz w:val="22"/>
                <w:szCs w:val="22"/>
              </w:rPr>
            </w:pPr>
          </w:p>
          <w:p w14:paraId="679F9027" w14:textId="77777777" w:rsidR="001E1112" w:rsidRPr="00317ABF" w:rsidRDefault="001E1112" w:rsidP="00DB3BEC">
            <w:pPr>
              <w:jc w:val="both"/>
              <w:rPr>
                <w:sz w:val="22"/>
                <w:szCs w:val="22"/>
              </w:rPr>
            </w:pPr>
          </w:p>
          <w:p w14:paraId="6F6A0B5F" w14:textId="77777777" w:rsidR="001E1112" w:rsidRPr="00317ABF" w:rsidRDefault="001E1112" w:rsidP="00DB3BEC">
            <w:pPr>
              <w:jc w:val="both"/>
              <w:rPr>
                <w:sz w:val="22"/>
                <w:szCs w:val="22"/>
              </w:rPr>
            </w:pPr>
          </w:p>
          <w:p w14:paraId="5243283B" w14:textId="77777777" w:rsidR="001E1112" w:rsidRPr="00317ABF" w:rsidRDefault="001E1112" w:rsidP="00DB3BEC">
            <w:pPr>
              <w:jc w:val="both"/>
              <w:rPr>
                <w:sz w:val="22"/>
                <w:szCs w:val="22"/>
              </w:rPr>
            </w:pPr>
          </w:p>
          <w:p w14:paraId="756B4ED9" w14:textId="77777777" w:rsidR="001E1112" w:rsidRPr="00317ABF" w:rsidRDefault="001E1112" w:rsidP="00DB3BEC">
            <w:pPr>
              <w:jc w:val="both"/>
              <w:rPr>
                <w:sz w:val="22"/>
                <w:szCs w:val="22"/>
              </w:rPr>
            </w:pPr>
          </w:p>
          <w:p w14:paraId="30BCDEDB" w14:textId="77777777" w:rsidR="001E1112" w:rsidRPr="00317ABF" w:rsidRDefault="001E1112" w:rsidP="00DB3BEC">
            <w:pPr>
              <w:jc w:val="both"/>
              <w:rPr>
                <w:sz w:val="22"/>
                <w:szCs w:val="22"/>
              </w:rPr>
            </w:pPr>
          </w:p>
          <w:p w14:paraId="58BE537F" w14:textId="77777777" w:rsidR="001E1112" w:rsidRPr="00317ABF" w:rsidRDefault="001E1112" w:rsidP="00DB3BEC">
            <w:pPr>
              <w:jc w:val="both"/>
              <w:rPr>
                <w:sz w:val="22"/>
                <w:szCs w:val="22"/>
              </w:rPr>
            </w:pPr>
          </w:p>
          <w:p w14:paraId="1896041C" w14:textId="77777777" w:rsidR="001E1112" w:rsidRPr="00317ABF" w:rsidRDefault="001E1112" w:rsidP="00DB3BEC">
            <w:pPr>
              <w:jc w:val="both"/>
              <w:rPr>
                <w:sz w:val="22"/>
                <w:szCs w:val="22"/>
              </w:rPr>
            </w:pPr>
          </w:p>
          <w:p w14:paraId="4E2858E6" w14:textId="77777777" w:rsidR="001E1112" w:rsidRPr="00317ABF" w:rsidRDefault="001E1112" w:rsidP="00DB3BEC">
            <w:pPr>
              <w:jc w:val="both"/>
              <w:rPr>
                <w:sz w:val="22"/>
                <w:szCs w:val="22"/>
              </w:rPr>
            </w:pPr>
          </w:p>
          <w:p w14:paraId="0A664CB1" w14:textId="4FBF7C5F" w:rsidR="001E1112" w:rsidRPr="00317ABF" w:rsidRDefault="001E1112" w:rsidP="00DB3BEC">
            <w:pPr>
              <w:jc w:val="both"/>
              <w:rPr>
                <w:sz w:val="22"/>
                <w:szCs w:val="22"/>
              </w:rPr>
            </w:pPr>
          </w:p>
          <w:p w14:paraId="1B009C0E" w14:textId="77777777" w:rsidR="001E1112" w:rsidRPr="00317ABF" w:rsidRDefault="001E1112" w:rsidP="00DB3BEC">
            <w:pPr>
              <w:jc w:val="both"/>
              <w:rPr>
                <w:sz w:val="22"/>
                <w:szCs w:val="22"/>
              </w:rPr>
            </w:pPr>
            <w:r w:rsidRPr="00317ABF">
              <w:rPr>
                <w:sz w:val="22"/>
                <w:szCs w:val="22"/>
              </w:rPr>
              <w:t>T</w:t>
            </w:r>
          </w:p>
          <w:p w14:paraId="2E62479D" w14:textId="77777777" w:rsidR="001E1112" w:rsidRPr="00317ABF" w:rsidRDefault="001E1112" w:rsidP="00DB3BEC">
            <w:pPr>
              <w:jc w:val="both"/>
              <w:rPr>
                <w:sz w:val="22"/>
                <w:szCs w:val="22"/>
              </w:rPr>
            </w:pPr>
          </w:p>
          <w:p w14:paraId="0B621507" w14:textId="77777777" w:rsidR="001E1112" w:rsidRPr="00317ABF" w:rsidRDefault="001E1112" w:rsidP="00DB3BEC">
            <w:pPr>
              <w:jc w:val="both"/>
              <w:rPr>
                <w:sz w:val="22"/>
                <w:szCs w:val="22"/>
              </w:rPr>
            </w:pPr>
          </w:p>
          <w:p w14:paraId="4CCD54FE" w14:textId="77777777" w:rsidR="001E1112" w:rsidRPr="00317ABF" w:rsidRDefault="001E1112" w:rsidP="00DB3BEC">
            <w:pPr>
              <w:jc w:val="both"/>
              <w:rPr>
                <w:sz w:val="22"/>
                <w:szCs w:val="22"/>
              </w:rPr>
            </w:pPr>
          </w:p>
          <w:p w14:paraId="7C42733E" w14:textId="77777777" w:rsidR="001E1112" w:rsidRPr="00317ABF" w:rsidRDefault="001E1112" w:rsidP="00DB3BEC">
            <w:pPr>
              <w:jc w:val="both"/>
              <w:rPr>
                <w:sz w:val="22"/>
                <w:szCs w:val="22"/>
              </w:rPr>
            </w:pPr>
          </w:p>
          <w:p w14:paraId="1C4C0750" w14:textId="77777777" w:rsidR="001E1112" w:rsidRPr="00317ABF" w:rsidRDefault="001E1112" w:rsidP="00DB3BEC">
            <w:pPr>
              <w:jc w:val="both"/>
              <w:rPr>
                <w:sz w:val="22"/>
                <w:szCs w:val="22"/>
              </w:rPr>
            </w:pPr>
          </w:p>
          <w:p w14:paraId="407BAD42" w14:textId="77777777" w:rsidR="001E1112" w:rsidRPr="00317ABF" w:rsidRDefault="001E1112" w:rsidP="00DB3BEC">
            <w:pPr>
              <w:jc w:val="both"/>
              <w:rPr>
                <w:sz w:val="22"/>
                <w:szCs w:val="22"/>
              </w:rPr>
            </w:pPr>
            <w:r w:rsidRPr="00317ABF">
              <w:rPr>
                <w:sz w:val="22"/>
                <w:szCs w:val="22"/>
              </w:rPr>
              <w:lastRenderedPageBreak/>
              <w:t>N</w:t>
            </w:r>
          </w:p>
          <w:p w14:paraId="57058DF0" w14:textId="77777777" w:rsidR="001E1112" w:rsidRPr="00317ABF" w:rsidRDefault="001E1112" w:rsidP="00DB3BEC">
            <w:pPr>
              <w:jc w:val="both"/>
              <w:rPr>
                <w:sz w:val="22"/>
                <w:szCs w:val="22"/>
              </w:rPr>
            </w:pPr>
          </w:p>
          <w:p w14:paraId="0B23235B" w14:textId="77777777" w:rsidR="001E1112" w:rsidRPr="00317ABF" w:rsidRDefault="001E1112" w:rsidP="00DB3BEC">
            <w:pPr>
              <w:jc w:val="both"/>
              <w:rPr>
                <w:sz w:val="22"/>
                <w:szCs w:val="22"/>
              </w:rPr>
            </w:pPr>
          </w:p>
          <w:p w14:paraId="5E101480" w14:textId="77777777" w:rsidR="001E1112" w:rsidRPr="00317ABF" w:rsidRDefault="001E1112" w:rsidP="00DB3BEC">
            <w:pPr>
              <w:jc w:val="both"/>
              <w:rPr>
                <w:sz w:val="22"/>
                <w:szCs w:val="22"/>
              </w:rPr>
            </w:pPr>
          </w:p>
          <w:p w14:paraId="29EF666A" w14:textId="77777777" w:rsidR="001E1112" w:rsidRPr="00317ABF" w:rsidRDefault="001E1112" w:rsidP="00DB3BEC">
            <w:pPr>
              <w:jc w:val="both"/>
              <w:rPr>
                <w:sz w:val="22"/>
                <w:szCs w:val="22"/>
              </w:rPr>
            </w:pPr>
          </w:p>
          <w:p w14:paraId="2DBCE0F7" w14:textId="061BEFC2" w:rsidR="001E1112" w:rsidRPr="00317ABF" w:rsidRDefault="001E1112" w:rsidP="00DB3BEC">
            <w:pPr>
              <w:jc w:val="both"/>
              <w:rPr>
                <w:sz w:val="22"/>
                <w:szCs w:val="22"/>
              </w:rPr>
            </w:pPr>
          </w:p>
          <w:p w14:paraId="6038CA45" w14:textId="7DB4AA21" w:rsidR="001E1112" w:rsidRPr="00317ABF" w:rsidRDefault="001E1112" w:rsidP="00DB3BEC">
            <w:pPr>
              <w:jc w:val="both"/>
              <w:rPr>
                <w:sz w:val="22"/>
                <w:szCs w:val="22"/>
              </w:rPr>
            </w:pPr>
            <w:r w:rsidRPr="00317ABF">
              <w:rPr>
                <w:sz w:val="22"/>
                <w:szCs w:val="22"/>
              </w:rPr>
              <w:t>T</w:t>
            </w:r>
          </w:p>
          <w:p w14:paraId="287B69A3" w14:textId="63B2A234" w:rsidR="001E1112" w:rsidRPr="00317ABF" w:rsidRDefault="001E1112" w:rsidP="00DB3BEC">
            <w:pPr>
              <w:jc w:val="both"/>
              <w:rPr>
                <w:sz w:val="22"/>
                <w:szCs w:val="22"/>
              </w:rPr>
            </w:pPr>
          </w:p>
        </w:tc>
        <w:tc>
          <w:tcPr>
            <w:tcW w:w="910" w:type="dxa"/>
          </w:tcPr>
          <w:p w14:paraId="39915E23" w14:textId="3E19ED8D" w:rsidR="001E1112" w:rsidRPr="00317ABF" w:rsidRDefault="00AD11B0" w:rsidP="00DB3BEC">
            <w:pPr>
              <w:pStyle w:val="Tekstpodstawowy"/>
              <w:rPr>
                <w:b/>
                <w:sz w:val="22"/>
                <w:szCs w:val="22"/>
                <w:lang w:val="en-US"/>
              </w:rPr>
            </w:pPr>
            <w:r w:rsidRPr="00317ABF">
              <w:rPr>
                <w:b/>
                <w:sz w:val="22"/>
                <w:szCs w:val="22"/>
                <w:lang w:val="en-US"/>
              </w:rPr>
              <w:lastRenderedPageBreak/>
              <w:t>Art. 34</w:t>
            </w:r>
            <w:r w:rsidR="001E1112" w:rsidRPr="00317ABF">
              <w:rPr>
                <w:b/>
                <w:sz w:val="22"/>
                <w:szCs w:val="22"/>
                <w:lang w:val="en-US"/>
              </w:rPr>
              <w:t xml:space="preserve"> pkt 2</w:t>
            </w:r>
            <w:r w:rsidR="008149E9" w:rsidRPr="00317ABF">
              <w:rPr>
                <w:b/>
                <w:sz w:val="22"/>
                <w:szCs w:val="22"/>
                <w:lang w:val="en-US"/>
              </w:rPr>
              <w:t>4</w:t>
            </w:r>
            <w:r w:rsidR="001E1112" w:rsidRPr="00317ABF">
              <w:rPr>
                <w:b/>
                <w:sz w:val="22"/>
                <w:szCs w:val="22"/>
                <w:lang w:val="en-US"/>
              </w:rPr>
              <w:t xml:space="preserve"> lit. a</w:t>
            </w:r>
          </w:p>
          <w:p w14:paraId="6745EA75" w14:textId="6DF2864B" w:rsidR="001E1112" w:rsidRPr="00317ABF" w:rsidRDefault="001E1112" w:rsidP="00DB3BEC">
            <w:pPr>
              <w:pStyle w:val="Tekstpodstawowy"/>
              <w:rPr>
                <w:sz w:val="22"/>
                <w:szCs w:val="22"/>
                <w:lang w:val="en-US"/>
              </w:rPr>
            </w:pPr>
          </w:p>
          <w:p w14:paraId="1370618D" w14:textId="30CADB77" w:rsidR="001E1112" w:rsidRPr="00317ABF" w:rsidRDefault="001E1112" w:rsidP="00DB3BEC">
            <w:pPr>
              <w:pStyle w:val="Tekstpodstawowy"/>
              <w:rPr>
                <w:sz w:val="22"/>
                <w:szCs w:val="22"/>
                <w:lang w:val="en-US"/>
              </w:rPr>
            </w:pPr>
          </w:p>
          <w:p w14:paraId="6E74B18C" w14:textId="3AEF18D0" w:rsidR="001E1112" w:rsidRPr="00317ABF" w:rsidRDefault="00AD11B0" w:rsidP="00DB3BEC">
            <w:pPr>
              <w:pStyle w:val="Tekstpodstawowy"/>
              <w:rPr>
                <w:b/>
                <w:sz w:val="22"/>
                <w:szCs w:val="22"/>
                <w:lang w:val="en-US"/>
              </w:rPr>
            </w:pPr>
            <w:r w:rsidRPr="00317ABF">
              <w:rPr>
                <w:b/>
                <w:sz w:val="22"/>
                <w:szCs w:val="22"/>
                <w:lang w:val="en-US"/>
              </w:rPr>
              <w:t>Art. 34</w:t>
            </w:r>
            <w:r w:rsidR="001E1112" w:rsidRPr="00317ABF">
              <w:rPr>
                <w:b/>
                <w:sz w:val="22"/>
                <w:szCs w:val="22"/>
                <w:lang w:val="en-US"/>
              </w:rPr>
              <w:t xml:space="preserve"> pkt 2</w:t>
            </w:r>
            <w:r w:rsidR="008149E9" w:rsidRPr="00317ABF">
              <w:rPr>
                <w:b/>
                <w:sz w:val="22"/>
                <w:szCs w:val="22"/>
                <w:lang w:val="en-US"/>
              </w:rPr>
              <w:t>4 lit. b tiret trzecie</w:t>
            </w:r>
          </w:p>
          <w:p w14:paraId="0DCC419F" w14:textId="77777777" w:rsidR="001E1112" w:rsidRPr="00317ABF" w:rsidRDefault="001E1112" w:rsidP="00DB3BEC">
            <w:pPr>
              <w:pStyle w:val="Tekstpodstawowy"/>
              <w:rPr>
                <w:sz w:val="22"/>
                <w:szCs w:val="22"/>
                <w:lang w:val="en-US"/>
              </w:rPr>
            </w:pPr>
          </w:p>
          <w:p w14:paraId="6FFE2AAE" w14:textId="77777777" w:rsidR="001E1112" w:rsidRPr="00317ABF" w:rsidRDefault="001E1112" w:rsidP="00DB3BEC">
            <w:pPr>
              <w:pStyle w:val="Tekstpodstawowy"/>
              <w:rPr>
                <w:sz w:val="22"/>
                <w:szCs w:val="22"/>
                <w:lang w:val="en-US"/>
              </w:rPr>
            </w:pPr>
          </w:p>
          <w:p w14:paraId="04B83EB7" w14:textId="77777777" w:rsidR="001E1112" w:rsidRPr="00317ABF" w:rsidRDefault="001E1112" w:rsidP="00DB3BEC">
            <w:pPr>
              <w:pStyle w:val="Tekstpodstawowy"/>
              <w:rPr>
                <w:sz w:val="22"/>
                <w:szCs w:val="22"/>
                <w:lang w:val="en-US"/>
              </w:rPr>
            </w:pPr>
          </w:p>
          <w:p w14:paraId="2B4A9C5E" w14:textId="77777777" w:rsidR="001E1112" w:rsidRPr="00317ABF" w:rsidRDefault="001E1112" w:rsidP="00DB3BEC">
            <w:pPr>
              <w:pStyle w:val="Tekstpodstawowy"/>
              <w:rPr>
                <w:sz w:val="22"/>
                <w:szCs w:val="22"/>
                <w:lang w:val="en-US"/>
              </w:rPr>
            </w:pPr>
          </w:p>
          <w:p w14:paraId="685D8A3A" w14:textId="77777777" w:rsidR="001E1112" w:rsidRPr="00317ABF" w:rsidRDefault="001E1112" w:rsidP="00DB3BEC">
            <w:pPr>
              <w:pStyle w:val="Tekstpodstawowy"/>
              <w:rPr>
                <w:sz w:val="22"/>
                <w:szCs w:val="22"/>
                <w:lang w:val="en-US"/>
              </w:rPr>
            </w:pPr>
          </w:p>
          <w:p w14:paraId="678CC93B" w14:textId="77777777" w:rsidR="001E1112" w:rsidRPr="00317ABF" w:rsidRDefault="001E1112" w:rsidP="00DB3BEC">
            <w:pPr>
              <w:pStyle w:val="Tekstpodstawowy"/>
              <w:rPr>
                <w:sz w:val="22"/>
                <w:szCs w:val="22"/>
                <w:lang w:val="en-US"/>
              </w:rPr>
            </w:pPr>
          </w:p>
          <w:p w14:paraId="1F10C76F" w14:textId="77777777" w:rsidR="001E1112" w:rsidRPr="00317ABF" w:rsidRDefault="001E1112" w:rsidP="00DB3BEC">
            <w:pPr>
              <w:pStyle w:val="Tekstpodstawowy"/>
              <w:rPr>
                <w:sz w:val="22"/>
                <w:szCs w:val="22"/>
                <w:lang w:val="en-US"/>
              </w:rPr>
            </w:pPr>
          </w:p>
          <w:p w14:paraId="61BFAF7C" w14:textId="77777777" w:rsidR="001E1112" w:rsidRPr="00317ABF" w:rsidRDefault="001E1112" w:rsidP="00DB3BEC">
            <w:pPr>
              <w:pStyle w:val="Tekstpodstawowy"/>
              <w:rPr>
                <w:sz w:val="22"/>
                <w:szCs w:val="22"/>
                <w:lang w:val="en-US"/>
              </w:rPr>
            </w:pPr>
          </w:p>
          <w:p w14:paraId="11BC10CD" w14:textId="77777777" w:rsidR="001E1112" w:rsidRPr="00317ABF" w:rsidRDefault="001E1112" w:rsidP="00DB3BEC">
            <w:pPr>
              <w:pStyle w:val="Tekstpodstawowy"/>
              <w:rPr>
                <w:sz w:val="22"/>
                <w:szCs w:val="22"/>
                <w:lang w:val="en-US"/>
              </w:rPr>
            </w:pPr>
          </w:p>
          <w:p w14:paraId="76DD3966" w14:textId="77777777" w:rsidR="001E1112" w:rsidRPr="00317ABF" w:rsidRDefault="001E1112" w:rsidP="00DB3BEC">
            <w:pPr>
              <w:pStyle w:val="Tekstpodstawowy"/>
              <w:rPr>
                <w:sz w:val="22"/>
                <w:szCs w:val="22"/>
                <w:lang w:val="en-US"/>
              </w:rPr>
            </w:pPr>
          </w:p>
          <w:p w14:paraId="5C7B9873" w14:textId="03A2062D" w:rsidR="001E1112" w:rsidRPr="00317ABF" w:rsidRDefault="00AD11B0" w:rsidP="00DB3BEC">
            <w:pPr>
              <w:pStyle w:val="Tekstpodstawowy"/>
              <w:rPr>
                <w:b/>
                <w:sz w:val="22"/>
                <w:szCs w:val="22"/>
                <w:lang w:val="en-US"/>
              </w:rPr>
            </w:pPr>
            <w:r w:rsidRPr="00317ABF">
              <w:rPr>
                <w:b/>
                <w:sz w:val="22"/>
                <w:szCs w:val="22"/>
                <w:lang w:val="en-US"/>
              </w:rPr>
              <w:t>Art. 34</w:t>
            </w:r>
            <w:r w:rsidR="008149E9" w:rsidRPr="00317ABF">
              <w:rPr>
                <w:b/>
                <w:sz w:val="22"/>
                <w:szCs w:val="22"/>
                <w:lang w:val="en-US"/>
              </w:rPr>
              <w:t xml:space="preserve"> pkt 24 lit. c</w:t>
            </w:r>
          </w:p>
          <w:p w14:paraId="0C946A8B" w14:textId="77777777" w:rsidR="001E1112" w:rsidRPr="00317ABF" w:rsidRDefault="001E1112" w:rsidP="00DB3BEC">
            <w:pPr>
              <w:pStyle w:val="Tekstpodstawowy"/>
              <w:rPr>
                <w:sz w:val="22"/>
                <w:szCs w:val="22"/>
                <w:lang w:val="en-US"/>
              </w:rPr>
            </w:pPr>
          </w:p>
          <w:p w14:paraId="34C80627" w14:textId="77777777" w:rsidR="001E1112" w:rsidRPr="00317ABF" w:rsidRDefault="001E1112" w:rsidP="00DB3BEC">
            <w:pPr>
              <w:pStyle w:val="Tekstpodstawowy"/>
              <w:rPr>
                <w:sz w:val="22"/>
                <w:szCs w:val="22"/>
                <w:lang w:val="en-US"/>
              </w:rPr>
            </w:pPr>
          </w:p>
          <w:p w14:paraId="78A0CDB9" w14:textId="77777777" w:rsidR="001E1112" w:rsidRPr="00317ABF" w:rsidRDefault="001E1112" w:rsidP="00DB3BEC">
            <w:pPr>
              <w:pStyle w:val="Tekstpodstawowy"/>
              <w:rPr>
                <w:sz w:val="22"/>
                <w:szCs w:val="22"/>
                <w:lang w:val="en-US"/>
              </w:rPr>
            </w:pPr>
          </w:p>
          <w:p w14:paraId="4C011DF4" w14:textId="77777777" w:rsidR="001E1112" w:rsidRPr="00317ABF" w:rsidRDefault="001E1112" w:rsidP="00DB3BEC">
            <w:pPr>
              <w:pStyle w:val="Tekstpodstawowy"/>
              <w:rPr>
                <w:sz w:val="22"/>
                <w:szCs w:val="22"/>
                <w:lang w:val="en-US"/>
              </w:rPr>
            </w:pPr>
          </w:p>
          <w:p w14:paraId="61E6FB45" w14:textId="77777777" w:rsidR="001E1112" w:rsidRPr="00317ABF" w:rsidRDefault="001E1112" w:rsidP="00DB3BEC">
            <w:pPr>
              <w:pStyle w:val="Tekstpodstawowy"/>
              <w:rPr>
                <w:sz w:val="22"/>
                <w:szCs w:val="22"/>
                <w:lang w:val="en-US"/>
              </w:rPr>
            </w:pPr>
          </w:p>
          <w:p w14:paraId="754279E7" w14:textId="77777777" w:rsidR="001E1112" w:rsidRPr="00317ABF" w:rsidRDefault="001E1112" w:rsidP="00DB3BEC">
            <w:pPr>
              <w:pStyle w:val="Tekstpodstawowy"/>
              <w:rPr>
                <w:sz w:val="22"/>
                <w:szCs w:val="22"/>
                <w:lang w:val="en-US"/>
              </w:rPr>
            </w:pPr>
          </w:p>
          <w:p w14:paraId="124B8C15" w14:textId="77777777" w:rsidR="001E1112" w:rsidRPr="00317ABF" w:rsidRDefault="001E1112" w:rsidP="00DB3BEC">
            <w:pPr>
              <w:pStyle w:val="Tekstpodstawowy"/>
              <w:rPr>
                <w:sz w:val="22"/>
                <w:szCs w:val="22"/>
                <w:lang w:val="en-US"/>
              </w:rPr>
            </w:pPr>
          </w:p>
          <w:p w14:paraId="7749AA29" w14:textId="77777777" w:rsidR="001E1112" w:rsidRPr="00317ABF" w:rsidRDefault="001E1112" w:rsidP="00DB3BEC">
            <w:pPr>
              <w:pStyle w:val="Tekstpodstawowy"/>
              <w:rPr>
                <w:sz w:val="22"/>
                <w:szCs w:val="22"/>
                <w:lang w:val="en-US"/>
              </w:rPr>
            </w:pPr>
          </w:p>
          <w:p w14:paraId="6011F15C" w14:textId="77777777" w:rsidR="001E1112" w:rsidRPr="00317ABF" w:rsidRDefault="001E1112" w:rsidP="00DB3BEC">
            <w:pPr>
              <w:pStyle w:val="Tekstpodstawowy"/>
              <w:rPr>
                <w:sz w:val="22"/>
                <w:szCs w:val="22"/>
                <w:lang w:val="en-US"/>
              </w:rPr>
            </w:pPr>
          </w:p>
          <w:p w14:paraId="2B654A0A" w14:textId="77777777" w:rsidR="001E1112" w:rsidRPr="00317ABF" w:rsidRDefault="001E1112" w:rsidP="00DB3BEC">
            <w:pPr>
              <w:pStyle w:val="Tekstpodstawowy"/>
              <w:rPr>
                <w:sz w:val="22"/>
                <w:szCs w:val="22"/>
                <w:lang w:val="en-US"/>
              </w:rPr>
            </w:pPr>
          </w:p>
          <w:p w14:paraId="67D61F85" w14:textId="77777777" w:rsidR="001E1112" w:rsidRPr="00317ABF" w:rsidRDefault="001E1112" w:rsidP="00DB3BEC">
            <w:pPr>
              <w:pStyle w:val="Tekstpodstawowy"/>
              <w:rPr>
                <w:sz w:val="22"/>
                <w:szCs w:val="22"/>
                <w:lang w:val="en-US"/>
              </w:rPr>
            </w:pPr>
          </w:p>
          <w:p w14:paraId="1C8432DF" w14:textId="77777777" w:rsidR="001E1112" w:rsidRPr="00317ABF" w:rsidRDefault="001E1112" w:rsidP="00DB3BEC">
            <w:pPr>
              <w:pStyle w:val="Tekstpodstawowy"/>
              <w:rPr>
                <w:sz w:val="22"/>
                <w:szCs w:val="22"/>
                <w:lang w:val="en-US"/>
              </w:rPr>
            </w:pPr>
          </w:p>
          <w:p w14:paraId="16A04AAA" w14:textId="77777777" w:rsidR="001E1112" w:rsidRPr="00317ABF" w:rsidRDefault="001E1112" w:rsidP="00DB3BEC">
            <w:pPr>
              <w:pStyle w:val="Tekstpodstawowy"/>
              <w:rPr>
                <w:sz w:val="22"/>
                <w:szCs w:val="22"/>
                <w:lang w:val="en-US"/>
              </w:rPr>
            </w:pPr>
          </w:p>
          <w:p w14:paraId="1E5D1155" w14:textId="77777777" w:rsidR="001E1112" w:rsidRPr="00317ABF" w:rsidRDefault="001E1112" w:rsidP="00DB3BEC">
            <w:pPr>
              <w:pStyle w:val="Tekstpodstawowy"/>
              <w:rPr>
                <w:sz w:val="22"/>
                <w:szCs w:val="22"/>
                <w:lang w:val="en-US"/>
              </w:rPr>
            </w:pPr>
          </w:p>
          <w:p w14:paraId="736EBED8" w14:textId="77777777" w:rsidR="001E1112" w:rsidRPr="00317ABF" w:rsidRDefault="001E1112" w:rsidP="00DB3BEC">
            <w:pPr>
              <w:pStyle w:val="Tekstpodstawowy"/>
              <w:rPr>
                <w:sz w:val="22"/>
                <w:szCs w:val="22"/>
                <w:lang w:val="en-US"/>
              </w:rPr>
            </w:pPr>
          </w:p>
          <w:p w14:paraId="40F3BAB2" w14:textId="7DDF0358" w:rsidR="001E1112" w:rsidRPr="00317ABF" w:rsidRDefault="001E1112" w:rsidP="00DB3BEC">
            <w:pPr>
              <w:pStyle w:val="Tekstpodstawowy"/>
              <w:rPr>
                <w:sz w:val="22"/>
                <w:szCs w:val="22"/>
                <w:lang w:val="en-US"/>
              </w:rPr>
            </w:pPr>
          </w:p>
          <w:p w14:paraId="33D56582" w14:textId="77777777" w:rsidR="001E1112" w:rsidRPr="00317ABF" w:rsidRDefault="001E1112" w:rsidP="00DB3BEC">
            <w:pPr>
              <w:pStyle w:val="Tekstpodstawowy"/>
              <w:rPr>
                <w:sz w:val="22"/>
                <w:szCs w:val="22"/>
                <w:lang w:val="en-US"/>
              </w:rPr>
            </w:pPr>
          </w:p>
          <w:p w14:paraId="5C69C1C2" w14:textId="77777777" w:rsidR="001E1112" w:rsidRPr="00317ABF" w:rsidRDefault="001E1112" w:rsidP="00DB3BEC">
            <w:pPr>
              <w:pStyle w:val="Tekstpodstawowy"/>
              <w:rPr>
                <w:sz w:val="22"/>
                <w:szCs w:val="22"/>
                <w:lang w:val="en-US"/>
              </w:rPr>
            </w:pPr>
          </w:p>
          <w:p w14:paraId="614E0385" w14:textId="4D2A13E0" w:rsidR="001E1112" w:rsidRPr="00317ABF" w:rsidRDefault="00AD11B0" w:rsidP="00DB3BEC">
            <w:pPr>
              <w:pStyle w:val="Tekstpodstawowy"/>
              <w:rPr>
                <w:b/>
                <w:sz w:val="22"/>
                <w:szCs w:val="22"/>
                <w:lang w:val="en-US"/>
              </w:rPr>
            </w:pPr>
            <w:r w:rsidRPr="00317ABF">
              <w:rPr>
                <w:b/>
                <w:sz w:val="22"/>
                <w:szCs w:val="22"/>
                <w:lang w:val="en-US"/>
              </w:rPr>
              <w:t>Art. 34</w:t>
            </w:r>
            <w:r w:rsidR="001E1112" w:rsidRPr="00317ABF">
              <w:rPr>
                <w:b/>
                <w:sz w:val="22"/>
                <w:szCs w:val="22"/>
                <w:lang w:val="en-US"/>
              </w:rPr>
              <w:t xml:space="preserve"> pkt 2</w:t>
            </w:r>
            <w:r w:rsidR="00F176E6" w:rsidRPr="00317ABF">
              <w:rPr>
                <w:b/>
                <w:sz w:val="22"/>
                <w:szCs w:val="22"/>
                <w:lang w:val="en-US"/>
              </w:rPr>
              <w:t>4 lit. h</w:t>
            </w:r>
          </w:p>
          <w:p w14:paraId="08EA02C0" w14:textId="77777777" w:rsidR="001E1112" w:rsidRPr="00317ABF" w:rsidRDefault="001E1112" w:rsidP="00DB3BEC">
            <w:pPr>
              <w:pStyle w:val="Tekstpodstawowy"/>
              <w:rPr>
                <w:sz w:val="22"/>
                <w:szCs w:val="22"/>
                <w:lang w:val="en-US"/>
              </w:rPr>
            </w:pPr>
          </w:p>
          <w:p w14:paraId="147835C7" w14:textId="77777777" w:rsidR="001E1112" w:rsidRPr="00317ABF" w:rsidRDefault="001E1112" w:rsidP="00DB3BEC">
            <w:pPr>
              <w:pStyle w:val="Tekstpodstawowy"/>
              <w:rPr>
                <w:sz w:val="22"/>
                <w:szCs w:val="22"/>
                <w:lang w:val="en-US"/>
              </w:rPr>
            </w:pPr>
          </w:p>
          <w:p w14:paraId="62B3C558" w14:textId="77777777" w:rsidR="001E1112" w:rsidRPr="00317ABF" w:rsidRDefault="001E1112" w:rsidP="00DB3BEC">
            <w:pPr>
              <w:pStyle w:val="Tekstpodstawowy"/>
              <w:rPr>
                <w:b/>
                <w:bCs/>
                <w:sz w:val="22"/>
                <w:szCs w:val="22"/>
                <w:lang w:val="en-US"/>
              </w:rPr>
            </w:pPr>
          </w:p>
          <w:p w14:paraId="25A6A7B3" w14:textId="77777777" w:rsidR="001E1112" w:rsidRPr="00317ABF" w:rsidRDefault="001E1112" w:rsidP="00DB3BEC">
            <w:pPr>
              <w:pStyle w:val="Tekstpodstawowy"/>
              <w:rPr>
                <w:b/>
                <w:bCs/>
                <w:sz w:val="22"/>
                <w:szCs w:val="22"/>
                <w:lang w:val="en-US"/>
              </w:rPr>
            </w:pPr>
          </w:p>
          <w:p w14:paraId="057C32A2" w14:textId="77777777" w:rsidR="001E1112" w:rsidRPr="00317ABF" w:rsidRDefault="001E1112" w:rsidP="00DB3BEC">
            <w:pPr>
              <w:pStyle w:val="Tekstpodstawowy"/>
              <w:rPr>
                <w:b/>
                <w:bCs/>
                <w:sz w:val="22"/>
                <w:szCs w:val="22"/>
                <w:lang w:val="en-US"/>
              </w:rPr>
            </w:pPr>
          </w:p>
          <w:p w14:paraId="08AF1199" w14:textId="77777777" w:rsidR="001E1112" w:rsidRPr="00317ABF" w:rsidRDefault="001E1112" w:rsidP="00DB3BEC">
            <w:pPr>
              <w:pStyle w:val="Tekstpodstawowy"/>
              <w:rPr>
                <w:b/>
                <w:bCs/>
                <w:sz w:val="22"/>
                <w:szCs w:val="22"/>
                <w:lang w:val="en-US"/>
              </w:rPr>
            </w:pPr>
          </w:p>
          <w:p w14:paraId="3F42DC85" w14:textId="77777777" w:rsidR="001E1112" w:rsidRPr="00317ABF" w:rsidRDefault="001E1112" w:rsidP="00DB3BEC">
            <w:pPr>
              <w:pStyle w:val="Tekstpodstawowy"/>
              <w:rPr>
                <w:b/>
                <w:bCs/>
                <w:sz w:val="22"/>
                <w:szCs w:val="22"/>
                <w:lang w:val="en-US"/>
              </w:rPr>
            </w:pPr>
          </w:p>
          <w:p w14:paraId="0312AE2A" w14:textId="77777777" w:rsidR="001E1112" w:rsidRPr="00317ABF" w:rsidRDefault="001E1112" w:rsidP="00DB3BEC">
            <w:pPr>
              <w:pStyle w:val="Tekstpodstawowy"/>
              <w:rPr>
                <w:b/>
                <w:bCs/>
                <w:sz w:val="22"/>
                <w:szCs w:val="22"/>
                <w:lang w:val="en-US"/>
              </w:rPr>
            </w:pPr>
          </w:p>
          <w:p w14:paraId="4E9C33C5" w14:textId="1DB13065" w:rsidR="001E1112" w:rsidRPr="00317ABF" w:rsidRDefault="001E1112" w:rsidP="00DB3BEC">
            <w:pPr>
              <w:pStyle w:val="Tekstpodstawowy"/>
              <w:rPr>
                <w:sz w:val="22"/>
                <w:szCs w:val="22"/>
                <w:lang w:val="en-US"/>
              </w:rPr>
            </w:pPr>
          </w:p>
          <w:p w14:paraId="3A728D84" w14:textId="30AC38DB" w:rsidR="001E1112" w:rsidRPr="00317ABF" w:rsidRDefault="00AD11B0" w:rsidP="00F176E6">
            <w:pPr>
              <w:pStyle w:val="Tekstpodstawowy"/>
              <w:rPr>
                <w:b/>
                <w:sz w:val="22"/>
                <w:szCs w:val="22"/>
                <w:lang w:val="en-US"/>
              </w:rPr>
            </w:pPr>
            <w:r w:rsidRPr="00317ABF">
              <w:rPr>
                <w:b/>
                <w:sz w:val="22"/>
                <w:szCs w:val="22"/>
                <w:lang w:val="en-US"/>
              </w:rPr>
              <w:t>Art. 34</w:t>
            </w:r>
            <w:r w:rsidR="001E1112" w:rsidRPr="00317ABF">
              <w:rPr>
                <w:b/>
                <w:sz w:val="22"/>
                <w:szCs w:val="22"/>
                <w:lang w:val="en-US"/>
              </w:rPr>
              <w:t xml:space="preserve"> pkt 2</w:t>
            </w:r>
            <w:r w:rsidR="00F176E6" w:rsidRPr="00317ABF">
              <w:rPr>
                <w:b/>
                <w:sz w:val="22"/>
                <w:szCs w:val="22"/>
                <w:lang w:val="en-US"/>
              </w:rPr>
              <w:t>4</w:t>
            </w:r>
            <w:r w:rsidR="001E1112" w:rsidRPr="00317ABF">
              <w:rPr>
                <w:b/>
                <w:sz w:val="22"/>
                <w:szCs w:val="22"/>
                <w:lang w:val="en-US"/>
              </w:rPr>
              <w:t xml:space="preserve"> lit. j </w:t>
            </w:r>
          </w:p>
          <w:p w14:paraId="63A0829D" w14:textId="77777777" w:rsidR="001E1112" w:rsidRPr="00317ABF" w:rsidRDefault="001E1112" w:rsidP="00DB3BEC">
            <w:pPr>
              <w:pStyle w:val="Tekstpodstawowy"/>
              <w:rPr>
                <w:b/>
                <w:noProof/>
                <w:sz w:val="22"/>
                <w:szCs w:val="22"/>
              </w:rPr>
            </w:pPr>
          </w:p>
        </w:tc>
        <w:tc>
          <w:tcPr>
            <w:tcW w:w="6814" w:type="dxa"/>
            <w:gridSpan w:val="2"/>
          </w:tcPr>
          <w:p w14:paraId="3F6CFCE1" w14:textId="3C6D6AEE" w:rsidR="00F176E6" w:rsidRPr="00317ABF" w:rsidRDefault="00F176E6" w:rsidP="008149E9">
            <w:pPr>
              <w:pStyle w:val="ARTartustawynprozporzdzenia"/>
              <w:spacing w:line="240" w:lineRule="auto"/>
              <w:ind w:firstLine="0"/>
              <w:rPr>
                <w:rFonts w:ascii="Times New Roman" w:hAnsi="Times New Roman" w:cs="Times New Roman"/>
                <w:szCs w:val="24"/>
              </w:rPr>
            </w:pPr>
            <w:r w:rsidRPr="00317ABF">
              <w:rPr>
                <w:b/>
                <w:sz w:val="22"/>
                <w:szCs w:val="22"/>
              </w:rPr>
              <w:lastRenderedPageBreak/>
              <w:t>Art. 3</w:t>
            </w:r>
            <w:r w:rsidR="00AD11B0" w:rsidRPr="00317ABF">
              <w:rPr>
                <w:b/>
                <w:sz w:val="22"/>
                <w:szCs w:val="22"/>
              </w:rPr>
              <w:t>4</w:t>
            </w:r>
            <w:r w:rsidRPr="00317ABF">
              <w:rPr>
                <w:b/>
                <w:sz w:val="22"/>
                <w:szCs w:val="22"/>
              </w:rPr>
              <w:t xml:space="preserve"> pkt 24 lit. a</w:t>
            </w:r>
          </w:p>
          <w:p w14:paraId="64B1CABA" w14:textId="532E2B23" w:rsidR="008149E9" w:rsidRPr="00317ABF" w:rsidRDefault="008149E9" w:rsidP="008149E9">
            <w:pPr>
              <w:pStyle w:val="ARTartustawynprozporzdzenia"/>
              <w:spacing w:line="240" w:lineRule="auto"/>
              <w:ind w:firstLine="0"/>
              <w:rPr>
                <w:rFonts w:ascii="Times New Roman" w:hAnsi="Times New Roman" w:cs="Times New Roman"/>
                <w:szCs w:val="24"/>
              </w:rPr>
            </w:pPr>
            <w:r w:rsidRPr="00317ABF">
              <w:rPr>
                <w:rFonts w:ascii="Times New Roman" w:hAnsi="Times New Roman" w:cs="Times New Roman"/>
                <w:szCs w:val="24"/>
              </w:rPr>
              <w:t>a) w ust. 1:</w:t>
            </w:r>
          </w:p>
          <w:p w14:paraId="13BB2634" w14:textId="77777777" w:rsidR="008149E9" w:rsidRPr="00317ABF" w:rsidRDefault="008149E9" w:rsidP="008149E9">
            <w:pPr>
              <w:pStyle w:val="ARTartustawynprozporzdzenia"/>
              <w:spacing w:line="240" w:lineRule="auto"/>
              <w:rPr>
                <w:rFonts w:ascii="Times New Roman" w:hAnsi="Times New Roman" w:cs="Times New Roman"/>
                <w:szCs w:val="24"/>
              </w:rPr>
            </w:pPr>
            <w:r w:rsidRPr="00317ABF">
              <w:rPr>
                <w:rFonts w:ascii="Times New Roman" w:hAnsi="Times New Roman" w:cs="Times New Roman"/>
                <w:szCs w:val="24"/>
              </w:rPr>
              <w:t>- pkt 1 otrzymuje brzmienie:</w:t>
            </w:r>
          </w:p>
          <w:p w14:paraId="0DB54A32" w14:textId="77777777" w:rsidR="008149E9" w:rsidRPr="00317ABF" w:rsidRDefault="008149E9" w:rsidP="008149E9">
            <w:pPr>
              <w:pStyle w:val="ARTartustawynprozporzdzenia"/>
              <w:spacing w:line="240" w:lineRule="auto"/>
              <w:rPr>
                <w:rFonts w:ascii="Times New Roman" w:hAnsi="Times New Roman" w:cs="Times New Roman"/>
                <w:szCs w:val="24"/>
              </w:rPr>
            </w:pPr>
            <w:r w:rsidRPr="00317ABF">
              <w:rPr>
                <w:rFonts w:ascii="Times New Roman" w:hAnsi="Times New Roman" w:cs="Times New Roman"/>
                <w:szCs w:val="24"/>
              </w:rPr>
              <w:t>„1) informacje o usługach transmisji danych zapewniających szerokopasmowy dostęp do Internetu oraz świadczonych z nimi w pakiecie, w oparciu o infrastrukturę telekomunikacyjną i publiczne sieci telekomunikacyjne zapewniające szerokopasmowy dostęp do Internetu, usługach  komunikacji głosowej i usługach rozprowadzania programów radiowych i telewizyjnych;”,</w:t>
            </w:r>
          </w:p>
          <w:p w14:paraId="7EEC2791" w14:textId="77777777" w:rsidR="008149E9" w:rsidRPr="00317ABF" w:rsidRDefault="008149E9" w:rsidP="008149E9">
            <w:pPr>
              <w:pStyle w:val="ARTartustawynprozporzdzenia"/>
              <w:spacing w:line="240" w:lineRule="auto"/>
              <w:rPr>
                <w:rFonts w:ascii="Times New Roman" w:hAnsi="Times New Roman" w:cs="Times New Roman"/>
                <w:szCs w:val="24"/>
              </w:rPr>
            </w:pPr>
            <w:r w:rsidRPr="00317ABF">
              <w:rPr>
                <w:rFonts w:ascii="Times New Roman" w:hAnsi="Times New Roman" w:cs="Times New Roman"/>
                <w:szCs w:val="24"/>
              </w:rPr>
              <w:t>- po pkt 2 kropkę zastępuje się średnikiem i dodaje pkt 3 w brzmieniu:</w:t>
            </w:r>
          </w:p>
          <w:p w14:paraId="44B6E9D9" w14:textId="16754DBE" w:rsidR="008149E9" w:rsidRPr="00317ABF" w:rsidRDefault="008149E9" w:rsidP="008149E9">
            <w:pPr>
              <w:pStyle w:val="ARTartustawynprozporzdzenia"/>
              <w:spacing w:line="240" w:lineRule="auto"/>
              <w:rPr>
                <w:rFonts w:ascii="Times New Roman" w:hAnsi="Times New Roman" w:cs="Times New Roman"/>
                <w:szCs w:val="24"/>
              </w:rPr>
            </w:pPr>
            <w:r w:rsidRPr="00317ABF">
              <w:rPr>
                <w:rFonts w:ascii="Times New Roman" w:hAnsi="Times New Roman" w:cs="Times New Roman"/>
                <w:szCs w:val="24"/>
              </w:rPr>
              <w:t>„3) informacje o planowanej infrastrukturze telekomunikacyjnej i publicznych sieciach telekomunikacyjnych, które zapewnią lub umożliwią zapewnienie szerokopasmowego dostępu do Internetu o przepustowości co najmniej 100 Mb/s w ciągu 3 lat.”,</w:t>
            </w:r>
          </w:p>
          <w:p w14:paraId="0D1FC280" w14:textId="77777777" w:rsidR="008149E9" w:rsidRPr="00317ABF" w:rsidRDefault="008149E9" w:rsidP="008149E9">
            <w:pPr>
              <w:pStyle w:val="ARTartustawynprozporzdzenia"/>
              <w:spacing w:line="240" w:lineRule="auto"/>
              <w:rPr>
                <w:rFonts w:ascii="Times New Roman" w:hAnsi="Times New Roman" w:cs="Times New Roman"/>
                <w:szCs w:val="24"/>
              </w:rPr>
            </w:pPr>
          </w:p>
          <w:p w14:paraId="28F60163" w14:textId="4010B7F4" w:rsidR="001E1112" w:rsidRPr="00317ABF" w:rsidRDefault="008149E9" w:rsidP="00F176E6">
            <w:pPr>
              <w:pStyle w:val="ARTartustawynprozporzdzenia"/>
              <w:spacing w:line="240" w:lineRule="auto"/>
              <w:ind w:firstLine="0"/>
              <w:rPr>
                <w:rFonts w:ascii="Times New Roman" w:hAnsi="Times New Roman" w:cs="Times New Roman"/>
                <w:szCs w:val="24"/>
                <w:lang w:val="en-GB"/>
              </w:rPr>
            </w:pPr>
            <w:r w:rsidRPr="00317ABF">
              <w:rPr>
                <w:b/>
                <w:sz w:val="22"/>
                <w:szCs w:val="22"/>
                <w:lang w:val="en-US"/>
              </w:rPr>
              <w:t>Art. 3</w:t>
            </w:r>
            <w:r w:rsidR="00AD11B0" w:rsidRPr="00317ABF">
              <w:rPr>
                <w:b/>
                <w:sz w:val="22"/>
                <w:szCs w:val="22"/>
                <w:lang w:val="en-US"/>
              </w:rPr>
              <w:t>4</w:t>
            </w:r>
            <w:r w:rsidRPr="00317ABF">
              <w:rPr>
                <w:b/>
                <w:sz w:val="22"/>
                <w:szCs w:val="22"/>
                <w:lang w:val="en-US"/>
              </w:rPr>
              <w:t xml:space="preserve"> pkt 24 lit. b tiret trzecie</w:t>
            </w:r>
          </w:p>
          <w:p w14:paraId="39B0FF2F" w14:textId="77777777" w:rsidR="008149E9" w:rsidRPr="00317ABF" w:rsidRDefault="008149E9" w:rsidP="008149E9">
            <w:pPr>
              <w:pStyle w:val="ARTartustawynprozporzdzenia"/>
              <w:spacing w:line="240" w:lineRule="auto"/>
              <w:rPr>
                <w:rFonts w:ascii="Times New Roman" w:hAnsi="Times New Roman" w:cs="Times New Roman"/>
                <w:szCs w:val="24"/>
              </w:rPr>
            </w:pPr>
            <w:r w:rsidRPr="00317ABF">
              <w:rPr>
                <w:rFonts w:ascii="Times New Roman" w:hAnsi="Times New Roman" w:cs="Times New Roman"/>
                <w:szCs w:val="24"/>
              </w:rPr>
              <w:t>– część wspólna otrzymuje brzmienie:</w:t>
            </w:r>
          </w:p>
          <w:p w14:paraId="563A82BE" w14:textId="7D23595C" w:rsidR="008149E9" w:rsidRPr="00317ABF" w:rsidRDefault="008149E9" w:rsidP="008149E9">
            <w:pPr>
              <w:pStyle w:val="ARTartustawynprozporzdzenia"/>
              <w:spacing w:line="240" w:lineRule="auto"/>
              <w:rPr>
                <w:rFonts w:ascii="Times New Roman" w:hAnsi="Times New Roman" w:cs="Times New Roman"/>
                <w:szCs w:val="24"/>
              </w:rPr>
            </w:pPr>
            <w:r w:rsidRPr="00317ABF">
              <w:rPr>
                <w:rFonts w:ascii="Times New Roman" w:hAnsi="Times New Roman" w:cs="Times New Roman"/>
                <w:szCs w:val="24"/>
              </w:rPr>
              <w:t xml:space="preserve">„– przekazują aktualne, zgodne ze stanem faktycznym, kompletne oraz adekwatne do potrzeb wykonania obowiązku, o </w:t>
            </w:r>
            <w:r w:rsidRPr="00317ABF">
              <w:rPr>
                <w:rFonts w:ascii="Times New Roman" w:hAnsi="Times New Roman" w:cs="Times New Roman"/>
                <w:szCs w:val="24"/>
              </w:rPr>
              <w:lastRenderedPageBreak/>
              <w:t>którym mowa w ust. 1, informacje o posiadanej infrastrukturze telekomunikacyjnej, publicznych sieciach telekomunikacyjnych, budynkach umożliwiających kolokację, świadczonych usługach transmisji danych zapewniających szerokopasmowy dostęp do Internetu, usługach komunikacji głosowej i usługach rozprowadzania programów radiowych i telewizyjnych świadczonych w pakiecie z usługami transmisji danych zapewniających szerokopasmowy dostęp do Internetu, a także informacje o planowanej infrastrukturze telekomunikacyjnej i publicznych sieciach telekomunikacyjnych, które zapewnią lub umożliwią zapewnienie szerokopasmowego dostępu do Internetu o przepustowości co najmniej 100 Mb/s w ciągu 3 lat, oraz aktualizują je corocznie w terminie do dnia 31 marca, według stanu na dzień 31 grudnia poprzedniego roku.”,</w:t>
            </w:r>
          </w:p>
          <w:p w14:paraId="0B70153A" w14:textId="77777777" w:rsidR="008149E9" w:rsidRPr="00317ABF" w:rsidRDefault="008149E9" w:rsidP="008149E9">
            <w:pPr>
              <w:pStyle w:val="ARTartustawynprozporzdzenia"/>
              <w:spacing w:line="240" w:lineRule="auto"/>
              <w:ind w:firstLine="0"/>
              <w:rPr>
                <w:b/>
                <w:sz w:val="22"/>
                <w:szCs w:val="22"/>
              </w:rPr>
            </w:pPr>
          </w:p>
          <w:p w14:paraId="7E0E1407" w14:textId="3B9309A9" w:rsidR="008149E9" w:rsidRPr="00317ABF" w:rsidRDefault="008149E9" w:rsidP="00F176E6">
            <w:pPr>
              <w:pStyle w:val="ARTartustawynprozporzdzenia"/>
              <w:spacing w:line="240" w:lineRule="auto"/>
              <w:ind w:firstLine="0"/>
              <w:rPr>
                <w:rFonts w:ascii="Times New Roman" w:hAnsi="Times New Roman" w:cs="Times New Roman"/>
                <w:szCs w:val="24"/>
              </w:rPr>
            </w:pPr>
            <w:r w:rsidRPr="00317ABF">
              <w:rPr>
                <w:b/>
                <w:sz w:val="22"/>
                <w:szCs w:val="22"/>
              </w:rPr>
              <w:t>Art. 3</w:t>
            </w:r>
            <w:r w:rsidR="00AD11B0" w:rsidRPr="00317ABF">
              <w:rPr>
                <w:b/>
                <w:sz w:val="22"/>
                <w:szCs w:val="22"/>
              </w:rPr>
              <w:t>4</w:t>
            </w:r>
            <w:r w:rsidRPr="00317ABF">
              <w:rPr>
                <w:b/>
                <w:sz w:val="22"/>
                <w:szCs w:val="22"/>
              </w:rPr>
              <w:t xml:space="preserve"> pkt 24 lit. c </w:t>
            </w:r>
          </w:p>
          <w:p w14:paraId="5666EBD2" w14:textId="77777777" w:rsidR="008149E9" w:rsidRPr="00317ABF" w:rsidRDefault="008149E9" w:rsidP="00F176E6">
            <w:pPr>
              <w:pStyle w:val="ARTartustawynprozporzdzenia"/>
              <w:spacing w:before="0" w:line="240" w:lineRule="auto"/>
              <w:ind w:firstLine="0"/>
              <w:rPr>
                <w:rFonts w:ascii="Times New Roman" w:hAnsi="Times New Roman" w:cs="Times New Roman"/>
                <w:szCs w:val="24"/>
              </w:rPr>
            </w:pPr>
            <w:r w:rsidRPr="00317ABF">
              <w:rPr>
                <w:rFonts w:ascii="Times New Roman" w:hAnsi="Times New Roman" w:cs="Times New Roman"/>
                <w:szCs w:val="24"/>
              </w:rPr>
              <w:t xml:space="preserve">c) </w:t>
            </w:r>
            <w:r w:rsidRPr="00317ABF">
              <w:rPr>
                <w:rFonts w:ascii="Times New Roman" w:hAnsi="Times New Roman" w:cs="Times New Roman"/>
                <w:szCs w:val="24"/>
              </w:rPr>
              <w:tab/>
              <w:t>ust. 2b otrzymuje brzmienie:</w:t>
            </w:r>
          </w:p>
          <w:p w14:paraId="4571B1A7" w14:textId="77777777" w:rsidR="008149E9" w:rsidRPr="00317ABF" w:rsidRDefault="008149E9" w:rsidP="00F176E6">
            <w:pPr>
              <w:pStyle w:val="ARTartustawynprozporzdzenia"/>
              <w:spacing w:before="0" w:line="240" w:lineRule="auto"/>
              <w:rPr>
                <w:rFonts w:ascii="Times New Roman" w:hAnsi="Times New Roman" w:cs="Times New Roman"/>
                <w:szCs w:val="24"/>
              </w:rPr>
            </w:pPr>
            <w:r w:rsidRPr="00317ABF">
              <w:rPr>
                <w:rFonts w:ascii="Times New Roman" w:hAnsi="Times New Roman" w:cs="Times New Roman"/>
                <w:szCs w:val="24"/>
              </w:rPr>
              <w:t xml:space="preserve">„2b. Podmioty, o których mowa w ust. 2, które nie posiadają infrastruktury telekomunikacyjnej, publicznych sieci telekomunikacyjnych, budynków umożliwiających kolokację i nie świadczą usług transmisji danych zapewniających szerokopasmowy dostęp do Internetu ani usług  komunikacji głosowej i usług rozprowadzania programów radiowych i telewizyjnych, lub nie planują infrastruktury telekomunikacyjnej i publicznych sieci telekomunikacyjnych, które zapewnią lub umożliwią zapewnienie szerokopasmowego dostępu do Internetu o przepustowości co najmniej 100 Mb/s w ciągu 3 lat, przekazują Prezesowi UKE corocznie w terminie do dnia 28 lutego według stanu na dzień 31 grudnia poprzedniego roku, oświadczenie, że nie posiadają infrastruktury telekomunikacyjnej, publicznych sieci telekomunikacyjnych, budynków umożliwiających kolokację i nie świadczą usług transmisji danych zapewniających szerokopasmowy dostęp do Internetu ani usług  komunikacji głosowej i usług rozprowadzania programów radiowych i telewizyjnych lub nie planują infrastruktury telekomunikacyjnej i publicznych sieci telekomunikacyjnych, które zapewnią lub umożliwią zapewnienie </w:t>
            </w:r>
            <w:r w:rsidRPr="00317ABF">
              <w:rPr>
                <w:rFonts w:ascii="Times New Roman" w:hAnsi="Times New Roman" w:cs="Times New Roman"/>
                <w:szCs w:val="24"/>
              </w:rPr>
              <w:lastRenderedPageBreak/>
              <w:t>szerokopasmowego dostępu do Internetu o przepustowości co najmniej 100 Mb/s w ciągu 3 lat.”,</w:t>
            </w:r>
          </w:p>
          <w:p w14:paraId="15766F96" w14:textId="77777777" w:rsidR="00F176E6" w:rsidRPr="00317ABF" w:rsidRDefault="00F176E6" w:rsidP="00F176E6">
            <w:pPr>
              <w:pStyle w:val="ARTartustawynprozporzdzenia"/>
              <w:spacing w:line="240" w:lineRule="auto"/>
              <w:ind w:firstLine="0"/>
              <w:rPr>
                <w:b/>
                <w:sz w:val="22"/>
                <w:szCs w:val="22"/>
              </w:rPr>
            </w:pPr>
          </w:p>
          <w:p w14:paraId="08AC7187" w14:textId="780ED76B" w:rsidR="00F176E6" w:rsidRPr="00317ABF" w:rsidRDefault="00F176E6" w:rsidP="008149E9">
            <w:pPr>
              <w:pStyle w:val="ARTartustawynprozporzdzenia"/>
              <w:spacing w:line="240" w:lineRule="auto"/>
              <w:ind w:firstLine="0"/>
              <w:rPr>
                <w:rFonts w:ascii="Times New Roman" w:hAnsi="Times New Roman" w:cs="Times New Roman"/>
                <w:szCs w:val="24"/>
              </w:rPr>
            </w:pPr>
            <w:r w:rsidRPr="00317ABF">
              <w:rPr>
                <w:b/>
                <w:sz w:val="22"/>
                <w:szCs w:val="22"/>
              </w:rPr>
              <w:t>Art. 3</w:t>
            </w:r>
            <w:r w:rsidR="00AD11B0" w:rsidRPr="00317ABF">
              <w:rPr>
                <w:b/>
                <w:sz w:val="22"/>
                <w:szCs w:val="22"/>
              </w:rPr>
              <w:t>4</w:t>
            </w:r>
            <w:r w:rsidRPr="00317ABF">
              <w:rPr>
                <w:b/>
                <w:sz w:val="22"/>
                <w:szCs w:val="22"/>
              </w:rPr>
              <w:t xml:space="preserve"> pkt 24 lit. h </w:t>
            </w:r>
          </w:p>
          <w:p w14:paraId="441A055B" w14:textId="77777777" w:rsidR="00F176E6" w:rsidRPr="00317ABF" w:rsidRDefault="00F176E6" w:rsidP="00F176E6">
            <w:pPr>
              <w:pStyle w:val="ARTartustawynprozporzdzenia"/>
              <w:spacing w:before="0" w:line="240" w:lineRule="auto"/>
              <w:ind w:firstLine="0"/>
              <w:rPr>
                <w:rFonts w:ascii="Times New Roman" w:hAnsi="Times New Roman" w:cs="Times New Roman"/>
                <w:szCs w:val="24"/>
              </w:rPr>
            </w:pPr>
            <w:r w:rsidRPr="00317ABF">
              <w:rPr>
                <w:rFonts w:ascii="Times New Roman" w:hAnsi="Times New Roman" w:cs="Times New Roman"/>
                <w:szCs w:val="24"/>
              </w:rPr>
              <w:t>h) ust. 6a otrzymuje brzmienie:</w:t>
            </w:r>
          </w:p>
          <w:p w14:paraId="354C4B34" w14:textId="77777777" w:rsidR="00F176E6" w:rsidRPr="00317ABF" w:rsidRDefault="00F176E6" w:rsidP="00F176E6">
            <w:pPr>
              <w:pStyle w:val="ARTartustawynprozporzdzenia"/>
              <w:spacing w:before="0" w:line="240" w:lineRule="auto"/>
              <w:rPr>
                <w:rFonts w:ascii="Times New Roman" w:hAnsi="Times New Roman" w:cs="Times New Roman"/>
                <w:szCs w:val="24"/>
              </w:rPr>
            </w:pPr>
            <w:r w:rsidRPr="00317ABF">
              <w:rPr>
                <w:rFonts w:ascii="Times New Roman" w:hAnsi="Times New Roman" w:cs="Times New Roman"/>
                <w:szCs w:val="24"/>
              </w:rPr>
              <w:t>„6a. Informacje, o których mowa w ust. 2, oraz informacje wynikające ze zgłoszeń, o których mowa w ust. 5c, Prezes UKE może wykorzystywać w zakresie niezbędnym do wykonywania jego uprawnień i obowiązków określonych w art. 414 ust. 1 ustawy z dnia … 2021 r. – Prawo komunikacji elektronicznej.”,</w:t>
            </w:r>
          </w:p>
          <w:p w14:paraId="60B2B3F6" w14:textId="77777777" w:rsidR="001E1112" w:rsidRPr="00317ABF" w:rsidRDefault="001E1112" w:rsidP="00DB3BEC">
            <w:pPr>
              <w:pStyle w:val="Tekstpodstawowy"/>
              <w:rPr>
                <w:sz w:val="22"/>
                <w:szCs w:val="22"/>
              </w:rPr>
            </w:pPr>
          </w:p>
          <w:p w14:paraId="42AEBDAF" w14:textId="77777777" w:rsidR="001E1112" w:rsidRPr="00317ABF" w:rsidRDefault="001E1112" w:rsidP="00DB3BEC">
            <w:pPr>
              <w:pStyle w:val="Tekstpodstawowy"/>
              <w:rPr>
                <w:sz w:val="22"/>
                <w:szCs w:val="22"/>
              </w:rPr>
            </w:pPr>
          </w:p>
          <w:p w14:paraId="44AFA9D5" w14:textId="0F3B2AF6" w:rsidR="001E1112" w:rsidRPr="00317ABF" w:rsidRDefault="00F176E6" w:rsidP="00DB3BEC">
            <w:pPr>
              <w:pStyle w:val="Tekstpodstawowy"/>
              <w:rPr>
                <w:b/>
                <w:sz w:val="22"/>
                <w:szCs w:val="22"/>
              </w:rPr>
            </w:pPr>
            <w:r w:rsidRPr="00317ABF">
              <w:rPr>
                <w:b/>
                <w:sz w:val="22"/>
                <w:szCs w:val="22"/>
              </w:rPr>
              <w:t>Art. 3</w:t>
            </w:r>
            <w:r w:rsidR="00AD11B0" w:rsidRPr="00317ABF">
              <w:rPr>
                <w:b/>
                <w:sz w:val="22"/>
                <w:szCs w:val="22"/>
              </w:rPr>
              <w:t>4</w:t>
            </w:r>
            <w:r w:rsidRPr="00317ABF">
              <w:rPr>
                <w:b/>
                <w:sz w:val="22"/>
                <w:szCs w:val="22"/>
              </w:rPr>
              <w:t xml:space="preserve"> pkt 24 lit. j </w:t>
            </w:r>
          </w:p>
          <w:p w14:paraId="430B183B" w14:textId="77777777" w:rsidR="00F176E6" w:rsidRPr="00317ABF" w:rsidRDefault="00F176E6" w:rsidP="00F176E6">
            <w:pPr>
              <w:pStyle w:val="ARTartustawynprozporzdzenia"/>
              <w:spacing w:line="240" w:lineRule="auto"/>
              <w:rPr>
                <w:rFonts w:ascii="Times New Roman" w:hAnsi="Times New Roman" w:cs="Times New Roman"/>
                <w:szCs w:val="24"/>
              </w:rPr>
            </w:pPr>
            <w:r w:rsidRPr="00317ABF">
              <w:rPr>
                <w:rFonts w:ascii="Times New Roman" w:hAnsi="Times New Roman" w:cs="Times New Roman"/>
                <w:szCs w:val="24"/>
              </w:rPr>
              <w:t xml:space="preserve">j) </w:t>
            </w:r>
            <w:r w:rsidRPr="00317ABF">
              <w:rPr>
                <w:rFonts w:ascii="Times New Roman" w:hAnsi="Times New Roman" w:cs="Times New Roman"/>
                <w:szCs w:val="24"/>
              </w:rPr>
              <w:tab/>
              <w:t xml:space="preserve">w ust. 7: </w:t>
            </w:r>
          </w:p>
          <w:p w14:paraId="1BAD7A95" w14:textId="77777777" w:rsidR="00F176E6" w:rsidRPr="00317ABF" w:rsidRDefault="00F176E6" w:rsidP="00F176E6">
            <w:pPr>
              <w:pStyle w:val="ARTartustawynprozporzdzenia"/>
              <w:spacing w:line="240" w:lineRule="auto"/>
              <w:rPr>
                <w:rFonts w:ascii="Times New Roman" w:hAnsi="Times New Roman" w:cs="Times New Roman"/>
                <w:szCs w:val="24"/>
              </w:rPr>
            </w:pPr>
            <w:r w:rsidRPr="00317ABF">
              <w:rPr>
                <w:rFonts w:ascii="Times New Roman" w:hAnsi="Times New Roman" w:cs="Times New Roman"/>
                <w:szCs w:val="24"/>
              </w:rPr>
              <w:t>–</w:t>
            </w:r>
            <w:r w:rsidRPr="00317ABF">
              <w:rPr>
                <w:rFonts w:ascii="Times New Roman" w:hAnsi="Times New Roman" w:cs="Times New Roman"/>
                <w:szCs w:val="24"/>
              </w:rPr>
              <w:tab/>
              <w:t>pkt 1 otrzymuje brzmienie:</w:t>
            </w:r>
          </w:p>
          <w:p w14:paraId="6944763A" w14:textId="77777777" w:rsidR="00F176E6" w:rsidRPr="00317ABF" w:rsidRDefault="00F176E6" w:rsidP="00F176E6">
            <w:pPr>
              <w:pStyle w:val="ARTartustawynprozporzdzenia"/>
              <w:spacing w:line="240" w:lineRule="auto"/>
              <w:rPr>
                <w:rFonts w:ascii="Times New Roman" w:hAnsi="Times New Roman" w:cs="Times New Roman"/>
                <w:szCs w:val="24"/>
              </w:rPr>
            </w:pPr>
            <w:r w:rsidRPr="00317ABF">
              <w:rPr>
                <w:rFonts w:ascii="Times New Roman" w:hAnsi="Times New Roman" w:cs="Times New Roman"/>
                <w:szCs w:val="24"/>
              </w:rPr>
              <w:t>„1)</w:t>
            </w:r>
            <w:r w:rsidRPr="00317ABF">
              <w:rPr>
                <w:rFonts w:ascii="Times New Roman" w:hAnsi="Times New Roman" w:cs="Times New Roman"/>
                <w:szCs w:val="24"/>
              </w:rPr>
              <w:tab/>
            </w:r>
            <w:r w:rsidRPr="00317ABF">
              <w:rPr>
                <w:rFonts w:ascii="Times New Roman" w:hAnsi="Times New Roman" w:cs="Times New Roman"/>
                <w:szCs w:val="24"/>
              </w:rPr>
              <w:tab/>
              <w:t>rodzaj infrastruktury oraz informacje o świadczonych, usługach transmisji danych zapewniających szerokopasmowy dostęp do Internetu, informacje o świadczonych w pakiecie z tymi usługami usługach komunikacji głosowej i usługach rozprowadzania programów radiowych i telewizyjnych oraz informacje o planowanej infrastrukturze telekomunikacyjnej i publicznych sieciach telekomunikacyjnych, podlegających inwentaryzacji i skalę map, na których dokonuje się inwentaryzacji, o której mowa w ust. 1,”,</w:t>
            </w:r>
          </w:p>
          <w:p w14:paraId="02786F95" w14:textId="77777777" w:rsidR="00F176E6" w:rsidRPr="00317ABF" w:rsidRDefault="00F176E6" w:rsidP="00F176E6">
            <w:pPr>
              <w:pStyle w:val="ARTartustawynprozporzdzenia"/>
              <w:spacing w:line="240" w:lineRule="auto"/>
              <w:rPr>
                <w:rFonts w:ascii="Times New Roman" w:hAnsi="Times New Roman" w:cs="Times New Roman"/>
                <w:szCs w:val="24"/>
              </w:rPr>
            </w:pPr>
            <w:r w:rsidRPr="00317ABF">
              <w:rPr>
                <w:rFonts w:ascii="Times New Roman" w:hAnsi="Times New Roman" w:cs="Times New Roman"/>
                <w:szCs w:val="24"/>
              </w:rPr>
              <w:t xml:space="preserve">– </w:t>
            </w:r>
            <w:r w:rsidRPr="00317ABF">
              <w:rPr>
                <w:rFonts w:ascii="Times New Roman" w:hAnsi="Times New Roman" w:cs="Times New Roman"/>
                <w:szCs w:val="24"/>
              </w:rPr>
              <w:tab/>
              <w:t>część wspólna otrzymuje brzmienie:</w:t>
            </w:r>
          </w:p>
          <w:p w14:paraId="0A3F0763" w14:textId="120E6584" w:rsidR="001E1112" w:rsidRPr="00317ABF" w:rsidRDefault="00F176E6" w:rsidP="00F176E6">
            <w:pPr>
              <w:pStyle w:val="ARTartustawynprozporzdzenia"/>
              <w:spacing w:line="240" w:lineRule="auto"/>
              <w:rPr>
                <w:rFonts w:ascii="Times New Roman" w:hAnsi="Times New Roman" w:cs="Times New Roman"/>
                <w:szCs w:val="24"/>
              </w:rPr>
            </w:pPr>
            <w:r w:rsidRPr="00317ABF">
              <w:rPr>
                <w:rFonts w:ascii="Times New Roman" w:hAnsi="Times New Roman" w:cs="Times New Roman"/>
                <w:szCs w:val="24"/>
              </w:rPr>
              <w:t xml:space="preserve">„– kierując się potrzebą zapewnienia szczegółowego, rzetelnego i wiarygodnego zbioru informacji o jakości istniejącej lub planowanej infrastruktury telekomunikacyjnej, publicznych sieci telekomunikacyjnych zapewniających lub umożliwiających zapewnienie szerokopasmowego dostępu do Internetu oraz świadczonych usług transmisji danych zapewniających szerokopasmowy dostęp do Internetu oraz usług komunikacji głosowej  i usług rozprowadzania programów radiowych i </w:t>
            </w:r>
            <w:r w:rsidRPr="00317ABF">
              <w:rPr>
                <w:rFonts w:ascii="Times New Roman" w:hAnsi="Times New Roman" w:cs="Times New Roman"/>
                <w:szCs w:val="24"/>
              </w:rPr>
              <w:lastRenderedPageBreak/>
              <w:t>telewizyjnych świadczonych w pakiecie z usługami transmisji danych zapewniających szerokopasmowy dostęp do Internetu, a także potrzebą usprawnienia i ujednolicenia procesu przekazywania danych.”;</w:t>
            </w:r>
          </w:p>
          <w:p w14:paraId="2F0B23BA" w14:textId="77777777" w:rsidR="001E1112" w:rsidRPr="00317ABF" w:rsidRDefault="001E1112" w:rsidP="00DB3BEC">
            <w:pPr>
              <w:pStyle w:val="Tekstpodstawowy"/>
              <w:rPr>
                <w:sz w:val="22"/>
                <w:szCs w:val="22"/>
              </w:rPr>
            </w:pPr>
          </w:p>
          <w:p w14:paraId="39CA8924" w14:textId="77777777" w:rsidR="001E1112" w:rsidRPr="00317ABF" w:rsidRDefault="001E1112" w:rsidP="00F176E6">
            <w:pPr>
              <w:pStyle w:val="Tekstpodstawowy"/>
              <w:rPr>
                <w:sz w:val="22"/>
                <w:szCs w:val="22"/>
              </w:rPr>
            </w:pPr>
          </w:p>
        </w:tc>
      </w:tr>
      <w:tr w:rsidR="001E1112" w:rsidRPr="00317ABF" w14:paraId="4DF212DB" w14:textId="77777777" w:rsidTr="7753F98D">
        <w:trPr>
          <w:gridAfter w:val="2"/>
          <w:wAfter w:w="175" w:type="dxa"/>
        </w:trPr>
        <w:tc>
          <w:tcPr>
            <w:tcW w:w="704" w:type="dxa"/>
          </w:tcPr>
          <w:p w14:paraId="2B1FA2DE" w14:textId="77777777" w:rsidR="001E1112" w:rsidRPr="00317ABF" w:rsidRDefault="001E1112" w:rsidP="00DB3BEC">
            <w:pPr>
              <w:jc w:val="both"/>
              <w:rPr>
                <w:sz w:val="22"/>
                <w:szCs w:val="22"/>
              </w:rPr>
            </w:pPr>
            <w:r w:rsidRPr="00317ABF">
              <w:rPr>
                <w:sz w:val="22"/>
                <w:szCs w:val="22"/>
              </w:rPr>
              <w:lastRenderedPageBreak/>
              <w:t>Art. 22 ust. 2</w:t>
            </w:r>
          </w:p>
        </w:tc>
        <w:tc>
          <w:tcPr>
            <w:tcW w:w="4308" w:type="dxa"/>
          </w:tcPr>
          <w:p w14:paraId="4D7F1734" w14:textId="77777777" w:rsidR="001E1112" w:rsidRPr="00317ABF" w:rsidRDefault="001E1112" w:rsidP="00DB3BEC">
            <w:pPr>
              <w:spacing w:before="120"/>
              <w:jc w:val="both"/>
              <w:rPr>
                <w:sz w:val="22"/>
                <w:szCs w:val="22"/>
              </w:rPr>
            </w:pPr>
            <w:r w:rsidRPr="00317ABF">
              <w:rPr>
                <w:sz w:val="22"/>
                <w:szCs w:val="22"/>
              </w:rPr>
              <w:t>2.   Krajowe organy regulacyjne lub inne właściwe organy mogą zidentyfikować obszar o wyraźnych granicach terytorialnych, jeżeli informacje zgromadzone i prognoza przygotowana na podstawie ust. 1 pozwolą stwierdzić, że w okresie objętym daną prognozą żadne przedsiębiorstwo ani żaden organ publiczny nie wdrożyły ani nie planują wdrożyć sieci o bardzo dużej przepustowości ani też przeprowadzić znaczącej modernizacji lub rozbudowy swojej sieci, pozwalającej uzyskać wydajność pod względem prędkości pobierania danych na poziomie przynajmniej 100 Mb/s. Krajowe organy regulacyjne lub inne właściwe organy publikują listę zidentyfikowanych obszarów.</w:t>
            </w:r>
          </w:p>
        </w:tc>
        <w:tc>
          <w:tcPr>
            <w:tcW w:w="986" w:type="dxa"/>
          </w:tcPr>
          <w:p w14:paraId="1BB6F150" w14:textId="6BE21EE2" w:rsidR="001E1112" w:rsidRPr="00317ABF" w:rsidRDefault="001E1112" w:rsidP="00DB3BEC">
            <w:pPr>
              <w:jc w:val="both"/>
              <w:rPr>
                <w:sz w:val="22"/>
                <w:szCs w:val="22"/>
              </w:rPr>
            </w:pPr>
            <w:r w:rsidRPr="00317ABF">
              <w:rPr>
                <w:sz w:val="22"/>
                <w:szCs w:val="22"/>
              </w:rPr>
              <w:t>T</w:t>
            </w:r>
          </w:p>
        </w:tc>
        <w:tc>
          <w:tcPr>
            <w:tcW w:w="910" w:type="dxa"/>
          </w:tcPr>
          <w:p w14:paraId="04338875" w14:textId="2CC96418" w:rsidR="001E1112" w:rsidRPr="00317ABF" w:rsidRDefault="001E1112" w:rsidP="00AD11B0">
            <w:pPr>
              <w:pStyle w:val="Tekstpodstawowy"/>
              <w:rPr>
                <w:b/>
                <w:noProof/>
                <w:sz w:val="22"/>
                <w:szCs w:val="22"/>
              </w:rPr>
            </w:pPr>
            <w:r w:rsidRPr="00317ABF">
              <w:rPr>
                <w:b/>
                <w:noProof/>
                <w:sz w:val="22"/>
                <w:szCs w:val="22"/>
              </w:rPr>
              <w:t>Art. 3</w:t>
            </w:r>
            <w:r w:rsidR="00AD11B0" w:rsidRPr="00317ABF">
              <w:rPr>
                <w:b/>
                <w:noProof/>
                <w:sz w:val="22"/>
                <w:szCs w:val="22"/>
              </w:rPr>
              <w:t>4</w:t>
            </w:r>
            <w:r w:rsidRPr="00317ABF">
              <w:rPr>
                <w:b/>
                <w:noProof/>
                <w:sz w:val="22"/>
                <w:szCs w:val="22"/>
              </w:rPr>
              <w:t xml:space="preserve"> pkt 2</w:t>
            </w:r>
            <w:r w:rsidR="00F176E6" w:rsidRPr="00317ABF">
              <w:rPr>
                <w:b/>
                <w:noProof/>
                <w:sz w:val="22"/>
                <w:szCs w:val="22"/>
              </w:rPr>
              <w:t>4</w:t>
            </w:r>
            <w:r w:rsidRPr="00317ABF">
              <w:rPr>
                <w:b/>
                <w:noProof/>
                <w:sz w:val="22"/>
                <w:szCs w:val="22"/>
              </w:rPr>
              <w:t xml:space="preserve"> lit. f</w:t>
            </w:r>
          </w:p>
        </w:tc>
        <w:tc>
          <w:tcPr>
            <w:tcW w:w="6814" w:type="dxa"/>
            <w:gridSpan w:val="2"/>
          </w:tcPr>
          <w:p w14:paraId="5183DCE2" w14:textId="77777777" w:rsidR="001E1112" w:rsidRPr="00317ABF" w:rsidRDefault="001E1112" w:rsidP="00DB3BEC">
            <w:pPr>
              <w:pStyle w:val="Tekstpodstawowy"/>
              <w:rPr>
                <w:sz w:val="22"/>
                <w:szCs w:val="22"/>
              </w:rPr>
            </w:pPr>
            <w:r w:rsidRPr="00317ABF">
              <w:rPr>
                <w:sz w:val="22"/>
                <w:szCs w:val="22"/>
              </w:rPr>
              <w:t>„5a. Prezes UKE może określić obszary geograficzne, na których nie istnieją i w ciągu 3 lat nie są planowane publiczne sieci telekomunikacyjne zapewniające lub umożliwiające świadczenie usług dostępu do Internetu o przepustowości co najmniej 100 Mb/s.</w:t>
            </w:r>
          </w:p>
          <w:p w14:paraId="4ABDB6D2" w14:textId="77777777" w:rsidR="001E1112" w:rsidRPr="00317ABF" w:rsidRDefault="001E1112" w:rsidP="00DB3BEC">
            <w:pPr>
              <w:pStyle w:val="Tekstpodstawowy"/>
              <w:rPr>
                <w:sz w:val="22"/>
                <w:szCs w:val="22"/>
              </w:rPr>
            </w:pPr>
            <w:r w:rsidRPr="00317ABF">
              <w:rPr>
                <w:sz w:val="22"/>
                <w:szCs w:val="22"/>
              </w:rPr>
              <w:t>5b. W przypadku, o którym mowa w ust. 5a, Prezes UKE publikuje na swojej stronie internetowej oraz na stronie internetowej, o której mowa w art. 29a ust. 2, informacje o  określonych przez niego obszarach geograficznych wraz z otwartym zaproszeniem do zgłaszania zamiaru objęcia danego obszaru publiczną siecią telekomunikacyjną zapewniającą lub umożliwiającą świadczenie usług dostępu do Internetu o przepustowości co najmniej 100 Mb/s, zawierającym pouczenie o zakresie informacji wymaganych w zgłoszeniu oraz informację o sposobie i terminie wnoszenia zgłoszeń.</w:t>
            </w:r>
          </w:p>
          <w:p w14:paraId="2CCB938B" w14:textId="6B1B85A1" w:rsidR="001E1112" w:rsidRPr="00317ABF" w:rsidRDefault="001E1112" w:rsidP="00DB3BEC">
            <w:pPr>
              <w:pStyle w:val="Tekstpodstawowy"/>
              <w:rPr>
                <w:sz w:val="22"/>
                <w:szCs w:val="22"/>
              </w:rPr>
            </w:pPr>
            <w:r w:rsidRPr="00317ABF">
              <w:rPr>
                <w:sz w:val="22"/>
                <w:szCs w:val="22"/>
              </w:rPr>
              <w:t>5c. Prezes UKE publikuje na swojej stronie internetowej oraz na stronie internetowej, o której mowa w art. 29a ust. 2, zgłoszenia otrzymane w terminie określonym w zaproszeniu, z wyjątkiem informacji objętych zastrzeżeniem ze względu na tajemnicę przedsiębiorstwa.”; g) w ust. 6 po wyrazach „danych z niej pochodzących” dodaje się wyrazy „za pomocą strony internetowej, o której mowa w art. 29a ust. 2,”</w:t>
            </w:r>
          </w:p>
        </w:tc>
      </w:tr>
      <w:tr w:rsidR="001E1112" w:rsidRPr="00317ABF" w14:paraId="67BF9C10" w14:textId="77777777" w:rsidTr="7753F98D">
        <w:trPr>
          <w:gridAfter w:val="2"/>
          <w:wAfter w:w="175" w:type="dxa"/>
        </w:trPr>
        <w:tc>
          <w:tcPr>
            <w:tcW w:w="704" w:type="dxa"/>
          </w:tcPr>
          <w:p w14:paraId="6F8AC073" w14:textId="77777777" w:rsidR="001E1112" w:rsidRPr="00317ABF" w:rsidRDefault="001E1112" w:rsidP="00DB3BEC">
            <w:pPr>
              <w:jc w:val="both"/>
              <w:rPr>
                <w:sz w:val="22"/>
                <w:szCs w:val="22"/>
              </w:rPr>
            </w:pPr>
            <w:r w:rsidRPr="00317ABF">
              <w:rPr>
                <w:sz w:val="22"/>
                <w:szCs w:val="22"/>
              </w:rPr>
              <w:t>Art. 22 ust. 3</w:t>
            </w:r>
          </w:p>
        </w:tc>
        <w:tc>
          <w:tcPr>
            <w:tcW w:w="4308" w:type="dxa"/>
          </w:tcPr>
          <w:p w14:paraId="5D7A4493" w14:textId="77777777" w:rsidR="001E1112" w:rsidRPr="00317ABF" w:rsidRDefault="001E1112" w:rsidP="00DB3BEC">
            <w:pPr>
              <w:spacing w:before="120"/>
              <w:jc w:val="both"/>
              <w:rPr>
                <w:sz w:val="22"/>
                <w:szCs w:val="22"/>
              </w:rPr>
            </w:pPr>
            <w:r w:rsidRPr="00317ABF">
              <w:rPr>
                <w:sz w:val="22"/>
                <w:szCs w:val="22"/>
              </w:rPr>
              <w:t xml:space="preserve">3.   W obrębie zidentyfikowanego obszaru odpowiednie organy mogą zaprosić przedsiębiorstwa i organy publiczne do zgłaszania zamiaru wdrożenia sieci o bardzo dużej przepustowości w okresie objętym daną prognozą. W przypadkach gdy w wyniku tego zaproszenia przedsiębiorstwo lub organ publiczny zgłosi zamiar dokonania tego, odpowiedni organ może wymagać od innych przedsiębiorstw i organów publicznych, aby zgłosiły każdy zamiar wdrożenia w tym obszarze sieci o bardzo dużej przepustowości lub przeprowadzenia znaczącej modernizacji lub rozbudowy swojej sieci, pozwalającej </w:t>
            </w:r>
            <w:r w:rsidRPr="00317ABF">
              <w:rPr>
                <w:sz w:val="22"/>
                <w:szCs w:val="22"/>
              </w:rPr>
              <w:lastRenderedPageBreak/>
              <w:t>uzyskać wydajność pod względem prędkości pobierania danych na poziomie co najmniej 100 Mb/s w tym obszarze. Odpowiedni organ określa informacje, które należy uwzględnić w takich zgłoszeniach, aby zapewnić poziom szczegółowości przynajmniej podobny do tego, który uwzględniono w prognozie na podstawie ust. 1. Organ ten informuje również – w oparciu o informacje zgromadzone na podstawie ust. 1 – każde przedsiębiorstwo lub każdy organ publiczny, które wyraziły zainteresowanie, o tym, czy zidentyfikowany obszar jest objęty lub prawdopodobnie zostanie objęty zasięgiem sieci dostępu nowej generacji oferującej prędkość pobierania danych poniżej 100 Mb/s.</w:t>
            </w:r>
          </w:p>
        </w:tc>
        <w:tc>
          <w:tcPr>
            <w:tcW w:w="986" w:type="dxa"/>
          </w:tcPr>
          <w:p w14:paraId="796B98D5" w14:textId="717A51E7" w:rsidR="001E1112" w:rsidRPr="00317ABF" w:rsidRDefault="001E1112" w:rsidP="00DB3BEC">
            <w:pPr>
              <w:jc w:val="both"/>
              <w:rPr>
                <w:sz w:val="22"/>
                <w:szCs w:val="22"/>
              </w:rPr>
            </w:pPr>
            <w:r w:rsidRPr="00317ABF">
              <w:rPr>
                <w:sz w:val="22"/>
                <w:szCs w:val="22"/>
              </w:rPr>
              <w:lastRenderedPageBreak/>
              <w:t>T</w:t>
            </w:r>
          </w:p>
        </w:tc>
        <w:tc>
          <w:tcPr>
            <w:tcW w:w="910" w:type="dxa"/>
          </w:tcPr>
          <w:p w14:paraId="344BE600" w14:textId="26EA992B" w:rsidR="001E1112" w:rsidRPr="00317ABF" w:rsidRDefault="001E1112" w:rsidP="00AD11B0">
            <w:pPr>
              <w:pStyle w:val="Tekstpodstawowy"/>
              <w:rPr>
                <w:noProof/>
                <w:sz w:val="22"/>
                <w:szCs w:val="22"/>
              </w:rPr>
            </w:pPr>
            <w:r w:rsidRPr="00317ABF">
              <w:rPr>
                <w:b/>
                <w:noProof/>
                <w:sz w:val="22"/>
                <w:szCs w:val="22"/>
              </w:rPr>
              <w:t>Art. 3</w:t>
            </w:r>
            <w:r w:rsidR="00AD11B0" w:rsidRPr="00317ABF">
              <w:rPr>
                <w:b/>
                <w:noProof/>
                <w:sz w:val="22"/>
                <w:szCs w:val="22"/>
              </w:rPr>
              <w:t>4</w:t>
            </w:r>
            <w:r w:rsidRPr="00317ABF">
              <w:rPr>
                <w:b/>
                <w:noProof/>
                <w:sz w:val="22"/>
                <w:szCs w:val="22"/>
              </w:rPr>
              <w:t xml:space="preserve"> pkt 2</w:t>
            </w:r>
            <w:r w:rsidR="00F176E6" w:rsidRPr="00317ABF">
              <w:rPr>
                <w:b/>
                <w:noProof/>
                <w:sz w:val="22"/>
                <w:szCs w:val="22"/>
              </w:rPr>
              <w:t>4</w:t>
            </w:r>
            <w:r w:rsidRPr="00317ABF">
              <w:rPr>
                <w:b/>
                <w:noProof/>
                <w:sz w:val="22"/>
                <w:szCs w:val="22"/>
              </w:rPr>
              <w:t xml:space="preserve"> lit. f</w:t>
            </w:r>
          </w:p>
        </w:tc>
        <w:tc>
          <w:tcPr>
            <w:tcW w:w="6814" w:type="dxa"/>
            <w:gridSpan w:val="2"/>
          </w:tcPr>
          <w:p w14:paraId="6C3FEA27" w14:textId="77777777" w:rsidR="001E1112" w:rsidRPr="00317ABF" w:rsidRDefault="001E1112" w:rsidP="00DB3BEC">
            <w:pPr>
              <w:pStyle w:val="Tekstpodstawowy"/>
              <w:rPr>
                <w:sz w:val="22"/>
                <w:szCs w:val="22"/>
              </w:rPr>
            </w:pPr>
            <w:r w:rsidRPr="00317ABF">
              <w:rPr>
                <w:sz w:val="22"/>
                <w:szCs w:val="22"/>
              </w:rPr>
              <w:t>„5a. Prezes UKE może określić obszary geograficzne, na których nie istnieją i w ciągu 3 lat nie są planowane publiczne sieci telekomunikacyjne zapewniające lub umożliwiające świadczenie usług dostępu do Internetu o przepustowości co najmniej 100 Mb/s.</w:t>
            </w:r>
          </w:p>
          <w:p w14:paraId="6B06DB91" w14:textId="77777777" w:rsidR="001E1112" w:rsidRPr="00317ABF" w:rsidRDefault="001E1112" w:rsidP="00DB3BEC">
            <w:pPr>
              <w:pStyle w:val="Tekstpodstawowy"/>
              <w:rPr>
                <w:sz w:val="22"/>
                <w:szCs w:val="22"/>
              </w:rPr>
            </w:pPr>
            <w:r w:rsidRPr="00317ABF">
              <w:rPr>
                <w:sz w:val="22"/>
                <w:szCs w:val="22"/>
              </w:rPr>
              <w:t>5b. W przypadku, o którym mowa w ust. 5a, Prezes UKE publikuje na swojej stronie internetowej oraz na stronie internetowej, o której mowa w art. 29a ust. 2, informacje o  określonych przez niego obszarach geograficznych wraz z otwartym zaproszeniem do zgłaszania zamiaru objęcia danego obszaru publiczną siecią telekomunikacyjną zapewniającą lub umożliwiającą świadczenie usług dostępu do Internetu o przepustowości co najmniej 100 Mb/s, zawierającym pouczenie o zakresie informacji wymaganych w zgłoszeniu oraz informację o sposobie i terminie wnoszenia zgłoszeń.</w:t>
            </w:r>
          </w:p>
          <w:p w14:paraId="7EE3B4B9" w14:textId="01223E32" w:rsidR="001E1112" w:rsidRPr="00317ABF" w:rsidRDefault="001E1112" w:rsidP="00DB3BEC">
            <w:pPr>
              <w:pStyle w:val="Tekstpodstawowy"/>
              <w:rPr>
                <w:sz w:val="22"/>
                <w:szCs w:val="22"/>
              </w:rPr>
            </w:pPr>
            <w:r w:rsidRPr="00317ABF">
              <w:rPr>
                <w:sz w:val="22"/>
                <w:szCs w:val="22"/>
              </w:rPr>
              <w:t xml:space="preserve">5c. Prezes UKE publikuje na swojej stronie internetowej oraz na stronie internetowej, o której mowa w art. 29a ust. 2, zgłoszenia otrzymane w </w:t>
            </w:r>
            <w:r w:rsidRPr="00317ABF">
              <w:rPr>
                <w:sz w:val="22"/>
                <w:szCs w:val="22"/>
              </w:rPr>
              <w:lastRenderedPageBreak/>
              <w:t>terminie określonym w zaproszeniu, z wyjątkiem informacji objętych zastrzeżeniem ze względu na tajemnicę przedsiębiorstwa.”; g) w ust. 6 po wyrazach „danych z niej pochodzących” dodaje się wyrazy „za pomocą strony internetowej, o której mowa w art. 29a ust. 2,”</w:t>
            </w:r>
          </w:p>
        </w:tc>
      </w:tr>
      <w:tr w:rsidR="001E1112" w:rsidRPr="00317ABF" w14:paraId="4837B5AE" w14:textId="77777777" w:rsidTr="7753F98D">
        <w:trPr>
          <w:gridAfter w:val="2"/>
          <w:wAfter w:w="175" w:type="dxa"/>
        </w:trPr>
        <w:tc>
          <w:tcPr>
            <w:tcW w:w="704" w:type="dxa"/>
          </w:tcPr>
          <w:p w14:paraId="19666235" w14:textId="77777777" w:rsidR="001E1112" w:rsidRPr="00317ABF" w:rsidRDefault="001E1112" w:rsidP="00DB3BEC">
            <w:pPr>
              <w:jc w:val="both"/>
              <w:rPr>
                <w:sz w:val="22"/>
                <w:szCs w:val="22"/>
              </w:rPr>
            </w:pPr>
            <w:r w:rsidRPr="00317ABF">
              <w:rPr>
                <w:sz w:val="22"/>
                <w:szCs w:val="22"/>
              </w:rPr>
              <w:lastRenderedPageBreak/>
              <w:t>Art. 22 ust. 4</w:t>
            </w:r>
          </w:p>
        </w:tc>
        <w:tc>
          <w:tcPr>
            <w:tcW w:w="4308" w:type="dxa"/>
          </w:tcPr>
          <w:p w14:paraId="07F6134D" w14:textId="77777777" w:rsidR="001E1112" w:rsidRPr="00317ABF" w:rsidRDefault="001E1112" w:rsidP="00DB3BEC">
            <w:pPr>
              <w:spacing w:before="120"/>
              <w:jc w:val="both"/>
              <w:rPr>
                <w:sz w:val="22"/>
                <w:szCs w:val="22"/>
              </w:rPr>
            </w:pPr>
            <w:r w:rsidRPr="00317ABF">
              <w:rPr>
                <w:sz w:val="22"/>
                <w:szCs w:val="22"/>
              </w:rPr>
              <w:t>4.   Środki na podstawie ust. 3 są stosowane zgodnie z wydajną, obiektywną, przejrzystą i niedyskryminacyjną procedurą, która gwarantuje, że żadne przedsiębiorstwo nie zostanie z góry wykluczone z postępowania.</w:t>
            </w:r>
          </w:p>
        </w:tc>
        <w:tc>
          <w:tcPr>
            <w:tcW w:w="986" w:type="dxa"/>
          </w:tcPr>
          <w:p w14:paraId="17D63EA2" w14:textId="3DB469E5" w:rsidR="001E1112" w:rsidRPr="00317ABF" w:rsidRDefault="001E1112" w:rsidP="00DB3BEC">
            <w:pPr>
              <w:jc w:val="both"/>
              <w:rPr>
                <w:sz w:val="22"/>
                <w:szCs w:val="22"/>
              </w:rPr>
            </w:pPr>
            <w:r w:rsidRPr="00317ABF">
              <w:rPr>
                <w:sz w:val="22"/>
                <w:szCs w:val="22"/>
              </w:rPr>
              <w:t>T</w:t>
            </w:r>
          </w:p>
        </w:tc>
        <w:tc>
          <w:tcPr>
            <w:tcW w:w="910" w:type="dxa"/>
          </w:tcPr>
          <w:p w14:paraId="52E608EF" w14:textId="6773FDAA" w:rsidR="001E1112" w:rsidRPr="00317ABF" w:rsidRDefault="001E1112" w:rsidP="00AD11B0">
            <w:pPr>
              <w:pStyle w:val="Tekstpodstawowy"/>
              <w:rPr>
                <w:noProof/>
                <w:sz w:val="22"/>
                <w:szCs w:val="22"/>
              </w:rPr>
            </w:pPr>
            <w:r w:rsidRPr="00317ABF">
              <w:rPr>
                <w:b/>
                <w:noProof/>
                <w:sz w:val="22"/>
                <w:szCs w:val="22"/>
              </w:rPr>
              <w:t>Art. 3</w:t>
            </w:r>
            <w:r w:rsidR="00AD11B0" w:rsidRPr="00317ABF">
              <w:rPr>
                <w:b/>
                <w:noProof/>
                <w:sz w:val="22"/>
                <w:szCs w:val="22"/>
              </w:rPr>
              <w:t>4</w:t>
            </w:r>
            <w:r w:rsidRPr="00317ABF">
              <w:rPr>
                <w:b/>
                <w:noProof/>
                <w:sz w:val="22"/>
                <w:szCs w:val="22"/>
              </w:rPr>
              <w:t xml:space="preserve"> pkt 2</w:t>
            </w:r>
            <w:r w:rsidR="00F176E6" w:rsidRPr="00317ABF">
              <w:rPr>
                <w:b/>
                <w:noProof/>
                <w:sz w:val="22"/>
                <w:szCs w:val="22"/>
              </w:rPr>
              <w:t>4</w:t>
            </w:r>
            <w:r w:rsidRPr="00317ABF">
              <w:rPr>
                <w:b/>
                <w:noProof/>
                <w:sz w:val="22"/>
                <w:szCs w:val="22"/>
              </w:rPr>
              <w:t xml:space="preserve"> lit. f</w:t>
            </w:r>
          </w:p>
        </w:tc>
        <w:tc>
          <w:tcPr>
            <w:tcW w:w="6814" w:type="dxa"/>
            <w:gridSpan w:val="2"/>
          </w:tcPr>
          <w:p w14:paraId="30EBB28F" w14:textId="77777777" w:rsidR="001E1112" w:rsidRPr="00317ABF" w:rsidRDefault="001E1112" w:rsidP="00DB3BEC">
            <w:pPr>
              <w:pStyle w:val="Tekstpodstawowy"/>
              <w:rPr>
                <w:sz w:val="22"/>
                <w:szCs w:val="22"/>
              </w:rPr>
            </w:pPr>
            <w:r w:rsidRPr="00317ABF">
              <w:rPr>
                <w:sz w:val="22"/>
                <w:szCs w:val="22"/>
              </w:rPr>
              <w:t>„5a. Prezes UKE może określić obszary geograficzne, na których nie istnieją i w ciągu 3 lat nie są planowane publiczne sieci telekomunikacyjne zapewniające lub umożliwiające świadczenie usług dostępu do Internetu o przepustowości co najmniej 100 Mb/s.</w:t>
            </w:r>
          </w:p>
          <w:p w14:paraId="5D2DE98B" w14:textId="77777777" w:rsidR="001E1112" w:rsidRPr="00317ABF" w:rsidRDefault="001E1112" w:rsidP="00DB3BEC">
            <w:pPr>
              <w:pStyle w:val="Tekstpodstawowy"/>
              <w:rPr>
                <w:sz w:val="22"/>
                <w:szCs w:val="22"/>
              </w:rPr>
            </w:pPr>
            <w:r w:rsidRPr="00317ABF">
              <w:rPr>
                <w:sz w:val="22"/>
                <w:szCs w:val="22"/>
              </w:rPr>
              <w:t>5b. W przypadku, o którym mowa w ust. 5a, Prezes UKE publikuje na swojej stronie internetowej oraz na stronie internetowej, o której mowa w art. 29a ust. 2, informacje o  określonych przez niego obszarach geograficznych wraz z otwartym zaproszeniem do zgłaszania zamiaru objęcia danego obszaru publiczną siecią telekomunikacyjną zapewniającą lub umożliwiającą świadczenie usług dostępu do Internetu o przepustowości co najmniej 100 Mb/s, zawierającym pouczenie o zakresie informacji wymaganych w zgłoszeniu oraz informację o sposobie i terminie wnoszenia zgłoszeń.</w:t>
            </w:r>
          </w:p>
          <w:p w14:paraId="074E47F7" w14:textId="45657248" w:rsidR="001E1112" w:rsidRPr="00317ABF" w:rsidRDefault="001E1112" w:rsidP="00DB3BEC">
            <w:pPr>
              <w:pStyle w:val="Tekstpodstawowy"/>
              <w:rPr>
                <w:sz w:val="22"/>
                <w:szCs w:val="22"/>
              </w:rPr>
            </w:pPr>
            <w:r w:rsidRPr="00317ABF">
              <w:rPr>
                <w:sz w:val="22"/>
                <w:szCs w:val="22"/>
              </w:rPr>
              <w:t>5c. Prezes UKE publikuje na swojej stronie internetowej oraz na stronie internetowej, o której mowa w art. 29a ust. 2, zgłoszenia otrzymane w terminie określonym w zaproszeniu, z wyjątkiem informacji objętych zastrzeżeniem ze względu na tajemnicę przedsiębiorstwa.”; g) w ust. 6 po wyrazach „danych z niej pochodzących” dodaje się wyrazy „za pomocą strony internetowej, o której mowa w art. 29a ust. 2,”</w:t>
            </w:r>
          </w:p>
        </w:tc>
      </w:tr>
      <w:tr w:rsidR="001E1112" w:rsidRPr="00317ABF" w14:paraId="0D377952" w14:textId="77777777" w:rsidTr="7753F98D">
        <w:trPr>
          <w:gridAfter w:val="2"/>
          <w:wAfter w:w="175" w:type="dxa"/>
        </w:trPr>
        <w:tc>
          <w:tcPr>
            <w:tcW w:w="704" w:type="dxa"/>
          </w:tcPr>
          <w:p w14:paraId="27A5B01F" w14:textId="77777777" w:rsidR="001E1112" w:rsidRPr="00317ABF" w:rsidRDefault="001E1112" w:rsidP="00DB3BEC">
            <w:pPr>
              <w:jc w:val="both"/>
              <w:rPr>
                <w:sz w:val="22"/>
                <w:szCs w:val="22"/>
              </w:rPr>
            </w:pPr>
            <w:r w:rsidRPr="00317ABF">
              <w:rPr>
                <w:sz w:val="22"/>
                <w:szCs w:val="22"/>
              </w:rPr>
              <w:t>Art. 22 ust. 5</w:t>
            </w:r>
          </w:p>
        </w:tc>
        <w:tc>
          <w:tcPr>
            <w:tcW w:w="4308" w:type="dxa"/>
          </w:tcPr>
          <w:p w14:paraId="49E0529B" w14:textId="77777777" w:rsidR="001E1112" w:rsidRPr="00317ABF" w:rsidRDefault="001E1112" w:rsidP="00DB3BEC">
            <w:pPr>
              <w:spacing w:before="120"/>
              <w:jc w:val="both"/>
              <w:rPr>
                <w:sz w:val="22"/>
                <w:szCs w:val="22"/>
              </w:rPr>
            </w:pPr>
            <w:r w:rsidRPr="00317ABF">
              <w:rPr>
                <w:sz w:val="22"/>
                <w:szCs w:val="22"/>
              </w:rPr>
              <w:t xml:space="preserve">5.   Państwa członkowskie zapewniają, aby krajowe organy regulacyjne oraz inne właściwe organy, organy lokalne, regionalne i krajowe, które są odpowiedzialne na swoim terytorium za przydział środków publicznych na realizację </w:t>
            </w:r>
            <w:r w:rsidRPr="00317ABF">
              <w:rPr>
                <w:sz w:val="22"/>
                <w:szCs w:val="22"/>
              </w:rPr>
              <w:lastRenderedPageBreak/>
              <w:t>sieci łączności elektronicznej, za opracowanie krajowych planów szerokopasmowych, określenie obowiązków w zakresie zasięgu, obwarowujących prawa użytkowania widma oraz za weryfikację dostępności usług wchodzących w zakres obowiązku świadczenia usługi powszechnej, brały pod uwagę wyniki analizy geograficznej i procedur skutkujących określeniem obszarów na podstawie ust. 1, 2 i 3.</w:t>
            </w:r>
          </w:p>
          <w:p w14:paraId="4130F6AB" w14:textId="77777777" w:rsidR="001E1112" w:rsidRPr="00317ABF" w:rsidRDefault="001E1112" w:rsidP="00DB3BEC">
            <w:pPr>
              <w:spacing w:before="120"/>
              <w:jc w:val="both"/>
              <w:rPr>
                <w:sz w:val="22"/>
                <w:szCs w:val="22"/>
              </w:rPr>
            </w:pPr>
            <w:r w:rsidRPr="00317ABF">
              <w:rPr>
                <w:sz w:val="22"/>
                <w:szCs w:val="22"/>
              </w:rPr>
              <w:t>Państwa członkowskie zapewniają, aby organy przeprowadzające analizę geograficzną udostępniały jej wyniki pod warunkiem zapewnienia przez organ otrzymujący takiego samego poziomu poufności i ochrony tajemnicy handlowej jak organ udostępniający oraz informowały strony, które przekazały informacje. Wyniki te udostępnia się również BEREC i Komisji na ich wniosek i na tych samych warunkach.</w:t>
            </w:r>
          </w:p>
        </w:tc>
        <w:tc>
          <w:tcPr>
            <w:tcW w:w="986" w:type="dxa"/>
          </w:tcPr>
          <w:p w14:paraId="6C90B05C" w14:textId="77777777" w:rsidR="001E1112" w:rsidRPr="00317ABF" w:rsidRDefault="001E1112" w:rsidP="00DB3BEC">
            <w:pPr>
              <w:jc w:val="both"/>
              <w:rPr>
                <w:sz w:val="22"/>
                <w:szCs w:val="22"/>
              </w:rPr>
            </w:pPr>
            <w:r w:rsidRPr="00317ABF">
              <w:rPr>
                <w:sz w:val="22"/>
                <w:szCs w:val="22"/>
              </w:rPr>
              <w:lastRenderedPageBreak/>
              <w:t>T</w:t>
            </w:r>
          </w:p>
          <w:p w14:paraId="4ABC1DD7" w14:textId="77777777" w:rsidR="001E1112" w:rsidRPr="00317ABF" w:rsidRDefault="001E1112" w:rsidP="00DB3BEC">
            <w:pPr>
              <w:jc w:val="both"/>
              <w:rPr>
                <w:sz w:val="22"/>
                <w:szCs w:val="22"/>
              </w:rPr>
            </w:pPr>
          </w:p>
          <w:p w14:paraId="2DD1A3DD" w14:textId="77777777" w:rsidR="001E1112" w:rsidRPr="00317ABF" w:rsidRDefault="001E1112" w:rsidP="00DB3BEC">
            <w:pPr>
              <w:jc w:val="both"/>
              <w:rPr>
                <w:sz w:val="22"/>
                <w:szCs w:val="22"/>
              </w:rPr>
            </w:pPr>
          </w:p>
          <w:p w14:paraId="5E881832" w14:textId="77777777" w:rsidR="001E1112" w:rsidRPr="00317ABF" w:rsidRDefault="001E1112" w:rsidP="00DB3BEC">
            <w:pPr>
              <w:jc w:val="both"/>
              <w:rPr>
                <w:sz w:val="22"/>
                <w:szCs w:val="22"/>
              </w:rPr>
            </w:pPr>
          </w:p>
          <w:p w14:paraId="261517DF" w14:textId="77777777" w:rsidR="001E1112" w:rsidRPr="00317ABF" w:rsidRDefault="001E1112" w:rsidP="00DB3BEC">
            <w:pPr>
              <w:jc w:val="both"/>
              <w:rPr>
                <w:sz w:val="22"/>
                <w:szCs w:val="22"/>
              </w:rPr>
            </w:pPr>
          </w:p>
          <w:p w14:paraId="12419A76" w14:textId="77777777" w:rsidR="001E1112" w:rsidRPr="00317ABF" w:rsidRDefault="001E1112" w:rsidP="00DB3BEC">
            <w:pPr>
              <w:jc w:val="both"/>
              <w:rPr>
                <w:sz w:val="22"/>
                <w:szCs w:val="22"/>
              </w:rPr>
            </w:pPr>
          </w:p>
          <w:p w14:paraId="79CF492D" w14:textId="77777777" w:rsidR="001E1112" w:rsidRPr="00317ABF" w:rsidRDefault="001E1112" w:rsidP="00DB3BEC">
            <w:pPr>
              <w:jc w:val="both"/>
              <w:rPr>
                <w:sz w:val="22"/>
                <w:szCs w:val="22"/>
              </w:rPr>
            </w:pPr>
          </w:p>
          <w:p w14:paraId="203738EA" w14:textId="77777777" w:rsidR="001E1112" w:rsidRPr="00317ABF" w:rsidRDefault="001E1112" w:rsidP="00DB3BEC">
            <w:pPr>
              <w:jc w:val="both"/>
              <w:rPr>
                <w:sz w:val="22"/>
                <w:szCs w:val="22"/>
              </w:rPr>
            </w:pPr>
          </w:p>
          <w:p w14:paraId="018F1C56" w14:textId="77777777" w:rsidR="001E1112" w:rsidRPr="00317ABF" w:rsidRDefault="001E1112" w:rsidP="00DB3BEC">
            <w:pPr>
              <w:jc w:val="both"/>
              <w:rPr>
                <w:sz w:val="22"/>
                <w:szCs w:val="22"/>
              </w:rPr>
            </w:pPr>
          </w:p>
          <w:p w14:paraId="6A3ED2FA" w14:textId="77777777" w:rsidR="001E1112" w:rsidRPr="00317ABF" w:rsidRDefault="001E1112" w:rsidP="00DB3BEC">
            <w:pPr>
              <w:jc w:val="both"/>
              <w:rPr>
                <w:sz w:val="22"/>
                <w:szCs w:val="22"/>
              </w:rPr>
            </w:pPr>
          </w:p>
          <w:p w14:paraId="0730A275" w14:textId="77777777" w:rsidR="001E1112" w:rsidRPr="00317ABF" w:rsidRDefault="001E1112" w:rsidP="00DB3BEC">
            <w:pPr>
              <w:jc w:val="both"/>
              <w:rPr>
                <w:sz w:val="22"/>
                <w:szCs w:val="22"/>
              </w:rPr>
            </w:pPr>
          </w:p>
          <w:p w14:paraId="6FD51514" w14:textId="77777777" w:rsidR="001E1112" w:rsidRPr="00317ABF" w:rsidRDefault="001E1112" w:rsidP="00DB3BEC">
            <w:pPr>
              <w:jc w:val="both"/>
              <w:rPr>
                <w:sz w:val="22"/>
                <w:szCs w:val="22"/>
              </w:rPr>
            </w:pPr>
          </w:p>
          <w:p w14:paraId="5C969168" w14:textId="77777777" w:rsidR="001E1112" w:rsidRPr="00317ABF" w:rsidRDefault="001E1112" w:rsidP="00DB3BEC">
            <w:pPr>
              <w:jc w:val="both"/>
              <w:rPr>
                <w:sz w:val="22"/>
                <w:szCs w:val="22"/>
              </w:rPr>
            </w:pPr>
          </w:p>
          <w:p w14:paraId="1755276A" w14:textId="77777777" w:rsidR="001E1112" w:rsidRPr="00317ABF" w:rsidRDefault="001E1112" w:rsidP="00DB3BEC">
            <w:pPr>
              <w:jc w:val="both"/>
              <w:rPr>
                <w:sz w:val="22"/>
                <w:szCs w:val="22"/>
              </w:rPr>
            </w:pPr>
          </w:p>
          <w:p w14:paraId="38D5BED0" w14:textId="77777777" w:rsidR="001E1112" w:rsidRPr="00317ABF" w:rsidRDefault="001E1112" w:rsidP="00DB3BEC">
            <w:pPr>
              <w:jc w:val="both"/>
              <w:rPr>
                <w:sz w:val="22"/>
                <w:szCs w:val="22"/>
              </w:rPr>
            </w:pPr>
          </w:p>
          <w:p w14:paraId="7B05F8F7" w14:textId="77777777" w:rsidR="001E1112" w:rsidRPr="00317ABF" w:rsidRDefault="001E1112" w:rsidP="00DB3BEC">
            <w:pPr>
              <w:jc w:val="both"/>
              <w:rPr>
                <w:sz w:val="22"/>
                <w:szCs w:val="22"/>
              </w:rPr>
            </w:pPr>
          </w:p>
          <w:p w14:paraId="4A852BA6" w14:textId="68AB1A2A" w:rsidR="001E1112" w:rsidRPr="00317ABF" w:rsidRDefault="001E1112" w:rsidP="00DB3BEC">
            <w:pPr>
              <w:jc w:val="both"/>
              <w:rPr>
                <w:sz w:val="22"/>
                <w:szCs w:val="22"/>
              </w:rPr>
            </w:pPr>
            <w:r w:rsidRPr="00317ABF">
              <w:rPr>
                <w:sz w:val="22"/>
                <w:szCs w:val="22"/>
              </w:rPr>
              <w:t>T</w:t>
            </w:r>
          </w:p>
        </w:tc>
        <w:tc>
          <w:tcPr>
            <w:tcW w:w="910" w:type="dxa"/>
          </w:tcPr>
          <w:p w14:paraId="037E127C" w14:textId="24B49A50" w:rsidR="001E1112" w:rsidRPr="00317ABF" w:rsidRDefault="001E1112" w:rsidP="00DB3BEC">
            <w:pPr>
              <w:pStyle w:val="Tekstpodstawowy"/>
              <w:rPr>
                <w:b/>
                <w:noProof/>
                <w:sz w:val="22"/>
                <w:szCs w:val="22"/>
                <w:lang w:val="en-US"/>
              </w:rPr>
            </w:pPr>
            <w:r w:rsidRPr="00317ABF">
              <w:rPr>
                <w:b/>
                <w:noProof/>
                <w:sz w:val="22"/>
                <w:szCs w:val="22"/>
                <w:lang w:val="en-US"/>
              </w:rPr>
              <w:lastRenderedPageBreak/>
              <w:t>Art. 3</w:t>
            </w:r>
            <w:r w:rsidR="00AD11B0" w:rsidRPr="00317ABF">
              <w:rPr>
                <w:b/>
                <w:noProof/>
                <w:sz w:val="22"/>
                <w:szCs w:val="22"/>
                <w:lang w:val="en-US"/>
              </w:rPr>
              <w:t>4</w:t>
            </w:r>
            <w:r w:rsidRPr="00317ABF">
              <w:rPr>
                <w:b/>
                <w:noProof/>
                <w:sz w:val="22"/>
                <w:szCs w:val="22"/>
                <w:lang w:val="en-US"/>
              </w:rPr>
              <w:t xml:space="preserve"> pkt 2</w:t>
            </w:r>
            <w:r w:rsidR="00F176E6" w:rsidRPr="00317ABF">
              <w:rPr>
                <w:b/>
                <w:noProof/>
                <w:sz w:val="22"/>
                <w:szCs w:val="22"/>
                <w:lang w:val="en-US"/>
              </w:rPr>
              <w:t>4</w:t>
            </w:r>
            <w:r w:rsidRPr="00317ABF">
              <w:rPr>
                <w:b/>
                <w:noProof/>
                <w:sz w:val="22"/>
                <w:szCs w:val="22"/>
                <w:lang w:val="en-US"/>
              </w:rPr>
              <w:t xml:space="preserve"> lit. h</w:t>
            </w:r>
          </w:p>
          <w:p w14:paraId="57BF4402" w14:textId="77777777" w:rsidR="001E1112" w:rsidRPr="00317ABF" w:rsidRDefault="001E1112" w:rsidP="00DB3BEC">
            <w:pPr>
              <w:pStyle w:val="Tekstpodstawowy"/>
              <w:rPr>
                <w:b/>
                <w:noProof/>
                <w:sz w:val="22"/>
                <w:szCs w:val="22"/>
                <w:lang w:val="en-US"/>
              </w:rPr>
            </w:pPr>
          </w:p>
          <w:p w14:paraId="5FA0E6B4" w14:textId="77777777" w:rsidR="001E1112" w:rsidRPr="00317ABF" w:rsidRDefault="001E1112" w:rsidP="00DB3BEC">
            <w:pPr>
              <w:pStyle w:val="Tekstpodstawowy"/>
              <w:rPr>
                <w:b/>
                <w:noProof/>
                <w:sz w:val="22"/>
                <w:szCs w:val="22"/>
                <w:lang w:val="en-US"/>
              </w:rPr>
            </w:pPr>
          </w:p>
          <w:p w14:paraId="3ABF6966" w14:textId="77777777" w:rsidR="001E1112" w:rsidRPr="00317ABF" w:rsidRDefault="001E1112" w:rsidP="00DB3BEC">
            <w:pPr>
              <w:pStyle w:val="Tekstpodstawowy"/>
              <w:rPr>
                <w:b/>
                <w:noProof/>
                <w:sz w:val="22"/>
                <w:szCs w:val="22"/>
                <w:lang w:val="en-US"/>
              </w:rPr>
            </w:pPr>
          </w:p>
          <w:p w14:paraId="5C3B3802" w14:textId="77777777" w:rsidR="001E1112" w:rsidRPr="00317ABF" w:rsidRDefault="001E1112" w:rsidP="00DB3BEC">
            <w:pPr>
              <w:pStyle w:val="Tekstpodstawowy"/>
              <w:rPr>
                <w:b/>
                <w:noProof/>
                <w:sz w:val="22"/>
                <w:szCs w:val="22"/>
                <w:lang w:val="en-US"/>
              </w:rPr>
            </w:pPr>
          </w:p>
          <w:p w14:paraId="66E08947" w14:textId="77777777" w:rsidR="001E1112" w:rsidRPr="00317ABF" w:rsidRDefault="001E1112" w:rsidP="00DB3BEC">
            <w:pPr>
              <w:pStyle w:val="Tekstpodstawowy"/>
              <w:rPr>
                <w:b/>
                <w:noProof/>
                <w:sz w:val="22"/>
                <w:szCs w:val="22"/>
                <w:lang w:val="en-US"/>
              </w:rPr>
            </w:pPr>
          </w:p>
          <w:p w14:paraId="4EFF5FDA" w14:textId="77777777" w:rsidR="001E1112" w:rsidRPr="00317ABF" w:rsidRDefault="001E1112" w:rsidP="00DB3BEC">
            <w:pPr>
              <w:pStyle w:val="Tekstpodstawowy"/>
              <w:rPr>
                <w:b/>
                <w:noProof/>
                <w:sz w:val="22"/>
                <w:szCs w:val="22"/>
                <w:lang w:val="en-US"/>
              </w:rPr>
            </w:pPr>
          </w:p>
          <w:p w14:paraId="360D2016" w14:textId="77777777" w:rsidR="001E1112" w:rsidRPr="00317ABF" w:rsidRDefault="001E1112" w:rsidP="00DB3BEC">
            <w:pPr>
              <w:pStyle w:val="Tekstpodstawowy"/>
              <w:rPr>
                <w:b/>
                <w:noProof/>
                <w:sz w:val="22"/>
                <w:szCs w:val="22"/>
                <w:lang w:val="en-US"/>
              </w:rPr>
            </w:pPr>
          </w:p>
          <w:p w14:paraId="3094C96E" w14:textId="77777777" w:rsidR="001E1112" w:rsidRPr="00317ABF" w:rsidRDefault="001E1112" w:rsidP="00DB3BEC">
            <w:pPr>
              <w:pStyle w:val="Tekstpodstawowy"/>
              <w:rPr>
                <w:b/>
                <w:noProof/>
                <w:sz w:val="22"/>
                <w:szCs w:val="22"/>
                <w:lang w:val="en-US"/>
              </w:rPr>
            </w:pPr>
          </w:p>
          <w:p w14:paraId="570047D8" w14:textId="77777777" w:rsidR="001E1112" w:rsidRPr="00317ABF" w:rsidRDefault="001E1112" w:rsidP="00DB3BEC">
            <w:pPr>
              <w:pStyle w:val="Tekstpodstawowy"/>
              <w:rPr>
                <w:b/>
                <w:noProof/>
                <w:sz w:val="22"/>
                <w:szCs w:val="22"/>
                <w:lang w:val="en-US"/>
              </w:rPr>
            </w:pPr>
          </w:p>
          <w:p w14:paraId="40D0FCDD" w14:textId="77777777" w:rsidR="001E1112" w:rsidRPr="00317ABF" w:rsidRDefault="001E1112" w:rsidP="00DB3BEC">
            <w:pPr>
              <w:pStyle w:val="Tekstpodstawowy"/>
              <w:rPr>
                <w:b/>
                <w:noProof/>
                <w:sz w:val="22"/>
                <w:szCs w:val="22"/>
                <w:lang w:val="en-US"/>
              </w:rPr>
            </w:pPr>
          </w:p>
          <w:p w14:paraId="2C818A7F" w14:textId="77777777" w:rsidR="001E1112" w:rsidRPr="00317ABF" w:rsidRDefault="001E1112" w:rsidP="00DB3BEC">
            <w:pPr>
              <w:pStyle w:val="Tekstpodstawowy"/>
              <w:rPr>
                <w:b/>
                <w:noProof/>
                <w:sz w:val="22"/>
                <w:szCs w:val="22"/>
                <w:lang w:val="en-US"/>
              </w:rPr>
            </w:pPr>
          </w:p>
          <w:p w14:paraId="00AAE64F" w14:textId="77777777" w:rsidR="001E1112" w:rsidRPr="00317ABF" w:rsidRDefault="001E1112" w:rsidP="00DB3BEC">
            <w:pPr>
              <w:pStyle w:val="Tekstpodstawowy"/>
              <w:rPr>
                <w:b/>
                <w:noProof/>
                <w:sz w:val="22"/>
                <w:szCs w:val="22"/>
                <w:lang w:val="en-US"/>
              </w:rPr>
            </w:pPr>
          </w:p>
          <w:p w14:paraId="375212B5" w14:textId="77777777" w:rsidR="001E1112" w:rsidRPr="00317ABF" w:rsidRDefault="001E1112" w:rsidP="00DB3BEC">
            <w:pPr>
              <w:pStyle w:val="Tekstpodstawowy"/>
              <w:rPr>
                <w:b/>
                <w:noProof/>
                <w:sz w:val="22"/>
                <w:szCs w:val="22"/>
                <w:lang w:val="en-US"/>
              </w:rPr>
            </w:pPr>
          </w:p>
          <w:p w14:paraId="054CC0E4" w14:textId="65F564F5" w:rsidR="001E1112" w:rsidRPr="00317ABF" w:rsidRDefault="00F176E6" w:rsidP="00DB3BEC">
            <w:pPr>
              <w:pStyle w:val="Tekstpodstawowy"/>
              <w:rPr>
                <w:b/>
                <w:sz w:val="22"/>
                <w:szCs w:val="22"/>
                <w:lang w:val="en-US"/>
              </w:rPr>
            </w:pPr>
            <w:r w:rsidRPr="00317ABF">
              <w:rPr>
                <w:b/>
                <w:sz w:val="22"/>
                <w:szCs w:val="22"/>
                <w:lang w:val="en-US"/>
              </w:rPr>
              <w:t>Art. 3</w:t>
            </w:r>
            <w:r w:rsidR="00AD11B0" w:rsidRPr="00317ABF">
              <w:rPr>
                <w:b/>
                <w:sz w:val="22"/>
                <w:szCs w:val="22"/>
                <w:lang w:val="en-US"/>
              </w:rPr>
              <w:t>4</w:t>
            </w:r>
            <w:r w:rsidRPr="00317ABF">
              <w:rPr>
                <w:b/>
                <w:sz w:val="22"/>
                <w:szCs w:val="22"/>
                <w:lang w:val="en-US"/>
              </w:rPr>
              <w:t xml:space="preserve"> pkt 24 lit. i</w:t>
            </w:r>
          </w:p>
          <w:p w14:paraId="1299FC03" w14:textId="1697C723" w:rsidR="001E1112" w:rsidRPr="00317ABF" w:rsidRDefault="001E1112" w:rsidP="00DB3BEC">
            <w:pPr>
              <w:pStyle w:val="Tekstpodstawowy"/>
              <w:rPr>
                <w:b/>
                <w:noProof/>
                <w:sz w:val="22"/>
                <w:szCs w:val="22"/>
                <w:lang w:val="en-US"/>
              </w:rPr>
            </w:pPr>
          </w:p>
        </w:tc>
        <w:tc>
          <w:tcPr>
            <w:tcW w:w="6814" w:type="dxa"/>
            <w:gridSpan w:val="2"/>
          </w:tcPr>
          <w:p w14:paraId="3FEAB608" w14:textId="77777777" w:rsidR="001E1112" w:rsidRPr="00317ABF" w:rsidRDefault="001E1112" w:rsidP="00DB3BEC">
            <w:pPr>
              <w:pStyle w:val="Tekstpodstawowy"/>
              <w:rPr>
                <w:sz w:val="22"/>
                <w:szCs w:val="22"/>
              </w:rPr>
            </w:pPr>
            <w:r w:rsidRPr="00317ABF">
              <w:rPr>
                <w:sz w:val="22"/>
                <w:szCs w:val="22"/>
              </w:rPr>
              <w:lastRenderedPageBreak/>
              <w:t>„6a. Informacje, o których mowa w ust. 2, oraz informacje wynikające ze zgłoszeń, o których mowa w ust. 5c, Prezes UKE może wykorzystywać w zakresie niezbędnym do wykonywania jego uprawnień i obowiązków określonych w art. 382 ust. 1 ustawy z dnia … 2020 r. – Prawo komunikacji elektronicznej.”;</w:t>
            </w:r>
          </w:p>
          <w:p w14:paraId="2F3E11E6" w14:textId="77777777" w:rsidR="001E1112" w:rsidRPr="00317ABF" w:rsidRDefault="001E1112" w:rsidP="00DB3BEC">
            <w:pPr>
              <w:pStyle w:val="Tekstpodstawowy"/>
              <w:rPr>
                <w:sz w:val="22"/>
                <w:szCs w:val="22"/>
              </w:rPr>
            </w:pPr>
          </w:p>
          <w:p w14:paraId="7B4176AC" w14:textId="77777777" w:rsidR="001E1112" w:rsidRPr="00317ABF" w:rsidRDefault="001E1112" w:rsidP="00DB3BEC">
            <w:pPr>
              <w:pStyle w:val="Tekstpodstawowy"/>
              <w:rPr>
                <w:sz w:val="22"/>
                <w:szCs w:val="22"/>
              </w:rPr>
            </w:pPr>
          </w:p>
          <w:p w14:paraId="019D896D" w14:textId="77777777" w:rsidR="001E1112" w:rsidRPr="00317ABF" w:rsidRDefault="001E1112" w:rsidP="00DB3BEC">
            <w:pPr>
              <w:pStyle w:val="Tekstpodstawowy"/>
              <w:rPr>
                <w:sz w:val="22"/>
                <w:szCs w:val="22"/>
              </w:rPr>
            </w:pPr>
          </w:p>
          <w:p w14:paraId="0F2ED06A" w14:textId="77777777" w:rsidR="001E1112" w:rsidRPr="00317ABF" w:rsidRDefault="001E1112" w:rsidP="00DB3BEC">
            <w:pPr>
              <w:pStyle w:val="Tekstpodstawowy"/>
              <w:rPr>
                <w:sz w:val="22"/>
                <w:szCs w:val="22"/>
              </w:rPr>
            </w:pPr>
          </w:p>
          <w:p w14:paraId="11FE20A1" w14:textId="77777777" w:rsidR="001E1112" w:rsidRPr="00317ABF" w:rsidRDefault="001E1112" w:rsidP="00DB3BEC">
            <w:pPr>
              <w:pStyle w:val="Tekstpodstawowy"/>
              <w:rPr>
                <w:sz w:val="22"/>
                <w:szCs w:val="22"/>
              </w:rPr>
            </w:pPr>
          </w:p>
          <w:p w14:paraId="5D367F77" w14:textId="77777777" w:rsidR="001E1112" w:rsidRPr="00317ABF" w:rsidRDefault="001E1112" w:rsidP="00DB3BEC">
            <w:pPr>
              <w:pStyle w:val="Tekstpodstawowy"/>
              <w:rPr>
                <w:sz w:val="22"/>
                <w:szCs w:val="22"/>
              </w:rPr>
            </w:pPr>
          </w:p>
          <w:p w14:paraId="0EC4D88E" w14:textId="77777777" w:rsidR="001E1112" w:rsidRPr="00317ABF" w:rsidRDefault="001E1112" w:rsidP="00DB3BEC">
            <w:pPr>
              <w:pStyle w:val="Tekstpodstawowy"/>
              <w:rPr>
                <w:sz w:val="22"/>
                <w:szCs w:val="22"/>
              </w:rPr>
            </w:pPr>
          </w:p>
          <w:p w14:paraId="30B472FD" w14:textId="77777777" w:rsidR="001E1112" w:rsidRPr="00317ABF" w:rsidRDefault="001E1112" w:rsidP="00DB3BEC">
            <w:pPr>
              <w:pStyle w:val="Tekstpodstawowy"/>
              <w:rPr>
                <w:sz w:val="22"/>
                <w:szCs w:val="22"/>
              </w:rPr>
            </w:pPr>
          </w:p>
          <w:p w14:paraId="15AC1E9E" w14:textId="77777777" w:rsidR="001E1112" w:rsidRPr="00317ABF" w:rsidRDefault="001E1112" w:rsidP="00DB3BEC">
            <w:pPr>
              <w:pStyle w:val="Tekstpodstawowy"/>
              <w:rPr>
                <w:sz w:val="22"/>
                <w:szCs w:val="22"/>
              </w:rPr>
            </w:pPr>
          </w:p>
          <w:p w14:paraId="071F4A8D" w14:textId="77777777" w:rsidR="001E1112" w:rsidRPr="00317ABF" w:rsidRDefault="001E1112" w:rsidP="00DB3BEC">
            <w:pPr>
              <w:pStyle w:val="Tekstpodstawowy"/>
              <w:rPr>
                <w:sz w:val="22"/>
                <w:szCs w:val="22"/>
              </w:rPr>
            </w:pPr>
          </w:p>
          <w:p w14:paraId="567BAAB5" w14:textId="77777777" w:rsidR="001E1112" w:rsidRPr="00317ABF" w:rsidRDefault="001E1112" w:rsidP="00DB3BEC">
            <w:pPr>
              <w:pStyle w:val="Tekstpodstawowy"/>
              <w:rPr>
                <w:sz w:val="22"/>
                <w:szCs w:val="22"/>
              </w:rPr>
            </w:pPr>
          </w:p>
          <w:p w14:paraId="6150D764" w14:textId="77777777" w:rsidR="001E1112" w:rsidRPr="00317ABF" w:rsidRDefault="001E1112" w:rsidP="00DB3BEC">
            <w:pPr>
              <w:pStyle w:val="Tekstpodstawowy"/>
              <w:rPr>
                <w:sz w:val="22"/>
                <w:szCs w:val="22"/>
              </w:rPr>
            </w:pPr>
          </w:p>
          <w:p w14:paraId="7563F7E8" w14:textId="77777777" w:rsidR="001E1112" w:rsidRPr="00317ABF" w:rsidRDefault="001E1112" w:rsidP="00DB3BEC">
            <w:pPr>
              <w:pStyle w:val="Tekstpodstawowy"/>
              <w:rPr>
                <w:sz w:val="22"/>
                <w:szCs w:val="22"/>
              </w:rPr>
            </w:pPr>
          </w:p>
          <w:p w14:paraId="1012B600" w14:textId="3D1432DF" w:rsidR="001E1112" w:rsidRPr="00317ABF" w:rsidRDefault="001E1112" w:rsidP="00DB3BEC">
            <w:pPr>
              <w:pStyle w:val="Tekstpodstawowy"/>
              <w:rPr>
                <w:sz w:val="22"/>
                <w:szCs w:val="22"/>
              </w:rPr>
            </w:pPr>
          </w:p>
          <w:p w14:paraId="53508331" w14:textId="4F980FB6" w:rsidR="001E1112" w:rsidRPr="00317ABF" w:rsidRDefault="001E1112" w:rsidP="00DB3BEC">
            <w:pPr>
              <w:pStyle w:val="Tekstpodstawowy"/>
              <w:rPr>
                <w:sz w:val="22"/>
                <w:szCs w:val="22"/>
              </w:rPr>
            </w:pPr>
            <w:r w:rsidRPr="00317ABF">
              <w:rPr>
                <w:sz w:val="22"/>
                <w:szCs w:val="22"/>
              </w:rPr>
              <w:t>„6c. W celu umożliwienia użytkownikom końcowym uzyskania informacji o usługach dostępu do Internetu możliwych do świadczenia w wybranej lokalizacji, Prezes UKE, nie rzadziej niż raz na rok, publikuje na swojej stronie internetowej oraz na stronie internetowej, o której mowa w art. 29a ust. 2, co najmniej informacje, o których mowa w ust. 6b pkt 1–4.”</w:t>
            </w:r>
          </w:p>
        </w:tc>
      </w:tr>
      <w:tr w:rsidR="001E1112" w:rsidRPr="00317ABF" w14:paraId="4868C2E5" w14:textId="77777777" w:rsidTr="7753F98D">
        <w:trPr>
          <w:gridAfter w:val="2"/>
          <w:wAfter w:w="175" w:type="dxa"/>
        </w:trPr>
        <w:tc>
          <w:tcPr>
            <w:tcW w:w="704" w:type="dxa"/>
          </w:tcPr>
          <w:p w14:paraId="3431D910" w14:textId="77777777" w:rsidR="001E1112" w:rsidRPr="00317ABF" w:rsidRDefault="001E1112" w:rsidP="00DB3BEC">
            <w:pPr>
              <w:jc w:val="both"/>
              <w:rPr>
                <w:sz w:val="22"/>
                <w:szCs w:val="22"/>
              </w:rPr>
            </w:pPr>
            <w:r w:rsidRPr="00317ABF">
              <w:rPr>
                <w:sz w:val="22"/>
                <w:szCs w:val="22"/>
              </w:rPr>
              <w:lastRenderedPageBreak/>
              <w:t>Art. 22 ust. 6</w:t>
            </w:r>
          </w:p>
        </w:tc>
        <w:tc>
          <w:tcPr>
            <w:tcW w:w="4308" w:type="dxa"/>
          </w:tcPr>
          <w:p w14:paraId="2709A8FC" w14:textId="77777777" w:rsidR="001E1112" w:rsidRPr="00317ABF" w:rsidRDefault="001E1112" w:rsidP="00DB3BEC">
            <w:pPr>
              <w:spacing w:before="120"/>
              <w:jc w:val="both"/>
              <w:rPr>
                <w:sz w:val="22"/>
                <w:szCs w:val="22"/>
              </w:rPr>
            </w:pPr>
            <w:r w:rsidRPr="00317ABF">
              <w:rPr>
                <w:sz w:val="22"/>
                <w:szCs w:val="22"/>
              </w:rPr>
              <w:t>6.   Jeżeli odpowiednie informacje nie są dostępne na rynku, właściwe organy udostępniają bezpośrednio te dane z analizy geograficznej, które nie są objęte tajemnicą handlową, zgodnie z dyrektywą 2003/98/WE w celu umożliwienia ponownego wykorzystania tych informacji. Jeżeli takie narzędzia nie są dostępne na rynku, organy te udostępniają także użytkownikom końcowym narzędzia informacyjne umożliwiające im określenie możliwości dostępu do sieci na różnych obszarach, z poziomem szczegółowości pomocnym w dokonaniu wyboru operatora lub dostawcy usług.</w:t>
            </w:r>
          </w:p>
        </w:tc>
        <w:tc>
          <w:tcPr>
            <w:tcW w:w="986" w:type="dxa"/>
          </w:tcPr>
          <w:p w14:paraId="4C694B97" w14:textId="6AC2C416" w:rsidR="001E1112" w:rsidRPr="00317ABF" w:rsidRDefault="001E1112" w:rsidP="00DB3BEC">
            <w:pPr>
              <w:jc w:val="both"/>
              <w:rPr>
                <w:sz w:val="22"/>
                <w:szCs w:val="22"/>
              </w:rPr>
            </w:pPr>
            <w:r w:rsidRPr="00317ABF">
              <w:rPr>
                <w:sz w:val="22"/>
                <w:szCs w:val="22"/>
              </w:rPr>
              <w:t>T</w:t>
            </w:r>
          </w:p>
        </w:tc>
        <w:tc>
          <w:tcPr>
            <w:tcW w:w="910" w:type="dxa"/>
          </w:tcPr>
          <w:p w14:paraId="5EB26D91" w14:textId="5BD8D73E" w:rsidR="001E1112" w:rsidRPr="00317ABF" w:rsidRDefault="00F176E6" w:rsidP="00DB3BEC">
            <w:pPr>
              <w:pStyle w:val="Tekstpodstawowy"/>
              <w:rPr>
                <w:b/>
                <w:sz w:val="22"/>
                <w:szCs w:val="22"/>
              </w:rPr>
            </w:pPr>
            <w:r w:rsidRPr="00317ABF">
              <w:rPr>
                <w:b/>
                <w:sz w:val="22"/>
                <w:szCs w:val="22"/>
              </w:rPr>
              <w:t>Art. 3</w:t>
            </w:r>
            <w:r w:rsidR="00AD11B0" w:rsidRPr="00317ABF">
              <w:rPr>
                <w:b/>
                <w:sz w:val="22"/>
                <w:szCs w:val="22"/>
              </w:rPr>
              <w:t>4</w:t>
            </w:r>
            <w:r w:rsidRPr="00317ABF">
              <w:rPr>
                <w:b/>
                <w:sz w:val="22"/>
                <w:szCs w:val="22"/>
              </w:rPr>
              <w:t xml:space="preserve"> pkt 24 lit. i</w:t>
            </w:r>
          </w:p>
        </w:tc>
        <w:tc>
          <w:tcPr>
            <w:tcW w:w="6814" w:type="dxa"/>
            <w:gridSpan w:val="2"/>
          </w:tcPr>
          <w:p w14:paraId="3BC8F9AD" w14:textId="4AD892F0" w:rsidR="001E1112" w:rsidRPr="00317ABF" w:rsidRDefault="001E1112" w:rsidP="00DB3BEC">
            <w:pPr>
              <w:pStyle w:val="Tekstpodstawowy"/>
              <w:rPr>
                <w:sz w:val="22"/>
                <w:szCs w:val="22"/>
              </w:rPr>
            </w:pPr>
            <w:r w:rsidRPr="00317ABF">
              <w:rPr>
                <w:sz w:val="22"/>
                <w:szCs w:val="22"/>
              </w:rPr>
              <w:t>„6c. W celu umożliwienia użytkownikom końcowym uzyskania informacji o usługach dostępu do Internetu możliwych do świadczenia w wybranej lokalizacji, Prezes UKE, nie rzadziej niż raz na rok, publikuje na swojej stronie internetowej oraz na stronie internetowej, o której mowa w art. 29a ust. 2, co najmniej informacje, o których mowa w ust. 6b pkt 1–4.”</w:t>
            </w:r>
          </w:p>
          <w:p w14:paraId="5F47BEC5" w14:textId="5E6E6A46" w:rsidR="001E1112" w:rsidRPr="00317ABF" w:rsidRDefault="001E1112" w:rsidP="00DB3BEC">
            <w:pPr>
              <w:jc w:val="both"/>
              <w:rPr>
                <w:sz w:val="22"/>
                <w:szCs w:val="22"/>
              </w:rPr>
            </w:pPr>
          </w:p>
          <w:p w14:paraId="4CEFF00C" w14:textId="77777777" w:rsidR="001E1112" w:rsidRPr="00317ABF" w:rsidRDefault="001E1112" w:rsidP="00DB3BEC">
            <w:pPr>
              <w:ind w:firstLine="708"/>
              <w:jc w:val="both"/>
              <w:rPr>
                <w:sz w:val="22"/>
                <w:szCs w:val="22"/>
              </w:rPr>
            </w:pPr>
          </w:p>
        </w:tc>
      </w:tr>
      <w:tr w:rsidR="001E1112" w:rsidRPr="00317ABF" w14:paraId="19F5A4C1" w14:textId="77777777" w:rsidTr="7753F98D">
        <w:trPr>
          <w:gridAfter w:val="2"/>
          <w:wAfter w:w="175" w:type="dxa"/>
        </w:trPr>
        <w:tc>
          <w:tcPr>
            <w:tcW w:w="704" w:type="dxa"/>
          </w:tcPr>
          <w:p w14:paraId="07B3680B" w14:textId="77777777" w:rsidR="001E1112" w:rsidRPr="00317ABF" w:rsidRDefault="001E1112" w:rsidP="00DB3BEC">
            <w:pPr>
              <w:jc w:val="both"/>
              <w:rPr>
                <w:sz w:val="22"/>
                <w:szCs w:val="22"/>
              </w:rPr>
            </w:pPr>
            <w:r w:rsidRPr="00317ABF">
              <w:rPr>
                <w:sz w:val="22"/>
                <w:szCs w:val="22"/>
              </w:rPr>
              <w:t>Art. 22 ust. 7</w:t>
            </w:r>
          </w:p>
        </w:tc>
        <w:tc>
          <w:tcPr>
            <w:tcW w:w="4308" w:type="dxa"/>
          </w:tcPr>
          <w:p w14:paraId="50C25F8D" w14:textId="77777777" w:rsidR="001E1112" w:rsidRPr="00317ABF" w:rsidRDefault="001E1112" w:rsidP="00DB3BEC">
            <w:pPr>
              <w:spacing w:before="120"/>
              <w:jc w:val="both"/>
              <w:rPr>
                <w:sz w:val="22"/>
                <w:szCs w:val="22"/>
              </w:rPr>
            </w:pPr>
            <w:r w:rsidRPr="00317ABF">
              <w:rPr>
                <w:sz w:val="22"/>
                <w:szCs w:val="22"/>
              </w:rPr>
              <w:t xml:space="preserve">7.   Do dnia 21 czerwca 2020 r. BEREC – aby przyczynić się do spójnego stosowania analiz geograficznych i prognoz – po konsultacji z zainteresowanymi podmiotami i w ścisłej </w:t>
            </w:r>
            <w:r w:rsidRPr="00317ABF">
              <w:rPr>
                <w:sz w:val="22"/>
                <w:szCs w:val="22"/>
              </w:rPr>
              <w:lastRenderedPageBreak/>
              <w:t>współpracy z Komisją i właściwymi organami krajowymi, wyda wytyczne służące pomocą krajowym organom regulacyjnym lub innym właściwym organom w konsekwentnym wypełnianiu ich obowiązków wynikających z niniejszego artykułu.</w:t>
            </w:r>
          </w:p>
        </w:tc>
        <w:tc>
          <w:tcPr>
            <w:tcW w:w="986" w:type="dxa"/>
          </w:tcPr>
          <w:p w14:paraId="18D160CB" w14:textId="61392798" w:rsidR="001E1112" w:rsidRPr="00317ABF" w:rsidRDefault="001E1112" w:rsidP="00DB3BEC">
            <w:pPr>
              <w:jc w:val="both"/>
              <w:rPr>
                <w:sz w:val="22"/>
                <w:szCs w:val="22"/>
              </w:rPr>
            </w:pPr>
            <w:r w:rsidRPr="00317ABF">
              <w:rPr>
                <w:sz w:val="22"/>
                <w:szCs w:val="22"/>
              </w:rPr>
              <w:lastRenderedPageBreak/>
              <w:t>N</w:t>
            </w:r>
          </w:p>
        </w:tc>
        <w:tc>
          <w:tcPr>
            <w:tcW w:w="910" w:type="dxa"/>
          </w:tcPr>
          <w:p w14:paraId="61AC30FB" w14:textId="77777777" w:rsidR="001E1112" w:rsidRPr="00317ABF" w:rsidRDefault="001E1112" w:rsidP="00DB3BEC">
            <w:pPr>
              <w:pStyle w:val="Tekstpodstawowy"/>
              <w:rPr>
                <w:b/>
                <w:noProof/>
                <w:sz w:val="22"/>
                <w:szCs w:val="22"/>
              </w:rPr>
            </w:pPr>
          </w:p>
        </w:tc>
        <w:tc>
          <w:tcPr>
            <w:tcW w:w="6814" w:type="dxa"/>
            <w:gridSpan w:val="2"/>
          </w:tcPr>
          <w:p w14:paraId="26B1A375" w14:textId="77777777" w:rsidR="001E1112" w:rsidRPr="00317ABF" w:rsidRDefault="001E1112" w:rsidP="00DB3BEC">
            <w:pPr>
              <w:pStyle w:val="Tekstpodstawowy"/>
              <w:rPr>
                <w:sz w:val="22"/>
                <w:szCs w:val="22"/>
              </w:rPr>
            </w:pPr>
          </w:p>
        </w:tc>
      </w:tr>
      <w:tr w:rsidR="001E1112" w:rsidRPr="00317ABF" w14:paraId="2D40D0FA" w14:textId="77777777" w:rsidTr="7753F98D">
        <w:trPr>
          <w:gridAfter w:val="2"/>
          <w:wAfter w:w="175" w:type="dxa"/>
        </w:trPr>
        <w:tc>
          <w:tcPr>
            <w:tcW w:w="704" w:type="dxa"/>
          </w:tcPr>
          <w:p w14:paraId="65EABD62" w14:textId="77777777" w:rsidR="001E1112" w:rsidRPr="00317ABF" w:rsidRDefault="001E1112" w:rsidP="00DB3BEC">
            <w:pPr>
              <w:jc w:val="both"/>
              <w:rPr>
                <w:b/>
                <w:sz w:val="22"/>
                <w:szCs w:val="22"/>
              </w:rPr>
            </w:pPr>
            <w:r w:rsidRPr="00317ABF">
              <w:rPr>
                <w:b/>
                <w:sz w:val="22"/>
                <w:szCs w:val="22"/>
              </w:rPr>
              <w:lastRenderedPageBreak/>
              <w:t>Art. 23</w:t>
            </w:r>
          </w:p>
        </w:tc>
        <w:tc>
          <w:tcPr>
            <w:tcW w:w="4308" w:type="dxa"/>
          </w:tcPr>
          <w:p w14:paraId="3B588BC4" w14:textId="77777777" w:rsidR="001E1112" w:rsidRPr="00317ABF" w:rsidRDefault="001E1112" w:rsidP="00DB3BEC">
            <w:pPr>
              <w:spacing w:before="120"/>
              <w:jc w:val="both"/>
              <w:rPr>
                <w:sz w:val="22"/>
                <w:szCs w:val="22"/>
              </w:rPr>
            </w:pPr>
            <w:r w:rsidRPr="00317ABF">
              <w:rPr>
                <w:b/>
                <w:bCs/>
                <w:sz w:val="22"/>
                <w:szCs w:val="22"/>
              </w:rPr>
              <w:t>Mechanizm konsultacji oraz zapewniania przejrzystości</w:t>
            </w:r>
          </w:p>
        </w:tc>
        <w:tc>
          <w:tcPr>
            <w:tcW w:w="986" w:type="dxa"/>
          </w:tcPr>
          <w:p w14:paraId="211FC6EA" w14:textId="77777777" w:rsidR="001E1112" w:rsidRPr="00317ABF" w:rsidRDefault="001E1112" w:rsidP="00DB3BEC">
            <w:pPr>
              <w:jc w:val="both"/>
              <w:rPr>
                <w:sz w:val="22"/>
                <w:szCs w:val="22"/>
              </w:rPr>
            </w:pPr>
          </w:p>
        </w:tc>
        <w:tc>
          <w:tcPr>
            <w:tcW w:w="910" w:type="dxa"/>
          </w:tcPr>
          <w:p w14:paraId="764ED501" w14:textId="77777777" w:rsidR="001E1112" w:rsidRPr="00317ABF" w:rsidRDefault="001E1112" w:rsidP="00DB3BEC">
            <w:pPr>
              <w:pStyle w:val="Tekstpodstawowy"/>
              <w:rPr>
                <w:b/>
                <w:noProof/>
                <w:sz w:val="22"/>
                <w:szCs w:val="22"/>
              </w:rPr>
            </w:pPr>
          </w:p>
        </w:tc>
        <w:tc>
          <w:tcPr>
            <w:tcW w:w="6814" w:type="dxa"/>
            <w:gridSpan w:val="2"/>
          </w:tcPr>
          <w:p w14:paraId="0AB93745" w14:textId="77777777" w:rsidR="001E1112" w:rsidRPr="00317ABF" w:rsidRDefault="001E1112" w:rsidP="00DB3BEC">
            <w:pPr>
              <w:pStyle w:val="Tekstpodstawowy"/>
              <w:rPr>
                <w:sz w:val="22"/>
                <w:szCs w:val="22"/>
              </w:rPr>
            </w:pPr>
          </w:p>
        </w:tc>
      </w:tr>
      <w:tr w:rsidR="001E1112" w:rsidRPr="00317ABF" w14:paraId="4DA77D74" w14:textId="77777777" w:rsidTr="7753F98D">
        <w:trPr>
          <w:gridAfter w:val="2"/>
          <w:wAfter w:w="175" w:type="dxa"/>
        </w:trPr>
        <w:tc>
          <w:tcPr>
            <w:tcW w:w="704" w:type="dxa"/>
          </w:tcPr>
          <w:p w14:paraId="0F58BD93" w14:textId="77777777" w:rsidR="001E1112" w:rsidRPr="00317ABF" w:rsidRDefault="001E1112" w:rsidP="00DB3BEC">
            <w:pPr>
              <w:jc w:val="both"/>
              <w:rPr>
                <w:sz w:val="22"/>
                <w:szCs w:val="22"/>
              </w:rPr>
            </w:pPr>
            <w:r w:rsidRPr="00317ABF">
              <w:rPr>
                <w:sz w:val="22"/>
                <w:szCs w:val="22"/>
              </w:rPr>
              <w:t>Art. 23 ust. 1</w:t>
            </w:r>
          </w:p>
        </w:tc>
        <w:tc>
          <w:tcPr>
            <w:tcW w:w="4308" w:type="dxa"/>
          </w:tcPr>
          <w:p w14:paraId="308A1AD3" w14:textId="77777777" w:rsidR="001E1112" w:rsidRPr="00317ABF" w:rsidRDefault="001E1112" w:rsidP="00DB3BEC">
            <w:pPr>
              <w:spacing w:before="120"/>
              <w:jc w:val="both"/>
              <w:rPr>
                <w:sz w:val="22"/>
                <w:szCs w:val="22"/>
              </w:rPr>
            </w:pPr>
            <w:r w:rsidRPr="00317ABF">
              <w:rPr>
                <w:sz w:val="22"/>
                <w:szCs w:val="22"/>
              </w:rPr>
              <w:t>1.   Z wyjątkiem sytuacji objętych art. 26 lub 27 lub art. 32 ust. 10 państwa członkowskie zapewniają, aby krajowe organy regulacyjne lub inne właściwe organy, które zamierzają podjąć środki zgodnie z niniejszą dyrektywą lub zamierzają wprowadzić ograniczenia zgodnie z art. 45 ust. 4 i 5, które mają znaczący wpływ na rynek właściwy, umożliwiły zainteresowanym stronom wypowiedzenie się w kwestii planowanego środka w rozsądnym terminie, mając na względzie złożoność sprawy, z wyjątkiem wyjątkowych okoliczności, a w każdym razie w terminie nie krótszym niż 30 dni.</w:t>
            </w:r>
          </w:p>
        </w:tc>
        <w:tc>
          <w:tcPr>
            <w:tcW w:w="986" w:type="dxa"/>
          </w:tcPr>
          <w:p w14:paraId="49635555" w14:textId="3EA30820" w:rsidR="001E1112" w:rsidRPr="00317ABF" w:rsidRDefault="001E1112" w:rsidP="00DB3BEC">
            <w:pPr>
              <w:jc w:val="both"/>
              <w:rPr>
                <w:sz w:val="22"/>
                <w:szCs w:val="22"/>
              </w:rPr>
            </w:pPr>
            <w:r w:rsidRPr="00317ABF">
              <w:rPr>
                <w:sz w:val="22"/>
                <w:szCs w:val="22"/>
              </w:rPr>
              <w:t>T</w:t>
            </w:r>
          </w:p>
        </w:tc>
        <w:tc>
          <w:tcPr>
            <w:tcW w:w="910" w:type="dxa"/>
          </w:tcPr>
          <w:p w14:paraId="302E14D8" w14:textId="043EC286" w:rsidR="001E1112" w:rsidRPr="00317ABF" w:rsidRDefault="001E1112" w:rsidP="00DB3BEC">
            <w:pPr>
              <w:pStyle w:val="Tekstpodstawowy"/>
              <w:rPr>
                <w:b/>
                <w:bCs/>
                <w:noProof/>
                <w:sz w:val="22"/>
                <w:szCs w:val="22"/>
                <w:lang w:val="en-US"/>
              </w:rPr>
            </w:pPr>
            <w:r w:rsidRPr="00317ABF">
              <w:rPr>
                <w:b/>
                <w:bCs/>
                <w:noProof/>
                <w:sz w:val="22"/>
                <w:szCs w:val="22"/>
                <w:lang w:val="en-US"/>
              </w:rPr>
              <w:t>Art. 30, art. 31 ust. 2, art. 32</w:t>
            </w:r>
            <w:r w:rsidR="00EF56E4" w:rsidRPr="00317ABF">
              <w:rPr>
                <w:b/>
                <w:bCs/>
                <w:noProof/>
                <w:sz w:val="22"/>
                <w:szCs w:val="22"/>
                <w:lang w:val="en-US"/>
              </w:rPr>
              <w:t>,</w:t>
            </w:r>
          </w:p>
          <w:p w14:paraId="17A53FC6" w14:textId="7AE0578C" w:rsidR="001E1112" w:rsidRPr="00317ABF" w:rsidRDefault="00EF56E4" w:rsidP="00DB3BEC">
            <w:pPr>
              <w:pStyle w:val="Tekstpodstawowy"/>
              <w:rPr>
                <w:b/>
                <w:noProof/>
                <w:sz w:val="22"/>
                <w:szCs w:val="22"/>
                <w:lang w:val="en-US"/>
              </w:rPr>
            </w:pPr>
            <w:r w:rsidRPr="00317ABF">
              <w:rPr>
                <w:b/>
                <w:bCs/>
                <w:noProof/>
                <w:sz w:val="22"/>
                <w:szCs w:val="22"/>
                <w:lang w:val="en-US"/>
              </w:rPr>
              <w:t>a</w:t>
            </w:r>
            <w:r w:rsidR="001E1112" w:rsidRPr="00317ABF">
              <w:rPr>
                <w:b/>
                <w:bCs/>
                <w:noProof/>
                <w:sz w:val="22"/>
                <w:szCs w:val="22"/>
                <w:lang w:val="en-US"/>
              </w:rPr>
              <w:t>rt. 34</w:t>
            </w:r>
          </w:p>
        </w:tc>
        <w:tc>
          <w:tcPr>
            <w:tcW w:w="6814" w:type="dxa"/>
            <w:gridSpan w:val="2"/>
          </w:tcPr>
          <w:p w14:paraId="5C5AB1F6" w14:textId="77777777" w:rsidR="00EF56E4" w:rsidRPr="00317ABF" w:rsidRDefault="00EF56E4" w:rsidP="00EF56E4">
            <w:pPr>
              <w:pStyle w:val="ARTartustawynprozporzdzenia"/>
              <w:keepNext/>
              <w:spacing w:line="240" w:lineRule="auto"/>
              <w:rPr>
                <w:rFonts w:ascii="Times New Roman" w:hAnsi="Times New Roman" w:cs="Times New Roman"/>
                <w:sz w:val="22"/>
                <w:szCs w:val="22"/>
              </w:rPr>
            </w:pPr>
            <w:r w:rsidRPr="00317ABF">
              <w:rPr>
                <w:rStyle w:val="Ppogrubienie"/>
                <w:rFonts w:ascii="Times New Roman" w:hAnsi="Times New Roman"/>
                <w:sz w:val="22"/>
                <w:szCs w:val="22"/>
              </w:rPr>
              <w:t>Art. 30.</w:t>
            </w:r>
            <w:r w:rsidRPr="00317ABF">
              <w:rPr>
                <w:rFonts w:ascii="Times New Roman" w:hAnsi="Times New Roman" w:cs="Times New Roman"/>
                <w:sz w:val="22"/>
                <w:szCs w:val="22"/>
              </w:rPr>
              <w:t xml:space="preserve"> Prezes UKE przed podjęciem rozstrzygnięcia w sprawach:</w:t>
            </w:r>
          </w:p>
          <w:p w14:paraId="1E6A2122" w14:textId="77777777" w:rsidR="00EF56E4" w:rsidRPr="00317ABF" w:rsidRDefault="00EF56E4" w:rsidP="00EF56E4">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1) decyzji wydawanej na podstawie art. 175 ust. 1,</w:t>
            </w:r>
            <w:r w:rsidRPr="00317ABF">
              <w:rPr>
                <w:rFonts w:ascii="Times New Roman" w:hAnsi="Times New Roman" w:cs="Times New Roman"/>
                <w:sz w:val="22"/>
                <w:szCs w:val="22"/>
              </w:rPr>
              <w:tab/>
              <w:t xml:space="preserve"> </w:t>
            </w:r>
          </w:p>
          <w:p w14:paraId="6885C501" w14:textId="77777777" w:rsidR="00EF56E4" w:rsidRPr="00317ABF" w:rsidRDefault="00EF56E4" w:rsidP="00EF56E4">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2)</w:t>
            </w:r>
            <w:r w:rsidRPr="00317ABF">
              <w:rPr>
                <w:rFonts w:ascii="Times New Roman" w:hAnsi="Times New Roman" w:cs="Times New Roman"/>
                <w:sz w:val="22"/>
                <w:szCs w:val="22"/>
              </w:rPr>
              <w:tab/>
              <w:t xml:space="preserve"> nałożenia, uchylenia, zmiany lub utrzymania obowiązków dostępowych symetrycznych,</w:t>
            </w:r>
          </w:p>
          <w:p w14:paraId="6EE3A548" w14:textId="77777777" w:rsidR="00EF56E4" w:rsidRPr="00317ABF" w:rsidRDefault="00EF56E4" w:rsidP="00EF56E4">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3)</w:t>
            </w:r>
            <w:r w:rsidRPr="00317ABF">
              <w:rPr>
                <w:rFonts w:ascii="Times New Roman" w:hAnsi="Times New Roman" w:cs="Times New Roman"/>
                <w:sz w:val="22"/>
                <w:szCs w:val="22"/>
              </w:rPr>
              <w:tab/>
              <w:t>postanowień wydawanych na podstawie art. 182 ust. 1 i ust. 4 oraz decyzji wydawanej na podstawie art. 182 ust. 3,</w:t>
            </w:r>
          </w:p>
          <w:p w14:paraId="2E48A6E8" w14:textId="77777777" w:rsidR="00EF56E4" w:rsidRPr="00317ABF" w:rsidRDefault="00EF56E4" w:rsidP="00EF56E4">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4)</w:t>
            </w:r>
            <w:r w:rsidRPr="00317ABF">
              <w:rPr>
                <w:rFonts w:ascii="Times New Roman" w:hAnsi="Times New Roman" w:cs="Times New Roman"/>
                <w:sz w:val="22"/>
                <w:szCs w:val="22"/>
              </w:rPr>
              <w:tab/>
              <w:t xml:space="preserve">decyzji wydawanej na podstawie art. 183 ust. 1, </w:t>
            </w:r>
          </w:p>
          <w:p w14:paraId="3437CD8D" w14:textId="77777777" w:rsidR="00EF56E4" w:rsidRPr="00317ABF" w:rsidRDefault="00EF56E4" w:rsidP="00EF56E4">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5)</w:t>
            </w:r>
            <w:r w:rsidRPr="00317ABF">
              <w:rPr>
                <w:rFonts w:ascii="Times New Roman" w:hAnsi="Times New Roman" w:cs="Times New Roman"/>
                <w:sz w:val="22"/>
                <w:szCs w:val="22"/>
              </w:rPr>
              <w:tab/>
              <w:t>decyzji wydawanej na podstawie art. 187,</w:t>
            </w:r>
          </w:p>
          <w:p w14:paraId="5BD567B2" w14:textId="77777777" w:rsidR="00EF56E4" w:rsidRPr="00317ABF" w:rsidRDefault="00EF56E4" w:rsidP="00EF56E4">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 xml:space="preserve">6) </w:t>
            </w:r>
            <w:r w:rsidRPr="00317ABF">
              <w:rPr>
                <w:rFonts w:ascii="Times New Roman" w:hAnsi="Times New Roman" w:cs="Times New Roman"/>
                <w:sz w:val="22"/>
                <w:szCs w:val="22"/>
              </w:rPr>
              <w:tab/>
              <w:t>załatwianych w drodze decyzji obszarowej,</w:t>
            </w:r>
          </w:p>
          <w:p w14:paraId="24F810D3" w14:textId="77777777" w:rsidR="00EF56E4" w:rsidRPr="00317ABF" w:rsidRDefault="00EF56E4" w:rsidP="00EF56E4">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7) określenia rynku właściwego, o którym mowa w art. 199 ust. 1 pkt 1, a także jego analizy i wyznaczenia przedsiębiorcy komunikacji elektronicznej o znaczącej pozycji rynkowej lub przedsiębiorców komunikacji elektronicznej zajmujących kolektywną pozycję znaczącą, lub uchylenia decyzji w tej sprawie,</w:t>
            </w:r>
          </w:p>
          <w:p w14:paraId="5BAA3D7A" w14:textId="77777777" w:rsidR="00EF56E4" w:rsidRPr="00317ABF" w:rsidRDefault="00EF56E4" w:rsidP="00EF56E4">
            <w:pPr>
              <w:pStyle w:val="PKTpunkt0"/>
              <w:spacing w:line="240" w:lineRule="auto"/>
              <w:ind w:left="0" w:firstLine="0"/>
              <w:rPr>
                <w:rFonts w:ascii="Times New Roman" w:hAnsi="Times New Roman" w:cs="Times New Roman"/>
                <w:sz w:val="22"/>
                <w:szCs w:val="22"/>
              </w:rPr>
            </w:pPr>
            <w:r w:rsidRPr="00317ABF">
              <w:rPr>
                <w:rFonts w:ascii="Times New Roman" w:hAnsi="Times New Roman" w:cs="Times New Roman"/>
                <w:sz w:val="22"/>
                <w:szCs w:val="22"/>
              </w:rPr>
              <w:t>8) nałożenia, uchylenia, utrzymania lub zmiany obowiązków regulacyjnych w stosunku do przedsiębiorcy komunikacji elektronicznej o znaczącej pozycji rynkowej lub nieposiadającego takiej pozycji,</w:t>
            </w:r>
          </w:p>
          <w:p w14:paraId="2D054E75" w14:textId="77777777" w:rsidR="00EF56E4" w:rsidRPr="00317ABF" w:rsidRDefault="00EF56E4" w:rsidP="00EF56E4">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 xml:space="preserve">9) </w:t>
            </w:r>
            <w:r w:rsidRPr="00317ABF">
              <w:rPr>
                <w:rFonts w:ascii="Times New Roman" w:hAnsi="Times New Roman" w:cs="Times New Roman"/>
                <w:sz w:val="22"/>
                <w:szCs w:val="22"/>
              </w:rPr>
              <w:tab/>
              <w:t>decyzji wydawanych na podstawie art. 217 ust. 3 i ust. 5,</w:t>
            </w:r>
          </w:p>
          <w:p w14:paraId="3F9FAFE0" w14:textId="77777777" w:rsidR="00EF56E4" w:rsidRPr="00317ABF" w:rsidRDefault="00EF56E4" w:rsidP="00EF56E4">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 xml:space="preserve">10) </w:t>
            </w:r>
            <w:r w:rsidRPr="00317ABF">
              <w:rPr>
                <w:rFonts w:ascii="Times New Roman" w:hAnsi="Times New Roman" w:cs="Times New Roman"/>
                <w:sz w:val="22"/>
                <w:szCs w:val="22"/>
              </w:rPr>
              <w:tab/>
              <w:t>decyzji wydawanej na podstawie art. 221 ust. 1,</w:t>
            </w:r>
          </w:p>
          <w:p w14:paraId="6C2B0841" w14:textId="77777777" w:rsidR="00EF56E4" w:rsidRPr="00317ABF" w:rsidRDefault="00EF56E4" w:rsidP="00EF56E4">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11) decyzji wydawanej na podstawie art. 230 ust. 4,</w:t>
            </w:r>
          </w:p>
          <w:p w14:paraId="49E88453" w14:textId="77777777" w:rsidR="00EF56E4" w:rsidRPr="00317ABF" w:rsidRDefault="00EF56E4" w:rsidP="00EF56E4">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 xml:space="preserve">12) </w:t>
            </w:r>
            <w:r w:rsidRPr="00317ABF">
              <w:rPr>
                <w:rFonts w:ascii="Times New Roman" w:hAnsi="Times New Roman" w:cs="Times New Roman"/>
                <w:sz w:val="22"/>
                <w:szCs w:val="22"/>
              </w:rPr>
              <w:tab/>
              <w:t>decyzji wydawanej na podstawie art. 235,</w:t>
            </w:r>
          </w:p>
          <w:p w14:paraId="78292E67" w14:textId="77777777" w:rsidR="00EF56E4" w:rsidRPr="00317ABF" w:rsidRDefault="00EF56E4" w:rsidP="00EF56E4">
            <w:pPr>
              <w:pStyle w:val="PKTpunkt0"/>
              <w:keepNext/>
              <w:spacing w:line="240" w:lineRule="auto"/>
              <w:rPr>
                <w:rFonts w:ascii="Times New Roman" w:hAnsi="Times New Roman" w:cs="Times New Roman"/>
                <w:sz w:val="22"/>
                <w:szCs w:val="22"/>
              </w:rPr>
            </w:pPr>
            <w:r w:rsidRPr="00317ABF">
              <w:rPr>
                <w:rFonts w:ascii="Times New Roman" w:hAnsi="Times New Roman" w:cs="Times New Roman"/>
                <w:sz w:val="22"/>
                <w:szCs w:val="22"/>
              </w:rPr>
              <w:t>13)</w:t>
            </w:r>
            <w:r w:rsidRPr="00317ABF">
              <w:rPr>
                <w:rFonts w:ascii="Times New Roman" w:hAnsi="Times New Roman" w:cs="Times New Roman"/>
                <w:sz w:val="22"/>
                <w:szCs w:val="22"/>
              </w:rPr>
              <w:tab/>
              <w:t>innych wskazanych w ustawie z dnia 7 maja 2010 r. o wspieraniu rozwoju usług i sieci telekomunikacyjnych,</w:t>
            </w:r>
          </w:p>
          <w:p w14:paraId="5EE625D8" w14:textId="77777777" w:rsidR="00EF56E4" w:rsidRPr="00317ABF" w:rsidRDefault="00EF56E4" w:rsidP="00EF56E4">
            <w:pPr>
              <w:pStyle w:val="PKTpunkt0"/>
              <w:keepNext/>
              <w:spacing w:line="240" w:lineRule="auto"/>
              <w:rPr>
                <w:rFonts w:ascii="Times New Roman" w:hAnsi="Times New Roman" w:cs="Times New Roman"/>
                <w:sz w:val="22"/>
                <w:szCs w:val="22"/>
              </w:rPr>
            </w:pPr>
            <w:r w:rsidRPr="00317ABF">
              <w:rPr>
                <w:rFonts w:ascii="Times New Roman" w:hAnsi="Times New Roman" w:cs="Times New Roman"/>
                <w:sz w:val="22"/>
                <w:szCs w:val="22"/>
              </w:rPr>
              <w:t>14) innych wskazanych w ustawie,</w:t>
            </w:r>
          </w:p>
          <w:p w14:paraId="3E46B632" w14:textId="77777777" w:rsidR="00EF56E4" w:rsidRPr="00317ABF" w:rsidRDefault="00EF56E4" w:rsidP="00EF56E4">
            <w:pPr>
              <w:pStyle w:val="CZWSPPKTczwsplnapunktw"/>
              <w:spacing w:line="240" w:lineRule="auto"/>
              <w:rPr>
                <w:rFonts w:ascii="Times New Roman" w:hAnsi="Times New Roman" w:cs="Times New Roman"/>
                <w:sz w:val="22"/>
                <w:szCs w:val="22"/>
              </w:rPr>
            </w:pPr>
            <w:r w:rsidRPr="00317ABF">
              <w:rPr>
                <w:rFonts w:ascii="Times New Roman" w:hAnsi="Times New Roman" w:cs="Times New Roman"/>
                <w:sz w:val="22"/>
                <w:szCs w:val="22"/>
              </w:rPr>
              <w:t>- przeprowadza postępowanie, w ramach którego umożliwia zainteresowanym podmiotom wyrażenie w określonym terminie stanowiska do projektu rozstrzygnięcia, zwane dalej „postępowaniem konsultacyjnym”.</w:t>
            </w:r>
          </w:p>
          <w:p w14:paraId="65D4ABF0" w14:textId="45987CF1" w:rsidR="001E1112" w:rsidRPr="00317ABF" w:rsidRDefault="001E1112" w:rsidP="00DB3BEC">
            <w:pPr>
              <w:jc w:val="both"/>
              <w:rPr>
                <w:b/>
                <w:sz w:val="22"/>
                <w:szCs w:val="22"/>
              </w:rPr>
            </w:pPr>
          </w:p>
          <w:p w14:paraId="5A7ED0BC" w14:textId="265FF770" w:rsidR="001E1112" w:rsidRPr="00317ABF" w:rsidRDefault="001E1112" w:rsidP="00DB3BEC">
            <w:pPr>
              <w:jc w:val="both"/>
              <w:rPr>
                <w:b/>
                <w:sz w:val="22"/>
                <w:szCs w:val="22"/>
              </w:rPr>
            </w:pPr>
            <w:r w:rsidRPr="00317ABF">
              <w:rPr>
                <w:b/>
                <w:sz w:val="22"/>
                <w:szCs w:val="22"/>
              </w:rPr>
              <w:t>Art. 31 ust. 2</w:t>
            </w:r>
          </w:p>
          <w:p w14:paraId="70788127" w14:textId="4D50976D" w:rsidR="001E1112" w:rsidRPr="00317ABF" w:rsidRDefault="001E1112" w:rsidP="00204E78">
            <w:pPr>
              <w:pStyle w:val="USTustnpkodeksu"/>
              <w:ind w:firstLine="0"/>
              <w:rPr>
                <w:rFonts w:ascii="Times New Roman" w:hAnsi="Times New Roman" w:cs="Times New Roman"/>
                <w:sz w:val="22"/>
                <w:szCs w:val="22"/>
              </w:rPr>
            </w:pPr>
            <w:r w:rsidRPr="00317ABF">
              <w:rPr>
                <w:rFonts w:ascii="Times New Roman" w:hAnsi="Times New Roman" w:cs="Times New Roman"/>
                <w:sz w:val="22"/>
                <w:szCs w:val="22"/>
              </w:rPr>
              <w:lastRenderedPageBreak/>
              <w:t>2. Prezes UKE informuje o wszczęciu postępowania konsultacyjnego Prezesa Urzędu Ochrony Konkurencji i Konsumentów, zwanego dalej „Prezesem UOKiK”. W sprawach dotyczących rynków transmisji radiofonicznych i telewizyjnych Prezes UKE informuje o wszczęciu postępowania konsultacyjnego również Przewodniczącego Krajowej Rady Radiofonii i Telewizji, zwanego dalej „Przewodniczącym KRRiT”.</w:t>
            </w:r>
          </w:p>
          <w:p w14:paraId="6D3ECDC4" w14:textId="77777777" w:rsidR="001E1112" w:rsidRPr="00317ABF" w:rsidRDefault="001E1112" w:rsidP="00EF56E4">
            <w:pPr>
              <w:pStyle w:val="ARTartustawynprozporzdzenia"/>
              <w:rPr>
                <w:rFonts w:ascii="Times New Roman" w:hAnsi="Times New Roman" w:cs="Times New Roman"/>
                <w:szCs w:val="24"/>
              </w:rPr>
            </w:pPr>
            <w:r w:rsidRPr="00317ABF">
              <w:rPr>
                <w:rStyle w:val="Ppogrubienie"/>
                <w:rFonts w:ascii="Times New Roman" w:hAnsi="Times New Roman"/>
                <w:szCs w:val="24"/>
              </w:rPr>
              <w:t>Art.</w:t>
            </w:r>
            <w:r w:rsidR="00EF56E4" w:rsidRPr="00317ABF">
              <w:rPr>
                <w:rStyle w:val="Ppogrubienie"/>
                <w:rFonts w:ascii="Times New Roman" w:hAnsi="Times New Roman"/>
                <w:szCs w:val="24"/>
              </w:rPr>
              <w:t> </w:t>
            </w:r>
            <w:r w:rsidRPr="00317ABF">
              <w:rPr>
                <w:rStyle w:val="Ppogrubienie"/>
                <w:rFonts w:ascii="Times New Roman" w:hAnsi="Times New Roman"/>
                <w:szCs w:val="24"/>
              </w:rPr>
              <w:t>32.</w:t>
            </w:r>
            <w:r w:rsidRPr="00317ABF">
              <w:rPr>
                <w:rFonts w:ascii="Times New Roman" w:hAnsi="Times New Roman" w:cs="Times New Roman"/>
                <w:szCs w:val="24"/>
              </w:rPr>
              <w:t xml:space="preserve"> 1. W wyjątkowych przypadkach, wymagających pilnego działania ze względu na bezpośrednie i poważne zagrożenie konkurencyjności lub interesów użytkowników, Prezes UKE może bez przeprowadzenia postępowania konsultacyjnego wydać decyzję w sprawach, o których mowa w art. 30, na okres nieprzekraczający 6 miesięcy.</w:t>
            </w:r>
          </w:p>
          <w:p w14:paraId="4068E2CE" w14:textId="77777777" w:rsidR="001E1112" w:rsidRPr="00317ABF" w:rsidRDefault="001E1112" w:rsidP="00EF56E4">
            <w:pPr>
              <w:pStyle w:val="USTustnpkodeksu"/>
              <w:rPr>
                <w:rFonts w:ascii="Times New Roman" w:hAnsi="Times New Roman" w:cs="Times New Roman"/>
                <w:szCs w:val="24"/>
              </w:rPr>
            </w:pPr>
            <w:r w:rsidRPr="00317ABF">
              <w:rPr>
                <w:rFonts w:ascii="Times New Roman" w:hAnsi="Times New Roman" w:cs="Times New Roman"/>
                <w:szCs w:val="24"/>
              </w:rPr>
              <w:t>2. Wydanie kolejnej decyzji w sprawach, o których mowa w ust. 1, w tym również decyzji w treści odpowiadającej - z wyjątkiem okresu obowiązywania - decyzji wydanej uprzednio, poprzedza się postępowaniem konsultacyjnym. Decyzja ta wyłącza stosowanie decyzji, o której mowa w ust. 1, przed upływem okresu jej obowiązywania.</w:t>
            </w:r>
          </w:p>
          <w:p w14:paraId="4F71B0A3" w14:textId="77777777" w:rsidR="001E1112" w:rsidRPr="00317ABF" w:rsidRDefault="001E1112" w:rsidP="00DB3BEC">
            <w:pPr>
              <w:jc w:val="both"/>
              <w:rPr>
                <w:sz w:val="22"/>
                <w:szCs w:val="22"/>
              </w:rPr>
            </w:pPr>
          </w:p>
          <w:p w14:paraId="7C05925B" w14:textId="77777777" w:rsidR="001E1112" w:rsidRPr="00317ABF" w:rsidRDefault="001E1112" w:rsidP="00DB3BEC">
            <w:pPr>
              <w:jc w:val="both"/>
              <w:rPr>
                <w:rStyle w:val="Ppogrubienie"/>
                <w:b w:val="0"/>
                <w:sz w:val="22"/>
                <w:szCs w:val="22"/>
              </w:rPr>
            </w:pPr>
            <w:r w:rsidRPr="00317ABF">
              <w:rPr>
                <w:rStyle w:val="Ppogrubienie"/>
                <w:b w:val="0"/>
                <w:sz w:val="22"/>
                <w:szCs w:val="22"/>
              </w:rPr>
              <w:t>Art. 34</w:t>
            </w:r>
          </w:p>
          <w:p w14:paraId="1CDEAE01" w14:textId="7CCCA910" w:rsidR="001E1112" w:rsidRPr="00317ABF" w:rsidRDefault="001E1112" w:rsidP="00DB3BEC">
            <w:pPr>
              <w:jc w:val="both"/>
              <w:rPr>
                <w:sz w:val="22"/>
                <w:szCs w:val="22"/>
              </w:rPr>
            </w:pPr>
            <w:r w:rsidRPr="00317ABF">
              <w:rPr>
                <w:sz w:val="22"/>
                <w:szCs w:val="22"/>
              </w:rPr>
              <w:t>Do spraw, o których mowa w art. 30, nie stosuje się przepisu art. 79a ustawy z dnia 14 czerwca 1960 r. - Kodeks postępowania administracyjnego (Dz. U. z 2020 r. poz. 256 i 695).</w:t>
            </w:r>
          </w:p>
        </w:tc>
      </w:tr>
      <w:tr w:rsidR="001E1112" w:rsidRPr="00317ABF" w14:paraId="4B40F94A" w14:textId="77777777" w:rsidTr="7753F98D">
        <w:trPr>
          <w:gridAfter w:val="2"/>
          <w:wAfter w:w="175" w:type="dxa"/>
        </w:trPr>
        <w:tc>
          <w:tcPr>
            <w:tcW w:w="704" w:type="dxa"/>
          </w:tcPr>
          <w:p w14:paraId="19522FA1" w14:textId="77777777" w:rsidR="001E1112" w:rsidRPr="00317ABF" w:rsidRDefault="001E1112" w:rsidP="00DB3BEC">
            <w:pPr>
              <w:jc w:val="both"/>
              <w:rPr>
                <w:sz w:val="22"/>
                <w:szCs w:val="22"/>
              </w:rPr>
            </w:pPr>
            <w:r w:rsidRPr="00317ABF">
              <w:rPr>
                <w:sz w:val="22"/>
                <w:szCs w:val="22"/>
              </w:rPr>
              <w:lastRenderedPageBreak/>
              <w:t>Art. 23 ust. 2</w:t>
            </w:r>
          </w:p>
        </w:tc>
        <w:tc>
          <w:tcPr>
            <w:tcW w:w="4308" w:type="dxa"/>
          </w:tcPr>
          <w:p w14:paraId="795B66EF" w14:textId="77777777" w:rsidR="001E1112" w:rsidRPr="00317ABF" w:rsidRDefault="001E1112" w:rsidP="00DB3BEC">
            <w:pPr>
              <w:spacing w:before="120"/>
              <w:jc w:val="both"/>
              <w:rPr>
                <w:sz w:val="22"/>
                <w:szCs w:val="22"/>
              </w:rPr>
            </w:pPr>
            <w:r w:rsidRPr="00317ABF">
              <w:rPr>
                <w:sz w:val="22"/>
                <w:szCs w:val="22"/>
              </w:rPr>
              <w:t xml:space="preserve">2.   Na użytek art. 35 właściwe organy informują RSPG w momencie publikacji o wszelkich projektach środków, które wchodzą w zakres procedury selekcji </w:t>
            </w:r>
            <w:r w:rsidRPr="00317ABF">
              <w:rPr>
                <w:sz w:val="22"/>
                <w:szCs w:val="22"/>
              </w:rPr>
              <w:lastRenderedPageBreak/>
              <w:t>konkurencyjnej lub porównawczej na podstawie art. 55 ust. 2 i odnoszą się do użytkowania widma radiowego, co do którego ustalono zharmonizowane warunki w technicznych środkach wykonawczych zgodnie z art. 4 decyzji nr 676/2002/WE, tak aby umożliwić jego użytkowanie w bezprzewodowych szerokopasmowych sieciach i usługach łączności elektronicznej (zwanych dalej „bezprzewodowymi usługami i sieciami szerokopasmowymi”).</w:t>
            </w:r>
          </w:p>
        </w:tc>
        <w:tc>
          <w:tcPr>
            <w:tcW w:w="986" w:type="dxa"/>
          </w:tcPr>
          <w:p w14:paraId="50F07069" w14:textId="52AEF843" w:rsidR="001E1112" w:rsidRPr="00317ABF" w:rsidRDefault="001E1112" w:rsidP="00DB3BEC">
            <w:pPr>
              <w:jc w:val="both"/>
              <w:rPr>
                <w:sz w:val="22"/>
                <w:szCs w:val="22"/>
              </w:rPr>
            </w:pPr>
            <w:r w:rsidRPr="00317ABF">
              <w:rPr>
                <w:sz w:val="22"/>
                <w:szCs w:val="22"/>
              </w:rPr>
              <w:lastRenderedPageBreak/>
              <w:t>T</w:t>
            </w:r>
          </w:p>
        </w:tc>
        <w:tc>
          <w:tcPr>
            <w:tcW w:w="910" w:type="dxa"/>
          </w:tcPr>
          <w:p w14:paraId="2FF85D32" w14:textId="791F8EF9" w:rsidR="001E1112" w:rsidRPr="00317ABF" w:rsidRDefault="001E1112" w:rsidP="00DB3BEC">
            <w:pPr>
              <w:pStyle w:val="Tekstpodstawowy"/>
              <w:rPr>
                <w:b/>
                <w:noProof/>
                <w:sz w:val="22"/>
                <w:szCs w:val="22"/>
              </w:rPr>
            </w:pPr>
            <w:r w:rsidRPr="00317ABF">
              <w:rPr>
                <w:b/>
                <w:bCs/>
                <w:noProof/>
                <w:sz w:val="22"/>
                <w:szCs w:val="22"/>
              </w:rPr>
              <w:t xml:space="preserve">Art. </w:t>
            </w:r>
            <w:r w:rsidR="00204E78" w:rsidRPr="00317ABF">
              <w:rPr>
                <w:b/>
                <w:bCs/>
                <w:noProof/>
                <w:sz w:val="22"/>
                <w:szCs w:val="22"/>
              </w:rPr>
              <w:t>109</w:t>
            </w:r>
            <w:r w:rsidRPr="00317ABF">
              <w:rPr>
                <w:b/>
                <w:bCs/>
                <w:noProof/>
                <w:sz w:val="22"/>
                <w:szCs w:val="22"/>
              </w:rPr>
              <w:t xml:space="preserve"> ust. 1</w:t>
            </w:r>
          </w:p>
        </w:tc>
        <w:tc>
          <w:tcPr>
            <w:tcW w:w="6814" w:type="dxa"/>
            <w:gridSpan w:val="2"/>
          </w:tcPr>
          <w:p w14:paraId="7B23A6DA" w14:textId="7469D173" w:rsidR="001E1112" w:rsidRPr="00317ABF" w:rsidRDefault="001E1112" w:rsidP="00DB3BEC">
            <w:pPr>
              <w:ind w:firstLine="510"/>
              <w:jc w:val="both"/>
              <w:rPr>
                <w:sz w:val="22"/>
                <w:szCs w:val="22"/>
              </w:rPr>
            </w:pPr>
            <w:r w:rsidRPr="00317ABF">
              <w:rPr>
                <w:rStyle w:val="Ppogrubienie"/>
              </w:rPr>
              <w:t>Art.</w:t>
            </w:r>
            <w:r w:rsidR="00204E78" w:rsidRPr="00317ABF">
              <w:rPr>
                <w:rStyle w:val="Ppogrubienie"/>
              </w:rPr>
              <w:t> 109.</w:t>
            </w:r>
            <w:r w:rsidRPr="00317ABF">
              <w:t xml:space="preserve"> 1. Wraz z wszczęciem postępowania konsultacyjnego Prezes UKE informuje RSPG o zamiarze i planowanych warunkach rozdysponowania, w drodze postępowania selekcyjnego, częstotliwości zharmonizowanych na potrzeby świadczenia </w:t>
            </w:r>
            <w:r w:rsidRPr="00317ABF">
              <w:lastRenderedPageBreak/>
              <w:t>bezprzewodowych usług szerokopasmowych. Przekazując informację, o której mowa w zdaniu pierwszym, Prezes UKE może zwrócić się do RSPG o zwołanie forum wzajemnej oceny, wskazując jednocześnie proponowany termin tego forum</w:t>
            </w:r>
            <w:r w:rsidRPr="00317ABF">
              <w:rPr>
                <w:sz w:val="22"/>
                <w:szCs w:val="22"/>
              </w:rPr>
              <w:t>.</w:t>
            </w:r>
          </w:p>
          <w:p w14:paraId="1E954643" w14:textId="454A9441" w:rsidR="001E1112" w:rsidRPr="00317ABF" w:rsidRDefault="001E1112" w:rsidP="00DB3BEC">
            <w:pPr>
              <w:jc w:val="both"/>
              <w:rPr>
                <w:sz w:val="22"/>
                <w:szCs w:val="22"/>
              </w:rPr>
            </w:pPr>
          </w:p>
        </w:tc>
      </w:tr>
      <w:tr w:rsidR="001E1112" w:rsidRPr="00317ABF" w14:paraId="3D3343ED" w14:textId="77777777" w:rsidTr="7753F98D">
        <w:trPr>
          <w:gridAfter w:val="2"/>
          <w:wAfter w:w="175" w:type="dxa"/>
        </w:trPr>
        <w:tc>
          <w:tcPr>
            <w:tcW w:w="704" w:type="dxa"/>
          </w:tcPr>
          <w:p w14:paraId="4066714B" w14:textId="77777777" w:rsidR="001E1112" w:rsidRPr="00317ABF" w:rsidRDefault="001E1112" w:rsidP="00DB3BEC">
            <w:pPr>
              <w:jc w:val="both"/>
              <w:rPr>
                <w:sz w:val="22"/>
                <w:szCs w:val="22"/>
              </w:rPr>
            </w:pPr>
            <w:r w:rsidRPr="00317ABF">
              <w:rPr>
                <w:sz w:val="22"/>
                <w:szCs w:val="22"/>
              </w:rPr>
              <w:lastRenderedPageBreak/>
              <w:t>Art. 23 ust. 3</w:t>
            </w:r>
          </w:p>
        </w:tc>
        <w:tc>
          <w:tcPr>
            <w:tcW w:w="4308" w:type="dxa"/>
          </w:tcPr>
          <w:p w14:paraId="1C737108" w14:textId="77777777" w:rsidR="001E1112" w:rsidRPr="00317ABF" w:rsidRDefault="001E1112" w:rsidP="00DB3BEC">
            <w:pPr>
              <w:spacing w:before="120"/>
              <w:jc w:val="both"/>
              <w:rPr>
                <w:sz w:val="22"/>
                <w:szCs w:val="22"/>
              </w:rPr>
            </w:pPr>
            <w:r w:rsidRPr="00317ABF">
              <w:rPr>
                <w:sz w:val="22"/>
                <w:szCs w:val="22"/>
              </w:rPr>
              <w:t>3.   Krajowe organy regulacyjne i inne właściwe organy ogłaszają swoje krajowe procedury konsultacyjne.</w:t>
            </w:r>
          </w:p>
          <w:p w14:paraId="664B13A1" w14:textId="77777777" w:rsidR="001E1112" w:rsidRPr="00317ABF" w:rsidRDefault="001E1112" w:rsidP="00DB3BEC">
            <w:pPr>
              <w:spacing w:before="120"/>
              <w:jc w:val="both"/>
              <w:rPr>
                <w:sz w:val="22"/>
                <w:szCs w:val="22"/>
              </w:rPr>
            </w:pPr>
            <w:r w:rsidRPr="00317ABF">
              <w:rPr>
                <w:sz w:val="22"/>
                <w:szCs w:val="22"/>
              </w:rPr>
              <w:t>Państwa członkowskie zapewniają, aby utworzono jeden punkt informacyjny, który będzie umożliwiał dostęp do wszystkich bieżących konsultacji.</w:t>
            </w:r>
          </w:p>
        </w:tc>
        <w:tc>
          <w:tcPr>
            <w:tcW w:w="986" w:type="dxa"/>
          </w:tcPr>
          <w:p w14:paraId="627AA0AC" w14:textId="503CED46" w:rsidR="001E1112" w:rsidRPr="00317ABF" w:rsidRDefault="001E1112" w:rsidP="00DB3BEC">
            <w:pPr>
              <w:jc w:val="both"/>
              <w:rPr>
                <w:sz w:val="22"/>
                <w:szCs w:val="22"/>
              </w:rPr>
            </w:pPr>
            <w:r w:rsidRPr="00317ABF">
              <w:rPr>
                <w:sz w:val="22"/>
                <w:szCs w:val="22"/>
              </w:rPr>
              <w:t>T</w:t>
            </w:r>
          </w:p>
        </w:tc>
        <w:tc>
          <w:tcPr>
            <w:tcW w:w="910" w:type="dxa"/>
          </w:tcPr>
          <w:p w14:paraId="5A7AF15D" w14:textId="744F1B2B" w:rsidR="001E1112" w:rsidRPr="00317ABF" w:rsidRDefault="001E1112" w:rsidP="00DB3BEC">
            <w:pPr>
              <w:pStyle w:val="Tekstpodstawowy"/>
              <w:rPr>
                <w:b/>
                <w:bCs/>
                <w:noProof/>
                <w:sz w:val="22"/>
                <w:szCs w:val="22"/>
              </w:rPr>
            </w:pPr>
            <w:r w:rsidRPr="00317ABF">
              <w:rPr>
                <w:b/>
                <w:bCs/>
                <w:noProof/>
                <w:sz w:val="22"/>
                <w:szCs w:val="22"/>
              </w:rPr>
              <w:t>Art. 31 ust. 1,   art. 33</w:t>
            </w:r>
          </w:p>
        </w:tc>
        <w:tc>
          <w:tcPr>
            <w:tcW w:w="6814" w:type="dxa"/>
            <w:gridSpan w:val="2"/>
          </w:tcPr>
          <w:p w14:paraId="33FB372F" w14:textId="77777777" w:rsidR="009E6F71" w:rsidRPr="00317ABF" w:rsidRDefault="009E6F71" w:rsidP="009E6F71">
            <w:pPr>
              <w:pStyle w:val="ARTartustawynprozporzdzenia"/>
              <w:spacing w:line="240" w:lineRule="auto"/>
              <w:rPr>
                <w:rFonts w:ascii="Times New Roman" w:hAnsi="Times New Roman" w:cs="Times New Roman"/>
                <w:sz w:val="22"/>
                <w:szCs w:val="22"/>
              </w:rPr>
            </w:pPr>
            <w:r w:rsidRPr="00317ABF">
              <w:rPr>
                <w:rStyle w:val="Ppogrubienie"/>
                <w:rFonts w:ascii="Times New Roman" w:hAnsi="Times New Roman"/>
                <w:sz w:val="22"/>
                <w:szCs w:val="22"/>
              </w:rPr>
              <w:t>Art. 31.</w:t>
            </w:r>
            <w:r w:rsidRPr="00317ABF">
              <w:rPr>
                <w:rFonts w:ascii="Times New Roman" w:hAnsi="Times New Roman" w:cs="Times New Roman"/>
                <w:sz w:val="22"/>
                <w:szCs w:val="22"/>
              </w:rPr>
              <w:t xml:space="preserve"> 1. Prezes UKE ogłasza rozpoczęcie postępowania konsultacyjnego, udostępniając na stronie podmiotowej BIP UKE:</w:t>
            </w:r>
          </w:p>
          <w:p w14:paraId="4780D98C" w14:textId="77777777" w:rsidR="009E6F71" w:rsidRPr="00317ABF" w:rsidRDefault="009E6F71" w:rsidP="009E6F71">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1)</w:t>
            </w:r>
            <w:r w:rsidRPr="00317ABF">
              <w:rPr>
                <w:rFonts w:ascii="Times New Roman" w:hAnsi="Times New Roman" w:cs="Times New Roman"/>
                <w:sz w:val="22"/>
                <w:szCs w:val="22"/>
              </w:rPr>
              <w:tab/>
              <w:t>informacje określające przedmiot postępowania konsultacyjnego, sposób zgłaszania stanowisk do projektu rozstrzygnięcia oraz termin zgłaszania tych stanowisk nie krótszy niż 30 dni od dnia jego udostępnienia;</w:t>
            </w:r>
          </w:p>
          <w:p w14:paraId="35269C2D" w14:textId="77777777" w:rsidR="009E6F71" w:rsidRPr="00317ABF" w:rsidRDefault="009E6F71" w:rsidP="009E6F71">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2)</w:t>
            </w:r>
            <w:r w:rsidRPr="00317ABF">
              <w:rPr>
                <w:rFonts w:ascii="Times New Roman" w:hAnsi="Times New Roman" w:cs="Times New Roman"/>
                <w:sz w:val="22"/>
                <w:szCs w:val="22"/>
              </w:rPr>
              <w:tab/>
              <w:t>projekt rozstrzygnięcia wraz z uzasadnieniem.</w:t>
            </w:r>
          </w:p>
          <w:p w14:paraId="653B1792" w14:textId="6EA6647C" w:rsidR="001E1112" w:rsidRPr="00317ABF" w:rsidRDefault="001E1112" w:rsidP="00DB3BEC">
            <w:pPr>
              <w:ind w:firstLine="510"/>
              <w:jc w:val="both"/>
              <w:rPr>
                <w:sz w:val="22"/>
                <w:szCs w:val="22"/>
              </w:rPr>
            </w:pPr>
          </w:p>
          <w:p w14:paraId="5243E677" w14:textId="00961505" w:rsidR="001E1112" w:rsidRPr="00317ABF" w:rsidRDefault="001E1112" w:rsidP="00DB3BEC">
            <w:pPr>
              <w:ind w:firstLine="510"/>
              <w:jc w:val="both"/>
              <w:rPr>
                <w:sz w:val="22"/>
                <w:szCs w:val="22"/>
              </w:rPr>
            </w:pPr>
          </w:p>
          <w:p w14:paraId="0B0E78F9" w14:textId="77777777" w:rsidR="009E6F71" w:rsidRPr="00317ABF" w:rsidRDefault="001E1112" w:rsidP="009E6F71">
            <w:pPr>
              <w:ind w:firstLine="510"/>
              <w:jc w:val="both"/>
              <w:rPr>
                <w:sz w:val="22"/>
                <w:szCs w:val="22"/>
              </w:rPr>
            </w:pPr>
            <w:r w:rsidRPr="00317ABF">
              <w:rPr>
                <w:b/>
                <w:sz w:val="22"/>
                <w:szCs w:val="22"/>
              </w:rPr>
              <w:t>Art. 33</w:t>
            </w:r>
            <w:r w:rsidRPr="00317ABF">
              <w:rPr>
                <w:sz w:val="22"/>
                <w:szCs w:val="22"/>
              </w:rPr>
              <w:t>.</w:t>
            </w:r>
            <w:r w:rsidR="009E6F71" w:rsidRPr="00317ABF">
              <w:rPr>
                <w:sz w:val="22"/>
                <w:szCs w:val="22"/>
              </w:rPr>
              <w:t xml:space="preserve"> 1.</w:t>
            </w:r>
            <w:r w:rsidRPr="00317ABF">
              <w:rPr>
                <w:sz w:val="22"/>
                <w:szCs w:val="22"/>
              </w:rPr>
              <w:t xml:space="preserve"> Prezes UKE udostępnia na stronie podmiotowej BIP UKE informacje o toczących się postępowaniach konsultacyjnych wraz z dodatkowymi dokumentami i tymi stanowiskami uczestników, które nie stanowią tajemnic prawnie chronionych.</w:t>
            </w:r>
          </w:p>
          <w:p w14:paraId="06686FEF" w14:textId="4543ADC4" w:rsidR="001E1112" w:rsidRPr="00317ABF" w:rsidRDefault="009E6F71" w:rsidP="00DB3BEC">
            <w:pPr>
              <w:ind w:firstLine="510"/>
              <w:jc w:val="both"/>
              <w:rPr>
                <w:sz w:val="22"/>
                <w:szCs w:val="22"/>
              </w:rPr>
            </w:pPr>
            <w:r w:rsidRPr="00317ABF">
              <w:rPr>
                <w:sz w:val="22"/>
                <w:szCs w:val="22"/>
              </w:rPr>
              <w:t>2. Prezes UKE udostępnia na stronie podmiotowej BIP UKE decyzję wydaną po przeprowadzeniu postępowania konsultacyjnego, z wyłączeniem części stanowiących tajemnice prawnie chronione.</w:t>
            </w:r>
          </w:p>
        </w:tc>
      </w:tr>
      <w:tr w:rsidR="001E1112" w:rsidRPr="00317ABF" w14:paraId="426C7B45" w14:textId="77777777" w:rsidTr="7753F98D">
        <w:trPr>
          <w:gridAfter w:val="2"/>
          <w:wAfter w:w="175" w:type="dxa"/>
        </w:trPr>
        <w:tc>
          <w:tcPr>
            <w:tcW w:w="704" w:type="dxa"/>
          </w:tcPr>
          <w:p w14:paraId="2E86CDA2" w14:textId="77777777" w:rsidR="001E1112" w:rsidRPr="00317ABF" w:rsidRDefault="001E1112" w:rsidP="00DB3BEC">
            <w:pPr>
              <w:jc w:val="both"/>
              <w:rPr>
                <w:sz w:val="22"/>
                <w:szCs w:val="22"/>
              </w:rPr>
            </w:pPr>
            <w:r w:rsidRPr="00317ABF">
              <w:rPr>
                <w:sz w:val="22"/>
                <w:szCs w:val="22"/>
              </w:rPr>
              <w:t>Art. 23 ust. 4</w:t>
            </w:r>
          </w:p>
        </w:tc>
        <w:tc>
          <w:tcPr>
            <w:tcW w:w="4308" w:type="dxa"/>
          </w:tcPr>
          <w:p w14:paraId="6374A7DD" w14:textId="77777777" w:rsidR="001E1112" w:rsidRPr="00317ABF" w:rsidRDefault="001E1112" w:rsidP="00DB3BEC">
            <w:pPr>
              <w:spacing w:before="120"/>
              <w:jc w:val="both"/>
              <w:rPr>
                <w:sz w:val="22"/>
                <w:szCs w:val="22"/>
              </w:rPr>
            </w:pPr>
            <w:r w:rsidRPr="00317ABF">
              <w:rPr>
                <w:sz w:val="22"/>
                <w:szCs w:val="22"/>
              </w:rPr>
              <w:t>4.   Wyniki procedur konsultacyjnych podaje się do wiadomości publicznej, z wyjątkiem przypadków dotyczących informacji, które zgodnie z przepisami prawa Unii i prawa krajowego o tajemnicy handlowej są informacjami poufnymi.</w:t>
            </w:r>
          </w:p>
        </w:tc>
        <w:tc>
          <w:tcPr>
            <w:tcW w:w="986" w:type="dxa"/>
          </w:tcPr>
          <w:p w14:paraId="401A7268" w14:textId="3E06A029" w:rsidR="001E1112" w:rsidRPr="00317ABF" w:rsidRDefault="001E1112" w:rsidP="00DB3BEC">
            <w:pPr>
              <w:jc w:val="both"/>
              <w:rPr>
                <w:sz w:val="22"/>
                <w:szCs w:val="22"/>
              </w:rPr>
            </w:pPr>
            <w:r w:rsidRPr="00317ABF">
              <w:rPr>
                <w:sz w:val="22"/>
                <w:szCs w:val="22"/>
              </w:rPr>
              <w:t>T</w:t>
            </w:r>
          </w:p>
        </w:tc>
        <w:tc>
          <w:tcPr>
            <w:tcW w:w="910" w:type="dxa"/>
          </w:tcPr>
          <w:p w14:paraId="752F30A4" w14:textId="56FB46B9" w:rsidR="001E1112" w:rsidRPr="00317ABF" w:rsidRDefault="001E1112" w:rsidP="00DB3BEC">
            <w:pPr>
              <w:pStyle w:val="Tekstpodstawowy"/>
              <w:rPr>
                <w:b/>
                <w:bCs/>
                <w:noProof/>
                <w:sz w:val="22"/>
                <w:szCs w:val="22"/>
              </w:rPr>
            </w:pPr>
            <w:r w:rsidRPr="00317ABF">
              <w:rPr>
                <w:b/>
                <w:bCs/>
                <w:noProof/>
                <w:sz w:val="22"/>
                <w:szCs w:val="22"/>
              </w:rPr>
              <w:t>Art. 31 ust. 3</w:t>
            </w:r>
          </w:p>
        </w:tc>
        <w:tc>
          <w:tcPr>
            <w:tcW w:w="6814" w:type="dxa"/>
            <w:gridSpan w:val="2"/>
          </w:tcPr>
          <w:p w14:paraId="22CE5757" w14:textId="4FB0185D" w:rsidR="001E1112" w:rsidRPr="00317ABF" w:rsidRDefault="001E1112" w:rsidP="00DB3BEC">
            <w:pPr>
              <w:ind w:firstLine="510"/>
              <w:jc w:val="both"/>
              <w:rPr>
                <w:sz w:val="22"/>
                <w:szCs w:val="22"/>
              </w:rPr>
            </w:pPr>
            <w:r w:rsidRPr="00317ABF">
              <w:rPr>
                <w:sz w:val="22"/>
                <w:szCs w:val="22"/>
              </w:rPr>
              <w:t>3. Wyniki postępowania konsultacyjnego udostępniane są na stronie podmiotowej BIP UKE, poprzez udostępnienie tych stanowisk uczestników, które nie stanowią tajemnic prawnie chronionych.</w:t>
            </w:r>
          </w:p>
          <w:p w14:paraId="3048BA75" w14:textId="688F081B" w:rsidR="001E1112" w:rsidRPr="00317ABF" w:rsidRDefault="001E1112" w:rsidP="00DB3BEC">
            <w:pPr>
              <w:jc w:val="both"/>
              <w:rPr>
                <w:sz w:val="22"/>
                <w:szCs w:val="22"/>
              </w:rPr>
            </w:pPr>
          </w:p>
        </w:tc>
      </w:tr>
      <w:tr w:rsidR="001E1112" w:rsidRPr="00317ABF" w14:paraId="241E0139" w14:textId="77777777" w:rsidTr="7753F98D">
        <w:trPr>
          <w:gridAfter w:val="2"/>
          <w:wAfter w:w="175" w:type="dxa"/>
        </w:trPr>
        <w:tc>
          <w:tcPr>
            <w:tcW w:w="704" w:type="dxa"/>
          </w:tcPr>
          <w:p w14:paraId="23EBEB23" w14:textId="77777777" w:rsidR="001E1112" w:rsidRPr="00317ABF" w:rsidRDefault="001E1112" w:rsidP="00DB3BEC">
            <w:pPr>
              <w:jc w:val="both"/>
              <w:rPr>
                <w:b/>
                <w:sz w:val="22"/>
                <w:szCs w:val="22"/>
              </w:rPr>
            </w:pPr>
            <w:r w:rsidRPr="00317ABF">
              <w:rPr>
                <w:b/>
                <w:sz w:val="22"/>
                <w:szCs w:val="22"/>
              </w:rPr>
              <w:t>Art. 24</w:t>
            </w:r>
          </w:p>
        </w:tc>
        <w:tc>
          <w:tcPr>
            <w:tcW w:w="4308" w:type="dxa"/>
          </w:tcPr>
          <w:p w14:paraId="08367F2D" w14:textId="77777777" w:rsidR="001E1112" w:rsidRPr="00317ABF" w:rsidRDefault="001E1112" w:rsidP="00DB3BEC">
            <w:pPr>
              <w:spacing w:before="120"/>
              <w:jc w:val="both"/>
              <w:rPr>
                <w:sz w:val="22"/>
                <w:szCs w:val="22"/>
              </w:rPr>
            </w:pPr>
            <w:r w:rsidRPr="00317ABF">
              <w:rPr>
                <w:b/>
                <w:bCs/>
                <w:sz w:val="22"/>
                <w:szCs w:val="22"/>
              </w:rPr>
              <w:t>Konsultacje zainteresowanych stron</w:t>
            </w:r>
          </w:p>
        </w:tc>
        <w:tc>
          <w:tcPr>
            <w:tcW w:w="986" w:type="dxa"/>
          </w:tcPr>
          <w:p w14:paraId="3793568E" w14:textId="77777777" w:rsidR="001E1112" w:rsidRPr="00317ABF" w:rsidRDefault="001E1112" w:rsidP="00DB3BEC">
            <w:pPr>
              <w:jc w:val="both"/>
              <w:rPr>
                <w:sz w:val="22"/>
                <w:szCs w:val="22"/>
              </w:rPr>
            </w:pPr>
          </w:p>
        </w:tc>
        <w:tc>
          <w:tcPr>
            <w:tcW w:w="910" w:type="dxa"/>
          </w:tcPr>
          <w:p w14:paraId="081CEB47" w14:textId="77777777" w:rsidR="001E1112" w:rsidRPr="00317ABF" w:rsidRDefault="001E1112" w:rsidP="00DB3BEC">
            <w:pPr>
              <w:pStyle w:val="Tekstpodstawowy"/>
              <w:rPr>
                <w:b/>
                <w:noProof/>
                <w:sz w:val="22"/>
                <w:szCs w:val="22"/>
              </w:rPr>
            </w:pPr>
          </w:p>
        </w:tc>
        <w:tc>
          <w:tcPr>
            <w:tcW w:w="6814" w:type="dxa"/>
            <w:gridSpan w:val="2"/>
          </w:tcPr>
          <w:p w14:paraId="54D4AFED" w14:textId="77777777" w:rsidR="001E1112" w:rsidRPr="00317ABF" w:rsidRDefault="001E1112" w:rsidP="00DB3BEC">
            <w:pPr>
              <w:pStyle w:val="Tekstpodstawowy"/>
              <w:rPr>
                <w:sz w:val="22"/>
                <w:szCs w:val="22"/>
              </w:rPr>
            </w:pPr>
          </w:p>
        </w:tc>
      </w:tr>
      <w:tr w:rsidR="001E1112" w:rsidRPr="00317ABF" w14:paraId="6F88B372" w14:textId="77777777" w:rsidTr="7753F98D">
        <w:trPr>
          <w:gridAfter w:val="2"/>
          <w:wAfter w:w="175" w:type="dxa"/>
        </w:trPr>
        <w:tc>
          <w:tcPr>
            <w:tcW w:w="704" w:type="dxa"/>
          </w:tcPr>
          <w:p w14:paraId="6C0EA64F" w14:textId="77777777" w:rsidR="001E1112" w:rsidRPr="00317ABF" w:rsidRDefault="001E1112" w:rsidP="00DB3BEC">
            <w:pPr>
              <w:jc w:val="both"/>
              <w:rPr>
                <w:sz w:val="22"/>
                <w:szCs w:val="22"/>
              </w:rPr>
            </w:pPr>
            <w:r w:rsidRPr="00317ABF">
              <w:rPr>
                <w:sz w:val="22"/>
                <w:szCs w:val="22"/>
              </w:rPr>
              <w:t>Art. 24 ust. 1</w:t>
            </w:r>
          </w:p>
        </w:tc>
        <w:tc>
          <w:tcPr>
            <w:tcW w:w="4308" w:type="dxa"/>
          </w:tcPr>
          <w:p w14:paraId="7A986932" w14:textId="77777777" w:rsidR="001E1112" w:rsidRPr="00317ABF" w:rsidRDefault="001E1112" w:rsidP="00DB3BEC">
            <w:pPr>
              <w:spacing w:before="120"/>
              <w:jc w:val="both"/>
              <w:rPr>
                <w:sz w:val="22"/>
                <w:szCs w:val="22"/>
              </w:rPr>
            </w:pPr>
            <w:r w:rsidRPr="00317ABF">
              <w:rPr>
                <w:sz w:val="22"/>
                <w:szCs w:val="22"/>
              </w:rPr>
              <w:tab/>
              <w:t xml:space="preserve">1.   Państwa członkowskie we właściwym stopniu zapewniają, aby właściwe </w:t>
            </w:r>
            <w:r w:rsidRPr="00317ABF">
              <w:rPr>
                <w:sz w:val="22"/>
                <w:szCs w:val="22"/>
              </w:rPr>
              <w:lastRenderedPageBreak/>
              <w:t>organy w porozumieniu, gdy to odpowiednie, z krajowymi organami regulacyjnymi brały pod uwagę stanowiska użytkowników końcowych, w szczególności konsumentów i użytkowników końcowych z niepełnosprawnościami, wytwórców oraz przedsiębiorstw, które udostępniają sieci lub usługi łączności elektronicznej, w kwestiach związanych z wszystkimi prawami użytkowników końcowych i konsumentów, w tym z równoważnym dostępem i możliwościami wyboru dla użytkowników końcowych z niepełnosprawnościami, dotyczącymi publicznie dostępnych usług łączności elektronicznej, w szczególności w przypadkach, gdy mają one znaczący wpływ na rynek.</w:t>
            </w:r>
          </w:p>
          <w:p w14:paraId="2B29C048" w14:textId="77777777" w:rsidR="001E1112" w:rsidRPr="00317ABF" w:rsidRDefault="001E1112" w:rsidP="00DB3BEC">
            <w:pPr>
              <w:tabs>
                <w:tab w:val="left" w:pos="920"/>
              </w:tabs>
              <w:spacing w:before="120"/>
              <w:jc w:val="both"/>
              <w:rPr>
                <w:sz w:val="22"/>
                <w:szCs w:val="22"/>
              </w:rPr>
            </w:pPr>
            <w:r w:rsidRPr="00317ABF">
              <w:rPr>
                <w:sz w:val="22"/>
                <w:szCs w:val="22"/>
              </w:rPr>
              <w:t>Państwa członkowskie zapewniają, aby w stosownych przypadkach, właściwe organy w porozumieniu, z krajowymi organami regulacyjnymi ustanowiły mechanizm konsultacji dostępny dla użytkowników końcowych niepełnosprawnościami, zapewniający, aby ich decyzje w kwestiach związanych z prawami użytkowników końcowych i konsumentów, dotyczącymi publicznie dostępnych usług łączności elektronicznej, należycie uwzględniały interesy konsumentów w dziedzinie łączności elektronicznej.</w:t>
            </w:r>
          </w:p>
        </w:tc>
        <w:tc>
          <w:tcPr>
            <w:tcW w:w="986" w:type="dxa"/>
          </w:tcPr>
          <w:p w14:paraId="0FBA7733" w14:textId="0F83BCEF" w:rsidR="001E1112" w:rsidRPr="00317ABF" w:rsidRDefault="001E1112" w:rsidP="00DB3BEC">
            <w:pPr>
              <w:jc w:val="both"/>
              <w:rPr>
                <w:sz w:val="22"/>
                <w:szCs w:val="22"/>
              </w:rPr>
            </w:pPr>
            <w:r w:rsidRPr="00317ABF">
              <w:rPr>
                <w:sz w:val="22"/>
                <w:szCs w:val="22"/>
              </w:rPr>
              <w:lastRenderedPageBreak/>
              <w:t>T</w:t>
            </w:r>
          </w:p>
        </w:tc>
        <w:tc>
          <w:tcPr>
            <w:tcW w:w="910" w:type="dxa"/>
          </w:tcPr>
          <w:p w14:paraId="3000173E" w14:textId="77777777" w:rsidR="001E1112" w:rsidRPr="00317ABF" w:rsidRDefault="001E1112" w:rsidP="00DB3BEC">
            <w:pPr>
              <w:pStyle w:val="Tekstpodstawowy"/>
              <w:rPr>
                <w:b/>
                <w:bCs/>
                <w:noProof/>
                <w:sz w:val="22"/>
                <w:szCs w:val="22"/>
              </w:rPr>
            </w:pPr>
            <w:r w:rsidRPr="00317ABF">
              <w:rPr>
                <w:b/>
                <w:bCs/>
                <w:noProof/>
                <w:sz w:val="22"/>
                <w:szCs w:val="22"/>
              </w:rPr>
              <w:t>Art. 382 ust. 1 pkt 19</w:t>
            </w:r>
          </w:p>
          <w:p w14:paraId="0E886298" w14:textId="77777777" w:rsidR="001E1112" w:rsidRPr="00317ABF" w:rsidRDefault="001E1112" w:rsidP="00DB3BEC">
            <w:pPr>
              <w:pStyle w:val="Tekstpodstawowy"/>
              <w:rPr>
                <w:b/>
                <w:bCs/>
                <w:noProof/>
                <w:sz w:val="22"/>
                <w:szCs w:val="22"/>
              </w:rPr>
            </w:pPr>
          </w:p>
          <w:p w14:paraId="213B161F" w14:textId="77777777" w:rsidR="001E1112" w:rsidRPr="00317ABF" w:rsidRDefault="001E1112" w:rsidP="00DB3BEC">
            <w:pPr>
              <w:pStyle w:val="Tekstpodstawowy"/>
              <w:rPr>
                <w:b/>
                <w:bCs/>
                <w:noProof/>
                <w:sz w:val="22"/>
                <w:szCs w:val="22"/>
              </w:rPr>
            </w:pPr>
          </w:p>
          <w:p w14:paraId="26D3CD05" w14:textId="77777777" w:rsidR="001E1112" w:rsidRPr="00317ABF" w:rsidRDefault="001E1112" w:rsidP="00DB3BEC">
            <w:pPr>
              <w:pStyle w:val="Tekstpodstawowy"/>
              <w:rPr>
                <w:b/>
                <w:bCs/>
                <w:noProof/>
                <w:sz w:val="22"/>
                <w:szCs w:val="22"/>
              </w:rPr>
            </w:pPr>
          </w:p>
          <w:p w14:paraId="3C55A38C" w14:textId="77777777" w:rsidR="001E1112" w:rsidRPr="00317ABF" w:rsidRDefault="001E1112" w:rsidP="00DB3BEC">
            <w:pPr>
              <w:pStyle w:val="Tekstpodstawowy"/>
              <w:rPr>
                <w:b/>
                <w:bCs/>
                <w:noProof/>
                <w:sz w:val="22"/>
                <w:szCs w:val="22"/>
              </w:rPr>
            </w:pPr>
          </w:p>
          <w:p w14:paraId="506B019F" w14:textId="78773045" w:rsidR="001E1112" w:rsidRPr="00317ABF" w:rsidRDefault="001E1112" w:rsidP="00DB3BEC">
            <w:pPr>
              <w:pStyle w:val="Tekstpodstawowy"/>
              <w:rPr>
                <w:b/>
                <w:bCs/>
                <w:noProof/>
                <w:sz w:val="22"/>
                <w:szCs w:val="22"/>
              </w:rPr>
            </w:pPr>
            <w:r w:rsidRPr="00317ABF">
              <w:rPr>
                <w:b/>
                <w:bCs/>
                <w:noProof/>
                <w:sz w:val="22"/>
                <w:szCs w:val="22"/>
              </w:rPr>
              <w:t>Art. 30, art. 31, art. 33</w:t>
            </w:r>
          </w:p>
        </w:tc>
        <w:tc>
          <w:tcPr>
            <w:tcW w:w="6814" w:type="dxa"/>
            <w:gridSpan w:val="2"/>
          </w:tcPr>
          <w:p w14:paraId="10590AF5" w14:textId="1276AF4F" w:rsidR="001E1112" w:rsidRPr="00317ABF" w:rsidRDefault="001E1112" w:rsidP="00DB3BEC">
            <w:pPr>
              <w:ind w:left="510" w:hanging="510"/>
              <w:jc w:val="both"/>
              <w:rPr>
                <w:sz w:val="22"/>
                <w:szCs w:val="22"/>
              </w:rPr>
            </w:pPr>
            <w:r w:rsidRPr="00317ABF">
              <w:rPr>
                <w:sz w:val="22"/>
                <w:szCs w:val="22"/>
              </w:rPr>
              <w:lastRenderedPageBreak/>
              <w:t xml:space="preserve">19)  przeprowadzanie konsultacji środowiskowych w sprawach związanych z zasięgiem, dostępnością oraz jakością usług komunikacji elektronicznej, z zainteresowanymi podmiotami i ich związkami, w </w:t>
            </w:r>
            <w:r w:rsidRPr="00317ABF">
              <w:rPr>
                <w:sz w:val="22"/>
                <w:szCs w:val="22"/>
              </w:rPr>
              <w:lastRenderedPageBreak/>
              <w:t>szczególności z przedsiębiorcami komunikacji elektronicznej, użytkownikami, konsumentami, w tym użytkownikami końcowymi z niepełnosprawnościami, oraz producentami;</w:t>
            </w:r>
          </w:p>
          <w:p w14:paraId="1E747C7F" w14:textId="77777777" w:rsidR="001E1112" w:rsidRPr="00317ABF" w:rsidRDefault="001E1112" w:rsidP="00DB3BEC">
            <w:pPr>
              <w:pStyle w:val="ARTartustawynprozporzdzenia"/>
              <w:spacing w:line="240" w:lineRule="auto"/>
              <w:rPr>
                <w:rFonts w:ascii="Times New Roman" w:hAnsi="Times New Roman" w:cs="Times New Roman"/>
                <w:sz w:val="22"/>
                <w:szCs w:val="22"/>
              </w:rPr>
            </w:pPr>
            <w:r w:rsidRPr="00317ABF">
              <w:rPr>
                <w:rFonts w:ascii="Times New Roman" w:hAnsi="Times New Roman" w:cs="Times New Roman"/>
                <w:sz w:val="22"/>
                <w:szCs w:val="22"/>
              </w:rPr>
              <w:t>Art. 30. Prezes UKE przed podjęciem rozstrzygnięcia w sprawach:</w:t>
            </w:r>
          </w:p>
          <w:p w14:paraId="75D8E8BB" w14:textId="77777777" w:rsidR="001E1112" w:rsidRPr="00317ABF" w:rsidRDefault="001E1112" w:rsidP="00DB3BEC">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1)  określenia rynku właściwego, o którym mowa w art. 178 ust. 1 pkt 1, a także jego analizy i wyznaczenia przedsiębiorcy komunikacji elektronicznej o znaczącej pozycji rynkowej lub przedsiębiorców komunikacji elektronicznej zajmujących kolektywną pozycję znaczącą, lub uchylenia decyzji w tej sprawie,</w:t>
            </w:r>
          </w:p>
          <w:p w14:paraId="1D65418D" w14:textId="77777777" w:rsidR="001E1112" w:rsidRPr="00317ABF" w:rsidRDefault="001E1112" w:rsidP="00DB3BEC">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2)  nałożenia, uchylenia, utrzymania lub zmiany obowiązków regulacyjnych w stosunku do przedsiębiorcy komunikacji elektronicznej o znaczącej pozycji rynkowej lub nieposiadającego takiej pozycji,</w:t>
            </w:r>
          </w:p>
          <w:p w14:paraId="50907C30" w14:textId="77777777" w:rsidR="001E1112" w:rsidRPr="00317ABF" w:rsidRDefault="001E1112" w:rsidP="00DB3BEC">
            <w:pPr>
              <w:pStyle w:val="PKTpunkt0"/>
              <w:spacing w:line="240" w:lineRule="auto"/>
              <w:rPr>
                <w:rFonts w:ascii="Times New Roman" w:eastAsia="Times" w:hAnsi="Times New Roman" w:cs="Times New Roman"/>
                <w:sz w:val="22"/>
                <w:szCs w:val="22"/>
              </w:rPr>
            </w:pPr>
            <w:r w:rsidRPr="00317ABF">
              <w:rPr>
                <w:rFonts w:ascii="Times New Roman" w:hAnsi="Times New Roman" w:cs="Times New Roman"/>
                <w:sz w:val="22"/>
                <w:szCs w:val="22"/>
              </w:rPr>
              <w:t xml:space="preserve">3) </w:t>
            </w:r>
            <w:r w:rsidRPr="00317ABF">
              <w:rPr>
                <w:rFonts w:ascii="Times New Roman" w:eastAsia="Times" w:hAnsi="Times New Roman" w:cs="Times New Roman"/>
                <w:sz w:val="22"/>
                <w:szCs w:val="22"/>
              </w:rPr>
              <w:t>nałożenia, uchylenia, zmiany lub utrzymania obowiązków dostępowych symetrycznych,</w:t>
            </w:r>
          </w:p>
          <w:p w14:paraId="51F91F98" w14:textId="77777777" w:rsidR="001E1112" w:rsidRPr="00317ABF" w:rsidRDefault="001E1112" w:rsidP="00DB3BEC">
            <w:pPr>
              <w:pStyle w:val="PKTpunkt0"/>
              <w:spacing w:line="240" w:lineRule="auto"/>
              <w:rPr>
                <w:rFonts w:ascii="Times New Roman" w:hAnsi="Times New Roman" w:cs="Times New Roman"/>
                <w:sz w:val="22"/>
                <w:szCs w:val="22"/>
              </w:rPr>
            </w:pPr>
            <w:r w:rsidRPr="00317ABF">
              <w:rPr>
                <w:rFonts w:ascii="Times New Roman" w:eastAsia="Times" w:hAnsi="Times New Roman" w:cs="Times New Roman"/>
                <w:sz w:val="22"/>
                <w:szCs w:val="22"/>
              </w:rPr>
              <w:t xml:space="preserve">4) decyzji wydawanej na podstawie </w:t>
            </w:r>
            <w:r w:rsidRPr="00317ABF">
              <w:rPr>
                <w:rFonts w:ascii="Times New Roman" w:hAnsi="Times New Roman" w:cs="Times New Roman"/>
                <w:sz w:val="22"/>
                <w:szCs w:val="22"/>
              </w:rPr>
              <w:t>art. 154 ust. 1,</w:t>
            </w:r>
          </w:p>
          <w:p w14:paraId="5D3DE21C" w14:textId="77777777" w:rsidR="001E1112" w:rsidRPr="00317ABF" w:rsidRDefault="001E1112" w:rsidP="00DB3BEC">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5) postanowienia wydanego na podstawie art. 156 ust. 1 i art. 156 ust. 4,</w:t>
            </w:r>
          </w:p>
          <w:p w14:paraId="2A18287C" w14:textId="77777777" w:rsidR="001E1112" w:rsidRPr="00317ABF" w:rsidRDefault="001E1112" w:rsidP="00DB3BEC">
            <w:pPr>
              <w:pStyle w:val="PKTpunkt0"/>
              <w:spacing w:line="240" w:lineRule="auto"/>
              <w:rPr>
                <w:rFonts w:ascii="Times New Roman" w:hAnsi="Times New Roman" w:cs="Times New Roman"/>
                <w:sz w:val="22"/>
                <w:szCs w:val="22"/>
              </w:rPr>
            </w:pPr>
            <w:r w:rsidRPr="00317ABF">
              <w:rPr>
                <w:rFonts w:ascii="Times New Roman" w:eastAsia="Times" w:hAnsi="Times New Roman" w:cs="Times New Roman"/>
                <w:sz w:val="22"/>
                <w:szCs w:val="22"/>
              </w:rPr>
              <w:t xml:space="preserve">6) decyzji wydawanej na podstawie </w:t>
            </w:r>
            <w:r w:rsidRPr="00317ABF">
              <w:rPr>
                <w:rFonts w:ascii="Times New Roman" w:hAnsi="Times New Roman" w:cs="Times New Roman"/>
                <w:sz w:val="22"/>
                <w:szCs w:val="22"/>
              </w:rPr>
              <w:t xml:space="preserve">art. 164 ust. 1, </w:t>
            </w:r>
          </w:p>
          <w:p w14:paraId="7BD5EE7E" w14:textId="77777777" w:rsidR="001E1112" w:rsidRPr="00317ABF" w:rsidRDefault="001E1112" w:rsidP="00DB3BEC">
            <w:pPr>
              <w:pStyle w:val="PKTpunkt0"/>
              <w:spacing w:line="240" w:lineRule="auto"/>
              <w:rPr>
                <w:rFonts w:ascii="Times New Roman" w:hAnsi="Times New Roman" w:cs="Times New Roman"/>
                <w:sz w:val="22"/>
                <w:szCs w:val="22"/>
              </w:rPr>
            </w:pPr>
            <w:r w:rsidRPr="00317ABF">
              <w:rPr>
                <w:rFonts w:ascii="Times New Roman" w:eastAsia="Times" w:hAnsi="Times New Roman" w:cs="Times New Roman"/>
                <w:sz w:val="22"/>
                <w:szCs w:val="22"/>
              </w:rPr>
              <w:t>7) decyzji wydawanej na podstawie</w:t>
            </w:r>
            <w:r w:rsidRPr="00317ABF">
              <w:rPr>
                <w:rFonts w:ascii="Times New Roman" w:hAnsi="Times New Roman" w:cs="Times New Roman"/>
                <w:sz w:val="22"/>
                <w:szCs w:val="22"/>
              </w:rPr>
              <w:t xml:space="preserve"> art. 166,</w:t>
            </w:r>
          </w:p>
          <w:p w14:paraId="592B429F" w14:textId="77777777" w:rsidR="001E1112" w:rsidRPr="00317ABF" w:rsidRDefault="001E1112" w:rsidP="00DB3BEC">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 xml:space="preserve">8) innych wskazanych w ustawie oraz w ustawie z dnia 7 maja 2010 r. o wspieraniu rozwoju usług i sieci telekomunikacyjnych, </w:t>
            </w:r>
          </w:p>
          <w:p w14:paraId="22BFB952" w14:textId="77777777" w:rsidR="001E1112" w:rsidRPr="00317ABF" w:rsidRDefault="001E1112" w:rsidP="00DB3BEC">
            <w:pPr>
              <w:jc w:val="both"/>
              <w:rPr>
                <w:sz w:val="22"/>
                <w:szCs w:val="22"/>
              </w:rPr>
            </w:pPr>
            <w:r w:rsidRPr="00317ABF">
              <w:rPr>
                <w:sz w:val="22"/>
                <w:szCs w:val="22"/>
              </w:rPr>
              <w:t>- przeprowadza postępowanie konsultacyjne, umożliwiając zainteresowanym podmiotom wyrażenie w określonym terminie stanowiska do projektu rozstrzygnięcia.</w:t>
            </w:r>
          </w:p>
          <w:p w14:paraId="79620358" w14:textId="77777777" w:rsidR="001E1112" w:rsidRPr="00317ABF" w:rsidRDefault="001E1112" w:rsidP="00DB3BEC">
            <w:pPr>
              <w:pStyle w:val="ARTartustawynprozporzdzenia"/>
              <w:spacing w:line="240" w:lineRule="auto"/>
              <w:rPr>
                <w:rFonts w:ascii="Times New Roman" w:hAnsi="Times New Roman" w:cs="Times New Roman"/>
                <w:sz w:val="22"/>
                <w:szCs w:val="22"/>
              </w:rPr>
            </w:pPr>
            <w:r w:rsidRPr="00317ABF">
              <w:rPr>
                <w:rFonts w:ascii="Times New Roman" w:hAnsi="Times New Roman" w:cs="Times New Roman"/>
                <w:sz w:val="22"/>
                <w:szCs w:val="22"/>
              </w:rPr>
              <w:t xml:space="preserve">Art. 31. 1. Prezes UKE ogłasza rozpoczęcie postępowania konsultacyjnego,  udostępniając na stronie podmiotowej BIP UKE: </w:t>
            </w:r>
          </w:p>
          <w:p w14:paraId="40273E7B" w14:textId="77777777" w:rsidR="001E1112" w:rsidRPr="00317ABF" w:rsidRDefault="001E1112" w:rsidP="00DB3BEC">
            <w:pPr>
              <w:pStyle w:val="ARTartustawynprozporzdzenia"/>
              <w:spacing w:line="240" w:lineRule="auto"/>
              <w:rPr>
                <w:rFonts w:ascii="Times New Roman" w:hAnsi="Times New Roman" w:cs="Times New Roman"/>
                <w:sz w:val="22"/>
                <w:szCs w:val="22"/>
              </w:rPr>
            </w:pPr>
            <w:r w:rsidRPr="00317ABF">
              <w:rPr>
                <w:rFonts w:ascii="Times New Roman" w:hAnsi="Times New Roman" w:cs="Times New Roman"/>
                <w:sz w:val="22"/>
                <w:szCs w:val="22"/>
              </w:rPr>
              <w:t>1) informacje określające przedmiot postępowania konsultacyjnego, sposób zgłaszania stanowisk do projektu rozstrzygnięcia oraz termin zgłaszania tych stanowisk nie krótszy niż 30 dni od dnia jego udostępnienia;</w:t>
            </w:r>
          </w:p>
          <w:p w14:paraId="3C94C3BC" w14:textId="77777777" w:rsidR="001E1112" w:rsidRPr="00317ABF" w:rsidRDefault="001E1112" w:rsidP="00DB3BEC">
            <w:pPr>
              <w:pStyle w:val="ARTartustawynprozporzdzenia"/>
              <w:spacing w:line="240" w:lineRule="auto"/>
              <w:rPr>
                <w:rFonts w:ascii="Times New Roman" w:hAnsi="Times New Roman" w:cs="Times New Roman"/>
                <w:sz w:val="22"/>
                <w:szCs w:val="22"/>
              </w:rPr>
            </w:pPr>
            <w:r w:rsidRPr="00317ABF">
              <w:rPr>
                <w:rFonts w:ascii="Times New Roman" w:hAnsi="Times New Roman" w:cs="Times New Roman"/>
                <w:sz w:val="22"/>
                <w:szCs w:val="22"/>
              </w:rPr>
              <w:t xml:space="preserve">2)  projekt rozstrzygnięcia wraz z uzasadnieniem. </w:t>
            </w:r>
          </w:p>
          <w:p w14:paraId="3225CEFA" w14:textId="77777777" w:rsidR="001E1112" w:rsidRPr="00317ABF" w:rsidRDefault="001E1112" w:rsidP="00DB3BEC">
            <w:pPr>
              <w:pStyle w:val="USTustnpkodeksu"/>
              <w:spacing w:line="240" w:lineRule="auto"/>
              <w:rPr>
                <w:rFonts w:ascii="Times New Roman" w:hAnsi="Times New Roman" w:cs="Times New Roman"/>
                <w:sz w:val="22"/>
                <w:szCs w:val="22"/>
              </w:rPr>
            </w:pPr>
            <w:r w:rsidRPr="00317ABF">
              <w:rPr>
                <w:rFonts w:ascii="Times New Roman" w:hAnsi="Times New Roman" w:cs="Times New Roman"/>
                <w:sz w:val="22"/>
                <w:szCs w:val="22"/>
              </w:rPr>
              <w:t>2. Prezes UKE informuje o wszczęciu postępowania konsultacyjnego Prezesa Urzędu Ochrony Konkurencji i Konsumentów, zwanego dalej „Prezesem UOKiK”. W sprawach dotyczących rynków transmisji radiofonicznych i telewizyjnych Prezes UKE informuje o wszczęciu postępowania konsultacyjnego również Przewodniczącego Krajowej Rady Radiofonii i Telewizji, zwanego dalej „Przewodniczącym KRRiT”.</w:t>
            </w:r>
          </w:p>
          <w:p w14:paraId="6F8211D4" w14:textId="77777777" w:rsidR="001E1112" w:rsidRPr="00317ABF" w:rsidRDefault="001E1112" w:rsidP="00DB3BEC">
            <w:pPr>
              <w:pStyle w:val="USTustnpkodeksu"/>
              <w:spacing w:line="240" w:lineRule="auto"/>
              <w:rPr>
                <w:rFonts w:ascii="Times New Roman" w:hAnsi="Times New Roman" w:cs="Times New Roman"/>
                <w:sz w:val="22"/>
                <w:szCs w:val="22"/>
              </w:rPr>
            </w:pPr>
            <w:r w:rsidRPr="00317ABF">
              <w:rPr>
                <w:rFonts w:ascii="Times New Roman" w:hAnsi="Times New Roman" w:cs="Times New Roman"/>
                <w:sz w:val="22"/>
                <w:szCs w:val="22"/>
              </w:rPr>
              <w:lastRenderedPageBreak/>
              <w:t>3. Wyniki postępowania konsultacyjnego udostępniane są na stronie podmiotowej BIP UKE, poprzez udostępnienie tych stanowisk uczestników, które nie stanowią tajemnic prawnie chronionych.</w:t>
            </w:r>
          </w:p>
          <w:p w14:paraId="6BF2D704" w14:textId="77777777" w:rsidR="001E1112" w:rsidRPr="00317ABF" w:rsidRDefault="001E1112" w:rsidP="00DB3BEC">
            <w:pPr>
              <w:pStyle w:val="USTustnpkodeksu"/>
              <w:spacing w:line="240" w:lineRule="auto"/>
              <w:rPr>
                <w:rFonts w:ascii="Times New Roman" w:hAnsi="Times New Roman" w:cs="Times New Roman"/>
                <w:sz w:val="22"/>
                <w:szCs w:val="22"/>
              </w:rPr>
            </w:pPr>
            <w:r w:rsidRPr="00317ABF">
              <w:rPr>
                <w:rFonts w:ascii="Times New Roman" w:hAnsi="Times New Roman" w:cs="Times New Roman"/>
                <w:sz w:val="22"/>
                <w:szCs w:val="22"/>
              </w:rPr>
              <w:t xml:space="preserve">4. W przypadku, gdy postępowanie konsultacyjne jest przeprowadzane przez podjęciem rozstrzygnięcia w drodze decyzji generalnej, projekt rozstrzygnięcia </w:t>
            </w:r>
            <w:r w:rsidRPr="00317ABF">
              <w:rPr>
                <w:rFonts w:ascii="Times New Roman" w:hAnsi="Times New Roman" w:cs="Times New Roman"/>
                <w:sz w:val="22"/>
                <w:szCs w:val="22"/>
                <w:lang w:eastAsia="en-US"/>
              </w:rPr>
              <w:t xml:space="preserve">udostępniany jest również </w:t>
            </w:r>
            <w:r w:rsidRPr="00317ABF">
              <w:rPr>
                <w:rFonts w:ascii="Times New Roman" w:hAnsi="Times New Roman" w:cs="Times New Roman"/>
                <w:sz w:val="22"/>
                <w:szCs w:val="22"/>
              </w:rPr>
              <w:t>na stronie podmiotowej</w:t>
            </w:r>
            <w:r w:rsidRPr="00317ABF">
              <w:rPr>
                <w:rFonts w:ascii="Times New Roman" w:hAnsi="Times New Roman" w:cs="Times New Roman"/>
                <w:sz w:val="22"/>
                <w:szCs w:val="22"/>
                <w:lang w:eastAsia="en-US"/>
              </w:rPr>
              <w:t xml:space="preserve"> BIP UKE. Przepis art. 173 ust. 2-5 s</w:t>
            </w:r>
            <w:r w:rsidRPr="00317ABF">
              <w:rPr>
                <w:rFonts w:ascii="Times New Roman" w:hAnsi="Times New Roman" w:cs="Times New Roman"/>
                <w:sz w:val="22"/>
                <w:szCs w:val="22"/>
              </w:rPr>
              <w:t xml:space="preserve">tosuje się odpowiednio. </w:t>
            </w:r>
          </w:p>
          <w:p w14:paraId="4F7836D1" w14:textId="04B1211D" w:rsidR="001E1112" w:rsidRPr="00317ABF" w:rsidRDefault="001E1112" w:rsidP="00DB3BEC">
            <w:pPr>
              <w:jc w:val="both"/>
              <w:rPr>
                <w:sz w:val="22"/>
                <w:szCs w:val="22"/>
              </w:rPr>
            </w:pPr>
            <w:r w:rsidRPr="00317ABF">
              <w:rPr>
                <w:sz w:val="22"/>
                <w:szCs w:val="22"/>
              </w:rPr>
              <w:t>Art. 33. Prezes UKE udostępnia na stronie podmiotowej BIP UKE informacje o toczących się postępowaniach konsultacyjnych wraz z dodatkowymi dokumentami i tymi stanowiskami uczestników, które nie stanowią tajemnic prawnie chronionych.</w:t>
            </w:r>
          </w:p>
        </w:tc>
      </w:tr>
      <w:tr w:rsidR="001E1112" w:rsidRPr="00317ABF" w14:paraId="4151103C" w14:textId="77777777" w:rsidTr="7753F98D">
        <w:trPr>
          <w:gridAfter w:val="2"/>
          <w:wAfter w:w="175" w:type="dxa"/>
        </w:trPr>
        <w:tc>
          <w:tcPr>
            <w:tcW w:w="704" w:type="dxa"/>
          </w:tcPr>
          <w:p w14:paraId="4251AC52" w14:textId="77777777" w:rsidR="001E1112" w:rsidRPr="00317ABF" w:rsidRDefault="001E1112" w:rsidP="00DB3BEC">
            <w:pPr>
              <w:jc w:val="both"/>
              <w:rPr>
                <w:sz w:val="22"/>
                <w:szCs w:val="22"/>
              </w:rPr>
            </w:pPr>
            <w:r w:rsidRPr="00317ABF">
              <w:rPr>
                <w:sz w:val="22"/>
                <w:szCs w:val="22"/>
              </w:rPr>
              <w:lastRenderedPageBreak/>
              <w:t>Art. 24 ust. 2</w:t>
            </w:r>
          </w:p>
        </w:tc>
        <w:tc>
          <w:tcPr>
            <w:tcW w:w="4308" w:type="dxa"/>
          </w:tcPr>
          <w:p w14:paraId="22C8544C" w14:textId="77777777" w:rsidR="001E1112" w:rsidRPr="00317ABF" w:rsidRDefault="001E1112" w:rsidP="00DB3BEC">
            <w:pPr>
              <w:spacing w:before="120"/>
              <w:jc w:val="both"/>
              <w:rPr>
                <w:sz w:val="22"/>
                <w:szCs w:val="22"/>
              </w:rPr>
            </w:pPr>
            <w:r w:rsidRPr="00317ABF">
              <w:rPr>
                <w:sz w:val="22"/>
                <w:szCs w:val="22"/>
              </w:rPr>
              <w:t>2.   Zainteresowane strony mogą opracować, pod przewodnictwem właściwych organów w porozumieniu, gdy to odpowiednie, z krajowymi organami regulacyjnymi, mechanizmy dotyczące konsumentów, grup użytkowników i dostawców usług, mające na celu poprawę ogólnej jakości świadczenia usług w drodze, między innymi, opracowania i monitorowania kodeksów dobrych praktyk.</w:t>
            </w:r>
          </w:p>
        </w:tc>
        <w:tc>
          <w:tcPr>
            <w:tcW w:w="986" w:type="dxa"/>
          </w:tcPr>
          <w:p w14:paraId="478D7399" w14:textId="5DF5E327" w:rsidR="001E1112" w:rsidRPr="00317ABF" w:rsidRDefault="001E1112" w:rsidP="00DB3BEC">
            <w:pPr>
              <w:jc w:val="both"/>
              <w:rPr>
                <w:sz w:val="22"/>
                <w:szCs w:val="22"/>
              </w:rPr>
            </w:pPr>
            <w:r w:rsidRPr="00317ABF">
              <w:rPr>
                <w:sz w:val="22"/>
                <w:szCs w:val="22"/>
              </w:rPr>
              <w:t>N</w:t>
            </w:r>
          </w:p>
        </w:tc>
        <w:tc>
          <w:tcPr>
            <w:tcW w:w="910" w:type="dxa"/>
          </w:tcPr>
          <w:p w14:paraId="1AB2B8F9" w14:textId="77777777" w:rsidR="001E1112" w:rsidRPr="00317ABF" w:rsidRDefault="001E1112" w:rsidP="00DB3BEC">
            <w:pPr>
              <w:pStyle w:val="Tekstpodstawowy"/>
              <w:rPr>
                <w:b/>
                <w:noProof/>
                <w:sz w:val="22"/>
                <w:szCs w:val="22"/>
              </w:rPr>
            </w:pPr>
          </w:p>
        </w:tc>
        <w:tc>
          <w:tcPr>
            <w:tcW w:w="6814" w:type="dxa"/>
            <w:gridSpan w:val="2"/>
          </w:tcPr>
          <w:p w14:paraId="3FBF0C5E" w14:textId="77777777" w:rsidR="001E1112" w:rsidRPr="00317ABF" w:rsidRDefault="001E1112" w:rsidP="00DB3BEC">
            <w:pPr>
              <w:pStyle w:val="Tekstpodstawowy"/>
              <w:rPr>
                <w:sz w:val="22"/>
                <w:szCs w:val="22"/>
              </w:rPr>
            </w:pPr>
          </w:p>
        </w:tc>
      </w:tr>
      <w:tr w:rsidR="001E1112" w:rsidRPr="00317ABF" w14:paraId="2AAABDC0" w14:textId="77777777" w:rsidTr="7753F98D">
        <w:trPr>
          <w:gridAfter w:val="2"/>
          <w:wAfter w:w="175" w:type="dxa"/>
        </w:trPr>
        <w:tc>
          <w:tcPr>
            <w:tcW w:w="704" w:type="dxa"/>
          </w:tcPr>
          <w:p w14:paraId="2E8729BD" w14:textId="77777777" w:rsidR="001E1112" w:rsidRPr="00317ABF" w:rsidRDefault="001E1112" w:rsidP="00DB3BEC">
            <w:pPr>
              <w:jc w:val="both"/>
              <w:rPr>
                <w:sz w:val="22"/>
                <w:szCs w:val="22"/>
              </w:rPr>
            </w:pPr>
            <w:r w:rsidRPr="00317ABF">
              <w:rPr>
                <w:sz w:val="22"/>
                <w:szCs w:val="22"/>
              </w:rPr>
              <w:t>Art. 24 ust. 3</w:t>
            </w:r>
          </w:p>
        </w:tc>
        <w:tc>
          <w:tcPr>
            <w:tcW w:w="4308" w:type="dxa"/>
          </w:tcPr>
          <w:p w14:paraId="359DC031" w14:textId="77777777" w:rsidR="001E1112" w:rsidRPr="00317ABF" w:rsidRDefault="001E1112" w:rsidP="00DB3BEC">
            <w:pPr>
              <w:spacing w:before="120"/>
              <w:jc w:val="both"/>
              <w:rPr>
                <w:sz w:val="22"/>
                <w:szCs w:val="22"/>
              </w:rPr>
            </w:pPr>
            <w:r w:rsidRPr="00317ABF">
              <w:rPr>
                <w:sz w:val="22"/>
                <w:szCs w:val="22"/>
              </w:rPr>
              <w:t>3.   Nie naruszając przepisów krajowych zgodnych z prawem Unii oraz promujących cele związane z polityką kulturalną i medialną, takie jak różnorodność kulturowa i językowa oraz pluralizm mediów, właściwe organy w porozumieniu, w stosownych przypadkach, z krajowymi organami regulacyjnymi mogą promować współpracę między przedsiębiorstwami dostarczającymi sieci lub świadczącymi usługi łączności elektronicznej a sektorami zainteresowanymi promowaniem zgodnych z prawem treści w sieciach i usługach łączności elektronicznej. Taka współpraca może obejmować również koordynowanie informacji użyteczności publicznej, które mają zostać udostępnione na podstawie art. 103 ust. 4.</w:t>
            </w:r>
          </w:p>
        </w:tc>
        <w:tc>
          <w:tcPr>
            <w:tcW w:w="986" w:type="dxa"/>
          </w:tcPr>
          <w:p w14:paraId="7896E9D9" w14:textId="285644FE" w:rsidR="001E1112" w:rsidRPr="00317ABF" w:rsidRDefault="001E1112" w:rsidP="00DB3BEC">
            <w:pPr>
              <w:jc w:val="both"/>
              <w:rPr>
                <w:sz w:val="22"/>
                <w:szCs w:val="22"/>
              </w:rPr>
            </w:pPr>
            <w:r w:rsidRPr="00317ABF">
              <w:rPr>
                <w:sz w:val="22"/>
                <w:szCs w:val="22"/>
              </w:rPr>
              <w:t>N</w:t>
            </w:r>
          </w:p>
        </w:tc>
        <w:tc>
          <w:tcPr>
            <w:tcW w:w="910" w:type="dxa"/>
          </w:tcPr>
          <w:p w14:paraId="1B319C6E" w14:textId="77777777" w:rsidR="001E1112" w:rsidRPr="00317ABF" w:rsidRDefault="001E1112" w:rsidP="00DB3BEC">
            <w:pPr>
              <w:pStyle w:val="Tekstpodstawowy"/>
              <w:rPr>
                <w:b/>
                <w:noProof/>
                <w:sz w:val="22"/>
                <w:szCs w:val="22"/>
              </w:rPr>
            </w:pPr>
          </w:p>
        </w:tc>
        <w:tc>
          <w:tcPr>
            <w:tcW w:w="6814" w:type="dxa"/>
            <w:gridSpan w:val="2"/>
          </w:tcPr>
          <w:p w14:paraId="1DCF0334" w14:textId="77777777" w:rsidR="001E1112" w:rsidRPr="00317ABF" w:rsidRDefault="001E1112" w:rsidP="00DB3BEC">
            <w:pPr>
              <w:pStyle w:val="Tekstpodstawowy"/>
              <w:rPr>
                <w:sz w:val="22"/>
                <w:szCs w:val="22"/>
              </w:rPr>
            </w:pPr>
          </w:p>
        </w:tc>
      </w:tr>
      <w:tr w:rsidR="001E1112" w:rsidRPr="00317ABF" w14:paraId="4254E434" w14:textId="77777777" w:rsidTr="7753F98D">
        <w:trPr>
          <w:gridAfter w:val="2"/>
          <w:wAfter w:w="175" w:type="dxa"/>
        </w:trPr>
        <w:tc>
          <w:tcPr>
            <w:tcW w:w="704" w:type="dxa"/>
          </w:tcPr>
          <w:p w14:paraId="23BD9926" w14:textId="77777777" w:rsidR="001E1112" w:rsidRPr="00317ABF" w:rsidRDefault="001E1112" w:rsidP="00DB3BEC">
            <w:pPr>
              <w:jc w:val="both"/>
              <w:rPr>
                <w:b/>
                <w:sz w:val="22"/>
                <w:szCs w:val="22"/>
              </w:rPr>
            </w:pPr>
            <w:r w:rsidRPr="00317ABF">
              <w:rPr>
                <w:b/>
                <w:sz w:val="22"/>
                <w:szCs w:val="22"/>
              </w:rPr>
              <w:lastRenderedPageBreak/>
              <w:t>Art. 25</w:t>
            </w:r>
          </w:p>
        </w:tc>
        <w:tc>
          <w:tcPr>
            <w:tcW w:w="4308" w:type="dxa"/>
          </w:tcPr>
          <w:p w14:paraId="6CD5A58B" w14:textId="77777777" w:rsidR="001E1112" w:rsidRPr="00317ABF" w:rsidRDefault="001E1112" w:rsidP="00DB3BEC">
            <w:pPr>
              <w:spacing w:before="120"/>
              <w:jc w:val="both"/>
              <w:rPr>
                <w:sz w:val="22"/>
                <w:szCs w:val="22"/>
              </w:rPr>
            </w:pPr>
            <w:r w:rsidRPr="00317ABF">
              <w:rPr>
                <w:b/>
                <w:bCs/>
                <w:sz w:val="22"/>
                <w:szCs w:val="22"/>
              </w:rPr>
              <w:t>Pozasądowe rozwiązywanie sporów</w:t>
            </w:r>
          </w:p>
        </w:tc>
        <w:tc>
          <w:tcPr>
            <w:tcW w:w="986" w:type="dxa"/>
          </w:tcPr>
          <w:p w14:paraId="2E780729" w14:textId="77777777" w:rsidR="001E1112" w:rsidRPr="00317ABF" w:rsidRDefault="001E1112" w:rsidP="00DB3BEC">
            <w:pPr>
              <w:jc w:val="both"/>
              <w:rPr>
                <w:sz w:val="22"/>
                <w:szCs w:val="22"/>
              </w:rPr>
            </w:pPr>
          </w:p>
        </w:tc>
        <w:tc>
          <w:tcPr>
            <w:tcW w:w="910" w:type="dxa"/>
          </w:tcPr>
          <w:p w14:paraId="7118DC78" w14:textId="77777777" w:rsidR="001E1112" w:rsidRPr="00317ABF" w:rsidRDefault="001E1112" w:rsidP="00DB3BEC">
            <w:pPr>
              <w:pStyle w:val="Tekstpodstawowy"/>
              <w:rPr>
                <w:b/>
                <w:noProof/>
                <w:sz w:val="22"/>
                <w:szCs w:val="22"/>
              </w:rPr>
            </w:pPr>
          </w:p>
        </w:tc>
        <w:tc>
          <w:tcPr>
            <w:tcW w:w="6814" w:type="dxa"/>
            <w:gridSpan w:val="2"/>
          </w:tcPr>
          <w:p w14:paraId="7876FC12" w14:textId="77777777" w:rsidR="001E1112" w:rsidRPr="00317ABF" w:rsidRDefault="001E1112" w:rsidP="00DB3BEC">
            <w:pPr>
              <w:pStyle w:val="Tekstpodstawowy"/>
              <w:rPr>
                <w:sz w:val="22"/>
                <w:szCs w:val="22"/>
              </w:rPr>
            </w:pPr>
          </w:p>
        </w:tc>
      </w:tr>
      <w:tr w:rsidR="001E1112" w:rsidRPr="00317ABF" w14:paraId="6D8FD42C" w14:textId="77777777" w:rsidTr="7753F98D">
        <w:trPr>
          <w:gridAfter w:val="2"/>
          <w:wAfter w:w="175" w:type="dxa"/>
        </w:trPr>
        <w:tc>
          <w:tcPr>
            <w:tcW w:w="704" w:type="dxa"/>
          </w:tcPr>
          <w:p w14:paraId="325A6A45" w14:textId="77777777" w:rsidR="001E1112" w:rsidRPr="00317ABF" w:rsidRDefault="001E1112" w:rsidP="00DB3BEC">
            <w:pPr>
              <w:jc w:val="both"/>
              <w:rPr>
                <w:sz w:val="22"/>
                <w:szCs w:val="22"/>
              </w:rPr>
            </w:pPr>
            <w:r w:rsidRPr="00317ABF">
              <w:rPr>
                <w:sz w:val="22"/>
                <w:szCs w:val="22"/>
              </w:rPr>
              <w:t>Art. 25 ust. 1</w:t>
            </w:r>
          </w:p>
        </w:tc>
        <w:tc>
          <w:tcPr>
            <w:tcW w:w="4308" w:type="dxa"/>
          </w:tcPr>
          <w:p w14:paraId="1BADB49B" w14:textId="77777777" w:rsidR="001E1112" w:rsidRPr="00317ABF" w:rsidRDefault="001E1112" w:rsidP="00DB3BEC">
            <w:pPr>
              <w:spacing w:before="120"/>
              <w:jc w:val="both"/>
              <w:rPr>
                <w:sz w:val="22"/>
                <w:szCs w:val="22"/>
              </w:rPr>
            </w:pPr>
            <w:r w:rsidRPr="00317ABF">
              <w:rPr>
                <w:sz w:val="22"/>
                <w:szCs w:val="22"/>
              </w:rPr>
              <w:t>1.   Państwa członkowskie zapewniają, aby krajowy organ regulacyjny lub właściwy organ odpowiedzialny za stosowanie art. 102–107 i 115 niniejszej dyrektywy lub co najmniej jeden niezależny organ posiadający potwierdzoną wiedzę fachową w zakresie stosowania tych artykułów został wyznaczony jako podmiot zajmujący się alternatywnymi metodami rozstrzygania sporów zgodnie z art. 20 ust. 2 dyrektywy 2013/11/UE w celu rozstrzygania sporów między podmiotami a konsumentami powstałych na gruncie niniejszej dyrektywy i dotyczących wykonywania umów. Państwa członkowskie mogą rozszerzyć dostęp do procedur alternatywnego rozstrzygania sporów zapewnianych przez ten organ lub podmiot użytkownikom końcowym innym niż konsumenci, w szczególności mikroprzedsiębiorstwom i małym przedsiębiorstwom.</w:t>
            </w:r>
          </w:p>
        </w:tc>
        <w:tc>
          <w:tcPr>
            <w:tcW w:w="986" w:type="dxa"/>
          </w:tcPr>
          <w:p w14:paraId="690AAE2D" w14:textId="415B9A1D" w:rsidR="001E1112" w:rsidRPr="00317ABF" w:rsidRDefault="001E1112" w:rsidP="00DB3BEC">
            <w:pPr>
              <w:jc w:val="both"/>
              <w:rPr>
                <w:sz w:val="22"/>
                <w:szCs w:val="22"/>
              </w:rPr>
            </w:pPr>
            <w:r w:rsidRPr="00317ABF">
              <w:rPr>
                <w:sz w:val="22"/>
                <w:szCs w:val="22"/>
              </w:rPr>
              <w:t>T</w:t>
            </w:r>
          </w:p>
          <w:p w14:paraId="2241C5E1" w14:textId="499CEEEB" w:rsidR="001E1112" w:rsidRPr="00317ABF" w:rsidRDefault="001E1112" w:rsidP="00DB3BEC">
            <w:pPr>
              <w:jc w:val="both"/>
              <w:rPr>
                <w:sz w:val="22"/>
                <w:szCs w:val="22"/>
              </w:rPr>
            </w:pPr>
          </w:p>
          <w:p w14:paraId="0BB7BD8F" w14:textId="502DB640" w:rsidR="001E1112" w:rsidRPr="00317ABF" w:rsidRDefault="001E1112" w:rsidP="00DB3BEC">
            <w:pPr>
              <w:jc w:val="both"/>
              <w:rPr>
                <w:sz w:val="22"/>
                <w:szCs w:val="22"/>
              </w:rPr>
            </w:pPr>
          </w:p>
          <w:p w14:paraId="3856D1C0" w14:textId="1A6B585D" w:rsidR="001E1112" w:rsidRPr="00317ABF" w:rsidRDefault="001E1112" w:rsidP="00DB3BEC">
            <w:pPr>
              <w:jc w:val="both"/>
              <w:rPr>
                <w:sz w:val="22"/>
                <w:szCs w:val="22"/>
              </w:rPr>
            </w:pPr>
          </w:p>
          <w:p w14:paraId="4B8A6CC9" w14:textId="5C594633" w:rsidR="001E1112" w:rsidRPr="00317ABF" w:rsidRDefault="001E1112" w:rsidP="00DB3BEC">
            <w:pPr>
              <w:jc w:val="both"/>
              <w:rPr>
                <w:sz w:val="22"/>
                <w:szCs w:val="22"/>
              </w:rPr>
            </w:pPr>
          </w:p>
          <w:p w14:paraId="488E52B5" w14:textId="2010722B" w:rsidR="001E1112" w:rsidRPr="00317ABF" w:rsidRDefault="001E1112" w:rsidP="00DB3BEC">
            <w:pPr>
              <w:jc w:val="both"/>
              <w:rPr>
                <w:sz w:val="22"/>
                <w:szCs w:val="22"/>
              </w:rPr>
            </w:pPr>
          </w:p>
          <w:p w14:paraId="363CDC1B" w14:textId="3002DA66" w:rsidR="001E1112" w:rsidRPr="00317ABF" w:rsidRDefault="001E1112" w:rsidP="00DB3BEC">
            <w:pPr>
              <w:jc w:val="both"/>
              <w:rPr>
                <w:sz w:val="22"/>
                <w:szCs w:val="22"/>
              </w:rPr>
            </w:pPr>
          </w:p>
          <w:p w14:paraId="029EF015" w14:textId="0180EA2A" w:rsidR="001E1112" w:rsidRPr="00317ABF" w:rsidRDefault="001E1112" w:rsidP="00DB3BEC">
            <w:pPr>
              <w:jc w:val="both"/>
              <w:rPr>
                <w:sz w:val="22"/>
                <w:szCs w:val="22"/>
              </w:rPr>
            </w:pPr>
          </w:p>
          <w:p w14:paraId="2C9C6DA0" w14:textId="01F896B2" w:rsidR="001E1112" w:rsidRPr="00317ABF" w:rsidRDefault="001E1112" w:rsidP="00DB3BEC">
            <w:pPr>
              <w:jc w:val="both"/>
              <w:rPr>
                <w:sz w:val="22"/>
                <w:szCs w:val="22"/>
              </w:rPr>
            </w:pPr>
          </w:p>
          <w:p w14:paraId="59CF9961" w14:textId="6CA3D54C" w:rsidR="001E1112" w:rsidRPr="00317ABF" w:rsidRDefault="001E1112" w:rsidP="00DB3BEC">
            <w:pPr>
              <w:jc w:val="both"/>
              <w:rPr>
                <w:sz w:val="22"/>
                <w:szCs w:val="22"/>
              </w:rPr>
            </w:pPr>
          </w:p>
          <w:p w14:paraId="23994577" w14:textId="7E6E181C" w:rsidR="001E1112" w:rsidRPr="00317ABF" w:rsidRDefault="001E1112" w:rsidP="00DB3BEC">
            <w:pPr>
              <w:jc w:val="both"/>
              <w:rPr>
                <w:sz w:val="22"/>
                <w:szCs w:val="22"/>
              </w:rPr>
            </w:pPr>
          </w:p>
          <w:p w14:paraId="08110D07" w14:textId="6D023DE3" w:rsidR="001E1112" w:rsidRPr="00317ABF" w:rsidRDefault="001E1112" w:rsidP="00DB3BEC">
            <w:pPr>
              <w:jc w:val="both"/>
              <w:rPr>
                <w:sz w:val="22"/>
                <w:szCs w:val="22"/>
              </w:rPr>
            </w:pPr>
          </w:p>
          <w:p w14:paraId="22E7C7FE" w14:textId="6AC963B3" w:rsidR="001E1112" w:rsidRPr="00317ABF" w:rsidRDefault="001E1112" w:rsidP="00DB3BEC">
            <w:pPr>
              <w:jc w:val="both"/>
              <w:rPr>
                <w:sz w:val="22"/>
                <w:szCs w:val="22"/>
              </w:rPr>
            </w:pPr>
          </w:p>
          <w:p w14:paraId="245FBFC5" w14:textId="7931991C" w:rsidR="001E1112" w:rsidRPr="00317ABF" w:rsidRDefault="001E1112" w:rsidP="00DB3BEC">
            <w:pPr>
              <w:jc w:val="both"/>
              <w:rPr>
                <w:sz w:val="22"/>
                <w:szCs w:val="22"/>
              </w:rPr>
            </w:pPr>
          </w:p>
          <w:p w14:paraId="35703EDE" w14:textId="061513C8" w:rsidR="001E1112" w:rsidRPr="00317ABF" w:rsidRDefault="001E1112" w:rsidP="00DB3BEC">
            <w:pPr>
              <w:jc w:val="both"/>
              <w:rPr>
                <w:sz w:val="22"/>
                <w:szCs w:val="22"/>
              </w:rPr>
            </w:pPr>
            <w:r w:rsidRPr="00317ABF">
              <w:rPr>
                <w:sz w:val="22"/>
                <w:szCs w:val="22"/>
              </w:rPr>
              <w:t>N</w:t>
            </w:r>
          </w:p>
        </w:tc>
        <w:tc>
          <w:tcPr>
            <w:tcW w:w="910" w:type="dxa"/>
          </w:tcPr>
          <w:p w14:paraId="5E86F948" w14:textId="6472DA7C" w:rsidR="001E1112" w:rsidRPr="00317ABF" w:rsidRDefault="001E1112" w:rsidP="00DB3BEC">
            <w:pPr>
              <w:pStyle w:val="Tekstpodstawowy"/>
              <w:rPr>
                <w:b/>
                <w:noProof/>
                <w:sz w:val="22"/>
                <w:szCs w:val="22"/>
              </w:rPr>
            </w:pPr>
            <w:r w:rsidRPr="00317ABF">
              <w:rPr>
                <w:b/>
                <w:noProof/>
                <w:sz w:val="22"/>
                <w:szCs w:val="22"/>
              </w:rPr>
              <w:t xml:space="preserve">Art. </w:t>
            </w:r>
            <w:r w:rsidR="00CF2755" w:rsidRPr="00317ABF">
              <w:rPr>
                <w:b/>
                <w:noProof/>
                <w:sz w:val="22"/>
                <w:szCs w:val="22"/>
              </w:rPr>
              <w:t>378, 379 i 380</w:t>
            </w:r>
          </w:p>
        </w:tc>
        <w:tc>
          <w:tcPr>
            <w:tcW w:w="6814" w:type="dxa"/>
            <w:gridSpan w:val="2"/>
          </w:tcPr>
          <w:p w14:paraId="17A7D7C4" w14:textId="77777777" w:rsidR="001E1112" w:rsidRPr="00317ABF" w:rsidRDefault="00CF2755" w:rsidP="00CF2755">
            <w:pPr>
              <w:pStyle w:val="ARTartustawynprozporzdzenia"/>
              <w:spacing w:before="0" w:line="240" w:lineRule="auto"/>
              <w:rPr>
                <w:rFonts w:ascii="Times New Roman" w:hAnsi="Times New Roman" w:cs="Times New Roman"/>
                <w:szCs w:val="24"/>
              </w:rPr>
            </w:pPr>
            <w:r w:rsidRPr="00317ABF">
              <w:rPr>
                <w:rStyle w:val="Ppogrubienie"/>
                <w:rFonts w:ascii="Times New Roman" w:hAnsi="Times New Roman"/>
                <w:szCs w:val="24"/>
              </w:rPr>
              <w:t>Art. 378.</w:t>
            </w:r>
            <w:r w:rsidRPr="00317ABF">
              <w:rPr>
                <w:rFonts w:ascii="Times New Roman" w:hAnsi="Times New Roman" w:cs="Times New Roman"/>
                <w:szCs w:val="24"/>
              </w:rPr>
              <w:t xml:space="preserve"> </w:t>
            </w:r>
            <w:r w:rsidR="001E1112" w:rsidRPr="00317ABF">
              <w:rPr>
                <w:rFonts w:ascii="Times New Roman" w:hAnsi="Times New Roman" w:cs="Times New Roman"/>
                <w:szCs w:val="24"/>
              </w:rPr>
              <w:t>1. Spór cywilnoprawny między konsumentem a dostawcą usług komunikacji elektronicznej może być zakończony polubownie w drodze postępowania w sprawie pozasądowego rozwiązywania sporów konsumenckich.</w:t>
            </w:r>
          </w:p>
          <w:p w14:paraId="1D0D4030" w14:textId="77777777" w:rsidR="001E1112" w:rsidRPr="00317ABF" w:rsidRDefault="001E1112" w:rsidP="00CF2755">
            <w:pPr>
              <w:pStyle w:val="USTustnpkodeksu"/>
              <w:spacing w:line="240" w:lineRule="auto"/>
              <w:rPr>
                <w:rFonts w:ascii="Times New Roman" w:hAnsi="Times New Roman" w:cs="Times New Roman"/>
                <w:szCs w:val="24"/>
              </w:rPr>
            </w:pPr>
            <w:r w:rsidRPr="00317ABF">
              <w:rPr>
                <w:rFonts w:ascii="Times New Roman" w:hAnsi="Times New Roman" w:cs="Times New Roman"/>
                <w:szCs w:val="24"/>
              </w:rPr>
              <w:t>2. Postępowanie w sprawie pozasądowego rozwiązywania sporów konsumenckich prowadzi Prezes UKE, który w tym zakresie jest podmiotem uprawnionym do prowadzenia postępowania w sprawie pozasądowego rozwiązywania sporów konsumenckich w rozumieniu ustawy z dnia 23 września 2016 r. o pozasądowym rozwiązywaniu sporów konsumenckich (Dz. U. poz. 1823).</w:t>
            </w:r>
          </w:p>
          <w:p w14:paraId="20643DF1" w14:textId="77777777" w:rsidR="001E1112" w:rsidRPr="00317ABF" w:rsidRDefault="001E1112" w:rsidP="00CF2755">
            <w:pPr>
              <w:pStyle w:val="USTustnpkodeksu"/>
              <w:spacing w:line="240" w:lineRule="auto"/>
              <w:rPr>
                <w:rFonts w:ascii="Times New Roman" w:hAnsi="Times New Roman" w:cs="Times New Roman"/>
                <w:szCs w:val="24"/>
              </w:rPr>
            </w:pPr>
            <w:r w:rsidRPr="00317ABF">
              <w:rPr>
                <w:rFonts w:ascii="Times New Roman" w:hAnsi="Times New Roman" w:cs="Times New Roman"/>
                <w:szCs w:val="24"/>
              </w:rPr>
              <w:t>3. W zakresie nieuregulowanym w niniejszej ustawie stosuje się przepisy ustawy z dnia 23 września 2016 r. o pozasądowym rozwiązywaniu sporów konsumenckich.</w:t>
            </w:r>
          </w:p>
          <w:p w14:paraId="3ADEFB22" w14:textId="77777777" w:rsidR="00CF2755" w:rsidRPr="00317ABF" w:rsidRDefault="00CF2755" w:rsidP="00CF2755">
            <w:pPr>
              <w:pStyle w:val="ARTartustawynprozporzdzenia"/>
              <w:spacing w:before="0" w:line="240" w:lineRule="auto"/>
              <w:rPr>
                <w:rFonts w:ascii="Times New Roman" w:hAnsi="Times New Roman" w:cs="Times New Roman"/>
                <w:szCs w:val="24"/>
              </w:rPr>
            </w:pPr>
            <w:r w:rsidRPr="00317ABF">
              <w:rPr>
                <w:rFonts w:ascii="Times New Roman" w:hAnsi="Times New Roman" w:cs="Times New Roman"/>
                <w:b/>
                <w:szCs w:val="24"/>
              </w:rPr>
              <w:t>Art. 379</w:t>
            </w:r>
            <w:r w:rsidRPr="00317ABF">
              <w:rPr>
                <w:rFonts w:ascii="Times New Roman" w:hAnsi="Times New Roman" w:cs="Times New Roman"/>
                <w:szCs w:val="24"/>
              </w:rPr>
              <w:t>. 1. Postępowanie w sprawie pozasądowego rozwiązywania sporów konsumenckich prowadzi się na wniosek konsumenta albo z urzędu, jeżeli wymaga tego ochrona interesu konsumenta.</w:t>
            </w:r>
          </w:p>
          <w:p w14:paraId="17550B8A" w14:textId="77777777" w:rsidR="00CF2755" w:rsidRPr="00317ABF" w:rsidRDefault="00CF2755" w:rsidP="00CF2755">
            <w:pPr>
              <w:pStyle w:val="USTustnpkodeksu"/>
              <w:spacing w:line="240" w:lineRule="auto"/>
              <w:rPr>
                <w:rFonts w:ascii="Times New Roman" w:hAnsi="Times New Roman" w:cs="Times New Roman"/>
                <w:szCs w:val="24"/>
              </w:rPr>
            </w:pPr>
            <w:r w:rsidRPr="00317ABF">
              <w:rPr>
                <w:rFonts w:ascii="Times New Roman" w:hAnsi="Times New Roman" w:cs="Times New Roman"/>
                <w:szCs w:val="24"/>
              </w:rPr>
              <w:t>2. Wniosek o wszczęcie postępowania w sprawie pozasądowego rozwiązywania sporów konsumenckich zawiera co najmniej elementy określone w art. 33 ust. 2 ustawy z dnia 23 września 2016 r. o pozasądowym rozwiązywaniu sporów konsumenckich, z tym że wnioskodawca może wnosić o przedstawienie stronom propozycji rozwiązania sporu.</w:t>
            </w:r>
          </w:p>
          <w:p w14:paraId="34A86BD9" w14:textId="77777777" w:rsidR="00CF2755" w:rsidRPr="00317ABF" w:rsidRDefault="00CF2755" w:rsidP="00CF2755">
            <w:pPr>
              <w:pStyle w:val="USTustnpkodeksu"/>
              <w:spacing w:line="240" w:lineRule="auto"/>
              <w:rPr>
                <w:rFonts w:ascii="Times New Roman" w:hAnsi="Times New Roman" w:cs="Times New Roman"/>
                <w:szCs w:val="24"/>
              </w:rPr>
            </w:pPr>
            <w:r w:rsidRPr="00317ABF">
              <w:rPr>
                <w:rFonts w:ascii="Times New Roman" w:hAnsi="Times New Roman" w:cs="Times New Roman"/>
                <w:szCs w:val="24"/>
              </w:rPr>
              <w:t>3. Do wniosku o wszczęcie postępowania w sprawie pozasądowego rozwiązywania sporów konsumenckich dołącza się uzasadnienie żądania strony oraz kopie posiadanych przez wnioskodawcę dokumentów potwierdzających informacje zawarte we wniosku.</w:t>
            </w:r>
          </w:p>
          <w:p w14:paraId="3C3E3EF2" w14:textId="77777777" w:rsidR="00CF2755" w:rsidRPr="00317ABF" w:rsidRDefault="00CF2755" w:rsidP="00CF2755">
            <w:pPr>
              <w:pStyle w:val="USTustnpkodeksu"/>
              <w:spacing w:line="240" w:lineRule="auto"/>
              <w:rPr>
                <w:rFonts w:ascii="Times New Roman" w:hAnsi="Times New Roman" w:cs="Times New Roman"/>
                <w:szCs w:val="24"/>
              </w:rPr>
            </w:pPr>
            <w:r w:rsidRPr="00317ABF">
              <w:rPr>
                <w:rFonts w:ascii="Times New Roman" w:hAnsi="Times New Roman" w:cs="Times New Roman"/>
                <w:szCs w:val="24"/>
              </w:rPr>
              <w:t>4. Prezes UKE odmawia rozpatrzenia sporu w przypadku, gdy jego przedmiot wykracza poza kategorie sporów objęte właściwością Prezesa UKE.</w:t>
            </w:r>
          </w:p>
          <w:p w14:paraId="3B019EF5" w14:textId="77777777" w:rsidR="00CF2755" w:rsidRPr="00317ABF" w:rsidRDefault="00CF2755" w:rsidP="00CF2755">
            <w:pPr>
              <w:pStyle w:val="USTustnpkodeksu"/>
              <w:keepNext/>
              <w:spacing w:line="240" w:lineRule="auto"/>
              <w:rPr>
                <w:rFonts w:ascii="Times New Roman" w:hAnsi="Times New Roman" w:cs="Times New Roman"/>
                <w:szCs w:val="24"/>
              </w:rPr>
            </w:pPr>
            <w:r w:rsidRPr="00317ABF">
              <w:rPr>
                <w:rFonts w:ascii="Times New Roman" w:hAnsi="Times New Roman" w:cs="Times New Roman"/>
                <w:szCs w:val="24"/>
              </w:rPr>
              <w:t>5. Prezes UKE może odmówić rozpatrzenia sporu w przypadku, gdy:</w:t>
            </w:r>
          </w:p>
          <w:p w14:paraId="483BFD10" w14:textId="77777777" w:rsidR="00CF2755" w:rsidRPr="00317ABF" w:rsidRDefault="00CF2755" w:rsidP="00CF2755">
            <w:pPr>
              <w:pStyle w:val="PKTpunkt0"/>
              <w:spacing w:line="240" w:lineRule="auto"/>
              <w:rPr>
                <w:rFonts w:ascii="Times New Roman" w:hAnsi="Times New Roman" w:cs="Times New Roman"/>
                <w:szCs w:val="24"/>
              </w:rPr>
            </w:pPr>
            <w:r w:rsidRPr="00317ABF">
              <w:rPr>
                <w:rFonts w:ascii="Times New Roman" w:hAnsi="Times New Roman" w:cs="Times New Roman"/>
                <w:szCs w:val="24"/>
              </w:rPr>
              <w:lastRenderedPageBreak/>
              <w:t>1)</w:t>
            </w:r>
            <w:r w:rsidRPr="00317ABF">
              <w:rPr>
                <w:rFonts w:ascii="Times New Roman" w:hAnsi="Times New Roman" w:cs="Times New Roman"/>
                <w:szCs w:val="24"/>
              </w:rPr>
              <w:tab/>
              <w:t>wnioskodawca nie podjął, przed złożeniem wniosku o wszczęcie postępowania w sprawie pozasądowego rozwiązywania sporów konsumenckich, próby kontaktu z dostawcą usług komunikacji elektronicznej i bezpośredniego rozwiązania sporu, w tym nie wyczerpał drogi postępowania reklamacyjnego;</w:t>
            </w:r>
          </w:p>
          <w:p w14:paraId="40682368" w14:textId="77777777" w:rsidR="00CF2755" w:rsidRPr="00317ABF" w:rsidRDefault="00CF2755" w:rsidP="00CF2755">
            <w:pPr>
              <w:pStyle w:val="PKTpunkt0"/>
              <w:spacing w:line="240" w:lineRule="auto"/>
              <w:rPr>
                <w:rFonts w:ascii="Times New Roman" w:hAnsi="Times New Roman" w:cs="Times New Roman"/>
                <w:szCs w:val="24"/>
              </w:rPr>
            </w:pPr>
            <w:r w:rsidRPr="00317ABF">
              <w:rPr>
                <w:rFonts w:ascii="Times New Roman" w:hAnsi="Times New Roman" w:cs="Times New Roman"/>
                <w:szCs w:val="24"/>
              </w:rPr>
              <w:t>2)</w:t>
            </w:r>
            <w:r w:rsidRPr="00317ABF">
              <w:rPr>
                <w:rFonts w:ascii="Times New Roman" w:hAnsi="Times New Roman" w:cs="Times New Roman"/>
                <w:szCs w:val="24"/>
              </w:rPr>
              <w:tab/>
              <w:t>spór jest błahy lub wniosek o wszczęcie postępowania w sprawie pozasądowego rozwiązywania sporów konsumenckich spowoduje uciążliwości dla dostawcy usług komunikacji elektronicznej;</w:t>
            </w:r>
          </w:p>
          <w:p w14:paraId="76232964" w14:textId="77777777" w:rsidR="00CF2755" w:rsidRPr="00317ABF" w:rsidRDefault="00CF2755" w:rsidP="00CF2755">
            <w:pPr>
              <w:pStyle w:val="PKTpunkt0"/>
              <w:spacing w:line="240" w:lineRule="auto"/>
              <w:rPr>
                <w:rFonts w:ascii="Times New Roman" w:hAnsi="Times New Roman" w:cs="Times New Roman"/>
                <w:szCs w:val="24"/>
              </w:rPr>
            </w:pPr>
            <w:r w:rsidRPr="00317ABF">
              <w:rPr>
                <w:rFonts w:ascii="Times New Roman" w:hAnsi="Times New Roman" w:cs="Times New Roman"/>
                <w:szCs w:val="24"/>
              </w:rPr>
              <w:t>3)</w:t>
            </w:r>
            <w:r w:rsidRPr="00317ABF">
              <w:rPr>
                <w:rFonts w:ascii="Times New Roman" w:hAnsi="Times New Roman" w:cs="Times New Roman"/>
                <w:szCs w:val="24"/>
              </w:rPr>
              <w:tab/>
              <w:t>sprawa o to samo roszczenie między tymi samymi stronami jest w toku albo została już rozpatrzona przez Prezesa UKE, inny właściwy podmiot albo sąd;</w:t>
            </w:r>
          </w:p>
          <w:p w14:paraId="3DF7CEA6" w14:textId="77777777" w:rsidR="00CF2755" w:rsidRPr="00317ABF" w:rsidRDefault="00CF2755" w:rsidP="00CF2755">
            <w:pPr>
              <w:pStyle w:val="PKTpunkt0"/>
              <w:spacing w:line="240" w:lineRule="auto"/>
              <w:rPr>
                <w:rFonts w:ascii="Times New Roman" w:hAnsi="Times New Roman" w:cs="Times New Roman"/>
                <w:szCs w:val="24"/>
              </w:rPr>
            </w:pPr>
            <w:r w:rsidRPr="00317ABF">
              <w:rPr>
                <w:rFonts w:ascii="Times New Roman" w:hAnsi="Times New Roman" w:cs="Times New Roman"/>
                <w:szCs w:val="24"/>
              </w:rPr>
              <w:t>4)</w:t>
            </w:r>
            <w:r w:rsidRPr="00317ABF">
              <w:rPr>
                <w:rFonts w:ascii="Times New Roman" w:hAnsi="Times New Roman" w:cs="Times New Roman"/>
                <w:szCs w:val="24"/>
              </w:rPr>
              <w:tab/>
              <w:t>wartość przedmiotu sporu jest niższa niż 20 złotych;</w:t>
            </w:r>
          </w:p>
          <w:p w14:paraId="66BF90BE" w14:textId="77777777" w:rsidR="00CF2755" w:rsidRPr="00317ABF" w:rsidRDefault="00CF2755" w:rsidP="00CF2755">
            <w:pPr>
              <w:pStyle w:val="PKTpunkt0"/>
              <w:spacing w:line="240" w:lineRule="auto"/>
              <w:rPr>
                <w:rFonts w:ascii="Times New Roman" w:hAnsi="Times New Roman" w:cs="Times New Roman"/>
                <w:szCs w:val="24"/>
              </w:rPr>
            </w:pPr>
            <w:r w:rsidRPr="00317ABF">
              <w:rPr>
                <w:rFonts w:ascii="Times New Roman" w:hAnsi="Times New Roman" w:cs="Times New Roman"/>
                <w:szCs w:val="24"/>
              </w:rPr>
              <w:t>5)</w:t>
            </w:r>
            <w:r w:rsidRPr="00317ABF">
              <w:rPr>
                <w:rFonts w:ascii="Times New Roman" w:hAnsi="Times New Roman" w:cs="Times New Roman"/>
                <w:szCs w:val="24"/>
              </w:rPr>
              <w:tab/>
              <w:t>wnioskodawca złożył wniosek o wszczęcie postępowania w sprawie pozasądowego rozwiązywania sporów konsumenckich po upływie roku od dnia, w którym podjął próbę kontaktu z dostawcą usług komunikacji elektronicznej i bezpośredniego rozwiązania sporu;</w:t>
            </w:r>
          </w:p>
          <w:p w14:paraId="5E20AC14" w14:textId="77777777" w:rsidR="00CF2755" w:rsidRPr="00317ABF" w:rsidRDefault="00CF2755" w:rsidP="00CF2755">
            <w:pPr>
              <w:pStyle w:val="PKTpunkt0"/>
              <w:spacing w:line="240" w:lineRule="auto"/>
              <w:rPr>
                <w:rFonts w:ascii="Times New Roman" w:hAnsi="Times New Roman" w:cs="Times New Roman"/>
                <w:szCs w:val="24"/>
              </w:rPr>
            </w:pPr>
            <w:r w:rsidRPr="00317ABF">
              <w:rPr>
                <w:rFonts w:ascii="Times New Roman" w:hAnsi="Times New Roman" w:cs="Times New Roman"/>
                <w:szCs w:val="24"/>
              </w:rPr>
              <w:t>6)</w:t>
            </w:r>
            <w:r w:rsidRPr="00317ABF">
              <w:rPr>
                <w:rFonts w:ascii="Times New Roman" w:hAnsi="Times New Roman" w:cs="Times New Roman"/>
                <w:szCs w:val="24"/>
              </w:rPr>
              <w:tab/>
              <w:t>rozpatrzenie sporu spowodowałoby poważne zakłócenie działania Prezesa UKE.</w:t>
            </w:r>
          </w:p>
          <w:p w14:paraId="26765A0D" w14:textId="77777777" w:rsidR="00CF2755" w:rsidRPr="00317ABF" w:rsidRDefault="00CF2755" w:rsidP="00CF2755">
            <w:pPr>
              <w:pStyle w:val="USTustnpkodeksu"/>
              <w:spacing w:line="240" w:lineRule="auto"/>
              <w:rPr>
                <w:rFonts w:ascii="Times New Roman" w:eastAsia="Times" w:hAnsi="Times New Roman" w:cs="Times New Roman"/>
                <w:color w:val="333333"/>
                <w:szCs w:val="24"/>
              </w:rPr>
            </w:pPr>
            <w:r w:rsidRPr="00317ABF">
              <w:rPr>
                <w:rFonts w:ascii="Times New Roman" w:hAnsi="Times New Roman" w:cs="Times New Roman"/>
                <w:szCs w:val="24"/>
              </w:rPr>
              <w:t>6. W toku postępowania w sprawie pozasądowego rozwiązywania sporów konsumenckich, Prezes UKE zapoznaje dostawcę usług komunikacji elektronicznej z roszczeniem konsumenta, przedstawia stronom sporu przepisy prawa mające zastosowanie w sprawie oraz propozycję rozwiązania sporu, wyznaczając stronom postępowania 14-dniowy termin na wyrażenie zgody na przedstawioną propozycję lub na zastosowanie się do niej.</w:t>
            </w:r>
          </w:p>
          <w:p w14:paraId="256975F2" w14:textId="77777777" w:rsidR="00CF2755" w:rsidRPr="00317ABF" w:rsidRDefault="00CF2755" w:rsidP="00CF2755">
            <w:pPr>
              <w:pStyle w:val="USTustnpkodeksu"/>
              <w:keepNext/>
              <w:spacing w:line="240" w:lineRule="auto"/>
              <w:rPr>
                <w:rFonts w:ascii="Times New Roman" w:hAnsi="Times New Roman" w:cs="Times New Roman"/>
                <w:szCs w:val="24"/>
              </w:rPr>
            </w:pPr>
            <w:r w:rsidRPr="00317ABF">
              <w:rPr>
                <w:rFonts w:ascii="Times New Roman" w:hAnsi="Times New Roman" w:cs="Times New Roman"/>
                <w:szCs w:val="24"/>
              </w:rPr>
              <w:t>7. Minister właściwy do spraw informatyzacji określi, w drodze rozporządzenia:</w:t>
            </w:r>
          </w:p>
          <w:p w14:paraId="59DE9ADB" w14:textId="77777777" w:rsidR="00CF2755" w:rsidRPr="00317ABF" w:rsidRDefault="00CF2755" w:rsidP="00CF2755">
            <w:pPr>
              <w:pStyle w:val="PKTpunkt0"/>
              <w:spacing w:line="240" w:lineRule="auto"/>
              <w:rPr>
                <w:rFonts w:ascii="Times New Roman" w:hAnsi="Times New Roman" w:cs="Times New Roman"/>
                <w:szCs w:val="24"/>
              </w:rPr>
            </w:pPr>
            <w:r w:rsidRPr="00317ABF">
              <w:rPr>
                <w:rFonts w:ascii="Times New Roman" w:hAnsi="Times New Roman" w:cs="Times New Roman"/>
                <w:szCs w:val="24"/>
              </w:rPr>
              <w:t>1)</w:t>
            </w:r>
            <w:r w:rsidRPr="00317ABF">
              <w:rPr>
                <w:rFonts w:ascii="Times New Roman" w:hAnsi="Times New Roman" w:cs="Times New Roman"/>
                <w:szCs w:val="24"/>
              </w:rPr>
              <w:tab/>
              <w:t>tryb prowadzenia postępowania w sprawie pozasądowego rozwiązywania sporów konsumenckich,</w:t>
            </w:r>
          </w:p>
          <w:p w14:paraId="4BE7AA82" w14:textId="77777777" w:rsidR="00CF2755" w:rsidRPr="00317ABF" w:rsidRDefault="00CF2755" w:rsidP="00CF2755">
            <w:pPr>
              <w:pStyle w:val="PKTpunkt0"/>
              <w:spacing w:line="240" w:lineRule="auto"/>
              <w:rPr>
                <w:rFonts w:ascii="Times New Roman" w:hAnsi="Times New Roman" w:cs="Times New Roman"/>
                <w:szCs w:val="24"/>
              </w:rPr>
            </w:pPr>
            <w:r w:rsidRPr="00317ABF">
              <w:rPr>
                <w:rFonts w:ascii="Times New Roman" w:hAnsi="Times New Roman" w:cs="Times New Roman"/>
                <w:szCs w:val="24"/>
              </w:rPr>
              <w:t>2)</w:t>
            </w:r>
            <w:r w:rsidRPr="00317ABF">
              <w:rPr>
                <w:rFonts w:ascii="Times New Roman" w:hAnsi="Times New Roman" w:cs="Times New Roman"/>
                <w:szCs w:val="24"/>
              </w:rPr>
              <w:tab/>
              <w:t>sposób wnoszenia wniosków o wszczęcie postępowania w sprawie pozasądowego rozwiązywania sporów konsumenckich,</w:t>
            </w:r>
          </w:p>
          <w:p w14:paraId="11852D19" w14:textId="77777777" w:rsidR="00CF2755" w:rsidRPr="00317ABF" w:rsidRDefault="00CF2755" w:rsidP="00CF2755">
            <w:pPr>
              <w:pStyle w:val="PKTpunkt0"/>
              <w:spacing w:line="240" w:lineRule="auto"/>
              <w:rPr>
                <w:rFonts w:ascii="Times New Roman" w:hAnsi="Times New Roman" w:cs="Times New Roman"/>
                <w:szCs w:val="24"/>
              </w:rPr>
            </w:pPr>
            <w:r w:rsidRPr="00317ABF">
              <w:rPr>
                <w:rFonts w:ascii="Times New Roman" w:hAnsi="Times New Roman" w:cs="Times New Roman"/>
                <w:szCs w:val="24"/>
              </w:rPr>
              <w:t>3)</w:t>
            </w:r>
            <w:r w:rsidRPr="00317ABF">
              <w:rPr>
                <w:rFonts w:ascii="Times New Roman" w:hAnsi="Times New Roman" w:cs="Times New Roman"/>
                <w:szCs w:val="24"/>
              </w:rPr>
              <w:tab/>
              <w:t xml:space="preserve">sposób wymiany informacji między stronami postępowania w sprawie pozasądowego rozwiązywania sporów konsumenckich </w:t>
            </w:r>
            <w:r w:rsidRPr="00317ABF">
              <w:rPr>
                <w:rFonts w:ascii="Times New Roman" w:hAnsi="Times New Roman" w:cs="Times New Roman"/>
                <w:szCs w:val="24"/>
              </w:rPr>
              <w:lastRenderedPageBreak/>
              <w:t>za pomocą środków komunikacji elektronicznej lub przesyłką pocztową</w:t>
            </w:r>
          </w:p>
          <w:p w14:paraId="3D1FD2D4" w14:textId="77777777" w:rsidR="00CF2755" w:rsidRPr="00317ABF" w:rsidRDefault="00CF2755" w:rsidP="00CF2755">
            <w:pPr>
              <w:pStyle w:val="CZWSPPKTczwsplnapunktw"/>
              <w:spacing w:line="240" w:lineRule="auto"/>
              <w:rPr>
                <w:rFonts w:ascii="Times New Roman" w:hAnsi="Times New Roman" w:cs="Times New Roman"/>
                <w:szCs w:val="24"/>
              </w:rPr>
            </w:pPr>
            <w:r w:rsidRPr="00317ABF">
              <w:rPr>
                <w:rFonts w:ascii="Times New Roman" w:hAnsi="Times New Roman" w:cs="Times New Roman"/>
                <w:szCs w:val="24"/>
              </w:rPr>
              <w:t>- mając na uwadze konieczność zapewnienia łatwego dostępu do postępowania w sprawie pozasądowego rozwiązywania sporów konsumenckich, sprawnego ich rozwiązywania oraz bezstronnego i niezależnego prowadzenia tego postępowania.</w:t>
            </w:r>
          </w:p>
          <w:p w14:paraId="08E7D215" w14:textId="77777777" w:rsidR="00CF2755" w:rsidRPr="00317ABF" w:rsidRDefault="00CF2755" w:rsidP="00CF2755">
            <w:pPr>
              <w:pStyle w:val="ARTartustawynprozporzdzenia"/>
              <w:spacing w:before="0" w:line="240" w:lineRule="auto"/>
              <w:rPr>
                <w:rFonts w:ascii="Times New Roman" w:hAnsi="Times New Roman" w:cs="Times New Roman"/>
                <w:szCs w:val="24"/>
              </w:rPr>
            </w:pPr>
            <w:r w:rsidRPr="00317ABF">
              <w:rPr>
                <w:rFonts w:ascii="Times New Roman" w:hAnsi="Times New Roman" w:cs="Times New Roman"/>
                <w:b/>
                <w:szCs w:val="24"/>
              </w:rPr>
              <w:t xml:space="preserve">Art. 380. </w:t>
            </w:r>
            <w:r w:rsidRPr="00317ABF">
              <w:rPr>
                <w:rFonts w:ascii="Times New Roman" w:hAnsi="Times New Roman" w:cs="Times New Roman"/>
                <w:szCs w:val="24"/>
              </w:rPr>
              <w:t>1.</w:t>
            </w:r>
            <w:r w:rsidRPr="00317ABF">
              <w:rPr>
                <w:rFonts w:ascii="Times New Roman" w:hAnsi="Times New Roman" w:cs="Times New Roman"/>
                <w:b/>
                <w:szCs w:val="24"/>
              </w:rPr>
              <w:t xml:space="preserve"> </w:t>
            </w:r>
            <w:r w:rsidRPr="00317ABF">
              <w:rPr>
                <w:rFonts w:ascii="Times New Roman" w:hAnsi="Times New Roman" w:cs="Times New Roman"/>
                <w:szCs w:val="24"/>
              </w:rPr>
              <w:t xml:space="preserve"> Prezes UKE pisemnie upoważnia pracownika Urzędu Komunikacji Elektronicznej do prowadzenia postępowań w sprawie pozasądowego rozwiązywania sporów konsumenckich na czas określony nie krótszy niż 3 lata. Upoważniony pracownik Urzędu Komunikacji Elektronicznej jest osobą prowadzącą postępowanie w rozumieniu ustawy z dnia 23 września 2016 r. o pozasądowym rozwiązywaniu sporów konsumenckich. </w:t>
            </w:r>
          </w:p>
          <w:p w14:paraId="4073128C" w14:textId="77777777" w:rsidR="00CF2755" w:rsidRPr="00317ABF" w:rsidRDefault="00CF2755" w:rsidP="00CF2755">
            <w:pPr>
              <w:pStyle w:val="USTustnpkodeksu"/>
              <w:spacing w:line="240" w:lineRule="auto"/>
              <w:ind w:firstLine="170"/>
              <w:rPr>
                <w:rFonts w:ascii="Times New Roman" w:hAnsi="Times New Roman" w:cs="Times New Roman"/>
                <w:szCs w:val="24"/>
              </w:rPr>
            </w:pPr>
            <w:r w:rsidRPr="00317ABF">
              <w:rPr>
                <w:rFonts w:ascii="Times New Roman" w:hAnsi="Times New Roman" w:cs="Times New Roman"/>
                <w:szCs w:val="24"/>
              </w:rPr>
              <w:t>2. Prezes UKE upoważnia do prowadzenia postępowań</w:t>
            </w:r>
            <w:r w:rsidRPr="00317ABF">
              <w:rPr>
                <w:rFonts w:ascii="Times New Roman" w:hAnsi="Times New Roman" w:cs="Times New Roman"/>
                <w:bCs w:val="0"/>
                <w:szCs w:val="24"/>
              </w:rPr>
              <w:t xml:space="preserve"> </w:t>
            </w:r>
            <w:r w:rsidRPr="00317ABF">
              <w:rPr>
                <w:rFonts w:ascii="Times New Roman" w:hAnsi="Times New Roman" w:cs="Times New Roman"/>
                <w:szCs w:val="24"/>
              </w:rPr>
              <w:t>w sprawie pozasądowego rozwiązywania sporów konsumenckich pracownika Urzędu Komunikacji Elektronicznej, który posiada:</w:t>
            </w:r>
          </w:p>
          <w:p w14:paraId="199B5110" w14:textId="77777777" w:rsidR="00CF2755" w:rsidRPr="00317ABF" w:rsidRDefault="00CF2755" w:rsidP="00CF2755">
            <w:pPr>
              <w:pStyle w:val="USTustnpkodeksu"/>
              <w:spacing w:line="240" w:lineRule="auto"/>
              <w:rPr>
                <w:rFonts w:ascii="Times New Roman" w:hAnsi="Times New Roman" w:cs="Times New Roman"/>
                <w:szCs w:val="24"/>
              </w:rPr>
            </w:pPr>
            <w:r w:rsidRPr="00317ABF">
              <w:rPr>
                <w:rFonts w:ascii="Times New Roman" w:hAnsi="Times New Roman" w:cs="Times New Roman"/>
                <w:szCs w:val="24"/>
              </w:rPr>
              <w:t>1)  wykształcenie wyższe;</w:t>
            </w:r>
          </w:p>
          <w:p w14:paraId="7681A23C" w14:textId="77777777" w:rsidR="00CF2755" w:rsidRPr="00317ABF" w:rsidRDefault="00CF2755" w:rsidP="00CF2755">
            <w:pPr>
              <w:pStyle w:val="USTustnpkodeksu"/>
              <w:spacing w:line="240" w:lineRule="auto"/>
              <w:rPr>
                <w:rFonts w:ascii="Times New Roman" w:hAnsi="Times New Roman" w:cs="Times New Roman"/>
                <w:szCs w:val="24"/>
              </w:rPr>
            </w:pPr>
            <w:r w:rsidRPr="00317ABF">
              <w:rPr>
                <w:rFonts w:ascii="Times New Roman" w:hAnsi="Times New Roman" w:cs="Times New Roman"/>
                <w:szCs w:val="24"/>
              </w:rPr>
              <w:t>2)  wiedzę z zakresu wykonywania działalności komunikacji elektronicznej i ochrony praw konsumenta;</w:t>
            </w:r>
          </w:p>
          <w:p w14:paraId="6639C650" w14:textId="77777777" w:rsidR="00CF2755" w:rsidRPr="00317ABF" w:rsidRDefault="00CF2755" w:rsidP="00CF2755">
            <w:pPr>
              <w:pStyle w:val="USTustnpkodeksu"/>
              <w:spacing w:line="240" w:lineRule="auto"/>
              <w:rPr>
                <w:rFonts w:ascii="Times New Roman" w:hAnsi="Times New Roman" w:cs="Times New Roman"/>
                <w:szCs w:val="24"/>
              </w:rPr>
            </w:pPr>
            <w:r w:rsidRPr="00317ABF">
              <w:rPr>
                <w:rFonts w:ascii="Times New Roman" w:hAnsi="Times New Roman" w:cs="Times New Roman"/>
                <w:szCs w:val="24"/>
              </w:rPr>
              <w:t>3)  co najmniej roczne doświadczenie zawodowe związane z rynkiem komunikacji elektronicznej.</w:t>
            </w:r>
          </w:p>
          <w:p w14:paraId="5179E844" w14:textId="77777777" w:rsidR="00CF2755" w:rsidRPr="00317ABF" w:rsidRDefault="00CF2755" w:rsidP="00CF2755">
            <w:pPr>
              <w:pStyle w:val="USTustnpkodeksu"/>
              <w:keepNext/>
              <w:spacing w:line="240" w:lineRule="auto"/>
              <w:rPr>
                <w:rFonts w:ascii="Times New Roman" w:hAnsi="Times New Roman" w:cs="Times New Roman"/>
                <w:szCs w:val="24"/>
              </w:rPr>
            </w:pPr>
            <w:r w:rsidRPr="00317ABF">
              <w:rPr>
                <w:rFonts w:ascii="Times New Roman" w:hAnsi="Times New Roman" w:cs="Times New Roman"/>
                <w:szCs w:val="24"/>
              </w:rPr>
              <w:t>3. Prezes UKE cofa pracownikowi Urzędu Komunikacji Elektronicznej upoważnienie przed upływem okresu, na jaki zostało udzielone, w przypadku:</w:t>
            </w:r>
          </w:p>
          <w:p w14:paraId="4CD0668C" w14:textId="77777777" w:rsidR="00CF2755" w:rsidRPr="00317ABF" w:rsidRDefault="00CF2755" w:rsidP="00CF2755">
            <w:pPr>
              <w:pStyle w:val="PKTpunkt0"/>
              <w:spacing w:line="240" w:lineRule="auto"/>
              <w:rPr>
                <w:rFonts w:ascii="Times New Roman" w:hAnsi="Times New Roman" w:cs="Times New Roman"/>
                <w:szCs w:val="24"/>
              </w:rPr>
            </w:pPr>
            <w:r w:rsidRPr="00317ABF">
              <w:rPr>
                <w:rFonts w:ascii="Times New Roman" w:hAnsi="Times New Roman" w:cs="Times New Roman"/>
                <w:szCs w:val="24"/>
              </w:rPr>
              <w:t>1)</w:t>
            </w:r>
            <w:r w:rsidRPr="00317ABF">
              <w:rPr>
                <w:rFonts w:ascii="Times New Roman" w:hAnsi="Times New Roman" w:cs="Times New Roman"/>
                <w:szCs w:val="24"/>
              </w:rPr>
              <w:tab/>
              <w:t xml:space="preserve">rażącego naruszenia prawa przy wykonywaniu funkcji osoby prowadzącej postępowanie w rozumieniu ustawy </w:t>
            </w:r>
            <w:r w:rsidRPr="00317ABF">
              <w:rPr>
                <w:rFonts w:ascii="Times New Roman" w:eastAsia="Times" w:hAnsi="Times New Roman" w:cs="Times New Roman"/>
                <w:bCs w:val="0"/>
                <w:color w:val="000000" w:themeColor="text1"/>
                <w:szCs w:val="24"/>
              </w:rPr>
              <w:t>z dnia 23 września 2016 r.</w:t>
            </w:r>
            <w:r w:rsidRPr="00317ABF">
              <w:rPr>
                <w:rFonts w:ascii="Times New Roman" w:hAnsi="Times New Roman" w:cs="Times New Roman"/>
                <w:szCs w:val="24"/>
              </w:rPr>
              <w:t xml:space="preserve"> o pozasądowym rozwiązywaniu sporów konsumenckich;</w:t>
            </w:r>
          </w:p>
          <w:p w14:paraId="71FAEDA3" w14:textId="77777777" w:rsidR="00CF2755" w:rsidRPr="00317ABF" w:rsidRDefault="00CF2755" w:rsidP="00CF2755">
            <w:pPr>
              <w:pStyle w:val="PKTpunkt0"/>
              <w:spacing w:line="240" w:lineRule="auto"/>
              <w:rPr>
                <w:rFonts w:ascii="Times New Roman" w:hAnsi="Times New Roman" w:cs="Times New Roman"/>
                <w:szCs w:val="24"/>
              </w:rPr>
            </w:pPr>
            <w:r w:rsidRPr="00317ABF">
              <w:rPr>
                <w:rFonts w:ascii="Times New Roman" w:hAnsi="Times New Roman" w:cs="Times New Roman"/>
                <w:szCs w:val="24"/>
              </w:rPr>
              <w:t>2)</w:t>
            </w:r>
            <w:r w:rsidRPr="00317ABF">
              <w:rPr>
                <w:rFonts w:ascii="Times New Roman" w:hAnsi="Times New Roman" w:cs="Times New Roman"/>
                <w:szCs w:val="24"/>
              </w:rPr>
              <w:tab/>
              <w:t>skazania prawomocnym wyrokiem za popełnione umyślnie przestępstwo lub przestępstwo skarbowe;</w:t>
            </w:r>
          </w:p>
          <w:p w14:paraId="427B6BD1" w14:textId="77777777" w:rsidR="00CF2755" w:rsidRPr="00317ABF" w:rsidRDefault="00CF2755" w:rsidP="00CF2755">
            <w:pPr>
              <w:pStyle w:val="PKTpunkt0"/>
              <w:spacing w:line="240" w:lineRule="auto"/>
              <w:rPr>
                <w:rFonts w:ascii="Times New Roman" w:hAnsi="Times New Roman" w:cs="Times New Roman"/>
                <w:szCs w:val="24"/>
              </w:rPr>
            </w:pPr>
            <w:r w:rsidRPr="00317ABF">
              <w:rPr>
                <w:rFonts w:ascii="Times New Roman" w:hAnsi="Times New Roman" w:cs="Times New Roman"/>
                <w:szCs w:val="24"/>
              </w:rPr>
              <w:t>3)</w:t>
            </w:r>
            <w:r w:rsidRPr="00317ABF">
              <w:rPr>
                <w:rFonts w:ascii="Times New Roman" w:hAnsi="Times New Roman" w:cs="Times New Roman"/>
                <w:szCs w:val="24"/>
              </w:rPr>
              <w:tab/>
              <w:t>choroby trwale uniemożliwiającej wykonywanie zadań;</w:t>
            </w:r>
          </w:p>
          <w:p w14:paraId="13E41675" w14:textId="77777777" w:rsidR="00CF2755" w:rsidRPr="00317ABF" w:rsidRDefault="00CF2755" w:rsidP="00CF2755">
            <w:pPr>
              <w:pStyle w:val="PKTpunkt0"/>
              <w:spacing w:line="240" w:lineRule="auto"/>
              <w:rPr>
                <w:rFonts w:ascii="Times New Roman" w:hAnsi="Times New Roman" w:cs="Times New Roman"/>
                <w:szCs w:val="24"/>
              </w:rPr>
            </w:pPr>
            <w:r w:rsidRPr="00317ABF">
              <w:rPr>
                <w:rFonts w:ascii="Times New Roman" w:hAnsi="Times New Roman" w:cs="Times New Roman"/>
                <w:szCs w:val="24"/>
              </w:rPr>
              <w:t>4)</w:t>
            </w:r>
            <w:r w:rsidRPr="00317ABF">
              <w:rPr>
                <w:rFonts w:ascii="Times New Roman" w:hAnsi="Times New Roman" w:cs="Times New Roman"/>
                <w:szCs w:val="24"/>
              </w:rPr>
              <w:tab/>
              <w:t>złożenia rezygnacji.</w:t>
            </w:r>
          </w:p>
          <w:p w14:paraId="1946BE5E" w14:textId="574452DE" w:rsidR="001E1112" w:rsidRPr="00317ABF" w:rsidRDefault="001E1112" w:rsidP="00DB3BEC">
            <w:pPr>
              <w:jc w:val="both"/>
              <w:rPr>
                <w:sz w:val="22"/>
                <w:szCs w:val="22"/>
              </w:rPr>
            </w:pPr>
          </w:p>
        </w:tc>
      </w:tr>
      <w:tr w:rsidR="001E1112" w:rsidRPr="00317ABF" w14:paraId="0EF28E6C" w14:textId="77777777" w:rsidTr="7753F98D">
        <w:trPr>
          <w:gridAfter w:val="2"/>
          <w:wAfter w:w="175" w:type="dxa"/>
        </w:trPr>
        <w:tc>
          <w:tcPr>
            <w:tcW w:w="704" w:type="dxa"/>
          </w:tcPr>
          <w:p w14:paraId="2B0E860C" w14:textId="77777777" w:rsidR="001E1112" w:rsidRPr="00317ABF" w:rsidRDefault="001E1112" w:rsidP="00DB3BEC">
            <w:pPr>
              <w:jc w:val="both"/>
              <w:rPr>
                <w:sz w:val="22"/>
                <w:szCs w:val="22"/>
              </w:rPr>
            </w:pPr>
            <w:r w:rsidRPr="00317ABF">
              <w:rPr>
                <w:sz w:val="22"/>
                <w:szCs w:val="22"/>
              </w:rPr>
              <w:lastRenderedPageBreak/>
              <w:t>Art. 25 ust. 2</w:t>
            </w:r>
          </w:p>
        </w:tc>
        <w:tc>
          <w:tcPr>
            <w:tcW w:w="4308" w:type="dxa"/>
          </w:tcPr>
          <w:p w14:paraId="02B706FC" w14:textId="77777777" w:rsidR="001E1112" w:rsidRPr="00317ABF" w:rsidRDefault="001E1112" w:rsidP="00DB3BEC">
            <w:pPr>
              <w:tabs>
                <w:tab w:val="left" w:pos="1420"/>
              </w:tabs>
              <w:spacing w:before="120"/>
              <w:jc w:val="both"/>
              <w:rPr>
                <w:sz w:val="22"/>
                <w:szCs w:val="22"/>
              </w:rPr>
            </w:pPr>
            <w:r w:rsidRPr="00317ABF">
              <w:rPr>
                <w:sz w:val="22"/>
                <w:szCs w:val="22"/>
              </w:rPr>
              <w:t xml:space="preserve">2.   Bez uszczerbku dla dyrektywy 2013/11/UE, w przypadku gdy taki spór dotyczy stron </w:t>
            </w:r>
            <w:r w:rsidRPr="00317ABF">
              <w:rPr>
                <w:sz w:val="22"/>
                <w:szCs w:val="22"/>
              </w:rPr>
              <w:lastRenderedPageBreak/>
              <w:t>z różnych państw członkowskich, państwa członkowskie współdziałają ze sobą przy rozwiązywaniu sporów.</w:t>
            </w:r>
          </w:p>
        </w:tc>
        <w:tc>
          <w:tcPr>
            <w:tcW w:w="986" w:type="dxa"/>
          </w:tcPr>
          <w:p w14:paraId="51C34A15" w14:textId="76A4F663" w:rsidR="001E1112" w:rsidRPr="00317ABF" w:rsidRDefault="001E1112" w:rsidP="00DB3BEC">
            <w:pPr>
              <w:jc w:val="both"/>
              <w:rPr>
                <w:sz w:val="22"/>
                <w:szCs w:val="22"/>
              </w:rPr>
            </w:pPr>
            <w:r w:rsidRPr="00317ABF">
              <w:rPr>
                <w:sz w:val="22"/>
                <w:szCs w:val="22"/>
              </w:rPr>
              <w:lastRenderedPageBreak/>
              <w:t>N</w:t>
            </w:r>
          </w:p>
        </w:tc>
        <w:tc>
          <w:tcPr>
            <w:tcW w:w="910" w:type="dxa"/>
          </w:tcPr>
          <w:p w14:paraId="7E051CA8" w14:textId="77777777" w:rsidR="001E1112" w:rsidRPr="00317ABF" w:rsidRDefault="001E1112" w:rsidP="00DB3BEC">
            <w:pPr>
              <w:pStyle w:val="Tekstpodstawowy"/>
              <w:rPr>
                <w:b/>
                <w:noProof/>
                <w:sz w:val="22"/>
                <w:szCs w:val="22"/>
              </w:rPr>
            </w:pPr>
          </w:p>
        </w:tc>
        <w:tc>
          <w:tcPr>
            <w:tcW w:w="6814" w:type="dxa"/>
            <w:gridSpan w:val="2"/>
          </w:tcPr>
          <w:p w14:paraId="126953D2" w14:textId="77777777" w:rsidR="001E1112" w:rsidRPr="00317ABF" w:rsidRDefault="001E1112" w:rsidP="00DB3BEC">
            <w:pPr>
              <w:pStyle w:val="Tekstpodstawowy"/>
              <w:rPr>
                <w:sz w:val="22"/>
                <w:szCs w:val="22"/>
              </w:rPr>
            </w:pPr>
          </w:p>
        </w:tc>
      </w:tr>
      <w:tr w:rsidR="001E1112" w:rsidRPr="00317ABF" w14:paraId="4CE9D86D" w14:textId="77777777" w:rsidTr="7753F98D">
        <w:trPr>
          <w:gridAfter w:val="2"/>
          <w:wAfter w:w="175" w:type="dxa"/>
        </w:trPr>
        <w:tc>
          <w:tcPr>
            <w:tcW w:w="704" w:type="dxa"/>
          </w:tcPr>
          <w:p w14:paraId="45CD6D95" w14:textId="77777777" w:rsidR="001E1112" w:rsidRPr="00317ABF" w:rsidRDefault="001E1112" w:rsidP="00DB3BEC">
            <w:pPr>
              <w:jc w:val="both"/>
              <w:rPr>
                <w:b/>
                <w:sz w:val="22"/>
                <w:szCs w:val="22"/>
              </w:rPr>
            </w:pPr>
            <w:r w:rsidRPr="00317ABF">
              <w:rPr>
                <w:b/>
                <w:sz w:val="22"/>
                <w:szCs w:val="22"/>
              </w:rPr>
              <w:lastRenderedPageBreak/>
              <w:t>Art. 26</w:t>
            </w:r>
          </w:p>
        </w:tc>
        <w:tc>
          <w:tcPr>
            <w:tcW w:w="4308" w:type="dxa"/>
          </w:tcPr>
          <w:p w14:paraId="27163E77" w14:textId="77777777" w:rsidR="001E1112" w:rsidRPr="00317ABF" w:rsidRDefault="001E1112" w:rsidP="00DB3BEC">
            <w:pPr>
              <w:spacing w:before="120"/>
              <w:jc w:val="both"/>
              <w:rPr>
                <w:sz w:val="22"/>
                <w:szCs w:val="22"/>
              </w:rPr>
            </w:pPr>
            <w:r w:rsidRPr="00317ABF">
              <w:rPr>
                <w:b/>
                <w:bCs/>
                <w:sz w:val="22"/>
                <w:szCs w:val="22"/>
              </w:rPr>
              <w:t>Rozstrzyganie sporów między przedsiębiorstwami</w:t>
            </w:r>
          </w:p>
        </w:tc>
        <w:tc>
          <w:tcPr>
            <w:tcW w:w="986" w:type="dxa"/>
          </w:tcPr>
          <w:p w14:paraId="1E5BF58C" w14:textId="77777777" w:rsidR="001E1112" w:rsidRPr="00317ABF" w:rsidRDefault="001E1112" w:rsidP="00DB3BEC">
            <w:pPr>
              <w:jc w:val="both"/>
              <w:rPr>
                <w:sz w:val="22"/>
                <w:szCs w:val="22"/>
              </w:rPr>
            </w:pPr>
          </w:p>
        </w:tc>
        <w:tc>
          <w:tcPr>
            <w:tcW w:w="910" w:type="dxa"/>
          </w:tcPr>
          <w:p w14:paraId="053A08E0" w14:textId="77777777" w:rsidR="001E1112" w:rsidRPr="00317ABF" w:rsidRDefault="001E1112" w:rsidP="00DB3BEC">
            <w:pPr>
              <w:pStyle w:val="Tekstpodstawowy"/>
              <w:rPr>
                <w:b/>
                <w:noProof/>
                <w:sz w:val="22"/>
                <w:szCs w:val="22"/>
              </w:rPr>
            </w:pPr>
          </w:p>
        </w:tc>
        <w:tc>
          <w:tcPr>
            <w:tcW w:w="6814" w:type="dxa"/>
            <w:gridSpan w:val="2"/>
          </w:tcPr>
          <w:p w14:paraId="1674D195" w14:textId="77777777" w:rsidR="001E1112" w:rsidRPr="00317ABF" w:rsidRDefault="001E1112" w:rsidP="00DB3BEC">
            <w:pPr>
              <w:pStyle w:val="Tekstpodstawowy"/>
              <w:rPr>
                <w:sz w:val="22"/>
                <w:szCs w:val="22"/>
              </w:rPr>
            </w:pPr>
          </w:p>
        </w:tc>
      </w:tr>
      <w:tr w:rsidR="001E1112" w:rsidRPr="00317ABF" w14:paraId="6419D5AE" w14:textId="77777777" w:rsidTr="7753F98D">
        <w:trPr>
          <w:gridAfter w:val="2"/>
          <w:wAfter w:w="175" w:type="dxa"/>
        </w:trPr>
        <w:tc>
          <w:tcPr>
            <w:tcW w:w="704" w:type="dxa"/>
          </w:tcPr>
          <w:p w14:paraId="7C4EFD1B" w14:textId="77777777" w:rsidR="001E1112" w:rsidRPr="00317ABF" w:rsidRDefault="001E1112" w:rsidP="00DB3BEC">
            <w:pPr>
              <w:jc w:val="both"/>
              <w:rPr>
                <w:sz w:val="22"/>
                <w:szCs w:val="22"/>
              </w:rPr>
            </w:pPr>
            <w:r w:rsidRPr="00317ABF">
              <w:rPr>
                <w:sz w:val="22"/>
                <w:szCs w:val="22"/>
              </w:rPr>
              <w:t>Art. 26 ust. 1</w:t>
            </w:r>
          </w:p>
        </w:tc>
        <w:tc>
          <w:tcPr>
            <w:tcW w:w="4308" w:type="dxa"/>
          </w:tcPr>
          <w:p w14:paraId="58CB0B62" w14:textId="77777777" w:rsidR="001E1112" w:rsidRPr="00317ABF" w:rsidRDefault="001E1112" w:rsidP="00DB3BEC">
            <w:pPr>
              <w:spacing w:before="120"/>
              <w:jc w:val="both"/>
              <w:rPr>
                <w:sz w:val="22"/>
                <w:szCs w:val="22"/>
              </w:rPr>
            </w:pPr>
            <w:r w:rsidRPr="00317ABF">
              <w:rPr>
                <w:sz w:val="22"/>
                <w:szCs w:val="22"/>
              </w:rPr>
              <w:t>1.   Jeżeli w związku z obowiązkami wynikającymi z niniejszej dyrektywy dojdzie do sporu między dostawcami sieci i usług łączności elektronicznej w państwie członkowskim lub do sporu między takimi przedsiębiorstwami a innymi przedsiębiorstwami w państwie członkowskim czerpiącymi korzyści z obowiązku zapewnienia dostępu lub wzajemnych połączeń lub pomiędzy dostawcami sieci lub usług łączności elektronicznej w państwie członkowskim a dostawcami urządzeń towarzyszących, nie naruszając przepisów ust. 2, krajowy organ regulacyjny na wniosek którejkolwiek ze stron wydaje wiążącą decyzję celem rozstrzygnięcia sporu w jak najkrótszym terminie na podstawie jasnych i skutecznych procedur, a w każdym razie w terminie nieprzekraczającym czterech miesięcy, chyba że zachodzą wyjątkowe okoliczności. Dane państwo członkowskie wymaga, aby wszystkie strony sporu w pełni współpracowały z krajowym organem regulacyjnym.</w:t>
            </w:r>
          </w:p>
        </w:tc>
        <w:tc>
          <w:tcPr>
            <w:tcW w:w="986" w:type="dxa"/>
          </w:tcPr>
          <w:p w14:paraId="3C72A837" w14:textId="547379E2" w:rsidR="001E1112" w:rsidRPr="00317ABF" w:rsidRDefault="001E1112" w:rsidP="00DB3BEC">
            <w:pPr>
              <w:jc w:val="both"/>
              <w:rPr>
                <w:b/>
                <w:sz w:val="22"/>
                <w:szCs w:val="22"/>
              </w:rPr>
            </w:pPr>
            <w:r w:rsidRPr="00317ABF">
              <w:rPr>
                <w:b/>
                <w:sz w:val="22"/>
                <w:szCs w:val="22"/>
              </w:rPr>
              <w:t>T</w:t>
            </w:r>
          </w:p>
        </w:tc>
        <w:tc>
          <w:tcPr>
            <w:tcW w:w="910" w:type="dxa"/>
          </w:tcPr>
          <w:p w14:paraId="7A9A139D" w14:textId="4BFFBAAA" w:rsidR="001E1112" w:rsidRPr="00317ABF" w:rsidRDefault="00C86FA2" w:rsidP="00C86FA2">
            <w:pPr>
              <w:pStyle w:val="Tekstpodstawowy"/>
              <w:rPr>
                <w:b/>
                <w:noProof/>
                <w:sz w:val="22"/>
                <w:szCs w:val="22"/>
              </w:rPr>
            </w:pPr>
            <w:r w:rsidRPr="00317ABF">
              <w:rPr>
                <w:b/>
                <w:noProof/>
                <w:sz w:val="22"/>
                <w:szCs w:val="22"/>
              </w:rPr>
              <w:t>Art. 18</w:t>
            </w:r>
            <w:r w:rsidR="008E1456" w:rsidRPr="00317ABF">
              <w:rPr>
                <w:b/>
                <w:noProof/>
                <w:sz w:val="22"/>
                <w:szCs w:val="22"/>
              </w:rPr>
              <w:t>3</w:t>
            </w:r>
            <w:r w:rsidR="001E1112" w:rsidRPr="00317ABF">
              <w:rPr>
                <w:b/>
                <w:noProof/>
                <w:sz w:val="22"/>
                <w:szCs w:val="22"/>
              </w:rPr>
              <w:t xml:space="preserve"> </w:t>
            </w:r>
          </w:p>
        </w:tc>
        <w:tc>
          <w:tcPr>
            <w:tcW w:w="6814" w:type="dxa"/>
            <w:gridSpan w:val="2"/>
          </w:tcPr>
          <w:p w14:paraId="2C63153B" w14:textId="77777777" w:rsidR="00C86FA2" w:rsidRPr="00317ABF" w:rsidRDefault="00C86FA2" w:rsidP="00C86FA2">
            <w:pPr>
              <w:jc w:val="both"/>
              <w:rPr>
                <w:sz w:val="22"/>
                <w:szCs w:val="22"/>
              </w:rPr>
            </w:pPr>
            <w:r w:rsidRPr="00317ABF">
              <w:rPr>
                <w:b/>
                <w:sz w:val="22"/>
                <w:szCs w:val="22"/>
              </w:rPr>
              <w:t>Art. 183. 1.</w:t>
            </w:r>
            <w:r w:rsidRPr="00317ABF">
              <w:rPr>
                <w:sz w:val="22"/>
                <w:szCs w:val="22"/>
              </w:rPr>
              <w:t xml:space="preserve"> Prezes UKE, w drodze decyzji wydawanej na wniosek w sprawie rozstrzygnięcia sporu dotyczącego dostępu telekomunikacyjnego, w terminie 60 dni od dnia złożenia wniosku, rozstrzyga spór dotyczący dostępu pomiędzy przedsiębiorcami komunikacji elektronicznej albo przedsiębiorcą komunikacji elektronicznej a innym podmiotem, o ile jest on obowiązany do zapewnienia dostępu telekomunikacyjnego.</w:t>
            </w:r>
          </w:p>
          <w:p w14:paraId="7032363F" w14:textId="77777777" w:rsidR="00C86FA2" w:rsidRPr="00317ABF" w:rsidRDefault="00C86FA2" w:rsidP="00C86FA2">
            <w:pPr>
              <w:jc w:val="both"/>
              <w:rPr>
                <w:sz w:val="22"/>
                <w:szCs w:val="22"/>
              </w:rPr>
            </w:pPr>
            <w:r w:rsidRPr="00317ABF">
              <w:rPr>
                <w:sz w:val="22"/>
                <w:szCs w:val="22"/>
              </w:rPr>
              <w:t>2. Wniosek, o którym mowa w ust. 1, może złożyć każda ze stron sporu, jeżeli:</w:t>
            </w:r>
          </w:p>
          <w:p w14:paraId="51580978" w14:textId="77777777" w:rsidR="00C86FA2" w:rsidRPr="00317ABF" w:rsidRDefault="00C86FA2" w:rsidP="00C86FA2">
            <w:pPr>
              <w:jc w:val="both"/>
              <w:rPr>
                <w:sz w:val="22"/>
                <w:szCs w:val="22"/>
              </w:rPr>
            </w:pPr>
            <w:r w:rsidRPr="00317ABF">
              <w:rPr>
                <w:sz w:val="22"/>
                <w:szCs w:val="22"/>
              </w:rPr>
              <w:t>1)</w:t>
            </w:r>
            <w:r w:rsidRPr="00317ABF">
              <w:rPr>
                <w:sz w:val="22"/>
                <w:szCs w:val="22"/>
              </w:rPr>
              <w:tab/>
              <w:t>jedna ze stron odmówiła zapewnienia dostępu telekomunikacyjnego, lub</w:t>
            </w:r>
          </w:p>
          <w:p w14:paraId="397020BA" w14:textId="77777777" w:rsidR="00C86FA2" w:rsidRPr="00317ABF" w:rsidRDefault="00C86FA2" w:rsidP="00C86FA2">
            <w:pPr>
              <w:jc w:val="both"/>
              <w:rPr>
                <w:sz w:val="22"/>
                <w:szCs w:val="22"/>
              </w:rPr>
            </w:pPr>
            <w:r w:rsidRPr="00317ABF">
              <w:rPr>
                <w:sz w:val="22"/>
                <w:szCs w:val="22"/>
              </w:rPr>
              <w:t>2)</w:t>
            </w:r>
            <w:r w:rsidRPr="00317ABF">
              <w:rPr>
                <w:sz w:val="22"/>
                <w:szCs w:val="22"/>
              </w:rPr>
              <w:tab/>
              <w:t>umowa o dostępie nie została zawarta lub zmieniona w terminie 60 dni od dnia wystąpienia przez jedną ze stron z wnioskiem o jej zawarcie lub zmianę, z zastrzeżeniem art. 174 ust. 5, chyba że przepisy ustawy z dnia 7 maja 2010 r. o wspieraniu rozwoju usług i sieci telekomunikacyjnych, lub postanowienie Prezesa UKE, o którym mowa w ust. 3, wskazują inny termin.</w:t>
            </w:r>
          </w:p>
          <w:p w14:paraId="1DA45B23" w14:textId="77777777" w:rsidR="00C86FA2" w:rsidRPr="00317ABF" w:rsidRDefault="00C86FA2" w:rsidP="00C86FA2">
            <w:pPr>
              <w:jc w:val="both"/>
              <w:rPr>
                <w:sz w:val="22"/>
                <w:szCs w:val="22"/>
              </w:rPr>
            </w:pPr>
            <w:r w:rsidRPr="00317ABF">
              <w:rPr>
                <w:sz w:val="22"/>
                <w:szCs w:val="22"/>
              </w:rPr>
              <w:t>3. Prezes UKE może, w drodze postanowienia, określić termin krótszy niż 60 dni na zawarcie lub zmianę umowy o dostępie, po upływie którego strona sporu może złożyć wniosek, o którym mowa w ust. 1.</w:t>
            </w:r>
          </w:p>
          <w:p w14:paraId="4548FFD8" w14:textId="77777777" w:rsidR="00C86FA2" w:rsidRPr="00317ABF" w:rsidRDefault="00C86FA2" w:rsidP="00C86FA2">
            <w:pPr>
              <w:jc w:val="both"/>
              <w:rPr>
                <w:sz w:val="22"/>
                <w:szCs w:val="22"/>
              </w:rPr>
            </w:pPr>
            <w:r w:rsidRPr="00317ABF">
              <w:rPr>
                <w:sz w:val="22"/>
                <w:szCs w:val="22"/>
              </w:rPr>
              <w:t>4. Do wniosku, o którym mowa w ust. 1, dołącza się:</w:t>
            </w:r>
          </w:p>
          <w:p w14:paraId="1C8BC8CE" w14:textId="77777777" w:rsidR="00C86FA2" w:rsidRPr="00317ABF" w:rsidRDefault="00C86FA2" w:rsidP="00C86FA2">
            <w:pPr>
              <w:jc w:val="both"/>
              <w:rPr>
                <w:sz w:val="22"/>
                <w:szCs w:val="22"/>
              </w:rPr>
            </w:pPr>
            <w:r w:rsidRPr="00317ABF">
              <w:rPr>
                <w:sz w:val="22"/>
                <w:szCs w:val="22"/>
              </w:rPr>
              <w:t>1)</w:t>
            </w:r>
            <w:r w:rsidRPr="00317ABF">
              <w:rPr>
                <w:sz w:val="22"/>
                <w:szCs w:val="22"/>
              </w:rPr>
              <w:tab/>
              <w:t>wniosek w sprawie zawarcia lub zmiany umowy o dostępie wraz ze wskazaniem okoliczności, w jaki sposób jego treść została przekazana drugiej stronie;</w:t>
            </w:r>
          </w:p>
          <w:p w14:paraId="39A33751" w14:textId="77777777" w:rsidR="00C86FA2" w:rsidRPr="00317ABF" w:rsidRDefault="00C86FA2" w:rsidP="00C86FA2">
            <w:pPr>
              <w:jc w:val="both"/>
              <w:rPr>
                <w:sz w:val="22"/>
                <w:szCs w:val="22"/>
              </w:rPr>
            </w:pPr>
            <w:r w:rsidRPr="00317ABF">
              <w:rPr>
                <w:sz w:val="22"/>
                <w:szCs w:val="22"/>
              </w:rPr>
              <w:t>2)</w:t>
            </w:r>
            <w:r w:rsidRPr="00317ABF">
              <w:rPr>
                <w:sz w:val="22"/>
                <w:szCs w:val="22"/>
              </w:rPr>
              <w:tab/>
              <w:t>dokumenty z negocjacji, o ile zostały one przeprowadzone;</w:t>
            </w:r>
          </w:p>
          <w:p w14:paraId="458DE5E8" w14:textId="77777777" w:rsidR="00C86FA2" w:rsidRPr="00317ABF" w:rsidRDefault="00C86FA2" w:rsidP="00C86FA2">
            <w:pPr>
              <w:jc w:val="both"/>
              <w:rPr>
                <w:sz w:val="22"/>
                <w:szCs w:val="22"/>
              </w:rPr>
            </w:pPr>
            <w:r w:rsidRPr="00317ABF">
              <w:rPr>
                <w:sz w:val="22"/>
                <w:szCs w:val="22"/>
              </w:rPr>
              <w:t>3)</w:t>
            </w:r>
            <w:r w:rsidRPr="00317ABF">
              <w:rPr>
                <w:sz w:val="22"/>
                <w:szCs w:val="22"/>
              </w:rPr>
              <w:tab/>
              <w:t>projekt umowy o dostępie, z zaznaczeniem tych części umowy, co do których strony nie doszły do porozumienia.</w:t>
            </w:r>
          </w:p>
          <w:p w14:paraId="6FB9DA0F" w14:textId="77777777" w:rsidR="00C86FA2" w:rsidRPr="00317ABF" w:rsidRDefault="00C86FA2" w:rsidP="00C86FA2">
            <w:pPr>
              <w:jc w:val="both"/>
              <w:rPr>
                <w:sz w:val="22"/>
                <w:szCs w:val="22"/>
              </w:rPr>
            </w:pPr>
            <w:r w:rsidRPr="00317ABF">
              <w:rPr>
                <w:sz w:val="22"/>
                <w:szCs w:val="22"/>
              </w:rPr>
              <w:t>5. W przypadku gdy spór dotyczy zawartej umowy o dostępie oraz gdy treść stosunku zobowiązanego jest określona częściowo przez decyzję, o której mowa w ust. 1 lub art. 187, a częściowo przez umowę o dostępie, do wniosku, o którym mowa w ust. 1 dołącza się również jednolity tekst umowy zawierający również postanowienia wynikające z decyzji.</w:t>
            </w:r>
          </w:p>
          <w:p w14:paraId="47EF570D" w14:textId="4A2F993B" w:rsidR="00C86FA2" w:rsidRPr="00317ABF" w:rsidRDefault="00C86FA2" w:rsidP="00C86FA2">
            <w:pPr>
              <w:jc w:val="both"/>
              <w:rPr>
                <w:sz w:val="22"/>
                <w:szCs w:val="22"/>
              </w:rPr>
            </w:pPr>
            <w:r w:rsidRPr="00317ABF">
              <w:rPr>
                <w:sz w:val="22"/>
                <w:szCs w:val="22"/>
              </w:rPr>
              <w:t xml:space="preserve">6. Prezes UKE może wydać decyzję, o której mowa w ust. 1, gdy przedmiot sporu pomiędzy przedsiębiorcami telekomunikacyjnymi albo przedsiębiorcą komunikacji elektronicznej a podmiotem zobowiązanym do zapewnienia </w:t>
            </w:r>
            <w:r w:rsidRPr="00317ABF">
              <w:rPr>
                <w:sz w:val="22"/>
                <w:szCs w:val="22"/>
              </w:rPr>
              <w:lastRenderedPageBreak/>
              <w:t>dostępu, dotyczy różnych przepisów ustawy, ustawy z dnia 7 maja 2010 r. o wspieraniu rozwoju usług i sieci telekomunikacyjnych lub decyzji Prezesa UKE nakładającej obowiązek dostępowy symetryczny lub obowiązek regulacyjny, o ile realizacja tych obowiązków wymaga zawarcia umowy o dostępie pomiędzy tymi samymi stronami. W przypadku gdy przewidziane są różne terminy na złożenie wniosku, o którym mowa w ust. 2, stosuje się termin najdłuższy.</w:t>
            </w:r>
          </w:p>
          <w:p w14:paraId="56A0069A" w14:textId="4963617D" w:rsidR="001E1112" w:rsidRPr="00317ABF" w:rsidRDefault="001E1112" w:rsidP="008E1456">
            <w:pPr>
              <w:jc w:val="both"/>
              <w:rPr>
                <w:sz w:val="22"/>
                <w:szCs w:val="22"/>
              </w:rPr>
            </w:pPr>
          </w:p>
        </w:tc>
      </w:tr>
      <w:tr w:rsidR="001E1112" w:rsidRPr="00317ABF" w14:paraId="2DCCB4A0" w14:textId="77777777" w:rsidTr="7753F98D">
        <w:trPr>
          <w:gridAfter w:val="2"/>
          <w:wAfter w:w="175" w:type="dxa"/>
        </w:trPr>
        <w:tc>
          <w:tcPr>
            <w:tcW w:w="704" w:type="dxa"/>
          </w:tcPr>
          <w:p w14:paraId="21F92FD6" w14:textId="77777777" w:rsidR="001E1112" w:rsidRPr="00317ABF" w:rsidRDefault="001E1112" w:rsidP="00DB3BEC">
            <w:pPr>
              <w:jc w:val="both"/>
              <w:rPr>
                <w:sz w:val="22"/>
                <w:szCs w:val="22"/>
              </w:rPr>
            </w:pPr>
            <w:r w:rsidRPr="00317ABF">
              <w:rPr>
                <w:sz w:val="22"/>
                <w:szCs w:val="22"/>
              </w:rPr>
              <w:lastRenderedPageBreak/>
              <w:t>Art. 26 ust. 2</w:t>
            </w:r>
          </w:p>
        </w:tc>
        <w:tc>
          <w:tcPr>
            <w:tcW w:w="4308" w:type="dxa"/>
          </w:tcPr>
          <w:p w14:paraId="1B1B65B3" w14:textId="77777777" w:rsidR="001E1112" w:rsidRPr="00317ABF" w:rsidRDefault="001E1112" w:rsidP="00DB3BEC">
            <w:pPr>
              <w:spacing w:before="120"/>
              <w:jc w:val="both"/>
              <w:rPr>
                <w:sz w:val="22"/>
                <w:szCs w:val="22"/>
              </w:rPr>
            </w:pPr>
            <w:r w:rsidRPr="00317ABF">
              <w:rPr>
                <w:sz w:val="22"/>
                <w:szCs w:val="22"/>
              </w:rPr>
              <w:t>2.   Państwa członkowskie mogą przyjąć przepisy umożliwiające krajowym organom regulacyjnym odstąpienie od rozstrzygnięcia sporu, jeżeli istnieją inne mechanizmy, w tym mediacja, które dają większą szasnę na rozstrzygnięcie sporu w krótszym czasie i zgodnie z celami określonymi w art. 3. Krajowy organ regulacyjny niezwłocznie informuje o tym strony. Jeżeli po upływie czterech miesięcy spór nie zostanie rozstrzygnięty, zaś strona domagająca się naprawienia szkody nie wszczęła postępowania przed sądem, krajowy organ regulacyjny wydaje, na wniosek którejkolwiek ze stron, wiążącą decyzję celem rozstrzygnięcia sporu w możliwie najkrótszym terminie, a w każdym razie w terminie nieprzekraczającym czterech miesięcy.</w:t>
            </w:r>
          </w:p>
        </w:tc>
        <w:tc>
          <w:tcPr>
            <w:tcW w:w="986" w:type="dxa"/>
          </w:tcPr>
          <w:p w14:paraId="7DF6F7AA" w14:textId="4F49C767" w:rsidR="001E1112" w:rsidRPr="00317ABF" w:rsidRDefault="001E1112" w:rsidP="00DB3BEC">
            <w:pPr>
              <w:jc w:val="both"/>
              <w:rPr>
                <w:b/>
                <w:sz w:val="22"/>
                <w:szCs w:val="22"/>
              </w:rPr>
            </w:pPr>
            <w:r w:rsidRPr="00317ABF">
              <w:rPr>
                <w:b/>
                <w:sz w:val="22"/>
                <w:szCs w:val="22"/>
              </w:rPr>
              <w:t>N</w:t>
            </w:r>
          </w:p>
        </w:tc>
        <w:tc>
          <w:tcPr>
            <w:tcW w:w="910" w:type="dxa"/>
          </w:tcPr>
          <w:p w14:paraId="320646EB" w14:textId="3FC02FCF" w:rsidR="001E1112" w:rsidRPr="00317ABF" w:rsidRDefault="001E1112" w:rsidP="00DB3BEC">
            <w:pPr>
              <w:pStyle w:val="Tekstpodstawowy"/>
              <w:rPr>
                <w:b/>
                <w:noProof/>
                <w:sz w:val="22"/>
                <w:szCs w:val="22"/>
              </w:rPr>
            </w:pPr>
          </w:p>
        </w:tc>
        <w:tc>
          <w:tcPr>
            <w:tcW w:w="6814" w:type="dxa"/>
            <w:gridSpan w:val="2"/>
          </w:tcPr>
          <w:p w14:paraId="31ED7778" w14:textId="01975E9B" w:rsidR="001E1112" w:rsidRPr="00317ABF" w:rsidRDefault="001E1112" w:rsidP="00DB3BEC">
            <w:pPr>
              <w:jc w:val="both"/>
              <w:rPr>
                <w:sz w:val="22"/>
                <w:szCs w:val="22"/>
              </w:rPr>
            </w:pPr>
          </w:p>
        </w:tc>
      </w:tr>
      <w:tr w:rsidR="001E1112" w:rsidRPr="00317ABF" w14:paraId="63FDCF82" w14:textId="77777777" w:rsidTr="7753F98D">
        <w:trPr>
          <w:gridAfter w:val="2"/>
          <w:wAfter w:w="175" w:type="dxa"/>
        </w:trPr>
        <w:tc>
          <w:tcPr>
            <w:tcW w:w="704" w:type="dxa"/>
          </w:tcPr>
          <w:p w14:paraId="3C128098" w14:textId="77777777" w:rsidR="001E1112" w:rsidRPr="00317ABF" w:rsidRDefault="001E1112" w:rsidP="00DB3BEC">
            <w:pPr>
              <w:jc w:val="both"/>
              <w:rPr>
                <w:sz w:val="22"/>
                <w:szCs w:val="22"/>
              </w:rPr>
            </w:pPr>
            <w:r w:rsidRPr="00317ABF">
              <w:rPr>
                <w:sz w:val="22"/>
                <w:szCs w:val="22"/>
              </w:rPr>
              <w:t>Art. 26 ust. 3</w:t>
            </w:r>
          </w:p>
        </w:tc>
        <w:tc>
          <w:tcPr>
            <w:tcW w:w="4308" w:type="dxa"/>
          </w:tcPr>
          <w:p w14:paraId="10244676" w14:textId="77777777" w:rsidR="001E1112" w:rsidRPr="00317ABF" w:rsidRDefault="001E1112" w:rsidP="00DB3BEC">
            <w:pPr>
              <w:spacing w:before="120"/>
              <w:jc w:val="both"/>
              <w:rPr>
                <w:sz w:val="22"/>
                <w:szCs w:val="22"/>
              </w:rPr>
            </w:pPr>
            <w:r w:rsidRPr="00317ABF">
              <w:rPr>
                <w:sz w:val="22"/>
                <w:szCs w:val="22"/>
              </w:rPr>
              <w:t>3.   Rozstrzygając dany spór, krajowy organ regulacyjny wydaje decyzje, uwzględniając cele określone w art. 3. Jakiekolwiek obowiązki nałożone na przedsiębiorstwo przez krajowy organ regulacyjny w związku z rozstrzyganiem sporu powinny być zgodne z niniejszą dyrektywą.</w:t>
            </w:r>
          </w:p>
        </w:tc>
        <w:tc>
          <w:tcPr>
            <w:tcW w:w="986" w:type="dxa"/>
          </w:tcPr>
          <w:p w14:paraId="532070F0" w14:textId="73C57304" w:rsidR="001E1112" w:rsidRPr="00317ABF" w:rsidRDefault="001E1112" w:rsidP="00DB3BEC">
            <w:pPr>
              <w:jc w:val="both"/>
              <w:rPr>
                <w:b/>
                <w:sz w:val="22"/>
                <w:szCs w:val="22"/>
              </w:rPr>
            </w:pPr>
            <w:r w:rsidRPr="00317ABF">
              <w:rPr>
                <w:b/>
                <w:sz w:val="22"/>
                <w:szCs w:val="22"/>
              </w:rPr>
              <w:t>T</w:t>
            </w:r>
          </w:p>
        </w:tc>
        <w:tc>
          <w:tcPr>
            <w:tcW w:w="910" w:type="dxa"/>
          </w:tcPr>
          <w:p w14:paraId="1A9B60E1" w14:textId="079DAE1D" w:rsidR="001E1112" w:rsidRPr="00317ABF" w:rsidRDefault="001E1112" w:rsidP="008E1456">
            <w:pPr>
              <w:pStyle w:val="Tekstpodstawowy"/>
              <w:rPr>
                <w:b/>
                <w:noProof/>
                <w:sz w:val="22"/>
                <w:szCs w:val="22"/>
              </w:rPr>
            </w:pPr>
            <w:r w:rsidRPr="00317ABF">
              <w:rPr>
                <w:b/>
                <w:noProof/>
                <w:sz w:val="22"/>
                <w:szCs w:val="22"/>
              </w:rPr>
              <w:t xml:space="preserve">Art. </w:t>
            </w:r>
            <w:r w:rsidR="008E1456" w:rsidRPr="00317ABF">
              <w:rPr>
                <w:b/>
                <w:noProof/>
                <w:sz w:val="22"/>
                <w:szCs w:val="22"/>
              </w:rPr>
              <w:t>184-185</w:t>
            </w:r>
          </w:p>
        </w:tc>
        <w:tc>
          <w:tcPr>
            <w:tcW w:w="6814" w:type="dxa"/>
            <w:gridSpan w:val="2"/>
          </w:tcPr>
          <w:p w14:paraId="5106C71B" w14:textId="77777777" w:rsidR="008E1456" w:rsidRPr="00317ABF" w:rsidRDefault="008E1456" w:rsidP="008E1456">
            <w:pPr>
              <w:jc w:val="both"/>
              <w:rPr>
                <w:sz w:val="22"/>
                <w:szCs w:val="22"/>
              </w:rPr>
            </w:pPr>
            <w:r w:rsidRPr="00317ABF">
              <w:rPr>
                <w:b/>
                <w:sz w:val="22"/>
                <w:szCs w:val="22"/>
              </w:rPr>
              <w:t>Art. 184. 1.</w:t>
            </w:r>
            <w:r w:rsidRPr="00317ABF">
              <w:rPr>
                <w:sz w:val="22"/>
                <w:szCs w:val="22"/>
              </w:rPr>
              <w:t xml:space="preserve"> Prezes UKE, rozstrzygając spór dotyczący dostępu, może:</w:t>
            </w:r>
          </w:p>
          <w:p w14:paraId="0C112D5B" w14:textId="77777777" w:rsidR="008E1456" w:rsidRPr="00317ABF" w:rsidRDefault="008E1456" w:rsidP="008E1456">
            <w:pPr>
              <w:jc w:val="both"/>
              <w:rPr>
                <w:sz w:val="22"/>
                <w:szCs w:val="22"/>
              </w:rPr>
            </w:pPr>
            <w:r w:rsidRPr="00317ABF">
              <w:rPr>
                <w:sz w:val="22"/>
                <w:szCs w:val="22"/>
              </w:rPr>
              <w:t>1)</w:t>
            </w:r>
            <w:r w:rsidRPr="00317ABF">
              <w:rPr>
                <w:sz w:val="22"/>
                <w:szCs w:val="22"/>
              </w:rPr>
              <w:tab/>
              <w:t>określić treść stosunku zobowiązaniowego zastępującego umowę o dostępie,</w:t>
            </w:r>
          </w:p>
          <w:p w14:paraId="0A05A7AC" w14:textId="77777777" w:rsidR="008E1456" w:rsidRPr="00317ABF" w:rsidRDefault="008E1456" w:rsidP="008E1456">
            <w:pPr>
              <w:jc w:val="both"/>
              <w:rPr>
                <w:sz w:val="22"/>
                <w:szCs w:val="22"/>
              </w:rPr>
            </w:pPr>
            <w:r w:rsidRPr="00317ABF">
              <w:rPr>
                <w:sz w:val="22"/>
                <w:szCs w:val="22"/>
              </w:rPr>
              <w:t>2)</w:t>
            </w:r>
            <w:r w:rsidRPr="00317ABF">
              <w:rPr>
                <w:sz w:val="22"/>
                <w:szCs w:val="22"/>
              </w:rPr>
              <w:tab/>
              <w:t>zmienić w całości lub w części umowę o dostępie lub decyzję, o której mowa w art. 183 ust. 1 i art. 187,</w:t>
            </w:r>
          </w:p>
          <w:p w14:paraId="15FE1A06" w14:textId="77777777" w:rsidR="008E1456" w:rsidRPr="00317ABF" w:rsidRDefault="008E1456" w:rsidP="008E1456">
            <w:pPr>
              <w:jc w:val="both"/>
              <w:rPr>
                <w:sz w:val="22"/>
                <w:szCs w:val="22"/>
              </w:rPr>
            </w:pPr>
            <w:r w:rsidRPr="00317ABF">
              <w:rPr>
                <w:sz w:val="22"/>
                <w:szCs w:val="22"/>
              </w:rPr>
              <w:t>3)</w:t>
            </w:r>
            <w:r w:rsidRPr="00317ABF">
              <w:rPr>
                <w:sz w:val="22"/>
                <w:szCs w:val="22"/>
              </w:rPr>
              <w:tab/>
              <w:t>zobowiązać strony umowy o dostępie do jej zmiany, lub</w:t>
            </w:r>
          </w:p>
          <w:p w14:paraId="503915EC" w14:textId="77777777" w:rsidR="008E1456" w:rsidRPr="00317ABF" w:rsidRDefault="008E1456" w:rsidP="008E1456">
            <w:pPr>
              <w:jc w:val="both"/>
              <w:rPr>
                <w:sz w:val="22"/>
                <w:szCs w:val="22"/>
              </w:rPr>
            </w:pPr>
            <w:r w:rsidRPr="00317ABF">
              <w:rPr>
                <w:sz w:val="22"/>
                <w:szCs w:val="22"/>
              </w:rPr>
              <w:t>4)</w:t>
            </w:r>
            <w:r w:rsidRPr="00317ABF">
              <w:rPr>
                <w:sz w:val="22"/>
                <w:szCs w:val="22"/>
              </w:rPr>
              <w:tab/>
              <w:t>rozwiązać umowę o dostępie,</w:t>
            </w:r>
          </w:p>
          <w:p w14:paraId="390ACBFC" w14:textId="77777777" w:rsidR="008E1456" w:rsidRPr="00317ABF" w:rsidRDefault="008E1456" w:rsidP="008E1456">
            <w:pPr>
              <w:jc w:val="both"/>
              <w:rPr>
                <w:sz w:val="22"/>
                <w:szCs w:val="22"/>
              </w:rPr>
            </w:pPr>
            <w:r w:rsidRPr="00317ABF">
              <w:rPr>
                <w:sz w:val="22"/>
                <w:szCs w:val="22"/>
              </w:rPr>
              <w:t>- o ile będzie to zgodne z obowiązkami stron oraz celami określonymi w art. 407 ust. 2.</w:t>
            </w:r>
          </w:p>
          <w:p w14:paraId="6E4066CC" w14:textId="77777777" w:rsidR="008E1456" w:rsidRPr="00317ABF" w:rsidRDefault="008E1456" w:rsidP="008E1456">
            <w:pPr>
              <w:jc w:val="both"/>
              <w:rPr>
                <w:sz w:val="22"/>
                <w:szCs w:val="22"/>
              </w:rPr>
            </w:pPr>
            <w:r w:rsidRPr="00317ABF">
              <w:rPr>
                <w:sz w:val="22"/>
                <w:szCs w:val="22"/>
              </w:rPr>
              <w:t xml:space="preserve">2. Wydając rozstrzygnięcia, o których mowa w ust. 1 pkt 1, 2 i 3, Prezes UKE bierze pod uwagę konieczność zapewnienia przejrzystych i niedyskryminacyjnych warunków dostępu. </w:t>
            </w:r>
          </w:p>
          <w:p w14:paraId="37B4A1A9" w14:textId="77777777" w:rsidR="008E1456" w:rsidRPr="00317ABF" w:rsidRDefault="008E1456" w:rsidP="008E1456">
            <w:pPr>
              <w:jc w:val="both"/>
              <w:rPr>
                <w:sz w:val="22"/>
                <w:szCs w:val="22"/>
              </w:rPr>
            </w:pPr>
            <w:r w:rsidRPr="00317ABF">
              <w:rPr>
                <w:sz w:val="22"/>
                <w:szCs w:val="22"/>
              </w:rPr>
              <w:lastRenderedPageBreak/>
              <w:t>3. Decyzja rozstrzygająca spór o dostęp, o której mowa w ust. 1 pkt 1 i 2, w zakresie nią objętym zastępuje umowę o dostępie.</w:t>
            </w:r>
          </w:p>
          <w:p w14:paraId="27AAAC7C" w14:textId="77777777" w:rsidR="008E1456" w:rsidRPr="00317ABF" w:rsidRDefault="008E1456" w:rsidP="008E1456">
            <w:pPr>
              <w:jc w:val="both"/>
              <w:rPr>
                <w:sz w:val="22"/>
                <w:szCs w:val="22"/>
              </w:rPr>
            </w:pPr>
            <w:r w:rsidRPr="00317ABF">
              <w:rPr>
                <w:sz w:val="22"/>
                <w:szCs w:val="22"/>
              </w:rPr>
              <w:t>4. Prezes UKE może wydać decyzję rozstrzygającą spór dotyczący dostępu także wtedy, gdy w toku postępowania przed Prezesem UKE umowa o dostępie została rozwiązana lub upłynął termin jej obowiązywania.</w:t>
            </w:r>
          </w:p>
          <w:p w14:paraId="59A7CD96" w14:textId="77777777" w:rsidR="008E1456" w:rsidRPr="00317ABF" w:rsidRDefault="008E1456" w:rsidP="008E1456">
            <w:pPr>
              <w:jc w:val="both"/>
              <w:rPr>
                <w:sz w:val="22"/>
                <w:szCs w:val="22"/>
              </w:rPr>
            </w:pPr>
          </w:p>
          <w:p w14:paraId="1586EAB5" w14:textId="77777777" w:rsidR="008E1456" w:rsidRPr="00317ABF" w:rsidRDefault="008E1456" w:rsidP="008E1456">
            <w:pPr>
              <w:jc w:val="both"/>
              <w:rPr>
                <w:sz w:val="22"/>
                <w:szCs w:val="22"/>
              </w:rPr>
            </w:pPr>
            <w:r w:rsidRPr="00317ABF">
              <w:rPr>
                <w:b/>
                <w:sz w:val="22"/>
                <w:szCs w:val="22"/>
              </w:rPr>
              <w:t>Art. 185.</w:t>
            </w:r>
            <w:r w:rsidRPr="00317ABF">
              <w:rPr>
                <w:sz w:val="22"/>
                <w:szCs w:val="22"/>
              </w:rPr>
              <w:t xml:space="preserve"> 1. Prezes UKE, rozstrzygając spór na podstawie art. 183 ust. 1, może nałożyć na podmiot będący stroną postępowania, obowiązek dostępowy symetryczny. Przepisy Działu III Rozdziału 1 stosuje się odpowiednio.</w:t>
            </w:r>
          </w:p>
          <w:p w14:paraId="73E6D4DA" w14:textId="77777777" w:rsidR="008E1456" w:rsidRPr="00317ABF" w:rsidRDefault="008E1456" w:rsidP="008E1456">
            <w:pPr>
              <w:jc w:val="both"/>
              <w:rPr>
                <w:sz w:val="22"/>
                <w:szCs w:val="22"/>
              </w:rPr>
            </w:pPr>
            <w:r w:rsidRPr="00317ABF">
              <w:rPr>
                <w:sz w:val="22"/>
                <w:szCs w:val="22"/>
              </w:rPr>
              <w:t>2. Jeżeli stroną postępowania w sprawie o wydanie decyzji, o której mowa w art. 183 ust. 1, jest podmiot, na który nałożono obowiązek, o którym mowa w art. 216 ust. 1 pkt 2, ale względem którego nie przeprowadzono procedury określonej w art. 217, Prezes UKE może określić opłaty należne temu podmiotowi od drugiej strony postępowania.Art. 217  stosuje się odpowiednio.</w:t>
            </w:r>
          </w:p>
          <w:p w14:paraId="7980AAC0" w14:textId="77777777" w:rsidR="008E1456" w:rsidRPr="00317ABF" w:rsidRDefault="008E1456" w:rsidP="008E1456">
            <w:pPr>
              <w:jc w:val="both"/>
              <w:rPr>
                <w:sz w:val="22"/>
                <w:szCs w:val="22"/>
              </w:rPr>
            </w:pPr>
            <w:r w:rsidRPr="00317ABF">
              <w:rPr>
                <w:sz w:val="22"/>
                <w:szCs w:val="22"/>
              </w:rPr>
              <w:t>Art. 186. 1. Prezes UKE, rozstrzygając spór na podstawie art. 183 ust. 1, o dostęp związany z obowiązkiem, o którym mowa w art. 180 ust. 1, może nałożyć na przedsiębiorcę telekomunikacyjnego uprawnionego do tego dostępu, obowiązek współużytkowania częstotliwości z przedsiębiorcą zobowiązanym do zapewnienia dostępu, na określonym obszarze geograficznym i określić inne warunki takiego współużytkowania.</w:t>
            </w:r>
          </w:p>
          <w:p w14:paraId="582375D2" w14:textId="77777777" w:rsidR="008E1456" w:rsidRPr="00317ABF" w:rsidRDefault="008E1456" w:rsidP="008E1456">
            <w:pPr>
              <w:jc w:val="both"/>
              <w:rPr>
                <w:sz w:val="22"/>
                <w:szCs w:val="22"/>
              </w:rPr>
            </w:pPr>
            <w:r w:rsidRPr="00317ABF">
              <w:rPr>
                <w:sz w:val="22"/>
                <w:szCs w:val="22"/>
              </w:rPr>
              <w:t>2. Prezes UKE nakładając obowiązek współużytkowania częstotliwości, o którym mowa w ust. 1, zapewnia, aby był on obiektywny, przejrzysty, proporcjonalny i niedyskryminacyjny.</w:t>
            </w:r>
          </w:p>
          <w:p w14:paraId="636BCCAF" w14:textId="77777777" w:rsidR="008E1456" w:rsidRPr="00317ABF" w:rsidRDefault="008E1456" w:rsidP="008E1456">
            <w:pPr>
              <w:jc w:val="both"/>
              <w:rPr>
                <w:sz w:val="22"/>
                <w:szCs w:val="22"/>
                <w:lang w:eastAsia="en-US"/>
              </w:rPr>
            </w:pPr>
            <w:r w:rsidRPr="00317ABF">
              <w:rPr>
                <w:sz w:val="22"/>
                <w:szCs w:val="22"/>
              </w:rPr>
              <w:t>3. Do obowiązku współużytkowania częstotliwości, o którym mowa w ust. 1, art. 182 stosuje się odpowiednio.</w:t>
            </w:r>
          </w:p>
          <w:p w14:paraId="13F4B835" w14:textId="6868E29C" w:rsidR="001E1112" w:rsidRPr="00317ABF" w:rsidRDefault="001E1112" w:rsidP="008E1456">
            <w:pPr>
              <w:jc w:val="both"/>
              <w:rPr>
                <w:sz w:val="22"/>
                <w:szCs w:val="22"/>
              </w:rPr>
            </w:pPr>
          </w:p>
          <w:p w14:paraId="3E190F5E" w14:textId="77777777" w:rsidR="001E1112" w:rsidRPr="00317ABF" w:rsidRDefault="001E1112" w:rsidP="00DB3BEC">
            <w:pPr>
              <w:pStyle w:val="Tekstpodstawowy"/>
              <w:rPr>
                <w:sz w:val="22"/>
                <w:szCs w:val="22"/>
              </w:rPr>
            </w:pPr>
          </w:p>
        </w:tc>
      </w:tr>
      <w:tr w:rsidR="001E1112" w:rsidRPr="00317ABF" w14:paraId="49369141" w14:textId="77777777" w:rsidTr="7753F98D">
        <w:trPr>
          <w:gridAfter w:val="2"/>
          <w:wAfter w:w="175" w:type="dxa"/>
        </w:trPr>
        <w:tc>
          <w:tcPr>
            <w:tcW w:w="704" w:type="dxa"/>
          </w:tcPr>
          <w:p w14:paraId="132848A6" w14:textId="77777777" w:rsidR="001E1112" w:rsidRPr="00317ABF" w:rsidRDefault="001E1112" w:rsidP="00DB3BEC">
            <w:pPr>
              <w:jc w:val="both"/>
              <w:rPr>
                <w:sz w:val="22"/>
                <w:szCs w:val="22"/>
              </w:rPr>
            </w:pPr>
            <w:r w:rsidRPr="00317ABF">
              <w:rPr>
                <w:sz w:val="22"/>
                <w:szCs w:val="22"/>
              </w:rPr>
              <w:lastRenderedPageBreak/>
              <w:t>Art. 26 ust. 4</w:t>
            </w:r>
          </w:p>
        </w:tc>
        <w:tc>
          <w:tcPr>
            <w:tcW w:w="4308" w:type="dxa"/>
          </w:tcPr>
          <w:p w14:paraId="799CBEB1" w14:textId="77777777" w:rsidR="001E1112" w:rsidRPr="00317ABF" w:rsidRDefault="001E1112" w:rsidP="00DB3BEC">
            <w:pPr>
              <w:spacing w:before="120"/>
              <w:jc w:val="both"/>
              <w:rPr>
                <w:sz w:val="22"/>
                <w:szCs w:val="22"/>
              </w:rPr>
            </w:pPr>
            <w:r w:rsidRPr="00317ABF">
              <w:rPr>
                <w:sz w:val="22"/>
                <w:szCs w:val="22"/>
              </w:rPr>
              <w:t>4.   Decyzję wydaną przez krajowy organ regulacyjny podaje się do wiadomości publicznej, przy zachowaniu wymogów związanych z tajemnicą handlową. Krajowy organ regulacyjny przedstawia stronom, których dotyczy dana decyzja wyczerpujące uzasadnienie.</w:t>
            </w:r>
          </w:p>
        </w:tc>
        <w:tc>
          <w:tcPr>
            <w:tcW w:w="986" w:type="dxa"/>
          </w:tcPr>
          <w:p w14:paraId="0FB76C7C" w14:textId="0F5200F3" w:rsidR="001E1112" w:rsidRPr="00317ABF" w:rsidRDefault="001E1112" w:rsidP="00DB3BEC">
            <w:pPr>
              <w:jc w:val="both"/>
              <w:rPr>
                <w:b/>
                <w:sz w:val="22"/>
                <w:szCs w:val="22"/>
              </w:rPr>
            </w:pPr>
            <w:r w:rsidRPr="00317ABF">
              <w:rPr>
                <w:b/>
                <w:sz w:val="22"/>
                <w:szCs w:val="22"/>
              </w:rPr>
              <w:t>N</w:t>
            </w:r>
          </w:p>
        </w:tc>
        <w:tc>
          <w:tcPr>
            <w:tcW w:w="910" w:type="dxa"/>
          </w:tcPr>
          <w:p w14:paraId="012CC6F0" w14:textId="77777777" w:rsidR="001E1112" w:rsidRPr="00317ABF" w:rsidRDefault="001E1112" w:rsidP="00DB3BEC">
            <w:pPr>
              <w:pStyle w:val="Tekstpodstawowy"/>
              <w:rPr>
                <w:b/>
                <w:noProof/>
                <w:sz w:val="22"/>
                <w:szCs w:val="22"/>
              </w:rPr>
            </w:pPr>
            <w:r w:rsidRPr="00317ABF">
              <w:rPr>
                <w:b/>
                <w:noProof/>
                <w:sz w:val="22"/>
                <w:szCs w:val="22"/>
              </w:rPr>
              <w:t>Art. 107  § 1 pkt 6 Kodeksu postępowania administracyjnego</w:t>
            </w:r>
          </w:p>
          <w:p w14:paraId="2DD89F42" w14:textId="77777777" w:rsidR="001E1112" w:rsidRPr="00317ABF" w:rsidRDefault="001E1112" w:rsidP="00DB3BEC">
            <w:pPr>
              <w:pStyle w:val="Tekstpodstawowy"/>
              <w:rPr>
                <w:b/>
                <w:noProof/>
                <w:sz w:val="22"/>
                <w:szCs w:val="22"/>
              </w:rPr>
            </w:pPr>
          </w:p>
          <w:p w14:paraId="00EE7A80" w14:textId="58600322" w:rsidR="001E1112" w:rsidRPr="00317ABF" w:rsidRDefault="001E1112" w:rsidP="00DB3BEC">
            <w:pPr>
              <w:pStyle w:val="Tekstpodstawowy"/>
              <w:rPr>
                <w:b/>
                <w:noProof/>
                <w:sz w:val="22"/>
                <w:szCs w:val="22"/>
              </w:rPr>
            </w:pPr>
          </w:p>
        </w:tc>
        <w:tc>
          <w:tcPr>
            <w:tcW w:w="6814" w:type="dxa"/>
            <w:gridSpan w:val="2"/>
          </w:tcPr>
          <w:p w14:paraId="1E8E47C2" w14:textId="43EE4E09" w:rsidR="001E1112" w:rsidRPr="00317ABF" w:rsidRDefault="001E1112" w:rsidP="00DB3BEC">
            <w:pPr>
              <w:jc w:val="both"/>
              <w:rPr>
                <w:b/>
                <w:sz w:val="22"/>
                <w:szCs w:val="22"/>
              </w:rPr>
            </w:pPr>
            <w:r w:rsidRPr="00317ABF">
              <w:rPr>
                <w:sz w:val="22"/>
                <w:szCs w:val="22"/>
              </w:rPr>
              <w:lastRenderedPageBreak/>
              <w:t>Uzasadnienie jest elementem decyzji administracyjnej, która jest formą rozstrzygnięcia sporu.</w:t>
            </w:r>
          </w:p>
        </w:tc>
      </w:tr>
      <w:tr w:rsidR="001E1112" w:rsidRPr="00317ABF" w14:paraId="3C4A2533" w14:textId="77777777" w:rsidTr="7753F98D">
        <w:trPr>
          <w:gridAfter w:val="2"/>
          <w:wAfter w:w="175" w:type="dxa"/>
        </w:trPr>
        <w:tc>
          <w:tcPr>
            <w:tcW w:w="704" w:type="dxa"/>
          </w:tcPr>
          <w:p w14:paraId="45D564FD" w14:textId="77777777" w:rsidR="001E1112" w:rsidRPr="00317ABF" w:rsidRDefault="001E1112" w:rsidP="00DB3BEC">
            <w:pPr>
              <w:jc w:val="both"/>
              <w:rPr>
                <w:sz w:val="22"/>
                <w:szCs w:val="22"/>
              </w:rPr>
            </w:pPr>
            <w:r w:rsidRPr="00317ABF">
              <w:rPr>
                <w:sz w:val="22"/>
                <w:szCs w:val="22"/>
              </w:rPr>
              <w:lastRenderedPageBreak/>
              <w:t>Art. 26 ust. 5</w:t>
            </w:r>
          </w:p>
        </w:tc>
        <w:tc>
          <w:tcPr>
            <w:tcW w:w="4308" w:type="dxa"/>
          </w:tcPr>
          <w:p w14:paraId="728769CC" w14:textId="77777777" w:rsidR="001E1112" w:rsidRPr="00317ABF" w:rsidRDefault="001E1112" w:rsidP="00DB3BEC">
            <w:pPr>
              <w:spacing w:before="120"/>
              <w:jc w:val="both"/>
              <w:rPr>
                <w:sz w:val="22"/>
                <w:szCs w:val="22"/>
              </w:rPr>
            </w:pPr>
            <w:r w:rsidRPr="00317ABF">
              <w:rPr>
                <w:sz w:val="22"/>
                <w:szCs w:val="22"/>
              </w:rPr>
              <w:t>5.   Procedury, o których mowa w ust. 1, 3 oraz 4, nie stanowią przeszkody dla żadnej ze stron we wniesieniu powództwa do sądu.</w:t>
            </w:r>
          </w:p>
        </w:tc>
        <w:tc>
          <w:tcPr>
            <w:tcW w:w="986" w:type="dxa"/>
          </w:tcPr>
          <w:p w14:paraId="52E12EC1" w14:textId="12B672B2" w:rsidR="001E1112" w:rsidRPr="00317ABF" w:rsidRDefault="001E1112" w:rsidP="00DB3BEC">
            <w:pPr>
              <w:jc w:val="both"/>
              <w:rPr>
                <w:b/>
                <w:sz w:val="22"/>
                <w:szCs w:val="22"/>
              </w:rPr>
            </w:pPr>
            <w:r w:rsidRPr="00317ABF">
              <w:rPr>
                <w:b/>
                <w:sz w:val="22"/>
                <w:szCs w:val="22"/>
              </w:rPr>
              <w:t>N</w:t>
            </w:r>
          </w:p>
        </w:tc>
        <w:tc>
          <w:tcPr>
            <w:tcW w:w="910" w:type="dxa"/>
          </w:tcPr>
          <w:p w14:paraId="6A2BC471" w14:textId="77777777" w:rsidR="001E1112" w:rsidRPr="00317ABF" w:rsidRDefault="001E1112" w:rsidP="00DB3BEC">
            <w:pPr>
              <w:pStyle w:val="Tekstpodstawowy"/>
              <w:rPr>
                <w:b/>
                <w:noProof/>
                <w:sz w:val="22"/>
                <w:szCs w:val="22"/>
              </w:rPr>
            </w:pPr>
          </w:p>
        </w:tc>
        <w:tc>
          <w:tcPr>
            <w:tcW w:w="6814" w:type="dxa"/>
            <w:gridSpan w:val="2"/>
          </w:tcPr>
          <w:p w14:paraId="4DCC6F47" w14:textId="71D546EF" w:rsidR="001E1112" w:rsidRPr="00317ABF" w:rsidRDefault="001E1112" w:rsidP="00DB3BEC">
            <w:pPr>
              <w:jc w:val="both"/>
              <w:rPr>
                <w:sz w:val="22"/>
                <w:szCs w:val="22"/>
              </w:rPr>
            </w:pPr>
          </w:p>
        </w:tc>
      </w:tr>
      <w:tr w:rsidR="001E1112" w:rsidRPr="00317ABF" w14:paraId="17B49912" w14:textId="77777777" w:rsidTr="7753F98D">
        <w:trPr>
          <w:gridAfter w:val="2"/>
          <w:wAfter w:w="175" w:type="dxa"/>
        </w:trPr>
        <w:tc>
          <w:tcPr>
            <w:tcW w:w="704" w:type="dxa"/>
          </w:tcPr>
          <w:p w14:paraId="02CF5F77" w14:textId="77777777" w:rsidR="001E1112" w:rsidRPr="00317ABF" w:rsidRDefault="001E1112" w:rsidP="00DB3BEC">
            <w:pPr>
              <w:jc w:val="both"/>
              <w:rPr>
                <w:b/>
                <w:sz w:val="22"/>
                <w:szCs w:val="22"/>
              </w:rPr>
            </w:pPr>
            <w:r w:rsidRPr="00317ABF">
              <w:rPr>
                <w:b/>
                <w:sz w:val="22"/>
                <w:szCs w:val="22"/>
              </w:rPr>
              <w:t>Art. 27</w:t>
            </w:r>
          </w:p>
        </w:tc>
        <w:tc>
          <w:tcPr>
            <w:tcW w:w="4308" w:type="dxa"/>
          </w:tcPr>
          <w:p w14:paraId="58266192" w14:textId="77777777" w:rsidR="001E1112" w:rsidRPr="00317ABF" w:rsidRDefault="001E1112" w:rsidP="00DB3BEC">
            <w:pPr>
              <w:spacing w:before="120"/>
              <w:jc w:val="both"/>
              <w:rPr>
                <w:sz w:val="22"/>
                <w:szCs w:val="22"/>
              </w:rPr>
            </w:pPr>
            <w:r w:rsidRPr="00317ABF">
              <w:rPr>
                <w:b/>
                <w:bCs/>
                <w:sz w:val="22"/>
                <w:szCs w:val="22"/>
              </w:rPr>
              <w:t>Rozstrzyganie sporów transgranicznych</w:t>
            </w:r>
          </w:p>
        </w:tc>
        <w:tc>
          <w:tcPr>
            <w:tcW w:w="986" w:type="dxa"/>
          </w:tcPr>
          <w:p w14:paraId="1B5E47D9" w14:textId="77777777" w:rsidR="001E1112" w:rsidRPr="00317ABF" w:rsidRDefault="001E1112" w:rsidP="00DB3BEC">
            <w:pPr>
              <w:jc w:val="both"/>
              <w:rPr>
                <w:sz w:val="22"/>
                <w:szCs w:val="22"/>
              </w:rPr>
            </w:pPr>
          </w:p>
        </w:tc>
        <w:tc>
          <w:tcPr>
            <w:tcW w:w="910" w:type="dxa"/>
          </w:tcPr>
          <w:p w14:paraId="25D6C40E" w14:textId="77777777" w:rsidR="001E1112" w:rsidRPr="00317ABF" w:rsidRDefault="001E1112" w:rsidP="00DB3BEC">
            <w:pPr>
              <w:pStyle w:val="Tekstpodstawowy"/>
              <w:rPr>
                <w:b/>
                <w:noProof/>
                <w:sz w:val="22"/>
                <w:szCs w:val="22"/>
              </w:rPr>
            </w:pPr>
          </w:p>
        </w:tc>
        <w:tc>
          <w:tcPr>
            <w:tcW w:w="6814" w:type="dxa"/>
            <w:gridSpan w:val="2"/>
          </w:tcPr>
          <w:p w14:paraId="18E7D592" w14:textId="77777777" w:rsidR="001E1112" w:rsidRPr="00317ABF" w:rsidRDefault="001E1112" w:rsidP="00DB3BEC">
            <w:pPr>
              <w:pStyle w:val="Tekstpodstawowy"/>
              <w:rPr>
                <w:sz w:val="22"/>
                <w:szCs w:val="22"/>
              </w:rPr>
            </w:pPr>
          </w:p>
        </w:tc>
      </w:tr>
      <w:tr w:rsidR="001E1112" w:rsidRPr="00317ABF" w14:paraId="2DE87D7F" w14:textId="77777777" w:rsidTr="7753F98D">
        <w:trPr>
          <w:gridAfter w:val="2"/>
          <w:wAfter w:w="175" w:type="dxa"/>
        </w:trPr>
        <w:tc>
          <w:tcPr>
            <w:tcW w:w="704" w:type="dxa"/>
          </w:tcPr>
          <w:p w14:paraId="1E4620B3" w14:textId="77777777" w:rsidR="001E1112" w:rsidRPr="00317ABF" w:rsidRDefault="001E1112" w:rsidP="00DB3BEC">
            <w:pPr>
              <w:jc w:val="both"/>
              <w:rPr>
                <w:sz w:val="22"/>
                <w:szCs w:val="22"/>
              </w:rPr>
            </w:pPr>
            <w:r w:rsidRPr="00317ABF">
              <w:rPr>
                <w:sz w:val="22"/>
                <w:szCs w:val="22"/>
              </w:rPr>
              <w:t>Art. 27 ust. 1</w:t>
            </w:r>
          </w:p>
        </w:tc>
        <w:tc>
          <w:tcPr>
            <w:tcW w:w="4308" w:type="dxa"/>
          </w:tcPr>
          <w:p w14:paraId="4CCCE640" w14:textId="77777777" w:rsidR="001E1112" w:rsidRPr="00317ABF" w:rsidRDefault="001E1112" w:rsidP="00DB3BEC">
            <w:pPr>
              <w:spacing w:before="120"/>
              <w:jc w:val="both"/>
              <w:rPr>
                <w:sz w:val="22"/>
                <w:szCs w:val="22"/>
              </w:rPr>
            </w:pPr>
            <w:r w:rsidRPr="00317ABF">
              <w:rPr>
                <w:sz w:val="22"/>
                <w:szCs w:val="22"/>
              </w:rPr>
              <w:t>1.   W przypadku sporu powstałego w związku ze stosowaniem niniejszej dyrektywy pomiędzy przedsiębiorstwami w różnych państwach członkowskich stosuje się ust. 2, 3 i 4 niniejszego artykułu. Przepisów tych nie stosuje się do sporów dotyczących koordynacji widma radiowego objętych art. 28.</w:t>
            </w:r>
          </w:p>
        </w:tc>
        <w:tc>
          <w:tcPr>
            <w:tcW w:w="986" w:type="dxa"/>
          </w:tcPr>
          <w:p w14:paraId="4CC8AA0D" w14:textId="4FBA9CF8" w:rsidR="001E1112" w:rsidRPr="00317ABF" w:rsidRDefault="008B4C98" w:rsidP="00DB3BEC">
            <w:pPr>
              <w:jc w:val="both"/>
              <w:rPr>
                <w:b/>
                <w:sz w:val="22"/>
                <w:szCs w:val="22"/>
              </w:rPr>
            </w:pPr>
            <w:r w:rsidRPr="00317ABF">
              <w:rPr>
                <w:b/>
                <w:sz w:val="22"/>
                <w:szCs w:val="22"/>
              </w:rPr>
              <w:t>N</w:t>
            </w:r>
          </w:p>
        </w:tc>
        <w:tc>
          <w:tcPr>
            <w:tcW w:w="910" w:type="dxa"/>
          </w:tcPr>
          <w:p w14:paraId="0387D0D6" w14:textId="4524C5D0" w:rsidR="001E1112" w:rsidRPr="00317ABF" w:rsidRDefault="001E1112" w:rsidP="00DB3BEC">
            <w:pPr>
              <w:pStyle w:val="Tekstpodstawowy"/>
              <w:rPr>
                <w:b/>
                <w:noProof/>
                <w:sz w:val="22"/>
                <w:szCs w:val="22"/>
              </w:rPr>
            </w:pPr>
          </w:p>
        </w:tc>
        <w:tc>
          <w:tcPr>
            <w:tcW w:w="6814" w:type="dxa"/>
            <w:gridSpan w:val="2"/>
          </w:tcPr>
          <w:p w14:paraId="565BFF5B" w14:textId="77777777" w:rsidR="001E1112" w:rsidRPr="00317ABF" w:rsidRDefault="001E1112" w:rsidP="008B4C98">
            <w:pPr>
              <w:jc w:val="both"/>
              <w:rPr>
                <w:sz w:val="22"/>
                <w:szCs w:val="22"/>
              </w:rPr>
            </w:pPr>
          </w:p>
        </w:tc>
      </w:tr>
      <w:tr w:rsidR="001E1112" w:rsidRPr="00317ABF" w14:paraId="370F5101" w14:textId="77777777" w:rsidTr="7753F98D">
        <w:trPr>
          <w:gridAfter w:val="2"/>
          <w:wAfter w:w="175" w:type="dxa"/>
        </w:trPr>
        <w:tc>
          <w:tcPr>
            <w:tcW w:w="704" w:type="dxa"/>
          </w:tcPr>
          <w:p w14:paraId="71AEA7FA" w14:textId="77777777" w:rsidR="001E1112" w:rsidRPr="00317ABF" w:rsidRDefault="001E1112" w:rsidP="00DB3BEC">
            <w:pPr>
              <w:jc w:val="both"/>
              <w:rPr>
                <w:sz w:val="22"/>
                <w:szCs w:val="22"/>
              </w:rPr>
            </w:pPr>
            <w:r w:rsidRPr="00317ABF">
              <w:rPr>
                <w:sz w:val="22"/>
                <w:szCs w:val="22"/>
              </w:rPr>
              <w:t>Art. 27 ust. 2</w:t>
            </w:r>
          </w:p>
        </w:tc>
        <w:tc>
          <w:tcPr>
            <w:tcW w:w="4308" w:type="dxa"/>
          </w:tcPr>
          <w:p w14:paraId="47E72004" w14:textId="77777777" w:rsidR="001E1112" w:rsidRPr="00317ABF" w:rsidRDefault="001E1112" w:rsidP="00DB3BEC">
            <w:pPr>
              <w:spacing w:before="120"/>
              <w:jc w:val="both"/>
              <w:rPr>
                <w:sz w:val="22"/>
                <w:szCs w:val="22"/>
              </w:rPr>
            </w:pPr>
            <w:r w:rsidRPr="00317ABF">
              <w:rPr>
                <w:sz w:val="22"/>
                <w:szCs w:val="22"/>
              </w:rPr>
              <w:t>2.   Każda ze stron może przekazać spór danemu krajowemu organowi regulacyjnemu lub danym krajowym organom regulacyjnym. W przypadku gdy spór wpływa na wymianę handlową między państwami członkowskimi, właściwe krajowe organy regulacyjne zgłaszają taki spór do BEREC w celu doprowadzenia do spójnego rozstrzygnięcia sporu, zgodnie z celami określonymi w art. 3.</w:t>
            </w:r>
          </w:p>
        </w:tc>
        <w:tc>
          <w:tcPr>
            <w:tcW w:w="986" w:type="dxa"/>
          </w:tcPr>
          <w:p w14:paraId="34CDD9EB" w14:textId="35AE17BD" w:rsidR="001E1112" w:rsidRPr="00317ABF" w:rsidRDefault="001E1112" w:rsidP="00DB3BEC">
            <w:pPr>
              <w:jc w:val="both"/>
              <w:rPr>
                <w:b/>
                <w:sz w:val="22"/>
                <w:szCs w:val="22"/>
              </w:rPr>
            </w:pPr>
            <w:r w:rsidRPr="00317ABF">
              <w:rPr>
                <w:b/>
                <w:sz w:val="22"/>
                <w:szCs w:val="22"/>
              </w:rPr>
              <w:t>T</w:t>
            </w:r>
          </w:p>
        </w:tc>
        <w:tc>
          <w:tcPr>
            <w:tcW w:w="910" w:type="dxa"/>
          </w:tcPr>
          <w:p w14:paraId="498AF0D8" w14:textId="74B6E45C" w:rsidR="001E1112" w:rsidRPr="00317ABF" w:rsidRDefault="001E1112" w:rsidP="008B4C98">
            <w:pPr>
              <w:pStyle w:val="Tekstpodstawowy"/>
              <w:rPr>
                <w:b/>
                <w:noProof/>
                <w:sz w:val="22"/>
                <w:szCs w:val="22"/>
              </w:rPr>
            </w:pPr>
            <w:r w:rsidRPr="00317ABF">
              <w:rPr>
                <w:b/>
                <w:noProof/>
                <w:sz w:val="22"/>
                <w:szCs w:val="22"/>
              </w:rPr>
              <w:t xml:space="preserve">Art. </w:t>
            </w:r>
            <w:r w:rsidR="008B4C98" w:rsidRPr="00317ABF">
              <w:rPr>
                <w:b/>
                <w:noProof/>
                <w:sz w:val="22"/>
                <w:szCs w:val="22"/>
              </w:rPr>
              <w:t>190</w:t>
            </w:r>
          </w:p>
        </w:tc>
        <w:tc>
          <w:tcPr>
            <w:tcW w:w="6814" w:type="dxa"/>
            <w:gridSpan w:val="2"/>
          </w:tcPr>
          <w:p w14:paraId="3022D7DA" w14:textId="77777777" w:rsidR="008B4C98" w:rsidRPr="00317ABF" w:rsidRDefault="008B4C98" w:rsidP="008B4C98">
            <w:pPr>
              <w:pStyle w:val="ARTartustawynprozporzdzenia"/>
              <w:spacing w:line="240" w:lineRule="auto"/>
              <w:rPr>
                <w:rFonts w:ascii="Times New Roman" w:hAnsi="Times New Roman" w:cs="Times New Roman"/>
                <w:szCs w:val="24"/>
              </w:rPr>
            </w:pPr>
            <w:r w:rsidRPr="00317ABF">
              <w:rPr>
                <w:rStyle w:val="Ppogrubienie"/>
                <w:rFonts w:ascii="Times New Roman" w:hAnsi="Times New Roman"/>
                <w:szCs w:val="24"/>
              </w:rPr>
              <w:t>Art. 190.</w:t>
            </w:r>
            <w:r w:rsidRPr="00317ABF">
              <w:rPr>
                <w:rFonts w:ascii="Times New Roman" w:hAnsi="Times New Roman" w:cs="Times New Roman"/>
                <w:szCs w:val="24"/>
              </w:rPr>
              <w:t xml:space="preserve"> 1. Przepisy niniejszego rozdziału stosuje się również do sporów transgranicznych, z zastrzeżeniem ust. 2-5.</w:t>
            </w:r>
          </w:p>
          <w:p w14:paraId="43BF8F1A" w14:textId="77777777" w:rsidR="008B4C98" w:rsidRPr="00317ABF" w:rsidRDefault="008B4C98" w:rsidP="008B4C98">
            <w:pPr>
              <w:pStyle w:val="USTustnpkodeksu"/>
              <w:spacing w:line="240" w:lineRule="auto"/>
              <w:rPr>
                <w:rFonts w:ascii="Times New Roman" w:hAnsi="Times New Roman" w:cs="Times New Roman"/>
                <w:szCs w:val="24"/>
              </w:rPr>
            </w:pPr>
            <w:r w:rsidRPr="00317ABF">
              <w:rPr>
                <w:rFonts w:ascii="Times New Roman" w:hAnsi="Times New Roman" w:cs="Times New Roman"/>
                <w:szCs w:val="24"/>
              </w:rPr>
              <w:t>2. Sporem transgranicznym jest spór, w którym jedną ze stron jest przedsiębiorca komunikacji elektronicznej z innego państwa członkowskiego.</w:t>
            </w:r>
          </w:p>
          <w:p w14:paraId="26E1A82C" w14:textId="77777777" w:rsidR="008B4C98" w:rsidRPr="00317ABF" w:rsidRDefault="008B4C98" w:rsidP="008B4C98">
            <w:pPr>
              <w:pStyle w:val="ARTartustawynprozporzdzenia"/>
              <w:spacing w:line="240" w:lineRule="auto"/>
              <w:rPr>
                <w:rFonts w:ascii="Times New Roman" w:hAnsi="Times New Roman" w:cs="Times New Roman"/>
                <w:szCs w:val="24"/>
              </w:rPr>
            </w:pPr>
            <w:r w:rsidRPr="00317ABF">
              <w:rPr>
                <w:rFonts w:ascii="Times New Roman" w:hAnsi="Times New Roman" w:cs="Times New Roman"/>
                <w:szCs w:val="24"/>
              </w:rPr>
              <w:t>3. W przypadku gdy spór ma wpływ na wymianę handlową między państwami członkowskimi, Prezes UKE zgłasza taki spór do BEREC wraz z przedstawieniem stanu faktycznego, w celu doprowadzenia do spójnego rozstrzygnięcia sporu. W przypadku takiego sporu nie przeprowadza się postępowania konsolidacyjnego, o którym mowa w Dziale I Rozdziale 4 oddziale 2.</w:t>
            </w:r>
          </w:p>
          <w:p w14:paraId="39FD5DA7" w14:textId="77777777" w:rsidR="008B4C98" w:rsidRPr="00317ABF" w:rsidRDefault="008B4C98" w:rsidP="008B4C98">
            <w:pPr>
              <w:pStyle w:val="ARTartustawynprozporzdzenia"/>
              <w:spacing w:line="240" w:lineRule="auto"/>
              <w:rPr>
                <w:rFonts w:ascii="Times New Roman" w:hAnsi="Times New Roman" w:cs="Times New Roman"/>
                <w:szCs w:val="24"/>
              </w:rPr>
            </w:pPr>
            <w:r w:rsidRPr="00317ABF">
              <w:rPr>
                <w:rFonts w:ascii="Times New Roman" w:hAnsi="Times New Roman" w:cs="Times New Roman"/>
                <w:szCs w:val="24"/>
              </w:rPr>
              <w:t>4. Prezes UKE ściśle współpracuje z BEREC w celu określenia właściwego i skutecznego rozstrzygnięcia sporu, spełniającego cele, o których mowa w art. 407 ust. 2, biorąc jednocześnie pod uwagę stanowiska uczestników sporu.</w:t>
            </w:r>
          </w:p>
          <w:p w14:paraId="5BB805B2" w14:textId="5F81AE38" w:rsidR="001E1112" w:rsidRPr="00317ABF" w:rsidRDefault="008B4C98" w:rsidP="008B4C98">
            <w:pPr>
              <w:pStyle w:val="ARTartustawynprozporzdzenia"/>
              <w:spacing w:line="240" w:lineRule="auto"/>
              <w:rPr>
                <w:rFonts w:ascii="Times New Roman" w:hAnsi="Times New Roman" w:cs="Times New Roman"/>
                <w:szCs w:val="24"/>
              </w:rPr>
            </w:pPr>
            <w:r w:rsidRPr="00317ABF">
              <w:rPr>
                <w:rFonts w:ascii="Times New Roman" w:hAnsi="Times New Roman" w:cs="Times New Roman"/>
                <w:szCs w:val="24"/>
              </w:rPr>
              <w:t>5. Prezes UKE rozstrzyga spór w terminie miesiąca od wydania przez BEREC opinii, a w przypadku braku wydania przez BEREC opinii w terminie 4 miesięcy, w terminie 5 miesięcy od zgłoszenia, o którym mowa w ust. 3.</w:t>
            </w:r>
          </w:p>
          <w:p w14:paraId="263F3B9E" w14:textId="77777777" w:rsidR="001E1112" w:rsidRPr="00317ABF" w:rsidRDefault="001E1112" w:rsidP="00DB3BEC">
            <w:pPr>
              <w:pStyle w:val="Tekstpodstawowy"/>
              <w:rPr>
                <w:sz w:val="22"/>
                <w:szCs w:val="22"/>
              </w:rPr>
            </w:pPr>
          </w:p>
        </w:tc>
      </w:tr>
      <w:tr w:rsidR="001E1112" w:rsidRPr="00317ABF" w14:paraId="0AAD9908" w14:textId="77777777" w:rsidTr="7753F98D">
        <w:trPr>
          <w:gridAfter w:val="2"/>
          <w:wAfter w:w="175" w:type="dxa"/>
        </w:trPr>
        <w:tc>
          <w:tcPr>
            <w:tcW w:w="704" w:type="dxa"/>
          </w:tcPr>
          <w:p w14:paraId="4BAB14CC" w14:textId="77777777" w:rsidR="001E1112" w:rsidRPr="00317ABF" w:rsidRDefault="001E1112" w:rsidP="00DB3BEC">
            <w:pPr>
              <w:jc w:val="both"/>
              <w:rPr>
                <w:sz w:val="22"/>
                <w:szCs w:val="22"/>
              </w:rPr>
            </w:pPr>
            <w:r w:rsidRPr="00317ABF">
              <w:rPr>
                <w:sz w:val="22"/>
                <w:szCs w:val="22"/>
              </w:rPr>
              <w:lastRenderedPageBreak/>
              <w:t>Art. 27 ust. 3</w:t>
            </w:r>
          </w:p>
        </w:tc>
        <w:tc>
          <w:tcPr>
            <w:tcW w:w="4308" w:type="dxa"/>
          </w:tcPr>
          <w:p w14:paraId="492DC100" w14:textId="77777777" w:rsidR="001E1112" w:rsidRPr="00317ABF" w:rsidRDefault="001E1112" w:rsidP="00DB3BEC">
            <w:pPr>
              <w:spacing w:before="120"/>
              <w:jc w:val="both"/>
              <w:rPr>
                <w:sz w:val="22"/>
                <w:szCs w:val="22"/>
              </w:rPr>
            </w:pPr>
            <w:r w:rsidRPr="00317ABF">
              <w:rPr>
                <w:sz w:val="22"/>
                <w:szCs w:val="22"/>
              </w:rPr>
              <w:t>3.   W przypadku takiego zgłoszenia BEREC, w jak najkrótszym czasie, a w każdym razie w terminie czterech miesięcy, chyba że zachodzą wyjątkowe okoliczności wydaje opinię zachęcającą krajowy organ regulacyjny lub krajowe organy regulacyjne do podjęcia konkretnego działania w celu rozstrzygnięcia sporu lub do zaniechania danego działania.</w:t>
            </w:r>
          </w:p>
        </w:tc>
        <w:tc>
          <w:tcPr>
            <w:tcW w:w="986" w:type="dxa"/>
          </w:tcPr>
          <w:p w14:paraId="46B703C4" w14:textId="77777777" w:rsidR="001E1112" w:rsidRPr="00317ABF" w:rsidRDefault="001E1112" w:rsidP="00DB3BEC">
            <w:pPr>
              <w:jc w:val="both"/>
              <w:rPr>
                <w:b/>
                <w:sz w:val="22"/>
                <w:szCs w:val="22"/>
              </w:rPr>
            </w:pPr>
            <w:r w:rsidRPr="00317ABF">
              <w:rPr>
                <w:b/>
                <w:sz w:val="22"/>
                <w:szCs w:val="22"/>
              </w:rPr>
              <w:t>N</w:t>
            </w:r>
          </w:p>
        </w:tc>
        <w:tc>
          <w:tcPr>
            <w:tcW w:w="910" w:type="dxa"/>
          </w:tcPr>
          <w:p w14:paraId="16E5E008" w14:textId="77777777" w:rsidR="001E1112" w:rsidRPr="00317ABF" w:rsidRDefault="001E1112" w:rsidP="00DB3BEC">
            <w:pPr>
              <w:pStyle w:val="Tekstpodstawowy"/>
              <w:rPr>
                <w:b/>
                <w:noProof/>
                <w:sz w:val="22"/>
                <w:szCs w:val="22"/>
              </w:rPr>
            </w:pPr>
          </w:p>
        </w:tc>
        <w:tc>
          <w:tcPr>
            <w:tcW w:w="6814" w:type="dxa"/>
            <w:gridSpan w:val="2"/>
          </w:tcPr>
          <w:p w14:paraId="40D2860B" w14:textId="53E49508" w:rsidR="001E1112" w:rsidRPr="00317ABF" w:rsidRDefault="001E1112" w:rsidP="00DB3BEC">
            <w:pPr>
              <w:pStyle w:val="Tekstpodstawowy"/>
              <w:rPr>
                <w:sz w:val="22"/>
                <w:szCs w:val="22"/>
              </w:rPr>
            </w:pPr>
          </w:p>
        </w:tc>
      </w:tr>
      <w:tr w:rsidR="001E1112" w:rsidRPr="00317ABF" w14:paraId="1CE13543" w14:textId="77777777" w:rsidTr="7753F98D">
        <w:trPr>
          <w:gridAfter w:val="2"/>
          <w:wAfter w:w="175" w:type="dxa"/>
        </w:trPr>
        <w:tc>
          <w:tcPr>
            <w:tcW w:w="704" w:type="dxa"/>
          </w:tcPr>
          <w:p w14:paraId="2103ADFF" w14:textId="77777777" w:rsidR="001E1112" w:rsidRPr="00317ABF" w:rsidRDefault="001E1112" w:rsidP="00DB3BEC">
            <w:pPr>
              <w:jc w:val="both"/>
              <w:rPr>
                <w:sz w:val="22"/>
                <w:szCs w:val="22"/>
              </w:rPr>
            </w:pPr>
            <w:r w:rsidRPr="00317ABF">
              <w:rPr>
                <w:sz w:val="22"/>
                <w:szCs w:val="22"/>
              </w:rPr>
              <w:t>Art. 27 ust. 4</w:t>
            </w:r>
          </w:p>
        </w:tc>
        <w:tc>
          <w:tcPr>
            <w:tcW w:w="4308" w:type="dxa"/>
          </w:tcPr>
          <w:p w14:paraId="50320480" w14:textId="77777777" w:rsidR="001E1112" w:rsidRPr="00317ABF" w:rsidRDefault="001E1112" w:rsidP="00DB3BEC">
            <w:pPr>
              <w:spacing w:before="120"/>
              <w:jc w:val="both"/>
              <w:rPr>
                <w:sz w:val="22"/>
                <w:szCs w:val="22"/>
              </w:rPr>
            </w:pPr>
            <w:r w:rsidRPr="00317ABF">
              <w:rPr>
                <w:sz w:val="22"/>
                <w:szCs w:val="22"/>
              </w:rPr>
              <w:t>4.   Dany krajowy organ regulacyjny lub dane krajowe organy regulacyjne wstrzymują się z podjęciem działań mających na celu rozstrzygnięcie sporu do czasu wydania przez BEREC opinii. W wyjątkowych okolicznościach, w których istnieje konieczność podjęcia pilnych działań, aby zagwarantować konkurencję lub ochronić interesy użytkowników końcowych, dowolny z krajowych organów regulacyjnych może – albo na wniosek stron, albo z własnej inicjatywy – zastosować środki tymczasowe.</w:t>
            </w:r>
          </w:p>
        </w:tc>
        <w:tc>
          <w:tcPr>
            <w:tcW w:w="986" w:type="dxa"/>
          </w:tcPr>
          <w:p w14:paraId="42050CB3" w14:textId="7005AC2A" w:rsidR="001E1112" w:rsidRPr="00317ABF" w:rsidRDefault="001E1112" w:rsidP="00DB3BEC">
            <w:pPr>
              <w:jc w:val="both"/>
              <w:rPr>
                <w:sz w:val="22"/>
                <w:szCs w:val="22"/>
              </w:rPr>
            </w:pPr>
            <w:r w:rsidRPr="00317ABF">
              <w:rPr>
                <w:b/>
                <w:sz w:val="22"/>
                <w:szCs w:val="22"/>
              </w:rPr>
              <w:t>N</w:t>
            </w:r>
          </w:p>
        </w:tc>
        <w:tc>
          <w:tcPr>
            <w:tcW w:w="910" w:type="dxa"/>
          </w:tcPr>
          <w:p w14:paraId="130CC4CD" w14:textId="77777777" w:rsidR="001E1112" w:rsidRPr="00317ABF" w:rsidRDefault="001E1112" w:rsidP="00DB3BEC">
            <w:pPr>
              <w:pStyle w:val="Tekstpodstawowy"/>
              <w:rPr>
                <w:b/>
                <w:noProof/>
                <w:sz w:val="22"/>
                <w:szCs w:val="22"/>
              </w:rPr>
            </w:pPr>
          </w:p>
        </w:tc>
        <w:tc>
          <w:tcPr>
            <w:tcW w:w="6814" w:type="dxa"/>
            <w:gridSpan w:val="2"/>
          </w:tcPr>
          <w:p w14:paraId="055BFDB1" w14:textId="0C094B74" w:rsidR="001E1112" w:rsidRPr="00317ABF" w:rsidRDefault="001E1112" w:rsidP="00DB3BEC">
            <w:pPr>
              <w:pStyle w:val="Tekstpodstawowy"/>
              <w:rPr>
                <w:sz w:val="22"/>
                <w:szCs w:val="22"/>
              </w:rPr>
            </w:pPr>
          </w:p>
        </w:tc>
      </w:tr>
      <w:tr w:rsidR="001E1112" w:rsidRPr="00317ABF" w14:paraId="1AB7F67A" w14:textId="77777777" w:rsidTr="7753F98D">
        <w:trPr>
          <w:gridAfter w:val="2"/>
          <w:wAfter w:w="175" w:type="dxa"/>
        </w:trPr>
        <w:tc>
          <w:tcPr>
            <w:tcW w:w="704" w:type="dxa"/>
          </w:tcPr>
          <w:p w14:paraId="0C163CCB" w14:textId="77777777" w:rsidR="001E1112" w:rsidRPr="00317ABF" w:rsidRDefault="001E1112" w:rsidP="00DB3BEC">
            <w:pPr>
              <w:jc w:val="both"/>
              <w:rPr>
                <w:sz w:val="22"/>
                <w:szCs w:val="22"/>
              </w:rPr>
            </w:pPr>
            <w:r w:rsidRPr="00317ABF">
              <w:rPr>
                <w:sz w:val="22"/>
                <w:szCs w:val="22"/>
              </w:rPr>
              <w:t>Art. 27 ust. 5</w:t>
            </w:r>
          </w:p>
        </w:tc>
        <w:tc>
          <w:tcPr>
            <w:tcW w:w="4308" w:type="dxa"/>
          </w:tcPr>
          <w:p w14:paraId="499B902D" w14:textId="77777777" w:rsidR="001E1112" w:rsidRPr="00317ABF" w:rsidRDefault="001E1112" w:rsidP="00DB3BEC">
            <w:pPr>
              <w:spacing w:before="120"/>
              <w:jc w:val="both"/>
              <w:rPr>
                <w:sz w:val="22"/>
                <w:szCs w:val="22"/>
              </w:rPr>
            </w:pPr>
            <w:r w:rsidRPr="00317ABF">
              <w:rPr>
                <w:sz w:val="22"/>
                <w:szCs w:val="22"/>
              </w:rPr>
              <w:t>5.   Wszelkie obowiązki nałożone na przedsiębiorstwo przez krajowy organ regulacyjny w ramach rozstrzygania sporu muszą być zgodne z przepisami niniejszej dyrektywy, w jak największym stopniu uwzględniać opinię przyjętą przez BEREC i muszą zostać przyjęte w terminie jednego miesiąca od daty wydania tej opinii.</w:t>
            </w:r>
          </w:p>
        </w:tc>
        <w:tc>
          <w:tcPr>
            <w:tcW w:w="986" w:type="dxa"/>
          </w:tcPr>
          <w:p w14:paraId="38E78751" w14:textId="1E495CE6" w:rsidR="001E1112" w:rsidRPr="00317ABF" w:rsidRDefault="001E1112" w:rsidP="00DB3BEC">
            <w:pPr>
              <w:jc w:val="both"/>
              <w:rPr>
                <w:b/>
                <w:sz w:val="22"/>
                <w:szCs w:val="22"/>
              </w:rPr>
            </w:pPr>
            <w:r w:rsidRPr="00317ABF">
              <w:rPr>
                <w:b/>
                <w:sz w:val="22"/>
                <w:szCs w:val="22"/>
              </w:rPr>
              <w:t>T</w:t>
            </w:r>
          </w:p>
        </w:tc>
        <w:tc>
          <w:tcPr>
            <w:tcW w:w="910" w:type="dxa"/>
          </w:tcPr>
          <w:p w14:paraId="62A75F99" w14:textId="270AC479" w:rsidR="001E1112" w:rsidRPr="00317ABF" w:rsidRDefault="00D25060" w:rsidP="00DB3BEC">
            <w:pPr>
              <w:pStyle w:val="Tekstpodstawowy"/>
              <w:rPr>
                <w:b/>
                <w:noProof/>
                <w:sz w:val="22"/>
                <w:szCs w:val="22"/>
              </w:rPr>
            </w:pPr>
            <w:r w:rsidRPr="00317ABF">
              <w:rPr>
                <w:b/>
                <w:noProof/>
                <w:sz w:val="22"/>
                <w:szCs w:val="22"/>
              </w:rPr>
              <w:t>Art. 4 ust. 3, art. 190</w:t>
            </w:r>
            <w:r w:rsidR="001E1112" w:rsidRPr="00317ABF">
              <w:rPr>
                <w:b/>
                <w:noProof/>
                <w:sz w:val="22"/>
                <w:szCs w:val="22"/>
              </w:rPr>
              <w:t xml:space="preserve"> ust. 5</w:t>
            </w:r>
          </w:p>
        </w:tc>
        <w:tc>
          <w:tcPr>
            <w:tcW w:w="6814" w:type="dxa"/>
            <w:gridSpan w:val="2"/>
          </w:tcPr>
          <w:p w14:paraId="27668C1B" w14:textId="72954E84" w:rsidR="001E1112" w:rsidRPr="00317ABF" w:rsidRDefault="00D25060" w:rsidP="00DB3BEC">
            <w:pPr>
              <w:jc w:val="both"/>
              <w:rPr>
                <w:rFonts w:eastAsia="Times"/>
                <w:b/>
                <w:sz w:val="22"/>
                <w:szCs w:val="22"/>
              </w:rPr>
            </w:pPr>
            <w:r w:rsidRPr="00317ABF">
              <w:rPr>
                <w:rFonts w:eastAsia="Times"/>
                <w:b/>
                <w:sz w:val="22"/>
                <w:szCs w:val="22"/>
              </w:rPr>
              <w:t>Art. 190</w:t>
            </w:r>
            <w:r w:rsidR="001E1112" w:rsidRPr="00317ABF">
              <w:rPr>
                <w:rFonts w:eastAsia="Times"/>
                <w:b/>
                <w:sz w:val="22"/>
                <w:szCs w:val="22"/>
              </w:rPr>
              <w:t xml:space="preserve"> </w:t>
            </w:r>
          </w:p>
          <w:p w14:paraId="088BECFC" w14:textId="629E93C6" w:rsidR="001E1112" w:rsidRPr="00317ABF" w:rsidRDefault="001E1112" w:rsidP="00DB3BEC">
            <w:pPr>
              <w:ind w:firstLine="510"/>
              <w:jc w:val="both"/>
              <w:rPr>
                <w:rFonts w:eastAsia="Times"/>
                <w:sz w:val="22"/>
                <w:szCs w:val="22"/>
              </w:rPr>
            </w:pPr>
            <w:r w:rsidRPr="00317ABF">
              <w:rPr>
                <w:rFonts w:eastAsia="Times"/>
                <w:sz w:val="22"/>
                <w:szCs w:val="22"/>
              </w:rPr>
              <w:t xml:space="preserve">5. </w:t>
            </w:r>
            <w:r w:rsidR="00D25060" w:rsidRPr="00317ABF">
              <w:t xml:space="preserve"> Prezes UKE rozstrzyga spór w terminie miesiąca od wydania przez BEREC opinii, a w przypadku braku wydania przez BEREC opinii w terminie 4 miesięcy, w terminie 5 miesięcy od zgłoszenia, o którym mowa w ust. 3.</w:t>
            </w:r>
          </w:p>
          <w:p w14:paraId="3F903D7E" w14:textId="77777777" w:rsidR="001E1112" w:rsidRPr="00317ABF" w:rsidRDefault="001E1112" w:rsidP="00DB3BEC">
            <w:pPr>
              <w:jc w:val="both"/>
              <w:rPr>
                <w:rFonts w:eastAsia="Times"/>
                <w:sz w:val="22"/>
                <w:szCs w:val="22"/>
              </w:rPr>
            </w:pPr>
          </w:p>
          <w:p w14:paraId="1972DE23" w14:textId="404725AF" w:rsidR="001E1112" w:rsidRPr="00317ABF" w:rsidRDefault="001E1112" w:rsidP="00DB3BEC">
            <w:pPr>
              <w:jc w:val="both"/>
              <w:rPr>
                <w:rFonts w:eastAsia="Times"/>
                <w:sz w:val="22"/>
                <w:szCs w:val="22"/>
              </w:rPr>
            </w:pPr>
            <w:r w:rsidRPr="00317ABF">
              <w:rPr>
                <w:rFonts w:eastAsia="Times"/>
                <w:sz w:val="22"/>
                <w:szCs w:val="22"/>
              </w:rPr>
              <w:t>Art. 4</w:t>
            </w:r>
          </w:p>
          <w:p w14:paraId="12B93817" w14:textId="77777777" w:rsidR="001E1112" w:rsidRPr="00317ABF" w:rsidRDefault="001E1112" w:rsidP="00DB3BEC">
            <w:pPr>
              <w:ind w:firstLine="510"/>
              <w:jc w:val="both"/>
              <w:rPr>
                <w:rFonts w:eastAsia="Times"/>
                <w:sz w:val="22"/>
                <w:szCs w:val="22"/>
              </w:rPr>
            </w:pPr>
            <w:r w:rsidRPr="00317ABF">
              <w:rPr>
                <w:rFonts w:eastAsia="Times"/>
                <w:sz w:val="22"/>
                <w:szCs w:val="22"/>
              </w:rPr>
              <w:t xml:space="preserve">3. Prezes UKE uwzględnia przy stosowaniu ustawy w największym możliwie stopniu wytyczne, opinie, zalecenia, wspólne stanowiska, najlepsze praktyki i metodologie przyjmowane przez Organ Europejskich Regulatorów Łączności Elektronicznej, zwany dalej „BEREC”, w ich aktualnym brzmieniu. </w:t>
            </w:r>
          </w:p>
          <w:p w14:paraId="1B93DE05" w14:textId="77777777" w:rsidR="001E1112" w:rsidRPr="00317ABF" w:rsidRDefault="001E1112" w:rsidP="00DB3BEC">
            <w:pPr>
              <w:jc w:val="both"/>
              <w:rPr>
                <w:rFonts w:eastAsia="Times"/>
                <w:sz w:val="22"/>
                <w:szCs w:val="22"/>
              </w:rPr>
            </w:pPr>
          </w:p>
          <w:p w14:paraId="2ECAA31B" w14:textId="77777777" w:rsidR="001E1112" w:rsidRPr="00317ABF" w:rsidRDefault="001E1112" w:rsidP="00DB3BEC">
            <w:pPr>
              <w:pStyle w:val="Tekstpodstawowy"/>
              <w:rPr>
                <w:sz w:val="22"/>
                <w:szCs w:val="22"/>
              </w:rPr>
            </w:pPr>
          </w:p>
        </w:tc>
      </w:tr>
      <w:tr w:rsidR="001E1112" w:rsidRPr="00317ABF" w14:paraId="1D55FAEC" w14:textId="77777777" w:rsidTr="7753F98D">
        <w:trPr>
          <w:gridAfter w:val="2"/>
          <w:wAfter w:w="175" w:type="dxa"/>
        </w:trPr>
        <w:tc>
          <w:tcPr>
            <w:tcW w:w="704" w:type="dxa"/>
          </w:tcPr>
          <w:p w14:paraId="256A5EC6" w14:textId="77777777" w:rsidR="001E1112" w:rsidRPr="00317ABF" w:rsidRDefault="001E1112" w:rsidP="00DB3BEC">
            <w:pPr>
              <w:jc w:val="both"/>
              <w:rPr>
                <w:sz w:val="22"/>
                <w:szCs w:val="22"/>
              </w:rPr>
            </w:pPr>
            <w:r w:rsidRPr="00317ABF">
              <w:rPr>
                <w:sz w:val="22"/>
                <w:szCs w:val="22"/>
              </w:rPr>
              <w:t>Art. 27 ust. 6</w:t>
            </w:r>
          </w:p>
        </w:tc>
        <w:tc>
          <w:tcPr>
            <w:tcW w:w="4308" w:type="dxa"/>
          </w:tcPr>
          <w:p w14:paraId="6748A1D4" w14:textId="77777777" w:rsidR="001E1112" w:rsidRPr="00317ABF" w:rsidRDefault="001E1112" w:rsidP="00DB3BEC">
            <w:pPr>
              <w:spacing w:before="120"/>
              <w:jc w:val="both"/>
              <w:rPr>
                <w:sz w:val="22"/>
                <w:szCs w:val="22"/>
              </w:rPr>
            </w:pPr>
            <w:r w:rsidRPr="00317ABF">
              <w:rPr>
                <w:sz w:val="22"/>
                <w:szCs w:val="22"/>
              </w:rPr>
              <w:t>6.   Procedura, o której mowa w ust. 2, nie stanowi przeszkody dla żadnej ze stron we wniesieniu powództwa do sądu.</w:t>
            </w:r>
          </w:p>
        </w:tc>
        <w:tc>
          <w:tcPr>
            <w:tcW w:w="986" w:type="dxa"/>
          </w:tcPr>
          <w:p w14:paraId="2FBD1CFD" w14:textId="7F098C36" w:rsidR="001E1112" w:rsidRPr="00317ABF" w:rsidRDefault="001E1112" w:rsidP="00DB3BEC">
            <w:pPr>
              <w:jc w:val="both"/>
              <w:rPr>
                <w:b/>
                <w:sz w:val="22"/>
                <w:szCs w:val="22"/>
              </w:rPr>
            </w:pPr>
            <w:r w:rsidRPr="00317ABF">
              <w:rPr>
                <w:b/>
                <w:sz w:val="22"/>
                <w:szCs w:val="22"/>
              </w:rPr>
              <w:t>N</w:t>
            </w:r>
          </w:p>
        </w:tc>
        <w:tc>
          <w:tcPr>
            <w:tcW w:w="910" w:type="dxa"/>
          </w:tcPr>
          <w:p w14:paraId="3FDCE676" w14:textId="77777777" w:rsidR="001E1112" w:rsidRPr="00317ABF" w:rsidRDefault="001E1112" w:rsidP="00DB3BEC">
            <w:pPr>
              <w:pStyle w:val="Tekstpodstawowy"/>
              <w:rPr>
                <w:b/>
                <w:noProof/>
                <w:sz w:val="22"/>
                <w:szCs w:val="22"/>
              </w:rPr>
            </w:pPr>
          </w:p>
        </w:tc>
        <w:tc>
          <w:tcPr>
            <w:tcW w:w="6814" w:type="dxa"/>
            <w:gridSpan w:val="2"/>
          </w:tcPr>
          <w:p w14:paraId="2FC0A1CB" w14:textId="022D7900" w:rsidR="001E1112" w:rsidRPr="00317ABF" w:rsidRDefault="001E1112" w:rsidP="00DB3BEC">
            <w:pPr>
              <w:spacing w:before="120"/>
              <w:jc w:val="both"/>
              <w:rPr>
                <w:b/>
                <w:sz w:val="22"/>
                <w:szCs w:val="22"/>
              </w:rPr>
            </w:pPr>
          </w:p>
        </w:tc>
      </w:tr>
      <w:tr w:rsidR="001E1112" w:rsidRPr="00317ABF" w14:paraId="0FDDCDEB" w14:textId="77777777" w:rsidTr="7753F98D">
        <w:trPr>
          <w:gridAfter w:val="2"/>
          <w:wAfter w:w="175" w:type="dxa"/>
        </w:trPr>
        <w:tc>
          <w:tcPr>
            <w:tcW w:w="704" w:type="dxa"/>
          </w:tcPr>
          <w:p w14:paraId="7C170DC4" w14:textId="77777777" w:rsidR="001E1112" w:rsidRPr="00317ABF" w:rsidRDefault="001E1112" w:rsidP="00DB3BEC">
            <w:pPr>
              <w:jc w:val="both"/>
              <w:rPr>
                <w:b/>
                <w:sz w:val="22"/>
                <w:szCs w:val="22"/>
              </w:rPr>
            </w:pPr>
            <w:r w:rsidRPr="00317ABF">
              <w:rPr>
                <w:b/>
                <w:sz w:val="22"/>
                <w:szCs w:val="22"/>
              </w:rPr>
              <w:lastRenderedPageBreak/>
              <w:t>Art. 28</w:t>
            </w:r>
          </w:p>
        </w:tc>
        <w:tc>
          <w:tcPr>
            <w:tcW w:w="4308" w:type="dxa"/>
          </w:tcPr>
          <w:p w14:paraId="38E82CA7" w14:textId="77777777" w:rsidR="001E1112" w:rsidRPr="00317ABF" w:rsidRDefault="001E1112" w:rsidP="00DB3BEC">
            <w:pPr>
              <w:spacing w:before="120"/>
              <w:jc w:val="both"/>
              <w:rPr>
                <w:sz w:val="22"/>
                <w:szCs w:val="22"/>
              </w:rPr>
            </w:pPr>
            <w:r w:rsidRPr="00317ABF">
              <w:rPr>
                <w:b/>
                <w:bCs/>
                <w:sz w:val="22"/>
                <w:szCs w:val="22"/>
              </w:rPr>
              <w:t>Koordynacja widma radiowego między państwami członkowskimi</w:t>
            </w:r>
          </w:p>
        </w:tc>
        <w:tc>
          <w:tcPr>
            <w:tcW w:w="986" w:type="dxa"/>
          </w:tcPr>
          <w:p w14:paraId="3A2BAADD" w14:textId="77777777" w:rsidR="001E1112" w:rsidRPr="00317ABF" w:rsidRDefault="001E1112" w:rsidP="00DB3BEC">
            <w:pPr>
              <w:jc w:val="both"/>
              <w:rPr>
                <w:sz w:val="22"/>
                <w:szCs w:val="22"/>
              </w:rPr>
            </w:pPr>
          </w:p>
        </w:tc>
        <w:tc>
          <w:tcPr>
            <w:tcW w:w="910" w:type="dxa"/>
          </w:tcPr>
          <w:p w14:paraId="2E4B6A3E" w14:textId="77777777" w:rsidR="001E1112" w:rsidRPr="00317ABF" w:rsidRDefault="001E1112" w:rsidP="00DB3BEC">
            <w:pPr>
              <w:pStyle w:val="Tekstpodstawowy"/>
              <w:rPr>
                <w:b/>
                <w:noProof/>
                <w:sz w:val="22"/>
                <w:szCs w:val="22"/>
              </w:rPr>
            </w:pPr>
          </w:p>
        </w:tc>
        <w:tc>
          <w:tcPr>
            <w:tcW w:w="6814" w:type="dxa"/>
            <w:gridSpan w:val="2"/>
          </w:tcPr>
          <w:p w14:paraId="7EF37AA3" w14:textId="77777777" w:rsidR="001E1112" w:rsidRPr="00317ABF" w:rsidRDefault="001E1112" w:rsidP="00DB3BEC">
            <w:pPr>
              <w:pStyle w:val="Tekstpodstawowy"/>
              <w:rPr>
                <w:sz w:val="22"/>
                <w:szCs w:val="22"/>
              </w:rPr>
            </w:pPr>
          </w:p>
        </w:tc>
      </w:tr>
      <w:tr w:rsidR="001E1112" w:rsidRPr="00317ABF" w14:paraId="22032D25" w14:textId="77777777" w:rsidTr="7753F98D">
        <w:trPr>
          <w:gridAfter w:val="2"/>
          <w:wAfter w:w="175" w:type="dxa"/>
        </w:trPr>
        <w:tc>
          <w:tcPr>
            <w:tcW w:w="704" w:type="dxa"/>
          </w:tcPr>
          <w:p w14:paraId="0F1C1340" w14:textId="77777777" w:rsidR="001E1112" w:rsidRPr="00317ABF" w:rsidRDefault="001E1112" w:rsidP="00DB3BEC">
            <w:pPr>
              <w:jc w:val="both"/>
              <w:rPr>
                <w:sz w:val="22"/>
                <w:szCs w:val="22"/>
              </w:rPr>
            </w:pPr>
            <w:r w:rsidRPr="00317ABF">
              <w:rPr>
                <w:sz w:val="22"/>
                <w:szCs w:val="22"/>
              </w:rPr>
              <w:t>Art. 28 ust. 1</w:t>
            </w:r>
          </w:p>
        </w:tc>
        <w:tc>
          <w:tcPr>
            <w:tcW w:w="4308" w:type="dxa"/>
          </w:tcPr>
          <w:p w14:paraId="1BB85AEB" w14:textId="77777777" w:rsidR="001E1112" w:rsidRPr="00317ABF" w:rsidRDefault="001E1112" w:rsidP="00DB3BEC">
            <w:pPr>
              <w:spacing w:before="120"/>
              <w:jc w:val="both"/>
              <w:rPr>
                <w:sz w:val="22"/>
                <w:szCs w:val="22"/>
              </w:rPr>
            </w:pPr>
            <w:r w:rsidRPr="00317ABF">
              <w:rPr>
                <w:sz w:val="22"/>
                <w:szCs w:val="22"/>
              </w:rPr>
              <w:t>1.   Państwa członkowskie i ich właściwe organy zapewniają, aby wykorzystanie widma radiowego było zorganizowane na ich terytorium w sposób, który nie uniemożliwia żadnemu innemu państwu członkowskiemu zezwalania na swoim terytorium na wykorzystanie zharmonizowanego widma radiowego zgodnie z przepisami prawa Unii, zwłaszcza ze względu na szkodliwe zakłócenia transgraniczne między państwami członkowskimi.</w:t>
            </w:r>
          </w:p>
          <w:p w14:paraId="20B85438" w14:textId="77777777" w:rsidR="001E1112" w:rsidRPr="00317ABF" w:rsidRDefault="001E1112" w:rsidP="00DB3BEC">
            <w:pPr>
              <w:spacing w:before="120"/>
              <w:jc w:val="both"/>
              <w:rPr>
                <w:sz w:val="22"/>
                <w:szCs w:val="22"/>
              </w:rPr>
            </w:pPr>
            <w:r w:rsidRPr="00317ABF">
              <w:rPr>
                <w:sz w:val="22"/>
                <w:szCs w:val="22"/>
              </w:rPr>
              <w:t>Państwa członkowskie stosują w tym celu wszelkie niezbędne środki bez uszczerbku dla spoczywających na nich obowiązków wynikających z przepisów prawa międzynarodowego i postanowień odpowiednich umów międzynarodowych, takich jak Regulamin radiokomunikacyjny ITU i regionalne porozumienia radiowe ITU.</w:t>
            </w:r>
          </w:p>
        </w:tc>
        <w:tc>
          <w:tcPr>
            <w:tcW w:w="986" w:type="dxa"/>
          </w:tcPr>
          <w:p w14:paraId="3C7576EC" w14:textId="35434AC2" w:rsidR="001E1112" w:rsidRPr="00317ABF" w:rsidRDefault="001E1112" w:rsidP="00DB3BEC">
            <w:pPr>
              <w:jc w:val="both"/>
              <w:rPr>
                <w:sz w:val="22"/>
                <w:szCs w:val="22"/>
              </w:rPr>
            </w:pPr>
            <w:r w:rsidRPr="00317ABF">
              <w:rPr>
                <w:sz w:val="22"/>
                <w:szCs w:val="22"/>
              </w:rPr>
              <w:t>T</w:t>
            </w:r>
          </w:p>
        </w:tc>
        <w:tc>
          <w:tcPr>
            <w:tcW w:w="910" w:type="dxa"/>
          </w:tcPr>
          <w:p w14:paraId="0AF7EE11" w14:textId="7E8E9A71" w:rsidR="001E1112" w:rsidRPr="00317ABF" w:rsidRDefault="00DB3BEC" w:rsidP="00DB3BEC">
            <w:pPr>
              <w:pStyle w:val="Tekstpodstawowy"/>
              <w:rPr>
                <w:b/>
                <w:bCs/>
                <w:noProof/>
                <w:sz w:val="22"/>
                <w:szCs w:val="22"/>
              </w:rPr>
            </w:pPr>
            <w:r w:rsidRPr="00317ABF">
              <w:rPr>
                <w:b/>
                <w:bCs/>
                <w:noProof/>
                <w:sz w:val="22"/>
                <w:szCs w:val="22"/>
              </w:rPr>
              <w:t xml:space="preserve">Art. </w:t>
            </w:r>
            <w:r w:rsidR="00357107" w:rsidRPr="00317ABF">
              <w:rPr>
                <w:b/>
                <w:bCs/>
                <w:noProof/>
                <w:sz w:val="22"/>
                <w:szCs w:val="22"/>
              </w:rPr>
              <w:t>69</w:t>
            </w:r>
            <w:r w:rsidR="001E1112" w:rsidRPr="00317ABF">
              <w:rPr>
                <w:b/>
                <w:bCs/>
                <w:noProof/>
                <w:sz w:val="22"/>
                <w:szCs w:val="22"/>
              </w:rPr>
              <w:t xml:space="preserve"> ust. 1 pkt 3, 4 i 6</w:t>
            </w:r>
          </w:p>
          <w:p w14:paraId="5829A766" w14:textId="030F7DFC" w:rsidR="001E1112" w:rsidRPr="00317ABF" w:rsidRDefault="001E1112" w:rsidP="00DB3BEC">
            <w:pPr>
              <w:pStyle w:val="Tekstpodstawowy"/>
              <w:rPr>
                <w:b/>
                <w:bCs/>
                <w:noProof/>
                <w:sz w:val="22"/>
                <w:szCs w:val="22"/>
              </w:rPr>
            </w:pPr>
          </w:p>
          <w:p w14:paraId="7DB4634A" w14:textId="773D96AD" w:rsidR="001E1112" w:rsidRPr="00317ABF" w:rsidRDefault="001E1112" w:rsidP="00DB3BEC">
            <w:pPr>
              <w:pStyle w:val="Tekstpodstawowy"/>
              <w:rPr>
                <w:b/>
                <w:bCs/>
                <w:noProof/>
                <w:sz w:val="22"/>
                <w:szCs w:val="22"/>
              </w:rPr>
            </w:pPr>
          </w:p>
          <w:p w14:paraId="3210F81B" w14:textId="6A989A75" w:rsidR="001E1112" w:rsidRPr="00317ABF" w:rsidRDefault="001E1112" w:rsidP="00DB3BEC">
            <w:pPr>
              <w:pStyle w:val="Tekstpodstawowy"/>
              <w:rPr>
                <w:b/>
                <w:bCs/>
                <w:noProof/>
                <w:sz w:val="22"/>
                <w:szCs w:val="22"/>
              </w:rPr>
            </w:pPr>
          </w:p>
          <w:p w14:paraId="690475B1" w14:textId="676D909E" w:rsidR="001E1112" w:rsidRPr="00317ABF" w:rsidRDefault="001E1112" w:rsidP="00DB3BEC">
            <w:pPr>
              <w:pStyle w:val="Tekstpodstawowy"/>
              <w:rPr>
                <w:b/>
                <w:bCs/>
                <w:noProof/>
                <w:sz w:val="22"/>
                <w:szCs w:val="22"/>
              </w:rPr>
            </w:pPr>
          </w:p>
          <w:p w14:paraId="7257F994" w14:textId="60E9F5E0" w:rsidR="001E1112" w:rsidRPr="00317ABF" w:rsidRDefault="001E1112" w:rsidP="00DB3BEC">
            <w:pPr>
              <w:pStyle w:val="Tekstpodstawowy"/>
              <w:rPr>
                <w:b/>
                <w:bCs/>
                <w:noProof/>
                <w:sz w:val="22"/>
                <w:szCs w:val="22"/>
              </w:rPr>
            </w:pPr>
          </w:p>
          <w:p w14:paraId="261A35D5" w14:textId="45D9495D" w:rsidR="001E1112" w:rsidRPr="00317ABF" w:rsidRDefault="001E1112" w:rsidP="00DB3BEC">
            <w:pPr>
              <w:pStyle w:val="Tekstpodstawowy"/>
              <w:rPr>
                <w:b/>
                <w:bCs/>
                <w:noProof/>
                <w:sz w:val="22"/>
                <w:szCs w:val="22"/>
              </w:rPr>
            </w:pPr>
          </w:p>
          <w:p w14:paraId="4A7DCC8B" w14:textId="5289DC3A" w:rsidR="001E1112" w:rsidRPr="00317ABF" w:rsidRDefault="001E1112" w:rsidP="00DB3BEC">
            <w:pPr>
              <w:pStyle w:val="Tekstpodstawowy"/>
              <w:rPr>
                <w:b/>
                <w:bCs/>
                <w:noProof/>
                <w:sz w:val="22"/>
                <w:szCs w:val="22"/>
              </w:rPr>
            </w:pPr>
          </w:p>
          <w:p w14:paraId="3A03DA53" w14:textId="1E731A88" w:rsidR="001E1112" w:rsidRPr="00317ABF" w:rsidRDefault="001E1112" w:rsidP="00DB3BEC">
            <w:pPr>
              <w:pStyle w:val="Tekstpodstawowy"/>
              <w:rPr>
                <w:b/>
                <w:bCs/>
                <w:noProof/>
                <w:sz w:val="22"/>
                <w:szCs w:val="22"/>
              </w:rPr>
            </w:pPr>
          </w:p>
          <w:p w14:paraId="6C47F38E" w14:textId="46A94AA5" w:rsidR="001E1112" w:rsidRPr="00317ABF" w:rsidRDefault="001E1112" w:rsidP="00DB3BEC">
            <w:pPr>
              <w:pStyle w:val="Tekstpodstawowy"/>
              <w:rPr>
                <w:b/>
                <w:bCs/>
                <w:noProof/>
                <w:sz w:val="22"/>
                <w:szCs w:val="22"/>
              </w:rPr>
            </w:pPr>
          </w:p>
          <w:p w14:paraId="745921C9" w14:textId="7D7851C0" w:rsidR="001E1112" w:rsidRPr="00317ABF" w:rsidRDefault="001E1112" w:rsidP="00DB3BEC">
            <w:pPr>
              <w:pStyle w:val="Tekstpodstawowy"/>
              <w:rPr>
                <w:b/>
                <w:bCs/>
                <w:noProof/>
                <w:sz w:val="22"/>
                <w:szCs w:val="22"/>
              </w:rPr>
            </w:pPr>
          </w:p>
          <w:p w14:paraId="370BD6F9" w14:textId="6B323F46" w:rsidR="001E1112" w:rsidRPr="00317ABF" w:rsidRDefault="001E1112" w:rsidP="00DB3BEC">
            <w:pPr>
              <w:pStyle w:val="Tekstpodstawowy"/>
              <w:rPr>
                <w:b/>
                <w:bCs/>
                <w:noProof/>
                <w:sz w:val="22"/>
                <w:szCs w:val="22"/>
              </w:rPr>
            </w:pPr>
          </w:p>
          <w:p w14:paraId="4FD82653" w14:textId="63C72869" w:rsidR="001E1112" w:rsidRPr="00317ABF" w:rsidRDefault="001E1112" w:rsidP="00DB3BEC">
            <w:pPr>
              <w:pStyle w:val="Tekstpodstawowy"/>
              <w:rPr>
                <w:b/>
                <w:bCs/>
                <w:noProof/>
                <w:sz w:val="22"/>
                <w:szCs w:val="22"/>
              </w:rPr>
            </w:pPr>
          </w:p>
          <w:p w14:paraId="0ABE3755" w14:textId="3639BB4F" w:rsidR="001E1112" w:rsidRPr="00317ABF" w:rsidRDefault="001E1112" w:rsidP="00DB3BEC">
            <w:pPr>
              <w:pStyle w:val="Tekstpodstawowy"/>
              <w:rPr>
                <w:b/>
                <w:bCs/>
                <w:noProof/>
                <w:sz w:val="22"/>
                <w:szCs w:val="22"/>
              </w:rPr>
            </w:pPr>
          </w:p>
          <w:p w14:paraId="3167EF7A" w14:textId="6C76E435" w:rsidR="001E1112" w:rsidRPr="00317ABF" w:rsidRDefault="001E1112" w:rsidP="00DB3BEC">
            <w:pPr>
              <w:pStyle w:val="Tekstpodstawowy"/>
              <w:rPr>
                <w:b/>
                <w:bCs/>
                <w:noProof/>
                <w:sz w:val="22"/>
                <w:szCs w:val="22"/>
              </w:rPr>
            </w:pPr>
          </w:p>
          <w:p w14:paraId="31365B67" w14:textId="27A43F82" w:rsidR="001E1112" w:rsidRPr="00317ABF" w:rsidRDefault="001E1112" w:rsidP="00DB3BEC">
            <w:pPr>
              <w:pStyle w:val="Tekstpodstawowy"/>
              <w:rPr>
                <w:b/>
                <w:bCs/>
                <w:noProof/>
                <w:sz w:val="22"/>
                <w:szCs w:val="22"/>
              </w:rPr>
            </w:pPr>
          </w:p>
          <w:p w14:paraId="5220A702" w14:textId="49C19A7E" w:rsidR="001E1112" w:rsidRPr="00317ABF" w:rsidRDefault="001E1112" w:rsidP="00DB3BEC">
            <w:pPr>
              <w:pStyle w:val="Tekstpodstawowy"/>
              <w:rPr>
                <w:b/>
                <w:bCs/>
                <w:noProof/>
                <w:sz w:val="22"/>
                <w:szCs w:val="22"/>
              </w:rPr>
            </w:pPr>
          </w:p>
          <w:p w14:paraId="743ADAEB" w14:textId="28F34DCC" w:rsidR="001E1112" w:rsidRPr="00317ABF" w:rsidRDefault="001E1112" w:rsidP="00DB3BEC">
            <w:pPr>
              <w:pStyle w:val="Tekstpodstawowy"/>
              <w:rPr>
                <w:b/>
                <w:bCs/>
                <w:noProof/>
                <w:sz w:val="22"/>
                <w:szCs w:val="22"/>
              </w:rPr>
            </w:pPr>
          </w:p>
          <w:p w14:paraId="6000547E" w14:textId="5C2516AC" w:rsidR="001E1112" w:rsidRPr="00317ABF" w:rsidRDefault="00DB3BEC" w:rsidP="00DB3BEC">
            <w:pPr>
              <w:pStyle w:val="Tekstpodstawowy"/>
              <w:rPr>
                <w:b/>
                <w:bCs/>
                <w:noProof/>
                <w:sz w:val="22"/>
                <w:szCs w:val="22"/>
              </w:rPr>
            </w:pPr>
            <w:r w:rsidRPr="00317ABF">
              <w:rPr>
                <w:b/>
                <w:bCs/>
                <w:noProof/>
                <w:sz w:val="22"/>
                <w:szCs w:val="22"/>
              </w:rPr>
              <w:t xml:space="preserve">Art. </w:t>
            </w:r>
            <w:r w:rsidR="00357107" w:rsidRPr="00317ABF">
              <w:rPr>
                <w:b/>
                <w:bCs/>
                <w:noProof/>
                <w:sz w:val="22"/>
                <w:szCs w:val="22"/>
              </w:rPr>
              <w:t xml:space="preserve"> 414</w:t>
            </w:r>
            <w:r w:rsidR="001E1112" w:rsidRPr="00317ABF">
              <w:rPr>
                <w:b/>
                <w:bCs/>
                <w:noProof/>
                <w:sz w:val="22"/>
                <w:szCs w:val="22"/>
              </w:rPr>
              <w:t xml:space="preserve"> ust. 1 pkt </w:t>
            </w:r>
            <w:r w:rsidR="00357107" w:rsidRPr="00317ABF">
              <w:rPr>
                <w:b/>
                <w:bCs/>
                <w:noProof/>
                <w:sz w:val="22"/>
                <w:szCs w:val="22"/>
              </w:rPr>
              <w:t>18</w:t>
            </w:r>
          </w:p>
        </w:tc>
        <w:tc>
          <w:tcPr>
            <w:tcW w:w="6814" w:type="dxa"/>
            <w:gridSpan w:val="2"/>
          </w:tcPr>
          <w:p w14:paraId="5FF33D04" w14:textId="77777777" w:rsidR="00357107" w:rsidRPr="00317ABF" w:rsidRDefault="00357107" w:rsidP="00357107">
            <w:pPr>
              <w:pStyle w:val="ARTartustawynprozporzdzenia"/>
              <w:keepNext/>
              <w:spacing w:before="0" w:line="240" w:lineRule="auto"/>
              <w:ind w:firstLine="0"/>
              <w:rPr>
                <w:rFonts w:ascii="Times New Roman" w:hAnsi="Times New Roman" w:cs="Times New Roman"/>
                <w:sz w:val="22"/>
                <w:szCs w:val="22"/>
              </w:rPr>
            </w:pPr>
            <w:r w:rsidRPr="00317ABF">
              <w:rPr>
                <w:rStyle w:val="Ppogrubienie"/>
                <w:rFonts w:ascii="Times New Roman" w:hAnsi="Times New Roman"/>
                <w:sz w:val="22"/>
                <w:szCs w:val="22"/>
              </w:rPr>
              <w:t>Art. 69.</w:t>
            </w:r>
            <w:r w:rsidRPr="00317ABF">
              <w:rPr>
                <w:rFonts w:ascii="Times New Roman" w:hAnsi="Times New Roman" w:cs="Times New Roman"/>
                <w:sz w:val="22"/>
                <w:szCs w:val="22"/>
              </w:rPr>
              <w:t xml:space="preserve"> 1. Rezerwacji częstotliwości dokonuje się dla podmiotu, który spełnia wymagania określone ustawą oraz jeżeli częstotliwości:</w:t>
            </w:r>
          </w:p>
          <w:p w14:paraId="1178BC84" w14:textId="77777777" w:rsidR="00357107" w:rsidRPr="00317ABF" w:rsidRDefault="00357107" w:rsidP="00357107">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1)</w:t>
            </w:r>
            <w:r w:rsidRPr="00317ABF">
              <w:rPr>
                <w:rFonts w:ascii="Times New Roman" w:hAnsi="Times New Roman" w:cs="Times New Roman"/>
                <w:sz w:val="22"/>
                <w:szCs w:val="22"/>
              </w:rPr>
              <w:tab/>
              <w:t>są dostępne, z zastrzeżeniem art. 65 i art. 105 ust. 2;</w:t>
            </w:r>
          </w:p>
          <w:p w14:paraId="5FE4C34E" w14:textId="77777777" w:rsidR="00357107" w:rsidRPr="00317ABF" w:rsidRDefault="00357107" w:rsidP="00357107">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2)</w:t>
            </w:r>
            <w:r w:rsidRPr="00317ABF">
              <w:rPr>
                <w:rFonts w:ascii="Times New Roman" w:hAnsi="Times New Roman" w:cs="Times New Roman"/>
                <w:sz w:val="22"/>
                <w:szCs w:val="22"/>
              </w:rPr>
              <w:tab/>
              <w:t>zostały przeznaczone w Krajowej Tablicy Przeznaczeń Częstotliwości dla wnioskowanej służby radiokomunikacyjnej i użytkowania oraz plan zagospodarowania częstotliwości przewiduje ich zagospodarowanie zgodnie z wnioskiem;</w:t>
            </w:r>
          </w:p>
          <w:p w14:paraId="66257FBE" w14:textId="77777777" w:rsidR="00357107" w:rsidRPr="00317ABF" w:rsidRDefault="00357107" w:rsidP="00357107">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3)</w:t>
            </w:r>
            <w:r w:rsidRPr="00317ABF">
              <w:rPr>
                <w:rFonts w:ascii="Times New Roman" w:hAnsi="Times New Roman" w:cs="Times New Roman"/>
                <w:sz w:val="22"/>
                <w:szCs w:val="22"/>
              </w:rPr>
              <w:tab/>
              <w:t>mogą być chronione przed szkodliwymi zakłóceniami;</w:t>
            </w:r>
          </w:p>
          <w:p w14:paraId="47A29841" w14:textId="77777777" w:rsidR="00357107" w:rsidRPr="00317ABF" w:rsidRDefault="00357107" w:rsidP="00357107">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4)</w:t>
            </w:r>
            <w:r w:rsidRPr="00317ABF">
              <w:rPr>
                <w:rFonts w:ascii="Times New Roman" w:hAnsi="Times New Roman" w:cs="Times New Roman"/>
                <w:sz w:val="22"/>
                <w:szCs w:val="22"/>
              </w:rPr>
              <w:tab/>
              <w:t>mogą być wykorzystywane przez urządzenie radiowe bez powodowania szkodliwych zaburzeń elektromagnetycznych lub kolizji z przyznanymi na rzecz innych podmiotów rezerwacjami, przydziałami częstotliwości, pozwoleniami radiowymi lub decyzjami, o których mowa w art. 152 lub 153;</w:t>
            </w:r>
          </w:p>
          <w:p w14:paraId="43B7D599" w14:textId="77777777" w:rsidR="00357107" w:rsidRPr="00317ABF" w:rsidRDefault="00357107" w:rsidP="00357107">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5)</w:t>
            </w:r>
            <w:r w:rsidRPr="00317ABF">
              <w:rPr>
                <w:rFonts w:ascii="Times New Roman" w:hAnsi="Times New Roman" w:cs="Times New Roman"/>
                <w:sz w:val="22"/>
                <w:szCs w:val="22"/>
              </w:rPr>
              <w:tab/>
              <w:t>mogą być wykorzystywane w sposób efektywny;</w:t>
            </w:r>
          </w:p>
          <w:p w14:paraId="7E8A1C34" w14:textId="77777777" w:rsidR="00357107" w:rsidRPr="00317ABF" w:rsidRDefault="00357107" w:rsidP="00357107">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6)</w:t>
            </w:r>
            <w:r w:rsidRPr="00317ABF">
              <w:rPr>
                <w:rFonts w:ascii="Times New Roman" w:hAnsi="Times New Roman" w:cs="Times New Roman"/>
                <w:sz w:val="22"/>
                <w:szCs w:val="22"/>
              </w:rPr>
              <w:tab/>
              <w:t>zostały międzynarodowo uzgodnione w zakresie i w formie określonej w międzynarodowych przepisach radiokomunikacyjnych lub wiążących Rzeczpospolitą Polską umowach międzynarodowych - w przypadku gdy zachodzi możliwość powodowania szkodliwych zakłóceń poza granicami Rzeczypospolitej Polskiej.</w:t>
            </w:r>
          </w:p>
          <w:p w14:paraId="62066590" w14:textId="238264E2" w:rsidR="001E1112" w:rsidRPr="00317ABF" w:rsidRDefault="001E1112" w:rsidP="00DB3BEC">
            <w:pPr>
              <w:ind w:firstLine="510"/>
              <w:jc w:val="both"/>
              <w:rPr>
                <w:rFonts w:eastAsia="Times"/>
                <w:sz w:val="22"/>
                <w:szCs w:val="22"/>
              </w:rPr>
            </w:pPr>
          </w:p>
          <w:p w14:paraId="04691CBA" w14:textId="1C926BFC" w:rsidR="001E1112" w:rsidRPr="00317ABF" w:rsidRDefault="001E1112" w:rsidP="00DB3BEC">
            <w:pPr>
              <w:jc w:val="both"/>
              <w:rPr>
                <w:sz w:val="22"/>
                <w:szCs w:val="22"/>
              </w:rPr>
            </w:pPr>
            <w:r w:rsidRPr="00317ABF">
              <w:rPr>
                <w:rFonts w:eastAsia="Times"/>
                <w:sz w:val="22"/>
                <w:szCs w:val="22"/>
              </w:rPr>
              <w:t>1. Do zakresu działania Prezesa UKE należy w szczególności:</w:t>
            </w:r>
          </w:p>
          <w:p w14:paraId="6B420CAA" w14:textId="2D6A8717" w:rsidR="001E1112" w:rsidRPr="00317ABF" w:rsidRDefault="001E1112" w:rsidP="00DB3BEC">
            <w:pPr>
              <w:jc w:val="both"/>
              <w:rPr>
                <w:rFonts w:eastAsia="Times"/>
                <w:sz w:val="22"/>
                <w:szCs w:val="22"/>
              </w:rPr>
            </w:pPr>
          </w:p>
          <w:p w14:paraId="01F589FD" w14:textId="02298FD5" w:rsidR="001E1112" w:rsidRPr="00317ABF" w:rsidRDefault="00357107" w:rsidP="00DB3BEC">
            <w:pPr>
              <w:ind w:left="510" w:hanging="510"/>
              <w:jc w:val="both"/>
              <w:rPr>
                <w:sz w:val="22"/>
                <w:szCs w:val="22"/>
              </w:rPr>
            </w:pPr>
            <w:r w:rsidRPr="00317ABF">
              <w:rPr>
                <w:rFonts w:eastAsia="Times"/>
                <w:sz w:val="22"/>
                <w:szCs w:val="22"/>
              </w:rPr>
              <w:t>18)</w:t>
            </w:r>
            <w:r w:rsidR="001E1112" w:rsidRPr="00317ABF">
              <w:rPr>
                <w:rFonts w:eastAsia="Times"/>
                <w:sz w:val="22"/>
                <w:szCs w:val="22"/>
              </w:rPr>
              <w:t xml:space="preserve">  prowadzenie transgranicznych koordynacji częstotliwości z innymi państwami, w tym zawieranie niezbędnych umów lub porozumień, w sposób i w terminach pozwalających na realizację zobowiązań wynikających z wiążących Rzeczpospolitą Polską umów międzynarodowych lub aktów prawnych Unii Europejskiej, dotyczących gospodarowania częstotliwościami;</w:t>
            </w:r>
          </w:p>
          <w:p w14:paraId="71F798A8" w14:textId="00507F2E" w:rsidR="001E1112" w:rsidRPr="00317ABF" w:rsidRDefault="001E1112" w:rsidP="00DB3BEC">
            <w:pPr>
              <w:jc w:val="both"/>
              <w:rPr>
                <w:sz w:val="22"/>
                <w:szCs w:val="22"/>
              </w:rPr>
            </w:pPr>
          </w:p>
        </w:tc>
      </w:tr>
      <w:tr w:rsidR="001E1112" w:rsidRPr="00317ABF" w14:paraId="1EF717B1" w14:textId="77777777" w:rsidTr="7753F98D">
        <w:trPr>
          <w:gridAfter w:val="2"/>
          <w:wAfter w:w="175" w:type="dxa"/>
        </w:trPr>
        <w:tc>
          <w:tcPr>
            <w:tcW w:w="704" w:type="dxa"/>
          </w:tcPr>
          <w:p w14:paraId="6B5DE597" w14:textId="77777777" w:rsidR="001E1112" w:rsidRPr="00317ABF" w:rsidRDefault="001E1112" w:rsidP="00DB3BEC">
            <w:pPr>
              <w:jc w:val="both"/>
              <w:rPr>
                <w:sz w:val="22"/>
                <w:szCs w:val="22"/>
              </w:rPr>
            </w:pPr>
            <w:r w:rsidRPr="00317ABF">
              <w:rPr>
                <w:sz w:val="22"/>
                <w:szCs w:val="22"/>
              </w:rPr>
              <w:t>Art. 28 ust. 2</w:t>
            </w:r>
          </w:p>
        </w:tc>
        <w:tc>
          <w:tcPr>
            <w:tcW w:w="4308" w:type="dxa"/>
          </w:tcPr>
          <w:p w14:paraId="23F1B92E" w14:textId="77777777" w:rsidR="001E1112" w:rsidRPr="00317ABF" w:rsidRDefault="001E1112" w:rsidP="00DB3BEC">
            <w:pPr>
              <w:spacing w:before="120"/>
              <w:jc w:val="both"/>
              <w:rPr>
                <w:sz w:val="22"/>
                <w:szCs w:val="22"/>
              </w:rPr>
            </w:pPr>
            <w:r w:rsidRPr="00317ABF">
              <w:rPr>
                <w:sz w:val="22"/>
                <w:szCs w:val="22"/>
              </w:rPr>
              <w:t>2.   Państwa członkowskie współpracują ze sobą i, w stosownych przypadkach, za pośrednictwem RSPG przy transgranicznej koordynacji wykorzystania widma radiowego w celu:</w:t>
            </w:r>
          </w:p>
          <w:tbl>
            <w:tblPr>
              <w:tblW w:w="5000" w:type="pct"/>
              <w:tblCellSpacing w:w="0" w:type="dxa"/>
              <w:tblLayout w:type="fixed"/>
              <w:tblCellMar>
                <w:left w:w="0" w:type="dxa"/>
                <w:right w:w="0" w:type="dxa"/>
              </w:tblCellMar>
              <w:tblLook w:val="04A0" w:firstRow="1" w:lastRow="0" w:firstColumn="1" w:lastColumn="0" w:noHBand="0" w:noVBand="1"/>
            </w:tblPr>
            <w:tblGrid>
              <w:gridCol w:w="20"/>
              <w:gridCol w:w="4148"/>
            </w:tblGrid>
            <w:tr w:rsidR="001E1112" w:rsidRPr="00317ABF" w14:paraId="5C30C928" w14:textId="77777777" w:rsidTr="00345B65">
              <w:trPr>
                <w:tblCellSpacing w:w="0" w:type="dxa"/>
              </w:trPr>
              <w:tc>
                <w:tcPr>
                  <w:tcW w:w="18" w:type="dxa"/>
                  <w:hideMark/>
                </w:tcPr>
                <w:p w14:paraId="5BC294DE" w14:textId="77777777" w:rsidR="001E1112" w:rsidRPr="00317ABF" w:rsidRDefault="001E1112" w:rsidP="00EE0AC3">
                  <w:pPr>
                    <w:framePr w:hSpace="141" w:wrap="around" w:vAnchor="text" w:hAnchor="text" w:xAlign="right" w:y="1"/>
                    <w:spacing w:before="120"/>
                    <w:suppressOverlap/>
                    <w:jc w:val="both"/>
                    <w:rPr>
                      <w:sz w:val="22"/>
                      <w:szCs w:val="22"/>
                    </w:rPr>
                  </w:pPr>
                </w:p>
              </w:tc>
              <w:tc>
                <w:tcPr>
                  <w:tcW w:w="9054" w:type="dxa"/>
                  <w:hideMark/>
                </w:tcPr>
                <w:p w14:paraId="7FA319CA" w14:textId="77777777" w:rsidR="001E1112" w:rsidRPr="00317ABF" w:rsidRDefault="001E1112" w:rsidP="00EE0AC3">
                  <w:pPr>
                    <w:framePr w:hSpace="141" w:wrap="around" w:vAnchor="text" w:hAnchor="text" w:xAlign="right" w:y="1"/>
                    <w:numPr>
                      <w:ilvl w:val="0"/>
                      <w:numId w:val="14"/>
                    </w:numPr>
                    <w:spacing w:before="120"/>
                    <w:suppressOverlap/>
                    <w:jc w:val="both"/>
                    <w:rPr>
                      <w:sz w:val="22"/>
                      <w:szCs w:val="22"/>
                    </w:rPr>
                  </w:pPr>
                  <w:r w:rsidRPr="00317ABF">
                    <w:rPr>
                      <w:sz w:val="22"/>
                      <w:szCs w:val="22"/>
                    </w:rPr>
                    <w:t>zapewnienia zgodności z ust. 1;</w:t>
                  </w:r>
                </w:p>
              </w:tc>
            </w:tr>
          </w:tbl>
          <w:p w14:paraId="7D36B6E2" w14:textId="77777777" w:rsidR="001E1112" w:rsidRPr="00317ABF" w:rsidRDefault="001E1112" w:rsidP="00DB3BEC">
            <w:pPr>
              <w:jc w:val="both"/>
              <w:rPr>
                <w:vanish/>
                <w:sz w:val="22"/>
                <w:szCs w:val="22"/>
              </w:rPr>
            </w:pPr>
          </w:p>
          <w:tbl>
            <w:tblPr>
              <w:tblW w:w="5000" w:type="pct"/>
              <w:tblCellSpacing w:w="0" w:type="dxa"/>
              <w:tblLayout w:type="fixed"/>
              <w:tblCellMar>
                <w:left w:w="0" w:type="dxa"/>
                <w:right w:w="0" w:type="dxa"/>
              </w:tblCellMar>
              <w:tblLook w:val="04A0" w:firstRow="1" w:lastRow="0" w:firstColumn="1" w:lastColumn="0" w:noHBand="0" w:noVBand="1"/>
            </w:tblPr>
            <w:tblGrid>
              <w:gridCol w:w="20"/>
              <w:gridCol w:w="4148"/>
            </w:tblGrid>
            <w:tr w:rsidR="001E1112" w:rsidRPr="00317ABF" w14:paraId="3CB19D69" w14:textId="77777777" w:rsidTr="00345B65">
              <w:trPr>
                <w:tblCellSpacing w:w="0" w:type="dxa"/>
              </w:trPr>
              <w:tc>
                <w:tcPr>
                  <w:tcW w:w="6" w:type="dxa"/>
                  <w:hideMark/>
                </w:tcPr>
                <w:p w14:paraId="43A65479" w14:textId="77777777" w:rsidR="001E1112" w:rsidRPr="00317ABF" w:rsidRDefault="001E1112" w:rsidP="00EE0AC3">
                  <w:pPr>
                    <w:framePr w:hSpace="141" w:wrap="around" w:vAnchor="text" w:hAnchor="text" w:xAlign="right" w:y="1"/>
                    <w:spacing w:before="120"/>
                    <w:suppressOverlap/>
                    <w:jc w:val="both"/>
                    <w:rPr>
                      <w:sz w:val="22"/>
                      <w:szCs w:val="22"/>
                    </w:rPr>
                  </w:pPr>
                </w:p>
              </w:tc>
              <w:tc>
                <w:tcPr>
                  <w:tcW w:w="9066" w:type="dxa"/>
                  <w:hideMark/>
                </w:tcPr>
                <w:p w14:paraId="681A9D7C" w14:textId="77777777" w:rsidR="001E1112" w:rsidRPr="00317ABF" w:rsidRDefault="001E1112" w:rsidP="00EE0AC3">
                  <w:pPr>
                    <w:framePr w:hSpace="141" w:wrap="around" w:vAnchor="text" w:hAnchor="text" w:xAlign="right" w:y="1"/>
                    <w:numPr>
                      <w:ilvl w:val="0"/>
                      <w:numId w:val="14"/>
                    </w:numPr>
                    <w:spacing w:before="120"/>
                    <w:suppressOverlap/>
                    <w:jc w:val="both"/>
                    <w:rPr>
                      <w:sz w:val="22"/>
                      <w:szCs w:val="22"/>
                    </w:rPr>
                  </w:pPr>
                  <w:r w:rsidRPr="00317ABF">
                    <w:rPr>
                      <w:sz w:val="22"/>
                      <w:szCs w:val="22"/>
                    </w:rPr>
                    <w:t>rozwiązywania wszelkich problemów lub sporów związanych z transgraniczną koordynacją lub szkodliwymi zakłóceniami transgranicznymi – między państwami członkowskimi, a także z państwami trzecimi – które uniemożliwiają państwom członkowskim wykorzystanie zharmonizowanego widma radiowego na ich terytorium.</w:t>
                  </w:r>
                </w:p>
              </w:tc>
            </w:tr>
          </w:tbl>
          <w:p w14:paraId="70648378" w14:textId="77777777" w:rsidR="001E1112" w:rsidRPr="00317ABF" w:rsidRDefault="001E1112" w:rsidP="00DB3BEC">
            <w:pPr>
              <w:spacing w:before="120"/>
              <w:jc w:val="both"/>
              <w:rPr>
                <w:sz w:val="22"/>
                <w:szCs w:val="22"/>
              </w:rPr>
            </w:pPr>
          </w:p>
        </w:tc>
        <w:tc>
          <w:tcPr>
            <w:tcW w:w="986" w:type="dxa"/>
          </w:tcPr>
          <w:p w14:paraId="50040504" w14:textId="6078E5CA" w:rsidR="001E1112" w:rsidRPr="00317ABF" w:rsidRDefault="001E1112" w:rsidP="00DB3BEC">
            <w:pPr>
              <w:jc w:val="both"/>
              <w:rPr>
                <w:sz w:val="22"/>
                <w:szCs w:val="22"/>
              </w:rPr>
            </w:pPr>
            <w:r w:rsidRPr="00317ABF">
              <w:rPr>
                <w:sz w:val="22"/>
                <w:szCs w:val="22"/>
              </w:rPr>
              <w:lastRenderedPageBreak/>
              <w:t>T</w:t>
            </w:r>
          </w:p>
        </w:tc>
        <w:tc>
          <w:tcPr>
            <w:tcW w:w="910" w:type="dxa"/>
          </w:tcPr>
          <w:p w14:paraId="316C85E4" w14:textId="5BD69DBD" w:rsidR="001E1112" w:rsidRPr="00317ABF" w:rsidRDefault="001E1112" w:rsidP="00DB3BEC">
            <w:pPr>
              <w:pStyle w:val="Tekstpodstawowy"/>
              <w:rPr>
                <w:b/>
                <w:bCs/>
                <w:noProof/>
                <w:sz w:val="22"/>
                <w:szCs w:val="22"/>
              </w:rPr>
            </w:pPr>
            <w:r w:rsidRPr="00317ABF">
              <w:rPr>
                <w:b/>
                <w:bCs/>
                <w:noProof/>
                <w:sz w:val="22"/>
                <w:szCs w:val="22"/>
              </w:rPr>
              <w:t xml:space="preserve">Art. </w:t>
            </w:r>
            <w:r w:rsidR="000462AD" w:rsidRPr="00317ABF">
              <w:rPr>
                <w:b/>
                <w:bCs/>
                <w:noProof/>
                <w:sz w:val="22"/>
                <w:szCs w:val="22"/>
              </w:rPr>
              <w:t>407</w:t>
            </w:r>
            <w:r w:rsidRPr="00317ABF">
              <w:rPr>
                <w:b/>
                <w:bCs/>
                <w:noProof/>
                <w:sz w:val="22"/>
                <w:szCs w:val="22"/>
              </w:rPr>
              <w:t xml:space="preserve"> ust. 2 pkt 2 lit. E</w:t>
            </w:r>
          </w:p>
          <w:p w14:paraId="4782A58B" w14:textId="4AAF5082" w:rsidR="001E1112" w:rsidRPr="00317ABF" w:rsidRDefault="001E1112" w:rsidP="00DB3BEC">
            <w:pPr>
              <w:pStyle w:val="Tekstpodstawowy"/>
              <w:rPr>
                <w:b/>
                <w:bCs/>
                <w:noProof/>
                <w:sz w:val="22"/>
                <w:szCs w:val="22"/>
              </w:rPr>
            </w:pPr>
          </w:p>
          <w:p w14:paraId="16E812EA" w14:textId="44BE5489" w:rsidR="001E1112" w:rsidRPr="00317ABF" w:rsidRDefault="001E1112" w:rsidP="00DB3BEC">
            <w:pPr>
              <w:pStyle w:val="Tekstpodstawowy"/>
              <w:rPr>
                <w:b/>
                <w:bCs/>
                <w:noProof/>
                <w:sz w:val="22"/>
                <w:szCs w:val="22"/>
              </w:rPr>
            </w:pPr>
          </w:p>
          <w:p w14:paraId="21E2EF72" w14:textId="6C32C864" w:rsidR="001E1112" w:rsidRPr="00317ABF" w:rsidRDefault="001E1112" w:rsidP="00DB3BEC">
            <w:pPr>
              <w:pStyle w:val="Tekstpodstawowy"/>
              <w:rPr>
                <w:b/>
                <w:bCs/>
                <w:noProof/>
                <w:sz w:val="22"/>
                <w:szCs w:val="22"/>
              </w:rPr>
            </w:pPr>
          </w:p>
          <w:p w14:paraId="2A836261" w14:textId="42E7883B" w:rsidR="001E1112" w:rsidRPr="00317ABF" w:rsidRDefault="001E1112" w:rsidP="00DB3BEC">
            <w:pPr>
              <w:pStyle w:val="Tekstpodstawowy"/>
              <w:rPr>
                <w:b/>
                <w:bCs/>
                <w:noProof/>
                <w:sz w:val="22"/>
                <w:szCs w:val="22"/>
              </w:rPr>
            </w:pPr>
          </w:p>
          <w:p w14:paraId="62A904CF" w14:textId="7A0F3FB4" w:rsidR="001E1112" w:rsidRPr="00317ABF" w:rsidRDefault="001E1112" w:rsidP="00DB3BEC">
            <w:pPr>
              <w:pStyle w:val="Tekstpodstawowy"/>
              <w:rPr>
                <w:b/>
                <w:bCs/>
                <w:noProof/>
                <w:sz w:val="22"/>
                <w:szCs w:val="22"/>
              </w:rPr>
            </w:pPr>
          </w:p>
          <w:p w14:paraId="78ED93F9" w14:textId="6E5A35D4" w:rsidR="001E1112" w:rsidRPr="00317ABF" w:rsidRDefault="001E1112" w:rsidP="00DB3BEC">
            <w:pPr>
              <w:pStyle w:val="Tekstpodstawowy"/>
              <w:rPr>
                <w:b/>
                <w:bCs/>
                <w:noProof/>
                <w:sz w:val="22"/>
                <w:szCs w:val="22"/>
              </w:rPr>
            </w:pPr>
          </w:p>
          <w:p w14:paraId="4E754A1F" w14:textId="71D280FA" w:rsidR="001E1112" w:rsidRPr="00317ABF" w:rsidRDefault="001E1112" w:rsidP="00DB3BEC">
            <w:pPr>
              <w:pStyle w:val="Tekstpodstawowy"/>
              <w:rPr>
                <w:b/>
                <w:bCs/>
                <w:noProof/>
                <w:sz w:val="22"/>
                <w:szCs w:val="22"/>
              </w:rPr>
            </w:pPr>
          </w:p>
          <w:p w14:paraId="3793DFAA" w14:textId="7B5934CF" w:rsidR="001E1112" w:rsidRPr="00317ABF" w:rsidRDefault="001E1112" w:rsidP="00DB3BEC">
            <w:pPr>
              <w:pStyle w:val="Tekstpodstawowy"/>
              <w:rPr>
                <w:b/>
                <w:bCs/>
                <w:noProof/>
                <w:sz w:val="22"/>
                <w:szCs w:val="22"/>
              </w:rPr>
            </w:pPr>
          </w:p>
          <w:p w14:paraId="72956002" w14:textId="3C49D279" w:rsidR="001E1112" w:rsidRPr="00317ABF" w:rsidRDefault="001E1112" w:rsidP="00DB3BEC">
            <w:pPr>
              <w:pStyle w:val="Tekstpodstawowy"/>
              <w:rPr>
                <w:b/>
                <w:bCs/>
                <w:noProof/>
                <w:sz w:val="22"/>
                <w:szCs w:val="22"/>
              </w:rPr>
            </w:pPr>
          </w:p>
          <w:p w14:paraId="1F28F27C" w14:textId="1EF0DFB0" w:rsidR="001E1112" w:rsidRPr="00317ABF" w:rsidRDefault="001E1112" w:rsidP="00DB3BEC">
            <w:pPr>
              <w:pStyle w:val="Tekstpodstawowy"/>
              <w:rPr>
                <w:b/>
                <w:bCs/>
                <w:noProof/>
                <w:sz w:val="22"/>
                <w:szCs w:val="22"/>
              </w:rPr>
            </w:pPr>
            <w:r w:rsidRPr="00317ABF">
              <w:rPr>
                <w:b/>
                <w:bCs/>
                <w:noProof/>
                <w:sz w:val="22"/>
                <w:szCs w:val="22"/>
              </w:rPr>
              <w:t xml:space="preserve">Art. </w:t>
            </w:r>
            <w:r w:rsidR="000462AD" w:rsidRPr="00317ABF">
              <w:rPr>
                <w:b/>
                <w:bCs/>
                <w:noProof/>
                <w:sz w:val="22"/>
                <w:szCs w:val="22"/>
              </w:rPr>
              <w:t>414</w:t>
            </w:r>
            <w:r w:rsidRPr="00317ABF">
              <w:rPr>
                <w:b/>
                <w:bCs/>
                <w:noProof/>
                <w:sz w:val="22"/>
                <w:szCs w:val="22"/>
              </w:rPr>
              <w:t xml:space="preserve"> ust. 1 pkt </w:t>
            </w:r>
            <w:r w:rsidR="000462AD" w:rsidRPr="00317ABF">
              <w:rPr>
                <w:b/>
                <w:bCs/>
                <w:noProof/>
                <w:sz w:val="22"/>
                <w:szCs w:val="22"/>
              </w:rPr>
              <w:t>18</w:t>
            </w:r>
          </w:p>
        </w:tc>
        <w:tc>
          <w:tcPr>
            <w:tcW w:w="6814" w:type="dxa"/>
            <w:gridSpan w:val="2"/>
          </w:tcPr>
          <w:p w14:paraId="02F21AB7" w14:textId="77777777" w:rsidR="000462AD" w:rsidRPr="00317ABF" w:rsidRDefault="000462AD" w:rsidP="000462AD">
            <w:pPr>
              <w:pStyle w:val="LITlitera"/>
              <w:spacing w:line="240" w:lineRule="auto"/>
              <w:rPr>
                <w:rFonts w:ascii="Times New Roman" w:hAnsi="Times New Roman" w:cs="Times New Roman"/>
                <w:sz w:val="22"/>
                <w:szCs w:val="22"/>
              </w:rPr>
            </w:pPr>
            <w:r w:rsidRPr="00317ABF">
              <w:rPr>
                <w:rFonts w:ascii="Times New Roman" w:hAnsi="Times New Roman" w:cs="Times New Roman"/>
                <w:sz w:val="22"/>
                <w:szCs w:val="22"/>
              </w:rPr>
              <w:lastRenderedPageBreak/>
              <w:t>e)</w:t>
            </w:r>
            <w:r w:rsidRPr="00317ABF">
              <w:rPr>
                <w:rFonts w:ascii="Times New Roman" w:hAnsi="Times New Roman" w:cs="Times New Roman"/>
                <w:sz w:val="22"/>
                <w:szCs w:val="22"/>
              </w:rPr>
              <w:tab/>
              <w:t>współpracę z innymi organami regulacyjnymi państw członkowskich i Komisją Europejską, w tym w ramach RSPG, a na ich wniosek także z Parlamentem Europejskim i Radą w zakresie:</w:t>
            </w:r>
          </w:p>
          <w:p w14:paraId="1CF7A105" w14:textId="77777777" w:rsidR="000462AD" w:rsidRPr="00317ABF" w:rsidRDefault="000462AD" w:rsidP="000462AD">
            <w:pPr>
              <w:pStyle w:val="TIRtiret"/>
              <w:spacing w:line="240" w:lineRule="auto"/>
              <w:rPr>
                <w:rFonts w:ascii="Times New Roman" w:hAnsi="Times New Roman" w:cs="Times New Roman"/>
                <w:sz w:val="22"/>
                <w:szCs w:val="22"/>
              </w:rPr>
            </w:pPr>
            <w:r w:rsidRPr="00317ABF">
              <w:rPr>
                <w:rFonts w:ascii="Times New Roman" w:hAnsi="Times New Roman" w:cs="Times New Roman"/>
                <w:sz w:val="22"/>
                <w:szCs w:val="22"/>
              </w:rPr>
              <w:t>–</w:t>
            </w:r>
            <w:r w:rsidRPr="00317ABF">
              <w:rPr>
                <w:rFonts w:ascii="Times New Roman" w:hAnsi="Times New Roman" w:cs="Times New Roman"/>
                <w:sz w:val="22"/>
                <w:szCs w:val="22"/>
              </w:rPr>
              <w:tab/>
              <w:t xml:space="preserve">planowania strategicznego, koordynacji i harmonizacji wykorzystania częstotliwości w Unii Europejskiej, mając na </w:t>
            </w:r>
            <w:r w:rsidRPr="00317ABF">
              <w:rPr>
                <w:rFonts w:ascii="Times New Roman" w:hAnsi="Times New Roman" w:cs="Times New Roman"/>
                <w:sz w:val="22"/>
                <w:szCs w:val="22"/>
              </w:rPr>
              <w:lastRenderedPageBreak/>
              <w:t>celu optymalizację wykorzystania częstotliwości oraz unikanie szkodliwych zakłóceń oraz</w:t>
            </w:r>
          </w:p>
          <w:p w14:paraId="62E8FBAF" w14:textId="77777777" w:rsidR="000462AD" w:rsidRPr="00317ABF" w:rsidRDefault="000462AD" w:rsidP="000462AD">
            <w:pPr>
              <w:ind w:left="1418" w:hanging="425"/>
              <w:rPr>
                <w:sz w:val="22"/>
                <w:szCs w:val="22"/>
              </w:rPr>
            </w:pPr>
            <w:r w:rsidRPr="00317ABF">
              <w:rPr>
                <w:sz w:val="22"/>
                <w:szCs w:val="22"/>
              </w:rPr>
              <w:t>–</w:t>
            </w:r>
            <w:r w:rsidRPr="00317ABF">
              <w:rPr>
                <w:sz w:val="22"/>
                <w:szCs w:val="22"/>
              </w:rPr>
              <w:tab/>
            </w:r>
            <w:r w:rsidR="001E1112" w:rsidRPr="00317ABF">
              <w:rPr>
                <w:rFonts w:eastAsia="Times"/>
                <w:sz w:val="22"/>
                <w:szCs w:val="22"/>
              </w:rPr>
              <w:t>promowania koordynacji polityki w zakresie częstotliwości w Unii Europejskiej, a także zharmonizowanych warunków w odniesieniu do dostępności i efektywnego wykorzystania częstotliwości, koniecznego do ustanowienia i funkcjonowania rynku wewnętrznego usług komunikacji elektronicznej;</w:t>
            </w:r>
          </w:p>
          <w:p w14:paraId="6EEAAF65" w14:textId="421CDD79" w:rsidR="001E1112" w:rsidRPr="00317ABF" w:rsidRDefault="001E1112" w:rsidP="000462AD">
            <w:pPr>
              <w:jc w:val="both"/>
              <w:rPr>
                <w:rFonts w:eastAsia="Times"/>
                <w:sz w:val="22"/>
                <w:szCs w:val="22"/>
              </w:rPr>
            </w:pPr>
          </w:p>
          <w:p w14:paraId="4A87C363" w14:textId="64E54A26" w:rsidR="001E1112" w:rsidRPr="00317ABF" w:rsidRDefault="000462AD" w:rsidP="000462AD">
            <w:pPr>
              <w:ind w:left="510" w:hanging="510"/>
              <w:jc w:val="both"/>
              <w:rPr>
                <w:rFonts w:eastAsia="Times"/>
                <w:sz w:val="22"/>
                <w:szCs w:val="22"/>
              </w:rPr>
            </w:pPr>
            <w:r w:rsidRPr="00317ABF">
              <w:rPr>
                <w:rFonts w:eastAsia="Times"/>
                <w:sz w:val="22"/>
                <w:szCs w:val="22"/>
              </w:rPr>
              <w:t xml:space="preserve">18) </w:t>
            </w:r>
            <w:r w:rsidR="001E1112" w:rsidRPr="00317ABF">
              <w:rPr>
                <w:rFonts w:eastAsia="Times"/>
                <w:sz w:val="22"/>
                <w:szCs w:val="22"/>
              </w:rPr>
              <w:t xml:space="preserve"> prowadzenie transgranicznych koordynacji częstotliwości z innymi państwami, w tym zawieranie niezbędnych umów lub porozumień, w sposób i w terminach pozwalających na realizację zobowiązań wynikających z wiążących Rzeczpospolitą Polską umów międzynarodowych lub aktów prawnych Unii Europejskiej, dotyczących gospodarowania częstotliwościami;</w:t>
            </w:r>
          </w:p>
        </w:tc>
      </w:tr>
      <w:tr w:rsidR="001E1112" w:rsidRPr="00317ABF" w14:paraId="173DE38E" w14:textId="77777777" w:rsidTr="7753F98D">
        <w:trPr>
          <w:gridAfter w:val="2"/>
          <w:wAfter w:w="175" w:type="dxa"/>
        </w:trPr>
        <w:tc>
          <w:tcPr>
            <w:tcW w:w="704" w:type="dxa"/>
          </w:tcPr>
          <w:p w14:paraId="262D8D2D" w14:textId="77777777" w:rsidR="001E1112" w:rsidRPr="00317ABF" w:rsidRDefault="001E1112" w:rsidP="00DB3BEC">
            <w:pPr>
              <w:jc w:val="both"/>
              <w:rPr>
                <w:sz w:val="22"/>
                <w:szCs w:val="22"/>
              </w:rPr>
            </w:pPr>
            <w:r w:rsidRPr="00317ABF">
              <w:rPr>
                <w:sz w:val="22"/>
                <w:szCs w:val="22"/>
              </w:rPr>
              <w:lastRenderedPageBreak/>
              <w:t>Art. 28 ust. 3</w:t>
            </w:r>
          </w:p>
        </w:tc>
        <w:tc>
          <w:tcPr>
            <w:tcW w:w="4308" w:type="dxa"/>
          </w:tcPr>
          <w:p w14:paraId="5B53B048" w14:textId="77777777" w:rsidR="001E1112" w:rsidRPr="00317ABF" w:rsidRDefault="001E1112" w:rsidP="00DB3BEC">
            <w:pPr>
              <w:spacing w:before="120"/>
              <w:jc w:val="both"/>
              <w:rPr>
                <w:sz w:val="22"/>
                <w:szCs w:val="22"/>
              </w:rPr>
            </w:pPr>
            <w:r w:rsidRPr="00317ABF">
              <w:rPr>
                <w:sz w:val="22"/>
                <w:szCs w:val="22"/>
              </w:rPr>
              <w:t>3.   Aby zapewnić zgodność z ust. 1, każde państwo członkowskie, którego dotyczy dana sytuacja może zwrócić się do RSPG o zastosowanie jej dobrych usług w celu rozwiązania wszelkich problemów lub sporów związanych z transgraniczną koordynacją lub szkodliwymi zakłóceniami transgranicznymi. W stosownych przypadkach, RSPG może wydać opinię, w której proponuje skoordynowane rozwiązanie dotyczące takiego problemu lub sporu.</w:t>
            </w:r>
          </w:p>
        </w:tc>
        <w:tc>
          <w:tcPr>
            <w:tcW w:w="986" w:type="dxa"/>
          </w:tcPr>
          <w:p w14:paraId="4DF9E10C" w14:textId="3CF2C137" w:rsidR="001E1112" w:rsidRPr="00317ABF" w:rsidRDefault="001E1112" w:rsidP="00DB3BEC">
            <w:pPr>
              <w:jc w:val="both"/>
              <w:rPr>
                <w:sz w:val="22"/>
                <w:szCs w:val="22"/>
              </w:rPr>
            </w:pPr>
            <w:r w:rsidRPr="00317ABF">
              <w:rPr>
                <w:sz w:val="22"/>
                <w:szCs w:val="22"/>
              </w:rPr>
              <w:t>T</w:t>
            </w:r>
          </w:p>
        </w:tc>
        <w:tc>
          <w:tcPr>
            <w:tcW w:w="910" w:type="dxa"/>
          </w:tcPr>
          <w:p w14:paraId="2A243E61" w14:textId="013368B5" w:rsidR="001E1112" w:rsidRPr="00317ABF" w:rsidRDefault="001E1112" w:rsidP="00DB3BEC">
            <w:pPr>
              <w:pStyle w:val="Tekstpodstawowy"/>
              <w:rPr>
                <w:b/>
                <w:bCs/>
                <w:noProof/>
                <w:sz w:val="22"/>
                <w:szCs w:val="22"/>
              </w:rPr>
            </w:pPr>
            <w:r w:rsidRPr="00317ABF">
              <w:rPr>
                <w:b/>
                <w:bCs/>
                <w:noProof/>
                <w:sz w:val="22"/>
                <w:szCs w:val="22"/>
              </w:rPr>
              <w:t xml:space="preserve">Art. </w:t>
            </w:r>
            <w:r w:rsidR="002A5FB6" w:rsidRPr="00317ABF">
              <w:rPr>
                <w:b/>
                <w:bCs/>
                <w:noProof/>
                <w:sz w:val="22"/>
                <w:szCs w:val="22"/>
              </w:rPr>
              <w:t>414</w:t>
            </w:r>
            <w:r w:rsidRPr="00317ABF">
              <w:rPr>
                <w:b/>
                <w:bCs/>
                <w:noProof/>
                <w:sz w:val="22"/>
                <w:szCs w:val="22"/>
              </w:rPr>
              <w:t xml:space="preserve"> ust. 1 pkt </w:t>
            </w:r>
            <w:r w:rsidR="002A5FB6" w:rsidRPr="00317ABF">
              <w:rPr>
                <w:b/>
                <w:bCs/>
                <w:noProof/>
                <w:sz w:val="22"/>
                <w:szCs w:val="22"/>
              </w:rPr>
              <w:t>11</w:t>
            </w:r>
          </w:p>
        </w:tc>
        <w:tc>
          <w:tcPr>
            <w:tcW w:w="6814" w:type="dxa"/>
            <w:gridSpan w:val="2"/>
          </w:tcPr>
          <w:p w14:paraId="456953EE" w14:textId="1C926BFC" w:rsidR="001E1112" w:rsidRPr="00317ABF" w:rsidRDefault="001E1112" w:rsidP="00DB3BEC">
            <w:pPr>
              <w:ind w:firstLine="510"/>
              <w:jc w:val="both"/>
              <w:rPr>
                <w:sz w:val="22"/>
                <w:szCs w:val="22"/>
              </w:rPr>
            </w:pPr>
            <w:r w:rsidRPr="00317ABF">
              <w:rPr>
                <w:rFonts w:eastAsia="Times"/>
                <w:sz w:val="22"/>
                <w:szCs w:val="22"/>
              </w:rPr>
              <w:t>1. Do zakresu działania Prezesa UKE należy w szczególności:</w:t>
            </w:r>
          </w:p>
          <w:p w14:paraId="76DFD5E2" w14:textId="42BD3BE6" w:rsidR="001E1112" w:rsidRPr="00317ABF" w:rsidRDefault="001E1112" w:rsidP="00DB3BEC">
            <w:pPr>
              <w:jc w:val="both"/>
              <w:rPr>
                <w:rFonts w:eastAsia="Times"/>
                <w:sz w:val="22"/>
                <w:szCs w:val="22"/>
              </w:rPr>
            </w:pPr>
          </w:p>
          <w:p w14:paraId="5A228C3D" w14:textId="77777777" w:rsidR="002A5FB6" w:rsidRPr="00317ABF" w:rsidRDefault="002A5FB6" w:rsidP="002A5FB6">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11)</w:t>
            </w:r>
            <w:r w:rsidRPr="00317ABF">
              <w:rPr>
                <w:rFonts w:ascii="Times New Roman" w:hAnsi="Times New Roman" w:cs="Times New Roman"/>
                <w:sz w:val="22"/>
                <w:szCs w:val="22"/>
              </w:rPr>
              <w:tab/>
              <w:t>występowanie do RSPG z wnioskiem o pomoc w rozwiązaniu problemów lub sporów związanych z transgraniczną koordynacją częstotliwości lub szkodliwymi zakłóceniami o charakterze transgranicznym;</w:t>
            </w:r>
          </w:p>
          <w:p w14:paraId="43D98CF8" w14:textId="6BEE24A5" w:rsidR="001E1112" w:rsidRPr="00317ABF" w:rsidRDefault="001E1112" w:rsidP="00DB3BEC">
            <w:pPr>
              <w:jc w:val="both"/>
              <w:rPr>
                <w:sz w:val="22"/>
                <w:szCs w:val="22"/>
              </w:rPr>
            </w:pPr>
          </w:p>
        </w:tc>
      </w:tr>
      <w:tr w:rsidR="001E1112" w:rsidRPr="00317ABF" w14:paraId="7F4CE521" w14:textId="77777777" w:rsidTr="7753F98D">
        <w:trPr>
          <w:gridAfter w:val="2"/>
          <w:wAfter w:w="175" w:type="dxa"/>
        </w:trPr>
        <w:tc>
          <w:tcPr>
            <w:tcW w:w="704" w:type="dxa"/>
          </w:tcPr>
          <w:p w14:paraId="61C55697" w14:textId="77777777" w:rsidR="001E1112" w:rsidRPr="00317ABF" w:rsidRDefault="001E1112" w:rsidP="00DB3BEC">
            <w:pPr>
              <w:jc w:val="both"/>
              <w:rPr>
                <w:sz w:val="22"/>
                <w:szCs w:val="22"/>
              </w:rPr>
            </w:pPr>
            <w:r w:rsidRPr="00317ABF">
              <w:rPr>
                <w:sz w:val="22"/>
                <w:szCs w:val="22"/>
              </w:rPr>
              <w:t>Art. 28 ust. 4</w:t>
            </w:r>
          </w:p>
        </w:tc>
        <w:tc>
          <w:tcPr>
            <w:tcW w:w="4308" w:type="dxa"/>
          </w:tcPr>
          <w:p w14:paraId="025B2604" w14:textId="77777777" w:rsidR="001E1112" w:rsidRPr="00317ABF" w:rsidRDefault="001E1112" w:rsidP="00DB3BEC">
            <w:pPr>
              <w:spacing w:before="120"/>
              <w:jc w:val="both"/>
              <w:rPr>
                <w:sz w:val="22"/>
                <w:szCs w:val="22"/>
              </w:rPr>
            </w:pPr>
            <w:r w:rsidRPr="00317ABF">
              <w:rPr>
                <w:sz w:val="22"/>
                <w:szCs w:val="22"/>
              </w:rPr>
              <w:t xml:space="preserve">4.   W przypadku gdy działania, o których mowa w ust. 2 lub 3 nie rozwiązały problemu lub sporu i na wniosek któregokolwiek państwa członkowskiego, którego to dotyczy, Komisja może, uwzględniając w jak największym stopniu opinię RSPG zalecającą skoordynowane rozwiązanie na podstawie ust. 3, przyjąć decyzje wydane w drodze aktów wykonawczych, skierowane do tych państw członkowskich, których dotyczy niewyeliminowane szkodliwe zakłócenie w celu wyeliminowania szkodliwych zakłóceń </w:t>
            </w:r>
            <w:r w:rsidRPr="00317ABF">
              <w:rPr>
                <w:sz w:val="22"/>
                <w:szCs w:val="22"/>
              </w:rPr>
              <w:lastRenderedPageBreak/>
              <w:t>transgranicznych między dwoma lub kilkoma państwami członkowskimi, które to zakłócenia uniemożliwiają im użytkowanie zharmonizowanego widma radiowego na ich terytorium.</w:t>
            </w:r>
          </w:p>
          <w:p w14:paraId="32732192" w14:textId="77777777" w:rsidR="001E1112" w:rsidRPr="00317ABF" w:rsidRDefault="001E1112" w:rsidP="00DB3BEC">
            <w:pPr>
              <w:spacing w:before="120"/>
              <w:jc w:val="both"/>
              <w:rPr>
                <w:sz w:val="22"/>
                <w:szCs w:val="22"/>
              </w:rPr>
            </w:pPr>
            <w:r w:rsidRPr="00317ABF">
              <w:rPr>
                <w:sz w:val="22"/>
                <w:szCs w:val="22"/>
              </w:rPr>
              <w:t>Te decyzje wykonawcze są przyjmowane zgodnie z procedurą sprawdzającą, o której mowa w art. 118 ust. 4.</w:t>
            </w:r>
          </w:p>
        </w:tc>
        <w:tc>
          <w:tcPr>
            <w:tcW w:w="986" w:type="dxa"/>
          </w:tcPr>
          <w:p w14:paraId="2E2CB9BC" w14:textId="77777777" w:rsidR="001E1112" w:rsidRPr="00317ABF" w:rsidRDefault="001E1112" w:rsidP="00DB3BEC">
            <w:pPr>
              <w:jc w:val="both"/>
              <w:rPr>
                <w:sz w:val="22"/>
                <w:szCs w:val="22"/>
              </w:rPr>
            </w:pPr>
            <w:r w:rsidRPr="00317ABF">
              <w:rPr>
                <w:sz w:val="22"/>
                <w:szCs w:val="22"/>
              </w:rPr>
              <w:lastRenderedPageBreak/>
              <w:t>N</w:t>
            </w:r>
          </w:p>
        </w:tc>
        <w:tc>
          <w:tcPr>
            <w:tcW w:w="910" w:type="dxa"/>
          </w:tcPr>
          <w:p w14:paraId="75C32BFB" w14:textId="77777777" w:rsidR="001E1112" w:rsidRPr="00317ABF" w:rsidRDefault="001E1112" w:rsidP="00DB3BEC">
            <w:pPr>
              <w:pStyle w:val="Tekstpodstawowy"/>
              <w:rPr>
                <w:b/>
                <w:noProof/>
                <w:sz w:val="22"/>
                <w:szCs w:val="22"/>
              </w:rPr>
            </w:pPr>
          </w:p>
        </w:tc>
        <w:tc>
          <w:tcPr>
            <w:tcW w:w="6814" w:type="dxa"/>
            <w:gridSpan w:val="2"/>
          </w:tcPr>
          <w:p w14:paraId="0662AD45" w14:textId="77777777" w:rsidR="001E1112" w:rsidRPr="00317ABF" w:rsidRDefault="001E1112" w:rsidP="00DB3BEC">
            <w:pPr>
              <w:pStyle w:val="Tekstpodstawowy"/>
              <w:rPr>
                <w:sz w:val="22"/>
                <w:szCs w:val="22"/>
              </w:rPr>
            </w:pPr>
          </w:p>
        </w:tc>
      </w:tr>
      <w:tr w:rsidR="001E1112" w:rsidRPr="00317ABF" w14:paraId="2DACB200" w14:textId="77777777" w:rsidTr="7753F98D">
        <w:trPr>
          <w:gridAfter w:val="2"/>
          <w:wAfter w:w="175" w:type="dxa"/>
        </w:trPr>
        <w:tc>
          <w:tcPr>
            <w:tcW w:w="704" w:type="dxa"/>
          </w:tcPr>
          <w:p w14:paraId="2D3497A4" w14:textId="77777777" w:rsidR="001E1112" w:rsidRPr="00317ABF" w:rsidRDefault="001E1112" w:rsidP="00DB3BEC">
            <w:pPr>
              <w:jc w:val="both"/>
              <w:rPr>
                <w:sz w:val="22"/>
                <w:szCs w:val="22"/>
              </w:rPr>
            </w:pPr>
            <w:r w:rsidRPr="00317ABF">
              <w:rPr>
                <w:sz w:val="22"/>
                <w:szCs w:val="22"/>
              </w:rPr>
              <w:lastRenderedPageBreak/>
              <w:t>Art. 28 ust. 5</w:t>
            </w:r>
          </w:p>
        </w:tc>
        <w:tc>
          <w:tcPr>
            <w:tcW w:w="4308" w:type="dxa"/>
          </w:tcPr>
          <w:p w14:paraId="3BE5B6A9" w14:textId="77777777" w:rsidR="001E1112" w:rsidRPr="00317ABF" w:rsidRDefault="001E1112" w:rsidP="00DB3BEC">
            <w:pPr>
              <w:spacing w:before="120"/>
              <w:jc w:val="both"/>
              <w:rPr>
                <w:sz w:val="22"/>
                <w:szCs w:val="22"/>
              </w:rPr>
            </w:pPr>
            <w:r w:rsidRPr="00317ABF">
              <w:rPr>
                <w:sz w:val="22"/>
                <w:szCs w:val="22"/>
              </w:rPr>
              <w:t>5.   Na wniosek państw członkowskich, których to dotyczy, Unia udziela im wsparcia prawnego, politycznego i technicznego w celu rozwiązania kwestii koordynacji widma radiowego z państwami sąsiadującymi z Unią, w tym z państwami kandydującymi i przystępującymi, tak by umożliwić zainteresowanym państwom członkowskim wypełnienie obowiązków na mocy prawa unijnego. Udzielając takiej pomocy, Unia promuje wdrażanie polityk unijnych.</w:t>
            </w:r>
          </w:p>
        </w:tc>
        <w:tc>
          <w:tcPr>
            <w:tcW w:w="986" w:type="dxa"/>
          </w:tcPr>
          <w:p w14:paraId="7FE981A3" w14:textId="77777777" w:rsidR="001E1112" w:rsidRPr="00317ABF" w:rsidRDefault="001E1112" w:rsidP="00DB3BEC">
            <w:pPr>
              <w:jc w:val="both"/>
              <w:rPr>
                <w:sz w:val="22"/>
                <w:szCs w:val="22"/>
              </w:rPr>
            </w:pPr>
            <w:r w:rsidRPr="00317ABF">
              <w:rPr>
                <w:sz w:val="22"/>
                <w:szCs w:val="22"/>
              </w:rPr>
              <w:t>N</w:t>
            </w:r>
          </w:p>
        </w:tc>
        <w:tc>
          <w:tcPr>
            <w:tcW w:w="910" w:type="dxa"/>
          </w:tcPr>
          <w:p w14:paraId="757622BD" w14:textId="77777777" w:rsidR="001E1112" w:rsidRPr="00317ABF" w:rsidRDefault="001E1112" w:rsidP="00DB3BEC">
            <w:pPr>
              <w:pStyle w:val="Tekstpodstawowy"/>
              <w:rPr>
                <w:b/>
                <w:noProof/>
                <w:sz w:val="22"/>
                <w:szCs w:val="22"/>
              </w:rPr>
            </w:pPr>
          </w:p>
        </w:tc>
        <w:tc>
          <w:tcPr>
            <w:tcW w:w="6814" w:type="dxa"/>
            <w:gridSpan w:val="2"/>
          </w:tcPr>
          <w:p w14:paraId="6D72DC9D" w14:textId="77777777" w:rsidR="001E1112" w:rsidRPr="00317ABF" w:rsidRDefault="001E1112" w:rsidP="00DB3BEC">
            <w:pPr>
              <w:pStyle w:val="Tekstpodstawowy"/>
              <w:rPr>
                <w:sz w:val="22"/>
                <w:szCs w:val="22"/>
              </w:rPr>
            </w:pPr>
          </w:p>
        </w:tc>
      </w:tr>
      <w:tr w:rsidR="001E1112" w:rsidRPr="00317ABF" w14:paraId="58DA0588" w14:textId="77777777" w:rsidTr="7753F98D">
        <w:trPr>
          <w:gridAfter w:val="2"/>
          <w:wAfter w:w="175" w:type="dxa"/>
        </w:trPr>
        <w:tc>
          <w:tcPr>
            <w:tcW w:w="704" w:type="dxa"/>
          </w:tcPr>
          <w:p w14:paraId="7ED5E67A" w14:textId="77777777" w:rsidR="001E1112" w:rsidRPr="00317ABF" w:rsidRDefault="001E1112" w:rsidP="00DB3BEC">
            <w:pPr>
              <w:jc w:val="both"/>
              <w:rPr>
                <w:b/>
                <w:sz w:val="22"/>
                <w:szCs w:val="22"/>
              </w:rPr>
            </w:pPr>
            <w:r w:rsidRPr="00317ABF">
              <w:rPr>
                <w:b/>
                <w:sz w:val="22"/>
                <w:szCs w:val="22"/>
              </w:rPr>
              <w:t>Art. 29</w:t>
            </w:r>
          </w:p>
        </w:tc>
        <w:tc>
          <w:tcPr>
            <w:tcW w:w="4308" w:type="dxa"/>
          </w:tcPr>
          <w:p w14:paraId="17F5A84D" w14:textId="77777777" w:rsidR="001E1112" w:rsidRPr="00317ABF" w:rsidRDefault="001E1112" w:rsidP="00DB3BEC">
            <w:pPr>
              <w:spacing w:before="120"/>
              <w:jc w:val="both"/>
              <w:rPr>
                <w:sz w:val="22"/>
                <w:szCs w:val="22"/>
              </w:rPr>
            </w:pPr>
            <w:r w:rsidRPr="00317ABF">
              <w:rPr>
                <w:b/>
                <w:bCs/>
                <w:sz w:val="22"/>
                <w:szCs w:val="22"/>
              </w:rPr>
              <w:t>Sankcje</w:t>
            </w:r>
          </w:p>
        </w:tc>
        <w:tc>
          <w:tcPr>
            <w:tcW w:w="986" w:type="dxa"/>
          </w:tcPr>
          <w:p w14:paraId="477AB001" w14:textId="77777777" w:rsidR="001E1112" w:rsidRPr="00317ABF" w:rsidRDefault="001E1112" w:rsidP="00DB3BEC">
            <w:pPr>
              <w:jc w:val="both"/>
              <w:rPr>
                <w:sz w:val="22"/>
                <w:szCs w:val="22"/>
              </w:rPr>
            </w:pPr>
          </w:p>
        </w:tc>
        <w:tc>
          <w:tcPr>
            <w:tcW w:w="910" w:type="dxa"/>
          </w:tcPr>
          <w:p w14:paraId="369B25BB" w14:textId="77777777" w:rsidR="001E1112" w:rsidRPr="00317ABF" w:rsidRDefault="001E1112" w:rsidP="00DB3BEC">
            <w:pPr>
              <w:pStyle w:val="Tekstpodstawowy"/>
              <w:rPr>
                <w:b/>
                <w:noProof/>
                <w:sz w:val="22"/>
                <w:szCs w:val="22"/>
              </w:rPr>
            </w:pPr>
          </w:p>
        </w:tc>
        <w:tc>
          <w:tcPr>
            <w:tcW w:w="6814" w:type="dxa"/>
            <w:gridSpan w:val="2"/>
          </w:tcPr>
          <w:p w14:paraId="3DACA320" w14:textId="77777777" w:rsidR="001E1112" w:rsidRPr="00317ABF" w:rsidRDefault="001E1112" w:rsidP="00DB3BEC">
            <w:pPr>
              <w:pStyle w:val="Tekstpodstawowy"/>
              <w:rPr>
                <w:sz w:val="22"/>
                <w:szCs w:val="22"/>
              </w:rPr>
            </w:pPr>
          </w:p>
        </w:tc>
      </w:tr>
      <w:tr w:rsidR="001E1112" w:rsidRPr="00317ABF" w14:paraId="2C0A3F73" w14:textId="77777777" w:rsidTr="7753F98D">
        <w:trPr>
          <w:gridAfter w:val="2"/>
          <w:wAfter w:w="175" w:type="dxa"/>
        </w:trPr>
        <w:tc>
          <w:tcPr>
            <w:tcW w:w="704" w:type="dxa"/>
          </w:tcPr>
          <w:p w14:paraId="3221C6FA" w14:textId="77777777" w:rsidR="001E1112" w:rsidRPr="00317ABF" w:rsidRDefault="001E1112" w:rsidP="00DB3BEC">
            <w:pPr>
              <w:jc w:val="both"/>
              <w:rPr>
                <w:sz w:val="22"/>
                <w:szCs w:val="22"/>
              </w:rPr>
            </w:pPr>
            <w:r w:rsidRPr="00317ABF">
              <w:rPr>
                <w:sz w:val="22"/>
                <w:szCs w:val="22"/>
              </w:rPr>
              <w:t>Art. 29 ust. 1</w:t>
            </w:r>
          </w:p>
        </w:tc>
        <w:tc>
          <w:tcPr>
            <w:tcW w:w="4308" w:type="dxa"/>
          </w:tcPr>
          <w:p w14:paraId="285FE095" w14:textId="77777777" w:rsidR="001E1112" w:rsidRPr="00317ABF" w:rsidRDefault="001E1112" w:rsidP="00DB3BEC">
            <w:pPr>
              <w:spacing w:before="120"/>
              <w:jc w:val="both"/>
              <w:rPr>
                <w:sz w:val="22"/>
                <w:szCs w:val="22"/>
              </w:rPr>
            </w:pPr>
            <w:r w:rsidRPr="00317ABF">
              <w:rPr>
                <w:sz w:val="22"/>
                <w:szCs w:val="22"/>
              </w:rPr>
              <w:t xml:space="preserve">1.   Państwa członkowskie ustanawiają przepisy dotyczące sankcji, w tym, w razie potrzeby, grzywien i innych niż karne określonych z góry lub okresowych sankcji, mających zastosowanie do naruszeń krajowych przepisów przyjętych na podstawie niniejszej dyrektywy lub dowolnej wiążącej decyzji przyjętej przez Komisję, krajowy organ regulacyjny lub inny właściwy organ na podstawie niniejszej dyrektywy oraz wprowadzają wszelkie środki niezbędne, by zapewnić ich wykonanie. W granicach określonych przepisami krajowego prawa krajowe organy regulacyjne lub inne właściwe organy mają prawo nakładać takie sankcje. </w:t>
            </w:r>
            <w:r w:rsidRPr="00317ABF">
              <w:rPr>
                <w:sz w:val="22"/>
                <w:szCs w:val="22"/>
              </w:rPr>
              <w:lastRenderedPageBreak/>
              <w:t>Przewidziane sankcje muszą być odpowiednie, skuteczne, proporcjonalne i odstraszające.</w:t>
            </w:r>
          </w:p>
        </w:tc>
        <w:tc>
          <w:tcPr>
            <w:tcW w:w="986" w:type="dxa"/>
          </w:tcPr>
          <w:p w14:paraId="53DBAC7D" w14:textId="49738989" w:rsidR="001E1112" w:rsidRPr="00317ABF" w:rsidRDefault="001E1112" w:rsidP="00DB3BEC">
            <w:pPr>
              <w:jc w:val="both"/>
              <w:rPr>
                <w:sz w:val="22"/>
                <w:szCs w:val="22"/>
              </w:rPr>
            </w:pPr>
            <w:r w:rsidRPr="00317ABF">
              <w:rPr>
                <w:sz w:val="22"/>
                <w:szCs w:val="22"/>
              </w:rPr>
              <w:lastRenderedPageBreak/>
              <w:t>T</w:t>
            </w:r>
          </w:p>
        </w:tc>
        <w:tc>
          <w:tcPr>
            <w:tcW w:w="910" w:type="dxa"/>
          </w:tcPr>
          <w:p w14:paraId="6A1B5C7B" w14:textId="1A7AA361" w:rsidR="001E1112" w:rsidRPr="00317ABF" w:rsidRDefault="001E1112" w:rsidP="00DB3BEC">
            <w:pPr>
              <w:pStyle w:val="Tekstpodstawowy"/>
              <w:rPr>
                <w:b/>
                <w:bCs/>
                <w:noProof/>
                <w:sz w:val="22"/>
                <w:szCs w:val="22"/>
              </w:rPr>
            </w:pPr>
            <w:r w:rsidRPr="00317ABF">
              <w:rPr>
                <w:b/>
                <w:bCs/>
                <w:noProof/>
                <w:sz w:val="22"/>
                <w:szCs w:val="22"/>
              </w:rPr>
              <w:t xml:space="preserve">Art. </w:t>
            </w:r>
            <w:r w:rsidR="001532E1" w:rsidRPr="00317ABF">
              <w:rPr>
                <w:b/>
                <w:bCs/>
                <w:noProof/>
                <w:sz w:val="22"/>
                <w:szCs w:val="22"/>
              </w:rPr>
              <w:t>439</w:t>
            </w:r>
            <w:r w:rsidRPr="00317ABF">
              <w:rPr>
                <w:b/>
                <w:bCs/>
                <w:noProof/>
                <w:sz w:val="22"/>
                <w:szCs w:val="22"/>
              </w:rPr>
              <w:t xml:space="preserve">, art. </w:t>
            </w:r>
            <w:r w:rsidR="001532E1" w:rsidRPr="00317ABF">
              <w:rPr>
                <w:b/>
                <w:bCs/>
                <w:noProof/>
                <w:sz w:val="22"/>
                <w:szCs w:val="22"/>
              </w:rPr>
              <w:t>441</w:t>
            </w:r>
            <w:r w:rsidRPr="00317ABF">
              <w:rPr>
                <w:b/>
                <w:bCs/>
                <w:noProof/>
                <w:sz w:val="22"/>
                <w:szCs w:val="22"/>
              </w:rPr>
              <w:t xml:space="preserve"> ust. 1, 2, 4, 5 </w:t>
            </w:r>
            <w:r w:rsidR="00DB3BEC" w:rsidRPr="00317ABF">
              <w:rPr>
                <w:b/>
                <w:bCs/>
                <w:noProof/>
                <w:sz w:val="22"/>
                <w:szCs w:val="22"/>
              </w:rPr>
              <w:t xml:space="preserve">Art. </w:t>
            </w:r>
            <w:r w:rsidR="001532E1" w:rsidRPr="00317ABF">
              <w:rPr>
                <w:b/>
                <w:bCs/>
                <w:noProof/>
                <w:sz w:val="22"/>
                <w:szCs w:val="22"/>
              </w:rPr>
              <w:t>442</w:t>
            </w:r>
            <w:r w:rsidRPr="00317ABF">
              <w:rPr>
                <w:b/>
                <w:bCs/>
                <w:noProof/>
                <w:sz w:val="22"/>
                <w:szCs w:val="22"/>
              </w:rPr>
              <w:t xml:space="preserve"> ust. 1-8</w:t>
            </w:r>
          </w:p>
        </w:tc>
        <w:tc>
          <w:tcPr>
            <w:tcW w:w="6814" w:type="dxa"/>
            <w:gridSpan w:val="2"/>
          </w:tcPr>
          <w:p w14:paraId="692019F9" w14:textId="1FA0076C" w:rsidR="001E1112" w:rsidRPr="00317ABF" w:rsidRDefault="001E1112" w:rsidP="001532E1">
            <w:pPr>
              <w:jc w:val="both"/>
              <w:rPr>
                <w:rFonts w:eastAsia="Times"/>
                <w:sz w:val="22"/>
                <w:szCs w:val="22"/>
              </w:rPr>
            </w:pPr>
            <w:r w:rsidRPr="00317ABF">
              <w:rPr>
                <w:rFonts w:eastAsia="Times"/>
                <w:b/>
                <w:bCs/>
                <w:sz w:val="22"/>
                <w:szCs w:val="22"/>
              </w:rPr>
              <w:t xml:space="preserve">Art. </w:t>
            </w:r>
            <w:r w:rsidR="001532E1" w:rsidRPr="00317ABF">
              <w:rPr>
                <w:rFonts w:eastAsia="Times"/>
                <w:b/>
                <w:sz w:val="22"/>
                <w:szCs w:val="22"/>
              </w:rPr>
              <w:t>439</w:t>
            </w:r>
            <w:r w:rsidRPr="00317ABF">
              <w:rPr>
                <w:rFonts w:eastAsia="Times"/>
                <w:b/>
                <w:bCs/>
                <w:sz w:val="22"/>
                <w:szCs w:val="22"/>
              </w:rPr>
              <w:t>.</w:t>
            </w:r>
            <w:r w:rsidRPr="00317ABF">
              <w:rPr>
                <w:rFonts w:eastAsia="Times"/>
                <w:sz w:val="22"/>
                <w:szCs w:val="22"/>
              </w:rPr>
              <w:t xml:space="preserve"> 1. Kto bez wymaganego pozwolenia używa urządzenia radiowego nadawczego lub nadawczo-odbiorczego, podlega karze grzywny w wysokości nie niższej niż 500 złotych i nie wyższej niż 5000 złotych.</w:t>
            </w:r>
          </w:p>
          <w:p w14:paraId="6A805598" w14:textId="77777777" w:rsidR="001E1112" w:rsidRPr="00317ABF" w:rsidRDefault="001E1112" w:rsidP="001532E1">
            <w:pPr>
              <w:ind w:firstLine="510"/>
              <w:jc w:val="both"/>
              <w:rPr>
                <w:rFonts w:eastAsia="Times"/>
                <w:sz w:val="22"/>
                <w:szCs w:val="22"/>
              </w:rPr>
            </w:pPr>
            <w:r w:rsidRPr="00317ABF">
              <w:rPr>
                <w:rFonts w:eastAsia="Times"/>
                <w:sz w:val="22"/>
                <w:szCs w:val="22"/>
              </w:rPr>
              <w:t xml:space="preserve">2. Kto uniemożliwia dostęp do materiałów, dokumentów, danych urządzeń i aparatury, o których mowa w art. </w:t>
            </w:r>
            <w:r w:rsidR="001532E1" w:rsidRPr="00317ABF">
              <w:rPr>
                <w:rFonts w:eastAsia="Times"/>
                <w:sz w:val="22"/>
                <w:szCs w:val="22"/>
              </w:rPr>
              <w:t>419</w:t>
            </w:r>
            <w:r w:rsidRPr="00317ABF">
              <w:rPr>
                <w:rFonts w:eastAsia="Times"/>
                <w:sz w:val="22"/>
                <w:szCs w:val="22"/>
              </w:rPr>
              <w:t xml:space="preserve"> ust. </w:t>
            </w:r>
            <w:r w:rsidR="001532E1" w:rsidRPr="00317ABF">
              <w:rPr>
                <w:rFonts w:eastAsia="Times"/>
                <w:sz w:val="22"/>
                <w:szCs w:val="22"/>
              </w:rPr>
              <w:t>4</w:t>
            </w:r>
            <w:r w:rsidRPr="00317ABF">
              <w:rPr>
                <w:rFonts w:eastAsia="Times"/>
                <w:sz w:val="22"/>
                <w:szCs w:val="22"/>
              </w:rPr>
              <w:t>, podlega karze grzywny w wysokości nie niższej niż 500 złotych i nie wyższej niż 5000 złotych.</w:t>
            </w:r>
          </w:p>
          <w:p w14:paraId="3A5D680A" w14:textId="77777777" w:rsidR="00AD5E8A" w:rsidRPr="00317ABF" w:rsidRDefault="00AD5E8A" w:rsidP="00AD5E8A">
            <w:pPr>
              <w:pStyle w:val="USTustnpkodeksu"/>
              <w:spacing w:line="240" w:lineRule="auto"/>
              <w:rPr>
                <w:rFonts w:ascii="Times New Roman" w:hAnsi="Times New Roman" w:cs="Times New Roman"/>
                <w:sz w:val="22"/>
                <w:szCs w:val="22"/>
              </w:rPr>
            </w:pPr>
            <w:r w:rsidRPr="00317ABF">
              <w:rPr>
                <w:rFonts w:ascii="Times New Roman" w:hAnsi="Times New Roman" w:cs="Times New Roman"/>
                <w:sz w:val="22"/>
                <w:szCs w:val="22"/>
              </w:rPr>
              <w:t>3. Jeżeli sprawca czynu określonego w ust. 1 działa w sposób uporczywy, podlega grzywnie, karze ograniczenia wolności albo pozbawienia wolności do lat 2.</w:t>
            </w:r>
          </w:p>
          <w:p w14:paraId="2C6D2D16" w14:textId="77777777" w:rsidR="00AD5E8A" w:rsidRPr="00317ABF" w:rsidRDefault="00AD5E8A" w:rsidP="00AD5E8A">
            <w:pPr>
              <w:pStyle w:val="USTustnpkodeksu"/>
              <w:spacing w:line="240" w:lineRule="auto"/>
              <w:rPr>
                <w:rFonts w:ascii="Times New Roman" w:hAnsi="Times New Roman" w:cs="Times New Roman"/>
                <w:sz w:val="22"/>
                <w:szCs w:val="22"/>
              </w:rPr>
            </w:pPr>
            <w:r w:rsidRPr="00317ABF">
              <w:rPr>
                <w:rFonts w:ascii="Times New Roman" w:hAnsi="Times New Roman" w:cs="Times New Roman"/>
                <w:sz w:val="22"/>
                <w:szCs w:val="22"/>
              </w:rPr>
              <w:t>4. Sąd może orzec przepadek urządzeń przeznaczonych lub służących do popełnienia czynu określonego w ust. 1, chociażby nie stanowiły one własności sprawcy.</w:t>
            </w:r>
          </w:p>
          <w:p w14:paraId="73677C95" w14:textId="77777777" w:rsidR="00AD5E8A" w:rsidRPr="00317ABF" w:rsidRDefault="00AD5E8A" w:rsidP="00AD5E8A">
            <w:pPr>
              <w:pStyle w:val="USTustnpkodeksu"/>
              <w:spacing w:line="240" w:lineRule="auto"/>
              <w:rPr>
                <w:rFonts w:ascii="Times New Roman" w:hAnsi="Times New Roman" w:cs="Times New Roman"/>
                <w:sz w:val="22"/>
                <w:szCs w:val="22"/>
              </w:rPr>
            </w:pPr>
            <w:r w:rsidRPr="00317ABF">
              <w:rPr>
                <w:rFonts w:ascii="Times New Roman" w:hAnsi="Times New Roman" w:cs="Times New Roman"/>
                <w:sz w:val="22"/>
                <w:szCs w:val="22"/>
              </w:rPr>
              <w:t xml:space="preserve">5. Sąd orzeka przepadek urządzeń przeznaczonych lub służących do popełnienia czynu określonego w ust. 1, chociażby nie stanowiły one własności sprawcy, jeżeli ich używanie zagraża życiu lub zdrowiu człowieka. Przepis art. 195 ustawy z dnia 6 czerwca 1997 r. - Kodeks karny </w:t>
            </w:r>
            <w:r w:rsidRPr="00317ABF">
              <w:rPr>
                <w:rFonts w:ascii="Times New Roman" w:hAnsi="Times New Roman" w:cs="Times New Roman"/>
                <w:sz w:val="22"/>
                <w:szCs w:val="22"/>
              </w:rPr>
              <w:lastRenderedPageBreak/>
              <w:t>wykonawczy stosuje się niezależnie od wartości przedmiotów, których przepadek orzeczono.</w:t>
            </w:r>
          </w:p>
          <w:p w14:paraId="642346EE" w14:textId="77777777" w:rsidR="00AD5E8A" w:rsidRPr="00317ABF" w:rsidRDefault="00AD5E8A" w:rsidP="00AD5E8A">
            <w:pPr>
              <w:pStyle w:val="USTustnpkodeksu"/>
              <w:spacing w:line="240" w:lineRule="auto"/>
              <w:rPr>
                <w:rFonts w:ascii="Times New Roman" w:hAnsi="Times New Roman" w:cs="Times New Roman"/>
                <w:sz w:val="22"/>
                <w:szCs w:val="22"/>
              </w:rPr>
            </w:pPr>
            <w:r w:rsidRPr="00317ABF">
              <w:rPr>
                <w:rFonts w:ascii="Times New Roman" w:hAnsi="Times New Roman" w:cs="Times New Roman"/>
                <w:sz w:val="22"/>
                <w:szCs w:val="22"/>
              </w:rPr>
              <w:t>6. Orzekanie w sprawach o czyny, o których mowa w ust. 1-3, następuje w trybie przepisów ustawy z dnia 24 sierpnia 2001 r. - Kodeks postępowania w sprawach o wykroczenia (Dz. U. poz. 2020 r. poz. 729 i 956).</w:t>
            </w:r>
          </w:p>
          <w:p w14:paraId="5F176507" w14:textId="77777777" w:rsidR="00AD5E8A" w:rsidRPr="00317ABF" w:rsidRDefault="00AD5E8A" w:rsidP="001532E1">
            <w:pPr>
              <w:ind w:firstLine="510"/>
              <w:jc w:val="both"/>
              <w:rPr>
                <w:rFonts w:eastAsia="Times"/>
                <w:sz w:val="22"/>
                <w:szCs w:val="22"/>
              </w:rPr>
            </w:pPr>
          </w:p>
          <w:p w14:paraId="30ED07D6" w14:textId="77777777" w:rsidR="001532E1" w:rsidRPr="00317ABF" w:rsidRDefault="001532E1" w:rsidP="001532E1">
            <w:pPr>
              <w:ind w:firstLine="510"/>
              <w:jc w:val="both"/>
              <w:rPr>
                <w:rFonts w:eastAsia="Times"/>
                <w:sz w:val="22"/>
                <w:szCs w:val="22"/>
              </w:rPr>
            </w:pPr>
          </w:p>
          <w:p w14:paraId="432437AF" w14:textId="2B047139" w:rsidR="001532E1" w:rsidRPr="00317ABF" w:rsidRDefault="001532E1" w:rsidP="001532E1">
            <w:pPr>
              <w:jc w:val="both"/>
              <w:rPr>
                <w:rFonts w:eastAsia="Times"/>
                <w:sz w:val="22"/>
                <w:szCs w:val="22"/>
              </w:rPr>
            </w:pPr>
            <w:r w:rsidRPr="00317ABF">
              <w:rPr>
                <w:rFonts w:eastAsia="Times"/>
                <w:b/>
                <w:bCs/>
                <w:sz w:val="22"/>
                <w:szCs w:val="22"/>
              </w:rPr>
              <w:t>Art. 441</w:t>
            </w:r>
            <w:r w:rsidR="001E1112" w:rsidRPr="00317ABF">
              <w:rPr>
                <w:rFonts w:eastAsia="Times"/>
                <w:b/>
                <w:bCs/>
                <w:sz w:val="22"/>
                <w:szCs w:val="22"/>
              </w:rPr>
              <w:t>.</w:t>
            </w:r>
            <w:r w:rsidR="001E1112" w:rsidRPr="00317ABF">
              <w:rPr>
                <w:rFonts w:eastAsia="Times"/>
                <w:sz w:val="22"/>
                <w:szCs w:val="22"/>
              </w:rPr>
              <w:t xml:space="preserve"> </w:t>
            </w:r>
          </w:p>
          <w:p w14:paraId="317717C0" w14:textId="31D49350" w:rsidR="001532E1" w:rsidRPr="00317ABF" w:rsidRDefault="001532E1" w:rsidP="001532E1">
            <w:pPr>
              <w:ind w:firstLine="510"/>
              <w:jc w:val="both"/>
              <w:rPr>
                <w:rFonts w:eastAsia="Times"/>
                <w:sz w:val="22"/>
                <w:szCs w:val="22"/>
              </w:rPr>
            </w:pPr>
            <w:r w:rsidRPr="00317ABF">
              <w:t xml:space="preserve"> </w:t>
            </w:r>
            <w:r w:rsidRPr="00317ABF">
              <w:rPr>
                <w:rFonts w:eastAsia="Times"/>
                <w:sz w:val="22"/>
                <w:szCs w:val="22"/>
              </w:rPr>
              <w:t>Art. 441. 1. Kto:</w:t>
            </w:r>
          </w:p>
          <w:p w14:paraId="40D6F2F2" w14:textId="77777777" w:rsidR="001532E1" w:rsidRPr="00317ABF" w:rsidRDefault="001532E1" w:rsidP="001532E1">
            <w:pPr>
              <w:ind w:firstLine="510"/>
              <w:jc w:val="both"/>
              <w:rPr>
                <w:rFonts w:eastAsia="Times"/>
                <w:sz w:val="22"/>
                <w:szCs w:val="22"/>
              </w:rPr>
            </w:pPr>
            <w:r w:rsidRPr="00317ABF">
              <w:rPr>
                <w:rFonts w:eastAsia="Times"/>
                <w:sz w:val="22"/>
                <w:szCs w:val="22"/>
              </w:rPr>
              <w:t>1)</w:t>
            </w:r>
            <w:r w:rsidRPr="00317ABF">
              <w:rPr>
                <w:rFonts w:eastAsia="Times"/>
                <w:sz w:val="22"/>
                <w:szCs w:val="22"/>
              </w:rPr>
              <w:tab/>
              <w:t>wykonuje działalność telekomunikacyjną w zakresie nieobjętym wnioskiem o wpis do rejestru PT, w tym wykonuje działalność telekomunikacyjną bez złożenia wniosku o wpis do rejestru PT,</w:t>
            </w:r>
          </w:p>
          <w:p w14:paraId="113311B9" w14:textId="77777777" w:rsidR="001532E1" w:rsidRPr="00317ABF" w:rsidRDefault="001532E1" w:rsidP="001532E1">
            <w:pPr>
              <w:ind w:firstLine="510"/>
              <w:jc w:val="both"/>
              <w:rPr>
                <w:rFonts w:eastAsia="Times"/>
                <w:sz w:val="22"/>
                <w:szCs w:val="22"/>
              </w:rPr>
            </w:pPr>
            <w:r w:rsidRPr="00317ABF">
              <w:rPr>
                <w:rFonts w:eastAsia="Times"/>
                <w:sz w:val="22"/>
                <w:szCs w:val="22"/>
              </w:rPr>
              <w:t>2)</w:t>
            </w:r>
            <w:r w:rsidRPr="00317ABF">
              <w:rPr>
                <w:rFonts w:eastAsia="Times"/>
                <w:sz w:val="22"/>
                <w:szCs w:val="22"/>
              </w:rPr>
              <w:tab/>
              <w:t>nie wypełnia obowiązku złożenia wniosku do Prezesa UKE o zmianę wpisu w rejestrze PT w przypadku, o którym mowa w art. 12 ust. 1,</w:t>
            </w:r>
          </w:p>
          <w:p w14:paraId="6F3B9795" w14:textId="77777777" w:rsidR="001532E1" w:rsidRPr="00317ABF" w:rsidRDefault="001532E1" w:rsidP="001532E1">
            <w:pPr>
              <w:ind w:firstLine="510"/>
              <w:jc w:val="both"/>
              <w:rPr>
                <w:rFonts w:eastAsia="Times"/>
                <w:sz w:val="22"/>
                <w:szCs w:val="22"/>
              </w:rPr>
            </w:pPr>
            <w:r w:rsidRPr="00317ABF">
              <w:rPr>
                <w:rFonts w:eastAsia="Times"/>
                <w:sz w:val="22"/>
                <w:szCs w:val="22"/>
              </w:rPr>
              <w:t>3)</w:t>
            </w:r>
            <w:r w:rsidRPr="00317ABF">
              <w:rPr>
                <w:rFonts w:eastAsia="Times"/>
                <w:sz w:val="22"/>
                <w:szCs w:val="22"/>
              </w:rPr>
              <w:tab/>
              <w:t>nie wypełnia obowiązku złożenia do Prezesa UKE wniosku o wykreślenie z rejestru PT w przypadku, o którym mowa w art. 15,</w:t>
            </w:r>
          </w:p>
          <w:p w14:paraId="5C3323DE" w14:textId="77777777" w:rsidR="001532E1" w:rsidRPr="00317ABF" w:rsidRDefault="001532E1" w:rsidP="001532E1">
            <w:pPr>
              <w:ind w:firstLine="510"/>
              <w:jc w:val="both"/>
              <w:rPr>
                <w:rFonts w:eastAsia="Times"/>
                <w:sz w:val="22"/>
                <w:szCs w:val="22"/>
              </w:rPr>
            </w:pPr>
            <w:r w:rsidRPr="00317ABF">
              <w:rPr>
                <w:rFonts w:eastAsia="Times"/>
                <w:sz w:val="22"/>
                <w:szCs w:val="22"/>
              </w:rPr>
              <w:t>4)</w:t>
            </w:r>
            <w:r w:rsidRPr="00317ABF">
              <w:rPr>
                <w:rFonts w:eastAsia="Times"/>
                <w:sz w:val="22"/>
                <w:szCs w:val="22"/>
              </w:rPr>
              <w:tab/>
              <w:t>nie wypełnia lub nienależycie wypełnia obowiązki na rzecz obronności, bezpieczeństwa państwa oraz bezpieczeństwa i porządku publicznego, o których mowa w art. 39 ust. 1, 2, 6 i 7, art. 41 ust. 1 i 3, art. 43 ust. 1, 2 i 9, art. 44 ust. 4, art. 45, art. 47 ust. 1–3 i 5-10,  art. 50 ust. 1 i 2, art. 52, art. 53 i art. 54 ust. 1-3,</w:t>
            </w:r>
          </w:p>
          <w:p w14:paraId="30F3D57D" w14:textId="77777777" w:rsidR="001532E1" w:rsidRPr="00317ABF" w:rsidRDefault="001532E1" w:rsidP="001532E1">
            <w:pPr>
              <w:ind w:firstLine="510"/>
              <w:jc w:val="both"/>
              <w:rPr>
                <w:rFonts w:eastAsia="Times"/>
                <w:sz w:val="22"/>
                <w:szCs w:val="22"/>
              </w:rPr>
            </w:pPr>
            <w:r w:rsidRPr="00317ABF">
              <w:rPr>
                <w:rFonts w:eastAsia="Times"/>
                <w:sz w:val="22"/>
                <w:szCs w:val="22"/>
              </w:rPr>
              <w:t>5)</w:t>
            </w:r>
            <w:r w:rsidRPr="00317ABF">
              <w:rPr>
                <w:rFonts w:eastAsia="Times"/>
                <w:sz w:val="22"/>
                <w:szCs w:val="22"/>
              </w:rPr>
              <w:tab/>
              <w:t>nie stosuje się do obowiązków nałożonych decyzją, o których mowa w   art. 40 ust. 1-3,</w:t>
            </w:r>
          </w:p>
          <w:p w14:paraId="1551EE16" w14:textId="77777777" w:rsidR="001532E1" w:rsidRPr="00317ABF" w:rsidRDefault="001532E1" w:rsidP="001532E1">
            <w:pPr>
              <w:ind w:firstLine="510"/>
              <w:jc w:val="both"/>
              <w:rPr>
                <w:rFonts w:eastAsia="Times"/>
                <w:sz w:val="22"/>
                <w:szCs w:val="22"/>
              </w:rPr>
            </w:pPr>
            <w:r w:rsidRPr="00317ABF">
              <w:rPr>
                <w:rFonts w:eastAsia="Times"/>
                <w:sz w:val="22"/>
                <w:szCs w:val="22"/>
              </w:rPr>
              <w:t>6)</w:t>
            </w:r>
            <w:r w:rsidRPr="00317ABF">
              <w:rPr>
                <w:rFonts w:eastAsia="Times"/>
                <w:sz w:val="22"/>
                <w:szCs w:val="22"/>
              </w:rPr>
              <w:tab/>
              <w:t>wykorzystuje częstotliwości, zasoby numeracji lub zasoby orbitalne, nie posiadając do tego uprawnień lub niezgodnie z tymi uprawnieniami,</w:t>
            </w:r>
          </w:p>
          <w:p w14:paraId="03277506" w14:textId="77777777" w:rsidR="001532E1" w:rsidRPr="00317ABF" w:rsidRDefault="001532E1" w:rsidP="001532E1">
            <w:pPr>
              <w:ind w:firstLine="510"/>
              <w:jc w:val="both"/>
              <w:rPr>
                <w:rFonts w:eastAsia="Times"/>
                <w:sz w:val="22"/>
                <w:szCs w:val="22"/>
              </w:rPr>
            </w:pPr>
            <w:r w:rsidRPr="00317ABF">
              <w:rPr>
                <w:rFonts w:eastAsia="Times"/>
                <w:sz w:val="22"/>
                <w:szCs w:val="22"/>
              </w:rPr>
              <w:t>7)</w:t>
            </w:r>
            <w:r w:rsidRPr="00317ABF">
              <w:rPr>
                <w:rFonts w:eastAsia="Times"/>
                <w:sz w:val="22"/>
                <w:szCs w:val="22"/>
              </w:rPr>
              <w:tab/>
              <w:t>używa urządzenia radiowego bez wymaganego wpisu do rejestru urządzeń, o którym mowa w art. 147 ust. 1, albo decyzji, o której mowa w art. 152 i art. 153, albo używa tego urządzenia niezgodnie z tym wpisem albo decyzją,</w:t>
            </w:r>
          </w:p>
          <w:p w14:paraId="1BC10F0B" w14:textId="77777777" w:rsidR="001532E1" w:rsidRPr="00317ABF" w:rsidRDefault="001532E1" w:rsidP="001532E1">
            <w:pPr>
              <w:ind w:firstLine="510"/>
              <w:jc w:val="both"/>
              <w:rPr>
                <w:rFonts w:eastAsia="Times"/>
                <w:sz w:val="22"/>
                <w:szCs w:val="22"/>
              </w:rPr>
            </w:pPr>
            <w:r w:rsidRPr="00317ABF">
              <w:rPr>
                <w:rFonts w:eastAsia="Times"/>
                <w:sz w:val="22"/>
                <w:szCs w:val="22"/>
              </w:rPr>
              <w:t>8)</w:t>
            </w:r>
            <w:r w:rsidRPr="00317ABF">
              <w:rPr>
                <w:rFonts w:eastAsia="Times"/>
                <w:sz w:val="22"/>
                <w:szCs w:val="22"/>
              </w:rPr>
              <w:tab/>
              <w:t>nie wykorzystuje, z przyczyn leżących po jego stronie, częstotliwości przyznanych w rezerwacji częstotliwości przez co najmniej 6 miesięcy,</w:t>
            </w:r>
          </w:p>
          <w:p w14:paraId="586AE4C0" w14:textId="77777777" w:rsidR="001532E1" w:rsidRPr="00317ABF" w:rsidRDefault="001532E1" w:rsidP="001532E1">
            <w:pPr>
              <w:ind w:firstLine="510"/>
              <w:jc w:val="both"/>
              <w:rPr>
                <w:rFonts w:eastAsia="Times"/>
                <w:sz w:val="22"/>
                <w:szCs w:val="22"/>
              </w:rPr>
            </w:pPr>
            <w:r w:rsidRPr="00317ABF">
              <w:rPr>
                <w:rFonts w:eastAsia="Times"/>
                <w:sz w:val="22"/>
                <w:szCs w:val="22"/>
              </w:rPr>
              <w:t>9)</w:t>
            </w:r>
            <w:r w:rsidRPr="00317ABF">
              <w:rPr>
                <w:rFonts w:eastAsia="Times"/>
                <w:sz w:val="22"/>
                <w:szCs w:val="22"/>
              </w:rPr>
              <w:tab/>
              <w:t>wykorzystuje zasoby numeracji niezgodnie z przeznaczeniem, o którym mowa w art. 159,</w:t>
            </w:r>
          </w:p>
          <w:p w14:paraId="17D67CBC" w14:textId="77777777" w:rsidR="001532E1" w:rsidRPr="00317ABF" w:rsidRDefault="001532E1" w:rsidP="001532E1">
            <w:pPr>
              <w:ind w:firstLine="510"/>
              <w:jc w:val="both"/>
              <w:rPr>
                <w:rFonts w:eastAsia="Times"/>
                <w:sz w:val="22"/>
                <w:szCs w:val="22"/>
              </w:rPr>
            </w:pPr>
            <w:r w:rsidRPr="00317ABF">
              <w:rPr>
                <w:rFonts w:eastAsia="Times"/>
                <w:sz w:val="22"/>
                <w:szCs w:val="22"/>
              </w:rPr>
              <w:t>10)</w:t>
            </w:r>
            <w:r w:rsidRPr="00317ABF">
              <w:rPr>
                <w:rFonts w:eastAsia="Times"/>
                <w:sz w:val="22"/>
                <w:szCs w:val="22"/>
              </w:rPr>
              <w:tab/>
              <w:t>udostępnia zasoby numeracji nie będąc do tego uprawnionym na podstawie art. 164 ust. 1,</w:t>
            </w:r>
          </w:p>
          <w:p w14:paraId="1A7BE9C1" w14:textId="77777777" w:rsidR="001532E1" w:rsidRPr="00317ABF" w:rsidRDefault="001532E1" w:rsidP="001532E1">
            <w:pPr>
              <w:ind w:firstLine="510"/>
              <w:jc w:val="both"/>
              <w:rPr>
                <w:rFonts w:eastAsia="Times"/>
                <w:sz w:val="22"/>
                <w:szCs w:val="22"/>
              </w:rPr>
            </w:pPr>
            <w:r w:rsidRPr="00317ABF">
              <w:rPr>
                <w:rFonts w:eastAsia="Times"/>
                <w:sz w:val="22"/>
                <w:szCs w:val="22"/>
              </w:rPr>
              <w:t>11)</w:t>
            </w:r>
            <w:r w:rsidRPr="00317ABF">
              <w:rPr>
                <w:rFonts w:eastAsia="Times"/>
                <w:sz w:val="22"/>
                <w:szCs w:val="22"/>
              </w:rPr>
              <w:tab/>
              <w:t>nie wypełnia obowiązku przekazania Prezesowi UKE umowy, o którym mowa w art. 164 ust. 5,</w:t>
            </w:r>
          </w:p>
          <w:p w14:paraId="1EC34018" w14:textId="77777777" w:rsidR="001532E1" w:rsidRPr="00317ABF" w:rsidRDefault="001532E1" w:rsidP="001532E1">
            <w:pPr>
              <w:ind w:firstLine="510"/>
              <w:jc w:val="both"/>
              <w:rPr>
                <w:rFonts w:eastAsia="Times"/>
                <w:sz w:val="22"/>
                <w:szCs w:val="22"/>
              </w:rPr>
            </w:pPr>
            <w:r w:rsidRPr="00317ABF">
              <w:rPr>
                <w:rFonts w:eastAsia="Times"/>
                <w:sz w:val="22"/>
                <w:szCs w:val="22"/>
              </w:rPr>
              <w:lastRenderedPageBreak/>
              <w:t>12)</w:t>
            </w:r>
            <w:r w:rsidRPr="00317ABF">
              <w:rPr>
                <w:rFonts w:eastAsia="Times"/>
                <w:sz w:val="22"/>
                <w:szCs w:val="22"/>
              </w:rPr>
              <w:tab/>
              <w:t>nie wypełnia obowiązków związanych ze zmianą numeracji, o których mowa w art. 167 ust. 2, ust. 4 i ust. 6,</w:t>
            </w:r>
          </w:p>
          <w:p w14:paraId="437EAE49" w14:textId="77777777" w:rsidR="001532E1" w:rsidRPr="00317ABF" w:rsidRDefault="001532E1" w:rsidP="001532E1">
            <w:pPr>
              <w:ind w:firstLine="510"/>
              <w:jc w:val="both"/>
              <w:rPr>
                <w:rFonts w:eastAsia="Times"/>
                <w:sz w:val="22"/>
                <w:szCs w:val="22"/>
              </w:rPr>
            </w:pPr>
            <w:r w:rsidRPr="00317ABF">
              <w:rPr>
                <w:rFonts w:eastAsia="Times"/>
                <w:sz w:val="22"/>
                <w:szCs w:val="22"/>
              </w:rPr>
              <w:t>13)</w:t>
            </w:r>
            <w:r w:rsidRPr="00317ABF">
              <w:rPr>
                <w:rFonts w:eastAsia="Times"/>
                <w:sz w:val="22"/>
                <w:szCs w:val="22"/>
              </w:rPr>
              <w:tab/>
              <w:t>narusza zakaz, o którym mowa w art. 173 ust. 1,</w:t>
            </w:r>
          </w:p>
          <w:p w14:paraId="6DF110FD" w14:textId="77777777" w:rsidR="001532E1" w:rsidRPr="00317ABF" w:rsidRDefault="001532E1" w:rsidP="001532E1">
            <w:pPr>
              <w:ind w:firstLine="510"/>
              <w:jc w:val="both"/>
              <w:rPr>
                <w:rFonts w:eastAsia="Times"/>
                <w:sz w:val="22"/>
                <w:szCs w:val="22"/>
              </w:rPr>
            </w:pPr>
            <w:r w:rsidRPr="00317ABF">
              <w:rPr>
                <w:rFonts w:eastAsia="Times"/>
                <w:sz w:val="22"/>
                <w:szCs w:val="22"/>
              </w:rPr>
              <w:t xml:space="preserve">14) </w:t>
            </w:r>
            <w:r w:rsidRPr="00317ABF">
              <w:rPr>
                <w:rFonts w:eastAsia="Times"/>
                <w:sz w:val="22"/>
                <w:szCs w:val="22"/>
              </w:rPr>
              <w:tab/>
              <w:t>nie wypełnia lub nienależycie wypełnia obowiązek, o którym mowa w art. 173 ust. 2,</w:t>
            </w:r>
          </w:p>
          <w:p w14:paraId="5425BE62" w14:textId="77777777" w:rsidR="001532E1" w:rsidRPr="00317ABF" w:rsidRDefault="001532E1" w:rsidP="001532E1">
            <w:pPr>
              <w:ind w:firstLine="510"/>
              <w:jc w:val="both"/>
              <w:rPr>
                <w:rFonts w:eastAsia="Times"/>
                <w:sz w:val="22"/>
                <w:szCs w:val="22"/>
              </w:rPr>
            </w:pPr>
            <w:r w:rsidRPr="00317ABF">
              <w:rPr>
                <w:rFonts w:eastAsia="Times"/>
                <w:sz w:val="22"/>
                <w:szCs w:val="22"/>
              </w:rPr>
              <w:t>15)</w:t>
            </w:r>
            <w:r w:rsidRPr="00317ABF">
              <w:rPr>
                <w:rFonts w:eastAsia="Times"/>
                <w:sz w:val="22"/>
                <w:szCs w:val="22"/>
              </w:rPr>
              <w:tab/>
              <w:t>nie wypełnia warunków zapewnienia dostępu, określonych w decyzji wydanej na podstawie art. 175,</w:t>
            </w:r>
          </w:p>
          <w:p w14:paraId="470594D6" w14:textId="77777777" w:rsidR="001532E1" w:rsidRPr="00317ABF" w:rsidRDefault="001532E1" w:rsidP="001532E1">
            <w:pPr>
              <w:ind w:firstLine="510"/>
              <w:jc w:val="both"/>
              <w:rPr>
                <w:rFonts w:eastAsia="Times"/>
                <w:sz w:val="22"/>
                <w:szCs w:val="22"/>
              </w:rPr>
            </w:pPr>
            <w:r w:rsidRPr="00317ABF">
              <w:rPr>
                <w:rFonts w:eastAsia="Times"/>
                <w:sz w:val="22"/>
                <w:szCs w:val="22"/>
              </w:rPr>
              <w:t>16)</w:t>
            </w:r>
            <w:r w:rsidRPr="00317ABF">
              <w:rPr>
                <w:rFonts w:eastAsia="Times"/>
                <w:sz w:val="22"/>
                <w:szCs w:val="22"/>
              </w:rPr>
              <w:tab/>
              <w:t>nie wypełnia lub nienależycie wypełnia obowiązek wynikający z decyzji lub decyzji obszarowej nakładającej obowiązek dostępowy symetryczny, o którym mowa w art. 178 ust. 1,</w:t>
            </w:r>
          </w:p>
          <w:p w14:paraId="3C2BAA69" w14:textId="77777777" w:rsidR="001532E1" w:rsidRPr="00317ABF" w:rsidRDefault="001532E1" w:rsidP="001532E1">
            <w:pPr>
              <w:ind w:firstLine="510"/>
              <w:jc w:val="both"/>
              <w:rPr>
                <w:rFonts w:eastAsia="Times"/>
                <w:sz w:val="22"/>
                <w:szCs w:val="22"/>
              </w:rPr>
            </w:pPr>
            <w:r w:rsidRPr="00317ABF">
              <w:rPr>
                <w:rFonts w:eastAsia="Times"/>
                <w:sz w:val="22"/>
                <w:szCs w:val="22"/>
              </w:rPr>
              <w:t>17)</w:t>
            </w:r>
            <w:r w:rsidRPr="00317ABF">
              <w:rPr>
                <w:rFonts w:eastAsia="Times"/>
                <w:sz w:val="22"/>
                <w:szCs w:val="22"/>
              </w:rPr>
              <w:tab/>
              <w:t>nie wypełnia lub nienależycie wypełnia obowiązek wynikający z decyzji nakładającej obowiązek dostępowy symetryczny niezbędny dla zapewnienia łączności z użytkownikiem końcowym, o którym mowa w art. 179 ust. 1 pkt 1,</w:t>
            </w:r>
          </w:p>
          <w:p w14:paraId="723561B9" w14:textId="77777777" w:rsidR="001532E1" w:rsidRPr="00317ABF" w:rsidRDefault="001532E1" w:rsidP="001532E1">
            <w:pPr>
              <w:ind w:firstLine="510"/>
              <w:jc w:val="both"/>
              <w:rPr>
                <w:rFonts w:eastAsia="Times"/>
                <w:sz w:val="22"/>
                <w:szCs w:val="22"/>
              </w:rPr>
            </w:pPr>
            <w:r w:rsidRPr="00317ABF">
              <w:rPr>
                <w:rFonts w:eastAsia="Times"/>
                <w:sz w:val="22"/>
                <w:szCs w:val="22"/>
              </w:rPr>
              <w:t>18)</w:t>
            </w:r>
            <w:r w:rsidRPr="00317ABF">
              <w:rPr>
                <w:rFonts w:eastAsia="Times"/>
                <w:sz w:val="22"/>
                <w:szCs w:val="22"/>
              </w:rPr>
              <w:tab/>
              <w:t>nie wypełnia lub nienależycie wypełnia obowiązek wynikający z decyzji nakładającej obowiązek dostępowy symetryczny zapewnienia dostępu do interfejsu programistycznego aplikacji lub elektronicznego przewodnika po programach, o którym mowa w art. 179 ust. 1 pkt 2,</w:t>
            </w:r>
          </w:p>
          <w:p w14:paraId="04F2DF69" w14:textId="77777777" w:rsidR="001532E1" w:rsidRPr="00317ABF" w:rsidRDefault="001532E1" w:rsidP="001532E1">
            <w:pPr>
              <w:ind w:firstLine="510"/>
              <w:jc w:val="both"/>
              <w:rPr>
                <w:rFonts w:eastAsia="Times"/>
                <w:sz w:val="22"/>
                <w:szCs w:val="22"/>
              </w:rPr>
            </w:pPr>
            <w:r w:rsidRPr="00317ABF">
              <w:rPr>
                <w:rFonts w:eastAsia="Times"/>
                <w:sz w:val="22"/>
                <w:szCs w:val="22"/>
              </w:rPr>
              <w:t>19)</w:t>
            </w:r>
            <w:r w:rsidRPr="00317ABF">
              <w:rPr>
                <w:rFonts w:eastAsia="Times"/>
                <w:sz w:val="22"/>
                <w:szCs w:val="22"/>
              </w:rPr>
              <w:tab/>
              <w:t>nie wypełnia lub nienależycie wypełnia obowiązek wynikający z decyzji nakładającej obowiązek dostępowy symetryczny, o którym mowa w art. 180,</w:t>
            </w:r>
          </w:p>
          <w:p w14:paraId="74717384" w14:textId="77777777" w:rsidR="001532E1" w:rsidRPr="00317ABF" w:rsidRDefault="001532E1" w:rsidP="001532E1">
            <w:pPr>
              <w:ind w:firstLine="510"/>
              <w:jc w:val="both"/>
              <w:rPr>
                <w:rFonts w:eastAsia="Times"/>
                <w:sz w:val="22"/>
                <w:szCs w:val="22"/>
              </w:rPr>
            </w:pPr>
            <w:r w:rsidRPr="00317ABF">
              <w:rPr>
                <w:rFonts w:eastAsia="Times"/>
                <w:sz w:val="22"/>
                <w:szCs w:val="22"/>
              </w:rPr>
              <w:t>20)</w:t>
            </w:r>
            <w:r w:rsidRPr="00317ABF">
              <w:rPr>
                <w:rFonts w:eastAsia="Times"/>
                <w:sz w:val="22"/>
                <w:szCs w:val="22"/>
              </w:rPr>
              <w:tab/>
              <w:t>nie wypełnia lub nienależycie wypełnia obowiązek wynikający z decyzji nakładającej obowiązek dostępowy symetryczny kolokacji, udostępniania elementów sieci telekomunikacyjnej oraz powiązanych zasobów, o którym mowa w art. 181,</w:t>
            </w:r>
          </w:p>
          <w:p w14:paraId="3F698DE2" w14:textId="77777777" w:rsidR="001532E1" w:rsidRPr="00317ABF" w:rsidRDefault="001532E1" w:rsidP="001532E1">
            <w:pPr>
              <w:ind w:firstLine="510"/>
              <w:jc w:val="both"/>
              <w:rPr>
                <w:rFonts w:eastAsia="Times"/>
                <w:sz w:val="22"/>
                <w:szCs w:val="22"/>
              </w:rPr>
            </w:pPr>
            <w:r w:rsidRPr="00317ABF">
              <w:rPr>
                <w:rFonts w:eastAsia="Times"/>
                <w:sz w:val="22"/>
                <w:szCs w:val="22"/>
              </w:rPr>
              <w:t>21)</w:t>
            </w:r>
            <w:r w:rsidRPr="00317ABF">
              <w:rPr>
                <w:rFonts w:eastAsia="Times"/>
                <w:sz w:val="22"/>
                <w:szCs w:val="22"/>
              </w:rPr>
              <w:tab/>
              <w:t>nie wypełnia lub nienależycie wypełnia obowiązki wynikające z decyzji rozstrzygającej spór o dostęp telekomunikacyjny, o której mowa w art. 183 ust. 1,</w:t>
            </w:r>
          </w:p>
          <w:p w14:paraId="4F74E58D" w14:textId="77777777" w:rsidR="001532E1" w:rsidRPr="00317ABF" w:rsidRDefault="001532E1" w:rsidP="001532E1">
            <w:pPr>
              <w:ind w:firstLine="510"/>
              <w:jc w:val="both"/>
              <w:rPr>
                <w:rFonts w:eastAsia="Times"/>
                <w:sz w:val="22"/>
                <w:szCs w:val="22"/>
              </w:rPr>
            </w:pPr>
            <w:r w:rsidRPr="00317ABF">
              <w:rPr>
                <w:rFonts w:eastAsia="Times"/>
                <w:sz w:val="22"/>
                <w:szCs w:val="22"/>
              </w:rPr>
              <w:t>22)</w:t>
            </w:r>
            <w:r w:rsidRPr="00317ABF">
              <w:rPr>
                <w:rFonts w:eastAsia="Times"/>
                <w:sz w:val="22"/>
                <w:szCs w:val="22"/>
              </w:rPr>
              <w:tab/>
              <w:t>nie wypełnia lub nienależycie wypełnia obowiązki wynikające z decyzji zmieniającej umowę o dostępie lub decyzję, o której mowa w art. 187,</w:t>
            </w:r>
          </w:p>
          <w:p w14:paraId="529732E1" w14:textId="77777777" w:rsidR="001532E1" w:rsidRPr="00317ABF" w:rsidRDefault="001532E1" w:rsidP="001532E1">
            <w:pPr>
              <w:ind w:firstLine="510"/>
              <w:jc w:val="both"/>
              <w:rPr>
                <w:rFonts w:eastAsia="Times"/>
                <w:sz w:val="22"/>
                <w:szCs w:val="22"/>
              </w:rPr>
            </w:pPr>
            <w:r w:rsidRPr="00317ABF">
              <w:rPr>
                <w:rFonts w:eastAsia="Times"/>
                <w:sz w:val="22"/>
                <w:szCs w:val="22"/>
              </w:rPr>
              <w:t>23) nie wypełnia lub nienależycie wypełnia, wynikające z decyzji, obowiązki regulacyjne w zakresie dostępu telekomunikacyjnego, o których mowa w art. 210, art. 211, 213, art. 214 ust. 1,</w:t>
            </w:r>
          </w:p>
          <w:p w14:paraId="0D87C7B8" w14:textId="77777777" w:rsidR="001532E1" w:rsidRPr="00317ABF" w:rsidRDefault="001532E1" w:rsidP="001532E1">
            <w:pPr>
              <w:ind w:firstLine="510"/>
              <w:jc w:val="both"/>
              <w:rPr>
                <w:rFonts w:eastAsia="Times"/>
                <w:sz w:val="22"/>
                <w:szCs w:val="22"/>
              </w:rPr>
            </w:pPr>
            <w:r w:rsidRPr="00317ABF">
              <w:rPr>
                <w:rFonts w:eastAsia="Times"/>
                <w:sz w:val="22"/>
                <w:szCs w:val="22"/>
              </w:rPr>
              <w:t>24)</w:t>
            </w:r>
            <w:r w:rsidRPr="00317ABF">
              <w:rPr>
                <w:rFonts w:eastAsia="Times"/>
                <w:sz w:val="22"/>
                <w:szCs w:val="22"/>
              </w:rPr>
              <w:tab/>
              <w:t>nie wypełnia lub nienależycie wypełnia obowiązki regulacyjne związane z prowadzeniem rachunkowości regulacyjnej lub kalkulacji kosztów,</w:t>
            </w:r>
          </w:p>
          <w:p w14:paraId="2D05997D" w14:textId="77777777" w:rsidR="001532E1" w:rsidRPr="00317ABF" w:rsidRDefault="001532E1" w:rsidP="001532E1">
            <w:pPr>
              <w:ind w:firstLine="510"/>
              <w:jc w:val="both"/>
              <w:rPr>
                <w:rFonts w:eastAsia="Times"/>
                <w:sz w:val="22"/>
                <w:szCs w:val="22"/>
              </w:rPr>
            </w:pPr>
            <w:r w:rsidRPr="00317ABF">
              <w:rPr>
                <w:rFonts w:eastAsia="Times"/>
                <w:sz w:val="22"/>
                <w:szCs w:val="22"/>
              </w:rPr>
              <w:lastRenderedPageBreak/>
              <w:t>25)</w:t>
            </w:r>
            <w:r w:rsidRPr="00317ABF">
              <w:rPr>
                <w:rFonts w:eastAsia="Times"/>
                <w:sz w:val="22"/>
                <w:szCs w:val="22"/>
              </w:rPr>
              <w:tab/>
              <w:t>nie wypełnia lub nienależycie wypełnia obowiązki regulacyjne, wynikające z decyzji, o których mowa w art. 216 ust. 1 pkt 2-3,</w:t>
            </w:r>
          </w:p>
          <w:p w14:paraId="4ADE1A5D" w14:textId="77777777" w:rsidR="001532E1" w:rsidRPr="00317ABF" w:rsidRDefault="001532E1" w:rsidP="001532E1">
            <w:pPr>
              <w:ind w:firstLine="510"/>
              <w:jc w:val="both"/>
              <w:rPr>
                <w:rFonts w:eastAsia="Times"/>
                <w:sz w:val="22"/>
                <w:szCs w:val="22"/>
              </w:rPr>
            </w:pPr>
            <w:r w:rsidRPr="00317ABF">
              <w:rPr>
                <w:rFonts w:eastAsia="Times"/>
                <w:sz w:val="22"/>
                <w:szCs w:val="22"/>
              </w:rPr>
              <w:t>26)</w:t>
            </w:r>
            <w:r w:rsidRPr="00317ABF">
              <w:rPr>
                <w:rFonts w:eastAsia="Times"/>
                <w:sz w:val="22"/>
                <w:szCs w:val="22"/>
              </w:rPr>
              <w:tab/>
              <w:t>nie wypełnia lub nienależycie wypełnia obowiązki lub wymagania dotyczące ofert określających ramowe warunki umów o dostępie telekomunikacyjnym,</w:t>
            </w:r>
          </w:p>
          <w:p w14:paraId="45A64657" w14:textId="77777777" w:rsidR="001532E1" w:rsidRPr="00317ABF" w:rsidRDefault="001532E1" w:rsidP="001532E1">
            <w:pPr>
              <w:ind w:firstLine="510"/>
              <w:jc w:val="both"/>
              <w:rPr>
                <w:rFonts w:eastAsia="Times"/>
                <w:sz w:val="22"/>
                <w:szCs w:val="22"/>
              </w:rPr>
            </w:pPr>
            <w:r w:rsidRPr="00317ABF">
              <w:rPr>
                <w:rFonts w:eastAsia="Times"/>
                <w:sz w:val="22"/>
                <w:szCs w:val="22"/>
              </w:rPr>
              <w:t>27)</w:t>
            </w:r>
            <w:r w:rsidRPr="00317ABF">
              <w:rPr>
                <w:rFonts w:eastAsia="Times"/>
                <w:sz w:val="22"/>
                <w:szCs w:val="22"/>
              </w:rPr>
              <w:tab/>
              <w:t>nie wypełnia lub nienależycie wypełnia obowiązki opracowania i przedłożenia do zatwierdzenia przez Prezesa UKE oraz stosowania oferty ramowej o dostępie telekomunikacyjnym,</w:t>
            </w:r>
          </w:p>
          <w:p w14:paraId="16E5484E" w14:textId="77777777" w:rsidR="001532E1" w:rsidRPr="00317ABF" w:rsidRDefault="001532E1" w:rsidP="001532E1">
            <w:pPr>
              <w:ind w:firstLine="510"/>
              <w:jc w:val="both"/>
              <w:rPr>
                <w:rFonts w:eastAsia="Times"/>
                <w:sz w:val="22"/>
                <w:szCs w:val="22"/>
              </w:rPr>
            </w:pPr>
            <w:r w:rsidRPr="00317ABF">
              <w:rPr>
                <w:rFonts w:eastAsia="Times"/>
                <w:sz w:val="22"/>
                <w:szCs w:val="22"/>
              </w:rPr>
              <w:t>28)</w:t>
            </w:r>
            <w:r w:rsidRPr="00317ABF">
              <w:rPr>
                <w:rFonts w:eastAsia="Times"/>
                <w:sz w:val="22"/>
                <w:szCs w:val="22"/>
              </w:rPr>
              <w:tab/>
              <w:t>stosuje opłaty za zakańczanie połączeń w stacjonarnych lub ruchomych publicznych sieciach telekomunikacyjnej niezgodne z aktem delegowanym wydanym przez Komisję Europejską, o którym mowa w art. 219 ust. 1,</w:t>
            </w:r>
          </w:p>
          <w:p w14:paraId="7513A3DC" w14:textId="77777777" w:rsidR="001532E1" w:rsidRPr="00317ABF" w:rsidRDefault="001532E1" w:rsidP="001532E1">
            <w:pPr>
              <w:ind w:firstLine="510"/>
              <w:jc w:val="both"/>
              <w:rPr>
                <w:rFonts w:eastAsia="Times"/>
                <w:sz w:val="22"/>
                <w:szCs w:val="22"/>
              </w:rPr>
            </w:pPr>
            <w:r w:rsidRPr="00317ABF">
              <w:rPr>
                <w:rFonts w:eastAsia="Times"/>
                <w:sz w:val="22"/>
                <w:szCs w:val="22"/>
              </w:rPr>
              <w:t>29)</w:t>
            </w:r>
            <w:r w:rsidRPr="00317ABF">
              <w:rPr>
                <w:rFonts w:eastAsia="Times"/>
                <w:sz w:val="22"/>
                <w:szCs w:val="22"/>
              </w:rPr>
              <w:tab/>
              <w:t>stosuje opłaty za zakańczanie połączeń w stacjonarnych lub ruchomych publicznych sieciach telekomunikacyjnej niezgodne z decyzją Prezesa UKE, o której mowa w art.  219 ust. 2,</w:t>
            </w:r>
          </w:p>
          <w:p w14:paraId="0D8232B9" w14:textId="77777777" w:rsidR="001532E1" w:rsidRPr="00317ABF" w:rsidRDefault="001532E1" w:rsidP="001532E1">
            <w:pPr>
              <w:ind w:firstLine="510"/>
              <w:jc w:val="both"/>
              <w:rPr>
                <w:rFonts w:eastAsia="Times"/>
                <w:sz w:val="22"/>
                <w:szCs w:val="22"/>
              </w:rPr>
            </w:pPr>
            <w:r w:rsidRPr="00317ABF">
              <w:rPr>
                <w:rFonts w:eastAsia="Times"/>
                <w:sz w:val="22"/>
                <w:szCs w:val="22"/>
              </w:rPr>
              <w:t>30)</w:t>
            </w:r>
            <w:r w:rsidRPr="00317ABF">
              <w:rPr>
                <w:rFonts w:eastAsia="Times"/>
                <w:sz w:val="22"/>
                <w:szCs w:val="22"/>
              </w:rPr>
              <w:tab/>
              <w:t>nie wypełnia lub nienależycie wypełnia obowiązki, o których mowa w art. 228 ust. 2, art. 229 ust. 1-3, 5 i 6 lub wynikające z decyzji obowiązki, o których mowa w art. 222, art. 224-226 lub narusza zakaz, o którym mowa w art. 227,</w:t>
            </w:r>
          </w:p>
          <w:p w14:paraId="56E0AA2A" w14:textId="77777777" w:rsidR="001532E1" w:rsidRPr="00317ABF" w:rsidRDefault="001532E1" w:rsidP="001532E1">
            <w:pPr>
              <w:ind w:firstLine="510"/>
              <w:jc w:val="both"/>
              <w:rPr>
                <w:rFonts w:eastAsia="Times"/>
                <w:sz w:val="22"/>
                <w:szCs w:val="22"/>
              </w:rPr>
            </w:pPr>
            <w:r w:rsidRPr="00317ABF">
              <w:rPr>
                <w:rFonts w:eastAsia="Times"/>
                <w:sz w:val="22"/>
                <w:szCs w:val="22"/>
              </w:rPr>
              <w:t>31)</w:t>
            </w:r>
            <w:r w:rsidRPr="00317ABF">
              <w:rPr>
                <w:rFonts w:eastAsia="Times"/>
                <w:sz w:val="22"/>
                <w:szCs w:val="22"/>
              </w:rPr>
              <w:tab/>
              <w:t>nie wypełnia lub nienależycie wypełnia obowiązki nałożone na rynkach detalicznych, o których mowa w art. 231 i art. 232,</w:t>
            </w:r>
          </w:p>
          <w:p w14:paraId="03ECE7A0" w14:textId="77777777" w:rsidR="001532E1" w:rsidRPr="00317ABF" w:rsidRDefault="001532E1" w:rsidP="001532E1">
            <w:pPr>
              <w:ind w:firstLine="510"/>
              <w:jc w:val="both"/>
              <w:rPr>
                <w:rFonts w:eastAsia="Times"/>
                <w:sz w:val="22"/>
                <w:szCs w:val="22"/>
              </w:rPr>
            </w:pPr>
            <w:r w:rsidRPr="00317ABF">
              <w:rPr>
                <w:rFonts w:eastAsia="Times"/>
                <w:sz w:val="22"/>
                <w:szCs w:val="22"/>
              </w:rPr>
              <w:t>32) nie wypełnia lub nienależycie wypełnia szczegółowe warunki regulacyjne zatwierdzone decyzją, o której mowa w art. 235,</w:t>
            </w:r>
          </w:p>
          <w:p w14:paraId="327E9ADA" w14:textId="77777777" w:rsidR="001532E1" w:rsidRPr="00317ABF" w:rsidRDefault="001532E1" w:rsidP="001532E1">
            <w:pPr>
              <w:ind w:firstLine="510"/>
              <w:jc w:val="both"/>
              <w:rPr>
                <w:rFonts w:eastAsia="Times"/>
                <w:sz w:val="22"/>
                <w:szCs w:val="22"/>
              </w:rPr>
            </w:pPr>
            <w:r w:rsidRPr="00317ABF">
              <w:rPr>
                <w:rFonts w:eastAsia="Times"/>
                <w:sz w:val="22"/>
                <w:szCs w:val="22"/>
              </w:rPr>
              <w:t>33)</w:t>
            </w:r>
            <w:r w:rsidRPr="00317ABF">
              <w:rPr>
                <w:rFonts w:eastAsia="Times"/>
                <w:sz w:val="22"/>
                <w:szCs w:val="22"/>
              </w:rPr>
              <w:tab/>
              <w:t>nie wypełnia lub nienależycie wypełnia obowiązki wynikające z decyzji, o której mowa w art. 242 ust. 1,</w:t>
            </w:r>
          </w:p>
          <w:p w14:paraId="3E0759BD" w14:textId="77777777" w:rsidR="001532E1" w:rsidRPr="00317ABF" w:rsidRDefault="001532E1" w:rsidP="001532E1">
            <w:pPr>
              <w:ind w:firstLine="510"/>
              <w:jc w:val="both"/>
              <w:rPr>
                <w:rFonts w:eastAsia="Times"/>
                <w:sz w:val="22"/>
                <w:szCs w:val="22"/>
              </w:rPr>
            </w:pPr>
            <w:r w:rsidRPr="00317ABF">
              <w:rPr>
                <w:rFonts w:eastAsia="Times"/>
                <w:sz w:val="22"/>
                <w:szCs w:val="22"/>
              </w:rPr>
              <w:t>34)</w:t>
            </w:r>
            <w:r w:rsidRPr="00317ABF">
              <w:rPr>
                <w:rFonts w:eastAsia="Times"/>
                <w:sz w:val="22"/>
                <w:szCs w:val="22"/>
              </w:rPr>
              <w:tab/>
              <w:t>nie wypełnia lub nienależycie wypełnia obowiązku przekazania Prezesowi UKE sprawozdania, o którym mowa w art. 251,</w:t>
            </w:r>
          </w:p>
          <w:p w14:paraId="3B0A7882" w14:textId="77777777" w:rsidR="001532E1" w:rsidRPr="00317ABF" w:rsidRDefault="001532E1" w:rsidP="001532E1">
            <w:pPr>
              <w:ind w:firstLine="510"/>
              <w:jc w:val="both"/>
              <w:rPr>
                <w:rFonts w:eastAsia="Times"/>
                <w:sz w:val="22"/>
                <w:szCs w:val="22"/>
              </w:rPr>
            </w:pPr>
            <w:r w:rsidRPr="00317ABF">
              <w:rPr>
                <w:rFonts w:eastAsia="Times"/>
                <w:sz w:val="22"/>
                <w:szCs w:val="22"/>
              </w:rPr>
              <w:t>35)</w:t>
            </w:r>
            <w:r w:rsidRPr="00317ABF">
              <w:rPr>
                <w:rFonts w:eastAsia="Times"/>
                <w:sz w:val="22"/>
                <w:szCs w:val="22"/>
              </w:rPr>
              <w:tab/>
              <w:t>nie wypełnia warunków określonych w umowie inwestycyjnej, o której mowa w art. 252 ust. 1,</w:t>
            </w:r>
          </w:p>
          <w:p w14:paraId="1BBDECB2" w14:textId="77777777" w:rsidR="001532E1" w:rsidRPr="00317ABF" w:rsidRDefault="001532E1" w:rsidP="001532E1">
            <w:pPr>
              <w:ind w:firstLine="510"/>
              <w:jc w:val="both"/>
              <w:rPr>
                <w:rFonts w:eastAsia="Times"/>
                <w:sz w:val="22"/>
                <w:szCs w:val="22"/>
              </w:rPr>
            </w:pPr>
            <w:r w:rsidRPr="00317ABF">
              <w:rPr>
                <w:rFonts w:eastAsia="Times"/>
                <w:sz w:val="22"/>
                <w:szCs w:val="22"/>
              </w:rPr>
              <w:t>36)</w:t>
            </w:r>
            <w:r w:rsidRPr="00317ABF">
              <w:rPr>
                <w:rFonts w:eastAsia="Times"/>
                <w:sz w:val="22"/>
                <w:szCs w:val="22"/>
              </w:rPr>
              <w:tab/>
              <w:t>nie wypełnia lub nienależycie wypełnia nałożone na niego obowiązki operatora multipleksu, o których mowa w art. 260 ust. 1,</w:t>
            </w:r>
          </w:p>
          <w:p w14:paraId="602E177E" w14:textId="77777777" w:rsidR="001532E1" w:rsidRPr="00317ABF" w:rsidRDefault="001532E1" w:rsidP="001532E1">
            <w:pPr>
              <w:ind w:firstLine="510"/>
              <w:jc w:val="both"/>
              <w:rPr>
                <w:rFonts w:eastAsia="Times"/>
                <w:sz w:val="22"/>
                <w:szCs w:val="22"/>
              </w:rPr>
            </w:pPr>
            <w:r w:rsidRPr="00317ABF">
              <w:rPr>
                <w:rFonts w:eastAsia="Times"/>
                <w:sz w:val="22"/>
                <w:szCs w:val="22"/>
              </w:rPr>
              <w:t>37)</w:t>
            </w:r>
            <w:r w:rsidRPr="00317ABF">
              <w:rPr>
                <w:rFonts w:eastAsia="Times"/>
                <w:sz w:val="22"/>
                <w:szCs w:val="22"/>
              </w:rPr>
              <w:tab/>
              <w:t>wprowadza do obrotu lub oddaje do użytku urządzenie radiowe, nie podając informacji, o których mowa w art. 270 ust. 2,</w:t>
            </w:r>
          </w:p>
          <w:p w14:paraId="63482AC4" w14:textId="77777777" w:rsidR="001532E1" w:rsidRPr="00317ABF" w:rsidRDefault="001532E1" w:rsidP="001532E1">
            <w:pPr>
              <w:ind w:firstLine="510"/>
              <w:jc w:val="both"/>
              <w:rPr>
                <w:rFonts w:eastAsia="Times"/>
                <w:sz w:val="22"/>
                <w:szCs w:val="22"/>
              </w:rPr>
            </w:pPr>
            <w:r w:rsidRPr="00317ABF">
              <w:rPr>
                <w:rFonts w:eastAsia="Times"/>
                <w:sz w:val="22"/>
                <w:szCs w:val="22"/>
              </w:rPr>
              <w:t>38)</w:t>
            </w:r>
            <w:r w:rsidRPr="00317ABF">
              <w:rPr>
                <w:rFonts w:eastAsia="Times"/>
                <w:sz w:val="22"/>
                <w:szCs w:val="22"/>
              </w:rPr>
              <w:tab/>
              <w:t>narusza obowiązki informacyjne w stosunku do użytkowników końcowych,</w:t>
            </w:r>
          </w:p>
          <w:p w14:paraId="629D93EB" w14:textId="77777777" w:rsidR="001532E1" w:rsidRPr="00317ABF" w:rsidRDefault="001532E1" w:rsidP="001532E1">
            <w:pPr>
              <w:ind w:firstLine="510"/>
              <w:jc w:val="both"/>
              <w:rPr>
                <w:rFonts w:eastAsia="Times"/>
                <w:sz w:val="22"/>
                <w:szCs w:val="22"/>
              </w:rPr>
            </w:pPr>
            <w:r w:rsidRPr="00317ABF">
              <w:rPr>
                <w:rFonts w:eastAsia="Times"/>
                <w:sz w:val="22"/>
                <w:szCs w:val="22"/>
              </w:rPr>
              <w:t>39) nie wypełnia lub nienależycie wypełnia obowiązki dotyczące zawierania umowy o świadczenie usług komunikacji elektronicznej, o których mowa w art. 279-288,</w:t>
            </w:r>
          </w:p>
          <w:p w14:paraId="52407BBB" w14:textId="77777777" w:rsidR="001532E1" w:rsidRPr="00317ABF" w:rsidRDefault="001532E1" w:rsidP="001532E1">
            <w:pPr>
              <w:ind w:firstLine="510"/>
              <w:jc w:val="both"/>
              <w:rPr>
                <w:rFonts w:eastAsia="Times"/>
                <w:sz w:val="22"/>
                <w:szCs w:val="22"/>
              </w:rPr>
            </w:pPr>
            <w:r w:rsidRPr="00317ABF">
              <w:rPr>
                <w:rFonts w:eastAsia="Times"/>
                <w:sz w:val="22"/>
                <w:szCs w:val="22"/>
              </w:rPr>
              <w:lastRenderedPageBreak/>
              <w:t>40) nie wypełnia lub nienależycie wypełnia obowiązki dotyczące składania przez abonenta oświadczeń woli w formie dokumentowej, o których mowa w art. 289,</w:t>
            </w:r>
          </w:p>
          <w:p w14:paraId="0ED79B37" w14:textId="77777777" w:rsidR="001532E1" w:rsidRPr="00317ABF" w:rsidRDefault="001532E1" w:rsidP="001532E1">
            <w:pPr>
              <w:ind w:firstLine="510"/>
              <w:jc w:val="both"/>
              <w:rPr>
                <w:rFonts w:eastAsia="Times"/>
                <w:sz w:val="22"/>
                <w:szCs w:val="22"/>
              </w:rPr>
            </w:pPr>
            <w:r w:rsidRPr="00317ABF">
              <w:rPr>
                <w:rFonts w:eastAsia="Times"/>
                <w:sz w:val="22"/>
                <w:szCs w:val="22"/>
              </w:rPr>
              <w:t>41) nie wypełnia lub nienależycie wypełnia obowiązki dotyczące rozwiązania, wypowiedzenia albo odstąpienia od umowy w formie dokumentowej, o których mowa w art. 290,</w:t>
            </w:r>
          </w:p>
          <w:p w14:paraId="006A3E23" w14:textId="77777777" w:rsidR="001532E1" w:rsidRPr="00317ABF" w:rsidRDefault="001532E1" w:rsidP="001532E1">
            <w:pPr>
              <w:ind w:firstLine="510"/>
              <w:jc w:val="both"/>
              <w:rPr>
                <w:rFonts w:eastAsia="Times"/>
                <w:sz w:val="22"/>
                <w:szCs w:val="22"/>
              </w:rPr>
            </w:pPr>
            <w:r w:rsidRPr="00317ABF">
              <w:rPr>
                <w:rFonts w:eastAsia="Times"/>
                <w:sz w:val="22"/>
                <w:szCs w:val="22"/>
              </w:rPr>
              <w:t>42)</w:t>
            </w:r>
            <w:r w:rsidRPr="00317ABF">
              <w:rPr>
                <w:rFonts w:eastAsia="Times"/>
                <w:sz w:val="22"/>
                <w:szCs w:val="22"/>
              </w:rPr>
              <w:tab/>
              <w:t>świadczy usługi telekomunikacyjne bez potwierdzenia danych podanych przez abonenta zgodnie z art. 291 ust. 1,</w:t>
            </w:r>
          </w:p>
          <w:p w14:paraId="06DE7E30" w14:textId="77777777" w:rsidR="001532E1" w:rsidRPr="00317ABF" w:rsidRDefault="001532E1" w:rsidP="001532E1">
            <w:pPr>
              <w:ind w:firstLine="510"/>
              <w:jc w:val="both"/>
              <w:rPr>
                <w:rFonts w:eastAsia="Times"/>
                <w:sz w:val="22"/>
                <w:szCs w:val="22"/>
              </w:rPr>
            </w:pPr>
            <w:r w:rsidRPr="00317ABF">
              <w:rPr>
                <w:rFonts w:eastAsia="Times"/>
                <w:sz w:val="22"/>
                <w:szCs w:val="22"/>
              </w:rPr>
              <w:t>43)</w:t>
            </w:r>
            <w:r w:rsidRPr="00317ABF">
              <w:rPr>
                <w:rFonts w:eastAsia="Times"/>
                <w:sz w:val="22"/>
                <w:szCs w:val="22"/>
              </w:rPr>
              <w:tab/>
              <w:t>narusza warunki dostępu do usług, warunki zawarcia umowy o świadczenie usług komunikacji elektronicznej oraz warunki świadczenia usług określone w art. 292 ust. 1-3 i 6,</w:t>
            </w:r>
          </w:p>
          <w:p w14:paraId="209BB721" w14:textId="77777777" w:rsidR="001532E1" w:rsidRPr="00317ABF" w:rsidRDefault="001532E1" w:rsidP="001532E1">
            <w:pPr>
              <w:ind w:firstLine="510"/>
              <w:jc w:val="both"/>
              <w:rPr>
                <w:rFonts w:eastAsia="Times"/>
                <w:sz w:val="22"/>
                <w:szCs w:val="22"/>
              </w:rPr>
            </w:pPr>
            <w:r w:rsidRPr="00317ABF">
              <w:rPr>
                <w:rFonts w:eastAsia="Times"/>
                <w:sz w:val="22"/>
                <w:szCs w:val="22"/>
              </w:rPr>
              <w:t>44) nie wypełnia lub nienależycie wypełnia obowiązki dotyczące okresu obowiązywania umowy o świadczenie usług komunikacji elektronicznej, o których mowa w art. 295,</w:t>
            </w:r>
          </w:p>
          <w:p w14:paraId="10CD3B1B" w14:textId="77777777" w:rsidR="001532E1" w:rsidRPr="00317ABF" w:rsidRDefault="001532E1" w:rsidP="001532E1">
            <w:pPr>
              <w:ind w:firstLine="510"/>
              <w:jc w:val="both"/>
              <w:rPr>
                <w:rFonts w:eastAsia="Times"/>
                <w:sz w:val="22"/>
                <w:szCs w:val="22"/>
              </w:rPr>
            </w:pPr>
            <w:r w:rsidRPr="00317ABF">
              <w:rPr>
                <w:rFonts w:eastAsia="Times"/>
                <w:sz w:val="22"/>
                <w:szCs w:val="22"/>
              </w:rPr>
              <w:t>45) nie wypełnia lub nienależycie wypełnia obowiązki dotyczące automatycznego przedłużenia umowy, o których mowa w art. 296,</w:t>
            </w:r>
          </w:p>
          <w:p w14:paraId="2C6128EE" w14:textId="77777777" w:rsidR="001532E1" w:rsidRPr="00317ABF" w:rsidRDefault="001532E1" w:rsidP="001532E1">
            <w:pPr>
              <w:ind w:firstLine="510"/>
              <w:jc w:val="both"/>
              <w:rPr>
                <w:rFonts w:eastAsia="Times"/>
                <w:sz w:val="22"/>
                <w:szCs w:val="22"/>
              </w:rPr>
            </w:pPr>
            <w:r w:rsidRPr="00317ABF">
              <w:rPr>
                <w:rFonts w:eastAsia="Times"/>
                <w:sz w:val="22"/>
                <w:szCs w:val="22"/>
              </w:rPr>
              <w:t>46) żąda od abonenta odszkodowania niezgodnie z art. 298 i art. 303,</w:t>
            </w:r>
          </w:p>
          <w:p w14:paraId="266BF171" w14:textId="77777777" w:rsidR="001532E1" w:rsidRPr="00317ABF" w:rsidRDefault="001532E1" w:rsidP="001532E1">
            <w:pPr>
              <w:ind w:firstLine="510"/>
              <w:jc w:val="both"/>
              <w:rPr>
                <w:rFonts w:eastAsia="Times"/>
                <w:sz w:val="22"/>
                <w:szCs w:val="22"/>
              </w:rPr>
            </w:pPr>
            <w:r w:rsidRPr="00317ABF">
              <w:rPr>
                <w:rFonts w:eastAsia="Times"/>
                <w:sz w:val="22"/>
                <w:szCs w:val="22"/>
              </w:rPr>
              <w:t>47) uniemożliwia realizację uprawnień abonenta, o których mowa w art. 299,</w:t>
            </w:r>
          </w:p>
          <w:p w14:paraId="161A3603" w14:textId="77777777" w:rsidR="001532E1" w:rsidRPr="00317ABF" w:rsidRDefault="001532E1" w:rsidP="001532E1">
            <w:pPr>
              <w:ind w:firstLine="510"/>
              <w:jc w:val="both"/>
              <w:rPr>
                <w:rFonts w:eastAsia="Times"/>
                <w:sz w:val="22"/>
                <w:szCs w:val="22"/>
              </w:rPr>
            </w:pPr>
            <w:r w:rsidRPr="00317ABF">
              <w:rPr>
                <w:rFonts w:eastAsia="Times"/>
                <w:sz w:val="22"/>
                <w:szCs w:val="22"/>
              </w:rPr>
              <w:t xml:space="preserve">48) nie wypełnia lub nienależycie wypełnia obowiązki w zakresie jednostronnej zmiany warunków umowy, o których mowa w art. 300-302, </w:t>
            </w:r>
          </w:p>
          <w:p w14:paraId="0696C488" w14:textId="77777777" w:rsidR="001532E1" w:rsidRPr="00317ABF" w:rsidRDefault="001532E1" w:rsidP="001532E1">
            <w:pPr>
              <w:ind w:firstLine="510"/>
              <w:jc w:val="both"/>
              <w:rPr>
                <w:rFonts w:eastAsia="Times"/>
                <w:sz w:val="22"/>
                <w:szCs w:val="22"/>
              </w:rPr>
            </w:pPr>
            <w:r w:rsidRPr="00317ABF">
              <w:rPr>
                <w:rFonts w:eastAsia="Times"/>
                <w:sz w:val="22"/>
                <w:szCs w:val="22"/>
              </w:rPr>
              <w:t>49) nie  wypełnia lub nienależycie wypełnia obowiązek dotyczący usuwania ograniczeń w zakresie korzystania z promocyjnego urządzenia końcowego , o którym mowa w art. 304,</w:t>
            </w:r>
          </w:p>
          <w:p w14:paraId="60FE5069" w14:textId="77777777" w:rsidR="001532E1" w:rsidRPr="00317ABF" w:rsidRDefault="001532E1" w:rsidP="001532E1">
            <w:pPr>
              <w:ind w:firstLine="510"/>
              <w:jc w:val="both"/>
              <w:rPr>
                <w:rFonts w:eastAsia="Times"/>
                <w:sz w:val="22"/>
                <w:szCs w:val="22"/>
              </w:rPr>
            </w:pPr>
            <w:r w:rsidRPr="00317ABF">
              <w:rPr>
                <w:rFonts w:eastAsia="Times"/>
                <w:sz w:val="22"/>
                <w:szCs w:val="22"/>
              </w:rPr>
              <w:t>50)</w:t>
            </w:r>
            <w:r w:rsidRPr="00317ABF">
              <w:rPr>
                <w:rFonts w:eastAsia="Times"/>
                <w:sz w:val="22"/>
                <w:szCs w:val="22"/>
              </w:rPr>
              <w:tab/>
              <w:t>nie  wypełnia lub nienależycie wypełnia obowiązek publikowania informacji wynikający z decyzji, o której mowa w art. 305 ust. 2,</w:t>
            </w:r>
          </w:p>
          <w:p w14:paraId="33B12F85" w14:textId="77777777" w:rsidR="00C73B1A" w:rsidRPr="00317ABF" w:rsidRDefault="001532E1" w:rsidP="001532E1">
            <w:pPr>
              <w:ind w:firstLine="510"/>
              <w:jc w:val="both"/>
              <w:rPr>
                <w:rFonts w:eastAsia="Times"/>
                <w:sz w:val="22"/>
                <w:szCs w:val="22"/>
              </w:rPr>
            </w:pPr>
            <w:r w:rsidRPr="00317ABF">
              <w:rPr>
                <w:rFonts w:eastAsia="Times"/>
                <w:sz w:val="22"/>
                <w:szCs w:val="22"/>
              </w:rPr>
              <w:t>51)</w:t>
            </w:r>
            <w:r w:rsidRPr="00317ABF">
              <w:rPr>
                <w:rFonts w:eastAsia="Times"/>
                <w:sz w:val="22"/>
                <w:szCs w:val="22"/>
              </w:rPr>
              <w:tab/>
              <w:t xml:space="preserve">nie  wypełnia lub nienależycie wypełnia obowiązek dotyczący usługi dostępu do internetu określony w art. 306 ust. 1 oraz w decyzjach, o których mowa w art. </w:t>
            </w:r>
            <w:r w:rsidR="00C73B1A" w:rsidRPr="00317ABF">
              <w:rPr>
                <w:rFonts w:eastAsia="Times"/>
                <w:sz w:val="22"/>
                <w:szCs w:val="22"/>
              </w:rPr>
              <w:t>7</w:t>
            </w:r>
          </w:p>
          <w:p w14:paraId="175FBAC7" w14:textId="2F78D982" w:rsidR="001532E1" w:rsidRPr="00317ABF" w:rsidRDefault="001532E1" w:rsidP="001532E1">
            <w:pPr>
              <w:ind w:firstLine="510"/>
              <w:jc w:val="both"/>
              <w:rPr>
                <w:rFonts w:eastAsia="Times"/>
                <w:sz w:val="22"/>
                <w:szCs w:val="22"/>
              </w:rPr>
            </w:pPr>
            <w:r w:rsidRPr="00317ABF">
              <w:rPr>
                <w:rFonts w:eastAsia="Times"/>
                <w:sz w:val="22"/>
                <w:szCs w:val="22"/>
              </w:rPr>
              <w:t>ust. 2 i ust. 5-6,</w:t>
            </w:r>
          </w:p>
          <w:p w14:paraId="4E8D325E" w14:textId="77777777" w:rsidR="001532E1" w:rsidRPr="00317ABF" w:rsidRDefault="001532E1" w:rsidP="001532E1">
            <w:pPr>
              <w:ind w:firstLine="510"/>
              <w:jc w:val="both"/>
              <w:rPr>
                <w:rFonts w:eastAsia="Times"/>
                <w:sz w:val="22"/>
                <w:szCs w:val="22"/>
              </w:rPr>
            </w:pPr>
            <w:r w:rsidRPr="00317ABF">
              <w:rPr>
                <w:rFonts w:eastAsia="Times"/>
                <w:sz w:val="22"/>
                <w:szCs w:val="22"/>
              </w:rPr>
              <w:t>52) nie przekazuje Prezesowi UKE informacji, o których mowa w art. 307 ust. 3,</w:t>
            </w:r>
          </w:p>
          <w:p w14:paraId="19D22455" w14:textId="77777777" w:rsidR="001532E1" w:rsidRPr="00317ABF" w:rsidRDefault="001532E1" w:rsidP="001532E1">
            <w:pPr>
              <w:ind w:firstLine="510"/>
              <w:jc w:val="both"/>
              <w:rPr>
                <w:rFonts w:eastAsia="Times"/>
                <w:sz w:val="22"/>
                <w:szCs w:val="22"/>
              </w:rPr>
            </w:pPr>
            <w:r w:rsidRPr="00317ABF">
              <w:rPr>
                <w:rFonts w:eastAsia="Times"/>
                <w:sz w:val="22"/>
                <w:szCs w:val="22"/>
              </w:rPr>
              <w:t>53)</w:t>
            </w:r>
            <w:r w:rsidRPr="00317ABF">
              <w:rPr>
                <w:rFonts w:eastAsia="Times"/>
                <w:sz w:val="22"/>
                <w:szCs w:val="22"/>
              </w:rPr>
              <w:tab/>
              <w:t>nie przekazuje, zgodnie z art. 309, danych dotyczących świadczonych usług do narzędzia porównawczego zapewnianego przez Prezesa UKE lub nie aktualizuje tych danych,</w:t>
            </w:r>
          </w:p>
          <w:p w14:paraId="2DC87EBD" w14:textId="77777777" w:rsidR="001532E1" w:rsidRPr="00317ABF" w:rsidRDefault="001532E1" w:rsidP="001532E1">
            <w:pPr>
              <w:ind w:firstLine="510"/>
              <w:jc w:val="both"/>
              <w:rPr>
                <w:rFonts w:eastAsia="Times"/>
                <w:sz w:val="22"/>
                <w:szCs w:val="22"/>
              </w:rPr>
            </w:pPr>
            <w:r w:rsidRPr="00317ABF">
              <w:rPr>
                <w:rFonts w:eastAsia="Times"/>
                <w:sz w:val="22"/>
                <w:szCs w:val="22"/>
              </w:rPr>
              <w:t>54)</w:t>
            </w:r>
            <w:r w:rsidRPr="00317ABF">
              <w:rPr>
                <w:rFonts w:eastAsia="Times"/>
                <w:sz w:val="22"/>
                <w:szCs w:val="22"/>
              </w:rPr>
              <w:tab/>
              <w:t>nie  wypełnia lub nienależycie wypełnia obowiązek publikowania informacji wynikający z decyzji, o której mowa w art. 310 ust. 1 i obowiązek informacyjny, o którym mowa w art. 310 ust. 2,</w:t>
            </w:r>
          </w:p>
          <w:p w14:paraId="7FB2D26D" w14:textId="77777777" w:rsidR="001532E1" w:rsidRPr="00317ABF" w:rsidRDefault="001532E1" w:rsidP="001532E1">
            <w:pPr>
              <w:ind w:firstLine="510"/>
              <w:jc w:val="both"/>
              <w:rPr>
                <w:rFonts w:eastAsia="Times"/>
                <w:sz w:val="22"/>
                <w:szCs w:val="22"/>
              </w:rPr>
            </w:pPr>
            <w:r w:rsidRPr="00317ABF">
              <w:rPr>
                <w:rFonts w:eastAsia="Times"/>
                <w:sz w:val="22"/>
                <w:szCs w:val="22"/>
              </w:rPr>
              <w:lastRenderedPageBreak/>
              <w:t>55) nie  wypełnia lub nienależycie wypełnia obowiązku, o którym mowa w art. 311 ust. 1-3,</w:t>
            </w:r>
          </w:p>
          <w:p w14:paraId="0A3FA187" w14:textId="77777777" w:rsidR="001532E1" w:rsidRPr="00317ABF" w:rsidRDefault="001532E1" w:rsidP="001532E1">
            <w:pPr>
              <w:ind w:firstLine="510"/>
              <w:jc w:val="both"/>
              <w:rPr>
                <w:rFonts w:eastAsia="Times"/>
                <w:sz w:val="22"/>
                <w:szCs w:val="22"/>
              </w:rPr>
            </w:pPr>
            <w:r w:rsidRPr="00317ABF">
              <w:rPr>
                <w:rFonts w:eastAsia="Times"/>
                <w:sz w:val="22"/>
                <w:szCs w:val="22"/>
              </w:rPr>
              <w:t>56)</w:t>
            </w:r>
            <w:r w:rsidRPr="00317ABF">
              <w:rPr>
                <w:rFonts w:eastAsia="Times"/>
                <w:sz w:val="22"/>
                <w:szCs w:val="22"/>
              </w:rPr>
              <w:tab/>
              <w:t>uniemożliwia lub utrudnia korzystanie z uprawnień abonenckich, o których mowa w art. 312-313, art. 317-320 lub art. 322,</w:t>
            </w:r>
          </w:p>
          <w:p w14:paraId="46246A52" w14:textId="77777777" w:rsidR="001532E1" w:rsidRPr="00317ABF" w:rsidRDefault="001532E1" w:rsidP="001532E1">
            <w:pPr>
              <w:ind w:firstLine="510"/>
              <w:jc w:val="both"/>
              <w:rPr>
                <w:rFonts w:eastAsia="Times"/>
                <w:sz w:val="22"/>
                <w:szCs w:val="22"/>
              </w:rPr>
            </w:pPr>
            <w:r w:rsidRPr="00317ABF">
              <w:rPr>
                <w:rFonts w:eastAsia="Times"/>
                <w:sz w:val="22"/>
                <w:szCs w:val="22"/>
              </w:rPr>
              <w:t>57)</w:t>
            </w:r>
            <w:r w:rsidRPr="00317ABF">
              <w:rPr>
                <w:rFonts w:eastAsia="Times"/>
                <w:sz w:val="22"/>
                <w:szCs w:val="22"/>
              </w:rPr>
              <w:tab/>
              <w:t>nie realizuje lub nienależycie realizuje uprawnienia abonenta oraz obowiązki, o których mowa w art. 312-313, art. 317-320 lub art. 322,</w:t>
            </w:r>
          </w:p>
          <w:p w14:paraId="7E0FA10E" w14:textId="77777777" w:rsidR="001532E1" w:rsidRPr="00317ABF" w:rsidRDefault="001532E1" w:rsidP="001532E1">
            <w:pPr>
              <w:ind w:firstLine="510"/>
              <w:jc w:val="both"/>
              <w:rPr>
                <w:rFonts w:eastAsia="Times"/>
                <w:sz w:val="22"/>
                <w:szCs w:val="22"/>
              </w:rPr>
            </w:pPr>
            <w:r w:rsidRPr="00317ABF">
              <w:rPr>
                <w:rFonts w:eastAsia="Times"/>
                <w:sz w:val="22"/>
                <w:szCs w:val="22"/>
              </w:rPr>
              <w:t>58) nie wypełnia lub nienależycie wypełnia obowiązki, o których mowa w art. 321 ust. 2,</w:t>
            </w:r>
          </w:p>
          <w:p w14:paraId="38A28B0D" w14:textId="77777777" w:rsidR="001532E1" w:rsidRPr="00317ABF" w:rsidRDefault="001532E1" w:rsidP="001532E1">
            <w:pPr>
              <w:ind w:firstLine="510"/>
              <w:jc w:val="both"/>
              <w:rPr>
                <w:rFonts w:eastAsia="Times"/>
                <w:sz w:val="22"/>
                <w:szCs w:val="22"/>
              </w:rPr>
            </w:pPr>
            <w:r w:rsidRPr="00317ABF">
              <w:rPr>
                <w:rFonts w:eastAsia="Times"/>
                <w:sz w:val="22"/>
                <w:szCs w:val="22"/>
              </w:rPr>
              <w:t xml:space="preserve">59) nie wypełnia lub nienależycie wypełnia obowiązek dotyczący zapewnienia możliwości realizacji uprawnień abonenta, o którym mowa w art. 314 ust. 1 lub art. 323 ust. 1, </w:t>
            </w:r>
          </w:p>
          <w:p w14:paraId="4EBD3A07" w14:textId="77777777" w:rsidR="001532E1" w:rsidRPr="00317ABF" w:rsidRDefault="001532E1" w:rsidP="001532E1">
            <w:pPr>
              <w:ind w:firstLine="510"/>
              <w:jc w:val="both"/>
              <w:rPr>
                <w:rFonts w:eastAsia="Times"/>
                <w:sz w:val="22"/>
                <w:szCs w:val="22"/>
              </w:rPr>
            </w:pPr>
            <w:r w:rsidRPr="00317ABF">
              <w:rPr>
                <w:rFonts w:eastAsia="Times"/>
                <w:sz w:val="22"/>
                <w:szCs w:val="22"/>
              </w:rPr>
              <w:t>60) nie wypełnia lub nienależycie wypełnia obowiązek zwrotu środków, o którym mowa w art. 325,</w:t>
            </w:r>
          </w:p>
          <w:p w14:paraId="4C68033F" w14:textId="77777777" w:rsidR="001532E1" w:rsidRPr="00317ABF" w:rsidRDefault="001532E1" w:rsidP="001532E1">
            <w:pPr>
              <w:ind w:firstLine="510"/>
              <w:jc w:val="both"/>
              <w:rPr>
                <w:rFonts w:eastAsia="Times"/>
                <w:sz w:val="22"/>
                <w:szCs w:val="22"/>
              </w:rPr>
            </w:pPr>
            <w:r w:rsidRPr="00317ABF">
              <w:rPr>
                <w:rFonts w:eastAsia="Times"/>
                <w:sz w:val="22"/>
                <w:szCs w:val="22"/>
              </w:rPr>
              <w:t>61) nie stosuje się do wymagań dotyczących dokładności i niezawodności lokalizacji zakończenia sieci dla ruchomej publicznej sieci telekomunikacyjnej wynikających z decyzji, o której mowa w art. 330 ust. 4,</w:t>
            </w:r>
          </w:p>
          <w:p w14:paraId="4D516685" w14:textId="77777777" w:rsidR="001532E1" w:rsidRPr="00317ABF" w:rsidRDefault="001532E1" w:rsidP="001532E1">
            <w:pPr>
              <w:ind w:firstLine="510"/>
              <w:jc w:val="both"/>
              <w:rPr>
                <w:rFonts w:eastAsia="Times"/>
                <w:sz w:val="22"/>
                <w:szCs w:val="22"/>
              </w:rPr>
            </w:pPr>
            <w:r w:rsidRPr="00317ABF">
              <w:rPr>
                <w:rFonts w:eastAsia="Times"/>
                <w:sz w:val="22"/>
                <w:szCs w:val="22"/>
              </w:rPr>
              <w:t>62) nie wypełnia lub nienależycie wypełnia obowiązki dotyczące przekazywania i aktualizacji danych , o których mowa w art. 331 ust. 1-2 i ust. 4,</w:t>
            </w:r>
          </w:p>
          <w:p w14:paraId="46D6E5F7" w14:textId="77777777" w:rsidR="001532E1" w:rsidRPr="00317ABF" w:rsidRDefault="001532E1" w:rsidP="001532E1">
            <w:pPr>
              <w:ind w:firstLine="510"/>
              <w:jc w:val="both"/>
              <w:rPr>
                <w:rFonts w:eastAsia="Times"/>
                <w:sz w:val="22"/>
                <w:szCs w:val="22"/>
              </w:rPr>
            </w:pPr>
            <w:r w:rsidRPr="00317ABF">
              <w:rPr>
                <w:rFonts w:eastAsia="Times"/>
                <w:sz w:val="22"/>
                <w:szCs w:val="22"/>
              </w:rPr>
              <w:t>63) nie wypełnia lub nienależycie wypełnia obowiązek, o którym mowa w art. 332 ust. 1 i 2,</w:t>
            </w:r>
          </w:p>
          <w:p w14:paraId="3D4112EA" w14:textId="77777777" w:rsidR="001532E1" w:rsidRPr="00317ABF" w:rsidRDefault="001532E1" w:rsidP="001532E1">
            <w:pPr>
              <w:ind w:firstLine="510"/>
              <w:jc w:val="both"/>
              <w:rPr>
                <w:rFonts w:eastAsia="Times"/>
                <w:sz w:val="22"/>
                <w:szCs w:val="22"/>
              </w:rPr>
            </w:pPr>
            <w:r w:rsidRPr="00317ABF">
              <w:rPr>
                <w:rFonts w:eastAsia="Times"/>
                <w:sz w:val="22"/>
                <w:szCs w:val="22"/>
              </w:rPr>
              <w:t>64) nie wypełnia lub nienależycie wypełnia obowiązki dotyczące skradzionych albo zgubionych telekomunikacyjnych urządzeń końcowych, o których mowa w art. 333,</w:t>
            </w:r>
          </w:p>
          <w:p w14:paraId="047F8137" w14:textId="77777777" w:rsidR="001532E1" w:rsidRPr="00317ABF" w:rsidRDefault="001532E1" w:rsidP="001532E1">
            <w:pPr>
              <w:ind w:firstLine="510"/>
              <w:jc w:val="both"/>
              <w:rPr>
                <w:rFonts w:eastAsia="Times"/>
                <w:sz w:val="22"/>
                <w:szCs w:val="22"/>
              </w:rPr>
            </w:pPr>
            <w:r w:rsidRPr="00317ABF">
              <w:rPr>
                <w:rFonts w:eastAsia="Times"/>
                <w:sz w:val="22"/>
                <w:szCs w:val="22"/>
              </w:rPr>
              <w:t>65) nie zapewnia lub nienależycie zapewnia użytkownikom końcowym z niepełnosprawnościami dostęp do świadczonych przez siebie udogodnień i usług, o którym mowa w art. 334 ust. 1,</w:t>
            </w:r>
          </w:p>
          <w:p w14:paraId="2A8CC52B" w14:textId="77777777" w:rsidR="001532E1" w:rsidRPr="00317ABF" w:rsidRDefault="001532E1" w:rsidP="001532E1">
            <w:pPr>
              <w:ind w:firstLine="510"/>
              <w:jc w:val="both"/>
              <w:rPr>
                <w:rFonts w:eastAsia="Times"/>
                <w:sz w:val="22"/>
                <w:szCs w:val="22"/>
              </w:rPr>
            </w:pPr>
            <w:r w:rsidRPr="00317ABF">
              <w:rPr>
                <w:rFonts w:eastAsia="Times"/>
                <w:sz w:val="22"/>
                <w:szCs w:val="22"/>
              </w:rPr>
              <w:t>66)</w:t>
            </w:r>
            <w:r w:rsidRPr="00317ABF">
              <w:rPr>
                <w:rFonts w:eastAsia="Times"/>
                <w:sz w:val="22"/>
                <w:szCs w:val="22"/>
              </w:rPr>
              <w:tab/>
              <w:t>nie wypełnia lub nienależycie wypełnia obowiązki dotyczące świadczenia usług z dodatkowym świadczeniem określone w art. 335 oraz art. 336-337,</w:t>
            </w:r>
          </w:p>
          <w:p w14:paraId="7574C036" w14:textId="77777777" w:rsidR="001532E1" w:rsidRPr="00317ABF" w:rsidRDefault="001532E1" w:rsidP="001532E1">
            <w:pPr>
              <w:ind w:firstLine="510"/>
              <w:jc w:val="both"/>
              <w:rPr>
                <w:rFonts w:eastAsia="Times"/>
                <w:sz w:val="22"/>
                <w:szCs w:val="22"/>
              </w:rPr>
            </w:pPr>
            <w:r w:rsidRPr="00317ABF">
              <w:rPr>
                <w:rFonts w:eastAsia="Times"/>
                <w:sz w:val="22"/>
                <w:szCs w:val="22"/>
              </w:rPr>
              <w:t>67) żąda od abonenta zapłaty niezgodnie z art. 338,</w:t>
            </w:r>
          </w:p>
          <w:p w14:paraId="1AFEBD4C" w14:textId="77777777" w:rsidR="001532E1" w:rsidRPr="00317ABF" w:rsidRDefault="001532E1" w:rsidP="001532E1">
            <w:pPr>
              <w:ind w:firstLine="510"/>
              <w:jc w:val="both"/>
              <w:rPr>
                <w:rFonts w:eastAsia="Times"/>
                <w:sz w:val="22"/>
                <w:szCs w:val="22"/>
              </w:rPr>
            </w:pPr>
            <w:r w:rsidRPr="00317ABF">
              <w:rPr>
                <w:rFonts w:eastAsia="Times"/>
                <w:sz w:val="22"/>
                <w:szCs w:val="22"/>
              </w:rPr>
              <w:t>68) umożliwia świadczenie usługi z dodatkowym świadczeniem niezgodnie z art. 339 ust. 3,</w:t>
            </w:r>
          </w:p>
          <w:p w14:paraId="39B0D2D1" w14:textId="77777777" w:rsidR="001532E1" w:rsidRPr="00317ABF" w:rsidRDefault="001532E1" w:rsidP="001532E1">
            <w:pPr>
              <w:ind w:firstLine="510"/>
              <w:jc w:val="both"/>
              <w:rPr>
                <w:rFonts w:eastAsia="Times"/>
                <w:sz w:val="22"/>
                <w:szCs w:val="22"/>
              </w:rPr>
            </w:pPr>
            <w:r w:rsidRPr="00317ABF">
              <w:rPr>
                <w:rFonts w:eastAsia="Times"/>
                <w:sz w:val="22"/>
                <w:szCs w:val="22"/>
              </w:rPr>
              <w:t>69)</w:t>
            </w:r>
            <w:r w:rsidRPr="00317ABF">
              <w:rPr>
                <w:rFonts w:eastAsia="Times"/>
                <w:sz w:val="22"/>
                <w:szCs w:val="22"/>
              </w:rPr>
              <w:tab/>
              <w:t>nie przekazuje w terminie zgłoszenia, zgłoszenia aktualizacyjnego lub informacji o terminie zakończenia świadczenia usługi z dodatkowym świadczeniem, o których mowa w art. 340 ust. 1 i 4 oraz art. 342 ust. 1,</w:t>
            </w:r>
          </w:p>
          <w:p w14:paraId="4F947D55" w14:textId="77777777" w:rsidR="001532E1" w:rsidRPr="00317ABF" w:rsidRDefault="001532E1" w:rsidP="001532E1">
            <w:pPr>
              <w:ind w:firstLine="510"/>
              <w:jc w:val="both"/>
              <w:rPr>
                <w:rFonts w:eastAsia="Times"/>
                <w:sz w:val="22"/>
                <w:szCs w:val="22"/>
              </w:rPr>
            </w:pPr>
            <w:r w:rsidRPr="00317ABF">
              <w:rPr>
                <w:rFonts w:eastAsia="Times"/>
                <w:sz w:val="22"/>
                <w:szCs w:val="22"/>
              </w:rPr>
              <w:lastRenderedPageBreak/>
              <w:t>70)</w:t>
            </w:r>
            <w:r w:rsidRPr="00317ABF">
              <w:rPr>
                <w:rFonts w:eastAsia="Times"/>
                <w:sz w:val="22"/>
                <w:szCs w:val="22"/>
              </w:rPr>
              <w:tab/>
              <w:t>nie wypełnia lub nienależycie wypełnia obowiązki wynikające z decyzji, o których mowa w art. 343 ust. 1,</w:t>
            </w:r>
          </w:p>
          <w:p w14:paraId="0E9904D1" w14:textId="77777777" w:rsidR="001532E1" w:rsidRPr="00317ABF" w:rsidRDefault="001532E1" w:rsidP="001532E1">
            <w:pPr>
              <w:ind w:firstLine="510"/>
              <w:jc w:val="both"/>
              <w:rPr>
                <w:rFonts w:eastAsia="Times"/>
                <w:sz w:val="22"/>
                <w:szCs w:val="22"/>
              </w:rPr>
            </w:pPr>
            <w:r w:rsidRPr="00317ABF">
              <w:rPr>
                <w:rFonts w:eastAsia="Times"/>
                <w:sz w:val="22"/>
                <w:szCs w:val="22"/>
              </w:rPr>
              <w:t>71)</w:t>
            </w:r>
            <w:r w:rsidRPr="00317ABF">
              <w:rPr>
                <w:rFonts w:eastAsia="Times"/>
                <w:sz w:val="22"/>
                <w:szCs w:val="22"/>
              </w:rPr>
              <w:tab/>
              <w:t>nie wypełnia lub nienależycie wypełnia obowiązek uzyskania zgody abonenta na świadczenie usługi fakultatywnego obciążania rachunku, o którym w art. 344 ust. 1,</w:t>
            </w:r>
          </w:p>
          <w:p w14:paraId="1F5A7EB9" w14:textId="77777777" w:rsidR="001532E1" w:rsidRPr="00317ABF" w:rsidRDefault="001532E1" w:rsidP="001532E1">
            <w:pPr>
              <w:ind w:firstLine="510"/>
              <w:jc w:val="both"/>
              <w:rPr>
                <w:rFonts w:eastAsia="Times"/>
                <w:sz w:val="22"/>
                <w:szCs w:val="22"/>
              </w:rPr>
            </w:pPr>
            <w:r w:rsidRPr="00317ABF">
              <w:rPr>
                <w:rFonts w:eastAsia="Times"/>
                <w:sz w:val="22"/>
                <w:szCs w:val="22"/>
              </w:rPr>
              <w:t>72)</w:t>
            </w:r>
            <w:r w:rsidRPr="00317ABF">
              <w:rPr>
                <w:rFonts w:eastAsia="Times"/>
                <w:sz w:val="22"/>
                <w:szCs w:val="22"/>
              </w:rPr>
              <w:tab/>
              <w:t>nie wypełnia lub nienależycie wypełnia obowiązki, określone w art. 344 ust. 3-7 oraz art. 345 ust. 1 i 3,</w:t>
            </w:r>
          </w:p>
          <w:p w14:paraId="6DBC4CE8" w14:textId="77777777" w:rsidR="001532E1" w:rsidRPr="00317ABF" w:rsidRDefault="001532E1" w:rsidP="001532E1">
            <w:pPr>
              <w:ind w:firstLine="510"/>
              <w:jc w:val="both"/>
              <w:rPr>
                <w:rFonts w:eastAsia="Times"/>
                <w:sz w:val="22"/>
                <w:szCs w:val="22"/>
              </w:rPr>
            </w:pPr>
            <w:r w:rsidRPr="00317ABF">
              <w:rPr>
                <w:rFonts w:eastAsia="Times"/>
                <w:sz w:val="22"/>
                <w:szCs w:val="22"/>
              </w:rPr>
              <w:t>73)</w:t>
            </w:r>
            <w:r w:rsidRPr="00317ABF">
              <w:rPr>
                <w:rFonts w:eastAsia="Times"/>
                <w:sz w:val="22"/>
                <w:szCs w:val="22"/>
              </w:rPr>
              <w:tab/>
              <w:t>nie doręcza abonentowi podstawowego lub szczegółowego wykazu wykonanych usług lub doręcza ten wykaz niezgodnie z art. 346 lub art. 347,</w:t>
            </w:r>
          </w:p>
          <w:p w14:paraId="6BDF47FB" w14:textId="77777777" w:rsidR="001532E1" w:rsidRPr="00317ABF" w:rsidRDefault="001532E1" w:rsidP="001532E1">
            <w:pPr>
              <w:ind w:firstLine="510"/>
              <w:jc w:val="both"/>
              <w:rPr>
                <w:rFonts w:eastAsia="Times"/>
                <w:sz w:val="22"/>
                <w:szCs w:val="22"/>
              </w:rPr>
            </w:pPr>
            <w:r w:rsidRPr="00317ABF">
              <w:rPr>
                <w:rFonts w:eastAsia="Times"/>
                <w:sz w:val="22"/>
                <w:szCs w:val="22"/>
              </w:rPr>
              <w:t>74)</w:t>
            </w:r>
            <w:r w:rsidRPr="00317ABF">
              <w:rPr>
                <w:rFonts w:eastAsia="Times"/>
                <w:sz w:val="22"/>
                <w:szCs w:val="22"/>
              </w:rPr>
              <w:tab/>
              <w:t>świadczy dostęp do publicznej sieci telekomunikacyjnej za pośrednictwem lokalnej sieci radiowej przy użyciu urządzeń zlokalizowanych u użytkownika końcowego bez jego uprzedniej zgody, o której mowa w art. 348,</w:t>
            </w:r>
          </w:p>
          <w:p w14:paraId="6FD95101" w14:textId="77777777" w:rsidR="001532E1" w:rsidRPr="00317ABF" w:rsidRDefault="001532E1" w:rsidP="001532E1">
            <w:pPr>
              <w:ind w:firstLine="510"/>
              <w:jc w:val="both"/>
              <w:rPr>
                <w:rFonts w:eastAsia="Times"/>
                <w:sz w:val="22"/>
                <w:szCs w:val="22"/>
              </w:rPr>
            </w:pPr>
            <w:r w:rsidRPr="00317ABF">
              <w:rPr>
                <w:rFonts w:eastAsia="Times"/>
                <w:sz w:val="22"/>
                <w:szCs w:val="22"/>
              </w:rPr>
              <w:t>75)</w:t>
            </w:r>
            <w:r w:rsidRPr="00317ABF">
              <w:rPr>
                <w:rFonts w:eastAsia="Times"/>
                <w:sz w:val="22"/>
                <w:szCs w:val="22"/>
              </w:rPr>
              <w:tab/>
              <w:t>narusza nakaz, o którym mowa w art. 349,</w:t>
            </w:r>
          </w:p>
          <w:p w14:paraId="7F05980F" w14:textId="77777777" w:rsidR="001532E1" w:rsidRPr="00317ABF" w:rsidRDefault="001532E1" w:rsidP="001532E1">
            <w:pPr>
              <w:ind w:firstLine="510"/>
              <w:jc w:val="both"/>
              <w:rPr>
                <w:rFonts w:eastAsia="Times"/>
                <w:sz w:val="22"/>
                <w:szCs w:val="22"/>
              </w:rPr>
            </w:pPr>
            <w:r w:rsidRPr="00317ABF">
              <w:rPr>
                <w:rFonts w:eastAsia="Times"/>
                <w:sz w:val="22"/>
                <w:szCs w:val="22"/>
              </w:rPr>
              <w:t>76)</w:t>
            </w:r>
            <w:r w:rsidRPr="00317ABF">
              <w:rPr>
                <w:rFonts w:eastAsia="Times"/>
                <w:sz w:val="22"/>
                <w:szCs w:val="22"/>
              </w:rPr>
              <w:tab/>
              <w:t xml:space="preserve">nie wypełnia lub nienależycie wypełnia uprawnienia konsumentów lub uprawnienia użytkowników końcowych w zakresie usługi powszechnej, o których mowa w art. 350 ust. 3 i 4, art. 360-362, </w:t>
            </w:r>
          </w:p>
          <w:p w14:paraId="14A76BAA" w14:textId="77777777" w:rsidR="001532E1" w:rsidRPr="00317ABF" w:rsidRDefault="001532E1" w:rsidP="001532E1">
            <w:pPr>
              <w:ind w:firstLine="510"/>
              <w:jc w:val="both"/>
              <w:rPr>
                <w:rFonts w:eastAsia="Times"/>
                <w:sz w:val="22"/>
                <w:szCs w:val="22"/>
              </w:rPr>
            </w:pPr>
            <w:r w:rsidRPr="00317ABF">
              <w:rPr>
                <w:rFonts w:eastAsia="Times"/>
                <w:sz w:val="22"/>
                <w:szCs w:val="22"/>
              </w:rPr>
              <w:t>77)</w:t>
            </w:r>
            <w:r w:rsidRPr="00317ABF">
              <w:rPr>
                <w:rFonts w:eastAsia="Times"/>
                <w:sz w:val="22"/>
                <w:szCs w:val="22"/>
              </w:rPr>
              <w:tab/>
              <w:t>nie wypełnia obowiązku świadczenia usługi lub obowiązku oferowania specjalnego pakietu cenowego lub wypełnia je niezgodnie z decyzją, o której mowa w art. 353 ust. 4, art. 355 ust. 6, art. 356 lub art. 363 ust. 2,</w:t>
            </w:r>
          </w:p>
          <w:p w14:paraId="75DA281B" w14:textId="77777777" w:rsidR="001532E1" w:rsidRPr="00317ABF" w:rsidRDefault="001532E1" w:rsidP="001532E1">
            <w:pPr>
              <w:ind w:firstLine="510"/>
              <w:jc w:val="both"/>
              <w:rPr>
                <w:rFonts w:eastAsia="Times"/>
                <w:sz w:val="22"/>
                <w:szCs w:val="22"/>
              </w:rPr>
            </w:pPr>
            <w:r w:rsidRPr="00317ABF">
              <w:rPr>
                <w:rFonts w:eastAsia="Times"/>
                <w:sz w:val="22"/>
                <w:szCs w:val="22"/>
              </w:rPr>
              <w:t>78)</w:t>
            </w:r>
            <w:r w:rsidRPr="00317ABF">
              <w:rPr>
                <w:rFonts w:eastAsia="Times"/>
                <w:sz w:val="22"/>
                <w:szCs w:val="22"/>
              </w:rPr>
              <w:tab/>
              <w:t>nie wypełnia lub nienależycie wypełnia obowiązki, o których mowa w art. 359 ust. 1, art. 363 ust. 1, art. 369 i art. 370,</w:t>
            </w:r>
          </w:p>
          <w:p w14:paraId="4D417B5C" w14:textId="77777777" w:rsidR="001532E1" w:rsidRPr="00317ABF" w:rsidRDefault="001532E1" w:rsidP="001532E1">
            <w:pPr>
              <w:ind w:firstLine="510"/>
              <w:jc w:val="both"/>
              <w:rPr>
                <w:rFonts w:eastAsia="Times"/>
                <w:sz w:val="22"/>
                <w:szCs w:val="22"/>
              </w:rPr>
            </w:pPr>
            <w:r w:rsidRPr="00317ABF">
              <w:rPr>
                <w:rFonts w:eastAsia="Times"/>
                <w:sz w:val="22"/>
                <w:szCs w:val="22"/>
              </w:rPr>
              <w:t>79)</w:t>
            </w:r>
            <w:r w:rsidRPr="00317ABF">
              <w:rPr>
                <w:rFonts w:eastAsia="Times"/>
                <w:sz w:val="22"/>
                <w:szCs w:val="22"/>
              </w:rPr>
              <w:tab/>
              <w:t>nie wypełnia obowiązku zmiany informacji przedumownych dotyczących specjalnego pakietu cenowego lub obowiązku świadczenia usługi lub wypełnia go niezgodnie z decyzją, o której mowa w art. 359 ust. 3,</w:t>
            </w:r>
          </w:p>
          <w:p w14:paraId="64265375" w14:textId="77777777" w:rsidR="001532E1" w:rsidRPr="00317ABF" w:rsidRDefault="001532E1" w:rsidP="001532E1">
            <w:pPr>
              <w:ind w:firstLine="510"/>
              <w:jc w:val="both"/>
              <w:rPr>
                <w:rFonts w:eastAsia="Times"/>
                <w:sz w:val="22"/>
                <w:szCs w:val="22"/>
              </w:rPr>
            </w:pPr>
            <w:r w:rsidRPr="00317ABF">
              <w:rPr>
                <w:rFonts w:eastAsia="Times"/>
                <w:sz w:val="22"/>
                <w:szCs w:val="22"/>
              </w:rPr>
              <w:t>80) nie realizuje lub nienależycie realizuje procedurę reklamacji,</w:t>
            </w:r>
          </w:p>
          <w:p w14:paraId="2D5CA3F2" w14:textId="77777777" w:rsidR="001532E1" w:rsidRPr="00317ABF" w:rsidRDefault="001532E1" w:rsidP="001532E1">
            <w:pPr>
              <w:ind w:firstLine="510"/>
              <w:jc w:val="both"/>
              <w:rPr>
                <w:rFonts w:eastAsia="Times"/>
                <w:sz w:val="22"/>
                <w:szCs w:val="22"/>
              </w:rPr>
            </w:pPr>
            <w:r w:rsidRPr="00317ABF">
              <w:rPr>
                <w:rFonts w:eastAsia="Times"/>
                <w:sz w:val="22"/>
                <w:szCs w:val="22"/>
              </w:rPr>
              <w:t>81) nie wypełnia lub nienależycie wypełnia obowiązki informacyjne względem abonenta, o których mowa w art. 377,</w:t>
            </w:r>
          </w:p>
          <w:p w14:paraId="560A38BB" w14:textId="77777777" w:rsidR="001532E1" w:rsidRPr="00317ABF" w:rsidRDefault="001532E1" w:rsidP="001532E1">
            <w:pPr>
              <w:ind w:firstLine="510"/>
              <w:jc w:val="both"/>
              <w:rPr>
                <w:rFonts w:eastAsia="Times"/>
                <w:sz w:val="22"/>
                <w:szCs w:val="22"/>
              </w:rPr>
            </w:pPr>
            <w:r w:rsidRPr="00317ABF">
              <w:rPr>
                <w:rFonts w:eastAsia="Times"/>
                <w:sz w:val="22"/>
                <w:szCs w:val="22"/>
              </w:rPr>
              <w:t>82)</w:t>
            </w:r>
            <w:r w:rsidRPr="00317ABF">
              <w:rPr>
                <w:rFonts w:eastAsia="Times"/>
                <w:sz w:val="22"/>
                <w:szCs w:val="22"/>
              </w:rPr>
              <w:tab/>
            </w:r>
            <w:r w:rsidRPr="00317ABF">
              <w:rPr>
                <w:rFonts w:eastAsia="Times"/>
                <w:sz w:val="22"/>
                <w:szCs w:val="22"/>
              </w:rPr>
              <w:tab/>
              <w:t xml:space="preserve">narusza obowiązek zachowania tajemnicy komunikacji elektronicznej, </w:t>
            </w:r>
          </w:p>
          <w:p w14:paraId="612F3227" w14:textId="77777777" w:rsidR="001532E1" w:rsidRPr="00317ABF" w:rsidRDefault="001532E1" w:rsidP="001532E1">
            <w:pPr>
              <w:ind w:firstLine="510"/>
              <w:jc w:val="both"/>
              <w:rPr>
                <w:rFonts w:eastAsia="Times"/>
                <w:sz w:val="22"/>
                <w:szCs w:val="22"/>
              </w:rPr>
            </w:pPr>
            <w:r w:rsidRPr="00317ABF">
              <w:rPr>
                <w:rFonts w:eastAsia="Times"/>
                <w:sz w:val="22"/>
                <w:szCs w:val="22"/>
              </w:rPr>
              <w:t>83)</w:t>
            </w:r>
            <w:r w:rsidRPr="00317ABF">
              <w:rPr>
                <w:rFonts w:eastAsia="Times"/>
                <w:sz w:val="22"/>
                <w:szCs w:val="22"/>
              </w:rPr>
              <w:tab/>
              <w:t>nie wypełnia obowiązków uzyskania zgody użytkownika końcowego, o których mowa w art. 386 i art. 387,</w:t>
            </w:r>
          </w:p>
          <w:p w14:paraId="6AA3E24C" w14:textId="77777777" w:rsidR="001532E1" w:rsidRPr="00317ABF" w:rsidRDefault="001532E1" w:rsidP="001532E1">
            <w:pPr>
              <w:ind w:firstLine="510"/>
              <w:jc w:val="both"/>
              <w:rPr>
                <w:rFonts w:eastAsia="Times"/>
                <w:sz w:val="22"/>
                <w:szCs w:val="22"/>
              </w:rPr>
            </w:pPr>
            <w:r w:rsidRPr="00317ABF">
              <w:rPr>
                <w:rFonts w:eastAsia="Times"/>
                <w:sz w:val="22"/>
                <w:szCs w:val="22"/>
              </w:rPr>
              <w:t>84)</w:t>
            </w:r>
            <w:r w:rsidRPr="00317ABF">
              <w:rPr>
                <w:rFonts w:eastAsia="Times"/>
                <w:sz w:val="22"/>
                <w:szCs w:val="22"/>
              </w:rPr>
              <w:tab/>
              <w:t>przetwarza dane objęte tajemnicą komunikacji elektronicznej lub dane użytkowników nie mając ku temu podstawy prawnej,</w:t>
            </w:r>
          </w:p>
          <w:p w14:paraId="2C2D7F89" w14:textId="77777777" w:rsidR="001532E1" w:rsidRPr="00317ABF" w:rsidRDefault="001532E1" w:rsidP="001532E1">
            <w:pPr>
              <w:ind w:firstLine="510"/>
              <w:jc w:val="both"/>
              <w:rPr>
                <w:rFonts w:eastAsia="Times"/>
                <w:sz w:val="22"/>
                <w:szCs w:val="22"/>
              </w:rPr>
            </w:pPr>
            <w:r w:rsidRPr="00317ABF">
              <w:rPr>
                <w:rFonts w:eastAsia="Times"/>
                <w:sz w:val="22"/>
                <w:szCs w:val="22"/>
              </w:rPr>
              <w:lastRenderedPageBreak/>
              <w:t>85)</w:t>
            </w:r>
            <w:r w:rsidRPr="00317ABF">
              <w:rPr>
                <w:rFonts w:eastAsia="Times"/>
                <w:sz w:val="22"/>
                <w:szCs w:val="22"/>
              </w:rPr>
              <w:tab/>
              <w:t>nie wypełnia lub nienależycie wypełnia obowiązek prezentacji identyfikacji zakończenia sieci, o którym mowa w art. 392,</w:t>
            </w:r>
          </w:p>
          <w:p w14:paraId="68828342" w14:textId="77777777" w:rsidR="001532E1" w:rsidRPr="00317ABF" w:rsidRDefault="001532E1" w:rsidP="001532E1">
            <w:pPr>
              <w:ind w:firstLine="510"/>
              <w:jc w:val="both"/>
              <w:rPr>
                <w:rFonts w:eastAsia="Times"/>
                <w:sz w:val="22"/>
                <w:szCs w:val="22"/>
              </w:rPr>
            </w:pPr>
            <w:r w:rsidRPr="00317ABF">
              <w:rPr>
                <w:rFonts w:eastAsia="Times"/>
                <w:sz w:val="22"/>
                <w:szCs w:val="22"/>
              </w:rPr>
              <w:t>86)</w:t>
            </w:r>
            <w:r w:rsidRPr="00317ABF">
              <w:rPr>
                <w:rFonts w:eastAsia="Times"/>
                <w:sz w:val="22"/>
                <w:szCs w:val="22"/>
              </w:rPr>
              <w:tab/>
              <w:t>używa automatycznych systemów wywołujących lub używa telekomunikacyjnych urządzeń końcowych dla celów przesyłania niezamówionej informacji handlowej bez uprzedniego uzyskania zgody użytkownika końcowego,</w:t>
            </w:r>
          </w:p>
          <w:p w14:paraId="71F268AB" w14:textId="77777777" w:rsidR="001532E1" w:rsidRPr="00317ABF" w:rsidRDefault="001532E1" w:rsidP="001532E1">
            <w:pPr>
              <w:ind w:firstLine="510"/>
              <w:jc w:val="both"/>
              <w:rPr>
                <w:rFonts w:eastAsia="Times"/>
                <w:sz w:val="22"/>
                <w:szCs w:val="22"/>
              </w:rPr>
            </w:pPr>
            <w:r w:rsidRPr="00317ABF">
              <w:rPr>
                <w:rFonts w:eastAsia="Times"/>
                <w:sz w:val="22"/>
                <w:szCs w:val="22"/>
              </w:rPr>
              <w:t>87)</w:t>
            </w:r>
            <w:r w:rsidRPr="00317ABF">
              <w:rPr>
                <w:rFonts w:eastAsia="Times"/>
                <w:sz w:val="22"/>
                <w:szCs w:val="22"/>
              </w:rPr>
              <w:tab/>
              <w:t>niezgodnie z przepisami art. 394 przechowuje informacje w urządzeniach końcowych użytkownika końcowego lub korzysta z informacji zgromadzonych w tych urządzeniach,</w:t>
            </w:r>
          </w:p>
          <w:p w14:paraId="7BA66553" w14:textId="77777777" w:rsidR="001532E1" w:rsidRPr="00317ABF" w:rsidRDefault="001532E1" w:rsidP="001532E1">
            <w:pPr>
              <w:ind w:firstLine="510"/>
              <w:jc w:val="both"/>
              <w:rPr>
                <w:rFonts w:eastAsia="Times"/>
                <w:sz w:val="22"/>
                <w:szCs w:val="22"/>
              </w:rPr>
            </w:pPr>
            <w:r w:rsidRPr="00317ABF">
              <w:rPr>
                <w:rFonts w:eastAsia="Times"/>
                <w:sz w:val="22"/>
                <w:szCs w:val="22"/>
              </w:rPr>
              <w:t>88)</w:t>
            </w:r>
            <w:r w:rsidRPr="00317ABF">
              <w:rPr>
                <w:rFonts w:eastAsia="Times"/>
                <w:sz w:val="22"/>
                <w:szCs w:val="22"/>
              </w:rPr>
              <w:tab/>
              <w:t>będąc przedsiębiorcą, którego działalność polega na sprzedaży odbiorników sygnału telewizyjnego, dokonuje sprzedaży odbiornika sygnału telewizyjnego niespełniającego wymagań wynikających z przepisów wykonawczych wydanych na podstawie art. 401 ust. 6,</w:t>
            </w:r>
          </w:p>
          <w:p w14:paraId="398A0F13" w14:textId="77777777" w:rsidR="001532E1" w:rsidRPr="00317ABF" w:rsidRDefault="001532E1" w:rsidP="001532E1">
            <w:pPr>
              <w:ind w:firstLine="510"/>
              <w:jc w:val="both"/>
              <w:rPr>
                <w:rFonts w:eastAsia="Times"/>
                <w:sz w:val="22"/>
                <w:szCs w:val="22"/>
              </w:rPr>
            </w:pPr>
            <w:r w:rsidRPr="00317ABF">
              <w:rPr>
                <w:rFonts w:eastAsia="Times"/>
                <w:sz w:val="22"/>
                <w:szCs w:val="22"/>
              </w:rPr>
              <w:t>89)</w:t>
            </w:r>
            <w:r w:rsidRPr="00317ABF">
              <w:rPr>
                <w:rFonts w:eastAsia="Times"/>
                <w:sz w:val="22"/>
                <w:szCs w:val="22"/>
              </w:rPr>
              <w:tab/>
              <w:t>będąc przedsiębiorcą, którego działalność polega na sprzedaży odbiorników radiofonii cyfrowej, dokonuje sprzedaży odbiornika radiofonii cyfrowej niespełniającego wymagań wynikających z przepisów wykonawczych wydanych na podstawie art. 401 ust. 7,</w:t>
            </w:r>
          </w:p>
          <w:p w14:paraId="0071115D" w14:textId="77777777" w:rsidR="001532E1" w:rsidRPr="00317ABF" w:rsidRDefault="001532E1" w:rsidP="001532E1">
            <w:pPr>
              <w:ind w:firstLine="510"/>
              <w:jc w:val="both"/>
              <w:rPr>
                <w:rFonts w:eastAsia="Times"/>
                <w:sz w:val="22"/>
                <w:szCs w:val="22"/>
              </w:rPr>
            </w:pPr>
            <w:r w:rsidRPr="00317ABF">
              <w:rPr>
                <w:rFonts w:eastAsia="Times"/>
                <w:sz w:val="22"/>
                <w:szCs w:val="22"/>
              </w:rPr>
              <w:t>90)</w:t>
            </w:r>
            <w:r w:rsidRPr="00317ABF">
              <w:rPr>
                <w:rFonts w:eastAsia="Times"/>
                <w:sz w:val="22"/>
                <w:szCs w:val="22"/>
              </w:rPr>
              <w:tab/>
              <w:t>będąc importerem lub nabywcą wewnątrzwspólnotowym pojazdów kategorii M sprzedaje pojazdy kategorii M wyposażone w samochodowy odbiornik radiofoniczny nieprzystosowany do odbioru cyfrowych transmisji naziemnych,</w:t>
            </w:r>
          </w:p>
          <w:p w14:paraId="0CB3DEE0" w14:textId="77777777" w:rsidR="001532E1" w:rsidRPr="00317ABF" w:rsidRDefault="001532E1" w:rsidP="001532E1">
            <w:pPr>
              <w:ind w:firstLine="510"/>
              <w:jc w:val="both"/>
              <w:rPr>
                <w:rFonts w:eastAsia="Times"/>
                <w:sz w:val="22"/>
                <w:szCs w:val="22"/>
              </w:rPr>
            </w:pPr>
            <w:r w:rsidRPr="00317ABF">
              <w:rPr>
                <w:rFonts w:eastAsia="Times"/>
                <w:sz w:val="22"/>
                <w:szCs w:val="22"/>
              </w:rPr>
              <w:t>91)</w:t>
            </w:r>
            <w:r w:rsidRPr="00317ABF">
              <w:rPr>
                <w:rFonts w:eastAsia="Times"/>
                <w:sz w:val="22"/>
                <w:szCs w:val="22"/>
              </w:rPr>
              <w:tab/>
              <w:t>będąc podmiotem wynajmującym pojazdy kategorii M wynajmuje długoterminowo pojazdy kategorii M wyposażone w samochodowy odbiornik radiofoniczny nieprzystosowany do odbioru cyfrowych transmisji naziemnych,</w:t>
            </w:r>
          </w:p>
          <w:p w14:paraId="6B79F2CB" w14:textId="77777777" w:rsidR="001532E1" w:rsidRPr="00317ABF" w:rsidRDefault="001532E1" w:rsidP="001532E1">
            <w:pPr>
              <w:ind w:firstLine="510"/>
              <w:jc w:val="both"/>
              <w:rPr>
                <w:rFonts w:eastAsia="Times"/>
                <w:sz w:val="22"/>
                <w:szCs w:val="22"/>
              </w:rPr>
            </w:pPr>
            <w:r w:rsidRPr="00317ABF">
              <w:rPr>
                <w:rFonts w:eastAsia="Times"/>
                <w:sz w:val="22"/>
                <w:szCs w:val="22"/>
              </w:rPr>
              <w:t>92) nie wykonuje obowiązków związanych z udostępnianiem lub wyodrębnieniem w ramach prowadzonej rachunkowości, o których mowa w art. 402 ust. 2,</w:t>
            </w:r>
          </w:p>
          <w:p w14:paraId="40643CA9" w14:textId="77777777" w:rsidR="001532E1" w:rsidRPr="00317ABF" w:rsidRDefault="001532E1" w:rsidP="001532E1">
            <w:pPr>
              <w:ind w:firstLine="510"/>
              <w:jc w:val="both"/>
              <w:rPr>
                <w:rFonts w:eastAsia="Times"/>
                <w:sz w:val="22"/>
                <w:szCs w:val="22"/>
              </w:rPr>
            </w:pPr>
            <w:r w:rsidRPr="00317ABF">
              <w:rPr>
                <w:rFonts w:eastAsia="Times"/>
                <w:sz w:val="22"/>
                <w:szCs w:val="22"/>
              </w:rPr>
              <w:t>93)</w:t>
            </w:r>
            <w:r w:rsidRPr="00317ABF">
              <w:rPr>
                <w:rFonts w:eastAsia="Times"/>
                <w:sz w:val="22"/>
                <w:szCs w:val="22"/>
              </w:rPr>
              <w:tab/>
              <w:t>nie wypełnia warunków zapewnienia dostępu do infrastruktury technicznej, o którym mowa w art. 18 ust. 3 ustawy z dnia 7 maja 2010 r. o wspieraniu rozwoju usług i sieci telekomunikacyjnych , wynikających z decyzji lub decyzji obszarowej,</w:t>
            </w:r>
          </w:p>
          <w:p w14:paraId="6077F8A2" w14:textId="77777777" w:rsidR="001532E1" w:rsidRPr="00317ABF" w:rsidRDefault="001532E1" w:rsidP="001532E1">
            <w:pPr>
              <w:ind w:firstLine="510"/>
              <w:jc w:val="both"/>
              <w:rPr>
                <w:rFonts w:eastAsia="Times"/>
                <w:sz w:val="22"/>
                <w:szCs w:val="22"/>
              </w:rPr>
            </w:pPr>
            <w:r w:rsidRPr="00317ABF">
              <w:rPr>
                <w:rFonts w:eastAsia="Times"/>
                <w:sz w:val="22"/>
                <w:szCs w:val="22"/>
              </w:rPr>
              <w:t>94)</w:t>
            </w:r>
            <w:r w:rsidRPr="00317ABF">
              <w:rPr>
                <w:rFonts w:eastAsia="Times"/>
                <w:sz w:val="22"/>
                <w:szCs w:val="22"/>
              </w:rPr>
              <w:tab/>
              <w:t>nie wypełnia warunków zapewnienia dostępu określonej w decyzji lub decyzji obszarowej wydanej na podstawie art. 35a ust. 3 ustawy z dnia 7 maja 2010 r. o wspieraniu rozwoju usług i sieci telekomunikacyjnych,</w:t>
            </w:r>
          </w:p>
          <w:p w14:paraId="758A4580" w14:textId="77777777" w:rsidR="001532E1" w:rsidRPr="00317ABF" w:rsidRDefault="001532E1" w:rsidP="001532E1">
            <w:pPr>
              <w:ind w:firstLine="510"/>
              <w:jc w:val="both"/>
              <w:rPr>
                <w:rFonts w:eastAsia="Times"/>
                <w:sz w:val="22"/>
                <w:szCs w:val="22"/>
              </w:rPr>
            </w:pPr>
            <w:r w:rsidRPr="00317ABF">
              <w:rPr>
                <w:rFonts w:eastAsia="Times"/>
                <w:sz w:val="22"/>
                <w:szCs w:val="22"/>
              </w:rPr>
              <w:t>95) nie wypełnia lub nienależycie wypełnia obowiązek, o którym mowa w art. 21a ust. 3 ustawy z dnia 26 kwietnia 2007 r. o zarządzaniu kryzysowym,</w:t>
            </w:r>
          </w:p>
          <w:p w14:paraId="549939DB" w14:textId="77777777" w:rsidR="001532E1" w:rsidRPr="00317ABF" w:rsidRDefault="001532E1" w:rsidP="001532E1">
            <w:pPr>
              <w:ind w:firstLine="510"/>
              <w:jc w:val="both"/>
              <w:rPr>
                <w:rFonts w:eastAsia="Times"/>
                <w:sz w:val="22"/>
                <w:szCs w:val="22"/>
              </w:rPr>
            </w:pPr>
            <w:r w:rsidRPr="00317ABF">
              <w:rPr>
                <w:rFonts w:eastAsia="Times"/>
                <w:sz w:val="22"/>
                <w:szCs w:val="22"/>
              </w:rPr>
              <w:lastRenderedPageBreak/>
              <w:t>96)</w:t>
            </w:r>
            <w:r w:rsidRPr="00317ABF">
              <w:rPr>
                <w:rFonts w:eastAsia="Times"/>
                <w:sz w:val="22"/>
                <w:szCs w:val="22"/>
              </w:rPr>
              <w:tab/>
              <w:t>nie wypełnia obowiązków określonych w art. 3-5 oraz art. 6a-6f, art. 7, art. 9, art. 11, art. 12, art. 14 oraz art. 15 rozporządzenia Parlamentu Europejskiego i Rady (UE) nr 531/2012 z dnia 13 czerwca 2012 r. w sprawie roamingu w publicznych sieciach łączności ruchomej wewnątrz Unii,</w:t>
            </w:r>
          </w:p>
          <w:p w14:paraId="154D783A" w14:textId="77777777" w:rsidR="001532E1" w:rsidRPr="00317ABF" w:rsidRDefault="001532E1" w:rsidP="001532E1">
            <w:pPr>
              <w:ind w:firstLine="510"/>
              <w:jc w:val="both"/>
              <w:rPr>
                <w:rFonts w:eastAsia="Times"/>
                <w:sz w:val="22"/>
                <w:szCs w:val="22"/>
              </w:rPr>
            </w:pPr>
            <w:r w:rsidRPr="00317ABF">
              <w:rPr>
                <w:rFonts w:eastAsia="Times"/>
                <w:sz w:val="22"/>
                <w:szCs w:val="22"/>
              </w:rPr>
              <w:t>97)</w:t>
            </w:r>
            <w:r w:rsidRPr="00317ABF">
              <w:rPr>
                <w:rFonts w:eastAsia="Times"/>
                <w:sz w:val="22"/>
                <w:szCs w:val="22"/>
              </w:rPr>
              <w:tab/>
              <w:t>nie wypełnia obowiązków określonych w art. 3, art. 4, art. 5 ust. 2 i art. 5a  rozporządzenia Parlamentu Europejskiego i Rady (UE) 2015/2120 z dnia 25 listopada 2015 r. ustanawiającego środki dotyczące dostępu do otwartego internetu i dotyczące opłat detalicznych za uregulowane usługi łączności wewnątrzunijnej oraz zmieniającego dyrektywę 2002/22/WE, a także rozporządzenie (UE) nr 531/2012,</w:t>
            </w:r>
          </w:p>
          <w:p w14:paraId="3C84ECEA" w14:textId="77777777" w:rsidR="001E1112" w:rsidRPr="00317ABF" w:rsidRDefault="001532E1" w:rsidP="001532E1">
            <w:pPr>
              <w:ind w:firstLine="510"/>
              <w:jc w:val="both"/>
              <w:rPr>
                <w:rFonts w:eastAsia="Times"/>
                <w:sz w:val="22"/>
                <w:szCs w:val="22"/>
              </w:rPr>
            </w:pPr>
            <w:r w:rsidRPr="00317ABF">
              <w:rPr>
                <w:rFonts w:eastAsia="Times"/>
                <w:sz w:val="22"/>
                <w:szCs w:val="22"/>
              </w:rPr>
              <w:t>98)</w:t>
            </w:r>
            <w:r w:rsidRPr="00317ABF">
              <w:rPr>
                <w:rFonts w:eastAsia="Times"/>
                <w:sz w:val="22"/>
                <w:szCs w:val="22"/>
              </w:rPr>
              <w:tab/>
              <w:t xml:space="preserve">utrudnia </w:t>
            </w:r>
            <w:r w:rsidR="001E1112" w:rsidRPr="00317ABF">
              <w:rPr>
                <w:rFonts w:eastAsia="Times"/>
                <w:sz w:val="22"/>
                <w:szCs w:val="22"/>
              </w:rPr>
              <w:t>lub uniemożliwia wykonywanie czynności kontrolnych przez Prezesa UKE</w:t>
            </w:r>
          </w:p>
          <w:p w14:paraId="2AB63F70" w14:textId="0699AF73" w:rsidR="001E1112" w:rsidRPr="00317ABF" w:rsidRDefault="001E1112" w:rsidP="001532E1">
            <w:pPr>
              <w:ind w:firstLine="510"/>
              <w:jc w:val="both"/>
              <w:rPr>
                <w:rFonts w:eastAsia="Times"/>
                <w:sz w:val="22"/>
                <w:szCs w:val="22"/>
              </w:rPr>
            </w:pPr>
            <w:r w:rsidRPr="00317ABF">
              <w:rPr>
                <w:rFonts w:eastAsia="Times"/>
                <w:sz w:val="22"/>
                <w:szCs w:val="22"/>
              </w:rPr>
              <w:t>- podlega karze pieniężnej.</w:t>
            </w:r>
          </w:p>
          <w:p w14:paraId="4C2540CA" w14:textId="77777777" w:rsidR="001532E1" w:rsidRPr="00317ABF" w:rsidRDefault="001532E1" w:rsidP="001532E1">
            <w:pPr>
              <w:ind w:firstLine="510"/>
              <w:jc w:val="both"/>
              <w:rPr>
                <w:rFonts w:eastAsia="Times"/>
                <w:sz w:val="22"/>
                <w:szCs w:val="22"/>
              </w:rPr>
            </w:pPr>
          </w:p>
          <w:p w14:paraId="73786678" w14:textId="4A240853" w:rsidR="001E1112" w:rsidRPr="00317ABF" w:rsidRDefault="001E1112" w:rsidP="00DB3BEC">
            <w:pPr>
              <w:ind w:firstLine="510"/>
              <w:jc w:val="both"/>
              <w:rPr>
                <w:rFonts w:eastAsia="Times"/>
                <w:sz w:val="22"/>
                <w:szCs w:val="22"/>
              </w:rPr>
            </w:pPr>
            <w:r w:rsidRPr="00317ABF">
              <w:rPr>
                <w:rFonts w:eastAsia="Times"/>
                <w:sz w:val="22"/>
                <w:szCs w:val="22"/>
              </w:rPr>
              <w:t>2. Prezes UKE, jeżeli przemawia za tym charakter lub zakres naruszenia, może nałożyć karę pieniężną na podmiot, który:</w:t>
            </w:r>
          </w:p>
          <w:p w14:paraId="2770714A" w14:textId="77777777" w:rsidR="001532E1" w:rsidRPr="00317ABF" w:rsidRDefault="001532E1" w:rsidP="001532E1">
            <w:pPr>
              <w:ind w:firstLine="510"/>
              <w:jc w:val="both"/>
              <w:rPr>
                <w:rFonts w:eastAsia="Times"/>
                <w:sz w:val="22"/>
                <w:szCs w:val="22"/>
              </w:rPr>
            </w:pPr>
            <w:r w:rsidRPr="00317ABF">
              <w:rPr>
                <w:rFonts w:eastAsia="Times"/>
                <w:sz w:val="22"/>
                <w:szCs w:val="22"/>
              </w:rPr>
              <w:t>1)</w:t>
            </w:r>
            <w:r w:rsidRPr="00317ABF">
              <w:rPr>
                <w:rFonts w:eastAsia="Times"/>
                <w:sz w:val="22"/>
                <w:szCs w:val="22"/>
              </w:rPr>
              <w:tab/>
              <w:t>nie wypełnia obowiązku udzielania informacji lub dostarczania dokumentów przewidzianych ustawą lub ustawą z dnia 7 maja 2010 r. o wspieraniu rozwoju usług i sieci telekomunikacyjnych lub udziela informacji niepełnych lub nieprawdziwych, lub dostarcza dokumenty zawierające informacje niepełne lub nieprawdziwe;</w:t>
            </w:r>
          </w:p>
          <w:p w14:paraId="1FB6E692" w14:textId="77777777" w:rsidR="001532E1" w:rsidRPr="00317ABF" w:rsidRDefault="001532E1" w:rsidP="001532E1">
            <w:pPr>
              <w:ind w:firstLine="510"/>
              <w:jc w:val="both"/>
              <w:rPr>
                <w:rFonts w:eastAsia="Times"/>
                <w:sz w:val="22"/>
                <w:szCs w:val="22"/>
              </w:rPr>
            </w:pPr>
            <w:r w:rsidRPr="00317ABF">
              <w:rPr>
                <w:rFonts w:eastAsia="Times"/>
                <w:sz w:val="22"/>
                <w:szCs w:val="22"/>
              </w:rPr>
              <w:t>2)</w:t>
            </w:r>
            <w:r w:rsidRPr="00317ABF">
              <w:rPr>
                <w:rFonts w:eastAsia="Times"/>
                <w:sz w:val="22"/>
                <w:szCs w:val="22"/>
              </w:rPr>
              <w:tab/>
              <w:t>nie realizuje lub nienależycie realizuje zobowiązania, o których mowa w art. 87 ust. 1 pkt 10;</w:t>
            </w:r>
          </w:p>
          <w:p w14:paraId="46B83BD7" w14:textId="77777777" w:rsidR="001532E1" w:rsidRPr="00317ABF" w:rsidRDefault="001E1112" w:rsidP="001532E1">
            <w:pPr>
              <w:ind w:firstLine="510"/>
              <w:jc w:val="both"/>
              <w:rPr>
                <w:rFonts w:eastAsia="Times"/>
                <w:sz w:val="22"/>
                <w:szCs w:val="22"/>
              </w:rPr>
            </w:pPr>
            <w:r w:rsidRPr="00317ABF">
              <w:rPr>
                <w:rFonts w:eastAsia="Times"/>
                <w:sz w:val="22"/>
                <w:szCs w:val="22"/>
              </w:rPr>
              <w:t>3)</w:t>
            </w:r>
            <w:r w:rsidR="001532E1" w:rsidRPr="00317ABF">
              <w:rPr>
                <w:rFonts w:eastAsia="Times"/>
                <w:sz w:val="22"/>
                <w:szCs w:val="22"/>
              </w:rPr>
              <w:tab/>
            </w:r>
            <w:r w:rsidRPr="00317ABF">
              <w:rPr>
                <w:rFonts w:eastAsia="Times"/>
                <w:sz w:val="22"/>
                <w:szCs w:val="22"/>
              </w:rPr>
              <w:t xml:space="preserve">nie wypełnia obowiązków uzyskania zgody użytkownika końcowego, o których mowa w art. </w:t>
            </w:r>
            <w:r w:rsidR="001532E1" w:rsidRPr="00317ABF">
              <w:rPr>
                <w:rFonts w:eastAsia="Times"/>
                <w:sz w:val="22"/>
                <w:szCs w:val="22"/>
              </w:rPr>
              <w:t>394;</w:t>
            </w:r>
          </w:p>
          <w:p w14:paraId="24DC87EA" w14:textId="77777777" w:rsidR="001532E1" w:rsidRPr="00317ABF" w:rsidRDefault="001532E1" w:rsidP="001532E1">
            <w:pPr>
              <w:ind w:firstLine="510"/>
              <w:jc w:val="both"/>
              <w:rPr>
                <w:rFonts w:eastAsia="Times"/>
                <w:sz w:val="22"/>
                <w:szCs w:val="22"/>
              </w:rPr>
            </w:pPr>
            <w:r w:rsidRPr="00317ABF">
              <w:rPr>
                <w:rFonts w:eastAsia="Times"/>
                <w:sz w:val="22"/>
                <w:szCs w:val="22"/>
              </w:rPr>
              <w:t>4) nie wypełnia, z przyczyn leżących po jego stronie, obowiązku zapewnienia dostępu, o którym mowa w art. 30 ust. 1 i 1a ustawy z dnia 7 maja 2010 r. o wspieraniu rozwoju usług i sieci telekomunikacyjnych;</w:t>
            </w:r>
          </w:p>
          <w:p w14:paraId="3B56E98F" w14:textId="77777777" w:rsidR="001532E1" w:rsidRPr="00317ABF" w:rsidRDefault="001532E1" w:rsidP="001532E1">
            <w:pPr>
              <w:ind w:firstLine="510"/>
              <w:jc w:val="both"/>
              <w:rPr>
                <w:rFonts w:eastAsia="Times"/>
                <w:sz w:val="22"/>
                <w:szCs w:val="22"/>
              </w:rPr>
            </w:pPr>
            <w:r w:rsidRPr="00317ABF">
              <w:rPr>
                <w:rFonts w:eastAsia="Times"/>
                <w:sz w:val="22"/>
                <w:szCs w:val="22"/>
              </w:rPr>
              <w:t>5) nie wypełnia, z przyczyn leżących po jego stronie, obowiązku zapewnienia dostępu, o którym mowa w art. 17 ust. 1 ustawy z dnia 7 maja 2010 r. o wspieraniu rozwoju usług i sieci telekomunikacyjnych.</w:t>
            </w:r>
          </w:p>
          <w:p w14:paraId="104AECB7" w14:textId="77777777" w:rsidR="001532E1" w:rsidRPr="00317ABF" w:rsidRDefault="001532E1" w:rsidP="001532E1">
            <w:pPr>
              <w:ind w:firstLine="510"/>
              <w:jc w:val="both"/>
              <w:rPr>
                <w:rFonts w:eastAsia="Times"/>
                <w:sz w:val="22"/>
                <w:szCs w:val="22"/>
              </w:rPr>
            </w:pPr>
            <w:r w:rsidRPr="00317ABF">
              <w:rPr>
                <w:rFonts w:eastAsia="Times"/>
                <w:sz w:val="22"/>
                <w:szCs w:val="22"/>
              </w:rPr>
              <w:t>6)  nie wypełnia lub nienależycie wypełnia umowę o dostępie,  w tym w zakresie rozliczeń z tego tytułu, określonych w umowie o dostępie, o którym mowa w art. 17 ust. 1 ustawy z dnia 7 maja 2010 r. o wspieraniu rozwoju usług i sieci telekomunikacyjnych;</w:t>
            </w:r>
          </w:p>
          <w:p w14:paraId="2567F330" w14:textId="77777777" w:rsidR="001532E1" w:rsidRPr="00317ABF" w:rsidRDefault="001532E1" w:rsidP="001532E1">
            <w:pPr>
              <w:ind w:firstLine="510"/>
              <w:jc w:val="both"/>
              <w:rPr>
                <w:rFonts w:eastAsia="Times"/>
                <w:sz w:val="22"/>
                <w:szCs w:val="22"/>
              </w:rPr>
            </w:pPr>
            <w:r w:rsidRPr="00317ABF">
              <w:rPr>
                <w:rFonts w:eastAsia="Times"/>
                <w:sz w:val="22"/>
                <w:szCs w:val="22"/>
              </w:rPr>
              <w:t>7) nie wypełnia, z przyczyn leżących po jego stronie, obowiązku zapewnienia dostępu, o którym mowa w art. 30 ust. 1, 1a i ust. 3 ustawy z dnia 7 maja 2010 r. o wspieraniu rozwoju usług i sieci telekomunikacyjnych;</w:t>
            </w:r>
          </w:p>
          <w:p w14:paraId="48F64DB3" w14:textId="77777777" w:rsidR="001532E1" w:rsidRPr="00317ABF" w:rsidRDefault="001532E1" w:rsidP="001532E1">
            <w:pPr>
              <w:jc w:val="both"/>
              <w:rPr>
                <w:rFonts w:eastAsia="Times"/>
                <w:sz w:val="22"/>
                <w:szCs w:val="22"/>
              </w:rPr>
            </w:pPr>
            <w:r w:rsidRPr="00317ABF">
              <w:rPr>
                <w:rFonts w:eastAsia="Times"/>
                <w:sz w:val="22"/>
                <w:szCs w:val="22"/>
              </w:rPr>
              <w:lastRenderedPageBreak/>
              <w:t xml:space="preserve">8)  nie wypełnia lub nienależycie wypełnia umowę o dostępie, o którym mowa w art. 30 ust. 1, 1a lub 3 ustawy z dnia 7 maja 2010 r. o wspieraniu rozwoju usług i sieci telekomunikacyjnych, </w:t>
            </w:r>
          </w:p>
          <w:p w14:paraId="0E5CD964" w14:textId="77777777" w:rsidR="001E1112" w:rsidRPr="00317ABF" w:rsidRDefault="001E1112" w:rsidP="001532E1">
            <w:pPr>
              <w:jc w:val="both"/>
              <w:rPr>
                <w:rFonts w:eastAsia="Times"/>
                <w:sz w:val="22"/>
                <w:szCs w:val="22"/>
              </w:rPr>
            </w:pPr>
          </w:p>
          <w:p w14:paraId="2FFC0278" w14:textId="7C13EFD4" w:rsidR="001E1112" w:rsidRPr="00317ABF" w:rsidRDefault="001E1112" w:rsidP="00DB3BEC">
            <w:pPr>
              <w:jc w:val="both"/>
              <w:rPr>
                <w:rFonts w:eastAsia="Times"/>
                <w:sz w:val="22"/>
                <w:szCs w:val="22"/>
              </w:rPr>
            </w:pPr>
            <w:r w:rsidRPr="00317ABF">
              <w:rPr>
                <w:rFonts w:eastAsia="Times"/>
                <w:sz w:val="22"/>
                <w:szCs w:val="22"/>
              </w:rPr>
              <w:t>4. Niezależnie od kar pieniężnych, o których mowa w ust. 1 i 2, Prezes UKE może nałożyć na kierującego przedsiębiorstwem telekomunikacyjnym, w szczególności osobę pełniącą funkcję kierowniczą lub wchodzącą w skład organu zarządzającego przedsiębiorcy telekomunikacyjnego lub związku takich przedsiębiorców, karę pieniężną w wysokości do 300% jego miesięcznego wynagrodzenia, naliczanego jak dla celów ekwiwalentu za urlop wypoczynkowy.</w:t>
            </w:r>
          </w:p>
          <w:p w14:paraId="51825A51" w14:textId="60E96EA9" w:rsidR="001E1112" w:rsidRPr="00317ABF" w:rsidRDefault="001E1112" w:rsidP="001532E1">
            <w:pPr>
              <w:ind w:firstLine="510"/>
              <w:jc w:val="both"/>
              <w:rPr>
                <w:rFonts w:eastAsia="Times"/>
                <w:sz w:val="22"/>
                <w:szCs w:val="22"/>
              </w:rPr>
            </w:pPr>
            <w:r w:rsidRPr="00317ABF">
              <w:rPr>
                <w:rFonts w:eastAsia="Times"/>
                <w:sz w:val="22"/>
                <w:szCs w:val="22"/>
              </w:rPr>
              <w:t>5. Kary pieniężne podlegają egzekucji w trybie przepisów o postępowaniu egzekucyjnym w administracji w zakresie egzekucji obowiązków o charakterze pieniężnym.</w:t>
            </w:r>
          </w:p>
          <w:p w14:paraId="6C677D8E" w14:textId="77777777" w:rsidR="001532E1" w:rsidRPr="00317ABF" w:rsidRDefault="001532E1" w:rsidP="001532E1">
            <w:pPr>
              <w:ind w:firstLine="510"/>
              <w:jc w:val="both"/>
              <w:rPr>
                <w:rFonts w:eastAsia="Times"/>
                <w:sz w:val="22"/>
                <w:szCs w:val="22"/>
              </w:rPr>
            </w:pPr>
          </w:p>
          <w:p w14:paraId="5948A147" w14:textId="77777777" w:rsidR="001532E1" w:rsidRPr="00317ABF" w:rsidRDefault="001532E1" w:rsidP="001532E1">
            <w:pPr>
              <w:ind w:firstLine="510"/>
              <w:jc w:val="both"/>
              <w:rPr>
                <w:rFonts w:eastAsia="Times"/>
                <w:sz w:val="22"/>
                <w:szCs w:val="22"/>
              </w:rPr>
            </w:pPr>
          </w:p>
          <w:p w14:paraId="229ACADC" w14:textId="77777777" w:rsidR="001E1112" w:rsidRPr="00317ABF" w:rsidRDefault="001E1112" w:rsidP="00DB3BEC">
            <w:pPr>
              <w:ind w:firstLine="510"/>
              <w:jc w:val="both"/>
              <w:rPr>
                <w:rFonts w:eastAsia="Times"/>
                <w:sz w:val="22"/>
                <w:szCs w:val="22"/>
              </w:rPr>
            </w:pPr>
            <w:r w:rsidRPr="00317ABF">
              <w:rPr>
                <w:rFonts w:eastAsia="Times"/>
                <w:b/>
                <w:bCs/>
                <w:sz w:val="22"/>
                <w:szCs w:val="22"/>
              </w:rPr>
              <w:t xml:space="preserve">Art. </w:t>
            </w:r>
            <w:r w:rsidR="001532E1" w:rsidRPr="00317ABF">
              <w:rPr>
                <w:rFonts w:eastAsia="Times"/>
                <w:b/>
                <w:bCs/>
                <w:sz w:val="22"/>
                <w:szCs w:val="22"/>
              </w:rPr>
              <w:t>442</w:t>
            </w:r>
            <w:r w:rsidRPr="00317ABF">
              <w:rPr>
                <w:rFonts w:eastAsia="Times"/>
                <w:b/>
                <w:bCs/>
                <w:sz w:val="22"/>
                <w:szCs w:val="22"/>
              </w:rPr>
              <w:t>.</w:t>
            </w:r>
            <w:r w:rsidRPr="00317ABF">
              <w:rPr>
                <w:rFonts w:eastAsia="Times"/>
                <w:b/>
                <w:sz w:val="22"/>
                <w:szCs w:val="22"/>
              </w:rPr>
              <w:t xml:space="preserve"> </w:t>
            </w:r>
            <w:r w:rsidRPr="00317ABF">
              <w:rPr>
                <w:rFonts w:eastAsia="Times"/>
                <w:sz w:val="22"/>
                <w:szCs w:val="22"/>
              </w:rPr>
              <w:t xml:space="preserve">1. Kary pieniężne, o których mowa w art. </w:t>
            </w:r>
            <w:r w:rsidR="001532E1" w:rsidRPr="00317ABF">
              <w:rPr>
                <w:rFonts w:eastAsia="Times"/>
                <w:bCs/>
                <w:sz w:val="22"/>
                <w:szCs w:val="22"/>
              </w:rPr>
              <w:t>441</w:t>
            </w:r>
            <w:r w:rsidRPr="00317ABF">
              <w:rPr>
                <w:rFonts w:eastAsia="Times"/>
                <w:sz w:val="22"/>
                <w:szCs w:val="22"/>
              </w:rPr>
              <w:t xml:space="preserve"> ust. 1 i 2, nakłada Prezes UKE, w drodze decyzji, w wysokości do 3% przychodu ukaranego podmiotu, osiągniętego w poprzednim roku kalendarzowym. Decyzji o nałożeniu kary pieniężnej nie nadaje się rygoru natychmiastowej wykonalności.</w:t>
            </w:r>
          </w:p>
          <w:p w14:paraId="36361DE5" w14:textId="0A6B2540" w:rsidR="001E1112" w:rsidRPr="00317ABF" w:rsidRDefault="001E1112" w:rsidP="00DB3BEC">
            <w:pPr>
              <w:ind w:firstLine="510"/>
              <w:jc w:val="both"/>
              <w:rPr>
                <w:rFonts w:eastAsia="Times"/>
                <w:sz w:val="22"/>
                <w:szCs w:val="22"/>
              </w:rPr>
            </w:pPr>
            <w:r w:rsidRPr="00317ABF">
              <w:rPr>
                <w:rFonts w:eastAsia="Times"/>
                <w:sz w:val="22"/>
                <w:szCs w:val="22"/>
              </w:rPr>
              <w:t>2. W przypadku, gdy podmiot w roku kalendarzowym poprzedzającym rok nałożenia kary pieniężnej nie osiągnął przychodu lub osiągnął przychód w wysokości nieprzekraczającej 500 000 zł, Prezes UKE, nakładając karę pieniężną, uwzględnia średni przychód osiągnięty przez podmiot w trzech kolejnych latach kalendarzowych poprzedzających rok nałożenia kary pieniężnej.</w:t>
            </w:r>
          </w:p>
          <w:p w14:paraId="64957689" w14:textId="0153F863" w:rsidR="001E1112" w:rsidRPr="00317ABF" w:rsidRDefault="001E1112" w:rsidP="00DB3BEC">
            <w:pPr>
              <w:ind w:firstLine="510"/>
              <w:jc w:val="both"/>
              <w:rPr>
                <w:rFonts w:eastAsia="Times"/>
                <w:sz w:val="22"/>
                <w:szCs w:val="22"/>
              </w:rPr>
            </w:pPr>
            <w:r w:rsidRPr="00317ABF">
              <w:rPr>
                <w:rFonts w:eastAsia="Times"/>
                <w:sz w:val="22"/>
                <w:szCs w:val="22"/>
              </w:rPr>
              <w:t>3. W przypadku, gdy podmiot nie osiągnął przychodu w okresie, o którym mowa w ust. 2, lub gdy przychód podmiotu w tym okresie nie przekracza 500 000 zł, Prezes UKE może nałożyć na podmiot karę pieniężną w wysokości nieprzekraczającej 15 000 zł.</w:t>
            </w:r>
          </w:p>
          <w:p w14:paraId="2A9C5D88" w14:textId="6119FDB6" w:rsidR="001E1112" w:rsidRPr="00317ABF" w:rsidRDefault="001E1112" w:rsidP="00DB3BEC">
            <w:pPr>
              <w:ind w:firstLine="510"/>
              <w:jc w:val="both"/>
              <w:rPr>
                <w:rFonts w:eastAsia="Times"/>
                <w:sz w:val="22"/>
                <w:szCs w:val="22"/>
              </w:rPr>
            </w:pPr>
            <w:r w:rsidRPr="00317ABF">
              <w:rPr>
                <w:rFonts w:eastAsia="Times"/>
                <w:sz w:val="22"/>
                <w:szCs w:val="22"/>
              </w:rPr>
              <w:t>4. W przypadku, gdy przed wydaniem decyzji o nałożeniu kary pieniężnej podmiot nie dysponuje danymi finansowymi niezbędnymi do ustalenia przychodu za rok kalendarzowy poprzedzający rok nałożenia kary pieniężnej, Prezes UKE, nakładając karę pieniężną, uwzględnia</w:t>
            </w:r>
          </w:p>
          <w:p w14:paraId="53017F85" w14:textId="77777777" w:rsidR="001532E1" w:rsidRPr="00317ABF" w:rsidRDefault="001532E1" w:rsidP="001532E1">
            <w:pPr>
              <w:ind w:firstLine="510"/>
              <w:jc w:val="both"/>
              <w:rPr>
                <w:rFonts w:eastAsia="Times"/>
                <w:bCs/>
                <w:sz w:val="22"/>
                <w:szCs w:val="22"/>
              </w:rPr>
            </w:pPr>
            <w:r w:rsidRPr="00317ABF">
              <w:rPr>
                <w:rFonts w:eastAsia="Times"/>
                <w:bCs/>
                <w:sz w:val="22"/>
                <w:szCs w:val="22"/>
              </w:rPr>
              <w:t>1)</w:t>
            </w:r>
            <w:r w:rsidRPr="00317ABF">
              <w:rPr>
                <w:rFonts w:eastAsia="Times"/>
                <w:bCs/>
                <w:sz w:val="22"/>
                <w:szCs w:val="22"/>
              </w:rPr>
              <w:tab/>
              <w:t>przychód osiągnięty przez podmiot w roku kalendarzowym poprzedzającym ten rok;</w:t>
            </w:r>
          </w:p>
          <w:p w14:paraId="7B86005B" w14:textId="77777777" w:rsidR="001532E1" w:rsidRPr="00317ABF" w:rsidRDefault="001532E1" w:rsidP="001532E1">
            <w:pPr>
              <w:ind w:firstLine="510"/>
              <w:jc w:val="both"/>
              <w:rPr>
                <w:rFonts w:eastAsia="Times"/>
                <w:bCs/>
                <w:sz w:val="22"/>
                <w:szCs w:val="22"/>
              </w:rPr>
            </w:pPr>
            <w:r w:rsidRPr="00317ABF">
              <w:rPr>
                <w:rFonts w:eastAsia="Times"/>
                <w:bCs/>
                <w:sz w:val="22"/>
                <w:szCs w:val="22"/>
              </w:rPr>
              <w:lastRenderedPageBreak/>
              <w:t>2)</w:t>
            </w:r>
            <w:r w:rsidRPr="00317ABF">
              <w:rPr>
                <w:rFonts w:eastAsia="Times"/>
                <w:bCs/>
                <w:sz w:val="22"/>
                <w:szCs w:val="22"/>
              </w:rPr>
              <w:tab/>
              <w:t>w przypadku, o którym mowa w ust. 2 - średni przychód osiągnięty przez podmiot w trzech kolejnych latach kalendarzowych poprzedzających ten rok. Przepis ust. 3 stosuje się odpowiednio.</w:t>
            </w:r>
          </w:p>
          <w:p w14:paraId="23268B97" w14:textId="77777777" w:rsidR="001E1112" w:rsidRPr="00317ABF" w:rsidRDefault="001532E1" w:rsidP="00DB3BEC">
            <w:pPr>
              <w:ind w:firstLine="510"/>
              <w:jc w:val="both"/>
              <w:rPr>
                <w:rFonts w:eastAsia="Times"/>
                <w:sz w:val="22"/>
                <w:szCs w:val="22"/>
              </w:rPr>
            </w:pPr>
            <w:r w:rsidRPr="00317ABF">
              <w:rPr>
                <w:rFonts w:eastAsia="Times"/>
                <w:bCs/>
                <w:sz w:val="22"/>
                <w:szCs w:val="22"/>
              </w:rPr>
              <w:t>5. W przypadku niewypełniania</w:t>
            </w:r>
            <w:r w:rsidR="001E1112" w:rsidRPr="00317ABF">
              <w:rPr>
                <w:rFonts w:eastAsia="Times"/>
                <w:sz w:val="22"/>
                <w:szCs w:val="22"/>
              </w:rPr>
              <w:t xml:space="preserve"> obowiązku uzyskania zgody użytkownika końcowego, o której mowa w art. </w:t>
            </w:r>
            <w:r w:rsidRPr="00317ABF">
              <w:rPr>
                <w:rFonts w:eastAsia="Times"/>
                <w:bCs/>
                <w:sz w:val="22"/>
                <w:szCs w:val="22"/>
              </w:rPr>
              <w:t>393</w:t>
            </w:r>
            <w:r w:rsidR="001E1112" w:rsidRPr="00317ABF">
              <w:rPr>
                <w:rFonts w:eastAsia="Times"/>
                <w:sz w:val="22"/>
                <w:szCs w:val="22"/>
              </w:rPr>
              <w:t>, Prezes UKE nakłada, biorąc pod uwagę charakter i zakres naruszenia, na podmiot karę pieniężną w wysokości do 3% przychodu ukaranego podmiotu, osiągniętego w poprzednim roku kalendarzowym lub do 1 mln zł, przy czym zastosowanie ma kwota wyższa. Ustępów 2, 3 i 7 nie stosuje się.</w:t>
            </w:r>
          </w:p>
          <w:p w14:paraId="38A7B49A" w14:textId="740E8EEC" w:rsidR="001E1112" w:rsidRPr="00317ABF" w:rsidRDefault="001E1112" w:rsidP="00DB3BEC">
            <w:pPr>
              <w:ind w:firstLine="510"/>
              <w:jc w:val="both"/>
              <w:rPr>
                <w:rFonts w:eastAsia="Times"/>
                <w:sz w:val="22"/>
                <w:szCs w:val="22"/>
              </w:rPr>
            </w:pPr>
            <w:r w:rsidRPr="00317ABF">
              <w:rPr>
                <w:rFonts w:eastAsia="Times"/>
                <w:sz w:val="22"/>
                <w:szCs w:val="22"/>
              </w:rPr>
              <w:t>6. W przypadku, gdy podmiot powstał w wyniku połączenia lub przekształcenia innych podmiotów, obliczając wysokość jego przychodu, o którym mowa w ust. 1, Prezes UKE uwzględnia przychód osiągnięty przez te podmioty w roku kalendarzowym poprzedzającym rok nałożenia kary. Przepisy ust. 2-4 stosuje się odpowiednio.</w:t>
            </w:r>
          </w:p>
          <w:p w14:paraId="20C6899A" w14:textId="401D570B" w:rsidR="001E1112" w:rsidRPr="00317ABF" w:rsidRDefault="001E1112" w:rsidP="00DB3BEC">
            <w:pPr>
              <w:ind w:firstLine="510"/>
              <w:jc w:val="both"/>
              <w:rPr>
                <w:rFonts w:eastAsia="Times"/>
                <w:sz w:val="22"/>
                <w:szCs w:val="22"/>
              </w:rPr>
            </w:pPr>
            <w:r w:rsidRPr="00317ABF">
              <w:rPr>
                <w:rFonts w:eastAsia="Times"/>
                <w:sz w:val="22"/>
                <w:szCs w:val="22"/>
              </w:rPr>
              <w:t>7. Ustalając wysokość kary pieniężnej, Prezes UKE uwzględnia charakter i zakres naruszenia, dotychczasową działalność podmiotu oraz jego możliwości finansowe.</w:t>
            </w:r>
          </w:p>
          <w:p w14:paraId="4D35CF86" w14:textId="555AE1AB" w:rsidR="001E1112" w:rsidRPr="00317ABF" w:rsidRDefault="001E1112" w:rsidP="00DB3BEC">
            <w:pPr>
              <w:jc w:val="both"/>
              <w:rPr>
                <w:sz w:val="22"/>
                <w:szCs w:val="22"/>
              </w:rPr>
            </w:pPr>
            <w:r w:rsidRPr="00317ABF">
              <w:rPr>
                <w:rFonts w:eastAsia="Times"/>
                <w:sz w:val="22"/>
                <w:szCs w:val="22"/>
              </w:rPr>
              <w:t>8. Podmiot jest obowiązany do dostarczenia Prezesowi UKE, na każde jego żądanie, w terminie 30 dni od dnia otrzymania żądania, danych niezbędnych do określenia podstawy wymiaru kary pieniężnej. W przypadku niedostarczenia danych lub gdy dostarczone dane uniemożliwiają ustalenie podstawy wymiaru kary, Prezes UKE może ustalić podstawę wymiaru kary pieniężnej w sposób szacunkowy, nie mniejszą jednak niż kwota 500 000 złotych.</w:t>
            </w:r>
          </w:p>
        </w:tc>
      </w:tr>
      <w:tr w:rsidR="001E1112" w:rsidRPr="00317ABF" w14:paraId="6EE2C4B8" w14:textId="77777777" w:rsidTr="7753F98D">
        <w:trPr>
          <w:gridAfter w:val="2"/>
          <w:wAfter w:w="175" w:type="dxa"/>
        </w:trPr>
        <w:tc>
          <w:tcPr>
            <w:tcW w:w="704" w:type="dxa"/>
          </w:tcPr>
          <w:p w14:paraId="18ED7756" w14:textId="77777777" w:rsidR="001E1112" w:rsidRPr="00317ABF" w:rsidRDefault="001E1112" w:rsidP="00DB3BEC">
            <w:pPr>
              <w:jc w:val="both"/>
              <w:rPr>
                <w:sz w:val="22"/>
                <w:szCs w:val="22"/>
              </w:rPr>
            </w:pPr>
            <w:r w:rsidRPr="00317ABF">
              <w:rPr>
                <w:sz w:val="22"/>
                <w:szCs w:val="22"/>
              </w:rPr>
              <w:lastRenderedPageBreak/>
              <w:t>Art. 29 ust. 2</w:t>
            </w:r>
          </w:p>
        </w:tc>
        <w:tc>
          <w:tcPr>
            <w:tcW w:w="4308" w:type="dxa"/>
          </w:tcPr>
          <w:p w14:paraId="0A4CE68A" w14:textId="77777777" w:rsidR="001E1112" w:rsidRPr="00317ABF" w:rsidRDefault="001E1112" w:rsidP="00DB3BEC">
            <w:pPr>
              <w:spacing w:before="120"/>
              <w:jc w:val="both"/>
              <w:rPr>
                <w:sz w:val="22"/>
                <w:szCs w:val="22"/>
              </w:rPr>
            </w:pPr>
            <w:r w:rsidRPr="00317ABF">
              <w:rPr>
                <w:sz w:val="22"/>
                <w:szCs w:val="22"/>
              </w:rPr>
              <w:t>2.   Państwa członkowskie przewidują sankcje w kontekście procedury, o której mowa w art. 22 ust. 3, jedynie w przypadku gdy przedsiębiorstwo lub organ publiczny świadomie lub w sposób rażąco niedbały przekazują mylące, błędne lub niepełne informacje.</w:t>
            </w:r>
          </w:p>
          <w:p w14:paraId="5A1C2E0E" w14:textId="77777777" w:rsidR="001E1112" w:rsidRPr="00317ABF" w:rsidRDefault="001E1112" w:rsidP="00DB3BEC">
            <w:pPr>
              <w:spacing w:before="120"/>
              <w:jc w:val="both"/>
              <w:rPr>
                <w:sz w:val="22"/>
                <w:szCs w:val="22"/>
              </w:rPr>
            </w:pPr>
            <w:r w:rsidRPr="00317ABF">
              <w:rPr>
                <w:sz w:val="22"/>
                <w:szCs w:val="22"/>
              </w:rPr>
              <w:t xml:space="preserve">Przy określaniu kwoty grzywien lub okresowych sankcji nakładanych na przedsiębiorstwo lub organ publiczny za świadome lub rażąco niedbałe przekazanie mylących, błędnych lub niepełnych informacji w kontekście procedury, o której mowa w art. 22 ust. 3, uwzględnia się, między innymi, </w:t>
            </w:r>
            <w:r w:rsidRPr="00317ABF">
              <w:rPr>
                <w:sz w:val="22"/>
                <w:szCs w:val="22"/>
              </w:rPr>
              <w:lastRenderedPageBreak/>
              <w:t>czy postępowanie przedsiębiorstwa lub organu publicznego miało negatywny wpływ na konkurencję i, w szczególności, czy wbrew pierwotnie przekazanym informacjom lub wszelkiej ich aktualizacji przedsiębiorstwo lub organ publiczny wdrożył, rozbudował albo zmodernizował sieć lub nie wdrożył sieci lub nie dostarczył obiektywnego uzasadnienia tej zmiany planu.</w:t>
            </w:r>
          </w:p>
        </w:tc>
        <w:tc>
          <w:tcPr>
            <w:tcW w:w="986" w:type="dxa"/>
          </w:tcPr>
          <w:p w14:paraId="0B09DA9F" w14:textId="77777777" w:rsidR="001E1112" w:rsidRPr="00317ABF" w:rsidRDefault="001E1112" w:rsidP="00DB3BEC">
            <w:pPr>
              <w:jc w:val="both"/>
              <w:rPr>
                <w:sz w:val="22"/>
                <w:szCs w:val="22"/>
              </w:rPr>
            </w:pPr>
          </w:p>
        </w:tc>
        <w:tc>
          <w:tcPr>
            <w:tcW w:w="910" w:type="dxa"/>
          </w:tcPr>
          <w:p w14:paraId="18CEC12B" w14:textId="77777777" w:rsidR="001E1112" w:rsidRPr="00317ABF" w:rsidRDefault="001E1112" w:rsidP="00DB3BEC">
            <w:pPr>
              <w:pStyle w:val="Tekstpodstawowy"/>
              <w:rPr>
                <w:b/>
                <w:noProof/>
                <w:sz w:val="22"/>
                <w:szCs w:val="22"/>
              </w:rPr>
            </w:pPr>
          </w:p>
        </w:tc>
        <w:tc>
          <w:tcPr>
            <w:tcW w:w="6814" w:type="dxa"/>
            <w:gridSpan w:val="2"/>
          </w:tcPr>
          <w:p w14:paraId="0ADD416C" w14:textId="77777777" w:rsidR="001E1112" w:rsidRPr="00317ABF" w:rsidRDefault="001E1112" w:rsidP="00DB3BEC">
            <w:pPr>
              <w:pStyle w:val="Tekstpodstawowy"/>
              <w:rPr>
                <w:sz w:val="22"/>
                <w:szCs w:val="22"/>
              </w:rPr>
            </w:pPr>
          </w:p>
        </w:tc>
      </w:tr>
      <w:tr w:rsidR="001E1112" w:rsidRPr="00317ABF" w14:paraId="4DF96B6C" w14:textId="77777777" w:rsidTr="7753F98D">
        <w:trPr>
          <w:gridAfter w:val="2"/>
          <w:wAfter w:w="175" w:type="dxa"/>
        </w:trPr>
        <w:tc>
          <w:tcPr>
            <w:tcW w:w="704" w:type="dxa"/>
          </w:tcPr>
          <w:p w14:paraId="29373B6F" w14:textId="77777777" w:rsidR="001E1112" w:rsidRPr="00317ABF" w:rsidRDefault="001E1112" w:rsidP="00DB3BEC">
            <w:pPr>
              <w:jc w:val="both"/>
              <w:rPr>
                <w:b/>
                <w:sz w:val="22"/>
                <w:szCs w:val="22"/>
              </w:rPr>
            </w:pPr>
            <w:r w:rsidRPr="00317ABF">
              <w:rPr>
                <w:b/>
                <w:sz w:val="22"/>
                <w:szCs w:val="22"/>
              </w:rPr>
              <w:lastRenderedPageBreak/>
              <w:t>Art. 30</w:t>
            </w:r>
          </w:p>
        </w:tc>
        <w:tc>
          <w:tcPr>
            <w:tcW w:w="4308" w:type="dxa"/>
          </w:tcPr>
          <w:p w14:paraId="0F11DDE9" w14:textId="77777777" w:rsidR="001E1112" w:rsidRPr="00317ABF" w:rsidRDefault="001E1112" w:rsidP="00DB3BEC">
            <w:pPr>
              <w:spacing w:before="120"/>
              <w:jc w:val="both"/>
              <w:rPr>
                <w:sz w:val="22"/>
                <w:szCs w:val="22"/>
              </w:rPr>
            </w:pPr>
            <w:r w:rsidRPr="00317ABF">
              <w:rPr>
                <w:b/>
                <w:bCs/>
                <w:sz w:val="22"/>
                <w:szCs w:val="22"/>
              </w:rPr>
              <w:t>Zgodność z warunkami ogólnego zezwolenia lub praw użytkowania widma radiowego i zasobów numeracyjnych oraz zgodność ze szczegółowymi obowiązkami</w:t>
            </w:r>
          </w:p>
        </w:tc>
        <w:tc>
          <w:tcPr>
            <w:tcW w:w="986" w:type="dxa"/>
          </w:tcPr>
          <w:p w14:paraId="78C0D4CB" w14:textId="77777777" w:rsidR="001E1112" w:rsidRPr="00317ABF" w:rsidRDefault="001E1112" w:rsidP="00DB3BEC">
            <w:pPr>
              <w:jc w:val="both"/>
              <w:rPr>
                <w:sz w:val="22"/>
                <w:szCs w:val="22"/>
              </w:rPr>
            </w:pPr>
          </w:p>
        </w:tc>
        <w:tc>
          <w:tcPr>
            <w:tcW w:w="910" w:type="dxa"/>
          </w:tcPr>
          <w:p w14:paraId="55482F3C" w14:textId="77777777" w:rsidR="001E1112" w:rsidRPr="00317ABF" w:rsidRDefault="001E1112" w:rsidP="00DB3BEC">
            <w:pPr>
              <w:pStyle w:val="Tekstpodstawowy"/>
              <w:rPr>
                <w:b/>
                <w:noProof/>
                <w:sz w:val="22"/>
                <w:szCs w:val="22"/>
              </w:rPr>
            </w:pPr>
          </w:p>
        </w:tc>
        <w:tc>
          <w:tcPr>
            <w:tcW w:w="6814" w:type="dxa"/>
            <w:gridSpan w:val="2"/>
          </w:tcPr>
          <w:p w14:paraId="075937F9" w14:textId="77777777" w:rsidR="001E1112" w:rsidRPr="00317ABF" w:rsidRDefault="001E1112" w:rsidP="00DB3BEC">
            <w:pPr>
              <w:pStyle w:val="Tekstpodstawowy"/>
              <w:rPr>
                <w:sz w:val="22"/>
                <w:szCs w:val="22"/>
              </w:rPr>
            </w:pPr>
          </w:p>
        </w:tc>
      </w:tr>
      <w:tr w:rsidR="001E1112" w:rsidRPr="00317ABF" w14:paraId="52D543AB" w14:textId="77777777" w:rsidTr="7753F98D">
        <w:trPr>
          <w:gridAfter w:val="2"/>
          <w:wAfter w:w="175" w:type="dxa"/>
        </w:trPr>
        <w:tc>
          <w:tcPr>
            <w:tcW w:w="704" w:type="dxa"/>
          </w:tcPr>
          <w:p w14:paraId="6A783AEB" w14:textId="77777777" w:rsidR="001E1112" w:rsidRPr="00317ABF" w:rsidRDefault="001E1112" w:rsidP="00DB3BEC">
            <w:pPr>
              <w:jc w:val="both"/>
              <w:rPr>
                <w:sz w:val="22"/>
                <w:szCs w:val="22"/>
              </w:rPr>
            </w:pPr>
            <w:r w:rsidRPr="00317ABF">
              <w:rPr>
                <w:sz w:val="22"/>
                <w:szCs w:val="22"/>
              </w:rPr>
              <w:t>Art. 30 ust. 1</w:t>
            </w:r>
          </w:p>
        </w:tc>
        <w:tc>
          <w:tcPr>
            <w:tcW w:w="4308" w:type="dxa"/>
          </w:tcPr>
          <w:p w14:paraId="6EDE5F0B" w14:textId="77777777" w:rsidR="001E1112" w:rsidRPr="00317ABF" w:rsidRDefault="001E1112" w:rsidP="00DB3BEC">
            <w:pPr>
              <w:spacing w:before="120"/>
              <w:jc w:val="both"/>
              <w:rPr>
                <w:sz w:val="22"/>
                <w:szCs w:val="22"/>
              </w:rPr>
            </w:pPr>
            <w:r w:rsidRPr="00317ABF">
              <w:rPr>
                <w:sz w:val="22"/>
                <w:szCs w:val="22"/>
              </w:rPr>
              <w:t>1.   Państwa członkowskie zapewniają, aby ich odpowiednie właściwe organy monitorowały i nadzorowały przestrzeganie warunków, którymi obwarowano ogólne zezwolenie lub prawa użytkowania widma radiowego i zasobów numeracyjnych, szczególnych obowiązków, o których mowa w art. 13 ust. 2, oraz obowiązku użytkowania widma radiowego w wydajny i skuteczny sposób zgodnie z art. 4, art. 45 ust. 1 oraz art. 47.</w:t>
            </w:r>
          </w:p>
          <w:p w14:paraId="11AEC1FA" w14:textId="77777777" w:rsidR="001E1112" w:rsidRPr="00317ABF" w:rsidRDefault="001E1112" w:rsidP="00DB3BEC">
            <w:pPr>
              <w:spacing w:before="120"/>
              <w:jc w:val="both"/>
              <w:rPr>
                <w:sz w:val="22"/>
                <w:szCs w:val="22"/>
              </w:rPr>
            </w:pPr>
            <w:r w:rsidRPr="00317ABF">
              <w:rPr>
                <w:sz w:val="22"/>
                <w:szCs w:val="22"/>
              </w:rPr>
              <w:t>Właściwe organy mają prawo żądać, aby przedsiębiorstwa podlegające ogólnemu zezwoleniu lub korzystające z prawa użytkowania widma radiowego lub zasobów numeracyjnych dostarczyły wszystkich informacji niezbędnych do sprawdzenia, czy spełniono warunki, którymi obwarowano ogólne zezwolenie lub prawa użytkowania widma radiowego i zasobów numeracyjnych, lub szczególne obowiązki, o których mowa w art. 13 ust. 2 lub art. 47, zgodnie z art. 21.</w:t>
            </w:r>
          </w:p>
        </w:tc>
        <w:tc>
          <w:tcPr>
            <w:tcW w:w="986" w:type="dxa"/>
          </w:tcPr>
          <w:p w14:paraId="30FAE3EA" w14:textId="6DF6D200" w:rsidR="001E1112" w:rsidRPr="00317ABF" w:rsidRDefault="001E1112" w:rsidP="00DB3BEC">
            <w:pPr>
              <w:jc w:val="both"/>
              <w:rPr>
                <w:sz w:val="22"/>
                <w:szCs w:val="22"/>
              </w:rPr>
            </w:pPr>
            <w:r w:rsidRPr="00317ABF">
              <w:rPr>
                <w:sz w:val="22"/>
                <w:szCs w:val="22"/>
              </w:rPr>
              <w:t>T</w:t>
            </w:r>
          </w:p>
        </w:tc>
        <w:tc>
          <w:tcPr>
            <w:tcW w:w="910" w:type="dxa"/>
          </w:tcPr>
          <w:p w14:paraId="14663D08" w14:textId="77777777" w:rsidR="00644EDB" w:rsidRPr="00317ABF" w:rsidRDefault="00DB3BEC" w:rsidP="00644EDB">
            <w:pPr>
              <w:pStyle w:val="Tekstpodstawowy"/>
              <w:rPr>
                <w:b/>
                <w:bCs/>
                <w:noProof/>
                <w:sz w:val="22"/>
                <w:szCs w:val="22"/>
                <w:lang w:val="en-US"/>
              </w:rPr>
            </w:pPr>
            <w:r w:rsidRPr="00317ABF">
              <w:rPr>
                <w:b/>
                <w:bCs/>
                <w:noProof/>
                <w:sz w:val="22"/>
                <w:szCs w:val="22"/>
                <w:lang w:val="en-US"/>
              </w:rPr>
              <w:t xml:space="preserve">Art. </w:t>
            </w:r>
            <w:r w:rsidR="00644EDB" w:rsidRPr="00317ABF">
              <w:rPr>
                <w:b/>
                <w:bCs/>
                <w:noProof/>
                <w:sz w:val="22"/>
                <w:szCs w:val="22"/>
                <w:lang w:val="en-US"/>
              </w:rPr>
              <w:t>416</w:t>
            </w:r>
            <w:r w:rsidR="001E1112" w:rsidRPr="00317ABF">
              <w:rPr>
                <w:b/>
                <w:bCs/>
                <w:noProof/>
                <w:sz w:val="22"/>
                <w:szCs w:val="22"/>
                <w:lang w:val="en-US"/>
              </w:rPr>
              <w:t xml:space="preserve">,  art. </w:t>
            </w:r>
            <w:r w:rsidR="00644EDB" w:rsidRPr="00317ABF">
              <w:rPr>
                <w:b/>
                <w:bCs/>
                <w:noProof/>
                <w:sz w:val="22"/>
                <w:szCs w:val="22"/>
                <w:lang w:val="en-US"/>
              </w:rPr>
              <w:t>418</w:t>
            </w:r>
            <w:r w:rsidR="001E1112" w:rsidRPr="00317ABF">
              <w:rPr>
                <w:b/>
                <w:bCs/>
                <w:noProof/>
                <w:sz w:val="22"/>
                <w:szCs w:val="22"/>
                <w:lang w:val="en-US"/>
              </w:rPr>
              <w:t xml:space="preserve"> </w:t>
            </w:r>
            <w:r w:rsidRPr="00317ABF">
              <w:rPr>
                <w:b/>
                <w:bCs/>
                <w:noProof/>
                <w:sz w:val="22"/>
                <w:szCs w:val="22"/>
                <w:lang w:val="en-US"/>
              </w:rPr>
              <w:t xml:space="preserve">Art. </w:t>
            </w:r>
            <w:r w:rsidR="00644EDB" w:rsidRPr="00317ABF">
              <w:rPr>
                <w:b/>
                <w:bCs/>
                <w:noProof/>
                <w:sz w:val="22"/>
                <w:szCs w:val="22"/>
                <w:lang w:val="en-US"/>
              </w:rPr>
              <w:t>419</w:t>
            </w:r>
            <w:r w:rsidR="001E1112" w:rsidRPr="00317ABF">
              <w:rPr>
                <w:b/>
                <w:bCs/>
                <w:noProof/>
                <w:sz w:val="22"/>
                <w:szCs w:val="22"/>
                <w:lang w:val="en-US"/>
              </w:rPr>
              <w:t xml:space="preserve"> ust. 1 i 4, art. </w:t>
            </w:r>
            <w:r w:rsidR="00644EDB" w:rsidRPr="00317ABF">
              <w:rPr>
                <w:b/>
                <w:bCs/>
                <w:noProof/>
                <w:sz w:val="22"/>
                <w:szCs w:val="22"/>
                <w:lang w:val="en-US"/>
              </w:rPr>
              <w:t>420-427</w:t>
            </w:r>
          </w:p>
          <w:p w14:paraId="0310A377" w14:textId="77777777" w:rsidR="00644EDB" w:rsidRPr="00317ABF" w:rsidRDefault="00644EDB" w:rsidP="00644EDB">
            <w:pPr>
              <w:pStyle w:val="Tekstpodstawowy"/>
              <w:rPr>
                <w:b/>
                <w:bCs/>
                <w:noProof/>
                <w:sz w:val="22"/>
                <w:szCs w:val="22"/>
                <w:lang w:val="en-US"/>
              </w:rPr>
            </w:pPr>
          </w:p>
          <w:p w14:paraId="31282F13" w14:textId="10827DFE" w:rsidR="001E1112" w:rsidRPr="00317ABF" w:rsidRDefault="001E1112" w:rsidP="00DB3BEC">
            <w:pPr>
              <w:pStyle w:val="Tekstpodstawowy"/>
              <w:rPr>
                <w:b/>
                <w:bCs/>
                <w:noProof/>
                <w:sz w:val="22"/>
                <w:szCs w:val="22"/>
                <w:lang w:val="en-US"/>
              </w:rPr>
            </w:pPr>
          </w:p>
        </w:tc>
        <w:tc>
          <w:tcPr>
            <w:tcW w:w="6814" w:type="dxa"/>
            <w:gridSpan w:val="2"/>
          </w:tcPr>
          <w:p w14:paraId="0F024FAE" w14:textId="77777777" w:rsidR="001E1112" w:rsidRPr="00317ABF" w:rsidRDefault="001E1112" w:rsidP="00644EDB">
            <w:pPr>
              <w:pStyle w:val="ARTartustawynprozporzdzenia"/>
              <w:spacing w:line="240" w:lineRule="auto"/>
              <w:rPr>
                <w:rFonts w:ascii="Times New Roman" w:hAnsi="Times New Roman" w:cs="Times New Roman"/>
                <w:sz w:val="22"/>
                <w:szCs w:val="22"/>
              </w:rPr>
            </w:pPr>
            <w:r w:rsidRPr="00317ABF">
              <w:rPr>
                <w:rStyle w:val="Ppogrubienie"/>
                <w:rFonts w:ascii="Times New Roman" w:eastAsia="Times" w:hAnsi="Times New Roman"/>
                <w:sz w:val="22"/>
                <w:szCs w:val="22"/>
              </w:rPr>
              <w:t>Art.</w:t>
            </w:r>
            <w:r w:rsidR="00644EDB" w:rsidRPr="00317ABF">
              <w:rPr>
                <w:rStyle w:val="Ppogrubienie"/>
                <w:rFonts w:ascii="Times New Roman" w:hAnsi="Times New Roman"/>
                <w:sz w:val="22"/>
                <w:szCs w:val="22"/>
              </w:rPr>
              <w:t> 416.</w:t>
            </w:r>
            <w:r w:rsidRPr="00317ABF">
              <w:rPr>
                <w:rFonts w:ascii="Times New Roman" w:eastAsia="Times" w:hAnsi="Times New Roman" w:cs="Times New Roman"/>
                <w:sz w:val="22"/>
                <w:szCs w:val="22"/>
              </w:rPr>
              <w:t xml:space="preserve"> 1. Prezes UKE jest uprawniony do weryfikacji przestrzegania przepisów, decyzji oraz postanowień z zakresu komunikacji elektronicznej lub spełniania wymagań dotyczących kompatybilności elektromagnetycznej.</w:t>
            </w:r>
          </w:p>
          <w:p w14:paraId="16335286" w14:textId="77777777" w:rsidR="001E1112" w:rsidRPr="00317ABF" w:rsidRDefault="001E1112" w:rsidP="00644EDB">
            <w:pPr>
              <w:pStyle w:val="USTustnpkodeksu"/>
              <w:spacing w:line="240" w:lineRule="auto"/>
              <w:rPr>
                <w:rFonts w:ascii="Times New Roman" w:hAnsi="Times New Roman" w:cs="Times New Roman"/>
                <w:sz w:val="22"/>
                <w:szCs w:val="22"/>
              </w:rPr>
            </w:pPr>
            <w:r w:rsidRPr="00317ABF">
              <w:rPr>
                <w:rFonts w:ascii="Times New Roman" w:hAnsi="Times New Roman" w:cs="Times New Roman"/>
                <w:sz w:val="22"/>
                <w:szCs w:val="22"/>
              </w:rPr>
              <w:t xml:space="preserve">2. W ramach weryfikacji, o której mowa w ust. 1, Prezes UKE może w szczególności monitorować częstotliwości, lokalizować źródła zakłóceń lub nielegalnych emisji, </w:t>
            </w:r>
            <w:r w:rsidR="00644EDB" w:rsidRPr="00317ABF">
              <w:rPr>
                <w:rFonts w:ascii="Times New Roman" w:hAnsi="Times New Roman" w:cs="Times New Roman"/>
                <w:sz w:val="22"/>
                <w:szCs w:val="22"/>
              </w:rPr>
              <w:t xml:space="preserve"> </w:t>
            </w:r>
            <w:r w:rsidRPr="00317ABF">
              <w:rPr>
                <w:rFonts w:ascii="Times New Roman" w:hAnsi="Times New Roman" w:cs="Times New Roman"/>
                <w:sz w:val="22"/>
                <w:szCs w:val="22"/>
              </w:rPr>
              <w:t>prowadzić kontrole i postępowania pokontrolne.</w:t>
            </w:r>
          </w:p>
          <w:p w14:paraId="387ACC5C" w14:textId="2CF3CF88" w:rsidR="001E1112" w:rsidRPr="00317ABF" w:rsidRDefault="001E1112" w:rsidP="00DB3BEC">
            <w:pPr>
              <w:pStyle w:val="ARTartustawynprozporzdzenia"/>
              <w:spacing w:line="240" w:lineRule="auto"/>
              <w:rPr>
                <w:rFonts w:ascii="Times New Roman" w:hAnsi="Times New Roman" w:cs="Times New Roman"/>
                <w:sz w:val="22"/>
                <w:szCs w:val="22"/>
              </w:rPr>
            </w:pPr>
            <w:r w:rsidRPr="00317ABF">
              <w:rPr>
                <w:rFonts w:ascii="Times New Roman" w:hAnsi="Times New Roman" w:cs="Times New Roman"/>
                <w:sz w:val="22"/>
                <w:szCs w:val="22"/>
              </w:rPr>
              <w:t xml:space="preserve"> </w:t>
            </w:r>
            <w:r w:rsidRPr="00317ABF">
              <w:rPr>
                <w:rStyle w:val="Ppogrubienie"/>
                <w:rFonts w:ascii="Times New Roman" w:hAnsi="Times New Roman"/>
                <w:sz w:val="22"/>
                <w:szCs w:val="22"/>
              </w:rPr>
              <w:t>Art. </w:t>
            </w:r>
            <w:r w:rsidR="00644EDB" w:rsidRPr="00317ABF">
              <w:rPr>
                <w:rStyle w:val="Ppogrubienie"/>
                <w:rFonts w:ascii="Times New Roman" w:hAnsi="Times New Roman"/>
                <w:sz w:val="22"/>
                <w:szCs w:val="22"/>
              </w:rPr>
              <w:t>418</w:t>
            </w:r>
            <w:r w:rsidRPr="00317ABF">
              <w:rPr>
                <w:rStyle w:val="Ppogrubienie"/>
                <w:rFonts w:ascii="Times New Roman" w:hAnsi="Times New Roman"/>
                <w:sz w:val="22"/>
                <w:szCs w:val="22"/>
              </w:rPr>
              <w:t>.</w:t>
            </w:r>
            <w:r w:rsidRPr="00317ABF">
              <w:rPr>
                <w:rFonts w:ascii="Times New Roman" w:hAnsi="Times New Roman" w:cs="Times New Roman"/>
                <w:sz w:val="22"/>
                <w:szCs w:val="22"/>
              </w:rPr>
              <w:t xml:space="preserve"> Kontrolę i postępowanie pokontrolne Prezes UKE wszczyna z urzędu.</w:t>
            </w:r>
          </w:p>
          <w:p w14:paraId="564F47FD" w14:textId="77777777" w:rsidR="00644EDB" w:rsidRPr="00317ABF" w:rsidRDefault="00644EDB" w:rsidP="00644EDB">
            <w:pPr>
              <w:ind w:firstLine="510"/>
              <w:jc w:val="both"/>
              <w:rPr>
                <w:rFonts w:eastAsia="Times"/>
                <w:bCs/>
                <w:sz w:val="22"/>
                <w:szCs w:val="22"/>
              </w:rPr>
            </w:pPr>
            <w:r w:rsidRPr="00317ABF">
              <w:rPr>
                <w:rFonts w:eastAsia="Times"/>
                <w:b/>
                <w:bCs/>
                <w:sz w:val="22"/>
                <w:szCs w:val="22"/>
              </w:rPr>
              <w:t xml:space="preserve">Art. 419. </w:t>
            </w:r>
            <w:r w:rsidRPr="00317ABF">
              <w:rPr>
                <w:rFonts w:eastAsia="Times"/>
                <w:bCs/>
                <w:sz w:val="22"/>
                <w:szCs w:val="22"/>
              </w:rPr>
              <w:t>1. Pracownikom UKE przysługuje, po okazaniu legitymacji służbowej oraz doręczeniu upoważnienia do przeprowadzenia kontroli, prawo:</w:t>
            </w:r>
          </w:p>
          <w:p w14:paraId="3A898948" w14:textId="77777777" w:rsidR="00644EDB" w:rsidRPr="00317ABF" w:rsidRDefault="00644EDB" w:rsidP="00644EDB">
            <w:pPr>
              <w:ind w:firstLine="510"/>
              <w:jc w:val="both"/>
              <w:rPr>
                <w:rFonts w:eastAsia="Times"/>
                <w:bCs/>
                <w:sz w:val="22"/>
                <w:szCs w:val="22"/>
              </w:rPr>
            </w:pPr>
            <w:r w:rsidRPr="00317ABF">
              <w:rPr>
                <w:rFonts w:eastAsia="Times"/>
                <w:bCs/>
                <w:sz w:val="22"/>
                <w:szCs w:val="22"/>
              </w:rPr>
              <w:t xml:space="preserve">1) </w:t>
            </w:r>
            <w:r w:rsidRPr="00317ABF">
              <w:rPr>
                <w:rFonts w:eastAsia="Times"/>
                <w:bCs/>
                <w:sz w:val="22"/>
                <w:szCs w:val="22"/>
              </w:rPr>
              <w:tab/>
              <w:t>dostępu do materiałów, dokumentów oraz innych danych niezbędnych do przeprowadzenia kontroli, a także sporządzania ich kopii;</w:t>
            </w:r>
          </w:p>
          <w:p w14:paraId="496456DD" w14:textId="77777777" w:rsidR="00644EDB" w:rsidRPr="00317ABF" w:rsidRDefault="00644EDB" w:rsidP="00644EDB">
            <w:pPr>
              <w:ind w:firstLine="510"/>
              <w:jc w:val="both"/>
              <w:rPr>
                <w:rFonts w:eastAsia="Times"/>
                <w:bCs/>
                <w:sz w:val="22"/>
                <w:szCs w:val="22"/>
              </w:rPr>
            </w:pPr>
            <w:r w:rsidRPr="00317ABF">
              <w:rPr>
                <w:rFonts w:eastAsia="Times"/>
                <w:bCs/>
                <w:sz w:val="22"/>
                <w:szCs w:val="22"/>
              </w:rPr>
              <w:t xml:space="preserve">2) </w:t>
            </w:r>
            <w:r w:rsidRPr="00317ABF">
              <w:rPr>
                <w:rFonts w:eastAsia="Times"/>
                <w:bCs/>
                <w:sz w:val="22"/>
                <w:szCs w:val="22"/>
              </w:rPr>
              <w:tab/>
              <w:t>wstępu do wszystkich obiektów i nieruchomości oraz pomieszczeń podmiotu podlegającego kontroli, zwanego dalej „podmiotem kontrolowanym”;</w:t>
            </w:r>
          </w:p>
          <w:p w14:paraId="29652F9B" w14:textId="77777777" w:rsidR="00644EDB" w:rsidRPr="00317ABF" w:rsidRDefault="00644EDB" w:rsidP="00644EDB">
            <w:pPr>
              <w:ind w:firstLine="510"/>
              <w:jc w:val="both"/>
              <w:rPr>
                <w:rFonts w:eastAsia="Times"/>
                <w:bCs/>
                <w:sz w:val="22"/>
                <w:szCs w:val="22"/>
              </w:rPr>
            </w:pPr>
            <w:r w:rsidRPr="00317ABF">
              <w:rPr>
                <w:rFonts w:eastAsia="Times"/>
                <w:bCs/>
                <w:sz w:val="22"/>
                <w:szCs w:val="22"/>
              </w:rPr>
              <w:t xml:space="preserve">3) </w:t>
            </w:r>
            <w:r w:rsidRPr="00317ABF">
              <w:rPr>
                <w:rFonts w:eastAsia="Times"/>
                <w:bCs/>
                <w:sz w:val="22"/>
                <w:szCs w:val="22"/>
              </w:rPr>
              <w:tab/>
              <w:t>prowadzenia oględzin kontrolowanych sieci telekomunikacyjnych i aparatury;</w:t>
            </w:r>
          </w:p>
          <w:p w14:paraId="29E0268D" w14:textId="77777777" w:rsidR="00644EDB" w:rsidRPr="00317ABF" w:rsidRDefault="00644EDB" w:rsidP="00644EDB">
            <w:pPr>
              <w:ind w:firstLine="510"/>
              <w:jc w:val="both"/>
              <w:rPr>
                <w:rFonts w:eastAsia="Times"/>
                <w:bCs/>
                <w:sz w:val="22"/>
                <w:szCs w:val="22"/>
              </w:rPr>
            </w:pPr>
            <w:r w:rsidRPr="00317ABF">
              <w:rPr>
                <w:rFonts w:eastAsia="Times"/>
                <w:bCs/>
                <w:sz w:val="22"/>
                <w:szCs w:val="22"/>
              </w:rPr>
              <w:t xml:space="preserve">4) </w:t>
            </w:r>
            <w:r w:rsidRPr="00317ABF">
              <w:rPr>
                <w:rFonts w:eastAsia="Times"/>
                <w:bCs/>
                <w:sz w:val="22"/>
                <w:szCs w:val="22"/>
              </w:rPr>
              <w:tab/>
              <w:t>zabezpieczenia przed dalszym używaniem lub przyjęcia do depozytu urządzeń radiowych używanych bez wymaganego pozwolenia lub obsługiwanych przez nieuprawnioną osobę;</w:t>
            </w:r>
          </w:p>
          <w:p w14:paraId="1733AF84" w14:textId="77777777" w:rsidR="00644EDB" w:rsidRPr="00317ABF" w:rsidRDefault="00644EDB" w:rsidP="00644EDB">
            <w:pPr>
              <w:ind w:firstLine="510"/>
              <w:jc w:val="both"/>
              <w:rPr>
                <w:rFonts w:eastAsia="Times"/>
                <w:bCs/>
                <w:sz w:val="22"/>
                <w:szCs w:val="22"/>
              </w:rPr>
            </w:pPr>
            <w:r w:rsidRPr="00317ABF">
              <w:rPr>
                <w:rFonts w:eastAsia="Times"/>
                <w:bCs/>
                <w:sz w:val="22"/>
                <w:szCs w:val="22"/>
              </w:rPr>
              <w:lastRenderedPageBreak/>
              <w:t xml:space="preserve">5) </w:t>
            </w:r>
            <w:r w:rsidRPr="00317ABF">
              <w:rPr>
                <w:rFonts w:eastAsia="Times"/>
                <w:bCs/>
                <w:sz w:val="22"/>
                <w:szCs w:val="22"/>
              </w:rPr>
              <w:tab/>
              <w:t>czasowego zajęcia aparatury w trybie, o którym mowa w art. 430, w celu przeprowadzenia badań prowadzących do ustalenia przyczyn szkodliwych zakłóceń;</w:t>
            </w:r>
          </w:p>
          <w:p w14:paraId="34E10896" w14:textId="77777777" w:rsidR="00644EDB" w:rsidRPr="00317ABF" w:rsidRDefault="00644EDB" w:rsidP="00644EDB">
            <w:pPr>
              <w:ind w:firstLine="510"/>
              <w:jc w:val="both"/>
              <w:rPr>
                <w:rFonts w:eastAsia="Times"/>
                <w:bCs/>
                <w:sz w:val="22"/>
                <w:szCs w:val="22"/>
              </w:rPr>
            </w:pPr>
            <w:r w:rsidRPr="00317ABF">
              <w:rPr>
                <w:rFonts w:eastAsia="Times"/>
                <w:bCs/>
                <w:sz w:val="22"/>
                <w:szCs w:val="22"/>
              </w:rPr>
              <w:t xml:space="preserve">6) </w:t>
            </w:r>
            <w:r w:rsidRPr="00317ABF">
              <w:rPr>
                <w:rFonts w:eastAsia="Times"/>
                <w:bCs/>
                <w:sz w:val="22"/>
                <w:szCs w:val="22"/>
              </w:rPr>
              <w:tab/>
              <w:t>nieodpłatnego pobierania próbek wprowadzonej do obrotu lub oddanej do użytku aparatury, w tym telekomunikacyjnych urządzeń końcowych i urządzeń radiowych, w celu przeprowadzenia badań w zakresie spełniania przez tę aparaturę wymagań oraz zatrzymania próbek do czasu prawomocnego zakończenia postępowania;</w:t>
            </w:r>
          </w:p>
          <w:p w14:paraId="38132DB9" w14:textId="77777777" w:rsidR="00644EDB" w:rsidRPr="00317ABF" w:rsidRDefault="00644EDB" w:rsidP="00644EDB">
            <w:pPr>
              <w:ind w:firstLine="510"/>
              <w:jc w:val="both"/>
              <w:rPr>
                <w:rFonts w:eastAsia="Times"/>
                <w:bCs/>
                <w:sz w:val="22"/>
                <w:szCs w:val="22"/>
              </w:rPr>
            </w:pPr>
            <w:r w:rsidRPr="00317ABF">
              <w:rPr>
                <w:rFonts w:eastAsia="Times"/>
                <w:bCs/>
                <w:sz w:val="22"/>
                <w:szCs w:val="22"/>
              </w:rPr>
              <w:t xml:space="preserve">7) </w:t>
            </w:r>
            <w:r w:rsidRPr="00317ABF">
              <w:rPr>
                <w:rFonts w:eastAsia="Times"/>
                <w:bCs/>
                <w:sz w:val="22"/>
                <w:szCs w:val="22"/>
              </w:rPr>
              <w:tab/>
              <w:t>nieodpłatnego pobierania próbek wprowadzonych do obrotu lub oddanych do użytku wyrobów, o których mowa w art. 417 ust. 1, oraz zatrzymania próbek do czasu prawomocnego zakończenia postępowania;</w:t>
            </w:r>
          </w:p>
          <w:p w14:paraId="52CDD3C5" w14:textId="77777777" w:rsidR="00644EDB" w:rsidRPr="00317ABF" w:rsidRDefault="00644EDB" w:rsidP="00644EDB">
            <w:pPr>
              <w:ind w:firstLine="510"/>
              <w:jc w:val="both"/>
              <w:rPr>
                <w:rFonts w:eastAsia="Times"/>
                <w:bCs/>
                <w:sz w:val="22"/>
                <w:szCs w:val="22"/>
              </w:rPr>
            </w:pPr>
            <w:r w:rsidRPr="00317ABF">
              <w:rPr>
                <w:rFonts w:eastAsia="Times"/>
                <w:bCs/>
                <w:sz w:val="22"/>
                <w:szCs w:val="22"/>
              </w:rPr>
              <w:t xml:space="preserve">8) </w:t>
            </w:r>
            <w:r w:rsidRPr="00317ABF">
              <w:rPr>
                <w:rFonts w:eastAsia="Times"/>
                <w:bCs/>
                <w:sz w:val="22"/>
                <w:szCs w:val="22"/>
              </w:rPr>
              <w:tab/>
              <w:t>nieodpłatnego pobierania próbek wprowadzanych do obrotu lub oddawanych do użytku produktów, o których mowa w art. 417 ust. 2, oraz zatrzymania próbek do czasu prawomocnego zakończenia postępowania;</w:t>
            </w:r>
          </w:p>
          <w:p w14:paraId="3D4203EF" w14:textId="77777777" w:rsidR="00644EDB" w:rsidRPr="00317ABF" w:rsidRDefault="00644EDB" w:rsidP="00644EDB">
            <w:pPr>
              <w:ind w:firstLine="510"/>
              <w:jc w:val="both"/>
              <w:rPr>
                <w:rFonts w:eastAsia="Times"/>
                <w:bCs/>
                <w:sz w:val="22"/>
                <w:szCs w:val="22"/>
              </w:rPr>
            </w:pPr>
            <w:r w:rsidRPr="00317ABF">
              <w:rPr>
                <w:rFonts w:eastAsia="Times"/>
                <w:bCs/>
                <w:sz w:val="22"/>
                <w:szCs w:val="22"/>
              </w:rPr>
              <w:t xml:space="preserve">9) </w:t>
            </w:r>
            <w:r w:rsidRPr="00317ABF">
              <w:rPr>
                <w:rFonts w:eastAsia="Times"/>
                <w:bCs/>
                <w:sz w:val="22"/>
                <w:szCs w:val="22"/>
              </w:rPr>
              <w:tab/>
              <w:t>wykonywania czynności kontrolno-pomiarowych, badań sieci telekomunikacyjnych, urządzeń telekomunikacyjnych oraz innej aparatury, a także kontroli jakości świadczonych usług komunikacji elektronicznej;</w:t>
            </w:r>
          </w:p>
          <w:p w14:paraId="57DF455E" w14:textId="77777777" w:rsidR="00644EDB" w:rsidRPr="00317ABF" w:rsidRDefault="00644EDB" w:rsidP="00644EDB">
            <w:pPr>
              <w:ind w:firstLine="510"/>
              <w:jc w:val="both"/>
              <w:rPr>
                <w:rFonts w:eastAsia="Times"/>
                <w:bCs/>
                <w:sz w:val="22"/>
                <w:szCs w:val="22"/>
              </w:rPr>
            </w:pPr>
            <w:r w:rsidRPr="00317ABF">
              <w:rPr>
                <w:rFonts w:eastAsia="Times"/>
                <w:bCs/>
                <w:sz w:val="22"/>
                <w:szCs w:val="22"/>
              </w:rPr>
              <w:t xml:space="preserve">10) </w:t>
            </w:r>
            <w:r w:rsidRPr="00317ABF">
              <w:rPr>
                <w:rFonts w:eastAsia="Times"/>
                <w:bCs/>
                <w:sz w:val="22"/>
                <w:szCs w:val="22"/>
              </w:rPr>
              <w:tab/>
              <w:t>legitymowania osoby w celu stwierdzenia jej tożsamości, jeżeli jest to niezbędne na potrzeby kontroli.</w:t>
            </w:r>
          </w:p>
          <w:p w14:paraId="44FE2133" w14:textId="77777777" w:rsidR="00644EDB" w:rsidRPr="00317ABF" w:rsidRDefault="00644EDB" w:rsidP="00644EDB">
            <w:pPr>
              <w:ind w:firstLine="510"/>
              <w:jc w:val="both"/>
              <w:rPr>
                <w:rFonts w:eastAsia="Times"/>
                <w:b/>
                <w:bCs/>
                <w:sz w:val="22"/>
                <w:szCs w:val="22"/>
              </w:rPr>
            </w:pPr>
          </w:p>
          <w:p w14:paraId="5DD13D47" w14:textId="77777777" w:rsidR="00644EDB" w:rsidRPr="00317ABF" w:rsidRDefault="00644EDB" w:rsidP="00644EDB">
            <w:pPr>
              <w:ind w:firstLine="510"/>
              <w:jc w:val="both"/>
              <w:rPr>
                <w:rFonts w:eastAsia="Times"/>
                <w:sz w:val="22"/>
                <w:szCs w:val="22"/>
              </w:rPr>
            </w:pPr>
            <w:r w:rsidRPr="00317ABF">
              <w:rPr>
                <w:rFonts w:eastAsia="Times"/>
                <w:sz w:val="22"/>
                <w:szCs w:val="22"/>
              </w:rPr>
              <w:t>4. Kierownik podmiotu kontrolowanego, osoba upoważniona lub inny pracownik podmiotu kontrolowanego, który może być uznany za osobę, o której mowa w art. 97 ustawy z dnia 23 kwietnia 1964 r. - Kodeks cywilny, jak również kontrolowana osoba fizyczna jest obowiązana udzielać pracownikowi UKE, o którym mowa w ust. 1, wszelkich potrzebnych informacji oraz zapewnić mu:</w:t>
            </w:r>
          </w:p>
          <w:p w14:paraId="3F28AFDA" w14:textId="77777777" w:rsidR="00644EDB" w:rsidRPr="00317ABF" w:rsidRDefault="00644EDB" w:rsidP="00644EDB">
            <w:pPr>
              <w:ind w:firstLine="510"/>
              <w:jc w:val="both"/>
              <w:rPr>
                <w:rFonts w:eastAsia="Times"/>
                <w:sz w:val="22"/>
                <w:szCs w:val="22"/>
              </w:rPr>
            </w:pPr>
            <w:r w:rsidRPr="00317ABF">
              <w:rPr>
                <w:rFonts w:eastAsia="Times"/>
                <w:sz w:val="22"/>
                <w:szCs w:val="22"/>
              </w:rPr>
              <w:t xml:space="preserve">1) </w:t>
            </w:r>
            <w:r w:rsidRPr="00317ABF">
              <w:rPr>
                <w:rFonts w:eastAsia="Times"/>
                <w:sz w:val="22"/>
                <w:szCs w:val="22"/>
              </w:rPr>
              <w:tab/>
              <w:t>warunki sprawnego przeprowadzenia kontroli;</w:t>
            </w:r>
          </w:p>
          <w:p w14:paraId="16EF0D9F" w14:textId="77777777" w:rsidR="00644EDB" w:rsidRPr="00317ABF" w:rsidRDefault="00644EDB" w:rsidP="00644EDB">
            <w:pPr>
              <w:ind w:firstLine="510"/>
              <w:jc w:val="both"/>
              <w:rPr>
                <w:rFonts w:eastAsia="Times"/>
                <w:sz w:val="22"/>
                <w:szCs w:val="22"/>
              </w:rPr>
            </w:pPr>
            <w:r w:rsidRPr="00317ABF">
              <w:rPr>
                <w:rFonts w:eastAsia="Times"/>
                <w:sz w:val="22"/>
                <w:szCs w:val="22"/>
              </w:rPr>
              <w:t xml:space="preserve">2) </w:t>
            </w:r>
            <w:r w:rsidRPr="00317ABF">
              <w:rPr>
                <w:rFonts w:eastAsia="Times"/>
                <w:sz w:val="22"/>
                <w:szCs w:val="22"/>
              </w:rPr>
              <w:tab/>
              <w:t>dostęp do materiałów, dokumentów, danych urządzeń, aparatury i sieci, o których mowa w ust. 1;</w:t>
            </w:r>
          </w:p>
          <w:p w14:paraId="6BEA54EA" w14:textId="77777777" w:rsidR="00644EDB" w:rsidRPr="00317ABF" w:rsidRDefault="00644EDB" w:rsidP="00644EDB">
            <w:pPr>
              <w:ind w:firstLine="510"/>
              <w:jc w:val="both"/>
              <w:rPr>
                <w:rFonts w:eastAsia="Times"/>
                <w:sz w:val="22"/>
                <w:szCs w:val="22"/>
              </w:rPr>
            </w:pPr>
            <w:r w:rsidRPr="00317ABF">
              <w:rPr>
                <w:rFonts w:eastAsia="Times"/>
                <w:sz w:val="22"/>
                <w:szCs w:val="22"/>
              </w:rPr>
              <w:t xml:space="preserve">3) </w:t>
            </w:r>
            <w:r w:rsidRPr="00317ABF">
              <w:rPr>
                <w:rFonts w:eastAsia="Times"/>
                <w:sz w:val="22"/>
                <w:szCs w:val="22"/>
              </w:rPr>
              <w:tab/>
              <w:t>wstęp do obiektów, nieruchomości i pomieszczeń, o których mowa w ust. 1;</w:t>
            </w:r>
          </w:p>
          <w:p w14:paraId="7BAE7228" w14:textId="77777777" w:rsidR="00644EDB" w:rsidRPr="00317ABF" w:rsidRDefault="00644EDB" w:rsidP="00644EDB">
            <w:pPr>
              <w:pStyle w:val="ARTartustawynprozporzdzenia"/>
              <w:spacing w:line="240" w:lineRule="auto"/>
              <w:rPr>
                <w:rFonts w:eastAsia="Times"/>
                <w:sz w:val="22"/>
                <w:szCs w:val="22"/>
              </w:rPr>
            </w:pPr>
            <w:r w:rsidRPr="00317ABF">
              <w:rPr>
                <w:rFonts w:eastAsia="Times"/>
                <w:sz w:val="22"/>
                <w:szCs w:val="22"/>
              </w:rPr>
              <w:t xml:space="preserve">4) </w:t>
            </w:r>
            <w:r w:rsidRPr="00317ABF">
              <w:rPr>
                <w:rFonts w:eastAsia="Times"/>
                <w:sz w:val="22"/>
                <w:szCs w:val="22"/>
              </w:rPr>
              <w:tab/>
              <w:t>nieodpłatne udostępnienie podlegających kontroli sieci telekomunikacyjnych, urządzeń telekomunikacyjnych oraz innej aparatury, w celu przeprowadzenia badań.</w:t>
            </w:r>
          </w:p>
          <w:p w14:paraId="36242EA2" w14:textId="77777777" w:rsidR="00644EDB" w:rsidRPr="00317ABF" w:rsidRDefault="00644EDB" w:rsidP="00644EDB">
            <w:pPr>
              <w:pStyle w:val="ARTartustawynprozporzdzenia"/>
              <w:spacing w:line="240" w:lineRule="auto"/>
              <w:rPr>
                <w:rFonts w:eastAsia="Times"/>
                <w:sz w:val="22"/>
                <w:szCs w:val="22"/>
              </w:rPr>
            </w:pPr>
          </w:p>
          <w:p w14:paraId="251DDDE3" w14:textId="77777777" w:rsidR="00644EDB" w:rsidRPr="00317ABF" w:rsidRDefault="00644EDB" w:rsidP="00644EDB">
            <w:pPr>
              <w:pStyle w:val="ARTartustawynprozporzdzenia"/>
              <w:spacing w:line="240" w:lineRule="auto"/>
              <w:rPr>
                <w:rFonts w:eastAsia="Times"/>
                <w:sz w:val="22"/>
                <w:szCs w:val="22"/>
              </w:rPr>
            </w:pPr>
          </w:p>
          <w:p w14:paraId="35860321" w14:textId="787EE4F0" w:rsidR="00644EDB" w:rsidRPr="00317ABF" w:rsidRDefault="00644EDB" w:rsidP="00644EDB">
            <w:pPr>
              <w:pStyle w:val="USTustnpkodeksu"/>
              <w:spacing w:line="240" w:lineRule="auto"/>
              <w:rPr>
                <w:rStyle w:val="Ppogrubienie"/>
                <w:rFonts w:ascii="Times New Roman" w:hAnsi="Times New Roman"/>
                <w:bCs w:val="0"/>
                <w:sz w:val="22"/>
                <w:szCs w:val="22"/>
              </w:rPr>
            </w:pPr>
            <w:r w:rsidRPr="00317ABF">
              <w:rPr>
                <w:rStyle w:val="Ppogrubienie"/>
                <w:rFonts w:ascii="Times New Roman" w:hAnsi="Times New Roman"/>
                <w:bCs w:val="0"/>
                <w:sz w:val="22"/>
                <w:szCs w:val="22"/>
              </w:rPr>
              <w:t xml:space="preserve">Art. 420. </w:t>
            </w:r>
            <w:r w:rsidRPr="00317ABF">
              <w:rPr>
                <w:rStyle w:val="Ppogrubienie"/>
                <w:rFonts w:ascii="Times New Roman" w:hAnsi="Times New Roman"/>
                <w:b w:val="0"/>
                <w:bCs w:val="0"/>
                <w:sz w:val="22"/>
                <w:szCs w:val="22"/>
              </w:rPr>
              <w:t>W czynnościach kontrolnych może brać udział osoba posiadająca wiedzę specjalistyczną, niebędąca pracownikiemUKE, po doręczeniu upoważnienia Prezesa UKE do wykonywania czynności kontrolnych. Osoba ta jest zobowiązana do nieujawniania informacji stanowiących tajemnicę przedsiębiorstwa, w posiadanie których weszła w związku z wykonywanymi czynnościami kontrolnymi.</w:t>
            </w:r>
          </w:p>
          <w:p w14:paraId="63FB83C0" w14:textId="77777777" w:rsidR="00644EDB" w:rsidRPr="00317ABF" w:rsidRDefault="00644EDB" w:rsidP="00644EDB">
            <w:pPr>
              <w:pStyle w:val="ARTartustawynprozporzdzenia"/>
              <w:spacing w:line="240" w:lineRule="auto"/>
              <w:rPr>
                <w:rFonts w:ascii="Times New Roman" w:hAnsi="Times New Roman" w:cs="Times New Roman"/>
                <w:sz w:val="22"/>
                <w:szCs w:val="22"/>
              </w:rPr>
            </w:pPr>
            <w:r w:rsidRPr="00317ABF">
              <w:rPr>
                <w:rStyle w:val="Ppogrubienie"/>
                <w:rFonts w:ascii="Times New Roman" w:hAnsi="Times New Roman"/>
                <w:sz w:val="22"/>
                <w:szCs w:val="22"/>
              </w:rPr>
              <w:t>Art. 421.</w:t>
            </w:r>
            <w:r w:rsidRPr="00317ABF">
              <w:rPr>
                <w:rFonts w:ascii="Times New Roman" w:hAnsi="Times New Roman" w:cs="Times New Roman"/>
                <w:sz w:val="22"/>
                <w:szCs w:val="22"/>
              </w:rPr>
              <w:t xml:space="preserve"> Czynności kontrolne mogą być prowadzone w sposób zdalny. Wyniki pomiarów wykonywanych zdalnie zawierają dane umożliwiające identyfikację wykorzystywanych przez Prezesa UKE urządzeń kontrolno-pomiarowych.</w:t>
            </w:r>
          </w:p>
          <w:p w14:paraId="0E530715" w14:textId="5A5363C2" w:rsidR="001E1112" w:rsidRPr="00317ABF" w:rsidRDefault="001E1112" w:rsidP="00DB3BEC">
            <w:pPr>
              <w:pStyle w:val="ARTartustawynprozporzdzenia"/>
              <w:spacing w:line="240" w:lineRule="auto"/>
              <w:rPr>
                <w:rFonts w:ascii="Times New Roman" w:hAnsi="Times New Roman" w:cs="Times New Roman"/>
                <w:sz w:val="22"/>
                <w:szCs w:val="22"/>
              </w:rPr>
            </w:pPr>
            <w:r w:rsidRPr="00317ABF">
              <w:rPr>
                <w:rStyle w:val="Ppogrubienie"/>
                <w:rFonts w:ascii="Times New Roman" w:hAnsi="Times New Roman"/>
                <w:sz w:val="22"/>
                <w:szCs w:val="22"/>
              </w:rPr>
              <w:t>Art. </w:t>
            </w:r>
            <w:r w:rsidR="00621DE6" w:rsidRPr="00317ABF">
              <w:rPr>
                <w:rStyle w:val="Ppogrubienie"/>
                <w:rFonts w:ascii="Times New Roman" w:hAnsi="Times New Roman"/>
                <w:sz w:val="22"/>
                <w:szCs w:val="22"/>
              </w:rPr>
              <w:t>422</w:t>
            </w:r>
            <w:r w:rsidRPr="00317ABF">
              <w:rPr>
                <w:rStyle w:val="Ppogrubienie"/>
                <w:rFonts w:ascii="Times New Roman" w:hAnsi="Times New Roman"/>
                <w:sz w:val="22"/>
                <w:szCs w:val="22"/>
              </w:rPr>
              <w:t>.</w:t>
            </w:r>
            <w:r w:rsidRPr="00317ABF">
              <w:rPr>
                <w:rFonts w:ascii="Times New Roman" w:hAnsi="Times New Roman" w:cs="Times New Roman"/>
                <w:sz w:val="22"/>
                <w:szCs w:val="22"/>
              </w:rPr>
              <w:t xml:space="preserve"> 1. Z kontroli sporządza się protokół podpisany przez pracownika przeprowadzającego kontrolę.</w:t>
            </w:r>
          </w:p>
          <w:p w14:paraId="22436515" w14:textId="77777777" w:rsidR="001E1112" w:rsidRPr="00317ABF" w:rsidRDefault="001E1112" w:rsidP="00DB3BEC">
            <w:pPr>
              <w:pStyle w:val="USTustnpkodeksu"/>
              <w:keepNext/>
              <w:spacing w:line="240" w:lineRule="auto"/>
              <w:rPr>
                <w:rFonts w:ascii="Times New Roman" w:hAnsi="Times New Roman" w:cs="Times New Roman"/>
                <w:sz w:val="22"/>
                <w:szCs w:val="22"/>
              </w:rPr>
            </w:pPr>
            <w:r w:rsidRPr="00317ABF">
              <w:rPr>
                <w:rFonts w:ascii="Times New Roman" w:hAnsi="Times New Roman" w:cs="Times New Roman"/>
                <w:sz w:val="22"/>
                <w:szCs w:val="22"/>
              </w:rPr>
              <w:t>2. Protokół, o którym mowa w ust. 1, zawiera w szczególności:</w:t>
            </w:r>
          </w:p>
          <w:p w14:paraId="0E898FCD" w14:textId="77777777" w:rsidR="001E1112" w:rsidRPr="00317ABF" w:rsidRDefault="001E1112" w:rsidP="00DB3BEC">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1)</w:t>
            </w:r>
            <w:r w:rsidRPr="00317ABF">
              <w:rPr>
                <w:rFonts w:ascii="Times New Roman" w:hAnsi="Times New Roman" w:cs="Times New Roman"/>
                <w:sz w:val="22"/>
                <w:szCs w:val="22"/>
              </w:rPr>
              <w:tab/>
              <w:t>oznaczenie podmiotu kontrolowanego, czasu i miejsca przeprowadzania kontroli;</w:t>
            </w:r>
          </w:p>
          <w:p w14:paraId="4E5E75A7" w14:textId="77777777" w:rsidR="001E1112" w:rsidRPr="00317ABF" w:rsidRDefault="001E1112" w:rsidP="00DB3BEC">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2)</w:t>
            </w:r>
            <w:r w:rsidRPr="00317ABF">
              <w:rPr>
                <w:rFonts w:ascii="Times New Roman" w:hAnsi="Times New Roman" w:cs="Times New Roman"/>
                <w:sz w:val="22"/>
                <w:szCs w:val="22"/>
              </w:rPr>
              <w:tab/>
              <w:t>wskazanie zakresu kontroli oraz osób w niej uczestniczących;</w:t>
            </w:r>
          </w:p>
          <w:p w14:paraId="18D45AC4" w14:textId="77777777" w:rsidR="001E1112" w:rsidRPr="00317ABF" w:rsidRDefault="001E1112" w:rsidP="00DB3BEC">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3)</w:t>
            </w:r>
            <w:r w:rsidRPr="00317ABF">
              <w:rPr>
                <w:rFonts w:ascii="Times New Roman" w:hAnsi="Times New Roman" w:cs="Times New Roman"/>
                <w:sz w:val="22"/>
                <w:szCs w:val="22"/>
              </w:rPr>
              <w:tab/>
              <w:t>opis przebiegu kontroli;</w:t>
            </w:r>
          </w:p>
          <w:p w14:paraId="25AAD58A" w14:textId="77777777" w:rsidR="001E1112" w:rsidRPr="00317ABF" w:rsidRDefault="001E1112" w:rsidP="00DB3BEC">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4)</w:t>
            </w:r>
            <w:r w:rsidRPr="00317ABF">
              <w:rPr>
                <w:rFonts w:ascii="Times New Roman" w:hAnsi="Times New Roman" w:cs="Times New Roman"/>
                <w:sz w:val="22"/>
                <w:szCs w:val="22"/>
              </w:rPr>
              <w:tab/>
              <w:t>ustalenia z przeprowadzonej kontroli.</w:t>
            </w:r>
          </w:p>
          <w:p w14:paraId="25CEDBC9" w14:textId="77777777" w:rsidR="001E1112" w:rsidRPr="00317ABF" w:rsidRDefault="001E1112" w:rsidP="00DB3BEC">
            <w:pPr>
              <w:pStyle w:val="USTustnpkodeksu"/>
              <w:spacing w:line="240" w:lineRule="auto"/>
              <w:rPr>
                <w:rFonts w:ascii="Times New Roman" w:hAnsi="Times New Roman" w:cs="Times New Roman"/>
                <w:sz w:val="22"/>
                <w:szCs w:val="22"/>
              </w:rPr>
            </w:pPr>
            <w:r w:rsidRPr="00317ABF">
              <w:rPr>
                <w:rFonts w:ascii="Times New Roman" w:hAnsi="Times New Roman" w:cs="Times New Roman"/>
                <w:sz w:val="22"/>
                <w:szCs w:val="22"/>
              </w:rPr>
              <w:t>3. Pracownik przeprowadzający kontrolę może, z urzędu lub na wniosek podmiotu kontrolowanego, prostować błędy pisarskie i rachunkowe lub inne oczywiste pomyłki w protokole kontroli, o którym mowa w ust.1.</w:t>
            </w:r>
          </w:p>
          <w:p w14:paraId="0BD280E5" w14:textId="77777777" w:rsidR="001E1112" w:rsidRPr="00317ABF" w:rsidRDefault="001E1112" w:rsidP="00DB3BEC">
            <w:pPr>
              <w:pStyle w:val="USTustnpkodeksu"/>
              <w:spacing w:line="240" w:lineRule="auto"/>
              <w:rPr>
                <w:rFonts w:ascii="Times New Roman" w:hAnsi="Times New Roman" w:cs="Times New Roman"/>
                <w:sz w:val="22"/>
                <w:szCs w:val="22"/>
              </w:rPr>
            </w:pPr>
            <w:r w:rsidRPr="00317ABF">
              <w:rPr>
                <w:rFonts w:ascii="Times New Roman" w:hAnsi="Times New Roman" w:cs="Times New Roman"/>
                <w:sz w:val="22"/>
                <w:szCs w:val="22"/>
              </w:rPr>
              <w:t>4. Protokół, o którym mowa w ust. 1, podpisuje także kierownik podmiotu kontrolowanego lub osoba przez niego upoważniona albo kontrolowana osoba fizyczna.</w:t>
            </w:r>
          </w:p>
          <w:p w14:paraId="25A7809F" w14:textId="50582466" w:rsidR="001E1112" w:rsidRPr="00317ABF" w:rsidRDefault="001E1112" w:rsidP="00DB3BEC">
            <w:pPr>
              <w:pStyle w:val="ARTartustawynprozporzdzenia"/>
              <w:spacing w:line="240" w:lineRule="auto"/>
              <w:rPr>
                <w:rFonts w:ascii="Times New Roman" w:hAnsi="Times New Roman" w:cs="Times New Roman"/>
                <w:sz w:val="22"/>
                <w:szCs w:val="22"/>
              </w:rPr>
            </w:pPr>
            <w:r w:rsidRPr="00317ABF">
              <w:rPr>
                <w:rStyle w:val="Ppogrubienie"/>
                <w:rFonts w:ascii="Times New Roman" w:hAnsi="Times New Roman"/>
                <w:sz w:val="22"/>
                <w:szCs w:val="22"/>
              </w:rPr>
              <w:t>Art. </w:t>
            </w:r>
            <w:r w:rsidR="00621DE6" w:rsidRPr="00317ABF">
              <w:rPr>
                <w:rStyle w:val="Ppogrubienie"/>
                <w:rFonts w:ascii="Times New Roman" w:hAnsi="Times New Roman"/>
                <w:sz w:val="22"/>
                <w:szCs w:val="22"/>
              </w:rPr>
              <w:t>423</w:t>
            </w:r>
            <w:r w:rsidRPr="00317ABF">
              <w:rPr>
                <w:rStyle w:val="Ppogrubienie"/>
                <w:rFonts w:ascii="Times New Roman" w:hAnsi="Times New Roman"/>
                <w:sz w:val="22"/>
                <w:szCs w:val="22"/>
              </w:rPr>
              <w:t>.</w:t>
            </w:r>
            <w:r w:rsidRPr="00317ABF">
              <w:rPr>
                <w:rFonts w:ascii="Times New Roman" w:hAnsi="Times New Roman" w:cs="Times New Roman"/>
                <w:sz w:val="22"/>
                <w:szCs w:val="22"/>
              </w:rPr>
              <w:t xml:space="preserve"> Do czynności kontrolnych oraz badań, o których mowa w </w:t>
            </w:r>
            <w:r w:rsidR="00621DE6" w:rsidRPr="00317ABF">
              <w:t xml:space="preserve"> </w:t>
            </w:r>
            <w:r w:rsidRPr="00317ABF">
              <w:rPr>
                <w:rFonts w:ascii="Times New Roman" w:hAnsi="Times New Roman" w:cs="Times New Roman"/>
                <w:sz w:val="22"/>
                <w:szCs w:val="22"/>
              </w:rPr>
              <w:t xml:space="preserve">art. </w:t>
            </w:r>
            <w:r w:rsidR="00621DE6" w:rsidRPr="00317ABF">
              <w:rPr>
                <w:rFonts w:ascii="Times New Roman" w:hAnsi="Times New Roman" w:cs="Times New Roman"/>
                <w:sz w:val="22"/>
                <w:szCs w:val="22"/>
              </w:rPr>
              <w:t>419</w:t>
            </w:r>
            <w:r w:rsidRPr="00317ABF">
              <w:rPr>
                <w:rFonts w:ascii="Times New Roman" w:hAnsi="Times New Roman" w:cs="Times New Roman"/>
                <w:sz w:val="22"/>
                <w:szCs w:val="22"/>
              </w:rPr>
              <w:t xml:space="preserve">, art. </w:t>
            </w:r>
            <w:r w:rsidR="00621DE6" w:rsidRPr="00317ABF">
              <w:rPr>
                <w:rFonts w:ascii="Times New Roman" w:hAnsi="Times New Roman" w:cs="Times New Roman"/>
                <w:sz w:val="22"/>
                <w:szCs w:val="22"/>
              </w:rPr>
              <w:t>420</w:t>
            </w:r>
            <w:r w:rsidRPr="00317ABF">
              <w:rPr>
                <w:rFonts w:ascii="Times New Roman" w:hAnsi="Times New Roman" w:cs="Times New Roman"/>
                <w:sz w:val="22"/>
                <w:szCs w:val="22"/>
              </w:rPr>
              <w:t xml:space="preserve"> ust. 1 oraz art. </w:t>
            </w:r>
            <w:r w:rsidR="00621DE6" w:rsidRPr="00317ABF">
              <w:rPr>
                <w:rFonts w:ascii="Times New Roman" w:hAnsi="Times New Roman" w:cs="Times New Roman"/>
                <w:sz w:val="22"/>
                <w:szCs w:val="22"/>
              </w:rPr>
              <w:t>424</w:t>
            </w:r>
            <w:r w:rsidRPr="00317ABF">
              <w:rPr>
                <w:rFonts w:ascii="Times New Roman" w:hAnsi="Times New Roman" w:cs="Times New Roman"/>
                <w:sz w:val="22"/>
                <w:szCs w:val="22"/>
              </w:rPr>
              <w:t>, stosuje się przepisy o ochronie informacji niejawnych oraz o tajemnicy komunikacji elektronicznej, a także o ochronie danych osobowych.</w:t>
            </w:r>
          </w:p>
          <w:p w14:paraId="25FE2CC7" w14:textId="022096CC" w:rsidR="001E1112" w:rsidRPr="00317ABF" w:rsidRDefault="001E1112" w:rsidP="00DB3BEC">
            <w:pPr>
              <w:pStyle w:val="ARTartustawynprozporzdzenia"/>
              <w:spacing w:line="240" w:lineRule="auto"/>
              <w:rPr>
                <w:rFonts w:ascii="Times New Roman" w:hAnsi="Times New Roman" w:cs="Times New Roman"/>
                <w:sz w:val="22"/>
                <w:szCs w:val="22"/>
              </w:rPr>
            </w:pPr>
            <w:r w:rsidRPr="00317ABF">
              <w:rPr>
                <w:rStyle w:val="Ppogrubienie"/>
                <w:rFonts w:ascii="Times New Roman" w:hAnsi="Times New Roman"/>
                <w:sz w:val="22"/>
                <w:szCs w:val="22"/>
              </w:rPr>
              <w:t>Art. </w:t>
            </w:r>
            <w:r w:rsidR="00621DE6" w:rsidRPr="00317ABF">
              <w:rPr>
                <w:rStyle w:val="Ppogrubienie"/>
                <w:rFonts w:ascii="Times New Roman" w:hAnsi="Times New Roman"/>
                <w:sz w:val="22"/>
                <w:szCs w:val="22"/>
              </w:rPr>
              <w:t>424</w:t>
            </w:r>
            <w:r w:rsidRPr="00317ABF">
              <w:rPr>
                <w:rStyle w:val="Ppogrubienie"/>
                <w:rFonts w:ascii="Times New Roman" w:hAnsi="Times New Roman"/>
                <w:sz w:val="22"/>
                <w:szCs w:val="22"/>
              </w:rPr>
              <w:t>.</w:t>
            </w:r>
            <w:r w:rsidRPr="00317ABF">
              <w:rPr>
                <w:rFonts w:ascii="Times New Roman" w:hAnsi="Times New Roman" w:cs="Times New Roman"/>
                <w:sz w:val="22"/>
                <w:szCs w:val="22"/>
              </w:rPr>
              <w:t xml:space="preserve"> 1. Do pobierania i badania próbek aparatury, w tym urządzeń radiowych, w zakresie spełniania przez nią wymagań oraz do pobierania i badania próbek wyrobów, o których mowa w art. </w:t>
            </w:r>
            <w:r w:rsidR="00621DE6" w:rsidRPr="00317ABF">
              <w:rPr>
                <w:rFonts w:ascii="Times New Roman" w:hAnsi="Times New Roman" w:cs="Times New Roman"/>
                <w:sz w:val="22"/>
                <w:szCs w:val="22"/>
              </w:rPr>
              <w:t>417</w:t>
            </w:r>
            <w:r w:rsidRPr="00317ABF">
              <w:rPr>
                <w:rFonts w:ascii="Times New Roman" w:hAnsi="Times New Roman" w:cs="Times New Roman"/>
                <w:sz w:val="22"/>
                <w:szCs w:val="22"/>
              </w:rPr>
              <w:t xml:space="preserve"> ust. 1, stosuje się odpowiednio przepisy art. 27-31 ustawy z dnia 15 grudnia 2000 r. o Inspekcji Handlowej (Dz. U. z 2019 r. poz. 1668, 2166 oraz z 2020 r. poz. 285).</w:t>
            </w:r>
          </w:p>
          <w:p w14:paraId="734E0A8A" w14:textId="77777777" w:rsidR="001E1112" w:rsidRPr="00317ABF" w:rsidRDefault="001E1112" w:rsidP="00644EDB">
            <w:pPr>
              <w:pStyle w:val="USTustnpkodeksu"/>
              <w:spacing w:line="240" w:lineRule="auto"/>
              <w:rPr>
                <w:rFonts w:ascii="Times New Roman" w:hAnsi="Times New Roman" w:cs="Times New Roman"/>
                <w:sz w:val="22"/>
                <w:szCs w:val="22"/>
              </w:rPr>
            </w:pPr>
            <w:r w:rsidRPr="00317ABF">
              <w:rPr>
                <w:rFonts w:ascii="Times New Roman" w:hAnsi="Times New Roman" w:cs="Times New Roman"/>
                <w:sz w:val="22"/>
                <w:szCs w:val="22"/>
              </w:rPr>
              <w:t xml:space="preserve">2. Do pobierania i badania próbek produktów, o których mowa w art. </w:t>
            </w:r>
            <w:r w:rsidR="00644EDB" w:rsidRPr="00317ABF">
              <w:rPr>
                <w:rFonts w:ascii="Times New Roman" w:hAnsi="Times New Roman" w:cs="Times New Roman"/>
                <w:sz w:val="22"/>
                <w:szCs w:val="22"/>
              </w:rPr>
              <w:t>417</w:t>
            </w:r>
            <w:r w:rsidRPr="00317ABF">
              <w:rPr>
                <w:rFonts w:ascii="Times New Roman" w:hAnsi="Times New Roman" w:cs="Times New Roman"/>
                <w:sz w:val="22"/>
                <w:szCs w:val="22"/>
              </w:rPr>
              <w:t xml:space="preserve"> ust. 2, stosuje się odpowiednio przepisy art. 27-31 ustawy, o której </w:t>
            </w:r>
            <w:r w:rsidRPr="00317ABF">
              <w:rPr>
                <w:rFonts w:ascii="Times New Roman" w:hAnsi="Times New Roman" w:cs="Times New Roman"/>
                <w:sz w:val="22"/>
                <w:szCs w:val="22"/>
              </w:rPr>
              <w:lastRenderedPageBreak/>
              <w:t xml:space="preserve">mowa w ust. 1, oraz akty delegowane w rozumieniu art. 2 ust. 1 ustawy, o której mowa w art. </w:t>
            </w:r>
            <w:r w:rsidR="00644EDB" w:rsidRPr="00317ABF">
              <w:rPr>
                <w:rFonts w:ascii="Times New Roman" w:hAnsi="Times New Roman" w:cs="Times New Roman"/>
                <w:sz w:val="22"/>
                <w:szCs w:val="22"/>
              </w:rPr>
              <w:t>417</w:t>
            </w:r>
            <w:r w:rsidRPr="00317ABF">
              <w:rPr>
                <w:rFonts w:ascii="Times New Roman" w:hAnsi="Times New Roman" w:cs="Times New Roman"/>
                <w:sz w:val="22"/>
                <w:szCs w:val="22"/>
              </w:rPr>
              <w:t xml:space="preserve"> ust. 2 pkt 1.</w:t>
            </w:r>
          </w:p>
          <w:p w14:paraId="1FE47587" w14:textId="77777777" w:rsidR="00644EDB" w:rsidRPr="00317ABF" w:rsidRDefault="00644EDB" w:rsidP="00644EDB">
            <w:pPr>
              <w:pStyle w:val="ARTartustawynprozporzdzenia"/>
              <w:spacing w:line="240" w:lineRule="auto"/>
              <w:rPr>
                <w:rFonts w:ascii="Times New Roman" w:hAnsi="Times New Roman" w:cs="Times New Roman"/>
                <w:sz w:val="22"/>
                <w:szCs w:val="22"/>
              </w:rPr>
            </w:pPr>
            <w:r w:rsidRPr="00317ABF">
              <w:rPr>
                <w:rStyle w:val="Ppogrubienie"/>
                <w:rFonts w:ascii="Times New Roman" w:hAnsi="Times New Roman"/>
                <w:sz w:val="22"/>
                <w:szCs w:val="22"/>
              </w:rPr>
              <w:t>Art. 425.</w:t>
            </w:r>
            <w:r w:rsidRPr="00317ABF">
              <w:rPr>
                <w:rFonts w:ascii="Times New Roman" w:hAnsi="Times New Roman" w:cs="Times New Roman"/>
                <w:sz w:val="22"/>
                <w:szCs w:val="22"/>
              </w:rPr>
              <w:t xml:space="preserve"> Do kontroli urządzeń w rozumieniu przepisów ustawy z dnia 13 kwietnia 2007 r. o kompatybilności elektromagnetycznej nie stosuje się przepisów art. 419 ust. 1 pkt 1, 2, 4 oraz 7-8.</w:t>
            </w:r>
          </w:p>
          <w:p w14:paraId="189D2DE0" w14:textId="1DAE8A0E" w:rsidR="001E1112" w:rsidRPr="00317ABF" w:rsidRDefault="001E1112" w:rsidP="00DB3BEC">
            <w:pPr>
              <w:pStyle w:val="ARTartustawynprozporzdzenia"/>
              <w:spacing w:line="240" w:lineRule="auto"/>
              <w:rPr>
                <w:rFonts w:ascii="Times New Roman" w:hAnsi="Times New Roman" w:cs="Times New Roman"/>
                <w:sz w:val="22"/>
                <w:szCs w:val="22"/>
              </w:rPr>
            </w:pPr>
            <w:r w:rsidRPr="00317ABF">
              <w:rPr>
                <w:rStyle w:val="Ppogrubienie"/>
                <w:rFonts w:ascii="Times New Roman" w:hAnsi="Times New Roman"/>
                <w:sz w:val="22"/>
                <w:szCs w:val="22"/>
              </w:rPr>
              <w:t>Art. </w:t>
            </w:r>
            <w:r w:rsidR="00621DE6" w:rsidRPr="00317ABF">
              <w:rPr>
                <w:rStyle w:val="Ppogrubienie"/>
                <w:rFonts w:ascii="Times New Roman" w:hAnsi="Times New Roman"/>
                <w:sz w:val="22"/>
                <w:szCs w:val="22"/>
              </w:rPr>
              <w:t>426</w:t>
            </w:r>
            <w:r w:rsidRPr="00317ABF">
              <w:rPr>
                <w:rStyle w:val="Ppogrubienie"/>
                <w:rFonts w:ascii="Times New Roman" w:hAnsi="Times New Roman"/>
                <w:sz w:val="22"/>
                <w:szCs w:val="22"/>
              </w:rPr>
              <w:t>.</w:t>
            </w:r>
            <w:r w:rsidRPr="00317ABF">
              <w:rPr>
                <w:rFonts w:ascii="Times New Roman" w:hAnsi="Times New Roman" w:cs="Times New Roman"/>
                <w:sz w:val="22"/>
                <w:szCs w:val="22"/>
              </w:rPr>
              <w:t xml:space="preserve"> 1. Do kontroli działalności gospodarczej przedsiębiorcy stosuje się przepisy rozdziału 5 ustawy z dnia 6 marca 2018 r. - Prawo przedsiębiorców.</w:t>
            </w:r>
          </w:p>
          <w:p w14:paraId="60F5A651" w14:textId="77777777" w:rsidR="001E1112" w:rsidRPr="00317ABF" w:rsidRDefault="001E1112" w:rsidP="00DB3BEC">
            <w:pPr>
              <w:pStyle w:val="USTustnpkodeksu"/>
              <w:spacing w:line="240" w:lineRule="auto"/>
              <w:rPr>
                <w:rFonts w:ascii="Times New Roman" w:hAnsi="Times New Roman" w:cs="Times New Roman"/>
                <w:sz w:val="22"/>
                <w:szCs w:val="22"/>
              </w:rPr>
            </w:pPr>
            <w:r w:rsidRPr="00317ABF">
              <w:rPr>
                <w:rFonts w:ascii="Times New Roman" w:hAnsi="Times New Roman" w:cs="Times New Roman"/>
                <w:sz w:val="22"/>
                <w:szCs w:val="22"/>
              </w:rPr>
              <w:t>2. Do kontroli oraz zaleceń pokontrolnych stosuje się przepisy rozdziału 8 Działu I ustawy z dnia 14 czerwca 1960 r. - Kodeksu postępowania administracyjnego.</w:t>
            </w:r>
          </w:p>
          <w:p w14:paraId="59825319" w14:textId="77777777" w:rsidR="00644EDB" w:rsidRPr="00317ABF" w:rsidRDefault="001E1112" w:rsidP="00644EDB">
            <w:pPr>
              <w:pStyle w:val="ARTartustawynprozporzdzenia"/>
              <w:spacing w:line="240" w:lineRule="auto"/>
              <w:rPr>
                <w:rFonts w:ascii="Times New Roman" w:hAnsi="Times New Roman" w:cs="Times New Roman"/>
                <w:sz w:val="22"/>
                <w:szCs w:val="22"/>
              </w:rPr>
            </w:pPr>
            <w:r w:rsidRPr="00317ABF">
              <w:rPr>
                <w:rStyle w:val="Ppogrubienie"/>
                <w:rFonts w:ascii="Times New Roman" w:hAnsi="Times New Roman"/>
                <w:sz w:val="22"/>
                <w:szCs w:val="22"/>
              </w:rPr>
              <w:t>Art. </w:t>
            </w:r>
            <w:r w:rsidR="00644EDB" w:rsidRPr="00317ABF">
              <w:rPr>
                <w:rStyle w:val="Ppogrubienie"/>
                <w:rFonts w:ascii="Times New Roman" w:hAnsi="Times New Roman"/>
                <w:sz w:val="22"/>
                <w:szCs w:val="22"/>
              </w:rPr>
              <w:t>427</w:t>
            </w:r>
            <w:r w:rsidRPr="00317ABF">
              <w:rPr>
                <w:rStyle w:val="Ppogrubienie"/>
                <w:rFonts w:ascii="Times New Roman" w:hAnsi="Times New Roman"/>
                <w:sz w:val="22"/>
                <w:szCs w:val="22"/>
              </w:rPr>
              <w:t>.</w:t>
            </w:r>
            <w:r w:rsidRPr="00317ABF">
              <w:rPr>
                <w:rFonts w:ascii="Times New Roman" w:hAnsi="Times New Roman" w:cs="Times New Roman"/>
                <w:sz w:val="22"/>
                <w:szCs w:val="22"/>
              </w:rPr>
              <w:t xml:space="preserve"> Minister właściwy do spraw informatyzacji określi, w drodze rozporządzenia, wzór legitymacji służbowej pracownika UKE, kierując się koniecznością określenia zakresu danych zamieszczonych w legitymacji oraz okresu jej ważności.</w:t>
            </w:r>
          </w:p>
          <w:p w14:paraId="77AF947F" w14:textId="6B06190A" w:rsidR="001E1112" w:rsidRPr="00317ABF" w:rsidRDefault="001E1112" w:rsidP="00DB3BEC">
            <w:pPr>
              <w:pStyle w:val="ARTartustawynprozporzdzenia"/>
              <w:spacing w:line="240" w:lineRule="auto"/>
              <w:rPr>
                <w:rFonts w:ascii="Times New Roman" w:hAnsi="Times New Roman" w:cs="Times New Roman"/>
                <w:sz w:val="22"/>
                <w:szCs w:val="22"/>
              </w:rPr>
            </w:pPr>
          </w:p>
        </w:tc>
      </w:tr>
      <w:tr w:rsidR="001E1112" w:rsidRPr="00317ABF" w14:paraId="303C9D70" w14:textId="77777777" w:rsidTr="7753F98D">
        <w:trPr>
          <w:gridAfter w:val="2"/>
          <w:wAfter w:w="175" w:type="dxa"/>
        </w:trPr>
        <w:tc>
          <w:tcPr>
            <w:tcW w:w="704" w:type="dxa"/>
          </w:tcPr>
          <w:p w14:paraId="160FEA7A" w14:textId="77777777" w:rsidR="001E1112" w:rsidRPr="00317ABF" w:rsidRDefault="001E1112" w:rsidP="00DB3BEC">
            <w:pPr>
              <w:jc w:val="both"/>
              <w:rPr>
                <w:sz w:val="22"/>
                <w:szCs w:val="22"/>
              </w:rPr>
            </w:pPr>
            <w:r w:rsidRPr="00317ABF">
              <w:rPr>
                <w:sz w:val="22"/>
                <w:szCs w:val="22"/>
              </w:rPr>
              <w:lastRenderedPageBreak/>
              <w:t>Art. 30 ust. 2</w:t>
            </w:r>
          </w:p>
        </w:tc>
        <w:tc>
          <w:tcPr>
            <w:tcW w:w="4308" w:type="dxa"/>
          </w:tcPr>
          <w:p w14:paraId="0ADAB3BC" w14:textId="77777777" w:rsidR="001E1112" w:rsidRPr="00317ABF" w:rsidRDefault="001E1112" w:rsidP="00DB3BEC">
            <w:pPr>
              <w:spacing w:before="120"/>
              <w:jc w:val="both"/>
              <w:rPr>
                <w:sz w:val="22"/>
                <w:szCs w:val="22"/>
              </w:rPr>
            </w:pPr>
            <w:r w:rsidRPr="00317ABF">
              <w:rPr>
                <w:sz w:val="22"/>
                <w:szCs w:val="22"/>
              </w:rPr>
              <w:t>2.   W przypadku gdy właściwy organ stwierdzi, że dane przedsiębiorstwo nie spełnia co najmniej jednego spośród warunków, którymi obwarowano ogólne zezwolenie lub prawa użytkowania widma radiowego i zasobów numeracyjnych, lub szczególnych obowiązków, o których mowa w art. 13 ust. 2, powiadamia o tym przedsiębiorstwo i zapewnia mu możliwość wypowiedzenia się w tej kwestii w rozsądnym terminie.</w:t>
            </w:r>
          </w:p>
        </w:tc>
        <w:tc>
          <w:tcPr>
            <w:tcW w:w="986" w:type="dxa"/>
          </w:tcPr>
          <w:p w14:paraId="38ECD459" w14:textId="2117C1B4" w:rsidR="001E1112" w:rsidRPr="00317ABF" w:rsidRDefault="001E1112" w:rsidP="00DB3BEC">
            <w:pPr>
              <w:jc w:val="both"/>
              <w:rPr>
                <w:sz w:val="22"/>
                <w:szCs w:val="22"/>
              </w:rPr>
            </w:pPr>
            <w:r w:rsidRPr="00317ABF">
              <w:rPr>
                <w:sz w:val="22"/>
                <w:szCs w:val="22"/>
              </w:rPr>
              <w:t>T</w:t>
            </w:r>
          </w:p>
        </w:tc>
        <w:tc>
          <w:tcPr>
            <w:tcW w:w="910" w:type="dxa"/>
          </w:tcPr>
          <w:p w14:paraId="6EC59BF1" w14:textId="63D13BBA" w:rsidR="001E1112" w:rsidRPr="00317ABF" w:rsidRDefault="001E1112" w:rsidP="00DB3BEC">
            <w:pPr>
              <w:pStyle w:val="Tekstpodstawowy"/>
              <w:rPr>
                <w:b/>
                <w:noProof/>
                <w:sz w:val="22"/>
                <w:szCs w:val="22"/>
              </w:rPr>
            </w:pPr>
            <w:r w:rsidRPr="00317ABF">
              <w:rPr>
                <w:b/>
                <w:noProof/>
                <w:sz w:val="22"/>
                <w:szCs w:val="22"/>
              </w:rPr>
              <w:t xml:space="preserve">Art. </w:t>
            </w:r>
            <w:r w:rsidR="009C3DB4" w:rsidRPr="00317ABF">
              <w:rPr>
                <w:b/>
                <w:noProof/>
                <w:sz w:val="22"/>
                <w:szCs w:val="22"/>
              </w:rPr>
              <w:t>428</w:t>
            </w:r>
            <w:r w:rsidRPr="00317ABF">
              <w:rPr>
                <w:b/>
                <w:noProof/>
                <w:sz w:val="22"/>
                <w:szCs w:val="22"/>
              </w:rPr>
              <w:t xml:space="preserve"> ust.1 pkt 2</w:t>
            </w:r>
          </w:p>
        </w:tc>
        <w:tc>
          <w:tcPr>
            <w:tcW w:w="6814" w:type="dxa"/>
            <w:gridSpan w:val="2"/>
          </w:tcPr>
          <w:p w14:paraId="4B0A7E88" w14:textId="7AC73BCC" w:rsidR="009C3DB4" w:rsidRPr="00317ABF" w:rsidRDefault="009C3DB4" w:rsidP="009C3DB4">
            <w:pPr>
              <w:jc w:val="both"/>
              <w:rPr>
                <w:sz w:val="22"/>
                <w:szCs w:val="22"/>
              </w:rPr>
            </w:pPr>
            <w:r w:rsidRPr="00317ABF">
              <w:rPr>
                <w:b/>
                <w:sz w:val="22"/>
                <w:szCs w:val="22"/>
              </w:rPr>
              <w:t>Art. 428.</w:t>
            </w:r>
            <w:r w:rsidRPr="00317ABF">
              <w:rPr>
                <w:sz w:val="22"/>
                <w:szCs w:val="22"/>
              </w:rPr>
              <w:t xml:space="preserve"> 1. Jeżeli w wyniku kontroli, o której mowa w art. 416 ust. 2, stwierdzono, że podmiot kontrolowany, nie wypełnia odnoszących się do niego obowiązków wynikających z przepisów prawa lub decyzji wydanej przez Prezesa UKE, Prezes UKE:</w:t>
            </w:r>
          </w:p>
          <w:p w14:paraId="6CA50FDB" w14:textId="47614CAC" w:rsidR="009C3DB4" w:rsidRPr="00317ABF" w:rsidRDefault="009C3DB4" w:rsidP="009C3DB4">
            <w:pPr>
              <w:jc w:val="both"/>
              <w:rPr>
                <w:sz w:val="22"/>
                <w:szCs w:val="22"/>
              </w:rPr>
            </w:pPr>
            <w:r w:rsidRPr="00317ABF">
              <w:rPr>
                <w:sz w:val="22"/>
                <w:szCs w:val="22"/>
              </w:rPr>
              <w:t>1)</w:t>
            </w:r>
            <w:r w:rsidRPr="00317ABF">
              <w:rPr>
                <w:sz w:val="22"/>
                <w:szCs w:val="22"/>
              </w:rPr>
              <w:tab/>
              <w:t>(…)</w:t>
            </w:r>
          </w:p>
          <w:p w14:paraId="66962885" w14:textId="135E2658" w:rsidR="001E1112" w:rsidRPr="00317ABF" w:rsidRDefault="001E1112" w:rsidP="00DB3BEC">
            <w:pPr>
              <w:jc w:val="both"/>
              <w:rPr>
                <w:sz w:val="22"/>
                <w:szCs w:val="22"/>
              </w:rPr>
            </w:pPr>
            <w:r w:rsidRPr="00317ABF">
              <w:rPr>
                <w:sz w:val="22"/>
                <w:szCs w:val="22"/>
              </w:rPr>
              <w:t>2)</w:t>
            </w:r>
            <w:r w:rsidR="009C3DB4" w:rsidRPr="00317ABF">
              <w:rPr>
                <w:sz w:val="22"/>
                <w:szCs w:val="22"/>
              </w:rPr>
              <w:tab/>
            </w:r>
            <w:r w:rsidRPr="00317ABF">
              <w:rPr>
                <w:sz w:val="22"/>
                <w:szCs w:val="22"/>
              </w:rPr>
              <w:t>wydaje zalecenia pokontrolne, w których wzywa podmiot kontrolowany do usunięcia nieprawidłowości lub udzielenia wyjaśnień oraz informuje o możliwości przedstawienia stanowiska odnośnie do stwierdzonych naruszeń.</w:t>
            </w:r>
          </w:p>
        </w:tc>
      </w:tr>
      <w:tr w:rsidR="001E1112" w:rsidRPr="00317ABF" w14:paraId="73631549" w14:textId="77777777" w:rsidTr="7753F98D">
        <w:trPr>
          <w:gridAfter w:val="2"/>
          <w:wAfter w:w="175" w:type="dxa"/>
        </w:trPr>
        <w:tc>
          <w:tcPr>
            <w:tcW w:w="704" w:type="dxa"/>
          </w:tcPr>
          <w:p w14:paraId="0CF25515" w14:textId="77777777" w:rsidR="001E1112" w:rsidRPr="00317ABF" w:rsidRDefault="001E1112" w:rsidP="00DB3BEC">
            <w:pPr>
              <w:jc w:val="both"/>
              <w:rPr>
                <w:sz w:val="22"/>
                <w:szCs w:val="22"/>
              </w:rPr>
            </w:pPr>
            <w:r w:rsidRPr="00317ABF">
              <w:rPr>
                <w:sz w:val="22"/>
                <w:szCs w:val="22"/>
              </w:rPr>
              <w:t>Art. 30 ust. 3</w:t>
            </w:r>
          </w:p>
        </w:tc>
        <w:tc>
          <w:tcPr>
            <w:tcW w:w="4308" w:type="dxa"/>
          </w:tcPr>
          <w:p w14:paraId="70AAA560" w14:textId="77777777" w:rsidR="001E1112" w:rsidRPr="00317ABF" w:rsidRDefault="001E1112" w:rsidP="00DB3BEC">
            <w:pPr>
              <w:spacing w:before="120"/>
              <w:jc w:val="both"/>
              <w:rPr>
                <w:sz w:val="22"/>
                <w:szCs w:val="22"/>
              </w:rPr>
            </w:pPr>
            <w:r w:rsidRPr="00317ABF">
              <w:rPr>
                <w:sz w:val="22"/>
                <w:szCs w:val="22"/>
              </w:rPr>
              <w:t>3.   Właściwy organ uprawniony jest do żądania zaprzestania naruszeń, o których mowa w ust. 2, niezwłocznie albo w rozsądnym terminie, a także przyjmuje odpowiednie i proporcjonalne środki służące zapewnieniu przestrzegania przepisów.</w:t>
            </w:r>
          </w:p>
          <w:p w14:paraId="3FF9DF28" w14:textId="77777777" w:rsidR="001E1112" w:rsidRPr="00317ABF" w:rsidRDefault="001E1112" w:rsidP="00DB3BEC">
            <w:pPr>
              <w:spacing w:before="120"/>
              <w:jc w:val="both"/>
              <w:rPr>
                <w:sz w:val="22"/>
                <w:szCs w:val="22"/>
              </w:rPr>
            </w:pPr>
            <w:r w:rsidRPr="00317ABF">
              <w:rPr>
                <w:sz w:val="22"/>
                <w:szCs w:val="22"/>
              </w:rPr>
              <w:t>W tym celu państwa członkowskie nadają właściwym organom uprawnienia do nakładania:</w:t>
            </w:r>
          </w:p>
          <w:tbl>
            <w:tblPr>
              <w:tblW w:w="5000" w:type="pct"/>
              <w:tblCellSpacing w:w="0" w:type="dxa"/>
              <w:tblLayout w:type="fixed"/>
              <w:tblCellMar>
                <w:left w:w="0" w:type="dxa"/>
                <w:right w:w="0" w:type="dxa"/>
              </w:tblCellMar>
              <w:tblLook w:val="04A0" w:firstRow="1" w:lastRow="0" w:firstColumn="1" w:lastColumn="0" w:noHBand="0" w:noVBand="1"/>
            </w:tblPr>
            <w:tblGrid>
              <w:gridCol w:w="20"/>
              <w:gridCol w:w="4148"/>
            </w:tblGrid>
            <w:tr w:rsidR="001E1112" w:rsidRPr="00317ABF" w14:paraId="2A8EDA65" w14:textId="77777777" w:rsidTr="00345B65">
              <w:trPr>
                <w:tblCellSpacing w:w="0" w:type="dxa"/>
              </w:trPr>
              <w:tc>
                <w:tcPr>
                  <w:tcW w:w="6" w:type="dxa"/>
                  <w:hideMark/>
                </w:tcPr>
                <w:p w14:paraId="569D64D9" w14:textId="77777777" w:rsidR="001E1112" w:rsidRPr="00317ABF" w:rsidRDefault="001E1112" w:rsidP="00EE0AC3">
                  <w:pPr>
                    <w:framePr w:hSpace="141" w:wrap="around" w:vAnchor="text" w:hAnchor="text" w:xAlign="right" w:y="1"/>
                    <w:spacing w:before="120"/>
                    <w:suppressOverlap/>
                    <w:jc w:val="both"/>
                    <w:rPr>
                      <w:sz w:val="22"/>
                      <w:szCs w:val="22"/>
                    </w:rPr>
                  </w:pPr>
                </w:p>
              </w:tc>
              <w:tc>
                <w:tcPr>
                  <w:tcW w:w="9066" w:type="dxa"/>
                  <w:hideMark/>
                </w:tcPr>
                <w:p w14:paraId="021103FB" w14:textId="77777777" w:rsidR="001E1112" w:rsidRPr="00317ABF" w:rsidRDefault="001E1112" w:rsidP="00EE0AC3">
                  <w:pPr>
                    <w:framePr w:hSpace="141" w:wrap="around" w:vAnchor="text" w:hAnchor="text" w:xAlign="right" w:y="1"/>
                    <w:numPr>
                      <w:ilvl w:val="0"/>
                      <w:numId w:val="15"/>
                    </w:numPr>
                    <w:spacing w:before="120"/>
                    <w:suppressOverlap/>
                    <w:jc w:val="both"/>
                    <w:rPr>
                      <w:sz w:val="22"/>
                      <w:szCs w:val="22"/>
                    </w:rPr>
                  </w:pPr>
                  <w:r w:rsidRPr="00317ABF">
                    <w:rPr>
                      <w:sz w:val="22"/>
                      <w:szCs w:val="22"/>
                    </w:rPr>
                    <w:t>w stosownych przypadkach, odstraszających sankcji finansowych, które mogą obejmować sankcje okresowe z mocą wsteczną; oraz</w:t>
                  </w:r>
                </w:p>
              </w:tc>
            </w:tr>
          </w:tbl>
          <w:p w14:paraId="39E0584D" w14:textId="77777777" w:rsidR="001E1112" w:rsidRPr="00317ABF" w:rsidRDefault="001E1112" w:rsidP="00DB3BEC">
            <w:pPr>
              <w:jc w:val="both"/>
              <w:rPr>
                <w:vanish/>
                <w:sz w:val="22"/>
                <w:szCs w:val="22"/>
              </w:rPr>
            </w:pPr>
          </w:p>
          <w:tbl>
            <w:tblPr>
              <w:tblW w:w="5000" w:type="pct"/>
              <w:tblCellSpacing w:w="0" w:type="dxa"/>
              <w:tblLayout w:type="fixed"/>
              <w:tblCellMar>
                <w:left w:w="0" w:type="dxa"/>
                <w:right w:w="0" w:type="dxa"/>
              </w:tblCellMar>
              <w:tblLook w:val="04A0" w:firstRow="1" w:lastRow="0" w:firstColumn="1" w:lastColumn="0" w:noHBand="0" w:noVBand="1"/>
            </w:tblPr>
            <w:tblGrid>
              <w:gridCol w:w="20"/>
              <w:gridCol w:w="4148"/>
            </w:tblGrid>
            <w:tr w:rsidR="001E1112" w:rsidRPr="00317ABF" w14:paraId="47AA2C23" w14:textId="77777777" w:rsidTr="00345B65">
              <w:trPr>
                <w:tblCellSpacing w:w="0" w:type="dxa"/>
              </w:trPr>
              <w:tc>
                <w:tcPr>
                  <w:tcW w:w="6" w:type="dxa"/>
                  <w:hideMark/>
                </w:tcPr>
                <w:p w14:paraId="0BB1A27E" w14:textId="77777777" w:rsidR="001E1112" w:rsidRPr="00317ABF" w:rsidRDefault="001E1112" w:rsidP="00EE0AC3">
                  <w:pPr>
                    <w:framePr w:hSpace="141" w:wrap="around" w:vAnchor="text" w:hAnchor="text" w:xAlign="right" w:y="1"/>
                    <w:spacing w:before="120"/>
                    <w:suppressOverlap/>
                    <w:jc w:val="both"/>
                    <w:rPr>
                      <w:sz w:val="22"/>
                      <w:szCs w:val="22"/>
                    </w:rPr>
                  </w:pPr>
                </w:p>
              </w:tc>
              <w:tc>
                <w:tcPr>
                  <w:tcW w:w="9066" w:type="dxa"/>
                  <w:hideMark/>
                </w:tcPr>
                <w:p w14:paraId="4EEF4D53" w14:textId="77777777" w:rsidR="001E1112" w:rsidRPr="00317ABF" w:rsidRDefault="001E1112" w:rsidP="00EE0AC3">
                  <w:pPr>
                    <w:framePr w:hSpace="141" w:wrap="around" w:vAnchor="text" w:hAnchor="text" w:xAlign="right" w:y="1"/>
                    <w:numPr>
                      <w:ilvl w:val="0"/>
                      <w:numId w:val="15"/>
                    </w:numPr>
                    <w:spacing w:before="120"/>
                    <w:suppressOverlap/>
                    <w:jc w:val="both"/>
                    <w:rPr>
                      <w:sz w:val="22"/>
                      <w:szCs w:val="22"/>
                    </w:rPr>
                  </w:pPr>
                  <w:r w:rsidRPr="00317ABF">
                    <w:rPr>
                      <w:sz w:val="22"/>
                      <w:szCs w:val="22"/>
                    </w:rPr>
                    <w:t>nakazów zaprzestania lub opóźnienia świadczenia usługi lub pakietu usług, których kontynuowanie prowadziłoby do znaczącej szkody dla konkurencji, do czasu osiągnięcia zgodności z zobowiązaniami dotyczącymi dostępu nałożonymi po przeprowadzeniu analizy rynku zgodnie z art. 67.</w:t>
                  </w:r>
                </w:p>
              </w:tc>
            </w:tr>
          </w:tbl>
          <w:p w14:paraId="307810F7" w14:textId="77777777" w:rsidR="001E1112" w:rsidRPr="00317ABF" w:rsidRDefault="001E1112" w:rsidP="00DB3BEC">
            <w:pPr>
              <w:jc w:val="both"/>
              <w:rPr>
                <w:sz w:val="22"/>
                <w:szCs w:val="22"/>
              </w:rPr>
            </w:pPr>
            <w:r w:rsidRPr="00317ABF">
              <w:rPr>
                <w:sz w:val="22"/>
                <w:szCs w:val="22"/>
              </w:rPr>
              <w:t>Właściwe organy niezwłocznie zawiadamiają dane przedsiębiorstwo o środkach oraz uzasadnieniu ich zastosowania oraz wyznaczają rozsądny termin, w którym przedsiębiorstwo musi się do nich zastosować.</w:t>
            </w:r>
          </w:p>
        </w:tc>
        <w:tc>
          <w:tcPr>
            <w:tcW w:w="986" w:type="dxa"/>
          </w:tcPr>
          <w:p w14:paraId="0F8B125C" w14:textId="1079B165" w:rsidR="001E1112" w:rsidRPr="00317ABF" w:rsidRDefault="001E1112" w:rsidP="00DB3BEC">
            <w:pPr>
              <w:jc w:val="both"/>
              <w:rPr>
                <w:sz w:val="22"/>
                <w:szCs w:val="22"/>
              </w:rPr>
            </w:pPr>
            <w:r w:rsidRPr="00317ABF">
              <w:rPr>
                <w:sz w:val="22"/>
                <w:szCs w:val="22"/>
              </w:rPr>
              <w:lastRenderedPageBreak/>
              <w:t>T</w:t>
            </w:r>
          </w:p>
        </w:tc>
        <w:tc>
          <w:tcPr>
            <w:tcW w:w="910" w:type="dxa"/>
          </w:tcPr>
          <w:p w14:paraId="41C60458" w14:textId="501F1F07" w:rsidR="001E1112" w:rsidRPr="00317ABF" w:rsidRDefault="001E1112" w:rsidP="00DB3BEC">
            <w:pPr>
              <w:pStyle w:val="Tekstpodstawowy"/>
              <w:rPr>
                <w:b/>
                <w:bCs/>
                <w:noProof/>
                <w:sz w:val="22"/>
                <w:szCs w:val="22"/>
              </w:rPr>
            </w:pPr>
            <w:r w:rsidRPr="00317ABF">
              <w:rPr>
                <w:b/>
                <w:bCs/>
                <w:noProof/>
                <w:sz w:val="22"/>
                <w:szCs w:val="22"/>
              </w:rPr>
              <w:t xml:space="preserve">Art. </w:t>
            </w:r>
            <w:r w:rsidR="002331E7" w:rsidRPr="00317ABF">
              <w:rPr>
                <w:b/>
                <w:bCs/>
                <w:noProof/>
                <w:sz w:val="22"/>
                <w:szCs w:val="22"/>
              </w:rPr>
              <w:t>428</w:t>
            </w:r>
            <w:r w:rsidRPr="00317ABF">
              <w:rPr>
                <w:b/>
                <w:bCs/>
                <w:noProof/>
                <w:sz w:val="22"/>
                <w:szCs w:val="22"/>
              </w:rPr>
              <w:t xml:space="preserve"> ust. 1-5</w:t>
            </w:r>
          </w:p>
        </w:tc>
        <w:tc>
          <w:tcPr>
            <w:tcW w:w="6814" w:type="dxa"/>
            <w:gridSpan w:val="2"/>
          </w:tcPr>
          <w:p w14:paraId="454E787F" w14:textId="77777777" w:rsidR="002331E7" w:rsidRPr="00317ABF" w:rsidRDefault="002331E7" w:rsidP="002331E7">
            <w:pPr>
              <w:ind w:firstLine="510"/>
              <w:jc w:val="both"/>
              <w:rPr>
                <w:rFonts w:eastAsia="Times"/>
                <w:bCs/>
                <w:sz w:val="22"/>
                <w:szCs w:val="22"/>
              </w:rPr>
            </w:pPr>
            <w:r w:rsidRPr="00317ABF">
              <w:rPr>
                <w:rFonts w:eastAsia="Times"/>
                <w:b/>
                <w:bCs/>
                <w:sz w:val="22"/>
                <w:szCs w:val="22"/>
              </w:rPr>
              <w:t xml:space="preserve">Art. 428. </w:t>
            </w:r>
            <w:r w:rsidRPr="00317ABF">
              <w:rPr>
                <w:rFonts w:eastAsia="Times"/>
                <w:bCs/>
                <w:sz w:val="22"/>
                <w:szCs w:val="22"/>
              </w:rPr>
              <w:t>1. Jeżeli w wyniku kontroli, o której mowa w art. 416 ust. 2, stwierdzono, że podmiot kontrolowany, nie wypełnia odnoszących się do niego obowiązków wynikających z przepisów prawa lub decyzji wydanej przez Prezesa UKE, Prezes UKE:</w:t>
            </w:r>
          </w:p>
          <w:p w14:paraId="6E7186DC" w14:textId="77777777" w:rsidR="002331E7" w:rsidRPr="00317ABF" w:rsidRDefault="002331E7" w:rsidP="002331E7">
            <w:pPr>
              <w:ind w:firstLine="510"/>
              <w:jc w:val="both"/>
              <w:rPr>
                <w:rFonts w:eastAsia="Times"/>
                <w:bCs/>
                <w:sz w:val="22"/>
                <w:szCs w:val="22"/>
              </w:rPr>
            </w:pPr>
            <w:r w:rsidRPr="00317ABF">
              <w:rPr>
                <w:rFonts w:eastAsia="Times"/>
                <w:bCs/>
                <w:sz w:val="22"/>
                <w:szCs w:val="22"/>
              </w:rPr>
              <w:t>1)</w:t>
            </w:r>
            <w:r w:rsidRPr="00317ABF">
              <w:rPr>
                <w:rFonts w:eastAsia="Times"/>
                <w:bCs/>
                <w:sz w:val="22"/>
                <w:szCs w:val="22"/>
              </w:rPr>
              <w:tab/>
              <w:t>nakłada karę, o której mowa w art. 441, w przypadku stwierdzenia naruszeń wskazanych w tym przepisie, niezależnie od prowadzonego wobec tego podmiotu postępowania pokontrolnego, lub</w:t>
            </w:r>
          </w:p>
          <w:p w14:paraId="173CCF1F" w14:textId="77777777" w:rsidR="001E1112" w:rsidRPr="00317ABF" w:rsidRDefault="001E1112" w:rsidP="002331E7">
            <w:pPr>
              <w:ind w:firstLine="510"/>
              <w:jc w:val="both"/>
              <w:rPr>
                <w:rFonts w:eastAsia="Times"/>
                <w:sz w:val="22"/>
                <w:szCs w:val="22"/>
              </w:rPr>
            </w:pPr>
            <w:r w:rsidRPr="00317ABF">
              <w:rPr>
                <w:rFonts w:eastAsia="Times"/>
                <w:sz w:val="22"/>
                <w:szCs w:val="22"/>
              </w:rPr>
              <w:t>2)</w:t>
            </w:r>
            <w:r w:rsidR="002331E7" w:rsidRPr="00317ABF">
              <w:rPr>
                <w:rFonts w:eastAsia="Times"/>
                <w:bCs/>
                <w:sz w:val="22"/>
                <w:szCs w:val="22"/>
              </w:rPr>
              <w:tab/>
            </w:r>
            <w:r w:rsidRPr="00317ABF">
              <w:rPr>
                <w:rFonts w:eastAsia="Times"/>
                <w:sz w:val="22"/>
                <w:szCs w:val="22"/>
              </w:rPr>
              <w:t xml:space="preserve">wydaje zalecenia pokontrolne, w których wzywa podmiot kontrolowany do usunięcia nieprawidłowości lub udzielenia wyjaśnień oraz </w:t>
            </w:r>
            <w:r w:rsidRPr="00317ABF">
              <w:rPr>
                <w:rFonts w:eastAsia="Times"/>
                <w:sz w:val="22"/>
                <w:szCs w:val="22"/>
              </w:rPr>
              <w:lastRenderedPageBreak/>
              <w:t>informuje o możliwości przedstawienia stanowiska odnośnie do stwierdzonych naruszeń.</w:t>
            </w:r>
          </w:p>
          <w:p w14:paraId="12E29FD2" w14:textId="77777777" w:rsidR="001E1112" w:rsidRPr="00317ABF" w:rsidRDefault="001E1112" w:rsidP="002331E7">
            <w:pPr>
              <w:ind w:firstLine="510"/>
              <w:jc w:val="both"/>
              <w:rPr>
                <w:rFonts w:eastAsia="Times"/>
                <w:sz w:val="22"/>
                <w:szCs w:val="22"/>
              </w:rPr>
            </w:pPr>
            <w:r w:rsidRPr="00317ABF">
              <w:rPr>
                <w:rFonts w:eastAsia="Times"/>
                <w:sz w:val="22"/>
                <w:szCs w:val="22"/>
              </w:rPr>
              <w:t xml:space="preserve">2. Usunięcie nieprawidłowości, udzielenie wyjaśnień i przedstawienie stanowiska, o których mowa w ust. </w:t>
            </w:r>
            <w:r w:rsidR="002331E7" w:rsidRPr="00317ABF">
              <w:rPr>
                <w:rFonts w:eastAsia="Times"/>
                <w:bCs/>
                <w:sz w:val="22"/>
                <w:szCs w:val="22"/>
              </w:rPr>
              <w:t>1 pkt 2, następuje</w:t>
            </w:r>
            <w:r w:rsidRPr="00317ABF">
              <w:rPr>
                <w:rFonts w:eastAsia="Times"/>
                <w:sz w:val="22"/>
                <w:szCs w:val="22"/>
              </w:rPr>
              <w:t xml:space="preserve"> w terminie wskazanym przez Prezesa UKE, nie krótszym niż 30 dni od dnia doręczenia zaleceń pokontrolnych podmiotowi kontrolowanemu.</w:t>
            </w:r>
          </w:p>
          <w:p w14:paraId="1B1A00AD" w14:textId="304231B7" w:rsidR="001E1112" w:rsidRPr="00317ABF" w:rsidRDefault="001E1112" w:rsidP="002331E7">
            <w:pPr>
              <w:ind w:firstLine="510"/>
              <w:jc w:val="both"/>
              <w:rPr>
                <w:rFonts w:eastAsia="Times"/>
                <w:sz w:val="22"/>
                <w:szCs w:val="22"/>
              </w:rPr>
            </w:pPr>
            <w:r w:rsidRPr="00317ABF">
              <w:rPr>
                <w:rFonts w:eastAsia="Times"/>
                <w:sz w:val="22"/>
                <w:szCs w:val="22"/>
              </w:rPr>
              <w:t>3. W zaleceniach pokontrolnych, o których mowa w ust. 1 pkt 2, Prezes UKE może określić inny termin usunięcia nieprawidłowości, udzielenia wyjaśnień lub przedstawienia stanowiska odnośnie do stwierdzonych naruszeń. Termin określony w wezwaniu może być krótszy niż 30 dni jedynie w przypadku, gdy podmiot kontrolowany, do którego odnosi się wezwanie, wyraził na to zgodę lub gdy naruszenia wskazane w zaleceniach pokontrolnych powtarzały się w przeszłości.</w:t>
            </w:r>
          </w:p>
          <w:p w14:paraId="6E12A4D8" w14:textId="77777777" w:rsidR="001E1112" w:rsidRPr="00317ABF" w:rsidRDefault="001E1112" w:rsidP="002331E7">
            <w:pPr>
              <w:ind w:firstLine="510"/>
              <w:jc w:val="both"/>
              <w:rPr>
                <w:rFonts w:eastAsia="Times"/>
                <w:sz w:val="22"/>
                <w:szCs w:val="22"/>
              </w:rPr>
            </w:pPr>
            <w:r w:rsidRPr="00317ABF">
              <w:rPr>
                <w:rFonts w:eastAsia="Times"/>
                <w:sz w:val="22"/>
                <w:szCs w:val="22"/>
              </w:rPr>
              <w:t>4. Jeżeli po upływie 30 dni od dnia doręczenia zaleceń pokontrolnych lub po upływie terminu, o którym mowa w ust. 2, podmiot kontrolowany nie usunie wskazanych nieprawidłowości albo udzielone wyjaśnienia lub przedstawione stanowisko odnośnie do stwierdzonych naruszeń okażą się niewystarczające, Prezes UKE wydaje decyzję, w której nakazuje usunięcie stwierdzonych nieprawidłowości oraz może:</w:t>
            </w:r>
          </w:p>
          <w:p w14:paraId="5C4AD825" w14:textId="77777777" w:rsidR="001E1112" w:rsidRPr="00317ABF" w:rsidRDefault="001E1112" w:rsidP="002331E7">
            <w:pPr>
              <w:ind w:firstLine="510"/>
              <w:jc w:val="both"/>
              <w:rPr>
                <w:rFonts w:eastAsia="Times"/>
                <w:sz w:val="22"/>
                <w:szCs w:val="22"/>
              </w:rPr>
            </w:pPr>
            <w:r w:rsidRPr="00317ABF">
              <w:rPr>
                <w:rFonts w:eastAsia="Times"/>
                <w:sz w:val="22"/>
                <w:szCs w:val="22"/>
              </w:rPr>
              <w:t>1)</w:t>
            </w:r>
            <w:r w:rsidRPr="00317ABF">
              <w:rPr>
                <w:rFonts w:eastAsia="Times"/>
                <w:sz w:val="22"/>
                <w:szCs w:val="22"/>
              </w:rPr>
              <w:tab/>
              <w:t>wskazać środki, jakie powinien zastosować podmiot kontrolowany, w celu usunięcia nieprawidłowości;</w:t>
            </w:r>
          </w:p>
          <w:p w14:paraId="3E52F003" w14:textId="77777777" w:rsidR="001E1112" w:rsidRPr="00317ABF" w:rsidRDefault="001E1112" w:rsidP="002331E7">
            <w:pPr>
              <w:ind w:firstLine="510"/>
              <w:jc w:val="both"/>
              <w:rPr>
                <w:rFonts w:eastAsia="Times"/>
                <w:sz w:val="22"/>
                <w:szCs w:val="22"/>
              </w:rPr>
            </w:pPr>
            <w:r w:rsidRPr="00317ABF">
              <w:rPr>
                <w:rFonts w:eastAsia="Times"/>
                <w:sz w:val="22"/>
                <w:szCs w:val="22"/>
              </w:rPr>
              <w:t>2)</w:t>
            </w:r>
            <w:r w:rsidRPr="00317ABF">
              <w:rPr>
                <w:rFonts w:eastAsia="Times"/>
                <w:sz w:val="22"/>
                <w:szCs w:val="22"/>
              </w:rPr>
              <w:tab/>
              <w:t>określić termin, w którym ma nastąpić usunięcie nieprawidłowości;</w:t>
            </w:r>
          </w:p>
          <w:p w14:paraId="0ECE8480" w14:textId="77777777" w:rsidR="001E1112" w:rsidRPr="00317ABF" w:rsidRDefault="001E1112" w:rsidP="002331E7">
            <w:pPr>
              <w:ind w:firstLine="510"/>
              <w:jc w:val="both"/>
              <w:rPr>
                <w:rFonts w:eastAsia="Times"/>
                <w:sz w:val="22"/>
                <w:szCs w:val="22"/>
              </w:rPr>
            </w:pPr>
            <w:r w:rsidRPr="00317ABF">
              <w:rPr>
                <w:rFonts w:eastAsia="Times"/>
                <w:sz w:val="22"/>
                <w:szCs w:val="22"/>
              </w:rPr>
              <w:t>3)</w:t>
            </w:r>
            <w:r w:rsidRPr="00317ABF">
              <w:rPr>
                <w:rFonts w:eastAsia="Times"/>
                <w:sz w:val="22"/>
                <w:szCs w:val="22"/>
              </w:rPr>
              <w:tab/>
              <w:t>nałożyć karę, o której mowa w art. 409, chyba że na podstawie ust. 1 pkt 1 zostało już wszczęte postępowanie w sprawie nałożenia kary za niewypełnienie tych obowiązków.</w:t>
            </w:r>
          </w:p>
          <w:p w14:paraId="4267F419" w14:textId="24D43022" w:rsidR="001E1112" w:rsidRPr="00317ABF" w:rsidRDefault="001E1112" w:rsidP="00DB3BEC">
            <w:pPr>
              <w:jc w:val="both"/>
              <w:rPr>
                <w:sz w:val="22"/>
                <w:szCs w:val="22"/>
              </w:rPr>
            </w:pPr>
            <w:r w:rsidRPr="00317ABF">
              <w:rPr>
                <w:rFonts w:eastAsia="Times"/>
                <w:sz w:val="22"/>
                <w:szCs w:val="22"/>
              </w:rPr>
              <w:t xml:space="preserve">5. W przypadku przedsiębiorców komunikacji elektronicznej, na których zostały nałożone obowiązki, o których mowa w art. </w:t>
            </w:r>
            <w:r w:rsidR="002331E7" w:rsidRPr="00317ABF">
              <w:rPr>
                <w:rFonts w:eastAsia="Times"/>
                <w:bCs/>
                <w:sz w:val="22"/>
                <w:szCs w:val="22"/>
              </w:rPr>
              <w:t>211</w:t>
            </w:r>
            <w:r w:rsidRPr="00317ABF">
              <w:rPr>
                <w:rFonts w:eastAsia="Times"/>
                <w:sz w:val="22"/>
                <w:szCs w:val="22"/>
              </w:rPr>
              <w:t xml:space="preserve">, art. </w:t>
            </w:r>
            <w:r w:rsidR="002331E7" w:rsidRPr="00317ABF">
              <w:rPr>
                <w:rFonts w:eastAsia="Times"/>
                <w:bCs/>
                <w:sz w:val="22"/>
                <w:szCs w:val="22"/>
              </w:rPr>
              <w:t>213-215</w:t>
            </w:r>
            <w:r w:rsidRPr="00317ABF">
              <w:rPr>
                <w:rFonts w:eastAsia="Times"/>
                <w:sz w:val="22"/>
                <w:szCs w:val="22"/>
              </w:rPr>
              <w:t xml:space="preserve">, art. </w:t>
            </w:r>
            <w:r w:rsidR="002331E7" w:rsidRPr="00317ABF">
              <w:rPr>
                <w:rFonts w:eastAsia="Times"/>
                <w:bCs/>
                <w:sz w:val="22"/>
                <w:szCs w:val="22"/>
              </w:rPr>
              <w:t>216 ust. 1,</w:t>
            </w:r>
            <w:r w:rsidRPr="00317ABF">
              <w:rPr>
                <w:rFonts w:eastAsia="Times"/>
                <w:sz w:val="22"/>
                <w:szCs w:val="22"/>
              </w:rPr>
              <w:t xml:space="preserve"> art. </w:t>
            </w:r>
            <w:r w:rsidR="002331E7" w:rsidRPr="00317ABF">
              <w:rPr>
                <w:rFonts w:eastAsia="Times"/>
                <w:bCs/>
                <w:sz w:val="22"/>
                <w:szCs w:val="22"/>
              </w:rPr>
              <w:t>219 ust. 2, art. 220 lub art. 222</w:t>
            </w:r>
            <w:r w:rsidRPr="00317ABF">
              <w:rPr>
                <w:rFonts w:eastAsia="Times"/>
                <w:sz w:val="22"/>
                <w:szCs w:val="22"/>
              </w:rPr>
              <w:t>, Prezes UKE może, w drodze decyzji, nakazać zaprzestania lub opóźnienia świadczenia usługi komunikacji elektronicznej, której dalsze świadczenie mogłoby prowadzić do znaczącej szkody dla konkurencji, do czasu wypełnienia tych obowiązków.</w:t>
            </w:r>
          </w:p>
        </w:tc>
      </w:tr>
      <w:tr w:rsidR="001E1112" w:rsidRPr="00317ABF" w14:paraId="2F4941E4" w14:textId="77777777" w:rsidTr="7753F98D">
        <w:trPr>
          <w:gridAfter w:val="2"/>
          <w:wAfter w:w="175" w:type="dxa"/>
        </w:trPr>
        <w:tc>
          <w:tcPr>
            <w:tcW w:w="704" w:type="dxa"/>
          </w:tcPr>
          <w:p w14:paraId="7FC6A557" w14:textId="77777777" w:rsidR="001E1112" w:rsidRPr="00317ABF" w:rsidRDefault="001E1112" w:rsidP="00DB3BEC">
            <w:pPr>
              <w:jc w:val="both"/>
              <w:rPr>
                <w:sz w:val="22"/>
                <w:szCs w:val="22"/>
              </w:rPr>
            </w:pPr>
            <w:r w:rsidRPr="00317ABF">
              <w:rPr>
                <w:sz w:val="22"/>
                <w:szCs w:val="22"/>
              </w:rPr>
              <w:lastRenderedPageBreak/>
              <w:t>Art. 30 ust. 4</w:t>
            </w:r>
          </w:p>
        </w:tc>
        <w:tc>
          <w:tcPr>
            <w:tcW w:w="4308" w:type="dxa"/>
          </w:tcPr>
          <w:p w14:paraId="2744AD9E" w14:textId="77777777" w:rsidR="001E1112" w:rsidRPr="00317ABF" w:rsidRDefault="001E1112" w:rsidP="00DB3BEC">
            <w:pPr>
              <w:spacing w:before="120"/>
              <w:jc w:val="both"/>
              <w:rPr>
                <w:sz w:val="22"/>
                <w:szCs w:val="22"/>
              </w:rPr>
            </w:pPr>
            <w:r w:rsidRPr="00317ABF">
              <w:rPr>
                <w:sz w:val="22"/>
                <w:szCs w:val="22"/>
              </w:rPr>
              <w:t xml:space="preserve">4.   Niezależnie od przepisów ust. 2 i 3 niniejszego artykułu państwa członkowskie upoważniają właściwy organ do nakładania w stosownych przypadkach sankcji finansowych na przedsiębiorstwa z tytułu nieprzekazania informacji zgodnie </w:t>
            </w:r>
            <w:r w:rsidRPr="00317ABF">
              <w:rPr>
                <w:sz w:val="22"/>
                <w:szCs w:val="22"/>
              </w:rPr>
              <w:lastRenderedPageBreak/>
              <w:t>z obowiązkami nałożonymi na podstawie art. 21 ust. 1 akapit pierwszy lit. a) lub b) i art. 69 w rozsądnym terminie określonym przez właściwy organ.</w:t>
            </w:r>
          </w:p>
        </w:tc>
        <w:tc>
          <w:tcPr>
            <w:tcW w:w="986" w:type="dxa"/>
          </w:tcPr>
          <w:p w14:paraId="2307325F" w14:textId="2B58399A" w:rsidR="001E1112" w:rsidRPr="00317ABF" w:rsidRDefault="001E1112" w:rsidP="00DB3BEC">
            <w:pPr>
              <w:jc w:val="both"/>
              <w:rPr>
                <w:sz w:val="22"/>
                <w:szCs w:val="22"/>
              </w:rPr>
            </w:pPr>
            <w:r w:rsidRPr="00317ABF">
              <w:rPr>
                <w:sz w:val="22"/>
                <w:szCs w:val="22"/>
              </w:rPr>
              <w:lastRenderedPageBreak/>
              <w:t>T</w:t>
            </w:r>
          </w:p>
        </w:tc>
        <w:tc>
          <w:tcPr>
            <w:tcW w:w="910" w:type="dxa"/>
          </w:tcPr>
          <w:p w14:paraId="313AE7F5" w14:textId="6080A2FE" w:rsidR="001E1112" w:rsidRPr="00317ABF" w:rsidRDefault="00DB3BEC" w:rsidP="00DB3BEC">
            <w:pPr>
              <w:pStyle w:val="Tekstpodstawowy"/>
              <w:rPr>
                <w:b/>
                <w:bCs/>
                <w:noProof/>
                <w:sz w:val="22"/>
                <w:szCs w:val="22"/>
              </w:rPr>
            </w:pPr>
            <w:r w:rsidRPr="00317ABF">
              <w:rPr>
                <w:b/>
                <w:bCs/>
                <w:noProof/>
                <w:sz w:val="22"/>
                <w:szCs w:val="22"/>
              </w:rPr>
              <w:t xml:space="preserve">Art. </w:t>
            </w:r>
            <w:r w:rsidR="001E1112" w:rsidRPr="00317ABF">
              <w:rPr>
                <w:b/>
                <w:bCs/>
                <w:noProof/>
                <w:sz w:val="22"/>
                <w:szCs w:val="22"/>
              </w:rPr>
              <w:t>4</w:t>
            </w:r>
            <w:r w:rsidR="00C930AB" w:rsidRPr="00317ABF">
              <w:rPr>
                <w:b/>
                <w:bCs/>
                <w:noProof/>
                <w:sz w:val="22"/>
                <w:szCs w:val="22"/>
              </w:rPr>
              <w:t>41</w:t>
            </w:r>
            <w:r w:rsidR="001E1112" w:rsidRPr="00317ABF">
              <w:rPr>
                <w:b/>
                <w:bCs/>
                <w:noProof/>
                <w:sz w:val="22"/>
                <w:szCs w:val="22"/>
              </w:rPr>
              <w:t xml:space="preserve"> ust. 2</w:t>
            </w:r>
          </w:p>
        </w:tc>
        <w:tc>
          <w:tcPr>
            <w:tcW w:w="6814" w:type="dxa"/>
            <w:gridSpan w:val="2"/>
          </w:tcPr>
          <w:p w14:paraId="46F4F06B" w14:textId="23BE5264" w:rsidR="001E1112" w:rsidRPr="00317ABF" w:rsidRDefault="001E1112" w:rsidP="00C930AB">
            <w:pPr>
              <w:pStyle w:val="Tekstpodstawowy"/>
              <w:rPr>
                <w:rFonts w:eastAsia="Times"/>
                <w:sz w:val="22"/>
                <w:szCs w:val="22"/>
              </w:rPr>
            </w:pPr>
            <w:r w:rsidRPr="00317ABF">
              <w:rPr>
                <w:rFonts w:eastAsia="Times"/>
                <w:sz w:val="22"/>
                <w:szCs w:val="22"/>
              </w:rPr>
              <w:t>2. Prezes UKE, jeżeli przemawia za tym charakter lub zakres naruszenia, może nałożyć karę pieniężną na podmiot, który:</w:t>
            </w:r>
          </w:p>
          <w:p w14:paraId="168F65D8" w14:textId="5539D37A" w:rsidR="001E1112" w:rsidRPr="00317ABF" w:rsidRDefault="001E1112" w:rsidP="00DB3BEC">
            <w:pPr>
              <w:jc w:val="both"/>
              <w:rPr>
                <w:sz w:val="22"/>
                <w:szCs w:val="22"/>
              </w:rPr>
            </w:pPr>
            <w:r w:rsidRPr="00317ABF">
              <w:rPr>
                <w:rFonts w:eastAsia="Times"/>
                <w:sz w:val="22"/>
                <w:szCs w:val="22"/>
              </w:rPr>
              <w:t>1)</w:t>
            </w:r>
            <w:r w:rsidR="00C930AB" w:rsidRPr="00317ABF">
              <w:rPr>
                <w:rFonts w:eastAsia="Times"/>
                <w:sz w:val="22"/>
                <w:szCs w:val="22"/>
              </w:rPr>
              <w:tab/>
            </w:r>
            <w:r w:rsidRPr="00317ABF">
              <w:rPr>
                <w:rFonts w:eastAsia="Times"/>
                <w:sz w:val="22"/>
                <w:szCs w:val="22"/>
              </w:rPr>
              <w:t>nie wypełnia obowiązku udzielania informacji lub dostarczania dokumentów przewidzianych ustawą lub ustawą z dnia 7 maja 2010 r. o wspieraniu rozwoju usług i sieci telekomunikacyjnych lub udziela informacji niepełnych lub nieprawdziwych, lub dostarcza dokumenty zawierające informacje niepełne lub nieprawdziwe;</w:t>
            </w:r>
          </w:p>
        </w:tc>
      </w:tr>
      <w:tr w:rsidR="001E1112" w:rsidRPr="00317ABF" w14:paraId="55D4920F" w14:textId="77777777" w:rsidTr="7753F98D">
        <w:trPr>
          <w:gridAfter w:val="2"/>
          <w:wAfter w:w="175" w:type="dxa"/>
        </w:trPr>
        <w:tc>
          <w:tcPr>
            <w:tcW w:w="704" w:type="dxa"/>
          </w:tcPr>
          <w:p w14:paraId="030E9374" w14:textId="77777777" w:rsidR="001E1112" w:rsidRPr="00317ABF" w:rsidRDefault="001E1112" w:rsidP="00DB3BEC">
            <w:pPr>
              <w:jc w:val="both"/>
              <w:rPr>
                <w:sz w:val="22"/>
                <w:szCs w:val="22"/>
              </w:rPr>
            </w:pPr>
            <w:r w:rsidRPr="00317ABF">
              <w:rPr>
                <w:sz w:val="22"/>
                <w:szCs w:val="22"/>
              </w:rPr>
              <w:lastRenderedPageBreak/>
              <w:t>Art. 30 ust. 5</w:t>
            </w:r>
          </w:p>
        </w:tc>
        <w:tc>
          <w:tcPr>
            <w:tcW w:w="4308" w:type="dxa"/>
          </w:tcPr>
          <w:p w14:paraId="3F446AA3" w14:textId="77777777" w:rsidR="001E1112" w:rsidRPr="00317ABF" w:rsidRDefault="001E1112" w:rsidP="00DB3BEC">
            <w:pPr>
              <w:spacing w:before="120"/>
              <w:jc w:val="both"/>
              <w:rPr>
                <w:sz w:val="22"/>
                <w:szCs w:val="22"/>
              </w:rPr>
            </w:pPr>
            <w:r w:rsidRPr="00317ABF">
              <w:rPr>
                <w:sz w:val="22"/>
                <w:szCs w:val="22"/>
              </w:rPr>
              <w:t>5.   W przypadkach poważnego naruszenia lub powtarzających się naruszeń warunków ogólnego zezwolenia lub warunków związanych z prawami użytkowania widma radiowego i zasobów numeracyjnych lub szczególnych obowiązków, o których mowa w art. 13 ust. 2 lub art. 47 ust. 1 lub 2, w przypadku gdy środki służące zapewnieniu przestrzegania przepisów, o których mowa w ust. 3 niniejszego artykułu, okażą się nieskuteczne, państwa członkowskie przyznają właściwym organom uprawnienia do uniemożliwiania przedsiębiorstwu dalszego dostarczania sieci lub świadczenia usług łączności elektronicznej albo do zawieszania lub cofania tych praw użytkowania. Państwa członkowskie przyznają właściwemu organowi uprawnienia do nakładania sankcji, które są skuteczne, proporcjonalne i odstraszające. Te sankcje mogą być stosowane do okresu każdego naruszenia, nawet jeżeli takie naruszenie zostało później naprawione.</w:t>
            </w:r>
          </w:p>
        </w:tc>
        <w:tc>
          <w:tcPr>
            <w:tcW w:w="986" w:type="dxa"/>
          </w:tcPr>
          <w:p w14:paraId="460FA7C8" w14:textId="612A4AE4" w:rsidR="001E1112" w:rsidRPr="00317ABF" w:rsidRDefault="001E1112" w:rsidP="00DB3BEC">
            <w:pPr>
              <w:jc w:val="both"/>
              <w:rPr>
                <w:sz w:val="22"/>
                <w:szCs w:val="22"/>
              </w:rPr>
            </w:pPr>
            <w:r w:rsidRPr="00317ABF">
              <w:rPr>
                <w:sz w:val="22"/>
                <w:szCs w:val="22"/>
              </w:rPr>
              <w:t>T</w:t>
            </w:r>
          </w:p>
        </w:tc>
        <w:tc>
          <w:tcPr>
            <w:tcW w:w="910" w:type="dxa"/>
          </w:tcPr>
          <w:p w14:paraId="3DE6369D" w14:textId="3546B393" w:rsidR="001E1112" w:rsidRPr="00317ABF" w:rsidRDefault="00DB3BEC" w:rsidP="00DB3BEC">
            <w:pPr>
              <w:pStyle w:val="Tekstpodstawowy"/>
              <w:rPr>
                <w:b/>
                <w:bCs/>
                <w:noProof/>
                <w:sz w:val="22"/>
                <w:szCs w:val="22"/>
              </w:rPr>
            </w:pPr>
            <w:r w:rsidRPr="00317ABF">
              <w:rPr>
                <w:b/>
                <w:bCs/>
                <w:noProof/>
                <w:sz w:val="22"/>
                <w:szCs w:val="22"/>
              </w:rPr>
              <w:t xml:space="preserve">Art. </w:t>
            </w:r>
            <w:r w:rsidR="00C930AB" w:rsidRPr="00317ABF">
              <w:rPr>
                <w:b/>
                <w:bCs/>
                <w:noProof/>
                <w:sz w:val="22"/>
                <w:szCs w:val="22"/>
              </w:rPr>
              <w:t>428</w:t>
            </w:r>
            <w:r w:rsidR="001E1112" w:rsidRPr="00317ABF">
              <w:rPr>
                <w:b/>
                <w:bCs/>
                <w:noProof/>
                <w:sz w:val="22"/>
                <w:szCs w:val="22"/>
              </w:rPr>
              <w:t xml:space="preserve"> ust. 6-10</w:t>
            </w:r>
            <w:r w:rsidR="00C930AB" w:rsidRPr="00317ABF">
              <w:rPr>
                <w:b/>
                <w:bCs/>
                <w:noProof/>
                <w:sz w:val="22"/>
                <w:szCs w:val="22"/>
              </w:rPr>
              <w:t>, art. 441 ust. 1-3</w:t>
            </w:r>
          </w:p>
          <w:p w14:paraId="5C327D6C" w14:textId="23BD5205" w:rsidR="001E1112" w:rsidRPr="00317ABF" w:rsidRDefault="001E1112" w:rsidP="00DB3BEC">
            <w:pPr>
              <w:pStyle w:val="Tekstpodstawowy"/>
              <w:rPr>
                <w:b/>
                <w:bCs/>
                <w:noProof/>
                <w:sz w:val="22"/>
                <w:szCs w:val="22"/>
              </w:rPr>
            </w:pPr>
          </w:p>
          <w:p w14:paraId="3D10898D" w14:textId="4C2FB6BB" w:rsidR="001E1112" w:rsidRPr="00317ABF" w:rsidRDefault="001E1112" w:rsidP="00DB3BEC">
            <w:pPr>
              <w:pStyle w:val="Tekstpodstawowy"/>
              <w:rPr>
                <w:b/>
                <w:bCs/>
                <w:noProof/>
                <w:sz w:val="22"/>
                <w:szCs w:val="22"/>
              </w:rPr>
            </w:pPr>
          </w:p>
          <w:p w14:paraId="381A1B0E" w14:textId="391F670D" w:rsidR="001E1112" w:rsidRPr="00317ABF" w:rsidRDefault="001E1112" w:rsidP="00DB3BEC">
            <w:pPr>
              <w:pStyle w:val="Tekstpodstawowy"/>
              <w:rPr>
                <w:b/>
                <w:bCs/>
                <w:noProof/>
                <w:sz w:val="22"/>
                <w:szCs w:val="22"/>
              </w:rPr>
            </w:pPr>
          </w:p>
          <w:p w14:paraId="123B4573" w14:textId="00BB03E4" w:rsidR="001E1112" w:rsidRPr="00317ABF" w:rsidRDefault="001E1112" w:rsidP="00DB3BEC">
            <w:pPr>
              <w:pStyle w:val="Tekstpodstawowy"/>
              <w:rPr>
                <w:b/>
                <w:bCs/>
                <w:noProof/>
                <w:sz w:val="22"/>
                <w:szCs w:val="22"/>
              </w:rPr>
            </w:pPr>
          </w:p>
          <w:p w14:paraId="585FBE6B" w14:textId="2F9B7660" w:rsidR="001E1112" w:rsidRPr="00317ABF" w:rsidRDefault="001E1112" w:rsidP="00DB3BEC">
            <w:pPr>
              <w:pStyle w:val="Tekstpodstawowy"/>
              <w:rPr>
                <w:b/>
                <w:bCs/>
                <w:noProof/>
                <w:sz w:val="22"/>
                <w:szCs w:val="22"/>
              </w:rPr>
            </w:pPr>
          </w:p>
          <w:p w14:paraId="0B70775D" w14:textId="4C3F48AA" w:rsidR="001E1112" w:rsidRPr="00317ABF" w:rsidRDefault="001E1112" w:rsidP="00DB3BEC">
            <w:pPr>
              <w:pStyle w:val="Tekstpodstawowy"/>
              <w:rPr>
                <w:b/>
                <w:bCs/>
                <w:noProof/>
                <w:sz w:val="22"/>
                <w:szCs w:val="22"/>
              </w:rPr>
            </w:pPr>
          </w:p>
          <w:p w14:paraId="701DE19C" w14:textId="3C603B2B" w:rsidR="001E1112" w:rsidRPr="00317ABF" w:rsidRDefault="001E1112" w:rsidP="00DB3BEC">
            <w:pPr>
              <w:pStyle w:val="Tekstpodstawowy"/>
              <w:rPr>
                <w:b/>
                <w:bCs/>
                <w:noProof/>
                <w:sz w:val="22"/>
                <w:szCs w:val="22"/>
              </w:rPr>
            </w:pPr>
          </w:p>
          <w:p w14:paraId="607E9599" w14:textId="77777777" w:rsidR="001E1112" w:rsidRPr="00317ABF" w:rsidRDefault="001E1112" w:rsidP="00DB3BEC">
            <w:pPr>
              <w:pStyle w:val="Tekstpodstawowy"/>
              <w:rPr>
                <w:b/>
                <w:bCs/>
                <w:noProof/>
                <w:sz w:val="22"/>
                <w:szCs w:val="22"/>
              </w:rPr>
            </w:pPr>
          </w:p>
          <w:p w14:paraId="3F5B25CC" w14:textId="77777777" w:rsidR="001E1112" w:rsidRPr="00317ABF" w:rsidRDefault="001E1112" w:rsidP="00DB3BEC">
            <w:pPr>
              <w:pStyle w:val="Tekstpodstawowy"/>
              <w:rPr>
                <w:b/>
                <w:bCs/>
                <w:noProof/>
                <w:sz w:val="22"/>
                <w:szCs w:val="22"/>
              </w:rPr>
            </w:pPr>
          </w:p>
          <w:p w14:paraId="0D2225D4" w14:textId="77777777" w:rsidR="001E1112" w:rsidRPr="00317ABF" w:rsidRDefault="001E1112" w:rsidP="00DB3BEC">
            <w:pPr>
              <w:pStyle w:val="Tekstpodstawowy"/>
              <w:rPr>
                <w:b/>
                <w:bCs/>
                <w:noProof/>
                <w:sz w:val="22"/>
                <w:szCs w:val="22"/>
              </w:rPr>
            </w:pPr>
          </w:p>
          <w:p w14:paraId="7211E1EC" w14:textId="77777777" w:rsidR="001E1112" w:rsidRPr="00317ABF" w:rsidRDefault="001E1112" w:rsidP="00DB3BEC">
            <w:pPr>
              <w:pStyle w:val="Tekstpodstawowy"/>
              <w:rPr>
                <w:b/>
                <w:bCs/>
                <w:noProof/>
                <w:sz w:val="22"/>
                <w:szCs w:val="22"/>
              </w:rPr>
            </w:pPr>
          </w:p>
          <w:p w14:paraId="33150582" w14:textId="77777777" w:rsidR="001E1112" w:rsidRPr="00317ABF" w:rsidRDefault="001E1112" w:rsidP="00DB3BEC">
            <w:pPr>
              <w:pStyle w:val="Tekstpodstawowy"/>
              <w:rPr>
                <w:b/>
                <w:bCs/>
                <w:noProof/>
                <w:sz w:val="22"/>
                <w:szCs w:val="22"/>
              </w:rPr>
            </w:pPr>
          </w:p>
          <w:p w14:paraId="48811FEC" w14:textId="77777777" w:rsidR="001E1112" w:rsidRPr="00317ABF" w:rsidRDefault="001E1112" w:rsidP="00DB3BEC">
            <w:pPr>
              <w:pStyle w:val="Tekstpodstawowy"/>
              <w:rPr>
                <w:b/>
                <w:bCs/>
                <w:noProof/>
                <w:sz w:val="22"/>
                <w:szCs w:val="22"/>
              </w:rPr>
            </w:pPr>
          </w:p>
          <w:p w14:paraId="1CB27674" w14:textId="77777777" w:rsidR="001E1112" w:rsidRPr="00317ABF" w:rsidRDefault="001E1112" w:rsidP="00DB3BEC">
            <w:pPr>
              <w:pStyle w:val="Tekstpodstawowy"/>
              <w:rPr>
                <w:b/>
                <w:bCs/>
                <w:noProof/>
                <w:sz w:val="22"/>
                <w:szCs w:val="22"/>
              </w:rPr>
            </w:pPr>
          </w:p>
          <w:p w14:paraId="05771231" w14:textId="77777777" w:rsidR="001E1112" w:rsidRPr="00317ABF" w:rsidRDefault="001E1112" w:rsidP="00DB3BEC">
            <w:pPr>
              <w:pStyle w:val="Tekstpodstawowy"/>
              <w:rPr>
                <w:b/>
                <w:bCs/>
                <w:noProof/>
                <w:sz w:val="22"/>
                <w:szCs w:val="22"/>
              </w:rPr>
            </w:pPr>
          </w:p>
          <w:p w14:paraId="4401914E" w14:textId="77777777" w:rsidR="001E1112" w:rsidRPr="00317ABF" w:rsidRDefault="001E1112" w:rsidP="00DB3BEC">
            <w:pPr>
              <w:pStyle w:val="Tekstpodstawowy"/>
              <w:rPr>
                <w:b/>
                <w:bCs/>
                <w:noProof/>
                <w:sz w:val="22"/>
                <w:szCs w:val="22"/>
              </w:rPr>
            </w:pPr>
          </w:p>
          <w:p w14:paraId="0B303D53" w14:textId="77777777" w:rsidR="001E1112" w:rsidRPr="00317ABF" w:rsidRDefault="001E1112" w:rsidP="00DB3BEC">
            <w:pPr>
              <w:pStyle w:val="Tekstpodstawowy"/>
              <w:rPr>
                <w:b/>
                <w:bCs/>
                <w:noProof/>
                <w:sz w:val="22"/>
                <w:szCs w:val="22"/>
              </w:rPr>
            </w:pPr>
          </w:p>
          <w:p w14:paraId="54AD406A" w14:textId="77777777" w:rsidR="001E1112" w:rsidRPr="00317ABF" w:rsidRDefault="001E1112" w:rsidP="00DB3BEC">
            <w:pPr>
              <w:pStyle w:val="Tekstpodstawowy"/>
              <w:rPr>
                <w:b/>
                <w:bCs/>
                <w:noProof/>
                <w:sz w:val="22"/>
                <w:szCs w:val="22"/>
              </w:rPr>
            </w:pPr>
          </w:p>
          <w:p w14:paraId="158D033E" w14:textId="77777777" w:rsidR="001E1112" w:rsidRPr="00317ABF" w:rsidRDefault="001E1112" w:rsidP="00DB3BEC">
            <w:pPr>
              <w:pStyle w:val="Tekstpodstawowy"/>
              <w:rPr>
                <w:b/>
                <w:bCs/>
                <w:noProof/>
                <w:sz w:val="22"/>
                <w:szCs w:val="22"/>
              </w:rPr>
            </w:pPr>
          </w:p>
          <w:p w14:paraId="5DC2281B" w14:textId="77777777" w:rsidR="001E1112" w:rsidRPr="00317ABF" w:rsidRDefault="001E1112" w:rsidP="00DB3BEC">
            <w:pPr>
              <w:pStyle w:val="Tekstpodstawowy"/>
              <w:rPr>
                <w:b/>
                <w:bCs/>
                <w:noProof/>
                <w:sz w:val="22"/>
                <w:szCs w:val="22"/>
              </w:rPr>
            </w:pPr>
          </w:p>
          <w:p w14:paraId="7C8971B1" w14:textId="77777777" w:rsidR="001E1112" w:rsidRPr="00317ABF" w:rsidRDefault="001E1112" w:rsidP="00DB3BEC">
            <w:pPr>
              <w:pStyle w:val="Tekstpodstawowy"/>
              <w:rPr>
                <w:b/>
                <w:bCs/>
                <w:noProof/>
                <w:sz w:val="22"/>
                <w:szCs w:val="22"/>
              </w:rPr>
            </w:pPr>
          </w:p>
          <w:p w14:paraId="3FDB83FE" w14:textId="77777777" w:rsidR="001E1112" w:rsidRPr="00317ABF" w:rsidRDefault="001E1112" w:rsidP="00DB3BEC">
            <w:pPr>
              <w:pStyle w:val="Tekstpodstawowy"/>
              <w:rPr>
                <w:b/>
                <w:bCs/>
                <w:noProof/>
                <w:sz w:val="22"/>
                <w:szCs w:val="22"/>
              </w:rPr>
            </w:pPr>
          </w:p>
          <w:p w14:paraId="6363884E" w14:textId="77777777" w:rsidR="001E1112" w:rsidRPr="00317ABF" w:rsidRDefault="001E1112" w:rsidP="00DB3BEC">
            <w:pPr>
              <w:pStyle w:val="Tekstpodstawowy"/>
              <w:rPr>
                <w:b/>
                <w:bCs/>
                <w:noProof/>
                <w:sz w:val="22"/>
                <w:szCs w:val="22"/>
              </w:rPr>
            </w:pPr>
          </w:p>
          <w:p w14:paraId="7C70FACA" w14:textId="77777777" w:rsidR="001E1112" w:rsidRPr="00317ABF" w:rsidRDefault="001E1112" w:rsidP="00DB3BEC">
            <w:pPr>
              <w:pStyle w:val="Tekstpodstawowy"/>
              <w:rPr>
                <w:b/>
                <w:bCs/>
                <w:noProof/>
                <w:sz w:val="22"/>
                <w:szCs w:val="22"/>
              </w:rPr>
            </w:pPr>
          </w:p>
          <w:p w14:paraId="76A5953D" w14:textId="781E1343" w:rsidR="001E1112" w:rsidRPr="00317ABF" w:rsidRDefault="001E1112" w:rsidP="00DB3BEC">
            <w:pPr>
              <w:pStyle w:val="Tekstpodstawowy"/>
              <w:rPr>
                <w:b/>
                <w:bCs/>
                <w:noProof/>
                <w:sz w:val="22"/>
                <w:szCs w:val="22"/>
              </w:rPr>
            </w:pPr>
          </w:p>
        </w:tc>
        <w:tc>
          <w:tcPr>
            <w:tcW w:w="6814" w:type="dxa"/>
            <w:gridSpan w:val="2"/>
          </w:tcPr>
          <w:p w14:paraId="7AF7339B" w14:textId="11960BBB" w:rsidR="00F35CD7" w:rsidRPr="00317ABF" w:rsidRDefault="00F35CD7" w:rsidP="00C930AB">
            <w:pPr>
              <w:pStyle w:val="USTustnpkodeksu"/>
              <w:spacing w:line="240" w:lineRule="auto"/>
              <w:rPr>
                <w:rFonts w:ascii="Times New Roman" w:hAnsi="Times New Roman" w:cs="Times New Roman"/>
                <w:b/>
                <w:sz w:val="22"/>
                <w:szCs w:val="22"/>
              </w:rPr>
            </w:pPr>
            <w:r w:rsidRPr="00317ABF">
              <w:rPr>
                <w:rFonts w:ascii="Times New Roman" w:hAnsi="Times New Roman" w:cs="Times New Roman"/>
                <w:b/>
                <w:sz w:val="22"/>
                <w:szCs w:val="22"/>
              </w:rPr>
              <w:t>Art. 428</w:t>
            </w:r>
          </w:p>
          <w:p w14:paraId="250B00DE" w14:textId="77777777" w:rsidR="00F35CD7" w:rsidRPr="00317ABF" w:rsidRDefault="00F35CD7" w:rsidP="00C930AB">
            <w:pPr>
              <w:pStyle w:val="USTustnpkodeksu"/>
              <w:spacing w:line="240" w:lineRule="auto"/>
              <w:rPr>
                <w:rFonts w:ascii="Times New Roman" w:hAnsi="Times New Roman" w:cs="Times New Roman"/>
                <w:sz w:val="22"/>
                <w:szCs w:val="22"/>
              </w:rPr>
            </w:pPr>
          </w:p>
          <w:p w14:paraId="3D95B14D" w14:textId="322D0610" w:rsidR="001E1112" w:rsidRPr="00317ABF" w:rsidRDefault="001E1112" w:rsidP="00DB3BEC">
            <w:pPr>
              <w:pStyle w:val="USTustnpkodeksu"/>
              <w:spacing w:line="240" w:lineRule="auto"/>
              <w:rPr>
                <w:rFonts w:ascii="Times New Roman" w:hAnsi="Times New Roman" w:cs="Times New Roman"/>
                <w:sz w:val="22"/>
                <w:szCs w:val="22"/>
              </w:rPr>
            </w:pPr>
            <w:r w:rsidRPr="00317ABF">
              <w:rPr>
                <w:rFonts w:ascii="Times New Roman" w:hAnsi="Times New Roman" w:cs="Times New Roman"/>
                <w:sz w:val="22"/>
                <w:szCs w:val="22"/>
              </w:rPr>
              <w:t>6. Jeżeli nieprawidłowości, o których mowa w ust. 1, występowały w przeszłości lub mają poważny charakter, a podmiot kontrolowany nie zastosował się do decyzji, o której mowa w ust. 4 lub 5, Prezes UKE może, w drodze decyzji, zakazać podmiotowi kontrolowanemu wykonywania działalności polegającej na świadczeniu usług komunikacji elektronicznej</w:t>
            </w:r>
            <w:r w:rsidR="00C930AB" w:rsidRPr="00317ABF">
              <w:rPr>
                <w:rFonts w:ascii="Times New Roman" w:hAnsi="Times New Roman" w:cs="Times New Roman"/>
                <w:sz w:val="22"/>
                <w:szCs w:val="22"/>
              </w:rPr>
              <w:t xml:space="preserve"> na okres od 1 roku do 3 lat</w:t>
            </w:r>
            <w:r w:rsidRPr="00317ABF">
              <w:rPr>
                <w:rFonts w:ascii="Times New Roman" w:hAnsi="Times New Roman" w:cs="Times New Roman"/>
                <w:sz w:val="22"/>
                <w:szCs w:val="22"/>
              </w:rPr>
              <w:t>, cofnąć pozwolenie radiowe, zmienić lub cofnąć rezerwację częstotliwości, zasobów orbitalnych lub przydział zasobów numeracji. Jeżeli decyzja odnosi się do działalności polegającej na rozpowszechnianiu programów radiowych lub telewizyjnych, Prezes UKE wydaje ją w porozumieniu z Przewodniczącym KRRiT.</w:t>
            </w:r>
          </w:p>
          <w:p w14:paraId="5EA2495C" w14:textId="77777777" w:rsidR="001E1112" w:rsidRPr="00317ABF" w:rsidRDefault="001E1112" w:rsidP="00DB3BEC">
            <w:pPr>
              <w:pStyle w:val="USTustnpkodeksu"/>
              <w:spacing w:line="240" w:lineRule="auto"/>
              <w:rPr>
                <w:rFonts w:ascii="Times New Roman" w:hAnsi="Times New Roman" w:cs="Times New Roman"/>
                <w:sz w:val="22"/>
                <w:szCs w:val="22"/>
              </w:rPr>
            </w:pPr>
            <w:r w:rsidRPr="00317ABF">
              <w:rPr>
                <w:rFonts w:ascii="Times New Roman" w:hAnsi="Times New Roman" w:cs="Times New Roman"/>
                <w:sz w:val="22"/>
                <w:szCs w:val="22"/>
              </w:rPr>
              <w:t>7. W przypadku, gdy przesłanką wydania decyzji, o której mowa w ust. 6, jest zagrożenie przez działalność podmiotu kontrolowanego obronności, bezpieczeństwa państwa lub bezpieczeństwa i porządku publicznego, Prezes UKE przed jej wydaniem zasięga opinii Ministra Obrony Narodowej, ministra właściwego do spraw wewnętrznych, Szefa Agencji Bezpieczeństwa Wewnętrznego lub Szefa Agencji Wywiadu, w zakresie ich właściwości. Jeżeli uzasadnienie do opinii tych organów zawiera informacje niejawne, zamiast uzasadnienia doręcza się zawiadomienie, że uzasadnienie zostało sporządzone.</w:t>
            </w:r>
          </w:p>
          <w:p w14:paraId="12E546FC" w14:textId="77777777" w:rsidR="001E1112" w:rsidRPr="00317ABF" w:rsidRDefault="001E1112" w:rsidP="00DB3BEC">
            <w:pPr>
              <w:pStyle w:val="USTustnpkodeksu"/>
              <w:spacing w:line="240" w:lineRule="auto"/>
              <w:rPr>
                <w:rFonts w:ascii="Times New Roman" w:hAnsi="Times New Roman" w:cs="Times New Roman"/>
                <w:sz w:val="22"/>
                <w:szCs w:val="22"/>
              </w:rPr>
            </w:pPr>
            <w:r w:rsidRPr="00317ABF">
              <w:rPr>
                <w:rFonts w:ascii="Times New Roman" w:hAnsi="Times New Roman" w:cs="Times New Roman"/>
                <w:sz w:val="22"/>
                <w:szCs w:val="22"/>
              </w:rPr>
              <w:t>8. Organy, o których mowa w ust. 7, są obowiązane w terminie 30 dni zająć stanowisko w zakresie niezbędnym do ustalenia, że działalność podmiotu kontrolowanego może prowadzić do zagrożenia obronności, bezpieczeństwa państwa lub bezpieczeństwa i porządku publicznego.</w:t>
            </w:r>
          </w:p>
          <w:p w14:paraId="00E0EEFE" w14:textId="77777777" w:rsidR="001E1112" w:rsidRPr="00317ABF" w:rsidRDefault="001E1112" w:rsidP="00DB3BEC">
            <w:pPr>
              <w:pStyle w:val="USTustnpkodeksu"/>
              <w:spacing w:line="240" w:lineRule="auto"/>
              <w:rPr>
                <w:rFonts w:ascii="Times New Roman" w:hAnsi="Times New Roman" w:cs="Times New Roman"/>
                <w:sz w:val="22"/>
                <w:szCs w:val="22"/>
              </w:rPr>
            </w:pPr>
            <w:r w:rsidRPr="00317ABF">
              <w:rPr>
                <w:rFonts w:ascii="Times New Roman" w:hAnsi="Times New Roman" w:cs="Times New Roman"/>
                <w:sz w:val="22"/>
                <w:szCs w:val="22"/>
              </w:rPr>
              <w:t>9. Jeżeli organy, o których mowa w ust. 7, nie zajmą stanowiska w terminie 30 dni, uznaje się, że wymóg uzyskania stanowiska został spełniony.</w:t>
            </w:r>
          </w:p>
          <w:p w14:paraId="1946D026" w14:textId="77777777" w:rsidR="001E1112" w:rsidRPr="00317ABF" w:rsidRDefault="001E1112" w:rsidP="00DB3BEC">
            <w:pPr>
              <w:ind w:firstLine="510"/>
              <w:jc w:val="both"/>
              <w:rPr>
                <w:sz w:val="22"/>
                <w:szCs w:val="22"/>
              </w:rPr>
            </w:pPr>
            <w:r w:rsidRPr="00317ABF">
              <w:rPr>
                <w:sz w:val="22"/>
                <w:szCs w:val="22"/>
              </w:rPr>
              <w:t>10. Decyzji, o której mowa w ust. 6, nadaje się rygor natychmiastowej wykonalności. Decyzja ta stanowi podstawę do wykreślenia podmiotu kontrolowanego z rejestru PT.</w:t>
            </w:r>
          </w:p>
          <w:p w14:paraId="149EEA04" w14:textId="77777777" w:rsidR="00C930AB" w:rsidRPr="00317ABF" w:rsidRDefault="00C930AB" w:rsidP="00C930AB">
            <w:pPr>
              <w:ind w:firstLine="510"/>
              <w:jc w:val="both"/>
              <w:rPr>
                <w:sz w:val="22"/>
                <w:szCs w:val="22"/>
              </w:rPr>
            </w:pPr>
          </w:p>
          <w:p w14:paraId="4D2CE335" w14:textId="77777777" w:rsidR="00C930AB" w:rsidRPr="00317ABF" w:rsidRDefault="00C930AB" w:rsidP="00C930AB">
            <w:pPr>
              <w:ind w:firstLine="510"/>
              <w:jc w:val="both"/>
              <w:rPr>
                <w:sz w:val="22"/>
                <w:szCs w:val="22"/>
              </w:rPr>
            </w:pPr>
          </w:p>
          <w:p w14:paraId="3689B397" w14:textId="1E532E25" w:rsidR="00C930AB" w:rsidRPr="00317ABF" w:rsidRDefault="00C930AB" w:rsidP="00C930AB">
            <w:pPr>
              <w:jc w:val="both"/>
              <w:rPr>
                <w:rFonts w:eastAsia="Times"/>
                <w:sz w:val="22"/>
                <w:szCs w:val="22"/>
              </w:rPr>
            </w:pPr>
            <w:r w:rsidRPr="00317ABF">
              <w:rPr>
                <w:rFonts w:eastAsia="Times"/>
                <w:b/>
                <w:sz w:val="22"/>
                <w:szCs w:val="22"/>
              </w:rPr>
              <w:t>Art. 441.</w:t>
            </w:r>
            <w:r w:rsidRPr="00317ABF">
              <w:rPr>
                <w:rFonts w:eastAsia="Times"/>
                <w:sz w:val="22"/>
                <w:szCs w:val="22"/>
              </w:rPr>
              <w:t xml:space="preserve"> 1. Kto:</w:t>
            </w:r>
          </w:p>
          <w:p w14:paraId="5BBB7A20" w14:textId="77777777" w:rsidR="00C930AB" w:rsidRPr="00317ABF" w:rsidRDefault="00C930AB" w:rsidP="00C930AB">
            <w:pPr>
              <w:jc w:val="both"/>
              <w:rPr>
                <w:rFonts w:eastAsia="Times"/>
                <w:sz w:val="22"/>
                <w:szCs w:val="22"/>
              </w:rPr>
            </w:pPr>
            <w:r w:rsidRPr="00317ABF">
              <w:rPr>
                <w:rFonts w:eastAsia="Times"/>
                <w:sz w:val="22"/>
                <w:szCs w:val="22"/>
              </w:rPr>
              <w:lastRenderedPageBreak/>
              <w:t>1)</w:t>
            </w:r>
            <w:r w:rsidRPr="00317ABF">
              <w:rPr>
                <w:rFonts w:eastAsia="Times"/>
                <w:sz w:val="22"/>
                <w:szCs w:val="22"/>
              </w:rPr>
              <w:tab/>
              <w:t>wykonuje działalność telekomunikacyjną w zakresie nieobjętym wnioskiem o wpis do rejestru PT, w tym wykonuje działalność telekomunikacyjną bez złożenia wniosku o wpis do rejestru PT,</w:t>
            </w:r>
          </w:p>
          <w:p w14:paraId="42490866" w14:textId="77777777" w:rsidR="00C930AB" w:rsidRPr="00317ABF" w:rsidRDefault="00C930AB" w:rsidP="00C930AB">
            <w:pPr>
              <w:jc w:val="both"/>
              <w:rPr>
                <w:rFonts w:eastAsia="Times"/>
                <w:sz w:val="22"/>
                <w:szCs w:val="22"/>
              </w:rPr>
            </w:pPr>
            <w:r w:rsidRPr="00317ABF">
              <w:rPr>
                <w:rFonts w:eastAsia="Times"/>
                <w:sz w:val="22"/>
                <w:szCs w:val="22"/>
              </w:rPr>
              <w:t>2)</w:t>
            </w:r>
            <w:r w:rsidRPr="00317ABF">
              <w:rPr>
                <w:rFonts w:eastAsia="Times"/>
                <w:sz w:val="22"/>
                <w:szCs w:val="22"/>
              </w:rPr>
              <w:tab/>
              <w:t>nie wypełnia obowiązku złożenia wniosku do Prezesa UKE o zmianę wpisu w rejestrze PT w przypadku, o którym mowa w art. 12 ust. 1,</w:t>
            </w:r>
          </w:p>
          <w:p w14:paraId="06D404AE" w14:textId="77777777" w:rsidR="00C930AB" w:rsidRPr="00317ABF" w:rsidRDefault="00C930AB" w:rsidP="00C930AB">
            <w:pPr>
              <w:jc w:val="both"/>
              <w:rPr>
                <w:rFonts w:eastAsia="Times"/>
                <w:sz w:val="22"/>
                <w:szCs w:val="22"/>
              </w:rPr>
            </w:pPr>
            <w:r w:rsidRPr="00317ABF">
              <w:rPr>
                <w:rFonts w:eastAsia="Times"/>
                <w:sz w:val="22"/>
                <w:szCs w:val="22"/>
              </w:rPr>
              <w:t>3)</w:t>
            </w:r>
            <w:r w:rsidRPr="00317ABF">
              <w:rPr>
                <w:rFonts w:eastAsia="Times"/>
                <w:sz w:val="22"/>
                <w:szCs w:val="22"/>
              </w:rPr>
              <w:tab/>
              <w:t>nie wypełnia obowiązku złożenia do Prezesa UKE wniosku o wykreślenie z rejestru PT w przypadku, o którym mowa w art. 15,</w:t>
            </w:r>
          </w:p>
          <w:p w14:paraId="0EC42F9A" w14:textId="77777777" w:rsidR="00C930AB" w:rsidRPr="00317ABF" w:rsidRDefault="00C930AB" w:rsidP="00C930AB">
            <w:pPr>
              <w:jc w:val="both"/>
              <w:rPr>
                <w:rFonts w:eastAsia="Times"/>
                <w:sz w:val="22"/>
                <w:szCs w:val="22"/>
              </w:rPr>
            </w:pPr>
            <w:r w:rsidRPr="00317ABF">
              <w:rPr>
                <w:rFonts w:eastAsia="Times"/>
                <w:sz w:val="22"/>
                <w:szCs w:val="22"/>
              </w:rPr>
              <w:t>4)</w:t>
            </w:r>
            <w:r w:rsidRPr="00317ABF">
              <w:rPr>
                <w:rFonts w:eastAsia="Times"/>
                <w:sz w:val="22"/>
                <w:szCs w:val="22"/>
              </w:rPr>
              <w:tab/>
              <w:t>nie wypełnia lub nienależycie wypełnia obowiązki na rzecz obronności, bezpieczeństwa państwa oraz bezpieczeństwa i porządku publicznego, o których mowa w art. 39 ust. 1, 2, 6 i 7, art. 41 ust. 1 i 3, art. 43 ust. 1, 2 i 9, art. 44 ust. 4, art. 45, art. 47 ust. 1–3 i 5-10,  art. 50 ust. 1 i 2, art. 52, art. 53 i art. 54 ust. 1-3,</w:t>
            </w:r>
          </w:p>
          <w:p w14:paraId="1762D6C1" w14:textId="77777777" w:rsidR="00C930AB" w:rsidRPr="00317ABF" w:rsidRDefault="00C930AB" w:rsidP="00C930AB">
            <w:pPr>
              <w:jc w:val="both"/>
              <w:rPr>
                <w:rFonts w:eastAsia="Times"/>
                <w:sz w:val="22"/>
                <w:szCs w:val="22"/>
              </w:rPr>
            </w:pPr>
            <w:r w:rsidRPr="00317ABF">
              <w:rPr>
                <w:rFonts w:eastAsia="Times"/>
                <w:sz w:val="22"/>
                <w:szCs w:val="22"/>
              </w:rPr>
              <w:t>5)</w:t>
            </w:r>
            <w:r w:rsidRPr="00317ABF">
              <w:rPr>
                <w:rFonts w:eastAsia="Times"/>
                <w:sz w:val="22"/>
                <w:szCs w:val="22"/>
              </w:rPr>
              <w:tab/>
              <w:t>nie stosuje się do obowiązków nałożonych decyzją, o których mowa w   art. 40 ust. 1-3,</w:t>
            </w:r>
          </w:p>
          <w:p w14:paraId="45D5593E" w14:textId="77777777" w:rsidR="00C930AB" w:rsidRPr="00317ABF" w:rsidRDefault="00C930AB" w:rsidP="00C930AB">
            <w:pPr>
              <w:jc w:val="both"/>
              <w:rPr>
                <w:rFonts w:eastAsia="Times"/>
                <w:sz w:val="22"/>
                <w:szCs w:val="22"/>
              </w:rPr>
            </w:pPr>
            <w:r w:rsidRPr="00317ABF">
              <w:rPr>
                <w:rFonts w:eastAsia="Times"/>
                <w:sz w:val="22"/>
                <w:szCs w:val="22"/>
              </w:rPr>
              <w:t>6)</w:t>
            </w:r>
            <w:r w:rsidRPr="00317ABF">
              <w:rPr>
                <w:rFonts w:eastAsia="Times"/>
                <w:sz w:val="22"/>
                <w:szCs w:val="22"/>
              </w:rPr>
              <w:tab/>
              <w:t>wykorzystuje częstotliwości, zasoby numeracji lub zasoby orbitalne, nie posiadając do tego uprawnień lub niezgodnie z tymi uprawnieniami,</w:t>
            </w:r>
          </w:p>
          <w:p w14:paraId="24CD8308" w14:textId="77777777" w:rsidR="00C930AB" w:rsidRPr="00317ABF" w:rsidRDefault="00C930AB" w:rsidP="00C930AB">
            <w:pPr>
              <w:jc w:val="both"/>
              <w:rPr>
                <w:rFonts w:eastAsia="Times"/>
                <w:sz w:val="22"/>
                <w:szCs w:val="22"/>
              </w:rPr>
            </w:pPr>
            <w:r w:rsidRPr="00317ABF">
              <w:rPr>
                <w:rFonts w:eastAsia="Times"/>
                <w:sz w:val="22"/>
                <w:szCs w:val="22"/>
              </w:rPr>
              <w:t>7)</w:t>
            </w:r>
            <w:r w:rsidRPr="00317ABF">
              <w:rPr>
                <w:rFonts w:eastAsia="Times"/>
                <w:sz w:val="22"/>
                <w:szCs w:val="22"/>
              </w:rPr>
              <w:tab/>
              <w:t>używa urządzenia radiowego bez wymaganego wpisu do rejestru urządzeń, o którym mowa w art. 147 ust. 1, albo decyzji, o której mowa w art. 152 i art. 153, albo używa tego urządzenia niezgodnie z tym wpisem albo decyzją,</w:t>
            </w:r>
          </w:p>
          <w:p w14:paraId="7B2885C5" w14:textId="77777777" w:rsidR="00C930AB" w:rsidRPr="00317ABF" w:rsidRDefault="00C930AB" w:rsidP="00C930AB">
            <w:pPr>
              <w:jc w:val="both"/>
              <w:rPr>
                <w:rFonts w:eastAsia="Times"/>
                <w:sz w:val="22"/>
                <w:szCs w:val="22"/>
              </w:rPr>
            </w:pPr>
            <w:r w:rsidRPr="00317ABF">
              <w:rPr>
                <w:rFonts w:eastAsia="Times"/>
                <w:sz w:val="22"/>
                <w:szCs w:val="22"/>
              </w:rPr>
              <w:t>8)</w:t>
            </w:r>
            <w:r w:rsidRPr="00317ABF">
              <w:rPr>
                <w:rFonts w:eastAsia="Times"/>
                <w:sz w:val="22"/>
                <w:szCs w:val="22"/>
              </w:rPr>
              <w:tab/>
              <w:t>nie wykorzystuje, z przyczyn leżących po jego stronie, częstotliwości przyznanych w rezerwacji częstotliwości przez co najmniej 6 miesięcy,</w:t>
            </w:r>
          </w:p>
          <w:p w14:paraId="5CA0DBCA" w14:textId="77777777" w:rsidR="00C930AB" w:rsidRPr="00317ABF" w:rsidRDefault="00C930AB" w:rsidP="00C930AB">
            <w:pPr>
              <w:jc w:val="both"/>
              <w:rPr>
                <w:rFonts w:eastAsia="Times"/>
                <w:sz w:val="22"/>
                <w:szCs w:val="22"/>
              </w:rPr>
            </w:pPr>
            <w:r w:rsidRPr="00317ABF">
              <w:rPr>
                <w:rFonts w:eastAsia="Times"/>
                <w:sz w:val="22"/>
                <w:szCs w:val="22"/>
              </w:rPr>
              <w:t>9)</w:t>
            </w:r>
            <w:r w:rsidRPr="00317ABF">
              <w:rPr>
                <w:rFonts w:eastAsia="Times"/>
                <w:sz w:val="22"/>
                <w:szCs w:val="22"/>
              </w:rPr>
              <w:tab/>
              <w:t>wykorzystuje zasoby numeracji niezgodnie z przeznaczeniem, o którym mowa w art. 159,</w:t>
            </w:r>
          </w:p>
          <w:p w14:paraId="221CACBA" w14:textId="77777777" w:rsidR="00C930AB" w:rsidRPr="00317ABF" w:rsidRDefault="00C930AB" w:rsidP="00C930AB">
            <w:pPr>
              <w:jc w:val="both"/>
              <w:rPr>
                <w:rFonts w:eastAsia="Times"/>
                <w:sz w:val="22"/>
                <w:szCs w:val="22"/>
              </w:rPr>
            </w:pPr>
            <w:r w:rsidRPr="00317ABF">
              <w:rPr>
                <w:rFonts w:eastAsia="Times"/>
                <w:sz w:val="22"/>
                <w:szCs w:val="22"/>
              </w:rPr>
              <w:t>10)</w:t>
            </w:r>
            <w:r w:rsidRPr="00317ABF">
              <w:rPr>
                <w:rFonts w:eastAsia="Times"/>
                <w:sz w:val="22"/>
                <w:szCs w:val="22"/>
              </w:rPr>
              <w:tab/>
              <w:t>udostępnia zasoby numeracji nie będąc do tego uprawnionym na podstawie art. 164 ust. 1,</w:t>
            </w:r>
          </w:p>
          <w:p w14:paraId="411B14F7" w14:textId="77777777" w:rsidR="00C930AB" w:rsidRPr="00317ABF" w:rsidRDefault="00C930AB" w:rsidP="00C930AB">
            <w:pPr>
              <w:jc w:val="both"/>
              <w:rPr>
                <w:rFonts w:eastAsia="Times"/>
                <w:sz w:val="22"/>
                <w:szCs w:val="22"/>
              </w:rPr>
            </w:pPr>
            <w:r w:rsidRPr="00317ABF">
              <w:rPr>
                <w:rFonts w:eastAsia="Times"/>
                <w:sz w:val="22"/>
                <w:szCs w:val="22"/>
              </w:rPr>
              <w:t>11)</w:t>
            </w:r>
            <w:r w:rsidRPr="00317ABF">
              <w:rPr>
                <w:rFonts w:eastAsia="Times"/>
                <w:sz w:val="22"/>
                <w:szCs w:val="22"/>
              </w:rPr>
              <w:tab/>
              <w:t>nie wypełnia obowiązku przekazania Prezesowi UKE umowy, o którym mowa w art. 164 ust. 5,</w:t>
            </w:r>
          </w:p>
          <w:p w14:paraId="470026D0" w14:textId="77777777" w:rsidR="00C930AB" w:rsidRPr="00317ABF" w:rsidRDefault="00C930AB" w:rsidP="00C930AB">
            <w:pPr>
              <w:jc w:val="both"/>
              <w:rPr>
                <w:rFonts w:eastAsia="Times"/>
                <w:sz w:val="22"/>
                <w:szCs w:val="22"/>
              </w:rPr>
            </w:pPr>
            <w:r w:rsidRPr="00317ABF">
              <w:rPr>
                <w:rFonts w:eastAsia="Times"/>
                <w:sz w:val="22"/>
                <w:szCs w:val="22"/>
              </w:rPr>
              <w:t>12)</w:t>
            </w:r>
            <w:r w:rsidRPr="00317ABF">
              <w:rPr>
                <w:rFonts w:eastAsia="Times"/>
                <w:sz w:val="22"/>
                <w:szCs w:val="22"/>
              </w:rPr>
              <w:tab/>
              <w:t>nie wypełnia obowiązków związanych ze zmianą numeracji, o których mowa w art. 167 ust. 2, ust. 4 i ust. 6,</w:t>
            </w:r>
          </w:p>
          <w:p w14:paraId="6BDDE6A8" w14:textId="77777777" w:rsidR="00C930AB" w:rsidRPr="00317ABF" w:rsidRDefault="00C930AB" w:rsidP="00C930AB">
            <w:pPr>
              <w:jc w:val="both"/>
              <w:rPr>
                <w:rFonts w:eastAsia="Times"/>
                <w:sz w:val="22"/>
                <w:szCs w:val="22"/>
              </w:rPr>
            </w:pPr>
            <w:r w:rsidRPr="00317ABF">
              <w:rPr>
                <w:rFonts w:eastAsia="Times"/>
                <w:sz w:val="22"/>
                <w:szCs w:val="22"/>
              </w:rPr>
              <w:t>13)</w:t>
            </w:r>
            <w:r w:rsidRPr="00317ABF">
              <w:rPr>
                <w:rFonts w:eastAsia="Times"/>
                <w:sz w:val="22"/>
                <w:szCs w:val="22"/>
              </w:rPr>
              <w:tab/>
              <w:t>narusza zakaz, o którym mowa w art. 173 ust. 1,</w:t>
            </w:r>
          </w:p>
          <w:p w14:paraId="3AE6A6DB" w14:textId="77777777" w:rsidR="00C930AB" w:rsidRPr="00317ABF" w:rsidRDefault="00C930AB" w:rsidP="00C930AB">
            <w:pPr>
              <w:jc w:val="both"/>
              <w:rPr>
                <w:rFonts w:eastAsia="Times"/>
                <w:sz w:val="22"/>
                <w:szCs w:val="22"/>
              </w:rPr>
            </w:pPr>
            <w:r w:rsidRPr="00317ABF">
              <w:rPr>
                <w:rFonts w:eastAsia="Times"/>
                <w:sz w:val="22"/>
                <w:szCs w:val="22"/>
              </w:rPr>
              <w:t xml:space="preserve">14) </w:t>
            </w:r>
            <w:r w:rsidRPr="00317ABF">
              <w:rPr>
                <w:rFonts w:eastAsia="Times"/>
                <w:sz w:val="22"/>
                <w:szCs w:val="22"/>
              </w:rPr>
              <w:tab/>
              <w:t>nie wypełnia lub nienależycie wypełnia obowiązek, o którym mowa w art. 173 ust. 2,</w:t>
            </w:r>
          </w:p>
          <w:p w14:paraId="3D9BE1B9" w14:textId="77777777" w:rsidR="00C930AB" w:rsidRPr="00317ABF" w:rsidRDefault="00C930AB" w:rsidP="00C930AB">
            <w:pPr>
              <w:jc w:val="both"/>
              <w:rPr>
                <w:rFonts w:eastAsia="Times"/>
                <w:sz w:val="22"/>
                <w:szCs w:val="22"/>
              </w:rPr>
            </w:pPr>
            <w:r w:rsidRPr="00317ABF">
              <w:rPr>
                <w:rFonts w:eastAsia="Times"/>
                <w:sz w:val="22"/>
                <w:szCs w:val="22"/>
              </w:rPr>
              <w:t>15)</w:t>
            </w:r>
            <w:r w:rsidRPr="00317ABF">
              <w:rPr>
                <w:rFonts w:eastAsia="Times"/>
                <w:sz w:val="22"/>
                <w:szCs w:val="22"/>
              </w:rPr>
              <w:tab/>
              <w:t>nie wypełnia warunków zapewnienia dostępu, określonych w decyzji wydanej na podstawie art. 175,</w:t>
            </w:r>
          </w:p>
          <w:p w14:paraId="202F3899" w14:textId="77777777" w:rsidR="00C930AB" w:rsidRPr="00317ABF" w:rsidRDefault="00C930AB" w:rsidP="00C930AB">
            <w:pPr>
              <w:jc w:val="both"/>
              <w:rPr>
                <w:rFonts w:eastAsia="Times"/>
                <w:sz w:val="22"/>
                <w:szCs w:val="22"/>
              </w:rPr>
            </w:pPr>
            <w:r w:rsidRPr="00317ABF">
              <w:rPr>
                <w:rFonts w:eastAsia="Times"/>
                <w:sz w:val="22"/>
                <w:szCs w:val="22"/>
              </w:rPr>
              <w:t>16)</w:t>
            </w:r>
            <w:r w:rsidRPr="00317ABF">
              <w:rPr>
                <w:rFonts w:eastAsia="Times"/>
                <w:sz w:val="22"/>
                <w:szCs w:val="22"/>
              </w:rPr>
              <w:tab/>
              <w:t>nie wypełnia lub nienależycie wypełnia obowiązek wynikający z decyzji lub decyzji obszarowej nakładającej obowiązek dostępowy symetryczny, o którym mowa w art. 178 ust. 1,</w:t>
            </w:r>
          </w:p>
          <w:p w14:paraId="4E9AF682" w14:textId="77777777" w:rsidR="00C930AB" w:rsidRPr="00317ABF" w:rsidRDefault="00C930AB" w:rsidP="00C930AB">
            <w:pPr>
              <w:jc w:val="both"/>
              <w:rPr>
                <w:rFonts w:eastAsia="Times"/>
                <w:sz w:val="22"/>
                <w:szCs w:val="22"/>
              </w:rPr>
            </w:pPr>
            <w:r w:rsidRPr="00317ABF">
              <w:rPr>
                <w:rFonts w:eastAsia="Times"/>
                <w:sz w:val="22"/>
                <w:szCs w:val="22"/>
              </w:rPr>
              <w:lastRenderedPageBreak/>
              <w:t>17)</w:t>
            </w:r>
            <w:r w:rsidRPr="00317ABF">
              <w:rPr>
                <w:rFonts w:eastAsia="Times"/>
                <w:sz w:val="22"/>
                <w:szCs w:val="22"/>
              </w:rPr>
              <w:tab/>
              <w:t>nie wypełnia lub nienależycie wypełnia obowiązek wynikający z decyzji nakładającej obowiązek dostępowy symetryczny niezbędny dla zapewnienia łączności z użytkownikiem końcowym, o którym mowa w art. 179 ust. 1 pkt 1,</w:t>
            </w:r>
          </w:p>
          <w:p w14:paraId="29EFCA85" w14:textId="77777777" w:rsidR="00C930AB" w:rsidRPr="00317ABF" w:rsidRDefault="00C930AB" w:rsidP="00C930AB">
            <w:pPr>
              <w:jc w:val="both"/>
              <w:rPr>
                <w:rFonts w:eastAsia="Times"/>
                <w:sz w:val="22"/>
                <w:szCs w:val="22"/>
              </w:rPr>
            </w:pPr>
            <w:r w:rsidRPr="00317ABF">
              <w:rPr>
                <w:rFonts w:eastAsia="Times"/>
                <w:sz w:val="22"/>
                <w:szCs w:val="22"/>
              </w:rPr>
              <w:t>18)</w:t>
            </w:r>
            <w:r w:rsidRPr="00317ABF">
              <w:rPr>
                <w:rFonts w:eastAsia="Times"/>
                <w:sz w:val="22"/>
                <w:szCs w:val="22"/>
              </w:rPr>
              <w:tab/>
              <w:t>nie wypełnia lub nienależycie wypełnia obowiązek wynikający z decyzji nakładającej obowiązek dostępowy symetryczny zapewnienia dostępu do interfejsu programistycznego aplikacji lub elektronicznego przewodnika po programach, o którym mowa w art. 179 ust. 1 pkt 2,</w:t>
            </w:r>
          </w:p>
          <w:p w14:paraId="6F391C5E" w14:textId="77777777" w:rsidR="00C930AB" w:rsidRPr="00317ABF" w:rsidRDefault="00C930AB" w:rsidP="00C930AB">
            <w:pPr>
              <w:jc w:val="both"/>
              <w:rPr>
                <w:rFonts w:eastAsia="Times"/>
                <w:sz w:val="22"/>
                <w:szCs w:val="22"/>
              </w:rPr>
            </w:pPr>
            <w:r w:rsidRPr="00317ABF">
              <w:rPr>
                <w:rFonts w:eastAsia="Times"/>
                <w:sz w:val="22"/>
                <w:szCs w:val="22"/>
              </w:rPr>
              <w:t>19)</w:t>
            </w:r>
            <w:r w:rsidRPr="00317ABF">
              <w:rPr>
                <w:rFonts w:eastAsia="Times"/>
                <w:sz w:val="22"/>
                <w:szCs w:val="22"/>
              </w:rPr>
              <w:tab/>
              <w:t>nie wypełnia lub nienależycie wypełnia obowiązek wynikający z decyzji nakładającej obowiązek dostępowy symetryczny, o którym mowa w art. 180,</w:t>
            </w:r>
          </w:p>
          <w:p w14:paraId="7D0229FF" w14:textId="77777777" w:rsidR="00C930AB" w:rsidRPr="00317ABF" w:rsidRDefault="00C930AB" w:rsidP="00C930AB">
            <w:pPr>
              <w:jc w:val="both"/>
              <w:rPr>
                <w:rFonts w:eastAsia="Times"/>
                <w:sz w:val="22"/>
                <w:szCs w:val="22"/>
              </w:rPr>
            </w:pPr>
            <w:r w:rsidRPr="00317ABF">
              <w:rPr>
                <w:rFonts w:eastAsia="Times"/>
                <w:sz w:val="22"/>
                <w:szCs w:val="22"/>
              </w:rPr>
              <w:t>20)</w:t>
            </w:r>
            <w:r w:rsidRPr="00317ABF">
              <w:rPr>
                <w:rFonts w:eastAsia="Times"/>
                <w:sz w:val="22"/>
                <w:szCs w:val="22"/>
              </w:rPr>
              <w:tab/>
              <w:t>nie wypełnia lub nienależycie wypełnia obowiązek wynikający z decyzji nakładającej obowiązek dostępowy symetryczny kolokacji, udostępniania elementów sieci telekomunikacyjnej oraz powiązanych zasobów, o którym mowa w art. 181,</w:t>
            </w:r>
          </w:p>
          <w:p w14:paraId="5712128C" w14:textId="77777777" w:rsidR="00C930AB" w:rsidRPr="00317ABF" w:rsidRDefault="00C930AB" w:rsidP="00C930AB">
            <w:pPr>
              <w:jc w:val="both"/>
              <w:rPr>
                <w:rFonts w:eastAsia="Times"/>
                <w:sz w:val="22"/>
                <w:szCs w:val="22"/>
              </w:rPr>
            </w:pPr>
            <w:r w:rsidRPr="00317ABF">
              <w:rPr>
                <w:rFonts w:eastAsia="Times"/>
                <w:sz w:val="22"/>
                <w:szCs w:val="22"/>
              </w:rPr>
              <w:t>21)</w:t>
            </w:r>
            <w:r w:rsidRPr="00317ABF">
              <w:rPr>
                <w:rFonts w:eastAsia="Times"/>
                <w:sz w:val="22"/>
                <w:szCs w:val="22"/>
              </w:rPr>
              <w:tab/>
              <w:t>nie wypełnia lub nienależycie wypełnia obowiązki wynikające z decyzji rozstrzygającej spór o dostęp telekomunikacyjny, o której mowa w art. 183 ust. 1,</w:t>
            </w:r>
          </w:p>
          <w:p w14:paraId="6B5E68E3" w14:textId="77777777" w:rsidR="00C930AB" w:rsidRPr="00317ABF" w:rsidRDefault="00C930AB" w:rsidP="00C930AB">
            <w:pPr>
              <w:jc w:val="both"/>
              <w:rPr>
                <w:rFonts w:eastAsia="Times"/>
                <w:sz w:val="22"/>
                <w:szCs w:val="22"/>
              </w:rPr>
            </w:pPr>
            <w:r w:rsidRPr="00317ABF">
              <w:rPr>
                <w:rFonts w:eastAsia="Times"/>
                <w:sz w:val="22"/>
                <w:szCs w:val="22"/>
              </w:rPr>
              <w:t>22)</w:t>
            </w:r>
            <w:r w:rsidRPr="00317ABF">
              <w:rPr>
                <w:rFonts w:eastAsia="Times"/>
                <w:sz w:val="22"/>
                <w:szCs w:val="22"/>
              </w:rPr>
              <w:tab/>
              <w:t>nie wypełnia lub nienależycie wypełnia obowiązki wynikające z decyzji zmieniającej umowę o dostępie lub decyzję, o której mowa w art. 187,</w:t>
            </w:r>
          </w:p>
          <w:p w14:paraId="1FEAB91D" w14:textId="77777777" w:rsidR="00C930AB" w:rsidRPr="00317ABF" w:rsidRDefault="00C930AB" w:rsidP="00C930AB">
            <w:pPr>
              <w:jc w:val="both"/>
              <w:rPr>
                <w:rFonts w:eastAsia="Times"/>
                <w:sz w:val="22"/>
                <w:szCs w:val="22"/>
              </w:rPr>
            </w:pPr>
            <w:r w:rsidRPr="00317ABF">
              <w:rPr>
                <w:rFonts w:eastAsia="Times"/>
                <w:sz w:val="22"/>
                <w:szCs w:val="22"/>
              </w:rPr>
              <w:t>23) nie wypełnia lub nienależycie wypełnia, wynikające z decyzji, obowiązki regulacyjne w zakresie dostępu telekomunikacyjnego, o których mowa w art. 210, art. 211, 213, art. 214 ust. 1,</w:t>
            </w:r>
          </w:p>
          <w:p w14:paraId="0ACC4FB3" w14:textId="77777777" w:rsidR="00C930AB" w:rsidRPr="00317ABF" w:rsidRDefault="00C930AB" w:rsidP="00C930AB">
            <w:pPr>
              <w:jc w:val="both"/>
              <w:rPr>
                <w:rFonts w:eastAsia="Times"/>
                <w:sz w:val="22"/>
                <w:szCs w:val="22"/>
              </w:rPr>
            </w:pPr>
            <w:r w:rsidRPr="00317ABF">
              <w:rPr>
                <w:rFonts w:eastAsia="Times"/>
                <w:sz w:val="22"/>
                <w:szCs w:val="22"/>
              </w:rPr>
              <w:t>24)</w:t>
            </w:r>
            <w:r w:rsidRPr="00317ABF">
              <w:rPr>
                <w:rFonts w:eastAsia="Times"/>
                <w:sz w:val="22"/>
                <w:szCs w:val="22"/>
              </w:rPr>
              <w:tab/>
              <w:t>nie wypełnia lub nienależycie wypełnia obowiązki regulacyjne związane z prowadzeniem rachunkowości regulacyjnej lub kalkulacji kosztów,</w:t>
            </w:r>
          </w:p>
          <w:p w14:paraId="5B1A486A" w14:textId="77777777" w:rsidR="00C930AB" w:rsidRPr="00317ABF" w:rsidRDefault="00C930AB" w:rsidP="00C930AB">
            <w:pPr>
              <w:jc w:val="both"/>
              <w:rPr>
                <w:rFonts w:eastAsia="Times"/>
                <w:sz w:val="22"/>
                <w:szCs w:val="22"/>
              </w:rPr>
            </w:pPr>
            <w:r w:rsidRPr="00317ABF">
              <w:rPr>
                <w:rFonts w:eastAsia="Times"/>
                <w:sz w:val="22"/>
                <w:szCs w:val="22"/>
              </w:rPr>
              <w:t>25)</w:t>
            </w:r>
            <w:r w:rsidRPr="00317ABF">
              <w:rPr>
                <w:rFonts w:eastAsia="Times"/>
                <w:sz w:val="22"/>
                <w:szCs w:val="22"/>
              </w:rPr>
              <w:tab/>
              <w:t>nie wypełnia lub nienależycie wypełnia obowiązki regulacyjne, wynikające z decyzji, o których mowa w art. 216 ust. 1 pkt 2-3,</w:t>
            </w:r>
          </w:p>
          <w:p w14:paraId="1A58E1CD" w14:textId="77777777" w:rsidR="00C930AB" w:rsidRPr="00317ABF" w:rsidRDefault="00C930AB" w:rsidP="00C930AB">
            <w:pPr>
              <w:jc w:val="both"/>
              <w:rPr>
                <w:rFonts w:eastAsia="Times"/>
                <w:sz w:val="22"/>
                <w:szCs w:val="22"/>
              </w:rPr>
            </w:pPr>
            <w:r w:rsidRPr="00317ABF">
              <w:rPr>
                <w:rFonts w:eastAsia="Times"/>
                <w:sz w:val="22"/>
                <w:szCs w:val="22"/>
              </w:rPr>
              <w:t>26)</w:t>
            </w:r>
            <w:r w:rsidRPr="00317ABF">
              <w:rPr>
                <w:rFonts w:eastAsia="Times"/>
                <w:sz w:val="22"/>
                <w:szCs w:val="22"/>
              </w:rPr>
              <w:tab/>
              <w:t>nie wypełnia lub nienależycie wypełnia obowiązki lub wymagania dotyczące ofert określających ramowe warunki umów o dostępie telekomunikacyjnym,</w:t>
            </w:r>
          </w:p>
          <w:p w14:paraId="5EDB4066" w14:textId="77777777" w:rsidR="00C930AB" w:rsidRPr="00317ABF" w:rsidRDefault="00C930AB" w:rsidP="00C930AB">
            <w:pPr>
              <w:jc w:val="both"/>
              <w:rPr>
                <w:rFonts w:eastAsia="Times"/>
                <w:sz w:val="22"/>
                <w:szCs w:val="22"/>
              </w:rPr>
            </w:pPr>
            <w:r w:rsidRPr="00317ABF">
              <w:rPr>
                <w:rFonts w:eastAsia="Times"/>
                <w:sz w:val="22"/>
                <w:szCs w:val="22"/>
              </w:rPr>
              <w:t>27)</w:t>
            </w:r>
            <w:r w:rsidRPr="00317ABF">
              <w:rPr>
                <w:rFonts w:eastAsia="Times"/>
                <w:sz w:val="22"/>
                <w:szCs w:val="22"/>
              </w:rPr>
              <w:tab/>
              <w:t>nie wypełnia lub nienależycie wypełnia obowiązki opracowania i przedłożenia do zatwierdzenia przez Prezesa UKE oraz stosowania oferty ramowej o dostępie telekomunikacyjnym,</w:t>
            </w:r>
          </w:p>
          <w:p w14:paraId="1C427B79" w14:textId="77777777" w:rsidR="00C930AB" w:rsidRPr="00317ABF" w:rsidRDefault="00C930AB" w:rsidP="00C930AB">
            <w:pPr>
              <w:jc w:val="both"/>
              <w:rPr>
                <w:rFonts w:eastAsia="Times"/>
                <w:sz w:val="22"/>
                <w:szCs w:val="22"/>
              </w:rPr>
            </w:pPr>
            <w:r w:rsidRPr="00317ABF">
              <w:rPr>
                <w:rFonts w:eastAsia="Times"/>
                <w:sz w:val="22"/>
                <w:szCs w:val="22"/>
              </w:rPr>
              <w:t>28)</w:t>
            </w:r>
            <w:r w:rsidRPr="00317ABF">
              <w:rPr>
                <w:rFonts w:eastAsia="Times"/>
                <w:sz w:val="22"/>
                <w:szCs w:val="22"/>
              </w:rPr>
              <w:tab/>
              <w:t>stosuje opłaty za zakańczanie połączeń w stacjonarnych lub ruchomych publicznych sieciach telekomunikacyjnej niezgodne z aktem delegowanym wydanym przez Komisję Europejską, o którym mowa w art. 219 ust. 1,</w:t>
            </w:r>
          </w:p>
          <w:p w14:paraId="3D879272" w14:textId="77777777" w:rsidR="00C930AB" w:rsidRPr="00317ABF" w:rsidRDefault="00C930AB" w:rsidP="00C930AB">
            <w:pPr>
              <w:jc w:val="both"/>
              <w:rPr>
                <w:rFonts w:eastAsia="Times"/>
                <w:sz w:val="22"/>
                <w:szCs w:val="22"/>
              </w:rPr>
            </w:pPr>
            <w:r w:rsidRPr="00317ABF">
              <w:rPr>
                <w:rFonts w:eastAsia="Times"/>
                <w:sz w:val="22"/>
                <w:szCs w:val="22"/>
              </w:rPr>
              <w:lastRenderedPageBreak/>
              <w:t>29)</w:t>
            </w:r>
            <w:r w:rsidRPr="00317ABF">
              <w:rPr>
                <w:rFonts w:eastAsia="Times"/>
                <w:sz w:val="22"/>
                <w:szCs w:val="22"/>
              </w:rPr>
              <w:tab/>
              <w:t>stosuje opłaty za zakańczanie połączeń w stacjonarnych lub ruchomych publicznych sieciach telekomunikacyjnej niezgodne z decyzją Prezesa UKE, o której mowa w art.  219 ust. 2,</w:t>
            </w:r>
          </w:p>
          <w:p w14:paraId="1509EFD1" w14:textId="77777777" w:rsidR="00C930AB" w:rsidRPr="00317ABF" w:rsidRDefault="00C930AB" w:rsidP="00C930AB">
            <w:pPr>
              <w:jc w:val="both"/>
              <w:rPr>
                <w:rFonts w:eastAsia="Times"/>
                <w:sz w:val="22"/>
                <w:szCs w:val="22"/>
              </w:rPr>
            </w:pPr>
            <w:r w:rsidRPr="00317ABF">
              <w:rPr>
                <w:rFonts w:eastAsia="Times"/>
                <w:sz w:val="22"/>
                <w:szCs w:val="22"/>
              </w:rPr>
              <w:t>30)</w:t>
            </w:r>
            <w:r w:rsidRPr="00317ABF">
              <w:rPr>
                <w:rFonts w:eastAsia="Times"/>
                <w:sz w:val="22"/>
                <w:szCs w:val="22"/>
              </w:rPr>
              <w:tab/>
              <w:t>nie wypełnia lub nienależycie wypełnia obowiązki, o których mowa w art. 228 ust. 2, art. 229 ust. 1-3, 5 i 6 lub wynikające z decyzji obowiązki, o których mowa w art. 222, art. 224-226 lub narusza zakaz, o którym mowa w art. 227,</w:t>
            </w:r>
          </w:p>
          <w:p w14:paraId="3941D495" w14:textId="77777777" w:rsidR="00C930AB" w:rsidRPr="00317ABF" w:rsidRDefault="00C930AB" w:rsidP="00C930AB">
            <w:pPr>
              <w:jc w:val="both"/>
              <w:rPr>
                <w:rFonts w:eastAsia="Times"/>
                <w:sz w:val="22"/>
                <w:szCs w:val="22"/>
              </w:rPr>
            </w:pPr>
            <w:r w:rsidRPr="00317ABF">
              <w:rPr>
                <w:rFonts w:eastAsia="Times"/>
                <w:sz w:val="22"/>
                <w:szCs w:val="22"/>
              </w:rPr>
              <w:t>31)</w:t>
            </w:r>
            <w:r w:rsidRPr="00317ABF">
              <w:rPr>
                <w:rFonts w:eastAsia="Times"/>
                <w:sz w:val="22"/>
                <w:szCs w:val="22"/>
              </w:rPr>
              <w:tab/>
              <w:t>nie wypełnia lub nienależycie wypełnia obowiązki nałożone na rynkach detalicznych, o których mowa w art. 231 i art. 232,</w:t>
            </w:r>
          </w:p>
          <w:p w14:paraId="2D851FB0" w14:textId="77777777" w:rsidR="00C930AB" w:rsidRPr="00317ABF" w:rsidRDefault="00C930AB" w:rsidP="00C930AB">
            <w:pPr>
              <w:jc w:val="both"/>
              <w:rPr>
                <w:rFonts w:eastAsia="Times"/>
                <w:sz w:val="22"/>
                <w:szCs w:val="22"/>
              </w:rPr>
            </w:pPr>
            <w:r w:rsidRPr="00317ABF">
              <w:rPr>
                <w:rFonts w:eastAsia="Times"/>
                <w:sz w:val="22"/>
                <w:szCs w:val="22"/>
              </w:rPr>
              <w:t>32) nie wypełnia lub nienależycie wypełnia szczegółowe warunki regulacyjne zatwierdzone decyzją, o której mowa w art. 235,</w:t>
            </w:r>
          </w:p>
          <w:p w14:paraId="671D6852" w14:textId="77777777" w:rsidR="00C930AB" w:rsidRPr="00317ABF" w:rsidRDefault="00C930AB" w:rsidP="00C930AB">
            <w:pPr>
              <w:jc w:val="both"/>
              <w:rPr>
                <w:rFonts w:eastAsia="Times"/>
                <w:sz w:val="22"/>
                <w:szCs w:val="22"/>
              </w:rPr>
            </w:pPr>
            <w:r w:rsidRPr="00317ABF">
              <w:rPr>
                <w:rFonts w:eastAsia="Times"/>
                <w:sz w:val="22"/>
                <w:szCs w:val="22"/>
              </w:rPr>
              <w:t>33)</w:t>
            </w:r>
            <w:r w:rsidRPr="00317ABF">
              <w:rPr>
                <w:rFonts w:eastAsia="Times"/>
                <w:sz w:val="22"/>
                <w:szCs w:val="22"/>
              </w:rPr>
              <w:tab/>
              <w:t>nie wypełnia lub nienależycie wypełnia obowiązki wynikające z decyzji, o której mowa w art. 242 ust. 1,</w:t>
            </w:r>
          </w:p>
          <w:p w14:paraId="6E37F345" w14:textId="77777777" w:rsidR="00C930AB" w:rsidRPr="00317ABF" w:rsidRDefault="00C930AB" w:rsidP="00C930AB">
            <w:pPr>
              <w:jc w:val="both"/>
              <w:rPr>
                <w:rFonts w:eastAsia="Times"/>
                <w:sz w:val="22"/>
                <w:szCs w:val="22"/>
              </w:rPr>
            </w:pPr>
            <w:r w:rsidRPr="00317ABF">
              <w:rPr>
                <w:rFonts w:eastAsia="Times"/>
                <w:sz w:val="22"/>
                <w:szCs w:val="22"/>
              </w:rPr>
              <w:t>34)</w:t>
            </w:r>
            <w:r w:rsidRPr="00317ABF">
              <w:rPr>
                <w:rFonts w:eastAsia="Times"/>
                <w:sz w:val="22"/>
                <w:szCs w:val="22"/>
              </w:rPr>
              <w:tab/>
              <w:t>nie wypełnia lub nienależycie wypełnia obowiązku przekazania Prezesowi UKE sprawozdania, o którym mowa w art. 251,</w:t>
            </w:r>
          </w:p>
          <w:p w14:paraId="737C83F7" w14:textId="77777777" w:rsidR="00C930AB" w:rsidRPr="00317ABF" w:rsidRDefault="00C930AB" w:rsidP="00C930AB">
            <w:pPr>
              <w:jc w:val="both"/>
              <w:rPr>
                <w:rFonts w:eastAsia="Times"/>
                <w:sz w:val="22"/>
                <w:szCs w:val="22"/>
              </w:rPr>
            </w:pPr>
            <w:r w:rsidRPr="00317ABF">
              <w:rPr>
                <w:rFonts w:eastAsia="Times"/>
                <w:sz w:val="22"/>
                <w:szCs w:val="22"/>
              </w:rPr>
              <w:t>35)</w:t>
            </w:r>
            <w:r w:rsidRPr="00317ABF">
              <w:rPr>
                <w:rFonts w:eastAsia="Times"/>
                <w:sz w:val="22"/>
                <w:szCs w:val="22"/>
              </w:rPr>
              <w:tab/>
              <w:t>nie wypełnia warunków określonych w umowie inwestycyjnej, o której mowa w art. 252 ust. 1,</w:t>
            </w:r>
          </w:p>
          <w:p w14:paraId="0ADF9C23" w14:textId="77777777" w:rsidR="00C930AB" w:rsidRPr="00317ABF" w:rsidRDefault="00C930AB" w:rsidP="00C930AB">
            <w:pPr>
              <w:jc w:val="both"/>
              <w:rPr>
                <w:rFonts w:eastAsia="Times"/>
                <w:sz w:val="22"/>
                <w:szCs w:val="22"/>
              </w:rPr>
            </w:pPr>
            <w:r w:rsidRPr="00317ABF">
              <w:rPr>
                <w:rFonts w:eastAsia="Times"/>
                <w:sz w:val="22"/>
                <w:szCs w:val="22"/>
              </w:rPr>
              <w:t>36)</w:t>
            </w:r>
            <w:r w:rsidRPr="00317ABF">
              <w:rPr>
                <w:rFonts w:eastAsia="Times"/>
                <w:sz w:val="22"/>
                <w:szCs w:val="22"/>
              </w:rPr>
              <w:tab/>
              <w:t>nie wypełnia lub nienależycie wypełnia nałożone na niego obowiązki operatora multipleksu, o których mowa w art. 260 ust. 1,</w:t>
            </w:r>
          </w:p>
          <w:p w14:paraId="3F759281" w14:textId="77777777" w:rsidR="00C930AB" w:rsidRPr="00317ABF" w:rsidRDefault="00C930AB" w:rsidP="00C930AB">
            <w:pPr>
              <w:jc w:val="both"/>
              <w:rPr>
                <w:rFonts w:eastAsia="Times"/>
                <w:sz w:val="22"/>
                <w:szCs w:val="22"/>
              </w:rPr>
            </w:pPr>
            <w:r w:rsidRPr="00317ABF">
              <w:rPr>
                <w:rFonts w:eastAsia="Times"/>
                <w:sz w:val="22"/>
                <w:szCs w:val="22"/>
              </w:rPr>
              <w:t>37)</w:t>
            </w:r>
            <w:r w:rsidRPr="00317ABF">
              <w:rPr>
                <w:rFonts w:eastAsia="Times"/>
                <w:sz w:val="22"/>
                <w:szCs w:val="22"/>
              </w:rPr>
              <w:tab/>
              <w:t>wprowadza do obrotu lub oddaje do użytku urządzenie radiowe, nie podając informacji, o których mowa w art. 270 ust. 2,</w:t>
            </w:r>
          </w:p>
          <w:p w14:paraId="1C8223A6" w14:textId="77777777" w:rsidR="00C930AB" w:rsidRPr="00317ABF" w:rsidRDefault="00C930AB" w:rsidP="00C930AB">
            <w:pPr>
              <w:jc w:val="both"/>
              <w:rPr>
                <w:rFonts w:eastAsia="Times"/>
                <w:sz w:val="22"/>
                <w:szCs w:val="22"/>
              </w:rPr>
            </w:pPr>
            <w:r w:rsidRPr="00317ABF">
              <w:rPr>
                <w:rFonts w:eastAsia="Times"/>
                <w:sz w:val="22"/>
                <w:szCs w:val="22"/>
              </w:rPr>
              <w:t>38)</w:t>
            </w:r>
            <w:r w:rsidRPr="00317ABF">
              <w:rPr>
                <w:rFonts w:eastAsia="Times"/>
                <w:sz w:val="22"/>
                <w:szCs w:val="22"/>
              </w:rPr>
              <w:tab/>
              <w:t>narusza obowiązki informacyjne w stosunku do użytkowników końcowych,</w:t>
            </w:r>
          </w:p>
          <w:p w14:paraId="479E6767" w14:textId="77777777" w:rsidR="00C930AB" w:rsidRPr="00317ABF" w:rsidRDefault="00C930AB" w:rsidP="00C930AB">
            <w:pPr>
              <w:jc w:val="both"/>
              <w:rPr>
                <w:rFonts w:eastAsia="Times"/>
                <w:sz w:val="22"/>
                <w:szCs w:val="22"/>
              </w:rPr>
            </w:pPr>
            <w:r w:rsidRPr="00317ABF">
              <w:rPr>
                <w:rFonts w:eastAsia="Times"/>
                <w:sz w:val="22"/>
                <w:szCs w:val="22"/>
              </w:rPr>
              <w:t>39) nie wypełnia lub nienależycie wypełnia obowiązki dotyczące zawierania umowy o świadczenie usług komunikacji elektronicznej, o których mowa w art. 279-288,</w:t>
            </w:r>
          </w:p>
          <w:p w14:paraId="22F1BAED" w14:textId="77777777" w:rsidR="00C930AB" w:rsidRPr="00317ABF" w:rsidRDefault="00C930AB" w:rsidP="00C930AB">
            <w:pPr>
              <w:jc w:val="both"/>
              <w:rPr>
                <w:rFonts w:eastAsia="Times"/>
                <w:sz w:val="22"/>
                <w:szCs w:val="22"/>
              </w:rPr>
            </w:pPr>
            <w:r w:rsidRPr="00317ABF">
              <w:rPr>
                <w:rFonts w:eastAsia="Times"/>
                <w:sz w:val="22"/>
                <w:szCs w:val="22"/>
              </w:rPr>
              <w:t>40) nie wypełnia lub nienależycie wypełnia obowiązki dotyczące składania przez abonenta oświadczeń woli w formie dokumentowej, o których mowa w art. 289,</w:t>
            </w:r>
          </w:p>
          <w:p w14:paraId="2E9CEE24" w14:textId="77777777" w:rsidR="00C930AB" w:rsidRPr="00317ABF" w:rsidRDefault="00C930AB" w:rsidP="00C930AB">
            <w:pPr>
              <w:jc w:val="both"/>
              <w:rPr>
                <w:rFonts w:eastAsia="Times"/>
                <w:sz w:val="22"/>
                <w:szCs w:val="22"/>
              </w:rPr>
            </w:pPr>
            <w:r w:rsidRPr="00317ABF">
              <w:rPr>
                <w:rFonts w:eastAsia="Times"/>
                <w:sz w:val="22"/>
                <w:szCs w:val="22"/>
              </w:rPr>
              <w:t>41) nie wypełnia lub nienależycie wypełnia obowiązki dotyczące rozwiązania, wypowiedzenia albo odstąpienia od umowy w formie dokumentowej, o których mowa w art. 290,</w:t>
            </w:r>
          </w:p>
          <w:p w14:paraId="55689EF6" w14:textId="77777777" w:rsidR="00C930AB" w:rsidRPr="00317ABF" w:rsidRDefault="00C930AB" w:rsidP="00C930AB">
            <w:pPr>
              <w:jc w:val="both"/>
              <w:rPr>
                <w:rFonts w:eastAsia="Times"/>
                <w:sz w:val="22"/>
                <w:szCs w:val="22"/>
              </w:rPr>
            </w:pPr>
            <w:r w:rsidRPr="00317ABF">
              <w:rPr>
                <w:rFonts w:eastAsia="Times"/>
                <w:sz w:val="22"/>
                <w:szCs w:val="22"/>
              </w:rPr>
              <w:t>42)</w:t>
            </w:r>
            <w:r w:rsidRPr="00317ABF">
              <w:rPr>
                <w:rFonts w:eastAsia="Times"/>
                <w:sz w:val="22"/>
                <w:szCs w:val="22"/>
              </w:rPr>
              <w:tab/>
              <w:t>świadczy usługi telekomunikacyjne bez potwierdzenia danych podanych przez abonenta zgodnie z art. 291 ust. 1,</w:t>
            </w:r>
          </w:p>
          <w:p w14:paraId="29A732F0" w14:textId="77777777" w:rsidR="00C930AB" w:rsidRPr="00317ABF" w:rsidRDefault="00C930AB" w:rsidP="00C930AB">
            <w:pPr>
              <w:jc w:val="both"/>
              <w:rPr>
                <w:rFonts w:eastAsia="Times"/>
                <w:sz w:val="22"/>
                <w:szCs w:val="22"/>
              </w:rPr>
            </w:pPr>
            <w:r w:rsidRPr="00317ABF">
              <w:rPr>
                <w:rFonts w:eastAsia="Times"/>
                <w:sz w:val="22"/>
                <w:szCs w:val="22"/>
              </w:rPr>
              <w:t>43)</w:t>
            </w:r>
            <w:r w:rsidRPr="00317ABF">
              <w:rPr>
                <w:rFonts w:eastAsia="Times"/>
                <w:sz w:val="22"/>
                <w:szCs w:val="22"/>
              </w:rPr>
              <w:tab/>
              <w:t>narusza warunki dostępu do usług, warunki zawarcia umowy o świadczenie usług komunikacji elektronicznej oraz warunki świadczenia usług określone w art. 292 ust. 1-3 i 6,</w:t>
            </w:r>
          </w:p>
          <w:p w14:paraId="0E59E66D" w14:textId="77777777" w:rsidR="00C930AB" w:rsidRPr="00317ABF" w:rsidRDefault="00C930AB" w:rsidP="00C930AB">
            <w:pPr>
              <w:jc w:val="both"/>
              <w:rPr>
                <w:rFonts w:eastAsia="Times"/>
                <w:sz w:val="22"/>
                <w:szCs w:val="22"/>
              </w:rPr>
            </w:pPr>
            <w:r w:rsidRPr="00317ABF">
              <w:rPr>
                <w:rFonts w:eastAsia="Times"/>
                <w:sz w:val="22"/>
                <w:szCs w:val="22"/>
              </w:rPr>
              <w:lastRenderedPageBreak/>
              <w:t>44) nie wypełnia lub nienależycie wypełnia obowiązki dotyczące okresu obowiązywania umowy o świadczenie usług komunikacji elektronicznej, o których mowa w art. 295,</w:t>
            </w:r>
          </w:p>
          <w:p w14:paraId="29E990C8" w14:textId="77777777" w:rsidR="00C930AB" w:rsidRPr="00317ABF" w:rsidRDefault="00C930AB" w:rsidP="00C930AB">
            <w:pPr>
              <w:jc w:val="both"/>
              <w:rPr>
                <w:rFonts w:eastAsia="Times"/>
                <w:sz w:val="22"/>
                <w:szCs w:val="22"/>
              </w:rPr>
            </w:pPr>
            <w:r w:rsidRPr="00317ABF">
              <w:rPr>
                <w:rFonts w:eastAsia="Times"/>
                <w:sz w:val="22"/>
                <w:szCs w:val="22"/>
              </w:rPr>
              <w:t>45) nie wypełnia lub nienależycie wypełnia obowiązki dotyczące automatycznego przedłużenia umowy, o których mowa w art. 296,</w:t>
            </w:r>
          </w:p>
          <w:p w14:paraId="00641071" w14:textId="77777777" w:rsidR="00C930AB" w:rsidRPr="00317ABF" w:rsidRDefault="00C930AB" w:rsidP="00C930AB">
            <w:pPr>
              <w:jc w:val="both"/>
              <w:rPr>
                <w:rFonts w:eastAsia="Times"/>
                <w:sz w:val="22"/>
                <w:szCs w:val="22"/>
              </w:rPr>
            </w:pPr>
            <w:r w:rsidRPr="00317ABF">
              <w:rPr>
                <w:rFonts w:eastAsia="Times"/>
                <w:sz w:val="22"/>
                <w:szCs w:val="22"/>
              </w:rPr>
              <w:t>46) żąda od abonenta odszkodowania niezgodnie z art. 298 i art. 303,</w:t>
            </w:r>
          </w:p>
          <w:p w14:paraId="19D772FB" w14:textId="77777777" w:rsidR="00C930AB" w:rsidRPr="00317ABF" w:rsidRDefault="00C930AB" w:rsidP="00C930AB">
            <w:pPr>
              <w:jc w:val="both"/>
              <w:rPr>
                <w:rFonts w:eastAsia="Times"/>
                <w:sz w:val="22"/>
                <w:szCs w:val="22"/>
              </w:rPr>
            </w:pPr>
            <w:r w:rsidRPr="00317ABF">
              <w:rPr>
                <w:rFonts w:eastAsia="Times"/>
                <w:sz w:val="22"/>
                <w:szCs w:val="22"/>
              </w:rPr>
              <w:t>47) uniemożliwia realizację uprawnień abonenta, o których mowa w art. 299,</w:t>
            </w:r>
          </w:p>
          <w:p w14:paraId="7962B5F0" w14:textId="77777777" w:rsidR="00C930AB" w:rsidRPr="00317ABF" w:rsidRDefault="00C930AB" w:rsidP="00C930AB">
            <w:pPr>
              <w:jc w:val="both"/>
              <w:rPr>
                <w:rFonts w:eastAsia="Times"/>
                <w:sz w:val="22"/>
                <w:szCs w:val="22"/>
              </w:rPr>
            </w:pPr>
            <w:r w:rsidRPr="00317ABF">
              <w:rPr>
                <w:rFonts w:eastAsia="Times"/>
                <w:sz w:val="22"/>
                <w:szCs w:val="22"/>
              </w:rPr>
              <w:t xml:space="preserve">48) nie wypełnia lub nienależycie wypełnia obowiązki w zakresie jednostronnej zmiany warunków umowy, o których mowa w art. 300-302, </w:t>
            </w:r>
          </w:p>
          <w:p w14:paraId="5AEAAD95" w14:textId="77777777" w:rsidR="00C930AB" w:rsidRPr="00317ABF" w:rsidRDefault="00C930AB" w:rsidP="00C930AB">
            <w:pPr>
              <w:jc w:val="both"/>
              <w:rPr>
                <w:rFonts w:eastAsia="Times"/>
                <w:sz w:val="22"/>
                <w:szCs w:val="22"/>
              </w:rPr>
            </w:pPr>
            <w:r w:rsidRPr="00317ABF">
              <w:rPr>
                <w:rFonts w:eastAsia="Times"/>
                <w:sz w:val="22"/>
                <w:szCs w:val="22"/>
              </w:rPr>
              <w:t>49) nie  wypełnia lub nienależycie wypełnia obowiązek dotyczący usuwania ograniczeń w zakresie korzystania z promocyjnego urządzenia końcowego , o którym mowa w art. 304,</w:t>
            </w:r>
          </w:p>
          <w:p w14:paraId="781200AC" w14:textId="77777777" w:rsidR="00C930AB" w:rsidRPr="00317ABF" w:rsidRDefault="00C930AB" w:rsidP="00C930AB">
            <w:pPr>
              <w:jc w:val="both"/>
              <w:rPr>
                <w:rFonts w:eastAsia="Times"/>
                <w:sz w:val="22"/>
                <w:szCs w:val="22"/>
              </w:rPr>
            </w:pPr>
            <w:r w:rsidRPr="00317ABF">
              <w:rPr>
                <w:rFonts w:eastAsia="Times"/>
                <w:sz w:val="22"/>
                <w:szCs w:val="22"/>
              </w:rPr>
              <w:t>50)</w:t>
            </w:r>
            <w:r w:rsidRPr="00317ABF">
              <w:rPr>
                <w:rFonts w:eastAsia="Times"/>
                <w:sz w:val="22"/>
                <w:szCs w:val="22"/>
              </w:rPr>
              <w:tab/>
              <w:t>nie  wypełnia lub nienależycie wypełnia obowiązek publikowania informacji wynikający z decyzji, o której mowa w art. 305 ust. 2,</w:t>
            </w:r>
          </w:p>
          <w:p w14:paraId="65B0B4A1" w14:textId="77777777" w:rsidR="00C930AB" w:rsidRPr="00317ABF" w:rsidRDefault="00C930AB" w:rsidP="00C930AB">
            <w:pPr>
              <w:jc w:val="both"/>
              <w:rPr>
                <w:rFonts w:eastAsia="Times"/>
                <w:sz w:val="22"/>
                <w:szCs w:val="22"/>
              </w:rPr>
            </w:pPr>
            <w:r w:rsidRPr="00317ABF">
              <w:rPr>
                <w:rFonts w:eastAsia="Times"/>
                <w:sz w:val="22"/>
                <w:szCs w:val="22"/>
              </w:rPr>
              <w:t>51)</w:t>
            </w:r>
            <w:r w:rsidRPr="00317ABF">
              <w:rPr>
                <w:rFonts w:eastAsia="Times"/>
                <w:sz w:val="22"/>
                <w:szCs w:val="22"/>
              </w:rPr>
              <w:tab/>
              <w:t>nie  wypełnia lub nienależycie wypełnia obowiązek dotyczący usługi dostępu do internetu określony w art. 306 ust. 1 oraz w decyzjach, o których mowa w art. 306 ust. 2 i ust. 5-6,</w:t>
            </w:r>
          </w:p>
          <w:p w14:paraId="470E5EED" w14:textId="77777777" w:rsidR="00C930AB" w:rsidRPr="00317ABF" w:rsidRDefault="00C930AB" w:rsidP="00C930AB">
            <w:pPr>
              <w:jc w:val="both"/>
              <w:rPr>
                <w:rFonts w:eastAsia="Times"/>
                <w:sz w:val="22"/>
                <w:szCs w:val="22"/>
              </w:rPr>
            </w:pPr>
            <w:r w:rsidRPr="00317ABF">
              <w:rPr>
                <w:rFonts w:eastAsia="Times"/>
                <w:sz w:val="22"/>
                <w:szCs w:val="22"/>
              </w:rPr>
              <w:t>52) nie przekazuje Prezesowi UKE informacji, o których mowa w art. 307 ust. 3,</w:t>
            </w:r>
          </w:p>
          <w:p w14:paraId="0D5C8D28" w14:textId="77777777" w:rsidR="00C930AB" w:rsidRPr="00317ABF" w:rsidRDefault="00C930AB" w:rsidP="00C930AB">
            <w:pPr>
              <w:jc w:val="both"/>
              <w:rPr>
                <w:rFonts w:eastAsia="Times"/>
                <w:sz w:val="22"/>
                <w:szCs w:val="22"/>
              </w:rPr>
            </w:pPr>
            <w:r w:rsidRPr="00317ABF">
              <w:rPr>
                <w:rFonts w:eastAsia="Times"/>
                <w:sz w:val="22"/>
                <w:szCs w:val="22"/>
              </w:rPr>
              <w:t>53)</w:t>
            </w:r>
            <w:r w:rsidRPr="00317ABF">
              <w:rPr>
                <w:rFonts w:eastAsia="Times"/>
                <w:sz w:val="22"/>
                <w:szCs w:val="22"/>
              </w:rPr>
              <w:tab/>
              <w:t>nie przekazuje, zgodnie z art. 309, danych dotyczących świadczonych usług do narzędzia porównawczego zapewnianego przez Prezesa UKE lub nie aktualizuje tych danych,</w:t>
            </w:r>
          </w:p>
          <w:p w14:paraId="329FEFF4" w14:textId="77777777" w:rsidR="00C930AB" w:rsidRPr="00317ABF" w:rsidRDefault="00C930AB" w:rsidP="00C930AB">
            <w:pPr>
              <w:jc w:val="both"/>
              <w:rPr>
                <w:rFonts w:eastAsia="Times"/>
                <w:sz w:val="22"/>
                <w:szCs w:val="22"/>
              </w:rPr>
            </w:pPr>
            <w:r w:rsidRPr="00317ABF">
              <w:rPr>
                <w:rFonts w:eastAsia="Times"/>
                <w:sz w:val="22"/>
                <w:szCs w:val="22"/>
              </w:rPr>
              <w:t>54)</w:t>
            </w:r>
            <w:r w:rsidRPr="00317ABF">
              <w:rPr>
                <w:rFonts w:eastAsia="Times"/>
                <w:sz w:val="22"/>
                <w:szCs w:val="22"/>
              </w:rPr>
              <w:tab/>
              <w:t>nie  wypełnia lub nienależycie wypełnia obowiązek publikowania informacji wynikający z decyzji, o której mowa w art. 310 ust. 1 i obowiązek informacyjny, o którym mowa w art. 310 ust. 2,</w:t>
            </w:r>
          </w:p>
          <w:p w14:paraId="3CC534DD" w14:textId="77777777" w:rsidR="00C930AB" w:rsidRPr="00317ABF" w:rsidRDefault="00C930AB" w:rsidP="00C930AB">
            <w:pPr>
              <w:jc w:val="both"/>
              <w:rPr>
                <w:rFonts w:eastAsia="Times"/>
                <w:sz w:val="22"/>
                <w:szCs w:val="22"/>
              </w:rPr>
            </w:pPr>
            <w:r w:rsidRPr="00317ABF">
              <w:rPr>
                <w:rFonts w:eastAsia="Times"/>
                <w:sz w:val="22"/>
                <w:szCs w:val="22"/>
              </w:rPr>
              <w:t>55) nie  wypełnia lub nienależycie wypełnia obowiązku, o którym mowa w art. 311 ust. 1-3,</w:t>
            </w:r>
          </w:p>
          <w:p w14:paraId="7489D83A" w14:textId="77777777" w:rsidR="00C930AB" w:rsidRPr="00317ABF" w:rsidRDefault="00C930AB" w:rsidP="00C930AB">
            <w:pPr>
              <w:jc w:val="both"/>
              <w:rPr>
                <w:rFonts w:eastAsia="Times"/>
                <w:sz w:val="22"/>
                <w:szCs w:val="22"/>
              </w:rPr>
            </w:pPr>
            <w:r w:rsidRPr="00317ABF">
              <w:rPr>
                <w:rFonts w:eastAsia="Times"/>
                <w:sz w:val="22"/>
                <w:szCs w:val="22"/>
              </w:rPr>
              <w:t>56)</w:t>
            </w:r>
            <w:r w:rsidRPr="00317ABF">
              <w:rPr>
                <w:rFonts w:eastAsia="Times"/>
                <w:sz w:val="22"/>
                <w:szCs w:val="22"/>
              </w:rPr>
              <w:tab/>
              <w:t>uniemożliwia lub utrudnia korzystanie z uprawnień abonenckich, o których mowa w art. 312-313, art. 317-320 lub art. 322,</w:t>
            </w:r>
          </w:p>
          <w:p w14:paraId="67391005" w14:textId="77777777" w:rsidR="00C930AB" w:rsidRPr="00317ABF" w:rsidRDefault="00C930AB" w:rsidP="00C930AB">
            <w:pPr>
              <w:jc w:val="both"/>
              <w:rPr>
                <w:rFonts w:eastAsia="Times"/>
                <w:sz w:val="22"/>
                <w:szCs w:val="22"/>
              </w:rPr>
            </w:pPr>
            <w:r w:rsidRPr="00317ABF">
              <w:rPr>
                <w:rFonts w:eastAsia="Times"/>
                <w:sz w:val="22"/>
                <w:szCs w:val="22"/>
              </w:rPr>
              <w:t>57)</w:t>
            </w:r>
            <w:r w:rsidRPr="00317ABF">
              <w:rPr>
                <w:rFonts w:eastAsia="Times"/>
                <w:sz w:val="22"/>
                <w:szCs w:val="22"/>
              </w:rPr>
              <w:tab/>
              <w:t>nie realizuje lub nienależycie realizuje uprawnienia abonenta oraz obowiązki, o których mowa w art. 312-313, art. 317-320 lub art. 322,</w:t>
            </w:r>
          </w:p>
          <w:p w14:paraId="13287FD6" w14:textId="77777777" w:rsidR="00C930AB" w:rsidRPr="00317ABF" w:rsidRDefault="00C930AB" w:rsidP="00C930AB">
            <w:pPr>
              <w:jc w:val="both"/>
              <w:rPr>
                <w:rFonts w:eastAsia="Times"/>
                <w:sz w:val="22"/>
                <w:szCs w:val="22"/>
              </w:rPr>
            </w:pPr>
            <w:r w:rsidRPr="00317ABF">
              <w:rPr>
                <w:rFonts w:eastAsia="Times"/>
                <w:sz w:val="22"/>
                <w:szCs w:val="22"/>
              </w:rPr>
              <w:t>58) nie wypełnia lub nienależycie wypełnia obowiązki, o których mowa w art. 321 ust. 2,</w:t>
            </w:r>
          </w:p>
          <w:p w14:paraId="13BCFD6D" w14:textId="77777777" w:rsidR="00C930AB" w:rsidRPr="00317ABF" w:rsidRDefault="00C930AB" w:rsidP="00C930AB">
            <w:pPr>
              <w:jc w:val="both"/>
              <w:rPr>
                <w:rFonts w:eastAsia="Times"/>
                <w:sz w:val="22"/>
                <w:szCs w:val="22"/>
              </w:rPr>
            </w:pPr>
            <w:r w:rsidRPr="00317ABF">
              <w:rPr>
                <w:rFonts w:eastAsia="Times"/>
                <w:sz w:val="22"/>
                <w:szCs w:val="22"/>
              </w:rPr>
              <w:t xml:space="preserve">59) nie wypełnia lub nienależycie wypełnia obowiązek dotyczący zapewnienia możliwości realizacji uprawnień abonenta, o którym mowa w art. 314 ust. 1 lub art. 323 ust. 1, </w:t>
            </w:r>
          </w:p>
          <w:p w14:paraId="5452F96A" w14:textId="77777777" w:rsidR="00C930AB" w:rsidRPr="00317ABF" w:rsidRDefault="00C930AB" w:rsidP="00C930AB">
            <w:pPr>
              <w:jc w:val="both"/>
              <w:rPr>
                <w:rFonts w:eastAsia="Times"/>
                <w:sz w:val="22"/>
                <w:szCs w:val="22"/>
              </w:rPr>
            </w:pPr>
            <w:r w:rsidRPr="00317ABF">
              <w:rPr>
                <w:rFonts w:eastAsia="Times"/>
                <w:sz w:val="22"/>
                <w:szCs w:val="22"/>
              </w:rPr>
              <w:t>60) nie wypełnia lub nienależycie wypełnia obowiązek zwrotu środków, o którym mowa w art. 325,</w:t>
            </w:r>
          </w:p>
          <w:p w14:paraId="0E3747E7" w14:textId="77777777" w:rsidR="00C930AB" w:rsidRPr="00317ABF" w:rsidRDefault="00C930AB" w:rsidP="00C930AB">
            <w:pPr>
              <w:jc w:val="both"/>
              <w:rPr>
                <w:rFonts w:eastAsia="Times"/>
                <w:sz w:val="22"/>
                <w:szCs w:val="22"/>
              </w:rPr>
            </w:pPr>
            <w:r w:rsidRPr="00317ABF">
              <w:rPr>
                <w:rFonts w:eastAsia="Times"/>
                <w:sz w:val="22"/>
                <w:szCs w:val="22"/>
              </w:rPr>
              <w:lastRenderedPageBreak/>
              <w:t>61) nie stosuje się do wymagań dotyczących dokładności i niezawodności lokalizacji zakończenia sieci dla ruchomej publicznej sieci telekomunikacyjnej wynikających z decyzji, o której mowa w art. 330 ust. 4,</w:t>
            </w:r>
          </w:p>
          <w:p w14:paraId="79CE2E13" w14:textId="77777777" w:rsidR="00C930AB" w:rsidRPr="00317ABF" w:rsidRDefault="00C930AB" w:rsidP="00C930AB">
            <w:pPr>
              <w:jc w:val="both"/>
              <w:rPr>
                <w:rFonts w:eastAsia="Times"/>
                <w:sz w:val="22"/>
                <w:szCs w:val="22"/>
              </w:rPr>
            </w:pPr>
            <w:r w:rsidRPr="00317ABF">
              <w:rPr>
                <w:rFonts w:eastAsia="Times"/>
                <w:sz w:val="22"/>
                <w:szCs w:val="22"/>
              </w:rPr>
              <w:t>62) nie wypełnia lub nienależycie wypełnia obowiązki dotyczące przekazywania i aktualizacji danych , o których mowa w art. 331 ust. 1-2 i ust. 4,</w:t>
            </w:r>
          </w:p>
          <w:p w14:paraId="75CA81D7" w14:textId="77777777" w:rsidR="00C930AB" w:rsidRPr="00317ABF" w:rsidRDefault="00C930AB" w:rsidP="00C930AB">
            <w:pPr>
              <w:jc w:val="both"/>
              <w:rPr>
                <w:rFonts w:eastAsia="Times"/>
                <w:sz w:val="22"/>
                <w:szCs w:val="22"/>
              </w:rPr>
            </w:pPr>
            <w:r w:rsidRPr="00317ABF">
              <w:rPr>
                <w:rFonts w:eastAsia="Times"/>
                <w:sz w:val="22"/>
                <w:szCs w:val="22"/>
              </w:rPr>
              <w:t>63) nie wypełnia lub nienależycie wypełnia obowiązek, o którym mowa w art. 332 ust. 1 i 2,</w:t>
            </w:r>
          </w:p>
          <w:p w14:paraId="74E40785" w14:textId="77777777" w:rsidR="00C930AB" w:rsidRPr="00317ABF" w:rsidRDefault="00C930AB" w:rsidP="00C930AB">
            <w:pPr>
              <w:jc w:val="both"/>
              <w:rPr>
                <w:rFonts w:eastAsia="Times"/>
                <w:sz w:val="22"/>
                <w:szCs w:val="22"/>
              </w:rPr>
            </w:pPr>
            <w:r w:rsidRPr="00317ABF">
              <w:rPr>
                <w:rFonts w:eastAsia="Times"/>
                <w:sz w:val="22"/>
                <w:szCs w:val="22"/>
              </w:rPr>
              <w:t>64) nie wypełnia lub nienależycie wypełnia obowiązki dotyczące skradzionych albo zgubionych telekomunikacyjnych urządzeń końcowych, o których mowa w art. 333,</w:t>
            </w:r>
          </w:p>
          <w:p w14:paraId="6B01613D" w14:textId="77777777" w:rsidR="00C930AB" w:rsidRPr="00317ABF" w:rsidRDefault="00C930AB" w:rsidP="00C930AB">
            <w:pPr>
              <w:jc w:val="both"/>
              <w:rPr>
                <w:rFonts w:eastAsia="Times"/>
                <w:sz w:val="22"/>
                <w:szCs w:val="22"/>
              </w:rPr>
            </w:pPr>
            <w:r w:rsidRPr="00317ABF">
              <w:rPr>
                <w:rFonts w:eastAsia="Times"/>
                <w:sz w:val="22"/>
                <w:szCs w:val="22"/>
              </w:rPr>
              <w:t>65) nie zapewnia lub nienależycie zapewnia użytkownikom końcowym z niepełnosprawnościami dostęp do świadczonych przez siebie udogodnień i usług, o którym mowa w art. 334 ust. 1,</w:t>
            </w:r>
          </w:p>
          <w:p w14:paraId="2EFC5EF7" w14:textId="77777777" w:rsidR="00C930AB" w:rsidRPr="00317ABF" w:rsidRDefault="00C930AB" w:rsidP="00C930AB">
            <w:pPr>
              <w:jc w:val="both"/>
              <w:rPr>
                <w:rFonts w:eastAsia="Times"/>
                <w:sz w:val="22"/>
                <w:szCs w:val="22"/>
              </w:rPr>
            </w:pPr>
            <w:r w:rsidRPr="00317ABF">
              <w:rPr>
                <w:rFonts w:eastAsia="Times"/>
                <w:sz w:val="22"/>
                <w:szCs w:val="22"/>
              </w:rPr>
              <w:t>66)</w:t>
            </w:r>
            <w:r w:rsidRPr="00317ABF">
              <w:rPr>
                <w:rFonts w:eastAsia="Times"/>
                <w:sz w:val="22"/>
                <w:szCs w:val="22"/>
              </w:rPr>
              <w:tab/>
              <w:t>nie wypełnia lub nienależycie wypełnia obowiązki dotyczące świadczenia usług z dodatkowym świadczeniem określone w art. 335 oraz art. 336-337,</w:t>
            </w:r>
          </w:p>
          <w:p w14:paraId="22D402AC" w14:textId="77777777" w:rsidR="00C930AB" w:rsidRPr="00317ABF" w:rsidRDefault="00C930AB" w:rsidP="00C930AB">
            <w:pPr>
              <w:jc w:val="both"/>
              <w:rPr>
                <w:rFonts w:eastAsia="Times"/>
                <w:sz w:val="22"/>
                <w:szCs w:val="22"/>
              </w:rPr>
            </w:pPr>
            <w:r w:rsidRPr="00317ABF">
              <w:rPr>
                <w:rFonts w:eastAsia="Times"/>
                <w:sz w:val="22"/>
                <w:szCs w:val="22"/>
              </w:rPr>
              <w:t>67) żąda od abonenta zapłaty niezgodnie z art. 338,</w:t>
            </w:r>
          </w:p>
          <w:p w14:paraId="3A774B43" w14:textId="77777777" w:rsidR="00C930AB" w:rsidRPr="00317ABF" w:rsidRDefault="00C930AB" w:rsidP="00C930AB">
            <w:pPr>
              <w:jc w:val="both"/>
              <w:rPr>
                <w:rFonts w:eastAsia="Times"/>
                <w:sz w:val="22"/>
                <w:szCs w:val="22"/>
              </w:rPr>
            </w:pPr>
            <w:r w:rsidRPr="00317ABF">
              <w:rPr>
                <w:rFonts w:eastAsia="Times"/>
                <w:sz w:val="22"/>
                <w:szCs w:val="22"/>
              </w:rPr>
              <w:t>68) umożliwia świadczenie usługi z dodatkowym świadczeniem niezgodnie z art. 339 ust. 3,</w:t>
            </w:r>
          </w:p>
          <w:p w14:paraId="0D8F2DD2" w14:textId="77777777" w:rsidR="00C930AB" w:rsidRPr="00317ABF" w:rsidRDefault="00C930AB" w:rsidP="00C930AB">
            <w:pPr>
              <w:jc w:val="both"/>
              <w:rPr>
                <w:rFonts w:eastAsia="Times"/>
                <w:sz w:val="22"/>
                <w:szCs w:val="22"/>
              </w:rPr>
            </w:pPr>
            <w:r w:rsidRPr="00317ABF">
              <w:rPr>
                <w:rFonts w:eastAsia="Times"/>
                <w:sz w:val="22"/>
                <w:szCs w:val="22"/>
              </w:rPr>
              <w:t>69)</w:t>
            </w:r>
            <w:r w:rsidRPr="00317ABF">
              <w:rPr>
                <w:rFonts w:eastAsia="Times"/>
                <w:sz w:val="22"/>
                <w:szCs w:val="22"/>
              </w:rPr>
              <w:tab/>
              <w:t>nie przekazuje w terminie zgłoszenia, zgłoszenia aktualizacyjnego lub informacji o terminie zakończenia świadczenia usługi z dodatkowym świadczeniem, o których mowa w art. 340 ust. 1 i 4 oraz art. 342 ust. 1,</w:t>
            </w:r>
          </w:p>
          <w:p w14:paraId="48DD9B05" w14:textId="77777777" w:rsidR="00C930AB" w:rsidRPr="00317ABF" w:rsidRDefault="00C930AB" w:rsidP="00C930AB">
            <w:pPr>
              <w:jc w:val="both"/>
              <w:rPr>
                <w:rFonts w:eastAsia="Times"/>
                <w:sz w:val="22"/>
                <w:szCs w:val="22"/>
              </w:rPr>
            </w:pPr>
            <w:r w:rsidRPr="00317ABF">
              <w:rPr>
                <w:rFonts w:eastAsia="Times"/>
                <w:sz w:val="22"/>
                <w:szCs w:val="22"/>
              </w:rPr>
              <w:t>70)</w:t>
            </w:r>
            <w:r w:rsidRPr="00317ABF">
              <w:rPr>
                <w:rFonts w:eastAsia="Times"/>
                <w:sz w:val="22"/>
                <w:szCs w:val="22"/>
              </w:rPr>
              <w:tab/>
              <w:t>nie wypełnia lub nienależycie wypełnia obowiązki wynikające z decyzji, o których mowa w art. 343 ust. 1,</w:t>
            </w:r>
          </w:p>
          <w:p w14:paraId="7890DE76" w14:textId="77777777" w:rsidR="00C930AB" w:rsidRPr="00317ABF" w:rsidRDefault="00C930AB" w:rsidP="00C930AB">
            <w:pPr>
              <w:jc w:val="both"/>
              <w:rPr>
                <w:rFonts w:eastAsia="Times"/>
                <w:sz w:val="22"/>
                <w:szCs w:val="22"/>
              </w:rPr>
            </w:pPr>
            <w:r w:rsidRPr="00317ABF">
              <w:rPr>
                <w:rFonts w:eastAsia="Times"/>
                <w:sz w:val="22"/>
                <w:szCs w:val="22"/>
              </w:rPr>
              <w:t>71)</w:t>
            </w:r>
            <w:r w:rsidRPr="00317ABF">
              <w:rPr>
                <w:rFonts w:eastAsia="Times"/>
                <w:sz w:val="22"/>
                <w:szCs w:val="22"/>
              </w:rPr>
              <w:tab/>
              <w:t>nie wypełnia lub nienależycie wypełnia obowiązek uzyskania zgody abonenta na świadczenie usługi fakultatywnego obciążania rachunku, o którym w art. 344 ust. 1,</w:t>
            </w:r>
          </w:p>
          <w:p w14:paraId="68B3584A" w14:textId="77777777" w:rsidR="00C930AB" w:rsidRPr="00317ABF" w:rsidRDefault="00C930AB" w:rsidP="00C930AB">
            <w:pPr>
              <w:jc w:val="both"/>
              <w:rPr>
                <w:rFonts w:eastAsia="Times"/>
                <w:sz w:val="22"/>
                <w:szCs w:val="22"/>
              </w:rPr>
            </w:pPr>
            <w:r w:rsidRPr="00317ABF">
              <w:rPr>
                <w:rFonts w:eastAsia="Times"/>
                <w:sz w:val="22"/>
                <w:szCs w:val="22"/>
              </w:rPr>
              <w:t>72)</w:t>
            </w:r>
            <w:r w:rsidRPr="00317ABF">
              <w:rPr>
                <w:rFonts w:eastAsia="Times"/>
                <w:sz w:val="22"/>
                <w:szCs w:val="22"/>
              </w:rPr>
              <w:tab/>
              <w:t>nie wypełnia lub nienależycie wypełnia obowiązki, określone w art. 344 ust. 3-7 oraz art. 345 ust. 1 i 3,</w:t>
            </w:r>
          </w:p>
          <w:p w14:paraId="434EFFCD" w14:textId="77777777" w:rsidR="00C930AB" w:rsidRPr="00317ABF" w:rsidRDefault="00C930AB" w:rsidP="00C930AB">
            <w:pPr>
              <w:jc w:val="both"/>
              <w:rPr>
                <w:rFonts w:eastAsia="Times"/>
                <w:sz w:val="22"/>
                <w:szCs w:val="22"/>
              </w:rPr>
            </w:pPr>
            <w:r w:rsidRPr="00317ABF">
              <w:rPr>
                <w:rFonts w:eastAsia="Times"/>
                <w:sz w:val="22"/>
                <w:szCs w:val="22"/>
              </w:rPr>
              <w:t>73)</w:t>
            </w:r>
            <w:r w:rsidRPr="00317ABF">
              <w:rPr>
                <w:rFonts w:eastAsia="Times"/>
                <w:sz w:val="22"/>
                <w:szCs w:val="22"/>
              </w:rPr>
              <w:tab/>
              <w:t>nie doręcza abonentowi podstawowego lub szczegółowego wykazu wykonanych usług lub doręcza ten wykaz niezgodnie z art. 346 lub art. 347,</w:t>
            </w:r>
          </w:p>
          <w:p w14:paraId="48B82B0C" w14:textId="77777777" w:rsidR="00C930AB" w:rsidRPr="00317ABF" w:rsidRDefault="00C930AB" w:rsidP="00C930AB">
            <w:pPr>
              <w:jc w:val="both"/>
              <w:rPr>
                <w:rFonts w:eastAsia="Times"/>
                <w:sz w:val="22"/>
                <w:szCs w:val="22"/>
              </w:rPr>
            </w:pPr>
            <w:r w:rsidRPr="00317ABF">
              <w:rPr>
                <w:rFonts w:eastAsia="Times"/>
                <w:sz w:val="22"/>
                <w:szCs w:val="22"/>
              </w:rPr>
              <w:t>74)</w:t>
            </w:r>
            <w:r w:rsidRPr="00317ABF">
              <w:rPr>
                <w:rFonts w:eastAsia="Times"/>
                <w:sz w:val="22"/>
                <w:szCs w:val="22"/>
              </w:rPr>
              <w:tab/>
              <w:t>świadczy dostęp do publicznej sieci telekomunikacyjnej za pośrednictwem lokalnej sieci radiowej przy użyciu urządzeń zlokalizowanych u użytkownika końcowego bez jego uprzedniej zgody, o której mowa w art. 348,</w:t>
            </w:r>
          </w:p>
          <w:p w14:paraId="5C584173" w14:textId="77777777" w:rsidR="00C930AB" w:rsidRPr="00317ABF" w:rsidRDefault="00C930AB" w:rsidP="00C930AB">
            <w:pPr>
              <w:jc w:val="both"/>
              <w:rPr>
                <w:rFonts w:eastAsia="Times"/>
                <w:sz w:val="22"/>
                <w:szCs w:val="22"/>
              </w:rPr>
            </w:pPr>
            <w:r w:rsidRPr="00317ABF">
              <w:rPr>
                <w:rFonts w:eastAsia="Times"/>
                <w:sz w:val="22"/>
                <w:szCs w:val="22"/>
              </w:rPr>
              <w:t>75)</w:t>
            </w:r>
            <w:r w:rsidRPr="00317ABF">
              <w:rPr>
                <w:rFonts w:eastAsia="Times"/>
                <w:sz w:val="22"/>
                <w:szCs w:val="22"/>
              </w:rPr>
              <w:tab/>
              <w:t>narusza nakaz, o którym mowa w art. 349,</w:t>
            </w:r>
          </w:p>
          <w:p w14:paraId="40D3CDAA" w14:textId="77777777" w:rsidR="00C930AB" w:rsidRPr="00317ABF" w:rsidRDefault="00C930AB" w:rsidP="00C930AB">
            <w:pPr>
              <w:jc w:val="both"/>
              <w:rPr>
                <w:rFonts w:eastAsia="Times"/>
                <w:sz w:val="22"/>
                <w:szCs w:val="22"/>
              </w:rPr>
            </w:pPr>
            <w:r w:rsidRPr="00317ABF">
              <w:rPr>
                <w:rFonts w:eastAsia="Times"/>
                <w:sz w:val="22"/>
                <w:szCs w:val="22"/>
              </w:rPr>
              <w:lastRenderedPageBreak/>
              <w:t>76)</w:t>
            </w:r>
            <w:r w:rsidRPr="00317ABF">
              <w:rPr>
                <w:rFonts w:eastAsia="Times"/>
                <w:sz w:val="22"/>
                <w:szCs w:val="22"/>
              </w:rPr>
              <w:tab/>
              <w:t xml:space="preserve">nie wypełnia lub nienależycie wypełnia uprawnienia konsumentów lub uprawnienia użytkowników końcowych w zakresie usługi powszechnej, o których mowa w art. 350 ust. 3 i 4, art. 360-362, </w:t>
            </w:r>
          </w:p>
          <w:p w14:paraId="1885DA63" w14:textId="77777777" w:rsidR="00C930AB" w:rsidRPr="00317ABF" w:rsidRDefault="00C930AB" w:rsidP="00C930AB">
            <w:pPr>
              <w:jc w:val="both"/>
              <w:rPr>
                <w:rFonts w:eastAsia="Times"/>
                <w:sz w:val="22"/>
                <w:szCs w:val="22"/>
              </w:rPr>
            </w:pPr>
            <w:r w:rsidRPr="00317ABF">
              <w:rPr>
                <w:rFonts w:eastAsia="Times"/>
                <w:sz w:val="22"/>
                <w:szCs w:val="22"/>
              </w:rPr>
              <w:t>77)</w:t>
            </w:r>
            <w:r w:rsidRPr="00317ABF">
              <w:rPr>
                <w:rFonts w:eastAsia="Times"/>
                <w:sz w:val="22"/>
                <w:szCs w:val="22"/>
              </w:rPr>
              <w:tab/>
              <w:t>nie wypełnia obowiązku świadczenia usługi lub obowiązku oferowania specjalnego pakietu cenowego lub wypełnia je niezgodnie z decyzją, o której mowa w art. 353 ust. 4, art. 355 ust. 6, art. 356 lub art. 363 ust. 2,</w:t>
            </w:r>
          </w:p>
          <w:p w14:paraId="6217C375" w14:textId="77777777" w:rsidR="00C930AB" w:rsidRPr="00317ABF" w:rsidRDefault="00C930AB" w:rsidP="00C930AB">
            <w:pPr>
              <w:jc w:val="both"/>
              <w:rPr>
                <w:rFonts w:eastAsia="Times"/>
                <w:sz w:val="22"/>
                <w:szCs w:val="22"/>
              </w:rPr>
            </w:pPr>
            <w:r w:rsidRPr="00317ABF">
              <w:rPr>
                <w:rFonts w:eastAsia="Times"/>
                <w:sz w:val="22"/>
                <w:szCs w:val="22"/>
              </w:rPr>
              <w:t>78)</w:t>
            </w:r>
            <w:r w:rsidRPr="00317ABF">
              <w:rPr>
                <w:rFonts w:eastAsia="Times"/>
                <w:sz w:val="22"/>
                <w:szCs w:val="22"/>
              </w:rPr>
              <w:tab/>
              <w:t>nie wypełnia lub nienależycie wypełnia obowiązki, o których mowa w art. 359 ust. 1, art. 363 ust. 1, art. 369 i art. 370,</w:t>
            </w:r>
          </w:p>
          <w:p w14:paraId="44B241E3" w14:textId="77777777" w:rsidR="00C930AB" w:rsidRPr="00317ABF" w:rsidRDefault="00C930AB" w:rsidP="00C930AB">
            <w:pPr>
              <w:jc w:val="both"/>
              <w:rPr>
                <w:rFonts w:eastAsia="Times"/>
                <w:sz w:val="22"/>
                <w:szCs w:val="22"/>
              </w:rPr>
            </w:pPr>
            <w:r w:rsidRPr="00317ABF">
              <w:rPr>
                <w:rFonts w:eastAsia="Times"/>
                <w:sz w:val="22"/>
                <w:szCs w:val="22"/>
              </w:rPr>
              <w:t>79)</w:t>
            </w:r>
            <w:r w:rsidRPr="00317ABF">
              <w:rPr>
                <w:rFonts w:eastAsia="Times"/>
                <w:sz w:val="22"/>
                <w:szCs w:val="22"/>
              </w:rPr>
              <w:tab/>
              <w:t>nie wypełnia obowiązku zmiany informacji przedumownych dotyczących specjalnego pakietu cenowego lub obowiązku świadczenia usługi lub wypełnia go niezgodnie z decyzją, o której mowa w art. 359 ust. 3,</w:t>
            </w:r>
          </w:p>
          <w:p w14:paraId="059667E7" w14:textId="77777777" w:rsidR="00C930AB" w:rsidRPr="00317ABF" w:rsidRDefault="00C930AB" w:rsidP="00C930AB">
            <w:pPr>
              <w:jc w:val="both"/>
              <w:rPr>
                <w:rFonts w:eastAsia="Times"/>
                <w:sz w:val="22"/>
                <w:szCs w:val="22"/>
              </w:rPr>
            </w:pPr>
            <w:r w:rsidRPr="00317ABF">
              <w:rPr>
                <w:rFonts w:eastAsia="Times"/>
                <w:sz w:val="22"/>
                <w:szCs w:val="22"/>
              </w:rPr>
              <w:t>80) nie realizuje lub nienależycie realizuje procedurę reklamacji,</w:t>
            </w:r>
          </w:p>
          <w:p w14:paraId="761CB280" w14:textId="77777777" w:rsidR="00C930AB" w:rsidRPr="00317ABF" w:rsidRDefault="00C930AB" w:rsidP="00C930AB">
            <w:pPr>
              <w:jc w:val="both"/>
              <w:rPr>
                <w:rFonts w:eastAsia="Times"/>
                <w:sz w:val="22"/>
                <w:szCs w:val="22"/>
              </w:rPr>
            </w:pPr>
            <w:r w:rsidRPr="00317ABF">
              <w:rPr>
                <w:rFonts w:eastAsia="Times"/>
                <w:sz w:val="22"/>
                <w:szCs w:val="22"/>
              </w:rPr>
              <w:t>81) nie wypełnia lub nienależycie wypełnia obowiązki informacyjne względem abonenta, o których mowa w art. 377,</w:t>
            </w:r>
          </w:p>
          <w:p w14:paraId="45F8D16F" w14:textId="77777777" w:rsidR="00C930AB" w:rsidRPr="00317ABF" w:rsidRDefault="00C930AB" w:rsidP="00C930AB">
            <w:pPr>
              <w:jc w:val="both"/>
              <w:rPr>
                <w:rFonts w:eastAsia="Times"/>
                <w:sz w:val="22"/>
                <w:szCs w:val="22"/>
              </w:rPr>
            </w:pPr>
            <w:r w:rsidRPr="00317ABF">
              <w:rPr>
                <w:rFonts w:eastAsia="Times"/>
                <w:sz w:val="22"/>
                <w:szCs w:val="22"/>
              </w:rPr>
              <w:t>82)</w:t>
            </w:r>
            <w:r w:rsidRPr="00317ABF">
              <w:rPr>
                <w:rFonts w:eastAsia="Times"/>
                <w:sz w:val="22"/>
                <w:szCs w:val="22"/>
              </w:rPr>
              <w:tab/>
            </w:r>
            <w:r w:rsidRPr="00317ABF">
              <w:rPr>
                <w:rFonts w:eastAsia="Times"/>
                <w:sz w:val="22"/>
                <w:szCs w:val="22"/>
              </w:rPr>
              <w:tab/>
              <w:t xml:space="preserve">narusza obowiązek zachowania tajemnicy komunikacji elektronicznej, </w:t>
            </w:r>
          </w:p>
          <w:p w14:paraId="75876FC1" w14:textId="77777777" w:rsidR="00C930AB" w:rsidRPr="00317ABF" w:rsidRDefault="00C930AB" w:rsidP="00C930AB">
            <w:pPr>
              <w:jc w:val="both"/>
              <w:rPr>
                <w:rFonts w:eastAsia="Times"/>
                <w:sz w:val="22"/>
                <w:szCs w:val="22"/>
              </w:rPr>
            </w:pPr>
            <w:r w:rsidRPr="00317ABF">
              <w:rPr>
                <w:rFonts w:eastAsia="Times"/>
                <w:sz w:val="22"/>
                <w:szCs w:val="22"/>
              </w:rPr>
              <w:t>83)</w:t>
            </w:r>
            <w:r w:rsidRPr="00317ABF">
              <w:rPr>
                <w:rFonts w:eastAsia="Times"/>
                <w:sz w:val="22"/>
                <w:szCs w:val="22"/>
              </w:rPr>
              <w:tab/>
              <w:t>nie wypełnia obowiązków uzyskania zgody użytkownika końcowego, o których mowa w art. 386 i art. 387,</w:t>
            </w:r>
          </w:p>
          <w:p w14:paraId="67D7368C" w14:textId="77777777" w:rsidR="00C930AB" w:rsidRPr="00317ABF" w:rsidRDefault="00C930AB" w:rsidP="00C930AB">
            <w:pPr>
              <w:jc w:val="both"/>
              <w:rPr>
                <w:rFonts w:eastAsia="Times"/>
                <w:sz w:val="22"/>
                <w:szCs w:val="22"/>
              </w:rPr>
            </w:pPr>
            <w:r w:rsidRPr="00317ABF">
              <w:rPr>
                <w:rFonts w:eastAsia="Times"/>
                <w:sz w:val="22"/>
                <w:szCs w:val="22"/>
              </w:rPr>
              <w:t>84)</w:t>
            </w:r>
            <w:r w:rsidRPr="00317ABF">
              <w:rPr>
                <w:rFonts w:eastAsia="Times"/>
                <w:sz w:val="22"/>
                <w:szCs w:val="22"/>
              </w:rPr>
              <w:tab/>
              <w:t>przetwarza dane objęte tajemnicą komunikacji elektronicznej lub dane użytkowników nie mając ku temu podstawy prawnej,</w:t>
            </w:r>
          </w:p>
          <w:p w14:paraId="46548761" w14:textId="77777777" w:rsidR="00C930AB" w:rsidRPr="00317ABF" w:rsidRDefault="00C930AB" w:rsidP="00C930AB">
            <w:pPr>
              <w:jc w:val="both"/>
              <w:rPr>
                <w:rFonts w:eastAsia="Times"/>
                <w:sz w:val="22"/>
                <w:szCs w:val="22"/>
              </w:rPr>
            </w:pPr>
            <w:r w:rsidRPr="00317ABF">
              <w:rPr>
                <w:rFonts w:eastAsia="Times"/>
                <w:sz w:val="22"/>
                <w:szCs w:val="22"/>
              </w:rPr>
              <w:t>85)</w:t>
            </w:r>
            <w:r w:rsidRPr="00317ABF">
              <w:rPr>
                <w:rFonts w:eastAsia="Times"/>
                <w:sz w:val="22"/>
                <w:szCs w:val="22"/>
              </w:rPr>
              <w:tab/>
              <w:t>nie wypełnia lub nienależycie wypełnia obowiązek prezentacji identyfikacji zakończenia sieci, o którym mowa w art. 392,</w:t>
            </w:r>
          </w:p>
          <w:p w14:paraId="33DA6B02" w14:textId="77777777" w:rsidR="00C930AB" w:rsidRPr="00317ABF" w:rsidRDefault="00C930AB" w:rsidP="00C930AB">
            <w:pPr>
              <w:jc w:val="both"/>
              <w:rPr>
                <w:rFonts w:eastAsia="Times"/>
                <w:sz w:val="22"/>
                <w:szCs w:val="22"/>
              </w:rPr>
            </w:pPr>
            <w:r w:rsidRPr="00317ABF">
              <w:rPr>
                <w:rFonts w:eastAsia="Times"/>
                <w:sz w:val="22"/>
                <w:szCs w:val="22"/>
              </w:rPr>
              <w:t>86)</w:t>
            </w:r>
            <w:r w:rsidRPr="00317ABF">
              <w:rPr>
                <w:rFonts w:eastAsia="Times"/>
                <w:sz w:val="22"/>
                <w:szCs w:val="22"/>
              </w:rPr>
              <w:tab/>
              <w:t>używa automatycznych systemów wywołujących lub używa telekomunikacyjnych urządzeń końcowych dla celów przesyłania niezamówionej informacji handlowej bez uprzedniego uzyskania zgody użytkownika końcowego,</w:t>
            </w:r>
          </w:p>
          <w:p w14:paraId="5D47EC3D" w14:textId="77777777" w:rsidR="00C930AB" w:rsidRPr="00317ABF" w:rsidRDefault="00C930AB" w:rsidP="00C930AB">
            <w:pPr>
              <w:jc w:val="both"/>
              <w:rPr>
                <w:rFonts w:eastAsia="Times"/>
                <w:sz w:val="22"/>
                <w:szCs w:val="22"/>
              </w:rPr>
            </w:pPr>
            <w:r w:rsidRPr="00317ABF">
              <w:rPr>
                <w:rFonts w:eastAsia="Times"/>
                <w:sz w:val="22"/>
                <w:szCs w:val="22"/>
              </w:rPr>
              <w:t>87)</w:t>
            </w:r>
            <w:r w:rsidRPr="00317ABF">
              <w:rPr>
                <w:rFonts w:eastAsia="Times"/>
                <w:sz w:val="22"/>
                <w:szCs w:val="22"/>
              </w:rPr>
              <w:tab/>
              <w:t>niezgodnie z przepisami art. 394 przechowuje informacje w urządzeniach końcowych użytkownika końcowego lub korzysta z informacji zgromadzonych w tych urządzeniach,</w:t>
            </w:r>
          </w:p>
          <w:p w14:paraId="2B3EC910" w14:textId="77777777" w:rsidR="00C930AB" w:rsidRPr="00317ABF" w:rsidRDefault="00C930AB" w:rsidP="00C930AB">
            <w:pPr>
              <w:jc w:val="both"/>
              <w:rPr>
                <w:rFonts w:eastAsia="Times"/>
                <w:sz w:val="22"/>
                <w:szCs w:val="22"/>
              </w:rPr>
            </w:pPr>
            <w:r w:rsidRPr="00317ABF">
              <w:rPr>
                <w:rFonts w:eastAsia="Times"/>
                <w:sz w:val="22"/>
                <w:szCs w:val="22"/>
              </w:rPr>
              <w:t>88)</w:t>
            </w:r>
            <w:r w:rsidRPr="00317ABF">
              <w:rPr>
                <w:rFonts w:eastAsia="Times"/>
                <w:sz w:val="22"/>
                <w:szCs w:val="22"/>
              </w:rPr>
              <w:tab/>
              <w:t>będąc przedsiębiorcą, którego działalność polega na sprzedaży odbiorników sygnału telewizyjnego, dokonuje sprzedaży odbiornika sygnału telewizyjnego niespełniającego wymagań wynikających z przepisów wykonawczych wydanych na podstawie art. 401 ust. 6,</w:t>
            </w:r>
          </w:p>
          <w:p w14:paraId="22B429AE" w14:textId="77777777" w:rsidR="00C930AB" w:rsidRPr="00317ABF" w:rsidRDefault="00C930AB" w:rsidP="00C930AB">
            <w:pPr>
              <w:jc w:val="both"/>
              <w:rPr>
                <w:rFonts w:eastAsia="Times"/>
                <w:sz w:val="22"/>
                <w:szCs w:val="22"/>
              </w:rPr>
            </w:pPr>
            <w:r w:rsidRPr="00317ABF">
              <w:rPr>
                <w:rFonts w:eastAsia="Times"/>
                <w:sz w:val="22"/>
                <w:szCs w:val="22"/>
              </w:rPr>
              <w:t>89)</w:t>
            </w:r>
            <w:r w:rsidRPr="00317ABF">
              <w:rPr>
                <w:rFonts w:eastAsia="Times"/>
                <w:sz w:val="22"/>
                <w:szCs w:val="22"/>
              </w:rPr>
              <w:tab/>
              <w:t>będąc przedsiębiorcą, którego działalność polega na sprzedaży odbiorników radiofonii cyfrowej, dokonuje sprzedaży odbiornika radiofonii cyfrowej niespełniającego wymagań wynikających z przepisów wykonawczych wydanych na podstawie art. 401 ust. 7,</w:t>
            </w:r>
          </w:p>
          <w:p w14:paraId="74AFBAE5" w14:textId="77777777" w:rsidR="00C930AB" w:rsidRPr="00317ABF" w:rsidRDefault="00C930AB" w:rsidP="00C930AB">
            <w:pPr>
              <w:jc w:val="both"/>
              <w:rPr>
                <w:rFonts w:eastAsia="Times"/>
                <w:sz w:val="22"/>
                <w:szCs w:val="22"/>
              </w:rPr>
            </w:pPr>
            <w:r w:rsidRPr="00317ABF">
              <w:rPr>
                <w:rFonts w:eastAsia="Times"/>
                <w:sz w:val="22"/>
                <w:szCs w:val="22"/>
              </w:rPr>
              <w:lastRenderedPageBreak/>
              <w:t>90)</w:t>
            </w:r>
            <w:r w:rsidRPr="00317ABF">
              <w:rPr>
                <w:rFonts w:eastAsia="Times"/>
                <w:sz w:val="22"/>
                <w:szCs w:val="22"/>
              </w:rPr>
              <w:tab/>
              <w:t>będąc importerem lub nabywcą wewnątrzwspólnotowym pojazdów kategorii M sprzedaje pojazdy kategorii M wyposażone w samochodowy odbiornik radiofoniczny nieprzystosowany do odbioru cyfrowych transmisji naziemnych,</w:t>
            </w:r>
          </w:p>
          <w:p w14:paraId="14A1D65C" w14:textId="77777777" w:rsidR="00C930AB" w:rsidRPr="00317ABF" w:rsidRDefault="00C930AB" w:rsidP="00C930AB">
            <w:pPr>
              <w:jc w:val="both"/>
              <w:rPr>
                <w:rFonts w:eastAsia="Times"/>
                <w:sz w:val="22"/>
                <w:szCs w:val="22"/>
              </w:rPr>
            </w:pPr>
            <w:r w:rsidRPr="00317ABF">
              <w:rPr>
                <w:rFonts w:eastAsia="Times"/>
                <w:sz w:val="22"/>
                <w:szCs w:val="22"/>
              </w:rPr>
              <w:t>91)</w:t>
            </w:r>
            <w:r w:rsidRPr="00317ABF">
              <w:rPr>
                <w:rFonts w:eastAsia="Times"/>
                <w:sz w:val="22"/>
                <w:szCs w:val="22"/>
              </w:rPr>
              <w:tab/>
              <w:t>będąc podmiotem wynajmującym pojazdy kategorii M wynajmuje długoterminowo pojazdy kategorii M wyposażone w samochodowy odbiornik radiofoniczny nieprzystosowany do odbioru cyfrowych transmisji naziemnych,</w:t>
            </w:r>
          </w:p>
          <w:p w14:paraId="1FA941F1" w14:textId="77777777" w:rsidR="00C930AB" w:rsidRPr="00317ABF" w:rsidRDefault="00C930AB" w:rsidP="00C930AB">
            <w:pPr>
              <w:jc w:val="both"/>
              <w:rPr>
                <w:rFonts w:eastAsia="Times"/>
                <w:sz w:val="22"/>
                <w:szCs w:val="22"/>
              </w:rPr>
            </w:pPr>
            <w:r w:rsidRPr="00317ABF">
              <w:rPr>
                <w:rFonts w:eastAsia="Times"/>
                <w:sz w:val="22"/>
                <w:szCs w:val="22"/>
              </w:rPr>
              <w:t>92) nie wykonuje obowiązków związanych z udostępnianiem lub wyodrębnieniem w ramach prowadzonej rachunkowości, o których mowa w art. 402 ust. 2,</w:t>
            </w:r>
          </w:p>
          <w:p w14:paraId="3B538F12" w14:textId="77777777" w:rsidR="00C930AB" w:rsidRPr="00317ABF" w:rsidRDefault="00C930AB" w:rsidP="00C930AB">
            <w:pPr>
              <w:jc w:val="both"/>
              <w:rPr>
                <w:rFonts w:eastAsia="Times"/>
                <w:sz w:val="22"/>
                <w:szCs w:val="22"/>
              </w:rPr>
            </w:pPr>
            <w:r w:rsidRPr="00317ABF">
              <w:rPr>
                <w:rFonts w:eastAsia="Times"/>
                <w:sz w:val="22"/>
                <w:szCs w:val="22"/>
              </w:rPr>
              <w:t>93)</w:t>
            </w:r>
            <w:r w:rsidRPr="00317ABF">
              <w:rPr>
                <w:rFonts w:eastAsia="Times"/>
                <w:sz w:val="22"/>
                <w:szCs w:val="22"/>
              </w:rPr>
              <w:tab/>
              <w:t>nie wypełnia warunków zapewnienia dostępu do infrastruktury technicznej, o którym mowa w art. 18 ust. 3 ustawy z dnia 7 maja 2010 r. o wspieraniu rozwoju usług i sieci telekomunikacyjnych , wynikających z decyzji lub decyzji obszarowej,</w:t>
            </w:r>
          </w:p>
          <w:p w14:paraId="0FA47B2F" w14:textId="77777777" w:rsidR="00C930AB" w:rsidRPr="00317ABF" w:rsidRDefault="00C930AB" w:rsidP="00C930AB">
            <w:pPr>
              <w:jc w:val="both"/>
              <w:rPr>
                <w:rFonts w:eastAsia="Times"/>
                <w:sz w:val="22"/>
                <w:szCs w:val="22"/>
              </w:rPr>
            </w:pPr>
            <w:r w:rsidRPr="00317ABF">
              <w:rPr>
                <w:rFonts w:eastAsia="Times"/>
                <w:sz w:val="22"/>
                <w:szCs w:val="22"/>
              </w:rPr>
              <w:t>94)</w:t>
            </w:r>
            <w:r w:rsidRPr="00317ABF">
              <w:rPr>
                <w:rFonts w:eastAsia="Times"/>
                <w:sz w:val="22"/>
                <w:szCs w:val="22"/>
              </w:rPr>
              <w:tab/>
              <w:t>nie wypełnia warunków zapewnienia dostępu określonej w decyzji lub decyzji obszarowej wydanej na podstawie art. 35a ust. 3 ustawy z dnia 7 maja 2010 r. o wspieraniu rozwoju usług i sieci telekomunikacyjnych,</w:t>
            </w:r>
          </w:p>
          <w:p w14:paraId="34168527" w14:textId="77777777" w:rsidR="00C930AB" w:rsidRPr="00317ABF" w:rsidRDefault="00C930AB" w:rsidP="00C930AB">
            <w:pPr>
              <w:jc w:val="both"/>
              <w:rPr>
                <w:rFonts w:eastAsia="Times"/>
                <w:sz w:val="22"/>
                <w:szCs w:val="22"/>
              </w:rPr>
            </w:pPr>
            <w:r w:rsidRPr="00317ABF">
              <w:rPr>
                <w:rFonts w:eastAsia="Times"/>
                <w:sz w:val="22"/>
                <w:szCs w:val="22"/>
              </w:rPr>
              <w:t>95) nie wypełnia lub nienależycie wypełnia obowiązek, o którym mowa w art. 21a ust. 3 ustawy z dnia 26 kwietnia 2007 r. o zarządzaniu kryzysowym,</w:t>
            </w:r>
          </w:p>
          <w:p w14:paraId="5EFF0328" w14:textId="77777777" w:rsidR="00C930AB" w:rsidRPr="00317ABF" w:rsidRDefault="00C930AB" w:rsidP="00C930AB">
            <w:pPr>
              <w:jc w:val="both"/>
              <w:rPr>
                <w:rFonts w:eastAsia="Times"/>
                <w:sz w:val="22"/>
                <w:szCs w:val="22"/>
              </w:rPr>
            </w:pPr>
            <w:r w:rsidRPr="00317ABF">
              <w:rPr>
                <w:rFonts w:eastAsia="Times"/>
                <w:sz w:val="22"/>
                <w:szCs w:val="22"/>
              </w:rPr>
              <w:t>96)</w:t>
            </w:r>
            <w:r w:rsidRPr="00317ABF">
              <w:rPr>
                <w:rFonts w:eastAsia="Times"/>
                <w:sz w:val="22"/>
                <w:szCs w:val="22"/>
              </w:rPr>
              <w:tab/>
              <w:t>nie wypełnia obowiązków określonych w art. 3-5 oraz art. 6a-6f, art. 7, art. 9, art. 11, art. 12, art. 14 oraz art. 15 rozporządzenia Parlamentu Europejskiego i Rady (UE) nr 531/2012 z dnia 13 czerwca 2012 r. w sprawie roamingu w publicznych sieciach łączności ruchomej wewnątrz Unii,</w:t>
            </w:r>
          </w:p>
          <w:p w14:paraId="7828F523" w14:textId="77777777" w:rsidR="00C930AB" w:rsidRPr="00317ABF" w:rsidRDefault="00C930AB" w:rsidP="00C930AB">
            <w:pPr>
              <w:jc w:val="both"/>
              <w:rPr>
                <w:rFonts w:eastAsia="Times"/>
                <w:sz w:val="22"/>
                <w:szCs w:val="22"/>
              </w:rPr>
            </w:pPr>
            <w:r w:rsidRPr="00317ABF">
              <w:rPr>
                <w:rFonts w:eastAsia="Times"/>
                <w:sz w:val="22"/>
                <w:szCs w:val="22"/>
              </w:rPr>
              <w:t>97)</w:t>
            </w:r>
            <w:r w:rsidRPr="00317ABF">
              <w:rPr>
                <w:rFonts w:eastAsia="Times"/>
                <w:sz w:val="22"/>
                <w:szCs w:val="22"/>
              </w:rPr>
              <w:tab/>
              <w:t>nie wypełnia obowiązków określonych w art. 3, art. 4, art. 5 ust. 2 i art. 5a  rozporządzenia Parlamentu Europejskiego i Rady (UE) 2015/2120 z dnia 25 listopada 2015 r. ustanawiającego środki dotyczące dostępu do otwartego internetu i dotyczące opłat detalicznych za uregulowane usługi łączności wewnątrzunijnej oraz zmieniającego dyrektywę 2002/22/WE, a także rozporządzenie (UE) nr 531/2012,</w:t>
            </w:r>
          </w:p>
          <w:p w14:paraId="40D723BA" w14:textId="77777777" w:rsidR="001E1112" w:rsidRPr="00317ABF" w:rsidRDefault="00C930AB" w:rsidP="00C930AB">
            <w:pPr>
              <w:jc w:val="both"/>
              <w:rPr>
                <w:rFonts w:eastAsia="Times"/>
                <w:sz w:val="22"/>
                <w:szCs w:val="22"/>
              </w:rPr>
            </w:pPr>
            <w:r w:rsidRPr="00317ABF">
              <w:rPr>
                <w:rFonts w:eastAsia="Times"/>
                <w:sz w:val="22"/>
                <w:szCs w:val="22"/>
              </w:rPr>
              <w:t>98)</w:t>
            </w:r>
            <w:r w:rsidRPr="00317ABF">
              <w:rPr>
                <w:rFonts w:eastAsia="Times"/>
                <w:sz w:val="22"/>
                <w:szCs w:val="22"/>
              </w:rPr>
              <w:tab/>
              <w:t xml:space="preserve">utrudnia </w:t>
            </w:r>
            <w:r w:rsidR="001E1112" w:rsidRPr="00317ABF">
              <w:rPr>
                <w:rFonts w:eastAsia="Times"/>
                <w:sz w:val="22"/>
                <w:szCs w:val="22"/>
              </w:rPr>
              <w:t>lub uniemożliwia wykonywanie czynności kontrolnych przez Prezesa UKE</w:t>
            </w:r>
          </w:p>
          <w:p w14:paraId="2BD47684" w14:textId="4E58E8DB" w:rsidR="001E1112" w:rsidRPr="00317ABF" w:rsidRDefault="001E1112" w:rsidP="00DB3BEC">
            <w:pPr>
              <w:jc w:val="both"/>
              <w:rPr>
                <w:rFonts w:eastAsia="Times"/>
                <w:sz w:val="22"/>
                <w:szCs w:val="22"/>
              </w:rPr>
            </w:pPr>
            <w:r w:rsidRPr="00317ABF">
              <w:rPr>
                <w:rFonts w:eastAsia="Times"/>
                <w:sz w:val="22"/>
                <w:szCs w:val="22"/>
              </w:rPr>
              <w:t>- podlega karze pieniężnej.</w:t>
            </w:r>
          </w:p>
          <w:p w14:paraId="219EBE5A" w14:textId="77777777" w:rsidR="00C930AB" w:rsidRPr="00317ABF" w:rsidRDefault="00C930AB" w:rsidP="00C930AB">
            <w:pPr>
              <w:jc w:val="both"/>
              <w:rPr>
                <w:rFonts w:eastAsia="Times"/>
                <w:sz w:val="22"/>
                <w:szCs w:val="22"/>
              </w:rPr>
            </w:pPr>
          </w:p>
          <w:p w14:paraId="31941223" w14:textId="5A69D06D" w:rsidR="001E1112" w:rsidRPr="00317ABF" w:rsidRDefault="001E1112" w:rsidP="00C930AB">
            <w:pPr>
              <w:jc w:val="both"/>
              <w:rPr>
                <w:rFonts w:eastAsia="Times"/>
                <w:sz w:val="22"/>
                <w:szCs w:val="22"/>
              </w:rPr>
            </w:pPr>
            <w:r w:rsidRPr="00317ABF">
              <w:rPr>
                <w:rFonts w:eastAsia="Times"/>
                <w:sz w:val="22"/>
                <w:szCs w:val="22"/>
              </w:rPr>
              <w:t>2. Prezes UKE, jeżeli przemawia za tym charakter lub zakres naruszenia, może nałożyć karę pieniężną na podmiot, który:</w:t>
            </w:r>
          </w:p>
          <w:p w14:paraId="22162590" w14:textId="77777777" w:rsidR="00C930AB" w:rsidRPr="00317ABF" w:rsidRDefault="00C930AB" w:rsidP="00C930AB">
            <w:pPr>
              <w:jc w:val="both"/>
              <w:rPr>
                <w:rFonts w:eastAsia="Times"/>
                <w:sz w:val="22"/>
                <w:szCs w:val="22"/>
              </w:rPr>
            </w:pPr>
            <w:r w:rsidRPr="00317ABF">
              <w:rPr>
                <w:rFonts w:eastAsia="Times"/>
                <w:sz w:val="22"/>
                <w:szCs w:val="22"/>
              </w:rPr>
              <w:t>1)</w:t>
            </w:r>
            <w:r w:rsidRPr="00317ABF">
              <w:rPr>
                <w:rFonts w:eastAsia="Times"/>
                <w:sz w:val="22"/>
                <w:szCs w:val="22"/>
              </w:rPr>
              <w:tab/>
              <w:t xml:space="preserve">nie wypełnia obowiązku udzielania informacji lub dostarczania dokumentów przewidzianych ustawą lub ustawą z dnia 7 maja 2010 r. o wspieraniu rozwoju usług i sieci telekomunikacyjnych lub udziela </w:t>
            </w:r>
            <w:r w:rsidRPr="00317ABF">
              <w:rPr>
                <w:rFonts w:eastAsia="Times"/>
                <w:sz w:val="22"/>
                <w:szCs w:val="22"/>
              </w:rPr>
              <w:lastRenderedPageBreak/>
              <w:t>informacji niepełnych lub nieprawdziwych, lub dostarcza dokumenty zawierające informacje niepełne lub nieprawdziwe;</w:t>
            </w:r>
          </w:p>
          <w:p w14:paraId="46ABC3F4" w14:textId="77777777" w:rsidR="00C930AB" w:rsidRPr="00317ABF" w:rsidRDefault="00C930AB" w:rsidP="00C930AB">
            <w:pPr>
              <w:jc w:val="both"/>
              <w:rPr>
                <w:rFonts w:eastAsia="Times"/>
                <w:sz w:val="22"/>
                <w:szCs w:val="22"/>
              </w:rPr>
            </w:pPr>
            <w:r w:rsidRPr="00317ABF">
              <w:rPr>
                <w:rFonts w:eastAsia="Times"/>
                <w:sz w:val="22"/>
                <w:szCs w:val="22"/>
              </w:rPr>
              <w:t>2)</w:t>
            </w:r>
            <w:r w:rsidRPr="00317ABF">
              <w:rPr>
                <w:rFonts w:eastAsia="Times"/>
                <w:sz w:val="22"/>
                <w:szCs w:val="22"/>
              </w:rPr>
              <w:tab/>
              <w:t>nie realizuje lub nienależycie realizuje zobowiązania, o których mowa w art. 87 ust. 1 pkt 10;</w:t>
            </w:r>
          </w:p>
          <w:p w14:paraId="46893BC9" w14:textId="77777777" w:rsidR="00C930AB" w:rsidRPr="00317ABF" w:rsidRDefault="001E1112" w:rsidP="00C930AB">
            <w:pPr>
              <w:jc w:val="both"/>
              <w:rPr>
                <w:rFonts w:eastAsia="Times"/>
                <w:sz w:val="22"/>
                <w:szCs w:val="22"/>
              </w:rPr>
            </w:pPr>
            <w:r w:rsidRPr="00317ABF">
              <w:rPr>
                <w:rFonts w:eastAsia="Times"/>
                <w:sz w:val="22"/>
                <w:szCs w:val="22"/>
              </w:rPr>
              <w:t>3)</w:t>
            </w:r>
            <w:r w:rsidR="00C930AB" w:rsidRPr="00317ABF">
              <w:rPr>
                <w:rFonts w:eastAsia="Times"/>
                <w:sz w:val="22"/>
                <w:szCs w:val="22"/>
              </w:rPr>
              <w:tab/>
            </w:r>
            <w:r w:rsidRPr="00317ABF">
              <w:rPr>
                <w:rFonts w:eastAsia="Times"/>
                <w:sz w:val="22"/>
                <w:szCs w:val="22"/>
              </w:rPr>
              <w:t xml:space="preserve">nie wypełnia obowiązków uzyskania zgody użytkownika końcowego, o których mowa w art. </w:t>
            </w:r>
            <w:r w:rsidR="00C930AB" w:rsidRPr="00317ABF">
              <w:rPr>
                <w:rFonts w:eastAsia="Times"/>
                <w:sz w:val="22"/>
                <w:szCs w:val="22"/>
              </w:rPr>
              <w:t>394;</w:t>
            </w:r>
          </w:p>
          <w:p w14:paraId="19C76730" w14:textId="77777777" w:rsidR="00C930AB" w:rsidRPr="00317ABF" w:rsidRDefault="00C930AB" w:rsidP="00C930AB">
            <w:pPr>
              <w:jc w:val="both"/>
              <w:rPr>
                <w:rFonts w:eastAsia="Times"/>
                <w:sz w:val="22"/>
                <w:szCs w:val="22"/>
              </w:rPr>
            </w:pPr>
            <w:r w:rsidRPr="00317ABF">
              <w:rPr>
                <w:rFonts w:eastAsia="Times"/>
                <w:sz w:val="22"/>
                <w:szCs w:val="22"/>
              </w:rPr>
              <w:t>4) nie wypełnia, z przyczyn leżących po jego stronie, obowiązku zapewnienia dostępu, o którym mowa w art. 30 ust. 1 i 1a ustawy z dnia 7 maja 2010 r. o wspieraniu rozwoju usług i sieci telekomunikacyjnych;</w:t>
            </w:r>
          </w:p>
          <w:p w14:paraId="11CE55C3" w14:textId="77777777" w:rsidR="00C930AB" w:rsidRPr="00317ABF" w:rsidRDefault="00C930AB" w:rsidP="00C930AB">
            <w:pPr>
              <w:jc w:val="both"/>
              <w:rPr>
                <w:rFonts w:eastAsia="Times"/>
                <w:sz w:val="22"/>
                <w:szCs w:val="22"/>
              </w:rPr>
            </w:pPr>
            <w:r w:rsidRPr="00317ABF">
              <w:rPr>
                <w:rFonts w:eastAsia="Times"/>
                <w:sz w:val="22"/>
                <w:szCs w:val="22"/>
              </w:rPr>
              <w:t>5) nie wypełnia, z przyczyn leżących po jego stronie, obowiązku zapewnienia dostępu, o którym mowa w art. 17 ust. 1 ustawy z dnia 7 maja 2010 r. o wspieraniu rozwoju usług i sieci telekomunikacyjnych.</w:t>
            </w:r>
          </w:p>
          <w:p w14:paraId="33BCCB98" w14:textId="77777777" w:rsidR="00C930AB" w:rsidRPr="00317ABF" w:rsidRDefault="00C930AB" w:rsidP="00C930AB">
            <w:pPr>
              <w:jc w:val="both"/>
              <w:rPr>
                <w:rFonts w:eastAsia="Times"/>
                <w:sz w:val="22"/>
                <w:szCs w:val="22"/>
              </w:rPr>
            </w:pPr>
            <w:r w:rsidRPr="00317ABF">
              <w:rPr>
                <w:rFonts w:eastAsia="Times"/>
                <w:sz w:val="22"/>
                <w:szCs w:val="22"/>
              </w:rPr>
              <w:t>6)  nie wypełnia lub nienależycie wypełnia umowę o dostępie,  w tym w zakresie rozliczeń z tego tytułu, określonych w umowie o dostępie, o którym mowa w art. 17 ust. 1 ustawy z dnia 7 maja 2010 r. o wspieraniu rozwoju usług i sieci telekomunikacyjnych;</w:t>
            </w:r>
          </w:p>
          <w:p w14:paraId="6CDB5112" w14:textId="77777777" w:rsidR="00C930AB" w:rsidRPr="00317ABF" w:rsidRDefault="00C930AB" w:rsidP="00C930AB">
            <w:pPr>
              <w:jc w:val="both"/>
              <w:rPr>
                <w:rFonts w:eastAsia="Times"/>
                <w:sz w:val="22"/>
                <w:szCs w:val="22"/>
              </w:rPr>
            </w:pPr>
            <w:r w:rsidRPr="00317ABF">
              <w:rPr>
                <w:rFonts w:eastAsia="Times"/>
                <w:sz w:val="22"/>
                <w:szCs w:val="22"/>
              </w:rPr>
              <w:t>7) nie wypełnia, z przyczyn leżących po jego stronie, obowiązku zapewnienia dostępu, o którym mowa w art. 30 ust. 1, 1a i ust. 3 ustawy z dnia 7 maja 2010 r. o wspieraniu rozwoju usług i sieci telekomunikacyjnych;</w:t>
            </w:r>
          </w:p>
          <w:p w14:paraId="34C20AFD" w14:textId="1648889B" w:rsidR="00C930AB" w:rsidRPr="00317ABF" w:rsidRDefault="00C930AB" w:rsidP="00C930AB">
            <w:pPr>
              <w:jc w:val="both"/>
              <w:rPr>
                <w:rFonts w:eastAsia="Times"/>
                <w:sz w:val="22"/>
                <w:szCs w:val="22"/>
              </w:rPr>
            </w:pPr>
            <w:r w:rsidRPr="00317ABF">
              <w:rPr>
                <w:rFonts w:eastAsia="Times"/>
                <w:sz w:val="22"/>
                <w:szCs w:val="22"/>
              </w:rPr>
              <w:t xml:space="preserve">8)  nie wypełnia lub nienależycie wypełnia umowę o dostępie, o którym mowa w art. 30 ust. 1, 1a lub 3 ustawy z dnia 7 maja 2010 r. o wspieraniu rozwoju usług i sieci telekomunikacyjnych, </w:t>
            </w:r>
          </w:p>
          <w:p w14:paraId="3C07BD89" w14:textId="132C51AC" w:rsidR="001E1112" w:rsidRPr="00317ABF" w:rsidRDefault="001E1112" w:rsidP="00DB3BEC">
            <w:pPr>
              <w:jc w:val="both"/>
              <w:rPr>
                <w:sz w:val="22"/>
                <w:szCs w:val="22"/>
              </w:rPr>
            </w:pPr>
            <w:r w:rsidRPr="00317ABF">
              <w:rPr>
                <w:rFonts w:eastAsia="Times"/>
                <w:sz w:val="22"/>
                <w:szCs w:val="22"/>
              </w:rPr>
              <w:t>3. Kara, o której mowa w ust. 1 i 2, może zostać nałożona także w przypadku, gdy podmiot zaprzestał naruszania prawa lub naprawił wyrządzoną szkodę, jeżeli Prezes UKE uzna, że przemawiają za tym czas trwania, zakres lub skutki naruszenia.</w:t>
            </w:r>
          </w:p>
        </w:tc>
      </w:tr>
      <w:tr w:rsidR="001E1112" w:rsidRPr="00317ABF" w14:paraId="42097A55" w14:textId="77777777" w:rsidTr="7753F98D">
        <w:trPr>
          <w:gridAfter w:val="2"/>
          <w:wAfter w:w="175" w:type="dxa"/>
        </w:trPr>
        <w:tc>
          <w:tcPr>
            <w:tcW w:w="704" w:type="dxa"/>
          </w:tcPr>
          <w:p w14:paraId="09A510D0" w14:textId="77777777" w:rsidR="001E1112" w:rsidRPr="00317ABF" w:rsidRDefault="001E1112" w:rsidP="00DB3BEC">
            <w:pPr>
              <w:jc w:val="both"/>
              <w:rPr>
                <w:sz w:val="22"/>
                <w:szCs w:val="22"/>
              </w:rPr>
            </w:pPr>
            <w:r w:rsidRPr="00317ABF">
              <w:rPr>
                <w:sz w:val="22"/>
                <w:szCs w:val="22"/>
              </w:rPr>
              <w:lastRenderedPageBreak/>
              <w:t>Art. 30 ust. 6</w:t>
            </w:r>
          </w:p>
        </w:tc>
        <w:tc>
          <w:tcPr>
            <w:tcW w:w="4308" w:type="dxa"/>
          </w:tcPr>
          <w:p w14:paraId="39F5DC1C" w14:textId="77777777" w:rsidR="001E1112" w:rsidRPr="00317ABF" w:rsidRDefault="001E1112" w:rsidP="00DB3BEC">
            <w:pPr>
              <w:tabs>
                <w:tab w:val="left" w:pos="1060"/>
              </w:tabs>
              <w:spacing w:before="120"/>
              <w:jc w:val="both"/>
              <w:rPr>
                <w:sz w:val="22"/>
                <w:szCs w:val="22"/>
              </w:rPr>
            </w:pPr>
            <w:r w:rsidRPr="00317ABF">
              <w:rPr>
                <w:sz w:val="22"/>
                <w:szCs w:val="22"/>
              </w:rPr>
              <w:tab/>
              <w:t xml:space="preserve">6.   Niezależnie od ust. 2, 3 i 5 niniejszego artykułu, w przypadku gdy właściwy organ może on niezwłocznie podjąć środki tymczasowe mające na celu naprawienie sytuacji, zanim zostanie wydana ostateczna decyzja w tej sprawie, wtedy gdy dysponuje dowodem naruszenia warunków związanych z ogólnym zezwoleniem, prawami użytkowania widma radiowego i zasobów numeracyjnych lub obowiązków szczególnych, o których mowa w art. 13 ust. 2 lub art. 47 ust. 1 lub 2, a naruszenie to stanowi bezpośrednie i poważne </w:t>
            </w:r>
            <w:r w:rsidRPr="00317ABF">
              <w:rPr>
                <w:sz w:val="22"/>
                <w:szCs w:val="22"/>
              </w:rPr>
              <w:lastRenderedPageBreak/>
              <w:t>zagrożenie dla bezpieczeństwa publicznego lub zdrowia publicznego albo spowoduje poważne problemy gospodarcze lub operacyjne dla innych dostawców lub użytkowników korzystających z sieci lub usług łączności elektronicznej lub innych użytkowników widma radiowego, może. Właściwy organ zapewnia danemu przedsiębiorstwu rozsądną możliwość wypowiedzenia się w danej kwestii i zaproponowania ewentualnych środków naprawczych. W stosownych przypadkach właściwy organ może zatwierdzić środki tymczasowe, które mogą obowiązywać przez maksymalnie trzy miesiące, ale które – w sytuacji gdy nie zostały zakończone procedury egzekwowania – mogą zostać przedłużone na kolejny okres nie dłuższy niż trzy miesiące.</w:t>
            </w:r>
          </w:p>
        </w:tc>
        <w:tc>
          <w:tcPr>
            <w:tcW w:w="986" w:type="dxa"/>
          </w:tcPr>
          <w:p w14:paraId="63FE3489" w14:textId="079029BF" w:rsidR="001E1112" w:rsidRPr="00317ABF" w:rsidRDefault="001E1112" w:rsidP="00DB3BEC">
            <w:pPr>
              <w:jc w:val="both"/>
              <w:rPr>
                <w:sz w:val="22"/>
                <w:szCs w:val="22"/>
              </w:rPr>
            </w:pPr>
            <w:r w:rsidRPr="00317ABF">
              <w:rPr>
                <w:sz w:val="22"/>
                <w:szCs w:val="22"/>
              </w:rPr>
              <w:lastRenderedPageBreak/>
              <w:t>T</w:t>
            </w:r>
          </w:p>
        </w:tc>
        <w:tc>
          <w:tcPr>
            <w:tcW w:w="910" w:type="dxa"/>
          </w:tcPr>
          <w:p w14:paraId="52B8818E" w14:textId="6DEDFFBE" w:rsidR="001E1112" w:rsidRPr="00317ABF" w:rsidRDefault="001E1112" w:rsidP="00DB3BEC">
            <w:pPr>
              <w:pStyle w:val="Tekstpodstawowy"/>
              <w:rPr>
                <w:b/>
                <w:bCs/>
                <w:noProof/>
                <w:sz w:val="22"/>
                <w:szCs w:val="22"/>
              </w:rPr>
            </w:pPr>
            <w:r w:rsidRPr="00317ABF">
              <w:rPr>
                <w:b/>
                <w:bCs/>
                <w:noProof/>
                <w:sz w:val="22"/>
                <w:szCs w:val="22"/>
              </w:rPr>
              <w:t xml:space="preserve">Art. </w:t>
            </w:r>
            <w:r w:rsidR="00F35CD7" w:rsidRPr="00317ABF">
              <w:rPr>
                <w:b/>
                <w:bCs/>
                <w:noProof/>
                <w:sz w:val="22"/>
                <w:szCs w:val="22"/>
              </w:rPr>
              <w:t>429</w:t>
            </w:r>
          </w:p>
        </w:tc>
        <w:tc>
          <w:tcPr>
            <w:tcW w:w="6814" w:type="dxa"/>
            <w:gridSpan w:val="2"/>
          </w:tcPr>
          <w:p w14:paraId="3BC08374" w14:textId="77777777" w:rsidR="00F35CD7" w:rsidRPr="00317ABF" w:rsidRDefault="00F35CD7" w:rsidP="00F35CD7">
            <w:pPr>
              <w:ind w:firstLine="510"/>
              <w:jc w:val="both"/>
              <w:rPr>
                <w:rFonts w:eastAsia="Times"/>
                <w:bCs/>
                <w:sz w:val="22"/>
                <w:szCs w:val="22"/>
              </w:rPr>
            </w:pPr>
            <w:r w:rsidRPr="00317ABF">
              <w:rPr>
                <w:rFonts w:eastAsia="Times"/>
                <w:b/>
                <w:bCs/>
                <w:sz w:val="22"/>
                <w:szCs w:val="22"/>
              </w:rPr>
              <w:t xml:space="preserve">Art. 429. </w:t>
            </w:r>
            <w:r w:rsidRPr="00317ABF">
              <w:rPr>
                <w:rFonts w:eastAsia="Times"/>
                <w:bCs/>
                <w:sz w:val="22"/>
                <w:szCs w:val="22"/>
              </w:rPr>
              <w:t>1. Jeżeli w wyniku kontroli, o której mowa w art. 416 ust. 2, Prezes UKE stwierdzi, że podmiot kontrolowany narusza nałożone na niego obowiązki w ten sposób, że powoduje to:</w:t>
            </w:r>
          </w:p>
          <w:p w14:paraId="637FD899" w14:textId="77777777" w:rsidR="00F35CD7" w:rsidRPr="00317ABF" w:rsidRDefault="00F35CD7" w:rsidP="00F35CD7">
            <w:pPr>
              <w:ind w:firstLine="510"/>
              <w:jc w:val="both"/>
              <w:rPr>
                <w:rFonts w:eastAsia="Times"/>
                <w:bCs/>
                <w:sz w:val="22"/>
                <w:szCs w:val="22"/>
              </w:rPr>
            </w:pPr>
            <w:r w:rsidRPr="00317ABF">
              <w:rPr>
                <w:rFonts w:eastAsia="Times"/>
                <w:bCs/>
                <w:sz w:val="22"/>
                <w:szCs w:val="22"/>
              </w:rPr>
              <w:t>1)</w:t>
            </w:r>
            <w:r w:rsidRPr="00317ABF">
              <w:rPr>
                <w:rFonts w:eastAsia="Times"/>
                <w:bCs/>
                <w:sz w:val="22"/>
                <w:szCs w:val="22"/>
              </w:rPr>
              <w:tab/>
              <w:t>bezpośrednie i poważne zagrożenie dla obronności, bezpieczeństwa państwa, bezpieczeństwa i porządku publicznego lub życia i zdrowia ludzi,</w:t>
            </w:r>
          </w:p>
          <w:p w14:paraId="3AA54F28" w14:textId="77777777" w:rsidR="001E1112" w:rsidRPr="00317ABF" w:rsidRDefault="001E1112" w:rsidP="00F35CD7">
            <w:pPr>
              <w:ind w:firstLine="510"/>
              <w:jc w:val="both"/>
              <w:rPr>
                <w:rFonts w:eastAsia="Times"/>
                <w:sz w:val="22"/>
                <w:szCs w:val="22"/>
              </w:rPr>
            </w:pPr>
            <w:r w:rsidRPr="00317ABF">
              <w:rPr>
                <w:rFonts w:eastAsia="Times"/>
                <w:sz w:val="22"/>
                <w:szCs w:val="22"/>
              </w:rPr>
              <w:t>2)</w:t>
            </w:r>
            <w:r w:rsidR="00F35CD7" w:rsidRPr="00317ABF">
              <w:rPr>
                <w:rFonts w:eastAsia="Times"/>
                <w:bCs/>
                <w:sz w:val="22"/>
                <w:szCs w:val="22"/>
              </w:rPr>
              <w:tab/>
            </w:r>
            <w:r w:rsidRPr="00317ABF">
              <w:rPr>
                <w:rFonts w:eastAsia="Times"/>
                <w:sz w:val="22"/>
                <w:szCs w:val="22"/>
              </w:rPr>
              <w:t>zagrożenie wywołania poważnej szkody majątkowej lub poważnych utrudnień w funkcjonowaniu sieci telekomunikacyjnych lub usług komunikacji elektronicznej dla przedsiębiorców komunikacji elektronicznej, użytkowników końcowych lub podmiotów posiadających prawo do korzystania z częstotliwości</w:t>
            </w:r>
          </w:p>
          <w:p w14:paraId="72DA88BF" w14:textId="77777777" w:rsidR="001E1112" w:rsidRPr="00317ABF" w:rsidRDefault="001E1112" w:rsidP="00F35CD7">
            <w:pPr>
              <w:ind w:firstLine="510"/>
              <w:jc w:val="both"/>
              <w:rPr>
                <w:rFonts w:eastAsia="Times"/>
                <w:sz w:val="22"/>
                <w:szCs w:val="22"/>
              </w:rPr>
            </w:pPr>
            <w:r w:rsidRPr="00317ABF">
              <w:rPr>
                <w:rFonts w:eastAsia="Times"/>
                <w:sz w:val="22"/>
                <w:szCs w:val="22"/>
              </w:rPr>
              <w:t>- Prezes UKE podejmuje działania zmierzające do usunięcia zagrożeń.</w:t>
            </w:r>
          </w:p>
          <w:p w14:paraId="44BCF1B6" w14:textId="77777777" w:rsidR="001E1112" w:rsidRPr="00317ABF" w:rsidRDefault="001E1112" w:rsidP="00DB3BEC">
            <w:pPr>
              <w:ind w:firstLine="510"/>
              <w:jc w:val="both"/>
              <w:rPr>
                <w:rFonts w:eastAsia="Times"/>
                <w:sz w:val="22"/>
                <w:szCs w:val="22"/>
              </w:rPr>
            </w:pPr>
            <w:r w:rsidRPr="00317ABF">
              <w:rPr>
                <w:rFonts w:eastAsia="Times"/>
                <w:sz w:val="22"/>
                <w:szCs w:val="22"/>
              </w:rPr>
              <w:t xml:space="preserve">2. Działania, o których mowa w ust. 1, mogą w szczególności obejmować wydanie decyzji nakazującej podmiotowi kontrolowanemu </w:t>
            </w:r>
            <w:r w:rsidRPr="00317ABF">
              <w:rPr>
                <w:rFonts w:eastAsia="Times"/>
                <w:sz w:val="22"/>
                <w:szCs w:val="22"/>
              </w:rPr>
              <w:lastRenderedPageBreak/>
              <w:t>podjęcie działań zmierzających do usunięcia zagrożenia, w tym decyzji nakazującej wstrzymanie wykonywania działalności polegającej na świadczeniu usług komunikacji elektronicznej. Decyzji nadaje się rygor natychmiastowej wykonalności.</w:t>
            </w:r>
          </w:p>
          <w:p w14:paraId="1F91A35E" w14:textId="77777777" w:rsidR="001E1112" w:rsidRPr="00317ABF" w:rsidRDefault="001E1112" w:rsidP="00DB3BEC">
            <w:pPr>
              <w:ind w:firstLine="510"/>
              <w:jc w:val="both"/>
              <w:rPr>
                <w:rFonts w:eastAsia="Times"/>
                <w:sz w:val="22"/>
                <w:szCs w:val="22"/>
              </w:rPr>
            </w:pPr>
            <w:r w:rsidRPr="00317ABF">
              <w:rPr>
                <w:rFonts w:eastAsia="Times"/>
                <w:sz w:val="22"/>
                <w:szCs w:val="22"/>
              </w:rPr>
              <w:t>3. Prezes UKE podejmuje działania, o których mowa w ust. 1, po uprzednim wezwaniu podmiotu kontrolowanego do usunięcia naruszeń lub udzielenia wyjaśnień.</w:t>
            </w:r>
          </w:p>
          <w:p w14:paraId="3135153B" w14:textId="77777777" w:rsidR="001E1112" w:rsidRPr="00317ABF" w:rsidRDefault="001E1112" w:rsidP="00DB3BEC">
            <w:pPr>
              <w:ind w:firstLine="510"/>
              <w:jc w:val="both"/>
              <w:rPr>
                <w:rFonts w:eastAsia="Times"/>
                <w:sz w:val="22"/>
                <w:szCs w:val="22"/>
              </w:rPr>
            </w:pPr>
            <w:r w:rsidRPr="00317ABF">
              <w:rPr>
                <w:rFonts w:eastAsia="Times"/>
                <w:sz w:val="22"/>
                <w:szCs w:val="22"/>
              </w:rPr>
              <w:t>4. Podmiot kontrolowany, do którego odnoszą się działania, o których mowa w ust. 1, może w każdym czasie przedstawiać Prezesowi UKE swoje stanowisko oraz propozycje działań zmierzających do usunięcia naruszeń wynikających z niewykonania nałożonych na niego obowiązków, o których mowa w ust. 1. Podejmując działania zmierzające do usunięcia zagrożenia, Prezes UKE uwzględnia stanowisko i propozycje zgłoszone przez podmiot kontrolowany.</w:t>
            </w:r>
          </w:p>
          <w:p w14:paraId="5C7C483B" w14:textId="77777777" w:rsidR="001E1112" w:rsidRPr="00317ABF" w:rsidRDefault="001E1112" w:rsidP="00DB3BEC">
            <w:pPr>
              <w:ind w:firstLine="510"/>
              <w:jc w:val="both"/>
              <w:rPr>
                <w:rFonts w:eastAsia="Times"/>
                <w:sz w:val="22"/>
                <w:szCs w:val="22"/>
              </w:rPr>
            </w:pPr>
            <w:r w:rsidRPr="00317ABF">
              <w:rPr>
                <w:rFonts w:eastAsia="Times"/>
                <w:sz w:val="22"/>
                <w:szCs w:val="22"/>
              </w:rPr>
              <w:t xml:space="preserve">5. Działania, o których mowa w ust. 1, Prezes UKE może także podejmować na wniosek organów właściwych w sprawach obronności, bezpieczeństwa państwa </w:t>
            </w:r>
            <w:r w:rsidR="00F35CD7" w:rsidRPr="00317ABF">
              <w:rPr>
                <w:rFonts w:eastAsia="Times"/>
                <w:bCs/>
                <w:sz w:val="22"/>
                <w:szCs w:val="22"/>
              </w:rPr>
              <w:t>lub bezpieczeństwa i porządku publicznego.</w:t>
            </w:r>
            <w:r w:rsidRPr="00317ABF">
              <w:rPr>
                <w:rFonts w:eastAsia="Times"/>
                <w:sz w:val="22"/>
                <w:szCs w:val="22"/>
              </w:rPr>
              <w:t xml:space="preserve"> Jeżeli uzasadnienia do wniosku tych organów zawierają informacje niejawne, zamiast uzasadnień doręcza się informację, że uzasadnienia takie zostały sporządzone.</w:t>
            </w:r>
          </w:p>
          <w:p w14:paraId="26EBEA6F" w14:textId="77777777" w:rsidR="001E1112" w:rsidRPr="00317ABF" w:rsidRDefault="001E1112" w:rsidP="00DB3BEC">
            <w:pPr>
              <w:ind w:firstLine="510"/>
              <w:jc w:val="both"/>
              <w:rPr>
                <w:rFonts w:eastAsia="Times"/>
                <w:sz w:val="22"/>
                <w:szCs w:val="22"/>
              </w:rPr>
            </w:pPr>
            <w:r w:rsidRPr="00317ABF">
              <w:rPr>
                <w:rFonts w:eastAsia="Times"/>
                <w:sz w:val="22"/>
                <w:szCs w:val="22"/>
              </w:rPr>
              <w:t>6. W przypadku wydania decyzji nakazującej podmiotowi kontrolowanemu wstrzymanie wykonywania działalności polegającej na świadczeniu usług komunikacji elektronicznej, Prezes UKE określa w niej termin jej obowiązywania, nie dłuższy niż 3 miesiące. W przypadku, gdy zagrożenia będące przyczyną wydania tej decyzji nie zostaną usunięte przez podmiot kontrolowany w wymaganym terminie, Prezes UKE może przedłużyć termin obowiązywania decyzji o kolejne 3 miesiące.</w:t>
            </w:r>
          </w:p>
          <w:p w14:paraId="2A3FBCD1" w14:textId="438D667C" w:rsidR="001E1112" w:rsidRPr="00317ABF" w:rsidRDefault="001E1112" w:rsidP="00DB3BEC">
            <w:pPr>
              <w:jc w:val="both"/>
              <w:rPr>
                <w:sz w:val="22"/>
                <w:szCs w:val="22"/>
              </w:rPr>
            </w:pPr>
            <w:r w:rsidRPr="00317ABF">
              <w:rPr>
                <w:rFonts w:eastAsia="Times"/>
                <w:sz w:val="22"/>
                <w:szCs w:val="22"/>
              </w:rPr>
              <w:t xml:space="preserve">7. Niezależnie od podjęcia działań, o których mowa w ust. 1, Prezes UKE wszczyna procedurę, o której mowa w art. </w:t>
            </w:r>
            <w:r w:rsidR="00F35CD7" w:rsidRPr="00317ABF">
              <w:rPr>
                <w:rFonts w:eastAsia="Times"/>
                <w:bCs/>
                <w:sz w:val="22"/>
                <w:szCs w:val="22"/>
              </w:rPr>
              <w:t>427</w:t>
            </w:r>
            <w:r w:rsidRPr="00317ABF">
              <w:rPr>
                <w:rFonts w:eastAsia="Times"/>
                <w:sz w:val="22"/>
                <w:szCs w:val="22"/>
              </w:rPr>
              <w:t>.</w:t>
            </w:r>
          </w:p>
        </w:tc>
      </w:tr>
      <w:tr w:rsidR="001E1112" w:rsidRPr="00317ABF" w14:paraId="649863A0" w14:textId="77777777" w:rsidTr="7753F98D">
        <w:trPr>
          <w:gridAfter w:val="2"/>
          <w:wAfter w:w="175" w:type="dxa"/>
        </w:trPr>
        <w:tc>
          <w:tcPr>
            <w:tcW w:w="704" w:type="dxa"/>
          </w:tcPr>
          <w:p w14:paraId="1A88549B" w14:textId="77777777" w:rsidR="001E1112" w:rsidRPr="00317ABF" w:rsidRDefault="001E1112" w:rsidP="00DB3BEC">
            <w:pPr>
              <w:jc w:val="both"/>
              <w:rPr>
                <w:sz w:val="22"/>
                <w:szCs w:val="22"/>
              </w:rPr>
            </w:pPr>
            <w:r w:rsidRPr="00317ABF">
              <w:rPr>
                <w:sz w:val="22"/>
                <w:szCs w:val="22"/>
              </w:rPr>
              <w:lastRenderedPageBreak/>
              <w:t>Art. 30 ust. 7</w:t>
            </w:r>
          </w:p>
        </w:tc>
        <w:tc>
          <w:tcPr>
            <w:tcW w:w="4308" w:type="dxa"/>
          </w:tcPr>
          <w:p w14:paraId="68070DD4" w14:textId="77777777" w:rsidR="001E1112" w:rsidRPr="00317ABF" w:rsidRDefault="001E1112" w:rsidP="00DB3BEC">
            <w:pPr>
              <w:spacing w:before="120"/>
              <w:jc w:val="both"/>
              <w:rPr>
                <w:sz w:val="22"/>
                <w:szCs w:val="22"/>
              </w:rPr>
            </w:pPr>
            <w:r w:rsidRPr="00317ABF">
              <w:rPr>
                <w:sz w:val="22"/>
                <w:szCs w:val="22"/>
              </w:rPr>
              <w:t>7.   Przedsiębiorstwa mają prawo odwołania się od środków wprowadzonych na mocy niniejszego artykułu, zgodnie z procedurą, o której mowa w art. 31.</w:t>
            </w:r>
          </w:p>
        </w:tc>
        <w:tc>
          <w:tcPr>
            <w:tcW w:w="986" w:type="dxa"/>
          </w:tcPr>
          <w:p w14:paraId="7EB1873D" w14:textId="11993DA9" w:rsidR="001E1112" w:rsidRPr="00317ABF" w:rsidRDefault="001E1112" w:rsidP="00DB3BEC">
            <w:pPr>
              <w:jc w:val="both"/>
              <w:rPr>
                <w:sz w:val="22"/>
                <w:szCs w:val="22"/>
              </w:rPr>
            </w:pPr>
            <w:r w:rsidRPr="00317ABF">
              <w:rPr>
                <w:sz w:val="22"/>
                <w:szCs w:val="22"/>
              </w:rPr>
              <w:t>T</w:t>
            </w:r>
          </w:p>
        </w:tc>
        <w:tc>
          <w:tcPr>
            <w:tcW w:w="910" w:type="dxa"/>
          </w:tcPr>
          <w:p w14:paraId="4A4A9837" w14:textId="76D66500" w:rsidR="001E1112" w:rsidRPr="00317ABF" w:rsidRDefault="00DB3BEC" w:rsidP="00DB3BEC">
            <w:pPr>
              <w:pStyle w:val="Tekstpodstawowy"/>
              <w:rPr>
                <w:b/>
                <w:bCs/>
                <w:noProof/>
                <w:sz w:val="22"/>
                <w:szCs w:val="22"/>
              </w:rPr>
            </w:pPr>
            <w:r w:rsidRPr="00317ABF">
              <w:rPr>
                <w:b/>
                <w:bCs/>
                <w:noProof/>
                <w:sz w:val="22"/>
                <w:szCs w:val="22"/>
              </w:rPr>
              <w:t xml:space="preserve">Art. </w:t>
            </w:r>
            <w:r w:rsidR="001E1112" w:rsidRPr="00317ABF">
              <w:rPr>
                <w:b/>
                <w:bCs/>
                <w:noProof/>
                <w:sz w:val="22"/>
                <w:szCs w:val="22"/>
              </w:rPr>
              <w:t>4</w:t>
            </w:r>
            <w:r w:rsidR="00202C68" w:rsidRPr="00317ABF">
              <w:rPr>
                <w:b/>
                <w:bCs/>
                <w:noProof/>
                <w:sz w:val="22"/>
                <w:szCs w:val="22"/>
              </w:rPr>
              <w:t>35</w:t>
            </w:r>
            <w:r w:rsidR="001E1112" w:rsidRPr="00317ABF">
              <w:rPr>
                <w:b/>
                <w:bCs/>
                <w:noProof/>
                <w:sz w:val="22"/>
                <w:szCs w:val="22"/>
              </w:rPr>
              <w:t xml:space="preserve"> ust. 2 pkt 5</w:t>
            </w:r>
          </w:p>
        </w:tc>
        <w:tc>
          <w:tcPr>
            <w:tcW w:w="6814" w:type="dxa"/>
            <w:gridSpan w:val="2"/>
          </w:tcPr>
          <w:p w14:paraId="171E8AF5" w14:textId="77777777" w:rsidR="00202C68" w:rsidRPr="00317ABF" w:rsidRDefault="00202C68" w:rsidP="00202C68">
            <w:pPr>
              <w:jc w:val="both"/>
              <w:rPr>
                <w:rFonts w:eastAsia="Times"/>
                <w:b/>
                <w:sz w:val="22"/>
                <w:szCs w:val="22"/>
              </w:rPr>
            </w:pPr>
            <w:r w:rsidRPr="00317ABF">
              <w:rPr>
                <w:rFonts w:eastAsia="Times"/>
                <w:b/>
                <w:sz w:val="22"/>
                <w:szCs w:val="22"/>
              </w:rPr>
              <w:t>Art. 435</w:t>
            </w:r>
          </w:p>
          <w:p w14:paraId="7E543231" w14:textId="77777777" w:rsidR="00202C68" w:rsidRPr="00317ABF" w:rsidRDefault="00202C68" w:rsidP="00DB3BEC">
            <w:pPr>
              <w:ind w:firstLine="510"/>
              <w:jc w:val="both"/>
              <w:rPr>
                <w:rFonts w:eastAsia="Times"/>
                <w:sz w:val="22"/>
                <w:szCs w:val="22"/>
              </w:rPr>
            </w:pPr>
          </w:p>
          <w:p w14:paraId="2F34393A" w14:textId="2F707932" w:rsidR="001E1112" w:rsidRPr="00317ABF" w:rsidRDefault="001E1112" w:rsidP="00202C68">
            <w:pPr>
              <w:jc w:val="both"/>
              <w:rPr>
                <w:rFonts w:eastAsia="Times"/>
                <w:sz w:val="22"/>
                <w:szCs w:val="22"/>
              </w:rPr>
            </w:pPr>
            <w:r w:rsidRPr="00317ABF">
              <w:rPr>
                <w:rFonts w:eastAsia="Times"/>
                <w:sz w:val="22"/>
                <w:szCs w:val="22"/>
              </w:rPr>
              <w:t>2. Odwołanie do Sądu Okręgowego w Warszawie - Sądu Ochrony Konkurencji i Konsumentów przysługuje od decyzji:</w:t>
            </w:r>
          </w:p>
          <w:p w14:paraId="5254AC15" w14:textId="1104DC97" w:rsidR="00202C68" w:rsidRPr="00317ABF" w:rsidRDefault="00202C68" w:rsidP="00202C68">
            <w:pPr>
              <w:jc w:val="both"/>
              <w:rPr>
                <w:rFonts w:eastAsia="Times"/>
                <w:sz w:val="22"/>
                <w:szCs w:val="22"/>
              </w:rPr>
            </w:pPr>
            <w:r w:rsidRPr="00317ABF">
              <w:rPr>
                <w:rFonts w:eastAsia="Times"/>
                <w:sz w:val="22"/>
                <w:szCs w:val="22"/>
              </w:rPr>
              <w:t>(…)</w:t>
            </w:r>
          </w:p>
          <w:p w14:paraId="4E309A62" w14:textId="77777777" w:rsidR="00202C68" w:rsidRPr="00317ABF" w:rsidRDefault="00202C68" w:rsidP="00202C68">
            <w:pPr>
              <w:jc w:val="both"/>
              <w:rPr>
                <w:rFonts w:eastAsia="Times"/>
                <w:sz w:val="22"/>
                <w:szCs w:val="22"/>
              </w:rPr>
            </w:pPr>
          </w:p>
          <w:p w14:paraId="5624F43B" w14:textId="155A8F1A" w:rsidR="001E1112" w:rsidRPr="00317ABF" w:rsidRDefault="001E1112" w:rsidP="00DB3BEC">
            <w:pPr>
              <w:jc w:val="both"/>
              <w:rPr>
                <w:sz w:val="22"/>
                <w:szCs w:val="22"/>
              </w:rPr>
            </w:pPr>
            <w:r w:rsidRPr="00317ABF">
              <w:rPr>
                <w:rFonts w:eastAsia="Times"/>
                <w:sz w:val="22"/>
                <w:szCs w:val="22"/>
              </w:rPr>
              <w:t xml:space="preserve">5) </w:t>
            </w:r>
            <w:r w:rsidR="00202C68" w:rsidRPr="00317ABF">
              <w:rPr>
                <w:rFonts w:eastAsia="Times"/>
                <w:sz w:val="22"/>
                <w:szCs w:val="22"/>
              </w:rPr>
              <w:tab/>
            </w:r>
            <w:r w:rsidRPr="00317ABF">
              <w:rPr>
                <w:rFonts w:eastAsia="Times"/>
                <w:sz w:val="22"/>
                <w:szCs w:val="22"/>
              </w:rPr>
              <w:t xml:space="preserve">o których mowa w art. </w:t>
            </w:r>
            <w:r w:rsidR="00202C68" w:rsidRPr="00317ABF">
              <w:rPr>
                <w:rFonts w:eastAsia="Times"/>
                <w:sz w:val="22"/>
                <w:szCs w:val="22"/>
              </w:rPr>
              <w:t>428</w:t>
            </w:r>
            <w:r w:rsidRPr="00317ABF">
              <w:rPr>
                <w:rFonts w:eastAsia="Times"/>
                <w:sz w:val="22"/>
                <w:szCs w:val="22"/>
              </w:rPr>
              <w:t xml:space="preserve"> ust. 4-6 - wydawanych w wyniku działań kontrolnych;</w:t>
            </w:r>
          </w:p>
        </w:tc>
      </w:tr>
      <w:tr w:rsidR="001E1112" w:rsidRPr="00317ABF" w14:paraId="2E0AF928" w14:textId="77777777" w:rsidTr="7753F98D">
        <w:trPr>
          <w:gridAfter w:val="2"/>
          <w:wAfter w:w="175" w:type="dxa"/>
        </w:trPr>
        <w:tc>
          <w:tcPr>
            <w:tcW w:w="704" w:type="dxa"/>
          </w:tcPr>
          <w:p w14:paraId="79CD9C6F" w14:textId="77777777" w:rsidR="001E1112" w:rsidRPr="00317ABF" w:rsidRDefault="001E1112" w:rsidP="00DB3BEC">
            <w:pPr>
              <w:jc w:val="both"/>
              <w:rPr>
                <w:b/>
                <w:sz w:val="22"/>
                <w:szCs w:val="22"/>
              </w:rPr>
            </w:pPr>
            <w:r w:rsidRPr="00317ABF">
              <w:rPr>
                <w:b/>
                <w:sz w:val="22"/>
                <w:szCs w:val="22"/>
              </w:rPr>
              <w:t>Art. 31</w:t>
            </w:r>
          </w:p>
        </w:tc>
        <w:tc>
          <w:tcPr>
            <w:tcW w:w="4308" w:type="dxa"/>
          </w:tcPr>
          <w:p w14:paraId="14B93107" w14:textId="77777777" w:rsidR="001E1112" w:rsidRPr="00317ABF" w:rsidRDefault="001E1112" w:rsidP="00DB3BEC">
            <w:pPr>
              <w:spacing w:before="120"/>
              <w:jc w:val="both"/>
              <w:rPr>
                <w:sz w:val="22"/>
                <w:szCs w:val="22"/>
              </w:rPr>
            </w:pPr>
            <w:r w:rsidRPr="00317ABF">
              <w:rPr>
                <w:b/>
                <w:bCs/>
                <w:sz w:val="22"/>
                <w:szCs w:val="22"/>
              </w:rPr>
              <w:t>Prawo odwołania się</w:t>
            </w:r>
          </w:p>
        </w:tc>
        <w:tc>
          <w:tcPr>
            <w:tcW w:w="986" w:type="dxa"/>
          </w:tcPr>
          <w:p w14:paraId="2A9F3CD3" w14:textId="77777777" w:rsidR="001E1112" w:rsidRPr="00317ABF" w:rsidRDefault="001E1112" w:rsidP="00DB3BEC">
            <w:pPr>
              <w:jc w:val="both"/>
              <w:rPr>
                <w:sz w:val="22"/>
                <w:szCs w:val="22"/>
              </w:rPr>
            </w:pPr>
          </w:p>
        </w:tc>
        <w:tc>
          <w:tcPr>
            <w:tcW w:w="910" w:type="dxa"/>
          </w:tcPr>
          <w:p w14:paraId="6C71870F" w14:textId="77777777" w:rsidR="001E1112" w:rsidRPr="00317ABF" w:rsidRDefault="001E1112" w:rsidP="00DB3BEC">
            <w:pPr>
              <w:pStyle w:val="Tekstpodstawowy"/>
              <w:rPr>
                <w:b/>
                <w:noProof/>
                <w:sz w:val="22"/>
                <w:szCs w:val="22"/>
              </w:rPr>
            </w:pPr>
          </w:p>
        </w:tc>
        <w:tc>
          <w:tcPr>
            <w:tcW w:w="6814" w:type="dxa"/>
            <w:gridSpan w:val="2"/>
          </w:tcPr>
          <w:p w14:paraId="7C11E962" w14:textId="77777777" w:rsidR="001E1112" w:rsidRPr="00317ABF" w:rsidRDefault="001E1112" w:rsidP="00DB3BEC">
            <w:pPr>
              <w:pStyle w:val="Tekstpodstawowy"/>
              <w:rPr>
                <w:sz w:val="22"/>
                <w:szCs w:val="22"/>
              </w:rPr>
            </w:pPr>
          </w:p>
        </w:tc>
      </w:tr>
      <w:tr w:rsidR="001E1112" w:rsidRPr="00317ABF" w14:paraId="2F9CEFBF" w14:textId="77777777" w:rsidTr="7753F98D">
        <w:trPr>
          <w:gridAfter w:val="2"/>
          <w:wAfter w:w="175" w:type="dxa"/>
        </w:trPr>
        <w:tc>
          <w:tcPr>
            <w:tcW w:w="704" w:type="dxa"/>
          </w:tcPr>
          <w:p w14:paraId="264F410B" w14:textId="77777777" w:rsidR="001E1112" w:rsidRPr="00317ABF" w:rsidRDefault="001E1112" w:rsidP="00DB3BEC">
            <w:pPr>
              <w:jc w:val="both"/>
              <w:rPr>
                <w:sz w:val="22"/>
                <w:szCs w:val="22"/>
              </w:rPr>
            </w:pPr>
            <w:r w:rsidRPr="00317ABF">
              <w:rPr>
                <w:sz w:val="22"/>
                <w:szCs w:val="22"/>
              </w:rPr>
              <w:lastRenderedPageBreak/>
              <w:t>Art. 31 ust. 1</w:t>
            </w:r>
          </w:p>
        </w:tc>
        <w:tc>
          <w:tcPr>
            <w:tcW w:w="4308" w:type="dxa"/>
          </w:tcPr>
          <w:p w14:paraId="78727D5F" w14:textId="77777777" w:rsidR="001E1112" w:rsidRPr="00317ABF" w:rsidRDefault="001E1112" w:rsidP="00DB3BEC">
            <w:pPr>
              <w:spacing w:before="120"/>
              <w:jc w:val="both"/>
              <w:rPr>
                <w:sz w:val="22"/>
                <w:szCs w:val="22"/>
              </w:rPr>
            </w:pPr>
            <w:r w:rsidRPr="00317ABF">
              <w:rPr>
                <w:sz w:val="22"/>
                <w:szCs w:val="22"/>
              </w:rPr>
              <w:t>1.   Państwa członkowskie zapewniają, aby na poziomie krajowym istniały skuteczne mechanizmy umożliwiające użytkownikom lub przedsiębiorstwom udostępniającym sieci lub świadczącym usługi łączności elektronicznej lub udostępniającym urządzenia towarzyszące, których dotyczy dana decyzja wydana przez właściwy organ, korzystanie z prawa odwołania się od takiej decyzji do organu odwoławczego niezależnego od zaangażowanych stron oraz od wszelkiej zewnętrznej interwencji lub presji politycznej, która mogłaby przeszkodzić mu w niezależnej ocenie zawisłych przed nim spraw. Organ taki, który może być sądem, dysponuje odpowiednią wiedzą specjalistyczną pozwalającą mu na skuteczne wypełnianie swoich funkcji. Państwa członkowskie zapewniają, aby aspekty merytoryczne każdej sprawy zostały właściwie rozpatrzone.</w:t>
            </w:r>
          </w:p>
          <w:p w14:paraId="17AE755C" w14:textId="77777777" w:rsidR="001E1112" w:rsidRPr="00317ABF" w:rsidRDefault="001E1112" w:rsidP="00DB3BEC">
            <w:pPr>
              <w:spacing w:before="120"/>
              <w:ind w:firstLine="708"/>
              <w:jc w:val="both"/>
              <w:rPr>
                <w:sz w:val="22"/>
                <w:szCs w:val="22"/>
              </w:rPr>
            </w:pPr>
            <w:r w:rsidRPr="00317ABF">
              <w:rPr>
                <w:sz w:val="22"/>
                <w:szCs w:val="22"/>
              </w:rPr>
              <w:t>Do czasu rozpatrzenia odwołania decyzja właściwego organu pozostaje w mocy, chyba że zgodnie z prawem krajowym zostaną zastosowane środki przejściowe.</w:t>
            </w:r>
          </w:p>
        </w:tc>
        <w:tc>
          <w:tcPr>
            <w:tcW w:w="986" w:type="dxa"/>
          </w:tcPr>
          <w:p w14:paraId="575AB783" w14:textId="13425103" w:rsidR="001E1112" w:rsidRPr="00317ABF" w:rsidRDefault="001E1112" w:rsidP="00DB3BEC">
            <w:pPr>
              <w:jc w:val="both"/>
              <w:rPr>
                <w:sz w:val="22"/>
                <w:szCs w:val="22"/>
              </w:rPr>
            </w:pPr>
            <w:r w:rsidRPr="00317ABF">
              <w:rPr>
                <w:sz w:val="22"/>
                <w:szCs w:val="22"/>
              </w:rPr>
              <w:t>T</w:t>
            </w:r>
          </w:p>
        </w:tc>
        <w:tc>
          <w:tcPr>
            <w:tcW w:w="910" w:type="dxa"/>
          </w:tcPr>
          <w:p w14:paraId="246C2908" w14:textId="45F3AFA9" w:rsidR="001E1112" w:rsidRPr="00317ABF" w:rsidRDefault="001E1112" w:rsidP="00DB3BEC">
            <w:pPr>
              <w:pStyle w:val="Tekstpodstawowy"/>
              <w:rPr>
                <w:b/>
                <w:noProof/>
                <w:sz w:val="22"/>
                <w:szCs w:val="22"/>
              </w:rPr>
            </w:pPr>
            <w:r w:rsidRPr="00317ABF">
              <w:rPr>
                <w:b/>
                <w:noProof/>
                <w:sz w:val="22"/>
                <w:szCs w:val="22"/>
              </w:rPr>
              <w:t xml:space="preserve">Art. </w:t>
            </w:r>
            <w:r w:rsidR="00EB75F0" w:rsidRPr="00317ABF">
              <w:rPr>
                <w:b/>
                <w:noProof/>
                <w:sz w:val="22"/>
                <w:szCs w:val="22"/>
              </w:rPr>
              <w:t>435</w:t>
            </w:r>
          </w:p>
        </w:tc>
        <w:tc>
          <w:tcPr>
            <w:tcW w:w="6814" w:type="dxa"/>
            <w:gridSpan w:val="2"/>
          </w:tcPr>
          <w:p w14:paraId="32595B8D" w14:textId="77777777" w:rsidR="001E1112" w:rsidRPr="00317ABF" w:rsidRDefault="00EB75F0" w:rsidP="00DB3BEC">
            <w:pPr>
              <w:jc w:val="both"/>
              <w:rPr>
                <w:sz w:val="22"/>
                <w:szCs w:val="22"/>
              </w:rPr>
            </w:pPr>
            <w:r w:rsidRPr="00317ABF">
              <w:rPr>
                <w:b/>
                <w:sz w:val="22"/>
                <w:szCs w:val="22"/>
              </w:rPr>
              <w:t>Art. 435.</w:t>
            </w:r>
            <w:r w:rsidRPr="00317ABF">
              <w:rPr>
                <w:sz w:val="22"/>
                <w:szCs w:val="22"/>
              </w:rPr>
              <w:t xml:space="preserve"> </w:t>
            </w:r>
            <w:r w:rsidR="001E1112" w:rsidRPr="00317ABF">
              <w:rPr>
                <w:sz w:val="22"/>
                <w:szCs w:val="22"/>
              </w:rPr>
              <w:t>1. Postępowanie przed Prezesem UKE toczy się na podstawie przepisów ustawy z dnia 14 czerwca 1960 r. - Kodeks postępowania administracyjnego ze zmianami wynikającymi z ustawy oraz ustawy z dnia 7 maja 2010 r. o wspieraniu rozwoju usług i sieci telekomunikacyjnych.</w:t>
            </w:r>
          </w:p>
          <w:p w14:paraId="291A044B" w14:textId="77777777" w:rsidR="001E1112" w:rsidRPr="00317ABF" w:rsidRDefault="001E1112" w:rsidP="00DB3BEC">
            <w:pPr>
              <w:jc w:val="both"/>
              <w:rPr>
                <w:sz w:val="22"/>
                <w:szCs w:val="22"/>
              </w:rPr>
            </w:pPr>
            <w:r w:rsidRPr="00317ABF">
              <w:rPr>
                <w:sz w:val="22"/>
                <w:szCs w:val="22"/>
              </w:rPr>
              <w:t>2. Odwołanie do Sądu Okręgowego w Warszawie - Sądu Ochrony Konkurencji i Konsumentów przysługuje od decyzji:</w:t>
            </w:r>
          </w:p>
          <w:p w14:paraId="15B8A3EB" w14:textId="77777777" w:rsidR="00EB75F0" w:rsidRPr="00317ABF" w:rsidRDefault="00EB75F0" w:rsidP="00EB75F0">
            <w:pPr>
              <w:jc w:val="both"/>
              <w:rPr>
                <w:sz w:val="22"/>
                <w:szCs w:val="22"/>
              </w:rPr>
            </w:pPr>
            <w:r w:rsidRPr="00317ABF">
              <w:rPr>
                <w:sz w:val="22"/>
                <w:szCs w:val="22"/>
              </w:rPr>
              <w:t xml:space="preserve">1) </w:t>
            </w:r>
            <w:r w:rsidRPr="00317ABF">
              <w:rPr>
                <w:sz w:val="22"/>
                <w:szCs w:val="22"/>
              </w:rPr>
              <w:tab/>
              <w:t>o której mowa w art. 202 ust. 1 o ustaleniu znaczącej pozycji rynkowej;</w:t>
            </w:r>
          </w:p>
          <w:p w14:paraId="67753A32" w14:textId="77777777" w:rsidR="00EB75F0" w:rsidRPr="00317ABF" w:rsidRDefault="00EB75F0" w:rsidP="00EB75F0">
            <w:pPr>
              <w:jc w:val="both"/>
              <w:rPr>
                <w:sz w:val="22"/>
                <w:szCs w:val="22"/>
              </w:rPr>
            </w:pPr>
            <w:r w:rsidRPr="00317ABF">
              <w:rPr>
                <w:sz w:val="22"/>
                <w:szCs w:val="22"/>
              </w:rPr>
              <w:t xml:space="preserve">2) </w:t>
            </w:r>
            <w:r w:rsidRPr="00317ABF">
              <w:rPr>
                <w:sz w:val="22"/>
                <w:szCs w:val="22"/>
              </w:rPr>
              <w:tab/>
              <w:t>w sprawie nałożenia, zmiany lub uchylenia obowiązków regulacyjnych, o których mowa w art. 199 ust. 4;</w:t>
            </w:r>
          </w:p>
          <w:p w14:paraId="1746897A" w14:textId="77777777" w:rsidR="00EB75F0" w:rsidRPr="00317ABF" w:rsidRDefault="00EB75F0" w:rsidP="00EB75F0">
            <w:pPr>
              <w:jc w:val="both"/>
              <w:rPr>
                <w:sz w:val="22"/>
                <w:szCs w:val="22"/>
              </w:rPr>
            </w:pPr>
            <w:r w:rsidRPr="00317ABF">
              <w:rPr>
                <w:sz w:val="22"/>
                <w:szCs w:val="22"/>
              </w:rPr>
              <w:t xml:space="preserve">3) </w:t>
            </w:r>
            <w:r w:rsidRPr="00317ABF">
              <w:rPr>
                <w:sz w:val="22"/>
                <w:szCs w:val="22"/>
              </w:rPr>
              <w:tab/>
              <w:t>w sprawie nałożenia, uchylenia, zmiany lub utrzymania obowiązków dostępowych symetrycznych, o których mowa w art. 177 ust. 1;</w:t>
            </w:r>
          </w:p>
          <w:p w14:paraId="0814C3B9" w14:textId="77777777" w:rsidR="00EB75F0" w:rsidRPr="00317ABF" w:rsidRDefault="00EB75F0" w:rsidP="00EB75F0">
            <w:pPr>
              <w:jc w:val="both"/>
              <w:rPr>
                <w:sz w:val="22"/>
                <w:szCs w:val="22"/>
              </w:rPr>
            </w:pPr>
            <w:r w:rsidRPr="00317ABF">
              <w:rPr>
                <w:sz w:val="22"/>
                <w:szCs w:val="22"/>
              </w:rPr>
              <w:t xml:space="preserve">4) </w:t>
            </w:r>
            <w:r w:rsidRPr="00317ABF">
              <w:rPr>
                <w:sz w:val="22"/>
                <w:szCs w:val="22"/>
              </w:rPr>
              <w:tab/>
              <w:t>w sprawie nałożenia kar przez Prezesa UKE;</w:t>
            </w:r>
          </w:p>
          <w:p w14:paraId="1FA53EBD" w14:textId="77777777" w:rsidR="00EB75F0" w:rsidRPr="00317ABF" w:rsidRDefault="00EB75F0" w:rsidP="00EB75F0">
            <w:pPr>
              <w:jc w:val="both"/>
              <w:rPr>
                <w:sz w:val="22"/>
                <w:szCs w:val="22"/>
              </w:rPr>
            </w:pPr>
            <w:r w:rsidRPr="00317ABF">
              <w:rPr>
                <w:sz w:val="22"/>
                <w:szCs w:val="22"/>
              </w:rPr>
              <w:t xml:space="preserve">5) </w:t>
            </w:r>
            <w:r w:rsidRPr="00317ABF">
              <w:rPr>
                <w:sz w:val="22"/>
                <w:szCs w:val="22"/>
              </w:rPr>
              <w:tab/>
              <w:t>o których mowa w art. 428 ust. 4-6 - wydawanych w wyniku działań kontrolnych;</w:t>
            </w:r>
          </w:p>
          <w:p w14:paraId="2164AAC9" w14:textId="77777777" w:rsidR="00EB75F0" w:rsidRPr="00317ABF" w:rsidRDefault="00EB75F0" w:rsidP="00EB75F0">
            <w:pPr>
              <w:jc w:val="both"/>
              <w:rPr>
                <w:sz w:val="22"/>
                <w:szCs w:val="22"/>
              </w:rPr>
            </w:pPr>
            <w:r w:rsidRPr="00317ABF">
              <w:rPr>
                <w:sz w:val="22"/>
                <w:szCs w:val="22"/>
              </w:rPr>
              <w:t xml:space="preserve">6) </w:t>
            </w:r>
            <w:r w:rsidRPr="00317ABF">
              <w:rPr>
                <w:sz w:val="22"/>
                <w:szCs w:val="22"/>
              </w:rPr>
              <w:tab/>
              <w:t>wydawanych na podstawie:</w:t>
            </w:r>
          </w:p>
          <w:p w14:paraId="2DF8977E" w14:textId="77777777" w:rsidR="00EB75F0" w:rsidRPr="00317ABF" w:rsidRDefault="00EB75F0" w:rsidP="00EB75F0">
            <w:pPr>
              <w:jc w:val="both"/>
              <w:rPr>
                <w:sz w:val="22"/>
                <w:szCs w:val="22"/>
              </w:rPr>
            </w:pPr>
            <w:r w:rsidRPr="00317ABF">
              <w:rPr>
                <w:sz w:val="22"/>
                <w:szCs w:val="22"/>
              </w:rPr>
              <w:t>a)</w:t>
            </w:r>
            <w:r w:rsidRPr="00317ABF">
              <w:rPr>
                <w:sz w:val="22"/>
                <w:szCs w:val="22"/>
              </w:rPr>
              <w:tab/>
              <w:t>art. 164 ust. 5,</w:t>
            </w:r>
          </w:p>
          <w:p w14:paraId="34D898A3" w14:textId="77777777" w:rsidR="00EB75F0" w:rsidRPr="00317ABF" w:rsidRDefault="00EB75F0" w:rsidP="00EB75F0">
            <w:pPr>
              <w:jc w:val="both"/>
              <w:rPr>
                <w:sz w:val="22"/>
                <w:szCs w:val="22"/>
                <w:lang w:val="en-US"/>
              </w:rPr>
            </w:pPr>
            <w:r w:rsidRPr="00317ABF">
              <w:rPr>
                <w:sz w:val="22"/>
                <w:szCs w:val="22"/>
                <w:lang w:val="en-US"/>
              </w:rPr>
              <w:t>b)</w:t>
            </w:r>
            <w:r w:rsidRPr="00317ABF">
              <w:rPr>
                <w:sz w:val="22"/>
                <w:szCs w:val="22"/>
                <w:lang w:val="en-US"/>
              </w:rPr>
              <w:tab/>
              <w:t>art. 166,</w:t>
            </w:r>
          </w:p>
          <w:p w14:paraId="74647336" w14:textId="77777777" w:rsidR="00EB75F0" w:rsidRPr="00317ABF" w:rsidRDefault="00EB75F0" w:rsidP="00EB75F0">
            <w:pPr>
              <w:jc w:val="both"/>
              <w:rPr>
                <w:sz w:val="22"/>
                <w:szCs w:val="22"/>
                <w:lang w:val="en-US"/>
              </w:rPr>
            </w:pPr>
            <w:r w:rsidRPr="00317ABF">
              <w:rPr>
                <w:sz w:val="22"/>
                <w:szCs w:val="22"/>
                <w:lang w:val="en-US"/>
              </w:rPr>
              <w:t>c)</w:t>
            </w:r>
            <w:r w:rsidRPr="00317ABF">
              <w:rPr>
                <w:sz w:val="22"/>
                <w:szCs w:val="22"/>
                <w:lang w:val="en-US"/>
              </w:rPr>
              <w:tab/>
              <w:t>art. 175 ust. 1,</w:t>
            </w:r>
          </w:p>
          <w:p w14:paraId="4CA4E231" w14:textId="77777777" w:rsidR="00EB75F0" w:rsidRPr="00317ABF" w:rsidRDefault="00EB75F0" w:rsidP="00EB75F0">
            <w:pPr>
              <w:jc w:val="both"/>
              <w:rPr>
                <w:sz w:val="22"/>
                <w:szCs w:val="22"/>
                <w:lang w:val="en-US"/>
              </w:rPr>
            </w:pPr>
            <w:r w:rsidRPr="00317ABF">
              <w:rPr>
                <w:sz w:val="22"/>
                <w:szCs w:val="22"/>
                <w:lang w:val="en-US"/>
              </w:rPr>
              <w:t>d)</w:t>
            </w:r>
            <w:r w:rsidRPr="00317ABF">
              <w:rPr>
                <w:sz w:val="22"/>
                <w:szCs w:val="22"/>
                <w:lang w:val="en-US"/>
              </w:rPr>
              <w:tab/>
              <w:t>art. 183 ust. 1,</w:t>
            </w:r>
          </w:p>
          <w:p w14:paraId="6C864A24" w14:textId="77777777" w:rsidR="00EB75F0" w:rsidRPr="00317ABF" w:rsidRDefault="00EB75F0" w:rsidP="00EB75F0">
            <w:pPr>
              <w:jc w:val="both"/>
              <w:rPr>
                <w:sz w:val="22"/>
                <w:szCs w:val="22"/>
                <w:lang w:val="en-US"/>
              </w:rPr>
            </w:pPr>
            <w:r w:rsidRPr="00317ABF">
              <w:rPr>
                <w:sz w:val="22"/>
                <w:szCs w:val="22"/>
                <w:lang w:val="en-US"/>
              </w:rPr>
              <w:t>e)</w:t>
            </w:r>
            <w:r w:rsidRPr="00317ABF">
              <w:rPr>
                <w:sz w:val="22"/>
                <w:szCs w:val="22"/>
                <w:lang w:val="en-US"/>
              </w:rPr>
              <w:tab/>
              <w:t>art. 187,</w:t>
            </w:r>
          </w:p>
          <w:p w14:paraId="76D726D5" w14:textId="77777777" w:rsidR="00EB75F0" w:rsidRPr="00317ABF" w:rsidRDefault="00EB75F0" w:rsidP="00EB75F0">
            <w:pPr>
              <w:jc w:val="both"/>
              <w:rPr>
                <w:sz w:val="22"/>
                <w:szCs w:val="22"/>
                <w:lang w:val="en-US"/>
              </w:rPr>
            </w:pPr>
            <w:r w:rsidRPr="00317ABF">
              <w:rPr>
                <w:sz w:val="22"/>
                <w:szCs w:val="22"/>
                <w:lang w:val="en-US"/>
              </w:rPr>
              <w:t>f) art. 191,</w:t>
            </w:r>
          </w:p>
          <w:p w14:paraId="36F9BEFA" w14:textId="77777777" w:rsidR="00EB75F0" w:rsidRPr="00317ABF" w:rsidRDefault="00EB75F0" w:rsidP="00EB75F0">
            <w:pPr>
              <w:jc w:val="both"/>
              <w:rPr>
                <w:sz w:val="22"/>
                <w:szCs w:val="22"/>
                <w:lang w:val="en-US"/>
              </w:rPr>
            </w:pPr>
            <w:r w:rsidRPr="00317ABF">
              <w:rPr>
                <w:sz w:val="22"/>
                <w:szCs w:val="22"/>
                <w:lang w:val="en-US"/>
              </w:rPr>
              <w:t>g)</w:t>
            </w:r>
            <w:r w:rsidRPr="00317ABF">
              <w:rPr>
                <w:sz w:val="22"/>
                <w:szCs w:val="22"/>
                <w:lang w:val="en-US"/>
              </w:rPr>
              <w:tab/>
              <w:t>art. 201 ust. 1,</w:t>
            </w:r>
          </w:p>
          <w:p w14:paraId="26205191" w14:textId="77777777" w:rsidR="00EB75F0" w:rsidRPr="00317ABF" w:rsidRDefault="00EB75F0" w:rsidP="00EB75F0">
            <w:pPr>
              <w:jc w:val="both"/>
              <w:rPr>
                <w:sz w:val="22"/>
                <w:szCs w:val="22"/>
              </w:rPr>
            </w:pPr>
            <w:r w:rsidRPr="00317ABF">
              <w:rPr>
                <w:sz w:val="22"/>
                <w:szCs w:val="22"/>
              </w:rPr>
              <w:t>h)</w:t>
            </w:r>
            <w:r w:rsidRPr="00317ABF">
              <w:rPr>
                <w:sz w:val="22"/>
                <w:szCs w:val="22"/>
              </w:rPr>
              <w:tab/>
              <w:t>art. 217 ust. 3 i 5,</w:t>
            </w:r>
          </w:p>
          <w:p w14:paraId="40E5EBDC" w14:textId="77777777" w:rsidR="00EB75F0" w:rsidRPr="00317ABF" w:rsidRDefault="00EB75F0" w:rsidP="00EB75F0">
            <w:pPr>
              <w:jc w:val="both"/>
              <w:rPr>
                <w:sz w:val="22"/>
                <w:szCs w:val="22"/>
              </w:rPr>
            </w:pPr>
            <w:r w:rsidRPr="00317ABF">
              <w:rPr>
                <w:sz w:val="22"/>
                <w:szCs w:val="22"/>
              </w:rPr>
              <w:t>i)</w:t>
            </w:r>
            <w:r w:rsidRPr="00317ABF">
              <w:rPr>
                <w:sz w:val="22"/>
                <w:szCs w:val="22"/>
              </w:rPr>
              <w:tab/>
              <w:t>art. 221,</w:t>
            </w:r>
          </w:p>
          <w:p w14:paraId="4F963C00" w14:textId="77777777" w:rsidR="00EB75F0" w:rsidRPr="00317ABF" w:rsidRDefault="00EB75F0" w:rsidP="00EB75F0">
            <w:pPr>
              <w:jc w:val="both"/>
              <w:rPr>
                <w:sz w:val="22"/>
                <w:szCs w:val="22"/>
              </w:rPr>
            </w:pPr>
            <w:r w:rsidRPr="00317ABF">
              <w:rPr>
                <w:sz w:val="22"/>
                <w:szCs w:val="22"/>
              </w:rPr>
              <w:t>j)</w:t>
            </w:r>
            <w:r w:rsidRPr="00317ABF">
              <w:rPr>
                <w:sz w:val="22"/>
                <w:szCs w:val="22"/>
              </w:rPr>
              <w:tab/>
              <w:t>art. 230,</w:t>
            </w:r>
          </w:p>
          <w:p w14:paraId="5188A71D" w14:textId="77777777" w:rsidR="00EB75F0" w:rsidRPr="00317ABF" w:rsidRDefault="00EB75F0" w:rsidP="00EB75F0">
            <w:pPr>
              <w:jc w:val="both"/>
              <w:rPr>
                <w:sz w:val="22"/>
                <w:szCs w:val="22"/>
              </w:rPr>
            </w:pPr>
            <w:r w:rsidRPr="00317ABF">
              <w:rPr>
                <w:sz w:val="22"/>
                <w:szCs w:val="22"/>
              </w:rPr>
              <w:t>k)</w:t>
            </w:r>
            <w:r w:rsidRPr="00317ABF">
              <w:rPr>
                <w:sz w:val="22"/>
                <w:szCs w:val="22"/>
              </w:rPr>
              <w:tab/>
              <w:t>art. 232 ust. 2,</w:t>
            </w:r>
          </w:p>
          <w:p w14:paraId="027FD895" w14:textId="77777777" w:rsidR="00EB75F0" w:rsidRPr="00317ABF" w:rsidRDefault="00EB75F0" w:rsidP="00EB75F0">
            <w:pPr>
              <w:jc w:val="both"/>
              <w:rPr>
                <w:sz w:val="22"/>
                <w:szCs w:val="22"/>
              </w:rPr>
            </w:pPr>
            <w:r w:rsidRPr="00317ABF">
              <w:rPr>
                <w:sz w:val="22"/>
                <w:szCs w:val="22"/>
              </w:rPr>
              <w:t xml:space="preserve">l) </w:t>
            </w:r>
            <w:r w:rsidRPr="00317ABF">
              <w:rPr>
                <w:sz w:val="22"/>
                <w:szCs w:val="22"/>
              </w:rPr>
              <w:tab/>
              <w:t>art. 235,</w:t>
            </w:r>
          </w:p>
          <w:p w14:paraId="7DA485D2" w14:textId="77777777" w:rsidR="00EB75F0" w:rsidRPr="00317ABF" w:rsidRDefault="00EB75F0" w:rsidP="00EB75F0">
            <w:pPr>
              <w:jc w:val="both"/>
              <w:rPr>
                <w:sz w:val="22"/>
                <w:szCs w:val="22"/>
              </w:rPr>
            </w:pPr>
            <w:r w:rsidRPr="00317ABF">
              <w:rPr>
                <w:sz w:val="22"/>
                <w:szCs w:val="22"/>
              </w:rPr>
              <w:t>m)</w:t>
            </w:r>
            <w:r w:rsidRPr="00317ABF">
              <w:rPr>
                <w:sz w:val="22"/>
                <w:szCs w:val="22"/>
              </w:rPr>
              <w:tab/>
              <w:t>art. 239,</w:t>
            </w:r>
          </w:p>
          <w:p w14:paraId="2BAEC440" w14:textId="77777777" w:rsidR="00EB75F0" w:rsidRPr="00317ABF" w:rsidRDefault="00EB75F0" w:rsidP="00EB75F0">
            <w:pPr>
              <w:jc w:val="both"/>
              <w:rPr>
                <w:sz w:val="22"/>
                <w:szCs w:val="22"/>
              </w:rPr>
            </w:pPr>
            <w:r w:rsidRPr="00317ABF">
              <w:rPr>
                <w:sz w:val="22"/>
                <w:szCs w:val="22"/>
              </w:rPr>
              <w:t>n)</w:t>
            </w:r>
            <w:r w:rsidRPr="00317ABF">
              <w:rPr>
                <w:sz w:val="22"/>
                <w:szCs w:val="22"/>
              </w:rPr>
              <w:tab/>
              <w:t>art. 242 ust. 1 i 3,</w:t>
            </w:r>
          </w:p>
          <w:p w14:paraId="6AAB9880" w14:textId="77777777" w:rsidR="00EB75F0" w:rsidRPr="00317ABF" w:rsidRDefault="00EB75F0" w:rsidP="00EB75F0">
            <w:pPr>
              <w:jc w:val="both"/>
              <w:rPr>
                <w:sz w:val="22"/>
                <w:szCs w:val="22"/>
              </w:rPr>
            </w:pPr>
            <w:r w:rsidRPr="00317ABF">
              <w:rPr>
                <w:sz w:val="22"/>
                <w:szCs w:val="22"/>
              </w:rPr>
              <w:t>o)</w:t>
            </w:r>
            <w:r w:rsidRPr="00317ABF">
              <w:rPr>
                <w:sz w:val="22"/>
                <w:szCs w:val="22"/>
              </w:rPr>
              <w:tab/>
              <w:t>art. 250,</w:t>
            </w:r>
          </w:p>
          <w:p w14:paraId="54064AC1" w14:textId="77777777" w:rsidR="00EB75F0" w:rsidRPr="00317ABF" w:rsidRDefault="00EB75F0" w:rsidP="00EB75F0">
            <w:pPr>
              <w:jc w:val="both"/>
              <w:rPr>
                <w:sz w:val="22"/>
                <w:szCs w:val="22"/>
              </w:rPr>
            </w:pPr>
            <w:r w:rsidRPr="00317ABF">
              <w:rPr>
                <w:sz w:val="22"/>
                <w:szCs w:val="22"/>
              </w:rPr>
              <w:t>p)</w:t>
            </w:r>
            <w:r w:rsidRPr="00317ABF">
              <w:rPr>
                <w:sz w:val="22"/>
                <w:szCs w:val="22"/>
              </w:rPr>
              <w:tab/>
              <w:t>art. 327 ust. 2,</w:t>
            </w:r>
          </w:p>
          <w:p w14:paraId="106EA94E" w14:textId="77777777" w:rsidR="00EB75F0" w:rsidRPr="00317ABF" w:rsidRDefault="00EB75F0" w:rsidP="00EB75F0">
            <w:pPr>
              <w:jc w:val="both"/>
              <w:rPr>
                <w:sz w:val="22"/>
                <w:szCs w:val="22"/>
              </w:rPr>
            </w:pPr>
            <w:r w:rsidRPr="00317ABF">
              <w:rPr>
                <w:sz w:val="22"/>
                <w:szCs w:val="22"/>
              </w:rPr>
              <w:t>r)</w:t>
            </w:r>
            <w:r w:rsidRPr="00317ABF">
              <w:rPr>
                <w:sz w:val="22"/>
                <w:szCs w:val="22"/>
              </w:rPr>
              <w:tab/>
              <w:t>art. 403;</w:t>
            </w:r>
          </w:p>
          <w:p w14:paraId="0061CAFD" w14:textId="77777777" w:rsidR="00EB75F0" w:rsidRPr="00317ABF" w:rsidRDefault="00EB75F0" w:rsidP="00EB75F0">
            <w:pPr>
              <w:jc w:val="both"/>
              <w:rPr>
                <w:sz w:val="22"/>
                <w:szCs w:val="22"/>
              </w:rPr>
            </w:pPr>
            <w:r w:rsidRPr="00317ABF">
              <w:rPr>
                <w:sz w:val="22"/>
                <w:szCs w:val="22"/>
              </w:rPr>
              <w:t xml:space="preserve">7) </w:t>
            </w:r>
            <w:r w:rsidRPr="00317ABF">
              <w:rPr>
                <w:sz w:val="22"/>
                <w:szCs w:val="22"/>
              </w:rPr>
              <w:tab/>
              <w:t>wydanych na podstawie ustawy z dnia 7 maja 2010 r. o wspieraniu rozwoju usług i sieci telekomunikacyjnych, obejmujących decyzje wydawane na podstawie: art. 12, art. 13 ust. 1 i 2, art. 18 ust. 3, art. 18 ust. 9, art. 20, art. 24a, art. 25d ust. 1 oraz art. 35a ust. 3.</w:t>
            </w:r>
          </w:p>
          <w:p w14:paraId="42B5017C" w14:textId="77777777" w:rsidR="00EB75F0" w:rsidRPr="00317ABF" w:rsidRDefault="00EB75F0" w:rsidP="00EB75F0">
            <w:pPr>
              <w:jc w:val="both"/>
              <w:rPr>
                <w:sz w:val="22"/>
                <w:szCs w:val="22"/>
              </w:rPr>
            </w:pPr>
            <w:r w:rsidRPr="00317ABF">
              <w:rPr>
                <w:sz w:val="22"/>
                <w:szCs w:val="22"/>
              </w:rPr>
              <w:lastRenderedPageBreak/>
              <w:t>3. Na postanowienia, o których mowa w art. 182 i art. 193, przysługuje zażalenie do Sądu Ochrony Konkurencji i Konsumentów.</w:t>
            </w:r>
          </w:p>
          <w:p w14:paraId="21F0DD58" w14:textId="77777777" w:rsidR="001E1112" w:rsidRPr="00317ABF" w:rsidRDefault="001E1112" w:rsidP="00DB3BEC">
            <w:pPr>
              <w:jc w:val="both"/>
              <w:rPr>
                <w:sz w:val="22"/>
                <w:szCs w:val="22"/>
              </w:rPr>
            </w:pPr>
            <w:r w:rsidRPr="00317ABF">
              <w:rPr>
                <w:sz w:val="22"/>
                <w:szCs w:val="22"/>
              </w:rPr>
              <w:t>4. Decyzje, o których mowa w ust. 3, z wyjątkiem decyzji w sprawie nałożenia kar, podlegają natychmiastowemu wykonaniu.</w:t>
            </w:r>
          </w:p>
          <w:p w14:paraId="30683237" w14:textId="77777777" w:rsidR="001E1112" w:rsidRPr="00317ABF" w:rsidRDefault="001E1112" w:rsidP="00DB3BEC">
            <w:pPr>
              <w:jc w:val="both"/>
              <w:rPr>
                <w:sz w:val="22"/>
                <w:szCs w:val="22"/>
              </w:rPr>
            </w:pPr>
            <w:r w:rsidRPr="00317ABF">
              <w:rPr>
                <w:sz w:val="22"/>
                <w:szCs w:val="22"/>
              </w:rPr>
              <w:t>5. Postępowania w sprawach odwołań</w:t>
            </w:r>
            <w:r w:rsidR="00EB75F0" w:rsidRPr="00317ABF">
              <w:rPr>
                <w:sz w:val="22"/>
                <w:szCs w:val="22"/>
              </w:rPr>
              <w:t xml:space="preserve"> i zażaleń</w:t>
            </w:r>
            <w:r w:rsidRPr="00317ABF">
              <w:rPr>
                <w:sz w:val="22"/>
                <w:szCs w:val="22"/>
              </w:rPr>
              <w:t xml:space="preserve">, o których mowa w ust. </w:t>
            </w:r>
            <w:r w:rsidR="00EB75F0" w:rsidRPr="00317ABF">
              <w:rPr>
                <w:sz w:val="22"/>
                <w:szCs w:val="22"/>
              </w:rPr>
              <w:t xml:space="preserve">2 i </w:t>
            </w:r>
            <w:r w:rsidRPr="00317ABF">
              <w:rPr>
                <w:sz w:val="22"/>
                <w:szCs w:val="22"/>
              </w:rPr>
              <w:t>3, toczą się według przepisów ustawy z dnia 17 listopada 1964 r. - Kodeks postępowania cywilnego (Dz. U. z 2019 r. poz. 1460, z późn. zm</w:t>
            </w:r>
            <w:r w:rsidR="00EB75F0" w:rsidRPr="00317ABF">
              <w:rPr>
                <w:sz w:val="22"/>
                <w:szCs w:val="22"/>
              </w:rPr>
              <w:t>.),</w:t>
            </w:r>
            <w:r w:rsidRPr="00317ABF">
              <w:rPr>
                <w:sz w:val="22"/>
                <w:szCs w:val="22"/>
              </w:rPr>
              <w:t xml:space="preserve"> o postępowaniu w sprawach z zakresu regulacji telekomunikacji i poczty.</w:t>
            </w:r>
          </w:p>
          <w:p w14:paraId="1AA19132" w14:textId="285B3921" w:rsidR="001E1112" w:rsidRPr="00317ABF" w:rsidRDefault="001E1112" w:rsidP="00DB3BEC">
            <w:pPr>
              <w:jc w:val="both"/>
              <w:rPr>
                <w:sz w:val="22"/>
                <w:szCs w:val="22"/>
              </w:rPr>
            </w:pPr>
            <w:r w:rsidRPr="00317ABF">
              <w:rPr>
                <w:sz w:val="22"/>
                <w:szCs w:val="22"/>
              </w:rPr>
              <w:t>6. Na postanowienie wydane w trybie art. 106 ustawy z dnia 14 czerwca 1960 r. - Kodeks postępowania administracyjnego przez organ współdziałający z Prezesem UKE, zażalenie nie przysługuje.</w:t>
            </w:r>
          </w:p>
        </w:tc>
      </w:tr>
      <w:tr w:rsidR="001E1112" w:rsidRPr="00317ABF" w14:paraId="03A86CD5" w14:textId="77777777" w:rsidTr="7753F98D">
        <w:trPr>
          <w:gridAfter w:val="2"/>
          <w:wAfter w:w="175" w:type="dxa"/>
        </w:trPr>
        <w:tc>
          <w:tcPr>
            <w:tcW w:w="704" w:type="dxa"/>
          </w:tcPr>
          <w:p w14:paraId="4ED2FD33" w14:textId="77777777" w:rsidR="001E1112" w:rsidRPr="00317ABF" w:rsidRDefault="001E1112" w:rsidP="00DB3BEC">
            <w:pPr>
              <w:jc w:val="both"/>
              <w:rPr>
                <w:sz w:val="22"/>
                <w:szCs w:val="22"/>
              </w:rPr>
            </w:pPr>
            <w:r w:rsidRPr="00317ABF">
              <w:rPr>
                <w:sz w:val="22"/>
                <w:szCs w:val="22"/>
              </w:rPr>
              <w:lastRenderedPageBreak/>
              <w:t>Art. 31 ust. 2</w:t>
            </w:r>
          </w:p>
        </w:tc>
        <w:tc>
          <w:tcPr>
            <w:tcW w:w="4308" w:type="dxa"/>
          </w:tcPr>
          <w:p w14:paraId="63FF9B3E" w14:textId="77777777" w:rsidR="001E1112" w:rsidRPr="00317ABF" w:rsidRDefault="001E1112" w:rsidP="00DB3BEC">
            <w:pPr>
              <w:spacing w:before="120"/>
              <w:jc w:val="both"/>
              <w:rPr>
                <w:sz w:val="22"/>
                <w:szCs w:val="22"/>
              </w:rPr>
            </w:pPr>
            <w:r w:rsidRPr="00317ABF">
              <w:rPr>
                <w:sz w:val="22"/>
                <w:szCs w:val="22"/>
              </w:rPr>
              <w:t>2.   Jeżeli organ odwoławczy, o którym mowa w ust. 1 niniejszego artykułu, nie jest organem sądowym, musi on zawsze sporządzić na piśmie uzasadnienie swojej decyzji. Ponadto w takim przypadku decyzja takiego organu musi podlegać kontroli przez organ sądowy w rozumieniu art. 267 TFUE.</w:t>
            </w:r>
          </w:p>
          <w:p w14:paraId="5BA550F4" w14:textId="77777777" w:rsidR="001E1112" w:rsidRPr="00317ABF" w:rsidRDefault="001E1112" w:rsidP="00DB3BEC">
            <w:pPr>
              <w:spacing w:before="120"/>
              <w:jc w:val="both"/>
              <w:rPr>
                <w:sz w:val="22"/>
                <w:szCs w:val="22"/>
              </w:rPr>
            </w:pPr>
            <w:r w:rsidRPr="00317ABF">
              <w:rPr>
                <w:sz w:val="22"/>
                <w:szCs w:val="22"/>
              </w:rPr>
              <w:t>Państwa członkowskie gwarantują istnienie skutecznych środków odwoławczych.</w:t>
            </w:r>
          </w:p>
        </w:tc>
        <w:tc>
          <w:tcPr>
            <w:tcW w:w="986" w:type="dxa"/>
          </w:tcPr>
          <w:p w14:paraId="5BC88503" w14:textId="2EDDA2B3" w:rsidR="001E1112" w:rsidRPr="00317ABF" w:rsidRDefault="001E1112" w:rsidP="00DB3BEC">
            <w:pPr>
              <w:jc w:val="both"/>
              <w:rPr>
                <w:sz w:val="22"/>
                <w:szCs w:val="22"/>
              </w:rPr>
            </w:pPr>
            <w:r w:rsidRPr="00317ABF">
              <w:rPr>
                <w:sz w:val="22"/>
                <w:szCs w:val="22"/>
              </w:rPr>
              <w:t>N</w:t>
            </w:r>
          </w:p>
        </w:tc>
        <w:tc>
          <w:tcPr>
            <w:tcW w:w="910" w:type="dxa"/>
          </w:tcPr>
          <w:p w14:paraId="5775F54F" w14:textId="77777777" w:rsidR="001E1112" w:rsidRPr="00317ABF" w:rsidRDefault="001E1112" w:rsidP="00DB3BEC">
            <w:pPr>
              <w:pStyle w:val="Tekstpodstawowy"/>
              <w:rPr>
                <w:b/>
                <w:noProof/>
                <w:sz w:val="22"/>
                <w:szCs w:val="22"/>
              </w:rPr>
            </w:pPr>
          </w:p>
        </w:tc>
        <w:tc>
          <w:tcPr>
            <w:tcW w:w="6814" w:type="dxa"/>
            <w:gridSpan w:val="2"/>
          </w:tcPr>
          <w:p w14:paraId="6F6C9D5F" w14:textId="77777777" w:rsidR="001E1112" w:rsidRPr="00317ABF" w:rsidRDefault="001E1112" w:rsidP="00DB3BEC">
            <w:pPr>
              <w:pStyle w:val="Tekstpodstawowy"/>
              <w:rPr>
                <w:sz w:val="22"/>
                <w:szCs w:val="22"/>
              </w:rPr>
            </w:pPr>
          </w:p>
        </w:tc>
      </w:tr>
      <w:tr w:rsidR="001E1112" w:rsidRPr="00317ABF" w14:paraId="59407E0E" w14:textId="77777777" w:rsidTr="7753F98D">
        <w:trPr>
          <w:gridAfter w:val="2"/>
          <w:wAfter w:w="175" w:type="dxa"/>
        </w:trPr>
        <w:tc>
          <w:tcPr>
            <w:tcW w:w="704" w:type="dxa"/>
          </w:tcPr>
          <w:p w14:paraId="396D82DB" w14:textId="77777777" w:rsidR="001E1112" w:rsidRPr="00317ABF" w:rsidRDefault="001E1112" w:rsidP="00DB3BEC">
            <w:pPr>
              <w:jc w:val="both"/>
              <w:rPr>
                <w:sz w:val="22"/>
                <w:szCs w:val="22"/>
              </w:rPr>
            </w:pPr>
            <w:r w:rsidRPr="00317ABF">
              <w:rPr>
                <w:sz w:val="22"/>
                <w:szCs w:val="22"/>
              </w:rPr>
              <w:t>Art. 31 ust. 3</w:t>
            </w:r>
          </w:p>
        </w:tc>
        <w:tc>
          <w:tcPr>
            <w:tcW w:w="4308" w:type="dxa"/>
          </w:tcPr>
          <w:p w14:paraId="602B203C" w14:textId="77777777" w:rsidR="001E1112" w:rsidRPr="00317ABF" w:rsidRDefault="001E1112" w:rsidP="00DB3BEC">
            <w:pPr>
              <w:spacing w:before="120"/>
              <w:jc w:val="both"/>
              <w:rPr>
                <w:sz w:val="22"/>
                <w:szCs w:val="22"/>
              </w:rPr>
            </w:pPr>
            <w:r w:rsidRPr="00317ABF">
              <w:rPr>
                <w:sz w:val="22"/>
                <w:szCs w:val="22"/>
              </w:rPr>
              <w:t>3.   Państwa członkowskie gromadzą informacje na temat ogólnego przedmiotu odwołań, liczby wniosków odwoławczych, czasu trwania postępowań odwoławczych oraz liczby wydanych decyzji o zastosowaniu środków tymczasowych. Na uzasadniony wniosek Komisji oraz BEREC państwa członkowskie przekazują im takie informacje, oraz decyzje lub orzeczenia.</w:t>
            </w:r>
          </w:p>
        </w:tc>
        <w:tc>
          <w:tcPr>
            <w:tcW w:w="986" w:type="dxa"/>
          </w:tcPr>
          <w:p w14:paraId="3A3644DA" w14:textId="0EAAE7C3" w:rsidR="001E1112" w:rsidRPr="00317ABF" w:rsidRDefault="001E1112" w:rsidP="00DB3BEC">
            <w:pPr>
              <w:jc w:val="both"/>
              <w:rPr>
                <w:sz w:val="22"/>
                <w:szCs w:val="22"/>
              </w:rPr>
            </w:pPr>
            <w:r w:rsidRPr="00317ABF">
              <w:rPr>
                <w:sz w:val="22"/>
                <w:szCs w:val="22"/>
              </w:rPr>
              <w:t>T</w:t>
            </w:r>
          </w:p>
        </w:tc>
        <w:tc>
          <w:tcPr>
            <w:tcW w:w="910" w:type="dxa"/>
          </w:tcPr>
          <w:p w14:paraId="3B4902DB" w14:textId="6B2344A3" w:rsidR="001E1112" w:rsidRPr="00317ABF" w:rsidRDefault="001E1112" w:rsidP="00DB3BEC">
            <w:pPr>
              <w:pStyle w:val="Tekstpodstawowy"/>
              <w:rPr>
                <w:b/>
                <w:noProof/>
                <w:sz w:val="22"/>
                <w:szCs w:val="22"/>
              </w:rPr>
            </w:pPr>
            <w:r w:rsidRPr="00317ABF">
              <w:rPr>
                <w:b/>
                <w:noProof/>
                <w:sz w:val="22"/>
                <w:szCs w:val="22"/>
              </w:rPr>
              <w:t>Art. 4</w:t>
            </w:r>
            <w:r w:rsidR="00DD4A09" w:rsidRPr="00317ABF">
              <w:rPr>
                <w:b/>
                <w:noProof/>
                <w:sz w:val="22"/>
                <w:szCs w:val="22"/>
              </w:rPr>
              <w:t>36</w:t>
            </w:r>
          </w:p>
        </w:tc>
        <w:tc>
          <w:tcPr>
            <w:tcW w:w="6814" w:type="dxa"/>
            <w:gridSpan w:val="2"/>
          </w:tcPr>
          <w:p w14:paraId="29F2E8DF" w14:textId="77777777" w:rsidR="001E1112" w:rsidRPr="00317ABF" w:rsidRDefault="00DD4A09" w:rsidP="00DB3BEC">
            <w:pPr>
              <w:jc w:val="both"/>
              <w:rPr>
                <w:sz w:val="22"/>
                <w:szCs w:val="22"/>
              </w:rPr>
            </w:pPr>
            <w:r w:rsidRPr="00317ABF">
              <w:rPr>
                <w:b/>
                <w:sz w:val="22"/>
                <w:szCs w:val="22"/>
              </w:rPr>
              <w:t>Art. 436.</w:t>
            </w:r>
            <w:r w:rsidRPr="00317ABF">
              <w:rPr>
                <w:sz w:val="22"/>
                <w:szCs w:val="22"/>
              </w:rPr>
              <w:t xml:space="preserve"> </w:t>
            </w:r>
            <w:r w:rsidR="001E1112" w:rsidRPr="00317ABF">
              <w:rPr>
                <w:sz w:val="22"/>
                <w:szCs w:val="22"/>
              </w:rPr>
              <w:t>1. Prezes UKE gromadzi informacje na temat ogólnego przedmiotu odwołań, liczby wniosków odwoławczych, czasu trwania postępowań odwoławczych oraz liczby wydanych decyzji o zastosowaniu środków tymczasowych.</w:t>
            </w:r>
          </w:p>
          <w:p w14:paraId="32842F1D" w14:textId="66DC6B95" w:rsidR="001E1112" w:rsidRPr="00317ABF" w:rsidRDefault="001E1112" w:rsidP="00DB3BEC">
            <w:pPr>
              <w:jc w:val="both"/>
              <w:rPr>
                <w:sz w:val="22"/>
                <w:szCs w:val="22"/>
              </w:rPr>
            </w:pPr>
            <w:r w:rsidRPr="00317ABF">
              <w:rPr>
                <w:sz w:val="22"/>
                <w:szCs w:val="22"/>
              </w:rPr>
              <w:t>2. Na uzasadniony wniosek Komisji Europejskiej oraz BEREC Prezes UKE przekazuje informacje, o których mowa w ust. 1, oraz decyzje i orzeczenia.</w:t>
            </w:r>
          </w:p>
        </w:tc>
      </w:tr>
      <w:tr w:rsidR="001E1112" w:rsidRPr="00317ABF" w14:paraId="63F3B589" w14:textId="77777777" w:rsidTr="7753F98D">
        <w:trPr>
          <w:gridAfter w:val="2"/>
          <w:wAfter w:w="175" w:type="dxa"/>
        </w:trPr>
        <w:tc>
          <w:tcPr>
            <w:tcW w:w="704" w:type="dxa"/>
          </w:tcPr>
          <w:p w14:paraId="6AB1D958" w14:textId="77777777" w:rsidR="001E1112" w:rsidRPr="00317ABF" w:rsidRDefault="001E1112" w:rsidP="00DB3BEC">
            <w:pPr>
              <w:jc w:val="both"/>
              <w:rPr>
                <w:b/>
                <w:sz w:val="22"/>
                <w:szCs w:val="22"/>
              </w:rPr>
            </w:pPr>
            <w:r w:rsidRPr="00317ABF">
              <w:rPr>
                <w:b/>
                <w:sz w:val="22"/>
                <w:szCs w:val="22"/>
              </w:rPr>
              <w:t>Art. 32</w:t>
            </w:r>
          </w:p>
        </w:tc>
        <w:tc>
          <w:tcPr>
            <w:tcW w:w="4308" w:type="dxa"/>
          </w:tcPr>
          <w:p w14:paraId="13F9F96B" w14:textId="77777777" w:rsidR="001E1112" w:rsidRPr="00317ABF" w:rsidRDefault="001E1112" w:rsidP="00DB3BEC">
            <w:pPr>
              <w:spacing w:before="120"/>
              <w:jc w:val="both"/>
              <w:rPr>
                <w:sz w:val="22"/>
                <w:szCs w:val="22"/>
              </w:rPr>
            </w:pPr>
            <w:r w:rsidRPr="00317ABF">
              <w:rPr>
                <w:b/>
                <w:bCs/>
                <w:sz w:val="22"/>
                <w:szCs w:val="22"/>
              </w:rPr>
              <w:t>Konsolidacja rynku wewnętrznego w zakresie łączności elektronicznej</w:t>
            </w:r>
          </w:p>
        </w:tc>
        <w:tc>
          <w:tcPr>
            <w:tcW w:w="986" w:type="dxa"/>
          </w:tcPr>
          <w:p w14:paraId="711CDE5E" w14:textId="77777777" w:rsidR="001E1112" w:rsidRPr="00317ABF" w:rsidRDefault="001E1112" w:rsidP="00DB3BEC">
            <w:pPr>
              <w:jc w:val="both"/>
              <w:rPr>
                <w:sz w:val="22"/>
                <w:szCs w:val="22"/>
              </w:rPr>
            </w:pPr>
          </w:p>
        </w:tc>
        <w:tc>
          <w:tcPr>
            <w:tcW w:w="910" w:type="dxa"/>
          </w:tcPr>
          <w:p w14:paraId="6A2BC585" w14:textId="77777777" w:rsidR="001E1112" w:rsidRPr="00317ABF" w:rsidRDefault="001E1112" w:rsidP="00DB3BEC">
            <w:pPr>
              <w:pStyle w:val="Tekstpodstawowy"/>
              <w:rPr>
                <w:b/>
                <w:noProof/>
                <w:sz w:val="22"/>
                <w:szCs w:val="22"/>
              </w:rPr>
            </w:pPr>
          </w:p>
        </w:tc>
        <w:tc>
          <w:tcPr>
            <w:tcW w:w="6814" w:type="dxa"/>
            <w:gridSpan w:val="2"/>
          </w:tcPr>
          <w:p w14:paraId="49A616B1" w14:textId="77777777" w:rsidR="001E1112" w:rsidRPr="00317ABF" w:rsidRDefault="001E1112" w:rsidP="00DB3BEC">
            <w:pPr>
              <w:pStyle w:val="Tekstpodstawowy"/>
              <w:rPr>
                <w:sz w:val="22"/>
                <w:szCs w:val="22"/>
              </w:rPr>
            </w:pPr>
          </w:p>
        </w:tc>
      </w:tr>
      <w:tr w:rsidR="001E1112" w:rsidRPr="00317ABF" w14:paraId="6C2D3231" w14:textId="77777777" w:rsidTr="7753F98D">
        <w:trPr>
          <w:gridAfter w:val="2"/>
          <w:wAfter w:w="175" w:type="dxa"/>
        </w:trPr>
        <w:tc>
          <w:tcPr>
            <w:tcW w:w="704" w:type="dxa"/>
          </w:tcPr>
          <w:p w14:paraId="702F3035" w14:textId="77777777" w:rsidR="001E1112" w:rsidRPr="00317ABF" w:rsidRDefault="001E1112" w:rsidP="00DB3BEC">
            <w:pPr>
              <w:jc w:val="both"/>
              <w:rPr>
                <w:sz w:val="22"/>
                <w:szCs w:val="22"/>
              </w:rPr>
            </w:pPr>
            <w:r w:rsidRPr="00317ABF">
              <w:rPr>
                <w:sz w:val="22"/>
                <w:szCs w:val="22"/>
              </w:rPr>
              <w:t>Art. 32 ust. 1</w:t>
            </w:r>
          </w:p>
        </w:tc>
        <w:tc>
          <w:tcPr>
            <w:tcW w:w="4308" w:type="dxa"/>
          </w:tcPr>
          <w:p w14:paraId="42385EBA" w14:textId="77777777" w:rsidR="001E1112" w:rsidRPr="00317ABF" w:rsidRDefault="001E1112" w:rsidP="00DB3BEC">
            <w:pPr>
              <w:spacing w:before="120"/>
              <w:jc w:val="both"/>
              <w:rPr>
                <w:sz w:val="22"/>
                <w:szCs w:val="22"/>
              </w:rPr>
            </w:pPr>
            <w:r w:rsidRPr="00317ABF">
              <w:rPr>
                <w:sz w:val="22"/>
                <w:szCs w:val="22"/>
              </w:rPr>
              <w:t>1.   Realizując swoje zadania wynikające z przepisów niniejszej dyrektywy, krajowe organy regulacyjne w jak największym stopniu uwzględniają cele określone w art. 3.</w:t>
            </w:r>
          </w:p>
        </w:tc>
        <w:tc>
          <w:tcPr>
            <w:tcW w:w="986" w:type="dxa"/>
          </w:tcPr>
          <w:p w14:paraId="3B4B52B0" w14:textId="56FCD81A" w:rsidR="001E1112" w:rsidRPr="00317ABF" w:rsidRDefault="001E1112" w:rsidP="00DB3BEC">
            <w:pPr>
              <w:jc w:val="both"/>
              <w:rPr>
                <w:sz w:val="22"/>
                <w:szCs w:val="22"/>
              </w:rPr>
            </w:pPr>
            <w:r w:rsidRPr="00317ABF">
              <w:rPr>
                <w:sz w:val="22"/>
                <w:szCs w:val="22"/>
              </w:rPr>
              <w:t>T</w:t>
            </w:r>
          </w:p>
        </w:tc>
        <w:tc>
          <w:tcPr>
            <w:tcW w:w="910" w:type="dxa"/>
          </w:tcPr>
          <w:p w14:paraId="6A8F822E" w14:textId="6E8AD96A" w:rsidR="001E1112" w:rsidRPr="00317ABF" w:rsidRDefault="001E1112" w:rsidP="00DB3BEC">
            <w:pPr>
              <w:pStyle w:val="Tekstpodstawowy"/>
              <w:rPr>
                <w:b/>
                <w:bCs/>
                <w:noProof/>
                <w:sz w:val="22"/>
                <w:szCs w:val="22"/>
              </w:rPr>
            </w:pPr>
            <w:r w:rsidRPr="00317ABF">
              <w:rPr>
                <w:b/>
                <w:bCs/>
                <w:noProof/>
                <w:sz w:val="22"/>
                <w:szCs w:val="22"/>
              </w:rPr>
              <w:t xml:space="preserve">Art. </w:t>
            </w:r>
            <w:r w:rsidR="00806983" w:rsidRPr="00317ABF">
              <w:rPr>
                <w:b/>
                <w:bCs/>
                <w:noProof/>
                <w:sz w:val="22"/>
                <w:szCs w:val="22"/>
              </w:rPr>
              <w:t>407</w:t>
            </w:r>
            <w:r w:rsidRPr="00317ABF">
              <w:rPr>
                <w:b/>
                <w:bCs/>
                <w:noProof/>
                <w:sz w:val="22"/>
                <w:szCs w:val="22"/>
              </w:rPr>
              <w:t xml:space="preserve"> ust. 2</w:t>
            </w:r>
          </w:p>
        </w:tc>
        <w:tc>
          <w:tcPr>
            <w:tcW w:w="6814" w:type="dxa"/>
            <w:gridSpan w:val="2"/>
          </w:tcPr>
          <w:p w14:paraId="53B1A29C" w14:textId="2B1F3F14" w:rsidR="001E1112" w:rsidRPr="00317ABF" w:rsidRDefault="001E1112" w:rsidP="00DB3BEC">
            <w:pPr>
              <w:jc w:val="both"/>
              <w:rPr>
                <w:sz w:val="22"/>
                <w:szCs w:val="22"/>
              </w:rPr>
            </w:pPr>
            <w:r w:rsidRPr="00317ABF">
              <w:rPr>
                <w:sz w:val="22"/>
                <w:szCs w:val="22"/>
              </w:rPr>
              <w:t xml:space="preserve">Art. </w:t>
            </w:r>
            <w:r w:rsidR="00806983" w:rsidRPr="00317ABF">
              <w:rPr>
                <w:sz w:val="22"/>
                <w:szCs w:val="22"/>
              </w:rPr>
              <w:t>407</w:t>
            </w:r>
            <w:r w:rsidRPr="00317ABF">
              <w:rPr>
                <w:sz w:val="22"/>
                <w:szCs w:val="22"/>
              </w:rPr>
              <w:t xml:space="preserve"> ust. 2</w:t>
            </w:r>
          </w:p>
          <w:p w14:paraId="108CE211" w14:textId="7F7B430B" w:rsidR="001E1112" w:rsidRPr="00317ABF" w:rsidRDefault="001E1112" w:rsidP="00DB3BEC">
            <w:pPr>
              <w:ind w:firstLine="510"/>
              <w:jc w:val="both"/>
              <w:rPr>
                <w:sz w:val="22"/>
                <w:szCs w:val="22"/>
              </w:rPr>
            </w:pPr>
            <w:r w:rsidRPr="00317ABF">
              <w:rPr>
                <w:sz w:val="22"/>
                <w:szCs w:val="22"/>
              </w:rPr>
              <w:t>2. Organy właściwe w sprawach telekomunikacji prowadzą politykę regulacyjną, mając na celu w szczególności:</w:t>
            </w:r>
          </w:p>
          <w:p w14:paraId="6CA7BB2C" w14:textId="465EF8BD" w:rsidR="001E1112" w:rsidRPr="00317ABF" w:rsidRDefault="001E1112" w:rsidP="00DB3BEC">
            <w:pPr>
              <w:ind w:firstLine="510"/>
              <w:jc w:val="both"/>
              <w:rPr>
                <w:sz w:val="22"/>
                <w:szCs w:val="22"/>
              </w:rPr>
            </w:pPr>
            <w:r w:rsidRPr="00317ABF">
              <w:rPr>
                <w:sz w:val="22"/>
                <w:szCs w:val="22"/>
              </w:rPr>
              <w:t>(…)</w:t>
            </w:r>
          </w:p>
          <w:p w14:paraId="2EA75E83" w14:textId="4FA27070" w:rsidR="001E1112" w:rsidRPr="00317ABF" w:rsidRDefault="001E1112" w:rsidP="00DB3BEC">
            <w:pPr>
              <w:jc w:val="both"/>
              <w:rPr>
                <w:sz w:val="22"/>
                <w:szCs w:val="22"/>
              </w:rPr>
            </w:pPr>
          </w:p>
        </w:tc>
      </w:tr>
      <w:tr w:rsidR="001E1112" w:rsidRPr="00317ABF" w14:paraId="4A4056DD" w14:textId="77777777" w:rsidTr="7753F98D">
        <w:trPr>
          <w:gridAfter w:val="2"/>
          <w:wAfter w:w="175" w:type="dxa"/>
        </w:trPr>
        <w:tc>
          <w:tcPr>
            <w:tcW w:w="704" w:type="dxa"/>
          </w:tcPr>
          <w:p w14:paraId="6D774FF4" w14:textId="77777777" w:rsidR="001E1112" w:rsidRPr="00317ABF" w:rsidRDefault="001E1112" w:rsidP="00DB3BEC">
            <w:pPr>
              <w:jc w:val="both"/>
              <w:rPr>
                <w:sz w:val="22"/>
                <w:szCs w:val="22"/>
              </w:rPr>
            </w:pPr>
            <w:r w:rsidRPr="00317ABF">
              <w:rPr>
                <w:sz w:val="22"/>
                <w:szCs w:val="22"/>
              </w:rPr>
              <w:lastRenderedPageBreak/>
              <w:t>Art. 32 ust. 2</w:t>
            </w:r>
          </w:p>
        </w:tc>
        <w:tc>
          <w:tcPr>
            <w:tcW w:w="4308" w:type="dxa"/>
          </w:tcPr>
          <w:p w14:paraId="363C1182" w14:textId="77777777" w:rsidR="001E1112" w:rsidRPr="00317ABF" w:rsidRDefault="001E1112" w:rsidP="00DB3BEC">
            <w:pPr>
              <w:spacing w:before="120"/>
              <w:jc w:val="both"/>
              <w:rPr>
                <w:sz w:val="22"/>
                <w:szCs w:val="22"/>
              </w:rPr>
            </w:pPr>
            <w:r w:rsidRPr="00317ABF">
              <w:rPr>
                <w:sz w:val="22"/>
                <w:szCs w:val="22"/>
              </w:rPr>
              <w:t>2.   Krajowe organy regulacyjne przyczyniają się do rozwoju rynku wewnętrznego poprzez przejrzystą współpracę między sobą, z Komisją i z BEREC, tak aby zapewnić jednolite stosowanie niniejszej dyrektywy we wszystkich państwach członkowskich. W tym celu krajowe organy regulacyjne w szczególności współpracują z Komisją i BEREC przy określaniu rodzajów instrumentów i środków naprawczych najodpowiedniejszych do zastosowania w określonych sytuacjach rynkowych.</w:t>
            </w:r>
          </w:p>
        </w:tc>
        <w:tc>
          <w:tcPr>
            <w:tcW w:w="986" w:type="dxa"/>
          </w:tcPr>
          <w:p w14:paraId="4AC4FE2F" w14:textId="2EBAE13A" w:rsidR="001E1112" w:rsidRPr="00317ABF" w:rsidRDefault="001E1112" w:rsidP="00DB3BEC">
            <w:pPr>
              <w:jc w:val="both"/>
              <w:rPr>
                <w:sz w:val="22"/>
                <w:szCs w:val="22"/>
              </w:rPr>
            </w:pPr>
            <w:r w:rsidRPr="00317ABF">
              <w:rPr>
                <w:sz w:val="22"/>
                <w:szCs w:val="22"/>
              </w:rPr>
              <w:t>N</w:t>
            </w:r>
          </w:p>
        </w:tc>
        <w:tc>
          <w:tcPr>
            <w:tcW w:w="910" w:type="dxa"/>
          </w:tcPr>
          <w:p w14:paraId="5B09ED56" w14:textId="77777777" w:rsidR="001E1112" w:rsidRPr="00317ABF" w:rsidRDefault="001E1112" w:rsidP="00DB3BEC">
            <w:pPr>
              <w:pStyle w:val="Tekstpodstawowy"/>
              <w:rPr>
                <w:b/>
                <w:noProof/>
                <w:sz w:val="22"/>
                <w:szCs w:val="22"/>
              </w:rPr>
            </w:pPr>
          </w:p>
        </w:tc>
        <w:tc>
          <w:tcPr>
            <w:tcW w:w="6814" w:type="dxa"/>
            <w:gridSpan w:val="2"/>
          </w:tcPr>
          <w:p w14:paraId="5812E170" w14:textId="7E207A4D" w:rsidR="001E1112" w:rsidRPr="00317ABF" w:rsidRDefault="001E1112" w:rsidP="00DB3BEC">
            <w:pPr>
              <w:jc w:val="both"/>
              <w:rPr>
                <w:sz w:val="22"/>
                <w:szCs w:val="22"/>
              </w:rPr>
            </w:pPr>
            <w:r w:rsidRPr="00317ABF">
              <w:rPr>
                <w:b/>
                <w:bCs/>
                <w:sz w:val="22"/>
                <w:szCs w:val="22"/>
              </w:rPr>
              <w:t>Jest to przepis ogólny, skierowany do wszystkich NRA</w:t>
            </w:r>
          </w:p>
        </w:tc>
      </w:tr>
      <w:tr w:rsidR="001E1112" w:rsidRPr="00317ABF" w14:paraId="0407E423" w14:textId="77777777" w:rsidTr="7753F98D">
        <w:trPr>
          <w:gridAfter w:val="2"/>
          <w:wAfter w:w="175" w:type="dxa"/>
        </w:trPr>
        <w:tc>
          <w:tcPr>
            <w:tcW w:w="704" w:type="dxa"/>
          </w:tcPr>
          <w:p w14:paraId="325FA76B" w14:textId="77777777" w:rsidR="001E1112" w:rsidRPr="00317ABF" w:rsidRDefault="001E1112" w:rsidP="00DB3BEC">
            <w:pPr>
              <w:jc w:val="both"/>
              <w:rPr>
                <w:sz w:val="22"/>
                <w:szCs w:val="22"/>
              </w:rPr>
            </w:pPr>
            <w:r w:rsidRPr="00317ABF">
              <w:rPr>
                <w:sz w:val="22"/>
                <w:szCs w:val="22"/>
              </w:rPr>
              <w:t>Art. 32 ust. 3</w:t>
            </w:r>
          </w:p>
        </w:tc>
        <w:tc>
          <w:tcPr>
            <w:tcW w:w="4308" w:type="dxa"/>
          </w:tcPr>
          <w:p w14:paraId="5036CF1E" w14:textId="77777777" w:rsidR="001E1112" w:rsidRPr="00317ABF" w:rsidRDefault="001E1112" w:rsidP="00DB3BEC">
            <w:pPr>
              <w:spacing w:before="120"/>
              <w:jc w:val="both"/>
              <w:rPr>
                <w:sz w:val="22"/>
                <w:szCs w:val="22"/>
              </w:rPr>
            </w:pPr>
            <w:r w:rsidRPr="00317ABF">
              <w:rPr>
                <w:sz w:val="22"/>
                <w:szCs w:val="22"/>
              </w:rPr>
              <w:t>3.   O ile zalecenia lub wytyczne przyjęte zgodnie z art. 34 nie stanowią inaczej, po zakończeniu konsultacji publicznych, jeżeli są wymagane, na podstawie art. 23, jeśli krajowy organ regulacyjny zamierza podjąć środek, który:</w:t>
            </w:r>
          </w:p>
          <w:tbl>
            <w:tblPr>
              <w:tblW w:w="5000" w:type="pct"/>
              <w:tblCellSpacing w:w="0" w:type="dxa"/>
              <w:tblLayout w:type="fixed"/>
              <w:tblCellMar>
                <w:left w:w="0" w:type="dxa"/>
                <w:right w:w="0" w:type="dxa"/>
              </w:tblCellMar>
              <w:tblLook w:val="04A0" w:firstRow="1" w:lastRow="0" w:firstColumn="1" w:lastColumn="0" w:noHBand="0" w:noVBand="1"/>
            </w:tblPr>
            <w:tblGrid>
              <w:gridCol w:w="20"/>
              <w:gridCol w:w="4148"/>
            </w:tblGrid>
            <w:tr w:rsidR="001E1112" w:rsidRPr="00317ABF" w14:paraId="5355BD9A" w14:textId="77777777" w:rsidTr="00345B65">
              <w:trPr>
                <w:tblCellSpacing w:w="0" w:type="dxa"/>
              </w:trPr>
              <w:tc>
                <w:tcPr>
                  <w:tcW w:w="9" w:type="dxa"/>
                  <w:hideMark/>
                </w:tcPr>
                <w:p w14:paraId="278AFD40" w14:textId="77777777" w:rsidR="001E1112" w:rsidRPr="00317ABF" w:rsidRDefault="001E1112" w:rsidP="00EE0AC3">
                  <w:pPr>
                    <w:framePr w:hSpace="141" w:wrap="around" w:vAnchor="text" w:hAnchor="text" w:xAlign="right" w:y="1"/>
                    <w:spacing w:before="120"/>
                    <w:suppressOverlap/>
                    <w:jc w:val="both"/>
                    <w:rPr>
                      <w:sz w:val="22"/>
                      <w:szCs w:val="22"/>
                    </w:rPr>
                  </w:pPr>
                </w:p>
              </w:tc>
              <w:tc>
                <w:tcPr>
                  <w:tcW w:w="9063" w:type="dxa"/>
                  <w:hideMark/>
                </w:tcPr>
                <w:p w14:paraId="26C79068" w14:textId="77777777" w:rsidR="001E1112" w:rsidRPr="00317ABF" w:rsidRDefault="001E1112" w:rsidP="00EE0AC3">
                  <w:pPr>
                    <w:framePr w:hSpace="141" w:wrap="around" w:vAnchor="text" w:hAnchor="text" w:xAlign="right" w:y="1"/>
                    <w:numPr>
                      <w:ilvl w:val="0"/>
                      <w:numId w:val="16"/>
                    </w:numPr>
                    <w:spacing w:before="120"/>
                    <w:suppressOverlap/>
                    <w:jc w:val="both"/>
                    <w:rPr>
                      <w:sz w:val="22"/>
                      <w:szCs w:val="22"/>
                    </w:rPr>
                  </w:pPr>
                  <w:r w:rsidRPr="00317ABF">
                    <w:rPr>
                      <w:sz w:val="22"/>
                      <w:szCs w:val="22"/>
                    </w:rPr>
                    <w:t>jest objęty zakresem stosowania art. 61, 64, 67, 68 lub 83; oraz</w:t>
                  </w:r>
                </w:p>
              </w:tc>
            </w:tr>
          </w:tbl>
          <w:p w14:paraId="29DB5971" w14:textId="77777777" w:rsidR="001E1112" w:rsidRPr="00317ABF" w:rsidRDefault="001E1112" w:rsidP="00DB3BEC">
            <w:pPr>
              <w:jc w:val="both"/>
              <w:rPr>
                <w:vanish/>
                <w:sz w:val="22"/>
                <w:szCs w:val="22"/>
              </w:rPr>
            </w:pPr>
          </w:p>
          <w:tbl>
            <w:tblPr>
              <w:tblW w:w="5000" w:type="pct"/>
              <w:tblCellSpacing w:w="0" w:type="dxa"/>
              <w:tblLayout w:type="fixed"/>
              <w:tblCellMar>
                <w:left w:w="0" w:type="dxa"/>
                <w:right w:w="0" w:type="dxa"/>
              </w:tblCellMar>
              <w:tblLook w:val="04A0" w:firstRow="1" w:lastRow="0" w:firstColumn="1" w:lastColumn="0" w:noHBand="0" w:noVBand="1"/>
            </w:tblPr>
            <w:tblGrid>
              <w:gridCol w:w="20"/>
              <w:gridCol w:w="4148"/>
            </w:tblGrid>
            <w:tr w:rsidR="001E1112" w:rsidRPr="00317ABF" w14:paraId="3E6243E8" w14:textId="77777777" w:rsidTr="00345B65">
              <w:trPr>
                <w:tblCellSpacing w:w="0" w:type="dxa"/>
              </w:trPr>
              <w:tc>
                <w:tcPr>
                  <w:tcW w:w="7" w:type="dxa"/>
                  <w:hideMark/>
                </w:tcPr>
                <w:p w14:paraId="70F35735" w14:textId="77777777" w:rsidR="001E1112" w:rsidRPr="00317ABF" w:rsidRDefault="001E1112" w:rsidP="00EE0AC3">
                  <w:pPr>
                    <w:framePr w:hSpace="141" w:wrap="around" w:vAnchor="text" w:hAnchor="text" w:xAlign="right" w:y="1"/>
                    <w:spacing w:before="120"/>
                    <w:suppressOverlap/>
                    <w:jc w:val="both"/>
                    <w:rPr>
                      <w:sz w:val="22"/>
                      <w:szCs w:val="22"/>
                    </w:rPr>
                  </w:pPr>
                </w:p>
              </w:tc>
              <w:tc>
                <w:tcPr>
                  <w:tcW w:w="9065" w:type="dxa"/>
                  <w:hideMark/>
                </w:tcPr>
                <w:p w14:paraId="524F2C61" w14:textId="77777777" w:rsidR="001E1112" w:rsidRPr="00317ABF" w:rsidRDefault="001E1112" w:rsidP="00EE0AC3">
                  <w:pPr>
                    <w:framePr w:hSpace="141" w:wrap="around" w:vAnchor="text" w:hAnchor="text" w:xAlign="right" w:y="1"/>
                    <w:numPr>
                      <w:ilvl w:val="0"/>
                      <w:numId w:val="16"/>
                    </w:numPr>
                    <w:spacing w:before="120"/>
                    <w:suppressOverlap/>
                    <w:jc w:val="both"/>
                    <w:rPr>
                      <w:sz w:val="22"/>
                      <w:szCs w:val="22"/>
                    </w:rPr>
                  </w:pPr>
                  <w:r w:rsidRPr="00317ABF">
                    <w:rPr>
                      <w:sz w:val="22"/>
                      <w:szCs w:val="22"/>
                    </w:rPr>
                    <w:t>może oddziaływać na wymianę handlową pomiędzy państwami członkowskimi;</w:t>
                  </w:r>
                </w:p>
              </w:tc>
            </w:tr>
          </w:tbl>
          <w:p w14:paraId="18323248" w14:textId="77777777" w:rsidR="001E1112" w:rsidRPr="00317ABF" w:rsidRDefault="001E1112" w:rsidP="00DB3BEC">
            <w:pPr>
              <w:spacing w:before="120"/>
              <w:jc w:val="both"/>
              <w:rPr>
                <w:sz w:val="22"/>
                <w:szCs w:val="22"/>
              </w:rPr>
            </w:pPr>
            <w:r w:rsidRPr="00317ABF">
              <w:rPr>
                <w:sz w:val="22"/>
                <w:szCs w:val="22"/>
              </w:rPr>
              <w:t>publikuje on projektowany środek i informuje o nim jednocześnie Komisję, BEREC i krajowe organy regulacyjne w innych państwach członkowskich, podając uzasadnieni tego środka, zgodnie z art. 20 ust. 3. Krajowe organy regulacyjne, BEREC i Komisja mogą przedstawić swoje uwagi dotyczące planowanego środka w terminie jednego miesiąca. Termin jednomiesięczny nie może zostać przedłużony.</w:t>
            </w:r>
          </w:p>
        </w:tc>
        <w:tc>
          <w:tcPr>
            <w:tcW w:w="986" w:type="dxa"/>
          </w:tcPr>
          <w:p w14:paraId="5D255343" w14:textId="29ABB026" w:rsidR="001E1112" w:rsidRPr="00317ABF" w:rsidRDefault="001E1112" w:rsidP="00DB3BEC">
            <w:pPr>
              <w:jc w:val="both"/>
              <w:rPr>
                <w:sz w:val="22"/>
                <w:szCs w:val="22"/>
              </w:rPr>
            </w:pPr>
            <w:r w:rsidRPr="00317ABF">
              <w:rPr>
                <w:sz w:val="22"/>
                <w:szCs w:val="22"/>
              </w:rPr>
              <w:t>T</w:t>
            </w:r>
          </w:p>
        </w:tc>
        <w:tc>
          <w:tcPr>
            <w:tcW w:w="910" w:type="dxa"/>
          </w:tcPr>
          <w:p w14:paraId="552C276D" w14:textId="6009BD4D" w:rsidR="001E1112" w:rsidRPr="00317ABF" w:rsidRDefault="001E1112" w:rsidP="00DB3BEC">
            <w:pPr>
              <w:pStyle w:val="Tekstpodstawowy"/>
              <w:rPr>
                <w:b/>
                <w:noProof/>
                <w:sz w:val="22"/>
                <w:szCs w:val="22"/>
              </w:rPr>
            </w:pPr>
            <w:r w:rsidRPr="00317ABF">
              <w:rPr>
                <w:b/>
                <w:bCs/>
                <w:noProof/>
                <w:sz w:val="22"/>
                <w:szCs w:val="22"/>
              </w:rPr>
              <w:t xml:space="preserve">Art. 35, </w:t>
            </w:r>
            <w:r w:rsidR="00DB3BEC" w:rsidRPr="00317ABF">
              <w:rPr>
                <w:b/>
                <w:bCs/>
                <w:noProof/>
                <w:sz w:val="22"/>
                <w:szCs w:val="22"/>
              </w:rPr>
              <w:t xml:space="preserve">Art. </w:t>
            </w:r>
            <w:r w:rsidRPr="00317ABF">
              <w:rPr>
                <w:b/>
                <w:bCs/>
                <w:noProof/>
                <w:sz w:val="22"/>
                <w:szCs w:val="22"/>
              </w:rPr>
              <w:t>36 ust. 1</w:t>
            </w:r>
          </w:p>
        </w:tc>
        <w:tc>
          <w:tcPr>
            <w:tcW w:w="6814" w:type="dxa"/>
            <w:gridSpan w:val="2"/>
          </w:tcPr>
          <w:p w14:paraId="56E8EA97" w14:textId="77777777" w:rsidR="001E1112" w:rsidRPr="00317ABF" w:rsidRDefault="001E1112" w:rsidP="00DB3BEC">
            <w:pPr>
              <w:ind w:firstLine="510"/>
              <w:jc w:val="both"/>
              <w:rPr>
                <w:sz w:val="22"/>
                <w:szCs w:val="22"/>
              </w:rPr>
            </w:pPr>
            <w:r w:rsidRPr="00317ABF">
              <w:rPr>
                <w:b/>
                <w:sz w:val="22"/>
                <w:szCs w:val="22"/>
              </w:rPr>
              <w:t>Art. 35</w:t>
            </w:r>
            <w:r w:rsidRPr="00317ABF">
              <w:rPr>
                <w:sz w:val="22"/>
                <w:szCs w:val="22"/>
              </w:rPr>
              <w:t xml:space="preserve">. 1. Jeżeli rozstrzygnięcia, o których mowa w art. </w:t>
            </w:r>
            <w:r w:rsidR="00806983" w:rsidRPr="00317ABF">
              <w:rPr>
                <w:sz w:val="22"/>
                <w:szCs w:val="22"/>
              </w:rPr>
              <w:t>30 pkt 1-13</w:t>
            </w:r>
            <w:r w:rsidRPr="00317ABF">
              <w:rPr>
                <w:sz w:val="22"/>
                <w:szCs w:val="22"/>
              </w:rPr>
              <w:t>, mogą mieć wpływ na stosunki handlowe między państwami członkowskimi, Prezes UKE, niezwłocznie po zakończeniu postępowania konsultacyjnego i rozpatrzeniu stanowisk uczestników tego postępowania, rozpoczyna postępowanie konsolidacyjne, przesyłając Komisji Europejskiej, BEREC, i organom regulacyjnym innych państw członkowskich projekty rozstrzygnięć wraz z ich uzasadnieniem.</w:t>
            </w:r>
          </w:p>
          <w:p w14:paraId="62EEAEE4" w14:textId="77777777" w:rsidR="001E1112" w:rsidRPr="00317ABF" w:rsidRDefault="001E1112" w:rsidP="00DB3BEC">
            <w:pPr>
              <w:ind w:firstLine="510"/>
              <w:jc w:val="both"/>
              <w:rPr>
                <w:sz w:val="22"/>
                <w:szCs w:val="22"/>
              </w:rPr>
            </w:pPr>
            <w:r w:rsidRPr="00317ABF">
              <w:rPr>
                <w:sz w:val="22"/>
                <w:szCs w:val="22"/>
              </w:rPr>
              <w:t xml:space="preserve">2. Jednocześnie z czynnościami, o których mowa w ust. 1, Prezes UKE udostępnia na stronie podmiotowej BIP UKE dokumenty przekazane Komisji Europejskiej </w:t>
            </w:r>
            <w:r w:rsidR="00806983" w:rsidRPr="00317ABF">
              <w:rPr>
                <w:sz w:val="22"/>
                <w:szCs w:val="22"/>
              </w:rPr>
              <w:t>a następnie udostępnia</w:t>
            </w:r>
            <w:r w:rsidRPr="00317ABF">
              <w:rPr>
                <w:sz w:val="22"/>
                <w:szCs w:val="22"/>
              </w:rPr>
              <w:t xml:space="preserve"> otrzymane w tej sprawie opinie i decyzje</w:t>
            </w:r>
            <w:r w:rsidR="00806983" w:rsidRPr="00317ABF">
              <w:rPr>
                <w:sz w:val="22"/>
                <w:szCs w:val="22"/>
              </w:rPr>
              <w:t xml:space="preserve"> Komisji Europejskiej. Udostępnieniu nie podlegają informacje stanowiące tajemnice prawnie chronione. </w:t>
            </w:r>
          </w:p>
          <w:p w14:paraId="7D95D3CA" w14:textId="7D5A665C" w:rsidR="001E1112" w:rsidRPr="00317ABF" w:rsidRDefault="001E1112" w:rsidP="00DB3BEC">
            <w:pPr>
              <w:ind w:firstLine="510"/>
              <w:jc w:val="both"/>
              <w:rPr>
                <w:sz w:val="22"/>
                <w:szCs w:val="22"/>
              </w:rPr>
            </w:pPr>
          </w:p>
          <w:p w14:paraId="1F8AFB83" w14:textId="0DC00675" w:rsidR="001E1112" w:rsidRPr="00317ABF" w:rsidRDefault="001E1112" w:rsidP="00DB3BEC">
            <w:pPr>
              <w:jc w:val="both"/>
              <w:rPr>
                <w:sz w:val="22"/>
                <w:szCs w:val="22"/>
              </w:rPr>
            </w:pPr>
            <w:r w:rsidRPr="00317ABF">
              <w:rPr>
                <w:b/>
                <w:sz w:val="22"/>
                <w:szCs w:val="22"/>
              </w:rPr>
              <w:t>Art. 36.</w:t>
            </w:r>
            <w:r w:rsidRPr="00317ABF">
              <w:rPr>
                <w:sz w:val="22"/>
                <w:szCs w:val="22"/>
              </w:rPr>
              <w:t xml:space="preserve"> 1. Prezes UKE przyjmuje rozstrzygnięcie, uwzględniając w możliwie najszerszym zakresie, przedstawione w terminie jednego miesiąca od dnia otrzymania projektu rozstrzygnięcia, opinie Komisji Europejskiej, BEREC lub organu regulacyjnego innego państwa. O przyjęciu rozstrzygnięcia Prezes UKE zawiadamia Komisję Europejską.</w:t>
            </w:r>
          </w:p>
        </w:tc>
      </w:tr>
      <w:tr w:rsidR="001E1112" w:rsidRPr="00317ABF" w14:paraId="2D2393F7" w14:textId="77777777" w:rsidTr="7753F98D">
        <w:trPr>
          <w:gridAfter w:val="2"/>
          <w:wAfter w:w="175" w:type="dxa"/>
        </w:trPr>
        <w:tc>
          <w:tcPr>
            <w:tcW w:w="704" w:type="dxa"/>
          </w:tcPr>
          <w:p w14:paraId="1A4AAD30" w14:textId="77777777" w:rsidR="001E1112" w:rsidRPr="00317ABF" w:rsidRDefault="001E1112" w:rsidP="00DB3BEC">
            <w:pPr>
              <w:jc w:val="both"/>
              <w:rPr>
                <w:sz w:val="22"/>
                <w:szCs w:val="22"/>
              </w:rPr>
            </w:pPr>
            <w:r w:rsidRPr="00317ABF">
              <w:rPr>
                <w:sz w:val="22"/>
                <w:szCs w:val="22"/>
              </w:rPr>
              <w:lastRenderedPageBreak/>
              <w:t>Art. 32 ust. 4</w:t>
            </w:r>
          </w:p>
        </w:tc>
        <w:tc>
          <w:tcPr>
            <w:tcW w:w="4308" w:type="dxa"/>
          </w:tcPr>
          <w:p w14:paraId="5E63D9B9" w14:textId="77777777" w:rsidR="001E1112" w:rsidRPr="00317ABF" w:rsidRDefault="001E1112" w:rsidP="00DB3BEC">
            <w:pPr>
              <w:spacing w:before="120"/>
              <w:jc w:val="both"/>
              <w:rPr>
                <w:sz w:val="22"/>
                <w:szCs w:val="22"/>
              </w:rPr>
            </w:pPr>
            <w:r w:rsidRPr="00317ABF">
              <w:rPr>
                <w:sz w:val="22"/>
                <w:szCs w:val="22"/>
              </w:rPr>
              <w:t>4.   Projektowany środek, o którym mowa w ust. 3 niniejszego artykułu, nie może zostać przyjęty przez kolejne dwa miesiące, w przypadku gdy celem tego środka jest:</w:t>
            </w:r>
          </w:p>
          <w:tbl>
            <w:tblPr>
              <w:tblW w:w="5000" w:type="pct"/>
              <w:tblCellSpacing w:w="0" w:type="dxa"/>
              <w:tblLayout w:type="fixed"/>
              <w:tblCellMar>
                <w:left w:w="0" w:type="dxa"/>
                <w:right w:w="0" w:type="dxa"/>
              </w:tblCellMar>
              <w:tblLook w:val="04A0" w:firstRow="1" w:lastRow="0" w:firstColumn="1" w:lastColumn="0" w:noHBand="0" w:noVBand="1"/>
            </w:tblPr>
            <w:tblGrid>
              <w:gridCol w:w="20"/>
              <w:gridCol w:w="4148"/>
            </w:tblGrid>
            <w:tr w:rsidR="001E1112" w:rsidRPr="00317ABF" w14:paraId="17089FD4" w14:textId="77777777" w:rsidTr="00345B65">
              <w:trPr>
                <w:tblCellSpacing w:w="0" w:type="dxa"/>
              </w:trPr>
              <w:tc>
                <w:tcPr>
                  <w:tcW w:w="6" w:type="dxa"/>
                  <w:hideMark/>
                </w:tcPr>
                <w:p w14:paraId="68342FE7" w14:textId="77777777" w:rsidR="001E1112" w:rsidRPr="00317ABF" w:rsidRDefault="001E1112" w:rsidP="00EE0AC3">
                  <w:pPr>
                    <w:framePr w:hSpace="141" w:wrap="around" w:vAnchor="text" w:hAnchor="text" w:xAlign="right" w:y="1"/>
                    <w:spacing w:before="120"/>
                    <w:suppressOverlap/>
                    <w:jc w:val="both"/>
                    <w:rPr>
                      <w:sz w:val="22"/>
                      <w:szCs w:val="22"/>
                    </w:rPr>
                  </w:pPr>
                </w:p>
              </w:tc>
              <w:tc>
                <w:tcPr>
                  <w:tcW w:w="9066" w:type="dxa"/>
                  <w:hideMark/>
                </w:tcPr>
                <w:p w14:paraId="5AFBF95E" w14:textId="77777777" w:rsidR="001E1112" w:rsidRPr="00317ABF" w:rsidRDefault="001E1112" w:rsidP="00EE0AC3">
                  <w:pPr>
                    <w:framePr w:hSpace="141" w:wrap="around" w:vAnchor="text" w:hAnchor="text" w:xAlign="right" w:y="1"/>
                    <w:numPr>
                      <w:ilvl w:val="0"/>
                      <w:numId w:val="17"/>
                    </w:numPr>
                    <w:spacing w:before="120"/>
                    <w:suppressOverlap/>
                    <w:jc w:val="both"/>
                    <w:rPr>
                      <w:sz w:val="22"/>
                      <w:szCs w:val="22"/>
                    </w:rPr>
                  </w:pPr>
                  <w:r w:rsidRPr="00317ABF">
                    <w:rPr>
                      <w:sz w:val="22"/>
                      <w:szCs w:val="22"/>
                    </w:rPr>
                    <w:t>zdefiniowanie rynku właściwego różnego od tych, które zdefiniowano w zaleceniu, o którym mowa w art. 64 ust. 1; lub</w:t>
                  </w:r>
                </w:p>
              </w:tc>
            </w:tr>
          </w:tbl>
          <w:p w14:paraId="40776332" w14:textId="77777777" w:rsidR="001E1112" w:rsidRPr="00317ABF" w:rsidRDefault="001E1112" w:rsidP="00DB3BEC">
            <w:pPr>
              <w:jc w:val="both"/>
              <w:rPr>
                <w:vanish/>
                <w:sz w:val="22"/>
                <w:szCs w:val="22"/>
              </w:rPr>
            </w:pPr>
          </w:p>
          <w:tbl>
            <w:tblPr>
              <w:tblW w:w="5000" w:type="pct"/>
              <w:tblCellSpacing w:w="0" w:type="dxa"/>
              <w:tblLayout w:type="fixed"/>
              <w:tblCellMar>
                <w:left w:w="0" w:type="dxa"/>
                <w:right w:w="0" w:type="dxa"/>
              </w:tblCellMar>
              <w:tblLook w:val="04A0" w:firstRow="1" w:lastRow="0" w:firstColumn="1" w:lastColumn="0" w:noHBand="0" w:noVBand="1"/>
            </w:tblPr>
            <w:tblGrid>
              <w:gridCol w:w="20"/>
              <w:gridCol w:w="4148"/>
            </w:tblGrid>
            <w:tr w:rsidR="001E1112" w:rsidRPr="00317ABF" w14:paraId="1DD2BC22" w14:textId="77777777" w:rsidTr="00345B65">
              <w:trPr>
                <w:tblCellSpacing w:w="0" w:type="dxa"/>
              </w:trPr>
              <w:tc>
                <w:tcPr>
                  <w:tcW w:w="6" w:type="dxa"/>
                  <w:hideMark/>
                </w:tcPr>
                <w:p w14:paraId="107E9FD5" w14:textId="77777777" w:rsidR="001E1112" w:rsidRPr="00317ABF" w:rsidRDefault="001E1112" w:rsidP="00EE0AC3">
                  <w:pPr>
                    <w:framePr w:hSpace="141" w:wrap="around" w:vAnchor="text" w:hAnchor="text" w:xAlign="right" w:y="1"/>
                    <w:spacing w:before="120"/>
                    <w:suppressOverlap/>
                    <w:jc w:val="both"/>
                    <w:rPr>
                      <w:sz w:val="22"/>
                      <w:szCs w:val="22"/>
                    </w:rPr>
                  </w:pPr>
                </w:p>
              </w:tc>
              <w:tc>
                <w:tcPr>
                  <w:tcW w:w="9066" w:type="dxa"/>
                  <w:hideMark/>
                </w:tcPr>
                <w:p w14:paraId="5DB0D434" w14:textId="77777777" w:rsidR="001E1112" w:rsidRPr="00317ABF" w:rsidRDefault="001E1112" w:rsidP="00EE0AC3">
                  <w:pPr>
                    <w:framePr w:hSpace="141" w:wrap="around" w:vAnchor="text" w:hAnchor="text" w:xAlign="right" w:y="1"/>
                    <w:numPr>
                      <w:ilvl w:val="0"/>
                      <w:numId w:val="17"/>
                    </w:numPr>
                    <w:spacing w:before="120"/>
                    <w:suppressOverlap/>
                    <w:jc w:val="both"/>
                    <w:rPr>
                      <w:sz w:val="22"/>
                      <w:szCs w:val="22"/>
                    </w:rPr>
                  </w:pPr>
                  <w:r w:rsidRPr="00317ABF">
                    <w:rPr>
                      <w:sz w:val="22"/>
                      <w:szCs w:val="22"/>
                    </w:rPr>
                    <w:t>wyznaczenie przedsiębiorstwa jako posiadającego, samodzielnie albo łącznie z innymi, znaczącą pozycję rynkową, zgodnie z art. 67 ust. 3 lub 4;</w:t>
                  </w:r>
                </w:p>
              </w:tc>
            </w:tr>
          </w:tbl>
          <w:p w14:paraId="055D8631" w14:textId="77777777" w:rsidR="001E1112" w:rsidRPr="00317ABF" w:rsidRDefault="001E1112" w:rsidP="00DB3BEC">
            <w:pPr>
              <w:jc w:val="both"/>
              <w:rPr>
                <w:sz w:val="22"/>
                <w:szCs w:val="22"/>
              </w:rPr>
            </w:pPr>
            <w:r w:rsidRPr="00317ABF">
              <w:rPr>
                <w:sz w:val="22"/>
                <w:szCs w:val="22"/>
              </w:rPr>
              <w:t>oraz środek ten oddziaływałby na wymianę handlową pomiędzy państwami członkowskimi, a Komisja poinformowała krajowy organ regulacyjny o swojej opinii, zgodnie z którą projektowany środek stanowiłby przeszkodę w funkcjonowaniu rynku wewnętrznego, lub o swoich poważnych wątpliwościach co do zgodności tego środka z przepisami prawa Unii, a w szczególności z celami, o których mowa w art. 3. Ten dwumiesięczny termin nie może zostać przedłużony. W takim przypadku Komisja informuje BEREC i krajowe organy regulacyjne o swoich zastrzeżeniach i jednocześnie publikuje je.</w:t>
            </w:r>
          </w:p>
        </w:tc>
        <w:tc>
          <w:tcPr>
            <w:tcW w:w="986" w:type="dxa"/>
          </w:tcPr>
          <w:p w14:paraId="564A82CB" w14:textId="64271700" w:rsidR="001E1112" w:rsidRPr="00317ABF" w:rsidRDefault="001E1112" w:rsidP="00DB3BEC">
            <w:pPr>
              <w:jc w:val="both"/>
              <w:rPr>
                <w:sz w:val="22"/>
                <w:szCs w:val="22"/>
              </w:rPr>
            </w:pPr>
            <w:r w:rsidRPr="00317ABF">
              <w:rPr>
                <w:sz w:val="22"/>
                <w:szCs w:val="22"/>
              </w:rPr>
              <w:t>T</w:t>
            </w:r>
          </w:p>
        </w:tc>
        <w:tc>
          <w:tcPr>
            <w:tcW w:w="910" w:type="dxa"/>
          </w:tcPr>
          <w:p w14:paraId="3CE28D4A" w14:textId="2E32EA5D" w:rsidR="001E1112" w:rsidRPr="00317ABF" w:rsidRDefault="00DB3BEC" w:rsidP="00DB3BEC">
            <w:pPr>
              <w:pStyle w:val="Tekstpodstawowy"/>
              <w:rPr>
                <w:b/>
                <w:noProof/>
                <w:sz w:val="22"/>
                <w:szCs w:val="22"/>
              </w:rPr>
            </w:pPr>
            <w:r w:rsidRPr="00317ABF">
              <w:rPr>
                <w:b/>
                <w:bCs/>
                <w:noProof/>
                <w:sz w:val="22"/>
                <w:szCs w:val="22"/>
              </w:rPr>
              <w:t xml:space="preserve">Art. </w:t>
            </w:r>
            <w:r w:rsidR="001E1112" w:rsidRPr="00317ABF">
              <w:rPr>
                <w:b/>
                <w:bCs/>
                <w:noProof/>
                <w:sz w:val="22"/>
                <w:szCs w:val="22"/>
              </w:rPr>
              <w:t>36 ust. 2</w:t>
            </w:r>
          </w:p>
        </w:tc>
        <w:tc>
          <w:tcPr>
            <w:tcW w:w="6814" w:type="dxa"/>
            <w:gridSpan w:val="2"/>
          </w:tcPr>
          <w:p w14:paraId="24EC8A5B" w14:textId="22F41EDB" w:rsidR="001E1112" w:rsidRPr="00317ABF" w:rsidRDefault="001E1112" w:rsidP="00DB3BEC">
            <w:pPr>
              <w:jc w:val="both"/>
              <w:rPr>
                <w:sz w:val="22"/>
                <w:szCs w:val="22"/>
              </w:rPr>
            </w:pPr>
            <w:r w:rsidRPr="00317ABF">
              <w:rPr>
                <w:sz w:val="22"/>
                <w:szCs w:val="22"/>
              </w:rPr>
              <w:t>Art. 36 ust. 2</w:t>
            </w:r>
          </w:p>
          <w:p w14:paraId="03E60B2D" w14:textId="2E7594B2" w:rsidR="001E1112" w:rsidRPr="00317ABF" w:rsidRDefault="001E1112" w:rsidP="00DB3BEC">
            <w:pPr>
              <w:jc w:val="both"/>
              <w:rPr>
                <w:sz w:val="22"/>
                <w:szCs w:val="22"/>
              </w:rPr>
            </w:pPr>
            <w:r w:rsidRPr="00317ABF">
              <w:rPr>
                <w:sz w:val="22"/>
                <w:szCs w:val="22"/>
              </w:rPr>
              <w:t>2. Jeżeli w zakresie ustalenia znaczącej pozycji rynkowej oraz w zakresie zdefiniowania rynku właściwego różnego od tych, które zdefiniowano w zaleceniu Komisji Europejskiej w sprawie właściwych rynków produktów i usług w sektorze komunikacji elektronicznej podlegających regulacji ex ante, Komisja Europejska poinformuje Prezesa UKE o swojej opinii, w której stwierdzi, że proponowane rozstrzygnięcie stanowi przeszkodę w funkcjonowaniu jednolitego rynku lub o swoich poważnych wątpliwościach co do zgodności tego środka z przepisami prawa Unii Europejskiej, Prezes UKE zawiesza postępowanie na okres 2 miesięcy. W przypadku, gdy w tym okresie Komisja Europejska wyda decyzję, w której wezwie do wycofania w całości lub w części projektu rozstrzygnięcia, Prezes UKE uwzględnia stanowisko Komisji Europejskiej i dokonuje zmiany projektu rozstrzygnięcia lub umarza postępowanie w terminie 6 miesięcy od dnia wydania decyzji przez Komisję Europejską.</w:t>
            </w:r>
          </w:p>
        </w:tc>
      </w:tr>
      <w:tr w:rsidR="001E1112" w:rsidRPr="00317ABF" w14:paraId="4B3E76B2" w14:textId="77777777" w:rsidTr="7753F98D">
        <w:trPr>
          <w:gridAfter w:val="2"/>
          <w:wAfter w:w="175" w:type="dxa"/>
        </w:trPr>
        <w:tc>
          <w:tcPr>
            <w:tcW w:w="704" w:type="dxa"/>
          </w:tcPr>
          <w:p w14:paraId="0BA80D44" w14:textId="77777777" w:rsidR="001E1112" w:rsidRPr="00317ABF" w:rsidRDefault="001E1112" w:rsidP="00DB3BEC">
            <w:pPr>
              <w:jc w:val="both"/>
              <w:rPr>
                <w:sz w:val="22"/>
                <w:szCs w:val="22"/>
              </w:rPr>
            </w:pPr>
            <w:r w:rsidRPr="00317ABF">
              <w:rPr>
                <w:sz w:val="22"/>
                <w:szCs w:val="22"/>
              </w:rPr>
              <w:t>Art. 32 ust. 5</w:t>
            </w:r>
          </w:p>
        </w:tc>
        <w:tc>
          <w:tcPr>
            <w:tcW w:w="4308" w:type="dxa"/>
          </w:tcPr>
          <w:p w14:paraId="48FAE86E" w14:textId="77777777" w:rsidR="001E1112" w:rsidRPr="00317ABF" w:rsidRDefault="001E1112" w:rsidP="00DB3BEC">
            <w:pPr>
              <w:spacing w:before="120"/>
              <w:jc w:val="both"/>
              <w:rPr>
                <w:sz w:val="22"/>
                <w:szCs w:val="22"/>
              </w:rPr>
            </w:pPr>
            <w:r w:rsidRPr="00317ABF">
              <w:rPr>
                <w:sz w:val="22"/>
                <w:szCs w:val="22"/>
              </w:rPr>
              <w:t>5.   BEREC publikuje opinię na temat zastrzeżeń Komisji, o których mowa w ust. 4, wskazując, czy uważa, że projektowany środek powinien być utrzymany, zmieniony czy wycofany, i przedstawia w tym celu w stosownych przypadkach szczegółowe propozycje.</w:t>
            </w:r>
          </w:p>
        </w:tc>
        <w:tc>
          <w:tcPr>
            <w:tcW w:w="986" w:type="dxa"/>
          </w:tcPr>
          <w:p w14:paraId="321BDFF8" w14:textId="77777777" w:rsidR="001E1112" w:rsidRPr="00317ABF" w:rsidRDefault="001E1112" w:rsidP="00DB3BEC">
            <w:pPr>
              <w:jc w:val="both"/>
              <w:rPr>
                <w:sz w:val="22"/>
                <w:szCs w:val="22"/>
              </w:rPr>
            </w:pPr>
            <w:r w:rsidRPr="00317ABF">
              <w:rPr>
                <w:sz w:val="22"/>
                <w:szCs w:val="22"/>
              </w:rPr>
              <w:t>N</w:t>
            </w:r>
          </w:p>
        </w:tc>
        <w:tc>
          <w:tcPr>
            <w:tcW w:w="910" w:type="dxa"/>
          </w:tcPr>
          <w:p w14:paraId="41A1092D" w14:textId="77777777" w:rsidR="001E1112" w:rsidRPr="00317ABF" w:rsidRDefault="001E1112" w:rsidP="00DB3BEC">
            <w:pPr>
              <w:pStyle w:val="Tekstpodstawowy"/>
              <w:rPr>
                <w:b/>
                <w:noProof/>
                <w:sz w:val="22"/>
                <w:szCs w:val="22"/>
              </w:rPr>
            </w:pPr>
          </w:p>
        </w:tc>
        <w:tc>
          <w:tcPr>
            <w:tcW w:w="6814" w:type="dxa"/>
            <w:gridSpan w:val="2"/>
          </w:tcPr>
          <w:p w14:paraId="03CC5A65" w14:textId="77777777" w:rsidR="001E1112" w:rsidRPr="00317ABF" w:rsidRDefault="001E1112" w:rsidP="00DB3BEC">
            <w:pPr>
              <w:pStyle w:val="Tekstpodstawowy"/>
              <w:rPr>
                <w:sz w:val="22"/>
                <w:szCs w:val="22"/>
              </w:rPr>
            </w:pPr>
          </w:p>
        </w:tc>
      </w:tr>
      <w:tr w:rsidR="001E1112" w:rsidRPr="00317ABF" w14:paraId="530D71DB" w14:textId="77777777" w:rsidTr="7753F98D">
        <w:trPr>
          <w:gridAfter w:val="2"/>
          <w:wAfter w:w="175" w:type="dxa"/>
        </w:trPr>
        <w:tc>
          <w:tcPr>
            <w:tcW w:w="704" w:type="dxa"/>
          </w:tcPr>
          <w:p w14:paraId="72063FCB" w14:textId="77777777" w:rsidR="001E1112" w:rsidRPr="00317ABF" w:rsidRDefault="001E1112" w:rsidP="00DB3BEC">
            <w:pPr>
              <w:jc w:val="both"/>
              <w:rPr>
                <w:sz w:val="22"/>
                <w:szCs w:val="22"/>
              </w:rPr>
            </w:pPr>
            <w:r w:rsidRPr="00317ABF">
              <w:rPr>
                <w:sz w:val="22"/>
                <w:szCs w:val="22"/>
              </w:rPr>
              <w:lastRenderedPageBreak/>
              <w:t>Art. 32 ust. 6</w:t>
            </w:r>
          </w:p>
        </w:tc>
        <w:tc>
          <w:tcPr>
            <w:tcW w:w="4308" w:type="dxa"/>
          </w:tcPr>
          <w:p w14:paraId="5A1DBE72" w14:textId="77777777" w:rsidR="001E1112" w:rsidRPr="00317ABF" w:rsidRDefault="001E1112" w:rsidP="00DB3BEC">
            <w:pPr>
              <w:spacing w:before="120"/>
              <w:jc w:val="both"/>
              <w:rPr>
                <w:sz w:val="22"/>
                <w:szCs w:val="22"/>
              </w:rPr>
            </w:pPr>
            <w:r w:rsidRPr="00317ABF">
              <w:rPr>
                <w:sz w:val="22"/>
                <w:szCs w:val="22"/>
              </w:rPr>
              <w:t>6.   W terminie dwóch miesięcy, o którym mowa w ust. 4, Komisja może:</w:t>
            </w:r>
          </w:p>
          <w:tbl>
            <w:tblPr>
              <w:tblW w:w="5000" w:type="pct"/>
              <w:tblCellSpacing w:w="0" w:type="dxa"/>
              <w:tblLayout w:type="fixed"/>
              <w:tblCellMar>
                <w:left w:w="0" w:type="dxa"/>
                <w:right w:w="0" w:type="dxa"/>
              </w:tblCellMar>
              <w:tblLook w:val="04A0" w:firstRow="1" w:lastRow="0" w:firstColumn="1" w:lastColumn="0" w:noHBand="0" w:noVBand="1"/>
            </w:tblPr>
            <w:tblGrid>
              <w:gridCol w:w="20"/>
              <w:gridCol w:w="4148"/>
            </w:tblGrid>
            <w:tr w:rsidR="001E1112" w:rsidRPr="00317ABF" w14:paraId="3EC3CD2B" w14:textId="77777777" w:rsidTr="00345B65">
              <w:trPr>
                <w:tblCellSpacing w:w="0" w:type="dxa"/>
              </w:trPr>
              <w:tc>
                <w:tcPr>
                  <w:tcW w:w="6" w:type="dxa"/>
                  <w:hideMark/>
                </w:tcPr>
                <w:p w14:paraId="63ACB6A2" w14:textId="77777777" w:rsidR="001E1112" w:rsidRPr="00317ABF" w:rsidRDefault="001E1112" w:rsidP="00EE0AC3">
                  <w:pPr>
                    <w:framePr w:hSpace="141" w:wrap="around" w:vAnchor="text" w:hAnchor="text" w:xAlign="right" w:y="1"/>
                    <w:spacing w:before="120"/>
                    <w:suppressOverlap/>
                    <w:jc w:val="both"/>
                    <w:rPr>
                      <w:sz w:val="22"/>
                      <w:szCs w:val="22"/>
                    </w:rPr>
                  </w:pPr>
                </w:p>
              </w:tc>
              <w:tc>
                <w:tcPr>
                  <w:tcW w:w="9066" w:type="dxa"/>
                  <w:hideMark/>
                </w:tcPr>
                <w:p w14:paraId="4E526B11" w14:textId="77777777" w:rsidR="001E1112" w:rsidRPr="00317ABF" w:rsidRDefault="001E1112" w:rsidP="00EE0AC3">
                  <w:pPr>
                    <w:framePr w:hSpace="141" w:wrap="around" w:vAnchor="text" w:hAnchor="text" w:xAlign="right" w:y="1"/>
                    <w:numPr>
                      <w:ilvl w:val="0"/>
                      <w:numId w:val="18"/>
                    </w:numPr>
                    <w:spacing w:before="120"/>
                    <w:suppressOverlap/>
                    <w:jc w:val="both"/>
                    <w:rPr>
                      <w:sz w:val="22"/>
                      <w:szCs w:val="22"/>
                    </w:rPr>
                  </w:pPr>
                  <w:r w:rsidRPr="00317ABF">
                    <w:rPr>
                      <w:sz w:val="22"/>
                      <w:szCs w:val="22"/>
                    </w:rPr>
                    <w:t>podjąć decyzję, zgodnie z którą krajowy organ regulacyjny będzie musiał wycofać projektowany środek; albo</w:t>
                  </w:r>
                </w:p>
              </w:tc>
            </w:tr>
          </w:tbl>
          <w:p w14:paraId="2C8D472F" w14:textId="77777777" w:rsidR="001E1112" w:rsidRPr="00317ABF" w:rsidRDefault="001E1112" w:rsidP="00DB3BEC">
            <w:pPr>
              <w:jc w:val="both"/>
              <w:rPr>
                <w:vanish/>
                <w:sz w:val="22"/>
                <w:szCs w:val="22"/>
              </w:rPr>
            </w:pPr>
          </w:p>
          <w:tbl>
            <w:tblPr>
              <w:tblW w:w="5000" w:type="pct"/>
              <w:tblCellSpacing w:w="0" w:type="dxa"/>
              <w:tblLayout w:type="fixed"/>
              <w:tblCellMar>
                <w:left w:w="0" w:type="dxa"/>
                <w:right w:w="0" w:type="dxa"/>
              </w:tblCellMar>
              <w:tblLook w:val="04A0" w:firstRow="1" w:lastRow="0" w:firstColumn="1" w:lastColumn="0" w:noHBand="0" w:noVBand="1"/>
            </w:tblPr>
            <w:tblGrid>
              <w:gridCol w:w="20"/>
              <w:gridCol w:w="4148"/>
            </w:tblGrid>
            <w:tr w:rsidR="001E1112" w:rsidRPr="00317ABF" w14:paraId="33EBBDEF" w14:textId="77777777" w:rsidTr="00345B65">
              <w:trPr>
                <w:tblCellSpacing w:w="0" w:type="dxa"/>
              </w:trPr>
              <w:tc>
                <w:tcPr>
                  <w:tcW w:w="9" w:type="dxa"/>
                  <w:hideMark/>
                </w:tcPr>
                <w:p w14:paraId="4EE55097" w14:textId="77777777" w:rsidR="001E1112" w:rsidRPr="00317ABF" w:rsidRDefault="001E1112" w:rsidP="00EE0AC3">
                  <w:pPr>
                    <w:framePr w:hSpace="141" w:wrap="around" w:vAnchor="text" w:hAnchor="text" w:xAlign="right" w:y="1"/>
                    <w:spacing w:before="120"/>
                    <w:suppressOverlap/>
                    <w:jc w:val="both"/>
                    <w:rPr>
                      <w:sz w:val="22"/>
                      <w:szCs w:val="22"/>
                    </w:rPr>
                  </w:pPr>
                </w:p>
              </w:tc>
              <w:tc>
                <w:tcPr>
                  <w:tcW w:w="9063" w:type="dxa"/>
                  <w:hideMark/>
                </w:tcPr>
                <w:p w14:paraId="12B382F1" w14:textId="77777777" w:rsidR="001E1112" w:rsidRPr="00317ABF" w:rsidRDefault="001E1112" w:rsidP="00EE0AC3">
                  <w:pPr>
                    <w:framePr w:hSpace="141" w:wrap="around" w:vAnchor="text" w:hAnchor="text" w:xAlign="right" w:y="1"/>
                    <w:numPr>
                      <w:ilvl w:val="0"/>
                      <w:numId w:val="18"/>
                    </w:numPr>
                    <w:spacing w:before="120"/>
                    <w:suppressOverlap/>
                    <w:jc w:val="both"/>
                    <w:rPr>
                      <w:sz w:val="22"/>
                      <w:szCs w:val="22"/>
                    </w:rPr>
                  </w:pPr>
                  <w:r w:rsidRPr="00317ABF">
                    <w:rPr>
                      <w:sz w:val="22"/>
                      <w:szCs w:val="22"/>
                    </w:rPr>
                    <w:t>podjąć decyzję o wycofaniu zastrzeżeń, o których mowa w ust. 4.</w:t>
                  </w:r>
                </w:p>
              </w:tc>
            </w:tr>
          </w:tbl>
          <w:p w14:paraId="54AD10FD" w14:textId="77777777" w:rsidR="001E1112" w:rsidRPr="00317ABF" w:rsidRDefault="001E1112" w:rsidP="00DB3BEC">
            <w:pPr>
              <w:spacing w:before="120"/>
              <w:jc w:val="both"/>
              <w:rPr>
                <w:sz w:val="22"/>
                <w:szCs w:val="22"/>
              </w:rPr>
            </w:pPr>
            <w:r w:rsidRPr="00317ABF">
              <w:rPr>
                <w:sz w:val="22"/>
                <w:szCs w:val="22"/>
              </w:rPr>
              <w:t>Przed podjęciem decyzji Komisja w jak największym stopniu uwzględnia opinię BEREC.</w:t>
            </w:r>
          </w:p>
          <w:p w14:paraId="79B48241" w14:textId="77777777" w:rsidR="001E1112" w:rsidRPr="00317ABF" w:rsidRDefault="001E1112" w:rsidP="00DB3BEC">
            <w:pPr>
              <w:jc w:val="both"/>
              <w:rPr>
                <w:sz w:val="22"/>
                <w:szCs w:val="22"/>
              </w:rPr>
            </w:pPr>
            <w:r w:rsidRPr="00317ABF">
              <w:rPr>
                <w:sz w:val="22"/>
                <w:szCs w:val="22"/>
              </w:rPr>
              <w:t>Decyzje, o których mowa w akapicie pierwszym lit. a) powinny zawierać szczegółową i obiektywną analizę, dlaczego Komisja uznaje, że projektowany środek nie powinien zostać przyjęty, łącznie ze szczegółowymi propozycjami w sprawie jego zmiany.</w:t>
            </w:r>
          </w:p>
        </w:tc>
        <w:tc>
          <w:tcPr>
            <w:tcW w:w="986" w:type="dxa"/>
          </w:tcPr>
          <w:p w14:paraId="0FA2F99F" w14:textId="77777777" w:rsidR="001E1112" w:rsidRPr="00317ABF" w:rsidRDefault="001E1112" w:rsidP="00DB3BEC">
            <w:pPr>
              <w:jc w:val="both"/>
              <w:rPr>
                <w:sz w:val="22"/>
                <w:szCs w:val="22"/>
              </w:rPr>
            </w:pPr>
            <w:r w:rsidRPr="00317ABF">
              <w:rPr>
                <w:sz w:val="22"/>
                <w:szCs w:val="22"/>
              </w:rPr>
              <w:t>N</w:t>
            </w:r>
          </w:p>
        </w:tc>
        <w:tc>
          <w:tcPr>
            <w:tcW w:w="910" w:type="dxa"/>
          </w:tcPr>
          <w:p w14:paraId="68AE7378" w14:textId="77777777" w:rsidR="001E1112" w:rsidRPr="00317ABF" w:rsidRDefault="001E1112" w:rsidP="00DB3BEC">
            <w:pPr>
              <w:pStyle w:val="Tekstpodstawowy"/>
              <w:rPr>
                <w:b/>
                <w:noProof/>
                <w:sz w:val="22"/>
                <w:szCs w:val="22"/>
              </w:rPr>
            </w:pPr>
          </w:p>
        </w:tc>
        <w:tc>
          <w:tcPr>
            <w:tcW w:w="6814" w:type="dxa"/>
            <w:gridSpan w:val="2"/>
          </w:tcPr>
          <w:p w14:paraId="33CE2273" w14:textId="77777777" w:rsidR="001E1112" w:rsidRPr="00317ABF" w:rsidRDefault="001E1112" w:rsidP="00DB3BEC">
            <w:pPr>
              <w:pStyle w:val="Tekstpodstawowy"/>
              <w:rPr>
                <w:sz w:val="22"/>
                <w:szCs w:val="22"/>
              </w:rPr>
            </w:pPr>
          </w:p>
        </w:tc>
      </w:tr>
      <w:tr w:rsidR="001E1112" w:rsidRPr="00317ABF" w14:paraId="30B125AD" w14:textId="77777777" w:rsidTr="7753F98D">
        <w:trPr>
          <w:gridAfter w:val="2"/>
          <w:wAfter w:w="175" w:type="dxa"/>
        </w:trPr>
        <w:tc>
          <w:tcPr>
            <w:tcW w:w="704" w:type="dxa"/>
          </w:tcPr>
          <w:p w14:paraId="39BACB31" w14:textId="77777777" w:rsidR="001E1112" w:rsidRPr="00317ABF" w:rsidRDefault="001E1112" w:rsidP="00DB3BEC">
            <w:pPr>
              <w:jc w:val="both"/>
              <w:rPr>
                <w:sz w:val="22"/>
                <w:szCs w:val="22"/>
              </w:rPr>
            </w:pPr>
            <w:r w:rsidRPr="00317ABF">
              <w:rPr>
                <w:sz w:val="22"/>
                <w:szCs w:val="22"/>
              </w:rPr>
              <w:t>Art. 32 ust. 7</w:t>
            </w:r>
          </w:p>
        </w:tc>
        <w:tc>
          <w:tcPr>
            <w:tcW w:w="4308" w:type="dxa"/>
          </w:tcPr>
          <w:p w14:paraId="3CC5DDAF" w14:textId="77777777" w:rsidR="001E1112" w:rsidRPr="00317ABF" w:rsidRDefault="001E1112" w:rsidP="00DB3BEC">
            <w:pPr>
              <w:tabs>
                <w:tab w:val="left" w:pos="1130"/>
              </w:tabs>
              <w:spacing w:before="120"/>
              <w:jc w:val="both"/>
              <w:rPr>
                <w:sz w:val="22"/>
                <w:szCs w:val="22"/>
              </w:rPr>
            </w:pPr>
            <w:r w:rsidRPr="00317ABF">
              <w:rPr>
                <w:sz w:val="22"/>
                <w:szCs w:val="22"/>
              </w:rPr>
              <w:t>7.   W przypadku gdy Komisja przyjęła, zgodnie z ust. 6 akapit pierwszy lit. a) niniejszego artykułu decyzję wymagającą od krajowego organu regulacyjnego wycofania planowanego środka, krajowy organ regulacyjny zmienia lub wycofuje projektowany środek w terminie sześciu miesięcy od daty decyzji Komisji. Gdy projektowany środek zostaje zmieniony, krajowy organ regulacyjny przystępuje do konsultacji publicznych zgodnie z art. 23, i zgłasza zmieniony projektowany środek Komisji zgodnie z ust. 3 niniejszego artykułu.</w:t>
            </w:r>
          </w:p>
        </w:tc>
        <w:tc>
          <w:tcPr>
            <w:tcW w:w="986" w:type="dxa"/>
          </w:tcPr>
          <w:p w14:paraId="59CA3B16" w14:textId="07A7EF95" w:rsidR="001E1112" w:rsidRPr="00317ABF" w:rsidRDefault="001E1112" w:rsidP="00DB3BEC">
            <w:pPr>
              <w:jc w:val="both"/>
              <w:rPr>
                <w:sz w:val="22"/>
                <w:szCs w:val="22"/>
              </w:rPr>
            </w:pPr>
            <w:r w:rsidRPr="00317ABF">
              <w:rPr>
                <w:sz w:val="22"/>
                <w:szCs w:val="22"/>
              </w:rPr>
              <w:t>T</w:t>
            </w:r>
          </w:p>
        </w:tc>
        <w:tc>
          <w:tcPr>
            <w:tcW w:w="910" w:type="dxa"/>
          </w:tcPr>
          <w:p w14:paraId="5CF92296" w14:textId="76232D1C" w:rsidR="001E1112" w:rsidRPr="00317ABF" w:rsidRDefault="001E1112" w:rsidP="00DB3BEC">
            <w:pPr>
              <w:pStyle w:val="Tekstpodstawowy"/>
              <w:rPr>
                <w:b/>
                <w:noProof/>
                <w:sz w:val="22"/>
                <w:szCs w:val="22"/>
              </w:rPr>
            </w:pPr>
            <w:r w:rsidRPr="00317ABF">
              <w:rPr>
                <w:b/>
                <w:bCs/>
                <w:noProof/>
                <w:sz w:val="22"/>
                <w:szCs w:val="22"/>
              </w:rPr>
              <w:t>Art. 36 ust. 2, 3</w:t>
            </w:r>
          </w:p>
        </w:tc>
        <w:tc>
          <w:tcPr>
            <w:tcW w:w="6814" w:type="dxa"/>
            <w:gridSpan w:val="2"/>
          </w:tcPr>
          <w:p w14:paraId="622335CC" w14:textId="76434B47" w:rsidR="001E1112" w:rsidRPr="00317ABF" w:rsidRDefault="001E1112" w:rsidP="00DB3BEC">
            <w:pPr>
              <w:jc w:val="both"/>
              <w:rPr>
                <w:sz w:val="22"/>
                <w:szCs w:val="22"/>
              </w:rPr>
            </w:pPr>
            <w:r w:rsidRPr="00317ABF">
              <w:rPr>
                <w:sz w:val="22"/>
                <w:szCs w:val="22"/>
              </w:rPr>
              <w:t>Art. 36 ust. 2, 3</w:t>
            </w:r>
          </w:p>
          <w:p w14:paraId="09868746" w14:textId="2F91BCCF" w:rsidR="001E1112" w:rsidRPr="00317ABF" w:rsidRDefault="001E1112" w:rsidP="00DB3BEC">
            <w:pPr>
              <w:ind w:firstLine="510"/>
              <w:jc w:val="both"/>
              <w:rPr>
                <w:sz w:val="22"/>
                <w:szCs w:val="22"/>
              </w:rPr>
            </w:pPr>
            <w:r w:rsidRPr="00317ABF">
              <w:rPr>
                <w:sz w:val="22"/>
                <w:szCs w:val="22"/>
              </w:rPr>
              <w:t>2. Jeżeli w zakresie ustalenia znaczącej pozycji rynkowej oraz w zakresie zdefiniowania rynku właściwego różnego od tych, które zdefiniowano w zaleceniu Komisji Europejskiej w sprawie właściwych rynków produktów i usług w sektorze komunikacji elektronicznej podlegających regulacji ex ante, Komisja Europejska poinformuje Prezesa UKE o swojej opinii, w której stwierdzi, że proponowane rozstrzygnięcie stanowi przeszkodę w funkcjonowaniu jednolitego rynku lub o swoich poważnych wątpliwościach co do zgodności tego środka z przepisami prawa Unii Europejskiej, Prezes UKE zawiesza postępowanie na okres 2 miesięcy. W przypadku, gdy w tym okresie Komisja Europejska wyda decyzję, w której wezwie do wycofania w całości lub w części projektu rozstrzygnięcia, Prezes UKE uwzględnia stanowisko Komisji Europejskiej i dokonuje zmiany projektu rozstrzygnięcia lub umarza postępowanie w terminie 6 miesięcy od dnia wydania decyzji przez Komisję Europejską.</w:t>
            </w:r>
          </w:p>
          <w:p w14:paraId="3BCBCB4C" w14:textId="0FD1836B" w:rsidR="001E1112" w:rsidRPr="00317ABF" w:rsidRDefault="001E1112" w:rsidP="00DB3BEC">
            <w:pPr>
              <w:ind w:firstLine="510"/>
              <w:jc w:val="both"/>
              <w:rPr>
                <w:sz w:val="22"/>
                <w:szCs w:val="22"/>
              </w:rPr>
            </w:pPr>
            <w:r w:rsidRPr="00317ABF">
              <w:rPr>
                <w:sz w:val="22"/>
                <w:szCs w:val="22"/>
              </w:rPr>
              <w:t>3. W przypadku dokonania przez Prezesa UKE zmiany projektu rozstrzygnięcia na podstawie ust. 2 stosuje się przepisy art. 30-38. Nie stanowi zmiany projektu rozstrzygnięcia zmiana uzasadnienia tego projektu.</w:t>
            </w:r>
          </w:p>
        </w:tc>
      </w:tr>
      <w:tr w:rsidR="001E1112" w:rsidRPr="00317ABF" w14:paraId="65F2F911" w14:textId="77777777" w:rsidTr="7753F98D">
        <w:trPr>
          <w:gridAfter w:val="2"/>
          <w:wAfter w:w="175" w:type="dxa"/>
        </w:trPr>
        <w:tc>
          <w:tcPr>
            <w:tcW w:w="704" w:type="dxa"/>
          </w:tcPr>
          <w:p w14:paraId="1E0C8AB2" w14:textId="77777777" w:rsidR="001E1112" w:rsidRPr="00317ABF" w:rsidRDefault="001E1112" w:rsidP="00DB3BEC">
            <w:pPr>
              <w:jc w:val="both"/>
              <w:rPr>
                <w:sz w:val="22"/>
                <w:szCs w:val="22"/>
              </w:rPr>
            </w:pPr>
            <w:r w:rsidRPr="00317ABF">
              <w:rPr>
                <w:sz w:val="22"/>
                <w:szCs w:val="22"/>
              </w:rPr>
              <w:lastRenderedPageBreak/>
              <w:t>Art. 32 ust. 8</w:t>
            </w:r>
          </w:p>
        </w:tc>
        <w:tc>
          <w:tcPr>
            <w:tcW w:w="4308" w:type="dxa"/>
          </w:tcPr>
          <w:p w14:paraId="5C3ED5E0" w14:textId="77777777" w:rsidR="001E1112" w:rsidRPr="00317ABF" w:rsidRDefault="001E1112" w:rsidP="00DB3BEC">
            <w:pPr>
              <w:spacing w:before="120"/>
              <w:jc w:val="both"/>
              <w:rPr>
                <w:sz w:val="22"/>
                <w:szCs w:val="22"/>
              </w:rPr>
            </w:pPr>
            <w:r w:rsidRPr="00317ABF">
              <w:rPr>
                <w:sz w:val="22"/>
                <w:szCs w:val="22"/>
              </w:rPr>
              <w:t>8.   Krajowy organ regulacyjny uwzględnia w jak największym stopniu uwagi innych krajowych organów regulacyjnych, BEREC i Komisji i może – z wyjątkiem sytuacji objętych zakresem stosowania ust. 4 i ust. 6 lit. a) – przyjąć odpowiedni projektowany środek, a w przypadku jego przyjęcia– powiadamia o tym Komisję.</w:t>
            </w:r>
          </w:p>
        </w:tc>
        <w:tc>
          <w:tcPr>
            <w:tcW w:w="986" w:type="dxa"/>
          </w:tcPr>
          <w:p w14:paraId="5B48A671" w14:textId="2BFDC683" w:rsidR="001E1112" w:rsidRPr="00317ABF" w:rsidRDefault="001E1112" w:rsidP="00DB3BEC">
            <w:pPr>
              <w:jc w:val="both"/>
              <w:rPr>
                <w:sz w:val="22"/>
                <w:szCs w:val="22"/>
              </w:rPr>
            </w:pPr>
            <w:r w:rsidRPr="00317ABF">
              <w:rPr>
                <w:sz w:val="22"/>
                <w:szCs w:val="22"/>
              </w:rPr>
              <w:t>T</w:t>
            </w:r>
          </w:p>
        </w:tc>
        <w:tc>
          <w:tcPr>
            <w:tcW w:w="910" w:type="dxa"/>
          </w:tcPr>
          <w:p w14:paraId="675380AA" w14:textId="12E5FA3A" w:rsidR="001E1112" w:rsidRPr="00317ABF" w:rsidRDefault="001E1112" w:rsidP="00DB3BEC">
            <w:pPr>
              <w:pStyle w:val="Tekstpodstawowy"/>
              <w:rPr>
                <w:b/>
                <w:noProof/>
                <w:sz w:val="22"/>
                <w:szCs w:val="22"/>
              </w:rPr>
            </w:pPr>
            <w:r w:rsidRPr="00317ABF">
              <w:rPr>
                <w:b/>
                <w:bCs/>
                <w:noProof/>
                <w:sz w:val="22"/>
                <w:szCs w:val="22"/>
              </w:rPr>
              <w:t>Art. 36 ust. 1</w:t>
            </w:r>
          </w:p>
        </w:tc>
        <w:tc>
          <w:tcPr>
            <w:tcW w:w="6814" w:type="dxa"/>
            <w:gridSpan w:val="2"/>
          </w:tcPr>
          <w:p w14:paraId="2D830042" w14:textId="4F5A821F" w:rsidR="001E1112" w:rsidRPr="00317ABF" w:rsidRDefault="001E1112" w:rsidP="00DB3BEC">
            <w:pPr>
              <w:jc w:val="both"/>
              <w:rPr>
                <w:sz w:val="22"/>
                <w:szCs w:val="22"/>
              </w:rPr>
            </w:pPr>
            <w:r w:rsidRPr="00317ABF">
              <w:rPr>
                <w:sz w:val="22"/>
                <w:szCs w:val="22"/>
              </w:rPr>
              <w:t>Art. 36. 1. Prezes UKE przyjmuje rozstrzygnięcie, uwzględniając w możliwie najszerszym zakresie, przedstawione w terminie jednego miesiąca od dnia otrzymania projektu rozstrzygnięcia, opinie Komisji Europejskiej, BEREC lub organu regulacyjnego innego państwa. O przyjęciu rozstrzygnięcia Prezes UKE zawiadamia Komisję Europejską.</w:t>
            </w:r>
          </w:p>
        </w:tc>
      </w:tr>
      <w:tr w:rsidR="001E1112" w:rsidRPr="00317ABF" w14:paraId="4A086302" w14:textId="77777777" w:rsidTr="7753F98D">
        <w:trPr>
          <w:gridAfter w:val="2"/>
          <w:wAfter w:w="175" w:type="dxa"/>
        </w:trPr>
        <w:tc>
          <w:tcPr>
            <w:tcW w:w="704" w:type="dxa"/>
          </w:tcPr>
          <w:p w14:paraId="4A14C969" w14:textId="77777777" w:rsidR="001E1112" w:rsidRPr="00317ABF" w:rsidRDefault="001E1112" w:rsidP="00DB3BEC">
            <w:pPr>
              <w:jc w:val="both"/>
              <w:rPr>
                <w:sz w:val="22"/>
                <w:szCs w:val="22"/>
              </w:rPr>
            </w:pPr>
            <w:r w:rsidRPr="00317ABF">
              <w:rPr>
                <w:sz w:val="22"/>
                <w:szCs w:val="22"/>
              </w:rPr>
              <w:t>Art. 32 ust. 9</w:t>
            </w:r>
          </w:p>
        </w:tc>
        <w:tc>
          <w:tcPr>
            <w:tcW w:w="4308" w:type="dxa"/>
          </w:tcPr>
          <w:p w14:paraId="69F3A54B" w14:textId="77777777" w:rsidR="001E1112" w:rsidRPr="00317ABF" w:rsidRDefault="001E1112" w:rsidP="00DB3BEC">
            <w:pPr>
              <w:spacing w:before="120"/>
              <w:jc w:val="both"/>
              <w:rPr>
                <w:sz w:val="22"/>
                <w:szCs w:val="22"/>
              </w:rPr>
            </w:pPr>
            <w:r w:rsidRPr="00317ABF">
              <w:rPr>
                <w:sz w:val="22"/>
                <w:szCs w:val="22"/>
              </w:rPr>
              <w:t>9.   Krajowy organ regulacyjny przekazuje Komisji i BEREC wszystkie przyjęte ostateczne środki objęte zakresem ust. 3 lit. a) i b).</w:t>
            </w:r>
          </w:p>
        </w:tc>
        <w:tc>
          <w:tcPr>
            <w:tcW w:w="986" w:type="dxa"/>
          </w:tcPr>
          <w:p w14:paraId="46CCE917" w14:textId="6A6D6477" w:rsidR="001E1112" w:rsidRPr="00317ABF" w:rsidRDefault="001E1112" w:rsidP="00DB3BEC">
            <w:pPr>
              <w:jc w:val="both"/>
              <w:rPr>
                <w:sz w:val="22"/>
                <w:szCs w:val="22"/>
              </w:rPr>
            </w:pPr>
            <w:r w:rsidRPr="00317ABF">
              <w:rPr>
                <w:sz w:val="22"/>
                <w:szCs w:val="22"/>
              </w:rPr>
              <w:t>T</w:t>
            </w:r>
          </w:p>
        </w:tc>
        <w:tc>
          <w:tcPr>
            <w:tcW w:w="910" w:type="dxa"/>
          </w:tcPr>
          <w:p w14:paraId="70D96B49" w14:textId="009ECBB3" w:rsidR="001E1112" w:rsidRPr="00317ABF" w:rsidRDefault="001E1112" w:rsidP="00DB3BEC">
            <w:pPr>
              <w:pStyle w:val="Tekstpodstawowy"/>
              <w:rPr>
                <w:b/>
                <w:noProof/>
                <w:sz w:val="22"/>
                <w:szCs w:val="22"/>
              </w:rPr>
            </w:pPr>
            <w:r w:rsidRPr="00317ABF">
              <w:rPr>
                <w:b/>
                <w:bCs/>
                <w:noProof/>
                <w:sz w:val="22"/>
                <w:szCs w:val="22"/>
              </w:rPr>
              <w:t>Art. 36 ust. 4</w:t>
            </w:r>
          </w:p>
        </w:tc>
        <w:tc>
          <w:tcPr>
            <w:tcW w:w="6814" w:type="dxa"/>
            <w:gridSpan w:val="2"/>
          </w:tcPr>
          <w:p w14:paraId="7CFFA605" w14:textId="6FB322BA" w:rsidR="001E1112" w:rsidRPr="00317ABF" w:rsidRDefault="001E1112" w:rsidP="00DB3BEC">
            <w:pPr>
              <w:jc w:val="both"/>
              <w:rPr>
                <w:sz w:val="22"/>
                <w:szCs w:val="22"/>
              </w:rPr>
            </w:pPr>
            <w:r w:rsidRPr="00317ABF">
              <w:rPr>
                <w:sz w:val="22"/>
                <w:szCs w:val="22"/>
              </w:rPr>
              <w:t>Art. 36 ust. 4</w:t>
            </w:r>
          </w:p>
          <w:p w14:paraId="162343FA" w14:textId="6CFB1FCA" w:rsidR="001E1112" w:rsidRPr="00317ABF" w:rsidRDefault="001E1112" w:rsidP="00DB3BEC">
            <w:pPr>
              <w:jc w:val="both"/>
              <w:rPr>
                <w:sz w:val="22"/>
                <w:szCs w:val="22"/>
              </w:rPr>
            </w:pPr>
            <w:r w:rsidRPr="00317ABF">
              <w:rPr>
                <w:sz w:val="22"/>
                <w:szCs w:val="22"/>
              </w:rPr>
              <w:t>4. Prezes UKE przekazuje Komisji Europejskiej i BEREC informacje o wszystkich przyjętych ostatecznie rozstrzygnięciach, o których mowa w art. 35.</w:t>
            </w:r>
          </w:p>
        </w:tc>
      </w:tr>
      <w:tr w:rsidR="001E1112" w:rsidRPr="00317ABF" w14:paraId="248CE7E4" w14:textId="77777777" w:rsidTr="7753F98D">
        <w:trPr>
          <w:gridAfter w:val="2"/>
          <w:wAfter w:w="175" w:type="dxa"/>
        </w:trPr>
        <w:tc>
          <w:tcPr>
            <w:tcW w:w="704" w:type="dxa"/>
          </w:tcPr>
          <w:p w14:paraId="6E0E1343" w14:textId="77777777" w:rsidR="001E1112" w:rsidRPr="00317ABF" w:rsidRDefault="001E1112" w:rsidP="00DB3BEC">
            <w:pPr>
              <w:jc w:val="both"/>
              <w:rPr>
                <w:sz w:val="22"/>
                <w:szCs w:val="22"/>
              </w:rPr>
            </w:pPr>
            <w:r w:rsidRPr="00317ABF">
              <w:rPr>
                <w:sz w:val="22"/>
                <w:szCs w:val="22"/>
              </w:rPr>
              <w:t>Art. 32 ust. 10</w:t>
            </w:r>
          </w:p>
        </w:tc>
        <w:tc>
          <w:tcPr>
            <w:tcW w:w="4308" w:type="dxa"/>
          </w:tcPr>
          <w:p w14:paraId="65AADFB2" w14:textId="77777777" w:rsidR="001E1112" w:rsidRPr="00317ABF" w:rsidRDefault="001E1112" w:rsidP="00DB3BEC">
            <w:pPr>
              <w:spacing w:before="120"/>
              <w:jc w:val="both"/>
              <w:rPr>
                <w:sz w:val="22"/>
                <w:szCs w:val="22"/>
              </w:rPr>
            </w:pPr>
            <w:r w:rsidRPr="00317ABF">
              <w:rPr>
                <w:sz w:val="22"/>
                <w:szCs w:val="22"/>
              </w:rPr>
              <w:t>10.   W wyjątkowych okolicznościach, w przypadku gdy krajowy organ regulacyjny uzna, że zachodzi pilna potrzeba podjęcia działania w celu ochrony konkurencji i interesów użytkowników, w drodze odstępstwa od procedury określonej w ust. 3 i 4 może on niezwłocznie przyjąć proporcjonalne i tymczasowe środki. O przyjęciu tych środków zawiadamia niezwłocznie Komisję, pozostałe krajowe organy regulacyjne i BEREC, przedstawiając odpowiednie uzasadnienie. Decyzja krajowego organu regulacyjnego o nadaniu tym środkom trwałego charakteru lub przedłużeniu terminu ich stosowania podlega ust. 3 i 4.</w:t>
            </w:r>
          </w:p>
        </w:tc>
        <w:tc>
          <w:tcPr>
            <w:tcW w:w="986" w:type="dxa"/>
          </w:tcPr>
          <w:p w14:paraId="44CD0D84" w14:textId="43FFF497" w:rsidR="001E1112" w:rsidRPr="00317ABF" w:rsidRDefault="001E1112" w:rsidP="00DB3BEC">
            <w:pPr>
              <w:jc w:val="both"/>
              <w:rPr>
                <w:sz w:val="22"/>
                <w:szCs w:val="22"/>
              </w:rPr>
            </w:pPr>
            <w:r w:rsidRPr="00317ABF">
              <w:rPr>
                <w:sz w:val="22"/>
                <w:szCs w:val="22"/>
              </w:rPr>
              <w:t>T</w:t>
            </w:r>
          </w:p>
        </w:tc>
        <w:tc>
          <w:tcPr>
            <w:tcW w:w="910" w:type="dxa"/>
          </w:tcPr>
          <w:p w14:paraId="0E5EEF3F" w14:textId="64BD666B" w:rsidR="001E1112" w:rsidRPr="00317ABF" w:rsidRDefault="001E1112" w:rsidP="00DB3BEC">
            <w:pPr>
              <w:pStyle w:val="Tekstpodstawowy"/>
              <w:rPr>
                <w:b/>
                <w:noProof/>
                <w:sz w:val="22"/>
                <w:szCs w:val="22"/>
              </w:rPr>
            </w:pPr>
            <w:r w:rsidRPr="00317ABF">
              <w:rPr>
                <w:b/>
                <w:bCs/>
                <w:noProof/>
                <w:sz w:val="22"/>
                <w:szCs w:val="22"/>
              </w:rPr>
              <w:t>Art. 38</w:t>
            </w:r>
          </w:p>
        </w:tc>
        <w:tc>
          <w:tcPr>
            <w:tcW w:w="6814" w:type="dxa"/>
            <w:gridSpan w:val="2"/>
          </w:tcPr>
          <w:p w14:paraId="5A758305" w14:textId="77777777" w:rsidR="001E1112" w:rsidRPr="00317ABF" w:rsidRDefault="001E1112" w:rsidP="002013EB">
            <w:pPr>
              <w:pStyle w:val="ARTartustawynprozporzdzenia"/>
              <w:spacing w:line="240" w:lineRule="auto"/>
              <w:rPr>
                <w:rFonts w:ascii="Times New Roman" w:hAnsi="Times New Roman" w:cs="Times New Roman"/>
                <w:sz w:val="22"/>
                <w:szCs w:val="22"/>
              </w:rPr>
            </w:pPr>
            <w:r w:rsidRPr="00317ABF">
              <w:rPr>
                <w:rStyle w:val="Ppogrubienie"/>
                <w:rFonts w:ascii="Times New Roman" w:hAnsi="Times New Roman"/>
                <w:sz w:val="22"/>
                <w:szCs w:val="22"/>
              </w:rPr>
              <w:t>Art.</w:t>
            </w:r>
            <w:r w:rsidR="002013EB" w:rsidRPr="00317ABF">
              <w:rPr>
                <w:rStyle w:val="Ppogrubienie"/>
                <w:rFonts w:ascii="Times New Roman" w:hAnsi="Times New Roman"/>
                <w:sz w:val="22"/>
                <w:szCs w:val="22"/>
              </w:rPr>
              <w:t> </w:t>
            </w:r>
            <w:r w:rsidRPr="00317ABF">
              <w:rPr>
                <w:rStyle w:val="Ppogrubienie"/>
                <w:rFonts w:ascii="Times New Roman" w:hAnsi="Times New Roman"/>
                <w:sz w:val="22"/>
                <w:szCs w:val="22"/>
              </w:rPr>
              <w:t>38.</w:t>
            </w:r>
            <w:r w:rsidRPr="00317ABF">
              <w:rPr>
                <w:rFonts w:ascii="Times New Roman" w:hAnsi="Times New Roman" w:cs="Times New Roman"/>
                <w:sz w:val="22"/>
                <w:szCs w:val="22"/>
              </w:rPr>
              <w:t xml:space="preserve"> 1. Przepis art. 32 stosuje się do spraw objętych postępowaniem konsolidacyjnym.</w:t>
            </w:r>
          </w:p>
          <w:p w14:paraId="475E03AF" w14:textId="43E6FA46" w:rsidR="001E1112" w:rsidRPr="00317ABF" w:rsidRDefault="001E1112" w:rsidP="002013EB">
            <w:pPr>
              <w:pStyle w:val="USTustnpkodeksu"/>
              <w:spacing w:line="240" w:lineRule="auto"/>
              <w:rPr>
                <w:rFonts w:ascii="Times New Roman" w:hAnsi="Times New Roman" w:cs="Times New Roman"/>
                <w:sz w:val="22"/>
                <w:szCs w:val="22"/>
              </w:rPr>
            </w:pPr>
            <w:r w:rsidRPr="00317ABF">
              <w:rPr>
                <w:rFonts w:ascii="Times New Roman" w:hAnsi="Times New Roman" w:cs="Times New Roman"/>
                <w:sz w:val="22"/>
                <w:szCs w:val="22"/>
              </w:rPr>
              <w:t>2. Prezes UKE powiadamia niezwłocznie Komisję Europejską, BEREC i organy regulacyjne innych państw członkowskich o wydaniu decyzji, o której mowa w art. 32 ust. 1, przedstawiając uzasadnienie.</w:t>
            </w:r>
          </w:p>
          <w:p w14:paraId="017DFA3C" w14:textId="43E6FA46" w:rsidR="001E1112" w:rsidRPr="00317ABF" w:rsidRDefault="001E1112" w:rsidP="00DB3BEC">
            <w:pPr>
              <w:jc w:val="both"/>
              <w:rPr>
                <w:sz w:val="22"/>
                <w:szCs w:val="22"/>
              </w:rPr>
            </w:pPr>
          </w:p>
        </w:tc>
      </w:tr>
      <w:tr w:rsidR="001E1112" w:rsidRPr="00317ABF" w14:paraId="36F475FB" w14:textId="77777777" w:rsidTr="7753F98D">
        <w:trPr>
          <w:gridAfter w:val="2"/>
          <w:wAfter w:w="175" w:type="dxa"/>
        </w:trPr>
        <w:tc>
          <w:tcPr>
            <w:tcW w:w="704" w:type="dxa"/>
          </w:tcPr>
          <w:p w14:paraId="57E2CE08" w14:textId="77777777" w:rsidR="001E1112" w:rsidRPr="00317ABF" w:rsidRDefault="001E1112" w:rsidP="00DB3BEC">
            <w:pPr>
              <w:jc w:val="both"/>
              <w:rPr>
                <w:sz w:val="22"/>
                <w:szCs w:val="22"/>
              </w:rPr>
            </w:pPr>
            <w:r w:rsidRPr="00317ABF">
              <w:rPr>
                <w:sz w:val="22"/>
                <w:szCs w:val="22"/>
              </w:rPr>
              <w:t>Art. 32 ust. 11</w:t>
            </w:r>
          </w:p>
        </w:tc>
        <w:tc>
          <w:tcPr>
            <w:tcW w:w="4308" w:type="dxa"/>
          </w:tcPr>
          <w:p w14:paraId="76B3EE4E" w14:textId="77777777" w:rsidR="001E1112" w:rsidRPr="00317ABF" w:rsidRDefault="001E1112" w:rsidP="00DB3BEC">
            <w:pPr>
              <w:spacing w:before="120"/>
              <w:jc w:val="both"/>
              <w:rPr>
                <w:sz w:val="22"/>
                <w:szCs w:val="22"/>
              </w:rPr>
            </w:pPr>
            <w:r w:rsidRPr="00317ABF">
              <w:rPr>
                <w:sz w:val="22"/>
                <w:szCs w:val="22"/>
              </w:rPr>
              <w:t>11.   Krajowy organ regulacyjny może w każdej chwili wycofać projektowany środek.</w:t>
            </w:r>
          </w:p>
        </w:tc>
        <w:tc>
          <w:tcPr>
            <w:tcW w:w="986" w:type="dxa"/>
          </w:tcPr>
          <w:p w14:paraId="486D2828" w14:textId="34465737" w:rsidR="001E1112" w:rsidRPr="00317ABF" w:rsidRDefault="001E1112" w:rsidP="00DB3BEC">
            <w:pPr>
              <w:jc w:val="both"/>
              <w:rPr>
                <w:sz w:val="22"/>
                <w:szCs w:val="22"/>
              </w:rPr>
            </w:pPr>
            <w:r w:rsidRPr="00317ABF">
              <w:rPr>
                <w:sz w:val="22"/>
                <w:szCs w:val="22"/>
              </w:rPr>
              <w:t>T</w:t>
            </w:r>
          </w:p>
        </w:tc>
        <w:tc>
          <w:tcPr>
            <w:tcW w:w="910" w:type="dxa"/>
          </w:tcPr>
          <w:p w14:paraId="6DE2FEB1" w14:textId="1F73A3F5" w:rsidR="001E1112" w:rsidRPr="00317ABF" w:rsidRDefault="001E1112" w:rsidP="00DB3BEC">
            <w:pPr>
              <w:pStyle w:val="Tekstpodstawowy"/>
              <w:rPr>
                <w:b/>
                <w:noProof/>
                <w:sz w:val="22"/>
                <w:szCs w:val="22"/>
              </w:rPr>
            </w:pPr>
            <w:r w:rsidRPr="00317ABF">
              <w:rPr>
                <w:b/>
                <w:bCs/>
                <w:noProof/>
                <w:sz w:val="22"/>
                <w:szCs w:val="22"/>
              </w:rPr>
              <w:t>Art. 36 ust. 5</w:t>
            </w:r>
          </w:p>
        </w:tc>
        <w:tc>
          <w:tcPr>
            <w:tcW w:w="6814" w:type="dxa"/>
            <w:gridSpan w:val="2"/>
          </w:tcPr>
          <w:p w14:paraId="18BDD7B6" w14:textId="4522AF7D" w:rsidR="001E1112" w:rsidRPr="00317ABF" w:rsidRDefault="001E1112" w:rsidP="00DB3BEC">
            <w:pPr>
              <w:jc w:val="both"/>
              <w:rPr>
                <w:sz w:val="22"/>
                <w:szCs w:val="22"/>
              </w:rPr>
            </w:pPr>
            <w:r w:rsidRPr="00317ABF">
              <w:rPr>
                <w:sz w:val="22"/>
                <w:szCs w:val="22"/>
              </w:rPr>
              <w:t>Art. 36 ust. 5</w:t>
            </w:r>
          </w:p>
          <w:p w14:paraId="7287B6D4" w14:textId="2E6C3334" w:rsidR="001E1112" w:rsidRPr="00317ABF" w:rsidRDefault="001E1112" w:rsidP="00DB3BEC">
            <w:pPr>
              <w:jc w:val="both"/>
              <w:rPr>
                <w:sz w:val="22"/>
                <w:szCs w:val="22"/>
              </w:rPr>
            </w:pPr>
            <w:r w:rsidRPr="00317ABF">
              <w:rPr>
                <w:sz w:val="22"/>
                <w:szCs w:val="22"/>
              </w:rPr>
              <w:t>5. Prezes UKE może wycofać projektowane rozstrzygnięcie na każdym etapie postępowania.</w:t>
            </w:r>
          </w:p>
        </w:tc>
      </w:tr>
      <w:tr w:rsidR="001E1112" w:rsidRPr="00317ABF" w14:paraId="020E0F54" w14:textId="77777777" w:rsidTr="7753F98D">
        <w:trPr>
          <w:gridAfter w:val="2"/>
          <w:wAfter w:w="175" w:type="dxa"/>
        </w:trPr>
        <w:tc>
          <w:tcPr>
            <w:tcW w:w="704" w:type="dxa"/>
          </w:tcPr>
          <w:p w14:paraId="6F6483D1" w14:textId="77777777" w:rsidR="001E1112" w:rsidRPr="00317ABF" w:rsidRDefault="001E1112" w:rsidP="00DB3BEC">
            <w:pPr>
              <w:jc w:val="both"/>
              <w:rPr>
                <w:b/>
                <w:sz w:val="22"/>
                <w:szCs w:val="22"/>
              </w:rPr>
            </w:pPr>
            <w:r w:rsidRPr="00317ABF">
              <w:rPr>
                <w:b/>
                <w:sz w:val="22"/>
                <w:szCs w:val="22"/>
              </w:rPr>
              <w:t>Art. 33</w:t>
            </w:r>
          </w:p>
        </w:tc>
        <w:tc>
          <w:tcPr>
            <w:tcW w:w="4308" w:type="dxa"/>
          </w:tcPr>
          <w:p w14:paraId="3A53D9EF" w14:textId="77777777" w:rsidR="001E1112" w:rsidRPr="00317ABF" w:rsidRDefault="001E1112" w:rsidP="00DB3BEC">
            <w:pPr>
              <w:spacing w:before="120"/>
              <w:jc w:val="both"/>
              <w:rPr>
                <w:sz w:val="22"/>
                <w:szCs w:val="22"/>
              </w:rPr>
            </w:pPr>
            <w:r w:rsidRPr="00317ABF">
              <w:rPr>
                <w:b/>
                <w:bCs/>
                <w:sz w:val="22"/>
                <w:szCs w:val="22"/>
              </w:rPr>
              <w:t>Procedura dotycząca spójnego stosowania środków naprawczych</w:t>
            </w:r>
          </w:p>
        </w:tc>
        <w:tc>
          <w:tcPr>
            <w:tcW w:w="986" w:type="dxa"/>
          </w:tcPr>
          <w:p w14:paraId="5022F28E" w14:textId="77777777" w:rsidR="001E1112" w:rsidRPr="00317ABF" w:rsidRDefault="001E1112" w:rsidP="00DB3BEC">
            <w:pPr>
              <w:jc w:val="both"/>
              <w:rPr>
                <w:sz w:val="22"/>
                <w:szCs w:val="22"/>
              </w:rPr>
            </w:pPr>
          </w:p>
        </w:tc>
        <w:tc>
          <w:tcPr>
            <w:tcW w:w="910" w:type="dxa"/>
          </w:tcPr>
          <w:p w14:paraId="6B7FF49D" w14:textId="466981B7" w:rsidR="001E1112" w:rsidRPr="00317ABF" w:rsidRDefault="001E1112" w:rsidP="00DB3BEC">
            <w:pPr>
              <w:pStyle w:val="Tekstpodstawowy"/>
              <w:rPr>
                <w:b/>
                <w:noProof/>
                <w:sz w:val="22"/>
                <w:szCs w:val="22"/>
              </w:rPr>
            </w:pPr>
          </w:p>
        </w:tc>
        <w:tc>
          <w:tcPr>
            <w:tcW w:w="6814" w:type="dxa"/>
            <w:gridSpan w:val="2"/>
          </w:tcPr>
          <w:p w14:paraId="4CC059DA" w14:textId="77777777" w:rsidR="001E1112" w:rsidRPr="00317ABF" w:rsidRDefault="001E1112" w:rsidP="00DB3BEC">
            <w:pPr>
              <w:pStyle w:val="Tekstpodstawowy"/>
              <w:rPr>
                <w:sz w:val="22"/>
                <w:szCs w:val="22"/>
              </w:rPr>
            </w:pPr>
          </w:p>
        </w:tc>
      </w:tr>
      <w:tr w:rsidR="001E1112" w:rsidRPr="00317ABF" w14:paraId="030F6E11" w14:textId="77777777" w:rsidTr="7753F98D">
        <w:trPr>
          <w:gridAfter w:val="2"/>
          <w:wAfter w:w="175" w:type="dxa"/>
        </w:trPr>
        <w:tc>
          <w:tcPr>
            <w:tcW w:w="704" w:type="dxa"/>
          </w:tcPr>
          <w:p w14:paraId="40495CF9" w14:textId="77777777" w:rsidR="001E1112" w:rsidRPr="00317ABF" w:rsidRDefault="001E1112" w:rsidP="00DB3BEC">
            <w:pPr>
              <w:jc w:val="both"/>
              <w:rPr>
                <w:sz w:val="22"/>
                <w:szCs w:val="22"/>
              </w:rPr>
            </w:pPr>
            <w:r w:rsidRPr="00317ABF">
              <w:rPr>
                <w:sz w:val="22"/>
                <w:szCs w:val="22"/>
              </w:rPr>
              <w:t>Art. 33 ust. 1</w:t>
            </w:r>
          </w:p>
        </w:tc>
        <w:tc>
          <w:tcPr>
            <w:tcW w:w="4308" w:type="dxa"/>
          </w:tcPr>
          <w:p w14:paraId="7E3456D3" w14:textId="77777777" w:rsidR="001E1112" w:rsidRPr="00317ABF" w:rsidRDefault="001E1112" w:rsidP="00DB3BEC">
            <w:pPr>
              <w:spacing w:before="120"/>
              <w:jc w:val="both"/>
              <w:rPr>
                <w:sz w:val="22"/>
                <w:szCs w:val="22"/>
              </w:rPr>
            </w:pPr>
            <w:r w:rsidRPr="00317ABF">
              <w:rPr>
                <w:sz w:val="22"/>
                <w:szCs w:val="22"/>
              </w:rPr>
              <w:t xml:space="preserve">1.   Jeżeli projektowany środek, objęty art. 32 ust. 3, ma na celu nałożenie, zmianę lub uchylenie obowiązku nałożonego na </w:t>
            </w:r>
            <w:r w:rsidRPr="00317ABF">
              <w:rPr>
                <w:sz w:val="22"/>
                <w:szCs w:val="22"/>
              </w:rPr>
              <w:lastRenderedPageBreak/>
              <w:t>przedsiębiorstwo na podstawie art. 61 lub 67 w związku z art. 69–76 oraz art. 83 Komisja może w terminie miesiąca, o którym mowa w art. 32 ust. 3, poinformować dany krajowy organ regulacyjny i BEREC o powodach uznania, że projektowany środek stanowiłby przeszkodę dla rynku wewnętrznego lub budzi poważne wątpliwości co do zgodności tego środka z prawem Unii. W takim przypadku projektowany środek nie jest przyjmowany w kolejnych trzech miesiącach następujących po zgłoszeniu dokonanym przez Komisję.</w:t>
            </w:r>
          </w:p>
          <w:p w14:paraId="4AE8C7D5" w14:textId="77777777" w:rsidR="001E1112" w:rsidRPr="00317ABF" w:rsidRDefault="001E1112" w:rsidP="00DB3BEC">
            <w:pPr>
              <w:spacing w:before="120"/>
              <w:jc w:val="both"/>
              <w:rPr>
                <w:sz w:val="22"/>
                <w:szCs w:val="22"/>
              </w:rPr>
            </w:pPr>
            <w:r w:rsidRPr="00317ABF">
              <w:rPr>
                <w:sz w:val="22"/>
                <w:szCs w:val="22"/>
              </w:rPr>
              <w:t>W przypadku braku takiego zgłoszenia właściwy krajowy organ regulacyjny może przyjąć projektowany środek, uwzględniając w jak największym zakresie wszelkie uwagi Komisji, BEREC lub innego krajowego organu regulacyjnego.</w:t>
            </w:r>
          </w:p>
        </w:tc>
        <w:tc>
          <w:tcPr>
            <w:tcW w:w="986" w:type="dxa"/>
          </w:tcPr>
          <w:p w14:paraId="41DA1215" w14:textId="4B13D981" w:rsidR="001E1112" w:rsidRPr="00317ABF" w:rsidRDefault="001E1112" w:rsidP="00DB3BEC">
            <w:pPr>
              <w:jc w:val="both"/>
              <w:rPr>
                <w:sz w:val="22"/>
                <w:szCs w:val="22"/>
              </w:rPr>
            </w:pPr>
            <w:r w:rsidRPr="00317ABF">
              <w:rPr>
                <w:sz w:val="22"/>
                <w:szCs w:val="22"/>
              </w:rPr>
              <w:lastRenderedPageBreak/>
              <w:t>T</w:t>
            </w:r>
          </w:p>
        </w:tc>
        <w:tc>
          <w:tcPr>
            <w:tcW w:w="910" w:type="dxa"/>
          </w:tcPr>
          <w:p w14:paraId="4CF13355" w14:textId="195C12D7" w:rsidR="001E1112" w:rsidRPr="00317ABF" w:rsidRDefault="001E1112" w:rsidP="00DB3BEC">
            <w:pPr>
              <w:pStyle w:val="Tekstpodstawowy"/>
              <w:rPr>
                <w:b/>
                <w:noProof/>
                <w:sz w:val="22"/>
                <w:szCs w:val="22"/>
              </w:rPr>
            </w:pPr>
            <w:r w:rsidRPr="00317ABF">
              <w:rPr>
                <w:b/>
                <w:bCs/>
                <w:noProof/>
                <w:sz w:val="22"/>
                <w:szCs w:val="22"/>
              </w:rPr>
              <w:t>Art. 37 ust. 1</w:t>
            </w:r>
          </w:p>
        </w:tc>
        <w:tc>
          <w:tcPr>
            <w:tcW w:w="6814" w:type="dxa"/>
            <w:gridSpan w:val="2"/>
          </w:tcPr>
          <w:p w14:paraId="3DA529F9" w14:textId="20D2E351" w:rsidR="001E1112" w:rsidRPr="00317ABF" w:rsidRDefault="001E1112" w:rsidP="00DB3BEC">
            <w:pPr>
              <w:jc w:val="both"/>
              <w:rPr>
                <w:sz w:val="22"/>
                <w:szCs w:val="22"/>
              </w:rPr>
            </w:pPr>
            <w:r w:rsidRPr="00317ABF">
              <w:rPr>
                <w:sz w:val="22"/>
                <w:szCs w:val="22"/>
              </w:rPr>
              <w:t xml:space="preserve">Art. 37. 1. Jeżeli w odniesieniu do rozstrzygnięcia, o którym mowa w art. 35, w zakresie nałożenia, zmiany lub uchylenia obowiązku </w:t>
            </w:r>
            <w:r w:rsidR="002013EB" w:rsidRPr="00317ABF">
              <w:rPr>
                <w:sz w:val="22"/>
                <w:szCs w:val="22"/>
              </w:rPr>
              <w:t xml:space="preserve">dostępowego symetrycznego nałożonego na podstawie art. 178 ust. 1, art. 179 oraz art. 180, obowiązku </w:t>
            </w:r>
            <w:r w:rsidRPr="00317ABF">
              <w:rPr>
                <w:sz w:val="22"/>
                <w:szCs w:val="22"/>
              </w:rPr>
              <w:t xml:space="preserve">regulacyjnego nałożonego na przedsiębiorcę komunikacji </w:t>
            </w:r>
            <w:r w:rsidRPr="00317ABF">
              <w:rPr>
                <w:sz w:val="22"/>
                <w:szCs w:val="22"/>
              </w:rPr>
              <w:lastRenderedPageBreak/>
              <w:t xml:space="preserve">elektronicznej na podstawie art. </w:t>
            </w:r>
            <w:r w:rsidR="002013EB" w:rsidRPr="00317ABF">
              <w:rPr>
                <w:sz w:val="22"/>
                <w:szCs w:val="22"/>
              </w:rPr>
              <w:t>210,</w:t>
            </w:r>
            <w:r w:rsidRPr="00317ABF">
              <w:rPr>
                <w:sz w:val="22"/>
                <w:szCs w:val="22"/>
              </w:rPr>
              <w:t xml:space="preserve"> art. </w:t>
            </w:r>
            <w:r w:rsidR="002013EB" w:rsidRPr="00317ABF">
              <w:rPr>
                <w:sz w:val="22"/>
                <w:szCs w:val="22"/>
              </w:rPr>
              <w:t>211, art. 213-215, art. 216 ust. 1, art. 219 ust. 2, art. 220 lub art. 231</w:t>
            </w:r>
            <w:r w:rsidRPr="00317ABF">
              <w:rPr>
                <w:sz w:val="22"/>
                <w:szCs w:val="22"/>
              </w:rPr>
              <w:t>, Komisja Europejska w terminie, o którym mowa w art. 36 ust. 1, zawiadomi Prezesa UKE oraz BEREC o powodach uznania, że projekt rozstrzygnięcia stanowiłby przeszkodę do tworzenia jednolitego rynku lub, że istnieją poważne wątpliwości co do zgodności tego rozstrzygnięcia z prawem Unii Europejskiej - rozstrzygnięcie to nie może zostać przyjęte przez kolejne trzy miesiące od dnia otrzymania zawiadomienia przez Prezesa UKE.</w:t>
            </w:r>
          </w:p>
        </w:tc>
      </w:tr>
      <w:tr w:rsidR="001E1112" w:rsidRPr="00317ABF" w14:paraId="4EB4D791" w14:textId="77777777" w:rsidTr="7753F98D">
        <w:trPr>
          <w:gridAfter w:val="2"/>
          <w:wAfter w:w="175" w:type="dxa"/>
        </w:trPr>
        <w:tc>
          <w:tcPr>
            <w:tcW w:w="704" w:type="dxa"/>
          </w:tcPr>
          <w:p w14:paraId="24E1946E" w14:textId="77777777" w:rsidR="001E1112" w:rsidRPr="00317ABF" w:rsidRDefault="001E1112" w:rsidP="00DB3BEC">
            <w:pPr>
              <w:jc w:val="both"/>
              <w:rPr>
                <w:sz w:val="22"/>
                <w:szCs w:val="22"/>
              </w:rPr>
            </w:pPr>
            <w:r w:rsidRPr="00317ABF">
              <w:rPr>
                <w:sz w:val="22"/>
                <w:szCs w:val="22"/>
              </w:rPr>
              <w:lastRenderedPageBreak/>
              <w:t>Art. 33 ust. 2</w:t>
            </w:r>
          </w:p>
        </w:tc>
        <w:tc>
          <w:tcPr>
            <w:tcW w:w="4308" w:type="dxa"/>
          </w:tcPr>
          <w:p w14:paraId="232AA24D" w14:textId="77777777" w:rsidR="001E1112" w:rsidRPr="00317ABF" w:rsidRDefault="001E1112" w:rsidP="00DB3BEC">
            <w:pPr>
              <w:spacing w:before="120"/>
              <w:jc w:val="both"/>
              <w:rPr>
                <w:sz w:val="22"/>
                <w:szCs w:val="22"/>
              </w:rPr>
            </w:pPr>
            <w:r w:rsidRPr="00317ABF">
              <w:rPr>
                <w:sz w:val="22"/>
                <w:szCs w:val="22"/>
              </w:rPr>
              <w:t>2.   W terminie trzech miesięcy, o którym mowa w ust. 1 niniejszego artykułu, Komisja, BEREC i właściwy krajowy organ regulacyjny ściśle współpracują w celu określenia najwłaściwszego i najskuteczniejszego środka w świetle celów ustanowionych w art. 3, biorąc jednocześnie pod uwagę opinie uczestników rynku i konieczność zapewnienia rozwoju spójnej praktyki regulacyjnej.</w:t>
            </w:r>
          </w:p>
        </w:tc>
        <w:tc>
          <w:tcPr>
            <w:tcW w:w="986" w:type="dxa"/>
          </w:tcPr>
          <w:p w14:paraId="6CD137CE" w14:textId="53743EAA" w:rsidR="001E1112" w:rsidRPr="00317ABF" w:rsidRDefault="001E1112" w:rsidP="00DB3BEC">
            <w:pPr>
              <w:jc w:val="both"/>
              <w:rPr>
                <w:sz w:val="22"/>
                <w:szCs w:val="22"/>
              </w:rPr>
            </w:pPr>
            <w:r w:rsidRPr="00317ABF">
              <w:rPr>
                <w:sz w:val="22"/>
                <w:szCs w:val="22"/>
              </w:rPr>
              <w:t>T</w:t>
            </w:r>
          </w:p>
        </w:tc>
        <w:tc>
          <w:tcPr>
            <w:tcW w:w="910" w:type="dxa"/>
          </w:tcPr>
          <w:p w14:paraId="07E4BC8B" w14:textId="53B9D672" w:rsidR="001E1112" w:rsidRPr="00317ABF" w:rsidRDefault="001E1112" w:rsidP="00DB3BEC">
            <w:pPr>
              <w:pStyle w:val="Tekstpodstawowy"/>
              <w:rPr>
                <w:b/>
                <w:noProof/>
                <w:sz w:val="22"/>
                <w:szCs w:val="22"/>
              </w:rPr>
            </w:pPr>
            <w:r w:rsidRPr="00317ABF">
              <w:rPr>
                <w:b/>
                <w:bCs/>
                <w:noProof/>
                <w:sz w:val="22"/>
                <w:szCs w:val="22"/>
              </w:rPr>
              <w:t>Art. 37 ust. 2</w:t>
            </w:r>
          </w:p>
        </w:tc>
        <w:tc>
          <w:tcPr>
            <w:tcW w:w="6814" w:type="dxa"/>
            <w:gridSpan w:val="2"/>
          </w:tcPr>
          <w:p w14:paraId="1F1E7FBD" w14:textId="26789905" w:rsidR="001E1112" w:rsidRPr="00317ABF" w:rsidRDefault="001E1112" w:rsidP="00DB3BEC">
            <w:pPr>
              <w:jc w:val="both"/>
              <w:rPr>
                <w:sz w:val="22"/>
                <w:szCs w:val="22"/>
              </w:rPr>
            </w:pPr>
            <w:r w:rsidRPr="00317ABF">
              <w:rPr>
                <w:sz w:val="22"/>
                <w:szCs w:val="22"/>
              </w:rPr>
              <w:t>Art. 37 ust. 2</w:t>
            </w:r>
          </w:p>
          <w:p w14:paraId="34F1C49A" w14:textId="01D3697F" w:rsidR="001E1112" w:rsidRPr="00317ABF" w:rsidRDefault="001E1112" w:rsidP="00DB3BEC">
            <w:pPr>
              <w:jc w:val="both"/>
              <w:rPr>
                <w:sz w:val="22"/>
                <w:szCs w:val="22"/>
              </w:rPr>
            </w:pPr>
            <w:r w:rsidRPr="00317ABF">
              <w:rPr>
                <w:sz w:val="22"/>
                <w:szCs w:val="22"/>
              </w:rPr>
              <w:t xml:space="preserve">2. W trzymiesięcznym terminie, o którym mowa w ust. 1, Prezes UKE ściśle współpracuje z Komisją Europejską oraz z BEREC w celu określenia najwłaściwszego i najskuteczniejszego rozstrzygnięcia spełniającego cele, o których mowa w art. </w:t>
            </w:r>
            <w:r w:rsidR="002013EB" w:rsidRPr="00317ABF">
              <w:rPr>
                <w:sz w:val="22"/>
                <w:szCs w:val="22"/>
              </w:rPr>
              <w:t>407</w:t>
            </w:r>
            <w:r w:rsidRPr="00317ABF">
              <w:rPr>
                <w:sz w:val="22"/>
                <w:szCs w:val="22"/>
              </w:rPr>
              <w:t xml:space="preserve"> ust. 2, biorąc jednocześnie pod uwagę opinie uczestników rynku i konieczność zapewnienia rozwoju spójnej praktyki regulacyjnej.</w:t>
            </w:r>
          </w:p>
        </w:tc>
      </w:tr>
      <w:tr w:rsidR="001E1112" w:rsidRPr="00317ABF" w14:paraId="6E1ED1DF" w14:textId="77777777" w:rsidTr="7753F98D">
        <w:trPr>
          <w:gridAfter w:val="2"/>
          <w:wAfter w:w="175" w:type="dxa"/>
        </w:trPr>
        <w:tc>
          <w:tcPr>
            <w:tcW w:w="704" w:type="dxa"/>
          </w:tcPr>
          <w:p w14:paraId="5A481F98" w14:textId="77777777" w:rsidR="001E1112" w:rsidRPr="00317ABF" w:rsidRDefault="001E1112" w:rsidP="00DB3BEC">
            <w:pPr>
              <w:jc w:val="both"/>
              <w:rPr>
                <w:sz w:val="22"/>
                <w:szCs w:val="22"/>
              </w:rPr>
            </w:pPr>
            <w:r w:rsidRPr="00317ABF">
              <w:rPr>
                <w:sz w:val="22"/>
                <w:szCs w:val="22"/>
              </w:rPr>
              <w:t>Art. 33 ust. 3</w:t>
            </w:r>
          </w:p>
        </w:tc>
        <w:tc>
          <w:tcPr>
            <w:tcW w:w="4308" w:type="dxa"/>
          </w:tcPr>
          <w:p w14:paraId="37DAD860" w14:textId="77777777" w:rsidR="001E1112" w:rsidRPr="00317ABF" w:rsidRDefault="001E1112" w:rsidP="00DB3BEC">
            <w:pPr>
              <w:spacing w:before="120"/>
              <w:jc w:val="both"/>
              <w:rPr>
                <w:sz w:val="22"/>
                <w:szCs w:val="22"/>
              </w:rPr>
            </w:pPr>
            <w:r w:rsidRPr="00317ABF">
              <w:rPr>
                <w:sz w:val="22"/>
                <w:szCs w:val="22"/>
              </w:rPr>
              <w:t>3.   W ciągu sześciu tygodni od rozpoczęcia trzymiesięcznego okresu, o którym mowa w ust. 1, BEREC wydaje opinię na temat zgłoszenia Komisji, o którym mowa w ust. 1, wskazując, czy uważa, że projektowany środek powinien zostać zmieniony czy wycofany, i przedstawia w tym celu w stosownych przypadkach szczegółowe propozycje. Opinię tę uzasadnia się i podaje do publicznej wiadomości.</w:t>
            </w:r>
          </w:p>
        </w:tc>
        <w:tc>
          <w:tcPr>
            <w:tcW w:w="986" w:type="dxa"/>
          </w:tcPr>
          <w:p w14:paraId="29BCE874" w14:textId="77777777" w:rsidR="001E1112" w:rsidRPr="00317ABF" w:rsidRDefault="001E1112" w:rsidP="00DB3BEC">
            <w:pPr>
              <w:jc w:val="both"/>
              <w:rPr>
                <w:sz w:val="22"/>
                <w:szCs w:val="22"/>
              </w:rPr>
            </w:pPr>
            <w:r w:rsidRPr="00317ABF">
              <w:rPr>
                <w:sz w:val="22"/>
                <w:szCs w:val="22"/>
              </w:rPr>
              <w:t>N</w:t>
            </w:r>
          </w:p>
        </w:tc>
        <w:tc>
          <w:tcPr>
            <w:tcW w:w="910" w:type="dxa"/>
          </w:tcPr>
          <w:p w14:paraId="6A956623" w14:textId="77777777" w:rsidR="001E1112" w:rsidRPr="00317ABF" w:rsidRDefault="001E1112" w:rsidP="00DB3BEC">
            <w:pPr>
              <w:pStyle w:val="Tekstpodstawowy"/>
              <w:rPr>
                <w:b/>
                <w:noProof/>
                <w:sz w:val="22"/>
                <w:szCs w:val="22"/>
              </w:rPr>
            </w:pPr>
          </w:p>
        </w:tc>
        <w:tc>
          <w:tcPr>
            <w:tcW w:w="6814" w:type="dxa"/>
            <w:gridSpan w:val="2"/>
          </w:tcPr>
          <w:p w14:paraId="05DBCD01" w14:textId="77777777" w:rsidR="001E1112" w:rsidRPr="00317ABF" w:rsidRDefault="001E1112" w:rsidP="00DB3BEC">
            <w:pPr>
              <w:pStyle w:val="Tekstpodstawowy"/>
              <w:rPr>
                <w:sz w:val="22"/>
                <w:szCs w:val="22"/>
              </w:rPr>
            </w:pPr>
          </w:p>
        </w:tc>
      </w:tr>
      <w:tr w:rsidR="001E1112" w:rsidRPr="00317ABF" w14:paraId="7A5E039F" w14:textId="77777777" w:rsidTr="7753F98D">
        <w:trPr>
          <w:gridAfter w:val="2"/>
          <w:wAfter w:w="175" w:type="dxa"/>
        </w:trPr>
        <w:tc>
          <w:tcPr>
            <w:tcW w:w="704" w:type="dxa"/>
          </w:tcPr>
          <w:p w14:paraId="757EA9A9" w14:textId="77777777" w:rsidR="001E1112" w:rsidRPr="00317ABF" w:rsidRDefault="001E1112" w:rsidP="00DB3BEC">
            <w:pPr>
              <w:jc w:val="both"/>
              <w:rPr>
                <w:sz w:val="22"/>
                <w:szCs w:val="22"/>
              </w:rPr>
            </w:pPr>
            <w:r w:rsidRPr="00317ABF">
              <w:rPr>
                <w:sz w:val="22"/>
                <w:szCs w:val="22"/>
              </w:rPr>
              <w:lastRenderedPageBreak/>
              <w:t>Art. 33 ust. 4</w:t>
            </w:r>
          </w:p>
        </w:tc>
        <w:tc>
          <w:tcPr>
            <w:tcW w:w="4308" w:type="dxa"/>
          </w:tcPr>
          <w:p w14:paraId="230661F1" w14:textId="77777777" w:rsidR="001E1112" w:rsidRPr="00317ABF" w:rsidRDefault="001E1112" w:rsidP="00DB3BEC">
            <w:pPr>
              <w:spacing w:before="120"/>
              <w:jc w:val="both"/>
              <w:rPr>
                <w:sz w:val="22"/>
                <w:szCs w:val="22"/>
              </w:rPr>
            </w:pPr>
            <w:r w:rsidRPr="00317ABF">
              <w:rPr>
                <w:sz w:val="22"/>
                <w:szCs w:val="22"/>
              </w:rPr>
              <w:t>4.   Jeżeli BEREC podziela w swojej opinii wątpliwości Komisji, podejmuje on ścisłą współpracę z odpowiednim krajowym organem regulacyjnym w celu określenia najwłaściwszego i najskuteczniejszego środka. Przed upływem trzymiesięcznego okresu, o którym mowa w ust. 1, krajowy organ regulacyjny może:</w:t>
            </w:r>
          </w:p>
          <w:tbl>
            <w:tblPr>
              <w:tblW w:w="5000" w:type="pct"/>
              <w:tblCellSpacing w:w="0" w:type="dxa"/>
              <w:tblLayout w:type="fixed"/>
              <w:tblCellMar>
                <w:left w:w="0" w:type="dxa"/>
                <w:right w:w="0" w:type="dxa"/>
              </w:tblCellMar>
              <w:tblLook w:val="04A0" w:firstRow="1" w:lastRow="0" w:firstColumn="1" w:lastColumn="0" w:noHBand="0" w:noVBand="1"/>
            </w:tblPr>
            <w:tblGrid>
              <w:gridCol w:w="20"/>
              <w:gridCol w:w="4148"/>
            </w:tblGrid>
            <w:tr w:rsidR="001E1112" w:rsidRPr="00317ABF" w14:paraId="1A1694A5" w14:textId="77777777" w:rsidTr="00345B65">
              <w:trPr>
                <w:tblCellSpacing w:w="0" w:type="dxa"/>
              </w:trPr>
              <w:tc>
                <w:tcPr>
                  <w:tcW w:w="6" w:type="dxa"/>
                  <w:hideMark/>
                </w:tcPr>
                <w:p w14:paraId="4F027B32" w14:textId="77777777" w:rsidR="001E1112" w:rsidRPr="00317ABF" w:rsidRDefault="001E1112" w:rsidP="00EE0AC3">
                  <w:pPr>
                    <w:framePr w:hSpace="141" w:wrap="around" w:vAnchor="text" w:hAnchor="text" w:xAlign="right" w:y="1"/>
                    <w:spacing w:before="120"/>
                    <w:suppressOverlap/>
                    <w:jc w:val="both"/>
                    <w:rPr>
                      <w:sz w:val="22"/>
                      <w:szCs w:val="22"/>
                    </w:rPr>
                  </w:pPr>
                </w:p>
              </w:tc>
              <w:tc>
                <w:tcPr>
                  <w:tcW w:w="9066" w:type="dxa"/>
                  <w:hideMark/>
                </w:tcPr>
                <w:p w14:paraId="0D85E4A1" w14:textId="77777777" w:rsidR="001E1112" w:rsidRPr="00317ABF" w:rsidRDefault="001E1112" w:rsidP="00EE0AC3">
                  <w:pPr>
                    <w:framePr w:hSpace="141" w:wrap="around" w:vAnchor="text" w:hAnchor="text" w:xAlign="right" w:y="1"/>
                    <w:numPr>
                      <w:ilvl w:val="0"/>
                      <w:numId w:val="19"/>
                    </w:numPr>
                    <w:spacing w:before="120"/>
                    <w:suppressOverlap/>
                    <w:jc w:val="both"/>
                    <w:rPr>
                      <w:sz w:val="22"/>
                      <w:szCs w:val="22"/>
                    </w:rPr>
                  </w:pPr>
                  <w:r w:rsidRPr="00317ABF">
                    <w:rPr>
                      <w:sz w:val="22"/>
                      <w:szCs w:val="22"/>
                    </w:rPr>
                    <w:t>zmienić lub wycofać projektowany środek, uwzględniając w jak największym stopniu zgłoszenie Komisji, o którym mowa w ust. 1, oraz opinię BEREC; albo</w:t>
                  </w:r>
                </w:p>
              </w:tc>
            </w:tr>
          </w:tbl>
          <w:p w14:paraId="63FF2D74" w14:textId="77777777" w:rsidR="001E1112" w:rsidRPr="00317ABF" w:rsidRDefault="001E1112" w:rsidP="00DB3BEC">
            <w:pPr>
              <w:jc w:val="both"/>
              <w:rPr>
                <w:vanish/>
                <w:sz w:val="22"/>
                <w:szCs w:val="22"/>
              </w:rPr>
            </w:pPr>
          </w:p>
          <w:tbl>
            <w:tblPr>
              <w:tblW w:w="5000" w:type="pct"/>
              <w:tblCellSpacing w:w="0" w:type="dxa"/>
              <w:tblLayout w:type="fixed"/>
              <w:tblCellMar>
                <w:left w:w="0" w:type="dxa"/>
                <w:right w:w="0" w:type="dxa"/>
              </w:tblCellMar>
              <w:tblLook w:val="04A0" w:firstRow="1" w:lastRow="0" w:firstColumn="1" w:lastColumn="0" w:noHBand="0" w:noVBand="1"/>
            </w:tblPr>
            <w:tblGrid>
              <w:gridCol w:w="20"/>
              <w:gridCol w:w="4148"/>
            </w:tblGrid>
            <w:tr w:rsidR="001E1112" w:rsidRPr="00317ABF" w14:paraId="251FA628" w14:textId="77777777" w:rsidTr="00345B65">
              <w:trPr>
                <w:tblCellSpacing w:w="0" w:type="dxa"/>
              </w:trPr>
              <w:tc>
                <w:tcPr>
                  <w:tcW w:w="15" w:type="dxa"/>
                  <w:hideMark/>
                </w:tcPr>
                <w:p w14:paraId="3DCF3892" w14:textId="77777777" w:rsidR="001E1112" w:rsidRPr="00317ABF" w:rsidRDefault="001E1112" w:rsidP="00EE0AC3">
                  <w:pPr>
                    <w:framePr w:hSpace="141" w:wrap="around" w:vAnchor="text" w:hAnchor="text" w:xAlign="right" w:y="1"/>
                    <w:spacing w:before="120"/>
                    <w:suppressOverlap/>
                    <w:jc w:val="both"/>
                    <w:rPr>
                      <w:sz w:val="22"/>
                      <w:szCs w:val="22"/>
                    </w:rPr>
                  </w:pPr>
                </w:p>
              </w:tc>
              <w:tc>
                <w:tcPr>
                  <w:tcW w:w="9057" w:type="dxa"/>
                  <w:hideMark/>
                </w:tcPr>
                <w:p w14:paraId="0161BD3F" w14:textId="77777777" w:rsidR="001E1112" w:rsidRPr="00317ABF" w:rsidRDefault="001E1112" w:rsidP="00EE0AC3">
                  <w:pPr>
                    <w:framePr w:hSpace="141" w:wrap="around" w:vAnchor="text" w:hAnchor="text" w:xAlign="right" w:y="1"/>
                    <w:numPr>
                      <w:ilvl w:val="0"/>
                      <w:numId w:val="19"/>
                    </w:numPr>
                    <w:spacing w:before="120"/>
                    <w:suppressOverlap/>
                    <w:jc w:val="both"/>
                    <w:rPr>
                      <w:sz w:val="22"/>
                      <w:szCs w:val="22"/>
                    </w:rPr>
                  </w:pPr>
                  <w:r w:rsidRPr="00317ABF">
                    <w:rPr>
                      <w:sz w:val="22"/>
                      <w:szCs w:val="22"/>
                    </w:rPr>
                    <w:t>utrzymać swój projektowany środek.</w:t>
                  </w:r>
                </w:p>
              </w:tc>
            </w:tr>
          </w:tbl>
          <w:p w14:paraId="2787F392" w14:textId="77777777" w:rsidR="001E1112" w:rsidRPr="00317ABF" w:rsidRDefault="001E1112" w:rsidP="00DB3BEC">
            <w:pPr>
              <w:spacing w:before="120"/>
              <w:jc w:val="both"/>
              <w:rPr>
                <w:sz w:val="22"/>
                <w:szCs w:val="22"/>
              </w:rPr>
            </w:pPr>
          </w:p>
        </w:tc>
        <w:tc>
          <w:tcPr>
            <w:tcW w:w="986" w:type="dxa"/>
          </w:tcPr>
          <w:p w14:paraId="5D068C59" w14:textId="14EAE0F9" w:rsidR="001E1112" w:rsidRPr="00317ABF" w:rsidRDefault="001E1112" w:rsidP="00DB3BEC">
            <w:pPr>
              <w:jc w:val="both"/>
              <w:rPr>
                <w:sz w:val="22"/>
                <w:szCs w:val="22"/>
              </w:rPr>
            </w:pPr>
            <w:r w:rsidRPr="00317ABF">
              <w:rPr>
                <w:sz w:val="22"/>
                <w:szCs w:val="22"/>
              </w:rPr>
              <w:t>T</w:t>
            </w:r>
          </w:p>
        </w:tc>
        <w:tc>
          <w:tcPr>
            <w:tcW w:w="910" w:type="dxa"/>
          </w:tcPr>
          <w:p w14:paraId="341A276E" w14:textId="47141BBC" w:rsidR="001E1112" w:rsidRPr="00317ABF" w:rsidRDefault="001E1112" w:rsidP="00DB3BEC">
            <w:pPr>
              <w:pStyle w:val="Tekstpodstawowy"/>
              <w:rPr>
                <w:b/>
                <w:noProof/>
                <w:sz w:val="22"/>
                <w:szCs w:val="22"/>
              </w:rPr>
            </w:pPr>
            <w:r w:rsidRPr="00317ABF">
              <w:rPr>
                <w:b/>
                <w:bCs/>
                <w:noProof/>
                <w:sz w:val="22"/>
                <w:szCs w:val="22"/>
              </w:rPr>
              <w:t>Art. 37 ust. 3 i 4</w:t>
            </w:r>
          </w:p>
        </w:tc>
        <w:tc>
          <w:tcPr>
            <w:tcW w:w="6814" w:type="dxa"/>
            <w:gridSpan w:val="2"/>
          </w:tcPr>
          <w:p w14:paraId="21E71136" w14:textId="01153F3A" w:rsidR="001E1112" w:rsidRPr="00317ABF" w:rsidRDefault="001E1112" w:rsidP="00DB3BEC">
            <w:pPr>
              <w:jc w:val="both"/>
              <w:rPr>
                <w:sz w:val="22"/>
                <w:szCs w:val="22"/>
              </w:rPr>
            </w:pPr>
            <w:r w:rsidRPr="00317ABF">
              <w:rPr>
                <w:sz w:val="22"/>
                <w:szCs w:val="22"/>
              </w:rPr>
              <w:t>Art. 37 ust. 3 i 4</w:t>
            </w:r>
          </w:p>
          <w:p w14:paraId="0C8F69CC" w14:textId="77777777" w:rsidR="002013EB" w:rsidRPr="00317ABF" w:rsidRDefault="002013EB" w:rsidP="00DB3BEC">
            <w:pPr>
              <w:jc w:val="both"/>
              <w:rPr>
                <w:sz w:val="22"/>
                <w:szCs w:val="22"/>
              </w:rPr>
            </w:pPr>
          </w:p>
          <w:p w14:paraId="3F2A0D44" w14:textId="42FDDB61" w:rsidR="001E1112" w:rsidRPr="00317ABF" w:rsidRDefault="001E1112" w:rsidP="00DB3BEC">
            <w:pPr>
              <w:jc w:val="both"/>
              <w:rPr>
                <w:sz w:val="22"/>
                <w:szCs w:val="22"/>
              </w:rPr>
            </w:pPr>
            <w:r w:rsidRPr="00317ABF">
              <w:rPr>
                <w:sz w:val="22"/>
                <w:szCs w:val="22"/>
              </w:rPr>
              <w:t>3. Jeżeli BEREC podziela stanowisko Komisji Europejskiej wyrażone w zawiadomieniu, o którym mowa w ust. 1, Prezes UKE współpracuje z BEREC w celu określenia najwłaściwszego i najskuteczniejszego rozstrzygnięcia.</w:t>
            </w:r>
          </w:p>
          <w:p w14:paraId="0E29EED2" w14:textId="361018E5" w:rsidR="001E1112" w:rsidRPr="00317ABF" w:rsidRDefault="001E1112" w:rsidP="00DB3BEC">
            <w:pPr>
              <w:jc w:val="both"/>
              <w:rPr>
                <w:sz w:val="22"/>
                <w:szCs w:val="22"/>
              </w:rPr>
            </w:pPr>
            <w:r w:rsidRPr="00317ABF">
              <w:rPr>
                <w:sz w:val="22"/>
                <w:szCs w:val="22"/>
              </w:rPr>
              <w:t>4. Przed upływem trzymiesięcznego terminu, o którym mowa w ust. 1, Prezes UKE może:</w:t>
            </w:r>
          </w:p>
          <w:p w14:paraId="671FAAB1" w14:textId="77777777" w:rsidR="002013EB" w:rsidRPr="00317ABF" w:rsidRDefault="002013EB" w:rsidP="002013EB">
            <w:pPr>
              <w:jc w:val="both"/>
              <w:rPr>
                <w:sz w:val="22"/>
                <w:szCs w:val="22"/>
              </w:rPr>
            </w:pPr>
            <w:r w:rsidRPr="00317ABF">
              <w:rPr>
                <w:sz w:val="22"/>
                <w:szCs w:val="22"/>
              </w:rPr>
              <w:t>1)</w:t>
            </w:r>
            <w:r w:rsidRPr="00317ABF">
              <w:rPr>
                <w:sz w:val="22"/>
                <w:szCs w:val="22"/>
              </w:rPr>
              <w:tab/>
              <w:t>zmienić lub wycofać projektowane rozstrzygnięcie, uwzględniając w jak największym stopniu zawiadomienie Komisji Europejskiej, o którym mowa w ust. 1, oraz opinię BEREC albo</w:t>
            </w:r>
          </w:p>
          <w:p w14:paraId="53BACD0F" w14:textId="44E440B6" w:rsidR="001E1112" w:rsidRPr="00317ABF" w:rsidRDefault="001E1112" w:rsidP="00DB3BEC">
            <w:pPr>
              <w:jc w:val="both"/>
              <w:rPr>
                <w:sz w:val="22"/>
                <w:szCs w:val="22"/>
              </w:rPr>
            </w:pPr>
            <w:r w:rsidRPr="00317ABF">
              <w:rPr>
                <w:sz w:val="22"/>
                <w:szCs w:val="22"/>
              </w:rPr>
              <w:t>2)</w:t>
            </w:r>
            <w:r w:rsidR="002013EB" w:rsidRPr="00317ABF">
              <w:rPr>
                <w:sz w:val="22"/>
                <w:szCs w:val="22"/>
              </w:rPr>
              <w:tab/>
            </w:r>
            <w:r w:rsidRPr="00317ABF">
              <w:rPr>
                <w:sz w:val="22"/>
                <w:szCs w:val="22"/>
              </w:rPr>
              <w:t>podtrzymać swoje projektowane rozstrzygnięcie.</w:t>
            </w:r>
          </w:p>
        </w:tc>
      </w:tr>
      <w:tr w:rsidR="001E1112" w:rsidRPr="00317ABF" w14:paraId="0A18CCF2" w14:textId="77777777" w:rsidTr="7753F98D">
        <w:trPr>
          <w:gridAfter w:val="2"/>
          <w:wAfter w:w="175" w:type="dxa"/>
        </w:trPr>
        <w:tc>
          <w:tcPr>
            <w:tcW w:w="704" w:type="dxa"/>
          </w:tcPr>
          <w:p w14:paraId="0C82BCEE" w14:textId="77777777" w:rsidR="001E1112" w:rsidRPr="00317ABF" w:rsidRDefault="001E1112" w:rsidP="00DB3BEC">
            <w:pPr>
              <w:jc w:val="both"/>
              <w:rPr>
                <w:sz w:val="22"/>
                <w:szCs w:val="22"/>
              </w:rPr>
            </w:pPr>
            <w:r w:rsidRPr="00317ABF">
              <w:rPr>
                <w:sz w:val="22"/>
                <w:szCs w:val="22"/>
              </w:rPr>
              <w:t>Art. 33 ust. 5</w:t>
            </w:r>
          </w:p>
        </w:tc>
        <w:tc>
          <w:tcPr>
            <w:tcW w:w="4308" w:type="dxa"/>
          </w:tcPr>
          <w:p w14:paraId="5521B32B" w14:textId="77777777" w:rsidR="001E1112" w:rsidRPr="00317ABF" w:rsidRDefault="001E1112" w:rsidP="00DB3BEC">
            <w:pPr>
              <w:spacing w:before="120"/>
              <w:jc w:val="both"/>
              <w:rPr>
                <w:sz w:val="22"/>
                <w:szCs w:val="22"/>
              </w:rPr>
            </w:pPr>
            <w:r w:rsidRPr="00317ABF">
              <w:rPr>
                <w:sz w:val="22"/>
                <w:szCs w:val="22"/>
              </w:rPr>
              <w:t>5.   W ciągu jednego miesiąca od upływu trzymiesięcznego okresu, o którym mowa w ust. 1, oraz przy uwzględnieniu w jak największym stopniu opinii BEREC, jeżeli została ona wydana, Komisja może:</w:t>
            </w:r>
          </w:p>
          <w:tbl>
            <w:tblPr>
              <w:tblW w:w="5000" w:type="pct"/>
              <w:tblCellSpacing w:w="0" w:type="dxa"/>
              <w:tblLayout w:type="fixed"/>
              <w:tblCellMar>
                <w:left w:w="0" w:type="dxa"/>
                <w:right w:w="0" w:type="dxa"/>
              </w:tblCellMar>
              <w:tblLook w:val="04A0" w:firstRow="1" w:lastRow="0" w:firstColumn="1" w:lastColumn="0" w:noHBand="0" w:noVBand="1"/>
            </w:tblPr>
            <w:tblGrid>
              <w:gridCol w:w="20"/>
              <w:gridCol w:w="4148"/>
            </w:tblGrid>
            <w:tr w:rsidR="001E1112" w:rsidRPr="00317ABF" w14:paraId="427DB541" w14:textId="77777777" w:rsidTr="00345B65">
              <w:trPr>
                <w:tblCellSpacing w:w="0" w:type="dxa"/>
              </w:trPr>
              <w:tc>
                <w:tcPr>
                  <w:tcW w:w="6" w:type="dxa"/>
                  <w:hideMark/>
                </w:tcPr>
                <w:p w14:paraId="4AE6BDC3" w14:textId="77777777" w:rsidR="001E1112" w:rsidRPr="00317ABF" w:rsidRDefault="001E1112" w:rsidP="00EE0AC3">
                  <w:pPr>
                    <w:framePr w:hSpace="141" w:wrap="around" w:vAnchor="text" w:hAnchor="text" w:xAlign="right" w:y="1"/>
                    <w:spacing w:before="120"/>
                    <w:suppressOverlap/>
                    <w:jc w:val="both"/>
                    <w:rPr>
                      <w:sz w:val="22"/>
                      <w:szCs w:val="22"/>
                    </w:rPr>
                  </w:pPr>
                </w:p>
              </w:tc>
              <w:tc>
                <w:tcPr>
                  <w:tcW w:w="9066" w:type="dxa"/>
                  <w:hideMark/>
                </w:tcPr>
                <w:p w14:paraId="216985F3" w14:textId="77777777" w:rsidR="001E1112" w:rsidRPr="00317ABF" w:rsidRDefault="001E1112" w:rsidP="00EE0AC3">
                  <w:pPr>
                    <w:framePr w:hSpace="141" w:wrap="around" w:vAnchor="text" w:hAnchor="text" w:xAlign="right" w:y="1"/>
                    <w:numPr>
                      <w:ilvl w:val="0"/>
                      <w:numId w:val="20"/>
                    </w:numPr>
                    <w:spacing w:before="120"/>
                    <w:suppressOverlap/>
                    <w:jc w:val="both"/>
                    <w:rPr>
                      <w:sz w:val="22"/>
                      <w:szCs w:val="22"/>
                    </w:rPr>
                  </w:pPr>
                  <w:r w:rsidRPr="00317ABF">
                    <w:rPr>
                      <w:sz w:val="22"/>
                      <w:szCs w:val="22"/>
                    </w:rPr>
                    <w:t>wydać zalecenie zobowiązujące właściwy krajowy organ regulacyjny do zmiany lub wycofania planowanego środka, włącznie z przedstawieniem szczegółowych propozycji w tym zakresie, i zawierające uzasadnienie wydania tego zalecenia, w szczególności jeżeli BEREC nie podziela poważnych wątpliwości Komisji;</w:t>
                  </w:r>
                </w:p>
              </w:tc>
            </w:tr>
          </w:tbl>
          <w:p w14:paraId="6CDA7058" w14:textId="77777777" w:rsidR="001E1112" w:rsidRPr="00317ABF" w:rsidRDefault="001E1112" w:rsidP="00DB3BEC">
            <w:pPr>
              <w:jc w:val="both"/>
              <w:rPr>
                <w:vanish/>
                <w:sz w:val="22"/>
                <w:szCs w:val="22"/>
              </w:rPr>
            </w:pPr>
          </w:p>
          <w:tbl>
            <w:tblPr>
              <w:tblW w:w="5000" w:type="pct"/>
              <w:tblCellSpacing w:w="0" w:type="dxa"/>
              <w:tblLayout w:type="fixed"/>
              <w:tblCellMar>
                <w:left w:w="0" w:type="dxa"/>
                <w:right w:w="0" w:type="dxa"/>
              </w:tblCellMar>
              <w:tblLook w:val="04A0" w:firstRow="1" w:lastRow="0" w:firstColumn="1" w:lastColumn="0" w:noHBand="0" w:noVBand="1"/>
            </w:tblPr>
            <w:tblGrid>
              <w:gridCol w:w="20"/>
              <w:gridCol w:w="4148"/>
            </w:tblGrid>
            <w:tr w:rsidR="001E1112" w:rsidRPr="00317ABF" w14:paraId="3B79158C" w14:textId="77777777" w:rsidTr="00345B65">
              <w:trPr>
                <w:tblCellSpacing w:w="0" w:type="dxa"/>
              </w:trPr>
              <w:tc>
                <w:tcPr>
                  <w:tcW w:w="8" w:type="dxa"/>
                  <w:hideMark/>
                </w:tcPr>
                <w:p w14:paraId="1D7BD492" w14:textId="77777777" w:rsidR="001E1112" w:rsidRPr="00317ABF" w:rsidRDefault="001E1112" w:rsidP="00EE0AC3">
                  <w:pPr>
                    <w:framePr w:hSpace="141" w:wrap="around" w:vAnchor="text" w:hAnchor="text" w:xAlign="right" w:y="1"/>
                    <w:spacing w:before="120"/>
                    <w:suppressOverlap/>
                    <w:jc w:val="both"/>
                    <w:rPr>
                      <w:sz w:val="22"/>
                      <w:szCs w:val="22"/>
                    </w:rPr>
                  </w:pPr>
                </w:p>
              </w:tc>
              <w:tc>
                <w:tcPr>
                  <w:tcW w:w="9064" w:type="dxa"/>
                  <w:hideMark/>
                </w:tcPr>
                <w:p w14:paraId="1689E3FF" w14:textId="77777777" w:rsidR="001E1112" w:rsidRPr="00317ABF" w:rsidRDefault="001E1112" w:rsidP="00EE0AC3">
                  <w:pPr>
                    <w:framePr w:hSpace="141" w:wrap="around" w:vAnchor="text" w:hAnchor="text" w:xAlign="right" w:y="1"/>
                    <w:numPr>
                      <w:ilvl w:val="0"/>
                      <w:numId w:val="20"/>
                    </w:numPr>
                    <w:spacing w:before="120"/>
                    <w:suppressOverlap/>
                    <w:jc w:val="both"/>
                    <w:rPr>
                      <w:sz w:val="22"/>
                      <w:szCs w:val="22"/>
                    </w:rPr>
                  </w:pPr>
                  <w:r w:rsidRPr="00317ABF">
                    <w:rPr>
                      <w:sz w:val="22"/>
                      <w:szCs w:val="22"/>
                    </w:rPr>
                    <w:t>podjąć decyzję o wycofaniu zastrzeżeń zgłoszonych zgodnie z ust. 1; lub</w:t>
                  </w:r>
                </w:p>
              </w:tc>
            </w:tr>
          </w:tbl>
          <w:p w14:paraId="1D1F4880" w14:textId="77777777" w:rsidR="001E1112" w:rsidRPr="00317ABF" w:rsidRDefault="001E1112" w:rsidP="00DB3BEC">
            <w:pPr>
              <w:jc w:val="both"/>
              <w:rPr>
                <w:vanish/>
                <w:sz w:val="22"/>
                <w:szCs w:val="22"/>
              </w:rPr>
            </w:pPr>
          </w:p>
          <w:tbl>
            <w:tblPr>
              <w:tblW w:w="5000" w:type="pct"/>
              <w:tblCellSpacing w:w="0" w:type="dxa"/>
              <w:tblLayout w:type="fixed"/>
              <w:tblCellMar>
                <w:left w:w="0" w:type="dxa"/>
                <w:right w:w="0" w:type="dxa"/>
              </w:tblCellMar>
              <w:tblLook w:val="04A0" w:firstRow="1" w:lastRow="0" w:firstColumn="1" w:lastColumn="0" w:noHBand="0" w:noVBand="1"/>
            </w:tblPr>
            <w:tblGrid>
              <w:gridCol w:w="20"/>
              <w:gridCol w:w="4148"/>
            </w:tblGrid>
            <w:tr w:rsidR="001E1112" w:rsidRPr="00317ABF" w14:paraId="59A95E32" w14:textId="77777777" w:rsidTr="00345B65">
              <w:trPr>
                <w:tblCellSpacing w:w="0" w:type="dxa"/>
              </w:trPr>
              <w:tc>
                <w:tcPr>
                  <w:tcW w:w="6" w:type="dxa"/>
                  <w:hideMark/>
                </w:tcPr>
                <w:p w14:paraId="0612E972" w14:textId="77777777" w:rsidR="001E1112" w:rsidRPr="00317ABF" w:rsidRDefault="001E1112" w:rsidP="00EE0AC3">
                  <w:pPr>
                    <w:framePr w:hSpace="141" w:wrap="around" w:vAnchor="text" w:hAnchor="text" w:xAlign="right" w:y="1"/>
                    <w:spacing w:before="120"/>
                    <w:suppressOverlap/>
                    <w:jc w:val="both"/>
                    <w:rPr>
                      <w:sz w:val="22"/>
                      <w:szCs w:val="22"/>
                    </w:rPr>
                  </w:pPr>
                </w:p>
              </w:tc>
              <w:tc>
                <w:tcPr>
                  <w:tcW w:w="9066" w:type="dxa"/>
                  <w:hideMark/>
                </w:tcPr>
                <w:p w14:paraId="09FB4E70" w14:textId="77777777" w:rsidR="001E1112" w:rsidRPr="00317ABF" w:rsidRDefault="001E1112" w:rsidP="00EE0AC3">
                  <w:pPr>
                    <w:framePr w:hSpace="141" w:wrap="around" w:vAnchor="text" w:hAnchor="text" w:xAlign="right" w:y="1"/>
                    <w:numPr>
                      <w:ilvl w:val="0"/>
                      <w:numId w:val="20"/>
                    </w:numPr>
                    <w:spacing w:before="120"/>
                    <w:suppressOverlap/>
                    <w:jc w:val="both"/>
                    <w:rPr>
                      <w:sz w:val="22"/>
                      <w:szCs w:val="22"/>
                    </w:rPr>
                  </w:pPr>
                  <w:r w:rsidRPr="00317ABF">
                    <w:rPr>
                      <w:sz w:val="22"/>
                      <w:szCs w:val="22"/>
                    </w:rPr>
                    <w:t>w przypadku planowanych środków objętych art. 61 ust. 3 akapit drugi lub art. 76 ust. 2 – podjąć decyzję zobowiązującą krajowy organ regulacyjny do wycofania planowanego środka, jeżeli BEREC zgłosi Komisji poważne wątpliwości, które zawierają szczegółową i obiektywną analizę, dlaczego Komisja uznaje, że projektowany środek nie powinien zostać przyjęty, łącznie ze szczegółowymi propozycjami w sprawie zmiany planowanego środka, pod warunkiem zastosowania odpowiednio procedury, o której mowa w art. 32 ust. 7.</w:t>
                  </w:r>
                </w:p>
              </w:tc>
            </w:tr>
          </w:tbl>
          <w:p w14:paraId="4DFFF28C" w14:textId="77777777" w:rsidR="001E1112" w:rsidRPr="00317ABF" w:rsidRDefault="001E1112" w:rsidP="00DB3BEC">
            <w:pPr>
              <w:spacing w:before="120"/>
              <w:jc w:val="both"/>
              <w:rPr>
                <w:sz w:val="22"/>
                <w:szCs w:val="22"/>
              </w:rPr>
            </w:pPr>
          </w:p>
        </w:tc>
        <w:tc>
          <w:tcPr>
            <w:tcW w:w="986" w:type="dxa"/>
          </w:tcPr>
          <w:p w14:paraId="79229FFF" w14:textId="2039CFC6" w:rsidR="001E1112" w:rsidRPr="00317ABF" w:rsidRDefault="001E1112" w:rsidP="00DB3BEC">
            <w:pPr>
              <w:jc w:val="both"/>
              <w:rPr>
                <w:sz w:val="22"/>
                <w:szCs w:val="22"/>
              </w:rPr>
            </w:pPr>
          </w:p>
          <w:p w14:paraId="36625C6D" w14:textId="38A87359" w:rsidR="001E1112" w:rsidRPr="00317ABF" w:rsidRDefault="001E1112" w:rsidP="00DB3BEC">
            <w:pPr>
              <w:jc w:val="both"/>
              <w:rPr>
                <w:sz w:val="22"/>
                <w:szCs w:val="22"/>
              </w:rPr>
            </w:pPr>
          </w:p>
          <w:p w14:paraId="33AD569F" w14:textId="16B3A4F9" w:rsidR="001E1112" w:rsidRPr="00317ABF" w:rsidRDefault="001E1112" w:rsidP="00DB3BEC">
            <w:pPr>
              <w:jc w:val="both"/>
              <w:rPr>
                <w:sz w:val="22"/>
                <w:szCs w:val="22"/>
              </w:rPr>
            </w:pPr>
          </w:p>
          <w:p w14:paraId="1F2B6198" w14:textId="7C2EA7ED" w:rsidR="001E1112" w:rsidRPr="00317ABF" w:rsidRDefault="001E1112" w:rsidP="00DB3BEC">
            <w:pPr>
              <w:jc w:val="both"/>
              <w:rPr>
                <w:sz w:val="22"/>
                <w:szCs w:val="22"/>
              </w:rPr>
            </w:pPr>
          </w:p>
          <w:p w14:paraId="4865FE4D" w14:textId="1C1BBB85" w:rsidR="001E1112" w:rsidRPr="00317ABF" w:rsidRDefault="001E1112" w:rsidP="00DB3BEC">
            <w:pPr>
              <w:jc w:val="both"/>
              <w:rPr>
                <w:sz w:val="22"/>
                <w:szCs w:val="22"/>
              </w:rPr>
            </w:pPr>
          </w:p>
          <w:p w14:paraId="43DEBFCC" w14:textId="62730090" w:rsidR="001E1112" w:rsidRPr="00317ABF" w:rsidRDefault="001E1112" w:rsidP="00DB3BEC">
            <w:pPr>
              <w:jc w:val="both"/>
              <w:rPr>
                <w:sz w:val="22"/>
                <w:szCs w:val="22"/>
              </w:rPr>
            </w:pPr>
            <w:r w:rsidRPr="00317ABF">
              <w:rPr>
                <w:sz w:val="22"/>
                <w:szCs w:val="22"/>
              </w:rPr>
              <w:t>N</w:t>
            </w:r>
          </w:p>
          <w:p w14:paraId="5CDB739B" w14:textId="00BE6B3A" w:rsidR="001E1112" w:rsidRPr="00317ABF" w:rsidRDefault="001E1112" w:rsidP="00DB3BEC">
            <w:pPr>
              <w:jc w:val="both"/>
              <w:rPr>
                <w:sz w:val="22"/>
                <w:szCs w:val="22"/>
              </w:rPr>
            </w:pPr>
          </w:p>
          <w:p w14:paraId="04645EEC" w14:textId="465C4A1F" w:rsidR="001E1112" w:rsidRPr="00317ABF" w:rsidRDefault="001E1112" w:rsidP="00DB3BEC">
            <w:pPr>
              <w:jc w:val="both"/>
              <w:rPr>
                <w:sz w:val="22"/>
                <w:szCs w:val="22"/>
              </w:rPr>
            </w:pPr>
          </w:p>
          <w:p w14:paraId="61036F99" w14:textId="308BAD1A" w:rsidR="001E1112" w:rsidRPr="00317ABF" w:rsidRDefault="001E1112" w:rsidP="00DB3BEC">
            <w:pPr>
              <w:jc w:val="both"/>
              <w:rPr>
                <w:sz w:val="22"/>
                <w:szCs w:val="22"/>
              </w:rPr>
            </w:pPr>
          </w:p>
          <w:p w14:paraId="17193F2B" w14:textId="734C9574" w:rsidR="001E1112" w:rsidRPr="00317ABF" w:rsidRDefault="001E1112" w:rsidP="00DB3BEC">
            <w:pPr>
              <w:jc w:val="both"/>
              <w:rPr>
                <w:sz w:val="22"/>
                <w:szCs w:val="22"/>
              </w:rPr>
            </w:pPr>
          </w:p>
          <w:p w14:paraId="7451DE46" w14:textId="57A2F89B" w:rsidR="001E1112" w:rsidRPr="00317ABF" w:rsidRDefault="001E1112" w:rsidP="00DB3BEC">
            <w:pPr>
              <w:jc w:val="both"/>
              <w:rPr>
                <w:sz w:val="22"/>
                <w:szCs w:val="22"/>
              </w:rPr>
            </w:pPr>
          </w:p>
          <w:p w14:paraId="0FB32E4D" w14:textId="67CED8AD" w:rsidR="001E1112" w:rsidRPr="00317ABF" w:rsidRDefault="001E1112" w:rsidP="00DB3BEC">
            <w:pPr>
              <w:jc w:val="both"/>
              <w:rPr>
                <w:sz w:val="22"/>
                <w:szCs w:val="22"/>
              </w:rPr>
            </w:pPr>
          </w:p>
          <w:p w14:paraId="6215F30F" w14:textId="642441A5" w:rsidR="001E1112" w:rsidRPr="00317ABF" w:rsidRDefault="001E1112" w:rsidP="00DB3BEC">
            <w:pPr>
              <w:jc w:val="both"/>
              <w:rPr>
                <w:sz w:val="22"/>
                <w:szCs w:val="22"/>
              </w:rPr>
            </w:pPr>
          </w:p>
          <w:p w14:paraId="70C8E2D1" w14:textId="4ADE9B53" w:rsidR="001E1112" w:rsidRPr="00317ABF" w:rsidRDefault="001E1112" w:rsidP="00DB3BEC">
            <w:pPr>
              <w:jc w:val="both"/>
              <w:rPr>
                <w:sz w:val="22"/>
                <w:szCs w:val="22"/>
              </w:rPr>
            </w:pPr>
          </w:p>
          <w:p w14:paraId="08CE0ABA" w14:textId="792FCCD2" w:rsidR="001E1112" w:rsidRPr="00317ABF" w:rsidRDefault="001E1112" w:rsidP="00DB3BEC">
            <w:pPr>
              <w:jc w:val="both"/>
              <w:rPr>
                <w:sz w:val="22"/>
                <w:szCs w:val="22"/>
              </w:rPr>
            </w:pPr>
          </w:p>
          <w:p w14:paraId="283BD053" w14:textId="4680C1CA" w:rsidR="001E1112" w:rsidRPr="00317ABF" w:rsidRDefault="001E1112" w:rsidP="00DB3BEC">
            <w:pPr>
              <w:jc w:val="both"/>
              <w:rPr>
                <w:sz w:val="22"/>
                <w:szCs w:val="22"/>
              </w:rPr>
            </w:pPr>
          </w:p>
          <w:p w14:paraId="1C9FBA40" w14:textId="0405F595" w:rsidR="001E1112" w:rsidRPr="00317ABF" w:rsidRDefault="001E1112" w:rsidP="00DB3BEC">
            <w:pPr>
              <w:jc w:val="both"/>
              <w:rPr>
                <w:sz w:val="22"/>
                <w:szCs w:val="22"/>
              </w:rPr>
            </w:pPr>
            <w:r w:rsidRPr="00317ABF">
              <w:rPr>
                <w:sz w:val="22"/>
                <w:szCs w:val="22"/>
              </w:rPr>
              <w:t>N</w:t>
            </w:r>
          </w:p>
          <w:p w14:paraId="2D7C32C4" w14:textId="0E1DE83A" w:rsidR="001E1112" w:rsidRPr="00317ABF" w:rsidRDefault="001E1112" w:rsidP="00DB3BEC">
            <w:pPr>
              <w:jc w:val="both"/>
              <w:rPr>
                <w:sz w:val="22"/>
                <w:szCs w:val="22"/>
              </w:rPr>
            </w:pPr>
          </w:p>
          <w:p w14:paraId="2CD5D529" w14:textId="30C07180" w:rsidR="001E1112" w:rsidRPr="00317ABF" w:rsidRDefault="001E1112" w:rsidP="00DB3BEC">
            <w:pPr>
              <w:jc w:val="both"/>
              <w:rPr>
                <w:sz w:val="22"/>
                <w:szCs w:val="22"/>
              </w:rPr>
            </w:pPr>
          </w:p>
          <w:p w14:paraId="767EBC7E" w14:textId="1B08697F" w:rsidR="001E1112" w:rsidRPr="00317ABF" w:rsidRDefault="001E1112" w:rsidP="00DB3BEC">
            <w:pPr>
              <w:jc w:val="both"/>
              <w:rPr>
                <w:sz w:val="22"/>
                <w:szCs w:val="22"/>
              </w:rPr>
            </w:pPr>
          </w:p>
          <w:p w14:paraId="39F5E20E" w14:textId="0BEE8D1B" w:rsidR="001E1112" w:rsidRPr="00317ABF" w:rsidRDefault="001E1112" w:rsidP="00DB3BEC">
            <w:pPr>
              <w:jc w:val="both"/>
              <w:rPr>
                <w:sz w:val="22"/>
                <w:szCs w:val="22"/>
              </w:rPr>
            </w:pPr>
          </w:p>
          <w:p w14:paraId="387B1852" w14:textId="304E741B" w:rsidR="001E1112" w:rsidRPr="00317ABF" w:rsidRDefault="001E1112" w:rsidP="00DB3BEC">
            <w:pPr>
              <w:jc w:val="both"/>
              <w:rPr>
                <w:sz w:val="22"/>
                <w:szCs w:val="22"/>
              </w:rPr>
            </w:pPr>
          </w:p>
          <w:p w14:paraId="0CC9CE0C" w14:textId="086A7423" w:rsidR="001E1112" w:rsidRPr="00317ABF" w:rsidRDefault="001E1112" w:rsidP="00DB3BEC">
            <w:pPr>
              <w:jc w:val="both"/>
              <w:rPr>
                <w:sz w:val="22"/>
                <w:szCs w:val="22"/>
              </w:rPr>
            </w:pPr>
            <w:r w:rsidRPr="00317ABF">
              <w:rPr>
                <w:sz w:val="22"/>
                <w:szCs w:val="22"/>
              </w:rPr>
              <w:lastRenderedPageBreak/>
              <w:t>T (w zakresie obowiązku organu zmiany</w:t>
            </w:r>
            <w:r w:rsidR="00AA769E" w:rsidRPr="00317ABF">
              <w:rPr>
                <w:sz w:val="22"/>
                <w:szCs w:val="22"/>
              </w:rPr>
              <w:t xml:space="preserve"> </w:t>
            </w:r>
            <w:r w:rsidRPr="00317ABF">
              <w:rPr>
                <w:sz w:val="22"/>
                <w:szCs w:val="22"/>
              </w:rPr>
              <w:t>projektowanego środka)</w:t>
            </w:r>
          </w:p>
        </w:tc>
        <w:tc>
          <w:tcPr>
            <w:tcW w:w="910" w:type="dxa"/>
          </w:tcPr>
          <w:p w14:paraId="14997535" w14:textId="356D2278" w:rsidR="001E1112" w:rsidRPr="00317ABF" w:rsidRDefault="001E1112" w:rsidP="00DB3BEC">
            <w:pPr>
              <w:pStyle w:val="Tekstpodstawowy"/>
              <w:rPr>
                <w:b/>
                <w:bCs/>
                <w:noProof/>
                <w:sz w:val="22"/>
                <w:szCs w:val="22"/>
              </w:rPr>
            </w:pPr>
          </w:p>
          <w:p w14:paraId="2D4D4885" w14:textId="165A63A7" w:rsidR="001E1112" w:rsidRPr="00317ABF" w:rsidRDefault="001E1112" w:rsidP="00DB3BEC">
            <w:pPr>
              <w:pStyle w:val="Tekstpodstawowy"/>
              <w:rPr>
                <w:b/>
                <w:bCs/>
                <w:noProof/>
                <w:sz w:val="22"/>
                <w:szCs w:val="22"/>
              </w:rPr>
            </w:pPr>
          </w:p>
          <w:p w14:paraId="6EF60B9D" w14:textId="55BA7B93" w:rsidR="001E1112" w:rsidRPr="00317ABF" w:rsidRDefault="001E1112" w:rsidP="00DB3BEC">
            <w:pPr>
              <w:pStyle w:val="Tekstpodstawowy"/>
              <w:rPr>
                <w:b/>
                <w:bCs/>
                <w:noProof/>
                <w:sz w:val="22"/>
                <w:szCs w:val="22"/>
              </w:rPr>
            </w:pPr>
          </w:p>
          <w:p w14:paraId="2E406071" w14:textId="1A377AFB" w:rsidR="001E1112" w:rsidRPr="00317ABF" w:rsidRDefault="001E1112" w:rsidP="00DB3BEC">
            <w:pPr>
              <w:pStyle w:val="Tekstpodstawowy"/>
              <w:rPr>
                <w:b/>
                <w:bCs/>
                <w:noProof/>
                <w:sz w:val="22"/>
                <w:szCs w:val="22"/>
              </w:rPr>
            </w:pPr>
          </w:p>
          <w:p w14:paraId="54AA7C4F" w14:textId="75FEA4A7" w:rsidR="001E1112" w:rsidRPr="00317ABF" w:rsidRDefault="001E1112" w:rsidP="00DB3BEC">
            <w:pPr>
              <w:pStyle w:val="Tekstpodstawowy"/>
              <w:rPr>
                <w:b/>
                <w:bCs/>
                <w:noProof/>
                <w:sz w:val="22"/>
                <w:szCs w:val="22"/>
              </w:rPr>
            </w:pPr>
          </w:p>
          <w:p w14:paraId="6D48BC7A" w14:textId="57BC1E28" w:rsidR="001E1112" w:rsidRPr="00317ABF" w:rsidRDefault="001E1112" w:rsidP="00DB3BEC">
            <w:pPr>
              <w:pStyle w:val="Tekstpodstawowy"/>
              <w:rPr>
                <w:b/>
                <w:bCs/>
                <w:noProof/>
                <w:sz w:val="22"/>
                <w:szCs w:val="22"/>
              </w:rPr>
            </w:pPr>
          </w:p>
          <w:p w14:paraId="35493AF4" w14:textId="701FBBD2" w:rsidR="001E1112" w:rsidRPr="00317ABF" w:rsidRDefault="001E1112" w:rsidP="00DB3BEC">
            <w:pPr>
              <w:pStyle w:val="Tekstpodstawowy"/>
              <w:rPr>
                <w:b/>
                <w:bCs/>
                <w:noProof/>
                <w:sz w:val="22"/>
                <w:szCs w:val="22"/>
              </w:rPr>
            </w:pPr>
          </w:p>
          <w:p w14:paraId="7A101B12" w14:textId="043AFCFF" w:rsidR="001E1112" w:rsidRPr="00317ABF" w:rsidRDefault="001E1112" w:rsidP="00DB3BEC">
            <w:pPr>
              <w:pStyle w:val="Tekstpodstawowy"/>
              <w:rPr>
                <w:b/>
                <w:bCs/>
                <w:noProof/>
                <w:sz w:val="22"/>
                <w:szCs w:val="22"/>
              </w:rPr>
            </w:pPr>
          </w:p>
          <w:p w14:paraId="140DA51D" w14:textId="5F7EAF6B" w:rsidR="001E1112" w:rsidRPr="00317ABF" w:rsidRDefault="001E1112" w:rsidP="00DB3BEC">
            <w:pPr>
              <w:pStyle w:val="Tekstpodstawowy"/>
              <w:rPr>
                <w:b/>
                <w:bCs/>
                <w:noProof/>
                <w:sz w:val="22"/>
                <w:szCs w:val="22"/>
              </w:rPr>
            </w:pPr>
          </w:p>
          <w:p w14:paraId="1BB49995" w14:textId="41A86204" w:rsidR="001E1112" w:rsidRPr="00317ABF" w:rsidRDefault="001E1112" w:rsidP="00DB3BEC">
            <w:pPr>
              <w:pStyle w:val="Tekstpodstawowy"/>
              <w:rPr>
                <w:b/>
                <w:bCs/>
                <w:noProof/>
                <w:sz w:val="22"/>
                <w:szCs w:val="22"/>
              </w:rPr>
            </w:pPr>
          </w:p>
          <w:p w14:paraId="79F42674" w14:textId="7F4997C6" w:rsidR="001E1112" w:rsidRPr="00317ABF" w:rsidRDefault="001E1112" w:rsidP="00DB3BEC">
            <w:pPr>
              <w:pStyle w:val="Tekstpodstawowy"/>
              <w:rPr>
                <w:b/>
                <w:bCs/>
                <w:noProof/>
                <w:sz w:val="22"/>
                <w:szCs w:val="22"/>
              </w:rPr>
            </w:pPr>
          </w:p>
          <w:p w14:paraId="20CFF971" w14:textId="618955AA" w:rsidR="001E1112" w:rsidRPr="00317ABF" w:rsidRDefault="001E1112" w:rsidP="00DB3BEC">
            <w:pPr>
              <w:pStyle w:val="Tekstpodstawowy"/>
              <w:rPr>
                <w:b/>
                <w:bCs/>
                <w:noProof/>
                <w:sz w:val="22"/>
                <w:szCs w:val="22"/>
              </w:rPr>
            </w:pPr>
          </w:p>
          <w:p w14:paraId="7BE885E4" w14:textId="24E2D546" w:rsidR="001E1112" w:rsidRPr="00317ABF" w:rsidRDefault="001E1112" w:rsidP="00DB3BEC">
            <w:pPr>
              <w:pStyle w:val="Tekstpodstawowy"/>
              <w:rPr>
                <w:b/>
                <w:bCs/>
                <w:noProof/>
                <w:sz w:val="22"/>
                <w:szCs w:val="22"/>
              </w:rPr>
            </w:pPr>
          </w:p>
          <w:p w14:paraId="6B9ADC46" w14:textId="09BD2FE8" w:rsidR="001E1112" w:rsidRPr="00317ABF" w:rsidRDefault="001E1112" w:rsidP="00DB3BEC">
            <w:pPr>
              <w:pStyle w:val="Tekstpodstawowy"/>
              <w:rPr>
                <w:b/>
                <w:bCs/>
                <w:noProof/>
                <w:sz w:val="22"/>
                <w:szCs w:val="22"/>
              </w:rPr>
            </w:pPr>
          </w:p>
          <w:p w14:paraId="64B6D271" w14:textId="0B02730C" w:rsidR="001E1112" w:rsidRPr="00317ABF" w:rsidRDefault="001E1112" w:rsidP="00DB3BEC">
            <w:pPr>
              <w:pStyle w:val="Tekstpodstawowy"/>
              <w:rPr>
                <w:b/>
                <w:bCs/>
                <w:noProof/>
                <w:sz w:val="22"/>
                <w:szCs w:val="22"/>
              </w:rPr>
            </w:pPr>
          </w:p>
          <w:p w14:paraId="76D25EDA" w14:textId="5166709E" w:rsidR="001E1112" w:rsidRPr="00317ABF" w:rsidRDefault="001E1112" w:rsidP="00DB3BEC">
            <w:pPr>
              <w:pStyle w:val="Tekstpodstawowy"/>
              <w:rPr>
                <w:b/>
                <w:bCs/>
                <w:noProof/>
                <w:sz w:val="22"/>
                <w:szCs w:val="22"/>
              </w:rPr>
            </w:pPr>
          </w:p>
          <w:p w14:paraId="28424A21" w14:textId="4064B671" w:rsidR="001E1112" w:rsidRPr="00317ABF" w:rsidRDefault="001E1112" w:rsidP="00DB3BEC">
            <w:pPr>
              <w:pStyle w:val="Tekstpodstawowy"/>
              <w:rPr>
                <w:b/>
                <w:bCs/>
                <w:noProof/>
                <w:sz w:val="22"/>
                <w:szCs w:val="22"/>
              </w:rPr>
            </w:pPr>
          </w:p>
          <w:p w14:paraId="6B37093C" w14:textId="36C114FC" w:rsidR="001E1112" w:rsidRPr="00317ABF" w:rsidRDefault="001E1112" w:rsidP="00DB3BEC">
            <w:pPr>
              <w:pStyle w:val="Tekstpodstawowy"/>
              <w:rPr>
                <w:b/>
                <w:bCs/>
                <w:noProof/>
                <w:sz w:val="22"/>
                <w:szCs w:val="22"/>
              </w:rPr>
            </w:pPr>
          </w:p>
          <w:p w14:paraId="6869A35D" w14:textId="03AB4EA9" w:rsidR="001E1112" w:rsidRPr="00317ABF" w:rsidRDefault="001E1112" w:rsidP="00DB3BEC">
            <w:pPr>
              <w:pStyle w:val="Tekstpodstawowy"/>
              <w:rPr>
                <w:b/>
                <w:bCs/>
                <w:noProof/>
                <w:sz w:val="22"/>
                <w:szCs w:val="22"/>
              </w:rPr>
            </w:pPr>
          </w:p>
          <w:p w14:paraId="5A27B82E" w14:textId="4446AB52" w:rsidR="001E1112" w:rsidRPr="00317ABF" w:rsidRDefault="001E1112" w:rsidP="00DB3BEC">
            <w:pPr>
              <w:pStyle w:val="Tekstpodstawowy"/>
              <w:rPr>
                <w:b/>
                <w:bCs/>
                <w:noProof/>
                <w:sz w:val="22"/>
                <w:szCs w:val="22"/>
              </w:rPr>
            </w:pPr>
          </w:p>
          <w:p w14:paraId="7CD58FEA" w14:textId="64B84274" w:rsidR="001E1112" w:rsidRPr="00317ABF" w:rsidRDefault="001E1112" w:rsidP="00DB3BEC">
            <w:pPr>
              <w:pStyle w:val="Tekstpodstawowy"/>
              <w:rPr>
                <w:b/>
                <w:bCs/>
                <w:noProof/>
                <w:sz w:val="22"/>
                <w:szCs w:val="22"/>
              </w:rPr>
            </w:pPr>
          </w:p>
          <w:p w14:paraId="39C18760" w14:textId="69EBD45F" w:rsidR="001E1112" w:rsidRPr="00317ABF" w:rsidRDefault="001E1112" w:rsidP="00DB3BEC">
            <w:pPr>
              <w:pStyle w:val="Tekstpodstawowy"/>
              <w:rPr>
                <w:b/>
                <w:bCs/>
                <w:noProof/>
                <w:sz w:val="22"/>
                <w:szCs w:val="22"/>
              </w:rPr>
            </w:pPr>
          </w:p>
          <w:p w14:paraId="66FCFE07" w14:textId="01B308C5" w:rsidR="001E1112" w:rsidRPr="00317ABF" w:rsidRDefault="001E1112" w:rsidP="00DB3BEC">
            <w:pPr>
              <w:pStyle w:val="Tekstpodstawowy"/>
              <w:rPr>
                <w:b/>
                <w:noProof/>
                <w:sz w:val="22"/>
                <w:szCs w:val="22"/>
              </w:rPr>
            </w:pPr>
            <w:r w:rsidRPr="00317ABF">
              <w:rPr>
                <w:b/>
                <w:bCs/>
                <w:noProof/>
                <w:sz w:val="22"/>
                <w:szCs w:val="22"/>
              </w:rPr>
              <w:lastRenderedPageBreak/>
              <w:t>Art. 37 ust. 7</w:t>
            </w:r>
          </w:p>
        </w:tc>
        <w:tc>
          <w:tcPr>
            <w:tcW w:w="6814" w:type="dxa"/>
            <w:gridSpan w:val="2"/>
          </w:tcPr>
          <w:p w14:paraId="202D279C" w14:textId="49C75F4E" w:rsidR="001E1112" w:rsidRPr="00317ABF" w:rsidRDefault="001E1112" w:rsidP="00DB3BEC">
            <w:pPr>
              <w:pStyle w:val="Tekstpodstawowy"/>
              <w:rPr>
                <w:sz w:val="22"/>
                <w:szCs w:val="22"/>
              </w:rPr>
            </w:pPr>
          </w:p>
          <w:p w14:paraId="47C3CB9A" w14:textId="04CA7B92" w:rsidR="001E1112" w:rsidRPr="00317ABF" w:rsidRDefault="001E1112" w:rsidP="00DB3BEC">
            <w:pPr>
              <w:jc w:val="both"/>
              <w:rPr>
                <w:sz w:val="22"/>
                <w:szCs w:val="22"/>
              </w:rPr>
            </w:pPr>
          </w:p>
          <w:p w14:paraId="0DDA8139" w14:textId="2811F504" w:rsidR="001E1112" w:rsidRPr="00317ABF" w:rsidRDefault="001E1112" w:rsidP="00DB3BEC">
            <w:pPr>
              <w:jc w:val="both"/>
              <w:rPr>
                <w:sz w:val="22"/>
                <w:szCs w:val="22"/>
              </w:rPr>
            </w:pPr>
          </w:p>
          <w:p w14:paraId="5569E969" w14:textId="23274D55" w:rsidR="001E1112" w:rsidRPr="00317ABF" w:rsidRDefault="001E1112" w:rsidP="00DB3BEC">
            <w:pPr>
              <w:jc w:val="both"/>
              <w:rPr>
                <w:sz w:val="22"/>
                <w:szCs w:val="22"/>
              </w:rPr>
            </w:pPr>
          </w:p>
          <w:p w14:paraId="7DDBDEF3" w14:textId="5A53C695" w:rsidR="001E1112" w:rsidRPr="00317ABF" w:rsidRDefault="001E1112" w:rsidP="00DB3BEC">
            <w:pPr>
              <w:jc w:val="both"/>
              <w:rPr>
                <w:sz w:val="22"/>
                <w:szCs w:val="22"/>
              </w:rPr>
            </w:pPr>
          </w:p>
          <w:p w14:paraId="5D213D96" w14:textId="14DAB7AF" w:rsidR="001E1112" w:rsidRPr="00317ABF" w:rsidRDefault="001E1112" w:rsidP="00DB3BEC">
            <w:pPr>
              <w:jc w:val="both"/>
              <w:rPr>
                <w:sz w:val="22"/>
                <w:szCs w:val="22"/>
              </w:rPr>
            </w:pPr>
          </w:p>
          <w:p w14:paraId="3AF1BB46" w14:textId="57578105" w:rsidR="001E1112" w:rsidRPr="00317ABF" w:rsidRDefault="001E1112" w:rsidP="00DB3BEC">
            <w:pPr>
              <w:jc w:val="both"/>
              <w:rPr>
                <w:sz w:val="22"/>
                <w:szCs w:val="22"/>
              </w:rPr>
            </w:pPr>
          </w:p>
          <w:p w14:paraId="68FE0DAE" w14:textId="060E8AFF" w:rsidR="001E1112" w:rsidRPr="00317ABF" w:rsidRDefault="001E1112" w:rsidP="00DB3BEC">
            <w:pPr>
              <w:jc w:val="both"/>
              <w:rPr>
                <w:sz w:val="22"/>
                <w:szCs w:val="22"/>
              </w:rPr>
            </w:pPr>
          </w:p>
          <w:p w14:paraId="7304C426" w14:textId="19C43D92" w:rsidR="001E1112" w:rsidRPr="00317ABF" w:rsidRDefault="001E1112" w:rsidP="00DB3BEC">
            <w:pPr>
              <w:jc w:val="both"/>
              <w:rPr>
                <w:sz w:val="22"/>
                <w:szCs w:val="22"/>
              </w:rPr>
            </w:pPr>
          </w:p>
          <w:p w14:paraId="2DA1932B" w14:textId="1ED4AFBB" w:rsidR="001E1112" w:rsidRPr="00317ABF" w:rsidRDefault="001E1112" w:rsidP="00DB3BEC">
            <w:pPr>
              <w:jc w:val="both"/>
              <w:rPr>
                <w:sz w:val="22"/>
                <w:szCs w:val="22"/>
              </w:rPr>
            </w:pPr>
          </w:p>
          <w:p w14:paraId="0CF921A7" w14:textId="1FD8640D" w:rsidR="001E1112" w:rsidRPr="00317ABF" w:rsidRDefault="001E1112" w:rsidP="00DB3BEC">
            <w:pPr>
              <w:jc w:val="both"/>
              <w:rPr>
                <w:sz w:val="22"/>
                <w:szCs w:val="22"/>
              </w:rPr>
            </w:pPr>
          </w:p>
          <w:p w14:paraId="0CE61ED1" w14:textId="2B0E2B08" w:rsidR="001E1112" w:rsidRPr="00317ABF" w:rsidRDefault="001E1112" w:rsidP="00DB3BEC">
            <w:pPr>
              <w:jc w:val="both"/>
              <w:rPr>
                <w:sz w:val="22"/>
                <w:szCs w:val="22"/>
              </w:rPr>
            </w:pPr>
          </w:p>
          <w:p w14:paraId="0E2FBF11" w14:textId="4827D0C4" w:rsidR="001E1112" w:rsidRPr="00317ABF" w:rsidRDefault="001E1112" w:rsidP="00DB3BEC">
            <w:pPr>
              <w:jc w:val="both"/>
              <w:rPr>
                <w:sz w:val="22"/>
                <w:szCs w:val="22"/>
              </w:rPr>
            </w:pPr>
          </w:p>
          <w:p w14:paraId="71D2AEC3" w14:textId="406460A6" w:rsidR="001E1112" w:rsidRPr="00317ABF" w:rsidRDefault="001E1112" w:rsidP="00DB3BEC">
            <w:pPr>
              <w:jc w:val="both"/>
              <w:rPr>
                <w:sz w:val="22"/>
                <w:szCs w:val="22"/>
              </w:rPr>
            </w:pPr>
          </w:p>
          <w:p w14:paraId="245A1D06" w14:textId="60F2760C" w:rsidR="001E1112" w:rsidRPr="00317ABF" w:rsidRDefault="001E1112" w:rsidP="00DB3BEC">
            <w:pPr>
              <w:jc w:val="both"/>
              <w:rPr>
                <w:sz w:val="22"/>
                <w:szCs w:val="22"/>
              </w:rPr>
            </w:pPr>
          </w:p>
          <w:p w14:paraId="5396F915" w14:textId="194A375C" w:rsidR="001E1112" w:rsidRPr="00317ABF" w:rsidRDefault="001E1112" w:rsidP="00DB3BEC">
            <w:pPr>
              <w:jc w:val="both"/>
              <w:rPr>
                <w:sz w:val="22"/>
                <w:szCs w:val="22"/>
              </w:rPr>
            </w:pPr>
          </w:p>
          <w:p w14:paraId="631ED3D3" w14:textId="4C8FA5FC" w:rsidR="001E1112" w:rsidRPr="00317ABF" w:rsidRDefault="001E1112" w:rsidP="00DB3BEC">
            <w:pPr>
              <w:jc w:val="both"/>
              <w:rPr>
                <w:sz w:val="22"/>
                <w:szCs w:val="22"/>
              </w:rPr>
            </w:pPr>
          </w:p>
          <w:p w14:paraId="4267B2DB" w14:textId="0BD1128E" w:rsidR="001E1112" w:rsidRPr="00317ABF" w:rsidRDefault="001E1112" w:rsidP="00DB3BEC">
            <w:pPr>
              <w:jc w:val="both"/>
              <w:rPr>
                <w:sz w:val="22"/>
                <w:szCs w:val="22"/>
              </w:rPr>
            </w:pPr>
          </w:p>
          <w:p w14:paraId="049B7B28" w14:textId="7E9F6BEC" w:rsidR="001E1112" w:rsidRPr="00317ABF" w:rsidRDefault="001E1112" w:rsidP="00DB3BEC">
            <w:pPr>
              <w:jc w:val="both"/>
              <w:rPr>
                <w:sz w:val="22"/>
                <w:szCs w:val="22"/>
              </w:rPr>
            </w:pPr>
          </w:p>
          <w:p w14:paraId="49F41CA9" w14:textId="1BC20C7B" w:rsidR="001E1112" w:rsidRPr="00317ABF" w:rsidRDefault="001E1112" w:rsidP="00DB3BEC">
            <w:pPr>
              <w:jc w:val="both"/>
              <w:rPr>
                <w:sz w:val="22"/>
                <w:szCs w:val="22"/>
              </w:rPr>
            </w:pPr>
          </w:p>
          <w:p w14:paraId="5729256D" w14:textId="5689F03A" w:rsidR="001E1112" w:rsidRPr="00317ABF" w:rsidRDefault="001E1112" w:rsidP="00DB3BEC">
            <w:pPr>
              <w:ind w:firstLine="510"/>
              <w:jc w:val="both"/>
              <w:rPr>
                <w:sz w:val="22"/>
                <w:szCs w:val="22"/>
              </w:rPr>
            </w:pPr>
          </w:p>
          <w:p w14:paraId="00231C97" w14:textId="0F38AB9B" w:rsidR="001E1112" w:rsidRPr="00317ABF" w:rsidRDefault="001E1112" w:rsidP="00DB3BEC">
            <w:pPr>
              <w:jc w:val="both"/>
              <w:rPr>
                <w:sz w:val="22"/>
                <w:szCs w:val="22"/>
              </w:rPr>
            </w:pPr>
            <w:r w:rsidRPr="00317ABF">
              <w:rPr>
                <w:sz w:val="22"/>
                <w:szCs w:val="22"/>
              </w:rPr>
              <w:t>Art. 37 ust. 7</w:t>
            </w:r>
          </w:p>
          <w:p w14:paraId="505FA1F7" w14:textId="20170414" w:rsidR="001E1112" w:rsidRPr="00317ABF" w:rsidRDefault="001E1112" w:rsidP="00DB3BEC">
            <w:pPr>
              <w:ind w:firstLine="510"/>
              <w:jc w:val="both"/>
              <w:rPr>
                <w:sz w:val="22"/>
                <w:szCs w:val="22"/>
              </w:rPr>
            </w:pPr>
          </w:p>
          <w:p w14:paraId="0CE5CD97" w14:textId="218A7780" w:rsidR="001E1112" w:rsidRPr="00317ABF" w:rsidRDefault="001E1112" w:rsidP="00DB3BEC">
            <w:pPr>
              <w:jc w:val="both"/>
              <w:rPr>
                <w:sz w:val="22"/>
                <w:szCs w:val="22"/>
              </w:rPr>
            </w:pPr>
            <w:r w:rsidRPr="00317ABF">
              <w:rPr>
                <w:sz w:val="22"/>
                <w:szCs w:val="22"/>
              </w:rPr>
              <w:t xml:space="preserve">7. W terminie 6 miesięcy od dnia wydania przez Komisję Europejską decyzji zobowiązującej do wycofania projektowanego rozstrzygnięcia, objętego art. </w:t>
            </w:r>
            <w:r w:rsidR="00AA769E" w:rsidRPr="00317ABF">
              <w:rPr>
                <w:sz w:val="22"/>
                <w:szCs w:val="22"/>
              </w:rPr>
              <w:t>178</w:t>
            </w:r>
            <w:r w:rsidRPr="00317ABF">
              <w:rPr>
                <w:sz w:val="22"/>
                <w:szCs w:val="22"/>
              </w:rPr>
              <w:t xml:space="preserve"> ust. 1, art. </w:t>
            </w:r>
            <w:r w:rsidR="00AA769E" w:rsidRPr="00317ABF">
              <w:rPr>
                <w:sz w:val="22"/>
                <w:szCs w:val="22"/>
              </w:rPr>
              <w:t>242</w:t>
            </w:r>
            <w:r w:rsidRPr="00317ABF">
              <w:rPr>
                <w:sz w:val="22"/>
                <w:szCs w:val="22"/>
              </w:rPr>
              <w:t xml:space="preserve"> ust. 3</w:t>
            </w:r>
            <w:r w:rsidR="00AA769E" w:rsidRPr="00317ABF">
              <w:rPr>
                <w:sz w:val="22"/>
                <w:szCs w:val="22"/>
              </w:rPr>
              <w:t xml:space="preserve"> i</w:t>
            </w:r>
            <w:r w:rsidRPr="00317ABF">
              <w:rPr>
                <w:sz w:val="22"/>
                <w:szCs w:val="22"/>
              </w:rPr>
              <w:t xml:space="preserve"> art. </w:t>
            </w:r>
            <w:r w:rsidR="00AA769E" w:rsidRPr="00317ABF">
              <w:rPr>
                <w:sz w:val="22"/>
                <w:szCs w:val="22"/>
              </w:rPr>
              <w:t>243</w:t>
            </w:r>
            <w:r w:rsidRPr="00317ABF">
              <w:rPr>
                <w:sz w:val="22"/>
                <w:szCs w:val="22"/>
              </w:rPr>
              <w:t xml:space="preserve">, Prezes UKE uwzględnia stanowisko Komisji Europejskiej i zmienia projekt rozstrzygnięcia </w:t>
            </w:r>
            <w:r w:rsidR="00AA769E" w:rsidRPr="00317ABF">
              <w:rPr>
                <w:sz w:val="22"/>
                <w:szCs w:val="22"/>
              </w:rPr>
              <w:t xml:space="preserve">oraz wszczyna postępowanie konsultacyjne </w:t>
            </w:r>
            <w:r w:rsidRPr="00317ABF">
              <w:rPr>
                <w:sz w:val="22"/>
                <w:szCs w:val="22"/>
              </w:rPr>
              <w:t>lub umarza postępowanie. Art. 36 ust. 3 stosuje się odpowiednio.</w:t>
            </w:r>
          </w:p>
        </w:tc>
      </w:tr>
      <w:tr w:rsidR="001E1112" w:rsidRPr="00317ABF" w14:paraId="170837EE" w14:textId="77777777" w:rsidTr="7753F98D">
        <w:trPr>
          <w:gridAfter w:val="2"/>
          <w:wAfter w:w="175" w:type="dxa"/>
        </w:trPr>
        <w:tc>
          <w:tcPr>
            <w:tcW w:w="704" w:type="dxa"/>
          </w:tcPr>
          <w:p w14:paraId="11ADB973" w14:textId="77777777" w:rsidR="001E1112" w:rsidRPr="00317ABF" w:rsidRDefault="001E1112" w:rsidP="00DB3BEC">
            <w:pPr>
              <w:jc w:val="both"/>
              <w:rPr>
                <w:sz w:val="22"/>
                <w:szCs w:val="22"/>
              </w:rPr>
            </w:pPr>
            <w:r w:rsidRPr="00317ABF">
              <w:rPr>
                <w:sz w:val="22"/>
                <w:szCs w:val="22"/>
              </w:rPr>
              <w:lastRenderedPageBreak/>
              <w:t>Art. 33 ust. 6</w:t>
            </w:r>
          </w:p>
        </w:tc>
        <w:tc>
          <w:tcPr>
            <w:tcW w:w="4308" w:type="dxa"/>
          </w:tcPr>
          <w:p w14:paraId="190C3D20" w14:textId="77777777" w:rsidR="001E1112" w:rsidRPr="00317ABF" w:rsidRDefault="001E1112" w:rsidP="00DB3BEC">
            <w:pPr>
              <w:spacing w:before="120"/>
              <w:jc w:val="both"/>
              <w:rPr>
                <w:sz w:val="22"/>
                <w:szCs w:val="22"/>
              </w:rPr>
            </w:pPr>
            <w:r w:rsidRPr="00317ABF">
              <w:rPr>
                <w:sz w:val="22"/>
                <w:szCs w:val="22"/>
              </w:rPr>
              <w:t>6.   W ciągu jednego miesiąca od wydania przez Komisję zalecenia na mocy ust. 5 lit. a) lub wycofania zastrzeżeń zgodnie z ust. 5 lit. b) właściwy krajowy organ regulacyjny przedstawia Komisji i BEREC ostatecznie przyjęty środek.</w:t>
            </w:r>
          </w:p>
          <w:p w14:paraId="11F5752C" w14:textId="77777777" w:rsidR="001E1112" w:rsidRPr="00317ABF" w:rsidRDefault="001E1112" w:rsidP="00DB3BEC">
            <w:pPr>
              <w:spacing w:before="120"/>
              <w:jc w:val="both"/>
              <w:rPr>
                <w:sz w:val="22"/>
                <w:szCs w:val="22"/>
              </w:rPr>
            </w:pPr>
            <w:r w:rsidRPr="00317ABF">
              <w:rPr>
                <w:sz w:val="22"/>
                <w:szCs w:val="22"/>
              </w:rPr>
              <w:t>Okres ten można wydłużyć, tak aby umożliwić krajowemu organowi regulacyjnemu wszczęcie konsultacji publicznych zgodnie z art. 23.</w:t>
            </w:r>
          </w:p>
        </w:tc>
        <w:tc>
          <w:tcPr>
            <w:tcW w:w="986" w:type="dxa"/>
          </w:tcPr>
          <w:p w14:paraId="33A0AE41" w14:textId="5DB699BC" w:rsidR="001E1112" w:rsidRPr="00317ABF" w:rsidRDefault="001E1112" w:rsidP="00DB3BEC">
            <w:pPr>
              <w:jc w:val="both"/>
              <w:rPr>
                <w:sz w:val="22"/>
                <w:szCs w:val="22"/>
              </w:rPr>
            </w:pPr>
            <w:r w:rsidRPr="00317ABF">
              <w:rPr>
                <w:sz w:val="22"/>
                <w:szCs w:val="22"/>
              </w:rPr>
              <w:t>T</w:t>
            </w:r>
          </w:p>
        </w:tc>
        <w:tc>
          <w:tcPr>
            <w:tcW w:w="910" w:type="dxa"/>
          </w:tcPr>
          <w:p w14:paraId="061FEB43" w14:textId="6B0FDA60" w:rsidR="001E1112" w:rsidRPr="00317ABF" w:rsidRDefault="001E1112" w:rsidP="00DB3BEC">
            <w:pPr>
              <w:pStyle w:val="Tekstpodstawowy"/>
              <w:rPr>
                <w:b/>
                <w:noProof/>
                <w:sz w:val="22"/>
                <w:szCs w:val="22"/>
              </w:rPr>
            </w:pPr>
            <w:r w:rsidRPr="00317ABF">
              <w:rPr>
                <w:b/>
                <w:bCs/>
                <w:noProof/>
                <w:sz w:val="22"/>
                <w:szCs w:val="22"/>
              </w:rPr>
              <w:t>Art. 37 ust. 5</w:t>
            </w:r>
          </w:p>
        </w:tc>
        <w:tc>
          <w:tcPr>
            <w:tcW w:w="6814" w:type="dxa"/>
            <w:gridSpan w:val="2"/>
          </w:tcPr>
          <w:p w14:paraId="57D1CB2E" w14:textId="75A13443" w:rsidR="001E1112" w:rsidRPr="00317ABF" w:rsidRDefault="001E1112" w:rsidP="00DB3BEC">
            <w:pPr>
              <w:jc w:val="both"/>
              <w:rPr>
                <w:sz w:val="22"/>
                <w:szCs w:val="22"/>
              </w:rPr>
            </w:pPr>
            <w:r w:rsidRPr="00317ABF">
              <w:rPr>
                <w:sz w:val="22"/>
                <w:szCs w:val="22"/>
              </w:rPr>
              <w:t>Art. 37 ust. 5</w:t>
            </w:r>
          </w:p>
          <w:p w14:paraId="09B5C8B0" w14:textId="77777777" w:rsidR="00AA769E" w:rsidRPr="00317ABF" w:rsidRDefault="00AA769E" w:rsidP="00DB3BEC">
            <w:pPr>
              <w:jc w:val="both"/>
              <w:rPr>
                <w:sz w:val="22"/>
                <w:szCs w:val="22"/>
              </w:rPr>
            </w:pPr>
          </w:p>
          <w:p w14:paraId="188425CC" w14:textId="400253C5" w:rsidR="001E1112" w:rsidRPr="00317ABF" w:rsidRDefault="001E1112" w:rsidP="00DB3BEC">
            <w:pPr>
              <w:jc w:val="both"/>
              <w:rPr>
                <w:sz w:val="22"/>
                <w:szCs w:val="22"/>
              </w:rPr>
            </w:pPr>
            <w:r w:rsidRPr="00317ABF">
              <w:rPr>
                <w:sz w:val="22"/>
                <w:szCs w:val="22"/>
              </w:rPr>
              <w:t>5. W terminie jednego miesiąca od wydania przez Komisję Europejską zalecenia zawierającego zobowiązanie do zmiany lub wycofania projektowanego rozstrzygnięcia lub wycofania przez Komisję Europejską zastrzeżeń odnośnie do projektowanego rozstrzygnięcia, w przypadku gdy BEREC nie podziela stanowiska Komisji Europejskiej, nie wydał opinii lub jeżeli Prezes UKE zmienił lub utrzymał projektowane rozstrzygnięcie zgodnie z ust. 4, Prezes UKE przesyła Komisji Europejskiej i BEREC treść ostatecznie przyjętego rozstrzygnięcia. Termin, o którym mowa w zdaniu pierwszym, może być wydłużony przez Prezesa UKE w przypadku potrzeby przeprowadzenia postępowania konsultacyjnego, o którym mowa w art. 30.</w:t>
            </w:r>
          </w:p>
        </w:tc>
      </w:tr>
      <w:tr w:rsidR="001E1112" w:rsidRPr="00317ABF" w14:paraId="1EAE56D5" w14:textId="77777777" w:rsidTr="7753F98D">
        <w:trPr>
          <w:gridAfter w:val="2"/>
          <w:wAfter w:w="175" w:type="dxa"/>
        </w:trPr>
        <w:tc>
          <w:tcPr>
            <w:tcW w:w="704" w:type="dxa"/>
          </w:tcPr>
          <w:p w14:paraId="009E9910" w14:textId="77777777" w:rsidR="001E1112" w:rsidRPr="00317ABF" w:rsidRDefault="001E1112" w:rsidP="00DB3BEC">
            <w:pPr>
              <w:jc w:val="both"/>
              <w:rPr>
                <w:sz w:val="22"/>
                <w:szCs w:val="22"/>
              </w:rPr>
            </w:pPr>
            <w:r w:rsidRPr="00317ABF">
              <w:rPr>
                <w:sz w:val="22"/>
                <w:szCs w:val="22"/>
              </w:rPr>
              <w:t>Art. 33 ust. 7</w:t>
            </w:r>
          </w:p>
        </w:tc>
        <w:tc>
          <w:tcPr>
            <w:tcW w:w="4308" w:type="dxa"/>
          </w:tcPr>
          <w:p w14:paraId="7A99E5DA" w14:textId="77777777" w:rsidR="001E1112" w:rsidRPr="00317ABF" w:rsidRDefault="001E1112" w:rsidP="00DB3BEC">
            <w:pPr>
              <w:spacing w:before="120"/>
              <w:jc w:val="both"/>
              <w:rPr>
                <w:sz w:val="22"/>
                <w:szCs w:val="22"/>
              </w:rPr>
            </w:pPr>
            <w:r w:rsidRPr="00317ABF">
              <w:rPr>
                <w:sz w:val="22"/>
                <w:szCs w:val="22"/>
              </w:rPr>
              <w:t>7.   Jeżeli krajowy organ regulacyjny postanawia nie zmieniać lub też nie wycofywać planowanego środka na podstawie zalecenia wydanego zgodnie z ust. 5 lit. a), przedstawia on uzasadnienie.</w:t>
            </w:r>
          </w:p>
        </w:tc>
        <w:tc>
          <w:tcPr>
            <w:tcW w:w="986" w:type="dxa"/>
          </w:tcPr>
          <w:p w14:paraId="30563357" w14:textId="047F6A34" w:rsidR="001E1112" w:rsidRPr="00317ABF" w:rsidRDefault="001E1112" w:rsidP="00DB3BEC">
            <w:pPr>
              <w:jc w:val="both"/>
              <w:rPr>
                <w:sz w:val="22"/>
                <w:szCs w:val="22"/>
              </w:rPr>
            </w:pPr>
            <w:r w:rsidRPr="00317ABF">
              <w:rPr>
                <w:sz w:val="22"/>
                <w:szCs w:val="22"/>
              </w:rPr>
              <w:t>T</w:t>
            </w:r>
          </w:p>
        </w:tc>
        <w:tc>
          <w:tcPr>
            <w:tcW w:w="910" w:type="dxa"/>
          </w:tcPr>
          <w:p w14:paraId="43F804A0" w14:textId="27E9A2B1" w:rsidR="001E1112" w:rsidRPr="00317ABF" w:rsidRDefault="001E1112" w:rsidP="00DB3BEC">
            <w:pPr>
              <w:pStyle w:val="Tekstpodstawowy"/>
              <w:rPr>
                <w:b/>
                <w:noProof/>
                <w:sz w:val="22"/>
                <w:szCs w:val="22"/>
              </w:rPr>
            </w:pPr>
            <w:r w:rsidRPr="00317ABF">
              <w:rPr>
                <w:b/>
                <w:bCs/>
                <w:noProof/>
                <w:sz w:val="22"/>
                <w:szCs w:val="22"/>
              </w:rPr>
              <w:t>Art. 37 ust. 6</w:t>
            </w:r>
          </w:p>
        </w:tc>
        <w:tc>
          <w:tcPr>
            <w:tcW w:w="6814" w:type="dxa"/>
            <w:gridSpan w:val="2"/>
          </w:tcPr>
          <w:p w14:paraId="28C6ED41" w14:textId="70BA485F" w:rsidR="001E1112" w:rsidRPr="00317ABF" w:rsidRDefault="001E1112" w:rsidP="00DB3BEC">
            <w:pPr>
              <w:jc w:val="both"/>
              <w:rPr>
                <w:sz w:val="22"/>
                <w:szCs w:val="22"/>
              </w:rPr>
            </w:pPr>
            <w:r w:rsidRPr="00317ABF">
              <w:rPr>
                <w:sz w:val="22"/>
                <w:szCs w:val="22"/>
              </w:rPr>
              <w:t>Art. 37 ust. 6</w:t>
            </w:r>
          </w:p>
          <w:p w14:paraId="444072DD" w14:textId="77777777" w:rsidR="00AA769E" w:rsidRPr="00317ABF" w:rsidRDefault="00AA769E" w:rsidP="00DB3BEC">
            <w:pPr>
              <w:jc w:val="both"/>
              <w:rPr>
                <w:sz w:val="22"/>
                <w:szCs w:val="22"/>
              </w:rPr>
            </w:pPr>
          </w:p>
          <w:p w14:paraId="4200D767" w14:textId="2E47F01A" w:rsidR="001E1112" w:rsidRPr="00317ABF" w:rsidRDefault="001E1112" w:rsidP="00DB3BEC">
            <w:pPr>
              <w:jc w:val="both"/>
              <w:rPr>
                <w:sz w:val="22"/>
                <w:szCs w:val="22"/>
              </w:rPr>
            </w:pPr>
            <w:r w:rsidRPr="00317ABF">
              <w:rPr>
                <w:sz w:val="22"/>
                <w:szCs w:val="22"/>
              </w:rPr>
              <w:t>6. Jeżeli Prezes UKE postanowi nie zmieniać lub nie wycofywać projektowanego rozstrzygnięcia, pomimo negatywnego stanowiska wyrażonego przez Komisję Europejską w zaleceniu, o którym mowa w ust. 5, przedstawia Komisji Europejskiej uzasadnienie.</w:t>
            </w:r>
          </w:p>
        </w:tc>
      </w:tr>
      <w:tr w:rsidR="001E1112" w:rsidRPr="00317ABF" w14:paraId="382633B6" w14:textId="77777777" w:rsidTr="7753F98D">
        <w:trPr>
          <w:gridAfter w:val="2"/>
          <w:wAfter w:w="175" w:type="dxa"/>
        </w:trPr>
        <w:tc>
          <w:tcPr>
            <w:tcW w:w="704" w:type="dxa"/>
          </w:tcPr>
          <w:p w14:paraId="10EA3F9C" w14:textId="77777777" w:rsidR="001E1112" w:rsidRPr="00317ABF" w:rsidRDefault="001E1112" w:rsidP="00DB3BEC">
            <w:pPr>
              <w:jc w:val="both"/>
              <w:rPr>
                <w:sz w:val="22"/>
                <w:szCs w:val="22"/>
              </w:rPr>
            </w:pPr>
            <w:r w:rsidRPr="00317ABF">
              <w:rPr>
                <w:sz w:val="22"/>
                <w:szCs w:val="22"/>
              </w:rPr>
              <w:t>Art. 33 ust. 8</w:t>
            </w:r>
          </w:p>
        </w:tc>
        <w:tc>
          <w:tcPr>
            <w:tcW w:w="4308" w:type="dxa"/>
          </w:tcPr>
          <w:p w14:paraId="05C96250" w14:textId="77777777" w:rsidR="001E1112" w:rsidRPr="00317ABF" w:rsidRDefault="001E1112" w:rsidP="00DB3BEC">
            <w:pPr>
              <w:spacing w:before="120"/>
              <w:jc w:val="both"/>
              <w:rPr>
                <w:sz w:val="22"/>
                <w:szCs w:val="22"/>
              </w:rPr>
            </w:pPr>
            <w:r w:rsidRPr="00317ABF">
              <w:rPr>
                <w:sz w:val="22"/>
                <w:szCs w:val="22"/>
              </w:rPr>
              <w:t>8.   Krajowy organ regulacyjny może wycofać proponowany projektowany środek na każdym etapie procedury.</w:t>
            </w:r>
          </w:p>
        </w:tc>
        <w:tc>
          <w:tcPr>
            <w:tcW w:w="986" w:type="dxa"/>
          </w:tcPr>
          <w:p w14:paraId="496217B0" w14:textId="6DA96E04" w:rsidR="001E1112" w:rsidRPr="00317ABF" w:rsidRDefault="001E1112" w:rsidP="00DB3BEC">
            <w:pPr>
              <w:jc w:val="both"/>
              <w:rPr>
                <w:sz w:val="22"/>
                <w:szCs w:val="22"/>
              </w:rPr>
            </w:pPr>
            <w:r w:rsidRPr="00317ABF">
              <w:rPr>
                <w:sz w:val="22"/>
                <w:szCs w:val="22"/>
              </w:rPr>
              <w:t>T</w:t>
            </w:r>
          </w:p>
        </w:tc>
        <w:tc>
          <w:tcPr>
            <w:tcW w:w="910" w:type="dxa"/>
          </w:tcPr>
          <w:p w14:paraId="66C82AA8" w14:textId="6A60FB8A" w:rsidR="001E1112" w:rsidRPr="00317ABF" w:rsidRDefault="001E1112" w:rsidP="00DB3BEC">
            <w:pPr>
              <w:pStyle w:val="Tekstpodstawowy"/>
              <w:rPr>
                <w:b/>
                <w:noProof/>
                <w:sz w:val="22"/>
                <w:szCs w:val="22"/>
              </w:rPr>
            </w:pPr>
            <w:r w:rsidRPr="00317ABF">
              <w:rPr>
                <w:b/>
                <w:bCs/>
                <w:noProof/>
                <w:sz w:val="22"/>
                <w:szCs w:val="22"/>
              </w:rPr>
              <w:t>Art. 37 ust. 8</w:t>
            </w:r>
          </w:p>
        </w:tc>
        <w:tc>
          <w:tcPr>
            <w:tcW w:w="6814" w:type="dxa"/>
            <w:gridSpan w:val="2"/>
          </w:tcPr>
          <w:p w14:paraId="51685CBC" w14:textId="1BE300D4" w:rsidR="001E1112" w:rsidRPr="00317ABF" w:rsidRDefault="001E1112" w:rsidP="00DB3BEC">
            <w:pPr>
              <w:jc w:val="both"/>
              <w:rPr>
                <w:sz w:val="22"/>
                <w:szCs w:val="22"/>
              </w:rPr>
            </w:pPr>
            <w:r w:rsidRPr="00317ABF">
              <w:rPr>
                <w:sz w:val="22"/>
                <w:szCs w:val="22"/>
              </w:rPr>
              <w:t>Art. 37 ust. 8</w:t>
            </w:r>
          </w:p>
          <w:p w14:paraId="4631F88E" w14:textId="0520055A" w:rsidR="001E1112" w:rsidRPr="00317ABF" w:rsidRDefault="001E1112" w:rsidP="00DB3BEC">
            <w:pPr>
              <w:jc w:val="both"/>
              <w:rPr>
                <w:sz w:val="22"/>
                <w:szCs w:val="22"/>
              </w:rPr>
            </w:pPr>
            <w:r w:rsidRPr="00317ABF">
              <w:rPr>
                <w:sz w:val="22"/>
                <w:szCs w:val="22"/>
              </w:rPr>
              <w:t>8. Prezes UKE może wycofać projektowane rozstrzygnięcie na każdym etapie postępowania.</w:t>
            </w:r>
          </w:p>
        </w:tc>
      </w:tr>
      <w:tr w:rsidR="001E1112" w:rsidRPr="00317ABF" w14:paraId="4F29A31C" w14:textId="77777777" w:rsidTr="7753F98D">
        <w:trPr>
          <w:gridAfter w:val="2"/>
          <w:wAfter w:w="175" w:type="dxa"/>
        </w:trPr>
        <w:tc>
          <w:tcPr>
            <w:tcW w:w="704" w:type="dxa"/>
          </w:tcPr>
          <w:p w14:paraId="4AF909B0" w14:textId="77777777" w:rsidR="001E1112" w:rsidRPr="00317ABF" w:rsidRDefault="001E1112" w:rsidP="00DB3BEC">
            <w:pPr>
              <w:jc w:val="both"/>
              <w:rPr>
                <w:sz w:val="22"/>
                <w:szCs w:val="22"/>
              </w:rPr>
            </w:pPr>
          </w:p>
          <w:p w14:paraId="2107EB38" w14:textId="77777777" w:rsidR="001E1112" w:rsidRPr="00317ABF" w:rsidRDefault="001E1112" w:rsidP="00DB3BEC">
            <w:pPr>
              <w:jc w:val="both"/>
              <w:rPr>
                <w:b/>
                <w:sz w:val="22"/>
                <w:szCs w:val="22"/>
              </w:rPr>
            </w:pPr>
            <w:r w:rsidRPr="00317ABF">
              <w:rPr>
                <w:b/>
                <w:sz w:val="22"/>
                <w:szCs w:val="22"/>
              </w:rPr>
              <w:t>Art. 34</w:t>
            </w:r>
          </w:p>
        </w:tc>
        <w:tc>
          <w:tcPr>
            <w:tcW w:w="4308" w:type="dxa"/>
          </w:tcPr>
          <w:p w14:paraId="70D96E6F" w14:textId="77777777" w:rsidR="001E1112" w:rsidRPr="00317ABF" w:rsidRDefault="001E1112" w:rsidP="00DB3BEC">
            <w:pPr>
              <w:spacing w:before="60" w:after="120"/>
              <w:jc w:val="both"/>
              <w:rPr>
                <w:b/>
                <w:bCs/>
                <w:sz w:val="22"/>
                <w:szCs w:val="22"/>
              </w:rPr>
            </w:pPr>
            <w:r w:rsidRPr="00317ABF">
              <w:rPr>
                <w:b/>
                <w:bCs/>
                <w:sz w:val="22"/>
                <w:szCs w:val="22"/>
              </w:rPr>
              <w:t>Przepisy wykonawcze</w:t>
            </w:r>
          </w:p>
          <w:p w14:paraId="6E0BDE2F" w14:textId="77777777" w:rsidR="001E1112" w:rsidRPr="00317ABF" w:rsidRDefault="001E1112" w:rsidP="00DB3BEC">
            <w:pPr>
              <w:spacing w:before="120"/>
              <w:jc w:val="both"/>
              <w:rPr>
                <w:sz w:val="22"/>
                <w:szCs w:val="22"/>
              </w:rPr>
            </w:pPr>
            <w:r w:rsidRPr="00317ABF">
              <w:rPr>
                <w:sz w:val="22"/>
                <w:szCs w:val="22"/>
              </w:rPr>
              <w:t>Po przeprowadzeniu konsultacji publicznych i konsultacji z krajowymi organami regulacyjnymi, a także po uwzględnieniu w jak największym stopniu opinii BEREC, Komisja może przyjąć zalecenia lub wytyczne w odniesieniu do art. 32, w których określa formę, treść i stopień szczegółowości zgłoszeń wymaganych zgodnie z art. 32 ust. 3, okoliczności, w których zgłoszenia nie będą wymagane, oraz sposób obliczania terminów.</w:t>
            </w:r>
          </w:p>
        </w:tc>
        <w:tc>
          <w:tcPr>
            <w:tcW w:w="986" w:type="dxa"/>
          </w:tcPr>
          <w:p w14:paraId="4340D0EE" w14:textId="77777777" w:rsidR="001E1112" w:rsidRPr="00317ABF" w:rsidRDefault="001E1112" w:rsidP="00DB3BEC">
            <w:pPr>
              <w:jc w:val="both"/>
              <w:rPr>
                <w:sz w:val="22"/>
                <w:szCs w:val="22"/>
              </w:rPr>
            </w:pPr>
            <w:r w:rsidRPr="00317ABF">
              <w:rPr>
                <w:sz w:val="22"/>
                <w:szCs w:val="22"/>
              </w:rPr>
              <w:t>N</w:t>
            </w:r>
          </w:p>
        </w:tc>
        <w:tc>
          <w:tcPr>
            <w:tcW w:w="910" w:type="dxa"/>
          </w:tcPr>
          <w:p w14:paraId="4885100A" w14:textId="77777777" w:rsidR="001E1112" w:rsidRPr="00317ABF" w:rsidRDefault="001E1112" w:rsidP="00DB3BEC">
            <w:pPr>
              <w:pStyle w:val="Tekstpodstawowy"/>
              <w:rPr>
                <w:b/>
                <w:noProof/>
                <w:sz w:val="22"/>
                <w:szCs w:val="22"/>
              </w:rPr>
            </w:pPr>
          </w:p>
        </w:tc>
        <w:tc>
          <w:tcPr>
            <w:tcW w:w="6814" w:type="dxa"/>
            <w:gridSpan w:val="2"/>
          </w:tcPr>
          <w:p w14:paraId="3D7CEA7F" w14:textId="77777777" w:rsidR="001E1112" w:rsidRPr="00317ABF" w:rsidRDefault="001E1112" w:rsidP="00DB3BEC">
            <w:pPr>
              <w:pStyle w:val="Tekstpodstawowy"/>
              <w:rPr>
                <w:sz w:val="22"/>
                <w:szCs w:val="22"/>
              </w:rPr>
            </w:pPr>
          </w:p>
        </w:tc>
      </w:tr>
      <w:tr w:rsidR="001E1112" w:rsidRPr="00317ABF" w14:paraId="695A3867" w14:textId="77777777" w:rsidTr="7753F98D">
        <w:trPr>
          <w:gridAfter w:val="2"/>
          <w:wAfter w:w="175" w:type="dxa"/>
        </w:trPr>
        <w:tc>
          <w:tcPr>
            <w:tcW w:w="704" w:type="dxa"/>
          </w:tcPr>
          <w:p w14:paraId="48EEFD04" w14:textId="77777777" w:rsidR="001E1112" w:rsidRPr="00317ABF" w:rsidRDefault="001E1112" w:rsidP="00DB3BEC">
            <w:pPr>
              <w:jc w:val="both"/>
              <w:rPr>
                <w:b/>
                <w:sz w:val="22"/>
                <w:szCs w:val="22"/>
              </w:rPr>
            </w:pPr>
            <w:r w:rsidRPr="00317ABF">
              <w:rPr>
                <w:b/>
                <w:sz w:val="22"/>
                <w:szCs w:val="22"/>
              </w:rPr>
              <w:t>Art. 35</w:t>
            </w:r>
          </w:p>
        </w:tc>
        <w:tc>
          <w:tcPr>
            <w:tcW w:w="4308" w:type="dxa"/>
          </w:tcPr>
          <w:p w14:paraId="4B57A499" w14:textId="77777777" w:rsidR="001E1112" w:rsidRPr="00317ABF" w:rsidRDefault="001E1112" w:rsidP="00DB3BEC">
            <w:pPr>
              <w:spacing w:before="60" w:after="120"/>
              <w:jc w:val="both"/>
              <w:rPr>
                <w:b/>
                <w:bCs/>
                <w:sz w:val="22"/>
                <w:szCs w:val="22"/>
              </w:rPr>
            </w:pPr>
            <w:r w:rsidRPr="00317ABF">
              <w:rPr>
                <w:b/>
                <w:bCs/>
                <w:sz w:val="22"/>
                <w:szCs w:val="22"/>
              </w:rPr>
              <w:t>Proces wzajemnej oceny</w:t>
            </w:r>
          </w:p>
        </w:tc>
        <w:tc>
          <w:tcPr>
            <w:tcW w:w="986" w:type="dxa"/>
          </w:tcPr>
          <w:p w14:paraId="6DF670E6" w14:textId="77777777" w:rsidR="001E1112" w:rsidRPr="00317ABF" w:rsidRDefault="001E1112" w:rsidP="00DB3BEC">
            <w:pPr>
              <w:jc w:val="both"/>
              <w:rPr>
                <w:sz w:val="22"/>
                <w:szCs w:val="22"/>
              </w:rPr>
            </w:pPr>
          </w:p>
        </w:tc>
        <w:tc>
          <w:tcPr>
            <w:tcW w:w="910" w:type="dxa"/>
          </w:tcPr>
          <w:p w14:paraId="66597038" w14:textId="77777777" w:rsidR="001E1112" w:rsidRPr="00317ABF" w:rsidRDefault="001E1112" w:rsidP="00DB3BEC">
            <w:pPr>
              <w:pStyle w:val="Tekstpodstawowy"/>
              <w:rPr>
                <w:b/>
                <w:noProof/>
                <w:sz w:val="22"/>
                <w:szCs w:val="22"/>
              </w:rPr>
            </w:pPr>
          </w:p>
        </w:tc>
        <w:tc>
          <w:tcPr>
            <w:tcW w:w="6814" w:type="dxa"/>
            <w:gridSpan w:val="2"/>
          </w:tcPr>
          <w:p w14:paraId="017458F3" w14:textId="77777777" w:rsidR="001E1112" w:rsidRPr="00317ABF" w:rsidRDefault="001E1112" w:rsidP="00DB3BEC">
            <w:pPr>
              <w:pStyle w:val="Tekstpodstawowy"/>
              <w:rPr>
                <w:sz w:val="22"/>
                <w:szCs w:val="22"/>
              </w:rPr>
            </w:pPr>
          </w:p>
        </w:tc>
      </w:tr>
      <w:tr w:rsidR="001E1112" w:rsidRPr="00317ABF" w14:paraId="48C1D386" w14:textId="77777777" w:rsidTr="7753F98D">
        <w:trPr>
          <w:gridAfter w:val="2"/>
          <w:wAfter w:w="175" w:type="dxa"/>
        </w:trPr>
        <w:tc>
          <w:tcPr>
            <w:tcW w:w="704" w:type="dxa"/>
          </w:tcPr>
          <w:p w14:paraId="5979845F" w14:textId="77777777" w:rsidR="001E1112" w:rsidRPr="00317ABF" w:rsidRDefault="001E1112" w:rsidP="00DB3BEC">
            <w:pPr>
              <w:jc w:val="both"/>
              <w:rPr>
                <w:sz w:val="22"/>
                <w:szCs w:val="22"/>
              </w:rPr>
            </w:pPr>
            <w:r w:rsidRPr="00317ABF">
              <w:rPr>
                <w:sz w:val="22"/>
                <w:szCs w:val="22"/>
              </w:rPr>
              <w:t>Art. 35 ust. 1</w:t>
            </w:r>
          </w:p>
        </w:tc>
        <w:tc>
          <w:tcPr>
            <w:tcW w:w="4308" w:type="dxa"/>
          </w:tcPr>
          <w:p w14:paraId="45F0CE68" w14:textId="77777777" w:rsidR="001E1112" w:rsidRPr="00317ABF" w:rsidRDefault="001E1112" w:rsidP="00DB3BEC">
            <w:pPr>
              <w:spacing w:before="120"/>
              <w:jc w:val="both"/>
              <w:rPr>
                <w:sz w:val="22"/>
                <w:szCs w:val="22"/>
              </w:rPr>
            </w:pPr>
            <w:r w:rsidRPr="00317ABF">
              <w:rPr>
                <w:sz w:val="22"/>
                <w:szCs w:val="22"/>
              </w:rPr>
              <w:t>1.   W przypadku gdy krajowy organ regulacyjny lub inny właściwy organ zamierza przeprowadzić procedurę selekcji zgodnie z art. 55 ust. 2 w odniesieniu do pasm widma radiowego, dla którego zostały ustanowione zharmonizowane warunki w technicznych środkach wykonawczych zgodnie z decyzją nr 676/2002/WE w celu umożliwienia jego wykorzystania do celów szerokopasmowych bezprzewodowych sieci i usług, informuje on, na podstawie art. 23, RSPG o wszelkich planowanych środkach, które wchodzą w zakres procedury selekcji konkurencyjnej lub porównawczej na podstawie art. 55 ust. 2 i wskazuje, czy i kiedy zamierza zwrócić się do RSPG o zwołanie forum wzajemnej oceny.</w:t>
            </w:r>
          </w:p>
          <w:p w14:paraId="495AA16E" w14:textId="77777777" w:rsidR="001E1112" w:rsidRPr="00317ABF" w:rsidRDefault="001E1112" w:rsidP="00DB3BEC">
            <w:pPr>
              <w:spacing w:before="120"/>
              <w:jc w:val="both"/>
              <w:rPr>
                <w:sz w:val="22"/>
                <w:szCs w:val="22"/>
              </w:rPr>
            </w:pPr>
            <w:r w:rsidRPr="00317ABF">
              <w:rPr>
                <w:sz w:val="22"/>
                <w:szCs w:val="22"/>
              </w:rPr>
              <w:t>W odpowiedzi na taki wniosek RSPG organizuje forum wzajemnej oceny w celu omówienia i wymiany poglądów na temat przekazanych planowanych środków i ułatwia wymianę doświadczeń i najlepszych praktyk w zakresie tych planowanych środków.</w:t>
            </w:r>
          </w:p>
          <w:p w14:paraId="4C8912B2" w14:textId="77777777" w:rsidR="001E1112" w:rsidRPr="00317ABF" w:rsidRDefault="001E1112" w:rsidP="00DB3BEC">
            <w:pPr>
              <w:spacing w:before="120"/>
              <w:jc w:val="both"/>
              <w:rPr>
                <w:sz w:val="22"/>
                <w:szCs w:val="22"/>
              </w:rPr>
            </w:pPr>
            <w:r w:rsidRPr="00317ABF">
              <w:rPr>
                <w:sz w:val="22"/>
                <w:szCs w:val="22"/>
              </w:rPr>
              <w:lastRenderedPageBreak/>
              <w:t>Forum wzajemnej oceny składa się z członków RSPG, którego przedstawiciel organizuje forum i mu przewodniczy.</w:t>
            </w:r>
          </w:p>
        </w:tc>
        <w:tc>
          <w:tcPr>
            <w:tcW w:w="986" w:type="dxa"/>
          </w:tcPr>
          <w:p w14:paraId="60086500" w14:textId="3D65BE46" w:rsidR="001E1112" w:rsidRPr="00317ABF" w:rsidRDefault="001E1112" w:rsidP="00DB3BEC">
            <w:pPr>
              <w:jc w:val="both"/>
              <w:rPr>
                <w:sz w:val="22"/>
                <w:szCs w:val="22"/>
              </w:rPr>
            </w:pPr>
            <w:r w:rsidRPr="00317ABF">
              <w:rPr>
                <w:sz w:val="22"/>
                <w:szCs w:val="22"/>
              </w:rPr>
              <w:lastRenderedPageBreak/>
              <w:t>T</w:t>
            </w:r>
          </w:p>
        </w:tc>
        <w:tc>
          <w:tcPr>
            <w:tcW w:w="910" w:type="dxa"/>
          </w:tcPr>
          <w:p w14:paraId="6A9BAC8F" w14:textId="1310799B" w:rsidR="001E1112" w:rsidRPr="00317ABF" w:rsidRDefault="001E1112" w:rsidP="00DB3BEC">
            <w:pPr>
              <w:pStyle w:val="Tekstpodstawowy"/>
              <w:rPr>
                <w:b/>
                <w:noProof/>
                <w:sz w:val="22"/>
                <w:szCs w:val="22"/>
              </w:rPr>
            </w:pPr>
            <w:r w:rsidRPr="00317ABF">
              <w:rPr>
                <w:b/>
                <w:bCs/>
                <w:noProof/>
                <w:sz w:val="22"/>
                <w:szCs w:val="22"/>
              </w:rPr>
              <w:t xml:space="preserve">Art. </w:t>
            </w:r>
            <w:r w:rsidR="003F6416" w:rsidRPr="00317ABF">
              <w:rPr>
                <w:b/>
                <w:bCs/>
                <w:noProof/>
                <w:sz w:val="22"/>
                <w:szCs w:val="22"/>
              </w:rPr>
              <w:t>109</w:t>
            </w:r>
            <w:r w:rsidRPr="00317ABF">
              <w:rPr>
                <w:b/>
                <w:bCs/>
                <w:noProof/>
                <w:sz w:val="22"/>
                <w:szCs w:val="22"/>
              </w:rPr>
              <w:t xml:space="preserve"> ust. 1</w:t>
            </w:r>
          </w:p>
        </w:tc>
        <w:tc>
          <w:tcPr>
            <w:tcW w:w="6814" w:type="dxa"/>
            <w:gridSpan w:val="2"/>
          </w:tcPr>
          <w:p w14:paraId="78DC57AA" w14:textId="139C7186" w:rsidR="001E1112" w:rsidRPr="00317ABF" w:rsidRDefault="001E1112" w:rsidP="003F6416">
            <w:pPr>
              <w:jc w:val="both"/>
              <w:rPr>
                <w:sz w:val="22"/>
                <w:szCs w:val="22"/>
              </w:rPr>
            </w:pPr>
            <w:r w:rsidRPr="00317ABF">
              <w:rPr>
                <w:rStyle w:val="Ppogrubienie"/>
                <w:sz w:val="22"/>
                <w:szCs w:val="22"/>
              </w:rPr>
              <w:t>Art.</w:t>
            </w:r>
            <w:r w:rsidR="003F6416" w:rsidRPr="00317ABF">
              <w:rPr>
                <w:rStyle w:val="Ppogrubienie"/>
                <w:sz w:val="22"/>
                <w:szCs w:val="22"/>
              </w:rPr>
              <w:t> 109.</w:t>
            </w:r>
            <w:r w:rsidRPr="00317ABF">
              <w:rPr>
                <w:sz w:val="22"/>
                <w:szCs w:val="22"/>
              </w:rPr>
              <w:t xml:space="preserve"> 1. Wraz z wszczęciem postępowania konsultacyjnego Prezes UKE informuje RSPG o zamiarze i planowanych warunkach rozdysponowania, w drodze postępowania selekcyjnego, częstotliwości zharmonizowanych na potrzeby świadczenia bezprzewodowych usług szerokopasmowych. Przekazując informację, o której mowa w zdaniu pierwszym, Prezes UKE może zwrócić się do RSPG o zwołanie forum wzajemnej oceny, wskazując jednocześnie proponowany termin tego forum.</w:t>
            </w:r>
          </w:p>
          <w:p w14:paraId="2C28ACFC" w14:textId="0066A20C" w:rsidR="001E1112" w:rsidRPr="00317ABF" w:rsidRDefault="001E1112" w:rsidP="00DB3BEC">
            <w:pPr>
              <w:jc w:val="both"/>
              <w:rPr>
                <w:sz w:val="22"/>
                <w:szCs w:val="22"/>
              </w:rPr>
            </w:pPr>
          </w:p>
        </w:tc>
      </w:tr>
      <w:tr w:rsidR="001E1112" w:rsidRPr="00317ABF" w14:paraId="3B8A1C3B" w14:textId="77777777" w:rsidTr="7753F98D">
        <w:trPr>
          <w:gridAfter w:val="2"/>
          <w:wAfter w:w="175" w:type="dxa"/>
        </w:trPr>
        <w:tc>
          <w:tcPr>
            <w:tcW w:w="704" w:type="dxa"/>
          </w:tcPr>
          <w:p w14:paraId="0D137AFD" w14:textId="77777777" w:rsidR="001E1112" w:rsidRPr="00317ABF" w:rsidRDefault="001E1112" w:rsidP="00DB3BEC">
            <w:pPr>
              <w:jc w:val="both"/>
              <w:rPr>
                <w:sz w:val="22"/>
                <w:szCs w:val="22"/>
              </w:rPr>
            </w:pPr>
            <w:r w:rsidRPr="00317ABF">
              <w:rPr>
                <w:sz w:val="22"/>
                <w:szCs w:val="22"/>
              </w:rPr>
              <w:lastRenderedPageBreak/>
              <w:t>Art. 35 ust.  2</w:t>
            </w:r>
          </w:p>
        </w:tc>
        <w:tc>
          <w:tcPr>
            <w:tcW w:w="4308" w:type="dxa"/>
          </w:tcPr>
          <w:p w14:paraId="5E2D1010" w14:textId="77777777" w:rsidR="001E1112" w:rsidRPr="00317ABF" w:rsidRDefault="001E1112" w:rsidP="00DB3BEC">
            <w:pPr>
              <w:spacing w:before="120"/>
              <w:jc w:val="both"/>
              <w:rPr>
                <w:sz w:val="22"/>
                <w:szCs w:val="22"/>
              </w:rPr>
            </w:pPr>
            <w:r w:rsidRPr="00317ABF">
              <w:rPr>
                <w:sz w:val="22"/>
                <w:szCs w:val="22"/>
              </w:rPr>
              <w:t>2.   Najpóźniej podczas publicznych konsultacji prowadzonych na podstawie art. 23 RSPG może wyjątkowo podjąć inicjatywę zwołania forum wzajemnej oceny zgodnie z regulaminem wewnętrznym dotyczącym jego zorganizowania w celu wymiany doświadczeń i najlepszych praktyk dotyczących planowanego środka związanego z procedurą selekcji, w przypadku gdy uzna, że projektowany środek w sposób znaczący naruszałby zdolność organu regulacyjnego lub innego właściwego organu do realizacji celów określonych w art. 3, 45, 46 i 47.</w:t>
            </w:r>
          </w:p>
        </w:tc>
        <w:tc>
          <w:tcPr>
            <w:tcW w:w="986" w:type="dxa"/>
          </w:tcPr>
          <w:p w14:paraId="4F5047ED" w14:textId="77777777" w:rsidR="001E1112" w:rsidRPr="00317ABF" w:rsidRDefault="001E1112" w:rsidP="00DB3BEC">
            <w:pPr>
              <w:jc w:val="both"/>
              <w:rPr>
                <w:sz w:val="22"/>
                <w:szCs w:val="22"/>
              </w:rPr>
            </w:pPr>
            <w:r w:rsidRPr="00317ABF">
              <w:rPr>
                <w:sz w:val="22"/>
                <w:szCs w:val="22"/>
              </w:rPr>
              <w:t>N</w:t>
            </w:r>
          </w:p>
        </w:tc>
        <w:tc>
          <w:tcPr>
            <w:tcW w:w="910" w:type="dxa"/>
          </w:tcPr>
          <w:p w14:paraId="67525D00" w14:textId="77777777" w:rsidR="001E1112" w:rsidRPr="00317ABF" w:rsidRDefault="001E1112" w:rsidP="00DB3BEC">
            <w:pPr>
              <w:pStyle w:val="Tekstpodstawowy"/>
              <w:rPr>
                <w:b/>
                <w:noProof/>
                <w:sz w:val="22"/>
                <w:szCs w:val="22"/>
              </w:rPr>
            </w:pPr>
          </w:p>
        </w:tc>
        <w:tc>
          <w:tcPr>
            <w:tcW w:w="6814" w:type="dxa"/>
            <w:gridSpan w:val="2"/>
          </w:tcPr>
          <w:p w14:paraId="02A3EDED" w14:textId="77777777" w:rsidR="001E1112" w:rsidRPr="00317ABF" w:rsidRDefault="001E1112" w:rsidP="00DB3BEC">
            <w:pPr>
              <w:pStyle w:val="Tekstpodstawowy"/>
              <w:rPr>
                <w:sz w:val="22"/>
                <w:szCs w:val="22"/>
              </w:rPr>
            </w:pPr>
          </w:p>
        </w:tc>
      </w:tr>
      <w:tr w:rsidR="001E1112" w:rsidRPr="00317ABF" w14:paraId="32DA4814" w14:textId="77777777" w:rsidTr="7753F98D">
        <w:trPr>
          <w:gridAfter w:val="2"/>
          <w:wAfter w:w="175" w:type="dxa"/>
        </w:trPr>
        <w:tc>
          <w:tcPr>
            <w:tcW w:w="704" w:type="dxa"/>
          </w:tcPr>
          <w:p w14:paraId="6650BC07" w14:textId="77777777" w:rsidR="001E1112" w:rsidRPr="00317ABF" w:rsidRDefault="001E1112" w:rsidP="00DB3BEC">
            <w:pPr>
              <w:jc w:val="both"/>
              <w:rPr>
                <w:sz w:val="22"/>
                <w:szCs w:val="22"/>
              </w:rPr>
            </w:pPr>
            <w:r w:rsidRPr="00317ABF">
              <w:rPr>
                <w:sz w:val="22"/>
                <w:szCs w:val="22"/>
              </w:rPr>
              <w:t>Art. 35 ust. 3</w:t>
            </w:r>
          </w:p>
        </w:tc>
        <w:tc>
          <w:tcPr>
            <w:tcW w:w="4308" w:type="dxa"/>
          </w:tcPr>
          <w:p w14:paraId="51F912FB" w14:textId="77777777" w:rsidR="001E1112" w:rsidRPr="00317ABF" w:rsidRDefault="001E1112" w:rsidP="00DB3BEC">
            <w:pPr>
              <w:spacing w:before="120"/>
              <w:jc w:val="both"/>
              <w:rPr>
                <w:sz w:val="22"/>
                <w:szCs w:val="22"/>
              </w:rPr>
            </w:pPr>
            <w:r w:rsidRPr="00317ABF">
              <w:rPr>
                <w:sz w:val="22"/>
                <w:szCs w:val="22"/>
              </w:rPr>
              <w:t>3.   RSPG określa z wyprzedzeniem i podaje do publicznej wiadomości obiektywne kryteria wyjątkowego zwołania forum wzajemnej oceny.</w:t>
            </w:r>
          </w:p>
        </w:tc>
        <w:tc>
          <w:tcPr>
            <w:tcW w:w="986" w:type="dxa"/>
          </w:tcPr>
          <w:p w14:paraId="634862E8" w14:textId="77777777" w:rsidR="001E1112" w:rsidRPr="00317ABF" w:rsidRDefault="001E1112" w:rsidP="00DB3BEC">
            <w:pPr>
              <w:jc w:val="both"/>
              <w:rPr>
                <w:sz w:val="22"/>
                <w:szCs w:val="22"/>
              </w:rPr>
            </w:pPr>
            <w:r w:rsidRPr="00317ABF">
              <w:rPr>
                <w:sz w:val="22"/>
                <w:szCs w:val="22"/>
              </w:rPr>
              <w:t>N</w:t>
            </w:r>
          </w:p>
        </w:tc>
        <w:tc>
          <w:tcPr>
            <w:tcW w:w="910" w:type="dxa"/>
          </w:tcPr>
          <w:p w14:paraId="63B496E2" w14:textId="77777777" w:rsidR="001E1112" w:rsidRPr="00317ABF" w:rsidRDefault="001E1112" w:rsidP="00DB3BEC">
            <w:pPr>
              <w:pStyle w:val="Tekstpodstawowy"/>
              <w:rPr>
                <w:b/>
                <w:noProof/>
                <w:sz w:val="22"/>
                <w:szCs w:val="22"/>
              </w:rPr>
            </w:pPr>
          </w:p>
        </w:tc>
        <w:tc>
          <w:tcPr>
            <w:tcW w:w="6814" w:type="dxa"/>
            <w:gridSpan w:val="2"/>
          </w:tcPr>
          <w:p w14:paraId="3A871899" w14:textId="77777777" w:rsidR="001E1112" w:rsidRPr="00317ABF" w:rsidRDefault="001E1112" w:rsidP="00DB3BEC">
            <w:pPr>
              <w:pStyle w:val="Tekstpodstawowy"/>
              <w:rPr>
                <w:sz w:val="22"/>
                <w:szCs w:val="22"/>
              </w:rPr>
            </w:pPr>
          </w:p>
        </w:tc>
      </w:tr>
      <w:tr w:rsidR="001E1112" w:rsidRPr="00317ABF" w14:paraId="77A9DE4E" w14:textId="77777777" w:rsidTr="7753F98D">
        <w:trPr>
          <w:gridAfter w:val="2"/>
          <w:wAfter w:w="175" w:type="dxa"/>
        </w:trPr>
        <w:tc>
          <w:tcPr>
            <w:tcW w:w="704" w:type="dxa"/>
          </w:tcPr>
          <w:p w14:paraId="791908D8" w14:textId="77777777" w:rsidR="001E1112" w:rsidRPr="00317ABF" w:rsidRDefault="001E1112" w:rsidP="00DB3BEC">
            <w:pPr>
              <w:jc w:val="both"/>
              <w:rPr>
                <w:sz w:val="22"/>
                <w:szCs w:val="22"/>
              </w:rPr>
            </w:pPr>
            <w:r w:rsidRPr="00317ABF">
              <w:rPr>
                <w:sz w:val="22"/>
                <w:szCs w:val="22"/>
              </w:rPr>
              <w:t>Art. 35 ust. 4</w:t>
            </w:r>
          </w:p>
        </w:tc>
        <w:tc>
          <w:tcPr>
            <w:tcW w:w="4308" w:type="dxa"/>
          </w:tcPr>
          <w:p w14:paraId="4F87226A" w14:textId="77777777" w:rsidR="001E1112" w:rsidRPr="00317ABF" w:rsidRDefault="001E1112" w:rsidP="00DB3BEC">
            <w:pPr>
              <w:spacing w:before="120"/>
              <w:jc w:val="both"/>
              <w:rPr>
                <w:sz w:val="22"/>
                <w:szCs w:val="22"/>
              </w:rPr>
            </w:pPr>
            <w:r w:rsidRPr="00317ABF">
              <w:rPr>
                <w:sz w:val="22"/>
                <w:szCs w:val="22"/>
              </w:rPr>
              <w:t>4.   Podczas prac forum wzajemnej oceny krajowy organ regulacyjny lub inny właściwy organ udziela wyjaśnień co do sposobu, w jaki projektowany środek:</w:t>
            </w:r>
          </w:p>
          <w:tbl>
            <w:tblPr>
              <w:tblW w:w="5000" w:type="pct"/>
              <w:tblCellSpacing w:w="0" w:type="dxa"/>
              <w:tblLayout w:type="fixed"/>
              <w:tblCellMar>
                <w:left w:w="0" w:type="dxa"/>
                <w:right w:w="0" w:type="dxa"/>
              </w:tblCellMar>
              <w:tblLook w:val="04A0" w:firstRow="1" w:lastRow="0" w:firstColumn="1" w:lastColumn="0" w:noHBand="0" w:noVBand="1"/>
            </w:tblPr>
            <w:tblGrid>
              <w:gridCol w:w="20"/>
              <w:gridCol w:w="4148"/>
            </w:tblGrid>
            <w:tr w:rsidR="001E1112" w:rsidRPr="00317ABF" w14:paraId="7D460032" w14:textId="77777777" w:rsidTr="00A462BE">
              <w:trPr>
                <w:tblCellSpacing w:w="0" w:type="dxa"/>
              </w:trPr>
              <w:tc>
                <w:tcPr>
                  <w:tcW w:w="6" w:type="dxa"/>
                  <w:hideMark/>
                </w:tcPr>
                <w:p w14:paraId="2F6D4EFB" w14:textId="77777777" w:rsidR="001E1112" w:rsidRPr="00317ABF" w:rsidRDefault="001E1112" w:rsidP="00EE0AC3">
                  <w:pPr>
                    <w:framePr w:hSpace="141" w:wrap="around" w:vAnchor="text" w:hAnchor="text" w:xAlign="right" w:y="1"/>
                    <w:spacing w:before="120"/>
                    <w:suppressOverlap/>
                    <w:jc w:val="both"/>
                    <w:rPr>
                      <w:sz w:val="22"/>
                      <w:szCs w:val="22"/>
                    </w:rPr>
                  </w:pPr>
                </w:p>
              </w:tc>
              <w:tc>
                <w:tcPr>
                  <w:tcW w:w="9066" w:type="dxa"/>
                  <w:hideMark/>
                </w:tcPr>
                <w:p w14:paraId="235D34B5" w14:textId="77777777" w:rsidR="001E1112" w:rsidRPr="00317ABF" w:rsidRDefault="001E1112" w:rsidP="00EE0AC3">
                  <w:pPr>
                    <w:framePr w:hSpace="141" w:wrap="around" w:vAnchor="text" w:hAnchor="text" w:xAlign="right" w:y="1"/>
                    <w:numPr>
                      <w:ilvl w:val="0"/>
                      <w:numId w:val="21"/>
                    </w:numPr>
                    <w:spacing w:before="120"/>
                    <w:suppressOverlap/>
                    <w:jc w:val="both"/>
                    <w:rPr>
                      <w:sz w:val="22"/>
                      <w:szCs w:val="22"/>
                    </w:rPr>
                  </w:pPr>
                  <w:r w:rsidRPr="00317ABF">
                    <w:rPr>
                      <w:sz w:val="22"/>
                      <w:szCs w:val="22"/>
                    </w:rPr>
                    <w:t>wspiera rozwój rynku wewnętrznego, transgraniczne świadczenie usług, a także konkurencję i maksymalizuje korzyści dla konsumentów oraz ogólnie realizuje cele określone w art. 3, 45, 46 i 47 niniejszej dyrektywy, a także w decyzjach nr 676/2002/WE i nr 243/2012/UE;</w:t>
                  </w:r>
                </w:p>
              </w:tc>
            </w:tr>
          </w:tbl>
          <w:p w14:paraId="035A956E" w14:textId="77777777" w:rsidR="001E1112" w:rsidRPr="00317ABF" w:rsidRDefault="001E1112" w:rsidP="00DB3BEC">
            <w:pPr>
              <w:jc w:val="both"/>
              <w:rPr>
                <w:vanish/>
                <w:sz w:val="22"/>
                <w:szCs w:val="22"/>
              </w:rPr>
            </w:pPr>
          </w:p>
          <w:tbl>
            <w:tblPr>
              <w:tblW w:w="5000" w:type="pct"/>
              <w:tblCellSpacing w:w="0" w:type="dxa"/>
              <w:tblLayout w:type="fixed"/>
              <w:tblCellMar>
                <w:left w:w="0" w:type="dxa"/>
                <w:right w:w="0" w:type="dxa"/>
              </w:tblCellMar>
              <w:tblLook w:val="04A0" w:firstRow="1" w:lastRow="0" w:firstColumn="1" w:lastColumn="0" w:noHBand="0" w:noVBand="1"/>
            </w:tblPr>
            <w:tblGrid>
              <w:gridCol w:w="20"/>
              <w:gridCol w:w="4148"/>
            </w:tblGrid>
            <w:tr w:rsidR="001E1112" w:rsidRPr="00317ABF" w14:paraId="043018B7" w14:textId="77777777" w:rsidTr="00A462BE">
              <w:trPr>
                <w:tblCellSpacing w:w="0" w:type="dxa"/>
              </w:trPr>
              <w:tc>
                <w:tcPr>
                  <w:tcW w:w="8" w:type="dxa"/>
                  <w:hideMark/>
                </w:tcPr>
                <w:p w14:paraId="7BC35E71" w14:textId="77777777" w:rsidR="001E1112" w:rsidRPr="00317ABF" w:rsidRDefault="001E1112" w:rsidP="00EE0AC3">
                  <w:pPr>
                    <w:framePr w:hSpace="141" w:wrap="around" w:vAnchor="text" w:hAnchor="text" w:xAlign="right" w:y="1"/>
                    <w:spacing w:before="120"/>
                    <w:suppressOverlap/>
                    <w:jc w:val="both"/>
                    <w:rPr>
                      <w:sz w:val="22"/>
                      <w:szCs w:val="22"/>
                    </w:rPr>
                  </w:pPr>
                </w:p>
              </w:tc>
              <w:tc>
                <w:tcPr>
                  <w:tcW w:w="9064" w:type="dxa"/>
                  <w:hideMark/>
                </w:tcPr>
                <w:p w14:paraId="7C134368" w14:textId="77777777" w:rsidR="001E1112" w:rsidRPr="00317ABF" w:rsidRDefault="001E1112" w:rsidP="00EE0AC3">
                  <w:pPr>
                    <w:framePr w:hSpace="141" w:wrap="around" w:vAnchor="text" w:hAnchor="text" w:xAlign="right" w:y="1"/>
                    <w:numPr>
                      <w:ilvl w:val="0"/>
                      <w:numId w:val="21"/>
                    </w:numPr>
                    <w:spacing w:before="120"/>
                    <w:suppressOverlap/>
                    <w:jc w:val="both"/>
                    <w:rPr>
                      <w:sz w:val="22"/>
                      <w:szCs w:val="22"/>
                    </w:rPr>
                  </w:pPr>
                  <w:r w:rsidRPr="00317ABF">
                    <w:rPr>
                      <w:sz w:val="22"/>
                      <w:szCs w:val="22"/>
                    </w:rPr>
                    <w:t>zapewnia efektywne i wydajne wykorzystanie widma radiowego; oraz</w:t>
                  </w:r>
                </w:p>
              </w:tc>
            </w:tr>
          </w:tbl>
          <w:p w14:paraId="264C1A0E" w14:textId="77777777" w:rsidR="001E1112" w:rsidRPr="00317ABF" w:rsidRDefault="001E1112" w:rsidP="00DB3BEC">
            <w:pPr>
              <w:jc w:val="both"/>
              <w:rPr>
                <w:vanish/>
                <w:sz w:val="22"/>
                <w:szCs w:val="22"/>
              </w:rPr>
            </w:pPr>
          </w:p>
          <w:tbl>
            <w:tblPr>
              <w:tblW w:w="5000" w:type="pct"/>
              <w:tblCellSpacing w:w="0" w:type="dxa"/>
              <w:tblLayout w:type="fixed"/>
              <w:tblCellMar>
                <w:left w:w="0" w:type="dxa"/>
                <w:right w:w="0" w:type="dxa"/>
              </w:tblCellMar>
              <w:tblLook w:val="04A0" w:firstRow="1" w:lastRow="0" w:firstColumn="1" w:lastColumn="0" w:noHBand="0" w:noVBand="1"/>
            </w:tblPr>
            <w:tblGrid>
              <w:gridCol w:w="20"/>
              <w:gridCol w:w="4148"/>
            </w:tblGrid>
            <w:tr w:rsidR="001E1112" w:rsidRPr="00317ABF" w14:paraId="6CF4DDC0" w14:textId="77777777" w:rsidTr="00A462BE">
              <w:trPr>
                <w:tblCellSpacing w:w="0" w:type="dxa"/>
              </w:trPr>
              <w:tc>
                <w:tcPr>
                  <w:tcW w:w="6" w:type="dxa"/>
                  <w:hideMark/>
                </w:tcPr>
                <w:p w14:paraId="3DC20B7F" w14:textId="77777777" w:rsidR="001E1112" w:rsidRPr="00317ABF" w:rsidRDefault="001E1112" w:rsidP="00EE0AC3">
                  <w:pPr>
                    <w:framePr w:hSpace="141" w:wrap="around" w:vAnchor="text" w:hAnchor="text" w:xAlign="right" w:y="1"/>
                    <w:spacing w:before="120"/>
                    <w:suppressOverlap/>
                    <w:jc w:val="both"/>
                    <w:rPr>
                      <w:sz w:val="22"/>
                      <w:szCs w:val="22"/>
                    </w:rPr>
                  </w:pPr>
                </w:p>
              </w:tc>
              <w:tc>
                <w:tcPr>
                  <w:tcW w:w="9066" w:type="dxa"/>
                  <w:hideMark/>
                </w:tcPr>
                <w:p w14:paraId="7E649D57" w14:textId="77777777" w:rsidR="001E1112" w:rsidRPr="00317ABF" w:rsidRDefault="001E1112" w:rsidP="00EE0AC3">
                  <w:pPr>
                    <w:framePr w:hSpace="141" w:wrap="around" w:vAnchor="text" w:hAnchor="text" w:xAlign="right" w:y="1"/>
                    <w:numPr>
                      <w:ilvl w:val="0"/>
                      <w:numId w:val="21"/>
                    </w:numPr>
                    <w:spacing w:before="120"/>
                    <w:suppressOverlap/>
                    <w:jc w:val="both"/>
                    <w:rPr>
                      <w:sz w:val="22"/>
                      <w:szCs w:val="22"/>
                    </w:rPr>
                  </w:pPr>
                  <w:r w:rsidRPr="00317ABF">
                    <w:rPr>
                      <w:sz w:val="22"/>
                      <w:szCs w:val="22"/>
                    </w:rPr>
                    <w:t>zapewnia stabilne i przewidywalne warunki inwestycyjne dla dotychczasowych i przyszłych użytkowników widma radiowego przy realizacji sieci na potrzeby świadczenia usług łączności elektronicznej, które wykorzystują widmo radiowe.</w:t>
                  </w:r>
                </w:p>
              </w:tc>
            </w:tr>
          </w:tbl>
          <w:p w14:paraId="222C0D7E" w14:textId="77777777" w:rsidR="001E1112" w:rsidRPr="00317ABF" w:rsidRDefault="001E1112" w:rsidP="00DB3BEC">
            <w:pPr>
              <w:spacing w:before="120"/>
              <w:jc w:val="both"/>
              <w:rPr>
                <w:sz w:val="22"/>
                <w:szCs w:val="22"/>
              </w:rPr>
            </w:pPr>
          </w:p>
        </w:tc>
        <w:tc>
          <w:tcPr>
            <w:tcW w:w="986" w:type="dxa"/>
          </w:tcPr>
          <w:p w14:paraId="2DE00C70" w14:textId="2802BE78" w:rsidR="001E1112" w:rsidRPr="00317ABF" w:rsidRDefault="001E1112" w:rsidP="00DB3BEC">
            <w:pPr>
              <w:jc w:val="both"/>
              <w:rPr>
                <w:sz w:val="22"/>
                <w:szCs w:val="22"/>
              </w:rPr>
            </w:pPr>
            <w:r w:rsidRPr="00317ABF">
              <w:rPr>
                <w:sz w:val="22"/>
                <w:szCs w:val="22"/>
              </w:rPr>
              <w:lastRenderedPageBreak/>
              <w:t>T</w:t>
            </w:r>
          </w:p>
        </w:tc>
        <w:tc>
          <w:tcPr>
            <w:tcW w:w="910" w:type="dxa"/>
          </w:tcPr>
          <w:p w14:paraId="0828AFE0" w14:textId="3F2BFA0D" w:rsidR="001E1112" w:rsidRPr="00317ABF" w:rsidRDefault="001E1112" w:rsidP="00DB3BEC">
            <w:pPr>
              <w:pStyle w:val="Tekstpodstawowy"/>
              <w:rPr>
                <w:b/>
                <w:noProof/>
                <w:sz w:val="22"/>
                <w:szCs w:val="22"/>
              </w:rPr>
            </w:pPr>
            <w:r w:rsidRPr="00317ABF">
              <w:rPr>
                <w:b/>
                <w:bCs/>
                <w:noProof/>
                <w:sz w:val="22"/>
                <w:szCs w:val="22"/>
              </w:rPr>
              <w:t xml:space="preserve">Art. </w:t>
            </w:r>
            <w:r w:rsidR="000463A4" w:rsidRPr="00317ABF">
              <w:rPr>
                <w:b/>
                <w:bCs/>
                <w:noProof/>
                <w:sz w:val="22"/>
                <w:szCs w:val="22"/>
              </w:rPr>
              <w:t>109</w:t>
            </w:r>
            <w:r w:rsidRPr="00317ABF">
              <w:rPr>
                <w:b/>
                <w:bCs/>
                <w:noProof/>
                <w:sz w:val="22"/>
                <w:szCs w:val="22"/>
              </w:rPr>
              <w:t xml:space="preserve"> ust. 2</w:t>
            </w:r>
          </w:p>
        </w:tc>
        <w:tc>
          <w:tcPr>
            <w:tcW w:w="6814" w:type="dxa"/>
            <w:gridSpan w:val="2"/>
          </w:tcPr>
          <w:p w14:paraId="28CCC062" w14:textId="480D4F92" w:rsidR="001E1112" w:rsidRPr="00317ABF" w:rsidRDefault="001E1112" w:rsidP="000463A4">
            <w:pPr>
              <w:pStyle w:val="USTustnpkodeksu"/>
              <w:keepNext/>
              <w:spacing w:line="240" w:lineRule="auto"/>
              <w:ind w:firstLine="0"/>
              <w:rPr>
                <w:rFonts w:ascii="Times New Roman" w:hAnsi="Times New Roman" w:cs="Times New Roman"/>
                <w:sz w:val="22"/>
                <w:szCs w:val="22"/>
              </w:rPr>
            </w:pPr>
            <w:r w:rsidRPr="00317ABF">
              <w:rPr>
                <w:rFonts w:ascii="Times New Roman" w:hAnsi="Times New Roman" w:cs="Times New Roman"/>
                <w:sz w:val="22"/>
                <w:szCs w:val="22"/>
              </w:rPr>
              <w:t>2. Podczas forum wzajemnej oceny Prezes UKE udziela wyjaśnień w jaki sposób planowane postępowanie selekcyjne:</w:t>
            </w:r>
          </w:p>
          <w:p w14:paraId="40B39460" w14:textId="77777777" w:rsidR="000463A4" w:rsidRPr="00317ABF" w:rsidRDefault="000463A4" w:rsidP="000463A4">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1)</w:t>
            </w:r>
            <w:r w:rsidRPr="00317ABF">
              <w:rPr>
                <w:rFonts w:ascii="Times New Roman" w:hAnsi="Times New Roman" w:cs="Times New Roman"/>
                <w:sz w:val="22"/>
                <w:szCs w:val="22"/>
              </w:rPr>
              <w:tab/>
              <w:t>wspiera rozwój rynku wewnętrznego, transgraniczne świadczenie usług, a także konkurencję i maksymalizuje korzyści dla konsumentów oraz ogólnie realizuje cele określone w art. 407 ust. 2, a także w decyzjach nr 676/2002/WE nr 676/2002/WE Parlamentu Europejskiego i Rady z dnia 7 marca 2002 r. w sprawie ram regulacyjnych dotyczących polityki spektrum radiowego we Wspólnocie Europejskiej (decyzja o spektrum radiowym) i nr 243/2012/UE Parlamentu Europejskiego z dnia 14 marca 2012 r. w sprawie ustanowienia wieloletniego programu dotyczącego polityki w zakresie widma radiowego (Dz. Urz. UE L 81 z 21.03.2012, str. 7-17);</w:t>
            </w:r>
          </w:p>
          <w:p w14:paraId="444FF73C" w14:textId="77777777" w:rsidR="000463A4" w:rsidRPr="00317ABF" w:rsidRDefault="000463A4" w:rsidP="000463A4">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2)</w:t>
            </w:r>
            <w:r w:rsidRPr="00317ABF">
              <w:rPr>
                <w:rFonts w:ascii="Times New Roman" w:hAnsi="Times New Roman" w:cs="Times New Roman"/>
                <w:sz w:val="22"/>
                <w:szCs w:val="22"/>
              </w:rPr>
              <w:tab/>
              <w:t>zapewnia efektywne wykorzystanie częstotliwości;</w:t>
            </w:r>
          </w:p>
          <w:p w14:paraId="7BBBDB27" w14:textId="4ACC9E8D" w:rsidR="001E1112" w:rsidRPr="00317ABF" w:rsidRDefault="001E1112" w:rsidP="00DB3BEC">
            <w:pPr>
              <w:ind w:left="510" w:hanging="510"/>
              <w:jc w:val="both"/>
              <w:rPr>
                <w:sz w:val="22"/>
                <w:szCs w:val="22"/>
              </w:rPr>
            </w:pPr>
            <w:r w:rsidRPr="00317ABF">
              <w:rPr>
                <w:sz w:val="22"/>
                <w:szCs w:val="22"/>
              </w:rPr>
              <w:t>3)</w:t>
            </w:r>
            <w:r w:rsidR="000463A4" w:rsidRPr="00317ABF">
              <w:rPr>
                <w:sz w:val="22"/>
                <w:szCs w:val="22"/>
              </w:rPr>
              <w:tab/>
            </w:r>
            <w:r w:rsidRPr="00317ABF">
              <w:rPr>
                <w:sz w:val="22"/>
                <w:szCs w:val="22"/>
              </w:rPr>
              <w:t>zapewnia stabilne i przewidywalne warunki inwestycyjne dla dotychczasowych i</w:t>
            </w:r>
            <w:r w:rsidR="000463A4" w:rsidRPr="00317ABF">
              <w:rPr>
                <w:sz w:val="22"/>
                <w:szCs w:val="22"/>
              </w:rPr>
              <w:t> </w:t>
            </w:r>
            <w:r w:rsidRPr="00317ABF">
              <w:rPr>
                <w:sz w:val="22"/>
                <w:szCs w:val="22"/>
              </w:rPr>
              <w:t xml:space="preserve">przyszłych użytkowników częstotliwości przy </w:t>
            </w:r>
            <w:r w:rsidRPr="00317ABF">
              <w:rPr>
                <w:sz w:val="22"/>
                <w:szCs w:val="22"/>
              </w:rPr>
              <w:lastRenderedPageBreak/>
              <w:t>rozwoju sieci na potrzeby świadczenia usług telekomunikacyjnych z wykorzystaniem częstotliwości.</w:t>
            </w:r>
          </w:p>
        </w:tc>
      </w:tr>
      <w:tr w:rsidR="001E1112" w:rsidRPr="00317ABF" w14:paraId="6A1DF772" w14:textId="77777777" w:rsidTr="7753F98D">
        <w:trPr>
          <w:gridAfter w:val="2"/>
          <w:wAfter w:w="175" w:type="dxa"/>
        </w:trPr>
        <w:tc>
          <w:tcPr>
            <w:tcW w:w="704" w:type="dxa"/>
          </w:tcPr>
          <w:p w14:paraId="6C91EFCF" w14:textId="77777777" w:rsidR="001E1112" w:rsidRPr="00317ABF" w:rsidRDefault="001E1112" w:rsidP="00DB3BEC">
            <w:pPr>
              <w:jc w:val="both"/>
              <w:rPr>
                <w:sz w:val="22"/>
                <w:szCs w:val="22"/>
              </w:rPr>
            </w:pPr>
            <w:r w:rsidRPr="00317ABF">
              <w:rPr>
                <w:sz w:val="22"/>
                <w:szCs w:val="22"/>
              </w:rPr>
              <w:lastRenderedPageBreak/>
              <w:t>Art. 35 ust. 5</w:t>
            </w:r>
          </w:p>
        </w:tc>
        <w:tc>
          <w:tcPr>
            <w:tcW w:w="4308" w:type="dxa"/>
          </w:tcPr>
          <w:p w14:paraId="13585DBE" w14:textId="77777777" w:rsidR="001E1112" w:rsidRPr="00317ABF" w:rsidRDefault="001E1112" w:rsidP="00DB3BEC">
            <w:pPr>
              <w:spacing w:before="120"/>
              <w:jc w:val="both"/>
              <w:rPr>
                <w:sz w:val="22"/>
                <w:szCs w:val="22"/>
              </w:rPr>
            </w:pPr>
            <w:r w:rsidRPr="00317ABF">
              <w:rPr>
                <w:sz w:val="22"/>
                <w:szCs w:val="22"/>
              </w:rPr>
              <w:t>5.   W forum wzajemnej oceny mogą dobrowolnie uczestniczyć eksperci z innych właściwych organów oraz BEREC.</w:t>
            </w:r>
          </w:p>
        </w:tc>
        <w:tc>
          <w:tcPr>
            <w:tcW w:w="986" w:type="dxa"/>
          </w:tcPr>
          <w:p w14:paraId="03B46EB0" w14:textId="77777777" w:rsidR="001E1112" w:rsidRPr="00317ABF" w:rsidRDefault="001E1112" w:rsidP="00DB3BEC">
            <w:pPr>
              <w:jc w:val="both"/>
              <w:rPr>
                <w:sz w:val="22"/>
                <w:szCs w:val="22"/>
              </w:rPr>
            </w:pPr>
            <w:r w:rsidRPr="00317ABF">
              <w:rPr>
                <w:sz w:val="22"/>
                <w:szCs w:val="22"/>
              </w:rPr>
              <w:t>N</w:t>
            </w:r>
          </w:p>
        </w:tc>
        <w:tc>
          <w:tcPr>
            <w:tcW w:w="910" w:type="dxa"/>
          </w:tcPr>
          <w:p w14:paraId="68285AC0" w14:textId="77777777" w:rsidR="001E1112" w:rsidRPr="00317ABF" w:rsidRDefault="001E1112" w:rsidP="00DB3BEC">
            <w:pPr>
              <w:pStyle w:val="Tekstpodstawowy"/>
              <w:rPr>
                <w:b/>
                <w:noProof/>
                <w:sz w:val="22"/>
                <w:szCs w:val="22"/>
              </w:rPr>
            </w:pPr>
          </w:p>
        </w:tc>
        <w:tc>
          <w:tcPr>
            <w:tcW w:w="6814" w:type="dxa"/>
            <w:gridSpan w:val="2"/>
          </w:tcPr>
          <w:p w14:paraId="63ED297C" w14:textId="77777777" w:rsidR="001E1112" w:rsidRPr="00317ABF" w:rsidRDefault="001E1112" w:rsidP="00DB3BEC">
            <w:pPr>
              <w:pStyle w:val="Tekstpodstawowy"/>
              <w:rPr>
                <w:sz w:val="22"/>
                <w:szCs w:val="22"/>
              </w:rPr>
            </w:pPr>
          </w:p>
        </w:tc>
      </w:tr>
      <w:tr w:rsidR="001E1112" w:rsidRPr="00317ABF" w14:paraId="41E5B6FB" w14:textId="77777777" w:rsidTr="7753F98D">
        <w:trPr>
          <w:gridAfter w:val="2"/>
          <w:wAfter w:w="175" w:type="dxa"/>
        </w:trPr>
        <w:tc>
          <w:tcPr>
            <w:tcW w:w="704" w:type="dxa"/>
          </w:tcPr>
          <w:p w14:paraId="39D873F7" w14:textId="77777777" w:rsidR="001E1112" w:rsidRPr="00317ABF" w:rsidRDefault="001E1112" w:rsidP="00DB3BEC">
            <w:pPr>
              <w:jc w:val="both"/>
              <w:rPr>
                <w:sz w:val="22"/>
                <w:szCs w:val="22"/>
              </w:rPr>
            </w:pPr>
            <w:r w:rsidRPr="00317ABF">
              <w:rPr>
                <w:sz w:val="22"/>
                <w:szCs w:val="22"/>
              </w:rPr>
              <w:t>Art. 35 ust. 6</w:t>
            </w:r>
          </w:p>
        </w:tc>
        <w:tc>
          <w:tcPr>
            <w:tcW w:w="4308" w:type="dxa"/>
          </w:tcPr>
          <w:p w14:paraId="5D5BAF30" w14:textId="77777777" w:rsidR="001E1112" w:rsidRPr="00317ABF" w:rsidRDefault="001E1112" w:rsidP="00DB3BEC">
            <w:pPr>
              <w:spacing w:before="120"/>
              <w:jc w:val="both"/>
              <w:rPr>
                <w:sz w:val="22"/>
                <w:szCs w:val="22"/>
              </w:rPr>
            </w:pPr>
            <w:r w:rsidRPr="00317ABF">
              <w:rPr>
                <w:sz w:val="22"/>
                <w:szCs w:val="22"/>
              </w:rPr>
              <w:t>6.   Forum wzajemnej oceny jest zwoływane tylko raz podczas całego krajowego procesu przygotowań i konsultacji w ramach jednolitej procedury selekcji dotyczącej jednego lub kilku pasm widma radiowego, chyba że krajowy organ regulacyjny lub inny właściwy organ zwróci się o ponowne zwołanie forum.</w:t>
            </w:r>
          </w:p>
        </w:tc>
        <w:tc>
          <w:tcPr>
            <w:tcW w:w="986" w:type="dxa"/>
          </w:tcPr>
          <w:p w14:paraId="700A880C" w14:textId="42F35FC5" w:rsidR="001E1112" w:rsidRPr="00317ABF" w:rsidRDefault="001E1112" w:rsidP="00DB3BEC">
            <w:pPr>
              <w:jc w:val="both"/>
              <w:rPr>
                <w:sz w:val="22"/>
                <w:szCs w:val="22"/>
              </w:rPr>
            </w:pPr>
            <w:r w:rsidRPr="00317ABF">
              <w:rPr>
                <w:sz w:val="22"/>
                <w:szCs w:val="22"/>
              </w:rPr>
              <w:t>T (w zakresie możliwości zwócenia się przez organ regulacyjny o ponowne zwołanie forum)</w:t>
            </w:r>
          </w:p>
        </w:tc>
        <w:tc>
          <w:tcPr>
            <w:tcW w:w="910" w:type="dxa"/>
          </w:tcPr>
          <w:p w14:paraId="7D962636" w14:textId="7F94F205" w:rsidR="001E1112" w:rsidRPr="00317ABF" w:rsidRDefault="001E1112" w:rsidP="00DB3BEC">
            <w:pPr>
              <w:pStyle w:val="Tekstpodstawowy"/>
              <w:rPr>
                <w:b/>
                <w:noProof/>
                <w:sz w:val="22"/>
                <w:szCs w:val="22"/>
              </w:rPr>
            </w:pPr>
            <w:r w:rsidRPr="00317ABF">
              <w:rPr>
                <w:b/>
                <w:bCs/>
                <w:noProof/>
                <w:sz w:val="22"/>
                <w:szCs w:val="22"/>
              </w:rPr>
              <w:t xml:space="preserve">Art. </w:t>
            </w:r>
            <w:r w:rsidR="000463A4" w:rsidRPr="00317ABF">
              <w:rPr>
                <w:b/>
                <w:bCs/>
                <w:noProof/>
                <w:sz w:val="22"/>
                <w:szCs w:val="22"/>
              </w:rPr>
              <w:t>109</w:t>
            </w:r>
            <w:r w:rsidRPr="00317ABF">
              <w:rPr>
                <w:b/>
                <w:bCs/>
                <w:noProof/>
                <w:sz w:val="22"/>
                <w:szCs w:val="22"/>
              </w:rPr>
              <w:t xml:space="preserve"> ust. 3</w:t>
            </w:r>
          </w:p>
        </w:tc>
        <w:tc>
          <w:tcPr>
            <w:tcW w:w="6814" w:type="dxa"/>
            <w:gridSpan w:val="2"/>
          </w:tcPr>
          <w:p w14:paraId="2040E4DE" w14:textId="4D87BA6A" w:rsidR="001E1112" w:rsidRPr="00317ABF" w:rsidRDefault="001E1112" w:rsidP="000463A4">
            <w:pPr>
              <w:pStyle w:val="USTustnpkodeksu"/>
              <w:spacing w:line="240" w:lineRule="auto"/>
              <w:ind w:firstLine="0"/>
              <w:rPr>
                <w:rFonts w:ascii="Times New Roman" w:hAnsi="Times New Roman" w:cs="Times New Roman"/>
                <w:sz w:val="22"/>
                <w:szCs w:val="22"/>
              </w:rPr>
            </w:pPr>
            <w:r w:rsidRPr="00317ABF">
              <w:rPr>
                <w:rFonts w:ascii="Times New Roman" w:hAnsi="Times New Roman" w:cs="Times New Roman"/>
                <w:sz w:val="22"/>
                <w:szCs w:val="22"/>
              </w:rPr>
              <w:t>3. Prezes UKE może wystąpić do RSPG o ponowne zwołanie forum wzajemnej oceny.</w:t>
            </w:r>
          </w:p>
          <w:p w14:paraId="2A552BBE" w14:textId="62A1BA1E" w:rsidR="001E1112" w:rsidRPr="00317ABF" w:rsidRDefault="001E1112" w:rsidP="00DB3BEC">
            <w:pPr>
              <w:jc w:val="both"/>
              <w:rPr>
                <w:sz w:val="22"/>
                <w:szCs w:val="22"/>
              </w:rPr>
            </w:pPr>
          </w:p>
        </w:tc>
      </w:tr>
      <w:tr w:rsidR="001E1112" w:rsidRPr="00317ABF" w14:paraId="43804DD5" w14:textId="77777777" w:rsidTr="7753F98D">
        <w:trPr>
          <w:gridAfter w:val="2"/>
          <w:wAfter w:w="175" w:type="dxa"/>
        </w:trPr>
        <w:tc>
          <w:tcPr>
            <w:tcW w:w="704" w:type="dxa"/>
          </w:tcPr>
          <w:p w14:paraId="6B0B4BFE" w14:textId="77777777" w:rsidR="001E1112" w:rsidRPr="00317ABF" w:rsidRDefault="001E1112" w:rsidP="00DB3BEC">
            <w:pPr>
              <w:jc w:val="both"/>
              <w:rPr>
                <w:sz w:val="22"/>
                <w:szCs w:val="22"/>
              </w:rPr>
            </w:pPr>
            <w:r w:rsidRPr="00317ABF">
              <w:rPr>
                <w:sz w:val="22"/>
                <w:szCs w:val="22"/>
              </w:rPr>
              <w:t>Art. 35 ust. 7</w:t>
            </w:r>
          </w:p>
        </w:tc>
        <w:tc>
          <w:tcPr>
            <w:tcW w:w="4308" w:type="dxa"/>
          </w:tcPr>
          <w:p w14:paraId="5AA63ACD" w14:textId="77777777" w:rsidR="001E1112" w:rsidRPr="00317ABF" w:rsidRDefault="001E1112" w:rsidP="00DB3BEC">
            <w:pPr>
              <w:spacing w:before="120"/>
              <w:jc w:val="both"/>
              <w:rPr>
                <w:sz w:val="22"/>
                <w:szCs w:val="22"/>
              </w:rPr>
            </w:pPr>
            <w:r w:rsidRPr="00317ABF">
              <w:rPr>
                <w:sz w:val="22"/>
                <w:szCs w:val="22"/>
              </w:rPr>
              <w:t>7.   Na wniosek krajowego organu regulacyjnego lub właściwego organu, który zwrócił się o zorganizowanie posiedzenia, RSPG może przyjąć sprawozdanie dotyczące sposobu, w jaki projektowany środek realizuje cele określone w ust. 4, odzwierciedlając poglądy wymienione na forum wzajemnej oceny.</w:t>
            </w:r>
          </w:p>
        </w:tc>
        <w:tc>
          <w:tcPr>
            <w:tcW w:w="986" w:type="dxa"/>
          </w:tcPr>
          <w:p w14:paraId="41558D7E" w14:textId="4776B181" w:rsidR="001E1112" w:rsidRPr="00317ABF" w:rsidRDefault="001E1112" w:rsidP="00DB3BEC">
            <w:pPr>
              <w:jc w:val="both"/>
              <w:rPr>
                <w:sz w:val="22"/>
                <w:szCs w:val="22"/>
              </w:rPr>
            </w:pPr>
            <w:r w:rsidRPr="00317ABF">
              <w:rPr>
                <w:sz w:val="22"/>
                <w:szCs w:val="22"/>
              </w:rPr>
              <w:t>T</w:t>
            </w:r>
          </w:p>
        </w:tc>
        <w:tc>
          <w:tcPr>
            <w:tcW w:w="910" w:type="dxa"/>
          </w:tcPr>
          <w:p w14:paraId="791C0BC8" w14:textId="01B4F251" w:rsidR="001E1112" w:rsidRPr="00317ABF" w:rsidRDefault="001E1112" w:rsidP="00DB3BEC">
            <w:pPr>
              <w:pStyle w:val="Tekstpodstawowy"/>
              <w:rPr>
                <w:b/>
                <w:noProof/>
                <w:sz w:val="22"/>
                <w:szCs w:val="22"/>
              </w:rPr>
            </w:pPr>
            <w:r w:rsidRPr="00317ABF">
              <w:rPr>
                <w:b/>
                <w:bCs/>
                <w:noProof/>
                <w:sz w:val="22"/>
                <w:szCs w:val="22"/>
              </w:rPr>
              <w:t xml:space="preserve">Art. </w:t>
            </w:r>
            <w:r w:rsidR="000463A4" w:rsidRPr="00317ABF">
              <w:rPr>
                <w:b/>
                <w:bCs/>
                <w:noProof/>
                <w:sz w:val="22"/>
                <w:szCs w:val="22"/>
              </w:rPr>
              <w:t>109</w:t>
            </w:r>
            <w:r w:rsidRPr="00317ABF">
              <w:rPr>
                <w:b/>
                <w:bCs/>
                <w:noProof/>
                <w:sz w:val="22"/>
                <w:szCs w:val="22"/>
              </w:rPr>
              <w:t xml:space="preserve"> ust. 4</w:t>
            </w:r>
          </w:p>
        </w:tc>
        <w:tc>
          <w:tcPr>
            <w:tcW w:w="6814" w:type="dxa"/>
            <w:gridSpan w:val="2"/>
          </w:tcPr>
          <w:p w14:paraId="781EDC1B" w14:textId="430B823A" w:rsidR="001E1112" w:rsidRPr="00317ABF" w:rsidRDefault="001E1112" w:rsidP="000463A4">
            <w:pPr>
              <w:pStyle w:val="USTustnpkodeksu"/>
              <w:spacing w:line="240" w:lineRule="auto"/>
              <w:ind w:firstLine="0"/>
              <w:rPr>
                <w:rFonts w:ascii="Times New Roman" w:hAnsi="Times New Roman" w:cs="Times New Roman"/>
                <w:sz w:val="22"/>
                <w:szCs w:val="22"/>
              </w:rPr>
            </w:pPr>
            <w:r w:rsidRPr="00317ABF">
              <w:rPr>
                <w:rFonts w:ascii="Times New Roman" w:hAnsi="Times New Roman" w:cs="Times New Roman"/>
                <w:sz w:val="22"/>
                <w:szCs w:val="22"/>
              </w:rPr>
              <w:t>4. Prezes UKE, po zakończeniu forum wzajemnej oceny, może zwrócić się do RSPG z wnioskiem o:</w:t>
            </w:r>
          </w:p>
          <w:p w14:paraId="4E36A277" w14:textId="53A32C4D" w:rsidR="001E1112" w:rsidRPr="00317ABF" w:rsidRDefault="001E1112" w:rsidP="000463A4">
            <w:pPr>
              <w:pStyle w:val="USTustnpkodeksu"/>
              <w:spacing w:line="240" w:lineRule="auto"/>
              <w:rPr>
                <w:rFonts w:ascii="Times New Roman" w:hAnsi="Times New Roman" w:cs="Times New Roman"/>
                <w:sz w:val="22"/>
                <w:szCs w:val="22"/>
              </w:rPr>
            </w:pPr>
            <w:r w:rsidRPr="00317ABF">
              <w:rPr>
                <w:rFonts w:ascii="Times New Roman" w:hAnsi="Times New Roman" w:cs="Times New Roman"/>
                <w:sz w:val="22"/>
                <w:szCs w:val="22"/>
              </w:rPr>
              <w:t>1) przyjęcie sprawozdania z forum wzajemnej oceny;</w:t>
            </w:r>
          </w:p>
          <w:p w14:paraId="6109F0E2" w14:textId="4EA47974" w:rsidR="001E1112" w:rsidRPr="00317ABF" w:rsidRDefault="001E1112" w:rsidP="000463A4">
            <w:pPr>
              <w:ind w:firstLine="530"/>
              <w:jc w:val="both"/>
              <w:rPr>
                <w:sz w:val="22"/>
                <w:szCs w:val="22"/>
              </w:rPr>
            </w:pPr>
            <w:r w:rsidRPr="00317ABF">
              <w:rPr>
                <w:sz w:val="22"/>
                <w:szCs w:val="22"/>
              </w:rPr>
              <w:t>2)opinię na temat planowanego rozdysponowania częstotliwości.</w:t>
            </w:r>
          </w:p>
        </w:tc>
      </w:tr>
      <w:tr w:rsidR="001E1112" w:rsidRPr="00317ABF" w14:paraId="78D06591" w14:textId="77777777" w:rsidTr="7753F98D">
        <w:trPr>
          <w:gridAfter w:val="2"/>
          <w:wAfter w:w="175" w:type="dxa"/>
        </w:trPr>
        <w:tc>
          <w:tcPr>
            <w:tcW w:w="704" w:type="dxa"/>
          </w:tcPr>
          <w:p w14:paraId="587F3257" w14:textId="77777777" w:rsidR="001E1112" w:rsidRPr="00317ABF" w:rsidRDefault="001E1112" w:rsidP="00DB3BEC">
            <w:pPr>
              <w:jc w:val="both"/>
              <w:rPr>
                <w:sz w:val="22"/>
                <w:szCs w:val="22"/>
              </w:rPr>
            </w:pPr>
            <w:r w:rsidRPr="00317ABF">
              <w:rPr>
                <w:sz w:val="22"/>
                <w:szCs w:val="22"/>
              </w:rPr>
              <w:t>Art. 35 ust. 8</w:t>
            </w:r>
          </w:p>
        </w:tc>
        <w:tc>
          <w:tcPr>
            <w:tcW w:w="4308" w:type="dxa"/>
          </w:tcPr>
          <w:p w14:paraId="2325CE4C" w14:textId="77777777" w:rsidR="001E1112" w:rsidRPr="00317ABF" w:rsidRDefault="001E1112" w:rsidP="00DB3BEC">
            <w:pPr>
              <w:spacing w:before="120"/>
              <w:jc w:val="both"/>
              <w:rPr>
                <w:sz w:val="22"/>
                <w:szCs w:val="22"/>
              </w:rPr>
            </w:pPr>
            <w:r w:rsidRPr="00317ABF">
              <w:rPr>
                <w:sz w:val="22"/>
                <w:szCs w:val="22"/>
              </w:rPr>
              <w:t>8.   RSPG publikuje każdego roku w lutym sprawozdanie dotyczące planowanych środków omawianych na podstawie ust. 1 i 2. W sprawozdaniu wskazuje się odnotowane doświadczenia i najlepsze praktyki.</w:t>
            </w:r>
          </w:p>
        </w:tc>
        <w:tc>
          <w:tcPr>
            <w:tcW w:w="986" w:type="dxa"/>
          </w:tcPr>
          <w:p w14:paraId="5B3036B5" w14:textId="77777777" w:rsidR="001E1112" w:rsidRPr="00317ABF" w:rsidRDefault="001E1112" w:rsidP="00DB3BEC">
            <w:pPr>
              <w:jc w:val="both"/>
              <w:rPr>
                <w:sz w:val="22"/>
                <w:szCs w:val="22"/>
              </w:rPr>
            </w:pPr>
            <w:r w:rsidRPr="00317ABF">
              <w:rPr>
                <w:sz w:val="22"/>
                <w:szCs w:val="22"/>
              </w:rPr>
              <w:t>N</w:t>
            </w:r>
          </w:p>
        </w:tc>
        <w:tc>
          <w:tcPr>
            <w:tcW w:w="910" w:type="dxa"/>
          </w:tcPr>
          <w:p w14:paraId="39C05CC7" w14:textId="77777777" w:rsidR="001E1112" w:rsidRPr="00317ABF" w:rsidRDefault="001E1112" w:rsidP="00DB3BEC">
            <w:pPr>
              <w:pStyle w:val="Tekstpodstawowy"/>
              <w:rPr>
                <w:b/>
                <w:noProof/>
                <w:sz w:val="22"/>
                <w:szCs w:val="22"/>
              </w:rPr>
            </w:pPr>
          </w:p>
        </w:tc>
        <w:tc>
          <w:tcPr>
            <w:tcW w:w="6814" w:type="dxa"/>
            <w:gridSpan w:val="2"/>
          </w:tcPr>
          <w:p w14:paraId="1EF533CB" w14:textId="77777777" w:rsidR="001E1112" w:rsidRPr="00317ABF" w:rsidRDefault="001E1112" w:rsidP="00DB3BEC">
            <w:pPr>
              <w:pStyle w:val="Tekstpodstawowy"/>
              <w:rPr>
                <w:sz w:val="22"/>
                <w:szCs w:val="22"/>
              </w:rPr>
            </w:pPr>
          </w:p>
        </w:tc>
      </w:tr>
      <w:tr w:rsidR="001E1112" w:rsidRPr="00317ABF" w14:paraId="174C25BD" w14:textId="77777777" w:rsidTr="7753F98D">
        <w:trPr>
          <w:gridAfter w:val="2"/>
          <w:wAfter w:w="175" w:type="dxa"/>
        </w:trPr>
        <w:tc>
          <w:tcPr>
            <w:tcW w:w="704" w:type="dxa"/>
          </w:tcPr>
          <w:p w14:paraId="40B42752" w14:textId="77777777" w:rsidR="001E1112" w:rsidRPr="00317ABF" w:rsidRDefault="001E1112" w:rsidP="00DB3BEC">
            <w:pPr>
              <w:jc w:val="both"/>
              <w:rPr>
                <w:sz w:val="22"/>
                <w:szCs w:val="22"/>
              </w:rPr>
            </w:pPr>
            <w:r w:rsidRPr="00317ABF">
              <w:rPr>
                <w:sz w:val="22"/>
                <w:szCs w:val="22"/>
              </w:rPr>
              <w:lastRenderedPageBreak/>
              <w:t>Art. 35 ust. 9</w:t>
            </w:r>
          </w:p>
        </w:tc>
        <w:tc>
          <w:tcPr>
            <w:tcW w:w="4308" w:type="dxa"/>
          </w:tcPr>
          <w:p w14:paraId="565587D9" w14:textId="77777777" w:rsidR="001E1112" w:rsidRPr="00317ABF" w:rsidRDefault="001E1112" w:rsidP="00DB3BEC">
            <w:pPr>
              <w:tabs>
                <w:tab w:val="left" w:pos="980"/>
              </w:tabs>
              <w:spacing w:before="120"/>
              <w:jc w:val="both"/>
              <w:rPr>
                <w:sz w:val="22"/>
                <w:szCs w:val="22"/>
              </w:rPr>
            </w:pPr>
            <w:r w:rsidRPr="00317ABF">
              <w:rPr>
                <w:sz w:val="22"/>
                <w:szCs w:val="22"/>
              </w:rPr>
              <w:t>9.   Po zakończeniu forum wzajemnej oceny, na wniosek krajowego organu regulacyjnego lub innego właściwego organu, który zwrócił się o zorganizowanie posiedzenia, RSPG może przyjąć opinię na temat planowanego środka.</w:t>
            </w:r>
          </w:p>
        </w:tc>
        <w:tc>
          <w:tcPr>
            <w:tcW w:w="986" w:type="dxa"/>
          </w:tcPr>
          <w:p w14:paraId="22E2EB0F" w14:textId="78C16ECF" w:rsidR="001E1112" w:rsidRPr="00317ABF" w:rsidRDefault="001E1112" w:rsidP="00DB3BEC">
            <w:pPr>
              <w:jc w:val="both"/>
              <w:rPr>
                <w:sz w:val="22"/>
                <w:szCs w:val="22"/>
              </w:rPr>
            </w:pPr>
            <w:r w:rsidRPr="00317ABF">
              <w:rPr>
                <w:sz w:val="22"/>
                <w:szCs w:val="22"/>
              </w:rPr>
              <w:t>T</w:t>
            </w:r>
          </w:p>
        </w:tc>
        <w:tc>
          <w:tcPr>
            <w:tcW w:w="910" w:type="dxa"/>
          </w:tcPr>
          <w:p w14:paraId="5F1A1ADB" w14:textId="0BF5AC04" w:rsidR="001E1112" w:rsidRPr="00317ABF" w:rsidRDefault="001E1112" w:rsidP="00DB3BEC">
            <w:pPr>
              <w:pStyle w:val="Tekstpodstawowy"/>
              <w:rPr>
                <w:b/>
                <w:noProof/>
                <w:sz w:val="22"/>
                <w:szCs w:val="22"/>
              </w:rPr>
            </w:pPr>
            <w:r w:rsidRPr="00317ABF">
              <w:rPr>
                <w:b/>
                <w:bCs/>
                <w:noProof/>
                <w:sz w:val="22"/>
                <w:szCs w:val="22"/>
              </w:rPr>
              <w:t xml:space="preserve">Art. </w:t>
            </w:r>
            <w:r w:rsidR="000463A4" w:rsidRPr="00317ABF">
              <w:rPr>
                <w:b/>
                <w:bCs/>
                <w:noProof/>
                <w:sz w:val="22"/>
                <w:szCs w:val="22"/>
              </w:rPr>
              <w:t>109</w:t>
            </w:r>
            <w:r w:rsidRPr="00317ABF">
              <w:rPr>
                <w:b/>
                <w:bCs/>
                <w:noProof/>
                <w:sz w:val="22"/>
                <w:szCs w:val="22"/>
              </w:rPr>
              <w:t xml:space="preserve"> ust. 4</w:t>
            </w:r>
          </w:p>
        </w:tc>
        <w:tc>
          <w:tcPr>
            <w:tcW w:w="6814" w:type="dxa"/>
            <w:gridSpan w:val="2"/>
          </w:tcPr>
          <w:p w14:paraId="369B7786" w14:textId="7DE6C444" w:rsidR="001E1112" w:rsidRPr="00317ABF" w:rsidRDefault="001E1112" w:rsidP="000463A4">
            <w:pPr>
              <w:pStyle w:val="USTustnpkodeksu"/>
              <w:spacing w:line="240" w:lineRule="auto"/>
              <w:ind w:firstLine="0"/>
              <w:rPr>
                <w:rFonts w:ascii="Times New Roman" w:hAnsi="Times New Roman" w:cs="Times New Roman"/>
                <w:sz w:val="22"/>
                <w:szCs w:val="22"/>
              </w:rPr>
            </w:pPr>
            <w:r w:rsidRPr="00317ABF">
              <w:rPr>
                <w:rFonts w:ascii="Times New Roman" w:hAnsi="Times New Roman" w:cs="Times New Roman"/>
                <w:sz w:val="22"/>
                <w:szCs w:val="22"/>
              </w:rPr>
              <w:t>4. Prezes UKE, po zakończeniu forum wzajemnej oceny, może zwrócić się do RSPG z wnioskiem o:</w:t>
            </w:r>
          </w:p>
          <w:p w14:paraId="75505E74" w14:textId="3E79FED7" w:rsidR="001E1112" w:rsidRPr="00317ABF" w:rsidRDefault="001E1112" w:rsidP="000463A4">
            <w:pPr>
              <w:pStyle w:val="USTustnpkodeksu"/>
              <w:spacing w:line="240" w:lineRule="auto"/>
              <w:rPr>
                <w:rFonts w:ascii="Times New Roman" w:hAnsi="Times New Roman" w:cs="Times New Roman"/>
                <w:sz w:val="22"/>
                <w:szCs w:val="22"/>
              </w:rPr>
            </w:pPr>
            <w:r w:rsidRPr="00317ABF">
              <w:rPr>
                <w:rFonts w:ascii="Times New Roman" w:hAnsi="Times New Roman" w:cs="Times New Roman"/>
                <w:sz w:val="22"/>
                <w:szCs w:val="22"/>
              </w:rPr>
              <w:t>1) przyjęcie sprawozdania z forum wzajemnej oceny;</w:t>
            </w:r>
          </w:p>
          <w:p w14:paraId="0F13446C" w14:textId="16E77F35" w:rsidR="001E1112" w:rsidRPr="00317ABF" w:rsidRDefault="001E1112" w:rsidP="00DB3BEC">
            <w:pPr>
              <w:ind w:firstLine="510"/>
              <w:jc w:val="both"/>
              <w:rPr>
                <w:sz w:val="22"/>
                <w:szCs w:val="22"/>
              </w:rPr>
            </w:pPr>
            <w:r w:rsidRPr="00317ABF">
              <w:rPr>
                <w:sz w:val="22"/>
                <w:szCs w:val="22"/>
              </w:rPr>
              <w:t>2)opinię na temat planowanego rozdysponowania częstotliwości.</w:t>
            </w:r>
          </w:p>
          <w:p w14:paraId="6D013848" w14:textId="3D3A9FDC" w:rsidR="001E1112" w:rsidRPr="00317ABF" w:rsidRDefault="001E1112" w:rsidP="00DB3BEC">
            <w:pPr>
              <w:jc w:val="both"/>
              <w:rPr>
                <w:sz w:val="22"/>
                <w:szCs w:val="22"/>
              </w:rPr>
            </w:pPr>
          </w:p>
        </w:tc>
      </w:tr>
      <w:tr w:rsidR="001E1112" w:rsidRPr="00317ABF" w14:paraId="2B72FAAF" w14:textId="77777777" w:rsidTr="7753F98D">
        <w:trPr>
          <w:gridAfter w:val="2"/>
          <w:wAfter w:w="175" w:type="dxa"/>
        </w:trPr>
        <w:tc>
          <w:tcPr>
            <w:tcW w:w="704" w:type="dxa"/>
          </w:tcPr>
          <w:p w14:paraId="12B3D4AE" w14:textId="77777777" w:rsidR="001E1112" w:rsidRPr="00317ABF" w:rsidRDefault="001E1112" w:rsidP="00DB3BEC">
            <w:pPr>
              <w:jc w:val="both"/>
              <w:rPr>
                <w:b/>
                <w:sz w:val="22"/>
                <w:szCs w:val="22"/>
              </w:rPr>
            </w:pPr>
            <w:r w:rsidRPr="00317ABF">
              <w:rPr>
                <w:b/>
                <w:sz w:val="22"/>
                <w:szCs w:val="22"/>
              </w:rPr>
              <w:t>Art. 36</w:t>
            </w:r>
          </w:p>
        </w:tc>
        <w:tc>
          <w:tcPr>
            <w:tcW w:w="4308" w:type="dxa"/>
          </w:tcPr>
          <w:p w14:paraId="77103BB2" w14:textId="77777777" w:rsidR="001E1112" w:rsidRPr="00317ABF" w:rsidRDefault="001E1112" w:rsidP="00DB3BEC">
            <w:pPr>
              <w:spacing w:before="60" w:after="120"/>
              <w:jc w:val="both"/>
              <w:rPr>
                <w:b/>
                <w:bCs/>
                <w:sz w:val="22"/>
                <w:szCs w:val="22"/>
              </w:rPr>
            </w:pPr>
            <w:r w:rsidRPr="00317ABF">
              <w:rPr>
                <w:b/>
                <w:bCs/>
                <w:sz w:val="22"/>
                <w:szCs w:val="22"/>
              </w:rPr>
              <w:t>Zharmonizowane przydzielanie widma radiowego</w:t>
            </w:r>
          </w:p>
          <w:p w14:paraId="0ABB59A7" w14:textId="77777777" w:rsidR="001E1112" w:rsidRPr="00317ABF" w:rsidRDefault="001E1112" w:rsidP="00DB3BEC">
            <w:pPr>
              <w:spacing w:before="120"/>
              <w:jc w:val="both"/>
              <w:rPr>
                <w:sz w:val="22"/>
                <w:szCs w:val="22"/>
              </w:rPr>
            </w:pPr>
            <w:r w:rsidRPr="00317ABF">
              <w:rPr>
                <w:sz w:val="22"/>
                <w:szCs w:val="22"/>
              </w:rPr>
              <w:t>Jeżeli wykorzystanie widma radiowego zostało zharmonizowane i osiągnięto porozumienie co do warunków i procedur dostępu do nich, a przedsiębiorstwa, którym ma zostać przyznane prawo użytkowania widma radiowego, zostały wybrane zgodnie z zasadami wynikającymi z umów międzynarodowych i przepisów prawa Unii, państwa członkowskie przyznają zgodnie z tymi zasadami prawo użytkowania takiego widma radiowego. Jeżeli wszystkie krajowe warunki, którymi obwarowano prawo użytkowania danego widma radiowego, zostały spełnione w przypadku powszechnej procedury selekcji, państwa członkowskie nie nakładają żadnych dalszych warunków, ani nie ustalają dodatkowych kryteriów czy procedur, które ograniczałyby, modyfikowały lub opóźniały właściwą realizację wspólnego przyznawania takiego widma radiowego.</w:t>
            </w:r>
          </w:p>
        </w:tc>
        <w:tc>
          <w:tcPr>
            <w:tcW w:w="986" w:type="dxa"/>
          </w:tcPr>
          <w:p w14:paraId="104D497C" w14:textId="77777777" w:rsidR="001E1112" w:rsidRPr="00317ABF" w:rsidRDefault="001E1112" w:rsidP="00DB3BEC">
            <w:pPr>
              <w:jc w:val="both"/>
              <w:rPr>
                <w:sz w:val="22"/>
                <w:szCs w:val="22"/>
              </w:rPr>
            </w:pPr>
          </w:p>
        </w:tc>
        <w:tc>
          <w:tcPr>
            <w:tcW w:w="910" w:type="dxa"/>
          </w:tcPr>
          <w:p w14:paraId="2C344184" w14:textId="3DB54638" w:rsidR="001E1112" w:rsidRPr="00317ABF" w:rsidRDefault="00DB3BEC" w:rsidP="00DB3BEC">
            <w:pPr>
              <w:pStyle w:val="Tekstpodstawowy"/>
              <w:rPr>
                <w:b/>
                <w:bCs/>
                <w:noProof/>
                <w:sz w:val="22"/>
                <w:szCs w:val="22"/>
              </w:rPr>
            </w:pPr>
            <w:r w:rsidRPr="00317ABF">
              <w:rPr>
                <w:b/>
                <w:bCs/>
                <w:noProof/>
                <w:sz w:val="22"/>
                <w:szCs w:val="22"/>
              </w:rPr>
              <w:t xml:space="preserve">Art. </w:t>
            </w:r>
            <w:r w:rsidR="00D177C1" w:rsidRPr="00317ABF">
              <w:rPr>
                <w:b/>
                <w:bCs/>
                <w:noProof/>
                <w:sz w:val="22"/>
                <w:szCs w:val="22"/>
              </w:rPr>
              <w:t>64 ust. 1</w:t>
            </w:r>
          </w:p>
        </w:tc>
        <w:tc>
          <w:tcPr>
            <w:tcW w:w="6814" w:type="dxa"/>
            <w:gridSpan w:val="2"/>
          </w:tcPr>
          <w:p w14:paraId="13AA0B87" w14:textId="1CD5E3AB" w:rsidR="001E1112" w:rsidRPr="00317ABF" w:rsidRDefault="001E1112" w:rsidP="00DB3BEC">
            <w:pPr>
              <w:jc w:val="both"/>
              <w:rPr>
                <w:sz w:val="22"/>
                <w:szCs w:val="22"/>
              </w:rPr>
            </w:pPr>
            <w:r w:rsidRPr="00317ABF">
              <w:rPr>
                <w:rStyle w:val="Ppogrubienie"/>
                <w:sz w:val="22"/>
                <w:szCs w:val="22"/>
              </w:rPr>
              <w:t>Art.</w:t>
            </w:r>
            <w:r w:rsidR="00D177C1" w:rsidRPr="00317ABF">
              <w:rPr>
                <w:rStyle w:val="Ppogrubienie"/>
                <w:sz w:val="22"/>
                <w:szCs w:val="22"/>
              </w:rPr>
              <w:t> 64</w:t>
            </w:r>
            <w:r w:rsidRPr="00317ABF">
              <w:rPr>
                <w:rStyle w:val="Ppogrubienie"/>
                <w:sz w:val="22"/>
                <w:szCs w:val="22"/>
              </w:rPr>
              <w:t>.</w:t>
            </w:r>
            <w:r w:rsidRPr="00317ABF">
              <w:rPr>
                <w:sz w:val="22"/>
                <w:szCs w:val="22"/>
              </w:rPr>
              <w:t xml:space="preserve"> 1. Prezes UKE zapewnia możliwość wykorzystywania częstotliwości zharmonizowanych na potrzeby usług szerokopasmowych, w terminie 30 miesięcy od dnia wejścia w życie technicznego środka wykonawczego, o którym mowa w art. 4 decyzji nr 676/2002/WE.</w:t>
            </w:r>
          </w:p>
        </w:tc>
      </w:tr>
      <w:tr w:rsidR="001E1112" w:rsidRPr="00317ABF" w14:paraId="1310ECB7" w14:textId="77777777" w:rsidTr="7753F98D">
        <w:trPr>
          <w:gridAfter w:val="2"/>
          <w:wAfter w:w="175" w:type="dxa"/>
        </w:trPr>
        <w:tc>
          <w:tcPr>
            <w:tcW w:w="704" w:type="dxa"/>
          </w:tcPr>
          <w:p w14:paraId="1BD1C459" w14:textId="77777777" w:rsidR="001E1112" w:rsidRPr="00317ABF" w:rsidRDefault="001E1112" w:rsidP="00DB3BEC">
            <w:pPr>
              <w:jc w:val="both"/>
              <w:rPr>
                <w:b/>
                <w:sz w:val="22"/>
                <w:szCs w:val="22"/>
              </w:rPr>
            </w:pPr>
            <w:r w:rsidRPr="00317ABF">
              <w:rPr>
                <w:b/>
                <w:sz w:val="22"/>
                <w:szCs w:val="22"/>
              </w:rPr>
              <w:t>Art. 37</w:t>
            </w:r>
          </w:p>
        </w:tc>
        <w:tc>
          <w:tcPr>
            <w:tcW w:w="4308" w:type="dxa"/>
          </w:tcPr>
          <w:p w14:paraId="0570AD8D" w14:textId="77777777" w:rsidR="001E1112" w:rsidRPr="00317ABF" w:rsidRDefault="001E1112" w:rsidP="00DB3BEC">
            <w:pPr>
              <w:spacing w:before="60" w:after="120"/>
              <w:jc w:val="both"/>
              <w:rPr>
                <w:b/>
                <w:bCs/>
                <w:sz w:val="22"/>
                <w:szCs w:val="22"/>
              </w:rPr>
            </w:pPr>
            <w:r w:rsidRPr="00317ABF">
              <w:rPr>
                <w:b/>
                <w:bCs/>
                <w:sz w:val="22"/>
                <w:szCs w:val="22"/>
              </w:rPr>
              <w:t>Procedura wspólnego udzielania zezwoleń w celu przyznania indywidualnych praw użytkowania widma radiowego</w:t>
            </w:r>
          </w:p>
          <w:p w14:paraId="0D37482A" w14:textId="77777777" w:rsidR="001E1112" w:rsidRPr="00317ABF" w:rsidRDefault="001E1112" w:rsidP="00DB3BEC">
            <w:pPr>
              <w:spacing w:before="120"/>
              <w:jc w:val="both"/>
              <w:rPr>
                <w:sz w:val="22"/>
                <w:szCs w:val="22"/>
              </w:rPr>
            </w:pPr>
            <w:r w:rsidRPr="00317ABF">
              <w:rPr>
                <w:sz w:val="22"/>
                <w:szCs w:val="22"/>
              </w:rPr>
              <w:t xml:space="preserve">Dwa państwa członkowskie lub większa ich liczba mogą współpracować ze sobą oraz z RSPG przy uwzględnieniu zainteresowania wyrażonego przez uczestników rynku poprzez wspólne określenie wspólnych aspektów procedury udzielania zezwoleń, a także, w stosownych przypadkach, wspólne </w:t>
            </w:r>
            <w:r w:rsidRPr="00317ABF">
              <w:rPr>
                <w:sz w:val="22"/>
                <w:szCs w:val="22"/>
              </w:rPr>
              <w:lastRenderedPageBreak/>
              <w:t>przeprowadzanie procedury selekcji w celu przyznania indywidualnych praw użytkowania widma radiowego.</w:t>
            </w:r>
          </w:p>
          <w:p w14:paraId="608EE130" w14:textId="77777777" w:rsidR="001E1112" w:rsidRPr="00317ABF" w:rsidRDefault="001E1112" w:rsidP="00DB3BEC">
            <w:pPr>
              <w:spacing w:before="120"/>
              <w:jc w:val="both"/>
              <w:rPr>
                <w:sz w:val="22"/>
                <w:szCs w:val="22"/>
              </w:rPr>
            </w:pPr>
            <w:r w:rsidRPr="00317ABF">
              <w:rPr>
                <w:sz w:val="22"/>
                <w:szCs w:val="22"/>
              </w:rPr>
              <w:t>Przy planowaniu procedury wspólnego udzielania zezwoleń państwa członkowskie mogą brać pod uwagę następujące kryteria:</w:t>
            </w:r>
          </w:p>
          <w:tbl>
            <w:tblPr>
              <w:tblW w:w="5000" w:type="pct"/>
              <w:tblCellSpacing w:w="0" w:type="dxa"/>
              <w:tblLayout w:type="fixed"/>
              <w:tblCellMar>
                <w:left w:w="0" w:type="dxa"/>
                <w:right w:w="0" w:type="dxa"/>
              </w:tblCellMar>
              <w:tblLook w:val="04A0" w:firstRow="1" w:lastRow="0" w:firstColumn="1" w:lastColumn="0" w:noHBand="0" w:noVBand="1"/>
            </w:tblPr>
            <w:tblGrid>
              <w:gridCol w:w="20"/>
              <w:gridCol w:w="4148"/>
            </w:tblGrid>
            <w:tr w:rsidR="001E1112" w:rsidRPr="00317ABF" w14:paraId="62484189" w14:textId="77777777" w:rsidTr="00A462BE">
              <w:trPr>
                <w:tblCellSpacing w:w="0" w:type="dxa"/>
              </w:trPr>
              <w:tc>
                <w:tcPr>
                  <w:tcW w:w="6" w:type="dxa"/>
                  <w:hideMark/>
                </w:tcPr>
                <w:p w14:paraId="0E474E68" w14:textId="77777777" w:rsidR="001E1112" w:rsidRPr="00317ABF" w:rsidRDefault="001E1112" w:rsidP="00EE0AC3">
                  <w:pPr>
                    <w:framePr w:hSpace="141" w:wrap="around" w:vAnchor="text" w:hAnchor="text" w:xAlign="right" w:y="1"/>
                    <w:spacing w:before="120"/>
                    <w:suppressOverlap/>
                    <w:jc w:val="both"/>
                    <w:rPr>
                      <w:sz w:val="22"/>
                      <w:szCs w:val="22"/>
                    </w:rPr>
                  </w:pPr>
                </w:p>
              </w:tc>
              <w:tc>
                <w:tcPr>
                  <w:tcW w:w="9066" w:type="dxa"/>
                  <w:hideMark/>
                </w:tcPr>
                <w:p w14:paraId="1B962095" w14:textId="77777777" w:rsidR="001E1112" w:rsidRPr="00317ABF" w:rsidRDefault="001E1112" w:rsidP="00EE0AC3">
                  <w:pPr>
                    <w:framePr w:hSpace="141" w:wrap="around" w:vAnchor="text" w:hAnchor="text" w:xAlign="right" w:y="1"/>
                    <w:numPr>
                      <w:ilvl w:val="0"/>
                      <w:numId w:val="22"/>
                    </w:numPr>
                    <w:spacing w:before="120"/>
                    <w:suppressOverlap/>
                    <w:jc w:val="both"/>
                    <w:rPr>
                      <w:sz w:val="22"/>
                      <w:szCs w:val="22"/>
                    </w:rPr>
                  </w:pPr>
                  <w:r w:rsidRPr="00317ABF">
                    <w:rPr>
                      <w:sz w:val="22"/>
                      <w:szCs w:val="22"/>
                    </w:rPr>
                    <w:t>właściwe organy wszczynają i przeprowadzają indywidualną krajową procedurę udzielania zezwoleń według wspólnie uzgodnionego harmonogramu;</w:t>
                  </w:r>
                </w:p>
              </w:tc>
            </w:tr>
          </w:tbl>
          <w:p w14:paraId="50DF6546" w14:textId="77777777" w:rsidR="001E1112" w:rsidRPr="00317ABF" w:rsidRDefault="001E1112" w:rsidP="00DB3BEC">
            <w:pPr>
              <w:jc w:val="both"/>
              <w:rPr>
                <w:vanish/>
                <w:sz w:val="22"/>
                <w:szCs w:val="22"/>
              </w:rPr>
            </w:pPr>
          </w:p>
          <w:tbl>
            <w:tblPr>
              <w:tblW w:w="5000" w:type="pct"/>
              <w:tblCellSpacing w:w="0" w:type="dxa"/>
              <w:tblLayout w:type="fixed"/>
              <w:tblCellMar>
                <w:left w:w="0" w:type="dxa"/>
                <w:right w:w="0" w:type="dxa"/>
              </w:tblCellMar>
              <w:tblLook w:val="04A0" w:firstRow="1" w:lastRow="0" w:firstColumn="1" w:lastColumn="0" w:noHBand="0" w:noVBand="1"/>
            </w:tblPr>
            <w:tblGrid>
              <w:gridCol w:w="20"/>
              <w:gridCol w:w="4148"/>
            </w:tblGrid>
            <w:tr w:rsidR="001E1112" w:rsidRPr="00317ABF" w14:paraId="725FBD1B" w14:textId="77777777" w:rsidTr="00A462BE">
              <w:trPr>
                <w:tblCellSpacing w:w="0" w:type="dxa"/>
              </w:trPr>
              <w:tc>
                <w:tcPr>
                  <w:tcW w:w="6" w:type="dxa"/>
                  <w:hideMark/>
                </w:tcPr>
                <w:p w14:paraId="740FBA26" w14:textId="77777777" w:rsidR="001E1112" w:rsidRPr="00317ABF" w:rsidRDefault="001E1112" w:rsidP="00EE0AC3">
                  <w:pPr>
                    <w:framePr w:hSpace="141" w:wrap="around" w:vAnchor="text" w:hAnchor="text" w:xAlign="right" w:y="1"/>
                    <w:spacing w:before="120"/>
                    <w:suppressOverlap/>
                    <w:jc w:val="both"/>
                    <w:rPr>
                      <w:sz w:val="22"/>
                      <w:szCs w:val="22"/>
                    </w:rPr>
                  </w:pPr>
                </w:p>
              </w:tc>
              <w:tc>
                <w:tcPr>
                  <w:tcW w:w="9066" w:type="dxa"/>
                  <w:hideMark/>
                </w:tcPr>
                <w:p w14:paraId="13536D42" w14:textId="77777777" w:rsidR="001E1112" w:rsidRPr="00317ABF" w:rsidRDefault="001E1112" w:rsidP="00EE0AC3">
                  <w:pPr>
                    <w:framePr w:hSpace="141" w:wrap="around" w:vAnchor="text" w:hAnchor="text" w:xAlign="right" w:y="1"/>
                    <w:numPr>
                      <w:ilvl w:val="0"/>
                      <w:numId w:val="22"/>
                    </w:numPr>
                    <w:spacing w:before="120"/>
                    <w:suppressOverlap/>
                    <w:jc w:val="both"/>
                    <w:rPr>
                      <w:sz w:val="22"/>
                      <w:szCs w:val="22"/>
                    </w:rPr>
                  </w:pPr>
                  <w:r w:rsidRPr="00317ABF">
                    <w:rPr>
                      <w:sz w:val="22"/>
                      <w:szCs w:val="22"/>
                    </w:rPr>
                    <w:t>procedura przewiduje, w stosownych przypadkach, wspólne warunki i procedury selekcji i przyznawania indywidualnych praw użytkowania widma radiowego dla państw członkowskich, których to dotyczy;</w:t>
                  </w:r>
                </w:p>
              </w:tc>
            </w:tr>
          </w:tbl>
          <w:p w14:paraId="025E7F4C" w14:textId="77777777" w:rsidR="001E1112" w:rsidRPr="00317ABF" w:rsidRDefault="001E1112" w:rsidP="00DB3BEC">
            <w:pPr>
              <w:jc w:val="both"/>
              <w:rPr>
                <w:vanish/>
                <w:sz w:val="22"/>
                <w:szCs w:val="22"/>
              </w:rPr>
            </w:pPr>
          </w:p>
          <w:tbl>
            <w:tblPr>
              <w:tblW w:w="5000" w:type="pct"/>
              <w:tblCellSpacing w:w="0" w:type="dxa"/>
              <w:tblLayout w:type="fixed"/>
              <w:tblCellMar>
                <w:left w:w="0" w:type="dxa"/>
                <w:right w:w="0" w:type="dxa"/>
              </w:tblCellMar>
              <w:tblLook w:val="04A0" w:firstRow="1" w:lastRow="0" w:firstColumn="1" w:lastColumn="0" w:noHBand="0" w:noVBand="1"/>
            </w:tblPr>
            <w:tblGrid>
              <w:gridCol w:w="20"/>
              <w:gridCol w:w="4148"/>
            </w:tblGrid>
            <w:tr w:rsidR="001E1112" w:rsidRPr="00317ABF" w14:paraId="57D27D36" w14:textId="77777777" w:rsidTr="00A462BE">
              <w:trPr>
                <w:tblCellSpacing w:w="0" w:type="dxa"/>
              </w:trPr>
              <w:tc>
                <w:tcPr>
                  <w:tcW w:w="6" w:type="dxa"/>
                  <w:hideMark/>
                </w:tcPr>
                <w:p w14:paraId="526139AB" w14:textId="77777777" w:rsidR="001E1112" w:rsidRPr="00317ABF" w:rsidRDefault="001E1112" w:rsidP="00EE0AC3">
                  <w:pPr>
                    <w:framePr w:hSpace="141" w:wrap="around" w:vAnchor="text" w:hAnchor="text" w:xAlign="right" w:y="1"/>
                    <w:spacing w:before="120"/>
                    <w:suppressOverlap/>
                    <w:jc w:val="both"/>
                    <w:rPr>
                      <w:sz w:val="22"/>
                      <w:szCs w:val="22"/>
                    </w:rPr>
                  </w:pPr>
                </w:p>
              </w:tc>
              <w:tc>
                <w:tcPr>
                  <w:tcW w:w="9066" w:type="dxa"/>
                  <w:hideMark/>
                </w:tcPr>
                <w:p w14:paraId="16DFCB6E" w14:textId="77777777" w:rsidR="001E1112" w:rsidRPr="00317ABF" w:rsidRDefault="001E1112" w:rsidP="00EE0AC3">
                  <w:pPr>
                    <w:framePr w:hSpace="141" w:wrap="around" w:vAnchor="text" w:hAnchor="text" w:xAlign="right" w:y="1"/>
                    <w:numPr>
                      <w:ilvl w:val="0"/>
                      <w:numId w:val="22"/>
                    </w:numPr>
                    <w:spacing w:before="120"/>
                    <w:suppressOverlap/>
                    <w:jc w:val="both"/>
                    <w:rPr>
                      <w:sz w:val="22"/>
                      <w:szCs w:val="22"/>
                    </w:rPr>
                  </w:pPr>
                  <w:r w:rsidRPr="00317ABF">
                    <w:rPr>
                      <w:sz w:val="22"/>
                      <w:szCs w:val="22"/>
                    </w:rPr>
                    <w:t>procedura przewiduje, w stosownych przypadkach, wspólne lub porównywalne warunki, którymi obwarowane mają zostać indywidualne prawa użytkowania widma radiowego w państwach członkowskich, których to dotyczy, m.in. umożliwiające przydzielenie użytkownikom podobnych bloków widma radiowego;</w:t>
                  </w:r>
                </w:p>
              </w:tc>
            </w:tr>
          </w:tbl>
          <w:p w14:paraId="60A5ECF6" w14:textId="77777777" w:rsidR="001E1112" w:rsidRPr="00317ABF" w:rsidRDefault="001E1112" w:rsidP="00DB3BEC">
            <w:pPr>
              <w:jc w:val="both"/>
              <w:rPr>
                <w:vanish/>
                <w:sz w:val="22"/>
                <w:szCs w:val="22"/>
              </w:rPr>
            </w:pPr>
          </w:p>
          <w:tbl>
            <w:tblPr>
              <w:tblW w:w="5000" w:type="pct"/>
              <w:tblCellSpacing w:w="0" w:type="dxa"/>
              <w:tblLayout w:type="fixed"/>
              <w:tblCellMar>
                <w:left w:w="0" w:type="dxa"/>
                <w:right w:w="0" w:type="dxa"/>
              </w:tblCellMar>
              <w:tblLook w:val="04A0" w:firstRow="1" w:lastRow="0" w:firstColumn="1" w:lastColumn="0" w:noHBand="0" w:noVBand="1"/>
            </w:tblPr>
            <w:tblGrid>
              <w:gridCol w:w="20"/>
              <w:gridCol w:w="4148"/>
            </w:tblGrid>
            <w:tr w:rsidR="001E1112" w:rsidRPr="00317ABF" w14:paraId="6A0B45AC" w14:textId="77777777" w:rsidTr="00A462BE">
              <w:trPr>
                <w:tblCellSpacing w:w="0" w:type="dxa"/>
              </w:trPr>
              <w:tc>
                <w:tcPr>
                  <w:tcW w:w="6" w:type="dxa"/>
                  <w:hideMark/>
                </w:tcPr>
                <w:p w14:paraId="07B15200" w14:textId="77777777" w:rsidR="001E1112" w:rsidRPr="00317ABF" w:rsidRDefault="001E1112" w:rsidP="00EE0AC3">
                  <w:pPr>
                    <w:framePr w:hSpace="141" w:wrap="around" w:vAnchor="text" w:hAnchor="text" w:xAlign="right" w:y="1"/>
                    <w:spacing w:before="120"/>
                    <w:suppressOverlap/>
                    <w:jc w:val="both"/>
                    <w:rPr>
                      <w:sz w:val="22"/>
                      <w:szCs w:val="22"/>
                    </w:rPr>
                  </w:pPr>
                </w:p>
              </w:tc>
              <w:tc>
                <w:tcPr>
                  <w:tcW w:w="9066" w:type="dxa"/>
                  <w:hideMark/>
                </w:tcPr>
                <w:p w14:paraId="25F4504F" w14:textId="77777777" w:rsidR="001E1112" w:rsidRPr="00317ABF" w:rsidRDefault="001E1112" w:rsidP="00EE0AC3">
                  <w:pPr>
                    <w:framePr w:hSpace="141" w:wrap="around" w:vAnchor="text" w:hAnchor="text" w:xAlign="right" w:y="1"/>
                    <w:numPr>
                      <w:ilvl w:val="0"/>
                      <w:numId w:val="22"/>
                    </w:numPr>
                    <w:spacing w:before="120"/>
                    <w:suppressOverlap/>
                    <w:jc w:val="both"/>
                    <w:rPr>
                      <w:sz w:val="22"/>
                      <w:szCs w:val="22"/>
                    </w:rPr>
                  </w:pPr>
                  <w:r w:rsidRPr="00317ABF">
                    <w:rPr>
                      <w:sz w:val="22"/>
                      <w:szCs w:val="22"/>
                    </w:rPr>
                    <w:t>procedura jest otwarta w każdym momencie dla innych państw członkowskich – do czasu zakończenia procedury wspólnego udzielania zezwoleń.</w:t>
                  </w:r>
                </w:p>
              </w:tc>
            </w:tr>
          </w:tbl>
          <w:p w14:paraId="3A1E9F4C" w14:textId="77777777" w:rsidR="001E1112" w:rsidRPr="00317ABF" w:rsidRDefault="001E1112" w:rsidP="00DB3BEC">
            <w:pPr>
              <w:jc w:val="both"/>
              <w:rPr>
                <w:sz w:val="22"/>
                <w:szCs w:val="22"/>
              </w:rPr>
            </w:pPr>
            <w:r w:rsidRPr="00317ABF">
              <w:rPr>
                <w:sz w:val="22"/>
                <w:szCs w:val="22"/>
              </w:rPr>
              <w:t xml:space="preserve">W przypadku gdy mimo zainteresowania wyrażonego przez uczestników rynku państwa </w:t>
            </w:r>
            <w:r w:rsidRPr="00317ABF">
              <w:rPr>
                <w:sz w:val="22"/>
                <w:szCs w:val="22"/>
              </w:rPr>
              <w:lastRenderedPageBreak/>
              <w:t>członkowskie nie działają wspólnie, informują one tych uczestników rynku o powodach swojej decyzji.</w:t>
            </w:r>
          </w:p>
        </w:tc>
        <w:tc>
          <w:tcPr>
            <w:tcW w:w="986" w:type="dxa"/>
          </w:tcPr>
          <w:p w14:paraId="490E2721" w14:textId="71E0164E" w:rsidR="001E1112" w:rsidRPr="00317ABF" w:rsidRDefault="001E1112" w:rsidP="00DB3BEC">
            <w:pPr>
              <w:jc w:val="both"/>
              <w:rPr>
                <w:sz w:val="22"/>
                <w:szCs w:val="22"/>
              </w:rPr>
            </w:pPr>
            <w:r w:rsidRPr="00317ABF">
              <w:rPr>
                <w:sz w:val="22"/>
                <w:szCs w:val="22"/>
              </w:rPr>
              <w:lastRenderedPageBreak/>
              <w:t>T</w:t>
            </w:r>
          </w:p>
        </w:tc>
        <w:tc>
          <w:tcPr>
            <w:tcW w:w="910" w:type="dxa"/>
          </w:tcPr>
          <w:p w14:paraId="5AE6D6BE" w14:textId="020AE059" w:rsidR="001E1112" w:rsidRPr="00317ABF" w:rsidRDefault="001E1112" w:rsidP="00DB3BEC">
            <w:pPr>
              <w:pStyle w:val="Tekstpodstawowy"/>
              <w:rPr>
                <w:b/>
                <w:bCs/>
                <w:noProof/>
                <w:sz w:val="22"/>
                <w:szCs w:val="22"/>
              </w:rPr>
            </w:pPr>
            <w:r w:rsidRPr="00317ABF">
              <w:rPr>
                <w:b/>
                <w:bCs/>
                <w:noProof/>
                <w:sz w:val="22"/>
                <w:szCs w:val="22"/>
              </w:rPr>
              <w:t xml:space="preserve">Art. </w:t>
            </w:r>
            <w:r w:rsidR="00D177C1" w:rsidRPr="00317ABF">
              <w:rPr>
                <w:b/>
                <w:bCs/>
                <w:noProof/>
                <w:sz w:val="22"/>
                <w:szCs w:val="22"/>
              </w:rPr>
              <w:t>127</w:t>
            </w:r>
          </w:p>
        </w:tc>
        <w:tc>
          <w:tcPr>
            <w:tcW w:w="6814" w:type="dxa"/>
            <w:gridSpan w:val="2"/>
          </w:tcPr>
          <w:p w14:paraId="67BCDE99" w14:textId="77777777" w:rsidR="001E1112" w:rsidRPr="00317ABF" w:rsidRDefault="001E1112" w:rsidP="00D177C1">
            <w:pPr>
              <w:pStyle w:val="ARTartustawynprozporzdzenia"/>
              <w:spacing w:before="0" w:line="240" w:lineRule="auto"/>
              <w:ind w:firstLine="0"/>
              <w:rPr>
                <w:rFonts w:ascii="Times New Roman" w:hAnsi="Times New Roman" w:cs="Times New Roman"/>
                <w:sz w:val="22"/>
                <w:szCs w:val="22"/>
              </w:rPr>
            </w:pPr>
            <w:r w:rsidRPr="00317ABF">
              <w:rPr>
                <w:rStyle w:val="Ppogrubienie"/>
                <w:rFonts w:ascii="Times New Roman" w:eastAsia="Times" w:hAnsi="Times New Roman"/>
                <w:sz w:val="22"/>
                <w:szCs w:val="22"/>
              </w:rPr>
              <w:t>Art.</w:t>
            </w:r>
            <w:r w:rsidR="00D177C1" w:rsidRPr="00317ABF">
              <w:rPr>
                <w:rStyle w:val="Ppogrubienie"/>
                <w:rFonts w:ascii="Times New Roman" w:hAnsi="Times New Roman"/>
                <w:sz w:val="22"/>
                <w:szCs w:val="22"/>
              </w:rPr>
              <w:t> 127.</w:t>
            </w:r>
            <w:r w:rsidRPr="00317ABF">
              <w:rPr>
                <w:rFonts w:ascii="Times New Roman" w:eastAsia="Times" w:hAnsi="Times New Roman" w:cs="Times New Roman"/>
                <w:sz w:val="22"/>
                <w:szCs w:val="22"/>
              </w:rPr>
              <w:t xml:space="preserve"> 1. Postępowanie selekcyjne może zostać przeprowadzone wspólnie z właściwym organem innego państwa członkowskiego. Przepisy art. </w:t>
            </w:r>
            <w:r w:rsidR="00D177C1" w:rsidRPr="00317ABF">
              <w:rPr>
                <w:rFonts w:ascii="Times New Roman" w:hAnsi="Times New Roman" w:cs="Times New Roman"/>
                <w:sz w:val="22"/>
                <w:szCs w:val="22"/>
              </w:rPr>
              <w:t>106-126</w:t>
            </w:r>
            <w:r w:rsidRPr="00317ABF">
              <w:rPr>
                <w:rFonts w:ascii="Times New Roman" w:eastAsia="Times" w:hAnsi="Times New Roman" w:cs="Times New Roman"/>
                <w:sz w:val="22"/>
                <w:szCs w:val="22"/>
              </w:rPr>
              <w:t xml:space="preserve"> stosuje się odpowiednio, przy czym kompetencje Prezesa UKE przewidziane w tych przepisach wykonuje Prezes UKE w porozumieniu z właściwym organem innego państwa członkowskiego.</w:t>
            </w:r>
          </w:p>
          <w:p w14:paraId="3F5176D6" w14:textId="77777777" w:rsidR="00D177C1" w:rsidRPr="00317ABF" w:rsidRDefault="001E1112" w:rsidP="00D177C1">
            <w:pPr>
              <w:pStyle w:val="USTustnpkodeksu"/>
              <w:spacing w:line="240" w:lineRule="auto"/>
              <w:rPr>
                <w:rFonts w:ascii="Times New Roman" w:hAnsi="Times New Roman" w:cs="Times New Roman"/>
                <w:szCs w:val="24"/>
              </w:rPr>
            </w:pPr>
            <w:r w:rsidRPr="00317ABF">
              <w:rPr>
                <w:rFonts w:ascii="Times New Roman" w:hAnsi="Times New Roman" w:cs="Times New Roman"/>
                <w:sz w:val="22"/>
                <w:szCs w:val="22"/>
              </w:rPr>
              <w:t>2. W przypadku gdy pomimo zgłoszonego przez uczestników rynku zainteresowania wspólnym przeprowadzeniem postępowania selekcyjnego państwa członkowskie nie działają wspólnie, Prezes UKE informuje tych uczestników rynku o powodach odmowy.</w:t>
            </w:r>
          </w:p>
          <w:p w14:paraId="064791A8" w14:textId="7C7E46E7" w:rsidR="001E1112" w:rsidRPr="00317ABF" w:rsidRDefault="001E1112" w:rsidP="00DB3BEC">
            <w:pPr>
              <w:jc w:val="both"/>
              <w:rPr>
                <w:sz w:val="22"/>
                <w:szCs w:val="22"/>
              </w:rPr>
            </w:pPr>
          </w:p>
        </w:tc>
      </w:tr>
      <w:tr w:rsidR="001E1112" w:rsidRPr="00317ABF" w14:paraId="01F4EC49" w14:textId="77777777" w:rsidTr="7753F98D">
        <w:trPr>
          <w:gridAfter w:val="2"/>
          <w:wAfter w:w="175" w:type="dxa"/>
        </w:trPr>
        <w:tc>
          <w:tcPr>
            <w:tcW w:w="704" w:type="dxa"/>
          </w:tcPr>
          <w:p w14:paraId="4427BF0F" w14:textId="77777777" w:rsidR="001E1112" w:rsidRPr="00317ABF" w:rsidRDefault="001E1112" w:rsidP="00DB3BEC">
            <w:pPr>
              <w:jc w:val="both"/>
              <w:rPr>
                <w:b/>
                <w:sz w:val="22"/>
                <w:szCs w:val="22"/>
              </w:rPr>
            </w:pPr>
            <w:r w:rsidRPr="00317ABF">
              <w:rPr>
                <w:b/>
                <w:sz w:val="22"/>
                <w:szCs w:val="22"/>
              </w:rPr>
              <w:lastRenderedPageBreak/>
              <w:t>Art. 38</w:t>
            </w:r>
          </w:p>
        </w:tc>
        <w:tc>
          <w:tcPr>
            <w:tcW w:w="4308" w:type="dxa"/>
          </w:tcPr>
          <w:p w14:paraId="0EED2A57" w14:textId="77777777" w:rsidR="001E1112" w:rsidRPr="00317ABF" w:rsidRDefault="001E1112" w:rsidP="00DB3BEC">
            <w:pPr>
              <w:spacing w:before="120"/>
              <w:jc w:val="both"/>
              <w:rPr>
                <w:sz w:val="22"/>
                <w:szCs w:val="22"/>
              </w:rPr>
            </w:pPr>
            <w:r w:rsidRPr="00317ABF">
              <w:rPr>
                <w:b/>
                <w:bCs/>
                <w:sz w:val="22"/>
                <w:szCs w:val="22"/>
              </w:rPr>
              <w:t>Procedury harmonizacji</w:t>
            </w:r>
          </w:p>
        </w:tc>
        <w:tc>
          <w:tcPr>
            <w:tcW w:w="986" w:type="dxa"/>
          </w:tcPr>
          <w:p w14:paraId="4BF6756B" w14:textId="77777777" w:rsidR="001E1112" w:rsidRPr="00317ABF" w:rsidRDefault="001E1112" w:rsidP="00DB3BEC">
            <w:pPr>
              <w:jc w:val="both"/>
              <w:rPr>
                <w:sz w:val="22"/>
                <w:szCs w:val="22"/>
              </w:rPr>
            </w:pPr>
          </w:p>
        </w:tc>
        <w:tc>
          <w:tcPr>
            <w:tcW w:w="910" w:type="dxa"/>
          </w:tcPr>
          <w:p w14:paraId="587D3BE7" w14:textId="77777777" w:rsidR="001E1112" w:rsidRPr="00317ABF" w:rsidRDefault="001E1112" w:rsidP="00DB3BEC">
            <w:pPr>
              <w:pStyle w:val="Tekstpodstawowy"/>
              <w:rPr>
                <w:b/>
                <w:noProof/>
                <w:sz w:val="22"/>
                <w:szCs w:val="22"/>
              </w:rPr>
            </w:pPr>
          </w:p>
        </w:tc>
        <w:tc>
          <w:tcPr>
            <w:tcW w:w="6814" w:type="dxa"/>
            <w:gridSpan w:val="2"/>
          </w:tcPr>
          <w:p w14:paraId="683DC078" w14:textId="77777777" w:rsidR="001E1112" w:rsidRPr="00317ABF" w:rsidRDefault="001E1112" w:rsidP="00DB3BEC">
            <w:pPr>
              <w:pStyle w:val="Tekstpodstawowy"/>
              <w:rPr>
                <w:sz w:val="22"/>
                <w:szCs w:val="22"/>
              </w:rPr>
            </w:pPr>
          </w:p>
        </w:tc>
      </w:tr>
      <w:tr w:rsidR="001E1112" w:rsidRPr="00317ABF" w14:paraId="50560005" w14:textId="77777777" w:rsidTr="7753F98D">
        <w:trPr>
          <w:gridAfter w:val="2"/>
          <w:wAfter w:w="175" w:type="dxa"/>
        </w:trPr>
        <w:tc>
          <w:tcPr>
            <w:tcW w:w="704" w:type="dxa"/>
          </w:tcPr>
          <w:p w14:paraId="64BED786" w14:textId="77777777" w:rsidR="001E1112" w:rsidRPr="00317ABF" w:rsidRDefault="001E1112" w:rsidP="00DB3BEC">
            <w:pPr>
              <w:jc w:val="both"/>
              <w:rPr>
                <w:sz w:val="22"/>
                <w:szCs w:val="22"/>
              </w:rPr>
            </w:pPr>
            <w:r w:rsidRPr="00317ABF">
              <w:rPr>
                <w:sz w:val="22"/>
                <w:szCs w:val="22"/>
              </w:rPr>
              <w:t>Art. 38 ust. 1</w:t>
            </w:r>
          </w:p>
        </w:tc>
        <w:tc>
          <w:tcPr>
            <w:tcW w:w="4308" w:type="dxa"/>
          </w:tcPr>
          <w:p w14:paraId="5AFB538D" w14:textId="77777777" w:rsidR="001E1112" w:rsidRPr="00317ABF" w:rsidRDefault="001E1112" w:rsidP="00DB3BEC">
            <w:pPr>
              <w:spacing w:before="120"/>
              <w:jc w:val="both"/>
              <w:rPr>
                <w:sz w:val="22"/>
                <w:szCs w:val="22"/>
              </w:rPr>
            </w:pPr>
            <w:r w:rsidRPr="00317ABF">
              <w:rPr>
                <w:sz w:val="22"/>
                <w:szCs w:val="22"/>
              </w:rPr>
              <w:t>1.   W przypadku gdy Komisja stwierdzi, że rozbieżności we wdrażaniu przez krajowe organy regulacyjne lub inne właściwe organy zadań regulacyjnych określonych w niniejszej dyrektywie mogłyby stwarzać przeszkody w tworzeniu rynku wewnętrznego, może ona wydać zalecenie lub, z zastrzeżeniem ust. 3 niniejszego artykułu, przyjąć decyzje w drodze aktów wykonawczych w celu zapewnienia zharmonizowanego stosowania niniejszej dyrektywy oraz w celu przyspieszenia realizacji celów określonych w art. 3, w jak największym stopniu uwzględniając opinię BEREC lub w stosownych przypadkach RSPG.</w:t>
            </w:r>
          </w:p>
        </w:tc>
        <w:tc>
          <w:tcPr>
            <w:tcW w:w="986" w:type="dxa"/>
          </w:tcPr>
          <w:p w14:paraId="7C942441" w14:textId="77777777" w:rsidR="001E1112" w:rsidRPr="00317ABF" w:rsidRDefault="001E1112" w:rsidP="00DB3BEC">
            <w:pPr>
              <w:jc w:val="both"/>
              <w:rPr>
                <w:sz w:val="22"/>
                <w:szCs w:val="22"/>
              </w:rPr>
            </w:pPr>
            <w:r w:rsidRPr="00317ABF">
              <w:rPr>
                <w:sz w:val="22"/>
                <w:szCs w:val="22"/>
              </w:rPr>
              <w:t>N</w:t>
            </w:r>
          </w:p>
          <w:p w14:paraId="69678E1F" w14:textId="77777777" w:rsidR="001E1112" w:rsidRPr="00317ABF" w:rsidRDefault="001E1112" w:rsidP="00DB3BEC">
            <w:pPr>
              <w:jc w:val="both"/>
              <w:rPr>
                <w:sz w:val="22"/>
                <w:szCs w:val="22"/>
              </w:rPr>
            </w:pPr>
          </w:p>
        </w:tc>
        <w:tc>
          <w:tcPr>
            <w:tcW w:w="910" w:type="dxa"/>
          </w:tcPr>
          <w:p w14:paraId="08C1FDAD" w14:textId="77777777" w:rsidR="001E1112" w:rsidRPr="00317ABF" w:rsidRDefault="001E1112" w:rsidP="00DB3BEC">
            <w:pPr>
              <w:pStyle w:val="Tekstpodstawowy"/>
              <w:rPr>
                <w:b/>
                <w:noProof/>
                <w:sz w:val="22"/>
                <w:szCs w:val="22"/>
              </w:rPr>
            </w:pPr>
          </w:p>
        </w:tc>
        <w:tc>
          <w:tcPr>
            <w:tcW w:w="6814" w:type="dxa"/>
            <w:gridSpan w:val="2"/>
          </w:tcPr>
          <w:p w14:paraId="1084E6F5" w14:textId="77777777" w:rsidR="001E1112" w:rsidRPr="00317ABF" w:rsidRDefault="001E1112" w:rsidP="00DB3BEC">
            <w:pPr>
              <w:pStyle w:val="Tekstpodstawowy"/>
              <w:rPr>
                <w:sz w:val="22"/>
                <w:szCs w:val="22"/>
              </w:rPr>
            </w:pPr>
          </w:p>
        </w:tc>
      </w:tr>
      <w:tr w:rsidR="001E1112" w:rsidRPr="00317ABF" w14:paraId="73B4495F" w14:textId="77777777" w:rsidTr="7753F98D">
        <w:trPr>
          <w:gridAfter w:val="2"/>
          <w:wAfter w:w="175" w:type="dxa"/>
        </w:trPr>
        <w:tc>
          <w:tcPr>
            <w:tcW w:w="704" w:type="dxa"/>
          </w:tcPr>
          <w:p w14:paraId="082C1D50" w14:textId="77777777" w:rsidR="001E1112" w:rsidRPr="00317ABF" w:rsidRDefault="001E1112" w:rsidP="00DB3BEC">
            <w:pPr>
              <w:jc w:val="both"/>
              <w:rPr>
                <w:sz w:val="22"/>
                <w:szCs w:val="22"/>
              </w:rPr>
            </w:pPr>
            <w:r w:rsidRPr="00317ABF">
              <w:rPr>
                <w:sz w:val="22"/>
                <w:szCs w:val="22"/>
              </w:rPr>
              <w:t>Art. 38 ust. 2</w:t>
            </w:r>
          </w:p>
        </w:tc>
        <w:tc>
          <w:tcPr>
            <w:tcW w:w="4308" w:type="dxa"/>
          </w:tcPr>
          <w:p w14:paraId="0AD0AC02" w14:textId="77777777" w:rsidR="001E1112" w:rsidRPr="00317ABF" w:rsidRDefault="001E1112" w:rsidP="00DB3BEC">
            <w:pPr>
              <w:spacing w:before="120"/>
              <w:jc w:val="both"/>
              <w:rPr>
                <w:sz w:val="22"/>
                <w:szCs w:val="22"/>
              </w:rPr>
            </w:pPr>
            <w:r w:rsidRPr="00317ABF">
              <w:rPr>
                <w:sz w:val="22"/>
                <w:szCs w:val="22"/>
              </w:rPr>
              <w:t>2.   Państwa członkowskie zapewniają, aby przy wypełnianiu swoich zadań krajowe organy regulacyjne i inne właściwe organy w jak największym stopniu uwzględniały zalecenia, o których mowa w ust. 1. W przypadku gdy krajowy organ regulacyjny lub inny właściwy organ postanowi nie stosować się do danego zalecenia, informuje o tym Komisję, uzasadniając swoje stanowisko.</w:t>
            </w:r>
          </w:p>
        </w:tc>
        <w:tc>
          <w:tcPr>
            <w:tcW w:w="986" w:type="dxa"/>
          </w:tcPr>
          <w:p w14:paraId="364B0712" w14:textId="78367302" w:rsidR="001E1112" w:rsidRPr="00317ABF" w:rsidRDefault="001E1112" w:rsidP="00DB3BEC">
            <w:pPr>
              <w:jc w:val="both"/>
              <w:rPr>
                <w:sz w:val="22"/>
                <w:szCs w:val="22"/>
              </w:rPr>
            </w:pPr>
            <w:r w:rsidRPr="00317ABF">
              <w:rPr>
                <w:sz w:val="22"/>
                <w:szCs w:val="22"/>
              </w:rPr>
              <w:t>T</w:t>
            </w:r>
          </w:p>
        </w:tc>
        <w:tc>
          <w:tcPr>
            <w:tcW w:w="910" w:type="dxa"/>
          </w:tcPr>
          <w:p w14:paraId="38A4CB42" w14:textId="0B21022F" w:rsidR="001E1112" w:rsidRPr="00317ABF" w:rsidRDefault="001E1112" w:rsidP="00DB3BEC">
            <w:pPr>
              <w:pStyle w:val="Tekstpodstawowy"/>
              <w:rPr>
                <w:b/>
                <w:noProof/>
                <w:sz w:val="22"/>
                <w:szCs w:val="22"/>
              </w:rPr>
            </w:pPr>
            <w:r w:rsidRPr="00317ABF">
              <w:rPr>
                <w:b/>
                <w:noProof/>
                <w:sz w:val="22"/>
                <w:szCs w:val="22"/>
              </w:rPr>
              <w:t>Art. 4 ust. 1 i 2</w:t>
            </w:r>
          </w:p>
        </w:tc>
        <w:tc>
          <w:tcPr>
            <w:tcW w:w="6814" w:type="dxa"/>
            <w:gridSpan w:val="2"/>
          </w:tcPr>
          <w:p w14:paraId="123BA443" w14:textId="77777777" w:rsidR="001E1112" w:rsidRPr="00317ABF" w:rsidRDefault="001E1112" w:rsidP="00DB3BEC">
            <w:pPr>
              <w:jc w:val="both"/>
              <w:rPr>
                <w:sz w:val="22"/>
                <w:szCs w:val="22"/>
              </w:rPr>
            </w:pPr>
            <w:r w:rsidRPr="00317ABF">
              <w:rPr>
                <w:sz w:val="22"/>
                <w:szCs w:val="22"/>
              </w:rPr>
              <w:t xml:space="preserve">1. Prezes UKE uwzględnia przy stosowaniu ustawy w największym możliwie stopniu wytyczne i zalecenia Komisji Europejskiej w ich aktualnym brzmieniu. </w:t>
            </w:r>
          </w:p>
          <w:p w14:paraId="46F391E9" w14:textId="15196A65" w:rsidR="001E1112" w:rsidRPr="00317ABF" w:rsidRDefault="001E1112" w:rsidP="00DB3BEC">
            <w:pPr>
              <w:jc w:val="both"/>
              <w:rPr>
                <w:sz w:val="22"/>
                <w:szCs w:val="22"/>
              </w:rPr>
            </w:pPr>
            <w:r w:rsidRPr="00317ABF">
              <w:rPr>
                <w:sz w:val="22"/>
                <w:szCs w:val="22"/>
              </w:rPr>
              <w:t>2. W przypadku zaleceń Komisji Europejskiej, które mają na celu zapewnienie zharmonizowanego stosowania dyrektywy Parlamentu Europejskiego i Rady (UE) 2018/1972 z dnia 11 grudnia 2018 r. ustanawiającą europejski kodeks łączności elektronicznej (Dz. Urz. WE L 321/36 z 17.12.2018), zwanej dalej „EKŁE”, Prezes UKE może odstąpić od stosowania tych zaleceń, powiadamiając o tym Komisję Europejską i uzasadniając swoje stanowisko.</w:t>
            </w:r>
          </w:p>
        </w:tc>
      </w:tr>
      <w:tr w:rsidR="001E1112" w:rsidRPr="00317ABF" w14:paraId="0374C132" w14:textId="77777777" w:rsidTr="7753F98D">
        <w:trPr>
          <w:gridAfter w:val="2"/>
          <w:wAfter w:w="175" w:type="dxa"/>
        </w:trPr>
        <w:tc>
          <w:tcPr>
            <w:tcW w:w="704" w:type="dxa"/>
          </w:tcPr>
          <w:p w14:paraId="63C1E6B1" w14:textId="77777777" w:rsidR="001E1112" w:rsidRPr="00317ABF" w:rsidRDefault="001E1112" w:rsidP="00DB3BEC">
            <w:pPr>
              <w:jc w:val="both"/>
              <w:rPr>
                <w:sz w:val="22"/>
                <w:szCs w:val="22"/>
              </w:rPr>
            </w:pPr>
            <w:r w:rsidRPr="00317ABF">
              <w:rPr>
                <w:sz w:val="22"/>
                <w:szCs w:val="22"/>
              </w:rPr>
              <w:t>Art. 38 ust. 3</w:t>
            </w:r>
          </w:p>
        </w:tc>
        <w:tc>
          <w:tcPr>
            <w:tcW w:w="4308" w:type="dxa"/>
          </w:tcPr>
          <w:p w14:paraId="27401546" w14:textId="77777777" w:rsidR="001E1112" w:rsidRPr="00317ABF" w:rsidRDefault="001E1112" w:rsidP="00DB3BEC">
            <w:pPr>
              <w:spacing w:before="120"/>
              <w:jc w:val="both"/>
              <w:rPr>
                <w:sz w:val="22"/>
                <w:szCs w:val="22"/>
              </w:rPr>
            </w:pPr>
            <w:r w:rsidRPr="00317ABF">
              <w:rPr>
                <w:sz w:val="22"/>
                <w:szCs w:val="22"/>
              </w:rPr>
              <w:t>3.   Decyzje przyjęte zgodnie z ust. 1 mogą zawierać jedynie określenie zharmonizowanego lub skoordynowanego podejścia w celu rozwiązania następujących kwestii:</w:t>
            </w:r>
          </w:p>
          <w:tbl>
            <w:tblPr>
              <w:tblW w:w="5000" w:type="pct"/>
              <w:tblCellSpacing w:w="0" w:type="dxa"/>
              <w:tblLayout w:type="fixed"/>
              <w:tblCellMar>
                <w:left w:w="0" w:type="dxa"/>
                <w:right w:w="0" w:type="dxa"/>
              </w:tblCellMar>
              <w:tblLook w:val="04A0" w:firstRow="1" w:lastRow="0" w:firstColumn="1" w:lastColumn="0" w:noHBand="0" w:noVBand="1"/>
            </w:tblPr>
            <w:tblGrid>
              <w:gridCol w:w="20"/>
              <w:gridCol w:w="4148"/>
            </w:tblGrid>
            <w:tr w:rsidR="001E1112" w:rsidRPr="00317ABF" w14:paraId="53709C7F" w14:textId="77777777" w:rsidTr="00A462BE">
              <w:trPr>
                <w:tblCellSpacing w:w="0" w:type="dxa"/>
              </w:trPr>
              <w:tc>
                <w:tcPr>
                  <w:tcW w:w="6" w:type="dxa"/>
                  <w:hideMark/>
                </w:tcPr>
                <w:p w14:paraId="28AC1B28" w14:textId="77777777" w:rsidR="001E1112" w:rsidRPr="00317ABF" w:rsidRDefault="001E1112" w:rsidP="00EE0AC3">
                  <w:pPr>
                    <w:framePr w:hSpace="141" w:wrap="around" w:vAnchor="text" w:hAnchor="text" w:xAlign="right" w:y="1"/>
                    <w:spacing w:before="120"/>
                    <w:suppressOverlap/>
                    <w:jc w:val="both"/>
                    <w:rPr>
                      <w:sz w:val="22"/>
                      <w:szCs w:val="22"/>
                    </w:rPr>
                  </w:pPr>
                </w:p>
              </w:tc>
              <w:tc>
                <w:tcPr>
                  <w:tcW w:w="9066" w:type="dxa"/>
                  <w:hideMark/>
                </w:tcPr>
                <w:p w14:paraId="6E6C5FA8" w14:textId="77777777" w:rsidR="001E1112" w:rsidRPr="00317ABF" w:rsidRDefault="001E1112" w:rsidP="00EE0AC3">
                  <w:pPr>
                    <w:framePr w:hSpace="141" w:wrap="around" w:vAnchor="text" w:hAnchor="text" w:xAlign="right" w:y="1"/>
                    <w:numPr>
                      <w:ilvl w:val="0"/>
                      <w:numId w:val="23"/>
                    </w:numPr>
                    <w:spacing w:before="120"/>
                    <w:suppressOverlap/>
                    <w:jc w:val="both"/>
                    <w:rPr>
                      <w:sz w:val="22"/>
                      <w:szCs w:val="22"/>
                    </w:rPr>
                  </w:pPr>
                  <w:r w:rsidRPr="00317ABF">
                    <w:rPr>
                      <w:sz w:val="22"/>
                      <w:szCs w:val="22"/>
                    </w:rPr>
                    <w:t xml:space="preserve">niespójnego wdrażania przez krajowe organy regulacyjne ogólnych podejść regulacyjnych dotyczących regulacji </w:t>
                  </w:r>
                  <w:r w:rsidRPr="00317ABF">
                    <w:rPr>
                      <w:sz w:val="22"/>
                      <w:szCs w:val="22"/>
                    </w:rPr>
                    <w:lastRenderedPageBreak/>
                    <w:t>rynków łączności elektronicznej w zastosowaniu art. 64 i 67, jeżeli tworzy to barierę dla rynku wewnętrznego. Decyzje takie nie odnoszą się do szczegółowych powiadomień wydawanych przez krajowe organy regulacyjne zgodnie z art. 32.</w:t>
                  </w:r>
                </w:p>
                <w:p w14:paraId="5F0FEFF8" w14:textId="77777777" w:rsidR="001E1112" w:rsidRPr="00317ABF" w:rsidRDefault="001E1112" w:rsidP="00EE0AC3">
                  <w:pPr>
                    <w:framePr w:hSpace="141" w:wrap="around" w:vAnchor="text" w:hAnchor="text" w:xAlign="right" w:y="1"/>
                    <w:numPr>
                      <w:ilvl w:val="0"/>
                      <w:numId w:val="24"/>
                    </w:numPr>
                    <w:spacing w:before="120"/>
                    <w:suppressOverlap/>
                    <w:jc w:val="both"/>
                    <w:rPr>
                      <w:sz w:val="22"/>
                      <w:szCs w:val="22"/>
                    </w:rPr>
                  </w:pPr>
                  <w:r w:rsidRPr="00317ABF">
                    <w:rPr>
                      <w:sz w:val="22"/>
                      <w:szCs w:val="22"/>
                    </w:rPr>
                    <w:t>W takim przypadku Komisja przedstawia projekt decyzji jedynie:</w:t>
                  </w:r>
                </w:p>
                <w:tbl>
                  <w:tblPr>
                    <w:tblW w:w="5000" w:type="pct"/>
                    <w:tblCellSpacing w:w="0" w:type="dxa"/>
                    <w:tblLayout w:type="fixed"/>
                    <w:tblCellMar>
                      <w:left w:w="0" w:type="dxa"/>
                      <w:right w:w="0" w:type="dxa"/>
                    </w:tblCellMar>
                    <w:tblLook w:val="04A0" w:firstRow="1" w:lastRow="0" w:firstColumn="1" w:lastColumn="0" w:noHBand="0" w:noVBand="1"/>
                  </w:tblPr>
                  <w:tblGrid>
                    <w:gridCol w:w="20"/>
                    <w:gridCol w:w="4128"/>
                  </w:tblGrid>
                  <w:tr w:rsidR="001E1112" w:rsidRPr="00317ABF" w14:paraId="6FBD170A" w14:textId="77777777" w:rsidTr="00A462BE">
                    <w:trPr>
                      <w:tblCellSpacing w:w="0" w:type="dxa"/>
                    </w:trPr>
                    <w:tc>
                      <w:tcPr>
                        <w:tcW w:w="6" w:type="dxa"/>
                        <w:hideMark/>
                      </w:tcPr>
                      <w:p w14:paraId="59DE7374" w14:textId="77777777" w:rsidR="001E1112" w:rsidRPr="00317ABF" w:rsidRDefault="001E1112" w:rsidP="00EE0AC3">
                        <w:pPr>
                          <w:framePr w:hSpace="141" w:wrap="around" w:vAnchor="text" w:hAnchor="text" w:xAlign="right" w:y="1"/>
                          <w:spacing w:before="120"/>
                          <w:suppressOverlap/>
                          <w:jc w:val="both"/>
                          <w:rPr>
                            <w:sz w:val="22"/>
                            <w:szCs w:val="22"/>
                          </w:rPr>
                        </w:pPr>
                      </w:p>
                    </w:tc>
                    <w:tc>
                      <w:tcPr>
                        <w:tcW w:w="9060" w:type="dxa"/>
                        <w:hideMark/>
                      </w:tcPr>
                      <w:p w14:paraId="261F936A" w14:textId="77777777" w:rsidR="001E1112" w:rsidRPr="00317ABF" w:rsidRDefault="001E1112" w:rsidP="00EE0AC3">
                        <w:pPr>
                          <w:framePr w:hSpace="141" w:wrap="around" w:vAnchor="text" w:hAnchor="text" w:xAlign="right" w:y="1"/>
                          <w:spacing w:before="120"/>
                          <w:ind w:left="726"/>
                          <w:suppressOverlap/>
                          <w:jc w:val="both"/>
                          <w:rPr>
                            <w:sz w:val="22"/>
                            <w:szCs w:val="22"/>
                          </w:rPr>
                        </w:pPr>
                        <w:r w:rsidRPr="00317ABF">
                          <w:rPr>
                            <w:sz w:val="22"/>
                            <w:szCs w:val="22"/>
                          </w:rPr>
                          <w:t>co najmniej po dwóch latach od przyjęcia swojego zalecenia dotyczącego tej samej kwestii, oraz</w:t>
                        </w:r>
                      </w:p>
                    </w:tc>
                  </w:tr>
                  <w:tr w:rsidR="001E1112" w:rsidRPr="00317ABF" w14:paraId="7CB7E4D9" w14:textId="77777777" w:rsidTr="00A462BE">
                    <w:trPr>
                      <w:tblCellSpacing w:w="0" w:type="dxa"/>
                    </w:trPr>
                    <w:tc>
                      <w:tcPr>
                        <w:tcW w:w="6" w:type="dxa"/>
                      </w:tcPr>
                      <w:p w14:paraId="7E62752A" w14:textId="77777777" w:rsidR="001E1112" w:rsidRPr="00317ABF" w:rsidRDefault="001E1112" w:rsidP="00EE0AC3">
                        <w:pPr>
                          <w:framePr w:hSpace="141" w:wrap="around" w:vAnchor="text" w:hAnchor="text" w:xAlign="right" w:y="1"/>
                          <w:spacing w:before="120"/>
                          <w:suppressOverlap/>
                          <w:jc w:val="both"/>
                          <w:rPr>
                            <w:sz w:val="22"/>
                            <w:szCs w:val="22"/>
                          </w:rPr>
                        </w:pPr>
                      </w:p>
                    </w:tc>
                    <w:tc>
                      <w:tcPr>
                        <w:tcW w:w="9060" w:type="dxa"/>
                      </w:tcPr>
                      <w:p w14:paraId="5822CD19" w14:textId="77777777" w:rsidR="001E1112" w:rsidRPr="00317ABF" w:rsidRDefault="001E1112" w:rsidP="00EE0AC3">
                        <w:pPr>
                          <w:framePr w:hSpace="141" w:wrap="around" w:vAnchor="text" w:hAnchor="text" w:xAlign="right" w:y="1"/>
                          <w:spacing w:before="120"/>
                          <w:suppressOverlap/>
                          <w:jc w:val="both"/>
                          <w:rPr>
                            <w:sz w:val="22"/>
                            <w:szCs w:val="22"/>
                          </w:rPr>
                        </w:pPr>
                      </w:p>
                    </w:tc>
                  </w:tr>
                </w:tbl>
                <w:p w14:paraId="6D47760A" w14:textId="77777777" w:rsidR="001E1112" w:rsidRPr="00317ABF" w:rsidRDefault="001E1112" w:rsidP="00EE0AC3">
                  <w:pPr>
                    <w:framePr w:hSpace="141" w:wrap="around" w:vAnchor="text" w:hAnchor="text" w:xAlign="right" w:y="1"/>
                    <w:suppressOverlap/>
                    <w:jc w:val="both"/>
                    <w:rPr>
                      <w:vanish/>
                      <w:sz w:val="22"/>
                      <w:szCs w:val="22"/>
                    </w:rPr>
                  </w:pPr>
                </w:p>
                <w:tbl>
                  <w:tblPr>
                    <w:tblW w:w="5000" w:type="pct"/>
                    <w:tblCellSpacing w:w="0" w:type="dxa"/>
                    <w:tblLayout w:type="fixed"/>
                    <w:tblCellMar>
                      <w:left w:w="0" w:type="dxa"/>
                      <w:right w:w="0" w:type="dxa"/>
                    </w:tblCellMar>
                    <w:tblLook w:val="04A0" w:firstRow="1" w:lastRow="0" w:firstColumn="1" w:lastColumn="0" w:noHBand="0" w:noVBand="1"/>
                  </w:tblPr>
                  <w:tblGrid>
                    <w:gridCol w:w="20"/>
                    <w:gridCol w:w="4128"/>
                  </w:tblGrid>
                  <w:tr w:rsidR="001E1112" w:rsidRPr="00317ABF" w14:paraId="7B8551C5" w14:textId="77777777" w:rsidTr="00A462BE">
                    <w:trPr>
                      <w:tblCellSpacing w:w="0" w:type="dxa"/>
                    </w:trPr>
                    <w:tc>
                      <w:tcPr>
                        <w:tcW w:w="6" w:type="dxa"/>
                        <w:hideMark/>
                      </w:tcPr>
                      <w:p w14:paraId="46541FEE" w14:textId="77777777" w:rsidR="001E1112" w:rsidRPr="00317ABF" w:rsidRDefault="001E1112" w:rsidP="00EE0AC3">
                        <w:pPr>
                          <w:framePr w:hSpace="141" w:wrap="around" w:vAnchor="text" w:hAnchor="text" w:xAlign="right" w:y="1"/>
                          <w:spacing w:before="120"/>
                          <w:suppressOverlap/>
                          <w:jc w:val="both"/>
                          <w:rPr>
                            <w:sz w:val="22"/>
                            <w:szCs w:val="22"/>
                          </w:rPr>
                        </w:pPr>
                      </w:p>
                    </w:tc>
                    <w:tc>
                      <w:tcPr>
                        <w:tcW w:w="9060" w:type="dxa"/>
                        <w:hideMark/>
                      </w:tcPr>
                      <w:p w14:paraId="064B670B" w14:textId="77777777" w:rsidR="001E1112" w:rsidRPr="00317ABF" w:rsidRDefault="001E1112" w:rsidP="00EE0AC3">
                        <w:pPr>
                          <w:framePr w:hSpace="141" w:wrap="around" w:vAnchor="text" w:hAnchor="text" w:xAlign="right" w:y="1"/>
                          <w:numPr>
                            <w:ilvl w:val="0"/>
                            <w:numId w:val="24"/>
                          </w:numPr>
                          <w:spacing w:before="120"/>
                          <w:suppressOverlap/>
                          <w:jc w:val="both"/>
                          <w:rPr>
                            <w:sz w:val="22"/>
                            <w:szCs w:val="22"/>
                          </w:rPr>
                        </w:pPr>
                        <w:r w:rsidRPr="00317ABF">
                          <w:rPr>
                            <w:sz w:val="22"/>
                            <w:szCs w:val="22"/>
                          </w:rPr>
                          <w:t>przy uwzględnieniu w jak największym stopniu opinii BEREC w tej sprawie na temat przyjęcia takiej decyzji, którą to opinię BEREC dostarcza w okresie trzech miesięcy od wystąpienia o nią przez Komisję;</w:t>
                        </w:r>
                      </w:p>
                    </w:tc>
                  </w:tr>
                </w:tbl>
                <w:p w14:paraId="3D0A7634" w14:textId="77777777" w:rsidR="001E1112" w:rsidRPr="00317ABF" w:rsidRDefault="001E1112" w:rsidP="00EE0AC3">
                  <w:pPr>
                    <w:framePr w:hSpace="141" w:wrap="around" w:vAnchor="text" w:hAnchor="text" w:xAlign="right" w:y="1"/>
                    <w:suppressOverlap/>
                    <w:jc w:val="both"/>
                    <w:rPr>
                      <w:sz w:val="22"/>
                      <w:szCs w:val="22"/>
                    </w:rPr>
                  </w:pPr>
                </w:p>
              </w:tc>
            </w:tr>
          </w:tbl>
          <w:p w14:paraId="480AAAE3" w14:textId="77777777" w:rsidR="001E1112" w:rsidRPr="00317ABF" w:rsidRDefault="001E1112" w:rsidP="00DB3BEC">
            <w:pPr>
              <w:jc w:val="both"/>
              <w:rPr>
                <w:vanish/>
                <w:sz w:val="22"/>
                <w:szCs w:val="22"/>
              </w:rPr>
            </w:pPr>
          </w:p>
          <w:tbl>
            <w:tblPr>
              <w:tblW w:w="5000" w:type="pct"/>
              <w:tblCellSpacing w:w="0" w:type="dxa"/>
              <w:tblLayout w:type="fixed"/>
              <w:tblCellMar>
                <w:left w:w="0" w:type="dxa"/>
                <w:right w:w="0" w:type="dxa"/>
              </w:tblCellMar>
              <w:tblLook w:val="04A0" w:firstRow="1" w:lastRow="0" w:firstColumn="1" w:lastColumn="0" w:noHBand="0" w:noVBand="1"/>
            </w:tblPr>
            <w:tblGrid>
              <w:gridCol w:w="20"/>
              <w:gridCol w:w="4148"/>
            </w:tblGrid>
            <w:tr w:rsidR="001E1112" w:rsidRPr="00317ABF" w14:paraId="24DA73A0" w14:textId="77777777" w:rsidTr="00A462BE">
              <w:trPr>
                <w:tblCellSpacing w:w="0" w:type="dxa"/>
              </w:trPr>
              <w:tc>
                <w:tcPr>
                  <w:tcW w:w="6" w:type="dxa"/>
                  <w:hideMark/>
                </w:tcPr>
                <w:p w14:paraId="615D263B" w14:textId="77777777" w:rsidR="001E1112" w:rsidRPr="00317ABF" w:rsidRDefault="001E1112" w:rsidP="00EE0AC3">
                  <w:pPr>
                    <w:framePr w:hSpace="141" w:wrap="around" w:vAnchor="text" w:hAnchor="text" w:xAlign="right" w:y="1"/>
                    <w:spacing w:before="120"/>
                    <w:suppressOverlap/>
                    <w:jc w:val="both"/>
                    <w:rPr>
                      <w:sz w:val="22"/>
                      <w:szCs w:val="22"/>
                    </w:rPr>
                  </w:pPr>
                </w:p>
              </w:tc>
              <w:tc>
                <w:tcPr>
                  <w:tcW w:w="9066" w:type="dxa"/>
                  <w:hideMark/>
                </w:tcPr>
                <w:p w14:paraId="786B7827" w14:textId="77777777" w:rsidR="001E1112" w:rsidRPr="00317ABF" w:rsidRDefault="001E1112" w:rsidP="00EE0AC3">
                  <w:pPr>
                    <w:framePr w:hSpace="141" w:wrap="around" w:vAnchor="text" w:hAnchor="text" w:xAlign="right" w:y="1"/>
                    <w:numPr>
                      <w:ilvl w:val="0"/>
                      <w:numId w:val="23"/>
                    </w:numPr>
                    <w:spacing w:before="120"/>
                    <w:suppressOverlap/>
                    <w:jc w:val="both"/>
                    <w:rPr>
                      <w:sz w:val="22"/>
                      <w:szCs w:val="22"/>
                    </w:rPr>
                  </w:pPr>
                  <w:r w:rsidRPr="00317ABF">
                    <w:rPr>
                      <w:sz w:val="22"/>
                      <w:szCs w:val="22"/>
                    </w:rPr>
                    <w:t>numerowania, w tym zakresów numerów, przenoszenia numerów i identyfikatorów, systemów translacji numerów i adresów oraz dostępu do służb ratunkowych za pomocą jednolitego europejskiego numeru alarmowego „112”.</w:t>
                  </w:r>
                </w:p>
              </w:tc>
            </w:tr>
          </w:tbl>
          <w:p w14:paraId="5FE46C25" w14:textId="77777777" w:rsidR="001E1112" w:rsidRPr="00317ABF" w:rsidRDefault="001E1112" w:rsidP="00DB3BEC">
            <w:pPr>
              <w:spacing w:before="120"/>
              <w:jc w:val="both"/>
              <w:rPr>
                <w:sz w:val="22"/>
                <w:szCs w:val="22"/>
              </w:rPr>
            </w:pPr>
          </w:p>
        </w:tc>
        <w:tc>
          <w:tcPr>
            <w:tcW w:w="986" w:type="dxa"/>
          </w:tcPr>
          <w:p w14:paraId="1F1FFF00" w14:textId="77777777" w:rsidR="001E1112" w:rsidRPr="00317ABF" w:rsidRDefault="001E1112" w:rsidP="00DB3BEC">
            <w:pPr>
              <w:jc w:val="both"/>
              <w:rPr>
                <w:sz w:val="22"/>
                <w:szCs w:val="22"/>
              </w:rPr>
            </w:pPr>
            <w:r w:rsidRPr="00317ABF">
              <w:rPr>
                <w:sz w:val="22"/>
                <w:szCs w:val="22"/>
              </w:rPr>
              <w:lastRenderedPageBreak/>
              <w:t>N</w:t>
            </w:r>
          </w:p>
        </w:tc>
        <w:tc>
          <w:tcPr>
            <w:tcW w:w="910" w:type="dxa"/>
          </w:tcPr>
          <w:p w14:paraId="662E2991" w14:textId="77777777" w:rsidR="001E1112" w:rsidRPr="00317ABF" w:rsidRDefault="001E1112" w:rsidP="00DB3BEC">
            <w:pPr>
              <w:pStyle w:val="Tekstpodstawowy"/>
              <w:rPr>
                <w:b/>
                <w:noProof/>
                <w:sz w:val="22"/>
                <w:szCs w:val="22"/>
              </w:rPr>
            </w:pPr>
          </w:p>
        </w:tc>
        <w:tc>
          <w:tcPr>
            <w:tcW w:w="6814" w:type="dxa"/>
            <w:gridSpan w:val="2"/>
          </w:tcPr>
          <w:p w14:paraId="6F6DCEE7" w14:textId="77777777" w:rsidR="001E1112" w:rsidRPr="00317ABF" w:rsidRDefault="001E1112" w:rsidP="00DB3BEC">
            <w:pPr>
              <w:pStyle w:val="Tekstpodstawowy"/>
              <w:rPr>
                <w:sz w:val="22"/>
                <w:szCs w:val="22"/>
              </w:rPr>
            </w:pPr>
          </w:p>
        </w:tc>
      </w:tr>
      <w:tr w:rsidR="001E1112" w:rsidRPr="00317ABF" w14:paraId="1E110E45" w14:textId="77777777" w:rsidTr="7753F98D">
        <w:trPr>
          <w:gridAfter w:val="2"/>
          <w:wAfter w:w="175" w:type="dxa"/>
        </w:trPr>
        <w:tc>
          <w:tcPr>
            <w:tcW w:w="704" w:type="dxa"/>
          </w:tcPr>
          <w:p w14:paraId="65C4F25B" w14:textId="77777777" w:rsidR="001E1112" w:rsidRPr="00317ABF" w:rsidRDefault="001E1112" w:rsidP="00DB3BEC">
            <w:pPr>
              <w:jc w:val="both"/>
              <w:rPr>
                <w:sz w:val="22"/>
                <w:szCs w:val="22"/>
              </w:rPr>
            </w:pPr>
            <w:r w:rsidRPr="00317ABF">
              <w:rPr>
                <w:sz w:val="22"/>
                <w:szCs w:val="22"/>
              </w:rPr>
              <w:lastRenderedPageBreak/>
              <w:t>Art. 38 ust. 4</w:t>
            </w:r>
          </w:p>
        </w:tc>
        <w:tc>
          <w:tcPr>
            <w:tcW w:w="4308" w:type="dxa"/>
          </w:tcPr>
          <w:p w14:paraId="46BDAA92" w14:textId="77777777" w:rsidR="001E1112" w:rsidRPr="00317ABF" w:rsidRDefault="001E1112" w:rsidP="00DB3BEC">
            <w:pPr>
              <w:spacing w:before="120"/>
              <w:jc w:val="both"/>
              <w:rPr>
                <w:sz w:val="22"/>
                <w:szCs w:val="22"/>
              </w:rPr>
            </w:pPr>
            <w:r w:rsidRPr="00317ABF">
              <w:rPr>
                <w:sz w:val="22"/>
                <w:szCs w:val="22"/>
              </w:rPr>
              <w:t>4.   Akty wykonawcze, o których mowa w ust. 1 niniejszego artykułu, są przyjmowane zgodnie z procedurą sprawdzającą, o której mowa w art. 118 ust. 4.</w:t>
            </w:r>
          </w:p>
        </w:tc>
        <w:tc>
          <w:tcPr>
            <w:tcW w:w="986" w:type="dxa"/>
          </w:tcPr>
          <w:p w14:paraId="724AAF51" w14:textId="77777777" w:rsidR="001E1112" w:rsidRPr="00317ABF" w:rsidRDefault="001E1112" w:rsidP="00DB3BEC">
            <w:pPr>
              <w:jc w:val="both"/>
              <w:rPr>
                <w:sz w:val="22"/>
                <w:szCs w:val="22"/>
              </w:rPr>
            </w:pPr>
            <w:r w:rsidRPr="00317ABF">
              <w:rPr>
                <w:sz w:val="22"/>
                <w:szCs w:val="22"/>
              </w:rPr>
              <w:t>N</w:t>
            </w:r>
          </w:p>
        </w:tc>
        <w:tc>
          <w:tcPr>
            <w:tcW w:w="910" w:type="dxa"/>
          </w:tcPr>
          <w:p w14:paraId="738F6CFE" w14:textId="77777777" w:rsidR="001E1112" w:rsidRPr="00317ABF" w:rsidRDefault="001E1112" w:rsidP="00DB3BEC">
            <w:pPr>
              <w:pStyle w:val="Tekstpodstawowy"/>
              <w:rPr>
                <w:b/>
                <w:noProof/>
                <w:sz w:val="22"/>
                <w:szCs w:val="22"/>
              </w:rPr>
            </w:pPr>
          </w:p>
        </w:tc>
        <w:tc>
          <w:tcPr>
            <w:tcW w:w="6814" w:type="dxa"/>
            <w:gridSpan w:val="2"/>
          </w:tcPr>
          <w:p w14:paraId="0E3612C3" w14:textId="77777777" w:rsidR="001E1112" w:rsidRPr="00317ABF" w:rsidRDefault="001E1112" w:rsidP="00DB3BEC">
            <w:pPr>
              <w:pStyle w:val="Tekstpodstawowy"/>
              <w:rPr>
                <w:sz w:val="22"/>
                <w:szCs w:val="22"/>
              </w:rPr>
            </w:pPr>
          </w:p>
        </w:tc>
      </w:tr>
      <w:tr w:rsidR="001E1112" w:rsidRPr="00317ABF" w14:paraId="7708B147" w14:textId="77777777" w:rsidTr="7753F98D">
        <w:trPr>
          <w:gridAfter w:val="2"/>
          <w:wAfter w:w="175" w:type="dxa"/>
        </w:trPr>
        <w:tc>
          <w:tcPr>
            <w:tcW w:w="704" w:type="dxa"/>
          </w:tcPr>
          <w:p w14:paraId="2D8A9421" w14:textId="77777777" w:rsidR="001E1112" w:rsidRPr="00317ABF" w:rsidRDefault="001E1112" w:rsidP="00DB3BEC">
            <w:pPr>
              <w:jc w:val="both"/>
              <w:rPr>
                <w:sz w:val="22"/>
                <w:szCs w:val="22"/>
              </w:rPr>
            </w:pPr>
            <w:r w:rsidRPr="00317ABF">
              <w:rPr>
                <w:sz w:val="22"/>
                <w:szCs w:val="22"/>
              </w:rPr>
              <w:lastRenderedPageBreak/>
              <w:t>Art. 38 ust. 5</w:t>
            </w:r>
          </w:p>
        </w:tc>
        <w:tc>
          <w:tcPr>
            <w:tcW w:w="4308" w:type="dxa"/>
          </w:tcPr>
          <w:p w14:paraId="555E2390" w14:textId="77777777" w:rsidR="001E1112" w:rsidRPr="00317ABF" w:rsidRDefault="001E1112" w:rsidP="00DB3BEC">
            <w:pPr>
              <w:spacing w:before="120"/>
              <w:jc w:val="both"/>
              <w:rPr>
                <w:sz w:val="22"/>
                <w:szCs w:val="22"/>
              </w:rPr>
            </w:pPr>
            <w:r w:rsidRPr="00317ABF">
              <w:rPr>
                <w:sz w:val="22"/>
                <w:szCs w:val="22"/>
              </w:rPr>
              <w:t>5.   BEREC może z własnej inicjatywy doradzić Komisji, czy należy przyjąć środki zgodnie z ust. 1.</w:t>
            </w:r>
          </w:p>
        </w:tc>
        <w:tc>
          <w:tcPr>
            <w:tcW w:w="986" w:type="dxa"/>
          </w:tcPr>
          <w:p w14:paraId="1F0A86BB" w14:textId="77777777" w:rsidR="001E1112" w:rsidRPr="00317ABF" w:rsidRDefault="001E1112" w:rsidP="00DB3BEC">
            <w:pPr>
              <w:jc w:val="both"/>
              <w:rPr>
                <w:sz w:val="22"/>
                <w:szCs w:val="22"/>
              </w:rPr>
            </w:pPr>
            <w:r w:rsidRPr="00317ABF">
              <w:rPr>
                <w:sz w:val="22"/>
                <w:szCs w:val="22"/>
              </w:rPr>
              <w:t>N</w:t>
            </w:r>
          </w:p>
        </w:tc>
        <w:tc>
          <w:tcPr>
            <w:tcW w:w="910" w:type="dxa"/>
          </w:tcPr>
          <w:p w14:paraId="1428F0A7" w14:textId="77777777" w:rsidR="001E1112" w:rsidRPr="00317ABF" w:rsidRDefault="001E1112" w:rsidP="00DB3BEC">
            <w:pPr>
              <w:pStyle w:val="Tekstpodstawowy"/>
              <w:rPr>
                <w:b/>
                <w:noProof/>
                <w:sz w:val="22"/>
                <w:szCs w:val="22"/>
              </w:rPr>
            </w:pPr>
          </w:p>
        </w:tc>
        <w:tc>
          <w:tcPr>
            <w:tcW w:w="6814" w:type="dxa"/>
            <w:gridSpan w:val="2"/>
          </w:tcPr>
          <w:p w14:paraId="2050BD55" w14:textId="77777777" w:rsidR="001E1112" w:rsidRPr="00317ABF" w:rsidRDefault="001E1112" w:rsidP="00DB3BEC">
            <w:pPr>
              <w:pStyle w:val="Tekstpodstawowy"/>
              <w:rPr>
                <w:sz w:val="22"/>
                <w:szCs w:val="22"/>
              </w:rPr>
            </w:pPr>
          </w:p>
        </w:tc>
      </w:tr>
      <w:tr w:rsidR="001E1112" w:rsidRPr="00317ABF" w14:paraId="3029F9C9" w14:textId="77777777" w:rsidTr="7753F98D">
        <w:trPr>
          <w:gridAfter w:val="2"/>
          <w:wAfter w:w="175" w:type="dxa"/>
        </w:trPr>
        <w:tc>
          <w:tcPr>
            <w:tcW w:w="704" w:type="dxa"/>
          </w:tcPr>
          <w:p w14:paraId="6E76FAE3" w14:textId="77777777" w:rsidR="001E1112" w:rsidRPr="00317ABF" w:rsidRDefault="001E1112" w:rsidP="00DB3BEC">
            <w:pPr>
              <w:jc w:val="both"/>
              <w:rPr>
                <w:sz w:val="22"/>
                <w:szCs w:val="22"/>
              </w:rPr>
            </w:pPr>
            <w:r w:rsidRPr="00317ABF">
              <w:rPr>
                <w:sz w:val="22"/>
                <w:szCs w:val="22"/>
              </w:rPr>
              <w:t>Art. 38 ust. 6</w:t>
            </w:r>
          </w:p>
        </w:tc>
        <w:tc>
          <w:tcPr>
            <w:tcW w:w="4308" w:type="dxa"/>
          </w:tcPr>
          <w:p w14:paraId="4BC5DADC" w14:textId="77777777" w:rsidR="001E1112" w:rsidRPr="00317ABF" w:rsidRDefault="001E1112" w:rsidP="00DB3BEC">
            <w:pPr>
              <w:spacing w:before="120"/>
              <w:jc w:val="both"/>
              <w:rPr>
                <w:sz w:val="22"/>
                <w:szCs w:val="22"/>
              </w:rPr>
            </w:pPr>
            <w:r w:rsidRPr="00317ABF">
              <w:rPr>
                <w:sz w:val="22"/>
                <w:szCs w:val="22"/>
              </w:rPr>
              <w:t>6.   Jeżeli Komisja nie przyjęła zalecenia, ani decyzji w ciągu roku od daty przyjęcia przez BEREC opinii wskazującej na to, że w realizacji przez krajowe organy regulacyjne lub inne właściwe organy zadań regulacyjnych określonych w niniejszej dyrektywie istnieją rozbieżności, które mogą tworzyć barierę dla rynku wewnętrznego, informuje ona Parlament Europejski i Radę o powodach ich nieprzyjęcia i podaje te powody do wiadomości publicznej.</w:t>
            </w:r>
          </w:p>
          <w:p w14:paraId="0DF17E77" w14:textId="77777777" w:rsidR="001E1112" w:rsidRPr="00317ABF" w:rsidRDefault="001E1112" w:rsidP="00DB3BEC">
            <w:pPr>
              <w:spacing w:before="120"/>
              <w:jc w:val="both"/>
              <w:rPr>
                <w:sz w:val="22"/>
                <w:szCs w:val="22"/>
              </w:rPr>
            </w:pPr>
            <w:r w:rsidRPr="00317ABF">
              <w:rPr>
                <w:sz w:val="22"/>
                <w:szCs w:val="22"/>
              </w:rPr>
              <w:t>W przypadku gdy Komisja przyjmie zalecenie zgodnie z ust. 1, ale przez kolejne dwa lata utrzymywać się będzie niespójne wdrażanie tworzące przeszkody na rynku wewnętrznym, Komisja, w przypadku gdy zastosowanie ma ust. 3, przyjmuje decyzję w drodze aktów wykonawczych, zgodnie z ust. 4.</w:t>
            </w:r>
          </w:p>
          <w:p w14:paraId="6BAD6682" w14:textId="77777777" w:rsidR="001E1112" w:rsidRPr="00317ABF" w:rsidRDefault="001E1112" w:rsidP="00DB3BEC">
            <w:pPr>
              <w:spacing w:before="120"/>
              <w:jc w:val="both"/>
              <w:rPr>
                <w:sz w:val="22"/>
                <w:szCs w:val="22"/>
              </w:rPr>
            </w:pPr>
            <w:r w:rsidRPr="00317ABF">
              <w:rPr>
                <w:sz w:val="22"/>
                <w:szCs w:val="22"/>
              </w:rPr>
              <w:t>W przypadku gdy Komisja nie przyjmie decyzji w ciągu kolejnego roku od któregokolwiek zalecenia przyjętego zgodnie z akapitem drugim, informuje Parlament Europejski i Radę o powodach nieprzyjęcia i podaje te powody do wiadomości publicznej.</w:t>
            </w:r>
          </w:p>
        </w:tc>
        <w:tc>
          <w:tcPr>
            <w:tcW w:w="986" w:type="dxa"/>
          </w:tcPr>
          <w:p w14:paraId="2D4B1327" w14:textId="77777777" w:rsidR="001E1112" w:rsidRPr="00317ABF" w:rsidRDefault="001E1112" w:rsidP="00DB3BEC">
            <w:pPr>
              <w:jc w:val="both"/>
              <w:rPr>
                <w:sz w:val="22"/>
                <w:szCs w:val="22"/>
              </w:rPr>
            </w:pPr>
            <w:r w:rsidRPr="00317ABF">
              <w:rPr>
                <w:sz w:val="22"/>
                <w:szCs w:val="22"/>
              </w:rPr>
              <w:t>N</w:t>
            </w:r>
          </w:p>
        </w:tc>
        <w:tc>
          <w:tcPr>
            <w:tcW w:w="910" w:type="dxa"/>
          </w:tcPr>
          <w:p w14:paraId="6A22A52B" w14:textId="77777777" w:rsidR="001E1112" w:rsidRPr="00317ABF" w:rsidRDefault="001E1112" w:rsidP="00DB3BEC">
            <w:pPr>
              <w:pStyle w:val="Tekstpodstawowy"/>
              <w:rPr>
                <w:b/>
                <w:noProof/>
                <w:sz w:val="22"/>
                <w:szCs w:val="22"/>
              </w:rPr>
            </w:pPr>
          </w:p>
        </w:tc>
        <w:tc>
          <w:tcPr>
            <w:tcW w:w="6814" w:type="dxa"/>
            <w:gridSpan w:val="2"/>
          </w:tcPr>
          <w:p w14:paraId="45C09875" w14:textId="77777777" w:rsidR="001E1112" w:rsidRPr="00317ABF" w:rsidRDefault="001E1112" w:rsidP="00DB3BEC">
            <w:pPr>
              <w:pStyle w:val="Tekstpodstawowy"/>
              <w:rPr>
                <w:sz w:val="22"/>
                <w:szCs w:val="22"/>
              </w:rPr>
            </w:pPr>
          </w:p>
        </w:tc>
      </w:tr>
      <w:tr w:rsidR="001E1112" w:rsidRPr="00317ABF" w14:paraId="080479DB" w14:textId="77777777" w:rsidTr="7753F98D">
        <w:trPr>
          <w:gridAfter w:val="2"/>
          <w:wAfter w:w="175" w:type="dxa"/>
        </w:trPr>
        <w:tc>
          <w:tcPr>
            <w:tcW w:w="704" w:type="dxa"/>
          </w:tcPr>
          <w:p w14:paraId="7FF4E7F6" w14:textId="77777777" w:rsidR="001E1112" w:rsidRPr="00317ABF" w:rsidRDefault="001E1112" w:rsidP="00DB3BEC">
            <w:pPr>
              <w:jc w:val="both"/>
              <w:rPr>
                <w:b/>
                <w:sz w:val="22"/>
                <w:szCs w:val="22"/>
              </w:rPr>
            </w:pPr>
            <w:r w:rsidRPr="00317ABF">
              <w:rPr>
                <w:b/>
                <w:sz w:val="22"/>
                <w:szCs w:val="22"/>
              </w:rPr>
              <w:t>Art. 39</w:t>
            </w:r>
          </w:p>
        </w:tc>
        <w:tc>
          <w:tcPr>
            <w:tcW w:w="4308" w:type="dxa"/>
          </w:tcPr>
          <w:p w14:paraId="0BE247E2" w14:textId="77777777" w:rsidR="001E1112" w:rsidRPr="00317ABF" w:rsidRDefault="001E1112" w:rsidP="00DB3BEC">
            <w:pPr>
              <w:spacing w:before="120"/>
              <w:jc w:val="both"/>
              <w:rPr>
                <w:sz w:val="22"/>
                <w:szCs w:val="22"/>
              </w:rPr>
            </w:pPr>
            <w:r w:rsidRPr="00317ABF">
              <w:rPr>
                <w:b/>
                <w:bCs/>
                <w:sz w:val="22"/>
                <w:szCs w:val="22"/>
              </w:rPr>
              <w:t>Normalizacja</w:t>
            </w:r>
          </w:p>
        </w:tc>
        <w:tc>
          <w:tcPr>
            <w:tcW w:w="986" w:type="dxa"/>
          </w:tcPr>
          <w:p w14:paraId="6CDC65EB" w14:textId="77777777" w:rsidR="001E1112" w:rsidRPr="00317ABF" w:rsidRDefault="001E1112" w:rsidP="00DB3BEC">
            <w:pPr>
              <w:jc w:val="both"/>
              <w:rPr>
                <w:sz w:val="22"/>
                <w:szCs w:val="22"/>
              </w:rPr>
            </w:pPr>
          </w:p>
        </w:tc>
        <w:tc>
          <w:tcPr>
            <w:tcW w:w="910" w:type="dxa"/>
          </w:tcPr>
          <w:p w14:paraId="2D50532D" w14:textId="77777777" w:rsidR="001E1112" w:rsidRPr="00317ABF" w:rsidRDefault="001E1112" w:rsidP="00DB3BEC">
            <w:pPr>
              <w:pStyle w:val="Tekstpodstawowy"/>
              <w:rPr>
                <w:b/>
                <w:noProof/>
                <w:sz w:val="22"/>
                <w:szCs w:val="22"/>
              </w:rPr>
            </w:pPr>
          </w:p>
        </w:tc>
        <w:tc>
          <w:tcPr>
            <w:tcW w:w="6814" w:type="dxa"/>
            <w:gridSpan w:val="2"/>
          </w:tcPr>
          <w:p w14:paraId="26746B7D" w14:textId="77777777" w:rsidR="001E1112" w:rsidRPr="00317ABF" w:rsidRDefault="001E1112" w:rsidP="00DB3BEC">
            <w:pPr>
              <w:pStyle w:val="Tekstpodstawowy"/>
              <w:rPr>
                <w:sz w:val="22"/>
                <w:szCs w:val="22"/>
              </w:rPr>
            </w:pPr>
          </w:p>
        </w:tc>
      </w:tr>
      <w:tr w:rsidR="001E1112" w:rsidRPr="00317ABF" w14:paraId="6173152C" w14:textId="77777777" w:rsidTr="7753F98D">
        <w:trPr>
          <w:gridAfter w:val="2"/>
          <w:wAfter w:w="175" w:type="dxa"/>
        </w:trPr>
        <w:tc>
          <w:tcPr>
            <w:tcW w:w="704" w:type="dxa"/>
          </w:tcPr>
          <w:p w14:paraId="4F0CDF5E" w14:textId="77777777" w:rsidR="001E1112" w:rsidRPr="00317ABF" w:rsidRDefault="001E1112" w:rsidP="00DB3BEC">
            <w:pPr>
              <w:jc w:val="both"/>
              <w:rPr>
                <w:sz w:val="22"/>
                <w:szCs w:val="22"/>
              </w:rPr>
            </w:pPr>
            <w:r w:rsidRPr="00317ABF">
              <w:rPr>
                <w:sz w:val="22"/>
                <w:szCs w:val="22"/>
              </w:rPr>
              <w:t>Art. 39 ust. 1</w:t>
            </w:r>
          </w:p>
        </w:tc>
        <w:tc>
          <w:tcPr>
            <w:tcW w:w="4308" w:type="dxa"/>
          </w:tcPr>
          <w:p w14:paraId="7EA90F24" w14:textId="77777777" w:rsidR="001E1112" w:rsidRPr="00317ABF" w:rsidRDefault="001E1112" w:rsidP="00DB3BEC">
            <w:pPr>
              <w:spacing w:before="120"/>
              <w:jc w:val="both"/>
              <w:rPr>
                <w:sz w:val="22"/>
                <w:szCs w:val="22"/>
              </w:rPr>
            </w:pPr>
            <w:r w:rsidRPr="00317ABF">
              <w:rPr>
                <w:sz w:val="22"/>
                <w:szCs w:val="22"/>
              </w:rPr>
              <w:t xml:space="preserve">1.   Komisja sporządza i publikuje w Dzienniku Urzędowym Unii Europejskiej listę norm nieobowiązkowych lub specyfikacji, które mogą posłużyć za podstawę do wszczęcia procedury harmonizacji w dziedzinie dostarczania sieci łączności elektronicznej, usług łączności elektronicznej oraz urządzeń i usług towarzyszących. W razie potrzeby </w:t>
            </w:r>
            <w:r w:rsidRPr="00317ABF">
              <w:rPr>
                <w:sz w:val="22"/>
                <w:szCs w:val="22"/>
              </w:rPr>
              <w:lastRenderedPageBreak/>
              <w:t>Komisja może, po konsultacji z Komitetem ustanowionym na mocy dyrektywy (UE) 2015/1535, zażądać od europejskich organizacji normalizacyjnych (Europejskiego Komitetu Normalizacyjnego — CEN, Europejskiego Komitetu Normalizacyjnego Elektrotechniki — CENELEC i Europejskiego Instytutu Norm Telekomunikacyjnych — ETSI) ustanowienia norm.</w:t>
            </w:r>
          </w:p>
        </w:tc>
        <w:tc>
          <w:tcPr>
            <w:tcW w:w="986" w:type="dxa"/>
          </w:tcPr>
          <w:p w14:paraId="5ACEEC1F" w14:textId="77777777" w:rsidR="001E1112" w:rsidRPr="00317ABF" w:rsidRDefault="001E1112" w:rsidP="00DB3BEC">
            <w:pPr>
              <w:jc w:val="both"/>
              <w:rPr>
                <w:sz w:val="22"/>
                <w:szCs w:val="22"/>
              </w:rPr>
            </w:pPr>
            <w:r w:rsidRPr="00317ABF">
              <w:rPr>
                <w:sz w:val="22"/>
                <w:szCs w:val="22"/>
              </w:rPr>
              <w:lastRenderedPageBreak/>
              <w:t>N</w:t>
            </w:r>
          </w:p>
        </w:tc>
        <w:tc>
          <w:tcPr>
            <w:tcW w:w="910" w:type="dxa"/>
          </w:tcPr>
          <w:p w14:paraId="418800B0" w14:textId="77777777" w:rsidR="001E1112" w:rsidRPr="00317ABF" w:rsidRDefault="001E1112" w:rsidP="00DB3BEC">
            <w:pPr>
              <w:pStyle w:val="Tekstpodstawowy"/>
              <w:rPr>
                <w:b/>
                <w:noProof/>
                <w:sz w:val="22"/>
                <w:szCs w:val="22"/>
              </w:rPr>
            </w:pPr>
          </w:p>
        </w:tc>
        <w:tc>
          <w:tcPr>
            <w:tcW w:w="6814" w:type="dxa"/>
            <w:gridSpan w:val="2"/>
          </w:tcPr>
          <w:p w14:paraId="562855B0" w14:textId="09ECAA5B" w:rsidR="001E1112" w:rsidRPr="00317ABF" w:rsidRDefault="001E1112" w:rsidP="00DB3BEC">
            <w:pPr>
              <w:pStyle w:val="Tekstpodstawowy"/>
              <w:rPr>
                <w:sz w:val="22"/>
                <w:szCs w:val="22"/>
              </w:rPr>
            </w:pPr>
          </w:p>
        </w:tc>
      </w:tr>
      <w:tr w:rsidR="001E1112" w:rsidRPr="00317ABF" w14:paraId="61240488" w14:textId="77777777" w:rsidTr="7753F98D">
        <w:trPr>
          <w:gridAfter w:val="2"/>
          <w:wAfter w:w="175" w:type="dxa"/>
        </w:trPr>
        <w:tc>
          <w:tcPr>
            <w:tcW w:w="704" w:type="dxa"/>
          </w:tcPr>
          <w:p w14:paraId="05E09B5D" w14:textId="77777777" w:rsidR="001E1112" w:rsidRPr="00317ABF" w:rsidRDefault="001E1112" w:rsidP="00DB3BEC">
            <w:pPr>
              <w:jc w:val="both"/>
              <w:rPr>
                <w:sz w:val="22"/>
                <w:szCs w:val="22"/>
              </w:rPr>
            </w:pPr>
            <w:r w:rsidRPr="00317ABF">
              <w:rPr>
                <w:sz w:val="22"/>
                <w:szCs w:val="22"/>
              </w:rPr>
              <w:lastRenderedPageBreak/>
              <w:t>Art. 39 ust. 2</w:t>
            </w:r>
          </w:p>
        </w:tc>
        <w:tc>
          <w:tcPr>
            <w:tcW w:w="4308" w:type="dxa"/>
          </w:tcPr>
          <w:p w14:paraId="58C84661" w14:textId="77777777" w:rsidR="001E1112" w:rsidRPr="00317ABF" w:rsidRDefault="001E1112" w:rsidP="00DB3BEC">
            <w:pPr>
              <w:spacing w:before="120"/>
              <w:jc w:val="both"/>
              <w:rPr>
                <w:sz w:val="22"/>
                <w:szCs w:val="22"/>
              </w:rPr>
            </w:pPr>
            <w:r w:rsidRPr="00317ABF">
              <w:rPr>
                <w:sz w:val="22"/>
                <w:szCs w:val="22"/>
              </w:rPr>
              <w:t>2.   Państwa członkowskie zachęcają do stosowania norm lub specyfikacji, o których mowa w ust. 1, przy świadczeniu usług, udostępnianiu technicznych interfejsów lub funkcji sieciowych, w takim zakresie, w jakim jest to niezbędne dla zapewnienia interoperacyjności usług, łączności typu koniec–koniec, ułatwienia zmiany dostawcy i przenoszenia numerów i identyfikatorów oraz dla zwiększenia użytkownikom swobody wyboru.</w:t>
            </w:r>
          </w:p>
        </w:tc>
        <w:tc>
          <w:tcPr>
            <w:tcW w:w="986" w:type="dxa"/>
          </w:tcPr>
          <w:p w14:paraId="7E7AB69A" w14:textId="3DDCD68E" w:rsidR="001E1112" w:rsidRPr="00317ABF" w:rsidRDefault="001E1112" w:rsidP="00DB3BEC">
            <w:pPr>
              <w:jc w:val="both"/>
              <w:rPr>
                <w:sz w:val="22"/>
                <w:szCs w:val="22"/>
              </w:rPr>
            </w:pPr>
            <w:r w:rsidRPr="00317ABF">
              <w:rPr>
                <w:sz w:val="22"/>
                <w:szCs w:val="22"/>
              </w:rPr>
              <w:t>N</w:t>
            </w:r>
          </w:p>
        </w:tc>
        <w:tc>
          <w:tcPr>
            <w:tcW w:w="910" w:type="dxa"/>
          </w:tcPr>
          <w:p w14:paraId="38775929" w14:textId="750CEECC" w:rsidR="001E1112" w:rsidRPr="00317ABF" w:rsidRDefault="001E1112" w:rsidP="00DB3BEC">
            <w:pPr>
              <w:pStyle w:val="Tekstpodstawowy"/>
              <w:rPr>
                <w:b/>
                <w:noProof/>
                <w:sz w:val="22"/>
                <w:szCs w:val="22"/>
              </w:rPr>
            </w:pPr>
            <w:r w:rsidRPr="00317ABF">
              <w:rPr>
                <w:b/>
                <w:bCs/>
                <w:noProof/>
                <w:sz w:val="22"/>
                <w:szCs w:val="22"/>
              </w:rPr>
              <w:t xml:space="preserve">Art. </w:t>
            </w:r>
            <w:r w:rsidR="003C7FBE" w:rsidRPr="00317ABF">
              <w:rPr>
                <w:b/>
                <w:bCs/>
                <w:noProof/>
                <w:sz w:val="22"/>
                <w:szCs w:val="22"/>
              </w:rPr>
              <w:t>3</w:t>
            </w:r>
          </w:p>
        </w:tc>
        <w:tc>
          <w:tcPr>
            <w:tcW w:w="6814" w:type="dxa"/>
            <w:gridSpan w:val="2"/>
          </w:tcPr>
          <w:p w14:paraId="504103EC" w14:textId="77777777" w:rsidR="003C7FBE" w:rsidRPr="00317ABF" w:rsidRDefault="003C7FBE" w:rsidP="003C7FBE">
            <w:pPr>
              <w:pStyle w:val="USTustnpkodeksu"/>
              <w:keepNext/>
              <w:spacing w:line="240" w:lineRule="auto"/>
              <w:ind w:firstLine="0"/>
              <w:rPr>
                <w:rFonts w:ascii="Times New Roman" w:hAnsi="Times New Roman" w:cs="Times New Roman"/>
                <w:sz w:val="22"/>
                <w:szCs w:val="22"/>
              </w:rPr>
            </w:pPr>
            <w:r w:rsidRPr="00317ABF">
              <w:rPr>
                <w:rStyle w:val="Ppogrubienie"/>
                <w:rFonts w:ascii="Times New Roman" w:hAnsi="Times New Roman"/>
                <w:sz w:val="22"/>
                <w:szCs w:val="22"/>
              </w:rPr>
              <w:t>Art. 3.</w:t>
            </w:r>
            <w:r w:rsidRPr="00317ABF">
              <w:rPr>
                <w:rFonts w:ascii="Times New Roman" w:hAnsi="Times New Roman" w:cs="Times New Roman"/>
                <w:sz w:val="22"/>
                <w:szCs w:val="22"/>
              </w:rPr>
              <w:t xml:space="preserve"> 1. Dla zwiększenia efektywności telekomunikacji minister właściwy do spraw informatyzacji może, w drodze rozporządzenia, wprowadzić do stosowania wymagania i zalecenia międzynarodowe o charakterze specjalistycznym, w tym dotyczące bezpieczeństwa i prawidłowości telekomunikacji, gospodarowania zasobami numeracji, częstotliwościami oraz zasobami orbitalnymi, ustanawiane w szczególności przez:</w:t>
            </w:r>
          </w:p>
          <w:p w14:paraId="694053BE" w14:textId="77777777" w:rsidR="003C7FBE" w:rsidRPr="00317ABF" w:rsidRDefault="003C7FBE" w:rsidP="003C7FBE">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1)</w:t>
            </w:r>
            <w:r w:rsidRPr="00317ABF">
              <w:rPr>
                <w:rFonts w:ascii="Times New Roman" w:hAnsi="Times New Roman" w:cs="Times New Roman"/>
                <w:sz w:val="22"/>
                <w:szCs w:val="22"/>
              </w:rPr>
              <w:tab/>
              <w:t>Międzynarodowy Związek Telekomunikacyjny (ITU);</w:t>
            </w:r>
          </w:p>
          <w:p w14:paraId="63D98626" w14:textId="77777777" w:rsidR="003C7FBE" w:rsidRPr="00317ABF" w:rsidRDefault="003C7FBE" w:rsidP="003C7FBE">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2)</w:t>
            </w:r>
            <w:r w:rsidRPr="00317ABF">
              <w:rPr>
                <w:rFonts w:ascii="Times New Roman" w:hAnsi="Times New Roman" w:cs="Times New Roman"/>
                <w:sz w:val="22"/>
                <w:szCs w:val="22"/>
              </w:rPr>
              <w:tab/>
              <w:t>Europejską Konferencję Administracji Pocztowych i Telekomunikacyjnych (CEPT);</w:t>
            </w:r>
          </w:p>
          <w:p w14:paraId="2AFC4FC0" w14:textId="77777777" w:rsidR="003C7FBE" w:rsidRPr="00317ABF" w:rsidRDefault="003C7FBE" w:rsidP="003C7FBE">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3)</w:t>
            </w:r>
            <w:r w:rsidRPr="00317ABF">
              <w:rPr>
                <w:rFonts w:ascii="Times New Roman" w:hAnsi="Times New Roman" w:cs="Times New Roman"/>
                <w:sz w:val="22"/>
                <w:szCs w:val="22"/>
              </w:rPr>
              <w:tab/>
              <w:t>Europejski Komitet Normalizacyjny Elektrotechniki (CENELEC);</w:t>
            </w:r>
          </w:p>
          <w:p w14:paraId="2C8C3A77" w14:textId="77777777" w:rsidR="003C7FBE" w:rsidRPr="00317ABF" w:rsidRDefault="003C7FBE" w:rsidP="003C7FBE">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4)</w:t>
            </w:r>
            <w:r w:rsidRPr="00317ABF">
              <w:rPr>
                <w:rFonts w:ascii="Times New Roman" w:hAnsi="Times New Roman" w:cs="Times New Roman"/>
                <w:sz w:val="22"/>
                <w:szCs w:val="22"/>
              </w:rPr>
              <w:tab/>
              <w:t>Międzynarodową Komisję Elektrotechniczną (IEC);</w:t>
            </w:r>
          </w:p>
          <w:p w14:paraId="1AABA62C" w14:textId="77777777" w:rsidR="003C7FBE" w:rsidRPr="00317ABF" w:rsidRDefault="003C7FBE" w:rsidP="003C7FBE">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5)</w:t>
            </w:r>
            <w:r w:rsidRPr="00317ABF">
              <w:rPr>
                <w:rFonts w:ascii="Times New Roman" w:hAnsi="Times New Roman" w:cs="Times New Roman"/>
                <w:sz w:val="22"/>
                <w:szCs w:val="22"/>
              </w:rPr>
              <w:tab/>
              <w:t>Europejski Instytut Norm Telekomunikacyjnych (ETSI);</w:t>
            </w:r>
          </w:p>
          <w:p w14:paraId="4612AFA4" w14:textId="77777777" w:rsidR="003C7FBE" w:rsidRPr="00317ABF" w:rsidRDefault="003C7FBE" w:rsidP="003C7FBE">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6)</w:t>
            </w:r>
            <w:r w:rsidRPr="00317ABF">
              <w:rPr>
                <w:rFonts w:ascii="Times New Roman" w:hAnsi="Times New Roman" w:cs="Times New Roman"/>
                <w:sz w:val="22"/>
                <w:szCs w:val="22"/>
              </w:rPr>
              <w:tab/>
              <w:t>Radę Północnoatlantycką (NAC)</w:t>
            </w:r>
          </w:p>
          <w:p w14:paraId="55E8EF42" w14:textId="77777777" w:rsidR="003C7FBE" w:rsidRPr="00317ABF" w:rsidRDefault="003C7FBE" w:rsidP="003C7FBE">
            <w:pPr>
              <w:ind w:left="510" w:hanging="510"/>
              <w:jc w:val="both"/>
              <w:rPr>
                <w:bCs/>
                <w:sz w:val="22"/>
                <w:szCs w:val="22"/>
              </w:rPr>
            </w:pPr>
            <w:r w:rsidRPr="00317ABF">
              <w:rPr>
                <w:bCs/>
                <w:sz w:val="22"/>
                <w:szCs w:val="22"/>
              </w:rPr>
              <w:t>– biorąc pod uwagę jednakowe traktowanie podmiotu polskiego i podmiotu obcego jeżeli wiążące Rzeczpospolitą Polską umowy międzynarodowe, w tym wiążące uchwały organizacji międzynarodowych ustanowionych tymi umowami, przewidują jednakowe traktowanie tych podmiotów.</w:t>
            </w:r>
          </w:p>
          <w:p w14:paraId="0E0ED9E8" w14:textId="36DDC80C" w:rsidR="001E1112" w:rsidRPr="00317ABF" w:rsidRDefault="003C7FBE" w:rsidP="00DB3BEC">
            <w:pPr>
              <w:pStyle w:val="Tekstpodstawowy"/>
              <w:rPr>
                <w:sz w:val="22"/>
                <w:szCs w:val="22"/>
              </w:rPr>
            </w:pPr>
            <w:r w:rsidRPr="00317ABF">
              <w:rPr>
                <w:sz w:val="22"/>
                <w:szCs w:val="22"/>
              </w:rPr>
              <w:t>2</w:t>
            </w:r>
            <w:r w:rsidR="001E1112" w:rsidRPr="00317ABF">
              <w:rPr>
                <w:sz w:val="22"/>
                <w:szCs w:val="22"/>
              </w:rPr>
              <w:t xml:space="preserve">. Wymagania i zalecenia, o których mowa w ust. </w:t>
            </w:r>
            <w:r w:rsidRPr="00317ABF">
              <w:rPr>
                <w:sz w:val="22"/>
                <w:szCs w:val="22"/>
              </w:rPr>
              <w:t>1</w:t>
            </w:r>
            <w:r w:rsidR="001E1112" w:rsidRPr="00317ABF">
              <w:rPr>
                <w:sz w:val="22"/>
                <w:szCs w:val="22"/>
              </w:rPr>
              <w:t>, zwane są dalej „przepisami międzynarodowymi”.</w:t>
            </w:r>
          </w:p>
        </w:tc>
      </w:tr>
      <w:tr w:rsidR="001E1112" w:rsidRPr="00317ABF" w14:paraId="4023BB02" w14:textId="77777777" w:rsidTr="7753F98D">
        <w:trPr>
          <w:gridAfter w:val="2"/>
          <w:wAfter w:w="175" w:type="dxa"/>
        </w:trPr>
        <w:tc>
          <w:tcPr>
            <w:tcW w:w="704" w:type="dxa"/>
          </w:tcPr>
          <w:p w14:paraId="094DB345" w14:textId="77777777" w:rsidR="001E1112" w:rsidRPr="00317ABF" w:rsidRDefault="001E1112" w:rsidP="00DB3BEC">
            <w:pPr>
              <w:jc w:val="both"/>
              <w:rPr>
                <w:sz w:val="22"/>
                <w:szCs w:val="22"/>
              </w:rPr>
            </w:pPr>
            <w:r w:rsidRPr="00317ABF">
              <w:rPr>
                <w:sz w:val="22"/>
                <w:szCs w:val="22"/>
              </w:rPr>
              <w:t>Art. 39 ust. 3</w:t>
            </w:r>
          </w:p>
        </w:tc>
        <w:tc>
          <w:tcPr>
            <w:tcW w:w="4308" w:type="dxa"/>
          </w:tcPr>
          <w:p w14:paraId="44CCA182" w14:textId="77777777" w:rsidR="001E1112" w:rsidRPr="00317ABF" w:rsidRDefault="001E1112" w:rsidP="00DB3BEC">
            <w:pPr>
              <w:spacing w:before="120"/>
              <w:jc w:val="both"/>
              <w:rPr>
                <w:sz w:val="22"/>
                <w:szCs w:val="22"/>
              </w:rPr>
            </w:pPr>
            <w:r w:rsidRPr="00317ABF">
              <w:rPr>
                <w:sz w:val="22"/>
                <w:szCs w:val="22"/>
              </w:rPr>
              <w:t xml:space="preserve">3.   Jeżeli normy lub specyfikacje, o których mowa w ust. 1, nie zostały odpowiednio wdrożone, przez co interoperacyjność usług w jednym państwie członkowskim lub większej ich liczbie nie może zostać zapewniona, wdrożenie takich norm lub specyfikacji może stać się obowiązkowe, zgodnie z procedurą określoną w ust. 4, w takim zakresie, w jakim jest to niezbędne dla zapewnienia </w:t>
            </w:r>
            <w:r w:rsidRPr="00317ABF">
              <w:rPr>
                <w:sz w:val="22"/>
                <w:szCs w:val="22"/>
              </w:rPr>
              <w:lastRenderedPageBreak/>
              <w:t>interoperacyjności usług i zapewnienia użytkownikom większej swobody wyboru.</w:t>
            </w:r>
          </w:p>
        </w:tc>
        <w:tc>
          <w:tcPr>
            <w:tcW w:w="986" w:type="dxa"/>
          </w:tcPr>
          <w:p w14:paraId="500A5AEB" w14:textId="77777777" w:rsidR="001E1112" w:rsidRPr="00317ABF" w:rsidRDefault="001E1112" w:rsidP="00DB3BEC">
            <w:pPr>
              <w:jc w:val="both"/>
              <w:rPr>
                <w:sz w:val="22"/>
                <w:szCs w:val="22"/>
              </w:rPr>
            </w:pPr>
            <w:r w:rsidRPr="00317ABF">
              <w:rPr>
                <w:sz w:val="22"/>
                <w:szCs w:val="22"/>
              </w:rPr>
              <w:lastRenderedPageBreak/>
              <w:t>N</w:t>
            </w:r>
          </w:p>
          <w:p w14:paraId="5A4345F3" w14:textId="77777777" w:rsidR="001E1112" w:rsidRPr="00317ABF" w:rsidRDefault="001E1112" w:rsidP="00DB3BEC">
            <w:pPr>
              <w:jc w:val="both"/>
              <w:rPr>
                <w:sz w:val="22"/>
                <w:szCs w:val="22"/>
              </w:rPr>
            </w:pPr>
          </w:p>
        </w:tc>
        <w:tc>
          <w:tcPr>
            <w:tcW w:w="910" w:type="dxa"/>
          </w:tcPr>
          <w:p w14:paraId="472CC082" w14:textId="77777777" w:rsidR="001E1112" w:rsidRPr="00317ABF" w:rsidRDefault="001E1112" w:rsidP="00DB3BEC">
            <w:pPr>
              <w:pStyle w:val="Tekstpodstawowy"/>
              <w:rPr>
                <w:b/>
                <w:noProof/>
                <w:sz w:val="22"/>
                <w:szCs w:val="22"/>
              </w:rPr>
            </w:pPr>
          </w:p>
        </w:tc>
        <w:tc>
          <w:tcPr>
            <w:tcW w:w="6814" w:type="dxa"/>
            <w:gridSpan w:val="2"/>
          </w:tcPr>
          <w:p w14:paraId="3675C73A" w14:textId="77777777" w:rsidR="001E1112" w:rsidRPr="00317ABF" w:rsidRDefault="001E1112" w:rsidP="00DB3BEC">
            <w:pPr>
              <w:pStyle w:val="Tekstpodstawowy"/>
              <w:rPr>
                <w:sz w:val="22"/>
                <w:szCs w:val="22"/>
              </w:rPr>
            </w:pPr>
          </w:p>
        </w:tc>
      </w:tr>
      <w:tr w:rsidR="001E1112" w:rsidRPr="00317ABF" w14:paraId="7FC094BA" w14:textId="77777777" w:rsidTr="7753F98D">
        <w:trPr>
          <w:gridAfter w:val="2"/>
          <w:wAfter w:w="175" w:type="dxa"/>
        </w:trPr>
        <w:tc>
          <w:tcPr>
            <w:tcW w:w="704" w:type="dxa"/>
          </w:tcPr>
          <w:p w14:paraId="258CF135" w14:textId="77777777" w:rsidR="001E1112" w:rsidRPr="00317ABF" w:rsidRDefault="001E1112" w:rsidP="00DB3BEC">
            <w:pPr>
              <w:jc w:val="both"/>
              <w:rPr>
                <w:sz w:val="22"/>
                <w:szCs w:val="22"/>
              </w:rPr>
            </w:pPr>
            <w:r w:rsidRPr="00317ABF">
              <w:rPr>
                <w:sz w:val="22"/>
                <w:szCs w:val="22"/>
              </w:rPr>
              <w:lastRenderedPageBreak/>
              <w:t>Art. 39 ust. 4</w:t>
            </w:r>
          </w:p>
        </w:tc>
        <w:tc>
          <w:tcPr>
            <w:tcW w:w="4308" w:type="dxa"/>
          </w:tcPr>
          <w:p w14:paraId="7C1593C0" w14:textId="77777777" w:rsidR="001E1112" w:rsidRPr="00317ABF" w:rsidRDefault="001E1112" w:rsidP="00DB3BEC">
            <w:pPr>
              <w:spacing w:before="120"/>
              <w:jc w:val="both"/>
              <w:rPr>
                <w:sz w:val="22"/>
                <w:szCs w:val="22"/>
              </w:rPr>
            </w:pPr>
            <w:r w:rsidRPr="00317ABF">
              <w:rPr>
                <w:sz w:val="22"/>
                <w:szCs w:val="22"/>
              </w:rPr>
              <w:t>4.   W przypadku gdy Komisja zamierza wprowadzić obowiązek wdrożenia niektórych norm lub specyfikacji, publikuje odpowiednią informację w Dzienniku Urzędowym Unii Europejskiej oraz wzywa wszystkie zainteresowane strony do publicznego wypowiedzenia się w tej sprawie. Komisja podejmuje, w drodze aktów wykonawczych, odpowiednie środki wykonawcze oraz wprowadza obowiązek wdrożenia odpowiednich norm, zamieszczając odesłanie do nich jako norm obowiązkowych na liście norm lub specyfikacji opublikowanej w Dzienniku Urzędowym Unii Europejskiej.</w:t>
            </w:r>
          </w:p>
        </w:tc>
        <w:tc>
          <w:tcPr>
            <w:tcW w:w="986" w:type="dxa"/>
          </w:tcPr>
          <w:p w14:paraId="3B4BD44C" w14:textId="77777777" w:rsidR="001E1112" w:rsidRPr="00317ABF" w:rsidRDefault="001E1112" w:rsidP="00DB3BEC">
            <w:pPr>
              <w:jc w:val="both"/>
              <w:rPr>
                <w:sz w:val="22"/>
                <w:szCs w:val="22"/>
              </w:rPr>
            </w:pPr>
            <w:r w:rsidRPr="00317ABF">
              <w:rPr>
                <w:sz w:val="22"/>
                <w:szCs w:val="22"/>
              </w:rPr>
              <w:t>N</w:t>
            </w:r>
          </w:p>
        </w:tc>
        <w:tc>
          <w:tcPr>
            <w:tcW w:w="910" w:type="dxa"/>
          </w:tcPr>
          <w:p w14:paraId="7277ECC7" w14:textId="77777777" w:rsidR="001E1112" w:rsidRPr="00317ABF" w:rsidRDefault="001E1112" w:rsidP="00DB3BEC">
            <w:pPr>
              <w:pStyle w:val="Tekstpodstawowy"/>
              <w:rPr>
                <w:b/>
                <w:noProof/>
                <w:sz w:val="22"/>
                <w:szCs w:val="22"/>
              </w:rPr>
            </w:pPr>
          </w:p>
        </w:tc>
        <w:tc>
          <w:tcPr>
            <w:tcW w:w="6814" w:type="dxa"/>
            <w:gridSpan w:val="2"/>
          </w:tcPr>
          <w:p w14:paraId="71AE6454" w14:textId="77777777" w:rsidR="001E1112" w:rsidRPr="00317ABF" w:rsidRDefault="001E1112" w:rsidP="00DB3BEC">
            <w:pPr>
              <w:pStyle w:val="Tekstpodstawowy"/>
              <w:rPr>
                <w:sz w:val="22"/>
                <w:szCs w:val="22"/>
              </w:rPr>
            </w:pPr>
          </w:p>
        </w:tc>
      </w:tr>
      <w:tr w:rsidR="001E1112" w:rsidRPr="00317ABF" w14:paraId="38921CB6" w14:textId="77777777" w:rsidTr="7753F98D">
        <w:trPr>
          <w:gridAfter w:val="2"/>
          <w:wAfter w:w="175" w:type="dxa"/>
        </w:trPr>
        <w:tc>
          <w:tcPr>
            <w:tcW w:w="704" w:type="dxa"/>
          </w:tcPr>
          <w:p w14:paraId="14F6438F" w14:textId="77777777" w:rsidR="001E1112" w:rsidRPr="00317ABF" w:rsidRDefault="001E1112" w:rsidP="00DB3BEC">
            <w:pPr>
              <w:jc w:val="both"/>
              <w:rPr>
                <w:sz w:val="22"/>
                <w:szCs w:val="22"/>
              </w:rPr>
            </w:pPr>
            <w:r w:rsidRPr="00317ABF">
              <w:rPr>
                <w:sz w:val="22"/>
                <w:szCs w:val="22"/>
              </w:rPr>
              <w:t>Art. 39 ust. 5</w:t>
            </w:r>
          </w:p>
        </w:tc>
        <w:tc>
          <w:tcPr>
            <w:tcW w:w="4308" w:type="dxa"/>
          </w:tcPr>
          <w:p w14:paraId="2188AC54" w14:textId="77777777" w:rsidR="001E1112" w:rsidRPr="00317ABF" w:rsidRDefault="001E1112" w:rsidP="00DB3BEC">
            <w:pPr>
              <w:spacing w:before="120"/>
              <w:jc w:val="both"/>
              <w:rPr>
                <w:sz w:val="22"/>
                <w:szCs w:val="22"/>
              </w:rPr>
            </w:pPr>
            <w:r w:rsidRPr="00317ABF">
              <w:rPr>
                <w:sz w:val="22"/>
                <w:szCs w:val="22"/>
              </w:rPr>
              <w:t>5.   W przypadku gdy Komisja uzna, że normy lub specyfikacje, o których mowa w ust. 1, nie przyczyniają się już do świadczenia zharmonizowanych usług łączności elektronicznej, nie odpowiadają już potrzebom konsumentów lub utrudniają postęp technologiczny, usuwa je z listy norm lub specyfikacji, o której mowa w ust. 1.</w:t>
            </w:r>
          </w:p>
        </w:tc>
        <w:tc>
          <w:tcPr>
            <w:tcW w:w="986" w:type="dxa"/>
          </w:tcPr>
          <w:p w14:paraId="1DA32A33" w14:textId="77777777" w:rsidR="001E1112" w:rsidRPr="00317ABF" w:rsidRDefault="001E1112" w:rsidP="00DB3BEC">
            <w:pPr>
              <w:jc w:val="both"/>
              <w:rPr>
                <w:sz w:val="22"/>
                <w:szCs w:val="22"/>
              </w:rPr>
            </w:pPr>
            <w:r w:rsidRPr="00317ABF">
              <w:rPr>
                <w:sz w:val="22"/>
                <w:szCs w:val="22"/>
              </w:rPr>
              <w:t>N</w:t>
            </w:r>
          </w:p>
        </w:tc>
        <w:tc>
          <w:tcPr>
            <w:tcW w:w="910" w:type="dxa"/>
          </w:tcPr>
          <w:p w14:paraId="43136B93" w14:textId="77777777" w:rsidR="001E1112" w:rsidRPr="00317ABF" w:rsidRDefault="001E1112" w:rsidP="00DB3BEC">
            <w:pPr>
              <w:pStyle w:val="Tekstpodstawowy"/>
              <w:rPr>
                <w:b/>
                <w:noProof/>
                <w:sz w:val="22"/>
                <w:szCs w:val="22"/>
              </w:rPr>
            </w:pPr>
          </w:p>
        </w:tc>
        <w:tc>
          <w:tcPr>
            <w:tcW w:w="6814" w:type="dxa"/>
            <w:gridSpan w:val="2"/>
          </w:tcPr>
          <w:p w14:paraId="2135056F" w14:textId="77777777" w:rsidR="001E1112" w:rsidRPr="00317ABF" w:rsidRDefault="001E1112" w:rsidP="00DB3BEC">
            <w:pPr>
              <w:pStyle w:val="Tekstpodstawowy"/>
              <w:rPr>
                <w:sz w:val="22"/>
                <w:szCs w:val="22"/>
              </w:rPr>
            </w:pPr>
          </w:p>
        </w:tc>
      </w:tr>
      <w:tr w:rsidR="001E1112" w:rsidRPr="00317ABF" w14:paraId="14A63DE6" w14:textId="77777777" w:rsidTr="7753F98D">
        <w:trPr>
          <w:gridAfter w:val="2"/>
          <w:wAfter w:w="175" w:type="dxa"/>
        </w:trPr>
        <w:tc>
          <w:tcPr>
            <w:tcW w:w="704" w:type="dxa"/>
          </w:tcPr>
          <w:p w14:paraId="33EB93D4" w14:textId="77777777" w:rsidR="001E1112" w:rsidRPr="00317ABF" w:rsidRDefault="001E1112" w:rsidP="00DB3BEC">
            <w:pPr>
              <w:jc w:val="both"/>
              <w:rPr>
                <w:sz w:val="22"/>
                <w:szCs w:val="22"/>
              </w:rPr>
            </w:pPr>
            <w:r w:rsidRPr="00317ABF">
              <w:rPr>
                <w:sz w:val="22"/>
                <w:szCs w:val="22"/>
              </w:rPr>
              <w:t>Art. 39 ust. 6</w:t>
            </w:r>
          </w:p>
        </w:tc>
        <w:tc>
          <w:tcPr>
            <w:tcW w:w="4308" w:type="dxa"/>
          </w:tcPr>
          <w:p w14:paraId="1D7AD5AE" w14:textId="77777777" w:rsidR="001E1112" w:rsidRPr="00317ABF" w:rsidRDefault="001E1112" w:rsidP="00DB3BEC">
            <w:pPr>
              <w:spacing w:before="120"/>
              <w:jc w:val="both"/>
              <w:rPr>
                <w:sz w:val="22"/>
                <w:szCs w:val="22"/>
              </w:rPr>
            </w:pPr>
            <w:r w:rsidRPr="00317ABF">
              <w:rPr>
                <w:sz w:val="22"/>
                <w:szCs w:val="22"/>
              </w:rPr>
              <w:t>6.   Jeżeli Komisja uzna, że normy lub specyfikacje, o których mowa w ust. 4, nie przyczyniają się już do świadczenia zharmonizowanych usług łączności elektronicznej, nie odpowiadają już potrzebom konsumenta lub utrudniają postęp technologiczny, w drodze środków wykonawczych, usuwa te normy lub specyfikacje z listy norm lub specyfikacji, o której mowa w ust. 1.</w:t>
            </w:r>
          </w:p>
        </w:tc>
        <w:tc>
          <w:tcPr>
            <w:tcW w:w="986" w:type="dxa"/>
          </w:tcPr>
          <w:p w14:paraId="28F5677D" w14:textId="77777777" w:rsidR="001E1112" w:rsidRPr="00317ABF" w:rsidRDefault="001E1112" w:rsidP="00DB3BEC">
            <w:pPr>
              <w:jc w:val="both"/>
              <w:rPr>
                <w:sz w:val="22"/>
                <w:szCs w:val="22"/>
              </w:rPr>
            </w:pPr>
            <w:r w:rsidRPr="00317ABF">
              <w:rPr>
                <w:sz w:val="22"/>
                <w:szCs w:val="22"/>
              </w:rPr>
              <w:t>N</w:t>
            </w:r>
          </w:p>
        </w:tc>
        <w:tc>
          <w:tcPr>
            <w:tcW w:w="910" w:type="dxa"/>
          </w:tcPr>
          <w:p w14:paraId="00ECADE2" w14:textId="77777777" w:rsidR="001E1112" w:rsidRPr="00317ABF" w:rsidRDefault="001E1112" w:rsidP="00DB3BEC">
            <w:pPr>
              <w:pStyle w:val="Tekstpodstawowy"/>
              <w:rPr>
                <w:b/>
                <w:noProof/>
                <w:sz w:val="22"/>
                <w:szCs w:val="22"/>
              </w:rPr>
            </w:pPr>
          </w:p>
        </w:tc>
        <w:tc>
          <w:tcPr>
            <w:tcW w:w="6814" w:type="dxa"/>
            <w:gridSpan w:val="2"/>
          </w:tcPr>
          <w:p w14:paraId="60461305" w14:textId="77777777" w:rsidR="001E1112" w:rsidRPr="00317ABF" w:rsidRDefault="001E1112" w:rsidP="00DB3BEC">
            <w:pPr>
              <w:pStyle w:val="Tekstpodstawowy"/>
              <w:rPr>
                <w:sz w:val="22"/>
                <w:szCs w:val="22"/>
              </w:rPr>
            </w:pPr>
          </w:p>
        </w:tc>
      </w:tr>
      <w:tr w:rsidR="001E1112" w:rsidRPr="00317ABF" w14:paraId="69079F72" w14:textId="77777777" w:rsidTr="7753F98D">
        <w:trPr>
          <w:gridAfter w:val="2"/>
          <w:wAfter w:w="175" w:type="dxa"/>
        </w:trPr>
        <w:tc>
          <w:tcPr>
            <w:tcW w:w="704" w:type="dxa"/>
          </w:tcPr>
          <w:p w14:paraId="7C292F60" w14:textId="77777777" w:rsidR="001E1112" w:rsidRPr="00317ABF" w:rsidRDefault="001E1112" w:rsidP="00DB3BEC">
            <w:pPr>
              <w:jc w:val="both"/>
              <w:rPr>
                <w:sz w:val="22"/>
                <w:szCs w:val="22"/>
              </w:rPr>
            </w:pPr>
            <w:r w:rsidRPr="00317ABF">
              <w:rPr>
                <w:sz w:val="22"/>
                <w:szCs w:val="22"/>
              </w:rPr>
              <w:t>Art. 39 ust. 7</w:t>
            </w:r>
          </w:p>
        </w:tc>
        <w:tc>
          <w:tcPr>
            <w:tcW w:w="4308" w:type="dxa"/>
          </w:tcPr>
          <w:p w14:paraId="706B1CFC" w14:textId="77777777" w:rsidR="001E1112" w:rsidRPr="00317ABF" w:rsidRDefault="001E1112" w:rsidP="00DB3BEC">
            <w:pPr>
              <w:spacing w:before="120"/>
              <w:jc w:val="both"/>
              <w:rPr>
                <w:sz w:val="22"/>
                <w:szCs w:val="22"/>
              </w:rPr>
            </w:pPr>
            <w:r w:rsidRPr="00317ABF">
              <w:rPr>
                <w:sz w:val="22"/>
                <w:szCs w:val="22"/>
              </w:rPr>
              <w:t xml:space="preserve">7.   Akty wykonawcze, o których mowa w ust. 4 i 6 niniejszego artykułu, przyjmowane są </w:t>
            </w:r>
            <w:r w:rsidRPr="00317ABF">
              <w:rPr>
                <w:sz w:val="22"/>
                <w:szCs w:val="22"/>
              </w:rPr>
              <w:lastRenderedPageBreak/>
              <w:t>zgodnie z procedurą sprawdzającą, o której mowa w art. 118 ust. 4.</w:t>
            </w:r>
          </w:p>
        </w:tc>
        <w:tc>
          <w:tcPr>
            <w:tcW w:w="986" w:type="dxa"/>
          </w:tcPr>
          <w:p w14:paraId="6D2AE1D1" w14:textId="77777777" w:rsidR="001E1112" w:rsidRPr="00317ABF" w:rsidRDefault="001E1112" w:rsidP="00DB3BEC">
            <w:pPr>
              <w:jc w:val="both"/>
              <w:rPr>
                <w:sz w:val="22"/>
                <w:szCs w:val="22"/>
              </w:rPr>
            </w:pPr>
            <w:r w:rsidRPr="00317ABF">
              <w:rPr>
                <w:sz w:val="22"/>
                <w:szCs w:val="22"/>
              </w:rPr>
              <w:lastRenderedPageBreak/>
              <w:t>N</w:t>
            </w:r>
          </w:p>
        </w:tc>
        <w:tc>
          <w:tcPr>
            <w:tcW w:w="910" w:type="dxa"/>
          </w:tcPr>
          <w:p w14:paraId="570A21AC" w14:textId="77777777" w:rsidR="001E1112" w:rsidRPr="00317ABF" w:rsidRDefault="001E1112" w:rsidP="00DB3BEC">
            <w:pPr>
              <w:pStyle w:val="Tekstpodstawowy"/>
              <w:rPr>
                <w:b/>
                <w:noProof/>
                <w:sz w:val="22"/>
                <w:szCs w:val="22"/>
              </w:rPr>
            </w:pPr>
          </w:p>
        </w:tc>
        <w:tc>
          <w:tcPr>
            <w:tcW w:w="6814" w:type="dxa"/>
            <w:gridSpan w:val="2"/>
          </w:tcPr>
          <w:p w14:paraId="6E52D402" w14:textId="77777777" w:rsidR="001E1112" w:rsidRPr="00317ABF" w:rsidRDefault="001E1112" w:rsidP="00DB3BEC">
            <w:pPr>
              <w:pStyle w:val="Tekstpodstawowy"/>
              <w:rPr>
                <w:sz w:val="22"/>
                <w:szCs w:val="22"/>
              </w:rPr>
            </w:pPr>
          </w:p>
        </w:tc>
      </w:tr>
      <w:tr w:rsidR="001E1112" w:rsidRPr="00317ABF" w14:paraId="175B811E" w14:textId="77777777" w:rsidTr="7753F98D">
        <w:trPr>
          <w:gridAfter w:val="2"/>
          <w:wAfter w:w="175" w:type="dxa"/>
        </w:trPr>
        <w:tc>
          <w:tcPr>
            <w:tcW w:w="704" w:type="dxa"/>
          </w:tcPr>
          <w:p w14:paraId="4472B62C" w14:textId="77777777" w:rsidR="001E1112" w:rsidRPr="00317ABF" w:rsidRDefault="001E1112" w:rsidP="00DB3BEC">
            <w:pPr>
              <w:jc w:val="both"/>
              <w:rPr>
                <w:sz w:val="22"/>
                <w:szCs w:val="22"/>
              </w:rPr>
            </w:pPr>
            <w:r w:rsidRPr="00317ABF">
              <w:rPr>
                <w:sz w:val="22"/>
                <w:szCs w:val="22"/>
              </w:rPr>
              <w:lastRenderedPageBreak/>
              <w:t>Art. 39 ust. 8</w:t>
            </w:r>
          </w:p>
        </w:tc>
        <w:tc>
          <w:tcPr>
            <w:tcW w:w="4308" w:type="dxa"/>
          </w:tcPr>
          <w:p w14:paraId="21011769" w14:textId="77777777" w:rsidR="001E1112" w:rsidRPr="00317ABF" w:rsidRDefault="001E1112" w:rsidP="00DB3BEC">
            <w:pPr>
              <w:spacing w:before="120"/>
              <w:jc w:val="both"/>
              <w:rPr>
                <w:sz w:val="22"/>
                <w:szCs w:val="22"/>
              </w:rPr>
            </w:pPr>
            <w:r w:rsidRPr="00317ABF">
              <w:rPr>
                <w:sz w:val="22"/>
                <w:szCs w:val="22"/>
              </w:rPr>
              <w:t>8.   Przepisy niniejszego artykułu nie mają zastosowania w odniesieniu do podstawowych wymogów, specyfikacji interfejsów lub zharmonizowanych norm, do których stosuje się dyrektywę 2014/53/UE.</w:t>
            </w:r>
          </w:p>
        </w:tc>
        <w:tc>
          <w:tcPr>
            <w:tcW w:w="986" w:type="dxa"/>
          </w:tcPr>
          <w:p w14:paraId="15FB0135" w14:textId="77777777" w:rsidR="001E1112" w:rsidRPr="00317ABF" w:rsidRDefault="001E1112" w:rsidP="00DB3BEC">
            <w:pPr>
              <w:jc w:val="both"/>
              <w:rPr>
                <w:sz w:val="22"/>
                <w:szCs w:val="22"/>
              </w:rPr>
            </w:pPr>
            <w:r w:rsidRPr="00317ABF">
              <w:rPr>
                <w:sz w:val="22"/>
                <w:szCs w:val="22"/>
              </w:rPr>
              <w:t>N</w:t>
            </w:r>
          </w:p>
        </w:tc>
        <w:tc>
          <w:tcPr>
            <w:tcW w:w="910" w:type="dxa"/>
          </w:tcPr>
          <w:p w14:paraId="0F516707" w14:textId="77777777" w:rsidR="001E1112" w:rsidRPr="00317ABF" w:rsidRDefault="001E1112" w:rsidP="00DB3BEC">
            <w:pPr>
              <w:pStyle w:val="Tekstpodstawowy"/>
              <w:rPr>
                <w:b/>
                <w:noProof/>
                <w:sz w:val="22"/>
                <w:szCs w:val="22"/>
              </w:rPr>
            </w:pPr>
          </w:p>
        </w:tc>
        <w:tc>
          <w:tcPr>
            <w:tcW w:w="6814" w:type="dxa"/>
            <w:gridSpan w:val="2"/>
          </w:tcPr>
          <w:p w14:paraId="6313D4C8" w14:textId="77777777" w:rsidR="001E1112" w:rsidRPr="00317ABF" w:rsidRDefault="001E1112" w:rsidP="00DB3BEC">
            <w:pPr>
              <w:pStyle w:val="Tekstpodstawowy"/>
              <w:rPr>
                <w:sz w:val="22"/>
                <w:szCs w:val="22"/>
              </w:rPr>
            </w:pPr>
          </w:p>
        </w:tc>
      </w:tr>
      <w:tr w:rsidR="001E1112" w:rsidRPr="00317ABF" w14:paraId="1FF82F3B" w14:textId="77777777" w:rsidTr="7753F98D">
        <w:trPr>
          <w:gridAfter w:val="2"/>
          <w:wAfter w:w="175" w:type="dxa"/>
        </w:trPr>
        <w:tc>
          <w:tcPr>
            <w:tcW w:w="704" w:type="dxa"/>
          </w:tcPr>
          <w:p w14:paraId="6DF45016" w14:textId="77777777" w:rsidR="001E1112" w:rsidRPr="00317ABF" w:rsidRDefault="001E1112" w:rsidP="00DB3BEC">
            <w:pPr>
              <w:jc w:val="both"/>
              <w:rPr>
                <w:b/>
                <w:sz w:val="22"/>
                <w:szCs w:val="22"/>
              </w:rPr>
            </w:pPr>
            <w:r w:rsidRPr="00317ABF">
              <w:rPr>
                <w:b/>
                <w:sz w:val="22"/>
                <w:szCs w:val="22"/>
              </w:rPr>
              <w:t>Art. 40</w:t>
            </w:r>
          </w:p>
        </w:tc>
        <w:tc>
          <w:tcPr>
            <w:tcW w:w="4308" w:type="dxa"/>
          </w:tcPr>
          <w:p w14:paraId="161242D2" w14:textId="77777777" w:rsidR="001E1112" w:rsidRPr="00317ABF" w:rsidRDefault="001E1112" w:rsidP="00DB3BEC">
            <w:pPr>
              <w:spacing w:before="120"/>
              <w:jc w:val="both"/>
              <w:rPr>
                <w:sz w:val="22"/>
                <w:szCs w:val="22"/>
              </w:rPr>
            </w:pPr>
            <w:r w:rsidRPr="00317ABF">
              <w:rPr>
                <w:b/>
                <w:bCs/>
                <w:sz w:val="22"/>
                <w:szCs w:val="22"/>
              </w:rPr>
              <w:t>Bezpieczeństwo sieci i usług</w:t>
            </w:r>
          </w:p>
        </w:tc>
        <w:tc>
          <w:tcPr>
            <w:tcW w:w="986" w:type="dxa"/>
          </w:tcPr>
          <w:p w14:paraId="183D9767" w14:textId="77777777" w:rsidR="001E1112" w:rsidRPr="00317ABF" w:rsidRDefault="001E1112" w:rsidP="00DB3BEC">
            <w:pPr>
              <w:jc w:val="both"/>
              <w:rPr>
                <w:sz w:val="22"/>
                <w:szCs w:val="22"/>
              </w:rPr>
            </w:pPr>
          </w:p>
        </w:tc>
        <w:tc>
          <w:tcPr>
            <w:tcW w:w="910" w:type="dxa"/>
          </w:tcPr>
          <w:p w14:paraId="2C821F3A" w14:textId="77777777" w:rsidR="001E1112" w:rsidRPr="00317ABF" w:rsidRDefault="001E1112" w:rsidP="00DB3BEC">
            <w:pPr>
              <w:pStyle w:val="Tekstpodstawowy"/>
              <w:rPr>
                <w:b/>
                <w:noProof/>
                <w:sz w:val="22"/>
                <w:szCs w:val="22"/>
              </w:rPr>
            </w:pPr>
          </w:p>
        </w:tc>
        <w:tc>
          <w:tcPr>
            <w:tcW w:w="6814" w:type="dxa"/>
            <w:gridSpan w:val="2"/>
          </w:tcPr>
          <w:p w14:paraId="118136F6" w14:textId="77777777" w:rsidR="001E1112" w:rsidRPr="00317ABF" w:rsidRDefault="001E1112" w:rsidP="00DB3BEC">
            <w:pPr>
              <w:pStyle w:val="Tekstpodstawowy"/>
              <w:rPr>
                <w:sz w:val="22"/>
                <w:szCs w:val="22"/>
              </w:rPr>
            </w:pPr>
          </w:p>
        </w:tc>
      </w:tr>
      <w:tr w:rsidR="001E1112" w:rsidRPr="00317ABF" w14:paraId="0A5D50F7" w14:textId="77777777" w:rsidTr="7753F98D">
        <w:trPr>
          <w:gridAfter w:val="2"/>
          <w:wAfter w:w="175" w:type="dxa"/>
        </w:trPr>
        <w:tc>
          <w:tcPr>
            <w:tcW w:w="704" w:type="dxa"/>
          </w:tcPr>
          <w:p w14:paraId="4B59B7D0" w14:textId="77777777" w:rsidR="001E1112" w:rsidRPr="00317ABF" w:rsidRDefault="001E1112" w:rsidP="00DB3BEC">
            <w:pPr>
              <w:jc w:val="both"/>
              <w:rPr>
                <w:sz w:val="22"/>
                <w:szCs w:val="22"/>
              </w:rPr>
            </w:pPr>
            <w:r w:rsidRPr="00317ABF">
              <w:rPr>
                <w:sz w:val="22"/>
                <w:szCs w:val="22"/>
              </w:rPr>
              <w:t>Art. 40 ust. 1</w:t>
            </w:r>
          </w:p>
        </w:tc>
        <w:tc>
          <w:tcPr>
            <w:tcW w:w="4308" w:type="dxa"/>
          </w:tcPr>
          <w:p w14:paraId="5345AE71" w14:textId="77777777" w:rsidR="001E1112" w:rsidRPr="00317ABF" w:rsidRDefault="001E1112" w:rsidP="00DB3BEC">
            <w:pPr>
              <w:spacing w:before="120"/>
              <w:jc w:val="both"/>
              <w:rPr>
                <w:sz w:val="22"/>
                <w:szCs w:val="22"/>
              </w:rPr>
            </w:pPr>
            <w:r w:rsidRPr="00317ABF">
              <w:rPr>
                <w:sz w:val="22"/>
                <w:szCs w:val="22"/>
              </w:rPr>
              <w:t>1.   Państwa członkowskie zapewniają, aby dostawcy udostępniający publiczne sieci łączności elektronicznej lub świadczące publicznie dostępne usługi łączności elektronicznej podejmowały właściwe i proporcjonalne środki techniczne i organizacyjne w razie wystąpienia zagrożenia dla bezpieczeństwa sieci lub usług. Środki te muszą zapewniać poziom bezpieczeństwa proporcjonalny do istniejącego ryzyka z uwzględnieniem aktualnego stanu wiedzy i technologii. W szczególności wprowadza się środki, obejmujące, w stosowanych przypadkach, szyfrowanie, zapobiegające wpływowi i minimalizujące wpływ, jaki na użytkowników i na inne sieci i usługi mogą mieć przypadki stwarzające zagrożenie bezpieczeństwa.</w:t>
            </w:r>
          </w:p>
          <w:p w14:paraId="04A95FC9" w14:textId="77777777" w:rsidR="001E1112" w:rsidRPr="00317ABF" w:rsidRDefault="001E1112" w:rsidP="00DB3BEC">
            <w:pPr>
              <w:spacing w:before="120"/>
              <w:jc w:val="both"/>
              <w:rPr>
                <w:sz w:val="22"/>
                <w:szCs w:val="22"/>
              </w:rPr>
            </w:pPr>
            <w:r w:rsidRPr="00317ABF">
              <w:rPr>
                <w:sz w:val="22"/>
                <w:szCs w:val="22"/>
              </w:rPr>
              <w:t>Agencja Unii Europejskiej ds. Bezpieczeństwa Sieci i Informacji (ENISA) ułatwia zgodnie z rozporządzeniem Parlamentu Europejskiego i Rady (UE) nr 526/2013 </w:t>
            </w:r>
            <w:hyperlink r:id="rId33" w:anchor="ntr45-L_2018321PL.01003601-E0045" w:history="1">
              <w:r w:rsidRPr="00317ABF">
                <w:rPr>
                  <w:sz w:val="22"/>
                  <w:szCs w:val="22"/>
                  <w:u w:val="single"/>
                </w:rPr>
                <w:t>(</w:t>
              </w:r>
              <w:r w:rsidRPr="00317ABF">
                <w:rPr>
                  <w:sz w:val="22"/>
                  <w:szCs w:val="22"/>
                  <w:u w:val="single"/>
                  <w:vertAlign w:val="superscript"/>
                </w:rPr>
                <w:t>45</w:t>
              </w:r>
              <w:r w:rsidRPr="00317ABF">
                <w:rPr>
                  <w:sz w:val="22"/>
                  <w:szCs w:val="22"/>
                  <w:u w:val="single"/>
                </w:rPr>
                <w:t>)</w:t>
              </w:r>
            </w:hyperlink>
            <w:r w:rsidRPr="00317ABF">
              <w:rPr>
                <w:sz w:val="22"/>
                <w:szCs w:val="22"/>
              </w:rPr>
              <w:t xml:space="preserve"> koordynację państw członkowskich, aby uniknąć powstawania rozbieżnych krajowych wymogów, które mogą tworzyć ryzyko dla bezpieczeństwa i bariery dla rynku wewnętrznego.</w:t>
            </w:r>
          </w:p>
        </w:tc>
        <w:tc>
          <w:tcPr>
            <w:tcW w:w="986" w:type="dxa"/>
          </w:tcPr>
          <w:p w14:paraId="4A611BD4" w14:textId="77777777" w:rsidR="001E1112" w:rsidRPr="00317ABF" w:rsidRDefault="001E1112" w:rsidP="00DB3BEC">
            <w:pPr>
              <w:jc w:val="both"/>
              <w:rPr>
                <w:sz w:val="22"/>
                <w:szCs w:val="22"/>
              </w:rPr>
            </w:pPr>
            <w:r w:rsidRPr="00317ABF">
              <w:rPr>
                <w:sz w:val="22"/>
                <w:szCs w:val="22"/>
              </w:rPr>
              <w:t>T</w:t>
            </w:r>
          </w:p>
          <w:p w14:paraId="572C4EE9" w14:textId="77777777" w:rsidR="001E1112" w:rsidRPr="00317ABF" w:rsidRDefault="001E1112" w:rsidP="00DB3BEC">
            <w:pPr>
              <w:jc w:val="both"/>
              <w:rPr>
                <w:sz w:val="22"/>
                <w:szCs w:val="22"/>
              </w:rPr>
            </w:pPr>
          </w:p>
          <w:p w14:paraId="59DC178F" w14:textId="77777777" w:rsidR="001E1112" w:rsidRPr="00317ABF" w:rsidRDefault="001E1112" w:rsidP="00DB3BEC">
            <w:pPr>
              <w:jc w:val="both"/>
              <w:rPr>
                <w:sz w:val="22"/>
                <w:szCs w:val="22"/>
              </w:rPr>
            </w:pPr>
          </w:p>
          <w:p w14:paraId="6B80BDC3" w14:textId="77777777" w:rsidR="001E1112" w:rsidRPr="00317ABF" w:rsidRDefault="001E1112" w:rsidP="00DB3BEC">
            <w:pPr>
              <w:jc w:val="both"/>
              <w:rPr>
                <w:sz w:val="22"/>
                <w:szCs w:val="22"/>
              </w:rPr>
            </w:pPr>
          </w:p>
          <w:p w14:paraId="44FCC27F" w14:textId="77777777" w:rsidR="001E1112" w:rsidRPr="00317ABF" w:rsidRDefault="001E1112" w:rsidP="00DB3BEC">
            <w:pPr>
              <w:jc w:val="both"/>
              <w:rPr>
                <w:sz w:val="22"/>
                <w:szCs w:val="22"/>
              </w:rPr>
            </w:pPr>
          </w:p>
          <w:p w14:paraId="2FBE6844" w14:textId="77777777" w:rsidR="001E1112" w:rsidRPr="00317ABF" w:rsidRDefault="001E1112" w:rsidP="00DB3BEC">
            <w:pPr>
              <w:jc w:val="both"/>
              <w:rPr>
                <w:sz w:val="22"/>
                <w:szCs w:val="22"/>
              </w:rPr>
            </w:pPr>
          </w:p>
          <w:p w14:paraId="36B2C249" w14:textId="77777777" w:rsidR="001E1112" w:rsidRPr="00317ABF" w:rsidRDefault="001E1112" w:rsidP="00DB3BEC">
            <w:pPr>
              <w:jc w:val="both"/>
              <w:rPr>
                <w:sz w:val="22"/>
                <w:szCs w:val="22"/>
              </w:rPr>
            </w:pPr>
          </w:p>
          <w:p w14:paraId="02D42C3C" w14:textId="77777777" w:rsidR="001E1112" w:rsidRPr="00317ABF" w:rsidRDefault="001E1112" w:rsidP="00DB3BEC">
            <w:pPr>
              <w:jc w:val="both"/>
              <w:rPr>
                <w:sz w:val="22"/>
                <w:szCs w:val="22"/>
              </w:rPr>
            </w:pPr>
          </w:p>
          <w:p w14:paraId="20B1B8BD" w14:textId="77777777" w:rsidR="001E1112" w:rsidRPr="00317ABF" w:rsidRDefault="001E1112" w:rsidP="00DB3BEC">
            <w:pPr>
              <w:jc w:val="both"/>
              <w:rPr>
                <w:sz w:val="22"/>
                <w:szCs w:val="22"/>
              </w:rPr>
            </w:pPr>
          </w:p>
          <w:p w14:paraId="5D08F451" w14:textId="77777777" w:rsidR="001E1112" w:rsidRPr="00317ABF" w:rsidRDefault="001E1112" w:rsidP="00DB3BEC">
            <w:pPr>
              <w:jc w:val="both"/>
              <w:rPr>
                <w:sz w:val="22"/>
                <w:szCs w:val="22"/>
              </w:rPr>
            </w:pPr>
          </w:p>
          <w:p w14:paraId="3B91A71C" w14:textId="77777777" w:rsidR="001E1112" w:rsidRPr="00317ABF" w:rsidRDefault="001E1112" w:rsidP="00DB3BEC">
            <w:pPr>
              <w:jc w:val="both"/>
              <w:rPr>
                <w:sz w:val="22"/>
                <w:szCs w:val="22"/>
              </w:rPr>
            </w:pPr>
          </w:p>
          <w:p w14:paraId="5DC4B549" w14:textId="77777777" w:rsidR="001E1112" w:rsidRPr="00317ABF" w:rsidRDefault="001E1112" w:rsidP="00DB3BEC">
            <w:pPr>
              <w:jc w:val="both"/>
              <w:rPr>
                <w:sz w:val="22"/>
                <w:szCs w:val="22"/>
              </w:rPr>
            </w:pPr>
          </w:p>
          <w:p w14:paraId="5E6BA2BC" w14:textId="77777777" w:rsidR="001E1112" w:rsidRPr="00317ABF" w:rsidRDefault="001E1112" w:rsidP="00DB3BEC">
            <w:pPr>
              <w:jc w:val="both"/>
              <w:rPr>
                <w:sz w:val="22"/>
                <w:szCs w:val="22"/>
              </w:rPr>
            </w:pPr>
          </w:p>
          <w:p w14:paraId="624EF1BE" w14:textId="77777777" w:rsidR="001E1112" w:rsidRPr="00317ABF" w:rsidRDefault="001E1112" w:rsidP="00DB3BEC">
            <w:pPr>
              <w:jc w:val="both"/>
              <w:rPr>
                <w:sz w:val="22"/>
                <w:szCs w:val="22"/>
              </w:rPr>
            </w:pPr>
          </w:p>
          <w:p w14:paraId="099CF200" w14:textId="77777777" w:rsidR="001E1112" w:rsidRPr="00317ABF" w:rsidRDefault="001E1112" w:rsidP="00DB3BEC">
            <w:pPr>
              <w:jc w:val="both"/>
              <w:rPr>
                <w:sz w:val="22"/>
                <w:szCs w:val="22"/>
              </w:rPr>
            </w:pPr>
          </w:p>
          <w:p w14:paraId="64FC93A9" w14:textId="77777777" w:rsidR="001E1112" w:rsidRPr="00317ABF" w:rsidRDefault="001E1112" w:rsidP="00DB3BEC">
            <w:pPr>
              <w:jc w:val="both"/>
              <w:rPr>
                <w:sz w:val="22"/>
                <w:szCs w:val="22"/>
              </w:rPr>
            </w:pPr>
          </w:p>
          <w:p w14:paraId="48B993EF" w14:textId="77777777" w:rsidR="001E1112" w:rsidRPr="00317ABF" w:rsidRDefault="001E1112" w:rsidP="00DB3BEC">
            <w:pPr>
              <w:jc w:val="both"/>
              <w:rPr>
                <w:sz w:val="22"/>
                <w:szCs w:val="22"/>
              </w:rPr>
            </w:pPr>
          </w:p>
          <w:p w14:paraId="126D13FD" w14:textId="77777777" w:rsidR="001E1112" w:rsidRPr="00317ABF" w:rsidRDefault="001E1112" w:rsidP="00DB3BEC">
            <w:pPr>
              <w:jc w:val="both"/>
              <w:rPr>
                <w:sz w:val="22"/>
                <w:szCs w:val="22"/>
              </w:rPr>
            </w:pPr>
          </w:p>
          <w:p w14:paraId="7DA4946B" w14:textId="77777777" w:rsidR="001E1112" w:rsidRPr="00317ABF" w:rsidRDefault="001E1112" w:rsidP="00DB3BEC">
            <w:pPr>
              <w:jc w:val="both"/>
              <w:rPr>
                <w:sz w:val="22"/>
                <w:szCs w:val="22"/>
              </w:rPr>
            </w:pPr>
          </w:p>
          <w:p w14:paraId="2DDEBFF6" w14:textId="77777777" w:rsidR="001E1112" w:rsidRPr="00317ABF" w:rsidRDefault="001E1112" w:rsidP="00DB3BEC">
            <w:pPr>
              <w:jc w:val="both"/>
              <w:rPr>
                <w:sz w:val="22"/>
                <w:szCs w:val="22"/>
              </w:rPr>
            </w:pPr>
          </w:p>
          <w:p w14:paraId="3A6CA74B" w14:textId="55771A35" w:rsidR="001E1112" w:rsidRPr="00317ABF" w:rsidRDefault="001E1112" w:rsidP="00DB3BEC">
            <w:pPr>
              <w:jc w:val="both"/>
              <w:rPr>
                <w:sz w:val="22"/>
                <w:szCs w:val="22"/>
              </w:rPr>
            </w:pPr>
            <w:r w:rsidRPr="00317ABF">
              <w:rPr>
                <w:sz w:val="22"/>
                <w:szCs w:val="22"/>
              </w:rPr>
              <w:t>N</w:t>
            </w:r>
          </w:p>
        </w:tc>
        <w:tc>
          <w:tcPr>
            <w:tcW w:w="910" w:type="dxa"/>
          </w:tcPr>
          <w:p w14:paraId="46FE412C" w14:textId="2C162B2B" w:rsidR="001E1112" w:rsidRPr="00317ABF" w:rsidRDefault="001E1112" w:rsidP="00DB3BEC">
            <w:pPr>
              <w:pStyle w:val="Tekstpodstawowy"/>
              <w:rPr>
                <w:b/>
                <w:noProof/>
                <w:sz w:val="22"/>
                <w:szCs w:val="22"/>
              </w:rPr>
            </w:pPr>
            <w:r w:rsidRPr="00317ABF">
              <w:rPr>
                <w:b/>
                <w:bCs/>
                <w:noProof/>
                <w:sz w:val="22"/>
                <w:szCs w:val="22"/>
              </w:rPr>
              <w:t xml:space="preserve">Art. </w:t>
            </w:r>
            <w:r w:rsidR="53F58196" w:rsidRPr="00317ABF">
              <w:rPr>
                <w:b/>
                <w:bCs/>
                <w:noProof/>
                <w:sz w:val="22"/>
                <w:szCs w:val="22"/>
              </w:rPr>
              <w:t xml:space="preserve">20a ust. 2 i ust. </w:t>
            </w:r>
            <w:r w:rsidR="5C69ECFD" w:rsidRPr="00317ABF">
              <w:rPr>
                <w:b/>
                <w:bCs/>
                <w:noProof/>
                <w:sz w:val="22"/>
                <w:szCs w:val="22"/>
              </w:rPr>
              <w:t>4 ustawy</w:t>
            </w:r>
            <w:r w:rsidR="47E61D02" w:rsidRPr="00317ABF">
              <w:rPr>
                <w:b/>
                <w:bCs/>
                <w:noProof/>
                <w:sz w:val="22"/>
                <w:szCs w:val="22"/>
              </w:rPr>
              <w:t xml:space="preserve"> </w:t>
            </w:r>
            <w:r w:rsidR="53F58196" w:rsidRPr="00317ABF">
              <w:rPr>
                <w:b/>
                <w:bCs/>
                <w:noProof/>
                <w:sz w:val="22"/>
                <w:szCs w:val="22"/>
              </w:rPr>
              <w:t>o krajowym systemie cy</w:t>
            </w:r>
            <w:r w:rsidR="28F3283B" w:rsidRPr="00317ABF">
              <w:rPr>
                <w:b/>
                <w:bCs/>
                <w:noProof/>
                <w:sz w:val="22"/>
                <w:szCs w:val="22"/>
              </w:rPr>
              <w:t xml:space="preserve">berbezpieczeństwa </w:t>
            </w:r>
            <w:r w:rsidR="28F3283B" w:rsidRPr="00317ABF">
              <w:rPr>
                <w:noProof/>
                <w:sz w:val="22"/>
                <w:szCs w:val="22"/>
              </w:rPr>
              <w:t xml:space="preserve">(art. 51 </w:t>
            </w:r>
            <w:r w:rsidR="50A0ED98" w:rsidRPr="00317ABF">
              <w:rPr>
                <w:noProof/>
                <w:sz w:val="22"/>
                <w:szCs w:val="22"/>
              </w:rPr>
              <w:t>pkt 4 ustawy wprowadzającej PKE)</w:t>
            </w:r>
          </w:p>
        </w:tc>
        <w:tc>
          <w:tcPr>
            <w:tcW w:w="6814" w:type="dxa"/>
            <w:gridSpan w:val="2"/>
          </w:tcPr>
          <w:p w14:paraId="50A8F74F" w14:textId="14219832" w:rsidR="001E1112" w:rsidRPr="00317ABF" w:rsidRDefault="001E1112" w:rsidP="50A50B2E">
            <w:pPr>
              <w:ind w:firstLine="510"/>
              <w:jc w:val="both"/>
              <w:rPr>
                <w:rFonts w:eastAsia="Times"/>
                <w:sz w:val="22"/>
                <w:szCs w:val="22"/>
              </w:rPr>
            </w:pPr>
            <w:r w:rsidRPr="00317ABF">
              <w:rPr>
                <w:rFonts w:eastAsia="Times"/>
                <w:b/>
                <w:sz w:val="22"/>
                <w:szCs w:val="22"/>
              </w:rPr>
              <w:t xml:space="preserve">Art. </w:t>
            </w:r>
            <w:r w:rsidR="6CD150EB" w:rsidRPr="00317ABF">
              <w:rPr>
                <w:b/>
                <w:bCs/>
                <w:sz w:val="22"/>
                <w:szCs w:val="22"/>
              </w:rPr>
              <w:t>20a</w:t>
            </w:r>
            <w:r w:rsidR="6CD150EB" w:rsidRPr="00317ABF">
              <w:rPr>
                <w:sz w:val="22"/>
                <w:szCs w:val="22"/>
              </w:rPr>
              <w:t>.</w:t>
            </w:r>
            <w:r w:rsidRPr="00317ABF">
              <w:rPr>
                <w:rFonts w:eastAsia="Times"/>
                <w:sz w:val="22"/>
                <w:szCs w:val="22"/>
              </w:rPr>
              <w:t xml:space="preserve"> 1. Przedsiębiorca komunikacji elektronicznej, w celu zapewnienia ciągłości świadczenia usług komunikacji elektronicznej lub dostarczania sieci telekomunikacyjnej, jest obowiązany uwzględniać możliwość wystąpienia sytuacji szczególnego zagrożenia.</w:t>
            </w:r>
          </w:p>
          <w:p w14:paraId="05614178" w14:textId="5E2C3459" w:rsidR="001E1112" w:rsidRPr="00317ABF" w:rsidRDefault="001E1112" w:rsidP="50A50B2E">
            <w:pPr>
              <w:ind w:firstLine="510"/>
              <w:jc w:val="both"/>
              <w:rPr>
                <w:rFonts w:eastAsia="Times"/>
                <w:sz w:val="22"/>
                <w:szCs w:val="22"/>
              </w:rPr>
            </w:pPr>
            <w:r w:rsidRPr="00317ABF">
              <w:rPr>
                <w:rFonts w:eastAsia="Times"/>
                <w:sz w:val="22"/>
                <w:szCs w:val="22"/>
              </w:rPr>
              <w:t>2. Przedsiębiorca komunikacji elektronicznej:</w:t>
            </w:r>
          </w:p>
          <w:p w14:paraId="6456C521" w14:textId="2D7777C0" w:rsidR="001E1112" w:rsidRPr="00317ABF" w:rsidRDefault="6CD150EB" w:rsidP="50A50B2E">
            <w:pPr>
              <w:ind w:left="510" w:hanging="510"/>
              <w:jc w:val="both"/>
              <w:rPr>
                <w:sz w:val="22"/>
                <w:szCs w:val="22"/>
              </w:rPr>
            </w:pPr>
            <w:r w:rsidRPr="00317ABF">
              <w:rPr>
                <w:sz w:val="22"/>
                <w:szCs w:val="22"/>
              </w:rPr>
              <w:t>1)</w:t>
            </w:r>
            <w:r w:rsidR="7C643879" w:rsidRPr="00317ABF">
              <w:tab/>
            </w:r>
            <w:r w:rsidRPr="00317ABF">
              <w:rPr>
                <w:sz w:val="22"/>
                <w:szCs w:val="22"/>
              </w:rPr>
              <w:t>przeprowadza systematyczną ocenę ryzyka wystąpienia sytuacji szczególnego zagrożenia;</w:t>
            </w:r>
          </w:p>
          <w:p w14:paraId="0918936B" w14:textId="48050A9B" w:rsidR="001E1112" w:rsidRPr="00317ABF" w:rsidRDefault="6CD150EB" w:rsidP="50A50B2E">
            <w:pPr>
              <w:ind w:left="510" w:hanging="510"/>
              <w:jc w:val="both"/>
              <w:rPr>
                <w:sz w:val="22"/>
                <w:szCs w:val="22"/>
              </w:rPr>
            </w:pPr>
            <w:r w:rsidRPr="00317ABF">
              <w:rPr>
                <w:sz w:val="22"/>
                <w:szCs w:val="22"/>
              </w:rPr>
              <w:t>2)</w:t>
            </w:r>
            <w:r w:rsidR="7C643879" w:rsidRPr="00317ABF">
              <w:tab/>
            </w:r>
            <w:r w:rsidRPr="00317ABF">
              <w:rPr>
                <w:sz w:val="22"/>
                <w:szCs w:val="22"/>
              </w:rPr>
              <w:t>podejmuje środki techniczne i organizacyjne zapewniające poziom bezpieczeństwa adekwatny do poziomu zidentyfikowanego ryzyka, minimalizujące w szczególności wpływ, jaki na sieci telekomunikacyjne, usługi komunikacji elektronicznej lub podmioty korzystające z tych sieci lub usług może mieć wystąpienie sytuacji szczególnego zagrożenia, dotyczące następujących obszarów:</w:t>
            </w:r>
          </w:p>
          <w:p w14:paraId="2F88FF32" w14:textId="03B475F1" w:rsidR="001E1112" w:rsidRPr="00317ABF" w:rsidRDefault="6CD150EB" w:rsidP="50A50B2E">
            <w:pPr>
              <w:ind w:left="476" w:hanging="476"/>
              <w:jc w:val="both"/>
              <w:rPr>
                <w:sz w:val="22"/>
                <w:szCs w:val="22"/>
              </w:rPr>
            </w:pPr>
            <w:r w:rsidRPr="00317ABF">
              <w:rPr>
                <w:sz w:val="22"/>
                <w:szCs w:val="22"/>
              </w:rPr>
              <w:t>a)</w:t>
            </w:r>
            <w:r w:rsidR="7C643879" w:rsidRPr="00317ABF">
              <w:tab/>
            </w:r>
            <w:r w:rsidRPr="00317ABF">
              <w:rPr>
                <w:sz w:val="22"/>
                <w:szCs w:val="22"/>
              </w:rPr>
              <w:t>zapewnienia bezpieczeństwa infrastruktury telekomunikacyjnej, o której mowa w art. 2 pkt 12 ustawy z dnia … – Prawo komunikacji elektronicznej,</w:t>
            </w:r>
          </w:p>
          <w:p w14:paraId="3F9D2C40" w14:textId="26D59AFE" w:rsidR="001E1112" w:rsidRPr="00317ABF" w:rsidRDefault="6CD150EB" w:rsidP="50A50B2E">
            <w:pPr>
              <w:ind w:left="476" w:hanging="476"/>
              <w:jc w:val="both"/>
              <w:rPr>
                <w:sz w:val="22"/>
                <w:szCs w:val="22"/>
              </w:rPr>
            </w:pPr>
            <w:r w:rsidRPr="00317ABF">
              <w:rPr>
                <w:sz w:val="22"/>
                <w:szCs w:val="22"/>
              </w:rPr>
              <w:t>b)</w:t>
            </w:r>
            <w:r w:rsidR="7C643879" w:rsidRPr="00317ABF">
              <w:tab/>
            </w:r>
            <w:r w:rsidRPr="00317ABF">
              <w:rPr>
                <w:sz w:val="22"/>
                <w:szCs w:val="22"/>
              </w:rPr>
              <w:t>postępowania w przypadku wystąpienia sytuacji szczególnego zagrożenia,</w:t>
            </w:r>
          </w:p>
          <w:p w14:paraId="40F452C5" w14:textId="27FC8E02" w:rsidR="001E1112" w:rsidRPr="00317ABF" w:rsidRDefault="6CD150EB" w:rsidP="50A50B2E">
            <w:pPr>
              <w:ind w:left="476" w:hanging="476"/>
              <w:jc w:val="both"/>
              <w:rPr>
                <w:sz w:val="22"/>
                <w:szCs w:val="22"/>
              </w:rPr>
            </w:pPr>
            <w:r w:rsidRPr="00317ABF">
              <w:rPr>
                <w:sz w:val="22"/>
                <w:szCs w:val="22"/>
              </w:rPr>
              <w:t>c)</w:t>
            </w:r>
            <w:r w:rsidR="7C643879" w:rsidRPr="00317ABF">
              <w:tab/>
            </w:r>
            <w:r w:rsidRPr="00317ABF">
              <w:rPr>
                <w:sz w:val="22"/>
                <w:szCs w:val="22"/>
              </w:rPr>
              <w:t>odtwarzania dostarczania sieci telekomunikacyjnych lub przywracania świadczenia usług komunikacji elektronicznej,</w:t>
            </w:r>
          </w:p>
          <w:p w14:paraId="39E6F40D" w14:textId="14AE79C4" w:rsidR="001E1112" w:rsidRPr="00317ABF" w:rsidRDefault="6CD150EB" w:rsidP="50A50B2E">
            <w:pPr>
              <w:ind w:left="476" w:hanging="476"/>
              <w:jc w:val="both"/>
              <w:rPr>
                <w:sz w:val="22"/>
                <w:szCs w:val="22"/>
              </w:rPr>
            </w:pPr>
            <w:r w:rsidRPr="00317ABF">
              <w:rPr>
                <w:sz w:val="22"/>
                <w:szCs w:val="22"/>
              </w:rPr>
              <w:t>d)</w:t>
            </w:r>
            <w:r w:rsidR="7C643879" w:rsidRPr="00317ABF">
              <w:tab/>
            </w:r>
            <w:r w:rsidRPr="00317ABF">
              <w:rPr>
                <w:sz w:val="22"/>
                <w:szCs w:val="22"/>
              </w:rPr>
              <w:t>monitorowania, kontroli i testowania sieci telekomunikacyjnych lub usług komunikacji elektronicznej</w:t>
            </w:r>
          </w:p>
          <w:p w14:paraId="754A30C7" w14:textId="78D662E6" w:rsidR="001E1112" w:rsidRPr="00317ABF" w:rsidRDefault="6CD150EB" w:rsidP="50A50B2E">
            <w:pPr>
              <w:jc w:val="both"/>
              <w:rPr>
                <w:sz w:val="22"/>
                <w:szCs w:val="22"/>
              </w:rPr>
            </w:pPr>
            <w:r w:rsidRPr="00317ABF">
              <w:rPr>
                <w:sz w:val="22"/>
                <w:szCs w:val="22"/>
              </w:rPr>
              <w:t>– przy uwzględnieniu aktualnego stanu wiedzy technicznej oraz kosztów wprowadzenia tych środków;</w:t>
            </w:r>
          </w:p>
          <w:p w14:paraId="2626D047" w14:textId="6B78FF0C" w:rsidR="001E1112" w:rsidRPr="00317ABF" w:rsidRDefault="6CD150EB" w:rsidP="50A50B2E">
            <w:pPr>
              <w:ind w:left="510" w:hanging="510"/>
              <w:jc w:val="both"/>
              <w:rPr>
                <w:sz w:val="22"/>
                <w:szCs w:val="22"/>
              </w:rPr>
            </w:pPr>
            <w:r w:rsidRPr="00317ABF">
              <w:rPr>
                <w:sz w:val="22"/>
                <w:szCs w:val="22"/>
              </w:rPr>
              <w:t>3)</w:t>
            </w:r>
            <w:r w:rsidR="7C643879" w:rsidRPr="00317ABF">
              <w:tab/>
            </w:r>
            <w:r w:rsidRPr="00317ABF">
              <w:rPr>
                <w:sz w:val="22"/>
                <w:szCs w:val="22"/>
              </w:rPr>
              <w:t>dokumentuje czynności, o których mowa w pkt 1 i 2.</w:t>
            </w:r>
          </w:p>
          <w:p w14:paraId="05825D00" w14:textId="09127C62" w:rsidR="001E1112" w:rsidRPr="00317ABF" w:rsidRDefault="001E1112" w:rsidP="50A50B2E">
            <w:pPr>
              <w:ind w:firstLine="510"/>
              <w:jc w:val="both"/>
              <w:rPr>
                <w:rFonts w:eastAsia="Times"/>
                <w:sz w:val="22"/>
                <w:szCs w:val="22"/>
              </w:rPr>
            </w:pPr>
            <w:r w:rsidRPr="00317ABF">
              <w:rPr>
                <w:rFonts w:eastAsia="Times"/>
                <w:sz w:val="22"/>
                <w:szCs w:val="22"/>
              </w:rPr>
              <w:t>3. Przedsiębiorca telekomunikacyjny</w:t>
            </w:r>
            <w:r w:rsidR="6CD150EB" w:rsidRPr="00317ABF">
              <w:rPr>
                <w:sz w:val="22"/>
                <w:szCs w:val="22"/>
              </w:rPr>
              <w:t>, o którym mowa w art. 2 pkt 42 ustawy z dnia … – Prawo komunikacji elektronicznej,</w:t>
            </w:r>
            <w:r w:rsidRPr="00317ABF">
              <w:rPr>
                <w:rFonts w:eastAsia="Times"/>
                <w:sz w:val="22"/>
                <w:szCs w:val="22"/>
              </w:rPr>
              <w:t xml:space="preserve"> sporządzający plan, o którym mowa w art. </w:t>
            </w:r>
            <w:r w:rsidR="6CD150EB" w:rsidRPr="00317ABF">
              <w:rPr>
                <w:sz w:val="22"/>
                <w:szCs w:val="22"/>
              </w:rPr>
              <w:t xml:space="preserve">39 ust. </w:t>
            </w:r>
            <w:r w:rsidRPr="00317ABF">
              <w:rPr>
                <w:rFonts w:eastAsia="Times"/>
                <w:sz w:val="22"/>
                <w:szCs w:val="22"/>
              </w:rPr>
              <w:t>1</w:t>
            </w:r>
            <w:r w:rsidR="6CD150EB" w:rsidRPr="00317ABF">
              <w:rPr>
                <w:sz w:val="22"/>
                <w:szCs w:val="22"/>
              </w:rPr>
              <w:t xml:space="preserve"> tej ustawy</w:t>
            </w:r>
            <w:r w:rsidRPr="00317ABF">
              <w:rPr>
                <w:rFonts w:eastAsia="Times"/>
                <w:sz w:val="22"/>
                <w:szCs w:val="22"/>
              </w:rPr>
              <w:t>, dokumentuje w tym planie czynności, o których mowa w ust. 2 pkt 1 i 2.</w:t>
            </w:r>
          </w:p>
          <w:p w14:paraId="76F7E902" w14:textId="6326E4EA" w:rsidR="001E1112" w:rsidRPr="00317ABF" w:rsidRDefault="001E1112" w:rsidP="50A50B2E">
            <w:pPr>
              <w:ind w:firstLine="510"/>
              <w:jc w:val="both"/>
              <w:rPr>
                <w:rFonts w:eastAsia="Times"/>
                <w:sz w:val="22"/>
                <w:szCs w:val="22"/>
              </w:rPr>
            </w:pPr>
            <w:r w:rsidRPr="00317ABF">
              <w:rPr>
                <w:rFonts w:eastAsia="Times"/>
                <w:sz w:val="22"/>
                <w:szCs w:val="22"/>
              </w:rPr>
              <w:lastRenderedPageBreak/>
              <w:t>4. Minister właściwy do spraw informatyzacji może, w drodze rozporządzenia, określić dla danego rodzaju działalności wykonywanej przez przedsiębiorcę komunikacji elektronicznej minimalny zakres środków, o których mowa w ust. 2 pkt 2, lub sposób ich dokumentowania,</w:t>
            </w:r>
            <w:r w:rsidR="6CD150EB" w:rsidRPr="00317ABF">
              <w:rPr>
                <w:sz w:val="22"/>
                <w:szCs w:val="22"/>
              </w:rPr>
              <w:t xml:space="preserve"> </w:t>
            </w:r>
            <w:r w:rsidRPr="00317ABF">
              <w:rPr>
                <w:rFonts w:eastAsia="Times"/>
                <w:sz w:val="22"/>
                <w:szCs w:val="22"/>
              </w:rPr>
              <w:t>biorąc pod uwagę rekomendacje międzynarodowe o charakterze specjalistycznym</w:t>
            </w:r>
            <w:r w:rsidR="6CD150EB" w:rsidRPr="00317ABF">
              <w:rPr>
                <w:sz w:val="22"/>
                <w:szCs w:val="22"/>
              </w:rPr>
              <w:t>, skalę działalności wykonywanej przez przedsiębiorcę komunikacji elektronicznej</w:t>
            </w:r>
            <w:r w:rsidRPr="00317ABF">
              <w:rPr>
                <w:rFonts w:eastAsia="Times"/>
                <w:sz w:val="22"/>
                <w:szCs w:val="22"/>
              </w:rPr>
              <w:t xml:space="preserve"> oraz mając na uwadze potrzebę podejmowania przez tego przedsiębiorcę działań zapewniających bezpieczeństwo sieci i usług</w:t>
            </w:r>
            <w:r w:rsidR="6CD150EB" w:rsidRPr="00317ABF">
              <w:rPr>
                <w:sz w:val="22"/>
                <w:szCs w:val="22"/>
              </w:rPr>
              <w:t xml:space="preserve"> komunikacji elektronicznej</w:t>
            </w:r>
            <w:r w:rsidRPr="00317ABF">
              <w:rPr>
                <w:rFonts w:eastAsia="Times"/>
                <w:sz w:val="22"/>
                <w:szCs w:val="22"/>
              </w:rPr>
              <w:t>.</w:t>
            </w:r>
          </w:p>
        </w:tc>
      </w:tr>
      <w:tr w:rsidR="001E1112" w:rsidRPr="00317ABF" w14:paraId="024A0773" w14:textId="77777777" w:rsidTr="7753F98D">
        <w:trPr>
          <w:gridAfter w:val="2"/>
          <w:wAfter w:w="175" w:type="dxa"/>
        </w:trPr>
        <w:tc>
          <w:tcPr>
            <w:tcW w:w="704" w:type="dxa"/>
          </w:tcPr>
          <w:p w14:paraId="3670919A" w14:textId="77777777" w:rsidR="001E1112" w:rsidRPr="00317ABF" w:rsidRDefault="001E1112" w:rsidP="00DB3BEC">
            <w:pPr>
              <w:jc w:val="both"/>
              <w:rPr>
                <w:sz w:val="22"/>
                <w:szCs w:val="22"/>
              </w:rPr>
            </w:pPr>
            <w:r w:rsidRPr="00317ABF">
              <w:rPr>
                <w:sz w:val="22"/>
                <w:szCs w:val="22"/>
              </w:rPr>
              <w:lastRenderedPageBreak/>
              <w:t>Art. 40 ust. 2</w:t>
            </w:r>
          </w:p>
        </w:tc>
        <w:tc>
          <w:tcPr>
            <w:tcW w:w="4308" w:type="dxa"/>
          </w:tcPr>
          <w:p w14:paraId="76738DC8" w14:textId="77777777" w:rsidR="001E1112" w:rsidRPr="00317ABF" w:rsidRDefault="001E1112" w:rsidP="00DB3BEC">
            <w:pPr>
              <w:spacing w:before="120"/>
              <w:jc w:val="both"/>
              <w:rPr>
                <w:sz w:val="22"/>
                <w:szCs w:val="22"/>
              </w:rPr>
            </w:pPr>
            <w:r w:rsidRPr="00317ABF">
              <w:rPr>
                <w:sz w:val="22"/>
                <w:szCs w:val="22"/>
              </w:rPr>
              <w:t>2.   Państwa członkowskie zapewniają, aby podmioty udostępniające publiczne sieci łączności elektronicznej lub świadczące publicznie dostępne usługi łączności elektronicznej powiadamiały bez zbędnej zwłoki właściwy organ o incydentach związanych z bezpieczeństwem, które miały znaczący wpływ na funkcjonowanie sieci lub usług.</w:t>
            </w:r>
          </w:p>
          <w:p w14:paraId="108A5855" w14:textId="77777777" w:rsidR="001E1112" w:rsidRPr="00317ABF" w:rsidRDefault="001E1112" w:rsidP="00DB3BEC">
            <w:pPr>
              <w:spacing w:before="120"/>
              <w:jc w:val="both"/>
              <w:rPr>
                <w:sz w:val="22"/>
                <w:szCs w:val="22"/>
              </w:rPr>
            </w:pPr>
            <w:r w:rsidRPr="00317ABF">
              <w:rPr>
                <w:sz w:val="22"/>
                <w:szCs w:val="22"/>
              </w:rPr>
              <w:t>Aby określić istotność wpływu danego incydentu związanego z bezpieczeństwem, uwzględnia się w szczególności następujące parametry, gdy są dostępne:</w:t>
            </w:r>
          </w:p>
          <w:tbl>
            <w:tblPr>
              <w:tblW w:w="5000" w:type="pct"/>
              <w:tblCellSpacing w:w="0" w:type="dxa"/>
              <w:tblLayout w:type="fixed"/>
              <w:tblCellMar>
                <w:left w:w="0" w:type="dxa"/>
                <w:right w:w="0" w:type="dxa"/>
              </w:tblCellMar>
              <w:tblLook w:val="04A0" w:firstRow="1" w:lastRow="0" w:firstColumn="1" w:lastColumn="0" w:noHBand="0" w:noVBand="1"/>
            </w:tblPr>
            <w:tblGrid>
              <w:gridCol w:w="20"/>
              <w:gridCol w:w="4148"/>
            </w:tblGrid>
            <w:tr w:rsidR="001E1112" w:rsidRPr="00317ABF" w14:paraId="28624377" w14:textId="77777777" w:rsidTr="00A462BE">
              <w:trPr>
                <w:tblCellSpacing w:w="0" w:type="dxa"/>
              </w:trPr>
              <w:tc>
                <w:tcPr>
                  <w:tcW w:w="7" w:type="dxa"/>
                  <w:hideMark/>
                </w:tcPr>
                <w:p w14:paraId="1A64B853" w14:textId="77777777" w:rsidR="001E1112" w:rsidRPr="00317ABF" w:rsidRDefault="001E1112" w:rsidP="00EE0AC3">
                  <w:pPr>
                    <w:framePr w:hSpace="141" w:wrap="around" w:vAnchor="text" w:hAnchor="text" w:xAlign="right" w:y="1"/>
                    <w:spacing w:before="120"/>
                    <w:suppressOverlap/>
                    <w:jc w:val="both"/>
                    <w:rPr>
                      <w:sz w:val="22"/>
                      <w:szCs w:val="22"/>
                    </w:rPr>
                  </w:pPr>
                </w:p>
              </w:tc>
              <w:tc>
                <w:tcPr>
                  <w:tcW w:w="9065" w:type="dxa"/>
                  <w:hideMark/>
                </w:tcPr>
                <w:p w14:paraId="52B88B61" w14:textId="77777777" w:rsidR="001E1112" w:rsidRPr="00317ABF" w:rsidRDefault="001E1112" w:rsidP="00EE0AC3">
                  <w:pPr>
                    <w:framePr w:hSpace="141" w:wrap="around" w:vAnchor="text" w:hAnchor="text" w:xAlign="right" w:y="1"/>
                    <w:numPr>
                      <w:ilvl w:val="0"/>
                      <w:numId w:val="25"/>
                    </w:numPr>
                    <w:spacing w:before="120"/>
                    <w:suppressOverlap/>
                    <w:jc w:val="both"/>
                    <w:rPr>
                      <w:sz w:val="22"/>
                      <w:szCs w:val="22"/>
                    </w:rPr>
                  </w:pPr>
                  <w:r w:rsidRPr="00317ABF">
                    <w:rPr>
                      <w:sz w:val="22"/>
                      <w:szCs w:val="22"/>
                    </w:rPr>
                    <w:t>liczbę użytkowników, których dotyczy incydent związany z bezpieczeństwem;</w:t>
                  </w:r>
                </w:p>
              </w:tc>
            </w:tr>
          </w:tbl>
          <w:p w14:paraId="670EA63D" w14:textId="77777777" w:rsidR="001E1112" w:rsidRPr="00317ABF" w:rsidRDefault="001E1112" w:rsidP="00DB3BEC">
            <w:pPr>
              <w:jc w:val="both"/>
              <w:rPr>
                <w:vanish/>
                <w:sz w:val="22"/>
                <w:szCs w:val="22"/>
              </w:rPr>
            </w:pPr>
          </w:p>
          <w:tbl>
            <w:tblPr>
              <w:tblW w:w="5000" w:type="pct"/>
              <w:tblCellSpacing w:w="0" w:type="dxa"/>
              <w:tblLayout w:type="fixed"/>
              <w:tblCellMar>
                <w:left w:w="0" w:type="dxa"/>
                <w:right w:w="0" w:type="dxa"/>
              </w:tblCellMar>
              <w:tblLook w:val="04A0" w:firstRow="1" w:lastRow="0" w:firstColumn="1" w:lastColumn="0" w:noHBand="0" w:noVBand="1"/>
            </w:tblPr>
            <w:tblGrid>
              <w:gridCol w:w="20"/>
              <w:gridCol w:w="4148"/>
            </w:tblGrid>
            <w:tr w:rsidR="001E1112" w:rsidRPr="00317ABF" w14:paraId="45CBA161" w14:textId="77777777" w:rsidTr="00A462BE">
              <w:trPr>
                <w:tblCellSpacing w:w="0" w:type="dxa"/>
              </w:trPr>
              <w:tc>
                <w:tcPr>
                  <w:tcW w:w="10" w:type="dxa"/>
                  <w:hideMark/>
                </w:tcPr>
                <w:p w14:paraId="22C5B2D8" w14:textId="77777777" w:rsidR="001E1112" w:rsidRPr="00317ABF" w:rsidRDefault="001E1112" w:rsidP="00EE0AC3">
                  <w:pPr>
                    <w:framePr w:hSpace="141" w:wrap="around" w:vAnchor="text" w:hAnchor="text" w:xAlign="right" w:y="1"/>
                    <w:spacing w:before="120"/>
                    <w:suppressOverlap/>
                    <w:jc w:val="both"/>
                    <w:rPr>
                      <w:sz w:val="22"/>
                      <w:szCs w:val="22"/>
                    </w:rPr>
                  </w:pPr>
                </w:p>
              </w:tc>
              <w:tc>
                <w:tcPr>
                  <w:tcW w:w="9062" w:type="dxa"/>
                  <w:hideMark/>
                </w:tcPr>
                <w:p w14:paraId="5BEC8D1E" w14:textId="77777777" w:rsidR="001E1112" w:rsidRPr="00317ABF" w:rsidRDefault="001E1112" w:rsidP="00EE0AC3">
                  <w:pPr>
                    <w:framePr w:hSpace="141" w:wrap="around" w:vAnchor="text" w:hAnchor="text" w:xAlign="right" w:y="1"/>
                    <w:numPr>
                      <w:ilvl w:val="0"/>
                      <w:numId w:val="25"/>
                    </w:numPr>
                    <w:spacing w:before="120"/>
                    <w:suppressOverlap/>
                    <w:jc w:val="both"/>
                    <w:rPr>
                      <w:sz w:val="22"/>
                      <w:szCs w:val="22"/>
                    </w:rPr>
                  </w:pPr>
                  <w:r w:rsidRPr="00317ABF">
                    <w:rPr>
                      <w:sz w:val="22"/>
                      <w:szCs w:val="22"/>
                    </w:rPr>
                    <w:t>czas trwania incydentu związanego z bezpieczeństwem;</w:t>
                  </w:r>
                </w:p>
              </w:tc>
            </w:tr>
            <w:tr w:rsidR="001E1112" w:rsidRPr="00317ABF" w14:paraId="7829CC3B" w14:textId="77777777" w:rsidTr="00A462BE">
              <w:trPr>
                <w:tblCellSpacing w:w="0" w:type="dxa"/>
              </w:trPr>
              <w:tc>
                <w:tcPr>
                  <w:tcW w:w="10" w:type="dxa"/>
                </w:tcPr>
                <w:p w14:paraId="1E0D2375" w14:textId="77777777" w:rsidR="001E1112" w:rsidRPr="00317ABF" w:rsidRDefault="001E1112" w:rsidP="00EE0AC3">
                  <w:pPr>
                    <w:framePr w:hSpace="141" w:wrap="around" w:vAnchor="text" w:hAnchor="text" w:xAlign="right" w:y="1"/>
                    <w:spacing w:before="120"/>
                    <w:suppressOverlap/>
                    <w:jc w:val="both"/>
                    <w:rPr>
                      <w:sz w:val="22"/>
                      <w:szCs w:val="22"/>
                    </w:rPr>
                  </w:pPr>
                </w:p>
              </w:tc>
              <w:tc>
                <w:tcPr>
                  <w:tcW w:w="9062" w:type="dxa"/>
                </w:tcPr>
                <w:p w14:paraId="16BD86AF" w14:textId="77777777" w:rsidR="001E1112" w:rsidRPr="00317ABF" w:rsidRDefault="001E1112" w:rsidP="00EE0AC3">
                  <w:pPr>
                    <w:framePr w:hSpace="141" w:wrap="around" w:vAnchor="text" w:hAnchor="text" w:xAlign="right" w:y="1"/>
                    <w:spacing w:before="120"/>
                    <w:suppressOverlap/>
                    <w:jc w:val="both"/>
                    <w:rPr>
                      <w:sz w:val="22"/>
                      <w:szCs w:val="22"/>
                    </w:rPr>
                  </w:pPr>
                </w:p>
              </w:tc>
            </w:tr>
          </w:tbl>
          <w:p w14:paraId="692CE51E" w14:textId="77777777" w:rsidR="001E1112" w:rsidRPr="00317ABF" w:rsidRDefault="001E1112" w:rsidP="00DB3BEC">
            <w:pPr>
              <w:jc w:val="both"/>
              <w:rPr>
                <w:vanish/>
                <w:sz w:val="22"/>
                <w:szCs w:val="22"/>
              </w:rPr>
            </w:pPr>
          </w:p>
          <w:tbl>
            <w:tblPr>
              <w:tblW w:w="5000" w:type="pct"/>
              <w:tblCellSpacing w:w="0" w:type="dxa"/>
              <w:tblLayout w:type="fixed"/>
              <w:tblCellMar>
                <w:left w:w="0" w:type="dxa"/>
                <w:right w:w="0" w:type="dxa"/>
              </w:tblCellMar>
              <w:tblLook w:val="04A0" w:firstRow="1" w:lastRow="0" w:firstColumn="1" w:lastColumn="0" w:noHBand="0" w:noVBand="1"/>
            </w:tblPr>
            <w:tblGrid>
              <w:gridCol w:w="20"/>
              <w:gridCol w:w="4148"/>
            </w:tblGrid>
            <w:tr w:rsidR="001E1112" w:rsidRPr="00317ABF" w14:paraId="35B923D6" w14:textId="77777777" w:rsidTr="00A462BE">
              <w:trPr>
                <w:tblCellSpacing w:w="0" w:type="dxa"/>
              </w:trPr>
              <w:tc>
                <w:tcPr>
                  <w:tcW w:w="7" w:type="dxa"/>
                  <w:hideMark/>
                </w:tcPr>
                <w:p w14:paraId="45C3DCF2" w14:textId="77777777" w:rsidR="001E1112" w:rsidRPr="00317ABF" w:rsidRDefault="001E1112" w:rsidP="00EE0AC3">
                  <w:pPr>
                    <w:framePr w:hSpace="141" w:wrap="around" w:vAnchor="text" w:hAnchor="text" w:xAlign="right" w:y="1"/>
                    <w:spacing w:before="120"/>
                    <w:suppressOverlap/>
                    <w:jc w:val="both"/>
                    <w:rPr>
                      <w:sz w:val="22"/>
                      <w:szCs w:val="22"/>
                    </w:rPr>
                  </w:pPr>
                </w:p>
              </w:tc>
              <w:tc>
                <w:tcPr>
                  <w:tcW w:w="9065" w:type="dxa"/>
                  <w:hideMark/>
                </w:tcPr>
                <w:p w14:paraId="0A9E3DA5" w14:textId="77777777" w:rsidR="001E1112" w:rsidRPr="00317ABF" w:rsidRDefault="001E1112" w:rsidP="00EE0AC3">
                  <w:pPr>
                    <w:framePr w:hSpace="141" w:wrap="around" w:vAnchor="text" w:hAnchor="text" w:xAlign="right" w:y="1"/>
                    <w:numPr>
                      <w:ilvl w:val="0"/>
                      <w:numId w:val="25"/>
                    </w:numPr>
                    <w:spacing w:before="120"/>
                    <w:suppressOverlap/>
                    <w:jc w:val="both"/>
                    <w:rPr>
                      <w:sz w:val="22"/>
                      <w:szCs w:val="22"/>
                    </w:rPr>
                  </w:pPr>
                  <w:r w:rsidRPr="00317ABF">
                    <w:rPr>
                      <w:sz w:val="22"/>
                      <w:szCs w:val="22"/>
                    </w:rPr>
                    <w:t>geograficzny zasięg obszaru dotkniętego incydentem związanym z bezpieczeństwem;</w:t>
                  </w:r>
                </w:p>
              </w:tc>
            </w:tr>
          </w:tbl>
          <w:p w14:paraId="762D34F9" w14:textId="77777777" w:rsidR="001E1112" w:rsidRPr="00317ABF" w:rsidRDefault="001E1112" w:rsidP="00DB3BEC">
            <w:pPr>
              <w:jc w:val="both"/>
              <w:rPr>
                <w:vanish/>
                <w:sz w:val="22"/>
                <w:szCs w:val="22"/>
              </w:rPr>
            </w:pPr>
          </w:p>
          <w:tbl>
            <w:tblPr>
              <w:tblW w:w="5000" w:type="pct"/>
              <w:tblCellSpacing w:w="0" w:type="dxa"/>
              <w:tblLayout w:type="fixed"/>
              <w:tblCellMar>
                <w:left w:w="0" w:type="dxa"/>
                <w:right w:w="0" w:type="dxa"/>
              </w:tblCellMar>
              <w:tblLook w:val="04A0" w:firstRow="1" w:lastRow="0" w:firstColumn="1" w:lastColumn="0" w:noHBand="0" w:noVBand="1"/>
            </w:tblPr>
            <w:tblGrid>
              <w:gridCol w:w="20"/>
              <w:gridCol w:w="4148"/>
            </w:tblGrid>
            <w:tr w:rsidR="001E1112" w:rsidRPr="00317ABF" w14:paraId="45120D91" w14:textId="77777777" w:rsidTr="00A462BE">
              <w:trPr>
                <w:tblCellSpacing w:w="0" w:type="dxa"/>
              </w:trPr>
              <w:tc>
                <w:tcPr>
                  <w:tcW w:w="11" w:type="dxa"/>
                  <w:hideMark/>
                </w:tcPr>
                <w:p w14:paraId="6A270B90" w14:textId="77777777" w:rsidR="001E1112" w:rsidRPr="00317ABF" w:rsidRDefault="001E1112" w:rsidP="00EE0AC3">
                  <w:pPr>
                    <w:framePr w:hSpace="141" w:wrap="around" w:vAnchor="text" w:hAnchor="text" w:xAlign="right" w:y="1"/>
                    <w:spacing w:before="120"/>
                    <w:suppressOverlap/>
                    <w:jc w:val="both"/>
                    <w:rPr>
                      <w:sz w:val="22"/>
                      <w:szCs w:val="22"/>
                    </w:rPr>
                  </w:pPr>
                </w:p>
              </w:tc>
              <w:tc>
                <w:tcPr>
                  <w:tcW w:w="9061" w:type="dxa"/>
                  <w:hideMark/>
                </w:tcPr>
                <w:p w14:paraId="2CCC8AA2" w14:textId="77777777" w:rsidR="001E1112" w:rsidRPr="00317ABF" w:rsidRDefault="001E1112" w:rsidP="00EE0AC3">
                  <w:pPr>
                    <w:framePr w:hSpace="141" w:wrap="around" w:vAnchor="text" w:hAnchor="text" w:xAlign="right" w:y="1"/>
                    <w:numPr>
                      <w:ilvl w:val="0"/>
                      <w:numId w:val="25"/>
                    </w:numPr>
                    <w:spacing w:before="120"/>
                    <w:suppressOverlap/>
                    <w:jc w:val="both"/>
                    <w:rPr>
                      <w:sz w:val="22"/>
                      <w:szCs w:val="22"/>
                    </w:rPr>
                  </w:pPr>
                  <w:r w:rsidRPr="00317ABF">
                    <w:rPr>
                      <w:sz w:val="22"/>
                      <w:szCs w:val="22"/>
                    </w:rPr>
                    <w:t>zakres wpływu na funkcjonowanie sieci lub usługi;</w:t>
                  </w:r>
                </w:p>
              </w:tc>
            </w:tr>
          </w:tbl>
          <w:p w14:paraId="1F6C9E98" w14:textId="77777777" w:rsidR="001E1112" w:rsidRPr="00317ABF" w:rsidRDefault="001E1112" w:rsidP="00DB3BEC">
            <w:pPr>
              <w:jc w:val="both"/>
              <w:rPr>
                <w:vanish/>
                <w:sz w:val="22"/>
                <w:szCs w:val="22"/>
              </w:rPr>
            </w:pPr>
          </w:p>
          <w:tbl>
            <w:tblPr>
              <w:tblW w:w="5000" w:type="pct"/>
              <w:tblCellSpacing w:w="0" w:type="dxa"/>
              <w:tblLayout w:type="fixed"/>
              <w:tblCellMar>
                <w:left w:w="0" w:type="dxa"/>
                <w:right w:w="0" w:type="dxa"/>
              </w:tblCellMar>
              <w:tblLook w:val="04A0" w:firstRow="1" w:lastRow="0" w:firstColumn="1" w:lastColumn="0" w:noHBand="0" w:noVBand="1"/>
            </w:tblPr>
            <w:tblGrid>
              <w:gridCol w:w="20"/>
              <w:gridCol w:w="4148"/>
            </w:tblGrid>
            <w:tr w:rsidR="001E1112" w:rsidRPr="00317ABF" w14:paraId="55AC01BB" w14:textId="77777777" w:rsidTr="00A462BE">
              <w:trPr>
                <w:tblCellSpacing w:w="0" w:type="dxa"/>
              </w:trPr>
              <w:tc>
                <w:tcPr>
                  <w:tcW w:w="10" w:type="dxa"/>
                  <w:hideMark/>
                </w:tcPr>
                <w:p w14:paraId="115C1B2A" w14:textId="77777777" w:rsidR="001E1112" w:rsidRPr="00317ABF" w:rsidRDefault="001E1112" w:rsidP="00EE0AC3">
                  <w:pPr>
                    <w:framePr w:hSpace="141" w:wrap="around" w:vAnchor="text" w:hAnchor="text" w:xAlign="right" w:y="1"/>
                    <w:spacing w:before="120"/>
                    <w:suppressOverlap/>
                    <w:jc w:val="both"/>
                    <w:rPr>
                      <w:sz w:val="22"/>
                      <w:szCs w:val="22"/>
                    </w:rPr>
                  </w:pPr>
                </w:p>
              </w:tc>
              <w:tc>
                <w:tcPr>
                  <w:tcW w:w="9062" w:type="dxa"/>
                  <w:hideMark/>
                </w:tcPr>
                <w:p w14:paraId="3EE7F425" w14:textId="77777777" w:rsidR="001E1112" w:rsidRPr="00317ABF" w:rsidRDefault="001E1112" w:rsidP="00EE0AC3">
                  <w:pPr>
                    <w:framePr w:hSpace="141" w:wrap="around" w:vAnchor="text" w:hAnchor="text" w:xAlign="right" w:y="1"/>
                    <w:numPr>
                      <w:ilvl w:val="0"/>
                      <w:numId w:val="25"/>
                    </w:numPr>
                    <w:spacing w:before="120"/>
                    <w:suppressOverlap/>
                    <w:jc w:val="both"/>
                    <w:rPr>
                      <w:sz w:val="22"/>
                      <w:szCs w:val="22"/>
                    </w:rPr>
                  </w:pPr>
                  <w:r w:rsidRPr="00317ABF">
                    <w:rPr>
                      <w:sz w:val="22"/>
                      <w:szCs w:val="22"/>
                    </w:rPr>
                    <w:t>zakres wpływu na działalność ekonomiczną i społeczną.</w:t>
                  </w:r>
                </w:p>
              </w:tc>
            </w:tr>
          </w:tbl>
          <w:p w14:paraId="07ADA59C" w14:textId="77777777" w:rsidR="001E1112" w:rsidRPr="00317ABF" w:rsidRDefault="001E1112" w:rsidP="00DB3BEC">
            <w:pPr>
              <w:spacing w:before="120"/>
              <w:jc w:val="both"/>
              <w:rPr>
                <w:sz w:val="22"/>
                <w:szCs w:val="22"/>
              </w:rPr>
            </w:pPr>
          </w:p>
          <w:p w14:paraId="5B879461" w14:textId="77777777" w:rsidR="001E1112" w:rsidRPr="00317ABF" w:rsidRDefault="001E1112" w:rsidP="00DB3BEC">
            <w:pPr>
              <w:spacing w:before="120"/>
              <w:jc w:val="both"/>
              <w:rPr>
                <w:sz w:val="22"/>
                <w:szCs w:val="22"/>
              </w:rPr>
            </w:pPr>
          </w:p>
          <w:p w14:paraId="68F88A0B" w14:textId="77777777" w:rsidR="001E1112" w:rsidRPr="00317ABF" w:rsidRDefault="001E1112" w:rsidP="00DB3BEC">
            <w:pPr>
              <w:spacing w:before="120"/>
              <w:jc w:val="both"/>
              <w:rPr>
                <w:sz w:val="22"/>
                <w:szCs w:val="22"/>
              </w:rPr>
            </w:pPr>
          </w:p>
          <w:p w14:paraId="21D4B11F" w14:textId="77777777" w:rsidR="001E1112" w:rsidRPr="00317ABF" w:rsidRDefault="001E1112" w:rsidP="00DB3BEC">
            <w:pPr>
              <w:spacing w:before="120"/>
              <w:jc w:val="both"/>
              <w:rPr>
                <w:sz w:val="22"/>
                <w:szCs w:val="22"/>
              </w:rPr>
            </w:pPr>
          </w:p>
          <w:p w14:paraId="779BC607" w14:textId="77777777" w:rsidR="001E1112" w:rsidRPr="00317ABF" w:rsidRDefault="001E1112" w:rsidP="00DB3BEC">
            <w:pPr>
              <w:spacing w:before="120"/>
              <w:jc w:val="both"/>
              <w:rPr>
                <w:sz w:val="22"/>
                <w:szCs w:val="22"/>
              </w:rPr>
            </w:pPr>
          </w:p>
          <w:p w14:paraId="2E08FD98" w14:textId="77777777" w:rsidR="001E1112" w:rsidRPr="00317ABF" w:rsidRDefault="001E1112" w:rsidP="00DB3BEC">
            <w:pPr>
              <w:spacing w:before="120"/>
              <w:jc w:val="both"/>
              <w:rPr>
                <w:sz w:val="22"/>
                <w:szCs w:val="22"/>
              </w:rPr>
            </w:pPr>
          </w:p>
          <w:p w14:paraId="29F57E39" w14:textId="77777777" w:rsidR="001E1112" w:rsidRPr="00317ABF" w:rsidRDefault="001E1112" w:rsidP="00DB3BEC">
            <w:pPr>
              <w:spacing w:before="120"/>
              <w:jc w:val="both"/>
              <w:rPr>
                <w:sz w:val="22"/>
                <w:szCs w:val="22"/>
              </w:rPr>
            </w:pPr>
          </w:p>
          <w:p w14:paraId="49F8078E" w14:textId="77777777" w:rsidR="001E1112" w:rsidRPr="00317ABF" w:rsidRDefault="001E1112" w:rsidP="00DB3BEC">
            <w:pPr>
              <w:spacing w:before="120"/>
              <w:jc w:val="both"/>
              <w:rPr>
                <w:sz w:val="22"/>
                <w:szCs w:val="22"/>
              </w:rPr>
            </w:pPr>
          </w:p>
          <w:p w14:paraId="4B46AAED" w14:textId="77777777" w:rsidR="001E1112" w:rsidRPr="00317ABF" w:rsidRDefault="001E1112" w:rsidP="00DB3BEC">
            <w:pPr>
              <w:spacing w:before="120"/>
              <w:jc w:val="both"/>
              <w:rPr>
                <w:sz w:val="22"/>
                <w:szCs w:val="22"/>
              </w:rPr>
            </w:pPr>
          </w:p>
          <w:p w14:paraId="711825DA" w14:textId="77777777" w:rsidR="001E1112" w:rsidRPr="00317ABF" w:rsidRDefault="001E1112" w:rsidP="00DB3BEC">
            <w:pPr>
              <w:spacing w:before="120"/>
              <w:jc w:val="both"/>
              <w:rPr>
                <w:sz w:val="22"/>
                <w:szCs w:val="22"/>
              </w:rPr>
            </w:pPr>
          </w:p>
          <w:p w14:paraId="467121A4" w14:textId="77777777" w:rsidR="001E1112" w:rsidRPr="00317ABF" w:rsidRDefault="001E1112" w:rsidP="00DB3BEC">
            <w:pPr>
              <w:spacing w:before="120"/>
              <w:jc w:val="both"/>
              <w:rPr>
                <w:sz w:val="22"/>
                <w:szCs w:val="22"/>
              </w:rPr>
            </w:pPr>
          </w:p>
          <w:p w14:paraId="7D247DBF" w14:textId="77777777" w:rsidR="001E1112" w:rsidRPr="00317ABF" w:rsidRDefault="001E1112" w:rsidP="00DB3BEC">
            <w:pPr>
              <w:spacing w:before="120"/>
              <w:jc w:val="both"/>
              <w:rPr>
                <w:sz w:val="22"/>
                <w:szCs w:val="22"/>
              </w:rPr>
            </w:pPr>
          </w:p>
          <w:p w14:paraId="7BF8FB2C" w14:textId="77777777" w:rsidR="001E1112" w:rsidRPr="00317ABF" w:rsidRDefault="001E1112" w:rsidP="00DB3BEC">
            <w:pPr>
              <w:spacing w:before="120"/>
              <w:jc w:val="both"/>
              <w:rPr>
                <w:sz w:val="22"/>
                <w:szCs w:val="22"/>
              </w:rPr>
            </w:pPr>
          </w:p>
          <w:p w14:paraId="19C8D1AE" w14:textId="77777777" w:rsidR="001E1112" w:rsidRPr="00317ABF" w:rsidRDefault="001E1112" w:rsidP="00DB3BEC">
            <w:pPr>
              <w:spacing w:before="120"/>
              <w:jc w:val="both"/>
              <w:rPr>
                <w:sz w:val="22"/>
                <w:szCs w:val="22"/>
              </w:rPr>
            </w:pPr>
          </w:p>
          <w:p w14:paraId="5B1F70B7" w14:textId="3EEC3D74" w:rsidR="1D689557" w:rsidRPr="00317ABF" w:rsidRDefault="1D689557" w:rsidP="1D689557">
            <w:pPr>
              <w:spacing w:before="120"/>
              <w:jc w:val="both"/>
              <w:rPr>
                <w:sz w:val="22"/>
                <w:szCs w:val="22"/>
              </w:rPr>
            </w:pPr>
          </w:p>
          <w:p w14:paraId="64ED0813" w14:textId="2BBC54C7" w:rsidR="1D689557" w:rsidRPr="00317ABF" w:rsidRDefault="1D689557" w:rsidP="1D689557">
            <w:pPr>
              <w:spacing w:before="120"/>
              <w:jc w:val="both"/>
              <w:rPr>
                <w:sz w:val="22"/>
                <w:szCs w:val="22"/>
              </w:rPr>
            </w:pPr>
          </w:p>
          <w:p w14:paraId="0A758F3A" w14:textId="49407619" w:rsidR="1D689557" w:rsidRPr="00317ABF" w:rsidRDefault="1D689557" w:rsidP="1D689557">
            <w:pPr>
              <w:spacing w:before="120"/>
              <w:jc w:val="both"/>
              <w:rPr>
                <w:sz w:val="22"/>
                <w:szCs w:val="22"/>
              </w:rPr>
            </w:pPr>
          </w:p>
          <w:p w14:paraId="5D54842E" w14:textId="71710710" w:rsidR="1D689557" w:rsidRPr="00317ABF" w:rsidRDefault="1D689557" w:rsidP="1D689557">
            <w:pPr>
              <w:spacing w:before="120"/>
              <w:jc w:val="both"/>
              <w:rPr>
                <w:sz w:val="22"/>
                <w:szCs w:val="22"/>
              </w:rPr>
            </w:pPr>
          </w:p>
          <w:p w14:paraId="23C85276" w14:textId="2D44E8EA" w:rsidR="1D689557" w:rsidRPr="00317ABF" w:rsidRDefault="1D689557" w:rsidP="1D689557">
            <w:pPr>
              <w:spacing w:before="120"/>
              <w:jc w:val="both"/>
              <w:rPr>
                <w:sz w:val="22"/>
                <w:szCs w:val="22"/>
              </w:rPr>
            </w:pPr>
          </w:p>
          <w:p w14:paraId="77A057C3" w14:textId="1CF8ECFA" w:rsidR="1D689557" w:rsidRPr="00317ABF" w:rsidRDefault="1D689557" w:rsidP="1D689557">
            <w:pPr>
              <w:spacing w:before="120"/>
              <w:jc w:val="both"/>
              <w:rPr>
                <w:sz w:val="22"/>
                <w:szCs w:val="22"/>
              </w:rPr>
            </w:pPr>
          </w:p>
          <w:p w14:paraId="52B5A5D7" w14:textId="5B3ED38F" w:rsidR="1D689557" w:rsidRPr="00317ABF" w:rsidRDefault="1D689557" w:rsidP="1D689557">
            <w:pPr>
              <w:spacing w:before="120"/>
              <w:jc w:val="both"/>
              <w:rPr>
                <w:sz w:val="22"/>
                <w:szCs w:val="22"/>
              </w:rPr>
            </w:pPr>
          </w:p>
          <w:p w14:paraId="4400ADE7" w14:textId="56852A4D" w:rsidR="1D689557" w:rsidRPr="00317ABF" w:rsidRDefault="1D689557" w:rsidP="1D689557">
            <w:pPr>
              <w:spacing w:before="120"/>
              <w:jc w:val="both"/>
              <w:rPr>
                <w:sz w:val="22"/>
                <w:szCs w:val="22"/>
              </w:rPr>
            </w:pPr>
          </w:p>
          <w:p w14:paraId="75A2FE9E" w14:textId="45826220" w:rsidR="1D689557" w:rsidRPr="00317ABF" w:rsidRDefault="1D689557" w:rsidP="1D689557">
            <w:pPr>
              <w:spacing w:before="120"/>
              <w:jc w:val="both"/>
              <w:rPr>
                <w:sz w:val="22"/>
                <w:szCs w:val="22"/>
              </w:rPr>
            </w:pPr>
          </w:p>
          <w:p w14:paraId="20D9D903" w14:textId="27842D5A" w:rsidR="1D689557" w:rsidRPr="00317ABF" w:rsidRDefault="1D689557" w:rsidP="1D689557">
            <w:pPr>
              <w:spacing w:before="120"/>
              <w:jc w:val="both"/>
              <w:rPr>
                <w:sz w:val="22"/>
                <w:szCs w:val="22"/>
              </w:rPr>
            </w:pPr>
          </w:p>
          <w:p w14:paraId="14DF029E" w14:textId="49C9A38D" w:rsidR="1D689557" w:rsidRPr="00317ABF" w:rsidRDefault="1D689557" w:rsidP="1D689557">
            <w:pPr>
              <w:spacing w:before="120"/>
              <w:jc w:val="both"/>
              <w:rPr>
                <w:sz w:val="22"/>
                <w:szCs w:val="22"/>
              </w:rPr>
            </w:pPr>
          </w:p>
          <w:p w14:paraId="0702EB44" w14:textId="2F8929DE" w:rsidR="1D689557" w:rsidRPr="00317ABF" w:rsidRDefault="1D689557" w:rsidP="1D689557">
            <w:pPr>
              <w:spacing w:before="120"/>
              <w:jc w:val="both"/>
              <w:rPr>
                <w:sz w:val="22"/>
                <w:szCs w:val="22"/>
              </w:rPr>
            </w:pPr>
          </w:p>
          <w:p w14:paraId="6E249957" w14:textId="00E25441" w:rsidR="1D689557" w:rsidRPr="00317ABF" w:rsidRDefault="1D689557" w:rsidP="1D689557">
            <w:pPr>
              <w:spacing w:before="120"/>
              <w:jc w:val="both"/>
              <w:rPr>
                <w:sz w:val="22"/>
                <w:szCs w:val="22"/>
              </w:rPr>
            </w:pPr>
          </w:p>
          <w:p w14:paraId="5B48E5D0" w14:textId="77777777" w:rsidR="001E1112" w:rsidRPr="00317ABF" w:rsidRDefault="001E1112" w:rsidP="00DB3BEC">
            <w:pPr>
              <w:spacing w:before="120"/>
              <w:jc w:val="both"/>
              <w:rPr>
                <w:sz w:val="22"/>
                <w:szCs w:val="22"/>
              </w:rPr>
            </w:pPr>
          </w:p>
          <w:p w14:paraId="16A554C0" w14:textId="77777777" w:rsidR="001E1112" w:rsidRPr="00317ABF" w:rsidRDefault="001E1112" w:rsidP="00DB3BEC">
            <w:pPr>
              <w:spacing w:before="120"/>
              <w:jc w:val="both"/>
              <w:rPr>
                <w:sz w:val="22"/>
                <w:szCs w:val="22"/>
              </w:rPr>
            </w:pPr>
          </w:p>
          <w:p w14:paraId="5FB10AB6" w14:textId="77777777" w:rsidR="001E1112" w:rsidRPr="00317ABF" w:rsidRDefault="001E1112" w:rsidP="00DB3BEC">
            <w:pPr>
              <w:spacing w:before="120"/>
              <w:jc w:val="both"/>
              <w:rPr>
                <w:sz w:val="22"/>
                <w:szCs w:val="22"/>
              </w:rPr>
            </w:pPr>
          </w:p>
          <w:p w14:paraId="25F4D477" w14:textId="77777777" w:rsidR="001E1112" w:rsidRPr="00317ABF" w:rsidRDefault="001E1112" w:rsidP="00DB3BEC">
            <w:pPr>
              <w:spacing w:before="120"/>
              <w:jc w:val="both"/>
              <w:rPr>
                <w:sz w:val="22"/>
                <w:szCs w:val="22"/>
              </w:rPr>
            </w:pPr>
          </w:p>
          <w:p w14:paraId="7AEA91A8" w14:textId="0FF09300" w:rsidR="001E1112" w:rsidRPr="00317ABF" w:rsidRDefault="001E1112" w:rsidP="00DB3BEC">
            <w:pPr>
              <w:spacing w:before="120"/>
              <w:jc w:val="both"/>
              <w:rPr>
                <w:sz w:val="22"/>
                <w:szCs w:val="22"/>
              </w:rPr>
            </w:pPr>
          </w:p>
          <w:p w14:paraId="548E8512" w14:textId="0FF09300" w:rsidR="1C291CDF" w:rsidRPr="00317ABF" w:rsidRDefault="1C291CDF" w:rsidP="1C291CDF">
            <w:pPr>
              <w:spacing w:before="120"/>
              <w:jc w:val="both"/>
              <w:rPr>
                <w:sz w:val="22"/>
                <w:szCs w:val="22"/>
              </w:rPr>
            </w:pPr>
          </w:p>
          <w:p w14:paraId="14BA01B1" w14:textId="0FF09300" w:rsidR="1C291CDF" w:rsidRPr="00317ABF" w:rsidRDefault="1C291CDF" w:rsidP="1C291CDF">
            <w:pPr>
              <w:spacing w:before="120"/>
              <w:jc w:val="both"/>
              <w:rPr>
                <w:sz w:val="22"/>
                <w:szCs w:val="22"/>
              </w:rPr>
            </w:pPr>
          </w:p>
          <w:p w14:paraId="2C13C3D9" w14:textId="0FF09300" w:rsidR="1C291CDF" w:rsidRPr="00317ABF" w:rsidRDefault="1C291CDF" w:rsidP="1C291CDF">
            <w:pPr>
              <w:spacing w:before="120"/>
              <w:jc w:val="both"/>
              <w:rPr>
                <w:sz w:val="22"/>
                <w:szCs w:val="22"/>
              </w:rPr>
            </w:pPr>
          </w:p>
          <w:p w14:paraId="0662BEF6" w14:textId="03EF9E15" w:rsidR="1C291CDF" w:rsidRPr="00317ABF" w:rsidRDefault="1C291CDF" w:rsidP="1C291CDF">
            <w:pPr>
              <w:spacing w:before="120"/>
              <w:jc w:val="both"/>
              <w:rPr>
                <w:sz w:val="22"/>
                <w:szCs w:val="22"/>
              </w:rPr>
            </w:pPr>
          </w:p>
          <w:p w14:paraId="7D10E9F5" w14:textId="3F0989E2" w:rsidR="1C291CDF" w:rsidRPr="00317ABF" w:rsidRDefault="1C291CDF" w:rsidP="1C291CDF">
            <w:pPr>
              <w:spacing w:before="120"/>
              <w:jc w:val="both"/>
              <w:rPr>
                <w:sz w:val="22"/>
                <w:szCs w:val="22"/>
              </w:rPr>
            </w:pPr>
          </w:p>
          <w:p w14:paraId="5A90BB3D" w14:textId="2570AF33" w:rsidR="1C291CDF" w:rsidRPr="00317ABF" w:rsidRDefault="1C291CDF" w:rsidP="1C291CDF">
            <w:pPr>
              <w:spacing w:before="120"/>
              <w:jc w:val="both"/>
              <w:rPr>
                <w:sz w:val="22"/>
                <w:szCs w:val="22"/>
              </w:rPr>
            </w:pPr>
          </w:p>
          <w:p w14:paraId="59357F4E" w14:textId="72D2F6D1" w:rsidR="1C291CDF" w:rsidRPr="00317ABF" w:rsidRDefault="1C291CDF" w:rsidP="1C291CDF">
            <w:pPr>
              <w:spacing w:before="120"/>
              <w:jc w:val="both"/>
              <w:rPr>
                <w:sz w:val="22"/>
                <w:szCs w:val="22"/>
              </w:rPr>
            </w:pPr>
          </w:p>
          <w:p w14:paraId="593A9E02" w14:textId="15D9BC85" w:rsidR="1C291CDF" w:rsidRPr="00317ABF" w:rsidRDefault="1C291CDF" w:rsidP="1C291CDF">
            <w:pPr>
              <w:spacing w:before="120"/>
              <w:jc w:val="both"/>
              <w:rPr>
                <w:sz w:val="22"/>
                <w:szCs w:val="22"/>
              </w:rPr>
            </w:pPr>
          </w:p>
          <w:p w14:paraId="7DF5A6BA" w14:textId="54E1255E" w:rsidR="1C291CDF" w:rsidRPr="00317ABF" w:rsidRDefault="1C291CDF" w:rsidP="1C291CDF">
            <w:pPr>
              <w:spacing w:before="120"/>
              <w:jc w:val="both"/>
              <w:rPr>
                <w:sz w:val="22"/>
                <w:szCs w:val="22"/>
              </w:rPr>
            </w:pPr>
          </w:p>
          <w:p w14:paraId="0A1349C2" w14:textId="6FDF8939" w:rsidR="1C291CDF" w:rsidRPr="00317ABF" w:rsidRDefault="1C291CDF" w:rsidP="1C291CDF">
            <w:pPr>
              <w:spacing w:before="120"/>
              <w:jc w:val="both"/>
              <w:rPr>
                <w:sz w:val="22"/>
                <w:szCs w:val="22"/>
              </w:rPr>
            </w:pPr>
          </w:p>
          <w:p w14:paraId="16510E90" w14:textId="08850DA5" w:rsidR="1C291CDF" w:rsidRPr="00317ABF" w:rsidRDefault="1C291CDF" w:rsidP="1C291CDF">
            <w:pPr>
              <w:spacing w:before="120"/>
              <w:jc w:val="both"/>
              <w:rPr>
                <w:sz w:val="22"/>
                <w:szCs w:val="22"/>
              </w:rPr>
            </w:pPr>
          </w:p>
          <w:p w14:paraId="2A76CD80" w14:textId="2D6BABCC" w:rsidR="1C291CDF" w:rsidRPr="00317ABF" w:rsidRDefault="1C291CDF" w:rsidP="1C291CDF">
            <w:pPr>
              <w:spacing w:before="120"/>
              <w:jc w:val="both"/>
              <w:rPr>
                <w:sz w:val="22"/>
                <w:szCs w:val="22"/>
              </w:rPr>
            </w:pPr>
          </w:p>
          <w:p w14:paraId="47EA51C3" w14:textId="7C3AAA95" w:rsidR="1C291CDF" w:rsidRPr="00317ABF" w:rsidRDefault="1C291CDF" w:rsidP="1C291CDF">
            <w:pPr>
              <w:spacing w:before="120"/>
              <w:jc w:val="both"/>
              <w:rPr>
                <w:sz w:val="22"/>
                <w:szCs w:val="22"/>
              </w:rPr>
            </w:pPr>
          </w:p>
          <w:p w14:paraId="725FB7C4" w14:textId="120E4C20" w:rsidR="1C291CDF" w:rsidRPr="00317ABF" w:rsidRDefault="1C291CDF" w:rsidP="1C291CDF">
            <w:pPr>
              <w:spacing w:before="120"/>
              <w:jc w:val="both"/>
              <w:rPr>
                <w:sz w:val="22"/>
                <w:szCs w:val="22"/>
              </w:rPr>
            </w:pPr>
          </w:p>
          <w:p w14:paraId="352ADC6E" w14:textId="0CB518A5" w:rsidR="1C291CDF" w:rsidRPr="00317ABF" w:rsidRDefault="1C291CDF" w:rsidP="1C291CDF">
            <w:pPr>
              <w:spacing w:before="120"/>
              <w:jc w:val="both"/>
              <w:rPr>
                <w:sz w:val="22"/>
                <w:szCs w:val="22"/>
              </w:rPr>
            </w:pPr>
          </w:p>
          <w:p w14:paraId="0047613A" w14:textId="7B543815" w:rsidR="001E1112" w:rsidRPr="00317ABF" w:rsidRDefault="001E1112" w:rsidP="00DB3BEC">
            <w:pPr>
              <w:spacing w:before="120"/>
              <w:jc w:val="both"/>
              <w:rPr>
                <w:sz w:val="22"/>
                <w:szCs w:val="22"/>
              </w:rPr>
            </w:pPr>
            <w:r w:rsidRPr="00317ABF">
              <w:rPr>
                <w:sz w:val="22"/>
                <w:szCs w:val="22"/>
              </w:rPr>
              <w:t xml:space="preserve">W stosownych przypadkach dany właściwy organ informuje właściwe organy innych państw członkowskich oraz ENISA. W przypadku gdy właściwy organ uzna, </w:t>
            </w:r>
            <w:r w:rsidRPr="00317ABF">
              <w:rPr>
                <w:sz w:val="22"/>
                <w:szCs w:val="22"/>
              </w:rPr>
              <w:lastRenderedPageBreak/>
              <w:t>że ujawnienie incydentu związanego z bezpieczeństwem leży w interesie publicznym, może podać tę informację do wiadomości publicznej lub nałożyć taki obowiązek na podmioty.</w:t>
            </w:r>
          </w:p>
          <w:p w14:paraId="2E57FD7D" w14:textId="77777777" w:rsidR="001E1112" w:rsidRPr="00317ABF" w:rsidRDefault="001E1112" w:rsidP="00DB3BEC">
            <w:pPr>
              <w:jc w:val="both"/>
              <w:rPr>
                <w:sz w:val="22"/>
                <w:szCs w:val="22"/>
              </w:rPr>
            </w:pPr>
            <w:r w:rsidRPr="00317ABF">
              <w:rPr>
                <w:sz w:val="22"/>
                <w:szCs w:val="22"/>
              </w:rPr>
              <w:t>Raz w roku właściwy organ przekazuje Komisji i ENISA sprawozdanie podsumowujące otrzymane zgłoszenia i działania podjęte zgodnie z niniejszym ustępem.</w:t>
            </w:r>
          </w:p>
        </w:tc>
        <w:tc>
          <w:tcPr>
            <w:tcW w:w="986" w:type="dxa"/>
          </w:tcPr>
          <w:p w14:paraId="6D05CB64" w14:textId="2DB31609" w:rsidR="001E1112" w:rsidRPr="00317ABF" w:rsidRDefault="001E1112" w:rsidP="00DB3BEC">
            <w:pPr>
              <w:jc w:val="both"/>
              <w:rPr>
                <w:sz w:val="22"/>
                <w:szCs w:val="22"/>
              </w:rPr>
            </w:pPr>
            <w:r w:rsidRPr="00317ABF">
              <w:rPr>
                <w:sz w:val="22"/>
                <w:szCs w:val="22"/>
              </w:rPr>
              <w:lastRenderedPageBreak/>
              <w:t>T</w:t>
            </w:r>
          </w:p>
        </w:tc>
        <w:tc>
          <w:tcPr>
            <w:tcW w:w="910" w:type="dxa"/>
          </w:tcPr>
          <w:p w14:paraId="7E94FEE7" w14:textId="418FE91F" w:rsidR="4066BA51" w:rsidRPr="00317ABF" w:rsidRDefault="4066BA51" w:rsidP="228F1112">
            <w:pPr>
              <w:pStyle w:val="Tekstpodstawowy"/>
              <w:rPr>
                <w:b/>
                <w:bCs/>
                <w:noProof/>
                <w:sz w:val="22"/>
                <w:szCs w:val="22"/>
              </w:rPr>
            </w:pPr>
            <w:r w:rsidRPr="00317ABF">
              <w:rPr>
                <w:b/>
                <w:bCs/>
                <w:noProof/>
                <w:sz w:val="22"/>
                <w:szCs w:val="22"/>
              </w:rPr>
              <w:t xml:space="preserve">Art. 20d ust. 1 i 3 oraz art. 20e ustawy o krajowym systemie cyberbezpieczeństwa </w:t>
            </w:r>
            <w:r w:rsidRPr="00317ABF">
              <w:rPr>
                <w:noProof/>
                <w:sz w:val="22"/>
                <w:szCs w:val="22"/>
              </w:rPr>
              <w:t>(art. 51 pkt 4 ustawy wprowadzającej PKE)</w:t>
            </w:r>
          </w:p>
          <w:p w14:paraId="2D8006DC" w14:textId="77777777" w:rsidR="001E1112" w:rsidRPr="00317ABF" w:rsidRDefault="001E1112" w:rsidP="00DB3BEC">
            <w:pPr>
              <w:pStyle w:val="Tekstpodstawowy"/>
              <w:rPr>
                <w:b/>
                <w:noProof/>
                <w:sz w:val="22"/>
                <w:szCs w:val="22"/>
              </w:rPr>
            </w:pPr>
          </w:p>
          <w:p w14:paraId="2393FEB7" w14:textId="77777777" w:rsidR="001E1112" w:rsidRPr="00317ABF" w:rsidRDefault="001E1112" w:rsidP="00DB3BEC">
            <w:pPr>
              <w:pStyle w:val="Tekstpodstawowy"/>
              <w:rPr>
                <w:b/>
                <w:noProof/>
                <w:sz w:val="22"/>
                <w:szCs w:val="22"/>
              </w:rPr>
            </w:pPr>
          </w:p>
          <w:p w14:paraId="7F9F6F52" w14:textId="77777777" w:rsidR="001E1112" w:rsidRPr="00317ABF" w:rsidRDefault="001E1112" w:rsidP="00DB3BEC">
            <w:pPr>
              <w:pStyle w:val="Tekstpodstawowy"/>
              <w:rPr>
                <w:b/>
                <w:noProof/>
                <w:sz w:val="22"/>
                <w:szCs w:val="22"/>
              </w:rPr>
            </w:pPr>
          </w:p>
          <w:p w14:paraId="227E8983" w14:textId="77777777" w:rsidR="001E1112" w:rsidRPr="00317ABF" w:rsidRDefault="001E1112" w:rsidP="00DB3BEC">
            <w:pPr>
              <w:pStyle w:val="Tekstpodstawowy"/>
              <w:rPr>
                <w:b/>
                <w:noProof/>
                <w:sz w:val="22"/>
                <w:szCs w:val="22"/>
              </w:rPr>
            </w:pPr>
          </w:p>
          <w:p w14:paraId="6B6E2FA5" w14:textId="77777777" w:rsidR="001E1112" w:rsidRPr="00317ABF" w:rsidRDefault="001E1112" w:rsidP="00DB3BEC">
            <w:pPr>
              <w:pStyle w:val="Tekstpodstawowy"/>
              <w:rPr>
                <w:b/>
                <w:noProof/>
                <w:sz w:val="22"/>
                <w:szCs w:val="22"/>
              </w:rPr>
            </w:pPr>
          </w:p>
          <w:p w14:paraId="7D26AA99" w14:textId="77777777" w:rsidR="001E1112" w:rsidRPr="00317ABF" w:rsidRDefault="001E1112" w:rsidP="00DB3BEC">
            <w:pPr>
              <w:pStyle w:val="Tekstpodstawowy"/>
              <w:rPr>
                <w:b/>
                <w:noProof/>
                <w:sz w:val="22"/>
                <w:szCs w:val="22"/>
              </w:rPr>
            </w:pPr>
          </w:p>
          <w:p w14:paraId="4F6BB1E2" w14:textId="77777777" w:rsidR="001E1112" w:rsidRPr="00317ABF" w:rsidRDefault="001E1112" w:rsidP="00DB3BEC">
            <w:pPr>
              <w:pStyle w:val="Tekstpodstawowy"/>
              <w:rPr>
                <w:b/>
                <w:noProof/>
                <w:sz w:val="22"/>
                <w:szCs w:val="22"/>
              </w:rPr>
            </w:pPr>
          </w:p>
          <w:p w14:paraId="71940024" w14:textId="77777777" w:rsidR="001E1112" w:rsidRPr="00317ABF" w:rsidRDefault="001E1112" w:rsidP="00DB3BEC">
            <w:pPr>
              <w:pStyle w:val="Tekstpodstawowy"/>
              <w:rPr>
                <w:b/>
                <w:noProof/>
                <w:sz w:val="22"/>
                <w:szCs w:val="22"/>
              </w:rPr>
            </w:pPr>
          </w:p>
          <w:p w14:paraId="55D66B80" w14:textId="77777777" w:rsidR="001E1112" w:rsidRPr="00317ABF" w:rsidRDefault="001E1112" w:rsidP="00DB3BEC">
            <w:pPr>
              <w:pStyle w:val="Tekstpodstawowy"/>
              <w:rPr>
                <w:b/>
                <w:noProof/>
                <w:sz w:val="22"/>
                <w:szCs w:val="22"/>
              </w:rPr>
            </w:pPr>
          </w:p>
          <w:p w14:paraId="1DE6E23F" w14:textId="77777777" w:rsidR="001E1112" w:rsidRPr="00317ABF" w:rsidRDefault="001E1112" w:rsidP="00DB3BEC">
            <w:pPr>
              <w:pStyle w:val="Tekstpodstawowy"/>
              <w:rPr>
                <w:b/>
                <w:noProof/>
                <w:sz w:val="22"/>
                <w:szCs w:val="22"/>
              </w:rPr>
            </w:pPr>
          </w:p>
          <w:p w14:paraId="3D824F12" w14:textId="77777777" w:rsidR="001E1112" w:rsidRPr="00317ABF" w:rsidRDefault="001E1112" w:rsidP="00DB3BEC">
            <w:pPr>
              <w:pStyle w:val="Tekstpodstawowy"/>
              <w:rPr>
                <w:b/>
                <w:noProof/>
                <w:sz w:val="22"/>
                <w:szCs w:val="22"/>
              </w:rPr>
            </w:pPr>
          </w:p>
          <w:p w14:paraId="4B204A9E" w14:textId="77777777" w:rsidR="001E1112" w:rsidRPr="00317ABF" w:rsidRDefault="001E1112" w:rsidP="00DB3BEC">
            <w:pPr>
              <w:pStyle w:val="Tekstpodstawowy"/>
              <w:rPr>
                <w:b/>
                <w:noProof/>
                <w:sz w:val="22"/>
                <w:szCs w:val="22"/>
              </w:rPr>
            </w:pPr>
          </w:p>
          <w:p w14:paraId="30DB6A83" w14:textId="77777777" w:rsidR="001E1112" w:rsidRPr="00317ABF" w:rsidRDefault="001E1112" w:rsidP="00DB3BEC">
            <w:pPr>
              <w:pStyle w:val="Tekstpodstawowy"/>
              <w:rPr>
                <w:b/>
                <w:noProof/>
                <w:sz w:val="22"/>
                <w:szCs w:val="22"/>
              </w:rPr>
            </w:pPr>
          </w:p>
          <w:p w14:paraId="6C91F8A2" w14:textId="77777777" w:rsidR="001E1112" w:rsidRPr="00317ABF" w:rsidRDefault="001E1112" w:rsidP="00DB3BEC">
            <w:pPr>
              <w:pStyle w:val="Tekstpodstawowy"/>
              <w:rPr>
                <w:b/>
                <w:noProof/>
                <w:sz w:val="22"/>
                <w:szCs w:val="22"/>
              </w:rPr>
            </w:pPr>
          </w:p>
          <w:p w14:paraId="36FC3EE9" w14:textId="77777777" w:rsidR="001E1112" w:rsidRPr="00317ABF" w:rsidRDefault="001E1112" w:rsidP="00DB3BEC">
            <w:pPr>
              <w:pStyle w:val="Tekstpodstawowy"/>
              <w:rPr>
                <w:b/>
                <w:noProof/>
                <w:sz w:val="22"/>
                <w:szCs w:val="22"/>
              </w:rPr>
            </w:pPr>
          </w:p>
          <w:p w14:paraId="06064564" w14:textId="77777777" w:rsidR="001E1112" w:rsidRPr="00317ABF" w:rsidRDefault="001E1112" w:rsidP="00DB3BEC">
            <w:pPr>
              <w:pStyle w:val="Tekstpodstawowy"/>
              <w:rPr>
                <w:b/>
                <w:noProof/>
                <w:sz w:val="22"/>
                <w:szCs w:val="22"/>
              </w:rPr>
            </w:pPr>
          </w:p>
          <w:p w14:paraId="39A0D183" w14:textId="77777777" w:rsidR="001E1112" w:rsidRPr="00317ABF" w:rsidRDefault="001E1112" w:rsidP="00DB3BEC">
            <w:pPr>
              <w:pStyle w:val="Tekstpodstawowy"/>
              <w:rPr>
                <w:b/>
                <w:noProof/>
                <w:sz w:val="22"/>
                <w:szCs w:val="22"/>
              </w:rPr>
            </w:pPr>
          </w:p>
          <w:p w14:paraId="699273AA" w14:textId="77777777" w:rsidR="001E1112" w:rsidRPr="00317ABF" w:rsidRDefault="001E1112" w:rsidP="00DB3BEC">
            <w:pPr>
              <w:pStyle w:val="Tekstpodstawowy"/>
              <w:rPr>
                <w:b/>
                <w:noProof/>
                <w:sz w:val="22"/>
                <w:szCs w:val="22"/>
              </w:rPr>
            </w:pPr>
          </w:p>
          <w:p w14:paraId="326C423C" w14:textId="77777777" w:rsidR="001E1112" w:rsidRPr="00317ABF" w:rsidRDefault="001E1112" w:rsidP="00DB3BEC">
            <w:pPr>
              <w:pStyle w:val="Tekstpodstawowy"/>
              <w:rPr>
                <w:b/>
                <w:noProof/>
                <w:sz w:val="22"/>
                <w:szCs w:val="22"/>
              </w:rPr>
            </w:pPr>
          </w:p>
          <w:p w14:paraId="7E35CCD6" w14:textId="77777777" w:rsidR="001E1112" w:rsidRPr="00317ABF" w:rsidRDefault="001E1112" w:rsidP="00DB3BEC">
            <w:pPr>
              <w:pStyle w:val="Tekstpodstawowy"/>
              <w:rPr>
                <w:b/>
                <w:noProof/>
                <w:sz w:val="22"/>
                <w:szCs w:val="22"/>
              </w:rPr>
            </w:pPr>
          </w:p>
          <w:p w14:paraId="71003429" w14:textId="77777777" w:rsidR="001E1112" w:rsidRPr="00317ABF" w:rsidRDefault="001E1112" w:rsidP="00DB3BEC">
            <w:pPr>
              <w:pStyle w:val="Tekstpodstawowy"/>
              <w:rPr>
                <w:b/>
                <w:noProof/>
                <w:sz w:val="22"/>
                <w:szCs w:val="22"/>
              </w:rPr>
            </w:pPr>
          </w:p>
          <w:p w14:paraId="2FDE0401" w14:textId="77777777" w:rsidR="001E1112" w:rsidRPr="00317ABF" w:rsidRDefault="001E1112" w:rsidP="00DB3BEC">
            <w:pPr>
              <w:pStyle w:val="Tekstpodstawowy"/>
              <w:rPr>
                <w:b/>
                <w:noProof/>
                <w:sz w:val="22"/>
                <w:szCs w:val="22"/>
              </w:rPr>
            </w:pPr>
          </w:p>
          <w:p w14:paraId="734C5E9F" w14:textId="77777777" w:rsidR="001E1112" w:rsidRPr="00317ABF" w:rsidRDefault="001E1112" w:rsidP="00DB3BEC">
            <w:pPr>
              <w:pStyle w:val="Tekstpodstawowy"/>
              <w:rPr>
                <w:b/>
                <w:noProof/>
                <w:sz w:val="22"/>
                <w:szCs w:val="22"/>
              </w:rPr>
            </w:pPr>
          </w:p>
          <w:p w14:paraId="53D6E5CF" w14:textId="77777777" w:rsidR="001E1112" w:rsidRPr="00317ABF" w:rsidRDefault="001E1112" w:rsidP="00DB3BEC">
            <w:pPr>
              <w:pStyle w:val="Tekstpodstawowy"/>
              <w:rPr>
                <w:b/>
                <w:noProof/>
                <w:sz w:val="22"/>
                <w:szCs w:val="22"/>
              </w:rPr>
            </w:pPr>
          </w:p>
          <w:p w14:paraId="763B0D56" w14:textId="77777777" w:rsidR="001E1112" w:rsidRPr="00317ABF" w:rsidRDefault="001E1112" w:rsidP="00DB3BEC">
            <w:pPr>
              <w:pStyle w:val="Tekstpodstawowy"/>
              <w:rPr>
                <w:b/>
                <w:noProof/>
                <w:sz w:val="22"/>
                <w:szCs w:val="22"/>
              </w:rPr>
            </w:pPr>
          </w:p>
          <w:p w14:paraId="527BA5F6" w14:textId="77777777" w:rsidR="001E1112" w:rsidRPr="00317ABF" w:rsidRDefault="001E1112" w:rsidP="00DB3BEC">
            <w:pPr>
              <w:pStyle w:val="Tekstpodstawowy"/>
              <w:rPr>
                <w:b/>
                <w:noProof/>
                <w:sz w:val="22"/>
                <w:szCs w:val="22"/>
              </w:rPr>
            </w:pPr>
          </w:p>
          <w:p w14:paraId="6C9AA2CF" w14:textId="77777777" w:rsidR="001E1112" w:rsidRPr="00317ABF" w:rsidRDefault="001E1112" w:rsidP="00DB3BEC">
            <w:pPr>
              <w:pStyle w:val="Tekstpodstawowy"/>
              <w:rPr>
                <w:b/>
                <w:noProof/>
                <w:sz w:val="22"/>
                <w:szCs w:val="22"/>
              </w:rPr>
            </w:pPr>
          </w:p>
          <w:p w14:paraId="0364D43E" w14:textId="77777777" w:rsidR="001E1112" w:rsidRPr="00317ABF" w:rsidRDefault="001E1112" w:rsidP="00DB3BEC">
            <w:pPr>
              <w:pStyle w:val="Tekstpodstawowy"/>
              <w:rPr>
                <w:b/>
                <w:noProof/>
                <w:sz w:val="22"/>
                <w:szCs w:val="22"/>
              </w:rPr>
            </w:pPr>
          </w:p>
          <w:p w14:paraId="4E2EF782" w14:textId="77777777" w:rsidR="001E1112" w:rsidRPr="00317ABF" w:rsidRDefault="001E1112" w:rsidP="00DB3BEC">
            <w:pPr>
              <w:pStyle w:val="Tekstpodstawowy"/>
              <w:rPr>
                <w:b/>
                <w:noProof/>
                <w:sz w:val="22"/>
                <w:szCs w:val="22"/>
              </w:rPr>
            </w:pPr>
          </w:p>
          <w:p w14:paraId="7ADA1DC6" w14:textId="77777777" w:rsidR="001E1112" w:rsidRPr="00317ABF" w:rsidRDefault="001E1112" w:rsidP="00DB3BEC">
            <w:pPr>
              <w:pStyle w:val="Tekstpodstawowy"/>
              <w:rPr>
                <w:b/>
                <w:noProof/>
                <w:sz w:val="22"/>
                <w:szCs w:val="22"/>
              </w:rPr>
            </w:pPr>
          </w:p>
          <w:p w14:paraId="1CB5362F" w14:textId="77777777" w:rsidR="001E1112" w:rsidRPr="00317ABF" w:rsidRDefault="001E1112" w:rsidP="00DB3BEC">
            <w:pPr>
              <w:pStyle w:val="Tekstpodstawowy"/>
              <w:rPr>
                <w:b/>
                <w:noProof/>
                <w:sz w:val="22"/>
                <w:szCs w:val="22"/>
              </w:rPr>
            </w:pPr>
          </w:p>
          <w:p w14:paraId="6EEC6949" w14:textId="77777777" w:rsidR="001E1112" w:rsidRPr="00317ABF" w:rsidRDefault="001E1112" w:rsidP="00DB3BEC">
            <w:pPr>
              <w:pStyle w:val="Tekstpodstawowy"/>
              <w:rPr>
                <w:b/>
                <w:noProof/>
                <w:sz w:val="22"/>
                <w:szCs w:val="22"/>
              </w:rPr>
            </w:pPr>
          </w:p>
          <w:p w14:paraId="7E9008E8" w14:textId="77777777" w:rsidR="001E1112" w:rsidRPr="00317ABF" w:rsidRDefault="001E1112" w:rsidP="00DB3BEC">
            <w:pPr>
              <w:pStyle w:val="Tekstpodstawowy"/>
              <w:rPr>
                <w:b/>
                <w:noProof/>
                <w:sz w:val="22"/>
                <w:szCs w:val="22"/>
              </w:rPr>
            </w:pPr>
          </w:p>
          <w:p w14:paraId="76B2A1FE" w14:textId="77777777" w:rsidR="001E1112" w:rsidRPr="00317ABF" w:rsidRDefault="001E1112" w:rsidP="00DB3BEC">
            <w:pPr>
              <w:pStyle w:val="Tekstpodstawowy"/>
              <w:rPr>
                <w:b/>
                <w:noProof/>
                <w:sz w:val="22"/>
                <w:szCs w:val="22"/>
              </w:rPr>
            </w:pPr>
          </w:p>
          <w:p w14:paraId="3DFD74E6" w14:textId="77777777" w:rsidR="001E1112" w:rsidRPr="00317ABF" w:rsidRDefault="001E1112" w:rsidP="00DB3BEC">
            <w:pPr>
              <w:pStyle w:val="Tekstpodstawowy"/>
              <w:rPr>
                <w:b/>
                <w:noProof/>
                <w:sz w:val="22"/>
                <w:szCs w:val="22"/>
              </w:rPr>
            </w:pPr>
          </w:p>
          <w:p w14:paraId="3F7A7D7C" w14:textId="77777777" w:rsidR="001E1112" w:rsidRPr="00317ABF" w:rsidRDefault="001E1112" w:rsidP="00DB3BEC">
            <w:pPr>
              <w:pStyle w:val="Tekstpodstawowy"/>
              <w:rPr>
                <w:b/>
                <w:noProof/>
                <w:sz w:val="22"/>
                <w:szCs w:val="22"/>
              </w:rPr>
            </w:pPr>
          </w:p>
          <w:p w14:paraId="592CE765" w14:textId="77777777" w:rsidR="001E1112" w:rsidRPr="00317ABF" w:rsidRDefault="001E1112" w:rsidP="00DB3BEC">
            <w:pPr>
              <w:pStyle w:val="Tekstpodstawowy"/>
              <w:rPr>
                <w:b/>
                <w:noProof/>
                <w:sz w:val="22"/>
                <w:szCs w:val="22"/>
              </w:rPr>
            </w:pPr>
          </w:p>
          <w:p w14:paraId="2AB5F65E" w14:textId="77777777" w:rsidR="001E1112" w:rsidRPr="00317ABF" w:rsidRDefault="001E1112" w:rsidP="00DB3BEC">
            <w:pPr>
              <w:pStyle w:val="Tekstpodstawowy"/>
              <w:rPr>
                <w:b/>
                <w:noProof/>
                <w:sz w:val="22"/>
                <w:szCs w:val="22"/>
              </w:rPr>
            </w:pPr>
          </w:p>
          <w:p w14:paraId="21B94479" w14:textId="77777777" w:rsidR="001E1112" w:rsidRPr="00317ABF" w:rsidRDefault="001E1112" w:rsidP="00DB3BEC">
            <w:pPr>
              <w:pStyle w:val="Tekstpodstawowy"/>
              <w:rPr>
                <w:b/>
                <w:noProof/>
                <w:sz w:val="22"/>
                <w:szCs w:val="22"/>
              </w:rPr>
            </w:pPr>
          </w:p>
          <w:p w14:paraId="5B84A501" w14:textId="77777777" w:rsidR="001E1112" w:rsidRPr="00317ABF" w:rsidRDefault="001E1112" w:rsidP="00DB3BEC">
            <w:pPr>
              <w:pStyle w:val="Tekstpodstawowy"/>
              <w:rPr>
                <w:b/>
                <w:noProof/>
                <w:sz w:val="22"/>
                <w:szCs w:val="22"/>
              </w:rPr>
            </w:pPr>
          </w:p>
          <w:p w14:paraId="0ABB0968" w14:textId="77777777" w:rsidR="001E1112" w:rsidRPr="00317ABF" w:rsidRDefault="001E1112" w:rsidP="00DB3BEC">
            <w:pPr>
              <w:pStyle w:val="Tekstpodstawowy"/>
              <w:rPr>
                <w:b/>
                <w:noProof/>
                <w:sz w:val="22"/>
                <w:szCs w:val="22"/>
              </w:rPr>
            </w:pPr>
          </w:p>
          <w:p w14:paraId="44649FCA" w14:textId="77777777" w:rsidR="001E1112" w:rsidRPr="00317ABF" w:rsidRDefault="001E1112" w:rsidP="00DB3BEC">
            <w:pPr>
              <w:pStyle w:val="Tekstpodstawowy"/>
              <w:rPr>
                <w:b/>
                <w:noProof/>
                <w:sz w:val="22"/>
                <w:szCs w:val="22"/>
              </w:rPr>
            </w:pPr>
          </w:p>
          <w:p w14:paraId="6352ED62" w14:textId="77777777" w:rsidR="001E1112" w:rsidRPr="00317ABF" w:rsidRDefault="001E1112" w:rsidP="00DB3BEC">
            <w:pPr>
              <w:pStyle w:val="Tekstpodstawowy"/>
              <w:rPr>
                <w:b/>
                <w:noProof/>
                <w:sz w:val="22"/>
                <w:szCs w:val="22"/>
              </w:rPr>
            </w:pPr>
          </w:p>
          <w:p w14:paraId="7F69C31B" w14:textId="77777777" w:rsidR="001E1112" w:rsidRPr="00317ABF" w:rsidRDefault="001E1112" w:rsidP="00DB3BEC">
            <w:pPr>
              <w:pStyle w:val="Tekstpodstawowy"/>
              <w:rPr>
                <w:b/>
                <w:noProof/>
                <w:sz w:val="22"/>
                <w:szCs w:val="22"/>
              </w:rPr>
            </w:pPr>
          </w:p>
          <w:p w14:paraId="176EE257" w14:textId="77777777" w:rsidR="001E1112" w:rsidRPr="00317ABF" w:rsidRDefault="001E1112" w:rsidP="00DB3BEC">
            <w:pPr>
              <w:pStyle w:val="Tekstpodstawowy"/>
              <w:rPr>
                <w:b/>
                <w:noProof/>
                <w:sz w:val="22"/>
                <w:szCs w:val="22"/>
              </w:rPr>
            </w:pPr>
          </w:p>
          <w:p w14:paraId="13EDDD14" w14:textId="77777777" w:rsidR="001E1112" w:rsidRPr="00317ABF" w:rsidRDefault="001E1112" w:rsidP="00DB3BEC">
            <w:pPr>
              <w:pStyle w:val="Tekstpodstawowy"/>
              <w:rPr>
                <w:b/>
                <w:noProof/>
                <w:sz w:val="22"/>
                <w:szCs w:val="22"/>
              </w:rPr>
            </w:pPr>
          </w:p>
          <w:p w14:paraId="274707F5" w14:textId="77777777" w:rsidR="001E1112" w:rsidRPr="00317ABF" w:rsidRDefault="001E1112" w:rsidP="00DB3BEC">
            <w:pPr>
              <w:pStyle w:val="Tekstpodstawowy"/>
              <w:rPr>
                <w:b/>
                <w:noProof/>
                <w:sz w:val="22"/>
                <w:szCs w:val="22"/>
              </w:rPr>
            </w:pPr>
          </w:p>
          <w:p w14:paraId="6B09049D" w14:textId="77777777" w:rsidR="001E1112" w:rsidRPr="00317ABF" w:rsidRDefault="001E1112" w:rsidP="00DB3BEC">
            <w:pPr>
              <w:pStyle w:val="Tekstpodstawowy"/>
              <w:rPr>
                <w:b/>
                <w:noProof/>
                <w:sz w:val="22"/>
                <w:szCs w:val="22"/>
              </w:rPr>
            </w:pPr>
          </w:p>
          <w:p w14:paraId="5402E73B" w14:textId="77777777" w:rsidR="001E1112" w:rsidRPr="00317ABF" w:rsidRDefault="001E1112" w:rsidP="00DB3BEC">
            <w:pPr>
              <w:pStyle w:val="Tekstpodstawowy"/>
              <w:rPr>
                <w:b/>
                <w:noProof/>
                <w:sz w:val="22"/>
                <w:szCs w:val="22"/>
              </w:rPr>
            </w:pPr>
          </w:p>
          <w:p w14:paraId="0E6DA75E" w14:textId="77777777" w:rsidR="001E1112" w:rsidRPr="00317ABF" w:rsidRDefault="001E1112" w:rsidP="00DB3BEC">
            <w:pPr>
              <w:pStyle w:val="Tekstpodstawowy"/>
              <w:rPr>
                <w:b/>
                <w:noProof/>
                <w:sz w:val="22"/>
                <w:szCs w:val="22"/>
              </w:rPr>
            </w:pPr>
          </w:p>
          <w:p w14:paraId="1FBA67F7" w14:textId="77777777" w:rsidR="001E1112" w:rsidRPr="00317ABF" w:rsidRDefault="001E1112" w:rsidP="00DB3BEC">
            <w:pPr>
              <w:pStyle w:val="Tekstpodstawowy"/>
              <w:rPr>
                <w:b/>
                <w:noProof/>
                <w:sz w:val="22"/>
                <w:szCs w:val="22"/>
              </w:rPr>
            </w:pPr>
          </w:p>
          <w:p w14:paraId="4D3325A7" w14:textId="77777777" w:rsidR="001E1112" w:rsidRPr="00317ABF" w:rsidRDefault="001E1112" w:rsidP="00DB3BEC">
            <w:pPr>
              <w:pStyle w:val="Tekstpodstawowy"/>
              <w:rPr>
                <w:b/>
                <w:noProof/>
                <w:sz w:val="22"/>
                <w:szCs w:val="22"/>
              </w:rPr>
            </w:pPr>
          </w:p>
          <w:p w14:paraId="3E3856FA" w14:textId="77777777" w:rsidR="001E1112" w:rsidRPr="00317ABF" w:rsidRDefault="001E1112" w:rsidP="00DB3BEC">
            <w:pPr>
              <w:pStyle w:val="Tekstpodstawowy"/>
              <w:rPr>
                <w:b/>
                <w:noProof/>
                <w:sz w:val="22"/>
                <w:szCs w:val="22"/>
              </w:rPr>
            </w:pPr>
          </w:p>
          <w:p w14:paraId="126D9076" w14:textId="77777777" w:rsidR="001E1112" w:rsidRPr="00317ABF" w:rsidRDefault="001E1112" w:rsidP="00DB3BEC">
            <w:pPr>
              <w:pStyle w:val="Tekstpodstawowy"/>
              <w:rPr>
                <w:b/>
                <w:noProof/>
                <w:sz w:val="22"/>
                <w:szCs w:val="22"/>
              </w:rPr>
            </w:pPr>
          </w:p>
          <w:p w14:paraId="104BB7F7" w14:textId="77777777" w:rsidR="001E1112" w:rsidRPr="00317ABF" w:rsidRDefault="001E1112" w:rsidP="00DB3BEC">
            <w:pPr>
              <w:pStyle w:val="Tekstpodstawowy"/>
              <w:rPr>
                <w:b/>
                <w:noProof/>
                <w:sz w:val="22"/>
                <w:szCs w:val="22"/>
              </w:rPr>
            </w:pPr>
          </w:p>
          <w:p w14:paraId="43DD41F1" w14:textId="77777777" w:rsidR="001E1112" w:rsidRPr="00317ABF" w:rsidRDefault="001E1112" w:rsidP="00DB3BEC">
            <w:pPr>
              <w:pStyle w:val="Tekstpodstawowy"/>
              <w:rPr>
                <w:b/>
                <w:noProof/>
                <w:sz w:val="22"/>
                <w:szCs w:val="22"/>
              </w:rPr>
            </w:pPr>
          </w:p>
          <w:p w14:paraId="1A3791C5" w14:textId="77777777" w:rsidR="001E1112" w:rsidRPr="00317ABF" w:rsidRDefault="001E1112" w:rsidP="00DB3BEC">
            <w:pPr>
              <w:pStyle w:val="Tekstpodstawowy"/>
              <w:rPr>
                <w:b/>
                <w:noProof/>
                <w:sz w:val="22"/>
                <w:szCs w:val="22"/>
              </w:rPr>
            </w:pPr>
          </w:p>
          <w:p w14:paraId="60DFF686" w14:textId="77777777" w:rsidR="001E1112" w:rsidRPr="00317ABF" w:rsidRDefault="001E1112" w:rsidP="00DB3BEC">
            <w:pPr>
              <w:pStyle w:val="Tekstpodstawowy"/>
              <w:rPr>
                <w:b/>
                <w:noProof/>
                <w:sz w:val="22"/>
                <w:szCs w:val="22"/>
              </w:rPr>
            </w:pPr>
          </w:p>
          <w:p w14:paraId="0B016938" w14:textId="77777777" w:rsidR="001E1112" w:rsidRPr="00317ABF" w:rsidRDefault="001E1112" w:rsidP="00DB3BEC">
            <w:pPr>
              <w:pStyle w:val="Tekstpodstawowy"/>
              <w:rPr>
                <w:b/>
                <w:noProof/>
                <w:sz w:val="22"/>
                <w:szCs w:val="22"/>
              </w:rPr>
            </w:pPr>
          </w:p>
          <w:p w14:paraId="502E4A75" w14:textId="77777777" w:rsidR="001E1112" w:rsidRPr="00317ABF" w:rsidRDefault="001E1112" w:rsidP="00DB3BEC">
            <w:pPr>
              <w:pStyle w:val="Tekstpodstawowy"/>
              <w:rPr>
                <w:b/>
                <w:noProof/>
                <w:sz w:val="22"/>
                <w:szCs w:val="22"/>
              </w:rPr>
            </w:pPr>
          </w:p>
          <w:p w14:paraId="61CE2B0C" w14:textId="07ED75D0" w:rsidR="001E1112" w:rsidRPr="00317ABF" w:rsidRDefault="001E1112" w:rsidP="1C291CDF">
            <w:pPr>
              <w:pStyle w:val="Tekstpodstawowy"/>
              <w:rPr>
                <w:b/>
                <w:bCs/>
                <w:noProof/>
                <w:sz w:val="22"/>
                <w:szCs w:val="22"/>
              </w:rPr>
            </w:pPr>
          </w:p>
          <w:p w14:paraId="18A8A898" w14:textId="7F9A4092" w:rsidR="001E1112" w:rsidRPr="00317ABF" w:rsidRDefault="001E1112" w:rsidP="1C291CDF">
            <w:pPr>
              <w:pStyle w:val="Tekstpodstawowy"/>
              <w:rPr>
                <w:b/>
                <w:bCs/>
                <w:noProof/>
                <w:sz w:val="22"/>
                <w:szCs w:val="22"/>
              </w:rPr>
            </w:pPr>
          </w:p>
          <w:p w14:paraId="21114629" w14:textId="18B48992" w:rsidR="001E1112" w:rsidRPr="00317ABF" w:rsidRDefault="001E1112" w:rsidP="1C291CDF">
            <w:pPr>
              <w:pStyle w:val="Tekstpodstawowy"/>
              <w:rPr>
                <w:b/>
                <w:bCs/>
                <w:noProof/>
                <w:sz w:val="22"/>
                <w:szCs w:val="22"/>
              </w:rPr>
            </w:pPr>
          </w:p>
          <w:p w14:paraId="582038F8" w14:textId="682657F9" w:rsidR="001E1112" w:rsidRPr="00317ABF" w:rsidRDefault="001E1112" w:rsidP="1C291CDF">
            <w:pPr>
              <w:pStyle w:val="Tekstpodstawowy"/>
              <w:rPr>
                <w:b/>
                <w:bCs/>
                <w:noProof/>
                <w:sz w:val="22"/>
                <w:szCs w:val="22"/>
              </w:rPr>
            </w:pPr>
          </w:p>
          <w:p w14:paraId="3FAFBB96" w14:textId="43EB64BB" w:rsidR="001E1112" w:rsidRPr="00317ABF" w:rsidRDefault="001E1112" w:rsidP="1C291CDF">
            <w:pPr>
              <w:pStyle w:val="Tekstpodstawowy"/>
              <w:rPr>
                <w:b/>
                <w:bCs/>
                <w:noProof/>
                <w:sz w:val="22"/>
                <w:szCs w:val="22"/>
              </w:rPr>
            </w:pPr>
          </w:p>
          <w:p w14:paraId="2855B6CE" w14:textId="3DF41E30" w:rsidR="001E1112" w:rsidRPr="00317ABF" w:rsidRDefault="001E1112" w:rsidP="1C291CDF">
            <w:pPr>
              <w:pStyle w:val="Tekstpodstawowy"/>
              <w:rPr>
                <w:b/>
                <w:bCs/>
                <w:noProof/>
                <w:sz w:val="22"/>
                <w:szCs w:val="22"/>
              </w:rPr>
            </w:pPr>
          </w:p>
          <w:p w14:paraId="40FA7C05" w14:textId="127315AC" w:rsidR="001E1112" w:rsidRPr="00317ABF" w:rsidRDefault="001E1112" w:rsidP="1C291CDF">
            <w:pPr>
              <w:pStyle w:val="Tekstpodstawowy"/>
              <w:rPr>
                <w:b/>
                <w:bCs/>
                <w:noProof/>
                <w:sz w:val="22"/>
                <w:szCs w:val="22"/>
              </w:rPr>
            </w:pPr>
          </w:p>
          <w:p w14:paraId="2F5A40F6" w14:textId="6DF97DBC" w:rsidR="001E1112" w:rsidRPr="00317ABF" w:rsidRDefault="001E1112" w:rsidP="1C291CDF">
            <w:pPr>
              <w:pStyle w:val="Tekstpodstawowy"/>
              <w:rPr>
                <w:b/>
                <w:bCs/>
                <w:noProof/>
                <w:sz w:val="22"/>
                <w:szCs w:val="22"/>
              </w:rPr>
            </w:pPr>
          </w:p>
          <w:p w14:paraId="67344B74" w14:textId="1A97A439" w:rsidR="001E1112" w:rsidRPr="00317ABF" w:rsidRDefault="001E1112" w:rsidP="1C291CDF">
            <w:pPr>
              <w:pStyle w:val="Tekstpodstawowy"/>
              <w:rPr>
                <w:b/>
                <w:bCs/>
                <w:noProof/>
                <w:sz w:val="22"/>
                <w:szCs w:val="22"/>
              </w:rPr>
            </w:pPr>
          </w:p>
          <w:p w14:paraId="5B799675" w14:textId="41271E91" w:rsidR="001E1112" w:rsidRPr="00317ABF" w:rsidRDefault="001E1112" w:rsidP="1C291CDF">
            <w:pPr>
              <w:pStyle w:val="Tekstpodstawowy"/>
              <w:rPr>
                <w:b/>
                <w:bCs/>
                <w:noProof/>
                <w:sz w:val="22"/>
                <w:szCs w:val="22"/>
              </w:rPr>
            </w:pPr>
          </w:p>
          <w:p w14:paraId="669FFA67" w14:textId="5546D279" w:rsidR="001E1112" w:rsidRPr="00317ABF" w:rsidRDefault="001E1112" w:rsidP="1C291CDF">
            <w:pPr>
              <w:pStyle w:val="Tekstpodstawowy"/>
              <w:rPr>
                <w:b/>
                <w:bCs/>
                <w:noProof/>
                <w:sz w:val="22"/>
                <w:szCs w:val="22"/>
              </w:rPr>
            </w:pPr>
          </w:p>
          <w:p w14:paraId="7131977A" w14:textId="5FE6B7D9" w:rsidR="001E1112" w:rsidRPr="00317ABF" w:rsidRDefault="001E1112" w:rsidP="1C291CDF">
            <w:pPr>
              <w:pStyle w:val="Tekstpodstawowy"/>
              <w:rPr>
                <w:b/>
                <w:bCs/>
                <w:noProof/>
                <w:sz w:val="22"/>
                <w:szCs w:val="22"/>
              </w:rPr>
            </w:pPr>
          </w:p>
          <w:p w14:paraId="36E9D320" w14:textId="0FD74495" w:rsidR="001E1112" w:rsidRPr="00317ABF" w:rsidRDefault="001E1112" w:rsidP="1C291CDF">
            <w:pPr>
              <w:pStyle w:val="Tekstpodstawowy"/>
              <w:rPr>
                <w:b/>
                <w:bCs/>
                <w:noProof/>
                <w:sz w:val="22"/>
                <w:szCs w:val="22"/>
              </w:rPr>
            </w:pPr>
          </w:p>
          <w:p w14:paraId="41A56482" w14:textId="10289D3C" w:rsidR="001E1112" w:rsidRPr="00317ABF" w:rsidRDefault="001E1112" w:rsidP="1C291CDF">
            <w:pPr>
              <w:pStyle w:val="Tekstpodstawowy"/>
              <w:rPr>
                <w:b/>
                <w:bCs/>
                <w:noProof/>
                <w:sz w:val="22"/>
                <w:szCs w:val="22"/>
              </w:rPr>
            </w:pPr>
          </w:p>
          <w:p w14:paraId="41C49C8D" w14:textId="078F10AC" w:rsidR="001E1112" w:rsidRPr="00317ABF" w:rsidRDefault="001E1112" w:rsidP="1C291CDF">
            <w:pPr>
              <w:pStyle w:val="Tekstpodstawowy"/>
              <w:rPr>
                <w:b/>
                <w:bCs/>
                <w:noProof/>
                <w:sz w:val="22"/>
                <w:szCs w:val="22"/>
              </w:rPr>
            </w:pPr>
          </w:p>
          <w:p w14:paraId="07AEC829" w14:textId="579C7AE3" w:rsidR="001E1112" w:rsidRPr="00317ABF" w:rsidRDefault="001E1112" w:rsidP="1C291CDF">
            <w:pPr>
              <w:pStyle w:val="Tekstpodstawowy"/>
              <w:rPr>
                <w:b/>
                <w:bCs/>
                <w:noProof/>
                <w:sz w:val="22"/>
                <w:szCs w:val="22"/>
              </w:rPr>
            </w:pPr>
          </w:p>
          <w:p w14:paraId="7B758182" w14:textId="318321F1" w:rsidR="001E1112" w:rsidRPr="00317ABF" w:rsidRDefault="001E1112" w:rsidP="1C291CDF">
            <w:pPr>
              <w:pStyle w:val="Tekstpodstawowy"/>
              <w:rPr>
                <w:b/>
                <w:bCs/>
                <w:noProof/>
                <w:sz w:val="22"/>
                <w:szCs w:val="22"/>
              </w:rPr>
            </w:pPr>
          </w:p>
          <w:p w14:paraId="5F35A0B7" w14:textId="2A7853FD" w:rsidR="001E1112" w:rsidRPr="00317ABF" w:rsidRDefault="001E1112" w:rsidP="1C291CDF">
            <w:pPr>
              <w:pStyle w:val="Tekstpodstawowy"/>
              <w:rPr>
                <w:b/>
                <w:bCs/>
                <w:noProof/>
                <w:sz w:val="22"/>
                <w:szCs w:val="22"/>
              </w:rPr>
            </w:pPr>
          </w:p>
          <w:p w14:paraId="726020E3" w14:textId="5A24B598" w:rsidR="001E1112" w:rsidRPr="00317ABF" w:rsidRDefault="001E1112" w:rsidP="1C291CDF">
            <w:pPr>
              <w:pStyle w:val="Tekstpodstawowy"/>
              <w:rPr>
                <w:b/>
                <w:bCs/>
                <w:noProof/>
                <w:sz w:val="22"/>
                <w:szCs w:val="22"/>
              </w:rPr>
            </w:pPr>
          </w:p>
          <w:p w14:paraId="29FC36E9" w14:textId="741FA262" w:rsidR="001E1112" w:rsidRPr="00317ABF" w:rsidRDefault="001E1112" w:rsidP="1C291CDF">
            <w:pPr>
              <w:pStyle w:val="Tekstpodstawowy"/>
              <w:rPr>
                <w:b/>
                <w:bCs/>
                <w:noProof/>
                <w:sz w:val="22"/>
                <w:szCs w:val="22"/>
              </w:rPr>
            </w:pPr>
          </w:p>
          <w:p w14:paraId="37F9257C" w14:textId="39B4B13E" w:rsidR="001E1112" w:rsidRPr="00317ABF" w:rsidRDefault="001E1112" w:rsidP="1C291CDF">
            <w:pPr>
              <w:pStyle w:val="Tekstpodstawowy"/>
              <w:rPr>
                <w:b/>
                <w:bCs/>
                <w:noProof/>
                <w:sz w:val="22"/>
                <w:szCs w:val="22"/>
              </w:rPr>
            </w:pPr>
          </w:p>
          <w:p w14:paraId="5D056816" w14:textId="59605EE4" w:rsidR="001E1112" w:rsidRPr="00317ABF" w:rsidRDefault="4AC1D86C" w:rsidP="1C291CDF">
            <w:pPr>
              <w:pStyle w:val="Tekstpodstawowy"/>
              <w:rPr>
                <w:b/>
                <w:bCs/>
                <w:noProof/>
                <w:sz w:val="22"/>
                <w:szCs w:val="22"/>
              </w:rPr>
            </w:pPr>
            <w:r w:rsidRPr="00317ABF">
              <w:rPr>
                <w:b/>
                <w:bCs/>
                <w:noProof/>
                <w:sz w:val="22"/>
                <w:szCs w:val="22"/>
              </w:rPr>
              <w:t>Art. 20h ustawy o krajowym systemie cyberbe</w:t>
            </w:r>
            <w:r w:rsidRPr="00317ABF">
              <w:rPr>
                <w:b/>
                <w:bCs/>
                <w:noProof/>
                <w:sz w:val="22"/>
                <w:szCs w:val="22"/>
              </w:rPr>
              <w:lastRenderedPageBreak/>
              <w:t xml:space="preserve">zpieczeństwa </w:t>
            </w:r>
            <w:r w:rsidRPr="00317ABF">
              <w:rPr>
                <w:noProof/>
                <w:sz w:val="22"/>
                <w:szCs w:val="22"/>
              </w:rPr>
              <w:t>(art. 51 pkt 4 ustawy wprowadzającej PKE)</w:t>
            </w:r>
          </w:p>
          <w:p w14:paraId="2BD07051" w14:textId="770A933E" w:rsidR="001E1112" w:rsidRPr="00317ABF" w:rsidRDefault="001E1112" w:rsidP="00DB3BEC">
            <w:pPr>
              <w:pStyle w:val="Tekstpodstawowy"/>
              <w:rPr>
                <w:b/>
                <w:noProof/>
                <w:sz w:val="22"/>
                <w:szCs w:val="22"/>
              </w:rPr>
            </w:pPr>
          </w:p>
        </w:tc>
        <w:tc>
          <w:tcPr>
            <w:tcW w:w="6814" w:type="dxa"/>
            <w:gridSpan w:val="2"/>
          </w:tcPr>
          <w:p w14:paraId="37296070" w14:textId="16E52B2D" w:rsidR="69D63E47" w:rsidRPr="00317ABF" w:rsidRDefault="3CF259AC" w:rsidP="50A50B2E">
            <w:pPr>
              <w:ind w:firstLine="510"/>
              <w:jc w:val="both"/>
            </w:pPr>
            <w:r w:rsidRPr="00317ABF">
              <w:rPr>
                <w:sz w:val="22"/>
                <w:szCs w:val="22"/>
              </w:rPr>
              <w:lastRenderedPageBreak/>
              <w:t xml:space="preserve"> </w:t>
            </w:r>
            <w:r w:rsidRPr="00317ABF">
              <w:rPr>
                <w:b/>
                <w:bCs/>
                <w:sz w:val="22"/>
                <w:szCs w:val="22"/>
              </w:rPr>
              <w:t xml:space="preserve">Art. 20d. </w:t>
            </w:r>
            <w:r w:rsidRPr="00317ABF">
              <w:rPr>
                <w:sz w:val="22"/>
                <w:szCs w:val="22"/>
              </w:rPr>
              <w:t>1. Przedsiębiorca komunikacji elektronicznej:</w:t>
            </w:r>
          </w:p>
          <w:p w14:paraId="4A847DD1" w14:textId="5B81E60D" w:rsidR="69D63E47" w:rsidRPr="00317ABF" w:rsidRDefault="3CF259AC" w:rsidP="50A50B2E">
            <w:pPr>
              <w:ind w:left="510" w:hanging="510"/>
              <w:jc w:val="both"/>
            </w:pPr>
            <w:r w:rsidRPr="00317ABF">
              <w:rPr>
                <w:sz w:val="22"/>
                <w:szCs w:val="22"/>
              </w:rPr>
              <w:t>1)</w:t>
            </w:r>
            <w:r w:rsidR="69D63E47" w:rsidRPr="00317ABF">
              <w:tab/>
            </w:r>
            <w:r w:rsidRPr="00317ABF">
              <w:rPr>
                <w:sz w:val="22"/>
                <w:szCs w:val="22"/>
              </w:rPr>
              <w:t>klasyfikuje incydent telekomunikacyjny jako incydent telekomunikacyjny mający znaczący wpływ na bezpieczeństwo sieci i usług komunikacji elektronicznej na podstawie progów określonych w rozporządzeniu, o którym mowa w art. 20d ust. 3;</w:t>
            </w:r>
          </w:p>
          <w:p w14:paraId="58CDC7C9" w14:textId="7EA3E2BD" w:rsidR="69D63E47" w:rsidRPr="00317ABF" w:rsidRDefault="3CF259AC" w:rsidP="50A50B2E">
            <w:pPr>
              <w:ind w:left="510" w:hanging="510"/>
              <w:jc w:val="both"/>
            </w:pPr>
            <w:r w:rsidRPr="00317ABF">
              <w:rPr>
                <w:sz w:val="22"/>
                <w:szCs w:val="22"/>
              </w:rPr>
              <w:t>2)</w:t>
            </w:r>
            <w:r w:rsidR="69D63E47" w:rsidRPr="00317ABF">
              <w:tab/>
            </w:r>
            <w:r w:rsidRPr="00317ABF">
              <w:rPr>
                <w:sz w:val="22"/>
                <w:szCs w:val="22"/>
              </w:rPr>
              <w:t>zgłasza incydent telekomunikacyjny, o którym mowa w pkt 1, niezwłocznie, nie później niż w ciągu 24 godzin od momentu jego wykrycia, do właściwego CSIRT MON, CSIRT NASK lub CSIRT GOV a także do CSIRT Telco;</w:t>
            </w:r>
          </w:p>
          <w:p w14:paraId="7A673768" w14:textId="2CC2CA9B" w:rsidR="69D63E47" w:rsidRPr="00317ABF" w:rsidRDefault="3CF259AC" w:rsidP="50A50B2E">
            <w:pPr>
              <w:ind w:left="510" w:hanging="510"/>
              <w:jc w:val="both"/>
            </w:pPr>
            <w:r w:rsidRPr="00317ABF">
              <w:rPr>
                <w:sz w:val="22"/>
                <w:szCs w:val="22"/>
              </w:rPr>
              <w:t>3)</w:t>
            </w:r>
            <w:r w:rsidR="69D63E47" w:rsidRPr="00317ABF">
              <w:tab/>
            </w:r>
            <w:r w:rsidRPr="00317ABF">
              <w:rPr>
                <w:sz w:val="22"/>
                <w:szCs w:val="22"/>
              </w:rPr>
              <w:t>współdziała podczas obsługi incydentu telekomunikacyjnego, o którym mowa w pkt 1 i incydentu krytycznego z właściwym CSIRT MON, CSIRT NASK lub CSIRT GOV, przekazując niezbędne dane, w tym dane osobowe;</w:t>
            </w:r>
          </w:p>
          <w:p w14:paraId="3B7CAFF4" w14:textId="36E48D68" w:rsidR="69D63E47" w:rsidRPr="00317ABF" w:rsidRDefault="3CF259AC" w:rsidP="50A50B2E">
            <w:pPr>
              <w:ind w:left="510" w:hanging="510"/>
              <w:jc w:val="both"/>
            </w:pPr>
            <w:r w:rsidRPr="00317ABF">
              <w:rPr>
                <w:sz w:val="22"/>
                <w:szCs w:val="22"/>
              </w:rPr>
              <w:t>4)</w:t>
            </w:r>
            <w:r w:rsidR="69D63E47" w:rsidRPr="00317ABF">
              <w:tab/>
            </w:r>
            <w:r w:rsidRPr="00317ABF">
              <w:rPr>
                <w:sz w:val="22"/>
                <w:szCs w:val="22"/>
              </w:rPr>
              <w:t>współdziała z CSIRT Telco podczas obsługi incydentu telekomunikacyjnego, o którym mowa w pkt 1, lub incydentu krytycznego, przekazując niezbędne dane, w tym dane osobowe;</w:t>
            </w:r>
          </w:p>
          <w:p w14:paraId="181B0757" w14:textId="2C643C39" w:rsidR="69D63E47" w:rsidRPr="00317ABF" w:rsidRDefault="3CF259AC" w:rsidP="50A50B2E">
            <w:pPr>
              <w:ind w:left="510" w:hanging="510"/>
              <w:jc w:val="both"/>
            </w:pPr>
            <w:r w:rsidRPr="00317ABF">
              <w:rPr>
                <w:sz w:val="22"/>
                <w:szCs w:val="22"/>
              </w:rPr>
              <w:t>5)</w:t>
            </w:r>
            <w:r w:rsidR="69D63E47" w:rsidRPr="00317ABF">
              <w:tab/>
            </w:r>
            <w:r w:rsidRPr="00317ABF">
              <w:rPr>
                <w:sz w:val="22"/>
                <w:szCs w:val="22"/>
              </w:rPr>
              <w:t>zapewnia CSIRT Telco dostęp do informacji o rejestrowanych incydentach, o których mowa w pkt 1, w zakresie niezbędnym do realizacji jego zadań.</w:t>
            </w:r>
          </w:p>
          <w:p w14:paraId="79410AFD" w14:textId="77BAE328" w:rsidR="69D63E47" w:rsidRPr="00317ABF" w:rsidRDefault="69D63E47" w:rsidP="50A50B2E">
            <w:pPr>
              <w:spacing w:line="259" w:lineRule="auto"/>
              <w:ind w:firstLine="510"/>
              <w:jc w:val="both"/>
            </w:pPr>
            <w:r w:rsidRPr="00317ABF">
              <w:rPr>
                <w:sz w:val="22"/>
                <w:szCs w:val="22"/>
              </w:rPr>
              <w:t>2. Zgłoszenie, o którym mowa w ust. 1 pkt 2 przekazywane jest w postaci elektronicznej, a w przypadku braku możliwości przekazania go w postaci elektronicznej - przy użyciu innych dostępnych środków komunikacji. 3. Minister właściwy do spraw informatyzacji określi, w drodze rozporządzenia, progi uznania incydentu telekomunikacyjnego za incydent telekomunikacyjny mający znaczący wpływ na bezpieczeństwo sieci i usług komunikacji elektronicznej, uwzględniając:</w:t>
            </w:r>
          </w:p>
          <w:p w14:paraId="6C641C32" w14:textId="0FBE4F03" w:rsidR="69D63E47" w:rsidRPr="00317ABF" w:rsidRDefault="3CF259AC" w:rsidP="50A50B2E">
            <w:pPr>
              <w:ind w:left="476" w:hanging="476"/>
              <w:jc w:val="both"/>
            </w:pPr>
            <w:r w:rsidRPr="00317ABF">
              <w:rPr>
                <w:sz w:val="22"/>
                <w:szCs w:val="22"/>
              </w:rPr>
              <w:t>1)</w:t>
            </w:r>
            <w:r w:rsidR="69D63E47" w:rsidRPr="00317ABF">
              <w:tab/>
            </w:r>
            <w:r w:rsidRPr="00317ABF">
              <w:rPr>
                <w:sz w:val="22"/>
                <w:szCs w:val="22"/>
              </w:rPr>
              <w:t>liczbę użytkowników, na których incydent telekomunikacyjny miał wpływ,</w:t>
            </w:r>
          </w:p>
          <w:p w14:paraId="45496D2F" w14:textId="3491B65C" w:rsidR="69D63E47" w:rsidRPr="00317ABF" w:rsidRDefault="3CF259AC" w:rsidP="50A50B2E">
            <w:pPr>
              <w:ind w:left="476" w:hanging="476"/>
              <w:jc w:val="both"/>
            </w:pPr>
            <w:r w:rsidRPr="00317ABF">
              <w:rPr>
                <w:sz w:val="22"/>
                <w:szCs w:val="22"/>
              </w:rPr>
              <w:t>2)</w:t>
            </w:r>
            <w:r w:rsidR="69D63E47" w:rsidRPr="00317ABF">
              <w:tab/>
            </w:r>
            <w:r w:rsidRPr="00317ABF">
              <w:rPr>
                <w:sz w:val="22"/>
                <w:szCs w:val="22"/>
              </w:rPr>
              <w:t>czas trwania skutków incydentu telekomunikacyjnego,</w:t>
            </w:r>
          </w:p>
          <w:p w14:paraId="528F7E01" w14:textId="3525674C" w:rsidR="69D63E47" w:rsidRPr="00317ABF" w:rsidRDefault="3CF259AC" w:rsidP="50A50B2E">
            <w:pPr>
              <w:ind w:left="476" w:hanging="476"/>
              <w:jc w:val="both"/>
            </w:pPr>
            <w:r w:rsidRPr="00317ABF">
              <w:rPr>
                <w:sz w:val="22"/>
                <w:szCs w:val="22"/>
              </w:rPr>
              <w:lastRenderedPageBreak/>
              <w:t>3)</w:t>
            </w:r>
            <w:r w:rsidR="69D63E47" w:rsidRPr="00317ABF">
              <w:tab/>
            </w:r>
            <w:r w:rsidRPr="00317ABF">
              <w:rPr>
                <w:sz w:val="22"/>
                <w:szCs w:val="22"/>
              </w:rPr>
              <w:t>obszar, na którym wystąpiły skutki incydentu telekomunikacyjnego,</w:t>
            </w:r>
          </w:p>
          <w:p w14:paraId="39EDE674" w14:textId="0797DBF5" w:rsidR="69D63E47" w:rsidRPr="00317ABF" w:rsidRDefault="3CF259AC" w:rsidP="50A50B2E">
            <w:pPr>
              <w:ind w:left="476" w:hanging="476"/>
              <w:jc w:val="both"/>
            </w:pPr>
            <w:r w:rsidRPr="00317ABF">
              <w:rPr>
                <w:sz w:val="22"/>
                <w:szCs w:val="22"/>
              </w:rPr>
              <w:t>4)</w:t>
            </w:r>
            <w:r w:rsidR="69D63E47" w:rsidRPr="00317ABF">
              <w:tab/>
            </w:r>
            <w:r w:rsidRPr="00317ABF">
              <w:rPr>
                <w:sz w:val="22"/>
                <w:szCs w:val="22"/>
              </w:rPr>
              <w:t>zakres wpływu incydentu telekomunikacyjnego na funkcjonowanie sieci i usług,</w:t>
            </w:r>
          </w:p>
          <w:p w14:paraId="5F7D3F2E" w14:textId="3DB621E9" w:rsidR="69D63E47" w:rsidRPr="00317ABF" w:rsidRDefault="3CF259AC" w:rsidP="50A50B2E">
            <w:pPr>
              <w:ind w:left="476" w:hanging="476"/>
              <w:jc w:val="both"/>
            </w:pPr>
            <w:r w:rsidRPr="00317ABF">
              <w:rPr>
                <w:sz w:val="22"/>
                <w:szCs w:val="22"/>
              </w:rPr>
              <w:t>5)</w:t>
            </w:r>
            <w:r w:rsidR="69D63E47" w:rsidRPr="00317ABF">
              <w:tab/>
            </w:r>
            <w:r w:rsidRPr="00317ABF">
              <w:rPr>
                <w:sz w:val="22"/>
                <w:szCs w:val="22"/>
              </w:rPr>
              <w:t>wpływ incydentu telekomunikacyjnego na zachowanie tajemnicy komunikacji elektronicznej,</w:t>
            </w:r>
          </w:p>
          <w:p w14:paraId="60335FAF" w14:textId="5A51B019" w:rsidR="69D63E47" w:rsidRPr="00317ABF" w:rsidRDefault="3CF259AC" w:rsidP="50A50B2E">
            <w:pPr>
              <w:ind w:left="476" w:hanging="476"/>
              <w:jc w:val="both"/>
            </w:pPr>
            <w:r w:rsidRPr="00317ABF">
              <w:rPr>
                <w:sz w:val="22"/>
                <w:szCs w:val="22"/>
              </w:rPr>
              <w:t>6)</w:t>
            </w:r>
            <w:r w:rsidR="69D63E47" w:rsidRPr="00317ABF">
              <w:tab/>
            </w:r>
            <w:r w:rsidRPr="00317ABF">
              <w:rPr>
                <w:sz w:val="22"/>
                <w:szCs w:val="22"/>
              </w:rPr>
              <w:t>wpływ incydentu telekomunikacyjnego na świadczenie usług kluczowych oraz funkcjonowanie infrastruktury krytycznej w rozumieniu ustawy z dnia 26 kwietnia 2007 r. o zarządzaniu kryzysowym,</w:t>
            </w:r>
          </w:p>
          <w:p w14:paraId="6522AE5B" w14:textId="79C1E8DF" w:rsidR="69D63E47" w:rsidRPr="00317ABF" w:rsidRDefault="3CF259AC" w:rsidP="50A50B2E">
            <w:pPr>
              <w:ind w:left="476" w:hanging="476"/>
              <w:jc w:val="both"/>
            </w:pPr>
            <w:r w:rsidRPr="00317ABF">
              <w:rPr>
                <w:sz w:val="22"/>
                <w:szCs w:val="22"/>
              </w:rPr>
              <w:t>7)</w:t>
            </w:r>
            <w:r w:rsidR="69D63E47" w:rsidRPr="00317ABF">
              <w:tab/>
            </w:r>
            <w:r w:rsidRPr="00317ABF">
              <w:rPr>
                <w:sz w:val="22"/>
                <w:szCs w:val="22"/>
              </w:rPr>
              <w:t>wpływ incydentu telekomunikacyjnego na połączenia do numerów alarmowych, o których mowa w art. 2 pkt 27 ustawy z dnia … – Prawo komunikacji elektronicznej,</w:t>
            </w:r>
          </w:p>
          <w:p w14:paraId="1E9A7F65" w14:textId="5EA2A8E8" w:rsidR="69D63E47" w:rsidRPr="00317ABF" w:rsidRDefault="3CF259AC" w:rsidP="50A50B2E">
            <w:pPr>
              <w:ind w:left="476" w:hanging="476"/>
              <w:jc w:val="both"/>
            </w:pPr>
            <w:r w:rsidRPr="00317ABF">
              <w:rPr>
                <w:sz w:val="22"/>
                <w:szCs w:val="22"/>
              </w:rPr>
              <w:t>8)</w:t>
            </w:r>
            <w:r w:rsidR="69D63E47" w:rsidRPr="00317ABF">
              <w:tab/>
            </w:r>
            <w:r w:rsidRPr="00317ABF">
              <w:rPr>
                <w:sz w:val="22"/>
                <w:szCs w:val="22"/>
              </w:rPr>
              <w:t>wpływ incydentu telekomunikacyjnego na wykonywanie obowiązków, o których mowa w art.  41 ust. 1, 43, 45, 47, 52, 53 i 54 ustawy z dnia … – Prawo komunikacji elektronicznej</w:t>
            </w:r>
          </w:p>
          <w:p w14:paraId="21595FD9" w14:textId="4370F749" w:rsidR="69D63E47" w:rsidRPr="00317ABF" w:rsidRDefault="3CF259AC" w:rsidP="50A50B2E">
            <w:pPr>
              <w:jc w:val="both"/>
            </w:pPr>
            <w:r w:rsidRPr="00317ABF">
              <w:rPr>
                <w:sz w:val="22"/>
                <w:szCs w:val="22"/>
              </w:rPr>
              <w:t>– uwzględniając rekomendacje ENISA.</w:t>
            </w:r>
          </w:p>
          <w:p w14:paraId="578AC2F6" w14:textId="011972F1" w:rsidR="50A50B2E" w:rsidRPr="00317ABF" w:rsidRDefault="50A50B2E" w:rsidP="50A50B2E">
            <w:pPr>
              <w:jc w:val="both"/>
              <w:rPr>
                <w:rFonts w:eastAsia="Times"/>
                <w:sz w:val="22"/>
                <w:szCs w:val="22"/>
              </w:rPr>
            </w:pPr>
          </w:p>
          <w:p w14:paraId="66AC9A85" w14:textId="4AA13B0C" w:rsidR="0B8B6FCA" w:rsidRPr="00317ABF" w:rsidRDefault="2EB486C4" w:rsidP="228F1112">
            <w:pPr>
              <w:ind w:firstLine="510"/>
              <w:jc w:val="both"/>
              <w:rPr>
                <w:sz w:val="22"/>
                <w:szCs w:val="22"/>
              </w:rPr>
            </w:pPr>
            <w:r w:rsidRPr="00317ABF">
              <w:rPr>
                <w:b/>
                <w:bCs/>
                <w:sz w:val="22"/>
                <w:szCs w:val="22"/>
              </w:rPr>
              <w:t>Art. 20e</w:t>
            </w:r>
            <w:r w:rsidRPr="00317ABF">
              <w:rPr>
                <w:sz w:val="22"/>
                <w:szCs w:val="22"/>
              </w:rPr>
              <w:t>. 1. Zgłoszenie, o którym mowa w art. 20d ust. 1 pkt 2 i 4, zawiera:</w:t>
            </w:r>
          </w:p>
          <w:p w14:paraId="2490058B" w14:textId="489DED47" w:rsidR="0B8B6FCA" w:rsidRPr="00317ABF" w:rsidRDefault="2EB486C4" w:rsidP="228F1112">
            <w:pPr>
              <w:ind w:left="510" w:hanging="510"/>
              <w:jc w:val="both"/>
              <w:rPr>
                <w:sz w:val="22"/>
                <w:szCs w:val="22"/>
              </w:rPr>
            </w:pPr>
            <w:r w:rsidRPr="00317ABF">
              <w:rPr>
                <w:sz w:val="22"/>
                <w:szCs w:val="22"/>
              </w:rPr>
              <w:t>1)</w:t>
            </w:r>
            <w:r w:rsidR="0B8B6FCA" w:rsidRPr="00317ABF">
              <w:tab/>
            </w:r>
            <w:r w:rsidRPr="00317ABF">
              <w:rPr>
                <w:sz w:val="22"/>
                <w:szCs w:val="22"/>
              </w:rPr>
              <w:t>dane podmiotu zgłaszającego, w tym firmę przedsiębiorcy, numer we właściwym rejestrze, jeśli został nadany;</w:t>
            </w:r>
          </w:p>
          <w:p w14:paraId="67233B99" w14:textId="4AD1A835" w:rsidR="0B8B6FCA" w:rsidRPr="00317ABF" w:rsidRDefault="2EB486C4" w:rsidP="228F1112">
            <w:pPr>
              <w:ind w:left="510" w:hanging="510"/>
              <w:jc w:val="both"/>
              <w:rPr>
                <w:sz w:val="22"/>
                <w:szCs w:val="22"/>
              </w:rPr>
            </w:pPr>
            <w:r w:rsidRPr="00317ABF">
              <w:rPr>
                <w:sz w:val="22"/>
                <w:szCs w:val="22"/>
              </w:rPr>
              <w:t>2)</w:t>
            </w:r>
            <w:r w:rsidR="0B8B6FCA" w:rsidRPr="00317ABF">
              <w:tab/>
            </w:r>
            <w:r w:rsidRPr="00317ABF">
              <w:rPr>
                <w:sz w:val="22"/>
                <w:szCs w:val="22"/>
              </w:rPr>
              <w:t>imię i nazwisko, numer telefonu oraz adres poczty elektronicznej osoby dokonującej zgłoszenia;</w:t>
            </w:r>
          </w:p>
          <w:p w14:paraId="498C25D5" w14:textId="503CE48C" w:rsidR="0B8B6FCA" w:rsidRPr="00317ABF" w:rsidRDefault="2EB486C4" w:rsidP="228F1112">
            <w:pPr>
              <w:ind w:left="510" w:hanging="510"/>
              <w:jc w:val="both"/>
              <w:rPr>
                <w:sz w:val="22"/>
                <w:szCs w:val="22"/>
              </w:rPr>
            </w:pPr>
            <w:r w:rsidRPr="00317ABF">
              <w:rPr>
                <w:sz w:val="22"/>
                <w:szCs w:val="22"/>
              </w:rPr>
              <w:t>3)</w:t>
            </w:r>
            <w:r w:rsidR="0B8B6FCA" w:rsidRPr="00317ABF">
              <w:tab/>
            </w:r>
            <w:r w:rsidRPr="00317ABF">
              <w:rPr>
                <w:sz w:val="22"/>
                <w:szCs w:val="22"/>
              </w:rPr>
              <w:t>imię i nazwisko, numer telefonu oraz adres poczty elektronicznej osoby uprawnionej do składania wyjaśnień dotyczących zgłaszanych informacji;</w:t>
            </w:r>
          </w:p>
          <w:p w14:paraId="1FDA0578" w14:textId="2B073E0E" w:rsidR="0B8B6FCA" w:rsidRPr="00317ABF" w:rsidRDefault="2EB486C4" w:rsidP="228F1112">
            <w:pPr>
              <w:ind w:left="510" w:hanging="510"/>
              <w:jc w:val="both"/>
              <w:rPr>
                <w:sz w:val="22"/>
                <w:szCs w:val="22"/>
              </w:rPr>
            </w:pPr>
            <w:r w:rsidRPr="00317ABF">
              <w:rPr>
                <w:sz w:val="22"/>
                <w:szCs w:val="22"/>
              </w:rPr>
              <w:t>4)</w:t>
            </w:r>
            <w:r w:rsidR="0B8B6FCA" w:rsidRPr="00317ABF">
              <w:tab/>
            </w:r>
            <w:r w:rsidRPr="00317ABF">
              <w:rPr>
                <w:sz w:val="22"/>
                <w:szCs w:val="22"/>
              </w:rPr>
              <w:t>opis wpływu incydentu telekomunikacyjnego na świadczenie usługi komunikacji elektronicznej, w tym:</w:t>
            </w:r>
          </w:p>
          <w:p w14:paraId="33D3FC99" w14:textId="1DCA2BFF" w:rsidR="0B8B6FCA" w:rsidRPr="00317ABF" w:rsidRDefault="2EB486C4" w:rsidP="228F1112">
            <w:pPr>
              <w:ind w:left="476" w:hanging="476"/>
              <w:jc w:val="both"/>
              <w:rPr>
                <w:sz w:val="22"/>
                <w:szCs w:val="22"/>
              </w:rPr>
            </w:pPr>
            <w:r w:rsidRPr="00317ABF">
              <w:rPr>
                <w:sz w:val="22"/>
                <w:szCs w:val="22"/>
              </w:rPr>
              <w:t>a)</w:t>
            </w:r>
            <w:r w:rsidR="0B8B6FCA" w:rsidRPr="00317ABF">
              <w:tab/>
            </w:r>
            <w:r w:rsidRPr="00317ABF">
              <w:rPr>
                <w:sz w:val="22"/>
                <w:szCs w:val="22"/>
              </w:rPr>
              <w:t>usługi komunikacji elektronicznej zgłaszającego, na które incydent telekomunikacyjny miał wpływ,</w:t>
            </w:r>
          </w:p>
          <w:p w14:paraId="3DC24393" w14:textId="572B57D7" w:rsidR="0B8B6FCA" w:rsidRPr="00317ABF" w:rsidRDefault="2EB486C4" w:rsidP="228F1112">
            <w:pPr>
              <w:ind w:left="476" w:hanging="476"/>
              <w:jc w:val="both"/>
              <w:rPr>
                <w:sz w:val="22"/>
                <w:szCs w:val="22"/>
              </w:rPr>
            </w:pPr>
            <w:r w:rsidRPr="00317ABF">
              <w:rPr>
                <w:sz w:val="22"/>
                <w:szCs w:val="22"/>
              </w:rPr>
              <w:t>b)</w:t>
            </w:r>
            <w:r w:rsidR="0B8B6FCA" w:rsidRPr="00317ABF">
              <w:tab/>
            </w:r>
            <w:r w:rsidRPr="00317ABF">
              <w:rPr>
                <w:sz w:val="22"/>
                <w:szCs w:val="22"/>
              </w:rPr>
              <w:t>liczbę użytkowników usługi komunikacji elektronicznej, na których incydent telekomunikacyjny miał wpływ,</w:t>
            </w:r>
          </w:p>
          <w:p w14:paraId="1B02596F" w14:textId="44567CEA" w:rsidR="0B8B6FCA" w:rsidRPr="00317ABF" w:rsidRDefault="2EB486C4" w:rsidP="228F1112">
            <w:pPr>
              <w:ind w:left="476" w:hanging="476"/>
              <w:jc w:val="both"/>
              <w:rPr>
                <w:sz w:val="22"/>
                <w:szCs w:val="22"/>
              </w:rPr>
            </w:pPr>
            <w:r w:rsidRPr="00317ABF">
              <w:rPr>
                <w:sz w:val="22"/>
                <w:szCs w:val="22"/>
              </w:rPr>
              <w:t>c)</w:t>
            </w:r>
            <w:r w:rsidR="0B8B6FCA" w:rsidRPr="00317ABF">
              <w:tab/>
            </w:r>
            <w:r w:rsidRPr="00317ABF">
              <w:rPr>
                <w:sz w:val="22"/>
                <w:szCs w:val="22"/>
              </w:rPr>
              <w:t>moment wystąpienia i wykrycia incydentu telekomunikacyjnego oraz czas jego trwania,</w:t>
            </w:r>
          </w:p>
          <w:p w14:paraId="2335C40A" w14:textId="7B06DC02" w:rsidR="0B8B6FCA" w:rsidRPr="00317ABF" w:rsidRDefault="2EB486C4" w:rsidP="228F1112">
            <w:pPr>
              <w:ind w:left="476" w:hanging="476"/>
              <w:jc w:val="both"/>
              <w:rPr>
                <w:sz w:val="22"/>
                <w:szCs w:val="22"/>
              </w:rPr>
            </w:pPr>
            <w:r w:rsidRPr="00317ABF">
              <w:rPr>
                <w:sz w:val="22"/>
                <w:szCs w:val="22"/>
              </w:rPr>
              <w:t>d)</w:t>
            </w:r>
            <w:r w:rsidR="0B8B6FCA" w:rsidRPr="00317ABF">
              <w:tab/>
            </w:r>
            <w:r w:rsidRPr="00317ABF">
              <w:rPr>
                <w:sz w:val="22"/>
                <w:szCs w:val="22"/>
              </w:rPr>
              <w:t>zasięg geograficzny obszaru, którego dotyczy incydent telekomunikacyjny,</w:t>
            </w:r>
          </w:p>
          <w:p w14:paraId="738346F1" w14:textId="4ABB0A4E" w:rsidR="0B8B6FCA" w:rsidRPr="00317ABF" w:rsidRDefault="2EB486C4" w:rsidP="228F1112">
            <w:pPr>
              <w:ind w:left="476" w:hanging="476"/>
              <w:jc w:val="both"/>
              <w:rPr>
                <w:sz w:val="22"/>
                <w:szCs w:val="22"/>
              </w:rPr>
            </w:pPr>
            <w:r w:rsidRPr="00317ABF">
              <w:rPr>
                <w:sz w:val="22"/>
                <w:szCs w:val="22"/>
              </w:rPr>
              <w:t>e)</w:t>
            </w:r>
            <w:r w:rsidR="0B8B6FCA" w:rsidRPr="00317ABF">
              <w:tab/>
            </w:r>
            <w:r w:rsidRPr="00317ABF">
              <w:rPr>
                <w:sz w:val="22"/>
                <w:szCs w:val="22"/>
              </w:rPr>
              <w:t>wpływ incydentu telekomunikacyjnego na świadczenie usługi kluczowej przez innych operatorów usług kluczowych i dostawców usług cyfrowych,</w:t>
            </w:r>
          </w:p>
          <w:p w14:paraId="1853F2BF" w14:textId="1AF99B92" w:rsidR="0B8B6FCA" w:rsidRPr="00317ABF" w:rsidRDefault="2EB486C4" w:rsidP="228F1112">
            <w:pPr>
              <w:ind w:left="476" w:hanging="476"/>
              <w:jc w:val="both"/>
              <w:rPr>
                <w:sz w:val="22"/>
                <w:szCs w:val="22"/>
              </w:rPr>
            </w:pPr>
            <w:r w:rsidRPr="00317ABF">
              <w:rPr>
                <w:sz w:val="22"/>
                <w:szCs w:val="22"/>
              </w:rPr>
              <w:lastRenderedPageBreak/>
              <w:t>f)</w:t>
            </w:r>
            <w:r w:rsidR="0B8B6FCA" w:rsidRPr="00317ABF">
              <w:tab/>
            </w:r>
            <w:r w:rsidRPr="00317ABF">
              <w:rPr>
                <w:sz w:val="22"/>
                <w:szCs w:val="22"/>
              </w:rPr>
              <w:t>przyczynę zaistnienia incydentu telekomunikacyjnego i sposób jego przebiegu oraz skutki jego oddziaływania na systemy informacyjne lub świadczone usługi komunikacji elektronicznej;</w:t>
            </w:r>
          </w:p>
          <w:p w14:paraId="0C350070" w14:textId="139AA262" w:rsidR="0B8B6FCA" w:rsidRPr="00317ABF" w:rsidRDefault="2EB486C4" w:rsidP="228F1112">
            <w:pPr>
              <w:ind w:left="510" w:hanging="510"/>
              <w:jc w:val="both"/>
              <w:rPr>
                <w:sz w:val="22"/>
                <w:szCs w:val="22"/>
              </w:rPr>
            </w:pPr>
            <w:r w:rsidRPr="00317ABF">
              <w:rPr>
                <w:sz w:val="22"/>
                <w:szCs w:val="22"/>
              </w:rPr>
              <w:t>5)</w:t>
            </w:r>
            <w:r w:rsidR="0B8B6FCA" w:rsidRPr="00317ABF">
              <w:tab/>
            </w:r>
            <w:r w:rsidRPr="00317ABF">
              <w:rPr>
                <w:sz w:val="22"/>
                <w:szCs w:val="22"/>
              </w:rPr>
              <w:t>informacje umożliwiające właściwemu CSIRT MON, CSIRT NASK lub CSIRT GOV określenie czy incydent telekomunikacyjny dotyczy dwóch lub większej liczby państw członkowskich Unii Europejskiej, informacji tych nie przekazuje się do CSIRT Telco;</w:t>
            </w:r>
          </w:p>
          <w:p w14:paraId="7770FF7E" w14:textId="2F1A2AA8" w:rsidR="0B8B6FCA" w:rsidRPr="00317ABF" w:rsidRDefault="2EB486C4" w:rsidP="228F1112">
            <w:pPr>
              <w:ind w:left="510" w:hanging="510"/>
              <w:jc w:val="both"/>
              <w:rPr>
                <w:sz w:val="22"/>
                <w:szCs w:val="22"/>
              </w:rPr>
            </w:pPr>
            <w:r w:rsidRPr="00317ABF">
              <w:rPr>
                <w:sz w:val="22"/>
                <w:szCs w:val="22"/>
              </w:rPr>
              <w:t>6)</w:t>
            </w:r>
            <w:r w:rsidR="0B8B6FCA" w:rsidRPr="00317ABF">
              <w:tab/>
            </w:r>
            <w:r w:rsidRPr="00317ABF">
              <w:rPr>
                <w:sz w:val="22"/>
                <w:szCs w:val="22"/>
              </w:rPr>
              <w:t>w przypadku incydentu telekomunikacyjnego, który mógł mieć wpływ na świadczenie usługi komunikacji elektronicznej, opis przyczyn tego incydentu, sposób jego przebiegu oraz prawdopodobne skutki oddziaływania na systemy informacyjne;</w:t>
            </w:r>
          </w:p>
          <w:p w14:paraId="5D3B8895" w14:textId="309FD460" w:rsidR="0B8B6FCA" w:rsidRPr="00317ABF" w:rsidRDefault="2EB486C4" w:rsidP="228F1112">
            <w:pPr>
              <w:ind w:left="510" w:hanging="510"/>
              <w:jc w:val="both"/>
              <w:rPr>
                <w:sz w:val="22"/>
                <w:szCs w:val="22"/>
              </w:rPr>
            </w:pPr>
            <w:r w:rsidRPr="00317ABF">
              <w:rPr>
                <w:sz w:val="22"/>
                <w:szCs w:val="22"/>
              </w:rPr>
              <w:t>7)</w:t>
            </w:r>
            <w:r w:rsidR="0B8B6FCA" w:rsidRPr="00317ABF">
              <w:tab/>
            </w:r>
            <w:r w:rsidRPr="00317ABF">
              <w:rPr>
                <w:sz w:val="22"/>
                <w:szCs w:val="22"/>
              </w:rPr>
              <w:t>informacje o podjętych działaniach zapobiegawczych;</w:t>
            </w:r>
          </w:p>
          <w:p w14:paraId="5FB72DF5" w14:textId="3F004887" w:rsidR="0B8B6FCA" w:rsidRPr="00317ABF" w:rsidRDefault="2EB486C4" w:rsidP="228F1112">
            <w:pPr>
              <w:ind w:left="510" w:hanging="510"/>
              <w:jc w:val="both"/>
              <w:rPr>
                <w:sz w:val="22"/>
                <w:szCs w:val="22"/>
              </w:rPr>
            </w:pPr>
            <w:r w:rsidRPr="00317ABF">
              <w:rPr>
                <w:sz w:val="22"/>
                <w:szCs w:val="22"/>
              </w:rPr>
              <w:t>8)</w:t>
            </w:r>
            <w:r w:rsidR="0B8B6FCA" w:rsidRPr="00317ABF">
              <w:tab/>
            </w:r>
            <w:r w:rsidRPr="00317ABF">
              <w:rPr>
                <w:sz w:val="22"/>
                <w:szCs w:val="22"/>
              </w:rPr>
              <w:t>informacje o podjętych działaniach naprawczych;</w:t>
            </w:r>
          </w:p>
          <w:p w14:paraId="2034F866" w14:textId="1386C346" w:rsidR="0B8B6FCA" w:rsidRPr="00317ABF" w:rsidRDefault="2EB486C4" w:rsidP="228F1112">
            <w:pPr>
              <w:ind w:left="510" w:hanging="510"/>
              <w:jc w:val="both"/>
              <w:rPr>
                <w:sz w:val="22"/>
                <w:szCs w:val="22"/>
              </w:rPr>
            </w:pPr>
            <w:r w:rsidRPr="00317ABF">
              <w:rPr>
                <w:sz w:val="22"/>
                <w:szCs w:val="22"/>
              </w:rPr>
              <w:t>9)</w:t>
            </w:r>
            <w:r w:rsidR="0B8B6FCA" w:rsidRPr="00317ABF">
              <w:tab/>
            </w:r>
            <w:r w:rsidRPr="00317ABF">
              <w:rPr>
                <w:sz w:val="22"/>
                <w:szCs w:val="22"/>
              </w:rPr>
              <w:t>inne istotne informacje.</w:t>
            </w:r>
          </w:p>
          <w:p w14:paraId="76CCC704" w14:textId="45A8E767" w:rsidR="0B8B6FCA" w:rsidRPr="00317ABF" w:rsidRDefault="2EB486C4" w:rsidP="228F1112">
            <w:pPr>
              <w:ind w:firstLine="510"/>
              <w:jc w:val="both"/>
              <w:rPr>
                <w:sz w:val="22"/>
                <w:szCs w:val="22"/>
              </w:rPr>
            </w:pPr>
            <w:r w:rsidRPr="00317ABF">
              <w:rPr>
                <w:sz w:val="22"/>
                <w:szCs w:val="22"/>
              </w:rPr>
              <w:t>2. Przedsiębiorca komunikacji elektronicznej przekazuje informacje znane mu w chwili dokonywania zgłoszenia, które uzupełnia w trakcie obsługi incydentu telekomunikacyjnego.</w:t>
            </w:r>
          </w:p>
          <w:p w14:paraId="15D09A63" w14:textId="280E42DB" w:rsidR="0B8B6FCA" w:rsidRPr="00317ABF" w:rsidRDefault="2EB486C4" w:rsidP="228F1112">
            <w:pPr>
              <w:ind w:firstLine="510"/>
              <w:jc w:val="both"/>
              <w:rPr>
                <w:sz w:val="22"/>
                <w:szCs w:val="22"/>
              </w:rPr>
            </w:pPr>
            <w:r w:rsidRPr="00317ABF">
              <w:rPr>
                <w:sz w:val="22"/>
                <w:szCs w:val="22"/>
              </w:rPr>
              <w:t>3. Przedsiębiorca komunikacji elektronicznej może przekazać, w niezbędnym zakresie, w zgłoszeniu, o którym mowa w art. 20c ust. 1 pkt 2, informacje stanowiące tajemnice prawnie chronione, w tym stanowiące tajemnicę przedsiębiorstwa, gdy jest to konieczne do obsługi incydentu telekomunikacyjnego przez właściwy CSIRT MON, CSIRT NASK lub CSIRT GOV oraz CSIRT Telco.</w:t>
            </w:r>
          </w:p>
          <w:p w14:paraId="35D27F86" w14:textId="252FCDA1" w:rsidR="0B8B6FCA" w:rsidRPr="00317ABF" w:rsidRDefault="2EB486C4" w:rsidP="228F1112">
            <w:pPr>
              <w:ind w:firstLine="510"/>
              <w:jc w:val="both"/>
              <w:rPr>
                <w:sz w:val="22"/>
                <w:szCs w:val="22"/>
              </w:rPr>
            </w:pPr>
            <w:r w:rsidRPr="00317ABF">
              <w:rPr>
                <w:sz w:val="22"/>
                <w:szCs w:val="22"/>
              </w:rPr>
              <w:t>4. Właściwy CSIRT MON, CSIRT NASK lub CSIRT GOV oraz CSIRT Telco może zwrócić się do przedsiębiorcy komunikacji elektronicznej o uzupełnienie zgłoszenia o informacje, w tym informacje stanowiące tajemnice prawnie chronione, w zakresie niezbędnym do obsługi incydentu telekomunikacyjnego.</w:t>
            </w:r>
          </w:p>
          <w:p w14:paraId="10E74397" w14:textId="59C8DF58" w:rsidR="0B8B6FCA" w:rsidRPr="00317ABF" w:rsidRDefault="2EB486C4" w:rsidP="228F1112">
            <w:pPr>
              <w:jc w:val="both"/>
              <w:rPr>
                <w:sz w:val="22"/>
                <w:szCs w:val="22"/>
              </w:rPr>
            </w:pPr>
            <w:r w:rsidRPr="00317ABF">
              <w:rPr>
                <w:sz w:val="22"/>
                <w:szCs w:val="22"/>
              </w:rPr>
              <w:t>5. W zgłoszeniu przedsiębiorca komunikacji elektronicznej oznacza informacje stanowiące tajemnice prawnie chronione, w tym stanowiące tajemnicę przedsiębiorstwa.</w:t>
            </w:r>
          </w:p>
          <w:p w14:paraId="32769976" w14:textId="77777777" w:rsidR="001E1112" w:rsidRPr="00317ABF" w:rsidRDefault="001E1112" w:rsidP="00DB3BEC">
            <w:pPr>
              <w:autoSpaceDE w:val="0"/>
              <w:autoSpaceDN w:val="0"/>
              <w:adjustRightInd w:val="0"/>
              <w:jc w:val="both"/>
              <w:rPr>
                <w:rFonts w:eastAsia="Times"/>
                <w:sz w:val="22"/>
                <w:szCs w:val="22"/>
              </w:rPr>
            </w:pPr>
          </w:p>
          <w:p w14:paraId="5854CC97" w14:textId="04A6A365" w:rsidR="001E1112" w:rsidRPr="00317ABF" w:rsidRDefault="001E1112" w:rsidP="1C291CDF">
            <w:pPr>
              <w:autoSpaceDE w:val="0"/>
              <w:autoSpaceDN w:val="0"/>
              <w:adjustRightInd w:val="0"/>
              <w:jc w:val="both"/>
              <w:rPr>
                <w:rFonts w:eastAsia="Times"/>
                <w:sz w:val="22"/>
                <w:szCs w:val="22"/>
              </w:rPr>
            </w:pPr>
          </w:p>
          <w:p w14:paraId="2E6338E7" w14:textId="54D56F65" w:rsidR="001E1112" w:rsidRPr="00317ABF" w:rsidRDefault="7039FC5F" w:rsidP="00DB3BEC">
            <w:pPr>
              <w:autoSpaceDE w:val="0"/>
              <w:autoSpaceDN w:val="0"/>
              <w:adjustRightInd w:val="0"/>
              <w:jc w:val="both"/>
            </w:pPr>
            <w:r w:rsidRPr="00317ABF">
              <w:rPr>
                <w:b/>
                <w:bCs/>
              </w:rPr>
              <w:t>Art. 20h.</w:t>
            </w:r>
            <w:r w:rsidRPr="00317ABF">
              <w:t xml:space="preserve"> 1. Prezes UKE kierując się rekomendacjami ENISA dotyczącymi raportowania incydentów telekomunikacyjnych:</w:t>
            </w:r>
          </w:p>
          <w:p w14:paraId="43D7D589" w14:textId="774295B6" w:rsidR="001E1112" w:rsidRPr="00317ABF" w:rsidRDefault="7039FC5F" w:rsidP="1C291CDF">
            <w:pPr>
              <w:autoSpaceDE w:val="0"/>
              <w:autoSpaceDN w:val="0"/>
              <w:adjustRightInd w:val="0"/>
              <w:ind w:left="476" w:hanging="476"/>
              <w:jc w:val="both"/>
            </w:pPr>
            <w:r w:rsidRPr="00317ABF">
              <w:t>1) informuje o wystąpieniu incydentu telekomunikacyjnego organy regulacyjne innych państw członkowskich oraz ENISA, jeżeli uzna charakter tego incydentu za istotny;</w:t>
            </w:r>
          </w:p>
          <w:p w14:paraId="1597064E" w14:textId="4187841F" w:rsidR="001E1112" w:rsidRPr="00317ABF" w:rsidRDefault="7039FC5F" w:rsidP="1C291CDF">
            <w:pPr>
              <w:autoSpaceDE w:val="0"/>
              <w:autoSpaceDN w:val="0"/>
              <w:adjustRightInd w:val="0"/>
              <w:ind w:left="476" w:hanging="476"/>
              <w:jc w:val="both"/>
            </w:pPr>
            <w:r w:rsidRPr="00317ABF">
              <w:lastRenderedPageBreak/>
              <w:t>2) przekazuje Komisji Europejskiej oraz ENISA sprawozdanie za rok poprzedni zawierające informacje o incydentach telekomunikacyjnych.</w:t>
            </w:r>
          </w:p>
          <w:p w14:paraId="3621239F" w14:textId="2C03E628" w:rsidR="001E1112" w:rsidRPr="00317ABF" w:rsidRDefault="001E1112" w:rsidP="00DB3BEC">
            <w:pPr>
              <w:autoSpaceDE w:val="0"/>
              <w:autoSpaceDN w:val="0"/>
              <w:adjustRightInd w:val="0"/>
              <w:jc w:val="both"/>
            </w:pPr>
            <w:r w:rsidRPr="00317ABF">
              <w:rPr>
                <w:rFonts w:eastAsia="Times"/>
              </w:rPr>
              <w:t>2. Prezes UKE może publikować na stronie podmiotowej BIP UKE informację, o której mowa w ust. 1 pkt 1, lub nałożyć na przedsiębiorcę komunikacji elektronicznej, w drodze decyzji, obowiązek jej podania do publicznej wiadomości, wskazując sposób jej publikacji, jeżeli uzna, że przemawia za tym interes publiczny.</w:t>
            </w:r>
          </w:p>
        </w:tc>
      </w:tr>
      <w:tr w:rsidR="001E1112" w:rsidRPr="00317ABF" w14:paraId="0883DD72" w14:textId="77777777" w:rsidTr="7753F98D">
        <w:trPr>
          <w:gridAfter w:val="2"/>
          <w:wAfter w:w="175" w:type="dxa"/>
        </w:trPr>
        <w:tc>
          <w:tcPr>
            <w:tcW w:w="704" w:type="dxa"/>
          </w:tcPr>
          <w:p w14:paraId="6A91FAD1" w14:textId="77777777" w:rsidR="001E1112" w:rsidRPr="00317ABF" w:rsidRDefault="001E1112" w:rsidP="00DB3BEC">
            <w:pPr>
              <w:jc w:val="both"/>
              <w:rPr>
                <w:sz w:val="22"/>
                <w:szCs w:val="22"/>
              </w:rPr>
            </w:pPr>
            <w:r w:rsidRPr="00317ABF">
              <w:rPr>
                <w:sz w:val="22"/>
                <w:szCs w:val="22"/>
              </w:rPr>
              <w:lastRenderedPageBreak/>
              <w:t>Art. 40 ust. 3</w:t>
            </w:r>
          </w:p>
        </w:tc>
        <w:tc>
          <w:tcPr>
            <w:tcW w:w="4308" w:type="dxa"/>
          </w:tcPr>
          <w:p w14:paraId="38A9F8A2" w14:textId="77777777" w:rsidR="001E1112" w:rsidRPr="00317ABF" w:rsidRDefault="001E1112" w:rsidP="00DB3BEC">
            <w:pPr>
              <w:spacing w:before="120"/>
              <w:jc w:val="both"/>
              <w:rPr>
                <w:sz w:val="22"/>
                <w:szCs w:val="22"/>
              </w:rPr>
            </w:pPr>
            <w:r w:rsidRPr="00317ABF">
              <w:rPr>
                <w:sz w:val="22"/>
                <w:szCs w:val="22"/>
              </w:rPr>
              <w:t>3.   Państwa członkowskie zapewniają, aby w przypadku szczególnego i znacznego zagrożenia wystąpieniem incydentu związanego z bezpieczeństwem w publicznych sieciach łączności elektronicznej lub w ramach dostępnych publicznie usług łączności elektronicznej podmioty udostępniające takie sieci lub świadczące takie usługi informowały swoich użytkowników, na których takie zagrożenie może mieć wpływ, o wszelkich możliwych środkach ochronnych lub naprawczych, które użytkownicy mogą podjąć. W stosownych przypadkach podmioty powinny informować swoich użytkowników również o samym zagrożeniu.</w:t>
            </w:r>
          </w:p>
        </w:tc>
        <w:tc>
          <w:tcPr>
            <w:tcW w:w="986" w:type="dxa"/>
          </w:tcPr>
          <w:p w14:paraId="1FD5FA50" w14:textId="67A5EF94" w:rsidR="001E1112" w:rsidRPr="00317ABF" w:rsidRDefault="001E1112" w:rsidP="00DB3BEC">
            <w:pPr>
              <w:jc w:val="both"/>
              <w:rPr>
                <w:sz w:val="22"/>
                <w:szCs w:val="22"/>
              </w:rPr>
            </w:pPr>
            <w:r w:rsidRPr="00317ABF">
              <w:rPr>
                <w:sz w:val="22"/>
                <w:szCs w:val="22"/>
              </w:rPr>
              <w:t>T</w:t>
            </w:r>
          </w:p>
        </w:tc>
        <w:tc>
          <w:tcPr>
            <w:tcW w:w="910" w:type="dxa"/>
          </w:tcPr>
          <w:p w14:paraId="17CD62AA" w14:textId="4E17E8A7" w:rsidR="001E1112" w:rsidRPr="00317ABF" w:rsidRDefault="3F71F983" w:rsidP="1C291CDF">
            <w:pPr>
              <w:pStyle w:val="Tekstpodstawowy"/>
              <w:rPr>
                <w:b/>
                <w:bCs/>
                <w:noProof/>
                <w:sz w:val="22"/>
                <w:szCs w:val="22"/>
              </w:rPr>
            </w:pPr>
            <w:r w:rsidRPr="00317ABF">
              <w:rPr>
                <w:b/>
                <w:bCs/>
                <w:noProof/>
                <w:sz w:val="22"/>
                <w:szCs w:val="22"/>
              </w:rPr>
              <w:t xml:space="preserve">Art. 20f ustawy o krajowym systemie cyberbezpieczeństwa </w:t>
            </w:r>
            <w:r w:rsidRPr="00317ABF">
              <w:rPr>
                <w:noProof/>
                <w:sz w:val="22"/>
                <w:szCs w:val="22"/>
              </w:rPr>
              <w:t>(art. 51 pkt 4 ustawy wprowadzającej PKE)</w:t>
            </w:r>
          </w:p>
          <w:p w14:paraId="217B0238" w14:textId="7E8E7206" w:rsidR="001E1112" w:rsidRPr="00317ABF" w:rsidRDefault="001E1112" w:rsidP="00DB3BEC">
            <w:pPr>
              <w:pStyle w:val="Tekstpodstawowy"/>
              <w:rPr>
                <w:b/>
                <w:noProof/>
                <w:sz w:val="22"/>
                <w:szCs w:val="22"/>
              </w:rPr>
            </w:pPr>
          </w:p>
        </w:tc>
        <w:tc>
          <w:tcPr>
            <w:tcW w:w="6814" w:type="dxa"/>
            <w:gridSpan w:val="2"/>
          </w:tcPr>
          <w:p w14:paraId="1DA1CE0F" w14:textId="1975D349" w:rsidR="001E1112" w:rsidRPr="00317ABF" w:rsidRDefault="7656C4A5" w:rsidP="1C291CDF">
            <w:pPr>
              <w:ind w:firstLine="510"/>
              <w:jc w:val="both"/>
              <w:rPr>
                <w:rFonts w:eastAsia="Times"/>
                <w:sz w:val="22"/>
                <w:szCs w:val="22"/>
              </w:rPr>
            </w:pPr>
            <w:r w:rsidRPr="00317ABF">
              <w:rPr>
                <w:b/>
                <w:bCs/>
                <w:sz w:val="22"/>
                <w:szCs w:val="22"/>
              </w:rPr>
              <w:t>Art. 20f.</w:t>
            </w:r>
            <w:r w:rsidRPr="00317ABF">
              <w:rPr>
                <w:sz w:val="22"/>
                <w:szCs w:val="22"/>
              </w:rPr>
              <w:t xml:space="preserve"> 1. Przedsiębiorca komunikacji elektronicznej wykonujący działalność na rynku detalicznym publikuje na swojej stronie internetowej informacje o:</w:t>
            </w:r>
          </w:p>
          <w:p w14:paraId="501CA846" w14:textId="73BB56AE" w:rsidR="001E1112" w:rsidRPr="00317ABF" w:rsidRDefault="0981976A" w:rsidP="1C291CDF">
            <w:pPr>
              <w:ind w:firstLine="510"/>
              <w:jc w:val="both"/>
            </w:pPr>
            <w:r w:rsidRPr="00317ABF">
              <w:rPr>
                <w:sz w:val="22"/>
                <w:szCs w:val="22"/>
              </w:rPr>
              <w:t>1) potencjalnych zagrożeniach związanych z korzystaniem przez abonentów z usług komunikacji elektronicznej;</w:t>
            </w:r>
          </w:p>
          <w:p w14:paraId="0BB93922" w14:textId="2F47C114" w:rsidR="001E1112" w:rsidRPr="00317ABF" w:rsidRDefault="0981976A" w:rsidP="1C291CDF">
            <w:pPr>
              <w:ind w:firstLine="510"/>
              <w:jc w:val="both"/>
            </w:pPr>
            <w:r w:rsidRPr="00317ABF">
              <w:rPr>
                <w:sz w:val="22"/>
                <w:szCs w:val="22"/>
              </w:rPr>
              <w:t>2) rekomendowanych środkach ostrożności i najbardziej popularnych sposobach zabezpieczania telekomunikacyjnych urządzeń końcowych przed oprogramowaniem złośliwym lub szpiegującym;</w:t>
            </w:r>
          </w:p>
          <w:p w14:paraId="257E7881" w14:textId="62EA2208" w:rsidR="001E1112" w:rsidRPr="00317ABF" w:rsidRDefault="001E1112" w:rsidP="1C291CDF">
            <w:pPr>
              <w:ind w:firstLine="510"/>
              <w:jc w:val="both"/>
              <w:rPr>
                <w:rFonts w:eastAsia="Times"/>
              </w:rPr>
            </w:pPr>
            <w:r w:rsidRPr="00317ABF">
              <w:rPr>
                <w:rFonts w:eastAsia="Times"/>
                <w:sz w:val="22"/>
                <w:szCs w:val="22"/>
              </w:rPr>
              <w:t>3) przykładowych konsekwencjach braku lub nieodpowiedniego zabezpieczenia telekomunikacyjnych urządzeń końcowych.</w:t>
            </w:r>
          </w:p>
          <w:p w14:paraId="786CDAB6" w14:textId="5DF5017F" w:rsidR="001E1112" w:rsidRPr="00317ABF" w:rsidRDefault="001E1112" w:rsidP="1C291CDF">
            <w:pPr>
              <w:ind w:firstLine="510"/>
              <w:jc w:val="both"/>
              <w:rPr>
                <w:rFonts w:eastAsia="Times"/>
              </w:rPr>
            </w:pPr>
            <w:r w:rsidRPr="00317ABF">
              <w:rPr>
                <w:rFonts w:eastAsia="Times"/>
                <w:sz w:val="22"/>
                <w:szCs w:val="22"/>
              </w:rPr>
              <w:t xml:space="preserve">2. Przedsiębiorca komunikacji elektronicznej, o którym mowa w ust. </w:t>
            </w:r>
            <w:r w:rsidR="0981976A" w:rsidRPr="00317ABF">
              <w:rPr>
                <w:sz w:val="22"/>
                <w:szCs w:val="22"/>
              </w:rPr>
              <w:t>1, w przypadku szczególnego i znacznego zagrożenia wystąpienia incydentu telekomunikacyjnego, informuje o nim swoich użytkowników, na których takie zagrożenie może mieć wpływ, w tym o możliwych środkach, które użytkownicy ci mogą podjąć, oraz związanych z tym kosztach w celach informacyjnych</w:t>
            </w:r>
            <w:r w:rsidRPr="00317ABF">
              <w:rPr>
                <w:rFonts w:eastAsia="Times"/>
                <w:sz w:val="22"/>
                <w:szCs w:val="22"/>
              </w:rPr>
              <w:t>.</w:t>
            </w:r>
          </w:p>
          <w:p w14:paraId="202FEFD9" w14:textId="61508F41" w:rsidR="001E1112" w:rsidRPr="00317ABF" w:rsidRDefault="001E1112" w:rsidP="1C291CDF">
            <w:pPr>
              <w:ind w:firstLine="510"/>
              <w:jc w:val="both"/>
              <w:rPr>
                <w:rFonts w:eastAsia="Times"/>
              </w:rPr>
            </w:pPr>
            <w:r w:rsidRPr="00317ABF">
              <w:rPr>
                <w:rFonts w:eastAsia="Times"/>
                <w:sz w:val="22"/>
                <w:szCs w:val="22"/>
              </w:rPr>
              <w:t xml:space="preserve">3. Przedsiębiorca komunikacji elektronicznej, o którym mowa w ust. 1, informuje, w tym na swojej stronie internetowej, o incydencie </w:t>
            </w:r>
            <w:r w:rsidR="0981976A" w:rsidRPr="00317ABF">
              <w:rPr>
                <w:sz w:val="22"/>
                <w:szCs w:val="22"/>
              </w:rPr>
              <w:t>telekomunikacyjnym</w:t>
            </w:r>
            <w:r w:rsidRPr="00317ABF">
              <w:rPr>
                <w:rFonts w:eastAsia="Times"/>
                <w:sz w:val="22"/>
                <w:szCs w:val="22"/>
              </w:rPr>
              <w:t xml:space="preserve"> i jego wpływie na dostępność świadczonych usług, jeżeli w jego ocenie ten wpływ jest istotny.</w:t>
            </w:r>
          </w:p>
        </w:tc>
      </w:tr>
      <w:tr w:rsidR="001E1112" w:rsidRPr="00317ABF" w14:paraId="754FADBC" w14:textId="77777777" w:rsidTr="7753F98D">
        <w:trPr>
          <w:gridAfter w:val="2"/>
          <w:wAfter w:w="175" w:type="dxa"/>
        </w:trPr>
        <w:tc>
          <w:tcPr>
            <w:tcW w:w="704" w:type="dxa"/>
          </w:tcPr>
          <w:p w14:paraId="12ED7884" w14:textId="77777777" w:rsidR="001E1112" w:rsidRPr="00317ABF" w:rsidRDefault="001E1112" w:rsidP="00DB3BEC">
            <w:pPr>
              <w:jc w:val="both"/>
              <w:rPr>
                <w:sz w:val="22"/>
                <w:szCs w:val="22"/>
              </w:rPr>
            </w:pPr>
            <w:r w:rsidRPr="00317ABF">
              <w:rPr>
                <w:sz w:val="22"/>
                <w:szCs w:val="22"/>
              </w:rPr>
              <w:t>Art. 40 ust. 4</w:t>
            </w:r>
          </w:p>
        </w:tc>
        <w:tc>
          <w:tcPr>
            <w:tcW w:w="4308" w:type="dxa"/>
          </w:tcPr>
          <w:p w14:paraId="6738C2EE" w14:textId="77777777" w:rsidR="001E1112" w:rsidRPr="00317ABF" w:rsidRDefault="001E1112" w:rsidP="00DB3BEC">
            <w:pPr>
              <w:spacing w:before="120"/>
              <w:jc w:val="both"/>
              <w:rPr>
                <w:sz w:val="22"/>
                <w:szCs w:val="22"/>
              </w:rPr>
            </w:pPr>
            <w:r w:rsidRPr="00317ABF">
              <w:rPr>
                <w:sz w:val="22"/>
                <w:szCs w:val="22"/>
              </w:rPr>
              <w:t>4.   Przepisy niniejszego artykułu nie naruszają przepisów rozporządzenia (UE) 2016/679 oraz dyrektywy 2002/58/WE.</w:t>
            </w:r>
          </w:p>
        </w:tc>
        <w:tc>
          <w:tcPr>
            <w:tcW w:w="986" w:type="dxa"/>
          </w:tcPr>
          <w:p w14:paraId="05F814D9" w14:textId="68C56B46" w:rsidR="001E1112" w:rsidRPr="00317ABF" w:rsidRDefault="001E1112" w:rsidP="00DB3BEC">
            <w:pPr>
              <w:jc w:val="both"/>
              <w:rPr>
                <w:sz w:val="22"/>
                <w:szCs w:val="22"/>
              </w:rPr>
            </w:pPr>
            <w:r w:rsidRPr="00317ABF">
              <w:rPr>
                <w:sz w:val="22"/>
                <w:szCs w:val="22"/>
              </w:rPr>
              <w:t>N</w:t>
            </w:r>
          </w:p>
        </w:tc>
        <w:tc>
          <w:tcPr>
            <w:tcW w:w="910" w:type="dxa"/>
          </w:tcPr>
          <w:p w14:paraId="69596ACF" w14:textId="77777777" w:rsidR="001E1112" w:rsidRPr="00317ABF" w:rsidRDefault="001E1112" w:rsidP="00DB3BEC">
            <w:pPr>
              <w:pStyle w:val="Tekstpodstawowy"/>
              <w:rPr>
                <w:b/>
                <w:noProof/>
                <w:sz w:val="22"/>
                <w:szCs w:val="22"/>
              </w:rPr>
            </w:pPr>
          </w:p>
        </w:tc>
        <w:tc>
          <w:tcPr>
            <w:tcW w:w="6814" w:type="dxa"/>
            <w:gridSpan w:val="2"/>
          </w:tcPr>
          <w:p w14:paraId="12116FDA" w14:textId="77777777" w:rsidR="001E1112" w:rsidRPr="00317ABF" w:rsidRDefault="001E1112" w:rsidP="00DB3BEC">
            <w:pPr>
              <w:pStyle w:val="Tekstpodstawowy"/>
              <w:rPr>
                <w:sz w:val="22"/>
                <w:szCs w:val="22"/>
              </w:rPr>
            </w:pPr>
          </w:p>
        </w:tc>
      </w:tr>
      <w:tr w:rsidR="001E1112" w:rsidRPr="00317ABF" w14:paraId="1FA932BA" w14:textId="77777777" w:rsidTr="7753F98D">
        <w:trPr>
          <w:gridAfter w:val="2"/>
          <w:wAfter w:w="175" w:type="dxa"/>
        </w:trPr>
        <w:tc>
          <w:tcPr>
            <w:tcW w:w="704" w:type="dxa"/>
          </w:tcPr>
          <w:p w14:paraId="69BAF22C" w14:textId="77777777" w:rsidR="001E1112" w:rsidRPr="00317ABF" w:rsidRDefault="001E1112" w:rsidP="00DB3BEC">
            <w:pPr>
              <w:jc w:val="both"/>
              <w:rPr>
                <w:sz w:val="22"/>
                <w:szCs w:val="22"/>
              </w:rPr>
            </w:pPr>
            <w:r w:rsidRPr="00317ABF">
              <w:rPr>
                <w:sz w:val="22"/>
                <w:szCs w:val="22"/>
              </w:rPr>
              <w:t>Art. 40 ust. 5</w:t>
            </w:r>
          </w:p>
        </w:tc>
        <w:tc>
          <w:tcPr>
            <w:tcW w:w="4308" w:type="dxa"/>
          </w:tcPr>
          <w:p w14:paraId="7BC5E408" w14:textId="77777777" w:rsidR="001E1112" w:rsidRPr="00317ABF" w:rsidRDefault="001E1112" w:rsidP="00DB3BEC">
            <w:pPr>
              <w:spacing w:before="120"/>
              <w:jc w:val="both"/>
              <w:rPr>
                <w:sz w:val="22"/>
                <w:szCs w:val="22"/>
              </w:rPr>
            </w:pPr>
            <w:r w:rsidRPr="00317ABF">
              <w:rPr>
                <w:sz w:val="22"/>
                <w:szCs w:val="22"/>
              </w:rPr>
              <w:t xml:space="preserve">5.   Komisja, w jak największym stopniu uwzględniając opinię ENISA, może przyjąć akty wykonawcze określające szczegółowo techniczne i organizacyjne środki, o których mowa w ust. 1, a także okoliczności, format i procedury stosowane w odniesieniu </w:t>
            </w:r>
            <w:r w:rsidRPr="00317ABF">
              <w:rPr>
                <w:sz w:val="22"/>
                <w:szCs w:val="22"/>
              </w:rPr>
              <w:lastRenderedPageBreak/>
              <w:t>do wymogów dotyczących zgłoszenia na podstawie ust. 2. Opierają się one w jak najszerszym zakresie na normach europejskich i międzynarodowych i nie uniemożliwiają państwom członkowskim przyjmowania dodatkowych wymogów służących osiągnięciu celów określonych w ust. 1.</w:t>
            </w:r>
          </w:p>
          <w:p w14:paraId="734EA2A7" w14:textId="77777777" w:rsidR="001E1112" w:rsidRPr="00317ABF" w:rsidRDefault="001E1112" w:rsidP="00DB3BEC">
            <w:pPr>
              <w:spacing w:before="120"/>
              <w:jc w:val="both"/>
              <w:rPr>
                <w:sz w:val="22"/>
                <w:szCs w:val="22"/>
              </w:rPr>
            </w:pPr>
            <w:r w:rsidRPr="00317ABF">
              <w:rPr>
                <w:sz w:val="22"/>
                <w:szCs w:val="22"/>
              </w:rPr>
              <w:t>Te akty wykonawcze przyjmuje się zgodnie z procedurą sprawdzającą, o której mowa w art. 118 ust. 4.</w:t>
            </w:r>
          </w:p>
        </w:tc>
        <w:tc>
          <w:tcPr>
            <w:tcW w:w="986" w:type="dxa"/>
          </w:tcPr>
          <w:p w14:paraId="62F98237" w14:textId="77777777" w:rsidR="001E1112" w:rsidRPr="00317ABF" w:rsidRDefault="001E1112" w:rsidP="00DB3BEC">
            <w:pPr>
              <w:jc w:val="both"/>
              <w:rPr>
                <w:sz w:val="22"/>
                <w:szCs w:val="22"/>
              </w:rPr>
            </w:pPr>
            <w:r w:rsidRPr="00317ABF">
              <w:rPr>
                <w:sz w:val="22"/>
                <w:szCs w:val="22"/>
              </w:rPr>
              <w:lastRenderedPageBreak/>
              <w:t>N</w:t>
            </w:r>
          </w:p>
        </w:tc>
        <w:tc>
          <w:tcPr>
            <w:tcW w:w="910" w:type="dxa"/>
          </w:tcPr>
          <w:p w14:paraId="719ECEC9" w14:textId="77777777" w:rsidR="001E1112" w:rsidRPr="00317ABF" w:rsidRDefault="001E1112" w:rsidP="00DB3BEC">
            <w:pPr>
              <w:pStyle w:val="Tekstpodstawowy"/>
              <w:rPr>
                <w:b/>
                <w:noProof/>
                <w:sz w:val="22"/>
                <w:szCs w:val="22"/>
              </w:rPr>
            </w:pPr>
          </w:p>
        </w:tc>
        <w:tc>
          <w:tcPr>
            <w:tcW w:w="6814" w:type="dxa"/>
            <w:gridSpan w:val="2"/>
          </w:tcPr>
          <w:p w14:paraId="407B23F1" w14:textId="77777777" w:rsidR="001E1112" w:rsidRPr="00317ABF" w:rsidRDefault="001E1112" w:rsidP="00DB3BEC">
            <w:pPr>
              <w:pStyle w:val="Tekstpodstawowy"/>
              <w:rPr>
                <w:sz w:val="22"/>
                <w:szCs w:val="22"/>
              </w:rPr>
            </w:pPr>
          </w:p>
        </w:tc>
      </w:tr>
      <w:tr w:rsidR="001E1112" w:rsidRPr="00317ABF" w14:paraId="29D2CA15" w14:textId="77777777" w:rsidTr="7753F98D">
        <w:trPr>
          <w:gridAfter w:val="2"/>
          <w:wAfter w:w="175" w:type="dxa"/>
        </w:trPr>
        <w:tc>
          <w:tcPr>
            <w:tcW w:w="704" w:type="dxa"/>
          </w:tcPr>
          <w:p w14:paraId="5991B2FE" w14:textId="77777777" w:rsidR="001E1112" w:rsidRPr="00317ABF" w:rsidRDefault="001E1112" w:rsidP="00DB3BEC">
            <w:pPr>
              <w:jc w:val="both"/>
              <w:rPr>
                <w:b/>
                <w:sz w:val="22"/>
                <w:szCs w:val="22"/>
              </w:rPr>
            </w:pPr>
            <w:r w:rsidRPr="00317ABF">
              <w:rPr>
                <w:b/>
                <w:sz w:val="22"/>
                <w:szCs w:val="22"/>
              </w:rPr>
              <w:lastRenderedPageBreak/>
              <w:t>Art. 41</w:t>
            </w:r>
          </w:p>
        </w:tc>
        <w:tc>
          <w:tcPr>
            <w:tcW w:w="4308" w:type="dxa"/>
          </w:tcPr>
          <w:p w14:paraId="040CEA25" w14:textId="77777777" w:rsidR="001E1112" w:rsidRPr="00317ABF" w:rsidRDefault="001E1112" w:rsidP="00DB3BEC">
            <w:pPr>
              <w:spacing w:before="60" w:after="120"/>
              <w:jc w:val="both"/>
              <w:rPr>
                <w:b/>
                <w:bCs/>
                <w:sz w:val="22"/>
                <w:szCs w:val="22"/>
              </w:rPr>
            </w:pPr>
            <w:r w:rsidRPr="00317ABF">
              <w:rPr>
                <w:b/>
                <w:bCs/>
                <w:sz w:val="22"/>
                <w:szCs w:val="22"/>
              </w:rPr>
              <w:t>Wdrożenie i egzekwowanie</w:t>
            </w:r>
          </w:p>
        </w:tc>
        <w:tc>
          <w:tcPr>
            <w:tcW w:w="986" w:type="dxa"/>
          </w:tcPr>
          <w:p w14:paraId="429CDF30" w14:textId="77777777" w:rsidR="001E1112" w:rsidRPr="00317ABF" w:rsidRDefault="001E1112" w:rsidP="00DB3BEC">
            <w:pPr>
              <w:jc w:val="both"/>
              <w:rPr>
                <w:sz w:val="22"/>
                <w:szCs w:val="22"/>
              </w:rPr>
            </w:pPr>
          </w:p>
        </w:tc>
        <w:tc>
          <w:tcPr>
            <w:tcW w:w="910" w:type="dxa"/>
          </w:tcPr>
          <w:p w14:paraId="631CDF97" w14:textId="77777777" w:rsidR="001E1112" w:rsidRPr="00317ABF" w:rsidRDefault="001E1112" w:rsidP="00DB3BEC">
            <w:pPr>
              <w:pStyle w:val="Tekstpodstawowy"/>
              <w:rPr>
                <w:b/>
                <w:noProof/>
                <w:sz w:val="22"/>
                <w:szCs w:val="22"/>
              </w:rPr>
            </w:pPr>
          </w:p>
        </w:tc>
        <w:tc>
          <w:tcPr>
            <w:tcW w:w="6814" w:type="dxa"/>
            <w:gridSpan w:val="2"/>
          </w:tcPr>
          <w:p w14:paraId="31FE71E4" w14:textId="77777777" w:rsidR="001E1112" w:rsidRPr="00317ABF" w:rsidRDefault="001E1112" w:rsidP="00DB3BEC">
            <w:pPr>
              <w:pStyle w:val="Tekstpodstawowy"/>
              <w:rPr>
                <w:sz w:val="22"/>
                <w:szCs w:val="22"/>
              </w:rPr>
            </w:pPr>
          </w:p>
        </w:tc>
      </w:tr>
      <w:tr w:rsidR="001E1112" w:rsidRPr="00317ABF" w14:paraId="76CDDEB8" w14:textId="77777777" w:rsidTr="7753F98D">
        <w:trPr>
          <w:gridAfter w:val="2"/>
          <w:wAfter w:w="175" w:type="dxa"/>
        </w:trPr>
        <w:tc>
          <w:tcPr>
            <w:tcW w:w="704" w:type="dxa"/>
          </w:tcPr>
          <w:p w14:paraId="1CC9FC64" w14:textId="77777777" w:rsidR="001E1112" w:rsidRPr="00317ABF" w:rsidRDefault="001E1112" w:rsidP="00DB3BEC">
            <w:pPr>
              <w:jc w:val="both"/>
              <w:rPr>
                <w:sz w:val="22"/>
                <w:szCs w:val="22"/>
              </w:rPr>
            </w:pPr>
            <w:r w:rsidRPr="00317ABF">
              <w:rPr>
                <w:sz w:val="22"/>
                <w:szCs w:val="22"/>
              </w:rPr>
              <w:t>Art. 41 ust. 1</w:t>
            </w:r>
          </w:p>
        </w:tc>
        <w:tc>
          <w:tcPr>
            <w:tcW w:w="4308" w:type="dxa"/>
          </w:tcPr>
          <w:p w14:paraId="2F9EBDF8" w14:textId="77777777" w:rsidR="001E1112" w:rsidRPr="00317ABF" w:rsidRDefault="001E1112" w:rsidP="00DB3BEC">
            <w:pPr>
              <w:spacing w:before="120"/>
              <w:jc w:val="both"/>
              <w:rPr>
                <w:sz w:val="22"/>
                <w:szCs w:val="22"/>
              </w:rPr>
            </w:pPr>
            <w:r w:rsidRPr="00317ABF">
              <w:rPr>
                <w:sz w:val="22"/>
                <w:szCs w:val="22"/>
              </w:rPr>
              <w:t>1.   Państwa członkowskie zapewniają, aby w celu wdrożenia art. 40 właściwe organy były uprawnione do wydawania wiążących instrukcji – w tym instrukcji dotyczących środków wymaganych, aby zaradzić incydentowi związanemu z bezpieczeństwem lub aby zapobiec wystąpieniu takiego incydentu, gdy zidentyfikowano znaczne zagrożenie, oraz terminów wdrożenia – podmiotom udostępniającym publiczne sieci łączności elektronicznej lub świadczącym publicznie dostępne usługi łączności elektronicznej.</w:t>
            </w:r>
          </w:p>
        </w:tc>
        <w:tc>
          <w:tcPr>
            <w:tcW w:w="986" w:type="dxa"/>
          </w:tcPr>
          <w:p w14:paraId="69BCABCD" w14:textId="25D1A5BF" w:rsidR="001E1112" w:rsidRPr="00317ABF" w:rsidRDefault="001E1112" w:rsidP="00DB3BEC">
            <w:pPr>
              <w:jc w:val="both"/>
              <w:rPr>
                <w:sz w:val="22"/>
                <w:szCs w:val="22"/>
              </w:rPr>
            </w:pPr>
            <w:r w:rsidRPr="00317ABF">
              <w:rPr>
                <w:sz w:val="22"/>
                <w:szCs w:val="22"/>
              </w:rPr>
              <w:t>T</w:t>
            </w:r>
          </w:p>
        </w:tc>
        <w:tc>
          <w:tcPr>
            <w:tcW w:w="910" w:type="dxa"/>
          </w:tcPr>
          <w:p w14:paraId="7E4C38B2" w14:textId="245B365C" w:rsidR="001E1112" w:rsidRPr="00317ABF" w:rsidRDefault="5D011D17" w:rsidP="05354FF0">
            <w:pPr>
              <w:pStyle w:val="Tekstpodstawowy"/>
              <w:rPr>
                <w:b/>
                <w:bCs/>
                <w:noProof/>
                <w:sz w:val="22"/>
                <w:szCs w:val="22"/>
              </w:rPr>
            </w:pPr>
            <w:r w:rsidRPr="00317ABF">
              <w:rPr>
                <w:b/>
                <w:bCs/>
                <w:noProof/>
                <w:sz w:val="22"/>
                <w:szCs w:val="22"/>
              </w:rPr>
              <w:t>Art. 20</w:t>
            </w:r>
            <w:r w:rsidR="7BEC1BC2" w:rsidRPr="00317ABF">
              <w:rPr>
                <w:b/>
                <w:bCs/>
                <w:noProof/>
                <w:sz w:val="22"/>
                <w:szCs w:val="22"/>
              </w:rPr>
              <w:t>b ust. 1</w:t>
            </w:r>
            <w:r w:rsidR="670346B4" w:rsidRPr="00317ABF">
              <w:rPr>
                <w:b/>
                <w:bCs/>
                <w:noProof/>
                <w:sz w:val="22"/>
                <w:szCs w:val="22"/>
              </w:rPr>
              <w:t>,</w:t>
            </w:r>
            <w:r w:rsidR="7BEC1BC2" w:rsidRPr="00317ABF">
              <w:rPr>
                <w:b/>
                <w:bCs/>
                <w:noProof/>
                <w:sz w:val="22"/>
                <w:szCs w:val="22"/>
              </w:rPr>
              <w:t xml:space="preserve"> ust. 5 pkt 1</w:t>
            </w:r>
            <w:r w:rsidR="1EDF89F5" w:rsidRPr="00317ABF">
              <w:rPr>
                <w:b/>
                <w:bCs/>
                <w:noProof/>
                <w:sz w:val="22"/>
                <w:szCs w:val="22"/>
              </w:rPr>
              <w:t xml:space="preserve">, ust. 6 pkt </w:t>
            </w:r>
            <w:r w:rsidR="7BEC1BC2" w:rsidRPr="00317ABF">
              <w:rPr>
                <w:b/>
                <w:bCs/>
                <w:noProof/>
                <w:sz w:val="22"/>
                <w:szCs w:val="22"/>
              </w:rPr>
              <w:t>1</w:t>
            </w:r>
            <w:r w:rsidRPr="00317ABF">
              <w:rPr>
                <w:b/>
                <w:bCs/>
                <w:noProof/>
                <w:sz w:val="22"/>
                <w:szCs w:val="22"/>
              </w:rPr>
              <w:t xml:space="preserve"> </w:t>
            </w:r>
            <w:r w:rsidR="1EDF89F5" w:rsidRPr="00317ABF">
              <w:rPr>
                <w:b/>
                <w:bCs/>
                <w:noProof/>
                <w:sz w:val="22"/>
                <w:szCs w:val="22"/>
              </w:rPr>
              <w:t>oraz art. 54a</w:t>
            </w:r>
            <w:r w:rsidRPr="00317ABF">
              <w:rPr>
                <w:b/>
                <w:bCs/>
                <w:noProof/>
                <w:sz w:val="22"/>
                <w:szCs w:val="22"/>
              </w:rPr>
              <w:t xml:space="preserve"> ustawy o krajowym systemie cyberbezpieczeństwa </w:t>
            </w:r>
            <w:r w:rsidRPr="00317ABF">
              <w:rPr>
                <w:noProof/>
                <w:sz w:val="22"/>
                <w:szCs w:val="22"/>
              </w:rPr>
              <w:t>(art. 51 pkt 4</w:t>
            </w:r>
            <w:r w:rsidR="36D36655" w:rsidRPr="00317ABF">
              <w:rPr>
                <w:noProof/>
                <w:sz w:val="22"/>
                <w:szCs w:val="22"/>
              </w:rPr>
              <w:t xml:space="preserve"> i 15</w:t>
            </w:r>
            <w:r w:rsidRPr="00317ABF">
              <w:rPr>
                <w:noProof/>
                <w:sz w:val="22"/>
                <w:szCs w:val="22"/>
              </w:rPr>
              <w:t xml:space="preserve"> ustawy wprowadzającej PKE)</w:t>
            </w:r>
          </w:p>
          <w:p w14:paraId="2D28C23C" w14:textId="2D860D1D" w:rsidR="001E1112" w:rsidRPr="00317ABF" w:rsidRDefault="001E1112" w:rsidP="00DB3BEC">
            <w:pPr>
              <w:pStyle w:val="Tekstpodstawowy"/>
              <w:rPr>
                <w:b/>
                <w:noProof/>
                <w:sz w:val="22"/>
                <w:szCs w:val="22"/>
              </w:rPr>
            </w:pPr>
          </w:p>
        </w:tc>
        <w:tc>
          <w:tcPr>
            <w:tcW w:w="6814" w:type="dxa"/>
            <w:gridSpan w:val="2"/>
          </w:tcPr>
          <w:p w14:paraId="2471EEB2" w14:textId="106CFA88" w:rsidR="001E1112" w:rsidRPr="00317ABF" w:rsidRDefault="6778A80A" w:rsidP="2531D77B">
            <w:pPr>
              <w:autoSpaceDE w:val="0"/>
              <w:autoSpaceDN w:val="0"/>
              <w:adjustRightInd w:val="0"/>
              <w:ind w:firstLine="510"/>
              <w:jc w:val="both"/>
            </w:pPr>
            <w:r w:rsidRPr="00317ABF">
              <w:rPr>
                <w:b/>
                <w:sz w:val="22"/>
                <w:szCs w:val="22"/>
              </w:rPr>
              <w:t>Art. 20b.</w:t>
            </w:r>
            <w:r w:rsidRPr="00317ABF">
              <w:rPr>
                <w:sz w:val="22"/>
                <w:szCs w:val="22"/>
              </w:rPr>
              <w:t xml:space="preserve"> 1. Prezes UKE może dokonywać oceny podjętych przez przedsiębiorcę komunikacji elektronicznej środków technicznych i organizacyjnych, o których mowa w art. 20a ust. 2 pkt 2, kierując się rekomendacjami ENISA. </w:t>
            </w:r>
          </w:p>
          <w:p w14:paraId="71639A44" w14:textId="52F437A9" w:rsidR="001E1112" w:rsidRPr="00317ABF" w:rsidRDefault="6778A80A" w:rsidP="2531D77B">
            <w:pPr>
              <w:autoSpaceDE w:val="0"/>
              <w:autoSpaceDN w:val="0"/>
              <w:adjustRightInd w:val="0"/>
              <w:ind w:firstLine="510"/>
              <w:jc w:val="both"/>
            </w:pPr>
            <w:r w:rsidRPr="00317ABF">
              <w:rPr>
                <w:sz w:val="22"/>
                <w:szCs w:val="22"/>
              </w:rPr>
              <w:t xml:space="preserve">2. Przedsiębiorca komunikacji elektronicznej jest obowiązany do przekazania Prezesowi UKE, na jego żądanie, informacji niezbędnych do dokonania oceny. </w:t>
            </w:r>
          </w:p>
          <w:p w14:paraId="08DE86B2" w14:textId="5EEF763D" w:rsidR="001E1112" w:rsidRPr="00317ABF" w:rsidRDefault="6778A80A" w:rsidP="2531D77B">
            <w:pPr>
              <w:autoSpaceDE w:val="0"/>
              <w:autoSpaceDN w:val="0"/>
              <w:adjustRightInd w:val="0"/>
              <w:ind w:firstLine="510"/>
              <w:jc w:val="both"/>
            </w:pPr>
            <w:r w:rsidRPr="00317ABF">
              <w:rPr>
                <w:sz w:val="22"/>
                <w:szCs w:val="22"/>
              </w:rPr>
              <w:t>3. Żądanie, o którym mowa w ust. 2, powinno zawierać:</w:t>
            </w:r>
          </w:p>
          <w:p w14:paraId="50FF4555" w14:textId="39BCF128" w:rsidR="001E1112" w:rsidRPr="00317ABF" w:rsidRDefault="6778A80A" w:rsidP="2531D77B">
            <w:pPr>
              <w:autoSpaceDE w:val="0"/>
              <w:autoSpaceDN w:val="0"/>
              <w:adjustRightInd w:val="0"/>
              <w:ind w:firstLine="510"/>
              <w:jc w:val="both"/>
            </w:pPr>
            <w:r w:rsidRPr="00317ABF">
              <w:rPr>
                <w:sz w:val="22"/>
                <w:szCs w:val="22"/>
              </w:rPr>
              <w:t>1) wskazanie podmiotu obowiązanego do przekazania informacji;</w:t>
            </w:r>
          </w:p>
          <w:p w14:paraId="4F53FC4D" w14:textId="52B716FB" w:rsidR="001E1112" w:rsidRPr="00317ABF" w:rsidRDefault="6778A80A" w:rsidP="2531D77B">
            <w:pPr>
              <w:autoSpaceDE w:val="0"/>
              <w:autoSpaceDN w:val="0"/>
              <w:adjustRightInd w:val="0"/>
              <w:ind w:firstLine="510"/>
              <w:jc w:val="both"/>
            </w:pPr>
            <w:r w:rsidRPr="00317ABF">
              <w:rPr>
                <w:sz w:val="22"/>
                <w:szCs w:val="22"/>
              </w:rPr>
              <w:t>2) datę;</w:t>
            </w:r>
          </w:p>
          <w:p w14:paraId="1D8D4E72" w14:textId="640D1755" w:rsidR="001E1112" w:rsidRPr="00317ABF" w:rsidRDefault="6778A80A" w:rsidP="2531D77B">
            <w:pPr>
              <w:autoSpaceDE w:val="0"/>
              <w:autoSpaceDN w:val="0"/>
              <w:adjustRightInd w:val="0"/>
              <w:ind w:firstLine="510"/>
              <w:jc w:val="both"/>
            </w:pPr>
            <w:r w:rsidRPr="00317ABF">
              <w:rPr>
                <w:sz w:val="22"/>
                <w:szCs w:val="22"/>
              </w:rPr>
              <w:t>3) wskazanie żądanych informacji oraz okresu, którego dotyczą;</w:t>
            </w:r>
          </w:p>
          <w:p w14:paraId="2774E874" w14:textId="5B2914BE" w:rsidR="001E1112" w:rsidRPr="00317ABF" w:rsidRDefault="6778A80A" w:rsidP="2531D77B">
            <w:pPr>
              <w:autoSpaceDE w:val="0"/>
              <w:autoSpaceDN w:val="0"/>
              <w:adjustRightInd w:val="0"/>
              <w:ind w:firstLine="510"/>
              <w:jc w:val="both"/>
            </w:pPr>
            <w:r w:rsidRPr="00317ABF">
              <w:rPr>
                <w:sz w:val="22"/>
                <w:szCs w:val="22"/>
              </w:rPr>
              <w:t>4) wskazanie celu, jakiemu informacje mają służyć;</w:t>
            </w:r>
          </w:p>
          <w:p w14:paraId="11CB07F1" w14:textId="27F5B55D" w:rsidR="001E1112" w:rsidRPr="00317ABF" w:rsidRDefault="6778A80A" w:rsidP="00DB3BEC">
            <w:pPr>
              <w:autoSpaceDE w:val="0"/>
              <w:autoSpaceDN w:val="0"/>
              <w:adjustRightInd w:val="0"/>
              <w:jc w:val="both"/>
            </w:pPr>
            <w:r w:rsidRPr="00317ABF">
              <w:rPr>
                <w:sz w:val="22"/>
                <w:szCs w:val="22"/>
              </w:rPr>
              <w:t>5) wskazanie terminu przekazania informacji adekwatnego do zakresu tego żądania, nie krótszego niż 7 dni;</w:t>
            </w:r>
          </w:p>
          <w:p w14:paraId="4E7EA9BA" w14:textId="0D7BA767" w:rsidR="001E1112" w:rsidRPr="00317ABF" w:rsidRDefault="6778A80A" w:rsidP="2531D77B">
            <w:pPr>
              <w:autoSpaceDE w:val="0"/>
              <w:autoSpaceDN w:val="0"/>
              <w:adjustRightInd w:val="0"/>
              <w:ind w:firstLine="510"/>
              <w:jc w:val="both"/>
            </w:pPr>
            <w:r w:rsidRPr="00317ABF">
              <w:rPr>
                <w:sz w:val="22"/>
                <w:szCs w:val="22"/>
              </w:rPr>
              <w:t>6) uzasadnienie;</w:t>
            </w:r>
          </w:p>
          <w:p w14:paraId="6171D367" w14:textId="67E12E46" w:rsidR="001E1112" w:rsidRPr="00317ABF" w:rsidRDefault="6778A80A" w:rsidP="2531D77B">
            <w:pPr>
              <w:autoSpaceDE w:val="0"/>
              <w:autoSpaceDN w:val="0"/>
              <w:adjustRightInd w:val="0"/>
              <w:ind w:firstLine="510"/>
              <w:jc w:val="both"/>
            </w:pPr>
            <w:r w:rsidRPr="00317ABF">
              <w:rPr>
                <w:sz w:val="22"/>
                <w:szCs w:val="22"/>
              </w:rPr>
              <w:t>7) pouczenie o zagrożeniu karą, o której mowa w art. 76a ust. 1.</w:t>
            </w:r>
          </w:p>
          <w:p w14:paraId="7BDAEE21" w14:textId="5C7E5152" w:rsidR="001E1112" w:rsidRPr="00317ABF" w:rsidRDefault="6778A80A" w:rsidP="2531D77B">
            <w:pPr>
              <w:autoSpaceDE w:val="0"/>
              <w:autoSpaceDN w:val="0"/>
              <w:adjustRightInd w:val="0"/>
              <w:ind w:firstLine="510"/>
              <w:jc w:val="both"/>
            </w:pPr>
            <w:r w:rsidRPr="00317ABF">
              <w:rPr>
                <w:sz w:val="22"/>
                <w:szCs w:val="22"/>
              </w:rPr>
              <w:t>4. W ramach prowadzenia oceny, o której mowa w ust. 1, Prezes UKE może zwrócić się do Pełnomocnika o przeprowadzenie badania, o którym mowa w art. 33.</w:t>
            </w:r>
          </w:p>
          <w:p w14:paraId="07F3900E" w14:textId="5FE1BC03" w:rsidR="001E1112" w:rsidRPr="00317ABF" w:rsidRDefault="6778A80A" w:rsidP="2531D77B">
            <w:pPr>
              <w:autoSpaceDE w:val="0"/>
              <w:autoSpaceDN w:val="0"/>
              <w:adjustRightInd w:val="0"/>
              <w:ind w:firstLine="510"/>
              <w:jc w:val="both"/>
            </w:pPr>
            <w:r w:rsidRPr="00317ABF">
              <w:rPr>
                <w:sz w:val="22"/>
                <w:szCs w:val="22"/>
              </w:rPr>
              <w:t xml:space="preserve">5. Prezes UKE może, w drodze decyzji, nałożyć na przedsiębiorcę komunikacji elektronicznej obowiązek: </w:t>
            </w:r>
          </w:p>
          <w:p w14:paraId="109564D7" w14:textId="03A062E4" w:rsidR="001E1112" w:rsidRPr="00317ABF" w:rsidRDefault="6778A80A" w:rsidP="2531D77B">
            <w:pPr>
              <w:autoSpaceDE w:val="0"/>
              <w:autoSpaceDN w:val="0"/>
              <w:adjustRightInd w:val="0"/>
              <w:ind w:firstLine="510"/>
              <w:jc w:val="both"/>
            </w:pPr>
            <w:r w:rsidRPr="00317ABF">
              <w:rPr>
                <w:sz w:val="22"/>
                <w:szCs w:val="22"/>
              </w:rPr>
              <w:t xml:space="preserve">1) uzupełnienia i właściwego zastosowania środków technicznych i organizacyjnych lub </w:t>
            </w:r>
          </w:p>
          <w:p w14:paraId="255AF45E" w14:textId="743C506D" w:rsidR="001E1112" w:rsidRPr="00317ABF" w:rsidRDefault="001E1112" w:rsidP="2531D77B">
            <w:pPr>
              <w:autoSpaceDE w:val="0"/>
              <w:autoSpaceDN w:val="0"/>
              <w:adjustRightInd w:val="0"/>
              <w:ind w:firstLine="510"/>
              <w:jc w:val="both"/>
            </w:pPr>
            <w:r w:rsidRPr="00317ABF">
              <w:rPr>
                <w:rFonts w:eastAsia="Times"/>
                <w:sz w:val="22"/>
                <w:szCs w:val="22"/>
              </w:rPr>
              <w:t>2) w przypadku powstania uzasadnionych wątpliwości</w:t>
            </w:r>
            <w:r w:rsidR="6778A80A" w:rsidRPr="00317ABF">
              <w:rPr>
                <w:sz w:val="22"/>
                <w:szCs w:val="22"/>
              </w:rPr>
              <w:t>,</w:t>
            </w:r>
            <w:r w:rsidRPr="00317ABF">
              <w:rPr>
                <w:rFonts w:eastAsia="Times"/>
                <w:sz w:val="22"/>
                <w:szCs w:val="22"/>
              </w:rPr>
              <w:t xml:space="preserve"> co do stosowania właściwych środków bezpieczeństwa, poddania się, na własny koszt, audytowi bezpieczeństwa przeprowadzanemu przez </w:t>
            </w:r>
            <w:r w:rsidRPr="00317ABF">
              <w:rPr>
                <w:rFonts w:eastAsia="Times"/>
                <w:sz w:val="22"/>
                <w:szCs w:val="22"/>
              </w:rPr>
              <w:lastRenderedPageBreak/>
              <w:t>wykwalifikowany, wybrany przez przedsiębiorcę, niezależny podmiot i udostępnienia Prezesowi UKE wyników tego audytu.</w:t>
            </w:r>
          </w:p>
          <w:p w14:paraId="10DC41A4" w14:textId="5A93E32C" w:rsidR="001E1112" w:rsidRPr="00317ABF" w:rsidRDefault="6778A80A" w:rsidP="2531D77B">
            <w:pPr>
              <w:autoSpaceDE w:val="0"/>
              <w:autoSpaceDN w:val="0"/>
              <w:adjustRightInd w:val="0"/>
              <w:ind w:firstLine="510"/>
              <w:jc w:val="both"/>
            </w:pPr>
            <w:r w:rsidRPr="00317ABF">
              <w:rPr>
                <w:sz w:val="22"/>
                <w:szCs w:val="22"/>
              </w:rPr>
              <w:t>6. W decyzji, o której mowa w:</w:t>
            </w:r>
          </w:p>
          <w:p w14:paraId="0F66141E" w14:textId="1549A9D8" w:rsidR="001E1112" w:rsidRPr="00317ABF" w:rsidRDefault="6778A80A" w:rsidP="2531D77B">
            <w:pPr>
              <w:autoSpaceDE w:val="0"/>
              <w:autoSpaceDN w:val="0"/>
              <w:adjustRightInd w:val="0"/>
              <w:ind w:firstLine="510"/>
              <w:jc w:val="both"/>
            </w:pPr>
            <w:r w:rsidRPr="00317ABF">
              <w:rPr>
                <w:sz w:val="22"/>
                <w:szCs w:val="22"/>
              </w:rPr>
              <w:t>1) ust. 5 pkt 1, Prezes UKE wskaże termin wdrożenia dodatkowych środków technicznych i organizacyjnych oraz uzasadni zastosowanie tych dodatkowych środków;</w:t>
            </w:r>
          </w:p>
          <w:p w14:paraId="393C560A" w14:textId="5A161EA6" w:rsidR="001E1112" w:rsidRPr="00317ABF" w:rsidRDefault="6778A80A" w:rsidP="2531D77B">
            <w:pPr>
              <w:autoSpaceDE w:val="0"/>
              <w:autoSpaceDN w:val="0"/>
              <w:adjustRightInd w:val="0"/>
              <w:ind w:firstLine="510"/>
              <w:jc w:val="both"/>
            </w:pPr>
            <w:r w:rsidRPr="00317ABF">
              <w:rPr>
                <w:sz w:val="22"/>
                <w:szCs w:val="22"/>
              </w:rPr>
              <w:t>2) ust. 5 pkt 2, Prezes UKE uzasadni konieczność przeprowadzenia audytu bezpieczeństwa.</w:t>
            </w:r>
          </w:p>
          <w:p w14:paraId="081F3FD1" w14:textId="56B81F5D" w:rsidR="001E1112" w:rsidRPr="00317ABF" w:rsidRDefault="6778A80A" w:rsidP="2531D77B">
            <w:pPr>
              <w:autoSpaceDE w:val="0"/>
              <w:autoSpaceDN w:val="0"/>
              <w:adjustRightInd w:val="0"/>
              <w:ind w:firstLine="510"/>
              <w:jc w:val="both"/>
            </w:pPr>
            <w:r w:rsidRPr="00317ABF">
              <w:rPr>
                <w:sz w:val="22"/>
                <w:szCs w:val="22"/>
              </w:rPr>
              <w:t>7. Do audytu bezpieczeństwa, o którym mowa w ust. 5 pkt 2, stosuje się odpowiednio art. 15 ust. 2 pkt. 1 i 2 oraz ust. 4 i 5. Audytorzy, o których mowa w art. 15 ust. 2 pkt 2, wykonujący audyt bezpieczeństwa muszą być niezależni od przedsiębiorcy komunikacji elektronicznej, u którego prowadzony jest audyt bezpieczeństwa.</w:t>
            </w:r>
          </w:p>
          <w:p w14:paraId="203ED788" w14:textId="42E26190" w:rsidR="570E1AFC" w:rsidRPr="00317ABF" w:rsidRDefault="570E1AFC" w:rsidP="570E1AFC">
            <w:pPr>
              <w:ind w:firstLine="510"/>
              <w:jc w:val="both"/>
              <w:rPr>
                <w:sz w:val="22"/>
                <w:szCs w:val="22"/>
              </w:rPr>
            </w:pPr>
          </w:p>
          <w:p w14:paraId="0F7357C3" w14:textId="6E86144D" w:rsidR="001E1112" w:rsidRPr="00317ABF" w:rsidRDefault="299EA141" w:rsidP="27A33FAC">
            <w:pPr>
              <w:ind w:firstLine="510"/>
              <w:jc w:val="both"/>
              <w:rPr>
                <w:sz w:val="22"/>
                <w:szCs w:val="22"/>
              </w:rPr>
            </w:pPr>
            <w:r w:rsidRPr="00317ABF">
              <w:rPr>
                <w:sz w:val="22"/>
                <w:szCs w:val="22"/>
              </w:rPr>
              <w:t>Art. 54a Prezes UKE może, po otrzymaniu wniosku od CSIRT MON, CSIRT NASK, CSIRT GOV lub CSIRT Telco wezwać przedsiębiorcę komunikacji elektronicznej do usunięcia w wyznaczonym terminie podatności, które doprowadziły lub mogły doprowadzić do incydentu telekomunikacyjnego lub krytycznego.</w:t>
            </w:r>
          </w:p>
        </w:tc>
      </w:tr>
      <w:tr w:rsidR="001E1112" w:rsidRPr="00317ABF" w14:paraId="38B33666" w14:textId="77777777" w:rsidTr="7753F98D">
        <w:trPr>
          <w:gridAfter w:val="2"/>
          <w:wAfter w:w="175" w:type="dxa"/>
        </w:trPr>
        <w:tc>
          <w:tcPr>
            <w:tcW w:w="704" w:type="dxa"/>
          </w:tcPr>
          <w:p w14:paraId="6BFBDD53" w14:textId="77777777" w:rsidR="001E1112" w:rsidRPr="00317ABF" w:rsidRDefault="001E1112" w:rsidP="00DB3BEC">
            <w:pPr>
              <w:jc w:val="both"/>
              <w:rPr>
                <w:sz w:val="22"/>
                <w:szCs w:val="22"/>
              </w:rPr>
            </w:pPr>
            <w:r w:rsidRPr="00317ABF">
              <w:rPr>
                <w:sz w:val="22"/>
                <w:szCs w:val="22"/>
              </w:rPr>
              <w:lastRenderedPageBreak/>
              <w:t>Art. 41 ust. 2</w:t>
            </w:r>
          </w:p>
        </w:tc>
        <w:tc>
          <w:tcPr>
            <w:tcW w:w="4308" w:type="dxa"/>
          </w:tcPr>
          <w:p w14:paraId="7D278B06" w14:textId="77777777" w:rsidR="001E1112" w:rsidRPr="00317ABF" w:rsidRDefault="001E1112" w:rsidP="00DB3BEC">
            <w:pPr>
              <w:spacing w:before="120"/>
              <w:jc w:val="both"/>
              <w:rPr>
                <w:sz w:val="22"/>
                <w:szCs w:val="22"/>
              </w:rPr>
            </w:pPr>
            <w:r w:rsidRPr="00317ABF">
              <w:rPr>
                <w:sz w:val="22"/>
                <w:szCs w:val="22"/>
              </w:rPr>
              <w:t>2.   Państwa członkowskie zapewniają, aby właściwe organy były uprawnione do wymagania od podmiotów udostępniających publiczne sieci łączności elektronicznej lub świadczących publicznie dostępne usługi łączności elektronicznej:</w:t>
            </w:r>
          </w:p>
          <w:tbl>
            <w:tblPr>
              <w:tblW w:w="5000" w:type="pct"/>
              <w:tblCellSpacing w:w="0" w:type="dxa"/>
              <w:tblLayout w:type="fixed"/>
              <w:tblCellMar>
                <w:left w:w="0" w:type="dxa"/>
                <w:right w:w="0" w:type="dxa"/>
              </w:tblCellMar>
              <w:tblLook w:val="04A0" w:firstRow="1" w:lastRow="0" w:firstColumn="1" w:lastColumn="0" w:noHBand="0" w:noVBand="1"/>
            </w:tblPr>
            <w:tblGrid>
              <w:gridCol w:w="20"/>
              <w:gridCol w:w="4148"/>
            </w:tblGrid>
            <w:tr w:rsidR="001E1112" w:rsidRPr="00317ABF" w14:paraId="588FB166" w14:textId="77777777" w:rsidTr="00A462BE">
              <w:trPr>
                <w:tblCellSpacing w:w="0" w:type="dxa"/>
              </w:trPr>
              <w:tc>
                <w:tcPr>
                  <w:tcW w:w="6" w:type="dxa"/>
                  <w:hideMark/>
                </w:tcPr>
                <w:p w14:paraId="0C23292F" w14:textId="77777777" w:rsidR="001E1112" w:rsidRPr="00317ABF" w:rsidRDefault="001E1112" w:rsidP="00EE0AC3">
                  <w:pPr>
                    <w:framePr w:hSpace="141" w:wrap="around" w:vAnchor="text" w:hAnchor="text" w:xAlign="right" w:y="1"/>
                    <w:spacing w:before="120"/>
                    <w:suppressOverlap/>
                    <w:jc w:val="both"/>
                    <w:rPr>
                      <w:sz w:val="22"/>
                      <w:szCs w:val="22"/>
                    </w:rPr>
                  </w:pPr>
                </w:p>
              </w:tc>
              <w:tc>
                <w:tcPr>
                  <w:tcW w:w="9066" w:type="dxa"/>
                  <w:hideMark/>
                </w:tcPr>
                <w:p w14:paraId="0B1D128E" w14:textId="77777777" w:rsidR="001E1112" w:rsidRPr="00317ABF" w:rsidRDefault="001E1112" w:rsidP="00EE0AC3">
                  <w:pPr>
                    <w:framePr w:hSpace="141" w:wrap="around" w:vAnchor="text" w:hAnchor="text" w:xAlign="right" w:y="1"/>
                    <w:numPr>
                      <w:ilvl w:val="0"/>
                      <w:numId w:val="26"/>
                    </w:numPr>
                    <w:spacing w:before="120"/>
                    <w:suppressOverlap/>
                    <w:jc w:val="both"/>
                    <w:rPr>
                      <w:sz w:val="22"/>
                      <w:szCs w:val="22"/>
                    </w:rPr>
                  </w:pPr>
                  <w:r w:rsidRPr="00317ABF">
                    <w:rPr>
                      <w:sz w:val="22"/>
                      <w:szCs w:val="22"/>
                    </w:rPr>
                    <w:t>dostarczania informacji potrzebnych do oceny bezpieczeństwa ich sieci i usług, w tym do oceny udokumentowanych polityk bezpieczeństwa; oraz</w:t>
                  </w:r>
                </w:p>
              </w:tc>
            </w:tr>
          </w:tbl>
          <w:p w14:paraId="1A2222D7" w14:textId="77777777" w:rsidR="001E1112" w:rsidRPr="00317ABF" w:rsidRDefault="001E1112" w:rsidP="00DB3BEC">
            <w:pPr>
              <w:jc w:val="both"/>
              <w:rPr>
                <w:vanish/>
                <w:sz w:val="22"/>
                <w:szCs w:val="22"/>
              </w:rPr>
            </w:pPr>
          </w:p>
          <w:tbl>
            <w:tblPr>
              <w:tblW w:w="5000" w:type="pct"/>
              <w:tblCellSpacing w:w="0" w:type="dxa"/>
              <w:tblLayout w:type="fixed"/>
              <w:tblCellMar>
                <w:left w:w="0" w:type="dxa"/>
                <w:right w:w="0" w:type="dxa"/>
              </w:tblCellMar>
              <w:tblLook w:val="04A0" w:firstRow="1" w:lastRow="0" w:firstColumn="1" w:lastColumn="0" w:noHBand="0" w:noVBand="1"/>
            </w:tblPr>
            <w:tblGrid>
              <w:gridCol w:w="20"/>
              <w:gridCol w:w="4148"/>
            </w:tblGrid>
            <w:tr w:rsidR="001E1112" w:rsidRPr="00317ABF" w14:paraId="67097A44" w14:textId="77777777" w:rsidTr="00A462BE">
              <w:trPr>
                <w:tblCellSpacing w:w="0" w:type="dxa"/>
              </w:trPr>
              <w:tc>
                <w:tcPr>
                  <w:tcW w:w="6" w:type="dxa"/>
                  <w:hideMark/>
                </w:tcPr>
                <w:p w14:paraId="72189CBF" w14:textId="77777777" w:rsidR="001E1112" w:rsidRPr="00317ABF" w:rsidRDefault="001E1112" w:rsidP="00EE0AC3">
                  <w:pPr>
                    <w:framePr w:hSpace="141" w:wrap="around" w:vAnchor="text" w:hAnchor="text" w:xAlign="right" w:y="1"/>
                    <w:spacing w:before="120"/>
                    <w:suppressOverlap/>
                    <w:jc w:val="both"/>
                    <w:rPr>
                      <w:sz w:val="22"/>
                      <w:szCs w:val="22"/>
                    </w:rPr>
                  </w:pPr>
                </w:p>
              </w:tc>
              <w:tc>
                <w:tcPr>
                  <w:tcW w:w="9066" w:type="dxa"/>
                  <w:hideMark/>
                </w:tcPr>
                <w:p w14:paraId="273A687D" w14:textId="77777777" w:rsidR="001E1112" w:rsidRPr="00317ABF" w:rsidRDefault="001E1112" w:rsidP="00EE0AC3">
                  <w:pPr>
                    <w:framePr w:hSpace="141" w:wrap="around" w:vAnchor="text" w:hAnchor="text" w:xAlign="right" w:y="1"/>
                    <w:numPr>
                      <w:ilvl w:val="0"/>
                      <w:numId w:val="26"/>
                    </w:numPr>
                    <w:spacing w:before="120"/>
                    <w:suppressOverlap/>
                    <w:jc w:val="both"/>
                    <w:rPr>
                      <w:sz w:val="22"/>
                      <w:szCs w:val="22"/>
                    </w:rPr>
                  </w:pPr>
                  <w:r w:rsidRPr="00317ABF">
                    <w:rPr>
                      <w:sz w:val="22"/>
                      <w:szCs w:val="22"/>
                    </w:rPr>
                    <w:t xml:space="preserve">poddania się audytowi bezpieczeństwa przeprowadzanemu przez wykwalifikowany niezależny podmiot lub właściwy organ i udostępnienia właściwemu organowi wyników </w:t>
                  </w:r>
                  <w:r w:rsidRPr="00317ABF">
                    <w:rPr>
                      <w:sz w:val="22"/>
                      <w:szCs w:val="22"/>
                    </w:rPr>
                    <w:lastRenderedPageBreak/>
                    <w:t>takiego audytu. Koszty wspomnianego audytu ponosi dostawca.</w:t>
                  </w:r>
                </w:p>
              </w:tc>
            </w:tr>
          </w:tbl>
          <w:p w14:paraId="1AF4878C" w14:textId="77777777" w:rsidR="001E1112" w:rsidRPr="00317ABF" w:rsidRDefault="001E1112" w:rsidP="00DB3BEC">
            <w:pPr>
              <w:spacing w:before="120"/>
              <w:jc w:val="both"/>
              <w:rPr>
                <w:sz w:val="22"/>
                <w:szCs w:val="22"/>
              </w:rPr>
            </w:pPr>
          </w:p>
        </w:tc>
        <w:tc>
          <w:tcPr>
            <w:tcW w:w="986" w:type="dxa"/>
          </w:tcPr>
          <w:p w14:paraId="46AAD782" w14:textId="64CAB56D" w:rsidR="001E1112" w:rsidRPr="00317ABF" w:rsidRDefault="001E1112" w:rsidP="00DB3BEC">
            <w:pPr>
              <w:jc w:val="both"/>
              <w:rPr>
                <w:sz w:val="22"/>
                <w:szCs w:val="22"/>
              </w:rPr>
            </w:pPr>
            <w:r w:rsidRPr="00317ABF">
              <w:rPr>
                <w:sz w:val="22"/>
                <w:szCs w:val="22"/>
              </w:rPr>
              <w:lastRenderedPageBreak/>
              <w:t>T</w:t>
            </w:r>
          </w:p>
        </w:tc>
        <w:tc>
          <w:tcPr>
            <w:tcW w:w="910" w:type="dxa"/>
          </w:tcPr>
          <w:p w14:paraId="6332D124" w14:textId="3E5EF9F0" w:rsidR="001E1112" w:rsidRPr="00317ABF" w:rsidRDefault="001E1112" w:rsidP="27A33FAC">
            <w:pPr>
              <w:pStyle w:val="Tekstpodstawowy"/>
              <w:rPr>
                <w:b/>
                <w:bCs/>
                <w:noProof/>
                <w:sz w:val="22"/>
                <w:szCs w:val="22"/>
              </w:rPr>
            </w:pPr>
            <w:r w:rsidRPr="00317ABF">
              <w:rPr>
                <w:b/>
                <w:noProof/>
                <w:sz w:val="22"/>
                <w:szCs w:val="22"/>
              </w:rPr>
              <w:t xml:space="preserve">Art. </w:t>
            </w:r>
            <w:r w:rsidR="3EBFBB5E" w:rsidRPr="00317ABF">
              <w:rPr>
                <w:b/>
                <w:bCs/>
                <w:noProof/>
                <w:sz w:val="22"/>
                <w:szCs w:val="22"/>
              </w:rPr>
              <w:t>20b</w:t>
            </w:r>
            <w:r w:rsidRPr="00317ABF">
              <w:rPr>
                <w:b/>
                <w:noProof/>
                <w:sz w:val="22"/>
                <w:szCs w:val="22"/>
              </w:rPr>
              <w:t xml:space="preserve"> ust. 2</w:t>
            </w:r>
            <w:r w:rsidR="3EBFBB5E" w:rsidRPr="00317ABF">
              <w:rPr>
                <w:b/>
                <w:bCs/>
                <w:noProof/>
                <w:sz w:val="22"/>
                <w:szCs w:val="22"/>
              </w:rPr>
              <w:t>,</w:t>
            </w:r>
            <w:r w:rsidRPr="00317ABF">
              <w:rPr>
                <w:b/>
                <w:noProof/>
                <w:sz w:val="22"/>
                <w:szCs w:val="22"/>
              </w:rPr>
              <w:t xml:space="preserve"> ust. </w:t>
            </w:r>
            <w:r w:rsidR="3EBFBB5E" w:rsidRPr="00317ABF">
              <w:rPr>
                <w:b/>
                <w:bCs/>
                <w:noProof/>
                <w:sz w:val="22"/>
                <w:szCs w:val="22"/>
              </w:rPr>
              <w:t>5</w:t>
            </w:r>
            <w:r w:rsidRPr="00317ABF">
              <w:rPr>
                <w:b/>
                <w:noProof/>
                <w:sz w:val="22"/>
                <w:szCs w:val="22"/>
              </w:rPr>
              <w:t xml:space="preserve"> pkt 2</w:t>
            </w:r>
            <w:r w:rsidR="3EBFBB5E" w:rsidRPr="00317ABF">
              <w:rPr>
                <w:b/>
                <w:bCs/>
                <w:noProof/>
                <w:sz w:val="22"/>
                <w:szCs w:val="22"/>
              </w:rPr>
              <w:t xml:space="preserve">, ust. 6 pkt </w:t>
            </w:r>
            <w:r w:rsidR="133B9AB7" w:rsidRPr="00317ABF">
              <w:rPr>
                <w:b/>
                <w:bCs/>
                <w:noProof/>
                <w:sz w:val="22"/>
                <w:szCs w:val="22"/>
              </w:rPr>
              <w:t>2</w:t>
            </w:r>
            <w:r w:rsidR="3EBFBB5E" w:rsidRPr="00317ABF">
              <w:rPr>
                <w:b/>
                <w:bCs/>
                <w:noProof/>
                <w:sz w:val="22"/>
                <w:szCs w:val="22"/>
              </w:rPr>
              <w:t xml:space="preserve">  ustawy o krajowym systemie cyberbezpieczeństwa </w:t>
            </w:r>
            <w:r w:rsidR="3EBFBB5E" w:rsidRPr="00317ABF">
              <w:rPr>
                <w:noProof/>
                <w:sz w:val="22"/>
                <w:szCs w:val="22"/>
              </w:rPr>
              <w:t>(art. 51 pkt 4 ustawy wprowa</w:t>
            </w:r>
            <w:r w:rsidR="3EBFBB5E" w:rsidRPr="00317ABF">
              <w:rPr>
                <w:noProof/>
                <w:sz w:val="22"/>
                <w:szCs w:val="22"/>
              </w:rPr>
              <w:lastRenderedPageBreak/>
              <w:t>dzającej PKE)</w:t>
            </w:r>
          </w:p>
          <w:p w14:paraId="1721097C" w14:textId="50E44704" w:rsidR="001E1112" w:rsidRPr="00317ABF" w:rsidRDefault="001E1112" w:rsidP="00DB3BEC">
            <w:pPr>
              <w:pStyle w:val="Tekstpodstawowy"/>
              <w:rPr>
                <w:b/>
                <w:noProof/>
                <w:sz w:val="22"/>
                <w:szCs w:val="22"/>
              </w:rPr>
            </w:pPr>
          </w:p>
        </w:tc>
        <w:tc>
          <w:tcPr>
            <w:tcW w:w="6814" w:type="dxa"/>
            <w:gridSpan w:val="2"/>
          </w:tcPr>
          <w:p w14:paraId="0D696548" w14:textId="106CFA88" w:rsidR="001E1112" w:rsidRPr="00317ABF" w:rsidRDefault="68E21B73" w:rsidP="7239ECD1">
            <w:pPr>
              <w:autoSpaceDE w:val="0"/>
              <w:autoSpaceDN w:val="0"/>
              <w:adjustRightInd w:val="0"/>
              <w:ind w:firstLine="510"/>
              <w:jc w:val="both"/>
            </w:pPr>
            <w:r w:rsidRPr="00317ABF">
              <w:rPr>
                <w:b/>
                <w:bCs/>
                <w:sz w:val="22"/>
                <w:szCs w:val="22"/>
              </w:rPr>
              <w:lastRenderedPageBreak/>
              <w:t>Art. 20b.</w:t>
            </w:r>
            <w:r w:rsidRPr="00317ABF">
              <w:rPr>
                <w:sz w:val="22"/>
                <w:szCs w:val="22"/>
              </w:rPr>
              <w:t xml:space="preserve"> 1. Prezes UKE może dokonywać oceny podjętych przez przedsiębiorcę komunikacji elektronicznej środków technicznych i organizacyjnych, o których mowa w art. 20a ust. 2 pkt 2, kierując się rekomendacjami ENISA. </w:t>
            </w:r>
          </w:p>
          <w:p w14:paraId="216E3BF5" w14:textId="52F437A9" w:rsidR="001E1112" w:rsidRPr="00317ABF" w:rsidRDefault="68E21B73" w:rsidP="7239ECD1">
            <w:pPr>
              <w:autoSpaceDE w:val="0"/>
              <w:autoSpaceDN w:val="0"/>
              <w:adjustRightInd w:val="0"/>
              <w:ind w:firstLine="510"/>
              <w:jc w:val="both"/>
            </w:pPr>
            <w:r w:rsidRPr="00317ABF">
              <w:rPr>
                <w:sz w:val="22"/>
                <w:szCs w:val="22"/>
              </w:rPr>
              <w:t xml:space="preserve">2. Przedsiębiorca komunikacji elektronicznej jest obowiązany do przekazania Prezesowi UKE, na jego żądanie, informacji niezbędnych do dokonania oceny. </w:t>
            </w:r>
          </w:p>
          <w:p w14:paraId="16C238A7" w14:textId="5EEF763D" w:rsidR="001E1112" w:rsidRPr="00317ABF" w:rsidRDefault="68E21B73" w:rsidP="7239ECD1">
            <w:pPr>
              <w:autoSpaceDE w:val="0"/>
              <w:autoSpaceDN w:val="0"/>
              <w:adjustRightInd w:val="0"/>
              <w:ind w:firstLine="510"/>
              <w:jc w:val="both"/>
            </w:pPr>
            <w:r w:rsidRPr="00317ABF">
              <w:rPr>
                <w:sz w:val="22"/>
                <w:szCs w:val="22"/>
              </w:rPr>
              <w:t>3. Żądanie, o którym mowa w ust. 2, powinno zawierać:</w:t>
            </w:r>
          </w:p>
          <w:p w14:paraId="5A54967C" w14:textId="39BCF128" w:rsidR="001E1112" w:rsidRPr="00317ABF" w:rsidRDefault="68E21B73" w:rsidP="7239ECD1">
            <w:pPr>
              <w:autoSpaceDE w:val="0"/>
              <w:autoSpaceDN w:val="0"/>
              <w:adjustRightInd w:val="0"/>
              <w:ind w:firstLine="510"/>
              <w:jc w:val="both"/>
            </w:pPr>
            <w:r w:rsidRPr="00317ABF">
              <w:rPr>
                <w:sz w:val="22"/>
                <w:szCs w:val="22"/>
              </w:rPr>
              <w:t>1) wskazanie podmiotu obowiązanego do przekazania informacji;</w:t>
            </w:r>
          </w:p>
          <w:p w14:paraId="4312F9A2" w14:textId="52B716FB" w:rsidR="001E1112" w:rsidRPr="00317ABF" w:rsidRDefault="68E21B73" w:rsidP="7239ECD1">
            <w:pPr>
              <w:autoSpaceDE w:val="0"/>
              <w:autoSpaceDN w:val="0"/>
              <w:adjustRightInd w:val="0"/>
              <w:ind w:firstLine="510"/>
              <w:jc w:val="both"/>
            </w:pPr>
            <w:r w:rsidRPr="00317ABF">
              <w:rPr>
                <w:sz w:val="22"/>
                <w:szCs w:val="22"/>
              </w:rPr>
              <w:t>2) datę;</w:t>
            </w:r>
          </w:p>
          <w:p w14:paraId="403C4699" w14:textId="640D1755" w:rsidR="001E1112" w:rsidRPr="00317ABF" w:rsidRDefault="68E21B73" w:rsidP="7239ECD1">
            <w:pPr>
              <w:autoSpaceDE w:val="0"/>
              <w:autoSpaceDN w:val="0"/>
              <w:adjustRightInd w:val="0"/>
              <w:ind w:firstLine="510"/>
              <w:jc w:val="both"/>
            </w:pPr>
            <w:r w:rsidRPr="00317ABF">
              <w:rPr>
                <w:sz w:val="22"/>
                <w:szCs w:val="22"/>
              </w:rPr>
              <w:t>3) wskazanie żądanych informacji oraz okresu, którego dotyczą;</w:t>
            </w:r>
          </w:p>
          <w:p w14:paraId="2CFF7D0B" w14:textId="5B2914BE" w:rsidR="001E1112" w:rsidRPr="00317ABF" w:rsidRDefault="68E21B73" w:rsidP="7239ECD1">
            <w:pPr>
              <w:autoSpaceDE w:val="0"/>
              <w:autoSpaceDN w:val="0"/>
              <w:adjustRightInd w:val="0"/>
              <w:ind w:firstLine="510"/>
              <w:jc w:val="both"/>
            </w:pPr>
            <w:r w:rsidRPr="00317ABF">
              <w:rPr>
                <w:sz w:val="22"/>
                <w:szCs w:val="22"/>
              </w:rPr>
              <w:t>4) wskazanie celu, jakiemu informacje mają służyć;</w:t>
            </w:r>
          </w:p>
          <w:p w14:paraId="1B51498D" w14:textId="27F5B55D" w:rsidR="001E1112" w:rsidRPr="00317ABF" w:rsidRDefault="68E21B73" w:rsidP="00DB3BEC">
            <w:pPr>
              <w:autoSpaceDE w:val="0"/>
              <w:autoSpaceDN w:val="0"/>
              <w:adjustRightInd w:val="0"/>
              <w:jc w:val="both"/>
            </w:pPr>
            <w:r w:rsidRPr="00317ABF">
              <w:rPr>
                <w:sz w:val="22"/>
                <w:szCs w:val="22"/>
              </w:rPr>
              <w:t>5) wskazanie terminu przekazania informacji adekwatnego do zakresu tego żądania, nie krótszego niż 7 dni;</w:t>
            </w:r>
          </w:p>
          <w:p w14:paraId="33249F39" w14:textId="0D7BA767" w:rsidR="001E1112" w:rsidRPr="00317ABF" w:rsidRDefault="68E21B73" w:rsidP="7239ECD1">
            <w:pPr>
              <w:autoSpaceDE w:val="0"/>
              <w:autoSpaceDN w:val="0"/>
              <w:adjustRightInd w:val="0"/>
              <w:ind w:firstLine="510"/>
              <w:jc w:val="both"/>
            </w:pPr>
            <w:r w:rsidRPr="00317ABF">
              <w:rPr>
                <w:sz w:val="22"/>
                <w:szCs w:val="22"/>
              </w:rPr>
              <w:t>6) uzasadnienie;</w:t>
            </w:r>
          </w:p>
          <w:p w14:paraId="0A612EC8" w14:textId="67E12E46" w:rsidR="001E1112" w:rsidRPr="00317ABF" w:rsidRDefault="68E21B73" w:rsidP="7239ECD1">
            <w:pPr>
              <w:autoSpaceDE w:val="0"/>
              <w:autoSpaceDN w:val="0"/>
              <w:adjustRightInd w:val="0"/>
              <w:ind w:firstLine="510"/>
              <w:jc w:val="both"/>
            </w:pPr>
            <w:r w:rsidRPr="00317ABF">
              <w:rPr>
                <w:sz w:val="22"/>
                <w:szCs w:val="22"/>
              </w:rPr>
              <w:t>7) pouczenie o zagrożeniu karą, o której mowa w art. 76a ust. 1.</w:t>
            </w:r>
          </w:p>
          <w:p w14:paraId="52B25AAC" w14:textId="5C7E5152" w:rsidR="001E1112" w:rsidRPr="00317ABF" w:rsidRDefault="68E21B73" w:rsidP="7239ECD1">
            <w:pPr>
              <w:autoSpaceDE w:val="0"/>
              <w:autoSpaceDN w:val="0"/>
              <w:adjustRightInd w:val="0"/>
              <w:ind w:firstLine="510"/>
              <w:jc w:val="both"/>
            </w:pPr>
            <w:r w:rsidRPr="00317ABF">
              <w:rPr>
                <w:sz w:val="22"/>
                <w:szCs w:val="22"/>
              </w:rPr>
              <w:t>4. W ramach prowadzenia oceny, o której mowa w ust. 1, Prezes UKE może zwrócić się do Pełnomocnika o przeprowadzenie badania, o którym mowa w art. 33.</w:t>
            </w:r>
          </w:p>
          <w:p w14:paraId="7FFF2E2D" w14:textId="5FE1BC03" w:rsidR="001E1112" w:rsidRPr="00317ABF" w:rsidRDefault="68E21B73" w:rsidP="7239ECD1">
            <w:pPr>
              <w:autoSpaceDE w:val="0"/>
              <w:autoSpaceDN w:val="0"/>
              <w:adjustRightInd w:val="0"/>
              <w:ind w:firstLine="510"/>
              <w:jc w:val="both"/>
            </w:pPr>
            <w:r w:rsidRPr="00317ABF">
              <w:rPr>
                <w:sz w:val="22"/>
                <w:szCs w:val="22"/>
              </w:rPr>
              <w:lastRenderedPageBreak/>
              <w:t xml:space="preserve">5. Prezes UKE może, w drodze decyzji, nałożyć na przedsiębiorcę komunikacji elektronicznej obowiązek: </w:t>
            </w:r>
          </w:p>
          <w:p w14:paraId="7337E296" w14:textId="03A062E4" w:rsidR="001E1112" w:rsidRPr="00317ABF" w:rsidRDefault="68E21B73" w:rsidP="7239ECD1">
            <w:pPr>
              <w:autoSpaceDE w:val="0"/>
              <w:autoSpaceDN w:val="0"/>
              <w:adjustRightInd w:val="0"/>
              <w:ind w:firstLine="510"/>
              <w:jc w:val="both"/>
            </w:pPr>
            <w:r w:rsidRPr="00317ABF">
              <w:rPr>
                <w:sz w:val="22"/>
                <w:szCs w:val="22"/>
              </w:rPr>
              <w:t xml:space="preserve">1) uzupełnienia i właściwego zastosowania środków technicznych i organizacyjnych lub </w:t>
            </w:r>
          </w:p>
          <w:p w14:paraId="3BDC38FD" w14:textId="743C506D" w:rsidR="001E1112" w:rsidRPr="00317ABF" w:rsidRDefault="68E21B73" w:rsidP="7239ECD1">
            <w:pPr>
              <w:autoSpaceDE w:val="0"/>
              <w:autoSpaceDN w:val="0"/>
              <w:adjustRightInd w:val="0"/>
              <w:ind w:firstLine="510"/>
              <w:jc w:val="both"/>
            </w:pPr>
            <w:r w:rsidRPr="00317ABF">
              <w:rPr>
                <w:rFonts w:eastAsia="Times"/>
                <w:sz w:val="22"/>
                <w:szCs w:val="22"/>
              </w:rPr>
              <w:t>2) w przypadku powstania uzasadnionych wątpliwości</w:t>
            </w:r>
            <w:r w:rsidRPr="00317ABF">
              <w:rPr>
                <w:sz w:val="22"/>
                <w:szCs w:val="22"/>
              </w:rPr>
              <w:t>,</w:t>
            </w:r>
            <w:r w:rsidRPr="00317ABF">
              <w:rPr>
                <w:rFonts w:eastAsia="Times"/>
                <w:sz w:val="22"/>
                <w:szCs w:val="22"/>
              </w:rPr>
              <w:t xml:space="preserve"> co do stosowania właściwych środków bezpieczeństwa, poddania się, na własny koszt, audytowi bezpieczeństwa przeprowadzanemu przez wykwalifikowany, wybrany przez przedsiębiorcę, niezależny podmiot i udostępnienia Prezesowi UKE wyników tego audytu.</w:t>
            </w:r>
          </w:p>
          <w:p w14:paraId="29C855FB" w14:textId="5A93E32C" w:rsidR="001E1112" w:rsidRPr="00317ABF" w:rsidRDefault="68E21B73" w:rsidP="7239ECD1">
            <w:pPr>
              <w:autoSpaceDE w:val="0"/>
              <w:autoSpaceDN w:val="0"/>
              <w:adjustRightInd w:val="0"/>
              <w:ind w:firstLine="510"/>
              <w:jc w:val="both"/>
            </w:pPr>
            <w:r w:rsidRPr="00317ABF">
              <w:rPr>
                <w:sz w:val="22"/>
                <w:szCs w:val="22"/>
              </w:rPr>
              <w:t>6. W decyzji, o której mowa w:</w:t>
            </w:r>
          </w:p>
          <w:p w14:paraId="058C82BE" w14:textId="1549A9D8" w:rsidR="001E1112" w:rsidRPr="00317ABF" w:rsidRDefault="68E21B73" w:rsidP="7239ECD1">
            <w:pPr>
              <w:autoSpaceDE w:val="0"/>
              <w:autoSpaceDN w:val="0"/>
              <w:adjustRightInd w:val="0"/>
              <w:ind w:firstLine="510"/>
              <w:jc w:val="both"/>
            </w:pPr>
            <w:r w:rsidRPr="00317ABF">
              <w:rPr>
                <w:sz w:val="22"/>
                <w:szCs w:val="22"/>
              </w:rPr>
              <w:t>1) ust. 5 pkt 1, Prezes UKE wskaże termin wdrożenia dodatkowych środków technicznych i organizacyjnych oraz uzasadni zastosowanie tych dodatkowych środków;</w:t>
            </w:r>
          </w:p>
          <w:p w14:paraId="6CB27815" w14:textId="5A161EA6" w:rsidR="001E1112" w:rsidRPr="00317ABF" w:rsidRDefault="68E21B73" w:rsidP="7239ECD1">
            <w:pPr>
              <w:autoSpaceDE w:val="0"/>
              <w:autoSpaceDN w:val="0"/>
              <w:adjustRightInd w:val="0"/>
              <w:ind w:firstLine="510"/>
              <w:jc w:val="both"/>
            </w:pPr>
            <w:r w:rsidRPr="00317ABF">
              <w:rPr>
                <w:sz w:val="22"/>
                <w:szCs w:val="22"/>
              </w:rPr>
              <w:t>2) ust. 5 pkt 2, Prezes UKE uzasadni konieczność przeprowadzenia audytu bezpieczeństwa.</w:t>
            </w:r>
          </w:p>
          <w:p w14:paraId="54998899" w14:textId="0B8E6547" w:rsidR="001E1112" w:rsidRPr="00317ABF" w:rsidRDefault="68E21B73" w:rsidP="00DB3BEC">
            <w:pPr>
              <w:autoSpaceDE w:val="0"/>
              <w:autoSpaceDN w:val="0"/>
              <w:adjustRightInd w:val="0"/>
              <w:jc w:val="both"/>
              <w:rPr>
                <w:sz w:val="22"/>
                <w:szCs w:val="22"/>
              </w:rPr>
            </w:pPr>
            <w:r w:rsidRPr="00317ABF">
              <w:rPr>
                <w:sz w:val="22"/>
                <w:szCs w:val="22"/>
              </w:rPr>
              <w:t>7. Do audytu bezpieczeństwa, o którym mowa w ust. 5 pkt 2, stosuje się odpowiednio art. 15 ust. 2 pkt. 1 i 2 oraz ust. 4 i 5. Audytorzy, o których mowa w art. 15 ust. 2 pkt 2, wykonujący audyt bezpieczeństwa muszą być niezależni od przedsiębiorcy komunikacji elektronicznej, u którego prowadzony jest audyt bezpieczeństwa</w:t>
            </w:r>
            <w:r w:rsidR="483E44A5" w:rsidRPr="00317ABF">
              <w:rPr>
                <w:rFonts w:eastAsia="Times"/>
                <w:sz w:val="22"/>
                <w:szCs w:val="22"/>
              </w:rPr>
              <w:t>.</w:t>
            </w:r>
          </w:p>
        </w:tc>
      </w:tr>
      <w:tr w:rsidR="001E1112" w:rsidRPr="00317ABF" w14:paraId="3AC82FE8" w14:textId="77777777" w:rsidTr="7753F98D">
        <w:trPr>
          <w:gridAfter w:val="2"/>
          <w:wAfter w:w="175" w:type="dxa"/>
        </w:trPr>
        <w:tc>
          <w:tcPr>
            <w:tcW w:w="704" w:type="dxa"/>
          </w:tcPr>
          <w:p w14:paraId="24F5F19D" w14:textId="77777777" w:rsidR="001E1112" w:rsidRPr="00317ABF" w:rsidRDefault="001E1112" w:rsidP="00DB3BEC">
            <w:pPr>
              <w:jc w:val="both"/>
              <w:rPr>
                <w:sz w:val="22"/>
                <w:szCs w:val="22"/>
              </w:rPr>
            </w:pPr>
            <w:r w:rsidRPr="00317ABF">
              <w:rPr>
                <w:sz w:val="22"/>
                <w:szCs w:val="22"/>
              </w:rPr>
              <w:lastRenderedPageBreak/>
              <w:t>Art. 41 ust. 3</w:t>
            </w:r>
          </w:p>
        </w:tc>
        <w:tc>
          <w:tcPr>
            <w:tcW w:w="4308" w:type="dxa"/>
          </w:tcPr>
          <w:p w14:paraId="6BDE5A0E" w14:textId="77777777" w:rsidR="001E1112" w:rsidRPr="00317ABF" w:rsidRDefault="001E1112" w:rsidP="00DB3BEC">
            <w:pPr>
              <w:spacing w:before="120"/>
              <w:jc w:val="both"/>
              <w:rPr>
                <w:sz w:val="22"/>
                <w:szCs w:val="22"/>
              </w:rPr>
            </w:pPr>
            <w:r w:rsidRPr="00317ABF">
              <w:rPr>
                <w:sz w:val="22"/>
                <w:szCs w:val="22"/>
              </w:rPr>
              <w:t>3.   Państwa członkowskie zapewniają, aby właściwe organy posiadały wszelkie uprawnienia niezbędne do badania przypadków nieprzestrzegania wymogów oraz ich wpływu na bezpieczeństwo sieci i usług.</w:t>
            </w:r>
          </w:p>
        </w:tc>
        <w:tc>
          <w:tcPr>
            <w:tcW w:w="986" w:type="dxa"/>
          </w:tcPr>
          <w:p w14:paraId="00AB4751" w14:textId="64209C27" w:rsidR="001E1112" w:rsidRPr="00317ABF" w:rsidRDefault="001E1112" w:rsidP="00DB3BEC">
            <w:pPr>
              <w:jc w:val="both"/>
              <w:rPr>
                <w:sz w:val="22"/>
                <w:szCs w:val="22"/>
              </w:rPr>
            </w:pPr>
            <w:r w:rsidRPr="00317ABF">
              <w:rPr>
                <w:sz w:val="22"/>
                <w:szCs w:val="22"/>
              </w:rPr>
              <w:t>T</w:t>
            </w:r>
          </w:p>
        </w:tc>
        <w:tc>
          <w:tcPr>
            <w:tcW w:w="910" w:type="dxa"/>
          </w:tcPr>
          <w:p w14:paraId="4B75AC2F" w14:textId="68F7F988" w:rsidR="001E1112" w:rsidRPr="00317ABF" w:rsidRDefault="68C5E4DC" w:rsidP="4D727826">
            <w:pPr>
              <w:pStyle w:val="Tekstpodstawowy"/>
              <w:rPr>
                <w:b/>
                <w:bCs/>
                <w:noProof/>
                <w:sz w:val="22"/>
                <w:szCs w:val="22"/>
              </w:rPr>
            </w:pPr>
            <w:r w:rsidRPr="00317ABF">
              <w:rPr>
                <w:b/>
                <w:bCs/>
                <w:noProof/>
                <w:sz w:val="22"/>
                <w:szCs w:val="22"/>
              </w:rPr>
              <w:t xml:space="preserve">Art. 20b ust. 1 ustawy o krajowym systemie cyberbezpieczeństwa </w:t>
            </w:r>
            <w:r w:rsidRPr="00317ABF">
              <w:rPr>
                <w:noProof/>
                <w:sz w:val="22"/>
                <w:szCs w:val="22"/>
              </w:rPr>
              <w:t>(art. 51 pkt 4 ustawy wprowadzającej PKE)</w:t>
            </w:r>
          </w:p>
          <w:p w14:paraId="2D461D88" w14:textId="768105E9" w:rsidR="001E1112" w:rsidRPr="00317ABF" w:rsidRDefault="001E1112" w:rsidP="00DB3BEC">
            <w:pPr>
              <w:pStyle w:val="Tekstpodstawowy"/>
              <w:rPr>
                <w:b/>
                <w:noProof/>
                <w:sz w:val="22"/>
                <w:szCs w:val="22"/>
              </w:rPr>
            </w:pPr>
          </w:p>
        </w:tc>
        <w:tc>
          <w:tcPr>
            <w:tcW w:w="6814" w:type="dxa"/>
            <w:gridSpan w:val="2"/>
          </w:tcPr>
          <w:p w14:paraId="012799D7" w14:textId="49577527" w:rsidR="001E1112" w:rsidRPr="00317ABF" w:rsidRDefault="001E1112" w:rsidP="00DB3BEC">
            <w:pPr>
              <w:autoSpaceDE w:val="0"/>
              <w:autoSpaceDN w:val="0"/>
              <w:adjustRightInd w:val="0"/>
              <w:jc w:val="both"/>
              <w:rPr>
                <w:rFonts w:eastAsia="Times"/>
                <w:sz w:val="22"/>
                <w:szCs w:val="22"/>
              </w:rPr>
            </w:pPr>
            <w:r w:rsidRPr="00317ABF">
              <w:rPr>
                <w:rFonts w:eastAsia="Times"/>
                <w:b/>
                <w:sz w:val="22"/>
                <w:szCs w:val="22"/>
              </w:rPr>
              <w:t xml:space="preserve">Art. </w:t>
            </w:r>
            <w:r w:rsidR="0904A99A" w:rsidRPr="00317ABF">
              <w:rPr>
                <w:b/>
                <w:bCs/>
                <w:sz w:val="22"/>
                <w:szCs w:val="22"/>
              </w:rPr>
              <w:t>20b</w:t>
            </w:r>
            <w:r w:rsidRPr="00317ABF">
              <w:rPr>
                <w:rFonts w:eastAsia="Times"/>
                <w:b/>
                <w:sz w:val="22"/>
                <w:szCs w:val="22"/>
              </w:rPr>
              <w:t>.</w:t>
            </w:r>
            <w:r w:rsidRPr="00317ABF">
              <w:rPr>
                <w:rFonts w:eastAsia="Times"/>
                <w:sz w:val="22"/>
                <w:szCs w:val="22"/>
              </w:rPr>
              <w:t xml:space="preserve"> 1. Prezes UKE może dokonywać oceny podjętych przez przedsiębiorcę komunikacji elektronicznej środków technicznych i organizacyjnych, o których mowa w art. </w:t>
            </w:r>
            <w:r w:rsidR="0904A99A" w:rsidRPr="00317ABF">
              <w:rPr>
                <w:sz w:val="22"/>
                <w:szCs w:val="22"/>
              </w:rPr>
              <w:t>20a</w:t>
            </w:r>
            <w:r w:rsidRPr="00317ABF">
              <w:rPr>
                <w:rFonts w:eastAsia="Times"/>
                <w:sz w:val="22"/>
                <w:szCs w:val="22"/>
              </w:rPr>
              <w:t xml:space="preserve"> ust. </w:t>
            </w:r>
            <w:r w:rsidR="0904A99A" w:rsidRPr="00317ABF">
              <w:rPr>
                <w:sz w:val="22"/>
                <w:szCs w:val="22"/>
              </w:rPr>
              <w:t>2 pkt 2, kierując się rekomendacjami ENISA</w:t>
            </w:r>
            <w:r w:rsidR="483E44A5" w:rsidRPr="00317ABF">
              <w:rPr>
                <w:rFonts w:eastAsia="Times"/>
                <w:sz w:val="22"/>
                <w:szCs w:val="22"/>
              </w:rPr>
              <w:t>.</w:t>
            </w:r>
          </w:p>
          <w:p w14:paraId="73F8DB4D" w14:textId="77777777" w:rsidR="001E1112" w:rsidRPr="00317ABF" w:rsidRDefault="001E1112" w:rsidP="00DB3BEC">
            <w:pPr>
              <w:pStyle w:val="Tekstpodstawowy"/>
              <w:rPr>
                <w:sz w:val="22"/>
                <w:szCs w:val="22"/>
              </w:rPr>
            </w:pPr>
          </w:p>
        </w:tc>
      </w:tr>
      <w:tr w:rsidR="001E1112" w:rsidRPr="00317ABF" w14:paraId="279938C6" w14:textId="77777777" w:rsidTr="7753F98D">
        <w:trPr>
          <w:gridAfter w:val="2"/>
          <w:wAfter w:w="175" w:type="dxa"/>
        </w:trPr>
        <w:tc>
          <w:tcPr>
            <w:tcW w:w="704" w:type="dxa"/>
          </w:tcPr>
          <w:p w14:paraId="23EFAB88" w14:textId="77777777" w:rsidR="001E1112" w:rsidRPr="00317ABF" w:rsidRDefault="001E1112" w:rsidP="00DB3BEC">
            <w:pPr>
              <w:jc w:val="both"/>
              <w:rPr>
                <w:sz w:val="22"/>
                <w:szCs w:val="22"/>
              </w:rPr>
            </w:pPr>
            <w:r w:rsidRPr="00317ABF">
              <w:rPr>
                <w:sz w:val="22"/>
                <w:szCs w:val="22"/>
              </w:rPr>
              <w:lastRenderedPageBreak/>
              <w:t>Art. 41 ust. 4</w:t>
            </w:r>
          </w:p>
        </w:tc>
        <w:tc>
          <w:tcPr>
            <w:tcW w:w="4308" w:type="dxa"/>
          </w:tcPr>
          <w:p w14:paraId="6431CE0B" w14:textId="77777777" w:rsidR="001E1112" w:rsidRPr="00317ABF" w:rsidRDefault="001E1112" w:rsidP="00DB3BEC">
            <w:pPr>
              <w:spacing w:before="120"/>
              <w:jc w:val="both"/>
              <w:rPr>
                <w:sz w:val="22"/>
                <w:szCs w:val="22"/>
              </w:rPr>
            </w:pPr>
            <w:r w:rsidRPr="00317ABF">
              <w:rPr>
                <w:sz w:val="22"/>
                <w:szCs w:val="22"/>
              </w:rPr>
              <w:t>4.   Państwa członkowskie zapewniają, aby – w celu wdrożenia przepisów art. 40 – właściwe organy dysponowały uprawnieniami pozwalającymi im zwracać się o pomoc do Zespołu Reagowania na Incydenty związane z Bezpieczeństwem Komputerowym (CSIRT) wyznaczonego na podstawie art. 9 dyrektywy (UE) 2016/1148 w związku z problemami wchodzącymi w zakres zadań CSIRT zgodnie z pkt 2 załącznika I do tej dyrektywy.</w:t>
            </w:r>
          </w:p>
        </w:tc>
        <w:tc>
          <w:tcPr>
            <w:tcW w:w="986" w:type="dxa"/>
          </w:tcPr>
          <w:p w14:paraId="6BF20CEA" w14:textId="5CAA2226" w:rsidR="001E1112" w:rsidRPr="00317ABF" w:rsidRDefault="001E1112" w:rsidP="00DB3BEC">
            <w:pPr>
              <w:jc w:val="both"/>
              <w:rPr>
                <w:sz w:val="22"/>
                <w:szCs w:val="22"/>
              </w:rPr>
            </w:pPr>
            <w:r w:rsidRPr="00317ABF">
              <w:rPr>
                <w:sz w:val="22"/>
                <w:szCs w:val="22"/>
              </w:rPr>
              <w:t>T</w:t>
            </w:r>
          </w:p>
        </w:tc>
        <w:tc>
          <w:tcPr>
            <w:tcW w:w="910" w:type="dxa"/>
          </w:tcPr>
          <w:p w14:paraId="2A854CB9" w14:textId="48EE26CD" w:rsidR="001E1112" w:rsidRPr="00317ABF" w:rsidRDefault="001E1112" w:rsidP="3BC9AC3F">
            <w:pPr>
              <w:pStyle w:val="Tekstpodstawowy"/>
              <w:rPr>
                <w:b/>
                <w:bCs/>
                <w:noProof/>
                <w:sz w:val="22"/>
                <w:szCs w:val="22"/>
              </w:rPr>
            </w:pPr>
            <w:r w:rsidRPr="00317ABF">
              <w:rPr>
                <w:b/>
                <w:noProof/>
                <w:sz w:val="22"/>
                <w:szCs w:val="22"/>
              </w:rPr>
              <w:t xml:space="preserve">Art. </w:t>
            </w:r>
            <w:r w:rsidR="43423A77" w:rsidRPr="00317ABF">
              <w:rPr>
                <w:b/>
                <w:bCs/>
                <w:noProof/>
                <w:sz w:val="22"/>
                <w:szCs w:val="22"/>
              </w:rPr>
              <w:t xml:space="preserve">34a ustawy o krajowym systemie cyberbezpieczeństwa </w:t>
            </w:r>
            <w:r w:rsidR="43423A77" w:rsidRPr="00317ABF">
              <w:rPr>
                <w:noProof/>
                <w:sz w:val="22"/>
                <w:szCs w:val="22"/>
              </w:rPr>
              <w:t xml:space="preserve">(art. 51 pkt </w:t>
            </w:r>
            <w:r w:rsidR="5DA0CABC" w:rsidRPr="00317ABF">
              <w:rPr>
                <w:noProof/>
                <w:sz w:val="22"/>
                <w:szCs w:val="22"/>
              </w:rPr>
              <w:t>8</w:t>
            </w:r>
            <w:r w:rsidRPr="00317ABF">
              <w:rPr>
                <w:sz w:val="22"/>
                <w:szCs w:val="22"/>
              </w:rPr>
              <w:t xml:space="preserve"> ustawy wprowadzającej PKE</w:t>
            </w:r>
            <w:r w:rsidR="43423A77" w:rsidRPr="00317ABF">
              <w:rPr>
                <w:noProof/>
                <w:sz w:val="22"/>
                <w:szCs w:val="22"/>
              </w:rPr>
              <w:t>)</w:t>
            </w:r>
          </w:p>
          <w:p w14:paraId="25F866C5" w14:textId="4D38CE22" w:rsidR="001E1112" w:rsidRPr="00317ABF" w:rsidRDefault="001E1112" w:rsidP="00DB3BEC">
            <w:pPr>
              <w:pStyle w:val="Tekstpodstawowy"/>
              <w:rPr>
                <w:b/>
                <w:noProof/>
                <w:sz w:val="22"/>
                <w:szCs w:val="22"/>
              </w:rPr>
            </w:pPr>
          </w:p>
        </w:tc>
        <w:tc>
          <w:tcPr>
            <w:tcW w:w="6814" w:type="dxa"/>
            <w:gridSpan w:val="2"/>
          </w:tcPr>
          <w:p w14:paraId="26321865" w14:textId="5FDC5FC5" w:rsidR="001E1112" w:rsidRPr="00317ABF" w:rsidRDefault="72F748DC" w:rsidP="21480BCD">
            <w:pPr>
              <w:ind w:firstLine="510"/>
              <w:jc w:val="both"/>
            </w:pPr>
            <w:r w:rsidRPr="00317ABF">
              <w:rPr>
                <w:b/>
                <w:bCs/>
                <w:sz w:val="22"/>
                <w:szCs w:val="22"/>
              </w:rPr>
              <w:t>Art. 34a</w:t>
            </w:r>
            <w:r w:rsidRPr="00317ABF">
              <w:rPr>
                <w:sz w:val="22"/>
                <w:szCs w:val="22"/>
              </w:rPr>
              <w:t>. 1. CSIRT MON, CSIRT NASK, CSIRT GOV i CSIRT Telco przekazują informacje o incydentach telekomunikacyjnych Prezesowi UKE w celu realizacji obowiązków, o których mowa w art. 20h ust. 1 pkt 1.</w:t>
            </w:r>
          </w:p>
          <w:p w14:paraId="37899724" w14:textId="39E0F771" w:rsidR="001E1112" w:rsidRPr="00317ABF" w:rsidRDefault="72F748DC" w:rsidP="21480BCD">
            <w:pPr>
              <w:ind w:firstLine="510"/>
              <w:jc w:val="both"/>
            </w:pPr>
            <w:r w:rsidRPr="00317ABF">
              <w:rPr>
                <w:sz w:val="22"/>
                <w:szCs w:val="22"/>
              </w:rPr>
              <w:t>2. CSIRT MON, CSIRT NASK, CSIRT GOV i CSIRT Telco raz na pół roku przygotowują sprawozdania dotyczące liczby i rodzajów incydentów telekomunikacyjnych Prezesowi UKE oraz Pełnomocnikowi.</w:t>
            </w:r>
          </w:p>
          <w:p w14:paraId="0210DD7E" w14:textId="5C09D976" w:rsidR="001E1112" w:rsidRPr="00317ABF" w:rsidRDefault="72F748DC" w:rsidP="00DB3BEC">
            <w:pPr>
              <w:pStyle w:val="Tekstpodstawowy"/>
            </w:pPr>
            <w:r w:rsidRPr="00317ABF">
              <w:rPr>
                <w:sz w:val="22"/>
                <w:szCs w:val="22"/>
              </w:rPr>
              <w:t>3.</w:t>
            </w:r>
            <w:r w:rsidR="001E1112" w:rsidRPr="00317ABF">
              <w:tab/>
            </w:r>
            <w:r w:rsidRPr="00317ABF">
              <w:rPr>
                <w:sz w:val="22"/>
                <w:szCs w:val="22"/>
              </w:rPr>
              <w:t>CSIRT MON, CSIRT NASK, CSIRT GOV i CSIRT Telco uzgodnią z Prezesem UKE sposób i tryb przekazywania informacji, o których mowa w ust. 1</w:t>
            </w:r>
          </w:p>
        </w:tc>
      </w:tr>
      <w:tr w:rsidR="001E1112" w:rsidRPr="00317ABF" w14:paraId="0EF7AAF6" w14:textId="77777777" w:rsidTr="7753F98D">
        <w:trPr>
          <w:gridAfter w:val="2"/>
          <w:wAfter w:w="175" w:type="dxa"/>
        </w:trPr>
        <w:tc>
          <w:tcPr>
            <w:tcW w:w="704" w:type="dxa"/>
          </w:tcPr>
          <w:p w14:paraId="623B3B03" w14:textId="77777777" w:rsidR="001E1112" w:rsidRPr="00317ABF" w:rsidRDefault="001E1112" w:rsidP="00DB3BEC">
            <w:pPr>
              <w:jc w:val="both"/>
              <w:rPr>
                <w:sz w:val="22"/>
                <w:szCs w:val="22"/>
              </w:rPr>
            </w:pPr>
            <w:r w:rsidRPr="00317ABF">
              <w:rPr>
                <w:sz w:val="22"/>
                <w:szCs w:val="22"/>
              </w:rPr>
              <w:t>Art. 41 ust. 5</w:t>
            </w:r>
          </w:p>
        </w:tc>
        <w:tc>
          <w:tcPr>
            <w:tcW w:w="4308" w:type="dxa"/>
          </w:tcPr>
          <w:p w14:paraId="5067EFEA" w14:textId="77777777" w:rsidR="001E1112" w:rsidRPr="00317ABF" w:rsidRDefault="001E1112" w:rsidP="00DB3BEC">
            <w:pPr>
              <w:spacing w:before="120"/>
              <w:jc w:val="both"/>
              <w:rPr>
                <w:sz w:val="22"/>
                <w:szCs w:val="22"/>
              </w:rPr>
            </w:pPr>
            <w:r w:rsidRPr="00317ABF">
              <w:rPr>
                <w:sz w:val="22"/>
                <w:szCs w:val="22"/>
              </w:rPr>
              <w:t>5.   Właściwe organy, w stosownych przypadkach oraz zgodnie z prawem krajowym, konsultują się i współpracują z odpowiednimi krajowymi organami ścigania, właściwymi organami w rozumieniu art. 8 ust. 1 dyrektywy (UE) 2016/1148 oraz krajowymi organami ds. ochrony danych.</w:t>
            </w:r>
          </w:p>
        </w:tc>
        <w:tc>
          <w:tcPr>
            <w:tcW w:w="986" w:type="dxa"/>
          </w:tcPr>
          <w:p w14:paraId="3BF677DD" w14:textId="493B652B" w:rsidR="001E1112" w:rsidRPr="00317ABF" w:rsidRDefault="001E1112" w:rsidP="00DB3BEC">
            <w:pPr>
              <w:jc w:val="both"/>
              <w:rPr>
                <w:sz w:val="22"/>
                <w:szCs w:val="22"/>
              </w:rPr>
            </w:pPr>
            <w:r w:rsidRPr="00317ABF">
              <w:rPr>
                <w:sz w:val="22"/>
                <w:szCs w:val="22"/>
              </w:rPr>
              <w:t>T</w:t>
            </w:r>
          </w:p>
        </w:tc>
        <w:tc>
          <w:tcPr>
            <w:tcW w:w="910" w:type="dxa"/>
          </w:tcPr>
          <w:p w14:paraId="6A778EA0" w14:textId="0197C108" w:rsidR="001E1112" w:rsidRPr="00317ABF" w:rsidRDefault="001E1112" w:rsidP="00DB3BEC">
            <w:pPr>
              <w:pStyle w:val="Tekstpodstawowy"/>
              <w:rPr>
                <w:b/>
                <w:noProof/>
                <w:sz w:val="22"/>
                <w:szCs w:val="22"/>
              </w:rPr>
            </w:pPr>
            <w:r w:rsidRPr="00317ABF">
              <w:rPr>
                <w:b/>
                <w:noProof/>
                <w:sz w:val="22"/>
                <w:szCs w:val="22"/>
              </w:rPr>
              <w:t>Inne akty prawne</w:t>
            </w:r>
          </w:p>
        </w:tc>
        <w:tc>
          <w:tcPr>
            <w:tcW w:w="6814" w:type="dxa"/>
            <w:gridSpan w:val="2"/>
          </w:tcPr>
          <w:p w14:paraId="25F15E76" w14:textId="06A4F712" w:rsidR="001E1112" w:rsidRPr="00317ABF" w:rsidRDefault="001E1112" w:rsidP="00DB3BEC">
            <w:pPr>
              <w:pStyle w:val="Tekstpodstawowy"/>
              <w:rPr>
                <w:sz w:val="22"/>
                <w:szCs w:val="22"/>
              </w:rPr>
            </w:pPr>
            <w:r w:rsidRPr="00317ABF">
              <w:rPr>
                <w:sz w:val="22"/>
                <w:szCs w:val="22"/>
              </w:rPr>
              <w:t>Przepis implentowany poprzez nadanie odpowiednim uprawnień właściwym organom we włąsciwych ustawach kompetencyjnych.</w:t>
            </w:r>
          </w:p>
        </w:tc>
      </w:tr>
      <w:tr w:rsidR="001E1112" w:rsidRPr="00317ABF" w14:paraId="3AD433B0" w14:textId="77777777" w:rsidTr="7753F98D">
        <w:trPr>
          <w:gridAfter w:val="2"/>
          <w:wAfter w:w="175" w:type="dxa"/>
        </w:trPr>
        <w:tc>
          <w:tcPr>
            <w:tcW w:w="704" w:type="dxa"/>
          </w:tcPr>
          <w:p w14:paraId="1D465B54" w14:textId="77777777" w:rsidR="001E1112" w:rsidRPr="00317ABF" w:rsidRDefault="001E1112" w:rsidP="00DB3BEC">
            <w:pPr>
              <w:jc w:val="both"/>
              <w:rPr>
                <w:b/>
                <w:sz w:val="22"/>
                <w:szCs w:val="22"/>
              </w:rPr>
            </w:pPr>
            <w:r w:rsidRPr="00317ABF">
              <w:rPr>
                <w:b/>
                <w:sz w:val="22"/>
                <w:szCs w:val="22"/>
              </w:rPr>
              <w:t>Art. 42</w:t>
            </w:r>
          </w:p>
        </w:tc>
        <w:tc>
          <w:tcPr>
            <w:tcW w:w="4308" w:type="dxa"/>
          </w:tcPr>
          <w:p w14:paraId="74DA99E0" w14:textId="77777777" w:rsidR="001E1112" w:rsidRPr="00317ABF" w:rsidRDefault="001E1112" w:rsidP="00DB3BEC">
            <w:pPr>
              <w:spacing w:before="120"/>
              <w:jc w:val="both"/>
              <w:rPr>
                <w:sz w:val="22"/>
                <w:szCs w:val="22"/>
              </w:rPr>
            </w:pPr>
            <w:r w:rsidRPr="00317ABF">
              <w:rPr>
                <w:b/>
                <w:bCs/>
                <w:sz w:val="22"/>
                <w:szCs w:val="22"/>
              </w:rPr>
              <w:t>Opłaty za prawo użytkowania widma radiowego oraz prawo instalowania urządzeń</w:t>
            </w:r>
          </w:p>
        </w:tc>
        <w:tc>
          <w:tcPr>
            <w:tcW w:w="986" w:type="dxa"/>
          </w:tcPr>
          <w:p w14:paraId="4F3E644B" w14:textId="77777777" w:rsidR="001E1112" w:rsidRPr="00317ABF" w:rsidRDefault="001E1112" w:rsidP="00DB3BEC">
            <w:pPr>
              <w:jc w:val="both"/>
              <w:rPr>
                <w:sz w:val="22"/>
                <w:szCs w:val="22"/>
              </w:rPr>
            </w:pPr>
          </w:p>
        </w:tc>
        <w:tc>
          <w:tcPr>
            <w:tcW w:w="910" w:type="dxa"/>
          </w:tcPr>
          <w:p w14:paraId="69C5AB75" w14:textId="77777777" w:rsidR="001E1112" w:rsidRPr="00317ABF" w:rsidRDefault="001E1112" w:rsidP="00DB3BEC">
            <w:pPr>
              <w:pStyle w:val="Tekstpodstawowy"/>
              <w:rPr>
                <w:b/>
                <w:noProof/>
                <w:sz w:val="22"/>
                <w:szCs w:val="22"/>
              </w:rPr>
            </w:pPr>
          </w:p>
        </w:tc>
        <w:tc>
          <w:tcPr>
            <w:tcW w:w="6814" w:type="dxa"/>
            <w:gridSpan w:val="2"/>
          </w:tcPr>
          <w:p w14:paraId="096E06FE" w14:textId="77777777" w:rsidR="001E1112" w:rsidRPr="00317ABF" w:rsidRDefault="001E1112" w:rsidP="00DB3BEC">
            <w:pPr>
              <w:pStyle w:val="Tekstpodstawowy"/>
              <w:rPr>
                <w:sz w:val="22"/>
                <w:szCs w:val="22"/>
              </w:rPr>
            </w:pPr>
          </w:p>
        </w:tc>
      </w:tr>
      <w:tr w:rsidR="001E1112" w:rsidRPr="00317ABF" w14:paraId="08CE15F7" w14:textId="77777777" w:rsidTr="7753F98D">
        <w:trPr>
          <w:gridAfter w:val="2"/>
          <w:wAfter w:w="175" w:type="dxa"/>
        </w:trPr>
        <w:tc>
          <w:tcPr>
            <w:tcW w:w="704" w:type="dxa"/>
          </w:tcPr>
          <w:p w14:paraId="7C76F031" w14:textId="77777777" w:rsidR="001E1112" w:rsidRPr="00317ABF" w:rsidRDefault="001E1112" w:rsidP="00DB3BEC">
            <w:pPr>
              <w:jc w:val="both"/>
              <w:rPr>
                <w:sz w:val="22"/>
                <w:szCs w:val="22"/>
              </w:rPr>
            </w:pPr>
            <w:r w:rsidRPr="00317ABF">
              <w:rPr>
                <w:sz w:val="22"/>
                <w:szCs w:val="22"/>
              </w:rPr>
              <w:t>Art. 42 ust. 1</w:t>
            </w:r>
          </w:p>
        </w:tc>
        <w:tc>
          <w:tcPr>
            <w:tcW w:w="4308" w:type="dxa"/>
          </w:tcPr>
          <w:p w14:paraId="2F7C1FA9" w14:textId="77777777" w:rsidR="001E1112" w:rsidRPr="00317ABF" w:rsidRDefault="001E1112" w:rsidP="00DB3BEC">
            <w:pPr>
              <w:spacing w:before="120"/>
              <w:jc w:val="both"/>
              <w:rPr>
                <w:sz w:val="22"/>
                <w:szCs w:val="22"/>
              </w:rPr>
            </w:pPr>
            <w:r w:rsidRPr="00317ABF">
              <w:rPr>
                <w:sz w:val="22"/>
                <w:szCs w:val="22"/>
              </w:rPr>
              <w:t xml:space="preserve">1.   Państwa członkowskie mogą zezwolić właściwym organom na nakładanie opłat za prawo użytkowania widma radiowego lub prawo instalowania urządzeń, które są wykorzystywane do dostarczania sieci łączności elektronicznej i urządzeń towarzyszących lub do świadczenia usług łączności elektronicznej, na własności publicznej lub prywatnej bądź nad lub pod taką własnością, które to opłaty zapewniają </w:t>
            </w:r>
            <w:r w:rsidRPr="00317ABF">
              <w:rPr>
                <w:sz w:val="22"/>
                <w:szCs w:val="22"/>
              </w:rPr>
              <w:lastRenderedPageBreak/>
              <w:t>optymalne wykorzystanie powyższych zasobów. Państwa członkowskie zapewniają, by takie opłaty były obiektywnie uzasadnione, przejrzyste, niedyskryminujące i proporcjonalne stosownie do ogólnych celów niniejszej dyrektywy.</w:t>
            </w:r>
          </w:p>
        </w:tc>
        <w:tc>
          <w:tcPr>
            <w:tcW w:w="986" w:type="dxa"/>
          </w:tcPr>
          <w:p w14:paraId="27286A95" w14:textId="07127CF8" w:rsidR="001E1112" w:rsidRPr="00317ABF" w:rsidRDefault="001E1112" w:rsidP="00DB3BEC">
            <w:pPr>
              <w:jc w:val="both"/>
              <w:rPr>
                <w:sz w:val="22"/>
                <w:szCs w:val="22"/>
              </w:rPr>
            </w:pPr>
            <w:r w:rsidRPr="00317ABF">
              <w:rPr>
                <w:sz w:val="22"/>
                <w:szCs w:val="22"/>
              </w:rPr>
              <w:lastRenderedPageBreak/>
              <w:t>N</w:t>
            </w:r>
          </w:p>
        </w:tc>
        <w:tc>
          <w:tcPr>
            <w:tcW w:w="910" w:type="dxa"/>
          </w:tcPr>
          <w:p w14:paraId="510E5722" w14:textId="78196AB6" w:rsidR="001E1112" w:rsidRPr="00317ABF" w:rsidRDefault="001E1112" w:rsidP="00DB3BEC">
            <w:pPr>
              <w:pStyle w:val="Tekstpodstawowy"/>
              <w:rPr>
                <w:b/>
                <w:bCs/>
                <w:noProof/>
                <w:sz w:val="22"/>
                <w:szCs w:val="22"/>
              </w:rPr>
            </w:pPr>
            <w:r w:rsidRPr="00317ABF">
              <w:rPr>
                <w:b/>
                <w:sz w:val="22"/>
                <w:szCs w:val="22"/>
              </w:rPr>
              <w:t>w zakresie widma - art. 24,</w:t>
            </w:r>
          </w:p>
          <w:p w14:paraId="64AB2A5A" w14:textId="64D45222" w:rsidR="001E1112" w:rsidRPr="00317ABF" w:rsidRDefault="001E1112" w:rsidP="00DB3BEC">
            <w:pPr>
              <w:pStyle w:val="Tekstpodstawowy"/>
              <w:rPr>
                <w:b/>
                <w:bCs/>
                <w:noProof/>
                <w:sz w:val="22"/>
                <w:szCs w:val="22"/>
              </w:rPr>
            </w:pPr>
            <w:r w:rsidRPr="00317ABF">
              <w:rPr>
                <w:b/>
                <w:sz w:val="22"/>
                <w:szCs w:val="22"/>
              </w:rPr>
              <w:t>art. 26-28</w:t>
            </w:r>
          </w:p>
        </w:tc>
        <w:tc>
          <w:tcPr>
            <w:tcW w:w="6814" w:type="dxa"/>
            <w:gridSpan w:val="2"/>
          </w:tcPr>
          <w:p w14:paraId="6F6F28A1" w14:textId="77777777" w:rsidR="001E1112" w:rsidRPr="00317ABF" w:rsidRDefault="001E1112" w:rsidP="00FC327C">
            <w:pPr>
              <w:pStyle w:val="ARTartustawynprozporzdzenia"/>
              <w:spacing w:before="0" w:line="240" w:lineRule="auto"/>
              <w:rPr>
                <w:rFonts w:ascii="Times New Roman" w:hAnsi="Times New Roman" w:cs="Times New Roman"/>
                <w:sz w:val="22"/>
                <w:szCs w:val="22"/>
              </w:rPr>
            </w:pPr>
            <w:r w:rsidRPr="00317ABF">
              <w:rPr>
                <w:rStyle w:val="Ppogrubienie"/>
                <w:rFonts w:ascii="Times New Roman" w:eastAsia="Times" w:hAnsi="Times New Roman"/>
                <w:sz w:val="22"/>
                <w:szCs w:val="22"/>
              </w:rPr>
              <w:t>Art.</w:t>
            </w:r>
            <w:r w:rsidR="00FC327C" w:rsidRPr="00317ABF">
              <w:rPr>
                <w:rStyle w:val="Ppogrubienie"/>
                <w:rFonts w:ascii="Times New Roman" w:hAnsi="Times New Roman"/>
                <w:sz w:val="22"/>
                <w:szCs w:val="22"/>
              </w:rPr>
              <w:t> </w:t>
            </w:r>
            <w:r w:rsidRPr="00317ABF">
              <w:rPr>
                <w:rStyle w:val="Ppogrubienie"/>
                <w:rFonts w:ascii="Times New Roman" w:eastAsia="Times" w:hAnsi="Times New Roman"/>
                <w:sz w:val="22"/>
                <w:szCs w:val="22"/>
              </w:rPr>
              <w:t>24.</w:t>
            </w:r>
            <w:r w:rsidRPr="00317ABF">
              <w:rPr>
                <w:rFonts w:ascii="Times New Roman" w:eastAsia="Times" w:hAnsi="Times New Roman" w:cs="Times New Roman"/>
                <w:sz w:val="22"/>
                <w:szCs w:val="22"/>
              </w:rPr>
              <w:t xml:space="preserve"> 1. Podmiot, który uzyskał prawo do dysponowania częstotliwością w rezerwacji częstotliwości, uiszcza roczną opłatę za prawo do dysponowania częstotliwością.</w:t>
            </w:r>
          </w:p>
          <w:p w14:paraId="3039FE62" w14:textId="77777777" w:rsidR="001E1112" w:rsidRPr="00317ABF" w:rsidRDefault="001E1112" w:rsidP="00FC327C">
            <w:pPr>
              <w:pStyle w:val="USTustnpkodeksu"/>
              <w:spacing w:line="240" w:lineRule="auto"/>
              <w:rPr>
                <w:rFonts w:ascii="Times New Roman" w:hAnsi="Times New Roman" w:cs="Times New Roman"/>
                <w:sz w:val="22"/>
                <w:szCs w:val="22"/>
              </w:rPr>
            </w:pPr>
            <w:r w:rsidRPr="00317ABF">
              <w:rPr>
                <w:rFonts w:ascii="Times New Roman" w:eastAsia="Times" w:hAnsi="Times New Roman" w:cs="Times New Roman"/>
                <w:sz w:val="22"/>
                <w:szCs w:val="22"/>
              </w:rPr>
              <w:t xml:space="preserve">2. Wysokość opłaty, o której mowa w ust. 1, ulega obniżeniu o kwotę wynikającą z umowy inwestycyjnej, o której mowa w art. </w:t>
            </w:r>
            <w:r w:rsidR="00FC327C" w:rsidRPr="00317ABF">
              <w:rPr>
                <w:rFonts w:ascii="Times New Roman" w:hAnsi="Times New Roman" w:cs="Times New Roman"/>
                <w:sz w:val="22"/>
                <w:szCs w:val="22"/>
              </w:rPr>
              <w:t>252</w:t>
            </w:r>
            <w:r w:rsidRPr="00317ABF">
              <w:rPr>
                <w:rFonts w:ascii="Times New Roman" w:eastAsia="Times" w:hAnsi="Times New Roman" w:cs="Times New Roman"/>
                <w:sz w:val="22"/>
                <w:szCs w:val="22"/>
              </w:rPr>
              <w:t xml:space="preserve"> ust. 1.</w:t>
            </w:r>
          </w:p>
          <w:p w14:paraId="567D66FD" w14:textId="77777777" w:rsidR="001E1112" w:rsidRPr="00317ABF" w:rsidRDefault="001E1112" w:rsidP="00FC327C">
            <w:pPr>
              <w:pStyle w:val="USTustnpkodeksu"/>
              <w:spacing w:line="240" w:lineRule="auto"/>
              <w:rPr>
                <w:rFonts w:ascii="Times New Roman" w:hAnsi="Times New Roman" w:cs="Times New Roman"/>
                <w:sz w:val="22"/>
                <w:szCs w:val="22"/>
              </w:rPr>
            </w:pPr>
            <w:r w:rsidRPr="00317ABF">
              <w:rPr>
                <w:rFonts w:ascii="Times New Roman" w:eastAsia="Times" w:hAnsi="Times New Roman" w:cs="Times New Roman"/>
                <w:sz w:val="22"/>
                <w:szCs w:val="22"/>
              </w:rPr>
              <w:t xml:space="preserve">3. Obowiązek ponoszenia opłaty, o której mowa w ust. 1, nie dotyczy podmiotu któremu częstotliwości zostały wydzierżawione lub przekazane do użytkowania zgodnie z art. </w:t>
            </w:r>
            <w:r w:rsidR="00FC327C" w:rsidRPr="00317ABF">
              <w:rPr>
                <w:rFonts w:ascii="Times New Roman" w:hAnsi="Times New Roman" w:cs="Times New Roman"/>
                <w:sz w:val="22"/>
                <w:szCs w:val="22"/>
              </w:rPr>
              <w:t>96</w:t>
            </w:r>
            <w:r w:rsidRPr="00317ABF">
              <w:rPr>
                <w:rFonts w:ascii="Times New Roman" w:eastAsia="Times" w:hAnsi="Times New Roman" w:cs="Times New Roman"/>
                <w:sz w:val="22"/>
                <w:szCs w:val="22"/>
              </w:rPr>
              <w:t xml:space="preserve"> oraz podmiotu upoważnionego, o którym mowa w art. </w:t>
            </w:r>
            <w:r w:rsidR="00FC327C" w:rsidRPr="00317ABF">
              <w:rPr>
                <w:rFonts w:ascii="Times New Roman" w:hAnsi="Times New Roman" w:cs="Times New Roman"/>
                <w:sz w:val="22"/>
                <w:szCs w:val="22"/>
              </w:rPr>
              <w:t>138</w:t>
            </w:r>
            <w:r w:rsidRPr="00317ABF">
              <w:rPr>
                <w:rFonts w:ascii="Times New Roman" w:eastAsia="Times" w:hAnsi="Times New Roman" w:cs="Times New Roman"/>
                <w:sz w:val="22"/>
                <w:szCs w:val="22"/>
              </w:rPr>
              <w:t xml:space="preserve"> ust. 4.</w:t>
            </w:r>
          </w:p>
          <w:p w14:paraId="14A2EBB9" w14:textId="77777777" w:rsidR="001E1112" w:rsidRPr="00317ABF" w:rsidRDefault="001E1112" w:rsidP="00FC327C">
            <w:pPr>
              <w:pStyle w:val="USTustnpkodeksu"/>
              <w:spacing w:line="240" w:lineRule="auto"/>
              <w:rPr>
                <w:rFonts w:ascii="Times New Roman" w:hAnsi="Times New Roman" w:cs="Times New Roman"/>
                <w:sz w:val="22"/>
                <w:szCs w:val="22"/>
              </w:rPr>
            </w:pPr>
            <w:r w:rsidRPr="00317ABF">
              <w:rPr>
                <w:rFonts w:ascii="Times New Roman" w:eastAsia="Times" w:hAnsi="Times New Roman" w:cs="Times New Roman"/>
                <w:sz w:val="22"/>
                <w:szCs w:val="22"/>
              </w:rPr>
              <w:t>4. Podmiot nieposiadający rezerwacji częstotliwości, który uzyskał prawo do wykorzystywania częstotliwości w pozwoleniu</w:t>
            </w:r>
            <w:r w:rsidR="00FC327C" w:rsidRPr="00317ABF">
              <w:rPr>
                <w:rFonts w:ascii="Times New Roman" w:hAnsi="Times New Roman" w:cs="Times New Roman"/>
                <w:sz w:val="22"/>
                <w:szCs w:val="22"/>
              </w:rPr>
              <w:t xml:space="preserve"> radiowym</w:t>
            </w:r>
            <w:r w:rsidRPr="00317ABF">
              <w:rPr>
                <w:rFonts w:ascii="Times New Roman" w:eastAsia="Times" w:hAnsi="Times New Roman" w:cs="Times New Roman"/>
                <w:sz w:val="22"/>
                <w:szCs w:val="22"/>
              </w:rPr>
              <w:t xml:space="preserve">, na </w:t>
            </w:r>
            <w:r w:rsidRPr="00317ABF">
              <w:rPr>
                <w:rFonts w:ascii="Times New Roman" w:eastAsia="Times" w:hAnsi="Times New Roman" w:cs="Times New Roman"/>
                <w:sz w:val="22"/>
                <w:szCs w:val="22"/>
              </w:rPr>
              <w:lastRenderedPageBreak/>
              <w:t xml:space="preserve">podstawie decyzji, o której mowa w art. </w:t>
            </w:r>
            <w:r w:rsidR="00FC327C" w:rsidRPr="00317ABF">
              <w:rPr>
                <w:rFonts w:ascii="Times New Roman" w:hAnsi="Times New Roman" w:cs="Times New Roman"/>
                <w:sz w:val="22"/>
                <w:szCs w:val="22"/>
              </w:rPr>
              <w:t>152</w:t>
            </w:r>
            <w:r w:rsidRPr="00317ABF">
              <w:rPr>
                <w:rFonts w:ascii="Times New Roman" w:eastAsia="Times" w:hAnsi="Times New Roman" w:cs="Times New Roman"/>
                <w:sz w:val="22"/>
                <w:szCs w:val="22"/>
              </w:rPr>
              <w:t xml:space="preserve"> lub art. </w:t>
            </w:r>
            <w:r w:rsidR="00FC327C" w:rsidRPr="00317ABF">
              <w:rPr>
                <w:rFonts w:ascii="Times New Roman" w:hAnsi="Times New Roman" w:cs="Times New Roman"/>
                <w:sz w:val="22"/>
                <w:szCs w:val="22"/>
              </w:rPr>
              <w:t>153</w:t>
            </w:r>
            <w:r w:rsidRPr="00317ABF">
              <w:rPr>
                <w:rFonts w:ascii="Times New Roman" w:eastAsia="Times" w:hAnsi="Times New Roman" w:cs="Times New Roman"/>
                <w:sz w:val="22"/>
                <w:szCs w:val="22"/>
              </w:rPr>
              <w:t xml:space="preserve"> uiszcza roczną opłatę, o której mowa w ust. 1.</w:t>
            </w:r>
          </w:p>
          <w:p w14:paraId="1615D7A6" w14:textId="77777777" w:rsidR="001E1112" w:rsidRPr="00317ABF" w:rsidRDefault="001E1112" w:rsidP="00FC327C">
            <w:pPr>
              <w:pStyle w:val="USTustnpkodeksu"/>
              <w:spacing w:line="240" w:lineRule="auto"/>
              <w:rPr>
                <w:rFonts w:ascii="Times New Roman" w:hAnsi="Times New Roman" w:cs="Times New Roman"/>
                <w:sz w:val="22"/>
                <w:szCs w:val="22"/>
              </w:rPr>
            </w:pPr>
            <w:r w:rsidRPr="00317ABF">
              <w:rPr>
                <w:rFonts w:ascii="Times New Roman" w:eastAsia="Times" w:hAnsi="Times New Roman" w:cs="Times New Roman"/>
                <w:sz w:val="22"/>
                <w:szCs w:val="22"/>
              </w:rPr>
              <w:t xml:space="preserve">5. Podmiot, na rzecz którego dokonano rezerwacji częstotliwości w drodze postępowania, o którym mowa w art. </w:t>
            </w:r>
            <w:r w:rsidR="00FC327C" w:rsidRPr="00317ABF">
              <w:rPr>
                <w:rFonts w:ascii="Times New Roman" w:hAnsi="Times New Roman" w:cs="Times New Roman"/>
                <w:sz w:val="22"/>
                <w:szCs w:val="22"/>
              </w:rPr>
              <w:t>104</w:t>
            </w:r>
            <w:r w:rsidRPr="00317ABF">
              <w:rPr>
                <w:rFonts w:ascii="Times New Roman" w:eastAsia="Times" w:hAnsi="Times New Roman" w:cs="Times New Roman"/>
                <w:sz w:val="22"/>
                <w:szCs w:val="22"/>
              </w:rPr>
              <w:t xml:space="preserve"> ust. 3, uiszcza dodatkową opłatę za dokonanie rezerwacji częstotliwości, w terminie 14 dni od dnia doręczenia decyzji w sprawie rezerwacji częstotliwości, w kwocie zadeklarowanej w tym postępowaniu, nie niższej niż opłata roczna, o której mowa w ust. 1, ustalonej zgodnie z warunkami podanymi w rezerwacji częstotliwości.</w:t>
            </w:r>
          </w:p>
          <w:p w14:paraId="43998EDF" w14:textId="77777777" w:rsidR="001E1112" w:rsidRPr="00317ABF" w:rsidRDefault="001E1112" w:rsidP="00FC327C">
            <w:pPr>
              <w:pStyle w:val="USTustnpkodeksu"/>
              <w:keepNext/>
              <w:spacing w:line="240" w:lineRule="auto"/>
              <w:rPr>
                <w:rFonts w:ascii="Times New Roman" w:hAnsi="Times New Roman" w:cs="Times New Roman"/>
                <w:sz w:val="22"/>
                <w:szCs w:val="22"/>
              </w:rPr>
            </w:pPr>
            <w:r w:rsidRPr="00317ABF">
              <w:rPr>
                <w:rFonts w:ascii="Times New Roman" w:eastAsia="Times" w:hAnsi="Times New Roman" w:cs="Times New Roman"/>
                <w:sz w:val="22"/>
                <w:szCs w:val="22"/>
              </w:rPr>
              <w:t xml:space="preserve">6. Podmiot, na rzecz którego dokonano rezerwacji częstotliwości na kolejny okres w drodze postępowania, o którym mowa w art. </w:t>
            </w:r>
            <w:r w:rsidR="00FC327C" w:rsidRPr="00317ABF">
              <w:rPr>
                <w:rFonts w:ascii="Times New Roman" w:hAnsi="Times New Roman" w:cs="Times New Roman"/>
                <w:sz w:val="22"/>
                <w:szCs w:val="22"/>
              </w:rPr>
              <w:t>93</w:t>
            </w:r>
            <w:r w:rsidRPr="00317ABF">
              <w:rPr>
                <w:rFonts w:ascii="Times New Roman" w:eastAsia="Times" w:hAnsi="Times New Roman" w:cs="Times New Roman"/>
                <w:sz w:val="22"/>
                <w:szCs w:val="22"/>
              </w:rPr>
              <w:t xml:space="preserve"> ust. 1, uiszcza w terminie 14 dni od dnia doręczenia decyzji w sprawie rezerwacji częstotliwości jednorazową opłatę za dokonanie rezerwacji częstotliwości na kolejny okres w kwocie stanowiącej iloczyn:</w:t>
            </w:r>
          </w:p>
          <w:p w14:paraId="75D6A6B7" w14:textId="77777777" w:rsidR="00FC327C" w:rsidRPr="00317ABF" w:rsidRDefault="00FC327C" w:rsidP="00FC327C">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1)</w:t>
            </w:r>
            <w:r w:rsidRPr="00317ABF">
              <w:rPr>
                <w:rFonts w:ascii="Times New Roman" w:hAnsi="Times New Roman" w:cs="Times New Roman"/>
                <w:sz w:val="22"/>
                <w:szCs w:val="22"/>
              </w:rPr>
              <w:tab/>
              <w:t>wartości częstotliwości o szerokości 1 MHz dla takiego samego obszaru i wykorzystywania częstotliwości, uzyskanej w wyniku przeprowadzenia ostatniego przetargu, aukcji albo konkursu na rezerwację częstotliwości z danego zakresu częstotliwości;</w:t>
            </w:r>
          </w:p>
          <w:p w14:paraId="46C6A7CD" w14:textId="77777777" w:rsidR="00FC327C" w:rsidRPr="00317ABF" w:rsidRDefault="00FC327C" w:rsidP="00FC327C">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2)</w:t>
            </w:r>
            <w:r w:rsidRPr="00317ABF">
              <w:rPr>
                <w:rFonts w:ascii="Times New Roman" w:hAnsi="Times New Roman" w:cs="Times New Roman"/>
                <w:sz w:val="22"/>
                <w:szCs w:val="22"/>
              </w:rPr>
              <w:tab/>
            </w:r>
            <w:r w:rsidRPr="00317ABF" w:rsidDel="002A743C">
              <w:rPr>
                <w:rFonts w:ascii="Times New Roman" w:hAnsi="Times New Roman" w:cs="Times New Roman"/>
                <w:sz w:val="22"/>
                <w:szCs w:val="22"/>
              </w:rPr>
              <w:t xml:space="preserve">ilości </w:t>
            </w:r>
            <w:r w:rsidRPr="00317ABF">
              <w:rPr>
                <w:rFonts w:ascii="Times New Roman" w:hAnsi="Times New Roman" w:cs="Times New Roman"/>
                <w:sz w:val="22"/>
                <w:szCs w:val="22"/>
              </w:rPr>
              <w:t>MHz objętych rezerwacją częstotliwości na kolejny okres oraz</w:t>
            </w:r>
          </w:p>
          <w:p w14:paraId="315026FE" w14:textId="77777777" w:rsidR="001E1112" w:rsidRPr="00317ABF" w:rsidRDefault="001E1112" w:rsidP="00FC327C">
            <w:pPr>
              <w:pStyle w:val="PKTpunkt0"/>
              <w:spacing w:line="240" w:lineRule="auto"/>
              <w:rPr>
                <w:rFonts w:ascii="Times New Roman" w:hAnsi="Times New Roman" w:cs="Times New Roman"/>
                <w:sz w:val="22"/>
                <w:szCs w:val="22"/>
              </w:rPr>
            </w:pPr>
            <w:r w:rsidRPr="00317ABF">
              <w:rPr>
                <w:rFonts w:ascii="Times New Roman" w:eastAsia="Times" w:hAnsi="Times New Roman" w:cs="Times New Roman"/>
                <w:sz w:val="22"/>
                <w:szCs w:val="22"/>
              </w:rPr>
              <w:t>3)</w:t>
            </w:r>
            <w:r w:rsidR="00FC327C" w:rsidRPr="00317ABF">
              <w:rPr>
                <w:rFonts w:ascii="Times New Roman" w:hAnsi="Times New Roman" w:cs="Times New Roman"/>
                <w:sz w:val="22"/>
                <w:szCs w:val="22"/>
              </w:rPr>
              <w:tab/>
            </w:r>
            <w:r w:rsidRPr="00317ABF">
              <w:rPr>
                <w:rFonts w:ascii="Times New Roman" w:eastAsia="Times" w:hAnsi="Times New Roman" w:cs="Times New Roman"/>
                <w:sz w:val="22"/>
                <w:szCs w:val="22"/>
              </w:rPr>
              <w:t>średniorocznych wskaźników cen towarów i usług konsumpcyjnych ogółem udostępnianych przez Prezesa Głównego Urzędu Statystycznego, za okres od roku, w którym przeprowadzono ostatni przetarg, aukcję albo konkurs na rezerwację częstotliwości, o których mowa w pkt 1, do roku poprzedzającego rok, w którym złożono wniosek o dokonanie rezerwacji częstotliwości na kolejny okres.</w:t>
            </w:r>
          </w:p>
          <w:p w14:paraId="105DF236" w14:textId="72ABEE5C" w:rsidR="001E1112" w:rsidRPr="00317ABF" w:rsidRDefault="001E1112" w:rsidP="00FC327C">
            <w:pPr>
              <w:pStyle w:val="USTustnpkodeksu"/>
              <w:spacing w:line="240" w:lineRule="auto"/>
              <w:rPr>
                <w:rFonts w:ascii="Times New Roman" w:hAnsi="Times New Roman" w:cs="Times New Roman"/>
                <w:sz w:val="22"/>
                <w:szCs w:val="22"/>
              </w:rPr>
            </w:pPr>
            <w:r w:rsidRPr="00317ABF">
              <w:rPr>
                <w:rFonts w:ascii="Times New Roman" w:eastAsia="Times" w:hAnsi="Times New Roman" w:cs="Times New Roman"/>
                <w:sz w:val="22"/>
                <w:szCs w:val="22"/>
              </w:rPr>
              <w:t>7. W przypadku dokonania rezerwacji częstotliwości na kolejny okres, inny niż okres, na który wydano rezerwację częstotliwości, o których mowa w ust. 6 pkt 1, opłatę określa się proporcjonalnie do okresu, na jaki dokonywana jest ta rezerwacja częstotliwości.</w:t>
            </w:r>
          </w:p>
          <w:p w14:paraId="629EAF51" w14:textId="03CF37FB" w:rsidR="001E1112" w:rsidRPr="00317ABF" w:rsidRDefault="001E1112" w:rsidP="00FC327C">
            <w:pPr>
              <w:pStyle w:val="USTustnpkodeksu"/>
              <w:spacing w:line="240" w:lineRule="auto"/>
              <w:rPr>
                <w:rFonts w:ascii="Times New Roman" w:hAnsi="Times New Roman" w:cs="Times New Roman"/>
                <w:sz w:val="22"/>
                <w:szCs w:val="22"/>
              </w:rPr>
            </w:pPr>
            <w:r w:rsidRPr="00317ABF">
              <w:rPr>
                <w:rFonts w:ascii="Times New Roman" w:eastAsia="Times" w:hAnsi="Times New Roman" w:cs="Times New Roman"/>
                <w:sz w:val="22"/>
                <w:szCs w:val="22"/>
              </w:rPr>
              <w:t>8. Jeżeli w wyniku przetargu, aukcji albo konkursu dokonano więcej niż jednej rezerwacji częstotliwości, wartość częstotliwości o szerokości 1 MHz, o której mowa w ust. 6 pkt 1, zostaje uśredniona w stosunku do opłat jednorazowych za rezerwację częstotliwości, zadeklarowanych przez wyłonione podmioty.</w:t>
            </w:r>
          </w:p>
          <w:p w14:paraId="4919B7D3" w14:textId="36DDA396" w:rsidR="001E1112" w:rsidRPr="00317ABF" w:rsidRDefault="001E1112" w:rsidP="00FC327C">
            <w:pPr>
              <w:pStyle w:val="USTustnpkodeksu"/>
              <w:spacing w:line="240" w:lineRule="auto"/>
              <w:rPr>
                <w:rFonts w:ascii="Times New Roman" w:hAnsi="Times New Roman" w:cs="Times New Roman"/>
                <w:sz w:val="22"/>
                <w:szCs w:val="22"/>
              </w:rPr>
            </w:pPr>
            <w:r w:rsidRPr="00317ABF">
              <w:rPr>
                <w:rFonts w:ascii="Times New Roman" w:eastAsia="Times" w:hAnsi="Times New Roman" w:cs="Times New Roman"/>
                <w:sz w:val="22"/>
                <w:szCs w:val="22"/>
              </w:rPr>
              <w:t xml:space="preserve">9. W przypadku złożenia wniosku o dokonanie rezerwacji częstotliwości na kolejny okres z zakresu, dla którego nie były wcześniej przeprowadzone przetarg, aukcja albo konkurs albo zostały one przeprowadzone, ale nie zostały rozstrzygnięte, kwotę opłaty ustala Prezes UKE na podstawie opinii powołanego przez siebie biegłego lub biegłych w </w:t>
            </w:r>
            <w:r w:rsidRPr="00317ABF">
              <w:rPr>
                <w:rFonts w:ascii="Times New Roman" w:eastAsia="Times" w:hAnsi="Times New Roman" w:cs="Times New Roman"/>
                <w:sz w:val="22"/>
                <w:szCs w:val="22"/>
              </w:rPr>
              <w:lastRenderedPageBreak/>
              <w:t>przedmiocie wartości rynkowej tych częstotliwości. Koszt opinii biegłego lub biegłych ponosi podmiot, który złożył wniosek o dokonanie rezerwacji częstotliwości na kolejny okres, w terminie 14 dni od dnia zawiadomienia wnioskodawcy przez Prezesa UKE o sporządzeniu opinii.</w:t>
            </w:r>
          </w:p>
          <w:p w14:paraId="40857A0A" w14:textId="537379C0" w:rsidR="001E1112" w:rsidRPr="00317ABF" w:rsidRDefault="001E1112" w:rsidP="00FC327C">
            <w:pPr>
              <w:pStyle w:val="USTustnpkodeksu"/>
              <w:keepNext/>
              <w:spacing w:line="240" w:lineRule="auto"/>
              <w:rPr>
                <w:rFonts w:ascii="Times New Roman" w:hAnsi="Times New Roman" w:cs="Times New Roman"/>
                <w:sz w:val="22"/>
                <w:szCs w:val="22"/>
              </w:rPr>
            </w:pPr>
            <w:r w:rsidRPr="00317ABF">
              <w:rPr>
                <w:rFonts w:ascii="Times New Roman" w:eastAsia="Times" w:hAnsi="Times New Roman" w:cs="Times New Roman"/>
                <w:sz w:val="22"/>
                <w:szCs w:val="22"/>
              </w:rPr>
              <w:t>10. Opłaty, o których mowa w ust. 1, w poszczególnych służbach radiokomunikacyjnych nie mogą być wyższe niż:</w:t>
            </w:r>
          </w:p>
          <w:p w14:paraId="1DCD8F65" w14:textId="77777777" w:rsidR="00FC327C" w:rsidRPr="00317ABF" w:rsidRDefault="00FC327C" w:rsidP="00FC327C">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1)</w:t>
            </w:r>
            <w:r w:rsidRPr="00317ABF">
              <w:rPr>
                <w:rFonts w:ascii="Times New Roman" w:hAnsi="Times New Roman" w:cs="Times New Roman"/>
                <w:sz w:val="22"/>
                <w:szCs w:val="22"/>
              </w:rPr>
              <w:tab/>
              <w:t>w służbie stałej satelitarnej za prawo do dysponowania częstotliwością przez jedną stację – 20 000 złotych;</w:t>
            </w:r>
          </w:p>
          <w:p w14:paraId="7202E629" w14:textId="77777777" w:rsidR="00FC327C" w:rsidRPr="00317ABF" w:rsidRDefault="00FC327C" w:rsidP="00FC327C">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2)</w:t>
            </w:r>
            <w:r w:rsidRPr="00317ABF">
              <w:rPr>
                <w:rFonts w:ascii="Times New Roman" w:hAnsi="Times New Roman" w:cs="Times New Roman"/>
                <w:sz w:val="22"/>
                <w:szCs w:val="22"/>
              </w:rPr>
              <w:tab/>
              <w:t>w służbie satelitarnego badania ziemi za prawo do dysponowania częstotliwością przez jedną stację – 5000 złotych;</w:t>
            </w:r>
          </w:p>
          <w:p w14:paraId="7444B63E" w14:textId="77777777" w:rsidR="00FC327C" w:rsidRPr="00317ABF" w:rsidRDefault="00FC327C" w:rsidP="00FC327C">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3)</w:t>
            </w:r>
            <w:r w:rsidRPr="00317ABF">
              <w:rPr>
                <w:rFonts w:ascii="Times New Roman" w:hAnsi="Times New Roman" w:cs="Times New Roman"/>
                <w:sz w:val="22"/>
                <w:szCs w:val="22"/>
              </w:rPr>
              <w:tab/>
              <w:t>w służbie meteorologii satelitarnej za prawo do dysponowania częstotliwością przez jedną stację – 5000 złotych;</w:t>
            </w:r>
          </w:p>
          <w:p w14:paraId="0B105267" w14:textId="77777777" w:rsidR="00FC327C" w:rsidRPr="00317ABF" w:rsidRDefault="00FC327C" w:rsidP="00FC327C">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4)</w:t>
            </w:r>
            <w:r w:rsidRPr="00317ABF">
              <w:rPr>
                <w:rFonts w:ascii="Times New Roman" w:hAnsi="Times New Roman" w:cs="Times New Roman"/>
                <w:sz w:val="22"/>
                <w:szCs w:val="22"/>
              </w:rPr>
              <w:tab/>
              <w:t>w służbie radionawigacji satelitarnej za prawo do dysponowania częstotliwością przez jedną stację – 5000 złotych;</w:t>
            </w:r>
          </w:p>
          <w:p w14:paraId="0C35DFDC" w14:textId="77777777" w:rsidR="00FC327C" w:rsidRPr="00317ABF" w:rsidRDefault="00FC327C" w:rsidP="00FC327C">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5)</w:t>
            </w:r>
            <w:r w:rsidRPr="00317ABF">
              <w:rPr>
                <w:rFonts w:ascii="Times New Roman" w:hAnsi="Times New Roman" w:cs="Times New Roman"/>
                <w:sz w:val="22"/>
                <w:szCs w:val="22"/>
              </w:rPr>
              <w:tab/>
              <w:t>w służbie operacji kosmicznych za prawo do dysponowania częstotliwością przez jedną stację – 5000 złotych;</w:t>
            </w:r>
          </w:p>
          <w:p w14:paraId="09D9B55F" w14:textId="77777777" w:rsidR="00FC327C" w:rsidRPr="00317ABF" w:rsidRDefault="00FC327C" w:rsidP="00FC327C">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6)</w:t>
            </w:r>
            <w:r w:rsidRPr="00317ABF">
              <w:rPr>
                <w:rFonts w:ascii="Times New Roman" w:hAnsi="Times New Roman" w:cs="Times New Roman"/>
                <w:sz w:val="22"/>
                <w:szCs w:val="22"/>
              </w:rPr>
              <w:tab/>
              <w:t>w służbie badań kosmosu za prawo do dysponowania częstotliwością przez jedną stację – 5000 złotych;</w:t>
            </w:r>
          </w:p>
          <w:p w14:paraId="000FA4B4" w14:textId="77777777" w:rsidR="00FC327C" w:rsidRPr="00317ABF" w:rsidRDefault="00FC327C" w:rsidP="00FC327C">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7)</w:t>
            </w:r>
            <w:r w:rsidRPr="00317ABF">
              <w:rPr>
                <w:rFonts w:ascii="Times New Roman" w:hAnsi="Times New Roman" w:cs="Times New Roman"/>
                <w:sz w:val="22"/>
                <w:szCs w:val="22"/>
              </w:rPr>
              <w:tab/>
              <w:t>w służbie radiodyfuzji satelitarnej za prawo do dysponowania częstotliwością przez jedną stację – 40 000 złotych;</w:t>
            </w:r>
          </w:p>
          <w:p w14:paraId="732E40CA" w14:textId="77777777" w:rsidR="00FC327C" w:rsidRPr="00317ABF" w:rsidRDefault="00FC327C" w:rsidP="00FC327C">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8)</w:t>
            </w:r>
            <w:r w:rsidRPr="00317ABF">
              <w:rPr>
                <w:rFonts w:ascii="Times New Roman" w:hAnsi="Times New Roman" w:cs="Times New Roman"/>
                <w:sz w:val="22"/>
                <w:szCs w:val="22"/>
              </w:rPr>
              <w:tab/>
              <w:t>w służbie ruchomej satelitarnej za prawo do dysponowania częstotliwością przez jedną stację – 80 000 złotych;</w:t>
            </w:r>
          </w:p>
          <w:p w14:paraId="50787673" w14:textId="77777777" w:rsidR="00FC327C" w:rsidRPr="00317ABF" w:rsidRDefault="00FC327C" w:rsidP="00FC327C">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9)</w:t>
            </w:r>
            <w:r w:rsidRPr="00317ABF">
              <w:rPr>
                <w:rFonts w:ascii="Times New Roman" w:hAnsi="Times New Roman" w:cs="Times New Roman"/>
                <w:sz w:val="22"/>
                <w:szCs w:val="22"/>
              </w:rPr>
              <w:tab/>
              <w:t>w służbie ruchomej satelitarnej za prawo do dysponowania częstotliwościami o łącznej szerokości 1 MHz wykorzystywanymi przez uzupełniające elementy naziemne systemów satelitarnej komunikacji ruchomej na obszarze jednej gminy lub mniejszym – 500 złotych;</w:t>
            </w:r>
          </w:p>
          <w:p w14:paraId="38650500" w14:textId="77777777" w:rsidR="00FC327C" w:rsidRPr="00317ABF" w:rsidRDefault="00FC327C" w:rsidP="00FC327C">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10)</w:t>
            </w:r>
            <w:r w:rsidRPr="00317ABF">
              <w:rPr>
                <w:rFonts w:ascii="Times New Roman" w:hAnsi="Times New Roman" w:cs="Times New Roman"/>
                <w:sz w:val="22"/>
                <w:szCs w:val="22"/>
              </w:rPr>
              <w:tab/>
              <w:t>w służbie radiolokalizacyjnej za prawo do dysponowania częstotliwością przez jedną stację radarową – 1000 zł;</w:t>
            </w:r>
          </w:p>
          <w:p w14:paraId="167DA812" w14:textId="77777777" w:rsidR="00FC327C" w:rsidRPr="00317ABF" w:rsidRDefault="00FC327C" w:rsidP="00FC327C">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11)</w:t>
            </w:r>
            <w:r w:rsidRPr="00317ABF">
              <w:rPr>
                <w:rFonts w:ascii="Times New Roman" w:hAnsi="Times New Roman" w:cs="Times New Roman"/>
                <w:sz w:val="22"/>
                <w:szCs w:val="22"/>
              </w:rPr>
              <w:tab/>
              <w:t>w służbie lotniczej za prawo do dysponowania częstotliwościami o łącznej szerokości 1 kHz przez jeden system lotniskowy – 100 złotych;</w:t>
            </w:r>
          </w:p>
          <w:p w14:paraId="6DA5708F" w14:textId="77777777" w:rsidR="00FC327C" w:rsidRPr="00317ABF" w:rsidRDefault="00FC327C" w:rsidP="00FC327C">
            <w:pPr>
              <w:pStyle w:val="PKTpunkt0"/>
              <w:keepNext/>
              <w:spacing w:line="240" w:lineRule="auto"/>
              <w:rPr>
                <w:rFonts w:ascii="Times New Roman" w:hAnsi="Times New Roman" w:cs="Times New Roman"/>
                <w:sz w:val="22"/>
                <w:szCs w:val="22"/>
              </w:rPr>
            </w:pPr>
            <w:r w:rsidRPr="00317ABF">
              <w:rPr>
                <w:rFonts w:ascii="Times New Roman" w:hAnsi="Times New Roman" w:cs="Times New Roman"/>
                <w:sz w:val="22"/>
                <w:szCs w:val="22"/>
              </w:rPr>
              <w:t>12)</w:t>
            </w:r>
            <w:r w:rsidRPr="00317ABF">
              <w:rPr>
                <w:rFonts w:ascii="Times New Roman" w:hAnsi="Times New Roman" w:cs="Times New Roman"/>
                <w:sz w:val="22"/>
                <w:szCs w:val="22"/>
              </w:rPr>
              <w:tab/>
              <w:t>w służbie morskiej i żeglugi śródlądowej:</w:t>
            </w:r>
          </w:p>
          <w:p w14:paraId="7EDC1CB9" w14:textId="77777777" w:rsidR="00FC327C" w:rsidRPr="00317ABF" w:rsidRDefault="00FC327C" w:rsidP="00FC327C">
            <w:pPr>
              <w:pStyle w:val="LITlitera"/>
              <w:spacing w:line="240" w:lineRule="auto"/>
              <w:rPr>
                <w:rFonts w:ascii="Times New Roman" w:hAnsi="Times New Roman" w:cs="Times New Roman"/>
                <w:sz w:val="22"/>
                <w:szCs w:val="22"/>
              </w:rPr>
            </w:pPr>
            <w:r w:rsidRPr="00317ABF">
              <w:rPr>
                <w:rFonts w:ascii="Times New Roman" w:hAnsi="Times New Roman" w:cs="Times New Roman"/>
                <w:sz w:val="22"/>
                <w:szCs w:val="22"/>
              </w:rPr>
              <w:t>a)</w:t>
            </w:r>
            <w:r w:rsidRPr="00317ABF">
              <w:rPr>
                <w:rFonts w:ascii="Times New Roman" w:hAnsi="Times New Roman" w:cs="Times New Roman"/>
                <w:sz w:val="22"/>
                <w:szCs w:val="22"/>
              </w:rPr>
              <w:tab/>
              <w:t>za prawo do dysponowania częstotliwościami o łącznej szerokości 1 kHz przez jedną stację nadbrzeżną w relacji łączności brzeg – statek – 100 złotych,</w:t>
            </w:r>
          </w:p>
          <w:p w14:paraId="5D46F24C" w14:textId="77777777" w:rsidR="00FC327C" w:rsidRPr="00317ABF" w:rsidRDefault="00FC327C" w:rsidP="00FC327C">
            <w:pPr>
              <w:pStyle w:val="LITlitera"/>
              <w:spacing w:line="240" w:lineRule="auto"/>
              <w:rPr>
                <w:rFonts w:ascii="Times New Roman" w:hAnsi="Times New Roman" w:cs="Times New Roman"/>
                <w:sz w:val="22"/>
                <w:szCs w:val="22"/>
              </w:rPr>
            </w:pPr>
            <w:r w:rsidRPr="00317ABF">
              <w:rPr>
                <w:rFonts w:ascii="Times New Roman" w:hAnsi="Times New Roman" w:cs="Times New Roman"/>
                <w:sz w:val="22"/>
                <w:szCs w:val="22"/>
              </w:rPr>
              <w:t>b)</w:t>
            </w:r>
            <w:r w:rsidRPr="00317ABF">
              <w:rPr>
                <w:rFonts w:ascii="Times New Roman" w:hAnsi="Times New Roman" w:cs="Times New Roman"/>
                <w:sz w:val="22"/>
                <w:szCs w:val="22"/>
              </w:rPr>
              <w:tab/>
              <w:t>za prawo do dysponowania częstotliwościami o łącznej szerokości 1 kHz przez każdą stację lądową przewoźną lub przenośną w relacji łączności brzeg – statek – 100 złotych;</w:t>
            </w:r>
          </w:p>
          <w:p w14:paraId="05CA28A7" w14:textId="77777777" w:rsidR="00FC327C" w:rsidRPr="00317ABF" w:rsidRDefault="00FC327C" w:rsidP="00FC327C">
            <w:pPr>
              <w:pStyle w:val="PKTpunkt0"/>
              <w:keepNext/>
              <w:spacing w:line="240" w:lineRule="auto"/>
              <w:rPr>
                <w:rFonts w:ascii="Times New Roman" w:hAnsi="Times New Roman" w:cs="Times New Roman"/>
                <w:sz w:val="22"/>
                <w:szCs w:val="22"/>
              </w:rPr>
            </w:pPr>
            <w:r w:rsidRPr="00317ABF">
              <w:rPr>
                <w:rFonts w:ascii="Times New Roman" w:hAnsi="Times New Roman" w:cs="Times New Roman"/>
                <w:sz w:val="22"/>
                <w:szCs w:val="22"/>
              </w:rPr>
              <w:t>13)</w:t>
            </w:r>
            <w:r w:rsidRPr="00317ABF">
              <w:rPr>
                <w:rFonts w:ascii="Times New Roman" w:hAnsi="Times New Roman" w:cs="Times New Roman"/>
                <w:sz w:val="22"/>
                <w:szCs w:val="22"/>
              </w:rPr>
              <w:tab/>
              <w:t>w służbie radiodyfuzji naziemnej:</w:t>
            </w:r>
          </w:p>
          <w:p w14:paraId="37863661" w14:textId="77777777" w:rsidR="00FC327C" w:rsidRPr="00317ABF" w:rsidRDefault="00FC327C" w:rsidP="00FC327C">
            <w:pPr>
              <w:pStyle w:val="LITlitera"/>
              <w:spacing w:line="240" w:lineRule="auto"/>
              <w:rPr>
                <w:rFonts w:ascii="Times New Roman" w:hAnsi="Times New Roman" w:cs="Times New Roman"/>
                <w:sz w:val="22"/>
                <w:szCs w:val="22"/>
              </w:rPr>
            </w:pPr>
            <w:r w:rsidRPr="00317ABF">
              <w:rPr>
                <w:rFonts w:ascii="Times New Roman" w:hAnsi="Times New Roman" w:cs="Times New Roman"/>
                <w:sz w:val="22"/>
                <w:szCs w:val="22"/>
              </w:rPr>
              <w:lastRenderedPageBreak/>
              <w:t>a)</w:t>
            </w:r>
            <w:r w:rsidRPr="00317ABF">
              <w:rPr>
                <w:rFonts w:ascii="Times New Roman" w:hAnsi="Times New Roman" w:cs="Times New Roman"/>
                <w:sz w:val="22"/>
                <w:szCs w:val="22"/>
              </w:rPr>
              <w:tab/>
              <w:t>za prawo do dysponowania częstotliwościami o łącznej szerokości 1 kHz na obszarze jednej gminy lub mniejszym, w zakresie poniżej 300 kHz – 0,5 złotych,</w:t>
            </w:r>
          </w:p>
          <w:p w14:paraId="32E10B6B" w14:textId="77777777" w:rsidR="00FC327C" w:rsidRPr="00317ABF" w:rsidRDefault="00FC327C" w:rsidP="00FC327C">
            <w:pPr>
              <w:pStyle w:val="LITlitera"/>
              <w:spacing w:line="240" w:lineRule="auto"/>
              <w:rPr>
                <w:rFonts w:ascii="Times New Roman" w:hAnsi="Times New Roman" w:cs="Times New Roman"/>
                <w:sz w:val="22"/>
                <w:szCs w:val="22"/>
              </w:rPr>
            </w:pPr>
            <w:r w:rsidRPr="00317ABF">
              <w:rPr>
                <w:rFonts w:ascii="Times New Roman" w:hAnsi="Times New Roman" w:cs="Times New Roman"/>
                <w:sz w:val="22"/>
                <w:szCs w:val="22"/>
              </w:rPr>
              <w:t>b)</w:t>
            </w:r>
            <w:r w:rsidRPr="00317ABF">
              <w:rPr>
                <w:rFonts w:ascii="Times New Roman" w:hAnsi="Times New Roman" w:cs="Times New Roman"/>
                <w:sz w:val="22"/>
                <w:szCs w:val="22"/>
              </w:rPr>
              <w:tab/>
              <w:t>za prawo do dysponowania częstotliwościami o łącznej szerokości 1 kHz na obszarze jednej gminy lub mniejszym, w zakresie od 300 kHz do 3000 kHz – 110 złotych,</w:t>
            </w:r>
          </w:p>
          <w:p w14:paraId="7E7FDC16" w14:textId="77777777" w:rsidR="00FC327C" w:rsidRPr="00317ABF" w:rsidRDefault="00FC327C" w:rsidP="00FC327C">
            <w:pPr>
              <w:pStyle w:val="LITlitera"/>
              <w:spacing w:line="240" w:lineRule="auto"/>
              <w:rPr>
                <w:rFonts w:ascii="Times New Roman" w:hAnsi="Times New Roman" w:cs="Times New Roman"/>
                <w:sz w:val="22"/>
                <w:szCs w:val="22"/>
              </w:rPr>
            </w:pPr>
            <w:r w:rsidRPr="00317ABF">
              <w:rPr>
                <w:rFonts w:ascii="Times New Roman" w:hAnsi="Times New Roman" w:cs="Times New Roman"/>
                <w:sz w:val="22"/>
                <w:szCs w:val="22"/>
              </w:rPr>
              <w:t>c)</w:t>
            </w:r>
            <w:r w:rsidRPr="00317ABF">
              <w:rPr>
                <w:rFonts w:ascii="Times New Roman" w:hAnsi="Times New Roman" w:cs="Times New Roman"/>
                <w:sz w:val="22"/>
                <w:szCs w:val="22"/>
              </w:rPr>
              <w:tab/>
              <w:t>za prawo do dysponowania częstotliwościami o łącznej szerokości 1 kHz na obszarze jednej gminy lub mniejszym, w zakresie powyżej 3 MHz do 30 MHz – 400 złotych,</w:t>
            </w:r>
          </w:p>
          <w:p w14:paraId="0A2B3E7E" w14:textId="77777777" w:rsidR="00FC327C" w:rsidRPr="00317ABF" w:rsidRDefault="00FC327C" w:rsidP="00FC327C">
            <w:pPr>
              <w:pStyle w:val="LITlitera"/>
              <w:keepNext/>
              <w:spacing w:line="240" w:lineRule="auto"/>
              <w:rPr>
                <w:rFonts w:ascii="Times New Roman" w:hAnsi="Times New Roman" w:cs="Times New Roman"/>
                <w:sz w:val="22"/>
                <w:szCs w:val="22"/>
              </w:rPr>
            </w:pPr>
            <w:r w:rsidRPr="00317ABF">
              <w:rPr>
                <w:rFonts w:ascii="Times New Roman" w:hAnsi="Times New Roman" w:cs="Times New Roman"/>
                <w:sz w:val="22"/>
                <w:szCs w:val="22"/>
              </w:rPr>
              <w:t>d)</w:t>
            </w:r>
            <w:r w:rsidRPr="00317ABF">
              <w:rPr>
                <w:rFonts w:ascii="Times New Roman" w:hAnsi="Times New Roman" w:cs="Times New Roman"/>
                <w:sz w:val="22"/>
                <w:szCs w:val="22"/>
              </w:rPr>
              <w:tab/>
              <w:t>za prawo do dysponowania częstotliwościami o łącznej szerokości 1 kHz na obszarze jednej gminy lub mniejszym, w zakresie powyżej 30 MHz do 174 MHz:</w:t>
            </w:r>
          </w:p>
          <w:p w14:paraId="38091D0C" w14:textId="77777777" w:rsidR="00FC327C" w:rsidRPr="00317ABF" w:rsidRDefault="00FC327C" w:rsidP="00FC327C">
            <w:pPr>
              <w:pStyle w:val="TIRtiret"/>
              <w:spacing w:line="240" w:lineRule="auto"/>
              <w:rPr>
                <w:rFonts w:ascii="Times New Roman" w:hAnsi="Times New Roman" w:cs="Times New Roman"/>
                <w:sz w:val="22"/>
                <w:szCs w:val="22"/>
              </w:rPr>
            </w:pPr>
            <w:r w:rsidRPr="00317ABF">
              <w:rPr>
                <w:rFonts w:ascii="Times New Roman" w:hAnsi="Times New Roman" w:cs="Times New Roman"/>
                <w:sz w:val="22"/>
                <w:szCs w:val="22"/>
              </w:rPr>
              <w:t>–</w:t>
            </w:r>
            <w:r w:rsidRPr="00317ABF">
              <w:rPr>
                <w:rFonts w:ascii="Times New Roman" w:hAnsi="Times New Roman" w:cs="Times New Roman"/>
                <w:sz w:val="22"/>
                <w:szCs w:val="22"/>
              </w:rPr>
              <w:tab/>
              <w:t>w przypadku gminy wiejskiej – 2,25 złotych,</w:t>
            </w:r>
          </w:p>
          <w:p w14:paraId="50AC34D1" w14:textId="77777777" w:rsidR="00FC327C" w:rsidRPr="00317ABF" w:rsidRDefault="00FC327C" w:rsidP="00FC327C">
            <w:pPr>
              <w:pStyle w:val="TIRtiret"/>
              <w:spacing w:line="240" w:lineRule="auto"/>
              <w:rPr>
                <w:rFonts w:ascii="Times New Roman" w:hAnsi="Times New Roman" w:cs="Times New Roman"/>
                <w:sz w:val="22"/>
                <w:szCs w:val="22"/>
              </w:rPr>
            </w:pPr>
            <w:r w:rsidRPr="00317ABF">
              <w:rPr>
                <w:rFonts w:ascii="Times New Roman" w:hAnsi="Times New Roman" w:cs="Times New Roman"/>
                <w:sz w:val="22"/>
                <w:szCs w:val="22"/>
              </w:rPr>
              <w:t>–</w:t>
            </w:r>
            <w:r w:rsidRPr="00317ABF">
              <w:rPr>
                <w:rFonts w:ascii="Times New Roman" w:hAnsi="Times New Roman" w:cs="Times New Roman"/>
                <w:sz w:val="22"/>
                <w:szCs w:val="22"/>
              </w:rPr>
              <w:tab/>
              <w:t>w przypadku gminy miejsko-wiejskiej – 2,25 złotych,</w:t>
            </w:r>
          </w:p>
          <w:p w14:paraId="79731F7F" w14:textId="77777777" w:rsidR="00FC327C" w:rsidRPr="00317ABF" w:rsidRDefault="00FC327C" w:rsidP="00FC327C">
            <w:pPr>
              <w:pStyle w:val="TIRtiret"/>
              <w:spacing w:line="240" w:lineRule="auto"/>
              <w:rPr>
                <w:rFonts w:ascii="Times New Roman" w:hAnsi="Times New Roman" w:cs="Times New Roman"/>
                <w:sz w:val="22"/>
                <w:szCs w:val="22"/>
              </w:rPr>
            </w:pPr>
            <w:r w:rsidRPr="00317ABF">
              <w:rPr>
                <w:rFonts w:ascii="Times New Roman" w:hAnsi="Times New Roman" w:cs="Times New Roman"/>
                <w:sz w:val="22"/>
                <w:szCs w:val="22"/>
              </w:rPr>
              <w:t>–</w:t>
            </w:r>
            <w:r w:rsidRPr="00317ABF">
              <w:rPr>
                <w:rFonts w:ascii="Times New Roman" w:hAnsi="Times New Roman" w:cs="Times New Roman"/>
                <w:sz w:val="22"/>
                <w:szCs w:val="22"/>
              </w:rPr>
              <w:tab/>
              <w:t>w przypadku gminy miejskiej, z wyłączeniem miast na prawach powiatu – 6,5 złotych,</w:t>
            </w:r>
          </w:p>
          <w:p w14:paraId="508C48B7" w14:textId="77777777" w:rsidR="00FC327C" w:rsidRPr="00317ABF" w:rsidRDefault="00FC327C" w:rsidP="00FC327C">
            <w:pPr>
              <w:pStyle w:val="TIRtiret"/>
              <w:spacing w:line="240" w:lineRule="auto"/>
              <w:rPr>
                <w:rFonts w:ascii="Times New Roman" w:hAnsi="Times New Roman" w:cs="Times New Roman"/>
                <w:sz w:val="22"/>
                <w:szCs w:val="22"/>
              </w:rPr>
            </w:pPr>
            <w:r w:rsidRPr="00317ABF">
              <w:rPr>
                <w:rFonts w:ascii="Times New Roman" w:hAnsi="Times New Roman" w:cs="Times New Roman"/>
                <w:sz w:val="22"/>
                <w:szCs w:val="22"/>
              </w:rPr>
              <w:t>–</w:t>
            </w:r>
            <w:r w:rsidRPr="00317ABF">
              <w:rPr>
                <w:rFonts w:ascii="Times New Roman" w:hAnsi="Times New Roman" w:cs="Times New Roman"/>
                <w:sz w:val="22"/>
                <w:szCs w:val="22"/>
              </w:rPr>
              <w:tab/>
              <w:t>w przypadku miasta na prawach powiatu – 25 złotych,</w:t>
            </w:r>
          </w:p>
          <w:p w14:paraId="30CE7ECE" w14:textId="77777777" w:rsidR="00FC327C" w:rsidRPr="00317ABF" w:rsidRDefault="00FC327C" w:rsidP="00FC327C">
            <w:pPr>
              <w:pStyle w:val="LITlitera"/>
              <w:spacing w:line="240" w:lineRule="auto"/>
              <w:rPr>
                <w:rFonts w:ascii="Times New Roman" w:hAnsi="Times New Roman" w:cs="Times New Roman"/>
                <w:sz w:val="22"/>
                <w:szCs w:val="22"/>
              </w:rPr>
            </w:pPr>
            <w:r w:rsidRPr="00317ABF">
              <w:rPr>
                <w:rFonts w:ascii="Times New Roman" w:hAnsi="Times New Roman" w:cs="Times New Roman"/>
                <w:sz w:val="22"/>
                <w:szCs w:val="22"/>
              </w:rPr>
              <w:t>e)</w:t>
            </w:r>
            <w:r w:rsidRPr="00317ABF">
              <w:rPr>
                <w:rFonts w:ascii="Times New Roman" w:hAnsi="Times New Roman" w:cs="Times New Roman"/>
                <w:sz w:val="22"/>
                <w:szCs w:val="22"/>
              </w:rPr>
              <w:tab/>
              <w:t>za prawo do dysponowania jednym kanałem telewizyjnym przez jedną stację telewizyjną analogową w zakresie powyżej 174 MHz – 99 000 złotych,</w:t>
            </w:r>
          </w:p>
          <w:p w14:paraId="7CE37501" w14:textId="77777777" w:rsidR="00FC327C" w:rsidRPr="00317ABF" w:rsidRDefault="00FC327C" w:rsidP="00FC327C">
            <w:pPr>
              <w:pStyle w:val="LITlitera"/>
              <w:keepNext/>
              <w:spacing w:line="240" w:lineRule="auto"/>
              <w:rPr>
                <w:rFonts w:ascii="Times New Roman" w:hAnsi="Times New Roman" w:cs="Times New Roman"/>
                <w:sz w:val="22"/>
                <w:szCs w:val="22"/>
              </w:rPr>
            </w:pPr>
            <w:r w:rsidRPr="00317ABF">
              <w:rPr>
                <w:rFonts w:ascii="Times New Roman" w:hAnsi="Times New Roman" w:cs="Times New Roman"/>
                <w:sz w:val="22"/>
                <w:szCs w:val="22"/>
              </w:rPr>
              <w:t>f)</w:t>
            </w:r>
            <w:r w:rsidRPr="00317ABF">
              <w:rPr>
                <w:rFonts w:ascii="Times New Roman" w:hAnsi="Times New Roman" w:cs="Times New Roman"/>
                <w:sz w:val="22"/>
                <w:szCs w:val="22"/>
              </w:rPr>
              <w:tab/>
              <w:t>za prawo do dysponowania częstotliwościami o łącznej szerokości 1 MHz, wykorzystywanymi przez system cyfrowy na obszarze jednej gminy lub mniejszym, w zakresie powyżej 174 MHz do 862 MHz:</w:t>
            </w:r>
          </w:p>
          <w:p w14:paraId="3D0CB534" w14:textId="77777777" w:rsidR="00FC327C" w:rsidRPr="00317ABF" w:rsidRDefault="00FC327C" w:rsidP="00FC327C">
            <w:pPr>
              <w:pStyle w:val="TIRtiret"/>
              <w:spacing w:line="240" w:lineRule="auto"/>
              <w:rPr>
                <w:rFonts w:ascii="Times New Roman" w:hAnsi="Times New Roman" w:cs="Times New Roman"/>
                <w:sz w:val="22"/>
                <w:szCs w:val="22"/>
              </w:rPr>
            </w:pPr>
            <w:r w:rsidRPr="00317ABF">
              <w:rPr>
                <w:rFonts w:ascii="Times New Roman" w:hAnsi="Times New Roman" w:cs="Times New Roman"/>
                <w:sz w:val="22"/>
                <w:szCs w:val="22"/>
              </w:rPr>
              <w:t>–</w:t>
            </w:r>
            <w:r w:rsidRPr="00317ABF">
              <w:rPr>
                <w:rFonts w:ascii="Times New Roman" w:hAnsi="Times New Roman" w:cs="Times New Roman"/>
                <w:sz w:val="22"/>
                <w:szCs w:val="22"/>
              </w:rPr>
              <w:tab/>
              <w:t>w przypadku gminy wiejskiej – 345 złotych,</w:t>
            </w:r>
          </w:p>
          <w:p w14:paraId="2B905FE3" w14:textId="77777777" w:rsidR="00FC327C" w:rsidRPr="00317ABF" w:rsidRDefault="00FC327C" w:rsidP="00FC327C">
            <w:pPr>
              <w:pStyle w:val="TIRtiret"/>
              <w:spacing w:line="240" w:lineRule="auto"/>
              <w:rPr>
                <w:rFonts w:ascii="Times New Roman" w:hAnsi="Times New Roman" w:cs="Times New Roman"/>
                <w:sz w:val="22"/>
                <w:szCs w:val="22"/>
              </w:rPr>
            </w:pPr>
            <w:r w:rsidRPr="00317ABF">
              <w:rPr>
                <w:rFonts w:ascii="Times New Roman" w:hAnsi="Times New Roman" w:cs="Times New Roman"/>
                <w:sz w:val="22"/>
                <w:szCs w:val="22"/>
              </w:rPr>
              <w:t>–</w:t>
            </w:r>
            <w:r w:rsidRPr="00317ABF">
              <w:rPr>
                <w:rFonts w:ascii="Times New Roman" w:hAnsi="Times New Roman" w:cs="Times New Roman"/>
                <w:sz w:val="22"/>
                <w:szCs w:val="22"/>
              </w:rPr>
              <w:tab/>
              <w:t>w przypadku gminy miejsko-wiejskiej – 345 złotych,</w:t>
            </w:r>
          </w:p>
          <w:p w14:paraId="5CBB52B1" w14:textId="77777777" w:rsidR="00FC327C" w:rsidRPr="00317ABF" w:rsidRDefault="00FC327C" w:rsidP="00FC327C">
            <w:pPr>
              <w:pStyle w:val="TIRtiret"/>
              <w:spacing w:line="240" w:lineRule="auto"/>
              <w:rPr>
                <w:rFonts w:ascii="Times New Roman" w:hAnsi="Times New Roman" w:cs="Times New Roman"/>
                <w:sz w:val="22"/>
                <w:szCs w:val="22"/>
              </w:rPr>
            </w:pPr>
            <w:r w:rsidRPr="00317ABF">
              <w:rPr>
                <w:rFonts w:ascii="Times New Roman" w:hAnsi="Times New Roman" w:cs="Times New Roman"/>
                <w:sz w:val="22"/>
                <w:szCs w:val="22"/>
              </w:rPr>
              <w:t>–</w:t>
            </w:r>
            <w:r w:rsidRPr="00317ABF">
              <w:rPr>
                <w:rFonts w:ascii="Times New Roman" w:hAnsi="Times New Roman" w:cs="Times New Roman"/>
                <w:sz w:val="22"/>
                <w:szCs w:val="22"/>
              </w:rPr>
              <w:tab/>
              <w:t>w przypadku gminy miejskiej, z wyłączeniem miast na prawach powiatu – 990 złotych,</w:t>
            </w:r>
          </w:p>
          <w:p w14:paraId="1960383B" w14:textId="77777777" w:rsidR="00FC327C" w:rsidRPr="00317ABF" w:rsidRDefault="00FC327C" w:rsidP="00FC327C">
            <w:pPr>
              <w:pStyle w:val="TIRtiret"/>
              <w:spacing w:line="240" w:lineRule="auto"/>
              <w:rPr>
                <w:rFonts w:ascii="Times New Roman" w:hAnsi="Times New Roman" w:cs="Times New Roman"/>
                <w:sz w:val="22"/>
                <w:szCs w:val="22"/>
              </w:rPr>
            </w:pPr>
            <w:r w:rsidRPr="00317ABF">
              <w:rPr>
                <w:rFonts w:ascii="Times New Roman" w:hAnsi="Times New Roman" w:cs="Times New Roman"/>
                <w:sz w:val="22"/>
                <w:szCs w:val="22"/>
              </w:rPr>
              <w:t>–</w:t>
            </w:r>
            <w:r w:rsidRPr="00317ABF">
              <w:rPr>
                <w:rFonts w:ascii="Times New Roman" w:hAnsi="Times New Roman" w:cs="Times New Roman"/>
                <w:sz w:val="22"/>
                <w:szCs w:val="22"/>
              </w:rPr>
              <w:tab/>
              <w:t>w przypadku miasta na prawach powiatu – 5000 złotych,</w:t>
            </w:r>
          </w:p>
          <w:p w14:paraId="1B59E070" w14:textId="77777777" w:rsidR="00FC327C" w:rsidRPr="00317ABF" w:rsidRDefault="00FC327C" w:rsidP="00FC327C">
            <w:pPr>
              <w:pStyle w:val="LITlitera"/>
              <w:spacing w:line="240" w:lineRule="auto"/>
              <w:rPr>
                <w:rFonts w:ascii="Times New Roman" w:hAnsi="Times New Roman" w:cs="Times New Roman"/>
                <w:sz w:val="22"/>
                <w:szCs w:val="22"/>
              </w:rPr>
            </w:pPr>
            <w:r w:rsidRPr="00317ABF">
              <w:rPr>
                <w:rFonts w:ascii="Times New Roman" w:hAnsi="Times New Roman" w:cs="Times New Roman"/>
                <w:sz w:val="22"/>
                <w:szCs w:val="22"/>
              </w:rPr>
              <w:t>g)</w:t>
            </w:r>
            <w:r w:rsidRPr="00317ABF">
              <w:rPr>
                <w:rFonts w:ascii="Times New Roman" w:hAnsi="Times New Roman" w:cs="Times New Roman"/>
                <w:sz w:val="22"/>
                <w:szCs w:val="22"/>
              </w:rPr>
              <w:tab/>
              <w:t>za prawo do dysponowania częstotliwościami o łącznej szerokości 1 MHz, wykorzystywanymi przez system cyfrowy na obszarze jednej gminy lub mniejszym, w zakresie powyżej 862 MHz – 500 złotych;</w:t>
            </w:r>
          </w:p>
          <w:p w14:paraId="6203FA95" w14:textId="77777777" w:rsidR="00FC327C" w:rsidRPr="00317ABF" w:rsidRDefault="00FC327C" w:rsidP="00FC327C">
            <w:pPr>
              <w:pStyle w:val="PKTpunkt0"/>
              <w:keepNext/>
              <w:spacing w:line="240" w:lineRule="auto"/>
              <w:rPr>
                <w:rFonts w:ascii="Times New Roman" w:hAnsi="Times New Roman" w:cs="Times New Roman"/>
                <w:sz w:val="22"/>
                <w:szCs w:val="22"/>
              </w:rPr>
            </w:pPr>
            <w:r w:rsidRPr="00317ABF">
              <w:rPr>
                <w:rFonts w:ascii="Times New Roman" w:hAnsi="Times New Roman" w:cs="Times New Roman"/>
                <w:sz w:val="22"/>
                <w:szCs w:val="22"/>
              </w:rPr>
              <w:t>14)</w:t>
            </w:r>
            <w:r w:rsidRPr="00317ABF">
              <w:rPr>
                <w:rFonts w:ascii="Times New Roman" w:hAnsi="Times New Roman" w:cs="Times New Roman"/>
                <w:sz w:val="22"/>
                <w:szCs w:val="22"/>
              </w:rPr>
              <w:tab/>
              <w:t>w służbie stałej:</w:t>
            </w:r>
          </w:p>
          <w:p w14:paraId="4DB1146C" w14:textId="77777777" w:rsidR="00FC327C" w:rsidRPr="00317ABF" w:rsidRDefault="00FC327C" w:rsidP="00FC327C">
            <w:pPr>
              <w:pStyle w:val="LITlitera"/>
              <w:spacing w:line="240" w:lineRule="auto"/>
              <w:rPr>
                <w:rFonts w:ascii="Times New Roman" w:hAnsi="Times New Roman" w:cs="Times New Roman"/>
                <w:sz w:val="22"/>
                <w:szCs w:val="22"/>
              </w:rPr>
            </w:pPr>
            <w:r w:rsidRPr="00317ABF">
              <w:rPr>
                <w:rFonts w:ascii="Times New Roman" w:hAnsi="Times New Roman" w:cs="Times New Roman"/>
                <w:sz w:val="22"/>
                <w:szCs w:val="22"/>
              </w:rPr>
              <w:t>a)</w:t>
            </w:r>
            <w:r w:rsidRPr="00317ABF">
              <w:rPr>
                <w:rFonts w:ascii="Times New Roman" w:hAnsi="Times New Roman" w:cs="Times New Roman"/>
                <w:sz w:val="22"/>
                <w:szCs w:val="22"/>
              </w:rPr>
              <w:tab/>
              <w:t>za prawo do dysponowania częstotliwościami o łącznej szerokości 1 kHz na obszarze jednej gminy lub mniejszym, w zakresie do 470 MHz – 100 złotych,</w:t>
            </w:r>
          </w:p>
          <w:p w14:paraId="1D695B76" w14:textId="77777777" w:rsidR="00FC327C" w:rsidRPr="00317ABF" w:rsidRDefault="00FC327C" w:rsidP="00FC327C">
            <w:pPr>
              <w:pStyle w:val="LITlitera"/>
              <w:spacing w:line="240" w:lineRule="auto"/>
              <w:rPr>
                <w:rFonts w:ascii="Times New Roman" w:hAnsi="Times New Roman" w:cs="Times New Roman"/>
                <w:sz w:val="22"/>
                <w:szCs w:val="22"/>
              </w:rPr>
            </w:pPr>
            <w:r w:rsidRPr="00317ABF">
              <w:rPr>
                <w:rFonts w:ascii="Times New Roman" w:hAnsi="Times New Roman" w:cs="Times New Roman"/>
                <w:sz w:val="22"/>
                <w:szCs w:val="22"/>
              </w:rPr>
              <w:lastRenderedPageBreak/>
              <w:t>b)</w:t>
            </w:r>
            <w:r w:rsidRPr="00317ABF">
              <w:rPr>
                <w:rFonts w:ascii="Times New Roman" w:hAnsi="Times New Roman" w:cs="Times New Roman"/>
                <w:sz w:val="22"/>
                <w:szCs w:val="22"/>
              </w:rPr>
              <w:tab/>
              <w:t>za prawo do dysponowania częstotliwościami o łącznej szerokości 1 kHz na obszarze jednej gminy lub mniejszym, w zakresie powyżej 470 MHz do 3400 MHz – 10 złotych,</w:t>
            </w:r>
          </w:p>
          <w:p w14:paraId="6DE68ABE" w14:textId="77777777" w:rsidR="00FC327C" w:rsidRPr="00317ABF" w:rsidRDefault="00FC327C" w:rsidP="00FC327C">
            <w:pPr>
              <w:pStyle w:val="LITlitera"/>
              <w:spacing w:line="240" w:lineRule="auto"/>
              <w:rPr>
                <w:rFonts w:ascii="Times New Roman" w:hAnsi="Times New Roman" w:cs="Times New Roman"/>
                <w:sz w:val="22"/>
                <w:szCs w:val="22"/>
              </w:rPr>
            </w:pPr>
            <w:r w:rsidRPr="00317ABF">
              <w:rPr>
                <w:rFonts w:ascii="Times New Roman" w:hAnsi="Times New Roman" w:cs="Times New Roman"/>
                <w:sz w:val="22"/>
                <w:szCs w:val="22"/>
              </w:rPr>
              <w:t>c)</w:t>
            </w:r>
            <w:r w:rsidRPr="00317ABF">
              <w:rPr>
                <w:rFonts w:ascii="Times New Roman" w:hAnsi="Times New Roman" w:cs="Times New Roman"/>
                <w:sz w:val="22"/>
                <w:szCs w:val="22"/>
              </w:rPr>
              <w:tab/>
              <w:t>za prawo do dysponowania częstotliwościami o łącznej szerokości 1 MHz na obszarze jednej gminy lub mniejszym, w zakresie powyżej 3400 MHz – 500 złotych,</w:t>
            </w:r>
          </w:p>
          <w:p w14:paraId="406582CD" w14:textId="77777777" w:rsidR="00FC327C" w:rsidRPr="00317ABF" w:rsidRDefault="00FC327C" w:rsidP="00FC327C">
            <w:pPr>
              <w:pStyle w:val="LITlitera"/>
              <w:spacing w:line="240" w:lineRule="auto"/>
              <w:rPr>
                <w:rFonts w:ascii="Times New Roman" w:hAnsi="Times New Roman" w:cs="Times New Roman"/>
                <w:sz w:val="22"/>
                <w:szCs w:val="22"/>
              </w:rPr>
            </w:pPr>
            <w:r w:rsidRPr="00317ABF">
              <w:rPr>
                <w:rFonts w:ascii="Times New Roman" w:hAnsi="Times New Roman" w:cs="Times New Roman"/>
                <w:sz w:val="22"/>
                <w:szCs w:val="22"/>
              </w:rPr>
              <w:t>d)</w:t>
            </w:r>
            <w:r w:rsidRPr="00317ABF">
              <w:rPr>
                <w:rFonts w:ascii="Times New Roman" w:hAnsi="Times New Roman" w:cs="Times New Roman"/>
                <w:sz w:val="22"/>
                <w:szCs w:val="22"/>
              </w:rPr>
              <w:tab/>
              <w:t>za prawo do dysponowania częstotliwościami o łącznej szerokości 1 kHz, w zakresie częstotliwości poniżej 30 MHz – 2000 złotych,</w:t>
            </w:r>
          </w:p>
          <w:p w14:paraId="1157BBFB" w14:textId="77777777" w:rsidR="00FC327C" w:rsidRPr="00317ABF" w:rsidRDefault="00FC327C" w:rsidP="00FC327C">
            <w:pPr>
              <w:pStyle w:val="LITlitera"/>
              <w:spacing w:line="240" w:lineRule="auto"/>
              <w:rPr>
                <w:rFonts w:ascii="Times New Roman" w:hAnsi="Times New Roman" w:cs="Times New Roman"/>
                <w:sz w:val="22"/>
                <w:szCs w:val="22"/>
              </w:rPr>
            </w:pPr>
            <w:r w:rsidRPr="00317ABF">
              <w:rPr>
                <w:rFonts w:ascii="Times New Roman" w:hAnsi="Times New Roman" w:cs="Times New Roman"/>
                <w:sz w:val="22"/>
                <w:szCs w:val="22"/>
              </w:rPr>
              <w:t>e)</w:t>
            </w:r>
            <w:r w:rsidRPr="00317ABF">
              <w:rPr>
                <w:rFonts w:ascii="Times New Roman" w:hAnsi="Times New Roman" w:cs="Times New Roman"/>
                <w:sz w:val="22"/>
                <w:szCs w:val="22"/>
              </w:rPr>
              <w:tab/>
              <w:t>za prawo do dysponowania częstotliwościami o łącznej szerokości 1 kHz, w jednym przęśle linii radiowej w zakresie od 30 MHz do 1 GHz – 5 złotych,</w:t>
            </w:r>
          </w:p>
          <w:p w14:paraId="6DD346ED" w14:textId="77777777" w:rsidR="00FC327C" w:rsidRPr="00317ABF" w:rsidRDefault="00FC327C" w:rsidP="00FC327C">
            <w:pPr>
              <w:pStyle w:val="LITlitera"/>
              <w:spacing w:line="240" w:lineRule="auto"/>
              <w:rPr>
                <w:rFonts w:ascii="Times New Roman" w:hAnsi="Times New Roman" w:cs="Times New Roman"/>
                <w:sz w:val="22"/>
                <w:szCs w:val="22"/>
              </w:rPr>
            </w:pPr>
            <w:r w:rsidRPr="00317ABF">
              <w:rPr>
                <w:rFonts w:ascii="Times New Roman" w:hAnsi="Times New Roman" w:cs="Times New Roman"/>
                <w:sz w:val="22"/>
                <w:szCs w:val="22"/>
              </w:rPr>
              <w:t>f)</w:t>
            </w:r>
            <w:r w:rsidRPr="00317ABF">
              <w:rPr>
                <w:rFonts w:ascii="Times New Roman" w:hAnsi="Times New Roman" w:cs="Times New Roman"/>
                <w:sz w:val="22"/>
                <w:szCs w:val="22"/>
              </w:rPr>
              <w:tab/>
              <w:t>za prawo do dysponowania częstotliwościami o łącznej szerokości 1 MHz, w jednym przęśle linii radiowej, w zakresie powyżej 1 GHz do 11,7 GHz – 5000 złotych,</w:t>
            </w:r>
          </w:p>
          <w:p w14:paraId="5D54DB85" w14:textId="77777777" w:rsidR="00FC327C" w:rsidRPr="00317ABF" w:rsidRDefault="00FC327C" w:rsidP="00FC327C">
            <w:pPr>
              <w:pStyle w:val="LITlitera"/>
              <w:spacing w:line="240" w:lineRule="auto"/>
              <w:rPr>
                <w:rFonts w:ascii="Times New Roman" w:hAnsi="Times New Roman" w:cs="Times New Roman"/>
                <w:sz w:val="22"/>
                <w:szCs w:val="22"/>
              </w:rPr>
            </w:pPr>
            <w:r w:rsidRPr="00317ABF">
              <w:rPr>
                <w:rFonts w:ascii="Times New Roman" w:hAnsi="Times New Roman" w:cs="Times New Roman"/>
                <w:sz w:val="22"/>
                <w:szCs w:val="22"/>
              </w:rPr>
              <w:t>g)</w:t>
            </w:r>
            <w:r w:rsidRPr="00317ABF">
              <w:rPr>
                <w:rFonts w:ascii="Times New Roman" w:hAnsi="Times New Roman" w:cs="Times New Roman"/>
                <w:sz w:val="22"/>
                <w:szCs w:val="22"/>
              </w:rPr>
              <w:tab/>
              <w:t>za prawo do dysponowania częstotliwościami o łącznej szerokości 1 MHz, w jednym przęśle linii radiowej, w zakresie powyżej 11,7 GHz – 2000 złotych;</w:t>
            </w:r>
          </w:p>
          <w:p w14:paraId="1B766D09" w14:textId="77777777" w:rsidR="00FC327C" w:rsidRPr="00317ABF" w:rsidRDefault="00FC327C" w:rsidP="00FC327C">
            <w:pPr>
              <w:pStyle w:val="PKTpunkt0"/>
              <w:keepNext/>
              <w:spacing w:line="240" w:lineRule="auto"/>
              <w:rPr>
                <w:rFonts w:ascii="Times New Roman" w:hAnsi="Times New Roman" w:cs="Times New Roman"/>
                <w:sz w:val="22"/>
                <w:szCs w:val="22"/>
              </w:rPr>
            </w:pPr>
            <w:r w:rsidRPr="00317ABF">
              <w:rPr>
                <w:rFonts w:ascii="Times New Roman" w:hAnsi="Times New Roman" w:cs="Times New Roman"/>
                <w:sz w:val="22"/>
                <w:szCs w:val="22"/>
              </w:rPr>
              <w:t>15)</w:t>
            </w:r>
            <w:r w:rsidRPr="00317ABF">
              <w:rPr>
                <w:rFonts w:ascii="Times New Roman" w:hAnsi="Times New Roman" w:cs="Times New Roman"/>
                <w:sz w:val="22"/>
                <w:szCs w:val="22"/>
              </w:rPr>
              <w:tab/>
              <w:t>w służbie ruchomej lądowej:</w:t>
            </w:r>
          </w:p>
          <w:p w14:paraId="2941C571" w14:textId="77777777" w:rsidR="00FC327C" w:rsidRPr="00317ABF" w:rsidRDefault="00FC327C" w:rsidP="00FC327C">
            <w:pPr>
              <w:pStyle w:val="LITlitera"/>
              <w:spacing w:line="240" w:lineRule="auto"/>
              <w:rPr>
                <w:rFonts w:ascii="Times New Roman" w:hAnsi="Times New Roman" w:cs="Times New Roman"/>
                <w:sz w:val="22"/>
                <w:szCs w:val="22"/>
              </w:rPr>
            </w:pPr>
            <w:r w:rsidRPr="00317ABF">
              <w:rPr>
                <w:rFonts w:ascii="Times New Roman" w:hAnsi="Times New Roman" w:cs="Times New Roman"/>
                <w:sz w:val="22"/>
                <w:szCs w:val="22"/>
              </w:rPr>
              <w:t>a)</w:t>
            </w:r>
            <w:r w:rsidRPr="00317ABF">
              <w:rPr>
                <w:rFonts w:ascii="Times New Roman" w:hAnsi="Times New Roman" w:cs="Times New Roman"/>
                <w:sz w:val="22"/>
                <w:szCs w:val="22"/>
              </w:rPr>
              <w:tab/>
              <w:t>za prawo do dysponowania częstotliwościami o łącznej szerokości 1 kHz na obszarze jednej gminy lub mniejszym, w zakresie do 470 MHz wykorzystywanymi przez urządzenia radiowe wykorzystujące kanały radiowe o szerokości poniżej 200 kHz – 100 złotych,</w:t>
            </w:r>
          </w:p>
          <w:p w14:paraId="5B404B5A" w14:textId="77777777" w:rsidR="00FC327C" w:rsidRPr="00317ABF" w:rsidRDefault="00FC327C" w:rsidP="00FC327C">
            <w:pPr>
              <w:pStyle w:val="LITlitera"/>
              <w:spacing w:line="240" w:lineRule="auto"/>
              <w:rPr>
                <w:rFonts w:ascii="Times New Roman" w:hAnsi="Times New Roman" w:cs="Times New Roman"/>
                <w:sz w:val="22"/>
                <w:szCs w:val="22"/>
              </w:rPr>
            </w:pPr>
            <w:r w:rsidRPr="00317ABF">
              <w:rPr>
                <w:rFonts w:ascii="Times New Roman" w:hAnsi="Times New Roman" w:cs="Times New Roman"/>
                <w:sz w:val="22"/>
                <w:szCs w:val="22"/>
              </w:rPr>
              <w:t>b)</w:t>
            </w:r>
            <w:r w:rsidRPr="00317ABF">
              <w:rPr>
                <w:rFonts w:ascii="Times New Roman" w:hAnsi="Times New Roman" w:cs="Times New Roman"/>
                <w:sz w:val="22"/>
                <w:szCs w:val="22"/>
              </w:rPr>
              <w:tab/>
              <w:t>za prawo do dysponowania częstotliwościami o łącznej szerokości 1 MHz na obszarze jednej gminy lub mniejszym, w zakresie do 470 MHz, wykorzystywanymi przez urządzenia radiowe wykorzystujące kanały radiowe o szerokości 200 kHz i większej – 400 złotych,</w:t>
            </w:r>
          </w:p>
          <w:p w14:paraId="4C97AA97" w14:textId="77777777" w:rsidR="00FC327C" w:rsidRPr="00317ABF" w:rsidRDefault="00FC327C" w:rsidP="00FC327C">
            <w:pPr>
              <w:pStyle w:val="LITlitera"/>
              <w:spacing w:line="240" w:lineRule="auto"/>
              <w:rPr>
                <w:rFonts w:ascii="Times New Roman" w:hAnsi="Times New Roman" w:cs="Times New Roman"/>
                <w:sz w:val="22"/>
                <w:szCs w:val="22"/>
              </w:rPr>
            </w:pPr>
            <w:r w:rsidRPr="00317ABF">
              <w:rPr>
                <w:rFonts w:ascii="Times New Roman" w:hAnsi="Times New Roman" w:cs="Times New Roman"/>
                <w:sz w:val="22"/>
                <w:szCs w:val="22"/>
              </w:rPr>
              <w:t>c)</w:t>
            </w:r>
            <w:r w:rsidRPr="00317ABF">
              <w:rPr>
                <w:rFonts w:ascii="Times New Roman" w:hAnsi="Times New Roman" w:cs="Times New Roman"/>
                <w:sz w:val="22"/>
                <w:szCs w:val="22"/>
              </w:rPr>
              <w:tab/>
              <w:t>za prawo do dysponowania częstotliwościami o łącznej szerokości 1 kHz na obszarze jednej gminy lub mniejszym, w zakresie powyżej 470 MHz do 3400 MHz wykorzystywanymi przez urządzenia radiowe wykorzystujące kanały radiowe o szerokości poniżej 200 kHz – 10 złotych,</w:t>
            </w:r>
          </w:p>
          <w:p w14:paraId="71783619" w14:textId="77777777" w:rsidR="00FC327C" w:rsidRPr="00317ABF" w:rsidRDefault="00FC327C" w:rsidP="00FC327C">
            <w:pPr>
              <w:pStyle w:val="LITlitera"/>
              <w:spacing w:line="240" w:lineRule="auto"/>
              <w:rPr>
                <w:rFonts w:ascii="Times New Roman" w:hAnsi="Times New Roman" w:cs="Times New Roman"/>
                <w:sz w:val="22"/>
                <w:szCs w:val="22"/>
              </w:rPr>
            </w:pPr>
            <w:r w:rsidRPr="00317ABF">
              <w:rPr>
                <w:rFonts w:ascii="Times New Roman" w:hAnsi="Times New Roman" w:cs="Times New Roman"/>
                <w:sz w:val="22"/>
                <w:szCs w:val="22"/>
              </w:rPr>
              <w:t>d)</w:t>
            </w:r>
            <w:r w:rsidRPr="00317ABF">
              <w:rPr>
                <w:rFonts w:ascii="Times New Roman" w:hAnsi="Times New Roman" w:cs="Times New Roman"/>
                <w:sz w:val="22"/>
                <w:szCs w:val="22"/>
              </w:rPr>
              <w:tab/>
              <w:t>za prawo do dysponowania częstotliwościami o łącznej szerokości 1 MHz na obszarze jednej gminy lub mniejszym, w zakresie powyżej 470 MHz do 3400 MHz, wykorzystywanymi przez urządzenia radiowe wykorzystujące kanały radiowe o szerokości 200 kHz i większej – 400 złotych,</w:t>
            </w:r>
          </w:p>
          <w:p w14:paraId="0E6812D1" w14:textId="77777777" w:rsidR="001E1112" w:rsidRPr="00317ABF" w:rsidRDefault="001E1112" w:rsidP="00FC327C">
            <w:pPr>
              <w:pStyle w:val="LITlitera"/>
              <w:spacing w:line="240" w:lineRule="auto"/>
              <w:rPr>
                <w:rFonts w:ascii="Times New Roman" w:hAnsi="Times New Roman" w:cs="Times New Roman"/>
                <w:sz w:val="22"/>
                <w:szCs w:val="22"/>
              </w:rPr>
            </w:pPr>
            <w:r w:rsidRPr="00317ABF">
              <w:rPr>
                <w:rFonts w:ascii="Times New Roman" w:eastAsia="Times" w:hAnsi="Times New Roman" w:cs="Times New Roman"/>
                <w:sz w:val="22"/>
                <w:szCs w:val="22"/>
              </w:rPr>
              <w:lastRenderedPageBreak/>
              <w:t>e)</w:t>
            </w:r>
            <w:r w:rsidR="00FC327C" w:rsidRPr="00317ABF">
              <w:rPr>
                <w:rFonts w:ascii="Times New Roman" w:hAnsi="Times New Roman" w:cs="Times New Roman"/>
                <w:sz w:val="22"/>
                <w:szCs w:val="22"/>
              </w:rPr>
              <w:tab/>
            </w:r>
            <w:r w:rsidRPr="00317ABF">
              <w:rPr>
                <w:rFonts w:ascii="Times New Roman" w:eastAsia="Times" w:hAnsi="Times New Roman" w:cs="Times New Roman"/>
                <w:sz w:val="22"/>
                <w:szCs w:val="22"/>
              </w:rPr>
              <w:t>za prawo do dysponowania częstotliwościami o łącznej szerokości 1 MHz na obszarze jednej gminy lub mniejszym, w zakresie powyżej 3400 MHz – 500 złotych.</w:t>
            </w:r>
          </w:p>
          <w:p w14:paraId="2C79EC62" w14:textId="4A5FC3C9" w:rsidR="001E1112" w:rsidRPr="00317ABF" w:rsidRDefault="001E1112" w:rsidP="00FC327C">
            <w:pPr>
              <w:pStyle w:val="USTustnpkodeksu"/>
              <w:keepNext/>
              <w:spacing w:line="240" w:lineRule="auto"/>
              <w:rPr>
                <w:rFonts w:ascii="Times New Roman" w:hAnsi="Times New Roman" w:cs="Times New Roman"/>
                <w:sz w:val="22"/>
                <w:szCs w:val="22"/>
              </w:rPr>
            </w:pPr>
            <w:r w:rsidRPr="00317ABF">
              <w:rPr>
                <w:rFonts w:ascii="Times New Roman" w:eastAsia="Times" w:hAnsi="Times New Roman" w:cs="Times New Roman"/>
                <w:sz w:val="22"/>
                <w:szCs w:val="22"/>
              </w:rPr>
              <w:t>11. Limity opłat, o których mowa w ust. 10, obniża się do 50% w przypadku wykorzystywania częstotliwości wyłącznie do:</w:t>
            </w:r>
          </w:p>
          <w:p w14:paraId="3971A8FA" w14:textId="77777777" w:rsidR="00FC327C" w:rsidRPr="00317ABF" w:rsidRDefault="00FC327C" w:rsidP="00FC327C">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1)</w:t>
            </w:r>
            <w:r w:rsidRPr="00317ABF">
              <w:rPr>
                <w:rFonts w:ascii="Times New Roman" w:hAnsi="Times New Roman" w:cs="Times New Roman"/>
                <w:sz w:val="22"/>
                <w:szCs w:val="22"/>
              </w:rPr>
              <w:tab/>
              <w:t>świadczenia doraźnej pomocy przy ratowaniu życia i zdrowia ludzkiego przez jednostki służby zdrowia oraz jednostki ratownictwa górskiego, wodnego i górniczego;</w:t>
            </w:r>
          </w:p>
          <w:p w14:paraId="586C4554" w14:textId="77777777" w:rsidR="00FC327C" w:rsidRPr="00317ABF" w:rsidRDefault="00FC327C" w:rsidP="00FC327C">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2)</w:t>
            </w:r>
            <w:r w:rsidRPr="00317ABF">
              <w:rPr>
                <w:rFonts w:ascii="Times New Roman" w:hAnsi="Times New Roman" w:cs="Times New Roman"/>
                <w:sz w:val="22"/>
                <w:szCs w:val="22"/>
              </w:rPr>
              <w:tab/>
              <w:t>prowadzenia akcji przez jednostki organizacyjne, których statutowym obowiązkiem jest planowanie, prowadzenie i uczestnictwo w akcjach zapobiegania i łagodzenia skutków klęsk żywiołowych i katastrof;</w:t>
            </w:r>
          </w:p>
          <w:p w14:paraId="4CAC7E6F" w14:textId="77777777" w:rsidR="00FC327C" w:rsidRPr="00317ABF" w:rsidRDefault="00FC327C" w:rsidP="00FC327C">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3)</w:t>
            </w:r>
            <w:r w:rsidRPr="00317ABF">
              <w:rPr>
                <w:rFonts w:ascii="Times New Roman" w:hAnsi="Times New Roman" w:cs="Times New Roman"/>
                <w:sz w:val="22"/>
                <w:szCs w:val="22"/>
              </w:rPr>
              <w:tab/>
              <w:t>systemów radiokomunikacji wykorzystywanych w służbie morskiej i w żegludze śródlądowej przez administrację morską i administrację śródlądową oraz Morską Służbę Poszukiwania i Ratownictwa w zakresie bezpieczeństwa żeglugi i ochrony brzegów;</w:t>
            </w:r>
          </w:p>
          <w:p w14:paraId="107B36C7" w14:textId="77777777" w:rsidR="00FC327C" w:rsidRPr="00317ABF" w:rsidRDefault="00FC327C" w:rsidP="00FC327C">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4)</w:t>
            </w:r>
            <w:r w:rsidRPr="00317ABF">
              <w:rPr>
                <w:rFonts w:ascii="Times New Roman" w:hAnsi="Times New Roman" w:cs="Times New Roman"/>
                <w:sz w:val="22"/>
                <w:szCs w:val="22"/>
              </w:rPr>
              <w:tab/>
              <w:t>wykonywania zadań z zakresu łączności kolejowej w ramach Europejskiego Systemu Zarządzania Ruchem Kolejowym (ERTMS);</w:t>
            </w:r>
          </w:p>
          <w:p w14:paraId="61F12A96" w14:textId="77777777" w:rsidR="00FC327C" w:rsidRPr="00317ABF" w:rsidRDefault="00FC327C" w:rsidP="00FC327C">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5)</w:t>
            </w:r>
            <w:r w:rsidRPr="00317ABF">
              <w:rPr>
                <w:rFonts w:ascii="Times New Roman" w:hAnsi="Times New Roman" w:cs="Times New Roman"/>
                <w:sz w:val="22"/>
                <w:szCs w:val="22"/>
              </w:rPr>
              <w:tab/>
              <w:t>rozpowszechniania lub rozprowadzania programów radiofonicznych lub telewizyjnych niezawierających przekazów handlowych;</w:t>
            </w:r>
          </w:p>
          <w:p w14:paraId="44A2CA0B" w14:textId="77777777" w:rsidR="001E1112" w:rsidRPr="00317ABF" w:rsidRDefault="001E1112" w:rsidP="00FC327C">
            <w:pPr>
              <w:pStyle w:val="PKTpunkt0"/>
              <w:spacing w:line="240" w:lineRule="auto"/>
              <w:rPr>
                <w:rFonts w:ascii="Times New Roman" w:hAnsi="Times New Roman" w:cs="Times New Roman"/>
                <w:sz w:val="22"/>
                <w:szCs w:val="22"/>
              </w:rPr>
            </w:pPr>
            <w:r w:rsidRPr="00317ABF">
              <w:rPr>
                <w:rFonts w:ascii="Times New Roman" w:eastAsia="Times" w:hAnsi="Times New Roman" w:cs="Times New Roman"/>
                <w:sz w:val="22"/>
                <w:szCs w:val="22"/>
              </w:rPr>
              <w:t>6)</w:t>
            </w:r>
            <w:r w:rsidR="00FC327C" w:rsidRPr="00317ABF">
              <w:rPr>
                <w:rFonts w:ascii="Times New Roman" w:hAnsi="Times New Roman" w:cs="Times New Roman"/>
                <w:sz w:val="22"/>
                <w:szCs w:val="22"/>
              </w:rPr>
              <w:tab/>
            </w:r>
            <w:r w:rsidRPr="00317ABF">
              <w:rPr>
                <w:rFonts w:ascii="Times New Roman" w:eastAsia="Times" w:hAnsi="Times New Roman" w:cs="Times New Roman"/>
                <w:sz w:val="22"/>
                <w:szCs w:val="22"/>
              </w:rPr>
              <w:t xml:space="preserve">wykonywania zadań, o których mowa w art. </w:t>
            </w:r>
            <w:r w:rsidR="00FC327C" w:rsidRPr="00317ABF">
              <w:rPr>
                <w:rFonts w:ascii="Times New Roman" w:hAnsi="Times New Roman" w:cs="Times New Roman"/>
                <w:sz w:val="22"/>
                <w:szCs w:val="22"/>
              </w:rPr>
              <w:t>67</w:t>
            </w:r>
            <w:r w:rsidRPr="00317ABF">
              <w:rPr>
                <w:rFonts w:ascii="Times New Roman" w:eastAsia="Times" w:hAnsi="Times New Roman" w:cs="Times New Roman"/>
                <w:sz w:val="22"/>
                <w:szCs w:val="22"/>
              </w:rPr>
              <w:t xml:space="preserve">, przez podmioty, o których mowa w art. </w:t>
            </w:r>
            <w:r w:rsidR="00FC327C" w:rsidRPr="00317ABF">
              <w:rPr>
                <w:rFonts w:ascii="Times New Roman" w:hAnsi="Times New Roman" w:cs="Times New Roman"/>
                <w:sz w:val="22"/>
                <w:szCs w:val="22"/>
              </w:rPr>
              <w:t>67</w:t>
            </w:r>
            <w:r w:rsidRPr="00317ABF">
              <w:rPr>
                <w:rFonts w:ascii="Times New Roman" w:eastAsia="Times" w:hAnsi="Times New Roman" w:cs="Times New Roman"/>
                <w:sz w:val="22"/>
                <w:szCs w:val="22"/>
              </w:rPr>
              <w:t xml:space="preserve"> ust. 2.</w:t>
            </w:r>
          </w:p>
          <w:p w14:paraId="0BC9EE5D" w14:textId="71E7F094" w:rsidR="001E1112" w:rsidRPr="00317ABF" w:rsidRDefault="001E1112" w:rsidP="00FC327C">
            <w:pPr>
              <w:pStyle w:val="USTustnpkodeksu"/>
              <w:keepNext/>
              <w:spacing w:line="240" w:lineRule="auto"/>
              <w:rPr>
                <w:rFonts w:ascii="Times New Roman" w:hAnsi="Times New Roman" w:cs="Times New Roman"/>
                <w:sz w:val="22"/>
                <w:szCs w:val="22"/>
              </w:rPr>
            </w:pPr>
            <w:r w:rsidRPr="00317ABF">
              <w:rPr>
                <w:rFonts w:ascii="Times New Roman" w:eastAsia="Times" w:hAnsi="Times New Roman" w:cs="Times New Roman"/>
                <w:sz w:val="22"/>
                <w:szCs w:val="22"/>
              </w:rPr>
              <w:t>12. Nie pobiera się opłat za prawo do dysponowania częstotliwością:</w:t>
            </w:r>
          </w:p>
          <w:p w14:paraId="075458E7" w14:textId="77777777" w:rsidR="00FC327C" w:rsidRPr="00317ABF" w:rsidRDefault="00FC327C" w:rsidP="00FC327C">
            <w:pPr>
              <w:pStyle w:val="PKTpunkt0"/>
              <w:keepNext/>
              <w:spacing w:line="240" w:lineRule="auto"/>
              <w:rPr>
                <w:rFonts w:ascii="Times New Roman" w:hAnsi="Times New Roman" w:cs="Times New Roman"/>
                <w:sz w:val="22"/>
                <w:szCs w:val="22"/>
              </w:rPr>
            </w:pPr>
            <w:r w:rsidRPr="00317ABF">
              <w:rPr>
                <w:rFonts w:ascii="Times New Roman" w:hAnsi="Times New Roman" w:cs="Times New Roman"/>
                <w:sz w:val="22"/>
                <w:szCs w:val="22"/>
              </w:rPr>
              <w:t>1)</w:t>
            </w:r>
            <w:r w:rsidRPr="00317ABF">
              <w:rPr>
                <w:rFonts w:ascii="Times New Roman" w:hAnsi="Times New Roman" w:cs="Times New Roman"/>
                <w:sz w:val="22"/>
                <w:szCs w:val="22"/>
              </w:rPr>
              <w:tab/>
              <w:t>w służbie radiokomunikacyjnej morskiej i żeglugi śródlądowej:</w:t>
            </w:r>
          </w:p>
          <w:p w14:paraId="49E3542F" w14:textId="77777777" w:rsidR="00FC327C" w:rsidRPr="00317ABF" w:rsidRDefault="00FC327C" w:rsidP="00FC327C">
            <w:pPr>
              <w:pStyle w:val="LITlitera"/>
              <w:keepNext/>
              <w:spacing w:line="240" w:lineRule="auto"/>
              <w:rPr>
                <w:rFonts w:ascii="Times New Roman" w:hAnsi="Times New Roman" w:cs="Times New Roman"/>
                <w:sz w:val="22"/>
                <w:szCs w:val="22"/>
              </w:rPr>
            </w:pPr>
            <w:r w:rsidRPr="00317ABF">
              <w:rPr>
                <w:rFonts w:ascii="Times New Roman" w:hAnsi="Times New Roman" w:cs="Times New Roman"/>
                <w:sz w:val="22"/>
                <w:szCs w:val="22"/>
              </w:rPr>
              <w:t>a)</w:t>
            </w:r>
            <w:r w:rsidRPr="00317ABF">
              <w:rPr>
                <w:rFonts w:ascii="Times New Roman" w:hAnsi="Times New Roman" w:cs="Times New Roman"/>
                <w:sz w:val="22"/>
                <w:szCs w:val="22"/>
              </w:rPr>
              <w:tab/>
              <w:t>w morskim paśmie VHF:</w:t>
            </w:r>
          </w:p>
          <w:p w14:paraId="312166BE" w14:textId="77777777" w:rsidR="00FC327C" w:rsidRPr="00317ABF" w:rsidRDefault="00FC327C" w:rsidP="00FC327C">
            <w:pPr>
              <w:pStyle w:val="TIRtiret"/>
              <w:spacing w:line="240" w:lineRule="auto"/>
              <w:rPr>
                <w:rFonts w:ascii="Times New Roman" w:hAnsi="Times New Roman" w:cs="Times New Roman"/>
                <w:sz w:val="22"/>
                <w:szCs w:val="22"/>
              </w:rPr>
            </w:pPr>
            <w:r w:rsidRPr="00317ABF">
              <w:rPr>
                <w:rFonts w:ascii="Times New Roman" w:hAnsi="Times New Roman" w:cs="Times New Roman"/>
                <w:sz w:val="22"/>
                <w:szCs w:val="22"/>
              </w:rPr>
              <w:t>–</w:t>
            </w:r>
            <w:r w:rsidRPr="00317ABF">
              <w:rPr>
                <w:rFonts w:ascii="Times New Roman" w:hAnsi="Times New Roman" w:cs="Times New Roman"/>
                <w:sz w:val="22"/>
                <w:szCs w:val="22"/>
              </w:rPr>
              <w:tab/>
              <w:t>w kanale 16 (156,800 MHz),</w:t>
            </w:r>
          </w:p>
          <w:p w14:paraId="696F4E6E" w14:textId="77777777" w:rsidR="00FC327C" w:rsidRPr="00317ABF" w:rsidRDefault="00FC327C" w:rsidP="00FC327C">
            <w:pPr>
              <w:pStyle w:val="TIRtiret"/>
              <w:spacing w:line="240" w:lineRule="auto"/>
              <w:rPr>
                <w:rFonts w:ascii="Times New Roman" w:hAnsi="Times New Roman" w:cs="Times New Roman"/>
                <w:sz w:val="22"/>
                <w:szCs w:val="22"/>
              </w:rPr>
            </w:pPr>
            <w:r w:rsidRPr="00317ABF">
              <w:rPr>
                <w:rFonts w:ascii="Times New Roman" w:hAnsi="Times New Roman" w:cs="Times New Roman"/>
                <w:sz w:val="22"/>
                <w:szCs w:val="22"/>
              </w:rPr>
              <w:t>–</w:t>
            </w:r>
            <w:r w:rsidRPr="00317ABF">
              <w:rPr>
                <w:rFonts w:ascii="Times New Roman" w:hAnsi="Times New Roman" w:cs="Times New Roman"/>
                <w:sz w:val="22"/>
                <w:szCs w:val="22"/>
              </w:rPr>
              <w:tab/>
              <w:t>w kanale 70 (156,525 MHz),</w:t>
            </w:r>
          </w:p>
          <w:p w14:paraId="6E20AFC5" w14:textId="77777777" w:rsidR="00FC327C" w:rsidRPr="00317ABF" w:rsidRDefault="00FC327C" w:rsidP="00FC327C">
            <w:pPr>
              <w:pStyle w:val="LITlitera"/>
              <w:spacing w:line="240" w:lineRule="auto"/>
              <w:rPr>
                <w:rFonts w:ascii="Times New Roman" w:hAnsi="Times New Roman" w:cs="Times New Roman"/>
                <w:sz w:val="22"/>
                <w:szCs w:val="22"/>
              </w:rPr>
            </w:pPr>
            <w:r w:rsidRPr="00317ABF">
              <w:rPr>
                <w:rFonts w:ascii="Times New Roman" w:hAnsi="Times New Roman" w:cs="Times New Roman"/>
                <w:sz w:val="22"/>
                <w:szCs w:val="22"/>
              </w:rPr>
              <w:t>b)</w:t>
            </w:r>
            <w:r w:rsidRPr="00317ABF">
              <w:rPr>
                <w:rFonts w:ascii="Times New Roman" w:hAnsi="Times New Roman" w:cs="Times New Roman"/>
                <w:sz w:val="22"/>
                <w:szCs w:val="22"/>
              </w:rPr>
              <w:tab/>
              <w:t>w morskim paśmie MF: 2174,5 kHz, 2182 kHz, 2187,5 kHz,</w:t>
            </w:r>
          </w:p>
          <w:p w14:paraId="7704024A" w14:textId="77777777" w:rsidR="00FC327C" w:rsidRPr="00317ABF" w:rsidRDefault="00FC327C" w:rsidP="00FC327C">
            <w:pPr>
              <w:pStyle w:val="LITlitera"/>
              <w:spacing w:line="240" w:lineRule="auto"/>
              <w:rPr>
                <w:rFonts w:ascii="Times New Roman" w:hAnsi="Times New Roman" w:cs="Times New Roman"/>
                <w:sz w:val="22"/>
                <w:szCs w:val="22"/>
              </w:rPr>
            </w:pPr>
            <w:r w:rsidRPr="00317ABF">
              <w:rPr>
                <w:rFonts w:ascii="Times New Roman" w:hAnsi="Times New Roman" w:cs="Times New Roman"/>
                <w:sz w:val="22"/>
                <w:szCs w:val="22"/>
              </w:rPr>
              <w:t>c)</w:t>
            </w:r>
            <w:r w:rsidRPr="00317ABF">
              <w:rPr>
                <w:rFonts w:ascii="Times New Roman" w:hAnsi="Times New Roman" w:cs="Times New Roman"/>
                <w:sz w:val="22"/>
                <w:szCs w:val="22"/>
              </w:rPr>
              <w:tab/>
              <w:t>w zakresie 406,0–406,1 MHz,</w:t>
            </w:r>
          </w:p>
          <w:p w14:paraId="6FD8B61C" w14:textId="77777777" w:rsidR="00FC327C" w:rsidRPr="00317ABF" w:rsidRDefault="00FC327C" w:rsidP="00FC327C">
            <w:pPr>
              <w:pStyle w:val="LITlitera"/>
              <w:spacing w:line="240" w:lineRule="auto"/>
              <w:rPr>
                <w:rFonts w:ascii="Times New Roman" w:hAnsi="Times New Roman" w:cs="Times New Roman"/>
                <w:sz w:val="22"/>
                <w:szCs w:val="22"/>
              </w:rPr>
            </w:pPr>
            <w:r w:rsidRPr="00317ABF">
              <w:rPr>
                <w:rFonts w:ascii="Times New Roman" w:hAnsi="Times New Roman" w:cs="Times New Roman"/>
                <w:sz w:val="22"/>
                <w:szCs w:val="22"/>
              </w:rPr>
              <w:t>d)</w:t>
            </w:r>
            <w:r w:rsidRPr="00317ABF">
              <w:rPr>
                <w:rFonts w:ascii="Times New Roman" w:hAnsi="Times New Roman" w:cs="Times New Roman"/>
                <w:sz w:val="22"/>
                <w:szCs w:val="22"/>
              </w:rPr>
              <w:tab/>
              <w:t>przez jednostki pływające w relacji łączności statek - statek i statek - brzeg;</w:t>
            </w:r>
          </w:p>
          <w:p w14:paraId="67CF394B" w14:textId="77777777" w:rsidR="00FC327C" w:rsidRPr="00317ABF" w:rsidRDefault="00FC327C" w:rsidP="00FC327C">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2)</w:t>
            </w:r>
            <w:r w:rsidRPr="00317ABF">
              <w:rPr>
                <w:rFonts w:ascii="Times New Roman" w:hAnsi="Times New Roman" w:cs="Times New Roman"/>
                <w:sz w:val="22"/>
                <w:szCs w:val="22"/>
              </w:rPr>
              <w:tab/>
              <w:t>wykorzystywaną przez stacje nadawcze w służbie radionawigacyjnej i radiolokacyjnej morskiej i żeglugi śródlądowej;</w:t>
            </w:r>
          </w:p>
          <w:p w14:paraId="13D5EC75" w14:textId="77777777" w:rsidR="00FC327C" w:rsidRPr="00317ABF" w:rsidRDefault="00FC327C" w:rsidP="00FC327C">
            <w:pPr>
              <w:pStyle w:val="PKTpunkt0"/>
              <w:keepNext/>
              <w:spacing w:line="240" w:lineRule="auto"/>
              <w:rPr>
                <w:rFonts w:ascii="Times New Roman" w:hAnsi="Times New Roman" w:cs="Times New Roman"/>
                <w:sz w:val="22"/>
                <w:szCs w:val="22"/>
              </w:rPr>
            </w:pPr>
            <w:r w:rsidRPr="00317ABF">
              <w:rPr>
                <w:rFonts w:ascii="Times New Roman" w:hAnsi="Times New Roman" w:cs="Times New Roman"/>
                <w:sz w:val="22"/>
                <w:szCs w:val="22"/>
              </w:rPr>
              <w:t>3)</w:t>
            </w:r>
            <w:r w:rsidRPr="00317ABF">
              <w:rPr>
                <w:rFonts w:ascii="Times New Roman" w:hAnsi="Times New Roman" w:cs="Times New Roman"/>
                <w:sz w:val="22"/>
                <w:szCs w:val="22"/>
              </w:rPr>
              <w:tab/>
              <w:t>w służbie radiokomunikacyjnej lotniczej:</w:t>
            </w:r>
          </w:p>
          <w:p w14:paraId="10DD01CC" w14:textId="77777777" w:rsidR="00FC327C" w:rsidRPr="00317ABF" w:rsidRDefault="00FC327C" w:rsidP="00FC327C">
            <w:pPr>
              <w:pStyle w:val="LITlitera"/>
              <w:spacing w:line="240" w:lineRule="auto"/>
              <w:rPr>
                <w:rFonts w:ascii="Times New Roman" w:hAnsi="Times New Roman" w:cs="Times New Roman"/>
                <w:sz w:val="22"/>
                <w:szCs w:val="22"/>
              </w:rPr>
            </w:pPr>
            <w:r w:rsidRPr="00317ABF">
              <w:rPr>
                <w:rFonts w:ascii="Times New Roman" w:hAnsi="Times New Roman" w:cs="Times New Roman"/>
                <w:sz w:val="22"/>
                <w:szCs w:val="22"/>
              </w:rPr>
              <w:t>a)</w:t>
            </w:r>
            <w:r w:rsidRPr="00317ABF">
              <w:rPr>
                <w:rFonts w:ascii="Times New Roman" w:hAnsi="Times New Roman" w:cs="Times New Roman"/>
                <w:sz w:val="22"/>
                <w:szCs w:val="22"/>
              </w:rPr>
              <w:tab/>
              <w:t>za częstotliwości używane w niebezpieczeństwie i dla zapewnienia bezpieczeństwa: 121,5 MHz, 123,1 MHz, 243 MHz,</w:t>
            </w:r>
          </w:p>
          <w:p w14:paraId="099AB8EB" w14:textId="77777777" w:rsidR="00FC327C" w:rsidRPr="00317ABF" w:rsidRDefault="00FC327C" w:rsidP="00FC327C">
            <w:pPr>
              <w:pStyle w:val="LITlitera"/>
              <w:spacing w:line="240" w:lineRule="auto"/>
              <w:rPr>
                <w:rFonts w:ascii="Times New Roman" w:hAnsi="Times New Roman" w:cs="Times New Roman"/>
                <w:sz w:val="22"/>
                <w:szCs w:val="22"/>
              </w:rPr>
            </w:pPr>
            <w:r w:rsidRPr="00317ABF">
              <w:rPr>
                <w:rFonts w:ascii="Times New Roman" w:hAnsi="Times New Roman" w:cs="Times New Roman"/>
                <w:sz w:val="22"/>
                <w:szCs w:val="22"/>
              </w:rPr>
              <w:t>b)</w:t>
            </w:r>
            <w:r w:rsidRPr="00317ABF">
              <w:rPr>
                <w:rFonts w:ascii="Times New Roman" w:hAnsi="Times New Roman" w:cs="Times New Roman"/>
                <w:sz w:val="22"/>
                <w:szCs w:val="22"/>
              </w:rPr>
              <w:tab/>
              <w:t>przez statki powietrzne, w relacji łączności statek powietrzny - Ziemia i statek powietrzny - statek powietrzny;</w:t>
            </w:r>
          </w:p>
          <w:p w14:paraId="0FB4BFA1" w14:textId="77777777" w:rsidR="00FC327C" w:rsidRPr="00317ABF" w:rsidRDefault="00FC327C" w:rsidP="00FC327C">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4)</w:t>
            </w:r>
            <w:r w:rsidRPr="00317ABF">
              <w:rPr>
                <w:rFonts w:ascii="Times New Roman" w:hAnsi="Times New Roman" w:cs="Times New Roman"/>
                <w:sz w:val="22"/>
                <w:szCs w:val="22"/>
              </w:rPr>
              <w:tab/>
              <w:t>wykorzystywaną przez stacje nadawcze w służbie radionawigacyjnej i radiolokacyjnej lotniczej;</w:t>
            </w:r>
          </w:p>
          <w:p w14:paraId="24283611" w14:textId="77777777" w:rsidR="00FC327C" w:rsidRPr="00317ABF" w:rsidRDefault="00FC327C" w:rsidP="00FC327C">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lastRenderedPageBreak/>
              <w:t>5)</w:t>
            </w:r>
            <w:r w:rsidRPr="00317ABF">
              <w:rPr>
                <w:rFonts w:ascii="Times New Roman" w:hAnsi="Times New Roman" w:cs="Times New Roman"/>
                <w:sz w:val="22"/>
                <w:szCs w:val="22"/>
              </w:rPr>
              <w:tab/>
              <w:t>w służbie radiokomunikacyjnej amatorskiej w zakresach częstotliwości przydzielonych w Krajowej Tablicy Przeznaczeń Częstotliwości dla służby amatorskiej;</w:t>
            </w:r>
          </w:p>
          <w:p w14:paraId="6B6B5386" w14:textId="77777777" w:rsidR="001E1112" w:rsidRPr="00317ABF" w:rsidRDefault="001E1112" w:rsidP="00FC327C">
            <w:pPr>
              <w:pStyle w:val="PKTpunkt0"/>
              <w:spacing w:line="240" w:lineRule="auto"/>
              <w:rPr>
                <w:rFonts w:ascii="Times New Roman" w:hAnsi="Times New Roman" w:cs="Times New Roman"/>
                <w:sz w:val="22"/>
                <w:szCs w:val="22"/>
              </w:rPr>
            </w:pPr>
            <w:r w:rsidRPr="00317ABF">
              <w:rPr>
                <w:rFonts w:ascii="Times New Roman" w:eastAsia="Times" w:hAnsi="Times New Roman" w:cs="Times New Roman"/>
                <w:sz w:val="22"/>
                <w:szCs w:val="22"/>
              </w:rPr>
              <w:t>6)</w:t>
            </w:r>
            <w:r w:rsidR="00FC327C" w:rsidRPr="00317ABF">
              <w:rPr>
                <w:rFonts w:ascii="Times New Roman" w:hAnsi="Times New Roman" w:cs="Times New Roman"/>
                <w:sz w:val="22"/>
                <w:szCs w:val="22"/>
              </w:rPr>
              <w:tab/>
            </w:r>
            <w:r w:rsidRPr="00317ABF">
              <w:rPr>
                <w:rFonts w:ascii="Times New Roman" w:eastAsia="Times" w:hAnsi="Times New Roman" w:cs="Times New Roman"/>
                <w:sz w:val="22"/>
                <w:szCs w:val="22"/>
              </w:rPr>
              <w:t xml:space="preserve">wykorzystywaną na podstawie decyzji, o której mowa w art. </w:t>
            </w:r>
            <w:r w:rsidR="00FC327C" w:rsidRPr="00317ABF">
              <w:rPr>
                <w:rFonts w:ascii="Times New Roman" w:hAnsi="Times New Roman" w:cs="Times New Roman"/>
                <w:sz w:val="22"/>
                <w:szCs w:val="22"/>
              </w:rPr>
              <w:t>153</w:t>
            </w:r>
            <w:r w:rsidRPr="00317ABF">
              <w:rPr>
                <w:rFonts w:ascii="Times New Roman" w:eastAsia="Times" w:hAnsi="Times New Roman" w:cs="Times New Roman"/>
                <w:sz w:val="22"/>
                <w:szCs w:val="22"/>
              </w:rPr>
              <w:t>, wyłącznie w celu przeprowadzenia badań, testów lub eksperymentów związanych z wprowadzaniem nowych technologii.</w:t>
            </w:r>
          </w:p>
          <w:p w14:paraId="4B54FC5E" w14:textId="77777777" w:rsidR="001E1112" w:rsidRPr="00317ABF" w:rsidRDefault="001E1112" w:rsidP="00FC327C">
            <w:pPr>
              <w:pStyle w:val="USTustnpkodeksu"/>
              <w:spacing w:line="240" w:lineRule="auto"/>
              <w:rPr>
                <w:rFonts w:ascii="Times New Roman" w:hAnsi="Times New Roman" w:cs="Times New Roman"/>
                <w:sz w:val="22"/>
                <w:szCs w:val="22"/>
              </w:rPr>
            </w:pPr>
            <w:r w:rsidRPr="00317ABF">
              <w:rPr>
                <w:rFonts w:ascii="Times New Roman" w:eastAsia="Times" w:hAnsi="Times New Roman" w:cs="Times New Roman"/>
                <w:sz w:val="22"/>
                <w:szCs w:val="22"/>
              </w:rPr>
              <w:t xml:space="preserve">13. Użytkownicy rządowi, o których mowa w art. 2 pkt </w:t>
            </w:r>
            <w:r w:rsidR="00FC327C" w:rsidRPr="00317ABF">
              <w:rPr>
                <w:rFonts w:ascii="Times New Roman" w:hAnsi="Times New Roman" w:cs="Times New Roman"/>
                <w:sz w:val="22"/>
                <w:szCs w:val="22"/>
              </w:rPr>
              <w:t>88</w:t>
            </w:r>
            <w:r w:rsidRPr="00317ABF">
              <w:rPr>
                <w:rFonts w:ascii="Times New Roman" w:eastAsia="Times" w:hAnsi="Times New Roman" w:cs="Times New Roman"/>
                <w:sz w:val="22"/>
                <w:szCs w:val="22"/>
              </w:rPr>
              <w:t xml:space="preserve"> lit. a, b, d, e, g i h, wnoszą opłaty za prawo do dysponowania częstotliwością. Opłata za prawo do dysponowania częstotliwością przez jednostki sił zbrojnych państw obcych, przebywające czasowo na terytorium Rzeczypospolitej Polskiej na podstawie odrębnych przepisów, zawarta jest w opłacie ryczałtowej za prawo do dysponowania częstotliwością, wnoszonej przez Ministra Obrony Narodowej.</w:t>
            </w:r>
          </w:p>
          <w:p w14:paraId="356D836C" w14:textId="4AE74745" w:rsidR="001E1112" w:rsidRPr="00317ABF" w:rsidRDefault="001E1112" w:rsidP="00FC327C">
            <w:pPr>
              <w:pStyle w:val="USTustnpkodeksu"/>
              <w:spacing w:line="240" w:lineRule="auto"/>
              <w:rPr>
                <w:rFonts w:ascii="Times New Roman" w:hAnsi="Times New Roman" w:cs="Times New Roman"/>
                <w:sz w:val="22"/>
                <w:szCs w:val="22"/>
              </w:rPr>
            </w:pPr>
            <w:r w:rsidRPr="00317ABF">
              <w:rPr>
                <w:rFonts w:ascii="Times New Roman" w:eastAsia="Times" w:hAnsi="Times New Roman" w:cs="Times New Roman"/>
                <w:sz w:val="22"/>
                <w:szCs w:val="22"/>
              </w:rPr>
              <w:t>14. Z zastrzeżeniem ust. 13, obowiązek uiszczania opłat za prawo do dysponowania częstotliwością ustaje w dniu, w którym złożono wniosek o rezygnację z rezerwacji częstotliwości lub pozwolenia.</w:t>
            </w:r>
          </w:p>
          <w:p w14:paraId="2653202B" w14:textId="12AB0B55" w:rsidR="001E1112" w:rsidRPr="00317ABF" w:rsidRDefault="001E1112" w:rsidP="00FC327C">
            <w:pPr>
              <w:pStyle w:val="USTustnpkodeksu"/>
              <w:spacing w:line="240" w:lineRule="auto"/>
              <w:rPr>
                <w:rFonts w:ascii="Times New Roman" w:hAnsi="Times New Roman" w:cs="Times New Roman"/>
                <w:sz w:val="22"/>
                <w:szCs w:val="22"/>
              </w:rPr>
            </w:pPr>
            <w:r w:rsidRPr="00317ABF">
              <w:rPr>
                <w:rFonts w:ascii="Times New Roman" w:eastAsia="Times" w:hAnsi="Times New Roman" w:cs="Times New Roman"/>
                <w:sz w:val="22"/>
                <w:szCs w:val="22"/>
              </w:rPr>
              <w:t>15. W przypadku, gdy we wniosku, o którym mowa w ust. 14, określono termin rezygnacji z rezerwacji częstotliwości lub pozwolenia, obowiązek uiszczania opłat za prawo do dysponowania częstotliwością ustaje w dniu, w którym przypada ten termin.</w:t>
            </w:r>
          </w:p>
          <w:p w14:paraId="761A221C" w14:textId="77777777" w:rsidR="001E1112" w:rsidRPr="00317ABF" w:rsidRDefault="001E1112" w:rsidP="00FC327C">
            <w:pPr>
              <w:pStyle w:val="USTustnpkodeksu"/>
              <w:spacing w:line="240" w:lineRule="auto"/>
              <w:rPr>
                <w:rFonts w:ascii="Times New Roman" w:hAnsi="Times New Roman" w:cs="Times New Roman"/>
                <w:sz w:val="22"/>
                <w:szCs w:val="22"/>
              </w:rPr>
            </w:pPr>
            <w:r w:rsidRPr="00317ABF">
              <w:rPr>
                <w:rFonts w:ascii="Times New Roman" w:eastAsia="Times" w:hAnsi="Times New Roman" w:cs="Times New Roman"/>
                <w:sz w:val="22"/>
                <w:szCs w:val="22"/>
              </w:rPr>
              <w:t xml:space="preserve">16. W przypadku cofnięcia rezerwacji częstotliwości, pozwolenia lub decyzji, o której mowa w art. </w:t>
            </w:r>
            <w:r w:rsidR="00FC327C" w:rsidRPr="00317ABF">
              <w:rPr>
                <w:rFonts w:ascii="Times New Roman" w:hAnsi="Times New Roman" w:cs="Times New Roman"/>
                <w:sz w:val="22"/>
                <w:szCs w:val="22"/>
              </w:rPr>
              <w:t>152</w:t>
            </w:r>
            <w:r w:rsidRPr="00317ABF">
              <w:rPr>
                <w:rFonts w:ascii="Times New Roman" w:eastAsia="Times" w:hAnsi="Times New Roman" w:cs="Times New Roman"/>
                <w:sz w:val="22"/>
                <w:szCs w:val="22"/>
              </w:rPr>
              <w:t xml:space="preserve"> lub art. </w:t>
            </w:r>
            <w:r w:rsidR="00FC327C" w:rsidRPr="00317ABF">
              <w:rPr>
                <w:rFonts w:ascii="Times New Roman" w:hAnsi="Times New Roman" w:cs="Times New Roman"/>
                <w:sz w:val="22"/>
                <w:szCs w:val="22"/>
              </w:rPr>
              <w:t>153</w:t>
            </w:r>
            <w:r w:rsidRPr="00317ABF">
              <w:rPr>
                <w:rFonts w:ascii="Times New Roman" w:eastAsia="Times" w:hAnsi="Times New Roman" w:cs="Times New Roman"/>
                <w:sz w:val="22"/>
                <w:szCs w:val="22"/>
              </w:rPr>
              <w:t xml:space="preserve">, uiszczone opłaty nie podlegają zwrotowi. W przypadku stwierdzenia nieważności decyzji w sprawie rezerwacji częstotliwości lub pozwolenia lub decyzji, o której mowa w art. </w:t>
            </w:r>
            <w:r w:rsidR="00FC327C" w:rsidRPr="00317ABF">
              <w:rPr>
                <w:rFonts w:ascii="Times New Roman" w:hAnsi="Times New Roman" w:cs="Times New Roman"/>
                <w:sz w:val="22"/>
                <w:szCs w:val="22"/>
              </w:rPr>
              <w:t>152</w:t>
            </w:r>
            <w:r w:rsidRPr="00317ABF">
              <w:rPr>
                <w:rFonts w:ascii="Times New Roman" w:eastAsia="Times" w:hAnsi="Times New Roman" w:cs="Times New Roman"/>
                <w:sz w:val="22"/>
                <w:szCs w:val="22"/>
              </w:rPr>
              <w:t xml:space="preserve"> lub art. </w:t>
            </w:r>
            <w:r w:rsidR="00FC327C" w:rsidRPr="00317ABF">
              <w:rPr>
                <w:rFonts w:ascii="Times New Roman" w:hAnsi="Times New Roman" w:cs="Times New Roman"/>
                <w:sz w:val="22"/>
                <w:szCs w:val="22"/>
              </w:rPr>
              <w:t>153</w:t>
            </w:r>
            <w:r w:rsidRPr="00317ABF">
              <w:rPr>
                <w:rFonts w:ascii="Times New Roman" w:eastAsia="Times" w:hAnsi="Times New Roman" w:cs="Times New Roman"/>
                <w:sz w:val="22"/>
                <w:szCs w:val="22"/>
              </w:rPr>
              <w:t>, opłaty pobierane za dysponowanie częstotliwością nie podlegają zwrotowi, jeżeli częstotliwości były wykorzystywane.</w:t>
            </w:r>
          </w:p>
          <w:p w14:paraId="7DC31482" w14:textId="77777777" w:rsidR="00FC327C" w:rsidRPr="00317ABF" w:rsidRDefault="00FC327C" w:rsidP="00FC327C">
            <w:pPr>
              <w:pStyle w:val="USTustnpkodeksu"/>
              <w:spacing w:line="240" w:lineRule="auto"/>
              <w:rPr>
                <w:rFonts w:ascii="Times New Roman" w:hAnsi="Times New Roman" w:cs="Times New Roman"/>
                <w:sz w:val="22"/>
                <w:szCs w:val="22"/>
              </w:rPr>
            </w:pPr>
            <w:r w:rsidRPr="00317ABF">
              <w:rPr>
                <w:rFonts w:ascii="Times New Roman" w:hAnsi="Times New Roman" w:cs="Times New Roman"/>
                <w:sz w:val="22"/>
                <w:szCs w:val="22"/>
              </w:rPr>
              <w:t>17. Opłatę, o której mowa w ust. 1 uiszcza się w ratach kwartalnych w wysokości równej 1/4 opłaty rocznej.</w:t>
            </w:r>
          </w:p>
          <w:p w14:paraId="3FF6CD97" w14:textId="77777777" w:rsidR="00FC327C" w:rsidRPr="00317ABF" w:rsidRDefault="00FC327C" w:rsidP="00FC327C">
            <w:pPr>
              <w:pStyle w:val="USTustnpkodeksu"/>
              <w:spacing w:line="240" w:lineRule="auto"/>
              <w:rPr>
                <w:rFonts w:ascii="Times New Roman" w:hAnsi="Times New Roman" w:cs="Times New Roman"/>
                <w:sz w:val="22"/>
                <w:szCs w:val="22"/>
              </w:rPr>
            </w:pPr>
            <w:r w:rsidRPr="00317ABF">
              <w:rPr>
                <w:rFonts w:ascii="Times New Roman" w:hAnsi="Times New Roman" w:cs="Times New Roman"/>
                <w:sz w:val="22"/>
                <w:szCs w:val="22"/>
              </w:rPr>
              <w:t>18. Opłatę, o której mowa w ust. 13 uiszcza się w ratach kwartalnych w wysokości równej 1/4 rocznej. Podmiot może uiszczać opłatę jednorazowo za cały rok albo w ratach półrocznych w wysokości równej 1/2 rocznej opłaty.</w:t>
            </w:r>
          </w:p>
          <w:p w14:paraId="7A39F830" w14:textId="77777777" w:rsidR="00FC327C" w:rsidRPr="00317ABF" w:rsidRDefault="00FC327C" w:rsidP="00FC327C">
            <w:pPr>
              <w:pStyle w:val="USTustnpkodeksu"/>
              <w:keepNext/>
              <w:spacing w:line="240" w:lineRule="auto"/>
              <w:rPr>
                <w:rFonts w:ascii="Times New Roman" w:hAnsi="Times New Roman" w:cs="Times New Roman"/>
                <w:sz w:val="22"/>
                <w:szCs w:val="22"/>
              </w:rPr>
            </w:pPr>
            <w:r w:rsidRPr="00317ABF">
              <w:rPr>
                <w:rFonts w:ascii="Times New Roman" w:hAnsi="Times New Roman" w:cs="Times New Roman"/>
                <w:sz w:val="22"/>
                <w:szCs w:val="22"/>
              </w:rPr>
              <w:t>19. Rada Ministrów określi, w drodze rozporządzenia, wysokość opłat, o których mowa w ust. 1, terminy i sposób ich uiszczania, mając na uwadze w szczególności:</w:t>
            </w:r>
          </w:p>
          <w:p w14:paraId="1CF33D94" w14:textId="77777777" w:rsidR="00FC327C" w:rsidRPr="00317ABF" w:rsidRDefault="00FC327C" w:rsidP="00FC327C">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1)</w:t>
            </w:r>
            <w:r w:rsidRPr="00317ABF">
              <w:rPr>
                <w:rFonts w:ascii="Times New Roman" w:hAnsi="Times New Roman" w:cs="Times New Roman"/>
                <w:sz w:val="22"/>
                <w:szCs w:val="22"/>
              </w:rPr>
              <w:tab/>
              <w:t>warunki wykorzystywania częstotliwości oraz koszty prowadzenia gospodarki częstotliwościami;</w:t>
            </w:r>
          </w:p>
          <w:p w14:paraId="3A8E1F39" w14:textId="77777777" w:rsidR="00FC327C" w:rsidRPr="00317ABF" w:rsidRDefault="00FC327C" w:rsidP="00FC327C">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2)</w:t>
            </w:r>
            <w:r w:rsidRPr="00317ABF">
              <w:rPr>
                <w:rFonts w:ascii="Times New Roman" w:hAnsi="Times New Roman" w:cs="Times New Roman"/>
                <w:sz w:val="22"/>
                <w:szCs w:val="22"/>
              </w:rPr>
              <w:tab/>
              <w:t>potrzebę zagwarantowania optymalnego i efektywnego wykorzystania zasobów częstotliwości;</w:t>
            </w:r>
          </w:p>
          <w:p w14:paraId="795099FB" w14:textId="77777777" w:rsidR="00FC327C" w:rsidRPr="00317ABF" w:rsidRDefault="00FC327C" w:rsidP="00FC327C">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lastRenderedPageBreak/>
              <w:t>3)</w:t>
            </w:r>
            <w:r w:rsidRPr="00317ABF">
              <w:rPr>
                <w:rFonts w:ascii="Times New Roman" w:hAnsi="Times New Roman" w:cs="Times New Roman"/>
                <w:sz w:val="22"/>
                <w:szCs w:val="22"/>
              </w:rPr>
              <w:tab/>
              <w:t>konieczność stymulowania rozwoju konkurencji na rynku;</w:t>
            </w:r>
          </w:p>
          <w:p w14:paraId="24302EF1" w14:textId="77777777" w:rsidR="00FC327C" w:rsidRPr="00317ABF" w:rsidRDefault="00FC327C" w:rsidP="00FC327C">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4)</w:t>
            </w:r>
            <w:r w:rsidRPr="00317ABF">
              <w:rPr>
                <w:rFonts w:ascii="Times New Roman" w:hAnsi="Times New Roman" w:cs="Times New Roman"/>
                <w:sz w:val="22"/>
                <w:szCs w:val="22"/>
              </w:rPr>
              <w:tab/>
              <w:t>potrzebę zapobiegania wykluczeniu informacyjnemu, w szczególności na obszarach wiejskich;</w:t>
            </w:r>
          </w:p>
          <w:p w14:paraId="678597A9" w14:textId="77777777" w:rsidR="00FC327C" w:rsidRPr="00317ABF" w:rsidRDefault="00FC327C" w:rsidP="00FC327C">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5)</w:t>
            </w:r>
            <w:r w:rsidRPr="00317ABF">
              <w:rPr>
                <w:rFonts w:ascii="Times New Roman" w:hAnsi="Times New Roman" w:cs="Times New Roman"/>
                <w:sz w:val="22"/>
                <w:szCs w:val="22"/>
              </w:rPr>
              <w:tab/>
              <w:t>specyfikę przeznaczenia i wykorzystywania częstotliwości;</w:t>
            </w:r>
          </w:p>
          <w:p w14:paraId="0B180C82" w14:textId="77777777" w:rsidR="00FC327C" w:rsidRPr="00317ABF" w:rsidRDefault="00FC327C" w:rsidP="00FC327C">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6)</w:t>
            </w:r>
            <w:r w:rsidRPr="00317ABF">
              <w:rPr>
                <w:rFonts w:ascii="Times New Roman" w:hAnsi="Times New Roman" w:cs="Times New Roman"/>
                <w:sz w:val="22"/>
                <w:szCs w:val="22"/>
              </w:rPr>
              <w:tab/>
              <w:t>korzyści społeczne związane z wykorzystaniem danego zasobu częstotliwości.</w:t>
            </w:r>
          </w:p>
          <w:p w14:paraId="34A49019" w14:textId="77777777" w:rsidR="00FC327C" w:rsidRPr="00317ABF" w:rsidRDefault="00FC327C" w:rsidP="00FC327C">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20.</w:t>
            </w:r>
            <w:r w:rsidR="001E1112" w:rsidRPr="00317ABF">
              <w:rPr>
                <w:rFonts w:ascii="Times New Roman" w:hAnsi="Times New Roman" w:cs="Times New Roman"/>
                <w:sz w:val="22"/>
                <w:szCs w:val="22"/>
              </w:rPr>
              <w:t xml:space="preserve"> Rada Ministrów określi, w drodze rozporządzenia, wysokość, terminy i sposób uiszczania opłat, o których mowa w ust. 13, z uwzględnieniem specyfiki wykorzystywania częstotliwości przez użytkowników rządowych, o których mowa w art. 2 pkt </w:t>
            </w:r>
            <w:r w:rsidRPr="00317ABF">
              <w:rPr>
                <w:rFonts w:ascii="Times New Roman" w:hAnsi="Times New Roman" w:cs="Times New Roman"/>
                <w:sz w:val="22"/>
                <w:szCs w:val="22"/>
              </w:rPr>
              <w:t>88</w:t>
            </w:r>
            <w:r w:rsidR="001E1112" w:rsidRPr="00317ABF">
              <w:rPr>
                <w:rFonts w:ascii="Times New Roman" w:hAnsi="Times New Roman" w:cs="Times New Roman"/>
                <w:sz w:val="22"/>
                <w:szCs w:val="22"/>
              </w:rPr>
              <w:t xml:space="preserve"> lit. a, b, d, e, g i h użytkujących częstotliwości przeznaczone do użytkowania rządowego</w:t>
            </w:r>
            <w:r w:rsidRPr="00317ABF">
              <w:rPr>
                <w:rFonts w:ascii="Times New Roman" w:hAnsi="Times New Roman" w:cs="Times New Roman"/>
                <w:sz w:val="22"/>
                <w:szCs w:val="22"/>
              </w:rPr>
              <w:t xml:space="preserve"> lub cywilno-rządowego.</w:t>
            </w:r>
          </w:p>
          <w:p w14:paraId="5D1E7098" w14:textId="6313C568" w:rsidR="001E1112" w:rsidRPr="00317ABF" w:rsidRDefault="001E1112" w:rsidP="00DB3BEC">
            <w:pPr>
              <w:jc w:val="both"/>
              <w:rPr>
                <w:sz w:val="22"/>
                <w:szCs w:val="22"/>
              </w:rPr>
            </w:pPr>
          </w:p>
          <w:p w14:paraId="19CF7A7C" w14:textId="77777777" w:rsidR="001E1112" w:rsidRPr="00317ABF" w:rsidRDefault="001E1112" w:rsidP="00DB3BEC">
            <w:pPr>
              <w:jc w:val="both"/>
              <w:rPr>
                <w:sz w:val="22"/>
                <w:szCs w:val="22"/>
              </w:rPr>
            </w:pPr>
            <w:r w:rsidRPr="00317ABF">
              <w:rPr>
                <w:rStyle w:val="Ppogrubienie"/>
                <w:sz w:val="22"/>
                <w:szCs w:val="22"/>
              </w:rPr>
              <w:t>Art. 26.</w:t>
            </w:r>
            <w:r w:rsidRPr="00317ABF">
              <w:rPr>
                <w:sz w:val="22"/>
                <w:szCs w:val="22"/>
              </w:rPr>
              <w:t xml:space="preserve"> 1. Opłaty, o których mowa w art. 23–25, są pobierane przez UKE i stanowią dochód budżetu państwa lub przychód Funduszu Szerokopasmowego.</w:t>
            </w:r>
          </w:p>
          <w:p w14:paraId="5468F87C" w14:textId="77777777" w:rsidR="001E1112" w:rsidRPr="00317ABF" w:rsidRDefault="001E1112" w:rsidP="00FC327C">
            <w:pPr>
              <w:pStyle w:val="ARTartustawynprozporzdzenia"/>
              <w:spacing w:before="0" w:line="240" w:lineRule="auto"/>
              <w:ind w:firstLine="0"/>
              <w:rPr>
                <w:rFonts w:ascii="Times New Roman" w:hAnsi="Times New Roman" w:cs="Times New Roman"/>
                <w:sz w:val="22"/>
                <w:szCs w:val="22"/>
              </w:rPr>
            </w:pPr>
            <w:r w:rsidRPr="00317ABF">
              <w:rPr>
                <w:rStyle w:val="Ppogrubienie"/>
                <w:rFonts w:ascii="Times New Roman" w:hAnsi="Times New Roman"/>
                <w:sz w:val="22"/>
                <w:szCs w:val="22"/>
              </w:rPr>
              <w:t>Art. 27.</w:t>
            </w:r>
            <w:r w:rsidRPr="00317ABF">
              <w:rPr>
                <w:rFonts w:ascii="Times New Roman" w:hAnsi="Times New Roman" w:cs="Times New Roman"/>
                <w:sz w:val="22"/>
                <w:szCs w:val="22"/>
              </w:rPr>
              <w:t xml:space="preserve"> Do opłat, o których mowa w art. 23–25, stosuje się przepisy o postępowaniu egzekucyjnym w administracji w zakresie egzekucji obowiązków o charakterze pieniężnym.</w:t>
            </w:r>
          </w:p>
          <w:p w14:paraId="4159FAB9" w14:textId="1C95DD26" w:rsidR="001E1112" w:rsidRPr="00317ABF" w:rsidRDefault="001E1112" w:rsidP="00DB3BEC">
            <w:pPr>
              <w:jc w:val="both"/>
              <w:rPr>
                <w:sz w:val="22"/>
                <w:szCs w:val="22"/>
              </w:rPr>
            </w:pPr>
            <w:r w:rsidRPr="00317ABF">
              <w:rPr>
                <w:rStyle w:val="Ppogrubienie"/>
                <w:sz w:val="22"/>
                <w:szCs w:val="22"/>
              </w:rPr>
              <w:t>Art. 28.</w:t>
            </w:r>
            <w:r w:rsidRPr="00317ABF">
              <w:rPr>
                <w:sz w:val="22"/>
                <w:szCs w:val="22"/>
              </w:rPr>
              <w:t xml:space="preserve"> W zakresie nieuregulowanym w ustawie do opłat, o których mowa w art. 23-25, stosuje się odpowiednio przepisy rozdziałów 5-6, 7-9 oraz 13-15 działu III ustawy z dnia 29 sierpnia 1997 r. - Ordynacja podatkowa (Dz. U. z </w:t>
            </w:r>
            <w:r w:rsidR="00FC327C" w:rsidRPr="00317ABF">
              <w:rPr>
                <w:sz w:val="22"/>
                <w:szCs w:val="22"/>
              </w:rPr>
              <w:t>2020</w:t>
            </w:r>
            <w:r w:rsidRPr="00317ABF">
              <w:rPr>
                <w:sz w:val="22"/>
                <w:szCs w:val="22"/>
              </w:rPr>
              <w:t xml:space="preserve"> r. poz. </w:t>
            </w:r>
            <w:r w:rsidR="00FC327C" w:rsidRPr="00317ABF">
              <w:rPr>
                <w:sz w:val="22"/>
                <w:szCs w:val="22"/>
              </w:rPr>
              <w:t>1325</w:t>
            </w:r>
            <w:r w:rsidRPr="00317ABF">
              <w:rPr>
                <w:sz w:val="22"/>
                <w:szCs w:val="22"/>
              </w:rPr>
              <w:t>). Uprawnienia organów podatkowych określone w tych przepisach przysługują Prezesowi UKE.</w:t>
            </w:r>
          </w:p>
        </w:tc>
      </w:tr>
      <w:tr w:rsidR="001E1112" w:rsidRPr="00317ABF" w14:paraId="1784400C" w14:textId="77777777" w:rsidTr="7753F98D">
        <w:trPr>
          <w:gridAfter w:val="2"/>
          <w:wAfter w:w="175" w:type="dxa"/>
        </w:trPr>
        <w:tc>
          <w:tcPr>
            <w:tcW w:w="704" w:type="dxa"/>
          </w:tcPr>
          <w:p w14:paraId="66451160" w14:textId="77777777" w:rsidR="001E1112" w:rsidRPr="00317ABF" w:rsidRDefault="001E1112" w:rsidP="00DB3BEC">
            <w:pPr>
              <w:jc w:val="both"/>
              <w:rPr>
                <w:sz w:val="22"/>
                <w:szCs w:val="22"/>
              </w:rPr>
            </w:pPr>
            <w:r w:rsidRPr="00317ABF">
              <w:rPr>
                <w:sz w:val="22"/>
                <w:szCs w:val="22"/>
              </w:rPr>
              <w:lastRenderedPageBreak/>
              <w:t>Art. 42 ust. 2</w:t>
            </w:r>
          </w:p>
        </w:tc>
        <w:tc>
          <w:tcPr>
            <w:tcW w:w="4308" w:type="dxa"/>
          </w:tcPr>
          <w:p w14:paraId="1E0E2F7A" w14:textId="77777777" w:rsidR="001E1112" w:rsidRPr="00317ABF" w:rsidRDefault="001E1112" w:rsidP="00DB3BEC">
            <w:pPr>
              <w:spacing w:before="120"/>
              <w:jc w:val="both"/>
              <w:rPr>
                <w:sz w:val="22"/>
                <w:szCs w:val="22"/>
              </w:rPr>
            </w:pPr>
            <w:r w:rsidRPr="00317ABF">
              <w:rPr>
                <w:sz w:val="22"/>
                <w:szCs w:val="22"/>
              </w:rPr>
              <w:t xml:space="preserve">2.   W odniesieniu do praw użytkowania widma radiowego państwa członkowskie </w:t>
            </w:r>
            <w:r w:rsidRPr="00317ABF">
              <w:rPr>
                <w:sz w:val="22"/>
                <w:szCs w:val="22"/>
                <w:u w:val="single"/>
              </w:rPr>
              <w:t>dążą</w:t>
            </w:r>
            <w:r w:rsidRPr="00317ABF">
              <w:rPr>
                <w:sz w:val="22"/>
                <w:szCs w:val="22"/>
              </w:rPr>
              <w:t xml:space="preserve"> do zapewnienia, aby obowiązujące opłaty były ustalane na poziomie, który zapewni skuteczne przydzielanie i wykorzystanie widma radiowego, w tym przez:</w:t>
            </w:r>
          </w:p>
          <w:tbl>
            <w:tblPr>
              <w:tblW w:w="5000" w:type="pct"/>
              <w:tblCellSpacing w:w="0" w:type="dxa"/>
              <w:tblLayout w:type="fixed"/>
              <w:tblCellMar>
                <w:left w:w="0" w:type="dxa"/>
                <w:right w:w="0" w:type="dxa"/>
              </w:tblCellMar>
              <w:tblLook w:val="04A0" w:firstRow="1" w:lastRow="0" w:firstColumn="1" w:lastColumn="0" w:noHBand="0" w:noVBand="1"/>
            </w:tblPr>
            <w:tblGrid>
              <w:gridCol w:w="20"/>
              <w:gridCol w:w="4148"/>
            </w:tblGrid>
            <w:tr w:rsidR="001E1112" w:rsidRPr="00317ABF" w14:paraId="46912B05" w14:textId="77777777" w:rsidTr="0F283CAF">
              <w:trPr>
                <w:tblCellSpacing w:w="0" w:type="dxa"/>
              </w:trPr>
              <w:tc>
                <w:tcPr>
                  <w:tcW w:w="6" w:type="dxa"/>
                  <w:hideMark/>
                </w:tcPr>
                <w:p w14:paraId="0A56BDC6" w14:textId="77777777" w:rsidR="001E1112" w:rsidRPr="00317ABF" w:rsidRDefault="001E1112" w:rsidP="00EE0AC3">
                  <w:pPr>
                    <w:framePr w:hSpace="141" w:wrap="around" w:vAnchor="text" w:hAnchor="text" w:xAlign="right" w:y="1"/>
                    <w:spacing w:before="120"/>
                    <w:suppressOverlap/>
                    <w:jc w:val="both"/>
                    <w:rPr>
                      <w:sz w:val="22"/>
                      <w:szCs w:val="22"/>
                    </w:rPr>
                  </w:pPr>
                </w:p>
              </w:tc>
              <w:tc>
                <w:tcPr>
                  <w:tcW w:w="9066" w:type="dxa"/>
                  <w:hideMark/>
                </w:tcPr>
                <w:p w14:paraId="2FBD992F" w14:textId="77777777" w:rsidR="001E1112" w:rsidRPr="00317ABF" w:rsidRDefault="001E1112" w:rsidP="00EE0AC3">
                  <w:pPr>
                    <w:framePr w:hSpace="141" w:wrap="around" w:vAnchor="text" w:hAnchor="text" w:xAlign="right" w:y="1"/>
                    <w:numPr>
                      <w:ilvl w:val="0"/>
                      <w:numId w:val="27"/>
                    </w:numPr>
                    <w:spacing w:before="120"/>
                    <w:suppressOverlap/>
                    <w:jc w:val="both"/>
                    <w:rPr>
                      <w:sz w:val="22"/>
                      <w:szCs w:val="22"/>
                    </w:rPr>
                  </w:pPr>
                  <w:r w:rsidRPr="00317ABF">
                    <w:rPr>
                      <w:sz w:val="22"/>
                      <w:szCs w:val="22"/>
                    </w:rPr>
                    <w:t>ustalenie cen wywoławczych jako opłat minimalnych za prawa użytkowania widma radiowego przez uwzględnienie wartości tych praw w przypadku ich ewentualnego alternatywnego użytkowania;</w:t>
                  </w:r>
                </w:p>
              </w:tc>
            </w:tr>
          </w:tbl>
          <w:p w14:paraId="7FE267A1" w14:textId="77777777" w:rsidR="001E1112" w:rsidRPr="00317ABF" w:rsidRDefault="001E1112" w:rsidP="00DB3BEC">
            <w:pPr>
              <w:jc w:val="both"/>
              <w:rPr>
                <w:vanish/>
                <w:sz w:val="22"/>
                <w:szCs w:val="22"/>
              </w:rPr>
            </w:pPr>
          </w:p>
          <w:tbl>
            <w:tblPr>
              <w:tblW w:w="5000" w:type="pct"/>
              <w:tblCellSpacing w:w="0" w:type="dxa"/>
              <w:tblLayout w:type="fixed"/>
              <w:tblCellMar>
                <w:left w:w="0" w:type="dxa"/>
                <w:right w:w="0" w:type="dxa"/>
              </w:tblCellMar>
              <w:tblLook w:val="04A0" w:firstRow="1" w:lastRow="0" w:firstColumn="1" w:lastColumn="0" w:noHBand="0" w:noVBand="1"/>
            </w:tblPr>
            <w:tblGrid>
              <w:gridCol w:w="20"/>
              <w:gridCol w:w="4148"/>
            </w:tblGrid>
            <w:tr w:rsidR="001E1112" w:rsidRPr="00317ABF" w14:paraId="221BB4B0" w14:textId="77777777" w:rsidTr="57457A07">
              <w:trPr>
                <w:tblCellSpacing w:w="0" w:type="dxa"/>
              </w:trPr>
              <w:tc>
                <w:tcPr>
                  <w:tcW w:w="6" w:type="dxa"/>
                  <w:hideMark/>
                </w:tcPr>
                <w:p w14:paraId="39AA02EC" w14:textId="77777777" w:rsidR="001E1112" w:rsidRPr="00317ABF" w:rsidRDefault="001E1112" w:rsidP="00EE0AC3">
                  <w:pPr>
                    <w:framePr w:hSpace="141" w:wrap="around" w:vAnchor="text" w:hAnchor="text" w:xAlign="right" w:y="1"/>
                    <w:spacing w:before="120"/>
                    <w:suppressOverlap/>
                    <w:jc w:val="both"/>
                    <w:rPr>
                      <w:sz w:val="22"/>
                      <w:szCs w:val="22"/>
                    </w:rPr>
                  </w:pPr>
                </w:p>
              </w:tc>
              <w:tc>
                <w:tcPr>
                  <w:tcW w:w="9066" w:type="dxa"/>
                  <w:hideMark/>
                </w:tcPr>
                <w:p w14:paraId="5DBAB90C" w14:textId="77777777" w:rsidR="001E1112" w:rsidRPr="00317ABF" w:rsidRDefault="001E1112" w:rsidP="00EE0AC3">
                  <w:pPr>
                    <w:framePr w:hSpace="141" w:wrap="around" w:vAnchor="text" w:hAnchor="text" w:xAlign="right" w:y="1"/>
                    <w:numPr>
                      <w:ilvl w:val="0"/>
                      <w:numId w:val="27"/>
                    </w:numPr>
                    <w:spacing w:before="120"/>
                    <w:suppressOverlap/>
                    <w:jc w:val="both"/>
                    <w:rPr>
                      <w:sz w:val="22"/>
                      <w:szCs w:val="22"/>
                    </w:rPr>
                  </w:pPr>
                  <w:r w:rsidRPr="00317ABF">
                    <w:rPr>
                      <w:sz w:val="22"/>
                      <w:szCs w:val="22"/>
                    </w:rPr>
                    <w:t>uwzględnienie kosztów wiążących się z warunkami, którymi obwarowano te prawa; oraz</w:t>
                  </w:r>
                </w:p>
              </w:tc>
            </w:tr>
          </w:tbl>
          <w:p w14:paraId="328E887E" w14:textId="77777777" w:rsidR="001E1112" w:rsidRPr="00317ABF" w:rsidRDefault="001E1112" w:rsidP="00DB3BEC">
            <w:pPr>
              <w:jc w:val="both"/>
              <w:rPr>
                <w:vanish/>
                <w:sz w:val="22"/>
                <w:szCs w:val="22"/>
              </w:rPr>
            </w:pPr>
          </w:p>
          <w:tbl>
            <w:tblPr>
              <w:tblW w:w="5000" w:type="pct"/>
              <w:tblCellSpacing w:w="0" w:type="dxa"/>
              <w:tblLayout w:type="fixed"/>
              <w:tblCellMar>
                <w:left w:w="0" w:type="dxa"/>
                <w:right w:w="0" w:type="dxa"/>
              </w:tblCellMar>
              <w:tblLook w:val="04A0" w:firstRow="1" w:lastRow="0" w:firstColumn="1" w:lastColumn="0" w:noHBand="0" w:noVBand="1"/>
            </w:tblPr>
            <w:tblGrid>
              <w:gridCol w:w="20"/>
              <w:gridCol w:w="4148"/>
            </w:tblGrid>
            <w:tr w:rsidR="001E1112" w:rsidRPr="00317ABF" w14:paraId="79AF7FD5" w14:textId="77777777" w:rsidTr="57457A07">
              <w:trPr>
                <w:tblCellSpacing w:w="0" w:type="dxa"/>
              </w:trPr>
              <w:tc>
                <w:tcPr>
                  <w:tcW w:w="6" w:type="dxa"/>
                  <w:hideMark/>
                </w:tcPr>
                <w:p w14:paraId="5A4440EE" w14:textId="77777777" w:rsidR="001E1112" w:rsidRPr="00317ABF" w:rsidRDefault="001E1112" w:rsidP="00EE0AC3">
                  <w:pPr>
                    <w:framePr w:hSpace="141" w:wrap="around" w:vAnchor="text" w:hAnchor="text" w:xAlign="right" w:y="1"/>
                    <w:spacing w:before="120"/>
                    <w:suppressOverlap/>
                    <w:jc w:val="both"/>
                    <w:rPr>
                      <w:sz w:val="22"/>
                      <w:szCs w:val="22"/>
                    </w:rPr>
                  </w:pPr>
                </w:p>
              </w:tc>
              <w:tc>
                <w:tcPr>
                  <w:tcW w:w="9066" w:type="dxa"/>
                  <w:hideMark/>
                </w:tcPr>
                <w:p w14:paraId="06A61A25" w14:textId="77777777" w:rsidR="001E1112" w:rsidRPr="00317ABF" w:rsidRDefault="001E1112" w:rsidP="00EE0AC3">
                  <w:pPr>
                    <w:framePr w:hSpace="141" w:wrap="around" w:vAnchor="text" w:hAnchor="text" w:xAlign="right" w:y="1"/>
                    <w:numPr>
                      <w:ilvl w:val="0"/>
                      <w:numId w:val="27"/>
                    </w:numPr>
                    <w:spacing w:before="120"/>
                    <w:suppressOverlap/>
                    <w:jc w:val="both"/>
                    <w:rPr>
                      <w:sz w:val="22"/>
                      <w:szCs w:val="22"/>
                    </w:rPr>
                  </w:pPr>
                  <w:r w:rsidRPr="00317ABF">
                    <w:rPr>
                      <w:sz w:val="22"/>
                      <w:szCs w:val="22"/>
                    </w:rPr>
                    <w:t>stosowanie w możliwie najlepszym zakresie warunków płatności powiązanych z faktyczną dostępnością do celów praw wykorzystania danego widma radiowego.</w:t>
                  </w:r>
                </w:p>
              </w:tc>
            </w:tr>
          </w:tbl>
          <w:p w14:paraId="71E86D4E" w14:textId="77777777" w:rsidR="001E1112" w:rsidRPr="00317ABF" w:rsidRDefault="001E1112" w:rsidP="00DB3BEC">
            <w:pPr>
              <w:spacing w:before="120"/>
              <w:jc w:val="both"/>
              <w:rPr>
                <w:sz w:val="22"/>
                <w:szCs w:val="22"/>
              </w:rPr>
            </w:pPr>
          </w:p>
        </w:tc>
        <w:tc>
          <w:tcPr>
            <w:tcW w:w="986" w:type="dxa"/>
          </w:tcPr>
          <w:p w14:paraId="4AF50F37" w14:textId="1A5B2DA2" w:rsidR="001E1112" w:rsidRPr="00317ABF" w:rsidRDefault="001E1112" w:rsidP="00DB3BEC">
            <w:pPr>
              <w:jc w:val="both"/>
              <w:rPr>
                <w:sz w:val="22"/>
                <w:szCs w:val="22"/>
              </w:rPr>
            </w:pPr>
            <w:r w:rsidRPr="00317ABF">
              <w:rPr>
                <w:sz w:val="22"/>
                <w:szCs w:val="22"/>
              </w:rPr>
              <w:lastRenderedPageBreak/>
              <w:t>N</w:t>
            </w:r>
          </w:p>
        </w:tc>
        <w:tc>
          <w:tcPr>
            <w:tcW w:w="910" w:type="dxa"/>
          </w:tcPr>
          <w:p w14:paraId="747CF5AC" w14:textId="36A6EC6A" w:rsidR="001E1112" w:rsidRPr="00317ABF" w:rsidRDefault="001E1112" w:rsidP="00DB3BEC">
            <w:pPr>
              <w:pStyle w:val="Tekstpodstawowy"/>
              <w:rPr>
                <w:b/>
                <w:bCs/>
                <w:noProof/>
                <w:sz w:val="22"/>
                <w:szCs w:val="22"/>
              </w:rPr>
            </w:pPr>
            <w:r w:rsidRPr="00317ABF">
              <w:rPr>
                <w:b/>
                <w:bCs/>
                <w:noProof/>
                <w:sz w:val="22"/>
                <w:szCs w:val="22"/>
              </w:rPr>
              <w:t>Art. 24</w:t>
            </w:r>
          </w:p>
        </w:tc>
        <w:tc>
          <w:tcPr>
            <w:tcW w:w="6814" w:type="dxa"/>
            <w:gridSpan w:val="2"/>
          </w:tcPr>
          <w:p w14:paraId="782258C6" w14:textId="77777777" w:rsidR="001E1112" w:rsidRPr="00317ABF" w:rsidRDefault="001E1112" w:rsidP="00F81EBA">
            <w:pPr>
              <w:pStyle w:val="ARTartustawynprozporzdzenia"/>
              <w:spacing w:before="0" w:line="240" w:lineRule="auto"/>
              <w:rPr>
                <w:rFonts w:ascii="Times New Roman" w:hAnsi="Times New Roman" w:cs="Times New Roman"/>
                <w:sz w:val="22"/>
                <w:szCs w:val="22"/>
              </w:rPr>
            </w:pPr>
            <w:r w:rsidRPr="00317ABF">
              <w:rPr>
                <w:rStyle w:val="Ppogrubienie"/>
                <w:rFonts w:ascii="Times New Roman" w:eastAsia="Times" w:hAnsi="Times New Roman"/>
                <w:sz w:val="22"/>
                <w:szCs w:val="22"/>
              </w:rPr>
              <w:t>Art.</w:t>
            </w:r>
            <w:r w:rsidR="00F81EBA" w:rsidRPr="00317ABF">
              <w:rPr>
                <w:rStyle w:val="Ppogrubienie"/>
                <w:rFonts w:ascii="Times New Roman" w:hAnsi="Times New Roman"/>
                <w:sz w:val="22"/>
                <w:szCs w:val="22"/>
              </w:rPr>
              <w:t> </w:t>
            </w:r>
            <w:r w:rsidRPr="00317ABF">
              <w:rPr>
                <w:rStyle w:val="Ppogrubienie"/>
                <w:rFonts w:ascii="Times New Roman" w:eastAsia="Times" w:hAnsi="Times New Roman"/>
                <w:sz w:val="22"/>
                <w:szCs w:val="22"/>
              </w:rPr>
              <w:t>24.</w:t>
            </w:r>
            <w:r w:rsidRPr="00317ABF">
              <w:rPr>
                <w:rFonts w:ascii="Times New Roman" w:eastAsia="Times" w:hAnsi="Times New Roman" w:cs="Times New Roman"/>
                <w:sz w:val="22"/>
                <w:szCs w:val="22"/>
              </w:rPr>
              <w:t xml:space="preserve"> 1. Podmiot, który uzyskał prawo do dysponowania częstotliwością w rezerwacji częstotliwości, uiszcza roczną opłatę za prawo do dysponowania częstotliwością.</w:t>
            </w:r>
          </w:p>
          <w:p w14:paraId="0E8E29EA" w14:textId="77777777" w:rsidR="001E1112" w:rsidRPr="00317ABF" w:rsidRDefault="001E1112" w:rsidP="00F81EBA">
            <w:pPr>
              <w:pStyle w:val="USTustnpkodeksu"/>
              <w:spacing w:line="240" w:lineRule="auto"/>
              <w:rPr>
                <w:rFonts w:ascii="Times New Roman" w:hAnsi="Times New Roman" w:cs="Times New Roman"/>
                <w:sz w:val="22"/>
                <w:szCs w:val="22"/>
              </w:rPr>
            </w:pPr>
            <w:r w:rsidRPr="00317ABF">
              <w:rPr>
                <w:rFonts w:ascii="Times New Roman" w:eastAsia="Times" w:hAnsi="Times New Roman" w:cs="Times New Roman"/>
                <w:sz w:val="22"/>
                <w:szCs w:val="22"/>
              </w:rPr>
              <w:t xml:space="preserve">2. Wysokość opłaty, o której mowa w ust. 1, ulega obniżeniu o kwotę wynikającą z umowy inwestycyjnej, o której mowa w art. </w:t>
            </w:r>
            <w:r w:rsidR="00F81EBA" w:rsidRPr="00317ABF">
              <w:rPr>
                <w:rFonts w:ascii="Times New Roman" w:hAnsi="Times New Roman" w:cs="Times New Roman"/>
                <w:sz w:val="22"/>
                <w:szCs w:val="22"/>
              </w:rPr>
              <w:t>252</w:t>
            </w:r>
            <w:r w:rsidRPr="00317ABF">
              <w:rPr>
                <w:rFonts w:ascii="Times New Roman" w:eastAsia="Times" w:hAnsi="Times New Roman" w:cs="Times New Roman"/>
                <w:sz w:val="22"/>
                <w:szCs w:val="22"/>
              </w:rPr>
              <w:t xml:space="preserve"> ust. 1.</w:t>
            </w:r>
          </w:p>
          <w:p w14:paraId="106DE5F3" w14:textId="77777777" w:rsidR="001E1112" w:rsidRPr="00317ABF" w:rsidRDefault="001E1112" w:rsidP="00F81EBA">
            <w:pPr>
              <w:pStyle w:val="USTustnpkodeksu"/>
              <w:spacing w:line="240" w:lineRule="auto"/>
              <w:rPr>
                <w:rFonts w:ascii="Times New Roman" w:hAnsi="Times New Roman" w:cs="Times New Roman"/>
                <w:sz w:val="22"/>
                <w:szCs w:val="22"/>
              </w:rPr>
            </w:pPr>
            <w:r w:rsidRPr="00317ABF">
              <w:rPr>
                <w:rFonts w:ascii="Times New Roman" w:eastAsia="Times" w:hAnsi="Times New Roman" w:cs="Times New Roman"/>
                <w:sz w:val="22"/>
                <w:szCs w:val="22"/>
              </w:rPr>
              <w:t xml:space="preserve">3. Obowiązek ponoszenia opłaty, o której mowa w ust. 1, nie dotyczy podmiotu któremu częstotliwości zostały wydzierżawione lub przekazane do użytkowania zgodnie z art. </w:t>
            </w:r>
            <w:r w:rsidR="00F81EBA" w:rsidRPr="00317ABF">
              <w:rPr>
                <w:rFonts w:ascii="Times New Roman" w:hAnsi="Times New Roman" w:cs="Times New Roman"/>
                <w:sz w:val="22"/>
                <w:szCs w:val="22"/>
              </w:rPr>
              <w:t>96</w:t>
            </w:r>
            <w:r w:rsidRPr="00317ABF">
              <w:rPr>
                <w:rFonts w:ascii="Times New Roman" w:eastAsia="Times" w:hAnsi="Times New Roman" w:cs="Times New Roman"/>
                <w:sz w:val="22"/>
                <w:szCs w:val="22"/>
              </w:rPr>
              <w:t xml:space="preserve"> oraz podmiotu upoważnionego, o którym mowa w art. </w:t>
            </w:r>
            <w:r w:rsidR="00F81EBA" w:rsidRPr="00317ABF">
              <w:rPr>
                <w:rFonts w:ascii="Times New Roman" w:hAnsi="Times New Roman" w:cs="Times New Roman"/>
                <w:sz w:val="22"/>
                <w:szCs w:val="22"/>
              </w:rPr>
              <w:t>138</w:t>
            </w:r>
            <w:r w:rsidRPr="00317ABF">
              <w:rPr>
                <w:rFonts w:ascii="Times New Roman" w:eastAsia="Times" w:hAnsi="Times New Roman" w:cs="Times New Roman"/>
                <w:sz w:val="22"/>
                <w:szCs w:val="22"/>
              </w:rPr>
              <w:t xml:space="preserve"> ust. 4.</w:t>
            </w:r>
          </w:p>
          <w:p w14:paraId="4CF9E8E2" w14:textId="77777777" w:rsidR="001E1112" w:rsidRPr="00317ABF" w:rsidRDefault="001E1112" w:rsidP="00F81EBA">
            <w:pPr>
              <w:pStyle w:val="USTustnpkodeksu"/>
              <w:spacing w:line="240" w:lineRule="auto"/>
              <w:rPr>
                <w:rFonts w:ascii="Times New Roman" w:hAnsi="Times New Roman" w:cs="Times New Roman"/>
                <w:sz w:val="22"/>
                <w:szCs w:val="22"/>
              </w:rPr>
            </w:pPr>
            <w:r w:rsidRPr="00317ABF">
              <w:rPr>
                <w:rFonts w:ascii="Times New Roman" w:eastAsia="Times" w:hAnsi="Times New Roman" w:cs="Times New Roman"/>
                <w:sz w:val="22"/>
                <w:szCs w:val="22"/>
              </w:rPr>
              <w:t>4. Podmiot nieposiadający rezerwacji częstotliwości, który uzyskał prawo do wykorzystywania częstotliwości w pozwoleniu</w:t>
            </w:r>
            <w:r w:rsidR="00F81EBA" w:rsidRPr="00317ABF">
              <w:rPr>
                <w:rFonts w:ascii="Times New Roman" w:hAnsi="Times New Roman" w:cs="Times New Roman"/>
                <w:sz w:val="22"/>
                <w:szCs w:val="22"/>
              </w:rPr>
              <w:t xml:space="preserve"> radiowym</w:t>
            </w:r>
            <w:r w:rsidRPr="00317ABF">
              <w:rPr>
                <w:rFonts w:ascii="Times New Roman" w:eastAsia="Times" w:hAnsi="Times New Roman" w:cs="Times New Roman"/>
                <w:sz w:val="22"/>
                <w:szCs w:val="22"/>
              </w:rPr>
              <w:t xml:space="preserve">, na podstawie decyzji, o której mowa w art. </w:t>
            </w:r>
            <w:r w:rsidR="00F81EBA" w:rsidRPr="00317ABF">
              <w:rPr>
                <w:rFonts w:ascii="Times New Roman" w:hAnsi="Times New Roman" w:cs="Times New Roman"/>
                <w:sz w:val="22"/>
                <w:szCs w:val="22"/>
              </w:rPr>
              <w:t>152</w:t>
            </w:r>
            <w:r w:rsidRPr="00317ABF">
              <w:rPr>
                <w:rFonts w:ascii="Times New Roman" w:eastAsia="Times" w:hAnsi="Times New Roman" w:cs="Times New Roman"/>
                <w:sz w:val="22"/>
                <w:szCs w:val="22"/>
              </w:rPr>
              <w:t xml:space="preserve"> lub art. </w:t>
            </w:r>
            <w:r w:rsidR="00F81EBA" w:rsidRPr="00317ABF">
              <w:rPr>
                <w:rFonts w:ascii="Times New Roman" w:hAnsi="Times New Roman" w:cs="Times New Roman"/>
                <w:sz w:val="22"/>
                <w:szCs w:val="22"/>
              </w:rPr>
              <w:t>153</w:t>
            </w:r>
            <w:r w:rsidRPr="00317ABF">
              <w:rPr>
                <w:rFonts w:ascii="Times New Roman" w:eastAsia="Times" w:hAnsi="Times New Roman" w:cs="Times New Roman"/>
                <w:sz w:val="22"/>
                <w:szCs w:val="22"/>
              </w:rPr>
              <w:t xml:space="preserve"> uiszcza roczną opłatę, o której mowa w ust. 1.</w:t>
            </w:r>
          </w:p>
          <w:p w14:paraId="6EC06CB8" w14:textId="77777777" w:rsidR="001E1112" w:rsidRPr="00317ABF" w:rsidRDefault="001E1112" w:rsidP="00F81EBA">
            <w:pPr>
              <w:pStyle w:val="USTustnpkodeksu"/>
              <w:spacing w:line="240" w:lineRule="auto"/>
              <w:rPr>
                <w:rFonts w:ascii="Times New Roman" w:hAnsi="Times New Roman" w:cs="Times New Roman"/>
                <w:sz w:val="22"/>
                <w:szCs w:val="22"/>
              </w:rPr>
            </w:pPr>
            <w:r w:rsidRPr="00317ABF">
              <w:rPr>
                <w:rFonts w:ascii="Times New Roman" w:eastAsia="Times" w:hAnsi="Times New Roman" w:cs="Times New Roman"/>
                <w:sz w:val="22"/>
                <w:szCs w:val="22"/>
              </w:rPr>
              <w:t xml:space="preserve">5. Podmiot, na rzecz którego dokonano rezerwacji częstotliwości w drodze postępowania, o którym mowa w art. </w:t>
            </w:r>
            <w:r w:rsidR="00F81EBA" w:rsidRPr="00317ABF">
              <w:rPr>
                <w:rFonts w:ascii="Times New Roman" w:hAnsi="Times New Roman" w:cs="Times New Roman"/>
                <w:sz w:val="22"/>
                <w:szCs w:val="22"/>
              </w:rPr>
              <w:t>104</w:t>
            </w:r>
            <w:r w:rsidRPr="00317ABF">
              <w:rPr>
                <w:rFonts w:ascii="Times New Roman" w:eastAsia="Times" w:hAnsi="Times New Roman" w:cs="Times New Roman"/>
                <w:sz w:val="22"/>
                <w:szCs w:val="22"/>
              </w:rPr>
              <w:t xml:space="preserve"> ust. 3, uiszcza dodatkową </w:t>
            </w:r>
            <w:r w:rsidRPr="00317ABF">
              <w:rPr>
                <w:rFonts w:ascii="Times New Roman" w:eastAsia="Times" w:hAnsi="Times New Roman" w:cs="Times New Roman"/>
                <w:sz w:val="22"/>
                <w:szCs w:val="22"/>
              </w:rPr>
              <w:lastRenderedPageBreak/>
              <w:t>opłatę za dokonanie rezerwacji częstotliwości, w terminie 14 dni od dnia doręczenia decyzji w sprawie rezerwacji częstotliwości, w kwocie zadeklarowanej w tym postępowaniu, nie niższej niż opłata roczna, o której mowa w ust. 1, ustalonej zgodnie z warunkami podanymi w rezerwacji częstotliwości.</w:t>
            </w:r>
          </w:p>
          <w:p w14:paraId="1412C2C7" w14:textId="77777777" w:rsidR="001E1112" w:rsidRPr="00317ABF" w:rsidRDefault="001E1112" w:rsidP="00F81EBA">
            <w:pPr>
              <w:pStyle w:val="USTustnpkodeksu"/>
              <w:keepNext/>
              <w:spacing w:line="240" w:lineRule="auto"/>
              <w:rPr>
                <w:rFonts w:ascii="Times New Roman" w:hAnsi="Times New Roman" w:cs="Times New Roman"/>
                <w:sz w:val="22"/>
                <w:szCs w:val="22"/>
              </w:rPr>
            </w:pPr>
            <w:r w:rsidRPr="00317ABF">
              <w:rPr>
                <w:rFonts w:ascii="Times New Roman" w:eastAsia="Times" w:hAnsi="Times New Roman" w:cs="Times New Roman"/>
                <w:sz w:val="22"/>
                <w:szCs w:val="22"/>
              </w:rPr>
              <w:t xml:space="preserve">6. Podmiot, na rzecz którego dokonano rezerwacji częstotliwości na kolejny okres w drodze postępowania, o którym mowa w art. </w:t>
            </w:r>
            <w:r w:rsidR="00F81EBA" w:rsidRPr="00317ABF">
              <w:rPr>
                <w:rFonts w:ascii="Times New Roman" w:hAnsi="Times New Roman" w:cs="Times New Roman"/>
                <w:sz w:val="22"/>
                <w:szCs w:val="22"/>
              </w:rPr>
              <w:t>93</w:t>
            </w:r>
            <w:r w:rsidRPr="00317ABF">
              <w:rPr>
                <w:rFonts w:ascii="Times New Roman" w:eastAsia="Times" w:hAnsi="Times New Roman" w:cs="Times New Roman"/>
                <w:sz w:val="22"/>
                <w:szCs w:val="22"/>
              </w:rPr>
              <w:t xml:space="preserve"> ust. 1, uiszcza w terminie 14 dni od dnia doręczenia decyzji w sprawie rezerwacji częstotliwości jednorazową opłatę za dokonanie rezerwacji częstotliwości na kolejny okres w kwocie stanowiącej iloczyn:</w:t>
            </w:r>
          </w:p>
          <w:p w14:paraId="55FC1B0B" w14:textId="77777777" w:rsidR="00F81EBA" w:rsidRPr="00317ABF" w:rsidRDefault="00F81EBA" w:rsidP="00F81EBA">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1)</w:t>
            </w:r>
            <w:r w:rsidRPr="00317ABF">
              <w:rPr>
                <w:rFonts w:ascii="Times New Roman" w:hAnsi="Times New Roman" w:cs="Times New Roman"/>
                <w:sz w:val="22"/>
                <w:szCs w:val="22"/>
              </w:rPr>
              <w:tab/>
              <w:t>wartości częstotliwości o szerokości 1 MHz dla takiego samego obszaru i wykorzystywania częstotliwości, uzyskanej w wyniku przeprowadzenia ostatniego przetargu, aukcji albo konkursu na rezerwację częstotliwości z danego zakresu częstotliwości;</w:t>
            </w:r>
          </w:p>
          <w:p w14:paraId="43A65CC6" w14:textId="77777777" w:rsidR="00F81EBA" w:rsidRPr="00317ABF" w:rsidRDefault="00F81EBA" w:rsidP="00F81EBA">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2)</w:t>
            </w:r>
            <w:r w:rsidRPr="00317ABF">
              <w:rPr>
                <w:rFonts w:ascii="Times New Roman" w:hAnsi="Times New Roman" w:cs="Times New Roman"/>
                <w:sz w:val="22"/>
                <w:szCs w:val="22"/>
              </w:rPr>
              <w:tab/>
            </w:r>
            <w:r w:rsidRPr="00317ABF" w:rsidDel="002A743C">
              <w:rPr>
                <w:rFonts w:ascii="Times New Roman" w:hAnsi="Times New Roman" w:cs="Times New Roman"/>
                <w:sz w:val="22"/>
                <w:szCs w:val="22"/>
              </w:rPr>
              <w:t xml:space="preserve">ilości </w:t>
            </w:r>
            <w:r w:rsidRPr="00317ABF">
              <w:rPr>
                <w:rFonts w:ascii="Times New Roman" w:hAnsi="Times New Roman" w:cs="Times New Roman"/>
                <w:sz w:val="22"/>
                <w:szCs w:val="22"/>
              </w:rPr>
              <w:t>MHz objętych rezerwacją częstotliwości na kolejny okres oraz</w:t>
            </w:r>
          </w:p>
          <w:p w14:paraId="0E758E6D" w14:textId="77777777" w:rsidR="001E1112" w:rsidRPr="00317ABF" w:rsidRDefault="001E1112" w:rsidP="00F81EBA">
            <w:pPr>
              <w:pStyle w:val="PKTpunkt0"/>
              <w:spacing w:line="240" w:lineRule="auto"/>
              <w:rPr>
                <w:rFonts w:ascii="Times New Roman" w:hAnsi="Times New Roman" w:cs="Times New Roman"/>
                <w:sz w:val="22"/>
                <w:szCs w:val="22"/>
              </w:rPr>
            </w:pPr>
            <w:r w:rsidRPr="00317ABF">
              <w:rPr>
                <w:rFonts w:ascii="Times New Roman" w:eastAsia="Times" w:hAnsi="Times New Roman" w:cs="Times New Roman"/>
                <w:sz w:val="22"/>
                <w:szCs w:val="22"/>
              </w:rPr>
              <w:t>3)</w:t>
            </w:r>
            <w:r w:rsidR="00F81EBA" w:rsidRPr="00317ABF">
              <w:rPr>
                <w:rFonts w:ascii="Times New Roman" w:hAnsi="Times New Roman" w:cs="Times New Roman"/>
                <w:sz w:val="22"/>
                <w:szCs w:val="22"/>
              </w:rPr>
              <w:tab/>
            </w:r>
            <w:r w:rsidRPr="00317ABF">
              <w:rPr>
                <w:rFonts w:ascii="Times New Roman" w:eastAsia="Times" w:hAnsi="Times New Roman" w:cs="Times New Roman"/>
                <w:sz w:val="22"/>
                <w:szCs w:val="22"/>
              </w:rPr>
              <w:t>średniorocznych wskaźników cen towarów i usług konsumpcyjnych ogółem udostępnianych przez Prezesa Głównego Urzędu Statystycznego, za okres od roku, w którym przeprowadzono ostatni przetarg, aukcję albo konkurs na rezerwację częstotliwości, o których mowa w pkt 1, do roku poprzedzającego rok, w którym złożono wniosek o dokonanie rezerwacji częstotliwości na kolejny okres.</w:t>
            </w:r>
          </w:p>
          <w:p w14:paraId="00C450FD" w14:textId="5E87E97D" w:rsidR="001E1112" w:rsidRPr="00317ABF" w:rsidRDefault="001E1112" w:rsidP="00F81EBA">
            <w:pPr>
              <w:pStyle w:val="USTustnpkodeksu"/>
              <w:spacing w:line="240" w:lineRule="auto"/>
              <w:rPr>
                <w:rFonts w:ascii="Times New Roman" w:hAnsi="Times New Roman" w:cs="Times New Roman"/>
                <w:sz w:val="22"/>
                <w:szCs w:val="22"/>
              </w:rPr>
            </w:pPr>
            <w:r w:rsidRPr="00317ABF">
              <w:rPr>
                <w:rFonts w:ascii="Times New Roman" w:eastAsia="Times" w:hAnsi="Times New Roman" w:cs="Times New Roman"/>
                <w:sz w:val="22"/>
                <w:szCs w:val="22"/>
              </w:rPr>
              <w:t>7. W przypadku dokonania rezerwacji częstotliwości na kolejny okres, inny niż okres, na który wydano rezerwację częstotliwości, o których mowa w ust. 6 pkt 1, opłatę określa się proporcjonalnie do okresu, na jaki dokonywana jest ta rezerwacja częstotliwości.</w:t>
            </w:r>
          </w:p>
          <w:p w14:paraId="4D0ECB12" w14:textId="47C7DBBE" w:rsidR="001E1112" w:rsidRPr="00317ABF" w:rsidRDefault="001E1112" w:rsidP="00F81EBA">
            <w:pPr>
              <w:pStyle w:val="USTustnpkodeksu"/>
              <w:spacing w:line="240" w:lineRule="auto"/>
              <w:rPr>
                <w:rFonts w:ascii="Times New Roman" w:hAnsi="Times New Roman" w:cs="Times New Roman"/>
                <w:sz w:val="22"/>
                <w:szCs w:val="22"/>
              </w:rPr>
            </w:pPr>
            <w:r w:rsidRPr="00317ABF">
              <w:rPr>
                <w:rFonts w:ascii="Times New Roman" w:eastAsia="Times" w:hAnsi="Times New Roman" w:cs="Times New Roman"/>
                <w:sz w:val="22"/>
                <w:szCs w:val="22"/>
              </w:rPr>
              <w:t>8. Jeżeli w wyniku przetargu, aukcji albo konkursu dokonano więcej niż jednej rezerwacji częstotliwości, wartość częstotliwości o szerokości 1 MHz, o której mowa w ust. 6 pkt 1, zostaje uśredniona w stosunku do opłat jednorazowych za rezerwację częstotliwości, zadeklarowanych przez wyłonione podmioty.</w:t>
            </w:r>
          </w:p>
          <w:p w14:paraId="2DD7DB2F" w14:textId="3CBFF734" w:rsidR="001E1112" w:rsidRPr="00317ABF" w:rsidRDefault="001E1112" w:rsidP="00F81EBA">
            <w:pPr>
              <w:pStyle w:val="USTustnpkodeksu"/>
              <w:spacing w:line="240" w:lineRule="auto"/>
              <w:rPr>
                <w:rFonts w:ascii="Times New Roman" w:hAnsi="Times New Roman" w:cs="Times New Roman"/>
                <w:sz w:val="22"/>
                <w:szCs w:val="22"/>
              </w:rPr>
            </w:pPr>
            <w:r w:rsidRPr="00317ABF">
              <w:rPr>
                <w:rFonts w:ascii="Times New Roman" w:eastAsia="Times" w:hAnsi="Times New Roman" w:cs="Times New Roman"/>
                <w:sz w:val="22"/>
                <w:szCs w:val="22"/>
              </w:rPr>
              <w:t>9. W przypadku złożenia wniosku o dokonanie rezerwacji częstotliwości na kolejny okres z zakresu, dla którego nie były wcześniej przeprowadzone przetarg, aukcja albo konkurs albo zostały one przeprowadzone, ale nie zostały rozstrzygnięte, kwotę opłaty ustala Prezes UKE na podstawie opinii powołanego przez siebie biegłego lub biegłych w przedmiocie wartości rynkowej tych częstotliwości. Koszt opinii biegłego lub biegłych ponosi podmiot, który złożył wniosek o dokonanie rezerwacji częstotliwości na kolejny okres, w terminie 14 dni od dnia zawiadomienia wnioskodawcy przez Prezesa UKE o sporządzeniu opinii.</w:t>
            </w:r>
          </w:p>
          <w:p w14:paraId="70EA28CB" w14:textId="00B72CA0" w:rsidR="001E1112" w:rsidRPr="00317ABF" w:rsidRDefault="001E1112" w:rsidP="00F81EBA">
            <w:pPr>
              <w:pStyle w:val="USTustnpkodeksu"/>
              <w:keepNext/>
              <w:spacing w:line="240" w:lineRule="auto"/>
              <w:rPr>
                <w:rFonts w:ascii="Times New Roman" w:hAnsi="Times New Roman" w:cs="Times New Roman"/>
                <w:sz w:val="22"/>
                <w:szCs w:val="22"/>
              </w:rPr>
            </w:pPr>
            <w:r w:rsidRPr="00317ABF">
              <w:rPr>
                <w:rFonts w:ascii="Times New Roman" w:eastAsia="Times" w:hAnsi="Times New Roman" w:cs="Times New Roman"/>
                <w:sz w:val="22"/>
                <w:szCs w:val="22"/>
              </w:rPr>
              <w:lastRenderedPageBreak/>
              <w:t>10. Opłaty, o których mowa w ust. 1, w poszczególnych służbach radiokomunikacyjnych nie mogą być wyższe niż:</w:t>
            </w:r>
          </w:p>
          <w:p w14:paraId="516317D1" w14:textId="77777777" w:rsidR="00F81EBA" w:rsidRPr="00317ABF" w:rsidRDefault="00F81EBA" w:rsidP="00F81EBA">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1)</w:t>
            </w:r>
            <w:r w:rsidRPr="00317ABF">
              <w:rPr>
                <w:rFonts w:ascii="Times New Roman" w:hAnsi="Times New Roman" w:cs="Times New Roman"/>
                <w:sz w:val="22"/>
                <w:szCs w:val="22"/>
              </w:rPr>
              <w:tab/>
              <w:t>w służbie stałej satelitarnej za prawo do dysponowania częstotliwością przez jedną stację – 20 000 złotych;</w:t>
            </w:r>
          </w:p>
          <w:p w14:paraId="61959C6B" w14:textId="77777777" w:rsidR="00F81EBA" w:rsidRPr="00317ABF" w:rsidRDefault="00F81EBA" w:rsidP="00F81EBA">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2)</w:t>
            </w:r>
            <w:r w:rsidRPr="00317ABF">
              <w:rPr>
                <w:rFonts w:ascii="Times New Roman" w:hAnsi="Times New Roman" w:cs="Times New Roman"/>
                <w:sz w:val="22"/>
                <w:szCs w:val="22"/>
              </w:rPr>
              <w:tab/>
              <w:t>w służbie satelitarnego badania ziemi za prawo do dysponowania częstotliwością przez jedną stację – 5000 złotych;</w:t>
            </w:r>
          </w:p>
          <w:p w14:paraId="439E9980" w14:textId="77777777" w:rsidR="00F81EBA" w:rsidRPr="00317ABF" w:rsidRDefault="00F81EBA" w:rsidP="00F81EBA">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3)</w:t>
            </w:r>
            <w:r w:rsidRPr="00317ABF">
              <w:rPr>
                <w:rFonts w:ascii="Times New Roman" w:hAnsi="Times New Roman" w:cs="Times New Roman"/>
                <w:sz w:val="22"/>
                <w:szCs w:val="22"/>
              </w:rPr>
              <w:tab/>
              <w:t>w służbie meteorologii satelitarnej za prawo do dysponowania częstotliwością przez jedną stację – 5000 złotych;</w:t>
            </w:r>
          </w:p>
          <w:p w14:paraId="36739B2B" w14:textId="77777777" w:rsidR="00F81EBA" w:rsidRPr="00317ABF" w:rsidRDefault="00F81EBA" w:rsidP="00F81EBA">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4)</w:t>
            </w:r>
            <w:r w:rsidRPr="00317ABF">
              <w:rPr>
                <w:rFonts w:ascii="Times New Roman" w:hAnsi="Times New Roman" w:cs="Times New Roman"/>
                <w:sz w:val="22"/>
                <w:szCs w:val="22"/>
              </w:rPr>
              <w:tab/>
              <w:t>w służbie radionawigacji satelitarnej za prawo do dysponowania częstotliwością przez jedną stację – 5000 złotych;</w:t>
            </w:r>
          </w:p>
          <w:p w14:paraId="0C148808" w14:textId="77777777" w:rsidR="00F81EBA" w:rsidRPr="00317ABF" w:rsidRDefault="00F81EBA" w:rsidP="00F81EBA">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5)</w:t>
            </w:r>
            <w:r w:rsidRPr="00317ABF">
              <w:rPr>
                <w:rFonts w:ascii="Times New Roman" w:hAnsi="Times New Roman" w:cs="Times New Roman"/>
                <w:sz w:val="22"/>
                <w:szCs w:val="22"/>
              </w:rPr>
              <w:tab/>
              <w:t>w służbie operacji kosmicznych za prawo do dysponowania częstotliwością przez jedną stację – 5000 złotych;</w:t>
            </w:r>
          </w:p>
          <w:p w14:paraId="0AB3525B" w14:textId="77777777" w:rsidR="00F81EBA" w:rsidRPr="00317ABF" w:rsidRDefault="00F81EBA" w:rsidP="00F81EBA">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6)</w:t>
            </w:r>
            <w:r w:rsidRPr="00317ABF">
              <w:rPr>
                <w:rFonts w:ascii="Times New Roman" w:hAnsi="Times New Roman" w:cs="Times New Roman"/>
                <w:sz w:val="22"/>
                <w:szCs w:val="22"/>
              </w:rPr>
              <w:tab/>
              <w:t>w służbie badań kosmosu za prawo do dysponowania częstotliwością przez jedną stację – 5000 złotych;</w:t>
            </w:r>
          </w:p>
          <w:p w14:paraId="1C6B306C" w14:textId="77777777" w:rsidR="00F81EBA" w:rsidRPr="00317ABF" w:rsidRDefault="00F81EBA" w:rsidP="00F81EBA">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7)</w:t>
            </w:r>
            <w:r w:rsidRPr="00317ABF">
              <w:rPr>
                <w:rFonts w:ascii="Times New Roman" w:hAnsi="Times New Roman" w:cs="Times New Roman"/>
                <w:sz w:val="22"/>
                <w:szCs w:val="22"/>
              </w:rPr>
              <w:tab/>
              <w:t>w służbie radiodyfuzji satelitarnej za prawo do dysponowania częstotliwością przez jedną stację – 40 000 złotych;</w:t>
            </w:r>
          </w:p>
          <w:p w14:paraId="572D5E06" w14:textId="77777777" w:rsidR="00F81EBA" w:rsidRPr="00317ABF" w:rsidRDefault="00F81EBA" w:rsidP="00F81EBA">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8)</w:t>
            </w:r>
            <w:r w:rsidRPr="00317ABF">
              <w:rPr>
                <w:rFonts w:ascii="Times New Roman" w:hAnsi="Times New Roman" w:cs="Times New Roman"/>
                <w:sz w:val="22"/>
                <w:szCs w:val="22"/>
              </w:rPr>
              <w:tab/>
              <w:t>w służbie ruchomej satelitarnej za prawo do dysponowania częstotliwością przez jedną stację – 80 000 złotych;</w:t>
            </w:r>
          </w:p>
          <w:p w14:paraId="027CEE44" w14:textId="77777777" w:rsidR="00F81EBA" w:rsidRPr="00317ABF" w:rsidRDefault="00F81EBA" w:rsidP="00F81EBA">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9)</w:t>
            </w:r>
            <w:r w:rsidRPr="00317ABF">
              <w:rPr>
                <w:rFonts w:ascii="Times New Roman" w:hAnsi="Times New Roman" w:cs="Times New Roman"/>
                <w:sz w:val="22"/>
                <w:szCs w:val="22"/>
              </w:rPr>
              <w:tab/>
              <w:t>w służbie ruchomej satelitarnej za prawo do dysponowania częstotliwościami o łącznej szerokości 1 MHz wykorzystywanymi przez uzupełniające elementy naziemne systemów satelitarnej komunikacji ruchomej na obszarze jednej gminy lub mniejszym – 500 złotych;</w:t>
            </w:r>
          </w:p>
          <w:p w14:paraId="0DCD5144" w14:textId="77777777" w:rsidR="00F81EBA" w:rsidRPr="00317ABF" w:rsidRDefault="00F81EBA" w:rsidP="00F81EBA">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10)</w:t>
            </w:r>
            <w:r w:rsidRPr="00317ABF">
              <w:rPr>
                <w:rFonts w:ascii="Times New Roman" w:hAnsi="Times New Roman" w:cs="Times New Roman"/>
                <w:sz w:val="22"/>
                <w:szCs w:val="22"/>
              </w:rPr>
              <w:tab/>
              <w:t>w służbie radiolokalizacyjnej za prawo do dysponowania częstotliwością przez jedną stację radarową – 1000 zł;</w:t>
            </w:r>
          </w:p>
          <w:p w14:paraId="18B357C7" w14:textId="77777777" w:rsidR="00F81EBA" w:rsidRPr="00317ABF" w:rsidRDefault="00F81EBA" w:rsidP="00F81EBA">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11)</w:t>
            </w:r>
            <w:r w:rsidRPr="00317ABF">
              <w:rPr>
                <w:rFonts w:ascii="Times New Roman" w:hAnsi="Times New Roman" w:cs="Times New Roman"/>
                <w:sz w:val="22"/>
                <w:szCs w:val="22"/>
              </w:rPr>
              <w:tab/>
              <w:t>w służbie lotniczej za prawo do dysponowania częstotliwościami o łącznej szerokości 1 kHz przez jeden system lotniskowy – 100 złotych;</w:t>
            </w:r>
          </w:p>
          <w:p w14:paraId="333B2F02" w14:textId="77777777" w:rsidR="00F81EBA" w:rsidRPr="00317ABF" w:rsidRDefault="00F81EBA" w:rsidP="00F81EBA">
            <w:pPr>
              <w:pStyle w:val="PKTpunkt0"/>
              <w:keepNext/>
              <w:spacing w:line="240" w:lineRule="auto"/>
              <w:rPr>
                <w:rFonts w:ascii="Times New Roman" w:hAnsi="Times New Roman" w:cs="Times New Roman"/>
                <w:sz w:val="22"/>
                <w:szCs w:val="22"/>
              </w:rPr>
            </w:pPr>
            <w:r w:rsidRPr="00317ABF">
              <w:rPr>
                <w:rFonts w:ascii="Times New Roman" w:hAnsi="Times New Roman" w:cs="Times New Roman"/>
                <w:sz w:val="22"/>
                <w:szCs w:val="22"/>
              </w:rPr>
              <w:t>12)</w:t>
            </w:r>
            <w:r w:rsidRPr="00317ABF">
              <w:rPr>
                <w:rFonts w:ascii="Times New Roman" w:hAnsi="Times New Roman" w:cs="Times New Roman"/>
                <w:sz w:val="22"/>
                <w:szCs w:val="22"/>
              </w:rPr>
              <w:tab/>
              <w:t>w służbie morskiej i żeglugi śródlądowej:</w:t>
            </w:r>
          </w:p>
          <w:p w14:paraId="00871EAC" w14:textId="77777777" w:rsidR="00F81EBA" w:rsidRPr="00317ABF" w:rsidRDefault="00F81EBA" w:rsidP="00F81EBA">
            <w:pPr>
              <w:pStyle w:val="LITlitera"/>
              <w:spacing w:line="240" w:lineRule="auto"/>
              <w:rPr>
                <w:rFonts w:ascii="Times New Roman" w:hAnsi="Times New Roman" w:cs="Times New Roman"/>
                <w:sz w:val="22"/>
                <w:szCs w:val="22"/>
              </w:rPr>
            </w:pPr>
            <w:r w:rsidRPr="00317ABF">
              <w:rPr>
                <w:rFonts w:ascii="Times New Roman" w:hAnsi="Times New Roman" w:cs="Times New Roman"/>
                <w:sz w:val="22"/>
                <w:szCs w:val="22"/>
              </w:rPr>
              <w:t>a)</w:t>
            </w:r>
            <w:r w:rsidRPr="00317ABF">
              <w:rPr>
                <w:rFonts w:ascii="Times New Roman" w:hAnsi="Times New Roman" w:cs="Times New Roman"/>
                <w:sz w:val="22"/>
                <w:szCs w:val="22"/>
              </w:rPr>
              <w:tab/>
              <w:t>za prawo do dysponowania częstotliwościami o łącznej szerokości 1 kHz przez jedną stację nadbrzeżną w relacji łączności brzeg – statek – 100 złotych,</w:t>
            </w:r>
          </w:p>
          <w:p w14:paraId="5AB04FC6" w14:textId="77777777" w:rsidR="00F81EBA" w:rsidRPr="00317ABF" w:rsidRDefault="00F81EBA" w:rsidP="00F81EBA">
            <w:pPr>
              <w:pStyle w:val="LITlitera"/>
              <w:spacing w:line="240" w:lineRule="auto"/>
              <w:rPr>
                <w:rFonts w:ascii="Times New Roman" w:hAnsi="Times New Roman" w:cs="Times New Roman"/>
                <w:sz w:val="22"/>
                <w:szCs w:val="22"/>
              </w:rPr>
            </w:pPr>
            <w:r w:rsidRPr="00317ABF">
              <w:rPr>
                <w:rFonts w:ascii="Times New Roman" w:hAnsi="Times New Roman" w:cs="Times New Roman"/>
                <w:sz w:val="22"/>
                <w:szCs w:val="22"/>
              </w:rPr>
              <w:t>b)</w:t>
            </w:r>
            <w:r w:rsidRPr="00317ABF">
              <w:rPr>
                <w:rFonts w:ascii="Times New Roman" w:hAnsi="Times New Roman" w:cs="Times New Roman"/>
                <w:sz w:val="22"/>
                <w:szCs w:val="22"/>
              </w:rPr>
              <w:tab/>
              <w:t>za prawo do dysponowania częstotliwościami o łącznej szerokości 1 kHz przez każdą stację lądową przewoźną lub przenośną w relacji łączności brzeg – statek – 100 złotych;</w:t>
            </w:r>
          </w:p>
          <w:p w14:paraId="38F14DFA" w14:textId="77777777" w:rsidR="00F81EBA" w:rsidRPr="00317ABF" w:rsidRDefault="00F81EBA" w:rsidP="00F81EBA">
            <w:pPr>
              <w:pStyle w:val="PKTpunkt0"/>
              <w:keepNext/>
              <w:spacing w:line="240" w:lineRule="auto"/>
              <w:rPr>
                <w:rFonts w:ascii="Times New Roman" w:hAnsi="Times New Roman" w:cs="Times New Roman"/>
                <w:sz w:val="22"/>
                <w:szCs w:val="22"/>
              </w:rPr>
            </w:pPr>
            <w:r w:rsidRPr="00317ABF">
              <w:rPr>
                <w:rFonts w:ascii="Times New Roman" w:hAnsi="Times New Roman" w:cs="Times New Roman"/>
                <w:sz w:val="22"/>
                <w:szCs w:val="22"/>
              </w:rPr>
              <w:t>13)</w:t>
            </w:r>
            <w:r w:rsidRPr="00317ABF">
              <w:rPr>
                <w:rFonts w:ascii="Times New Roman" w:hAnsi="Times New Roman" w:cs="Times New Roman"/>
                <w:sz w:val="22"/>
                <w:szCs w:val="22"/>
              </w:rPr>
              <w:tab/>
              <w:t>w służbie radiodyfuzji naziemnej:</w:t>
            </w:r>
          </w:p>
          <w:p w14:paraId="1C49361B" w14:textId="77777777" w:rsidR="00F81EBA" w:rsidRPr="00317ABF" w:rsidRDefault="00F81EBA" w:rsidP="00F81EBA">
            <w:pPr>
              <w:pStyle w:val="LITlitera"/>
              <w:spacing w:line="240" w:lineRule="auto"/>
              <w:rPr>
                <w:rFonts w:ascii="Times New Roman" w:hAnsi="Times New Roman" w:cs="Times New Roman"/>
                <w:sz w:val="22"/>
                <w:szCs w:val="22"/>
              </w:rPr>
            </w:pPr>
            <w:r w:rsidRPr="00317ABF">
              <w:rPr>
                <w:rFonts w:ascii="Times New Roman" w:hAnsi="Times New Roman" w:cs="Times New Roman"/>
                <w:sz w:val="22"/>
                <w:szCs w:val="22"/>
              </w:rPr>
              <w:t>a)</w:t>
            </w:r>
            <w:r w:rsidRPr="00317ABF">
              <w:rPr>
                <w:rFonts w:ascii="Times New Roman" w:hAnsi="Times New Roman" w:cs="Times New Roman"/>
                <w:sz w:val="22"/>
                <w:szCs w:val="22"/>
              </w:rPr>
              <w:tab/>
              <w:t>za prawo do dysponowania częstotliwościami o łącznej szerokości 1 kHz na obszarze jednej gminy lub mniejszym, w zakresie poniżej 300 kHz – 0,5 złotych,</w:t>
            </w:r>
          </w:p>
          <w:p w14:paraId="3FAD6BD2" w14:textId="77777777" w:rsidR="00F81EBA" w:rsidRPr="00317ABF" w:rsidRDefault="00F81EBA" w:rsidP="00F81EBA">
            <w:pPr>
              <w:pStyle w:val="LITlitera"/>
              <w:spacing w:line="240" w:lineRule="auto"/>
              <w:rPr>
                <w:rFonts w:ascii="Times New Roman" w:hAnsi="Times New Roman" w:cs="Times New Roman"/>
                <w:sz w:val="22"/>
                <w:szCs w:val="22"/>
              </w:rPr>
            </w:pPr>
            <w:r w:rsidRPr="00317ABF">
              <w:rPr>
                <w:rFonts w:ascii="Times New Roman" w:hAnsi="Times New Roman" w:cs="Times New Roman"/>
                <w:sz w:val="22"/>
                <w:szCs w:val="22"/>
              </w:rPr>
              <w:lastRenderedPageBreak/>
              <w:t>b)</w:t>
            </w:r>
            <w:r w:rsidRPr="00317ABF">
              <w:rPr>
                <w:rFonts w:ascii="Times New Roman" w:hAnsi="Times New Roman" w:cs="Times New Roman"/>
                <w:sz w:val="22"/>
                <w:szCs w:val="22"/>
              </w:rPr>
              <w:tab/>
              <w:t>za prawo do dysponowania częstotliwościami o łącznej szerokości 1 kHz na obszarze jednej gminy lub mniejszym, w zakresie od 300 kHz do 3000 kHz – 110 złotych,</w:t>
            </w:r>
          </w:p>
          <w:p w14:paraId="7B0E3219" w14:textId="77777777" w:rsidR="00F81EBA" w:rsidRPr="00317ABF" w:rsidRDefault="00F81EBA" w:rsidP="00F81EBA">
            <w:pPr>
              <w:pStyle w:val="LITlitera"/>
              <w:spacing w:line="240" w:lineRule="auto"/>
              <w:rPr>
                <w:rFonts w:ascii="Times New Roman" w:hAnsi="Times New Roman" w:cs="Times New Roman"/>
                <w:sz w:val="22"/>
                <w:szCs w:val="22"/>
              </w:rPr>
            </w:pPr>
            <w:r w:rsidRPr="00317ABF">
              <w:rPr>
                <w:rFonts w:ascii="Times New Roman" w:hAnsi="Times New Roman" w:cs="Times New Roman"/>
                <w:sz w:val="22"/>
                <w:szCs w:val="22"/>
              </w:rPr>
              <w:t>c)</w:t>
            </w:r>
            <w:r w:rsidRPr="00317ABF">
              <w:rPr>
                <w:rFonts w:ascii="Times New Roman" w:hAnsi="Times New Roman" w:cs="Times New Roman"/>
                <w:sz w:val="22"/>
                <w:szCs w:val="22"/>
              </w:rPr>
              <w:tab/>
              <w:t>za prawo do dysponowania częstotliwościami o łącznej szerokości 1 kHz na obszarze jednej gminy lub mniejszym, w zakresie powyżej 3 MHz do 30 MHz – 400 złotych,</w:t>
            </w:r>
          </w:p>
          <w:p w14:paraId="6AA4EEFA" w14:textId="77777777" w:rsidR="00F81EBA" w:rsidRPr="00317ABF" w:rsidRDefault="00F81EBA" w:rsidP="00F81EBA">
            <w:pPr>
              <w:pStyle w:val="LITlitera"/>
              <w:keepNext/>
              <w:spacing w:line="240" w:lineRule="auto"/>
              <w:rPr>
                <w:rFonts w:ascii="Times New Roman" w:hAnsi="Times New Roman" w:cs="Times New Roman"/>
                <w:sz w:val="22"/>
                <w:szCs w:val="22"/>
              </w:rPr>
            </w:pPr>
            <w:r w:rsidRPr="00317ABF">
              <w:rPr>
                <w:rFonts w:ascii="Times New Roman" w:hAnsi="Times New Roman" w:cs="Times New Roman"/>
                <w:sz w:val="22"/>
                <w:szCs w:val="22"/>
              </w:rPr>
              <w:t>d)</w:t>
            </w:r>
            <w:r w:rsidRPr="00317ABF">
              <w:rPr>
                <w:rFonts w:ascii="Times New Roman" w:hAnsi="Times New Roman" w:cs="Times New Roman"/>
                <w:sz w:val="22"/>
                <w:szCs w:val="22"/>
              </w:rPr>
              <w:tab/>
              <w:t>za prawo do dysponowania częstotliwościami o łącznej szerokości 1 kHz na obszarze jednej gminy lub mniejszym, w zakresie powyżej 30 MHz do 174 MHz:</w:t>
            </w:r>
          </w:p>
          <w:p w14:paraId="5470DD70" w14:textId="77777777" w:rsidR="00F81EBA" w:rsidRPr="00317ABF" w:rsidRDefault="00F81EBA" w:rsidP="00F81EBA">
            <w:pPr>
              <w:pStyle w:val="TIRtiret"/>
              <w:spacing w:line="240" w:lineRule="auto"/>
              <w:rPr>
                <w:rFonts w:ascii="Times New Roman" w:hAnsi="Times New Roman" w:cs="Times New Roman"/>
                <w:sz w:val="22"/>
                <w:szCs w:val="22"/>
              </w:rPr>
            </w:pPr>
            <w:r w:rsidRPr="00317ABF">
              <w:rPr>
                <w:rFonts w:ascii="Times New Roman" w:hAnsi="Times New Roman" w:cs="Times New Roman"/>
                <w:sz w:val="22"/>
                <w:szCs w:val="22"/>
              </w:rPr>
              <w:t>–</w:t>
            </w:r>
            <w:r w:rsidRPr="00317ABF">
              <w:rPr>
                <w:rFonts w:ascii="Times New Roman" w:hAnsi="Times New Roman" w:cs="Times New Roman"/>
                <w:sz w:val="22"/>
                <w:szCs w:val="22"/>
              </w:rPr>
              <w:tab/>
              <w:t>w przypadku gminy wiejskiej – 2,25 złotych,</w:t>
            </w:r>
          </w:p>
          <w:p w14:paraId="08EBEBC1" w14:textId="77777777" w:rsidR="00F81EBA" w:rsidRPr="00317ABF" w:rsidRDefault="00F81EBA" w:rsidP="00F81EBA">
            <w:pPr>
              <w:pStyle w:val="TIRtiret"/>
              <w:spacing w:line="240" w:lineRule="auto"/>
              <w:rPr>
                <w:rFonts w:ascii="Times New Roman" w:hAnsi="Times New Roman" w:cs="Times New Roman"/>
                <w:sz w:val="22"/>
                <w:szCs w:val="22"/>
              </w:rPr>
            </w:pPr>
            <w:r w:rsidRPr="00317ABF">
              <w:rPr>
                <w:rFonts w:ascii="Times New Roman" w:hAnsi="Times New Roman" w:cs="Times New Roman"/>
                <w:sz w:val="22"/>
                <w:szCs w:val="22"/>
              </w:rPr>
              <w:t>–</w:t>
            </w:r>
            <w:r w:rsidRPr="00317ABF">
              <w:rPr>
                <w:rFonts w:ascii="Times New Roman" w:hAnsi="Times New Roman" w:cs="Times New Roman"/>
                <w:sz w:val="22"/>
                <w:szCs w:val="22"/>
              </w:rPr>
              <w:tab/>
              <w:t>w przypadku gminy miejsko-wiejskiej – 2,25 złotych,</w:t>
            </w:r>
          </w:p>
          <w:p w14:paraId="5DC00B53" w14:textId="77777777" w:rsidR="00F81EBA" w:rsidRPr="00317ABF" w:rsidRDefault="00F81EBA" w:rsidP="00F81EBA">
            <w:pPr>
              <w:pStyle w:val="TIRtiret"/>
              <w:spacing w:line="240" w:lineRule="auto"/>
              <w:rPr>
                <w:rFonts w:ascii="Times New Roman" w:hAnsi="Times New Roman" w:cs="Times New Roman"/>
                <w:sz w:val="22"/>
                <w:szCs w:val="22"/>
              </w:rPr>
            </w:pPr>
            <w:r w:rsidRPr="00317ABF">
              <w:rPr>
                <w:rFonts w:ascii="Times New Roman" w:hAnsi="Times New Roman" w:cs="Times New Roman"/>
                <w:sz w:val="22"/>
                <w:szCs w:val="22"/>
              </w:rPr>
              <w:t>–</w:t>
            </w:r>
            <w:r w:rsidRPr="00317ABF">
              <w:rPr>
                <w:rFonts w:ascii="Times New Roman" w:hAnsi="Times New Roman" w:cs="Times New Roman"/>
                <w:sz w:val="22"/>
                <w:szCs w:val="22"/>
              </w:rPr>
              <w:tab/>
              <w:t>w przypadku gminy miejskiej, z wyłączeniem miast na prawach powiatu – 6,5 złotych,</w:t>
            </w:r>
          </w:p>
          <w:p w14:paraId="2B7F628B" w14:textId="77777777" w:rsidR="00F81EBA" w:rsidRPr="00317ABF" w:rsidRDefault="00F81EBA" w:rsidP="00F81EBA">
            <w:pPr>
              <w:pStyle w:val="TIRtiret"/>
              <w:spacing w:line="240" w:lineRule="auto"/>
              <w:rPr>
                <w:rFonts w:ascii="Times New Roman" w:hAnsi="Times New Roman" w:cs="Times New Roman"/>
                <w:sz w:val="22"/>
                <w:szCs w:val="22"/>
              </w:rPr>
            </w:pPr>
            <w:r w:rsidRPr="00317ABF">
              <w:rPr>
                <w:rFonts w:ascii="Times New Roman" w:hAnsi="Times New Roman" w:cs="Times New Roman"/>
                <w:sz w:val="22"/>
                <w:szCs w:val="22"/>
              </w:rPr>
              <w:t>–</w:t>
            </w:r>
            <w:r w:rsidRPr="00317ABF">
              <w:rPr>
                <w:rFonts w:ascii="Times New Roman" w:hAnsi="Times New Roman" w:cs="Times New Roman"/>
                <w:sz w:val="22"/>
                <w:szCs w:val="22"/>
              </w:rPr>
              <w:tab/>
              <w:t>w przypadku miasta na prawach powiatu – 25 złotych,</w:t>
            </w:r>
          </w:p>
          <w:p w14:paraId="50F43DD8" w14:textId="77777777" w:rsidR="00F81EBA" w:rsidRPr="00317ABF" w:rsidRDefault="00F81EBA" w:rsidP="00F81EBA">
            <w:pPr>
              <w:pStyle w:val="LITlitera"/>
              <w:spacing w:line="240" w:lineRule="auto"/>
              <w:rPr>
                <w:rFonts w:ascii="Times New Roman" w:hAnsi="Times New Roman" w:cs="Times New Roman"/>
                <w:sz w:val="22"/>
                <w:szCs w:val="22"/>
              </w:rPr>
            </w:pPr>
            <w:r w:rsidRPr="00317ABF">
              <w:rPr>
                <w:rFonts w:ascii="Times New Roman" w:hAnsi="Times New Roman" w:cs="Times New Roman"/>
                <w:sz w:val="22"/>
                <w:szCs w:val="22"/>
              </w:rPr>
              <w:t>e)</w:t>
            </w:r>
            <w:r w:rsidRPr="00317ABF">
              <w:rPr>
                <w:rFonts w:ascii="Times New Roman" w:hAnsi="Times New Roman" w:cs="Times New Roman"/>
                <w:sz w:val="22"/>
                <w:szCs w:val="22"/>
              </w:rPr>
              <w:tab/>
              <w:t>za prawo do dysponowania jednym kanałem telewizyjnym przez jedną stację telewizyjną analogową w zakresie powyżej 174 MHz – 99 000 złotych,</w:t>
            </w:r>
          </w:p>
          <w:p w14:paraId="44F56F05" w14:textId="77777777" w:rsidR="00F81EBA" w:rsidRPr="00317ABF" w:rsidRDefault="00F81EBA" w:rsidP="00F81EBA">
            <w:pPr>
              <w:pStyle w:val="LITlitera"/>
              <w:keepNext/>
              <w:spacing w:line="240" w:lineRule="auto"/>
              <w:rPr>
                <w:rFonts w:ascii="Times New Roman" w:hAnsi="Times New Roman" w:cs="Times New Roman"/>
                <w:sz w:val="22"/>
                <w:szCs w:val="22"/>
              </w:rPr>
            </w:pPr>
            <w:r w:rsidRPr="00317ABF">
              <w:rPr>
                <w:rFonts w:ascii="Times New Roman" w:hAnsi="Times New Roman" w:cs="Times New Roman"/>
                <w:sz w:val="22"/>
                <w:szCs w:val="22"/>
              </w:rPr>
              <w:t>f)</w:t>
            </w:r>
            <w:r w:rsidRPr="00317ABF">
              <w:rPr>
                <w:rFonts w:ascii="Times New Roman" w:hAnsi="Times New Roman" w:cs="Times New Roman"/>
                <w:sz w:val="22"/>
                <w:szCs w:val="22"/>
              </w:rPr>
              <w:tab/>
              <w:t>za prawo do dysponowania częstotliwościami o łącznej szerokości 1 MHz, wykorzystywanymi przez system cyfrowy na obszarze jednej gminy lub mniejszym, w zakresie powyżej 174 MHz do 862 MHz:</w:t>
            </w:r>
          </w:p>
          <w:p w14:paraId="16B0EDB5" w14:textId="77777777" w:rsidR="00F81EBA" w:rsidRPr="00317ABF" w:rsidRDefault="00F81EBA" w:rsidP="00F81EBA">
            <w:pPr>
              <w:pStyle w:val="TIRtiret"/>
              <w:spacing w:line="240" w:lineRule="auto"/>
              <w:rPr>
                <w:rFonts w:ascii="Times New Roman" w:hAnsi="Times New Roman" w:cs="Times New Roman"/>
                <w:sz w:val="22"/>
                <w:szCs w:val="22"/>
              </w:rPr>
            </w:pPr>
            <w:r w:rsidRPr="00317ABF">
              <w:rPr>
                <w:rFonts w:ascii="Times New Roman" w:hAnsi="Times New Roman" w:cs="Times New Roman"/>
                <w:sz w:val="22"/>
                <w:szCs w:val="22"/>
              </w:rPr>
              <w:t>–</w:t>
            </w:r>
            <w:r w:rsidRPr="00317ABF">
              <w:rPr>
                <w:rFonts w:ascii="Times New Roman" w:hAnsi="Times New Roman" w:cs="Times New Roman"/>
                <w:sz w:val="22"/>
                <w:szCs w:val="22"/>
              </w:rPr>
              <w:tab/>
              <w:t>w przypadku gminy wiejskiej – 345 złotych,</w:t>
            </w:r>
          </w:p>
          <w:p w14:paraId="1C9BF8E5" w14:textId="77777777" w:rsidR="00F81EBA" w:rsidRPr="00317ABF" w:rsidRDefault="00F81EBA" w:rsidP="00F81EBA">
            <w:pPr>
              <w:pStyle w:val="TIRtiret"/>
              <w:spacing w:line="240" w:lineRule="auto"/>
              <w:rPr>
                <w:rFonts w:ascii="Times New Roman" w:hAnsi="Times New Roman" w:cs="Times New Roman"/>
                <w:sz w:val="22"/>
                <w:szCs w:val="22"/>
              </w:rPr>
            </w:pPr>
            <w:r w:rsidRPr="00317ABF">
              <w:rPr>
                <w:rFonts w:ascii="Times New Roman" w:hAnsi="Times New Roman" w:cs="Times New Roman"/>
                <w:sz w:val="22"/>
                <w:szCs w:val="22"/>
              </w:rPr>
              <w:t>–</w:t>
            </w:r>
            <w:r w:rsidRPr="00317ABF">
              <w:rPr>
                <w:rFonts w:ascii="Times New Roman" w:hAnsi="Times New Roman" w:cs="Times New Roman"/>
                <w:sz w:val="22"/>
                <w:szCs w:val="22"/>
              </w:rPr>
              <w:tab/>
              <w:t>w przypadku gminy miejsko-wiejskiej – 345 złotych,</w:t>
            </w:r>
          </w:p>
          <w:p w14:paraId="26A82F40" w14:textId="77777777" w:rsidR="00F81EBA" w:rsidRPr="00317ABF" w:rsidRDefault="00F81EBA" w:rsidP="00F81EBA">
            <w:pPr>
              <w:pStyle w:val="TIRtiret"/>
              <w:spacing w:line="240" w:lineRule="auto"/>
              <w:rPr>
                <w:rFonts w:ascii="Times New Roman" w:hAnsi="Times New Roman" w:cs="Times New Roman"/>
                <w:sz w:val="22"/>
                <w:szCs w:val="22"/>
              </w:rPr>
            </w:pPr>
            <w:r w:rsidRPr="00317ABF">
              <w:rPr>
                <w:rFonts w:ascii="Times New Roman" w:hAnsi="Times New Roman" w:cs="Times New Roman"/>
                <w:sz w:val="22"/>
                <w:szCs w:val="22"/>
              </w:rPr>
              <w:t>–</w:t>
            </w:r>
            <w:r w:rsidRPr="00317ABF">
              <w:rPr>
                <w:rFonts w:ascii="Times New Roman" w:hAnsi="Times New Roman" w:cs="Times New Roman"/>
                <w:sz w:val="22"/>
                <w:szCs w:val="22"/>
              </w:rPr>
              <w:tab/>
              <w:t>w przypadku gminy miejskiej, z wyłączeniem miast na prawach powiatu – 990 złotych,</w:t>
            </w:r>
          </w:p>
          <w:p w14:paraId="1D297DB9" w14:textId="77777777" w:rsidR="00F81EBA" w:rsidRPr="00317ABF" w:rsidRDefault="00F81EBA" w:rsidP="00F81EBA">
            <w:pPr>
              <w:pStyle w:val="TIRtiret"/>
              <w:spacing w:line="240" w:lineRule="auto"/>
              <w:rPr>
                <w:rFonts w:ascii="Times New Roman" w:hAnsi="Times New Roman" w:cs="Times New Roman"/>
                <w:sz w:val="22"/>
                <w:szCs w:val="22"/>
              </w:rPr>
            </w:pPr>
            <w:r w:rsidRPr="00317ABF">
              <w:rPr>
                <w:rFonts w:ascii="Times New Roman" w:hAnsi="Times New Roman" w:cs="Times New Roman"/>
                <w:sz w:val="22"/>
                <w:szCs w:val="22"/>
              </w:rPr>
              <w:t>–</w:t>
            </w:r>
            <w:r w:rsidRPr="00317ABF">
              <w:rPr>
                <w:rFonts w:ascii="Times New Roman" w:hAnsi="Times New Roman" w:cs="Times New Roman"/>
                <w:sz w:val="22"/>
                <w:szCs w:val="22"/>
              </w:rPr>
              <w:tab/>
              <w:t>w przypadku miasta na prawach powiatu – 5000 złotych,</w:t>
            </w:r>
          </w:p>
          <w:p w14:paraId="5BC8E305" w14:textId="77777777" w:rsidR="00F81EBA" w:rsidRPr="00317ABF" w:rsidRDefault="00F81EBA" w:rsidP="00F81EBA">
            <w:pPr>
              <w:pStyle w:val="LITlitera"/>
              <w:spacing w:line="240" w:lineRule="auto"/>
              <w:rPr>
                <w:rFonts w:ascii="Times New Roman" w:hAnsi="Times New Roman" w:cs="Times New Roman"/>
                <w:sz w:val="22"/>
                <w:szCs w:val="22"/>
              </w:rPr>
            </w:pPr>
            <w:r w:rsidRPr="00317ABF">
              <w:rPr>
                <w:rFonts w:ascii="Times New Roman" w:hAnsi="Times New Roman" w:cs="Times New Roman"/>
                <w:sz w:val="22"/>
                <w:szCs w:val="22"/>
              </w:rPr>
              <w:t>g)</w:t>
            </w:r>
            <w:r w:rsidRPr="00317ABF">
              <w:rPr>
                <w:rFonts w:ascii="Times New Roman" w:hAnsi="Times New Roman" w:cs="Times New Roman"/>
                <w:sz w:val="22"/>
                <w:szCs w:val="22"/>
              </w:rPr>
              <w:tab/>
              <w:t>za prawo do dysponowania częstotliwościami o łącznej szerokości 1 MHz, wykorzystywanymi przez system cyfrowy na obszarze jednej gminy lub mniejszym, w zakresie powyżej 862 MHz – 500 złotych;</w:t>
            </w:r>
          </w:p>
          <w:p w14:paraId="44BA153A" w14:textId="77777777" w:rsidR="00F81EBA" w:rsidRPr="00317ABF" w:rsidRDefault="00F81EBA" w:rsidP="00F81EBA">
            <w:pPr>
              <w:pStyle w:val="PKTpunkt0"/>
              <w:keepNext/>
              <w:spacing w:line="240" w:lineRule="auto"/>
              <w:rPr>
                <w:rFonts w:ascii="Times New Roman" w:hAnsi="Times New Roman" w:cs="Times New Roman"/>
                <w:sz w:val="22"/>
                <w:szCs w:val="22"/>
              </w:rPr>
            </w:pPr>
            <w:r w:rsidRPr="00317ABF">
              <w:rPr>
                <w:rFonts w:ascii="Times New Roman" w:hAnsi="Times New Roman" w:cs="Times New Roman"/>
                <w:sz w:val="22"/>
                <w:szCs w:val="22"/>
              </w:rPr>
              <w:t>14)</w:t>
            </w:r>
            <w:r w:rsidRPr="00317ABF">
              <w:rPr>
                <w:rFonts w:ascii="Times New Roman" w:hAnsi="Times New Roman" w:cs="Times New Roman"/>
                <w:sz w:val="22"/>
                <w:szCs w:val="22"/>
              </w:rPr>
              <w:tab/>
              <w:t>w służbie stałej:</w:t>
            </w:r>
          </w:p>
          <w:p w14:paraId="31CD26D1" w14:textId="77777777" w:rsidR="00F81EBA" w:rsidRPr="00317ABF" w:rsidRDefault="00F81EBA" w:rsidP="00F81EBA">
            <w:pPr>
              <w:pStyle w:val="LITlitera"/>
              <w:spacing w:line="240" w:lineRule="auto"/>
              <w:rPr>
                <w:rFonts w:ascii="Times New Roman" w:hAnsi="Times New Roman" w:cs="Times New Roman"/>
                <w:sz w:val="22"/>
                <w:szCs w:val="22"/>
              </w:rPr>
            </w:pPr>
            <w:r w:rsidRPr="00317ABF">
              <w:rPr>
                <w:rFonts w:ascii="Times New Roman" w:hAnsi="Times New Roman" w:cs="Times New Roman"/>
                <w:sz w:val="22"/>
                <w:szCs w:val="22"/>
              </w:rPr>
              <w:t>a)</w:t>
            </w:r>
            <w:r w:rsidRPr="00317ABF">
              <w:rPr>
                <w:rFonts w:ascii="Times New Roman" w:hAnsi="Times New Roman" w:cs="Times New Roman"/>
                <w:sz w:val="22"/>
                <w:szCs w:val="22"/>
              </w:rPr>
              <w:tab/>
              <w:t>za prawo do dysponowania częstotliwościami o łącznej szerokości 1 kHz na obszarze jednej gminy lub mniejszym, w zakresie do 470 MHz – 100 złotych,</w:t>
            </w:r>
          </w:p>
          <w:p w14:paraId="2656E41D" w14:textId="77777777" w:rsidR="00F81EBA" w:rsidRPr="00317ABF" w:rsidRDefault="00F81EBA" w:rsidP="00F81EBA">
            <w:pPr>
              <w:pStyle w:val="LITlitera"/>
              <w:spacing w:line="240" w:lineRule="auto"/>
              <w:rPr>
                <w:rFonts w:ascii="Times New Roman" w:hAnsi="Times New Roman" w:cs="Times New Roman"/>
                <w:sz w:val="22"/>
                <w:szCs w:val="22"/>
              </w:rPr>
            </w:pPr>
            <w:r w:rsidRPr="00317ABF">
              <w:rPr>
                <w:rFonts w:ascii="Times New Roman" w:hAnsi="Times New Roman" w:cs="Times New Roman"/>
                <w:sz w:val="22"/>
                <w:szCs w:val="22"/>
              </w:rPr>
              <w:t>b)</w:t>
            </w:r>
            <w:r w:rsidRPr="00317ABF">
              <w:rPr>
                <w:rFonts w:ascii="Times New Roman" w:hAnsi="Times New Roman" w:cs="Times New Roman"/>
                <w:sz w:val="22"/>
                <w:szCs w:val="22"/>
              </w:rPr>
              <w:tab/>
              <w:t>za prawo do dysponowania częstotliwościami o łącznej szerokości 1 kHz na obszarze jednej gminy lub mniejszym, w zakresie powyżej 470 MHz do 3400 MHz – 10 złotych,</w:t>
            </w:r>
          </w:p>
          <w:p w14:paraId="6E79EB3F" w14:textId="77777777" w:rsidR="00F81EBA" w:rsidRPr="00317ABF" w:rsidRDefault="00F81EBA" w:rsidP="00F81EBA">
            <w:pPr>
              <w:pStyle w:val="LITlitera"/>
              <w:spacing w:line="240" w:lineRule="auto"/>
              <w:rPr>
                <w:rFonts w:ascii="Times New Roman" w:hAnsi="Times New Roman" w:cs="Times New Roman"/>
                <w:sz w:val="22"/>
                <w:szCs w:val="22"/>
              </w:rPr>
            </w:pPr>
            <w:r w:rsidRPr="00317ABF">
              <w:rPr>
                <w:rFonts w:ascii="Times New Roman" w:hAnsi="Times New Roman" w:cs="Times New Roman"/>
                <w:sz w:val="22"/>
                <w:szCs w:val="22"/>
              </w:rPr>
              <w:lastRenderedPageBreak/>
              <w:t>c)</w:t>
            </w:r>
            <w:r w:rsidRPr="00317ABF">
              <w:rPr>
                <w:rFonts w:ascii="Times New Roman" w:hAnsi="Times New Roman" w:cs="Times New Roman"/>
                <w:sz w:val="22"/>
                <w:szCs w:val="22"/>
              </w:rPr>
              <w:tab/>
              <w:t>za prawo do dysponowania częstotliwościami o łącznej szerokości 1 MHz na obszarze jednej gminy lub mniejszym, w zakresie powyżej 3400 MHz – 500 złotych,</w:t>
            </w:r>
          </w:p>
          <w:p w14:paraId="5642D15D" w14:textId="77777777" w:rsidR="00F81EBA" w:rsidRPr="00317ABF" w:rsidRDefault="00F81EBA" w:rsidP="00F81EBA">
            <w:pPr>
              <w:pStyle w:val="LITlitera"/>
              <w:spacing w:line="240" w:lineRule="auto"/>
              <w:rPr>
                <w:rFonts w:ascii="Times New Roman" w:hAnsi="Times New Roman" w:cs="Times New Roman"/>
                <w:sz w:val="22"/>
                <w:szCs w:val="22"/>
              </w:rPr>
            </w:pPr>
            <w:r w:rsidRPr="00317ABF">
              <w:rPr>
                <w:rFonts w:ascii="Times New Roman" w:hAnsi="Times New Roman" w:cs="Times New Roman"/>
                <w:sz w:val="22"/>
                <w:szCs w:val="22"/>
              </w:rPr>
              <w:t>d)</w:t>
            </w:r>
            <w:r w:rsidRPr="00317ABF">
              <w:rPr>
                <w:rFonts w:ascii="Times New Roman" w:hAnsi="Times New Roman" w:cs="Times New Roman"/>
                <w:sz w:val="22"/>
                <w:szCs w:val="22"/>
              </w:rPr>
              <w:tab/>
              <w:t>za prawo do dysponowania częstotliwościami o łącznej szerokości 1 kHz, w zakresie częstotliwości poniżej 30 MHz – 2000 złotych,</w:t>
            </w:r>
          </w:p>
          <w:p w14:paraId="5C66B1D4" w14:textId="77777777" w:rsidR="00F81EBA" w:rsidRPr="00317ABF" w:rsidRDefault="00F81EBA" w:rsidP="00F81EBA">
            <w:pPr>
              <w:pStyle w:val="LITlitera"/>
              <w:spacing w:line="240" w:lineRule="auto"/>
              <w:rPr>
                <w:rFonts w:ascii="Times New Roman" w:hAnsi="Times New Roman" w:cs="Times New Roman"/>
                <w:sz w:val="22"/>
                <w:szCs w:val="22"/>
              </w:rPr>
            </w:pPr>
            <w:r w:rsidRPr="00317ABF">
              <w:rPr>
                <w:rFonts w:ascii="Times New Roman" w:hAnsi="Times New Roman" w:cs="Times New Roman"/>
                <w:sz w:val="22"/>
                <w:szCs w:val="22"/>
              </w:rPr>
              <w:t>e)</w:t>
            </w:r>
            <w:r w:rsidRPr="00317ABF">
              <w:rPr>
                <w:rFonts w:ascii="Times New Roman" w:hAnsi="Times New Roman" w:cs="Times New Roman"/>
                <w:sz w:val="22"/>
                <w:szCs w:val="22"/>
              </w:rPr>
              <w:tab/>
              <w:t>za prawo do dysponowania częstotliwościami o łącznej szerokości 1 kHz, w jednym przęśle linii radiowej w zakresie od 30 MHz do 1 GHz – 5 złotych,</w:t>
            </w:r>
          </w:p>
          <w:p w14:paraId="6AC0F212" w14:textId="77777777" w:rsidR="00F81EBA" w:rsidRPr="00317ABF" w:rsidRDefault="00F81EBA" w:rsidP="00F81EBA">
            <w:pPr>
              <w:pStyle w:val="LITlitera"/>
              <w:spacing w:line="240" w:lineRule="auto"/>
              <w:rPr>
                <w:rFonts w:ascii="Times New Roman" w:hAnsi="Times New Roman" w:cs="Times New Roman"/>
                <w:sz w:val="22"/>
                <w:szCs w:val="22"/>
              </w:rPr>
            </w:pPr>
            <w:r w:rsidRPr="00317ABF">
              <w:rPr>
                <w:rFonts w:ascii="Times New Roman" w:hAnsi="Times New Roman" w:cs="Times New Roman"/>
                <w:sz w:val="22"/>
                <w:szCs w:val="22"/>
              </w:rPr>
              <w:t>f)</w:t>
            </w:r>
            <w:r w:rsidRPr="00317ABF">
              <w:rPr>
                <w:rFonts w:ascii="Times New Roman" w:hAnsi="Times New Roman" w:cs="Times New Roman"/>
                <w:sz w:val="22"/>
                <w:szCs w:val="22"/>
              </w:rPr>
              <w:tab/>
              <w:t>za prawo do dysponowania częstotliwościami o łącznej szerokości 1 MHz, w jednym przęśle linii radiowej, w zakresie powyżej 1 GHz do 11,7 GHz – 5000 złotych,</w:t>
            </w:r>
          </w:p>
          <w:p w14:paraId="07139780" w14:textId="77777777" w:rsidR="00F81EBA" w:rsidRPr="00317ABF" w:rsidRDefault="00F81EBA" w:rsidP="00F81EBA">
            <w:pPr>
              <w:pStyle w:val="LITlitera"/>
              <w:spacing w:line="240" w:lineRule="auto"/>
              <w:rPr>
                <w:rFonts w:ascii="Times New Roman" w:hAnsi="Times New Roman" w:cs="Times New Roman"/>
                <w:sz w:val="22"/>
                <w:szCs w:val="22"/>
              </w:rPr>
            </w:pPr>
            <w:r w:rsidRPr="00317ABF">
              <w:rPr>
                <w:rFonts w:ascii="Times New Roman" w:hAnsi="Times New Roman" w:cs="Times New Roman"/>
                <w:sz w:val="22"/>
                <w:szCs w:val="22"/>
              </w:rPr>
              <w:t>g)</w:t>
            </w:r>
            <w:r w:rsidRPr="00317ABF">
              <w:rPr>
                <w:rFonts w:ascii="Times New Roman" w:hAnsi="Times New Roman" w:cs="Times New Roman"/>
                <w:sz w:val="22"/>
                <w:szCs w:val="22"/>
              </w:rPr>
              <w:tab/>
              <w:t>za prawo do dysponowania częstotliwościami o łącznej szerokości 1 MHz, w jednym przęśle linii radiowej, w zakresie powyżej 11,7 GHz – 2000 złotych;</w:t>
            </w:r>
          </w:p>
          <w:p w14:paraId="15A7BFC0" w14:textId="77777777" w:rsidR="00F81EBA" w:rsidRPr="00317ABF" w:rsidRDefault="00F81EBA" w:rsidP="00F81EBA">
            <w:pPr>
              <w:pStyle w:val="PKTpunkt0"/>
              <w:keepNext/>
              <w:spacing w:line="240" w:lineRule="auto"/>
              <w:rPr>
                <w:rFonts w:ascii="Times New Roman" w:hAnsi="Times New Roman" w:cs="Times New Roman"/>
                <w:sz w:val="22"/>
                <w:szCs w:val="22"/>
              </w:rPr>
            </w:pPr>
            <w:r w:rsidRPr="00317ABF">
              <w:rPr>
                <w:rFonts w:ascii="Times New Roman" w:hAnsi="Times New Roman" w:cs="Times New Roman"/>
                <w:sz w:val="22"/>
                <w:szCs w:val="22"/>
              </w:rPr>
              <w:t>15)</w:t>
            </w:r>
            <w:r w:rsidRPr="00317ABF">
              <w:rPr>
                <w:rFonts w:ascii="Times New Roman" w:hAnsi="Times New Roman" w:cs="Times New Roman"/>
                <w:sz w:val="22"/>
                <w:szCs w:val="22"/>
              </w:rPr>
              <w:tab/>
              <w:t>w służbie ruchomej lądowej:</w:t>
            </w:r>
          </w:p>
          <w:p w14:paraId="5F73EFB5" w14:textId="77777777" w:rsidR="00F81EBA" w:rsidRPr="00317ABF" w:rsidRDefault="00F81EBA" w:rsidP="00F81EBA">
            <w:pPr>
              <w:pStyle w:val="LITlitera"/>
              <w:spacing w:line="240" w:lineRule="auto"/>
              <w:rPr>
                <w:rFonts w:ascii="Times New Roman" w:hAnsi="Times New Roman" w:cs="Times New Roman"/>
                <w:sz w:val="22"/>
                <w:szCs w:val="22"/>
              </w:rPr>
            </w:pPr>
            <w:r w:rsidRPr="00317ABF">
              <w:rPr>
                <w:rFonts w:ascii="Times New Roman" w:hAnsi="Times New Roman" w:cs="Times New Roman"/>
                <w:sz w:val="22"/>
                <w:szCs w:val="22"/>
              </w:rPr>
              <w:t>a)</w:t>
            </w:r>
            <w:r w:rsidRPr="00317ABF">
              <w:rPr>
                <w:rFonts w:ascii="Times New Roman" w:hAnsi="Times New Roman" w:cs="Times New Roman"/>
                <w:sz w:val="22"/>
                <w:szCs w:val="22"/>
              </w:rPr>
              <w:tab/>
              <w:t>za prawo do dysponowania częstotliwościami o łącznej szerokości 1 kHz na obszarze jednej gminy lub mniejszym, w zakresie do 470 MHz wykorzystywanymi przez urządzenia radiowe wykorzystujące kanały radiowe o szerokości poniżej 200 kHz – 100 złotych,</w:t>
            </w:r>
          </w:p>
          <w:p w14:paraId="7DBFCD1D" w14:textId="77777777" w:rsidR="00F81EBA" w:rsidRPr="00317ABF" w:rsidRDefault="00F81EBA" w:rsidP="00F81EBA">
            <w:pPr>
              <w:pStyle w:val="LITlitera"/>
              <w:spacing w:line="240" w:lineRule="auto"/>
              <w:rPr>
                <w:rFonts w:ascii="Times New Roman" w:hAnsi="Times New Roman" w:cs="Times New Roman"/>
                <w:sz w:val="22"/>
                <w:szCs w:val="22"/>
              </w:rPr>
            </w:pPr>
            <w:r w:rsidRPr="00317ABF">
              <w:rPr>
                <w:rFonts w:ascii="Times New Roman" w:hAnsi="Times New Roman" w:cs="Times New Roman"/>
                <w:sz w:val="22"/>
                <w:szCs w:val="22"/>
              </w:rPr>
              <w:t>b)</w:t>
            </w:r>
            <w:r w:rsidRPr="00317ABF">
              <w:rPr>
                <w:rFonts w:ascii="Times New Roman" w:hAnsi="Times New Roman" w:cs="Times New Roman"/>
                <w:sz w:val="22"/>
                <w:szCs w:val="22"/>
              </w:rPr>
              <w:tab/>
              <w:t>za prawo do dysponowania częstotliwościami o łącznej szerokości 1 MHz na obszarze jednej gminy lub mniejszym, w zakresie do 470 MHz, wykorzystywanymi przez urządzenia radiowe wykorzystujące kanały radiowe o szerokości 200 kHz i większej – 400 złotych,</w:t>
            </w:r>
          </w:p>
          <w:p w14:paraId="422CD3FC" w14:textId="77777777" w:rsidR="00F81EBA" w:rsidRPr="00317ABF" w:rsidRDefault="00F81EBA" w:rsidP="00F81EBA">
            <w:pPr>
              <w:pStyle w:val="LITlitera"/>
              <w:spacing w:line="240" w:lineRule="auto"/>
              <w:rPr>
                <w:rFonts w:ascii="Times New Roman" w:hAnsi="Times New Roman" w:cs="Times New Roman"/>
                <w:sz w:val="22"/>
                <w:szCs w:val="22"/>
              </w:rPr>
            </w:pPr>
            <w:r w:rsidRPr="00317ABF">
              <w:rPr>
                <w:rFonts w:ascii="Times New Roman" w:hAnsi="Times New Roman" w:cs="Times New Roman"/>
                <w:sz w:val="22"/>
                <w:szCs w:val="22"/>
              </w:rPr>
              <w:t>c)</w:t>
            </w:r>
            <w:r w:rsidRPr="00317ABF">
              <w:rPr>
                <w:rFonts w:ascii="Times New Roman" w:hAnsi="Times New Roman" w:cs="Times New Roman"/>
                <w:sz w:val="22"/>
                <w:szCs w:val="22"/>
              </w:rPr>
              <w:tab/>
              <w:t>za prawo do dysponowania częstotliwościami o łącznej szerokości 1 kHz na obszarze jednej gminy lub mniejszym, w zakresie powyżej 470 MHz do 3400 MHz wykorzystywanymi przez urządzenia radiowe wykorzystujące kanały radiowe o szerokości poniżej 200 kHz – 10 złotych,</w:t>
            </w:r>
          </w:p>
          <w:p w14:paraId="4CCD4D87" w14:textId="77777777" w:rsidR="00F81EBA" w:rsidRPr="00317ABF" w:rsidRDefault="00F81EBA" w:rsidP="00F81EBA">
            <w:pPr>
              <w:pStyle w:val="LITlitera"/>
              <w:spacing w:line="240" w:lineRule="auto"/>
              <w:rPr>
                <w:rFonts w:ascii="Times New Roman" w:hAnsi="Times New Roman" w:cs="Times New Roman"/>
                <w:sz w:val="22"/>
                <w:szCs w:val="22"/>
              </w:rPr>
            </w:pPr>
            <w:r w:rsidRPr="00317ABF">
              <w:rPr>
                <w:rFonts w:ascii="Times New Roman" w:hAnsi="Times New Roman" w:cs="Times New Roman"/>
                <w:sz w:val="22"/>
                <w:szCs w:val="22"/>
              </w:rPr>
              <w:t>d)</w:t>
            </w:r>
            <w:r w:rsidRPr="00317ABF">
              <w:rPr>
                <w:rFonts w:ascii="Times New Roman" w:hAnsi="Times New Roman" w:cs="Times New Roman"/>
                <w:sz w:val="22"/>
                <w:szCs w:val="22"/>
              </w:rPr>
              <w:tab/>
              <w:t>za prawo do dysponowania częstotliwościami o łącznej szerokości 1 MHz na obszarze jednej gminy lub mniejszym, w zakresie powyżej 470 MHz do 3400 MHz, wykorzystywanymi przez urządzenia radiowe wykorzystujące kanały radiowe o szerokości 200 kHz i większej – 400 złotych,</w:t>
            </w:r>
          </w:p>
          <w:p w14:paraId="00C8027D" w14:textId="77777777" w:rsidR="001E1112" w:rsidRPr="00317ABF" w:rsidRDefault="001E1112" w:rsidP="00F81EBA">
            <w:pPr>
              <w:pStyle w:val="LITlitera"/>
              <w:spacing w:line="240" w:lineRule="auto"/>
              <w:rPr>
                <w:rFonts w:ascii="Times New Roman" w:hAnsi="Times New Roman" w:cs="Times New Roman"/>
                <w:sz w:val="22"/>
                <w:szCs w:val="22"/>
              </w:rPr>
            </w:pPr>
            <w:r w:rsidRPr="00317ABF">
              <w:rPr>
                <w:rFonts w:ascii="Times New Roman" w:eastAsia="Times" w:hAnsi="Times New Roman" w:cs="Times New Roman"/>
                <w:sz w:val="22"/>
                <w:szCs w:val="22"/>
              </w:rPr>
              <w:t>e)</w:t>
            </w:r>
            <w:r w:rsidR="00F81EBA" w:rsidRPr="00317ABF">
              <w:rPr>
                <w:rFonts w:ascii="Times New Roman" w:hAnsi="Times New Roman" w:cs="Times New Roman"/>
                <w:sz w:val="22"/>
                <w:szCs w:val="22"/>
              </w:rPr>
              <w:tab/>
            </w:r>
            <w:r w:rsidRPr="00317ABF">
              <w:rPr>
                <w:rFonts w:ascii="Times New Roman" w:eastAsia="Times" w:hAnsi="Times New Roman" w:cs="Times New Roman"/>
                <w:sz w:val="22"/>
                <w:szCs w:val="22"/>
              </w:rPr>
              <w:t>za prawo do dysponowania częstotliwościami o łącznej szerokości 1 MHz na obszarze jednej gminy lub mniejszym, w zakresie powyżej 3400 MHz – 500 złotych.</w:t>
            </w:r>
          </w:p>
          <w:p w14:paraId="728ADE15" w14:textId="1306A647" w:rsidR="001E1112" w:rsidRPr="00317ABF" w:rsidRDefault="001E1112" w:rsidP="00F81EBA">
            <w:pPr>
              <w:pStyle w:val="USTustnpkodeksu"/>
              <w:keepNext/>
              <w:spacing w:line="240" w:lineRule="auto"/>
              <w:rPr>
                <w:rFonts w:ascii="Times New Roman" w:hAnsi="Times New Roman" w:cs="Times New Roman"/>
                <w:sz w:val="22"/>
                <w:szCs w:val="22"/>
              </w:rPr>
            </w:pPr>
            <w:r w:rsidRPr="00317ABF">
              <w:rPr>
                <w:rFonts w:ascii="Times New Roman" w:eastAsia="Times" w:hAnsi="Times New Roman" w:cs="Times New Roman"/>
                <w:sz w:val="22"/>
                <w:szCs w:val="22"/>
              </w:rPr>
              <w:lastRenderedPageBreak/>
              <w:t>11. Limity opłat, o których mowa w ust. 10, obniża się do 50% w przypadku wykorzystywania częstotliwości wyłącznie do:</w:t>
            </w:r>
          </w:p>
          <w:p w14:paraId="47942259" w14:textId="77777777" w:rsidR="00F81EBA" w:rsidRPr="00317ABF" w:rsidRDefault="00F81EBA" w:rsidP="00F81EBA">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1)</w:t>
            </w:r>
            <w:r w:rsidRPr="00317ABF">
              <w:rPr>
                <w:rFonts w:ascii="Times New Roman" w:hAnsi="Times New Roman" w:cs="Times New Roman"/>
                <w:sz w:val="22"/>
                <w:szCs w:val="22"/>
              </w:rPr>
              <w:tab/>
              <w:t>świadczenia doraźnej pomocy przy ratowaniu życia i zdrowia ludzkiego przez jednostki służby zdrowia oraz jednostki ratownictwa górskiego, wodnego i górniczego;</w:t>
            </w:r>
          </w:p>
          <w:p w14:paraId="18F67B6A" w14:textId="77777777" w:rsidR="00F81EBA" w:rsidRPr="00317ABF" w:rsidRDefault="00F81EBA" w:rsidP="00F81EBA">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2)</w:t>
            </w:r>
            <w:r w:rsidRPr="00317ABF">
              <w:rPr>
                <w:rFonts w:ascii="Times New Roman" w:hAnsi="Times New Roman" w:cs="Times New Roman"/>
                <w:sz w:val="22"/>
                <w:szCs w:val="22"/>
              </w:rPr>
              <w:tab/>
              <w:t>prowadzenia akcji przez jednostki organizacyjne, których statutowym obowiązkiem jest planowanie, prowadzenie i uczestnictwo w akcjach zapobiegania i łagodzenia skutków klęsk żywiołowych i katastrof;</w:t>
            </w:r>
          </w:p>
          <w:p w14:paraId="42E94522" w14:textId="77777777" w:rsidR="00F81EBA" w:rsidRPr="00317ABF" w:rsidRDefault="00F81EBA" w:rsidP="00F81EBA">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3)</w:t>
            </w:r>
            <w:r w:rsidRPr="00317ABF">
              <w:rPr>
                <w:rFonts w:ascii="Times New Roman" w:hAnsi="Times New Roman" w:cs="Times New Roman"/>
                <w:sz w:val="22"/>
                <w:szCs w:val="22"/>
              </w:rPr>
              <w:tab/>
              <w:t>systemów radiokomunikacji wykorzystywanych w służbie morskiej i w żegludze śródlądowej przez administrację morską i administrację śródlądową oraz Morską Służbę Poszukiwania i Ratownictwa w zakresie bezpieczeństwa żeglugi i ochrony brzegów;</w:t>
            </w:r>
          </w:p>
          <w:p w14:paraId="0A0E08F7" w14:textId="77777777" w:rsidR="00F81EBA" w:rsidRPr="00317ABF" w:rsidRDefault="00F81EBA" w:rsidP="00F81EBA">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4)</w:t>
            </w:r>
            <w:r w:rsidRPr="00317ABF">
              <w:rPr>
                <w:rFonts w:ascii="Times New Roman" w:hAnsi="Times New Roman" w:cs="Times New Roman"/>
                <w:sz w:val="22"/>
                <w:szCs w:val="22"/>
              </w:rPr>
              <w:tab/>
              <w:t>wykonywania zadań z zakresu łączności kolejowej w ramach Europejskiego Systemu Zarządzania Ruchem Kolejowym (ERTMS);</w:t>
            </w:r>
          </w:p>
          <w:p w14:paraId="577A9683" w14:textId="77777777" w:rsidR="00F81EBA" w:rsidRPr="00317ABF" w:rsidRDefault="00F81EBA" w:rsidP="00F81EBA">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5)</w:t>
            </w:r>
            <w:r w:rsidRPr="00317ABF">
              <w:rPr>
                <w:rFonts w:ascii="Times New Roman" w:hAnsi="Times New Roman" w:cs="Times New Roman"/>
                <w:sz w:val="22"/>
                <w:szCs w:val="22"/>
              </w:rPr>
              <w:tab/>
              <w:t>rozpowszechniania lub rozprowadzania programów radiofonicznych lub telewizyjnych niezawierających przekazów handlowych;</w:t>
            </w:r>
          </w:p>
          <w:p w14:paraId="76D312CE" w14:textId="77777777" w:rsidR="001E1112" w:rsidRPr="00317ABF" w:rsidRDefault="001E1112" w:rsidP="00F81EBA">
            <w:pPr>
              <w:pStyle w:val="PKTpunkt0"/>
              <w:spacing w:line="240" w:lineRule="auto"/>
              <w:rPr>
                <w:rFonts w:ascii="Times New Roman" w:hAnsi="Times New Roman" w:cs="Times New Roman"/>
                <w:sz w:val="22"/>
                <w:szCs w:val="22"/>
              </w:rPr>
            </w:pPr>
            <w:r w:rsidRPr="00317ABF">
              <w:rPr>
                <w:rFonts w:ascii="Times New Roman" w:eastAsia="Times" w:hAnsi="Times New Roman" w:cs="Times New Roman"/>
                <w:sz w:val="22"/>
                <w:szCs w:val="22"/>
              </w:rPr>
              <w:t>6)</w:t>
            </w:r>
            <w:r w:rsidR="00F81EBA" w:rsidRPr="00317ABF">
              <w:rPr>
                <w:rFonts w:ascii="Times New Roman" w:hAnsi="Times New Roman" w:cs="Times New Roman"/>
                <w:sz w:val="22"/>
                <w:szCs w:val="22"/>
              </w:rPr>
              <w:tab/>
            </w:r>
            <w:r w:rsidRPr="00317ABF">
              <w:rPr>
                <w:rFonts w:ascii="Times New Roman" w:eastAsia="Times" w:hAnsi="Times New Roman" w:cs="Times New Roman"/>
                <w:sz w:val="22"/>
                <w:szCs w:val="22"/>
              </w:rPr>
              <w:t xml:space="preserve">wykonywania zadań, o których mowa w art. </w:t>
            </w:r>
            <w:r w:rsidR="00F81EBA" w:rsidRPr="00317ABF">
              <w:rPr>
                <w:rFonts w:ascii="Times New Roman" w:hAnsi="Times New Roman" w:cs="Times New Roman"/>
                <w:sz w:val="22"/>
                <w:szCs w:val="22"/>
              </w:rPr>
              <w:t>67</w:t>
            </w:r>
            <w:r w:rsidRPr="00317ABF">
              <w:rPr>
                <w:rFonts w:ascii="Times New Roman" w:eastAsia="Times" w:hAnsi="Times New Roman" w:cs="Times New Roman"/>
                <w:sz w:val="22"/>
                <w:szCs w:val="22"/>
              </w:rPr>
              <w:t xml:space="preserve">, przez podmioty, o których mowa w art. </w:t>
            </w:r>
            <w:r w:rsidR="00F81EBA" w:rsidRPr="00317ABF">
              <w:rPr>
                <w:rFonts w:ascii="Times New Roman" w:hAnsi="Times New Roman" w:cs="Times New Roman"/>
                <w:sz w:val="22"/>
                <w:szCs w:val="22"/>
              </w:rPr>
              <w:t>67</w:t>
            </w:r>
            <w:r w:rsidRPr="00317ABF">
              <w:rPr>
                <w:rFonts w:ascii="Times New Roman" w:eastAsia="Times" w:hAnsi="Times New Roman" w:cs="Times New Roman"/>
                <w:sz w:val="22"/>
                <w:szCs w:val="22"/>
              </w:rPr>
              <w:t xml:space="preserve"> ust. 2.</w:t>
            </w:r>
          </w:p>
          <w:p w14:paraId="59A38B87" w14:textId="3C3DA97E" w:rsidR="001E1112" w:rsidRPr="00317ABF" w:rsidRDefault="001E1112" w:rsidP="00F81EBA">
            <w:pPr>
              <w:pStyle w:val="USTustnpkodeksu"/>
              <w:keepNext/>
              <w:spacing w:line="240" w:lineRule="auto"/>
              <w:rPr>
                <w:rFonts w:ascii="Times New Roman" w:hAnsi="Times New Roman" w:cs="Times New Roman"/>
                <w:sz w:val="22"/>
                <w:szCs w:val="22"/>
              </w:rPr>
            </w:pPr>
            <w:r w:rsidRPr="00317ABF">
              <w:rPr>
                <w:rFonts w:ascii="Times New Roman" w:eastAsia="Times" w:hAnsi="Times New Roman" w:cs="Times New Roman"/>
                <w:sz w:val="22"/>
                <w:szCs w:val="22"/>
              </w:rPr>
              <w:t>12. Nie pobiera się opłat za prawo do dysponowania częstotliwością:</w:t>
            </w:r>
          </w:p>
          <w:p w14:paraId="0E0E681E" w14:textId="77777777" w:rsidR="00F81EBA" w:rsidRPr="00317ABF" w:rsidRDefault="00F81EBA" w:rsidP="00F81EBA">
            <w:pPr>
              <w:pStyle w:val="PKTpunkt0"/>
              <w:keepNext/>
              <w:spacing w:line="240" w:lineRule="auto"/>
              <w:rPr>
                <w:rFonts w:ascii="Times New Roman" w:hAnsi="Times New Roman" w:cs="Times New Roman"/>
                <w:sz w:val="22"/>
                <w:szCs w:val="22"/>
              </w:rPr>
            </w:pPr>
            <w:r w:rsidRPr="00317ABF">
              <w:rPr>
                <w:rFonts w:ascii="Times New Roman" w:hAnsi="Times New Roman" w:cs="Times New Roman"/>
                <w:sz w:val="22"/>
                <w:szCs w:val="22"/>
              </w:rPr>
              <w:t>1)</w:t>
            </w:r>
            <w:r w:rsidRPr="00317ABF">
              <w:rPr>
                <w:rFonts w:ascii="Times New Roman" w:hAnsi="Times New Roman" w:cs="Times New Roman"/>
                <w:sz w:val="22"/>
                <w:szCs w:val="22"/>
              </w:rPr>
              <w:tab/>
              <w:t>w służbie radiokomunikacyjnej morskiej i żeglugi śródlądowej:</w:t>
            </w:r>
          </w:p>
          <w:p w14:paraId="59BD052A" w14:textId="77777777" w:rsidR="00F81EBA" w:rsidRPr="00317ABF" w:rsidRDefault="00F81EBA" w:rsidP="00F81EBA">
            <w:pPr>
              <w:pStyle w:val="LITlitera"/>
              <w:keepNext/>
              <w:spacing w:line="240" w:lineRule="auto"/>
              <w:rPr>
                <w:rFonts w:ascii="Times New Roman" w:hAnsi="Times New Roman" w:cs="Times New Roman"/>
                <w:sz w:val="22"/>
                <w:szCs w:val="22"/>
              </w:rPr>
            </w:pPr>
            <w:r w:rsidRPr="00317ABF">
              <w:rPr>
                <w:rFonts w:ascii="Times New Roman" w:hAnsi="Times New Roman" w:cs="Times New Roman"/>
                <w:sz w:val="22"/>
                <w:szCs w:val="22"/>
              </w:rPr>
              <w:t>a)</w:t>
            </w:r>
            <w:r w:rsidRPr="00317ABF">
              <w:rPr>
                <w:rFonts w:ascii="Times New Roman" w:hAnsi="Times New Roman" w:cs="Times New Roman"/>
                <w:sz w:val="22"/>
                <w:szCs w:val="22"/>
              </w:rPr>
              <w:tab/>
              <w:t>w morskim paśmie VHF:</w:t>
            </w:r>
          </w:p>
          <w:p w14:paraId="437BF3ED" w14:textId="77777777" w:rsidR="00F81EBA" w:rsidRPr="00317ABF" w:rsidRDefault="00F81EBA" w:rsidP="00F81EBA">
            <w:pPr>
              <w:pStyle w:val="TIRtiret"/>
              <w:spacing w:line="240" w:lineRule="auto"/>
              <w:rPr>
                <w:rFonts w:ascii="Times New Roman" w:hAnsi="Times New Roman" w:cs="Times New Roman"/>
                <w:sz w:val="22"/>
                <w:szCs w:val="22"/>
              </w:rPr>
            </w:pPr>
            <w:r w:rsidRPr="00317ABF">
              <w:rPr>
                <w:rFonts w:ascii="Times New Roman" w:hAnsi="Times New Roman" w:cs="Times New Roman"/>
                <w:sz w:val="22"/>
                <w:szCs w:val="22"/>
              </w:rPr>
              <w:t>–</w:t>
            </w:r>
            <w:r w:rsidRPr="00317ABF">
              <w:rPr>
                <w:rFonts w:ascii="Times New Roman" w:hAnsi="Times New Roman" w:cs="Times New Roman"/>
                <w:sz w:val="22"/>
                <w:szCs w:val="22"/>
              </w:rPr>
              <w:tab/>
              <w:t>w kanale 16 (156,800 MHz),</w:t>
            </w:r>
          </w:p>
          <w:p w14:paraId="05499282" w14:textId="77777777" w:rsidR="00F81EBA" w:rsidRPr="00317ABF" w:rsidRDefault="00F81EBA" w:rsidP="00F81EBA">
            <w:pPr>
              <w:pStyle w:val="TIRtiret"/>
              <w:spacing w:line="240" w:lineRule="auto"/>
              <w:rPr>
                <w:rFonts w:ascii="Times New Roman" w:hAnsi="Times New Roman" w:cs="Times New Roman"/>
                <w:sz w:val="22"/>
                <w:szCs w:val="22"/>
              </w:rPr>
            </w:pPr>
            <w:r w:rsidRPr="00317ABF">
              <w:rPr>
                <w:rFonts w:ascii="Times New Roman" w:hAnsi="Times New Roman" w:cs="Times New Roman"/>
                <w:sz w:val="22"/>
                <w:szCs w:val="22"/>
              </w:rPr>
              <w:t>–</w:t>
            </w:r>
            <w:r w:rsidRPr="00317ABF">
              <w:rPr>
                <w:rFonts w:ascii="Times New Roman" w:hAnsi="Times New Roman" w:cs="Times New Roman"/>
                <w:sz w:val="22"/>
                <w:szCs w:val="22"/>
              </w:rPr>
              <w:tab/>
              <w:t>w kanale 70 (156,525 MHz),</w:t>
            </w:r>
          </w:p>
          <w:p w14:paraId="72863CAC" w14:textId="77777777" w:rsidR="00F81EBA" w:rsidRPr="00317ABF" w:rsidRDefault="00F81EBA" w:rsidP="00F81EBA">
            <w:pPr>
              <w:pStyle w:val="LITlitera"/>
              <w:spacing w:line="240" w:lineRule="auto"/>
              <w:rPr>
                <w:rFonts w:ascii="Times New Roman" w:hAnsi="Times New Roman" w:cs="Times New Roman"/>
                <w:sz w:val="22"/>
                <w:szCs w:val="22"/>
              </w:rPr>
            </w:pPr>
            <w:r w:rsidRPr="00317ABF">
              <w:rPr>
                <w:rFonts w:ascii="Times New Roman" w:hAnsi="Times New Roman" w:cs="Times New Roman"/>
                <w:sz w:val="22"/>
                <w:szCs w:val="22"/>
              </w:rPr>
              <w:t>b)</w:t>
            </w:r>
            <w:r w:rsidRPr="00317ABF">
              <w:rPr>
                <w:rFonts w:ascii="Times New Roman" w:hAnsi="Times New Roman" w:cs="Times New Roman"/>
                <w:sz w:val="22"/>
                <w:szCs w:val="22"/>
              </w:rPr>
              <w:tab/>
              <w:t>w morskim paśmie MF: 2174,5 kHz, 2182 kHz, 2187,5 kHz,</w:t>
            </w:r>
          </w:p>
          <w:p w14:paraId="22D27C36" w14:textId="77777777" w:rsidR="00F81EBA" w:rsidRPr="00317ABF" w:rsidRDefault="00F81EBA" w:rsidP="00F81EBA">
            <w:pPr>
              <w:pStyle w:val="LITlitera"/>
              <w:spacing w:line="240" w:lineRule="auto"/>
              <w:rPr>
                <w:rFonts w:ascii="Times New Roman" w:hAnsi="Times New Roman" w:cs="Times New Roman"/>
                <w:sz w:val="22"/>
                <w:szCs w:val="22"/>
              </w:rPr>
            </w:pPr>
            <w:r w:rsidRPr="00317ABF">
              <w:rPr>
                <w:rFonts w:ascii="Times New Roman" w:hAnsi="Times New Roman" w:cs="Times New Roman"/>
                <w:sz w:val="22"/>
                <w:szCs w:val="22"/>
              </w:rPr>
              <w:t>c)</w:t>
            </w:r>
            <w:r w:rsidRPr="00317ABF">
              <w:rPr>
                <w:rFonts w:ascii="Times New Roman" w:hAnsi="Times New Roman" w:cs="Times New Roman"/>
                <w:sz w:val="22"/>
                <w:szCs w:val="22"/>
              </w:rPr>
              <w:tab/>
              <w:t>w zakresie 406,0–406,1 MHz,</w:t>
            </w:r>
          </w:p>
          <w:p w14:paraId="7FF3E27A" w14:textId="77777777" w:rsidR="00F81EBA" w:rsidRPr="00317ABF" w:rsidRDefault="00F81EBA" w:rsidP="00F81EBA">
            <w:pPr>
              <w:pStyle w:val="LITlitera"/>
              <w:spacing w:line="240" w:lineRule="auto"/>
              <w:rPr>
                <w:rFonts w:ascii="Times New Roman" w:hAnsi="Times New Roman" w:cs="Times New Roman"/>
                <w:sz w:val="22"/>
                <w:szCs w:val="22"/>
              </w:rPr>
            </w:pPr>
            <w:r w:rsidRPr="00317ABF">
              <w:rPr>
                <w:rFonts w:ascii="Times New Roman" w:hAnsi="Times New Roman" w:cs="Times New Roman"/>
                <w:sz w:val="22"/>
                <w:szCs w:val="22"/>
              </w:rPr>
              <w:t>d)</w:t>
            </w:r>
            <w:r w:rsidRPr="00317ABF">
              <w:rPr>
                <w:rFonts w:ascii="Times New Roman" w:hAnsi="Times New Roman" w:cs="Times New Roman"/>
                <w:sz w:val="22"/>
                <w:szCs w:val="22"/>
              </w:rPr>
              <w:tab/>
              <w:t>przez jednostki pływające w relacji łączności statek - statek i statek - brzeg;</w:t>
            </w:r>
          </w:p>
          <w:p w14:paraId="4A4471BC" w14:textId="77777777" w:rsidR="00F81EBA" w:rsidRPr="00317ABF" w:rsidRDefault="00F81EBA" w:rsidP="00F81EBA">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2)</w:t>
            </w:r>
            <w:r w:rsidRPr="00317ABF">
              <w:rPr>
                <w:rFonts w:ascii="Times New Roman" w:hAnsi="Times New Roman" w:cs="Times New Roman"/>
                <w:sz w:val="22"/>
                <w:szCs w:val="22"/>
              </w:rPr>
              <w:tab/>
              <w:t>wykorzystywaną przez stacje nadawcze w służbie radionawigacyjnej i radiolokacyjnej morskiej i żeglugi śródlądowej;</w:t>
            </w:r>
          </w:p>
          <w:p w14:paraId="3ECC0640" w14:textId="77777777" w:rsidR="00F81EBA" w:rsidRPr="00317ABF" w:rsidRDefault="00F81EBA" w:rsidP="00F81EBA">
            <w:pPr>
              <w:pStyle w:val="PKTpunkt0"/>
              <w:keepNext/>
              <w:spacing w:line="240" w:lineRule="auto"/>
              <w:rPr>
                <w:rFonts w:ascii="Times New Roman" w:hAnsi="Times New Roman" w:cs="Times New Roman"/>
                <w:sz w:val="22"/>
                <w:szCs w:val="22"/>
              </w:rPr>
            </w:pPr>
            <w:r w:rsidRPr="00317ABF">
              <w:rPr>
                <w:rFonts w:ascii="Times New Roman" w:hAnsi="Times New Roman" w:cs="Times New Roman"/>
                <w:sz w:val="22"/>
                <w:szCs w:val="22"/>
              </w:rPr>
              <w:t>3)</w:t>
            </w:r>
            <w:r w:rsidRPr="00317ABF">
              <w:rPr>
                <w:rFonts w:ascii="Times New Roman" w:hAnsi="Times New Roman" w:cs="Times New Roman"/>
                <w:sz w:val="22"/>
                <w:szCs w:val="22"/>
              </w:rPr>
              <w:tab/>
              <w:t>w służbie radiokomunikacyjnej lotniczej:</w:t>
            </w:r>
          </w:p>
          <w:p w14:paraId="34188DA2" w14:textId="77777777" w:rsidR="00F81EBA" w:rsidRPr="00317ABF" w:rsidRDefault="00F81EBA" w:rsidP="00F81EBA">
            <w:pPr>
              <w:pStyle w:val="LITlitera"/>
              <w:spacing w:line="240" w:lineRule="auto"/>
              <w:rPr>
                <w:rFonts w:ascii="Times New Roman" w:hAnsi="Times New Roman" w:cs="Times New Roman"/>
                <w:sz w:val="22"/>
                <w:szCs w:val="22"/>
              </w:rPr>
            </w:pPr>
            <w:r w:rsidRPr="00317ABF">
              <w:rPr>
                <w:rFonts w:ascii="Times New Roman" w:hAnsi="Times New Roman" w:cs="Times New Roman"/>
                <w:sz w:val="22"/>
                <w:szCs w:val="22"/>
              </w:rPr>
              <w:t>a)</w:t>
            </w:r>
            <w:r w:rsidRPr="00317ABF">
              <w:rPr>
                <w:rFonts w:ascii="Times New Roman" w:hAnsi="Times New Roman" w:cs="Times New Roman"/>
                <w:sz w:val="22"/>
                <w:szCs w:val="22"/>
              </w:rPr>
              <w:tab/>
              <w:t>za częstotliwości używane w niebezpieczeństwie i dla zapewnienia bezpieczeństwa: 121,5 MHz, 123,1 MHz, 243 MHz,</w:t>
            </w:r>
          </w:p>
          <w:p w14:paraId="2CFE4529" w14:textId="77777777" w:rsidR="00F81EBA" w:rsidRPr="00317ABF" w:rsidRDefault="00F81EBA" w:rsidP="00F81EBA">
            <w:pPr>
              <w:pStyle w:val="LITlitera"/>
              <w:spacing w:line="240" w:lineRule="auto"/>
              <w:rPr>
                <w:rFonts w:ascii="Times New Roman" w:hAnsi="Times New Roman" w:cs="Times New Roman"/>
                <w:sz w:val="22"/>
                <w:szCs w:val="22"/>
              </w:rPr>
            </w:pPr>
            <w:r w:rsidRPr="00317ABF">
              <w:rPr>
                <w:rFonts w:ascii="Times New Roman" w:hAnsi="Times New Roman" w:cs="Times New Roman"/>
                <w:sz w:val="22"/>
                <w:szCs w:val="22"/>
              </w:rPr>
              <w:t>b)</w:t>
            </w:r>
            <w:r w:rsidRPr="00317ABF">
              <w:rPr>
                <w:rFonts w:ascii="Times New Roman" w:hAnsi="Times New Roman" w:cs="Times New Roman"/>
                <w:sz w:val="22"/>
                <w:szCs w:val="22"/>
              </w:rPr>
              <w:tab/>
              <w:t>przez statki powietrzne, w relacji łączności statek powietrzny - Ziemia i statek powietrzny - statek powietrzny;</w:t>
            </w:r>
          </w:p>
          <w:p w14:paraId="31B01069" w14:textId="77777777" w:rsidR="00F81EBA" w:rsidRPr="00317ABF" w:rsidRDefault="00F81EBA" w:rsidP="00F81EBA">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4)</w:t>
            </w:r>
            <w:r w:rsidRPr="00317ABF">
              <w:rPr>
                <w:rFonts w:ascii="Times New Roman" w:hAnsi="Times New Roman" w:cs="Times New Roman"/>
                <w:sz w:val="22"/>
                <w:szCs w:val="22"/>
              </w:rPr>
              <w:tab/>
              <w:t>wykorzystywaną przez stacje nadawcze w służbie radionawigacyjnej i radiolokacyjnej lotniczej;</w:t>
            </w:r>
          </w:p>
          <w:p w14:paraId="4A724FCE" w14:textId="77777777" w:rsidR="00F81EBA" w:rsidRPr="00317ABF" w:rsidRDefault="00F81EBA" w:rsidP="00F81EBA">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5)</w:t>
            </w:r>
            <w:r w:rsidRPr="00317ABF">
              <w:rPr>
                <w:rFonts w:ascii="Times New Roman" w:hAnsi="Times New Roman" w:cs="Times New Roman"/>
                <w:sz w:val="22"/>
                <w:szCs w:val="22"/>
              </w:rPr>
              <w:tab/>
              <w:t>w służbie radiokomunikacyjnej amatorskiej w zakresach częstotliwości przydzielonych w Krajowej Tablicy Przeznaczeń Częstotliwości dla służby amatorskiej;</w:t>
            </w:r>
          </w:p>
          <w:p w14:paraId="1B9F2037" w14:textId="77777777" w:rsidR="001E1112" w:rsidRPr="00317ABF" w:rsidRDefault="001E1112" w:rsidP="00F81EBA">
            <w:pPr>
              <w:pStyle w:val="PKTpunkt0"/>
              <w:spacing w:line="240" w:lineRule="auto"/>
              <w:rPr>
                <w:rFonts w:ascii="Times New Roman" w:hAnsi="Times New Roman" w:cs="Times New Roman"/>
                <w:sz w:val="22"/>
                <w:szCs w:val="22"/>
              </w:rPr>
            </w:pPr>
            <w:r w:rsidRPr="00317ABF">
              <w:rPr>
                <w:rFonts w:ascii="Times New Roman" w:eastAsia="Times" w:hAnsi="Times New Roman" w:cs="Times New Roman"/>
                <w:sz w:val="22"/>
                <w:szCs w:val="22"/>
              </w:rPr>
              <w:lastRenderedPageBreak/>
              <w:t>6)</w:t>
            </w:r>
            <w:r w:rsidR="00F81EBA" w:rsidRPr="00317ABF">
              <w:rPr>
                <w:rFonts w:ascii="Times New Roman" w:hAnsi="Times New Roman" w:cs="Times New Roman"/>
                <w:sz w:val="22"/>
                <w:szCs w:val="22"/>
              </w:rPr>
              <w:tab/>
            </w:r>
            <w:r w:rsidRPr="00317ABF">
              <w:rPr>
                <w:rFonts w:ascii="Times New Roman" w:eastAsia="Times" w:hAnsi="Times New Roman" w:cs="Times New Roman"/>
                <w:sz w:val="22"/>
                <w:szCs w:val="22"/>
              </w:rPr>
              <w:t xml:space="preserve">wykorzystywaną na podstawie decyzji, o której mowa w art. </w:t>
            </w:r>
            <w:r w:rsidR="00F81EBA" w:rsidRPr="00317ABF">
              <w:rPr>
                <w:rFonts w:ascii="Times New Roman" w:hAnsi="Times New Roman" w:cs="Times New Roman"/>
                <w:sz w:val="22"/>
                <w:szCs w:val="22"/>
              </w:rPr>
              <w:t>153</w:t>
            </w:r>
            <w:r w:rsidRPr="00317ABF">
              <w:rPr>
                <w:rFonts w:ascii="Times New Roman" w:eastAsia="Times" w:hAnsi="Times New Roman" w:cs="Times New Roman"/>
                <w:sz w:val="22"/>
                <w:szCs w:val="22"/>
              </w:rPr>
              <w:t>, wyłącznie w celu przeprowadzenia badań, testów lub eksperymentów związanych z wprowadzaniem nowych technologii.</w:t>
            </w:r>
          </w:p>
          <w:p w14:paraId="45A6E57D" w14:textId="77777777" w:rsidR="001E1112" w:rsidRPr="00317ABF" w:rsidRDefault="001E1112" w:rsidP="00F81EBA">
            <w:pPr>
              <w:pStyle w:val="USTustnpkodeksu"/>
              <w:spacing w:line="240" w:lineRule="auto"/>
              <w:rPr>
                <w:rFonts w:ascii="Times New Roman" w:hAnsi="Times New Roman" w:cs="Times New Roman"/>
                <w:sz w:val="22"/>
                <w:szCs w:val="22"/>
              </w:rPr>
            </w:pPr>
            <w:r w:rsidRPr="00317ABF">
              <w:rPr>
                <w:rFonts w:ascii="Times New Roman" w:eastAsia="Times" w:hAnsi="Times New Roman" w:cs="Times New Roman"/>
                <w:sz w:val="22"/>
                <w:szCs w:val="22"/>
              </w:rPr>
              <w:t xml:space="preserve">13. Użytkownicy rządowi, o których mowa w art. 2 pkt </w:t>
            </w:r>
            <w:r w:rsidR="00F81EBA" w:rsidRPr="00317ABF">
              <w:rPr>
                <w:rFonts w:ascii="Times New Roman" w:hAnsi="Times New Roman" w:cs="Times New Roman"/>
                <w:sz w:val="22"/>
                <w:szCs w:val="22"/>
              </w:rPr>
              <w:t>88</w:t>
            </w:r>
            <w:r w:rsidRPr="00317ABF">
              <w:rPr>
                <w:rFonts w:ascii="Times New Roman" w:eastAsia="Times" w:hAnsi="Times New Roman" w:cs="Times New Roman"/>
                <w:sz w:val="22"/>
                <w:szCs w:val="22"/>
              </w:rPr>
              <w:t xml:space="preserve"> lit. a, b, d, e, g i h, wnoszą opłaty za prawo do dysponowania częstotliwością. Opłata za prawo do dysponowania częstotliwością przez jednostki sił zbrojnych państw obcych, przebywające czasowo na terytorium Rzeczypospolitej Polskiej na podstawie odrębnych przepisów, zawarta jest w opłacie ryczałtowej za prawo do dysponowania częstotliwością, wnoszonej przez Ministra Obrony Narodowej.</w:t>
            </w:r>
          </w:p>
          <w:p w14:paraId="2553D829" w14:textId="20485234" w:rsidR="001E1112" w:rsidRPr="00317ABF" w:rsidRDefault="001E1112" w:rsidP="00F81EBA">
            <w:pPr>
              <w:pStyle w:val="USTustnpkodeksu"/>
              <w:spacing w:line="240" w:lineRule="auto"/>
              <w:rPr>
                <w:rFonts w:ascii="Times New Roman" w:hAnsi="Times New Roman" w:cs="Times New Roman"/>
                <w:sz w:val="22"/>
                <w:szCs w:val="22"/>
              </w:rPr>
            </w:pPr>
            <w:r w:rsidRPr="00317ABF">
              <w:rPr>
                <w:rFonts w:ascii="Times New Roman" w:eastAsia="Times" w:hAnsi="Times New Roman" w:cs="Times New Roman"/>
                <w:sz w:val="22"/>
                <w:szCs w:val="22"/>
              </w:rPr>
              <w:t>14. Z zastrzeżeniem ust. 13, obowiązek uiszczania opłat za prawo do dysponowania częstotliwością ustaje w dniu, w którym złożono wniosek o rezygnację z rezerwacji częstotliwości lub pozwolenia.</w:t>
            </w:r>
          </w:p>
          <w:p w14:paraId="5803D89A" w14:textId="615FA848" w:rsidR="001E1112" w:rsidRPr="00317ABF" w:rsidRDefault="001E1112" w:rsidP="00F81EBA">
            <w:pPr>
              <w:pStyle w:val="USTustnpkodeksu"/>
              <w:spacing w:line="240" w:lineRule="auto"/>
              <w:rPr>
                <w:rFonts w:ascii="Times New Roman" w:hAnsi="Times New Roman" w:cs="Times New Roman"/>
                <w:sz w:val="22"/>
                <w:szCs w:val="22"/>
              </w:rPr>
            </w:pPr>
            <w:r w:rsidRPr="00317ABF">
              <w:rPr>
                <w:rFonts w:ascii="Times New Roman" w:eastAsia="Times" w:hAnsi="Times New Roman" w:cs="Times New Roman"/>
                <w:sz w:val="22"/>
                <w:szCs w:val="22"/>
              </w:rPr>
              <w:t>15. W przypadku, gdy we wniosku, o którym mowa w ust. 14, określono termin rezygnacji z rezerwacji częstotliwości lub pozwolenia, obowiązek uiszczania opłat za prawo do dysponowania częstotliwością ustaje w dniu, w którym przypada ten termin.</w:t>
            </w:r>
          </w:p>
          <w:p w14:paraId="7E1BD92A" w14:textId="77777777" w:rsidR="001E1112" w:rsidRPr="00317ABF" w:rsidRDefault="001E1112" w:rsidP="00F81EBA">
            <w:pPr>
              <w:pStyle w:val="USTustnpkodeksu"/>
              <w:spacing w:line="240" w:lineRule="auto"/>
              <w:rPr>
                <w:rFonts w:ascii="Times New Roman" w:hAnsi="Times New Roman" w:cs="Times New Roman"/>
                <w:sz w:val="22"/>
                <w:szCs w:val="22"/>
              </w:rPr>
            </w:pPr>
            <w:r w:rsidRPr="00317ABF">
              <w:rPr>
                <w:rFonts w:ascii="Times New Roman" w:eastAsia="Times" w:hAnsi="Times New Roman" w:cs="Times New Roman"/>
                <w:sz w:val="22"/>
                <w:szCs w:val="22"/>
              </w:rPr>
              <w:t xml:space="preserve">16. W przypadku cofnięcia rezerwacji częstotliwości, pozwolenia lub decyzji, o której mowa w art. </w:t>
            </w:r>
            <w:r w:rsidR="00F81EBA" w:rsidRPr="00317ABF">
              <w:rPr>
                <w:rFonts w:ascii="Times New Roman" w:hAnsi="Times New Roman" w:cs="Times New Roman"/>
                <w:sz w:val="22"/>
                <w:szCs w:val="22"/>
              </w:rPr>
              <w:t>152</w:t>
            </w:r>
            <w:r w:rsidRPr="00317ABF">
              <w:rPr>
                <w:rFonts w:ascii="Times New Roman" w:eastAsia="Times" w:hAnsi="Times New Roman" w:cs="Times New Roman"/>
                <w:sz w:val="22"/>
                <w:szCs w:val="22"/>
              </w:rPr>
              <w:t xml:space="preserve"> lub art. </w:t>
            </w:r>
            <w:r w:rsidR="00F81EBA" w:rsidRPr="00317ABF">
              <w:rPr>
                <w:rFonts w:ascii="Times New Roman" w:hAnsi="Times New Roman" w:cs="Times New Roman"/>
                <w:sz w:val="22"/>
                <w:szCs w:val="22"/>
              </w:rPr>
              <w:t>153</w:t>
            </w:r>
            <w:r w:rsidRPr="00317ABF">
              <w:rPr>
                <w:rFonts w:ascii="Times New Roman" w:eastAsia="Times" w:hAnsi="Times New Roman" w:cs="Times New Roman"/>
                <w:sz w:val="22"/>
                <w:szCs w:val="22"/>
              </w:rPr>
              <w:t xml:space="preserve">, uiszczone opłaty nie podlegają zwrotowi. W przypadku stwierdzenia nieważności decyzji w sprawie rezerwacji częstotliwości lub pozwolenia lub decyzji, o której mowa w art. </w:t>
            </w:r>
            <w:r w:rsidR="00F81EBA" w:rsidRPr="00317ABF">
              <w:rPr>
                <w:rFonts w:ascii="Times New Roman" w:hAnsi="Times New Roman" w:cs="Times New Roman"/>
                <w:sz w:val="22"/>
                <w:szCs w:val="22"/>
              </w:rPr>
              <w:t>152</w:t>
            </w:r>
            <w:r w:rsidRPr="00317ABF">
              <w:rPr>
                <w:rFonts w:ascii="Times New Roman" w:eastAsia="Times" w:hAnsi="Times New Roman" w:cs="Times New Roman"/>
                <w:sz w:val="22"/>
                <w:szCs w:val="22"/>
              </w:rPr>
              <w:t xml:space="preserve"> lub art. </w:t>
            </w:r>
            <w:r w:rsidR="00F81EBA" w:rsidRPr="00317ABF">
              <w:rPr>
                <w:rFonts w:ascii="Times New Roman" w:hAnsi="Times New Roman" w:cs="Times New Roman"/>
                <w:sz w:val="22"/>
                <w:szCs w:val="22"/>
              </w:rPr>
              <w:t>153</w:t>
            </w:r>
            <w:r w:rsidRPr="00317ABF">
              <w:rPr>
                <w:rFonts w:ascii="Times New Roman" w:eastAsia="Times" w:hAnsi="Times New Roman" w:cs="Times New Roman"/>
                <w:sz w:val="22"/>
                <w:szCs w:val="22"/>
              </w:rPr>
              <w:t>, opłaty pobierane za dysponowanie częstotliwością nie podlegają zwrotowi, jeżeli częstotliwości były wykorzystywane.</w:t>
            </w:r>
          </w:p>
          <w:p w14:paraId="5FC99022" w14:textId="77777777" w:rsidR="00F81EBA" w:rsidRPr="00317ABF" w:rsidRDefault="00F81EBA" w:rsidP="00F81EBA">
            <w:pPr>
              <w:pStyle w:val="USTustnpkodeksu"/>
              <w:spacing w:line="240" w:lineRule="auto"/>
              <w:rPr>
                <w:rFonts w:ascii="Times New Roman" w:hAnsi="Times New Roman" w:cs="Times New Roman"/>
                <w:sz w:val="22"/>
                <w:szCs w:val="22"/>
              </w:rPr>
            </w:pPr>
            <w:r w:rsidRPr="00317ABF">
              <w:rPr>
                <w:rFonts w:ascii="Times New Roman" w:hAnsi="Times New Roman" w:cs="Times New Roman"/>
                <w:sz w:val="22"/>
                <w:szCs w:val="22"/>
              </w:rPr>
              <w:t>17. Opłatę, o której mowa w ust. 1 uiszcza się w ratach kwartalnych w wysokości równej 1/4 opłaty rocznej.</w:t>
            </w:r>
          </w:p>
          <w:p w14:paraId="52AB5DD7" w14:textId="77777777" w:rsidR="00F81EBA" w:rsidRPr="00317ABF" w:rsidRDefault="00F81EBA" w:rsidP="00F81EBA">
            <w:pPr>
              <w:pStyle w:val="USTustnpkodeksu"/>
              <w:spacing w:line="240" w:lineRule="auto"/>
              <w:rPr>
                <w:rFonts w:ascii="Times New Roman" w:hAnsi="Times New Roman" w:cs="Times New Roman"/>
                <w:sz w:val="22"/>
                <w:szCs w:val="22"/>
              </w:rPr>
            </w:pPr>
            <w:r w:rsidRPr="00317ABF">
              <w:rPr>
                <w:rFonts w:ascii="Times New Roman" w:hAnsi="Times New Roman" w:cs="Times New Roman"/>
                <w:sz w:val="22"/>
                <w:szCs w:val="22"/>
              </w:rPr>
              <w:t>18. Opłatę, o której mowa w ust. 13 uiszcza się w ratach kwartalnych w wysokości równej 1/4 rocznej. Podmiot może uiszczać opłatę jednorazowo za cały rok albo w ratach półrocznych w wysokości równej 1/2 rocznej opłaty.</w:t>
            </w:r>
          </w:p>
          <w:p w14:paraId="133BD3C1" w14:textId="77777777" w:rsidR="00F81EBA" w:rsidRPr="00317ABF" w:rsidRDefault="00F81EBA" w:rsidP="00F81EBA">
            <w:pPr>
              <w:pStyle w:val="USTustnpkodeksu"/>
              <w:keepNext/>
              <w:spacing w:line="240" w:lineRule="auto"/>
              <w:rPr>
                <w:rFonts w:ascii="Times New Roman" w:hAnsi="Times New Roman" w:cs="Times New Roman"/>
                <w:sz w:val="22"/>
                <w:szCs w:val="22"/>
              </w:rPr>
            </w:pPr>
            <w:r w:rsidRPr="00317ABF">
              <w:rPr>
                <w:rFonts w:ascii="Times New Roman" w:hAnsi="Times New Roman" w:cs="Times New Roman"/>
                <w:sz w:val="22"/>
                <w:szCs w:val="22"/>
              </w:rPr>
              <w:t>19. Rada Ministrów określi, w drodze rozporządzenia, wysokość opłat, o których mowa w ust. 1, terminy i sposób ich uiszczania, mając na uwadze w szczególności:</w:t>
            </w:r>
          </w:p>
          <w:p w14:paraId="793753FF" w14:textId="77777777" w:rsidR="00F81EBA" w:rsidRPr="00317ABF" w:rsidRDefault="00F81EBA" w:rsidP="00F81EBA">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1)</w:t>
            </w:r>
            <w:r w:rsidRPr="00317ABF">
              <w:rPr>
                <w:rFonts w:ascii="Times New Roman" w:hAnsi="Times New Roman" w:cs="Times New Roman"/>
                <w:sz w:val="22"/>
                <w:szCs w:val="22"/>
              </w:rPr>
              <w:tab/>
              <w:t>warunki wykorzystywania częstotliwości oraz koszty prowadzenia gospodarki częstotliwościami;</w:t>
            </w:r>
          </w:p>
          <w:p w14:paraId="5A9E6960" w14:textId="77777777" w:rsidR="00F81EBA" w:rsidRPr="00317ABF" w:rsidRDefault="00F81EBA" w:rsidP="00F81EBA">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2)</w:t>
            </w:r>
            <w:r w:rsidRPr="00317ABF">
              <w:rPr>
                <w:rFonts w:ascii="Times New Roman" w:hAnsi="Times New Roman" w:cs="Times New Roman"/>
                <w:sz w:val="22"/>
                <w:szCs w:val="22"/>
              </w:rPr>
              <w:tab/>
              <w:t>potrzebę zagwarantowania optymalnego i efektywnego wykorzystania zasobów częstotliwości;</w:t>
            </w:r>
          </w:p>
          <w:p w14:paraId="0A3D7EF1" w14:textId="77777777" w:rsidR="00F81EBA" w:rsidRPr="00317ABF" w:rsidRDefault="00F81EBA" w:rsidP="00F81EBA">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3)</w:t>
            </w:r>
            <w:r w:rsidRPr="00317ABF">
              <w:rPr>
                <w:rFonts w:ascii="Times New Roman" w:hAnsi="Times New Roman" w:cs="Times New Roman"/>
                <w:sz w:val="22"/>
                <w:szCs w:val="22"/>
              </w:rPr>
              <w:tab/>
              <w:t>konieczność stymulowania rozwoju konkurencji na rynku;</w:t>
            </w:r>
          </w:p>
          <w:p w14:paraId="743B88B6" w14:textId="77777777" w:rsidR="00F81EBA" w:rsidRPr="00317ABF" w:rsidRDefault="00F81EBA" w:rsidP="00F81EBA">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4)</w:t>
            </w:r>
            <w:r w:rsidRPr="00317ABF">
              <w:rPr>
                <w:rFonts w:ascii="Times New Roman" w:hAnsi="Times New Roman" w:cs="Times New Roman"/>
                <w:sz w:val="22"/>
                <w:szCs w:val="22"/>
              </w:rPr>
              <w:tab/>
              <w:t>potrzebę zapobiegania wykluczeniu informacyjnemu, w szczególności na obszarach wiejskich;</w:t>
            </w:r>
          </w:p>
          <w:p w14:paraId="2AF8B1EB" w14:textId="77777777" w:rsidR="00F81EBA" w:rsidRPr="00317ABF" w:rsidRDefault="00F81EBA" w:rsidP="00F81EBA">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lastRenderedPageBreak/>
              <w:t>5)</w:t>
            </w:r>
            <w:r w:rsidRPr="00317ABF">
              <w:rPr>
                <w:rFonts w:ascii="Times New Roman" w:hAnsi="Times New Roman" w:cs="Times New Roman"/>
                <w:sz w:val="22"/>
                <w:szCs w:val="22"/>
              </w:rPr>
              <w:tab/>
              <w:t>specyfikę przeznaczenia i wykorzystywania częstotliwości;</w:t>
            </w:r>
          </w:p>
          <w:p w14:paraId="21CE4B55" w14:textId="77777777" w:rsidR="00F81EBA" w:rsidRPr="00317ABF" w:rsidRDefault="00F81EBA" w:rsidP="00F81EBA">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6)</w:t>
            </w:r>
            <w:r w:rsidRPr="00317ABF">
              <w:rPr>
                <w:rFonts w:ascii="Times New Roman" w:hAnsi="Times New Roman" w:cs="Times New Roman"/>
                <w:sz w:val="22"/>
                <w:szCs w:val="22"/>
              </w:rPr>
              <w:tab/>
              <w:t>korzyści społeczne związane z wykorzystaniem danego zasobu częstotliwości.</w:t>
            </w:r>
          </w:p>
          <w:p w14:paraId="5E454F11" w14:textId="1AAC9E45" w:rsidR="001E1112" w:rsidRPr="00317ABF" w:rsidRDefault="00F81EBA" w:rsidP="00F81EBA">
            <w:pPr>
              <w:pStyle w:val="PKTpunkt0"/>
              <w:spacing w:line="240" w:lineRule="auto"/>
              <w:ind w:left="105" w:firstLine="425"/>
              <w:rPr>
                <w:rFonts w:ascii="Times New Roman" w:hAnsi="Times New Roman" w:cs="Times New Roman"/>
                <w:sz w:val="22"/>
                <w:szCs w:val="22"/>
              </w:rPr>
            </w:pPr>
            <w:r w:rsidRPr="00317ABF">
              <w:rPr>
                <w:rFonts w:ascii="Times New Roman" w:hAnsi="Times New Roman" w:cs="Times New Roman"/>
                <w:sz w:val="22"/>
                <w:szCs w:val="22"/>
              </w:rPr>
              <w:t>20.</w:t>
            </w:r>
            <w:r w:rsidR="001E1112" w:rsidRPr="00317ABF">
              <w:rPr>
                <w:rFonts w:ascii="Times New Roman" w:hAnsi="Times New Roman" w:cs="Times New Roman"/>
                <w:sz w:val="22"/>
                <w:szCs w:val="22"/>
              </w:rPr>
              <w:t xml:space="preserve"> Rada Ministrów określi, w drodze rozporządzenia, wysokość, terminy i sposób uiszczania opłat, o których mowa w ust. 13, z uwzględnieniem specyfiki wykorzystywania częstotliwości przez użytkowników rządowych, o których mowa w art. 2 pkt </w:t>
            </w:r>
            <w:r w:rsidRPr="00317ABF">
              <w:rPr>
                <w:rFonts w:ascii="Times New Roman" w:hAnsi="Times New Roman" w:cs="Times New Roman"/>
                <w:sz w:val="22"/>
                <w:szCs w:val="22"/>
              </w:rPr>
              <w:t>88</w:t>
            </w:r>
            <w:r w:rsidR="001E1112" w:rsidRPr="00317ABF">
              <w:rPr>
                <w:rFonts w:ascii="Times New Roman" w:hAnsi="Times New Roman" w:cs="Times New Roman"/>
                <w:sz w:val="22"/>
                <w:szCs w:val="22"/>
              </w:rPr>
              <w:t xml:space="preserve"> lit. a, b, d, e, g i h użytkujących częstotliwości przeznaczone do użytkowania rządowego</w:t>
            </w:r>
            <w:r w:rsidRPr="00317ABF">
              <w:rPr>
                <w:rFonts w:ascii="Times New Roman" w:hAnsi="Times New Roman" w:cs="Times New Roman"/>
                <w:sz w:val="22"/>
                <w:szCs w:val="22"/>
              </w:rPr>
              <w:t xml:space="preserve"> lub cywilno-rządowego.</w:t>
            </w:r>
          </w:p>
        </w:tc>
      </w:tr>
      <w:tr w:rsidR="001E1112" w:rsidRPr="00317ABF" w14:paraId="71B260CE" w14:textId="77777777" w:rsidTr="7753F98D">
        <w:trPr>
          <w:gridAfter w:val="2"/>
          <w:wAfter w:w="175" w:type="dxa"/>
        </w:trPr>
        <w:tc>
          <w:tcPr>
            <w:tcW w:w="704" w:type="dxa"/>
          </w:tcPr>
          <w:p w14:paraId="407DDD9E" w14:textId="77777777" w:rsidR="001E1112" w:rsidRPr="00317ABF" w:rsidRDefault="001E1112" w:rsidP="00DB3BEC">
            <w:pPr>
              <w:jc w:val="both"/>
              <w:rPr>
                <w:b/>
                <w:sz w:val="22"/>
                <w:szCs w:val="22"/>
              </w:rPr>
            </w:pPr>
            <w:r w:rsidRPr="00317ABF">
              <w:rPr>
                <w:b/>
                <w:sz w:val="22"/>
                <w:szCs w:val="22"/>
              </w:rPr>
              <w:lastRenderedPageBreak/>
              <w:t>Art. 43</w:t>
            </w:r>
          </w:p>
        </w:tc>
        <w:tc>
          <w:tcPr>
            <w:tcW w:w="4308" w:type="dxa"/>
          </w:tcPr>
          <w:p w14:paraId="49E792E8" w14:textId="77777777" w:rsidR="001E1112" w:rsidRPr="00317ABF" w:rsidRDefault="001E1112" w:rsidP="00DB3BEC">
            <w:pPr>
              <w:spacing w:before="60" w:after="120"/>
              <w:jc w:val="both"/>
              <w:rPr>
                <w:b/>
                <w:bCs/>
                <w:sz w:val="22"/>
                <w:szCs w:val="22"/>
              </w:rPr>
            </w:pPr>
            <w:r w:rsidRPr="00317ABF">
              <w:rPr>
                <w:b/>
                <w:bCs/>
                <w:sz w:val="22"/>
                <w:szCs w:val="22"/>
              </w:rPr>
              <w:t>Prawa drogi</w:t>
            </w:r>
          </w:p>
        </w:tc>
        <w:tc>
          <w:tcPr>
            <w:tcW w:w="986" w:type="dxa"/>
          </w:tcPr>
          <w:p w14:paraId="2334F3C2" w14:textId="77777777" w:rsidR="001E1112" w:rsidRPr="00317ABF" w:rsidRDefault="001E1112" w:rsidP="00DB3BEC">
            <w:pPr>
              <w:jc w:val="both"/>
              <w:rPr>
                <w:sz w:val="22"/>
                <w:szCs w:val="22"/>
              </w:rPr>
            </w:pPr>
          </w:p>
        </w:tc>
        <w:tc>
          <w:tcPr>
            <w:tcW w:w="910" w:type="dxa"/>
          </w:tcPr>
          <w:p w14:paraId="6688C5E5" w14:textId="77777777" w:rsidR="001E1112" w:rsidRPr="00317ABF" w:rsidRDefault="001E1112" w:rsidP="00DB3BEC">
            <w:pPr>
              <w:pStyle w:val="Tekstpodstawowy"/>
              <w:rPr>
                <w:b/>
                <w:noProof/>
                <w:sz w:val="22"/>
                <w:szCs w:val="22"/>
              </w:rPr>
            </w:pPr>
          </w:p>
        </w:tc>
        <w:tc>
          <w:tcPr>
            <w:tcW w:w="6814" w:type="dxa"/>
            <w:gridSpan w:val="2"/>
          </w:tcPr>
          <w:p w14:paraId="4AE424E0" w14:textId="77777777" w:rsidR="001E1112" w:rsidRPr="00317ABF" w:rsidRDefault="001E1112" w:rsidP="00DB3BEC">
            <w:pPr>
              <w:pStyle w:val="Tekstpodstawowy"/>
              <w:rPr>
                <w:sz w:val="22"/>
                <w:szCs w:val="22"/>
              </w:rPr>
            </w:pPr>
          </w:p>
        </w:tc>
      </w:tr>
      <w:tr w:rsidR="001E1112" w:rsidRPr="00317ABF" w14:paraId="5B302731" w14:textId="77777777" w:rsidTr="7753F98D">
        <w:trPr>
          <w:gridAfter w:val="2"/>
          <w:wAfter w:w="175" w:type="dxa"/>
        </w:trPr>
        <w:tc>
          <w:tcPr>
            <w:tcW w:w="704" w:type="dxa"/>
          </w:tcPr>
          <w:p w14:paraId="0D43C21D" w14:textId="77777777" w:rsidR="001E1112" w:rsidRPr="00317ABF" w:rsidRDefault="001E1112" w:rsidP="00DB3BEC">
            <w:pPr>
              <w:jc w:val="both"/>
              <w:rPr>
                <w:sz w:val="22"/>
                <w:szCs w:val="22"/>
              </w:rPr>
            </w:pPr>
            <w:r w:rsidRPr="00317ABF">
              <w:rPr>
                <w:sz w:val="22"/>
                <w:szCs w:val="22"/>
              </w:rPr>
              <w:t>Art. 43 ust. 1</w:t>
            </w:r>
          </w:p>
        </w:tc>
        <w:tc>
          <w:tcPr>
            <w:tcW w:w="4308" w:type="dxa"/>
          </w:tcPr>
          <w:p w14:paraId="1FEBCBC7" w14:textId="77777777" w:rsidR="001E1112" w:rsidRPr="00317ABF" w:rsidRDefault="001E1112" w:rsidP="00DB3BEC">
            <w:pPr>
              <w:spacing w:before="120"/>
              <w:jc w:val="both"/>
              <w:rPr>
                <w:sz w:val="22"/>
                <w:szCs w:val="22"/>
              </w:rPr>
            </w:pPr>
            <w:r w:rsidRPr="00317ABF">
              <w:rPr>
                <w:sz w:val="22"/>
                <w:szCs w:val="22"/>
              </w:rPr>
              <w:t>1.   Państwa członkowskie zapewnią, aby w przypadku gdy właściwy organ rozpatruje wniosek o przyznanie prawa:</w:t>
            </w:r>
          </w:p>
          <w:tbl>
            <w:tblPr>
              <w:tblW w:w="5000" w:type="pct"/>
              <w:tblCellSpacing w:w="0" w:type="dxa"/>
              <w:tblLayout w:type="fixed"/>
              <w:tblCellMar>
                <w:left w:w="0" w:type="dxa"/>
                <w:right w:w="0" w:type="dxa"/>
              </w:tblCellMar>
              <w:tblLook w:val="04A0" w:firstRow="1" w:lastRow="0" w:firstColumn="1" w:lastColumn="0" w:noHBand="0" w:noVBand="1"/>
            </w:tblPr>
            <w:tblGrid>
              <w:gridCol w:w="20"/>
              <w:gridCol w:w="4148"/>
            </w:tblGrid>
            <w:tr w:rsidR="001E1112" w:rsidRPr="00317ABF" w14:paraId="73E4ACFF" w14:textId="77777777" w:rsidTr="00A462BE">
              <w:trPr>
                <w:tblCellSpacing w:w="0" w:type="dxa"/>
              </w:trPr>
              <w:tc>
                <w:tcPr>
                  <w:tcW w:w="6" w:type="dxa"/>
                  <w:hideMark/>
                </w:tcPr>
                <w:p w14:paraId="5FB90CE9" w14:textId="77777777" w:rsidR="001E1112" w:rsidRPr="00317ABF" w:rsidRDefault="001E1112" w:rsidP="00EE0AC3">
                  <w:pPr>
                    <w:framePr w:hSpace="141" w:wrap="around" w:vAnchor="text" w:hAnchor="text" w:xAlign="right" w:y="1"/>
                    <w:spacing w:before="120"/>
                    <w:suppressOverlap/>
                    <w:jc w:val="both"/>
                    <w:rPr>
                      <w:sz w:val="22"/>
                      <w:szCs w:val="22"/>
                    </w:rPr>
                  </w:pPr>
                </w:p>
              </w:tc>
              <w:tc>
                <w:tcPr>
                  <w:tcW w:w="9066" w:type="dxa"/>
                  <w:hideMark/>
                </w:tcPr>
                <w:p w14:paraId="1324F744" w14:textId="77777777" w:rsidR="001E1112" w:rsidRPr="00317ABF" w:rsidRDefault="001E1112" w:rsidP="00EE0AC3">
                  <w:pPr>
                    <w:framePr w:hSpace="141" w:wrap="around" w:vAnchor="text" w:hAnchor="text" w:xAlign="right" w:y="1"/>
                    <w:spacing w:before="120"/>
                    <w:suppressOverlap/>
                    <w:jc w:val="both"/>
                    <w:rPr>
                      <w:sz w:val="22"/>
                      <w:szCs w:val="22"/>
                    </w:rPr>
                  </w:pPr>
                  <w:r w:rsidRPr="00317ABF">
                    <w:rPr>
                      <w:sz w:val="22"/>
                      <w:szCs w:val="22"/>
                    </w:rPr>
                    <w:t>- do instalowania urządzeń na własności publicznej lub prywatnej bądź nad lub pod taką własnością, złożony przez przedsiębiorstwo uprawnione do dostarczania publicznych sieci łączności, lub</w:t>
                  </w:r>
                </w:p>
              </w:tc>
            </w:tr>
          </w:tbl>
          <w:p w14:paraId="23A7C8A6" w14:textId="77777777" w:rsidR="001E1112" w:rsidRPr="00317ABF" w:rsidRDefault="001E1112" w:rsidP="00DB3BEC">
            <w:pPr>
              <w:jc w:val="both"/>
              <w:rPr>
                <w:vanish/>
                <w:sz w:val="22"/>
                <w:szCs w:val="22"/>
              </w:rPr>
            </w:pPr>
          </w:p>
          <w:tbl>
            <w:tblPr>
              <w:tblW w:w="5000" w:type="pct"/>
              <w:tblCellSpacing w:w="0" w:type="dxa"/>
              <w:tblLayout w:type="fixed"/>
              <w:tblCellMar>
                <w:left w:w="0" w:type="dxa"/>
                <w:right w:w="0" w:type="dxa"/>
              </w:tblCellMar>
              <w:tblLook w:val="04A0" w:firstRow="1" w:lastRow="0" w:firstColumn="1" w:lastColumn="0" w:noHBand="0" w:noVBand="1"/>
            </w:tblPr>
            <w:tblGrid>
              <w:gridCol w:w="20"/>
              <w:gridCol w:w="4148"/>
            </w:tblGrid>
            <w:tr w:rsidR="001E1112" w:rsidRPr="00317ABF" w14:paraId="7652927A" w14:textId="77777777" w:rsidTr="00A462BE">
              <w:trPr>
                <w:tblCellSpacing w:w="0" w:type="dxa"/>
              </w:trPr>
              <w:tc>
                <w:tcPr>
                  <w:tcW w:w="6" w:type="dxa"/>
                  <w:hideMark/>
                </w:tcPr>
                <w:p w14:paraId="236FC237" w14:textId="77777777" w:rsidR="001E1112" w:rsidRPr="00317ABF" w:rsidRDefault="001E1112" w:rsidP="00EE0AC3">
                  <w:pPr>
                    <w:framePr w:hSpace="141" w:wrap="around" w:vAnchor="text" w:hAnchor="text" w:xAlign="right" w:y="1"/>
                    <w:spacing w:before="120"/>
                    <w:suppressOverlap/>
                    <w:jc w:val="both"/>
                    <w:rPr>
                      <w:sz w:val="22"/>
                      <w:szCs w:val="22"/>
                    </w:rPr>
                  </w:pPr>
                </w:p>
              </w:tc>
              <w:tc>
                <w:tcPr>
                  <w:tcW w:w="9066" w:type="dxa"/>
                  <w:hideMark/>
                </w:tcPr>
                <w:p w14:paraId="164BD9D1" w14:textId="77777777" w:rsidR="001E1112" w:rsidRPr="00317ABF" w:rsidRDefault="001E1112" w:rsidP="00EE0AC3">
                  <w:pPr>
                    <w:framePr w:hSpace="141" w:wrap="around" w:vAnchor="text" w:hAnchor="text" w:xAlign="right" w:y="1"/>
                    <w:spacing w:before="120"/>
                    <w:suppressOverlap/>
                    <w:jc w:val="both"/>
                    <w:rPr>
                      <w:sz w:val="22"/>
                      <w:szCs w:val="22"/>
                    </w:rPr>
                  </w:pPr>
                  <w:r w:rsidRPr="00317ABF">
                    <w:rPr>
                      <w:sz w:val="22"/>
                      <w:szCs w:val="22"/>
                    </w:rPr>
                    <w:t>- do instalowania urządzeń na własności publicznej lub prywatnej bądź nad lub pod taką własnością, złożony przez przedsiębiorstwo uprawnione do dostarczania sieci łączności elektronicznej, ale nie na rzecz ogółu ludności,</w:t>
                  </w:r>
                </w:p>
              </w:tc>
            </w:tr>
          </w:tbl>
          <w:p w14:paraId="145AD801" w14:textId="77777777" w:rsidR="001E1112" w:rsidRPr="00317ABF" w:rsidRDefault="001E1112" w:rsidP="00DB3BEC">
            <w:pPr>
              <w:spacing w:before="120"/>
              <w:jc w:val="both"/>
              <w:rPr>
                <w:sz w:val="22"/>
                <w:szCs w:val="22"/>
              </w:rPr>
            </w:pPr>
            <w:r w:rsidRPr="00317ABF">
              <w:rPr>
                <w:sz w:val="22"/>
                <w:szCs w:val="22"/>
              </w:rPr>
              <w:t>organ ten:</w:t>
            </w:r>
          </w:p>
          <w:tbl>
            <w:tblPr>
              <w:tblW w:w="5000" w:type="pct"/>
              <w:tblCellSpacing w:w="0" w:type="dxa"/>
              <w:tblLayout w:type="fixed"/>
              <w:tblCellMar>
                <w:left w:w="0" w:type="dxa"/>
                <w:right w:w="0" w:type="dxa"/>
              </w:tblCellMar>
              <w:tblLook w:val="04A0" w:firstRow="1" w:lastRow="0" w:firstColumn="1" w:lastColumn="0" w:noHBand="0" w:noVBand="1"/>
            </w:tblPr>
            <w:tblGrid>
              <w:gridCol w:w="20"/>
              <w:gridCol w:w="4148"/>
            </w:tblGrid>
            <w:tr w:rsidR="001E1112" w:rsidRPr="00317ABF" w14:paraId="353FB8B4" w14:textId="77777777" w:rsidTr="00A462BE">
              <w:trPr>
                <w:tblCellSpacing w:w="0" w:type="dxa"/>
              </w:trPr>
              <w:tc>
                <w:tcPr>
                  <w:tcW w:w="6" w:type="dxa"/>
                  <w:hideMark/>
                </w:tcPr>
                <w:p w14:paraId="064FF0C9" w14:textId="77777777" w:rsidR="001E1112" w:rsidRPr="00317ABF" w:rsidRDefault="001E1112" w:rsidP="00EE0AC3">
                  <w:pPr>
                    <w:framePr w:hSpace="141" w:wrap="around" w:vAnchor="text" w:hAnchor="text" w:xAlign="right" w:y="1"/>
                    <w:spacing w:before="120"/>
                    <w:suppressOverlap/>
                    <w:jc w:val="both"/>
                    <w:rPr>
                      <w:sz w:val="22"/>
                      <w:szCs w:val="22"/>
                    </w:rPr>
                  </w:pPr>
                </w:p>
              </w:tc>
              <w:tc>
                <w:tcPr>
                  <w:tcW w:w="9066" w:type="dxa"/>
                  <w:hideMark/>
                </w:tcPr>
                <w:p w14:paraId="4007DDD7" w14:textId="77777777" w:rsidR="001E1112" w:rsidRPr="00317ABF" w:rsidRDefault="001E1112" w:rsidP="00EE0AC3">
                  <w:pPr>
                    <w:framePr w:hSpace="141" w:wrap="around" w:vAnchor="text" w:hAnchor="text" w:xAlign="right" w:y="1"/>
                    <w:numPr>
                      <w:ilvl w:val="0"/>
                      <w:numId w:val="28"/>
                    </w:numPr>
                    <w:spacing w:before="120"/>
                    <w:suppressOverlap/>
                    <w:jc w:val="both"/>
                    <w:rPr>
                      <w:sz w:val="22"/>
                      <w:szCs w:val="22"/>
                    </w:rPr>
                  </w:pPr>
                  <w:r w:rsidRPr="00317ABF">
                    <w:rPr>
                      <w:sz w:val="22"/>
                      <w:szCs w:val="22"/>
                    </w:rPr>
                    <w:t>działał na podstawie prostych, skutecznych, przejrzystych i ogólnodostępnych procedur, stosowanych bez dyskryminacji i bez zwłoki, przy czym w każdym przypadku – z wyjątkiem przypadku pozbawienia praw – podejmował decyzję w terminie sześciu miesięcy od daty wpłynięcia wniosku, oraz</w:t>
                  </w:r>
                </w:p>
              </w:tc>
            </w:tr>
          </w:tbl>
          <w:p w14:paraId="619E7DCA" w14:textId="77777777" w:rsidR="001E1112" w:rsidRPr="00317ABF" w:rsidRDefault="001E1112" w:rsidP="00DB3BEC">
            <w:pPr>
              <w:jc w:val="both"/>
              <w:rPr>
                <w:vanish/>
                <w:sz w:val="22"/>
                <w:szCs w:val="22"/>
              </w:rPr>
            </w:pPr>
          </w:p>
          <w:tbl>
            <w:tblPr>
              <w:tblW w:w="5000" w:type="pct"/>
              <w:tblCellSpacing w:w="0" w:type="dxa"/>
              <w:tblLayout w:type="fixed"/>
              <w:tblCellMar>
                <w:left w:w="0" w:type="dxa"/>
                <w:right w:w="0" w:type="dxa"/>
              </w:tblCellMar>
              <w:tblLook w:val="04A0" w:firstRow="1" w:lastRow="0" w:firstColumn="1" w:lastColumn="0" w:noHBand="0" w:noVBand="1"/>
            </w:tblPr>
            <w:tblGrid>
              <w:gridCol w:w="20"/>
              <w:gridCol w:w="4148"/>
            </w:tblGrid>
            <w:tr w:rsidR="001E1112" w:rsidRPr="00317ABF" w14:paraId="34A93F9C" w14:textId="77777777" w:rsidTr="00A462BE">
              <w:trPr>
                <w:tblCellSpacing w:w="0" w:type="dxa"/>
              </w:trPr>
              <w:tc>
                <w:tcPr>
                  <w:tcW w:w="6" w:type="dxa"/>
                  <w:hideMark/>
                </w:tcPr>
                <w:p w14:paraId="3D72BBB8" w14:textId="77777777" w:rsidR="001E1112" w:rsidRPr="00317ABF" w:rsidRDefault="001E1112" w:rsidP="00EE0AC3">
                  <w:pPr>
                    <w:framePr w:hSpace="141" w:wrap="around" w:vAnchor="text" w:hAnchor="text" w:xAlign="right" w:y="1"/>
                    <w:spacing w:before="120"/>
                    <w:suppressOverlap/>
                    <w:jc w:val="both"/>
                    <w:rPr>
                      <w:sz w:val="22"/>
                      <w:szCs w:val="22"/>
                    </w:rPr>
                  </w:pPr>
                </w:p>
              </w:tc>
              <w:tc>
                <w:tcPr>
                  <w:tcW w:w="9066" w:type="dxa"/>
                  <w:hideMark/>
                </w:tcPr>
                <w:p w14:paraId="122FA4F6" w14:textId="77777777" w:rsidR="001E1112" w:rsidRPr="00317ABF" w:rsidRDefault="001E1112" w:rsidP="00EE0AC3">
                  <w:pPr>
                    <w:framePr w:hSpace="141" w:wrap="around" w:vAnchor="text" w:hAnchor="text" w:xAlign="right" w:y="1"/>
                    <w:numPr>
                      <w:ilvl w:val="0"/>
                      <w:numId w:val="28"/>
                    </w:numPr>
                    <w:spacing w:before="120"/>
                    <w:suppressOverlap/>
                    <w:jc w:val="both"/>
                    <w:rPr>
                      <w:sz w:val="22"/>
                      <w:szCs w:val="22"/>
                    </w:rPr>
                  </w:pPr>
                  <w:r w:rsidRPr="00317ABF">
                    <w:rPr>
                      <w:sz w:val="22"/>
                      <w:szCs w:val="22"/>
                    </w:rPr>
                    <w:t>stosował się do zasad przejrzystości i niedyskryminacji, przy określaniu warunków związane z tymi prawami.</w:t>
                  </w:r>
                </w:p>
              </w:tc>
            </w:tr>
          </w:tbl>
          <w:p w14:paraId="642CAFFD" w14:textId="77777777" w:rsidR="001E1112" w:rsidRPr="00317ABF" w:rsidRDefault="001E1112" w:rsidP="00DB3BEC">
            <w:pPr>
              <w:spacing w:before="120"/>
              <w:jc w:val="both"/>
              <w:rPr>
                <w:sz w:val="22"/>
                <w:szCs w:val="22"/>
              </w:rPr>
            </w:pPr>
            <w:r w:rsidRPr="00317ABF">
              <w:rPr>
                <w:sz w:val="22"/>
                <w:szCs w:val="22"/>
              </w:rPr>
              <w:t>Procedury, o których mowa w lit. a) i b), mogą różnić się między sobą w zależności od tego, czy wnioskodawca dostarcza publiczne sieci łączności elektronicznej czy też nie.</w:t>
            </w:r>
          </w:p>
        </w:tc>
        <w:tc>
          <w:tcPr>
            <w:tcW w:w="986" w:type="dxa"/>
          </w:tcPr>
          <w:p w14:paraId="0FE0AA04" w14:textId="5DD44E47" w:rsidR="001E1112" w:rsidRPr="00317ABF" w:rsidRDefault="001E1112" w:rsidP="00DB3BEC">
            <w:pPr>
              <w:jc w:val="both"/>
              <w:rPr>
                <w:b/>
                <w:sz w:val="22"/>
                <w:szCs w:val="22"/>
              </w:rPr>
            </w:pPr>
            <w:r w:rsidRPr="00317ABF">
              <w:rPr>
                <w:b/>
                <w:sz w:val="22"/>
                <w:szCs w:val="22"/>
              </w:rPr>
              <w:lastRenderedPageBreak/>
              <w:t>N</w:t>
            </w:r>
          </w:p>
        </w:tc>
        <w:tc>
          <w:tcPr>
            <w:tcW w:w="910" w:type="dxa"/>
          </w:tcPr>
          <w:p w14:paraId="05FFD593" w14:textId="345EE1B0" w:rsidR="001E1112" w:rsidRPr="00317ABF" w:rsidRDefault="001E1112" w:rsidP="00DB3BEC">
            <w:pPr>
              <w:pStyle w:val="Tekstpodstawowy"/>
              <w:rPr>
                <w:b/>
                <w:noProof/>
                <w:sz w:val="22"/>
                <w:szCs w:val="22"/>
              </w:rPr>
            </w:pPr>
            <w:r w:rsidRPr="00317ABF">
              <w:rPr>
                <w:b/>
                <w:noProof/>
                <w:sz w:val="22"/>
                <w:szCs w:val="22"/>
              </w:rPr>
              <w:t xml:space="preserve">art. 39 ust. 3 ustawy o drogach publicznych; art. 124 ustawy o gospodarce nieruchomościami; </w:t>
            </w:r>
            <w:r w:rsidRPr="00317ABF">
              <w:rPr>
                <w:b/>
                <w:sz w:val="22"/>
                <w:szCs w:val="22"/>
              </w:rPr>
              <w:t xml:space="preserve"> </w:t>
            </w:r>
            <w:r w:rsidRPr="00317ABF">
              <w:rPr>
                <w:b/>
                <w:noProof/>
                <w:sz w:val="22"/>
                <w:szCs w:val="22"/>
              </w:rPr>
              <w:t>art. 21 ust. 2 , art. 30  ust. 5 oraz art. 33 ustawy o wspieraniu rozwoju usług i sieci telekom</w:t>
            </w:r>
            <w:r w:rsidRPr="00317ABF">
              <w:rPr>
                <w:b/>
                <w:noProof/>
                <w:sz w:val="22"/>
                <w:szCs w:val="22"/>
              </w:rPr>
              <w:lastRenderedPageBreak/>
              <w:t>unikacyjnych</w:t>
            </w:r>
          </w:p>
        </w:tc>
        <w:tc>
          <w:tcPr>
            <w:tcW w:w="6814" w:type="dxa"/>
            <w:gridSpan w:val="2"/>
          </w:tcPr>
          <w:p w14:paraId="57E41FA7" w14:textId="77777777" w:rsidR="001E1112" w:rsidRPr="00317ABF" w:rsidRDefault="001E1112" w:rsidP="00DB3BEC">
            <w:pPr>
              <w:jc w:val="both"/>
              <w:rPr>
                <w:sz w:val="22"/>
                <w:szCs w:val="22"/>
              </w:rPr>
            </w:pPr>
            <w:r w:rsidRPr="00317ABF">
              <w:rPr>
                <w:sz w:val="22"/>
                <w:szCs w:val="22"/>
              </w:rPr>
              <w:lastRenderedPageBreak/>
              <w:t>Wiele przepisów w polskim prawie mieści się do instytucji prawa drogi w rozumieniu art. 43 ust. 1 EKŁE. Wśród tych rozwiązań, spełniających wymagania określone w art. 43 ust. 1 EKŁE, należy wskazać:</w:t>
            </w:r>
          </w:p>
          <w:p w14:paraId="11C010F9" w14:textId="1F6A27F0" w:rsidR="001E1112" w:rsidRPr="00317ABF" w:rsidRDefault="001E1112" w:rsidP="00DB3BEC">
            <w:pPr>
              <w:jc w:val="both"/>
              <w:rPr>
                <w:sz w:val="22"/>
                <w:szCs w:val="22"/>
              </w:rPr>
            </w:pPr>
            <w:r w:rsidRPr="00317ABF">
              <w:rPr>
                <w:sz w:val="22"/>
                <w:szCs w:val="22"/>
              </w:rPr>
              <w:t>- tzw. decyzję lokalizacyjną (art. 39 ust. 3 ustawy o drogach publicznych);</w:t>
            </w:r>
          </w:p>
          <w:p w14:paraId="301A3402" w14:textId="446ADB27" w:rsidR="001E1112" w:rsidRPr="00317ABF" w:rsidRDefault="001E1112" w:rsidP="00DB3BEC">
            <w:pPr>
              <w:jc w:val="both"/>
              <w:rPr>
                <w:sz w:val="22"/>
                <w:szCs w:val="22"/>
              </w:rPr>
            </w:pPr>
            <w:r w:rsidRPr="00317ABF">
              <w:rPr>
                <w:sz w:val="22"/>
                <w:szCs w:val="22"/>
              </w:rPr>
              <w:t>- tzw. służebność administracyjna – zezwolenie na zakładanie urządzeń przesyłowych (art. 124 ustawy o gospodarce nieruchomościami);</w:t>
            </w:r>
          </w:p>
          <w:p w14:paraId="13959312" w14:textId="5B0763CE" w:rsidR="001E1112" w:rsidRPr="00317ABF" w:rsidRDefault="001E1112" w:rsidP="00DB3BEC">
            <w:pPr>
              <w:jc w:val="both"/>
              <w:rPr>
                <w:sz w:val="22"/>
                <w:szCs w:val="22"/>
              </w:rPr>
            </w:pPr>
            <w:r w:rsidRPr="00317ABF">
              <w:rPr>
                <w:sz w:val="22"/>
                <w:szCs w:val="22"/>
              </w:rPr>
              <w:t xml:space="preserve">- dostęp do infrastruktury technicznej  (art. 21 ust. 2 ustawy o wspieraniu rozwoju usług i sieci telekomunikacyjnych); </w:t>
            </w:r>
          </w:p>
          <w:p w14:paraId="574BCCD1" w14:textId="7F70D747" w:rsidR="001E1112" w:rsidRPr="00317ABF" w:rsidRDefault="001E1112" w:rsidP="00DB3BEC">
            <w:pPr>
              <w:jc w:val="both"/>
              <w:rPr>
                <w:sz w:val="22"/>
                <w:szCs w:val="22"/>
              </w:rPr>
            </w:pPr>
            <w:r w:rsidRPr="00317ABF">
              <w:rPr>
                <w:sz w:val="22"/>
                <w:szCs w:val="22"/>
              </w:rPr>
              <w:t>-  dostęp do nieruchomości na potrzeby telekomunikacji w budynku (art. 30 ust. 5 ustawy o wspieraniu rozwoju usług i sieci telekomunikacyjnych);</w:t>
            </w:r>
          </w:p>
          <w:p w14:paraId="6092A729" w14:textId="5D926D64" w:rsidR="001E1112" w:rsidRPr="00317ABF" w:rsidRDefault="001E1112" w:rsidP="00DB3BEC">
            <w:pPr>
              <w:jc w:val="both"/>
              <w:rPr>
                <w:sz w:val="22"/>
                <w:szCs w:val="22"/>
              </w:rPr>
            </w:pPr>
            <w:r w:rsidRPr="00317ABF">
              <w:rPr>
                <w:sz w:val="22"/>
                <w:szCs w:val="22"/>
              </w:rPr>
              <w:t>- dostęp do nieruchomości na potrzeby  umieszczenie na nieruchomości obiektów i urządzeń infrastruktury telekomunikacyjnej w celu niezwiązanym z zapewnieniem telekomunikacji w budynku znajdującym się na tej nieruchomości (art. 33 ustawy o wspieraniu rozwoju usług i sieci telekomunikacyjnych).</w:t>
            </w:r>
          </w:p>
          <w:p w14:paraId="3C861E13" w14:textId="77777777" w:rsidR="001E1112" w:rsidRPr="00317ABF" w:rsidRDefault="001E1112" w:rsidP="00DB3BEC">
            <w:pPr>
              <w:jc w:val="both"/>
              <w:rPr>
                <w:sz w:val="22"/>
                <w:szCs w:val="22"/>
              </w:rPr>
            </w:pPr>
          </w:p>
          <w:p w14:paraId="7618A91F" w14:textId="129BC904" w:rsidR="001E1112" w:rsidRPr="00317ABF" w:rsidRDefault="001E1112" w:rsidP="00DB3BEC">
            <w:pPr>
              <w:jc w:val="both"/>
              <w:rPr>
                <w:sz w:val="22"/>
                <w:szCs w:val="22"/>
              </w:rPr>
            </w:pPr>
          </w:p>
        </w:tc>
      </w:tr>
      <w:tr w:rsidR="001E1112" w:rsidRPr="00317ABF" w14:paraId="48A62DF1" w14:textId="77777777" w:rsidTr="7753F98D">
        <w:trPr>
          <w:gridAfter w:val="2"/>
          <w:wAfter w:w="175" w:type="dxa"/>
        </w:trPr>
        <w:tc>
          <w:tcPr>
            <w:tcW w:w="704" w:type="dxa"/>
          </w:tcPr>
          <w:p w14:paraId="285F0423" w14:textId="784A0C36" w:rsidR="001E1112" w:rsidRPr="00317ABF" w:rsidRDefault="001E1112" w:rsidP="00DB3BEC">
            <w:pPr>
              <w:jc w:val="both"/>
              <w:rPr>
                <w:sz w:val="22"/>
                <w:szCs w:val="22"/>
              </w:rPr>
            </w:pPr>
            <w:r w:rsidRPr="00317ABF">
              <w:rPr>
                <w:sz w:val="22"/>
                <w:szCs w:val="22"/>
              </w:rPr>
              <w:lastRenderedPageBreak/>
              <w:t>Art. 43 ust. 2</w:t>
            </w:r>
          </w:p>
        </w:tc>
        <w:tc>
          <w:tcPr>
            <w:tcW w:w="4308" w:type="dxa"/>
          </w:tcPr>
          <w:p w14:paraId="065123DF" w14:textId="77777777" w:rsidR="001E1112" w:rsidRPr="00317ABF" w:rsidRDefault="001E1112" w:rsidP="00DB3BEC">
            <w:pPr>
              <w:spacing w:before="120"/>
              <w:jc w:val="both"/>
              <w:rPr>
                <w:sz w:val="22"/>
                <w:szCs w:val="22"/>
              </w:rPr>
            </w:pPr>
            <w:r w:rsidRPr="00317ABF">
              <w:rPr>
                <w:sz w:val="22"/>
                <w:szCs w:val="22"/>
              </w:rPr>
              <w:t>2.   Państwa członkowskie zapewniają, aby w przypadku gdy władze państwowe lub lokalne zachowują prawo własności lub kontrolę nad przedsiębiorstwami dostarczającymi publiczne sieci łączności elektronicznej lub publicznie dostępne usługi łączności elektronicznej, istniał skuteczny i strukturalny rozdział funkcji polegającej na przyznawaniu praw, o których mowa w ust. 1, od działalności związanych z wykonywaniem prawa własności lub kontroli.</w:t>
            </w:r>
          </w:p>
        </w:tc>
        <w:tc>
          <w:tcPr>
            <w:tcW w:w="986" w:type="dxa"/>
          </w:tcPr>
          <w:p w14:paraId="250806ED" w14:textId="557B8E30" w:rsidR="001E1112" w:rsidRPr="00317ABF" w:rsidRDefault="001E1112" w:rsidP="00DB3BEC">
            <w:pPr>
              <w:jc w:val="both"/>
              <w:rPr>
                <w:b/>
                <w:sz w:val="22"/>
                <w:szCs w:val="22"/>
              </w:rPr>
            </w:pPr>
            <w:r w:rsidRPr="00317ABF">
              <w:rPr>
                <w:b/>
                <w:sz w:val="22"/>
                <w:szCs w:val="22"/>
              </w:rPr>
              <w:t>N</w:t>
            </w:r>
          </w:p>
        </w:tc>
        <w:tc>
          <w:tcPr>
            <w:tcW w:w="910" w:type="dxa"/>
          </w:tcPr>
          <w:p w14:paraId="3D35B4DD" w14:textId="77777777" w:rsidR="001E1112" w:rsidRPr="00317ABF" w:rsidRDefault="001E1112" w:rsidP="00DB3BEC">
            <w:pPr>
              <w:pStyle w:val="Tekstpodstawowy"/>
              <w:rPr>
                <w:b/>
                <w:noProof/>
                <w:sz w:val="22"/>
                <w:szCs w:val="22"/>
              </w:rPr>
            </w:pPr>
          </w:p>
        </w:tc>
        <w:tc>
          <w:tcPr>
            <w:tcW w:w="6814" w:type="dxa"/>
            <w:gridSpan w:val="2"/>
          </w:tcPr>
          <w:p w14:paraId="6098C37B" w14:textId="77777777" w:rsidR="001E1112" w:rsidRPr="00317ABF" w:rsidRDefault="001E1112" w:rsidP="00DB3BEC">
            <w:pPr>
              <w:pStyle w:val="Tekstpodstawowy"/>
              <w:rPr>
                <w:sz w:val="22"/>
                <w:szCs w:val="22"/>
              </w:rPr>
            </w:pPr>
          </w:p>
        </w:tc>
      </w:tr>
      <w:tr w:rsidR="001E1112" w:rsidRPr="00317ABF" w14:paraId="124EC8A5" w14:textId="77777777" w:rsidTr="7753F98D">
        <w:trPr>
          <w:gridAfter w:val="2"/>
          <w:wAfter w:w="175" w:type="dxa"/>
        </w:trPr>
        <w:tc>
          <w:tcPr>
            <w:tcW w:w="704" w:type="dxa"/>
          </w:tcPr>
          <w:p w14:paraId="369779FD" w14:textId="77777777" w:rsidR="001E1112" w:rsidRPr="00317ABF" w:rsidRDefault="001E1112" w:rsidP="00DB3BEC">
            <w:pPr>
              <w:jc w:val="both"/>
              <w:rPr>
                <w:b/>
                <w:sz w:val="22"/>
                <w:szCs w:val="22"/>
              </w:rPr>
            </w:pPr>
            <w:r w:rsidRPr="00317ABF">
              <w:rPr>
                <w:b/>
                <w:sz w:val="22"/>
                <w:szCs w:val="22"/>
              </w:rPr>
              <w:t>Art. 44</w:t>
            </w:r>
          </w:p>
        </w:tc>
        <w:tc>
          <w:tcPr>
            <w:tcW w:w="4308" w:type="dxa"/>
          </w:tcPr>
          <w:p w14:paraId="324D6990" w14:textId="77777777" w:rsidR="001E1112" w:rsidRPr="00317ABF" w:rsidRDefault="001E1112" w:rsidP="00DB3BEC">
            <w:pPr>
              <w:spacing w:before="60" w:after="120"/>
              <w:jc w:val="both"/>
              <w:rPr>
                <w:b/>
                <w:bCs/>
                <w:sz w:val="22"/>
                <w:szCs w:val="22"/>
              </w:rPr>
            </w:pPr>
            <w:r w:rsidRPr="00317ABF">
              <w:rPr>
                <w:b/>
                <w:bCs/>
                <w:sz w:val="22"/>
                <w:szCs w:val="22"/>
              </w:rPr>
              <w:t>Kolokacja oraz współużytkowanie elementów sieci i urządzeń towarzyszących przez dostawców sieci łączności elektronicznej</w:t>
            </w:r>
          </w:p>
        </w:tc>
        <w:tc>
          <w:tcPr>
            <w:tcW w:w="986" w:type="dxa"/>
          </w:tcPr>
          <w:p w14:paraId="24A2EE5C" w14:textId="77777777" w:rsidR="001E1112" w:rsidRPr="00317ABF" w:rsidRDefault="001E1112" w:rsidP="00DB3BEC">
            <w:pPr>
              <w:jc w:val="both"/>
              <w:rPr>
                <w:sz w:val="22"/>
                <w:szCs w:val="22"/>
              </w:rPr>
            </w:pPr>
          </w:p>
        </w:tc>
        <w:tc>
          <w:tcPr>
            <w:tcW w:w="910" w:type="dxa"/>
          </w:tcPr>
          <w:p w14:paraId="0233563C" w14:textId="77777777" w:rsidR="001E1112" w:rsidRPr="00317ABF" w:rsidRDefault="001E1112" w:rsidP="00DB3BEC">
            <w:pPr>
              <w:pStyle w:val="Tekstpodstawowy"/>
              <w:rPr>
                <w:b/>
                <w:noProof/>
                <w:sz w:val="22"/>
                <w:szCs w:val="22"/>
              </w:rPr>
            </w:pPr>
          </w:p>
        </w:tc>
        <w:tc>
          <w:tcPr>
            <w:tcW w:w="6814" w:type="dxa"/>
            <w:gridSpan w:val="2"/>
          </w:tcPr>
          <w:p w14:paraId="5947B4EE" w14:textId="77777777" w:rsidR="001E1112" w:rsidRPr="00317ABF" w:rsidRDefault="001E1112" w:rsidP="00DB3BEC">
            <w:pPr>
              <w:pStyle w:val="Tekstpodstawowy"/>
              <w:rPr>
                <w:sz w:val="22"/>
                <w:szCs w:val="22"/>
              </w:rPr>
            </w:pPr>
          </w:p>
        </w:tc>
      </w:tr>
      <w:tr w:rsidR="001E1112" w:rsidRPr="00317ABF" w14:paraId="4FB4A6CD" w14:textId="77777777" w:rsidTr="7753F98D">
        <w:trPr>
          <w:gridAfter w:val="2"/>
          <w:wAfter w:w="175" w:type="dxa"/>
        </w:trPr>
        <w:tc>
          <w:tcPr>
            <w:tcW w:w="704" w:type="dxa"/>
          </w:tcPr>
          <w:p w14:paraId="4F58DC64" w14:textId="77777777" w:rsidR="001E1112" w:rsidRPr="00317ABF" w:rsidRDefault="001E1112" w:rsidP="00DB3BEC">
            <w:pPr>
              <w:jc w:val="both"/>
              <w:rPr>
                <w:sz w:val="22"/>
                <w:szCs w:val="22"/>
              </w:rPr>
            </w:pPr>
            <w:r w:rsidRPr="00317ABF">
              <w:rPr>
                <w:sz w:val="22"/>
                <w:szCs w:val="22"/>
              </w:rPr>
              <w:t>Art. 44 ust. 1</w:t>
            </w:r>
          </w:p>
        </w:tc>
        <w:tc>
          <w:tcPr>
            <w:tcW w:w="4308" w:type="dxa"/>
          </w:tcPr>
          <w:p w14:paraId="0CCFE434" w14:textId="77777777" w:rsidR="001E1112" w:rsidRPr="00317ABF" w:rsidRDefault="001E1112" w:rsidP="00DB3BEC">
            <w:pPr>
              <w:spacing w:before="120"/>
              <w:jc w:val="both"/>
              <w:rPr>
                <w:sz w:val="22"/>
                <w:szCs w:val="22"/>
              </w:rPr>
            </w:pPr>
            <w:r w:rsidRPr="00317ABF">
              <w:rPr>
                <w:sz w:val="22"/>
                <w:szCs w:val="22"/>
              </w:rPr>
              <w:t>1.   W przypadku gdy operator skorzystał z uprawnienia przewidzianego w prawie krajowym do instalowania urządzeń na, nad lub pod publiczną lub prywatną nieruchomością albo skorzystał z procedury prowadzącej do wywłaszczenia lub uzyskania prawa użytkowania nieruchomości, właściwe organy mogą nałożyć obowiązek kolokacji i współużytkowania zainstalowanych elementów sieci i urządzeń towarzyszących, aby chronić środowisko, zdrowie publiczne, bezpieczeństwo publiczne lub by osiągnąć cele zagospodarowania przestrzennego.</w:t>
            </w:r>
          </w:p>
          <w:p w14:paraId="57FEF0F6" w14:textId="77777777" w:rsidR="001E1112" w:rsidRPr="00317ABF" w:rsidRDefault="001E1112" w:rsidP="00DB3BEC">
            <w:pPr>
              <w:spacing w:before="120"/>
              <w:jc w:val="both"/>
              <w:rPr>
                <w:sz w:val="22"/>
                <w:szCs w:val="22"/>
              </w:rPr>
            </w:pPr>
            <w:r w:rsidRPr="00317ABF">
              <w:rPr>
                <w:sz w:val="22"/>
                <w:szCs w:val="22"/>
              </w:rPr>
              <w:lastRenderedPageBreak/>
              <w:t>Obowiązek kolokacji lub współużytkowania zainstalowanych elementów sieci i urządzeń oraz współużytkowania nieruchomości może zostać nałożony wyłącznie po odpowiednio długim okresie konsultacji publicznych, w trakcie których wszystkim zainteresowanym stronom zapewnia się możliwość wyrażenia swojego stanowiska, oraz wyłącznie na konkretnych obszarach, na których takie współużytkowanie uznano za niezbędne w świetle realizacji celów przewidzianych w akapicie pierwszym. Właściwe organy mogą nałożyć obowiązek współużytkowania takich urządzeń lub nieruchomości, w tym gruntów, budynków, wejść do budynków, okablowania budynków, masztów, anten, wież i innych konstrukcji wsporczych, kanałów kablowych, kanałów, studzienek, szafek lub środków ułatwiających koordynację robót publicznych. W razie konieczności państwo członkowskie może wyznaczyć krajowy organ regulacyjny lub inny właściwy organ do poszczególnych, jednego lub więcej następujących zadań:</w:t>
            </w:r>
          </w:p>
          <w:tbl>
            <w:tblPr>
              <w:tblW w:w="5000" w:type="pct"/>
              <w:tblCellSpacing w:w="0" w:type="dxa"/>
              <w:tblLayout w:type="fixed"/>
              <w:tblCellMar>
                <w:left w:w="0" w:type="dxa"/>
                <w:right w:w="0" w:type="dxa"/>
              </w:tblCellMar>
              <w:tblLook w:val="04A0" w:firstRow="1" w:lastRow="0" w:firstColumn="1" w:lastColumn="0" w:noHBand="0" w:noVBand="1"/>
            </w:tblPr>
            <w:tblGrid>
              <w:gridCol w:w="20"/>
              <w:gridCol w:w="4148"/>
            </w:tblGrid>
            <w:tr w:rsidR="001E1112" w:rsidRPr="00317ABF" w14:paraId="27290881" w14:textId="77777777" w:rsidTr="00A462BE">
              <w:trPr>
                <w:tblCellSpacing w:w="0" w:type="dxa"/>
              </w:trPr>
              <w:tc>
                <w:tcPr>
                  <w:tcW w:w="9" w:type="dxa"/>
                  <w:hideMark/>
                </w:tcPr>
                <w:p w14:paraId="61C81E77" w14:textId="77777777" w:rsidR="001E1112" w:rsidRPr="00317ABF" w:rsidRDefault="001E1112" w:rsidP="00EE0AC3">
                  <w:pPr>
                    <w:framePr w:hSpace="141" w:wrap="around" w:vAnchor="text" w:hAnchor="text" w:xAlign="right" w:y="1"/>
                    <w:spacing w:before="120"/>
                    <w:suppressOverlap/>
                    <w:jc w:val="both"/>
                    <w:rPr>
                      <w:sz w:val="22"/>
                      <w:szCs w:val="22"/>
                    </w:rPr>
                  </w:pPr>
                </w:p>
              </w:tc>
              <w:tc>
                <w:tcPr>
                  <w:tcW w:w="9063" w:type="dxa"/>
                  <w:hideMark/>
                </w:tcPr>
                <w:p w14:paraId="707FB199" w14:textId="77777777" w:rsidR="001E1112" w:rsidRPr="00317ABF" w:rsidRDefault="001E1112" w:rsidP="00EE0AC3">
                  <w:pPr>
                    <w:framePr w:hSpace="141" w:wrap="around" w:vAnchor="text" w:hAnchor="text" w:xAlign="right" w:y="1"/>
                    <w:numPr>
                      <w:ilvl w:val="0"/>
                      <w:numId w:val="29"/>
                    </w:numPr>
                    <w:spacing w:before="120"/>
                    <w:suppressOverlap/>
                    <w:jc w:val="both"/>
                    <w:rPr>
                      <w:sz w:val="22"/>
                      <w:szCs w:val="22"/>
                    </w:rPr>
                  </w:pPr>
                  <w:r w:rsidRPr="00317ABF">
                    <w:rPr>
                      <w:sz w:val="22"/>
                      <w:szCs w:val="22"/>
                    </w:rPr>
                    <w:t>koordynowania procesu przewidzianego w niniejszym artykule;</w:t>
                  </w:r>
                </w:p>
              </w:tc>
            </w:tr>
          </w:tbl>
          <w:p w14:paraId="7999C2FD" w14:textId="77777777" w:rsidR="001E1112" w:rsidRPr="00317ABF" w:rsidRDefault="001E1112" w:rsidP="00DB3BEC">
            <w:pPr>
              <w:jc w:val="both"/>
              <w:rPr>
                <w:vanish/>
                <w:sz w:val="22"/>
                <w:szCs w:val="22"/>
              </w:rPr>
            </w:pPr>
          </w:p>
          <w:tbl>
            <w:tblPr>
              <w:tblW w:w="5000" w:type="pct"/>
              <w:tblCellSpacing w:w="0" w:type="dxa"/>
              <w:tblLayout w:type="fixed"/>
              <w:tblCellMar>
                <w:left w:w="0" w:type="dxa"/>
                <w:right w:w="0" w:type="dxa"/>
              </w:tblCellMar>
              <w:tblLook w:val="04A0" w:firstRow="1" w:lastRow="0" w:firstColumn="1" w:lastColumn="0" w:noHBand="0" w:noVBand="1"/>
            </w:tblPr>
            <w:tblGrid>
              <w:gridCol w:w="20"/>
              <w:gridCol w:w="4148"/>
            </w:tblGrid>
            <w:tr w:rsidR="001E1112" w:rsidRPr="00317ABF" w14:paraId="13DD0470" w14:textId="77777777" w:rsidTr="00A462BE">
              <w:trPr>
                <w:tblCellSpacing w:w="0" w:type="dxa"/>
              </w:trPr>
              <w:tc>
                <w:tcPr>
                  <w:tcW w:w="12" w:type="dxa"/>
                  <w:hideMark/>
                </w:tcPr>
                <w:p w14:paraId="7B7C8C32" w14:textId="77777777" w:rsidR="001E1112" w:rsidRPr="00317ABF" w:rsidRDefault="001E1112" w:rsidP="00EE0AC3">
                  <w:pPr>
                    <w:framePr w:hSpace="141" w:wrap="around" w:vAnchor="text" w:hAnchor="text" w:xAlign="right" w:y="1"/>
                    <w:spacing w:before="120"/>
                    <w:suppressOverlap/>
                    <w:jc w:val="both"/>
                    <w:rPr>
                      <w:sz w:val="22"/>
                      <w:szCs w:val="22"/>
                    </w:rPr>
                  </w:pPr>
                </w:p>
              </w:tc>
              <w:tc>
                <w:tcPr>
                  <w:tcW w:w="9060" w:type="dxa"/>
                  <w:hideMark/>
                </w:tcPr>
                <w:p w14:paraId="36750FCD" w14:textId="77777777" w:rsidR="001E1112" w:rsidRPr="00317ABF" w:rsidRDefault="001E1112" w:rsidP="00EE0AC3">
                  <w:pPr>
                    <w:framePr w:hSpace="141" w:wrap="around" w:vAnchor="text" w:hAnchor="text" w:xAlign="right" w:y="1"/>
                    <w:numPr>
                      <w:ilvl w:val="0"/>
                      <w:numId w:val="29"/>
                    </w:numPr>
                    <w:spacing w:before="120"/>
                    <w:suppressOverlap/>
                    <w:jc w:val="both"/>
                    <w:rPr>
                      <w:sz w:val="22"/>
                      <w:szCs w:val="22"/>
                    </w:rPr>
                  </w:pPr>
                  <w:r w:rsidRPr="00317ABF">
                    <w:rPr>
                      <w:sz w:val="22"/>
                      <w:szCs w:val="22"/>
                    </w:rPr>
                    <w:t>działania jako pojedynczy punkt informacyjny;</w:t>
                  </w:r>
                </w:p>
              </w:tc>
            </w:tr>
          </w:tbl>
          <w:p w14:paraId="27758D73" w14:textId="77777777" w:rsidR="001E1112" w:rsidRPr="00317ABF" w:rsidRDefault="001E1112" w:rsidP="00DB3BEC">
            <w:pPr>
              <w:jc w:val="both"/>
              <w:rPr>
                <w:vanish/>
                <w:sz w:val="22"/>
                <w:szCs w:val="22"/>
              </w:rPr>
            </w:pPr>
          </w:p>
          <w:tbl>
            <w:tblPr>
              <w:tblW w:w="5000" w:type="pct"/>
              <w:tblCellSpacing w:w="0" w:type="dxa"/>
              <w:tblLayout w:type="fixed"/>
              <w:tblCellMar>
                <w:left w:w="0" w:type="dxa"/>
                <w:right w:w="0" w:type="dxa"/>
              </w:tblCellMar>
              <w:tblLook w:val="04A0" w:firstRow="1" w:lastRow="0" w:firstColumn="1" w:lastColumn="0" w:noHBand="0" w:noVBand="1"/>
            </w:tblPr>
            <w:tblGrid>
              <w:gridCol w:w="20"/>
              <w:gridCol w:w="4148"/>
            </w:tblGrid>
            <w:tr w:rsidR="001E1112" w:rsidRPr="00317ABF" w14:paraId="285009CE" w14:textId="77777777" w:rsidTr="00A462BE">
              <w:trPr>
                <w:tblCellSpacing w:w="0" w:type="dxa"/>
              </w:trPr>
              <w:tc>
                <w:tcPr>
                  <w:tcW w:w="6" w:type="dxa"/>
                  <w:hideMark/>
                </w:tcPr>
                <w:p w14:paraId="1AF35F8B" w14:textId="77777777" w:rsidR="001E1112" w:rsidRPr="00317ABF" w:rsidRDefault="001E1112" w:rsidP="00EE0AC3">
                  <w:pPr>
                    <w:framePr w:hSpace="141" w:wrap="around" w:vAnchor="text" w:hAnchor="text" w:xAlign="right" w:y="1"/>
                    <w:spacing w:before="120"/>
                    <w:suppressOverlap/>
                    <w:jc w:val="both"/>
                    <w:rPr>
                      <w:sz w:val="22"/>
                      <w:szCs w:val="22"/>
                    </w:rPr>
                  </w:pPr>
                </w:p>
              </w:tc>
              <w:tc>
                <w:tcPr>
                  <w:tcW w:w="9066" w:type="dxa"/>
                  <w:hideMark/>
                </w:tcPr>
                <w:p w14:paraId="4DA12CEA" w14:textId="77777777" w:rsidR="001E1112" w:rsidRPr="00317ABF" w:rsidRDefault="001E1112" w:rsidP="00EE0AC3">
                  <w:pPr>
                    <w:framePr w:hSpace="141" w:wrap="around" w:vAnchor="text" w:hAnchor="text" w:xAlign="right" w:y="1"/>
                    <w:numPr>
                      <w:ilvl w:val="0"/>
                      <w:numId w:val="29"/>
                    </w:numPr>
                    <w:spacing w:before="120"/>
                    <w:suppressOverlap/>
                    <w:jc w:val="both"/>
                    <w:rPr>
                      <w:sz w:val="22"/>
                      <w:szCs w:val="22"/>
                    </w:rPr>
                  </w:pPr>
                  <w:r w:rsidRPr="00317ABF">
                    <w:rPr>
                      <w:sz w:val="22"/>
                      <w:szCs w:val="22"/>
                    </w:rPr>
                    <w:t>ustanawiania przepisów regulujących podział kosztów współużytkowania urządzeń lub własności oraz kosztów koordynacji robót inżynieryjnych.</w:t>
                  </w:r>
                </w:p>
              </w:tc>
            </w:tr>
          </w:tbl>
          <w:p w14:paraId="0DA819DD" w14:textId="77777777" w:rsidR="001E1112" w:rsidRPr="00317ABF" w:rsidRDefault="001E1112" w:rsidP="00DB3BEC">
            <w:pPr>
              <w:spacing w:before="120"/>
              <w:jc w:val="both"/>
              <w:rPr>
                <w:sz w:val="22"/>
                <w:szCs w:val="22"/>
              </w:rPr>
            </w:pPr>
          </w:p>
        </w:tc>
        <w:tc>
          <w:tcPr>
            <w:tcW w:w="986" w:type="dxa"/>
          </w:tcPr>
          <w:p w14:paraId="521832CA" w14:textId="197FEF17" w:rsidR="001E1112" w:rsidRPr="00317ABF" w:rsidRDefault="001E1112" w:rsidP="00DB3BEC">
            <w:pPr>
              <w:jc w:val="both"/>
              <w:rPr>
                <w:b/>
                <w:sz w:val="22"/>
                <w:szCs w:val="22"/>
              </w:rPr>
            </w:pPr>
            <w:r w:rsidRPr="00317ABF">
              <w:rPr>
                <w:b/>
                <w:sz w:val="22"/>
                <w:szCs w:val="22"/>
              </w:rPr>
              <w:lastRenderedPageBreak/>
              <w:t>T</w:t>
            </w:r>
          </w:p>
        </w:tc>
        <w:tc>
          <w:tcPr>
            <w:tcW w:w="910" w:type="dxa"/>
          </w:tcPr>
          <w:p w14:paraId="689978F1" w14:textId="61D626F6" w:rsidR="001E1112" w:rsidRPr="00317ABF" w:rsidRDefault="00B03108" w:rsidP="00DB3BEC">
            <w:pPr>
              <w:pStyle w:val="Tekstpodstawowy"/>
              <w:rPr>
                <w:b/>
                <w:noProof/>
                <w:sz w:val="22"/>
                <w:szCs w:val="22"/>
              </w:rPr>
            </w:pPr>
            <w:r w:rsidRPr="00317ABF">
              <w:rPr>
                <w:b/>
                <w:noProof/>
                <w:sz w:val="22"/>
                <w:szCs w:val="22"/>
              </w:rPr>
              <w:t>Art. 181; art. 2 pkt 18</w:t>
            </w:r>
          </w:p>
        </w:tc>
        <w:tc>
          <w:tcPr>
            <w:tcW w:w="6814" w:type="dxa"/>
            <w:gridSpan w:val="2"/>
          </w:tcPr>
          <w:p w14:paraId="5C232C21" w14:textId="6454FF22" w:rsidR="00B03108" w:rsidRPr="00317ABF" w:rsidRDefault="00B03108" w:rsidP="00DB3BEC">
            <w:pPr>
              <w:spacing w:before="120"/>
              <w:jc w:val="both"/>
              <w:rPr>
                <w:b/>
                <w:sz w:val="22"/>
                <w:szCs w:val="22"/>
              </w:rPr>
            </w:pPr>
            <w:r w:rsidRPr="00317ABF">
              <w:rPr>
                <w:b/>
                <w:sz w:val="22"/>
                <w:szCs w:val="22"/>
              </w:rPr>
              <w:t>Art. 18</w:t>
            </w:r>
            <w:r w:rsidR="001E1112" w:rsidRPr="00317ABF">
              <w:rPr>
                <w:b/>
                <w:sz w:val="22"/>
                <w:szCs w:val="22"/>
              </w:rPr>
              <w:t xml:space="preserve">1. </w:t>
            </w:r>
            <w:r w:rsidRPr="00317ABF">
              <w:rPr>
                <w:sz w:val="22"/>
                <w:szCs w:val="22"/>
              </w:rPr>
              <w:t>Prezes UKE może, w drodze decyzji, nałożyć na operatora obowiązek kolokacji, udostępniania elementów sieci telekomunikacyjnej oraz powiązanych zasobów, które zostały umieszczone na nieruchomości w związku z wykonywaniem uprawnień wynikających z przepisów prawa, wyroku sądu lub decyzji, o ile nałożenie takiego obowiązku jest niezbędne w celu ochrony środowiska, zdrowia publicznego, bezpieczeństwa publicznego lub z uwagi na realizację celów planowania i zagospodarowania przestrzennego</w:t>
            </w:r>
          </w:p>
          <w:p w14:paraId="4C60DC22" w14:textId="73FDE3F8" w:rsidR="00B03108" w:rsidRPr="00317ABF" w:rsidRDefault="00B03108" w:rsidP="00B03108">
            <w:pPr>
              <w:spacing w:before="120"/>
              <w:jc w:val="both"/>
              <w:rPr>
                <w:sz w:val="22"/>
                <w:szCs w:val="22"/>
              </w:rPr>
            </w:pPr>
            <w:r w:rsidRPr="00317ABF">
              <w:rPr>
                <w:b/>
                <w:sz w:val="22"/>
                <w:szCs w:val="22"/>
              </w:rPr>
              <w:t>Art. 2 pkt 18.</w:t>
            </w:r>
            <w:r w:rsidRPr="00317ABF">
              <w:rPr>
                <w:sz w:val="22"/>
                <w:szCs w:val="22"/>
              </w:rPr>
              <w:tab/>
              <w:t>kolokacja – udostępnianie fizycznej przestrzeni lub urządzeń technicznych w celu umieszczenia i podłączenia niezbędnego sprzętu operatora podłączającego swoją sieć telekomunikacyjną do sieci innego operatora lub korzystającego z dostępu do lokalnej pętli abonenckiej;</w:t>
            </w:r>
          </w:p>
          <w:p w14:paraId="621AFB6B" w14:textId="6FA900BA" w:rsidR="00B03108" w:rsidRPr="00317ABF" w:rsidRDefault="00B03108" w:rsidP="00DB3BEC">
            <w:pPr>
              <w:spacing w:before="120"/>
              <w:jc w:val="both"/>
              <w:rPr>
                <w:sz w:val="22"/>
                <w:szCs w:val="22"/>
              </w:rPr>
            </w:pPr>
          </w:p>
        </w:tc>
      </w:tr>
      <w:tr w:rsidR="001E1112" w:rsidRPr="00317ABF" w14:paraId="2439E57C" w14:textId="77777777" w:rsidTr="7753F98D">
        <w:trPr>
          <w:gridAfter w:val="2"/>
          <w:wAfter w:w="175" w:type="dxa"/>
        </w:trPr>
        <w:tc>
          <w:tcPr>
            <w:tcW w:w="704" w:type="dxa"/>
          </w:tcPr>
          <w:p w14:paraId="3288D7A0" w14:textId="77777777" w:rsidR="001E1112" w:rsidRPr="00317ABF" w:rsidRDefault="001E1112" w:rsidP="00DB3BEC">
            <w:pPr>
              <w:jc w:val="both"/>
              <w:rPr>
                <w:sz w:val="22"/>
                <w:szCs w:val="22"/>
              </w:rPr>
            </w:pPr>
            <w:r w:rsidRPr="00317ABF">
              <w:rPr>
                <w:sz w:val="22"/>
                <w:szCs w:val="22"/>
              </w:rPr>
              <w:lastRenderedPageBreak/>
              <w:t>Art. 44 ust. 2</w:t>
            </w:r>
          </w:p>
        </w:tc>
        <w:tc>
          <w:tcPr>
            <w:tcW w:w="4308" w:type="dxa"/>
          </w:tcPr>
          <w:p w14:paraId="1ACA19E7" w14:textId="77777777" w:rsidR="001E1112" w:rsidRPr="00317ABF" w:rsidRDefault="001E1112" w:rsidP="00DB3BEC">
            <w:pPr>
              <w:spacing w:before="120"/>
              <w:jc w:val="both"/>
              <w:rPr>
                <w:sz w:val="22"/>
                <w:szCs w:val="22"/>
              </w:rPr>
            </w:pPr>
            <w:r w:rsidRPr="00317ABF">
              <w:rPr>
                <w:sz w:val="22"/>
                <w:szCs w:val="22"/>
              </w:rPr>
              <w:t xml:space="preserve">2.   Środki podejmowane przez właściwy organ zgodnie z niniejszym artykułem muszą być obiektywne, przejrzyste, niedyskryminacyjne </w:t>
            </w:r>
            <w:r w:rsidRPr="00317ABF">
              <w:rPr>
                <w:sz w:val="22"/>
                <w:szCs w:val="22"/>
              </w:rPr>
              <w:lastRenderedPageBreak/>
              <w:t>i proporcjonalne. W razie potrzeby realizację tych środków koordynują krajowe organy regulacyjne.</w:t>
            </w:r>
          </w:p>
        </w:tc>
        <w:tc>
          <w:tcPr>
            <w:tcW w:w="986" w:type="dxa"/>
          </w:tcPr>
          <w:p w14:paraId="2E471027" w14:textId="17E2FEE8" w:rsidR="001E1112" w:rsidRPr="00317ABF" w:rsidRDefault="001E1112" w:rsidP="00DB3BEC">
            <w:pPr>
              <w:jc w:val="both"/>
              <w:rPr>
                <w:b/>
                <w:sz w:val="22"/>
                <w:szCs w:val="22"/>
              </w:rPr>
            </w:pPr>
            <w:r w:rsidRPr="00317ABF">
              <w:rPr>
                <w:b/>
                <w:sz w:val="22"/>
                <w:szCs w:val="22"/>
              </w:rPr>
              <w:lastRenderedPageBreak/>
              <w:t>T</w:t>
            </w:r>
          </w:p>
        </w:tc>
        <w:tc>
          <w:tcPr>
            <w:tcW w:w="910" w:type="dxa"/>
          </w:tcPr>
          <w:p w14:paraId="0915588A" w14:textId="561A2F28" w:rsidR="001E1112" w:rsidRPr="00317ABF" w:rsidRDefault="00A46D43" w:rsidP="00DB3BEC">
            <w:pPr>
              <w:pStyle w:val="Tekstpodstawowy"/>
              <w:rPr>
                <w:b/>
                <w:noProof/>
                <w:sz w:val="22"/>
                <w:szCs w:val="22"/>
              </w:rPr>
            </w:pPr>
            <w:r w:rsidRPr="00317ABF">
              <w:rPr>
                <w:b/>
                <w:noProof/>
                <w:sz w:val="22"/>
                <w:szCs w:val="22"/>
              </w:rPr>
              <w:t>Art. 177 ust. 2 w zw. z art. 181</w:t>
            </w:r>
          </w:p>
        </w:tc>
        <w:tc>
          <w:tcPr>
            <w:tcW w:w="6814" w:type="dxa"/>
            <w:gridSpan w:val="2"/>
          </w:tcPr>
          <w:p w14:paraId="4EF00F7F" w14:textId="57C5C23E" w:rsidR="00B03108" w:rsidRPr="00317ABF" w:rsidRDefault="00B03108" w:rsidP="00B03108">
            <w:pPr>
              <w:pStyle w:val="ARTartustawynprozporzdzenia"/>
              <w:spacing w:before="0" w:line="240" w:lineRule="auto"/>
              <w:ind w:firstLine="0"/>
              <w:rPr>
                <w:b/>
                <w:sz w:val="22"/>
                <w:szCs w:val="22"/>
              </w:rPr>
            </w:pPr>
            <w:r w:rsidRPr="00317ABF">
              <w:rPr>
                <w:b/>
                <w:sz w:val="22"/>
                <w:szCs w:val="22"/>
              </w:rPr>
              <w:t xml:space="preserve">Art. 177. </w:t>
            </w:r>
            <w:r w:rsidRPr="00317ABF">
              <w:rPr>
                <w:rFonts w:ascii="Times New Roman" w:hAnsi="Times New Roman" w:cs="Times New Roman"/>
                <w:b/>
                <w:szCs w:val="24"/>
              </w:rPr>
              <w:t>1.</w:t>
            </w:r>
            <w:r w:rsidRPr="00317ABF">
              <w:rPr>
                <w:rFonts w:ascii="Times New Roman" w:hAnsi="Times New Roman" w:cs="Times New Roman"/>
                <w:szCs w:val="24"/>
              </w:rPr>
              <w:t xml:space="preserve"> Przez obowiązek dostępowy symetryczny rozumie się obowiązek nakładany przez Prezesa UKE, o którym mowa w art. 178 ust. 1, art. 179 ust. 1, art. 180 oraz art. 181.</w:t>
            </w:r>
          </w:p>
          <w:p w14:paraId="567625D5" w14:textId="6A8F4923" w:rsidR="001E1112" w:rsidRPr="00317ABF" w:rsidRDefault="00B03108" w:rsidP="00B03108">
            <w:pPr>
              <w:jc w:val="both"/>
              <w:rPr>
                <w:sz w:val="22"/>
                <w:szCs w:val="22"/>
              </w:rPr>
            </w:pPr>
            <w:r w:rsidRPr="00317ABF">
              <w:lastRenderedPageBreak/>
              <w:t>2. Prezes UKE nakładając obowiązek dostępowy symetryczny zapewnia, aby był on obiektywny, przejrzysty, proporcjonalny i niedyskryminacyjny.</w:t>
            </w:r>
          </w:p>
        </w:tc>
      </w:tr>
      <w:tr w:rsidR="001E1112" w:rsidRPr="00317ABF" w14:paraId="523D19F6" w14:textId="77777777" w:rsidTr="7753F98D">
        <w:trPr>
          <w:gridAfter w:val="2"/>
          <w:wAfter w:w="175" w:type="dxa"/>
        </w:trPr>
        <w:tc>
          <w:tcPr>
            <w:tcW w:w="704" w:type="dxa"/>
          </w:tcPr>
          <w:p w14:paraId="239B1194" w14:textId="77777777" w:rsidR="001E1112" w:rsidRPr="00317ABF" w:rsidRDefault="001E1112" w:rsidP="00DB3BEC">
            <w:pPr>
              <w:jc w:val="both"/>
              <w:rPr>
                <w:b/>
                <w:sz w:val="22"/>
                <w:szCs w:val="22"/>
              </w:rPr>
            </w:pPr>
            <w:r w:rsidRPr="00317ABF">
              <w:rPr>
                <w:b/>
                <w:sz w:val="22"/>
                <w:szCs w:val="22"/>
              </w:rPr>
              <w:lastRenderedPageBreak/>
              <w:t>Art. 45</w:t>
            </w:r>
          </w:p>
        </w:tc>
        <w:tc>
          <w:tcPr>
            <w:tcW w:w="4308" w:type="dxa"/>
          </w:tcPr>
          <w:p w14:paraId="62C05658" w14:textId="77777777" w:rsidR="001E1112" w:rsidRPr="00317ABF" w:rsidRDefault="001E1112" w:rsidP="00DB3BEC">
            <w:pPr>
              <w:spacing w:before="120"/>
              <w:jc w:val="both"/>
              <w:rPr>
                <w:sz w:val="22"/>
                <w:szCs w:val="22"/>
              </w:rPr>
            </w:pPr>
            <w:r w:rsidRPr="00317ABF">
              <w:rPr>
                <w:b/>
                <w:bCs/>
                <w:sz w:val="22"/>
                <w:szCs w:val="22"/>
              </w:rPr>
              <w:t>Zarządzanie widmem radiowym</w:t>
            </w:r>
          </w:p>
        </w:tc>
        <w:tc>
          <w:tcPr>
            <w:tcW w:w="986" w:type="dxa"/>
          </w:tcPr>
          <w:p w14:paraId="22739900" w14:textId="77777777" w:rsidR="001E1112" w:rsidRPr="00317ABF" w:rsidRDefault="001E1112" w:rsidP="00DB3BEC">
            <w:pPr>
              <w:jc w:val="both"/>
              <w:rPr>
                <w:sz w:val="22"/>
                <w:szCs w:val="22"/>
              </w:rPr>
            </w:pPr>
          </w:p>
        </w:tc>
        <w:tc>
          <w:tcPr>
            <w:tcW w:w="910" w:type="dxa"/>
          </w:tcPr>
          <w:p w14:paraId="563E7600" w14:textId="77777777" w:rsidR="001E1112" w:rsidRPr="00317ABF" w:rsidRDefault="001E1112" w:rsidP="00DB3BEC">
            <w:pPr>
              <w:pStyle w:val="Tekstpodstawowy"/>
              <w:rPr>
                <w:b/>
                <w:noProof/>
                <w:sz w:val="22"/>
                <w:szCs w:val="22"/>
              </w:rPr>
            </w:pPr>
          </w:p>
        </w:tc>
        <w:tc>
          <w:tcPr>
            <w:tcW w:w="6814" w:type="dxa"/>
            <w:gridSpan w:val="2"/>
          </w:tcPr>
          <w:p w14:paraId="57DB30B1" w14:textId="77777777" w:rsidR="001E1112" w:rsidRPr="00317ABF" w:rsidRDefault="001E1112" w:rsidP="00DB3BEC">
            <w:pPr>
              <w:pStyle w:val="Tekstpodstawowy"/>
              <w:rPr>
                <w:sz w:val="22"/>
                <w:szCs w:val="22"/>
              </w:rPr>
            </w:pPr>
          </w:p>
        </w:tc>
      </w:tr>
      <w:tr w:rsidR="001E1112" w:rsidRPr="00317ABF" w14:paraId="4BD76B88" w14:textId="77777777" w:rsidTr="7753F98D">
        <w:trPr>
          <w:gridAfter w:val="2"/>
          <w:wAfter w:w="175" w:type="dxa"/>
        </w:trPr>
        <w:tc>
          <w:tcPr>
            <w:tcW w:w="704" w:type="dxa"/>
          </w:tcPr>
          <w:p w14:paraId="56FE5E9F" w14:textId="6A002ED4" w:rsidR="001E1112" w:rsidRPr="00317ABF" w:rsidRDefault="001E1112" w:rsidP="00DB3BEC">
            <w:pPr>
              <w:jc w:val="both"/>
              <w:rPr>
                <w:sz w:val="22"/>
                <w:szCs w:val="22"/>
              </w:rPr>
            </w:pPr>
            <w:r w:rsidRPr="00317ABF">
              <w:rPr>
                <w:sz w:val="22"/>
                <w:szCs w:val="22"/>
              </w:rPr>
              <w:t>Art. 45 ust. 1</w:t>
            </w:r>
          </w:p>
        </w:tc>
        <w:tc>
          <w:tcPr>
            <w:tcW w:w="4308" w:type="dxa"/>
          </w:tcPr>
          <w:p w14:paraId="65A8122F" w14:textId="77777777" w:rsidR="001E1112" w:rsidRPr="00317ABF" w:rsidRDefault="001E1112" w:rsidP="00DB3BEC">
            <w:pPr>
              <w:spacing w:before="120"/>
              <w:jc w:val="both"/>
              <w:rPr>
                <w:sz w:val="22"/>
                <w:szCs w:val="22"/>
              </w:rPr>
            </w:pPr>
            <w:r w:rsidRPr="00317ABF">
              <w:rPr>
                <w:sz w:val="22"/>
                <w:szCs w:val="22"/>
              </w:rPr>
              <w:t>1.   W należytym stopniu uwzględniając fakt, że widmo radiowe jest dobrem publicznym, które ma istotną wartość społeczną, kulturalną i ekonomiczną, państwa członkowskie zapewniają efektywne zarządzanie widmem radiowym do celów dostarczania sieci łączności elektronicznej i świadczenia usług łączności elektronicznej na ich terytorium zgodnie z art. 3 i 4. Zapewniają także, aby przeznaczenie widma radiowego na użytek sieci i usług łączności elektronicznej i wydawanie ogólnych zezwoleń lub indywidualnych praw do użytkowania takiego widma radiowego przez właściwe organy odbywały się według obiektywnych, przejrzystych, sprzyjających konkurencji, niedyskryminacyjnych i proporcjonalnych kryteriów.</w:t>
            </w:r>
          </w:p>
          <w:p w14:paraId="776F3088" w14:textId="77777777" w:rsidR="001E1112" w:rsidRPr="00317ABF" w:rsidRDefault="001E1112" w:rsidP="00DB3BEC">
            <w:pPr>
              <w:spacing w:before="120"/>
              <w:jc w:val="both"/>
              <w:rPr>
                <w:sz w:val="22"/>
                <w:szCs w:val="22"/>
              </w:rPr>
            </w:pPr>
            <w:r w:rsidRPr="00317ABF">
              <w:rPr>
                <w:sz w:val="22"/>
                <w:szCs w:val="22"/>
              </w:rPr>
              <w:t>Stosując niniejszy artykuł, państwa członkowskie przestrzegają odpowiednich umów międzynarodowych, w tym Regulaminu Radiokomunikacyjnego ITU i innych porozumień przyjętych w ramach ITU mających zastosowanie do widma radiowego, takich jak porozumienie osiągnięte na Regionalnej Konferencji Radiokomunikacyjnej w 2006 r., oraz mogą brać pod uwagę względy polityki publicznej.</w:t>
            </w:r>
          </w:p>
        </w:tc>
        <w:tc>
          <w:tcPr>
            <w:tcW w:w="986" w:type="dxa"/>
          </w:tcPr>
          <w:p w14:paraId="7E70EDB5" w14:textId="08DFA14C" w:rsidR="001E1112" w:rsidRPr="00317ABF" w:rsidRDefault="001E1112" w:rsidP="00DB3BEC">
            <w:pPr>
              <w:jc w:val="both"/>
              <w:rPr>
                <w:sz w:val="22"/>
                <w:szCs w:val="22"/>
              </w:rPr>
            </w:pPr>
            <w:r w:rsidRPr="00317ABF">
              <w:rPr>
                <w:sz w:val="22"/>
                <w:szCs w:val="22"/>
              </w:rPr>
              <w:t>N</w:t>
            </w:r>
          </w:p>
        </w:tc>
        <w:tc>
          <w:tcPr>
            <w:tcW w:w="910" w:type="dxa"/>
          </w:tcPr>
          <w:p w14:paraId="46EF841E" w14:textId="4193B5EC" w:rsidR="001E1112" w:rsidRPr="00317ABF" w:rsidRDefault="001E1112" w:rsidP="00DB3BEC">
            <w:pPr>
              <w:pStyle w:val="Tekstpodstawowy"/>
              <w:rPr>
                <w:b/>
                <w:bCs/>
                <w:noProof/>
                <w:sz w:val="22"/>
                <w:szCs w:val="22"/>
              </w:rPr>
            </w:pPr>
            <w:r w:rsidRPr="00317ABF">
              <w:rPr>
                <w:b/>
                <w:bCs/>
                <w:noProof/>
                <w:sz w:val="22"/>
                <w:szCs w:val="22"/>
              </w:rPr>
              <w:t xml:space="preserve">Art. </w:t>
            </w:r>
            <w:r w:rsidR="00F26FB7" w:rsidRPr="00317ABF">
              <w:rPr>
                <w:b/>
                <w:bCs/>
                <w:noProof/>
                <w:sz w:val="22"/>
                <w:szCs w:val="22"/>
              </w:rPr>
              <w:t>62</w:t>
            </w:r>
            <w:r w:rsidRPr="00317ABF">
              <w:rPr>
                <w:b/>
                <w:bCs/>
                <w:noProof/>
                <w:sz w:val="22"/>
                <w:szCs w:val="22"/>
              </w:rPr>
              <w:t xml:space="preserve"> ust. 3</w:t>
            </w:r>
          </w:p>
          <w:p w14:paraId="2D3369FB" w14:textId="21F1E3BC" w:rsidR="001E1112" w:rsidRPr="00317ABF" w:rsidRDefault="001E1112" w:rsidP="00DB3BEC">
            <w:pPr>
              <w:pStyle w:val="Tekstpodstawowy"/>
              <w:rPr>
                <w:b/>
                <w:bCs/>
                <w:noProof/>
                <w:sz w:val="22"/>
                <w:szCs w:val="22"/>
              </w:rPr>
            </w:pPr>
          </w:p>
          <w:p w14:paraId="44FEB0C2" w14:textId="275A0BDD" w:rsidR="001E1112" w:rsidRPr="00317ABF" w:rsidRDefault="001E1112" w:rsidP="00DB3BEC">
            <w:pPr>
              <w:pStyle w:val="Tekstpodstawowy"/>
              <w:rPr>
                <w:b/>
                <w:bCs/>
                <w:noProof/>
                <w:sz w:val="22"/>
                <w:szCs w:val="22"/>
              </w:rPr>
            </w:pPr>
          </w:p>
          <w:p w14:paraId="0F1D3D47" w14:textId="165397E8" w:rsidR="001E1112" w:rsidRPr="00317ABF" w:rsidRDefault="001E1112" w:rsidP="00DB3BEC">
            <w:pPr>
              <w:pStyle w:val="Tekstpodstawowy"/>
              <w:rPr>
                <w:b/>
                <w:bCs/>
                <w:noProof/>
                <w:sz w:val="22"/>
                <w:szCs w:val="22"/>
              </w:rPr>
            </w:pPr>
          </w:p>
          <w:p w14:paraId="508B51BB" w14:textId="2D43EC64" w:rsidR="001E1112" w:rsidRPr="00317ABF" w:rsidRDefault="001E1112" w:rsidP="00DB3BEC">
            <w:pPr>
              <w:pStyle w:val="Tekstpodstawowy"/>
              <w:rPr>
                <w:b/>
                <w:bCs/>
                <w:noProof/>
                <w:sz w:val="22"/>
                <w:szCs w:val="22"/>
              </w:rPr>
            </w:pPr>
          </w:p>
          <w:p w14:paraId="72B6BA96" w14:textId="697A6D10" w:rsidR="001E1112" w:rsidRPr="00317ABF" w:rsidRDefault="001E1112" w:rsidP="00DB3BEC">
            <w:pPr>
              <w:pStyle w:val="Tekstpodstawowy"/>
              <w:rPr>
                <w:b/>
                <w:bCs/>
                <w:noProof/>
                <w:sz w:val="22"/>
                <w:szCs w:val="22"/>
              </w:rPr>
            </w:pPr>
          </w:p>
          <w:p w14:paraId="1F0BB0C8" w14:textId="16849BD3" w:rsidR="001E1112" w:rsidRPr="00317ABF" w:rsidRDefault="001E1112" w:rsidP="00DB3BEC">
            <w:pPr>
              <w:pStyle w:val="Tekstpodstawowy"/>
              <w:rPr>
                <w:b/>
                <w:bCs/>
                <w:noProof/>
                <w:sz w:val="22"/>
                <w:szCs w:val="22"/>
              </w:rPr>
            </w:pPr>
          </w:p>
          <w:p w14:paraId="69CA3590" w14:textId="721768D5" w:rsidR="001E1112" w:rsidRPr="00317ABF" w:rsidRDefault="001E1112" w:rsidP="00DB3BEC">
            <w:pPr>
              <w:pStyle w:val="Tekstpodstawowy"/>
              <w:rPr>
                <w:b/>
                <w:bCs/>
                <w:noProof/>
                <w:sz w:val="22"/>
                <w:szCs w:val="22"/>
              </w:rPr>
            </w:pPr>
          </w:p>
          <w:p w14:paraId="72D7B201" w14:textId="1235BC7A" w:rsidR="001E1112" w:rsidRPr="00317ABF" w:rsidRDefault="001E1112" w:rsidP="00DB3BEC">
            <w:pPr>
              <w:pStyle w:val="Tekstpodstawowy"/>
              <w:rPr>
                <w:b/>
                <w:bCs/>
                <w:noProof/>
                <w:sz w:val="22"/>
                <w:szCs w:val="22"/>
              </w:rPr>
            </w:pPr>
          </w:p>
          <w:p w14:paraId="15F2F92D" w14:textId="2024F409" w:rsidR="001E1112" w:rsidRPr="00317ABF" w:rsidRDefault="001E1112" w:rsidP="00DB3BEC">
            <w:pPr>
              <w:pStyle w:val="Tekstpodstawowy"/>
              <w:rPr>
                <w:b/>
                <w:bCs/>
                <w:noProof/>
                <w:sz w:val="22"/>
                <w:szCs w:val="22"/>
              </w:rPr>
            </w:pPr>
          </w:p>
          <w:p w14:paraId="3514C428" w14:textId="36E6AFEE" w:rsidR="001E1112" w:rsidRPr="00317ABF" w:rsidRDefault="001E1112" w:rsidP="00DB3BEC">
            <w:pPr>
              <w:pStyle w:val="Tekstpodstawowy"/>
              <w:rPr>
                <w:b/>
                <w:bCs/>
                <w:noProof/>
                <w:sz w:val="22"/>
                <w:szCs w:val="22"/>
              </w:rPr>
            </w:pPr>
          </w:p>
          <w:p w14:paraId="555A226B" w14:textId="5C8DB928" w:rsidR="001E1112" w:rsidRPr="00317ABF" w:rsidRDefault="001E1112" w:rsidP="00DB3BEC">
            <w:pPr>
              <w:pStyle w:val="Tekstpodstawowy"/>
              <w:rPr>
                <w:b/>
                <w:bCs/>
                <w:noProof/>
                <w:sz w:val="22"/>
                <w:szCs w:val="22"/>
              </w:rPr>
            </w:pPr>
          </w:p>
          <w:p w14:paraId="6B90FDE1" w14:textId="4037FDFD" w:rsidR="001E1112" w:rsidRPr="00317ABF" w:rsidRDefault="001E1112" w:rsidP="00DB3BEC">
            <w:pPr>
              <w:pStyle w:val="Tekstpodstawowy"/>
              <w:rPr>
                <w:b/>
                <w:bCs/>
                <w:noProof/>
                <w:sz w:val="22"/>
                <w:szCs w:val="22"/>
              </w:rPr>
            </w:pPr>
          </w:p>
          <w:p w14:paraId="28DF96CE" w14:textId="132F3C17" w:rsidR="001E1112" w:rsidRPr="00317ABF" w:rsidRDefault="001E1112" w:rsidP="00DB3BEC">
            <w:pPr>
              <w:pStyle w:val="Tekstpodstawowy"/>
              <w:rPr>
                <w:b/>
                <w:bCs/>
                <w:noProof/>
                <w:sz w:val="22"/>
                <w:szCs w:val="22"/>
              </w:rPr>
            </w:pPr>
          </w:p>
          <w:p w14:paraId="1207F051" w14:textId="3D1E5473" w:rsidR="001E1112" w:rsidRPr="00317ABF" w:rsidRDefault="001E1112" w:rsidP="00DB3BEC">
            <w:pPr>
              <w:pStyle w:val="Tekstpodstawowy"/>
              <w:rPr>
                <w:b/>
                <w:bCs/>
                <w:noProof/>
                <w:sz w:val="22"/>
                <w:szCs w:val="22"/>
              </w:rPr>
            </w:pPr>
          </w:p>
          <w:p w14:paraId="2BA83268" w14:textId="26805B98" w:rsidR="001E1112" w:rsidRPr="00317ABF" w:rsidRDefault="001E1112" w:rsidP="00DB3BEC">
            <w:pPr>
              <w:pStyle w:val="Tekstpodstawowy"/>
              <w:rPr>
                <w:b/>
                <w:bCs/>
                <w:noProof/>
                <w:sz w:val="22"/>
                <w:szCs w:val="22"/>
              </w:rPr>
            </w:pPr>
          </w:p>
          <w:p w14:paraId="4DEF1408" w14:textId="074B027A" w:rsidR="001E1112" w:rsidRPr="00317ABF" w:rsidRDefault="001E1112" w:rsidP="00DB3BEC">
            <w:pPr>
              <w:pStyle w:val="Tekstpodstawowy"/>
              <w:rPr>
                <w:b/>
                <w:bCs/>
                <w:noProof/>
                <w:sz w:val="22"/>
                <w:szCs w:val="22"/>
              </w:rPr>
            </w:pPr>
          </w:p>
          <w:p w14:paraId="3621BD3F" w14:textId="1EC68224" w:rsidR="001E1112" w:rsidRPr="00317ABF" w:rsidRDefault="001E1112" w:rsidP="00DB3BEC">
            <w:pPr>
              <w:pStyle w:val="Tekstpodstawowy"/>
              <w:rPr>
                <w:b/>
                <w:bCs/>
                <w:noProof/>
                <w:sz w:val="22"/>
                <w:szCs w:val="22"/>
              </w:rPr>
            </w:pPr>
          </w:p>
          <w:p w14:paraId="11C177EE" w14:textId="5F612214" w:rsidR="001E1112" w:rsidRPr="00317ABF" w:rsidRDefault="001E1112" w:rsidP="00DB3BEC">
            <w:pPr>
              <w:pStyle w:val="Tekstpodstawowy"/>
              <w:rPr>
                <w:b/>
                <w:bCs/>
                <w:noProof/>
                <w:sz w:val="22"/>
                <w:szCs w:val="22"/>
              </w:rPr>
            </w:pPr>
          </w:p>
          <w:p w14:paraId="6B3D4B8A" w14:textId="77777777" w:rsidR="00F26FB7" w:rsidRPr="00317ABF" w:rsidRDefault="00F26FB7" w:rsidP="00DB3BEC">
            <w:pPr>
              <w:pStyle w:val="Tekstpodstawowy"/>
              <w:rPr>
                <w:b/>
                <w:bCs/>
                <w:noProof/>
                <w:sz w:val="22"/>
                <w:szCs w:val="22"/>
              </w:rPr>
            </w:pPr>
          </w:p>
          <w:p w14:paraId="5E1354B6" w14:textId="77777777" w:rsidR="00F26FB7" w:rsidRPr="00317ABF" w:rsidRDefault="00F26FB7" w:rsidP="00DB3BEC">
            <w:pPr>
              <w:pStyle w:val="Tekstpodstawowy"/>
              <w:rPr>
                <w:b/>
                <w:bCs/>
                <w:noProof/>
                <w:sz w:val="22"/>
                <w:szCs w:val="22"/>
              </w:rPr>
            </w:pPr>
          </w:p>
          <w:p w14:paraId="12950749" w14:textId="77777777" w:rsidR="001E1112" w:rsidRPr="00317ABF" w:rsidRDefault="001E1112" w:rsidP="00DB3BEC">
            <w:pPr>
              <w:pStyle w:val="Tekstpodstawowy"/>
              <w:rPr>
                <w:b/>
                <w:bCs/>
                <w:noProof/>
                <w:sz w:val="22"/>
                <w:szCs w:val="22"/>
              </w:rPr>
            </w:pPr>
          </w:p>
          <w:p w14:paraId="64B7520B" w14:textId="492B3CEC" w:rsidR="001E1112" w:rsidRPr="00317ABF" w:rsidRDefault="001E1112" w:rsidP="00DB3BEC">
            <w:pPr>
              <w:pStyle w:val="Tekstpodstawowy"/>
              <w:rPr>
                <w:b/>
                <w:bCs/>
                <w:noProof/>
                <w:sz w:val="22"/>
                <w:szCs w:val="22"/>
              </w:rPr>
            </w:pPr>
            <w:r w:rsidRPr="00317ABF">
              <w:rPr>
                <w:b/>
                <w:bCs/>
                <w:noProof/>
                <w:sz w:val="22"/>
                <w:szCs w:val="22"/>
              </w:rPr>
              <w:t xml:space="preserve">Art. </w:t>
            </w:r>
            <w:r w:rsidR="00F26FB7" w:rsidRPr="00317ABF">
              <w:rPr>
                <w:b/>
                <w:bCs/>
                <w:noProof/>
                <w:sz w:val="22"/>
                <w:szCs w:val="22"/>
              </w:rPr>
              <w:t>63</w:t>
            </w:r>
          </w:p>
          <w:p w14:paraId="2773B624" w14:textId="77777777" w:rsidR="001E1112" w:rsidRPr="00317ABF" w:rsidRDefault="001E1112" w:rsidP="00DB3BEC">
            <w:pPr>
              <w:pStyle w:val="Tekstpodstawowy"/>
              <w:rPr>
                <w:b/>
                <w:bCs/>
                <w:noProof/>
                <w:sz w:val="22"/>
                <w:szCs w:val="22"/>
              </w:rPr>
            </w:pPr>
          </w:p>
          <w:p w14:paraId="239C7AAE" w14:textId="77777777" w:rsidR="001E1112" w:rsidRPr="00317ABF" w:rsidRDefault="001E1112" w:rsidP="00DB3BEC">
            <w:pPr>
              <w:pStyle w:val="Tekstpodstawowy"/>
              <w:rPr>
                <w:b/>
                <w:bCs/>
                <w:noProof/>
                <w:sz w:val="22"/>
                <w:szCs w:val="22"/>
              </w:rPr>
            </w:pPr>
          </w:p>
          <w:p w14:paraId="451B1F5B" w14:textId="77777777" w:rsidR="001E1112" w:rsidRPr="00317ABF" w:rsidRDefault="001E1112" w:rsidP="00DB3BEC">
            <w:pPr>
              <w:pStyle w:val="Tekstpodstawowy"/>
              <w:rPr>
                <w:b/>
                <w:bCs/>
                <w:noProof/>
                <w:sz w:val="22"/>
                <w:szCs w:val="22"/>
              </w:rPr>
            </w:pPr>
          </w:p>
          <w:p w14:paraId="3C8EBE1A" w14:textId="77777777" w:rsidR="001E1112" w:rsidRPr="00317ABF" w:rsidRDefault="001E1112" w:rsidP="00DB3BEC">
            <w:pPr>
              <w:pStyle w:val="Tekstpodstawowy"/>
              <w:rPr>
                <w:b/>
                <w:bCs/>
                <w:noProof/>
                <w:sz w:val="22"/>
                <w:szCs w:val="22"/>
              </w:rPr>
            </w:pPr>
          </w:p>
          <w:p w14:paraId="4B1FAF54" w14:textId="77777777" w:rsidR="001E1112" w:rsidRPr="00317ABF" w:rsidRDefault="001E1112" w:rsidP="00DB3BEC">
            <w:pPr>
              <w:pStyle w:val="Tekstpodstawowy"/>
              <w:rPr>
                <w:b/>
                <w:bCs/>
                <w:noProof/>
                <w:sz w:val="22"/>
                <w:szCs w:val="22"/>
              </w:rPr>
            </w:pPr>
          </w:p>
          <w:p w14:paraId="19961916" w14:textId="77777777" w:rsidR="001E1112" w:rsidRPr="00317ABF" w:rsidRDefault="001E1112" w:rsidP="00DB3BEC">
            <w:pPr>
              <w:pStyle w:val="Tekstpodstawowy"/>
              <w:rPr>
                <w:b/>
                <w:bCs/>
                <w:noProof/>
                <w:sz w:val="22"/>
                <w:szCs w:val="22"/>
              </w:rPr>
            </w:pPr>
          </w:p>
          <w:p w14:paraId="2E4D263A" w14:textId="77777777" w:rsidR="001E1112" w:rsidRPr="00317ABF" w:rsidRDefault="001E1112" w:rsidP="00DB3BEC">
            <w:pPr>
              <w:pStyle w:val="Tekstpodstawowy"/>
              <w:rPr>
                <w:b/>
                <w:bCs/>
                <w:noProof/>
                <w:sz w:val="22"/>
                <w:szCs w:val="22"/>
              </w:rPr>
            </w:pPr>
          </w:p>
          <w:p w14:paraId="60C0529D" w14:textId="77777777" w:rsidR="001E1112" w:rsidRPr="00317ABF" w:rsidRDefault="001E1112" w:rsidP="00DB3BEC">
            <w:pPr>
              <w:pStyle w:val="Tekstpodstawowy"/>
              <w:rPr>
                <w:b/>
                <w:bCs/>
                <w:noProof/>
                <w:sz w:val="22"/>
                <w:szCs w:val="22"/>
              </w:rPr>
            </w:pPr>
          </w:p>
          <w:p w14:paraId="4D2E3F2E" w14:textId="77777777" w:rsidR="001E1112" w:rsidRPr="00317ABF" w:rsidRDefault="001E1112" w:rsidP="00DB3BEC">
            <w:pPr>
              <w:pStyle w:val="Tekstpodstawowy"/>
              <w:rPr>
                <w:b/>
                <w:bCs/>
                <w:noProof/>
                <w:sz w:val="22"/>
                <w:szCs w:val="22"/>
              </w:rPr>
            </w:pPr>
          </w:p>
          <w:p w14:paraId="023AA201" w14:textId="77777777" w:rsidR="001E1112" w:rsidRPr="00317ABF" w:rsidRDefault="001E1112" w:rsidP="00DB3BEC">
            <w:pPr>
              <w:pStyle w:val="Tekstpodstawowy"/>
              <w:rPr>
                <w:b/>
                <w:bCs/>
                <w:noProof/>
                <w:sz w:val="22"/>
                <w:szCs w:val="22"/>
              </w:rPr>
            </w:pPr>
          </w:p>
          <w:p w14:paraId="1E65AF1F" w14:textId="77777777" w:rsidR="001E1112" w:rsidRPr="00317ABF" w:rsidRDefault="001E1112" w:rsidP="00DB3BEC">
            <w:pPr>
              <w:pStyle w:val="Tekstpodstawowy"/>
              <w:rPr>
                <w:b/>
                <w:bCs/>
                <w:noProof/>
                <w:sz w:val="22"/>
                <w:szCs w:val="22"/>
              </w:rPr>
            </w:pPr>
          </w:p>
          <w:p w14:paraId="3DFBF8ED" w14:textId="77777777" w:rsidR="001E1112" w:rsidRPr="00317ABF" w:rsidRDefault="001E1112" w:rsidP="00DB3BEC">
            <w:pPr>
              <w:pStyle w:val="Tekstpodstawowy"/>
              <w:rPr>
                <w:b/>
                <w:bCs/>
                <w:noProof/>
                <w:sz w:val="22"/>
                <w:szCs w:val="22"/>
              </w:rPr>
            </w:pPr>
          </w:p>
          <w:p w14:paraId="06898394" w14:textId="77777777" w:rsidR="001E1112" w:rsidRPr="00317ABF" w:rsidRDefault="001E1112" w:rsidP="00DB3BEC">
            <w:pPr>
              <w:pStyle w:val="Tekstpodstawowy"/>
              <w:rPr>
                <w:b/>
                <w:bCs/>
                <w:noProof/>
                <w:sz w:val="22"/>
                <w:szCs w:val="22"/>
              </w:rPr>
            </w:pPr>
          </w:p>
          <w:p w14:paraId="64897252" w14:textId="77777777" w:rsidR="001E1112" w:rsidRPr="00317ABF" w:rsidRDefault="001E1112" w:rsidP="00DB3BEC">
            <w:pPr>
              <w:pStyle w:val="Tekstpodstawowy"/>
              <w:rPr>
                <w:b/>
                <w:bCs/>
                <w:noProof/>
                <w:sz w:val="22"/>
                <w:szCs w:val="22"/>
              </w:rPr>
            </w:pPr>
          </w:p>
          <w:p w14:paraId="07F39E6A" w14:textId="77777777" w:rsidR="001E1112" w:rsidRPr="00317ABF" w:rsidRDefault="001E1112" w:rsidP="00DB3BEC">
            <w:pPr>
              <w:pStyle w:val="Tekstpodstawowy"/>
              <w:rPr>
                <w:b/>
                <w:bCs/>
                <w:noProof/>
                <w:sz w:val="22"/>
                <w:szCs w:val="22"/>
              </w:rPr>
            </w:pPr>
          </w:p>
          <w:p w14:paraId="28110E31" w14:textId="77777777" w:rsidR="001E1112" w:rsidRPr="00317ABF" w:rsidRDefault="001E1112" w:rsidP="00DB3BEC">
            <w:pPr>
              <w:pStyle w:val="Tekstpodstawowy"/>
              <w:rPr>
                <w:b/>
                <w:bCs/>
                <w:noProof/>
                <w:sz w:val="22"/>
                <w:szCs w:val="22"/>
              </w:rPr>
            </w:pPr>
          </w:p>
          <w:p w14:paraId="315A44CB" w14:textId="77777777" w:rsidR="001E1112" w:rsidRPr="00317ABF" w:rsidRDefault="001E1112" w:rsidP="00DB3BEC">
            <w:pPr>
              <w:pStyle w:val="Tekstpodstawowy"/>
              <w:rPr>
                <w:b/>
                <w:bCs/>
                <w:noProof/>
                <w:sz w:val="22"/>
                <w:szCs w:val="22"/>
              </w:rPr>
            </w:pPr>
          </w:p>
          <w:p w14:paraId="6F0DF529" w14:textId="77777777" w:rsidR="001E1112" w:rsidRPr="00317ABF" w:rsidRDefault="001E1112" w:rsidP="00DB3BEC">
            <w:pPr>
              <w:pStyle w:val="Tekstpodstawowy"/>
              <w:rPr>
                <w:b/>
                <w:bCs/>
                <w:noProof/>
                <w:sz w:val="22"/>
                <w:szCs w:val="22"/>
              </w:rPr>
            </w:pPr>
          </w:p>
          <w:p w14:paraId="058328CC" w14:textId="77777777" w:rsidR="001E1112" w:rsidRPr="00317ABF" w:rsidRDefault="001E1112" w:rsidP="00DB3BEC">
            <w:pPr>
              <w:pStyle w:val="Tekstpodstawowy"/>
              <w:rPr>
                <w:b/>
                <w:bCs/>
                <w:noProof/>
                <w:sz w:val="22"/>
                <w:szCs w:val="22"/>
              </w:rPr>
            </w:pPr>
          </w:p>
          <w:p w14:paraId="13C0DA2D" w14:textId="77777777" w:rsidR="001E1112" w:rsidRPr="00317ABF" w:rsidRDefault="001E1112" w:rsidP="00DB3BEC">
            <w:pPr>
              <w:pStyle w:val="Tekstpodstawowy"/>
              <w:rPr>
                <w:b/>
                <w:bCs/>
                <w:noProof/>
                <w:sz w:val="22"/>
                <w:szCs w:val="22"/>
              </w:rPr>
            </w:pPr>
          </w:p>
          <w:p w14:paraId="687EAF6F" w14:textId="77777777" w:rsidR="001E1112" w:rsidRPr="00317ABF" w:rsidRDefault="001E1112" w:rsidP="00DB3BEC">
            <w:pPr>
              <w:pStyle w:val="Tekstpodstawowy"/>
              <w:rPr>
                <w:b/>
                <w:bCs/>
                <w:noProof/>
                <w:sz w:val="22"/>
                <w:szCs w:val="22"/>
              </w:rPr>
            </w:pPr>
          </w:p>
          <w:p w14:paraId="5F1D3347" w14:textId="77777777" w:rsidR="001E1112" w:rsidRPr="00317ABF" w:rsidRDefault="001E1112" w:rsidP="00DB3BEC">
            <w:pPr>
              <w:pStyle w:val="Tekstpodstawowy"/>
              <w:rPr>
                <w:b/>
                <w:bCs/>
                <w:noProof/>
                <w:sz w:val="22"/>
                <w:szCs w:val="22"/>
              </w:rPr>
            </w:pPr>
          </w:p>
          <w:p w14:paraId="7E451197" w14:textId="77777777" w:rsidR="001E1112" w:rsidRPr="00317ABF" w:rsidRDefault="001E1112" w:rsidP="00DB3BEC">
            <w:pPr>
              <w:pStyle w:val="Tekstpodstawowy"/>
              <w:rPr>
                <w:b/>
                <w:bCs/>
                <w:noProof/>
                <w:sz w:val="22"/>
                <w:szCs w:val="22"/>
              </w:rPr>
            </w:pPr>
          </w:p>
          <w:p w14:paraId="3AC0D627" w14:textId="77777777" w:rsidR="001E1112" w:rsidRPr="00317ABF" w:rsidRDefault="001E1112" w:rsidP="00DB3BEC">
            <w:pPr>
              <w:pStyle w:val="Tekstpodstawowy"/>
              <w:rPr>
                <w:b/>
                <w:bCs/>
                <w:noProof/>
                <w:sz w:val="22"/>
                <w:szCs w:val="22"/>
              </w:rPr>
            </w:pPr>
          </w:p>
          <w:p w14:paraId="12E4593B" w14:textId="77777777" w:rsidR="001E1112" w:rsidRPr="00317ABF" w:rsidRDefault="001E1112" w:rsidP="00DB3BEC">
            <w:pPr>
              <w:pStyle w:val="Tekstpodstawowy"/>
              <w:rPr>
                <w:b/>
                <w:bCs/>
                <w:noProof/>
                <w:sz w:val="22"/>
                <w:szCs w:val="22"/>
              </w:rPr>
            </w:pPr>
          </w:p>
          <w:p w14:paraId="5D3FF5B6" w14:textId="77777777" w:rsidR="001E1112" w:rsidRPr="00317ABF" w:rsidRDefault="001E1112" w:rsidP="00DB3BEC">
            <w:pPr>
              <w:pStyle w:val="Tekstpodstawowy"/>
              <w:rPr>
                <w:b/>
                <w:bCs/>
                <w:noProof/>
                <w:sz w:val="22"/>
                <w:szCs w:val="22"/>
              </w:rPr>
            </w:pPr>
          </w:p>
          <w:p w14:paraId="79C239AE" w14:textId="77777777" w:rsidR="001E1112" w:rsidRPr="00317ABF" w:rsidRDefault="001E1112" w:rsidP="00DB3BEC">
            <w:pPr>
              <w:pStyle w:val="Tekstpodstawowy"/>
              <w:rPr>
                <w:b/>
                <w:bCs/>
                <w:noProof/>
                <w:sz w:val="22"/>
                <w:szCs w:val="22"/>
              </w:rPr>
            </w:pPr>
          </w:p>
          <w:p w14:paraId="2B2BBE00" w14:textId="77777777" w:rsidR="001E1112" w:rsidRPr="00317ABF" w:rsidRDefault="001E1112" w:rsidP="00DB3BEC">
            <w:pPr>
              <w:pStyle w:val="Tekstpodstawowy"/>
              <w:rPr>
                <w:b/>
                <w:bCs/>
                <w:noProof/>
                <w:sz w:val="22"/>
                <w:szCs w:val="22"/>
              </w:rPr>
            </w:pPr>
          </w:p>
          <w:p w14:paraId="4824CE28" w14:textId="77777777" w:rsidR="001E1112" w:rsidRPr="00317ABF" w:rsidRDefault="001E1112" w:rsidP="00DB3BEC">
            <w:pPr>
              <w:pStyle w:val="Tekstpodstawowy"/>
              <w:rPr>
                <w:b/>
                <w:bCs/>
                <w:noProof/>
                <w:sz w:val="22"/>
                <w:szCs w:val="22"/>
              </w:rPr>
            </w:pPr>
          </w:p>
          <w:p w14:paraId="4705AB4C" w14:textId="77777777" w:rsidR="001E1112" w:rsidRPr="00317ABF" w:rsidRDefault="001E1112" w:rsidP="00DB3BEC">
            <w:pPr>
              <w:pStyle w:val="Tekstpodstawowy"/>
              <w:rPr>
                <w:b/>
                <w:bCs/>
                <w:noProof/>
                <w:sz w:val="22"/>
                <w:szCs w:val="22"/>
              </w:rPr>
            </w:pPr>
          </w:p>
          <w:p w14:paraId="3F89697C" w14:textId="77777777" w:rsidR="001E1112" w:rsidRPr="00317ABF" w:rsidRDefault="001E1112" w:rsidP="00DB3BEC">
            <w:pPr>
              <w:pStyle w:val="Tekstpodstawowy"/>
              <w:rPr>
                <w:b/>
                <w:bCs/>
                <w:noProof/>
                <w:sz w:val="22"/>
                <w:szCs w:val="22"/>
              </w:rPr>
            </w:pPr>
          </w:p>
          <w:p w14:paraId="15A0A2F3" w14:textId="77777777" w:rsidR="001E1112" w:rsidRPr="00317ABF" w:rsidRDefault="001E1112" w:rsidP="00DB3BEC">
            <w:pPr>
              <w:pStyle w:val="Tekstpodstawowy"/>
              <w:rPr>
                <w:b/>
                <w:bCs/>
                <w:noProof/>
                <w:sz w:val="22"/>
                <w:szCs w:val="22"/>
              </w:rPr>
            </w:pPr>
          </w:p>
          <w:p w14:paraId="4E980324" w14:textId="77777777" w:rsidR="001E1112" w:rsidRPr="00317ABF" w:rsidRDefault="001E1112" w:rsidP="00DB3BEC">
            <w:pPr>
              <w:pStyle w:val="Tekstpodstawowy"/>
              <w:rPr>
                <w:b/>
                <w:bCs/>
                <w:noProof/>
                <w:sz w:val="22"/>
                <w:szCs w:val="22"/>
              </w:rPr>
            </w:pPr>
          </w:p>
          <w:p w14:paraId="6ABE4A5E" w14:textId="77777777" w:rsidR="001104C0" w:rsidRPr="00317ABF" w:rsidRDefault="001104C0" w:rsidP="00DB3BEC">
            <w:pPr>
              <w:pStyle w:val="Tekstpodstawowy"/>
              <w:rPr>
                <w:b/>
                <w:bCs/>
                <w:noProof/>
                <w:sz w:val="22"/>
                <w:szCs w:val="22"/>
              </w:rPr>
            </w:pPr>
          </w:p>
          <w:p w14:paraId="4612324A" w14:textId="77777777" w:rsidR="001104C0" w:rsidRPr="00317ABF" w:rsidRDefault="001104C0" w:rsidP="00DB3BEC">
            <w:pPr>
              <w:pStyle w:val="Tekstpodstawowy"/>
              <w:rPr>
                <w:b/>
                <w:bCs/>
                <w:noProof/>
                <w:sz w:val="22"/>
                <w:szCs w:val="22"/>
              </w:rPr>
            </w:pPr>
          </w:p>
          <w:p w14:paraId="41B3BC9F" w14:textId="77777777" w:rsidR="001104C0" w:rsidRPr="00317ABF" w:rsidRDefault="001104C0" w:rsidP="00DB3BEC">
            <w:pPr>
              <w:pStyle w:val="Tekstpodstawowy"/>
              <w:rPr>
                <w:b/>
                <w:bCs/>
                <w:noProof/>
                <w:sz w:val="22"/>
                <w:szCs w:val="22"/>
              </w:rPr>
            </w:pPr>
          </w:p>
          <w:p w14:paraId="2757F0E9" w14:textId="77777777" w:rsidR="001104C0" w:rsidRPr="00317ABF" w:rsidRDefault="001104C0" w:rsidP="00DB3BEC">
            <w:pPr>
              <w:pStyle w:val="Tekstpodstawowy"/>
              <w:rPr>
                <w:b/>
                <w:bCs/>
                <w:noProof/>
                <w:sz w:val="22"/>
                <w:szCs w:val="22"/>
              </w:rPr>
            </w:pPr>
          </w:p>
          <w:p w14:paraId="73C1E99E" w14:textId="77777777" w:rsidR="001104C0" w:rsidRPr="00317ABF" w:rsidRDefault="001104C0" w:rsidP="00DB3BEC">
            <w:pPr>
              <w:pStyle w:val="Tekstpodstawowy"/>
              <w:rPr>
                <w:b/>
                <w:bCs/>
                <w:noProof/>
                <w:sz w:val="22"/>
                <w:szCs w:val="22"/>
              </w:rPr>
            </w:pPr>
          </w:p>
          <w:p w14:paraId="1D90A5F9" w14:textId="77777777" w:rsidR="001104C0" w:rsidRPr="00317ABF" w:rsidRDefault="001104C0" w:rsidP="00DB3BEC">
            <w:pPr>
              <w:pStyle w:val="Tekstpodstawowy"/>
              <w:rPr>
                <w:b/>
                <w:bCs/>
                <w:noProof/>
                <w:sz w:val="22"/>
                <w:szCs w:val="22"/>
              </w:rPr>
            </w:pPr>
          </w:p>
          <w:p w14:paraId="18D76BA2" w14:textId="1871A802" w:rsidR="001E1112" w:rsidRPr="00317ABF" w:rsidRDefault="001E1112" w:rsidP="00DB3BEC">
            <w:pPr>
              <w:pStyle w:val="Tekstpodstawowy"/>
              <w:rPr>
                <w:b/>
                <w:bCs/>
                <w:noProof/>
                <w:sz w:val="22"/>
                <w:szCs w:val="22"/>
              </w:rPr>
            </w:pPr>
            <w:r w:rsidRPr="00317ABF">
              <w:rPr>
                <w:b/>
                <w:bCs/>
                <w:noProof/>
                <w:sz w:val="22"/>
                <w:szCs w:val="22"/>
              </w:rPr>
              <w:t xml:space="preserve">Art. </w:t>
            </w:r>
            <w:r w:rsidR="001104C0" w:rsidRPr="00317ABF">
              <w:rPr>
                <w:b/>
                <w:bCs/>
                <w:noProof/>
                <w:sz w:val="22"/>
                <w:szCs w:val="22"/>
              </w:rPr>
              <w:t>407</w:t>
            </w:r>
            <w:r w:rsidRPr="00317ABF">
              <w:rPr>
                <w:b/>
                <w:bCs/>
                <w:noProof/>
                <w:sz w:val="22"/>
                <w:szCs w:val="22"/>
              </w:rPr>
              <w:t xml:space="preserve"> ust. 2 pkt 3</w:t>
            </w:r>
          </w:p>
        </w:tc>
        <w:tc>
          <w:tcPr>
            <w:tcW w:w="6814" w:type="dxa"/>
            <w:gridSpan w:val="2"/>
          </w:tcPr>
          <w:p w14:paraId="3E2FC35C" w14:textId="72A3E6AC" w:rsidR="001E1112" w:rsidRPr="00317ABF" w:rsidRDefault="001E1112" w:rsidP="00F26FB7">
            <w:pPr>
              <w:pStyle w:val="USTustnpkodeksu"/>
              <w:keepNext/>
              <w:spacing w:line="240" w:lineRule="auto"/>
              <w:ind w:firstLine="0"/>
              <w:rPr>
                <w:rFonts w:ascii="Times New Roman" w:hAnsi="Times New Roman" w:cs="Times New Roman"/>
                <w:sz w:val="22"/>
                <w:szCs w:val="22"/>
              </w:rPr>
            </w:pPr>
            <w:r w:rsidRPr="00317ABF">
              <w:rPr>
                <w:rFonts w:ascii="Times New Roman" w:eastAsia="Times" w:hAnsi="Times New Roman" w:cs="Times New Roman"/>
                <w:sz w:val="22"/>
                <w:szCs w:val="22"/>
              </w:rPr>
              <w:lastRenderedPageBreak/>
              <w:t>3. Rada Ministrów określi, w drodze rozporządzenia, Krajową Tablicę Przeznaczeń Częstotliwości, realizując politykę państwa w zakresie gospodarki zasobami częstotliwości, spełniania wymagań dotyczących kompatybilności elektromagnetycznej oraz telekomunikacji, z uwzględnieniem:</w:t>
            </w:r>
          </w:p>
          <w:p w14:paraId="016AF9E5" w14:textId="77777777" w:rsidR="00F26FB7" w:rsidRPr="00317ABF" w:rsidRDefault="00F26FB7" w:rsidP="00F26FB7">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1)</w:t>
            </w:r>
            <w:r w:rsidRPr="00317ABF">
              <w:rPr>
                <w:rFonts w:ascii="Times New Roman" w:hAnsi="Times New Roman" w:cs="Times New Roman"/>
                <w:sz w:val="22"/>
                <w:szCs w:val="22"/>
              </w:rPr>
              <w:tab/>
              <w:t>międzynarodowych przepisów radiokomunikacyjnych;</w:t>
            </w:r>
          </w:p>
          <w:p w14:paraId="00016883" w14:textId="77777777" w:rsidR="00F26FB7" w:rsidRPr="00317ABF" w:rsidRDefault="00F26FB7" w:rsidP="00F26FB7">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2)</w:t>
            </w:r>
            <w:r w:rsidRPr="00317ABF">
              <w:rPr>
                <w:rFonts w:ascii="Times New Roman" w:hAnsi="Times New Roman" w:cs="Times New Roman"/>
                <w:sz w:val="22"/>
                <w:szCs w:val="22"/>
              </w:rPr>
              <w:tab/>
              <w:t>kierunków i celów polityki w zakresie planowania strategicznego, koordynacji i harmonizacji wykorzystania częstotliwości określonych w wieloletnich programach dotyczących polityki w zakresie częstotliwości przyjętych przez Parlament Europejski i Radę na podstawie art. 4 EKŁE;</w:t>
            </w:r>
          </w:p>
          <w:p w14:paraId="51132469" w14:textId="77777777" w:rsidR="00F26FB7" w:rsidRPr="00317ABF" w:rsidRDefault="00F26FB7" w:rsidP="00F26FB7">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3)</w:t>
            </w:r>
            <w:r w:rsidRPr="00317ABF">
              <w:rPr>
                <w:rFonts w:ascii="Times New Roman" w:hAnsi="Times New Roman" w:cs="Times New Roman"/>
                <w:sz w:val="22"/>
                <w:szCs w:val="22"/>
              </w:rPr>
              <w:tab/>
              <w:t>zharmonizowanych warunków ustanowionych w drodze technicznych środków wykonawczych przyjętych zgodnie decyzją 676/2002/WE;</w:t>
            </w:r>
          </w:p>
          <w:p w14:paraId="6668A5AC" w14:textId="77777777" w:rsidR="00F26FB7" w:rsidRPr="00317ABF" w:rsidRDefault="00F26FB7" w:rsidP="00F26FB7">
            <w:pPr>
              <w:pStyle w:val="PKTpunkt0"/>
              <w:keepNext/>
              <w:spacing w:line="240" w:lineRule="auto"/>
              <w:rPr>
                <w:rFonts w:ascii="Times New Roman" w:hAnsi="Times New Roman" w:cs="Times New Roman"/>
                <w:sz w:val="22"/>
                <w:szCs w:val="22"/>
              </w:rPr>
            </w:pPr>
            <w:r w:rsidRPr="00317ABF">
              <w:rPr>
                <w:rFonts w:ascii="Times New Roman" w:hAnsi="Times New Roman" w:cs="Times New Roman"/>
                <w:sz w:val="22"/>
                <w:szCs w:val="22"/>
              </w:rPr>
              <w:t>4)</w:t>
            </w:r>
            <w:r w:rsidRPr="00317ABF">
              <w:rPr>
                <w:rFonts w:ascii="Times New Roman" w:hAnsi="Times New Roman" w:cs="Times New Roman"/>
                <w:sz w:val="22"/>
                <w:szCs w:val="22"/>
              </w:rPr>
              <w:tab/>
              <w:t>wymagań dotyczących:</w:t>
            </w:r>
          </w:p>
          <w:p w14:paraId="57A89D03" w14:textId="77777777" w:rsidR="00F26FB7" w:rsidRPr="00317ABF" w:rsidRDefault="00F26FB7" w:rsidP="00F26FB7">
            <w:pPr>
              <w:pStyle w:val="LITlitera"/>
              <w:spacing w:line="240" w:lineRule="auto"/>
              <w:rPr>
                <w:rFonts w:ascii="Times New Roman" w:hAnsi="Times New Roman" w:cs="Times New Roman"/>
                <w:sz w:val="22"/>
                <w:szCs w:val="22"/>
              </w:rPr>
            </w:pPr>
            <w:r w:rsidRPr="00317ABF">
              <w:rPr>
                <w:rFonts w:ascii="Times New Roman" w:hAnsi="Times New Roman" w:cs="Times New Roman"/>
                <w:sz w:val="22"/>
                <w:szCs w:val="22"/>
              </w:rPr>
              <w:t>a)</w:t>
            </w:r>
            <w:r w:rsidRPr="00317ABF">
              <w:rPr>
                <w:rFonts w:ascii="Times New Roman" w:hAnsi="Times New Roman" w:cs="Times New Roman"/>
                <w:sz w:val="22"/>
                <w:szCs w:val="22"/>
              </w:rPr>
              <w:tab/>
              <w:t>zapewnienia warunków do harmonijnego rozwoju służb radiokomunikacyjnych oraz dziedzin nauki i techniki, wykorzystujących zasoby częstotliwości,</w:t>
            </w:r>
          </w:p>
          <w:p w14:paraId="7A9C5AA5" w14:textId="77777777" w:rsidR="00F26FB7" w:rsidRPr="00317ABF" w:rsidRDefault="00F26FB7" w:rsidP="00F26FB7">
            <w:pPr>
              <w:pStyle w:val="LITlitera"/>
              <w:spacing w:line="240" w:lineRule="auto"/>
              <w:rPr>
                <w:rFonts w:ascii="Times New Roman" w:hAnsi="Times New Roman" w:cs="Times New Roman"/>
                <w:sz w:val="22"/>
                <w:szCs w:val="22"/>
              </w:rPr>
            </w:pPr>
            <w:r w:rsidRPr="00317ABF">
              <w:rPr>
                <w:rFonts w:ascii="Times New Roman" w:hAnsi="Times New Roman" w:cs="Times New Roman"/>
                <w:sz w:val="22"/>
                <w:szCs w:val="22"/>
              </w:rPr>
              <w:t>b)</w:t>
            </w:r>
            <w:r w:rsidRPr="00317ABF">
              <w:rPr>
                <w:rFonts w:ascii="Times New Roman" w:hAnsi="Times New Roman" w:cs="Times New Roman"/>
                <w:sz w:val="22"/>
                <w:szCs w:val="22"/>
              </w:rPr>
              <w:tab/>
              <w:t>wdrażania nowych, efektywnych technik radiokomunikacyjnych,</w:t>
            </w:r>
          </w:p>
          <w:p w14:paraId="4908AEA1" w14:textId="5B4E74FC" w:rsidR="001E1112" w:rsidRPr="00317ABF" w:rsidRDefault="00F26FB7" w:rsidP="00F26FB7">
            <w:pPr>
              <w:ind w:left="955" w:hanging="425"/>
              <w:jc w:val="both"/>
              <w:rPr>
                <w:rFonts w:eastAsia="Times"/>
                <w:sz w:val="22"/>
                <w:szCs w:val="22"/>
              </w:rPr>
            </w:pPr>
            <w:r w:rsidRPr="00317ABF">
              <w:rPr>
                <w:sz w:val="22"/>
                <w:szCs w:val="22"/>
              </w:rPr>
              <w:t>c)</w:t>
            </w:r>
            <w:r w:rsidRPr="00317ABF">
              <w:rPr>
                <w:sz w:val="22"/>
                <w:szCs w:val="22"/>
              </w:rPr>
              <w:tab/>
              <w:t>obronności, bezpieczeństwa państwa oraz bezpieczeństwa i porządku publicznego, w tym ustaleń sojuszniczych dokumentów i porozumień cywilno-wojskowych dotyczących zharmonizowanych potrzeb widmowych NATO.</w:t>
            </w:r>
          </w:p>
          <w:p w14:paraId="1990720F" w14:textId="7DA88217" w:rsidR="001E1112" w:rsidRPr="00317ABF" w:rsidRDefault="001E1112" w:rsidP="00DB3BEC">
            <w:pPr>
              <w:ind w:left="476" w:hanging="476"/>
              <w:jc w:val="both"/>
              <w:rPr>
                <w:sz w:val="22"/>
                <w:szCs w:val="22"/>
              </w:rPr>
            </w:pPr>
          </w:p>
          <w:p w14:paraId="768072B8" w14:textId="77777777" w:rsidR="001E1112" w:rsidRPr="00317ABF" w:rsidRDefault="001E1112" w:rsidP="00DB3BEC">
            <w:pPr>
              <w:pStyle w:val="USTustnpkodeksu"/>
              <w:spacing w:line="240" w:lineRule="auto"/>
              <w:rPr>
                <w:rFonts w:ascii="Times New Roman" w:hAnsi="Times New Roman" w:cs="Times New Roman"/>
                <w:sz w:val="22"/>
                <w:szCs w:val="22"/>
              </w:rPr>
            </w:pPr>
            <w:r w:rsidRPr="00317ABF">
              <w:rPr>
                <w:rStyle w:val="Ppogrubienie"/>
                <w:rFonts w:ascii="Times New Roman" w:hAnsi="Times New Roman"/>
                <w:sz w:val="22"/>
                <w:szCs w:val="22"/>
              </w:rPr>
              <w:t>Art. 65.</w:t>
            </w:r>
            <w:r w:rsidRPr="00317ABF">
              <w:rPr>
                <w:rFonts w:ascii="Times New Roman" w:hAnsi="Times New Roman" w:cs="Times New Roman"/>
                <w:sz w:val="22"/>
                <w:szCs w:val="22"/>
              </w:rPr>
              <w:t xml:space="preserve"> 1. Prezes UKE ustala plany zagospodarowania częstotliwości oraz zmiany tych planów w miarę potrzeb i możliwości technicznych.</w:t>
            </w:r>
          </w:p>
          <w:p w14:paraId="38BDED03" w14:textId="77777777" w:rsidR="001E1112" w:rsidRPr="00317ABF" w:rsidRDefault="001E1112" w:rsidP="00DB3BEC">
            <w:pPr>
              <w:pStyle w:val="USTustnpkodeksu"/>
              <w:spacing w:line="240" w:lineRule="auto"/>
              <w:rPr>
                <w:rFonts w:ascii="Times New Roman" w:hAnsi="Times New Roman" w:cs="Times New Roman"/>
                <w:sz w:val="22"/>
                <w:szCs w:val="22"/>
              </w:rPr>
            </w:pPr>
            <w:r w:rsidRPr="00317ABF">
              <w:rPr>
                <w:rFonts w:ascii="Times New Roman" w:hAnsi="Times New Roman" w:cs="Times New Roman"/>
                <w:sz w:val="22"/>
                <w:szCs w:val="22"/>
              </w:rPr>
              <w:t>2. W odniesieniu do częstotliwości przeznaczonych do rozpowszechniania programów radiofonicznych i telewizyjnych Prezes UKE ustala plany zagospodarowania częstotliwości oraz zmiany tych planów w uzgodnieniu z Przewodniczącym KRRiT na jego wniosek lub z własnej inicjatywy.</w:t>
            </w:r>
          </w:p>
          <w:p w14:paraId="693A62C8" w14:textId="77777777" w:rsidR="001E1112" w:rsidRPr="00317ABF" w:rsidRDefault="001E1112" w:rsidP="00DB3BEC">
            <w:pPr>
              <w:pStyle w:val="USTustnpkodeksu"/>
              <w:keepNext/>
              <w:spacing w:line="240" w:lineRule="auto"/>
              <w:rPr>
                <w:rFonts w:ascii="Times New Roman" w:hAnsi="Times New Roman" w:cs="Times New Roman"/>
                <w:sz w:val="22"/>
                <w:szCs w:val="22"/>
              </w:rPr>
            </w:pPr>
            <w:r w:rsidRPr="00317ABF">
              <w:rPr>
                <w:rFonts w:ascii="Times New Roman" w:hAnsi="Times New Roman" w:cs="Times New Roman"/>
                <w:sz w:val="22"/>
                <w:szCs w:val="22"/>
              </w:rPr>
              <w:t>3. Plany zagospodarowania częstotliwości oraz ich zmiany uwzględniają w szczególności:</w:t>
            </w:r>
          </w:p>
          <w:p w14:paraId="7FEC7290" w14:textId="77777777" w:rsidR="001E1112" w:rsidRPr="00317ABF" w:rsidRDefault="001E1112" w:rsidP="00DB3BEC">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1)</w:t>
            </w:r>
            <w:r w:rsidRPr="00317ABF">
              <w:rPr>
                <w:rFonts w:ascii="Times New Roman" w:hAnsi="Times New Roman" w:cs="Times New Roman"/>
                <w:sz w:val="22"/>
                <w:szCs w:val="22"/>
              </w:rPr>
              <w:tab/>
              <w:t>politykę państwa w zakresie gospodarki częstotliwościami;</w:t>
            </w:r>
          </w:p>
          <w:p w14:paraId="2CF3EB56" w14:textId="77777777" w:rsidR="001E1112" w:rsidRPr="00317ABF" w:rsidRDefault="001E1112" w:rsidP="00DB3BEC">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lastRenderedPageBreak/>
              <w:t>2)</w:t>
            </w:r>
            <w:r w:rsidRPr="00317ABF">
              <w:rPr>
                <w:rFonts w:ascii="Times New Roman" w:hAnsi="Times New Roman" w:cs="Times New Roman"/>
                <w:sz w:val="22"/>
                <w:szCs w:val="22"/>
              </w:rPr>
              <w:tab/>
              <w:t>politykę państwa w zakresie radiofonii i telewizji oraz telekomunikacji;</w:t>
            </w:r>
          </w:p>
          <w:p w14:paraId="249800CF" w14:textId="77777777" w:rsidR="001E1112" w:rsidRPr="00317ABF" w:rsidRDefault="001E1112" w:rsidP="00DB3BEC">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3)</w:t>
            </w:r>
            <w:r w:rsidRPr="00317ABF">
              <w:rPr>
                <w:rFonts w:ascii="Times New Roman" w:hAnsi="Times New Roman" w:cs="Times New Roman"/>
                <w:sz w:val="22"/>
                <w:szCs w:val="22"/>
              </w:rPr>
              <w:tab/>
              <w:t>spełnianie wymagań dotyczących kompatybilności elektromagnetycznej;</w:t>
            </w:r>
          </w:p>
          <w:p w14:paraId="7663D25F" w14:textId="77777777" w:rsidR="001E1112" w:rsidRPr="00317ABF" w:rsidRDefault="001E1112" w:rsidP="00DB3BEC">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4)</w:t>
            </w:r>
            <w:r w:rsidRPr="00317ABF">
              <w:rPr>
                <w:rFonts w:ascii="Times New Roman" w:hAnsi="Times New Roman" w:cs="Times New Roman"/>
                <w:sz w:val="22"/>
                <w:szCs w:val="22"/>
              </w:rPr>
              <w:tab/>
              <w:t>spełnianie wymagań dotyczących obronności</w:t>
            </w:r>
            <w:r w:rsidR="00F26FB7" w:rsidRPr="00317ABF">
              <w:rPr>
                <w:rFonts w:ascii="Times New Roman" w:hAnsi="Times New Roman" w:cs="Times New Roman"/>
                <w:sz w:val="22"/>
                <w:szCs w:val="22"/>
              </w:rPr>
              <w:t>,</w:t>
            </w:r>
            <w:r w:rsidRPr="00317ABF">
              <w:rPr>
                <w:rFonts w:ascii="Times New Roman" w:hAnsi="Times New Roman" w:cs="Times New Roman"/>
                <w:sz w:val="22"/>
                <w:szCs w:val="22"/>
              </w:rPr>
              <w:t xml:space="preserve"> bezpieczeństwa państwa oraz bezpieczeństwa i porządku publicznego;</w:t>
            </w:r>
          </w:p>
          <w:p w14:paraId="6E8A8A29" w14:textId="77777777" w:rsidR="001E1112" w:rsidRPr="00317ABF" w:rsidRDefault="001E1112" w:rsidP="00DB3BEC">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5)</w:t>
            </w:r>
            <w:r w:rsidRPr="00317ABF">
              <w:rPr>
                <w:rFonts w:ascii="Times New Roman" w:hAnsi="Times New Roman" w:cs="Times New Roman"/>
                <w:sz w:val="22"/>
                <w:szCs w:val="22"/>
              </w:rPr>
              <w:tab/>
              <w:t>uzgodnione przeznaczenia częstotliwości w ramach Unii Europejskiej;</w:t>
            </w:r>
          </w:p>
          <w:p w14:paraId="53E32647" w14:textId="77777777" w:rsidR="001E1112" w:rsidRPr="00317ABF" w:rsidRDefault="001E1112" w:rsidP="00DB3BEC">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6)</w:t>
            </w:r>
            <w:r w:rsidRPr="00317ABF">
              <w:rPr>
                <w:rFonts w:ascii="Times New Roman" w:hAnsi="Times New Roman" w:cs="Times New Roman"/>
                <w:sz w:val="22"/>
                <w:szCs w:val="22"/>
              </w:rPr>
              <w:tab/>
              <w:t>potrzebę efektywnego wykorzystania częstotliwości, a także założenia polityki wydawania uprawnień do wykorzystywania częstotliwości objętych planem zagospodarowania częstotliwości;</w:t>
            </w:r>
          </w:p>
          <w:p w14:paraId="4C405479" w14:textId="77777777" w:rsidR="001E1112" w:rsidRPr="00317ABF" w:rsidRDefault="001E1112" w:rsidP="00DB3BEC">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7)</w:t>
            </w:r>
            <w:r w:rsidRPr="00317ABF">
              <w:rPr>
                <w:rFonts w:ascii="Times New Roman" w:hAnsi="Times New Roman" w:cs="Times New Roman"/>
                <w:sz w:val="22"/>
                <w:szCs w:val="22"/>
              </w:rPr>
              <w:tab/>
              <w:t>konieczność zapewnienia neutralności technologicznej i usługowej;</w:t>
            </w:r>
          </w:p>
          <w:p w14:paraId="5AF58843" w14:textId="77777777" w:rsidR="001E1112" w:rsidRPr="00317ABF" w:rsidRDefault="001E1112" w:rsidP="00DB3BEC">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8)</w:t>
            </w:r>
            <w:r w:rsidRPr="00317ABF">
              <w:rPr>
                <w:rFonts w:ascii="Times New Roman" w:hAnsi="Times New Roman" w:cs="Times New Roman"/>
                <w:sz w:val="22"/>
                <w:szCs w:val="22"/>
              </w:rPr>
              <w:tab/>
              <w:t>zasadę zmniejszania ograniczeń sposobu wykorzystania częstotliwości.</w:t>
            </w:r>
          </w:p>
          <w:p w14:paraId="1879582C" w14:textId="77777777" w:rsidR="001E1112" w:rsidRPr="00317ABF" w:rsidRDefault="001E1112" w:rsidP="00DB3BEC">
            <w:pPr>
              <w:pStyle w:val="USTustnpkodeksu"/>
              <w:spacing w:line="240" w:lineRule="auto"/>
              <w:rPr>
                <w:rFonts w:ascii="Times New Roman" w:hAnsi="Times New Roman" w:cs="Times New Roman"/>
                <w:sz w:val="22"/>
                <w:szCs w:val="22"/>
              </w:rPr>
            </w:pPr>
            <w:r w:rsidRPr="00317ABF">
              <w:rPr>
                <w:rFonts w:ascii="Times New Roman" w:hAnsi="Times New Roman" w:cs="Times New Roman"/>
                <w:sz w:val="22"/>
                <w:szCs w:val="22"/>
              </w:rPr>
              <w:t>4. Plany zagospodarowania częstotliwości oraz ich zmiany nie mogą naruszać dokonanych rezerwacji częstotliwości</w:t>
            </w:r>
            <w:r w:rsidR="00F26FB7" w:rsidRPr="00317ABF">
              <w:rPr>
                <w:rFonts w:ascii="Times New Roman" w:hAnsi="Times New Roman" w:cs="Times New Roman"/>
                <w:sz w:val="22"/>
                <w:szCs w:val="22"/>
              </w:rPr>
              <w:t xml:space="preserve"> lub przydziałów częstotliwości.</w:t>
            </w:r>
          </w:p>
          <w:p w14:paraId="02383DB2" w14:textId="77777777" w:rsidR="001E1112" w:rsidRPr="00317ABF" w:rsidRDefault="001E1112" w:rsidP="00DB3BEC">
            <w:pPr>
              <w:pStyle w:val="USTustnpkodeksu"/>
              <w:spacing w:line="240" w:lineRule="auto"/>
              <w:rPr>
                <w:rFonts w:ascii="Times New Roman" w:hAnsi="Times New Roman" w:cs="Times New Roman"/>
                <w:sz w:val="22"/>
                <w:szCs w:val="22"/>
              </w:rPr>
            </w:pPr>
            <w:r w:rsidRPr="00317ABF">
              <w:rPr>
                <w:rFonts w:ascii="Times New Roman" w:hAnsi="Times New Roman" w:cs="Times New Roman"/>
                <w:sz w:val="22"/>
                <w:szCs w:val="22"/>
              </w:rPr>
              <w:t>5. Prezes UKE udostępnia na stronie podmiotowej BIP UKE informację o przystąpieniu do opracowania planu zagospodarowania określonego zakresu częstotliwości lub do opracowania jego zmiany, w tym projekt planu zagospodarowania określonego zakresu częstotliwości lub projekt jego zmiany wraz z uzasadnieniem. Przepisy o postępowaniu konsultacyjnym stosuje się, z wyjątkiem art. 31 ust. 2 zdanie pierwsze.</w:t>
            </w:r>
          </w:p>
          <w:p w14:paraId="42A3817F" w14:textId="77777777" w:rsidR="001E1112" w:rsidRPr="00317ABF" w:rsidRDefault="001E1112" w:rsidP="00DB3BEC">
            <w:pPr>
              <w:pStyle w:val="USTustnpkodeksu"/>
              <w:spacing w:line="240" w:lineRule="auto"/>
              <w:rPr>
                <w:rFonts w:ascii="Times New Roman" w:hAnsi="Times New Roman" w:cs="Times New Roman"/>
                <w:sz w:val="22"/>
                <w:szCs w:val="22"/>
              </w:rPr>
            </w:pPr>
            <w:r w:rsidRPr="00317ABF">
              <w:rPr>
                <w:rFonts w:ascii="Times New Roman" w:hAnsi="Times New Roman" w:cs="Times New Roman"/>
                <w:sz w:val="22"/>
                <w:szCs w:val="22"/>
              </w:rPr>
              <w:t>6. Przepisu ust. 5 nie stosuje się do planu zagospodarowania częstotliwości przeznaczonych do rozpowszechniania lub rozprowadzania programów radiofonicznych w sposób analogowy.</w:t>
            </w:r>
          </w:p>
          <w:p w14:paraId="17539C86" w14:textId="0D2F70D4" w:rsidR="001E1112" w:rsidRPr="00317ABF" w:rsidRDefault="001E1112" w:rsidP="00DB3BEC">
            <w:pPr>
              <w:ind w:left="476" w:hanging="476"/>
              <w:jc w:val="both"/>
              <w:rPr>
                <w:sz w:val="22"/>
                <w:szCs w:val="22"/>
              </w:rPr>
            </w:pPr>
            <w:r w:rsidRPr="00317ABF">
              <w:rPr>
                <w:sz w:val="22"/>
                <w:szCs w:val="22"/>
              </w:rPr>
              <w:t>7. Prezes UKE udziela nieodpłatnie zainteresowanym podmiotom</w:t>
            </w:r>
            <w:r w:rsidR="00F26FB7" w:rsidRPr="00317ABF">
              <w:rPr>
                <w:sz w:val="22"/>
                <w:szCs w:val="22"/>
              </w:rPr>
              <w:t xml:space="preserve"> informacji</w:t>
            </w:r>
            <w:r w:rsidRPr="00317ABF">
              <w:rPr>
                <w:sz w:val="22"/>
                <w:szCs w:val="22"/>
              </w:rPr>
              <w:t>, niebędących informacją przetworzoną, o możliwości wykorzystania częstotliwości.</w:t>
            </w:r>
          </w:p>
          <w:p w14:paraId="38B3FC37" w14:textId="7C753577" w:rsidR="001E1112" w:rsidRPr="00317ABF" w:rsidRDefault="001E1112" w:rsidP="00DB3BEC">
            <w:pPr>
              <w:jc w:val="both"/>
              <w:rPr>
                <w:sz w:val="22"/>
                <w:szCs w:val="22"/>
              </w:rPr>
            </w:pPr>
          </w:p>
          <w:p w14:paraId="7EEB647B" w14:textId="77777777" w:rsidR="001104C0" w:rsidRPr="00317ABF" w:rsidRDefault="001104C0" w:rsidP="001104C0">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3)</w:t>
            </w:r>
            <w:r w:rsidRPr="00317ABF">
              <w:rPr>
                <w:rFonts w:ascii="Times New Roman" w:hAnsi="Times New Roman" w:cs="Times New Roman"/>
                <w:sz w:val="22"/>
                <w:szCs w:val="22"/>
              </w:rPr>
              <w:tab/>
              <w:t>wspieranie efektywnego wykorzystania oraz zarządzania częstotliwościami, w tym:</w:t>
            </w:r>
          </w:p>
          <w:p w14:paraId="277AC0B7" w14:textId="77777777" w:rsidR="001104C0" w:rsidRPr="00317ABF" w:rsidRDefault="001104C0" w:rsidP="001104C0">
            <w:pPr>
              <w:pStyle w:val="LITlitera"/>
              <w:spacing w:line="240" w:lineRule="auto"/>
              <w:rPr>
                <w:rFonts w:ascii="Times New Roman" w:hAnsi="Times New Roman" w:cs="Times New Roman"/>
                <w:sz w:val="22"/>
                <w:szCs w:val="22"/>
              </w:rPr>
            </w:pPr>
            <w:r w:rsidRPr="00317ABF">
              <w:rPr>
                <w:rFonts w:ascii="Times New Roman" w:hAnsi="Times New Roman" w:cs="Times New Roman"/>
                <w:sz w:val="22"/>
                <w:szCs w:val="22"/>
              </w:rPr>
              <w:t>a)</w:t>
            </w:r>
            <w:r w:rsidRPr="00317ABF">
              <w:rPr>
                <w:rFonts w:ascii="Times New Roman" w:hAnsi="Times New Roman" w:cs="Times New Roman"/>
                <w:sz w:val="22"/>
                <w:szCs w:val="22"/>
              </w:rPr>
              <w:tab/>
              <w:t>dążenie do zapewnienia pokrycia terytorium Rzeczypospolitej Polskiej zasięgiem bezprzewodowej komunikacji szerokopasmowej o wysokiej jakości, w tym wysokiej prędkości transmisji danych, a także objęcia nią głównych szlaków transportowych,</w:t>
            </w:r>
          </w:p>
          <w:p w14:paraId="2B3FF40A" w14:textId="77777777" w:rsidR="001104C0" w:rsidRPr="00317ABF" w:rsidRDefault="001104C0" w:rsidP="001104C0">
            <w:pPr>
              <w:pStyle w:val="LITlitera"/>
              <w:spacing w:line="240" w:lineRule="auto"/>
              <w:rPr>
                <w:rFonts w:ascii="Times New Roman" w:hAnsi="Times New Roman" w:cs="Times New Roman"/>
                <w:sz w:val="22"/>
                <w:szCs w:val="22"/>
              </w:rPr>
            </w:pPr>
            <w:r w:rsidRPr="00317ABF">
              <w:rPr>
                <w:rFonts w:ascii="Times New Roman" w:hAnsi="Times New Roman" w:cs="Times New Roman"/>
                <w:sz w:val="22"/>
                <w:szCs w:val="22"/>
              </w:rPr>
              <w:t>b)</w:t>
            </w:r>
            <w:r w:rsidRPr="00317ABF">
              <w:rPr>
                <w:rFonts w:ascii="Times New Roman" w:hAnsi="Times New Roman" w:cs="Times New Roman"/>
                <w:sz w:val="22"/>
                <w:szCs w:val="22"/>
              </w:rPr>
              <w:tab/>
              <w:t>ułatwianie szybkiego rozwoju nowych technologii komunikacji bezprzewodowej i jej zastosowań,</w:t>
            </w:r>
          </w:p>
          <w:p w14:paraId="4F81E904" w14:textId="77777777" w:rsidR="001104C0" w:rsidRPr="00317ABF" w:rsidRDefault="001104C0" w:rsidP="001104C0">
            <w:pPr>
              <w:pStyle w:val="LITlitera"/>
              <w:spacing w:line="240" w:lineRule="auto"/>
              <w:rPr>
                <w:rFonts w:ascii="Times New Roman" w:hAnsi="Times New Roman" w:cs="Times New Roman"/>
                <w:sz w:val="22"/>
                <w:szCs w:val="22"/>
              </w:rPr>
            </w:pPr>
            <w:r w:rsidRPr="00317ABF">
              <w:rPr>
                <w:rFonts w:ascii="Times New Roman" w:hAnsi="Times New Roman" w:cs="Times New Roman"/>
                <w:sz w:val="22"/>
                <w:szCs w:val="22"/>
              </w:rPr>
              <w:lastRenderedPageBreak/>
              <w:t>c)</w:t>
            </w:r>
            <w:r w:rsidRPr="00317ABF">
              <w:rPr>
                <w:rFonts w:ascii="Times New Roman" w:hAnsi="Times New Roman" w:cs="Times New Roman"/>
                <w:sz w:val="22"/>
                <w:szCs w:val="22"/>
              </w:rPr>
              <w:tab/>
              <w:t>promowanie długoterminowych inwestycji przez zapewnienie przewidywalności i spójności podczas dokonywania, zmiany lub cofnięcia rezerwacji częstotliwości, dokonywania rezerwacji częstotliwości na kolejny okres lub ograniczenia sposobu wykorzystywania częstotliwości objętych rezerwacją,</w:t>
            </w:r>
          </w:p>
          <w:p w14:paraId="45D51FEF" w14:textId="77777777" w:rsidR="001104C0" w:rsidRPr="00317ABF" w:rsidRDefault="001104C0" w:rsidP="001104C0">
            <w:pPr>
              <w:pStyle w:val="LITlitera"/>
              <w:spacing w:line="240" w:lineRule="auto"/>
              <w:rPr>
                <w:rFonts w:ascii="Times New Roman" w:hAnsi="Times New Roman" w:cs="Times New Roman"/>
                <w:sz w:val="22"/>
                <w:szCs w:val="22"/>
              </w:rPr>
            </w:pPr>
            <w:r w:rsidRPr="00317ABF">
              <w:rPr>
                <w:rFonts w:ascii="Times New Roman" w:hAnsi="Times New Roman" w:cs="Times New Roman"/>
                <w:sz w:val="22"/>
                <w:szCs w:val="22"/>
              </w:rPr>
              <w:t>d)</w:t>
            </w:r>
            <w:r w:rsidRPr="00317ABF">
              <w:rPr>
                <w:rFonts w:ascii="Times New Roman" w:hAnsi="Times New Roman" w:cs="Times New Roman"/>
                <w:sz w:val="22"/>
                <w:szCs w:val="22"/>
              </w:rPr>
              <w:tab/>
              <w:t>promowanie współużytkowania częstotliwości do podobnych lub różnych zastosowań częstotliwości zgodnie z przepisami prawa konkurencji,</w:t>
            </w:r>
          </w:p>
          <w:p w14:paraId="1C36F9BB" w14:textId="77777777" w:rsidR="001104C0" w:rsidRPr="00317ABF" w:rsidRDefault="001104C0" w:rsidP="001104C0">
            <w:pPr>
              <w:pStyle w:val="LITlitera"/>
              <w:spacing w:line="240" w:lineRule="auto"/>
              <w:rPr>
                <w:rFonts w:ascii="Times New Roman" w:hAnsi="Times New Roman" w:cs="Times New Roman"/>
                <w:sz w:val="22"/>
                <w:szCs w:val="22"/>
              </w:rPr>
            </w:pPr>
            <w:r w:rsidRPr="00317ABF">
              <w:rPr>
                <w:rFonts w:ascii="Times New Roman" w:hAnsi="Times New Roman" w:cs="Times New Roman"/>
                <w:sz w:val="22"/>
                <w:szCs w:val="22"/>
              </w:rPr>
              <w:t>e)</w:t>
            </w:r>
            <w:r w:rsidRPr="00317ABF">
              <w:rPr>
                <w:rFonts w:ascii="Times New Roman" w:hAnsi="Times New Roman" w:cs="Times New Roman"/>
                <w:sz w:val="22"/>
                <w:szCs w:val="22"/>
              </w:rPr>
              <w:tab/>
              <w:t>dążenie do spójności i przewidywalności w Unii Europejskiej, w zakresie dokonywania rezerwacji częstotliwości w kontekście ochrony zdrowia publicznego przy uwzględnieniu zalecenia Rady 1999/519/WE z dnia 12 lipca 1999 r. w sprawie ograniczenia narażenia ludności na pola elektromagnetyczne (od 0 Hz do 300 GHz),</w:t>
            </w:r>
          </w:p>
          <w:p w14:paraId="04172F9D" w14:textId="77777777" w:rsidR="001104C0" w:rsidRPr="00317ABF" w:rsidRDefault="001E1112" w:rsidP="001104C0">
            <w:pPr>
              <w:ind w:left="993" w:hanging="426"/>
              <w:rPr>
                <w:sz w:val="22"/>
                <w:szCs w:val="22"/>
              </w:rPr>
            </w:pPr>
            <w:r w:rsidRPr="00317ABF">
              <w:rPr>
                <w:sz w:val="22"/>
                <w:szCs w:val="22"/>
              </w:rPr>
              <w:t>f)</w:t>
            </w:r>
            <w:r w:rsidR="001104C0" w:rsidRPr="00317ABF">
              <w:rPr>
                <w:sz w:val="22"/>
                <w:szCs w:val="22"/>
              </w:rPr>
              <w:tab/>
            </w:r>
            <w:r w:rsidRPr="00317ABF">
              <w:rPr>
                <w:sz w:val="22"/>
                <w:szCs w:val="22"/>
              </w:rPr>
              <w:t>kierowanie się zasadą neutralności technologicznej przy gospodarowaniu częstotliwościami;</w:t>
            </w:r>
          </w:p>
          <w:p w14:paraId="23660C18" w14:textId="08CB6B98" w:rsidR="001E1112" w:rsidRPr="00317ABF" w:rsidRDefault="001E1112" w:rsidP="00DB3BEC">
            <w:pPr>
              <w:jc w:val="both"/>
              <w:rPr>
                <w:sz w:val="22"/>
                <w:szCs w:val="22"/>
              </w:rPr>
            </w:pPr>
          </w:p>
        </w:tc>
      </w:tr>
      <w:tr w:rsidR="001E1112" w:rsidRPr="00317ABF" w14:paraId="3716B75B" w14:textId="77777777" w:rsidTr="7753F98D">
        <w:trPr>
          <w:gridAfter w:val="2"/>
          <w:wAfter w:w="175" w:type="dxa"/>
        </w:trPr>
        <w:tc>
          <w:tcPr>
            <w:tcW w:w="704" w:type="dxa"/>
          </w:tcPr>
          <w:p w14:paraId="726B4BBB" w14:textId="77777777" w:rsidR="001E1112" w:rsidRPr="00317ABF" w:rsidRDefault="001E1112" w:rsidP="00DB3BEC">
            <w:pPr>
              <w:jc w:val="both"/>
              <w:rPr>
                <w:sz w:val="22"/>
                <w:szCs w:val="22"/>
              </w:rPr>
            </w:pPr>
            <w:r w:rsidRPr="00317ABF">
              <w:rPr>
                <w:sz w:val="22"/>
                <w:szCs w:val="22"/>
              </w:rPr>
              <w:lastRenderedPageBreak/>
              <w:t>Art.45 ust. 2</w:t>
            </w:r>
          </w:p>
        </w:tc>
        <w:tc>
          <w:tcPr>
            <w:tcW w:w="4308" w:type="dxa"/>
          </w:tcPr>
          <w:p w14:paraId="022FF35E" w14:textId="77777777" w:rsidR="001E1112" w:rsidRPr="00317ABF" w:rsidRDefault="001E1112" w:rsidP="00DB3BEC">
            <w:pPr>
              <w:spacing w:before="120"/>
              <w:jc w:val="both"/>
              <w:rPr>
                <w:sz w:val="22"/>
                <w:szCs w:val="22"/>
              </w:rPr>
            </w:pPr>
            <w:r w:rsidRPr="00317ABF">
              <w:rPr>
                <w:sz w:val="22"/>
                <w:szCs w:val="22"/>
              </w:rPr>
              <w:t>2.   Państwa członkowskie wspierają proces harmonizacji wykorzystania widma radiowego przez sieci i usługi łączności elektronicznej w obrębie Unii, mając na uwadze potrzebę zapewnienia jego efektywnego i wydajnego użytkowania oraz osiągnięcie takich korzyści dla konsumentów, jak konkurencja, ekonomia skali i interoperacyjność sieci i usług. W procesie tym postępują one zgodnie z art. 4 niniejszej dyrektywy i decyzją nr 676/2002/WE m.in. poprzez:</w:t>
            </w:r>
          </w:p>
          <w:tbl>
            <w:tblPr>
              <w:tblW w:w="5000" w:type="pct"/>
              <w:tblCellSpacing w:w="0" w:type="dxa"/>
              <w:tblLayout w:type="fixed"/>
              <w:tblCellMar>
                <w:left w:w="0" w:type="dxa"/>
                <w:right w:w="0" w:type="dxa"/>
              </w:tblCellMar>
              <w:tblLook w:val="04A0" w:firstRow="1" w:lastRow="0" w:firstColumn="1" w:lastColumn="0" w:noHBand="0" w:noVBand="1"/>
            </w:tblPr>
            <w:tblGrid>
              <w:gridCol w:w="20"/>
              <w:gridCol w:w="4148"/>
            </w:tblGrid>
            <w:tr w:rsidR="001E1112" w:rsidRPr="00317ABF" w14:paraId="1DF31E85" w14:textId="77777777" w:rsidTr="00A462BE">
              <w:trPr>
                <w:tblCellSpacing w:w="0" w:type="dxa"/>
              </w:trPr>
              <w:tc>
                <w:tcPr>
                  <w:tcW w:w="6" w:type="dxa"/>
                  <w:hideMark/>
                </w:tcPr>
                <w:p w14:paraId="6B82FBB0" w14:textId="77777777" w:rsidR="001E1112" w:rsidRPr="00317ABF" w:rsidRDefault="001E1112" w:rsidP="00EE0AC3">
                  <w:pPr>
                    <w:framePr w:hSpace="141" w:wrap="around" w:vAnchor="text" w:hAnchor="text" w:xAlign="right" w:y="1"/>
                    <w:spacing w:before="120"/>
                    <w:suppressOverlap/>
                    <w:jc w:val="both"/>
                    <w:rPr>
                      <w:sz w:val="22"/>
                      <w:szCs w:val="22"/>
                    </w:rPr>
                  </w:pPr>
                </w:p>
              </w:tc>
              <w:tc>
                <w:tcPr>
                  <w:tcW w:w="9066" w:type="dxa"/>
                  <w:hideMark/>
                </w:tcPr>
                <w:p w14:paraId="7D7C5352" w14:textId="77777777" w:rsidR="001E1112" w:rsidRPr="00317ABF" w:rsidRDefault="001E1112" w:rsidP="00EE0AC3">
                  <w:pPr>
                    <w:framePr w:hSpace="141" w:wrap="around" w:vAnchor="text" w:hAnchor="text" w:xAlign="right" w:y="1"/>
                    <w:numPr>
                      <w:ilvl w:val="0"/>
                      <w:numId w:val="30"/>
                    </w:numPr>
                    <w:spacing w:before="120"/>
                    <w:suppressOverlap/>
                    <w:jc w:val="both"/>
                    <w:rPr>
                      <w:sz w:val="22"/>
                      <w:szCs w:val="22"/>
                    </w:rPr>
                  </w:pPr>
                  <w:r w:rsidRPr="00317ABF">
                    <w:rPr>
                      <w:sz w:val="22"/>
                      <w:szCs w:val="22"/>
                    </w:rPr>
                    <w:t xml:space="preserve">dążenie do objęcia swojego terytorium krajowego i ludności zasięgiem bezprzewodowej łączności szerokopasmowej o wysokiej jakości i szybkości przesyłu danych, a także objęcia nią głównych krajowych i europejskich szlaków transportowych, w tym wzdłuż transeuropejskiej sieci transportowej, </w:t>
                  </w:r>
                  <w:r w:rsidRPr="00317ABF">
                    <w:rPr>
                      <w:sz w:val="22"/>
                      <w:szCs w:val="22"/>
                    </w:rPr>
                    <w:lastRenderedPageBreak/>
                    <w:t>o których mowa w rozporządzeniu (UE) nr 1315/2013 </w:t>
                  </w:r>
                  <w:hyperlink r:id="rId34" w:anchor="ntr46-L_2018321PL.01003601-E0046" w:history="1">
                    <w:r w:rsidRPr="00317ABF">
                      <w:rPr>
                        <w:sz w:val="22"/>
                        <w:szCs w:val="22"/>
                        <w:u w:val="single"/>
                      </w:rPr>
                      <w:t>(</w:t>
                    </w:r>
                    <w:r w:rsidRPr="00317ABF">
                      <w:rPr>
                        <w:sz w:val="22"/>
                        <w:szCs w:val="22"/>
                        <w:u w:val="single"/>
                        <w:vertAlign w:val="superscript"/>
                      </w:rPr>
                      <w:t>46</w:t>
                    </w:r>
                    <w:r w:rsidRPr="00317ABF">
                      <w:rPr>
                        <w:sz w:val="22"/>
                        <w:szCs w:val="22"/>
                        <w:u w:val="single"/>
                      </w:rPr>
                      <w:t>)</w:t>
                    </w:r>
                  </w:hyperlink>
                  <w:r w:rsidRPr="00317ABF">
                    <w:rPr>
                      <w:sz w:val="22"/>
                      <w:szCs w:val="22"/>
                    </w:rPr>
                    <w:t>;</w:t>
                  </w:r>
                </w:p>
              </w:tc>
            </w:tr>
          </w:tbl>
          <w:p w14:paraId="72337203" w14:textId="77777777" w:rsidR="001E1112" w:rsidRPr="00317ABF" w:rsidRDefault="001E1112" w:rsidP="00DB3BEC">
            <w:pPr>
              <w:jc w:val="both"/>
              <w:rPr>
                <w:vanish/>
                <w:sz w:val="22"/>
                <w:szCs w:val="22"/>
              </w:rPr>
            </w:pPr>
          </w:p>
          <w:tbl>
            <w:tblPr>
              <w:tblW w:w="5000" w:type="pct"/>
              <w:tblCellSpacing w:w="0" w:type="dxa"/>
              <w:tblLayout w:type="fixed"/>
              <w:tblCellMar>
                <w:left w:w="0" w:type="dxa"/>
                <w:right w:w="0" w:type="dxa"/>
              </w:tblCellMar>
              <w:tblLook w:val="04A0" w:firstRow="1" w:lastRow="0" w:firstColumn="1" w:lastColumn="0" w:noHBand="0" w:noVBand="1"/>
            </w:tblPr>
            <w:tblGrid>
              <w:gridCol w:w="20"/>
              <w:gridCol w:w="4148"/>
            </w:tblGrid>
            <w:tr w:rsidR="001E1112" w:rsidRPr="00317ABF" w14:paraId="58D9FB84" w14:textId="77777777" w:rsidTr="00A462BE">
              <w:trPr>
                <w:tblCellSpacing w:w="0" w:type="dxa"/>
              </w:trPr>
              <w:tc>
                <w:tcPr>
                  <w:tcW w:w="6" w:type="dxa"/>
                  <w:hideMark/>
                </w:tcPr>
                <w:p w14:paraId="0A9D056E" w14:textId="77777777" w:rsidR="001E1112" w:rsidRPr="00317ABF" w:rsidRDefault="001E1112" w:rsidP="00EE0AC3">
                  <w:pPr>
                    <w:framePr w:hSpace="141" w:wrap="around" w:vAnchor="text" w:hAnchor="text" w:xAlign="right" w:y="1"/>
                    <w:spacing w:before="120"/>
                    <w:suppressOverlap/>
                    <w:jc w:val="both"/>
                    <w:rPr>
                      <w:sz w:val="22"/>
                      <w:szCs w:val="22"/>
                    </w:rPr>
                  </w:pPr>
                </w:p>
              </w:tc>
              <w:tc>
                <w:tcPr>
                  <w:tcW w:w="9066" w:type="dxa"/>
                  <w:hideMark/>
                </w:tcPr>
                <w:p w14:paraId="0CDBF403" w14:textId="77777777" w:rsidR="001E1112" w:rsidRPr="00317ABF" w:rsidRDefault="001E1112" w:rsidP="00EE0AC3">
                  <w:pPr>
                    <w:framePr w:hSpace="141" w:wrap="around" w:vAnchor="text" w:hAnchor="text" w:xAlign="right" w:y="1"/>
                    <w:numPr>
                      <w:ilvl w:val="0"/>
                      <w:numId w:val="30"/>
                    </w:numPr>
                    <w:spacing w:before="120"/>
                    <w:suppressOverlap/>
                    <w:jc w:val="both"/>
                    <w:rPr>
                      <w:sz w:val="22"/>
                      <w:szCs w:val="22"/>
                    </w:rPr>
                  </w:pPr>
                  <w:r w:rsidRPr="00317ABF">
                    <w:rPr>
                      <w:sz w:val="22"/>
                      <w:szCs w:val="22"/>
                    </w:rPr>
                    <w:t>ułatwianie szybkiego rozwoju w Unii nowych technologii łączności bezprzewodowej i jej zastosowań, w tym, w stosownych przypadkach, w ramach podejścia międzysektorowego;</w:t>
                  </w:r>
                </w:p>
              </w:tc>
            </w:tr>
          </w:tbl>
          <w:p w14:paraId="780C8507" w14:textId="77777777" w:rsidR="001E1112" w:rsidRPr="00317ABF" w:rsidRDefault="001E1112" w:rsidP="00DB3BEC">
            <w:pPr>
              <w:jc w:val="both"/>
              <w:rPr>
                <w:vanish/>
                <w:sz w:val="22"/>
                <w:szCs w:val="22"/>
              </w:rPr>
            </w:pPr>
          </w:p>
          <w:tbl>
            <w:tblPr>
              <w:tblW w:w="5000" w:type="pct"/>
              <w:tblCellSpacing w:w="0" w:type="dxa"/>
              <w:tblLayout w:type="fixed"/>
              <w:tblCellMar>
                <w:left w:w="0" w:type="dxa"/>
                <w:right w:w="0" w:type="dxa"/>
              </w:tblCellMar>
              <w:tblLook w:val="04A0" w:firstRow="1" w:lastRow="0" w:firstColumn="1" w:lastColumn="0" w:noHBand="0" w:noVBand="1"/>
            </w:tblPr>
            <w:tblGrid>
              <w:gridCol w:w="20"/>
              <w:gridCol w:w="4148"/>
            </w:tblGrid>
            <w:tr w:rsidR="001E1112" w:rsidRPr="00317ABF" w14:paraId="5CE00A9B" w14:textId="77777777" w:rsidTr="00A462BE">
              <w:trPr>
                <w:tblCellSpacing w:w="0" w:type="dxa"/>
              </w:trPr>
              <w:tc>
                <w:tcPr>
                  <w:tcW w:w="6" w:type="dxa"/>
                  <w:hideMark/>
                </w:tcPr>
                <w:p w14:paraId="70EA92A7" w14:textId="77777777" w:rsidR="001E1112" w:rsidRPr="00317ABF" w:rsidRDefault="001E1112" w:rsidP="00EE0AC3">
                  <w:pPr>
                    <w:framePr w:hSpace="141" w:wrap="around" w:vAnchor="text" w:hAnchor="text" w:xAlign="right" w:y="1"/>
                    <w:spacing w:before="120"/>
                    <w:suppressOverlap/>
                    <w:jc w:val="both"/>
                    <w:rPr>
                      <w:sz w:val="22"/>
                      <w:szCs w:val="22"/>
                    </w:rPr>
                  </w:pPr>
                </w:p>
              </w:tc>
              <w:tc>
                <w:tcPr>
                  <w:tcW w:w="9066" w:type="dxa"/>
                  <w:hideMark/>
                </w:tcPr>
                <w:p w14:paraId="03D04CC2" w14:textId="77777777" w:rsidR="001E1112" w:rsidRPr="00317ABF" w:rsidRDefault="001E1112" w:rsidP="00EE0AC3">
                  <w:pPr>
                    <w:framePr w:hSpace="141" w:wrap="around" w:vAnchor="text" w:hAnchor="text" w:xAlign="right" w:y="1"/>
                    <w:numPr>
                      <w:ilvl w:val="0"/>
                      <w:numId w:val="30"/>
                    </w:numPr>
                    <w:spacing w:before="120"/>
                    <w:suppressOverlap/>
                    <w:jc w:val="both"/>
                    <w:rPr>
                      <w:sz w:val="22"/>
                      <w:szCs w:val="22"/>
                    </w:rPr>
                  </w:pPr>
                  <w:r w:rsidRPr="00317ABF">
                    <w:rPr>
                      <w:sz w:val="22"/>
                      <w:szCs w:val="22"/>
                    </w:rPr>
                    <w:t>zapewnienie przewidywalności i spójności podczas przyznawania, odnowy, zmiany, ograniczenia i wycofania praw użytkowania widma radiowego, aby promować długoterminowe inwestycje;</w:t>
                  </w:r>
                </w:p>
              </w:tc>
            </w:tr>
          </w:tbl>
          <w:p w14:paraId="56B38645" w14:textId="77777777" w:rsidR="001E1112" w:rsidRPr="00317ABF" w:rsidRDefault="001E1112" w:rsidP="00DB3BEC">
            <w:pPr>
              <w:jc w:val="both"/>
              <w:rPr>
                <w:vanish/>
                <w:sz w:val="22"/>
                <w:szCs w:val="22"/>
              </w:rPr>
            </w:pPr>
          </w:p>
          <w:tbl>
            <w:tblPr>
              <w:tblW w:w="5000" w:type="pct"/>
              <w:tblCellSpacing w:w="0" w:type="dxa"/>
              <w:tblLayout w:type="fixed"/>
              <w:tblCellMar>
                <w:left w:w="0" w:type="dxa"/>
                <w:right w:w="0" w:type="dxa"/>
              </w:tblCellMar>
              <w:tblLook w:val="04A0" w:firstRow="1" w:lastRow="0" w:firstColumn="1" w:lastColumn="0" w:noHBand="0" w:noVBand="1"/>
            </w:tblPr>
            <w:tblGrid>
              <w:gridCol w:w="20"/>
              <w:gridCol w:w="4148"/>
            </w:tblGrid>
            <w:tr w:rsidR="001E1112" w:rsidRPr="00317ABF" w14:paraId="2073B50F" w14:textId="77777777" w:rsidTr="00A462BE">
              <w:trPr>
                <w:tblCellSpacing w:w="0" w:type="dxa"/>
              </w:trPr>
              <w:tc>
                <w:tcPr>
                  <w:tcW w:w="6" w:type="dxa"/>
                  <w:hideMark/>
                </w:tcPr>
                <w:p w14:paraId="54E926FA" w14:textId="77777777" w:rsidR="001E1112" w:rsidRPr="00317ABF" w:rsidRDefault="001E1112" w:rsidP="00EE0AC3">
                  <w:pPr>
                    <w:framePr w:hSpace="141" w:wrap="around" w:vAnchor="text" w:hAnchor="text" w:xAlign="right" w:y="1"/>
                    <w:spacing w:before="120"/>
                    <w:suppressOverlap/>
                    <w:jc w:val="both"/>
                    <w:rPr>
                      <w:sz w:val="22"/>
                      <w:szCs w:val="22"/>
                    </w:rPr>
                  </w:pPr>
                </w:p>
              </w:tc>
              <w:tc>
                <w:tcPr>
                  <w:tcW w:w="9066" w:type="dxa"/>
                  <w:hideMark/>
                </w:tcPr>
                <w:p w14:paraId="6567B1EE" w14:textId="77777777" w:rsidR="001E1112" w:rsidRPr="00317ABF" w:rsidRDefault="001E1112" w:rsidP="00EE0AC3">
                  <w:pPr>
                    <w:framePr w:hSpace="141" w:wrap="around" w:vAnchor="text" w:hAnchor="text" w:xAlign="right" w:y="1"/>
                    <w:numPr>
                      <w:ilvl w:val="0"/>
                      <w:numId w:val="30"/>
                    </w:numPr>
                    <w:spacing w:before="120"/>
                    <w:suppressOverlap/>
                    <w:jc w:val="both"/>
                    <w:rPr>
                      <w:sz w:val="22"/>
                      <w:szCs w:val="22"/>
                    </w:rPr>
                  </w:pPr>
                  <w:r w:rsidRPr="00317ABF">
                    <w:rPr>
                      <w:sz w:val="22"/>
                      <w:szCs w:val="22"/>
                    </w:rPr>
                    <w:t>zapewnienie zapobiegania szkodliwym zakłóceniom transgranicznym lub krajowym zgodnie z, odpowiednio, art. 28 i 46 oraz podejmowanie w tym względzie odpowiednich działań prewencyjnych i naprawczych;</w:t>
                  </w:r>
                </w:p>
              </w:tc>
            </w:tr>
          </w:tbl>
          <w:p w14:paraId="782F4E45" w14:textId="77777777" w:rsidR="001E1112" w:rsidRPr="00317ABF" w:rsidRDefault="001E1112" w:rsidP="00DB3BEC">
            <w:pPr>
              <w:jc w:val="both"/>
              <w:rPr>
                <w:vanish/>
                <w:sz w:val="22"/>
                <w:szCs w:val="22"/>
              </w:rPr>
            </w:pPr>
          </w:p>
          <w:tbl>
            <w:tblPr>
              <w:tblW w:w="5000" w:type="pct"/>
              <w:tblCellSpacing w:w="0" w:type="dxa"/>
              <w:tblLayout w:type="fixed"/>
              <w:tblCellMar>
                <w:left w:w="0" w:type="dxa"/>
                <w:right w:w="0" w:type="dxa"/>
              </w:tblCellMar>
              <w:tblLook w:val="04A0" w:firstRow="1" w:lastRow="0" w:firstColumn="1" w:lastColumn="0" w:noHBand="0" w:noVBand="1"/>
            </w:tblPr>
            <w:tblGrid>
              <w:gridCol w:w="20"/>
              <w:gridCol w:w="4148"/>
            </w:tblGrid>
            <w:tr w:rsidR="001E1112" w:rsidRPr="00317ABF" w14:paraId="6F376F77" w14:textId="77777777" w:rsidTr="00A462BE">
              <w:trPr>
                <w:tblCellSpacing w:w="0" w:type="dxa"/>
              </w:trPr>
              <w:tc>
                <w:tcPr>
                  <w:tcW w:w="6" w:type="dxa"/>
                  <w:hideMark/>
                </w:tcPr>
                <w:p w14:paraId="754BFDB0" w14:textId="77777777" w:rsidR="001E1112" w:rsidRPr="00317ABF" w:rsidRDefault="001E1112" w:rsidP="00EE0AC3">
                  <w:pPr>
                    <w:framePr w:hSpace="141" w:wrap="around" w:vAnchor="text" w:hAnchor="text" w:xAlign="right" w:y="1"/>
                    <w:spacing w:before="120"/>
                    <w:suppressOverlap/>
                    <w:jc w:val="both"/>
                    <w:rPr>
                      <w:sz w:val="22"/>
                      <w:szCs w:val="22"/>
                    </w:rPr>
                  </w:pPr>
                </w:p>
              </w:tc>
              <w:tc>
                <w:tcPr>
                  <w:tcW w:w="9066" w:type="dxa"/>
                  <w:hideMark/>
                </w:tcPr>
                <w:p w14:paraId="4BF548E5" w14:textId="77777777" w:rsidR="001E1112" w:rsidRPr="00317ABF" w:rsidRDefault="001E1112" w:rsidP="00EE0AC3">
                  <w:pPr>
                    <w:framePr w:hSpace="141" w:wrap="around" w:vAnchor="text" w:hAnchor="text" w:xAlign="right" w:y="1"/>
                    <w:numPr>
                      <w:ilvl w:val="0"/>
                      <w:numId w:val="30"/>
                    </w:numPr>
                    <w:spacing w:before="120"/>
                    <w:suppressOverlap/>
                    <w:jc w:val="both"/>
                    <w:rPr>
                      <w:sz w:val="22"/>
                      <w:szCs w:val="22"/>
                    </w:rPr>
                  </w:pPr>
                  <w:r w:rsidRPr="00317ABF">
                    <w:rPr>
                      <w:sz w:val="22"/>
                      <w:szCs w:val="22"/>
                    </w:rPr>
                    <w:t>promowanie współużytkowania widma radiowego do podobnych lub różnych zastosowań widma radiowego zgodnie z prawem konkurencji;</w:t>
                  </w:r>
                </w:p>
              </w:tc>
            </w:tr>
          </w:tbl>
          <w:p w14:paraId="3B2FA98D" w14:textId="77777777" w:rsidR="001E1112" w:rsidRPr="00317ABF" w:rsidRDefault="001E1112" w:rsidP="00DB3BEC">
            <w:pPr>
              <w:jc w:val="both"/>
              <w:rPr>
                <w:vanish/>
                <w:sz w:val="22"/>
                <w:szCs w:val="22"/>
              </w:rPr>
            </w:pPr>
          </w:p>
          <w:tbl>
            <w:tblPr>
              <w:tblW w:w="5000" w:type="pct"/>
              <w:tblCellSpacing w:w="0" w:type="dxa"/>
              <w:tblLayout w:type="fixed"/>
              <w:tblCellMar>
                <w:left w:w="0" w:type="dxa"/>
                <w:right w:w="0" w:type="dxa"/>
              </w:tblCellMar>
              <w:tblLook w:val="04A0" w:firstRow="1" w:lastRow="0" w:firstColumn="1" w:lastColumn="0" w:noHBand="0" w:noVBand="1"/>
            </w:tblPr>
            <w:tblGrid>
              <w:gridCol w:w="20"/>
              <w:gridCol w:w="4148"/>
            </w:tblGrid>
            <w:tr w:rsidR="001E1112" w:rsidRPr="00317ABF" w14:paraId="0BC03912" w14:textId="77777777" w:rsidTr="00A462BE">
              <w:trPr>
                <w:tblCellSpacing w:w="0" w:type="dxa"/>
              </w:trPr>
              <w:tc>
                <w:tcPr>
                  <w:tcW w:w="6" w:type="dxa"/>
                  <w:hideMark/>
                </w:tcPr>
                <w:p w14:paraId="7D907026" w14:textId="77777777" w:rsidR="001E1112" w:rsidRPr="00317ABF" w:rsidRDefault="001E1112" w:rsidP="00EE0AC3">
                  <w:pPr>
                    <w:framePr w:hSpace="141" w:wrap="around" w:vAnchor="text" w:hAnchor="text" w:xAlign="right" w:y="1"/>
                    <w:spacing w:before="120"/>
                    <w:suppressOverlap/>
                    <w:jc w:val="both"/>
                    <w:rPr>
                      <w:sz w:val="22"/>
                      <w:szCs w:val="22"/>
                    </w:rPr>
                  </w:pPr>
                </w:p>
              </w:tc>
              <w:tc>
                <w:tcPr>
                  <w:tcW w:w="9066" w:type="dxa"/>
                  <w:hideMark/>
                </w:tcPr>
                <w:p w14:paraId="17643DB2" w14:textId="77777777" w:rsidR="001E1112" w:rsidRPr="00317ABF" w:rsidRDefault="001E1112" w:rsidP="00EE0AC3">
                  <w:pPr>
                    <w:framePr w:hSpace="141" w:wrap="around" w:vAnchor="text" w:hAnchor="text" w:xAlign="right" w:y="1"/>
                    <w:numPr>
                      <w:ilvl w:val="0"/>
                      <w:numId w:val="30"/>
                    </w:numPr>
                    <w:spacing w:before="120"/>
                    <w:suppressOverlap/>
                    <w:jc w:val="both"/>
                    <w:rPr>
                      <w:sz w:val="22"/>
                      <w:szCs w:val="22"/>
                    </w:rPr>
                  </w:pPr>
                  <w:r w:rsidRPr="00317ABF">
                    <w:rPr>
                      <w:sz w:val="22"/>
                      <w:szCs w:val="22"/>
                    </w:rPr>
                    <w:t>stosowanie najwłaściwszego i najmniej uciążliwego systemu udzielania zezwoleń zgodnie z art. 46, tak aby maksymalizować elastyczność i wydajność wykorzystania widma radiowego i jego współużytkowanie;</w:t>
                  </w:r>
                </w:p>
              </w:tc>
            </w:tr>
          </w:tbl>
          <w:p w14:paraId="07610692" w14:textId="77777777" w:rsidR="001E1112" w:rsidRPr="00317ABF" w:rsidRDefault="001E1112" w:rsidP="00DB3BEC">
            <w:pPr>
              <w:jc w:val="both"/>
              <w:rPr>
                <w:vanish/>
                <w:sz w:val="22"/>
                <w:szCs w:val="22"/>
              </w:rPr>
            </w:pPr>
          </w:p>
          <w:tbl>
            <w:tblPr>
              <w:tblW w:w="5000" w:type="pct"/>
              <w:tblCellSpacing w:w="0" w:type="dxa"/>
              <w:tblLayout w:type="fixed"/>
              <w:tblCellMar>
                <w:left w:w="0" w:type="dxa"/>
                <w:right w:w="0" w:type="dxa"/>
              </w:tblCellMar>
              <w:tblLook w:val="04A0" w:firstRow="1" w:lastRow="0" w:firstColumn="1" w:lastColumn="0" w:noHBand="0" w:noVBand="1"/>
            </w:tblPr>
            <w:tblGrid>
              <w:gridCol w:w="20"/>
              <w:gridCol w:w="4148"/>
            </w:tblGrid>
            <w:tr w:rsidR="001E1112" w:rsidRPr="00317ABF" w14:paraId="0E23DC3F" w14:textId="77777777" w:rsidTr="00A462BE">
              <w:trPr>
                <w:tblCellSpacing w:w="0" w:type="dxa"/>
              </w:trPr>
              <w:tc>
                <w:tcPr>
                  <w:tcW w:w="6" w:type="dxa"/>
                  <w:hideMark/>
                </w:tcPr>
                <w:p w14:paraId="17773534" w14:textId="77777777" w:rsidR="001E1112" w:rsidRPr="00317ABF" w:rsidRDefault="001E1112" w:rsidP="00EE0AC3">
                  <w:pPr>
                    <w:framePr w:hSpace="141" w:wrap="around" w:vAnchor="text" w:hAnchor="text" w:xAlign="right" w:y="1"/>
                    <w:spacing w:before="120"/>
                    <w:suppressOverlap/>
                    <w:jc w:val="both"/>
                    <w:rPr>
                      <w:sz w:val="22"/>
                      <w:szCs w:val="22"/>
                    </w:rPr>
                  </w:pPr>
                </w:p>
              </w:tc>
              <w:tc>
                <w:tcPr>
                  <w:tcW w:w="9066" w:type="dxa"/>
                  <w:hideMark/>
                </w:tcPr>
                <w:p w14:paraId="3CEA0A51" w14:textId="77777777" w:rsidR="001E1112" w:rsidRPr="00317ABF" w:rsidRDefault="001E1112" w:rsidP="00EE0AC3">
                  <w:pPr>
                    <w:framePr w:hSpace="141" w:wrap="around" w:vAnchor="text" w:hAnchor="text" w:xAlign="right" w:y="1"/>
                    <w:numPr>
                      <w:ilvl w:val="0"/>
                      <w:numId w:val="30"/>
                    </w:numPr>
                    <w:spacing w:before="120"/>
                    <w:suppressOverlap/>
                    <w:jc w:val="both"/>
                    <w:rPr>
                      <w:sz w:val="22"/>
                      <w:szCs w:val="22"/>
                    </w:rPr>
                  </w:pPr>
                  <w:r w:rsidRPr="00317ABF">
                    <w:rPr>
                      <w:sz w:val="22"/>
                      <w:szCs w:val="22"/>
                    </w:rPr>
                    <w:t>stosowanie zasad przyznawania, przenoszenia, odnawiania, zmieniania i cofania praw wykorzystania widma radiowego, które są jasno i przejrzyście ustanowione, aby zagwarantować pewność regulacyjną oraz spójność i przewidywalność regulacji;</w:t>
                  </w:r>
                </w:p>
              </w:tc>
            </w:tr>
          </w:tbl>
          <w:p w14:paraId="5814E077" w14:textId="77777777" w:rsidR="001E1112" w:rsidRPr="00317ABF" w:rsidRDefault="001E1112" w:rsidP="00DB3BEC">
            <w:pPr>
              <w:jc w:val="both"/>
              <w:rPr>
                <w:vanish/>
                <w:sz w:val="22"/>
                <w:szCs w:val="22"/>
              </w:rPr>
            </w:pPr>
          </w:p>
          <w:tbl>
            <w:tblPr>
              <w:tblW w:w="5000" w:type="pct"/>
              <w:tblCellSpacing w:w="0" w:type="dxa"/>
              <w:tblLayout w:type="fixed"/>
              <w:tblCellMar>
                <w:left w:w="0" w:type="dxa"/>
                <w:right w:w="0" w:type="dxa"/>
              </w:tblCellMar>
              <w:tblLook w:val="04A0" w:firstRow="1" w:lastRow="0" w:firstColumn="1" w:lastColumn="0" w:noHBand="0" w:noVBand="1"/>
            </w:tblPr>
            <w:tblGrid>
              <w:gridCol w:w="20"/>
              <w:gridCol w:w="4148"/>
            </w:tblGrid>
            <w:tr w:rsidR="001E1112" w:rsidRPr="00317ABF" w14:paraId="7383996E" w14:textId="77777777" w:rsidTr="00A462BE">
              <w:trPr>
                <w:tblCellSpacing w:w="0" w:type="dxa"/>
              </w:trPr>
              <w:tc>
                <w:tcPr>
                  <w:tcW w:w="6" w:type="dxa"/>
                  <w:hideMark/>
                </w:tcPr>
                <w:p w14:paraId="5F5FE86C" w14:textId="77777777" w:rsidR="001E1112" w:rsidRPr="00317ABF" w:rsidRDefault="001E1112" w:rsidP="00EE0AC3">
                  <w:pPr>
                    <w:framePr w:hSpace="141" w:wrap="around" w:vAnchor="text" w:hAnchor="text" w:xAlign="right" w:y="1"/>
                    <w:spacing w:before="120"/>
                    <w:suppressOverlap/>
                    <w:jc w:val="both"/>
                    <w:rPr>
                      <w:sz w:val="22"/>
                      <w:szCs w:val="22"/>
                    </w:rPr>
                  </w:pPr>
                </w:p>
              </w:tc>
              <w:tc>
                <w:tcPr>
                  <w:tcW w:w="9066" w:type="dxa"/>
                  <w:hideMark/>
                </w:tcPr>
                <w:p w14:paraId="070B919F" w14:textId="77777777" w:rsidR="001E1112" w:rsidRPr="00317ABF" w:rsidRDefault="001E1112" w:rsidP="00EE0AC3">
                  <w:pPr>
                    <w:framePr w:hSpace="141" w:wrap="around" w:vAnchor="text" w:hAnchor="text" w:xAlign="right" w:y="1"/>
                    <w:numPr>
                      <w:ilvl w:val="0"/>
                      <w:numId w:val="30"/>
                    </w:numPr>
                    <w:spacing w:before="120"/>
                    <w:suppressOverlap/>
                    <w:jc w:val="both"/>
                    <w:rPr>
                      <w:sz w:val="22"/>
                      <w:szCs w:val="22"/>
                    </w:rPr>
                  </w:pPr>
                  <w:r w:rsidRPr="00317ABF">
                    <w:rPr>
                      <w:sz w:val="22"/>
                      <w:szCs w:val="22"/>
                    </w:rPr>
                    <w:t>dążenie do spójności i przewidywalności w całej Unii, jeśli chodzi o sposób udzielania zezwoleń na użytkowanie widma radiowego w kontekście ochrony zdrowia publicznego przy uwzględnieniu zalecenia 1999/519/WE.</w:t>
                  </w:r>
                </w:p>
              </w:tc>
            </w:tr>
          </w:tbl>
          <w:p w14:paraId="39F60075" w14:textId="77777777" w:rsidR="001E1112" w:rsidRPr="00317ABF" w:rsidRDefault="001E1112" w:rsidP="00DB3BEC">
            <w:pPr>
              <w:spacing w:before="120"/>
              <w:jc w:val="both"/>
              <w:rPr>
                <w:sz w:val="22"/>
                <w:szCs w:val="22"/>
              </w:rPr>
            </w:pPr>
            <w:r w:rsidRPr="00317ABF">
              <w:rPr>
                <w:sz w:val="22"/>
                <w:szCs w:val="22"/>
              </w:rPr>
              <w:t>Do celu akapitu pierwszego oraz w kontekście rozwoju technicznych środków wykonawczych dla widma radiowego na mocy decyzji nr 676/2002/WE, Komisja może zwrócić się do RSPG o wydanie opinii zalecającej najodpowiedniejsze system(-y) wydawania zezwoleń do celów użytkowania widma radiowego w tym paśmie lub jego częściach. W stosownych przypadkach oraz przy uwzględnieniu w jak największym stopniu takiej opinii, Komisja może przyjąć zalecenie mające na celu promowanie spójnego podejścia w Unii w odniesieniu do systemu(-ów) wydawania zezwoleń do celów użytkowania tego pasma.</w:t>
            </w:r>
          </w:p>
          <w:p w14:paraId="357B7595" w14:textId="77777777" w:rsidR="001E1112" w:rsidRPr="00317ABF" w:rsidRDefault="001E1112" w:rsidP="00DB3BEC">
            <w:pPr>
              <w:spacing w:before="120"/>
              <w:jc w:val="both"/>
              <w:rPr>
                <w:sz w:val="22"/>
                <w:szCs w:val="22"/>
              </w:rPr>
            </w:pPr>
            <w:r w:rsidRPr="00317ABF">
              <w:rPr>
                <w:sz w:val="22"/>
                <w:szCs w:val="22"/>
              </w:rPr>
              <w:t xml:space="preserve">W przypadku gdy Komisja rozważa przyjęcie środków zgodnie z art. 39 ust. 1, 4, 5 i 6, może zwrócić się do RSPG o opinię na temat konsekwencji takiej normy lub specyfikacji dla koordynacji, harmonizacji i dostępności widma radiowego. Przy podejmowaniu wszelkich </w:t>
            </w:r>
            <w:r w:rsidRPr="00317ABF">
              <w:rPr>
                <w:sz w:val="22"/>
                <w:szCs w:val="22"/>
              </w:rPr>
              <w:lastRenderedPageBreak/>
              <w:t>dalszych kroków Komisja w jak największym stopniu uwzględnia opinię RSPG.</w:t>
            </w:r>
          </w:p>
        </w:tc>
        <w:tc>
          <w:tcPr>
            <w:tcW w:w="986" w:type="dxa"/>
          </w:tcPr>
          <w:p w14:paraId="14F1DBAD" w14:textId="5A73B7B5" w:rsidR="001E1112" w:rsidRPr="00317ABF" w:rsidRDefault="001E1112" w:rsidP="00DB3BEC">
            <w:pPr>
              <w:jc w:val="both"/>
              <w:rPr>
                <w:sz w:val="22"/>
                <w:szCs w:val="22"/>
              </w:rPr>
            </w:pPr>
            <w:r w:rsidRPr="00317ABF">
              <w:rPr>
                <w:sz w:val="22"/>
                <w:szCs w:val="22"/>
              </w:rPr>
              <w:lastRenderedPageBreak/>
              <w:t>N</w:t>
            </w:r>
          </w:p>
        </w:tc>
        <w:tc>
          <w:tcPr>
            <w:tcW w:w="910" w:type="dxa"/>
          </w:tcPr>
          <w:p w14:paraId="71B4DA0F" w14:textId="6980EA89" w:rsidR="001E1112" w:rsidRPr="00317ABF" w:rsidRDefault="00DB3BEC" w:rsidP="00DB3BEC">
            <w:pPr>
              <w:pStyle w:val="Tekstpodstawowy"/>
              <w:rPr>
                <w:b/>
                <w:bCs/>
                <w:noProof/>
                <w:sz w:val="22"/>
                <w:szCs w:val="22"/>
              </w:rPr>
            </w:pPr>
            <w:r w:rsidRPr="00317ABF">
              <w:rPr>
                <w:b/>
                <w:bCs/>
                <w:noProof/>
                <w:sz w:val="22"/>
                <w:szCs w:val="22"/>
              </w:rPr>
              <w:t xml:space="preserve">Art. </w:t>
            </w:r>
            <w:r w:rsidR="001104C0" w:rsidRPr="00317ABF">
              <w:rPr>
                <w:b/>
                <w:bCs/>
                <w:noProof/>
                <w:sz w:val="22"/>
                <w:szCs w:val="22"/>
              </w:rPr>
              <w:t>407</w:t>
            </w:r>
            <w:r w:rsidR="001E1112" w:rsidRPr="00317ABF">
              <w:rPr>
                <w:b/>
                <w:bCs/>
                <w:noProof/>
                <w:sz w:val="22"/>
                <w:szCs w:val="22"/>
              </w:rPr>
              <w:t xml:space="preserve"> ust. 2 pkt 2 lit. e i pkt 3</w:t>
            </w:r>
          </w:p>
        </w:tc>
        <w:tc>
          <w:tcPr>
            <w:tcW w:w="6814" w:type="dxa"/>
            <w:gridSpan w:val="2"/>
          </w:tcPr>
          <w:p w14:paraId="5A649FE2" w14:textId="6FC8E06D" w:rsidR="001E1112" w:rsidRPr="00317ABF" w:rsidRDefault="001E1112" w:rsidP="00DB3BEC">
            <w:pPr>
              <w:jc w:val="both"/>
              <w:rPr>
                <w:sz w:val="22"/>
                <w:szCs w:val="22"/>
              </w:rPr>
            </w:pPr>
            <w:r w:rsidRPr="00317ABF">
              <w:rPr>
                <w:sz w:val="22"/>
                <w:szCs w:val="22"/>
              </w:rPr>
              <w:t>2. Organy właściwe w sprawach telekomunikacji prowadzą politykę regulacyjną, mając na celu w szczególności:</w:t>
            </w:r>
          </w:p>
          <w:p w14:paraId="3BCFB809" w14:textId="77777777" w:rsidR="001104C0" w:rsidRPr="00317ABF" w:rsidRDefault="001104C0" w:rsidP="001104C0">
            <w:pPr>
              <w:pStyle w:val="LITlitera"/>
              <w:spacing w:line="240" w:lineRule="auto"/>
              <w:rPr>
                <w:rFonts w:ascii="Times New Roman" w:hAnsi="Times New Roman" w:cs="Times New Roman"/>
                <w:sz w:val="22"/>
                <w:szCs w:val="22"/>
              </w:rPr>
            </w:pPr>
            <w:r w:rsidRPr="00317ABF">
              <w:rPr>
                <w:rFonts w:ascii="Times New Roman" w:hAnsi="Times New Roman" w:cs="Times New Roman"/>
                <w:sz w:val="22"/>
                <w:szCs w:val="22"/>
              </w:rPr>
              <w:t>e)</w:t>
            </w:r>
            <w:r w:rsidRPr="00317ABF">
              <w:rPr>
                <w:rFonts w:ascii="Times New Roman" w:hAnsi="Times New Roman" w:cs="Times New Roman"/>
                <w:sz w:val="22"/>
                <w:szCs w:val="22"/>
              </w:rPr>
              <w:tab/>
              <w:t>współpracę z innymi organami regulacyjnymi państw członkowskich i Komisją Europejską, w tym w ramach RSPG, a na ich wniosek także z Parlamentem Europejskim i Radą w zakresie:</w:t>
            </w:r>
          </w:p>
          <w:p w14:paraId="2AD411EE" w14:textId="77777777" w:rsidR="001104C0" w:rsidRPr="00317ABF" w:rsidRDefault="001104C0" w:rsidP="001104C0">
            <w:pPr>
              <w:pStyle w:val="TIRtiret"/>
              <w:spacing w:line="240" w:lineRule="auto"/>
              <w:rPr>
                <w:rFonts w:ascii="Times New Roman" w:hAnsi="Times New Roman" w:cs="Times New Roman"/>
                <w:sz w:val="22"/>
                <w:szCs w:val="22"/>
              </w:rPr>
            </w:pPr>
            <w:r w:rsidRPr="00317ABF">
              <w:rPr>
                <w:rFonts w:ascii="Times New Roman" w:hAnsi="Times New Roman" w:cs="Times New Roman"/>
                <w:sz w:val="22"/>
                <w:szCs w:val="22"/>
              </w:rPr>
              <w:t>–</w:t>
            </w:r>
            <w:r w:rsidRPr="00317ABF">
              <w:rPr>
                <w:rFonts w:ascii="Times New Roman" w:hAnsi="Times New Roman" w:cs="Times New Roman"/>
                <w:sz w:val="22"/>
                <w:szCs w:val="22"/>
              </w:rPr>
              <w:tab/>
              <w:t>planowania strategicznego, koordynacji i harmonizacji wykorzystania częstotliwości w Unii Europejskiej, mając na celu optymalizację wykorzystania częstotliwości oraz unikanie szkodliwych zakłóceń oraz</w:t>
            </w:r>
          </w:p>
          <w:p w14:paraId="24C09714" w14:textId="77777777" w:rsidR="001104C0" w:rsidRPr="00317ABF" w:rsidRDefault="001104C0" w:rsidP="001104C0">
            <w:pPr>
              <w:ind w:left="1418" w:hanging="425"/>
              <w:rPr>
                <w:sz w:val="22"/>
                <w:szCs w:val="22"/>
              </w:rPr>
            </w:pPr>
            <w:r w:rsidRPr="00317ABF">
              <w:rPr>
                <w:sz w:val="22"/>
                <w:szCs w:val="22"/>
              </w:rPr>
              <w:t>–</w:t>
            </w:r>
            <w:r w:rsidRPr="00317ABF">
              <w:rPr>
                <w:sz w:val="22"/>
                <w:szCs w:val="22"/>
              </w:rPr>
              <w:tab/>
              <w:t>promowania koordynacji polityki w zakresie częstotliwości w Unii Europejskiej, a także zharmonizowanych warunków w odniesieniu do dostępności i efektywnego wykorzystania częstotliwości, koniecznego do ustanowienia i funkcjonowania rynku wewnętrznego usług komunikacji elektronicznej;</w:t>
            </w:r>
          </w:p>
          <w:p w14:paraId="457F5113" w14:textId="7406F797" w:rsidR="001E1112" w:rsidRPr="00317ABF" w:rsidRDefault="001E1112" w:rsidP="00DB3BEC">
            <w:pPr>
              <w:jc w:val="both"/>
              <w:rPr>
                <w:sz w:val="22"/>
                <w:szCs w:val="22"/>
              </w:rPr>
            </w:pPr>
          </w:p>
          <w:p w14:paraId="36C8258C" w14:textId="77777777" w:rsidR="001104C0" w:rsidRPr="00317ABF" w:rsidRDefault="001104C0" w:rsidP="001104C0">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3)</w:t>
            </w:r>
            <w:r w:rsidRPr="00317ABF">
              <w:rPr>
                <w:rFonts w:ascii="Times New Roman" w:hAnsi="Times New Roman" w:cs="Times New Roman"/>
                <w:sz w:val="22"/>
                <w:szCs w:val="22"/>
              </w:rPr>
              <w:tab/>
              <w:t>wspieranie efektywnego wykorzystania oraz zarządzania częstotliwościami, w tym:</w:t>
            </w:r>
          </w:p>
          <w:p w14:paraId="37553CEF" w14:textId="77777777" w:rsidR="001104C0" w:rsidRPr="00317ABF" w:rsidRDefault="001104C0" w:rsidP="001104C0">
            <w:pPr>
              <w:pStyle w:val="LITlitera"/>
              <w:spacing w:line="240" w:lineRule="auto"/>
              <w:rPr>
                <w:rFonts w:ascii="Times New Roman" w:hAnsi="Times New Roman" w:cs="Times New Roman"/>
                <w:sz w:val="22"/>
                <w:szCs w:val="22"/>
              </w:rPr>
            </w:pPr>
            <w:r w:rsidRPr="00317ABF">
              <w:rPr>
                <w:rFonts w:ascii="Times New Roman" w:hAnsi="Times New Roman" w:cs="Times New Roman"/>
                <w:sz w:val="22"/>
                <w:szCs w:val="22"/>
              </w:rPr>
              <w:t>a)</w:t>
            </w:r>
            <w:r w:rsidRPr="00317ABF">
              <w:rPr>
                <w:rFonts w:ascii="Times New Roman" w:hAnsi="Times New Roman" w:cs="Times New Roman"/>
                <w:sz w:val="22"/>
                <w:szCs w:val="22"/>
              </w:rPr>
              <w:tab/>
              <w:t xml:space="preserve">dążenie do zapewnienia pokrycia terytorium Rzeczypospolitej Polskiej zasięgiem bezprzewodowej komunikacji szerokopasmowej o wysokiej jakości, w tym wysokiej prędkości </w:t>
            </w:r>
            <w:r w:rsidRPr="00317ABF">
              <w:rPr>
                <w:rFonts w:ascii="Times New Roman" w:hAnsi="Times New Roman" w:cs="Times New Roman"/>
                <w:sz w:val="22"/>
                <w:szCs w:val="22"/>
              </w:rPr>
              <w:lastRenderedPageBreak/>
              <w:t>transmisji danych, a także objęcia nią głównych szlaków transportowych,</w:t>
            </w:r>
          </w:p>
          <w:p w14:paraId="5C0F64D4" w14:textId="77777777" w:rsidR="001104C0" w:rsidRPr="00317ABF" w:rsidRDefault="001104C0" w:rsidP="001104C0">
            <w:pPr>
              <w:pStyle w:val="LITlitera"/>
              <w:spacing w:line="240" w:lineRule="auto"/>
              <w:rPr>
                <w:rFonts w:ascii="Times New Roman" w:hAnsi="Times New Roman" w:cs="Times New Roman"/>
                <w:sz w:val="22"/>
                <w:szCs w:val="22"/>
              </w:rPr>
            </w:pPr>
            <w:r w:rsidRPr="00317ABF">
              <w:rPr>
                <w:rFonts w:ascii="Times New Roman" w:hAnsi="Times New Roman" w:cs="Times New Roman"/>
                <w:sz w:val="22"/>
                <w:szCs w:val="22"/>
              </w:rPr>
              <w:t>b)</w:t>
            </w:r>
            <w:r w:rsidRPr="00317ABF">
              <w:rPr>
                <w:rFonts w:ascii="Times New Roman" w:hAnsi="Times New Roman" w:cs="Times New Roman"/>
                <w:sz w:val="22"/>
                <w:szCs w:val="22"/>
              </w:rPr>
              <w:tab/>
              <w:t>ułatwianie szybkiego rozwoju nowych technologii komunikacji bezprzewodowej i jej zastosowań,</w:t>
            </w:r>
          </w:p>
          <w:p w14:paraId="559C0835" w14:textId="77777777" w:rsidR="001104C0" w:rsidRPr="00317ABF" w:rsidRDefault="001104C0" w:rsidP="001104C0">
            <w:pPr>
              <w:pStyle w:val="LITlitera"/>
              <w:spacing w:line="240" w:lineRule="auto"/>
              <w:rPr>
                <w:rFonts w:ascii="Times New Roman" w:hAnsi="Times New Roman" w:cs="Times New Roman"/>
                <w:sz w:val="22"/>
                <w:szCs w:val="22"/>
              </w:rPr>
            </w:pPr>
            <w:r w:rsidRPr="00317ABF">
              <w:rPr>
                <w:rFonts w:ascii="Times New Roman" w:hAnsi="Times New Roman" w:cs="Times New Roman"/>
                <w:sz w:val="22"/>
                <w:szCs w:val="22"/>
              </w:rPr>
              <w:t>c)</w:t>
            </w:r>
            <w:r w:rsidRPr="00317ABF">
              <w:rPr>
                <w:rFonts w:ascii="Times New Roman" w:hAnsi="Times New Roman" w:cs="Times New Roman"/>
                <w:sz w:val="22"/>
                <w:szCs w:val="22"/>
              </w:rPr>
              <w:tab/>
              <w:t>promowanie długoterminowych inwestycji przez zapewnienie przewidywalności i spójności podczas dokonywania, zmiany lub cofnięcia rezerwacji częstotliwości, dokonywania rezerwacji częstotliwości na kolejny okres lub ograniczenia sposobu wykorzystywania częstotliwości objętych rezerwacją,</w:t>
            </w:r>
          </w:p>
          <w:p w14:paraId="5DF3C85F" w14:textId="77777777" w:rsidR="001104C0" w:rsidRPr="00317ABF" w:rsidRDefault="001104C0" w:rsidP="001104C0">
            <w:pPr>
              <w:pStyle w:val="LITlitera"/>
              <w:spacing w:line="240" w:lineRule="auto"/>
              <w:rPr>
                <w:rFonts w:ascii="Times New Roman" w:hAnsi="Times New Roman" w:cs="Times New Roman"/>
                <w:sz w:val="22"/>
                <w:szCs w:val="22"/>
              </w:rPr>
            </w:pPr>
            <w:r w:rsidRPr="00317ABF">
              <w:rPr>
                <w:rFonts w:ascii="Times New Roman" w:hAnsi="Times New Roman" w:cs="Times New Roman"/>
                <w:sz w:val="22"/>
                <w:szCs w:val="22"/>
              </w:rPr>
              <w:t>d)</w:t>
            </w:r>
            <w:r w:rsidRPr="00317ABF">
              <w:rPr>
                <w:rFonts w:ascii="Times New Roman" w:hAnsi="Times New Roman" w:cs="Times New Roman"/>
                <w:sz w:val="22"/>
                <w:szCs w:val="22"/>
              </w:rPr>
              <w:tab/>
              <w:t>promowanie współużytkowania częstotliwości do podobnych lub różnych zastosowań częstotliwości zgodnie z przepisami prawa konkurencji,</w:t>
            </w:r>
          </w:p>
          <w:p w14:paraId="6C5ACCA9" w14:textId="77777777" w:rsidR="001104C0" w:rsidRPr="00317ABF" w:rsidRDefault="001104C0" w:rsidP="001104C0">
            <w:pPr>
              <w:pStyle w:val="LITlitera"/>
              <w:spacing w:line="240" w:lineRule="auto"/>
              <w:rPr>
                <w:rFonts w:ascii="Times New Roman" w:hAnsi="Times New Roman" w:cs="Times New Roman"/>
                <w:sz w:val="22"/>
                <w:szCs w:val="22"/>
              </w:rPr>
            </w:pPr>
            <w:r w:rsidRPr="00317ABF">
              <w:rPr>
                <w:rFonts w:ascii="Times New Roman" w:hAnsi="Times New Roman" w:cs="Times New Roman"/>
                <w:sz w:val="22"/>
                <w:szCs w:val="22"/>
              </w:rPr>
              <w:t>e)</w:t>
            </w:r>
            <w:r w:rsidRPr="00317ABF">
              <w:rPr>
                <w:rFonts w:ascii="Times New Roman" w:hAnsi="Times New Roman" w:cs="Times New Roman"/>
                <w:sz w:val="22"/>
                <w:szCs w:val="22"/>
              </w:rPr>
              <w:tab/>
              <w:t>dążenie do spójności i przewidywalności w Unii Europejskiej, w zakresie dokonywania rezerwacji częstotliwości w kontekście ochrony zdrowia publicznego przy uwzględnieniu zalecenia Rady 1999/519/WE z dnia 12 lipca 1999 r. w sprawie ograniczenia narażenia ludności na pola elektromagnetyczne (od 0 Hz do 300 GHz),</w:t>
            </w:r>
          </w:p>
          <w:p w14:paraId="6B663432" w14:textId="726A5BAA" w:rsidR="001E1112" w:rsidRPr="00317ABF" w:rsidRDefault="001E1112" w:rsidP="001104C0">
            <w:pPr>
              <w:ind w:left="955" w:hanging="283"/>
              <w:jc w:val="both"/>
              <w:rPr>
                <w:sz w:val="22"/>
                <w:szCs w:val="22"/>
              </w:rPr>
            </w:pPr>
            <w:r w:rsidRPr="00317ABF">
              <w:rPr>
                <w:sz w:val="22"/>
                <w:szCs w:val="22"/>
              </w:rPr>
              <w:t>f)</w:t>
            </w:r>
            <w:r w:rsidR="001104C0" w:rsidRPr="00317ABF">
              <w:rPr>
                <w:sz w:val="22"/>
                <w:szCs w:val="22"/>
              </w:rPr>
              <w:tab/>
            </w:r>
            <w:r w:rsidRPr="00317ABF">
              <w:rPr>
                <w:sz w:val="22"/>
                <w:szCs w:val="22"/>
              </w:rPr>
              <w:t>kierowanie się zasadą neutralności technologicznej przy gospodarowaniu częstotliwościami;</w:t>
            </w:r>
          </w:p>
        </w:tc>
      </w:tr>
      <w:tr w:rsidR="001E1112" w:rsidRPr="00317ABF" w14:paraId="7CE13073" w14:textId="77777777" w:rsidTr="7753F98D">
        <w:trPr>
          <w:gridAfter w:val="2"/>
          <w:wAfter w:w="175" w:type="dxa"/>
        </w:trPr>
        <w:tc>
          <w:tcPr>
            <w:tcW w:w="704" w:type="dxa"/>
          </w:tcPr>
          <w:p w14:paraId="2F08147B" w14:textId="77777777" w:rsidR="001E1112" w:rsidRPr="00317ABF" w:rsidRDefault="001E1112" w:rsidP="00DB3BEC">
            <w:pPr>
              <w:jc w:val="both"/>
              <w:rPr>
                <w:sz w:val="22"/>
                <w:szCs w:val="22"/>
              </w:rPr>
            </w:pPr>
            <w:r w:rsidRPr="00317ABF">
              <w:rPr>
                <w:sz w:val="22"/>
                <w:szCs w:val="22"/>
              </w:rPr>
              <w:lastRenderedPageBreak/>
              <w:t>Art.45 ust. 3</w:t>
            </w:r>
          </w:p>
        </w:tc>
        <w:tc>
          <w:tcPr>
            <w:tcW w:w="4308" w:type="dxa"/>
          </w:tcPr>
          <w:p w14:paraId="204B0D9E" w14:textId="77777777" w:rsidR="001E1112" w:rsidRPr="00317ABF" w:rsidRDefault="001E1112" w:rsidP="00DB3BEC">
            <w:pPr>
              <w:spacing w:before="120"/>
              <w:jc w:val="both"/>
              <w:rPr>
                <w:sz w:val="22"/>
                <w:szCs w:val="22"/>
              </w:rPr>
            </w:pPr>
            <w:r w:rsidRPr="00317ABF">
              <w:rPr>
                <w:sz w:val="22"/>
                <w:szCs w:val="22"/>
              </w:rPr>
              <w:t>3.   W przypadku braku popytu na rynku krajowym lub regionalnym na wykorzystanie pasma w zharmonizowanym widmie radiowym, państwa członkowskie mogą zezwolić na alternatywne wykorzystanie całości lub części tego pasma, w tym na dotychczasowe wykorzystanie, zgodnie z ust. 4 i 5 niniejszego artykułu, pod warunkiem że:</w:t>
            </w:r>
          </w:p>
          <w:tbl>
            <w:tblPr>
              <w:tblW w:w="5000" w:type="pct"/>
              <w:tblCellSpacing w:w="0" w:type="dxa"/>
              <w:tblLayout w:type="fixed"/>
              <w:tblCellMar>
                <w:left w:w="0" w:type="dxa"/>
                <w:right w:w="0" w:type="dxa"/>
              </w:tblCellMar>
              <w:tblLook w:val="04A0" w:firstRow="1" w:lastRow="0" w:firstColumn="1" w:lastColumn="0" w:noHBand="0" w:noVBand="1"/>
            </w:tblPr>
            <w:tblGrid>
              <w:gridCol w:w="20"/>
              <w:gridCol w:w="4148"/>
            </w:tblGrid>
            <w:tr w:rsidR="001E1112" w:rsidRPr="00317ABF" w14:paraId="41DCC031" w14:textId="77777777" w:rsidTr="241FF257">
              <w:trPr>
                <w:tblCellSpacing w:w="0" w:type="dxa"/>
              </w:trPr>
              <w:tc>
                <w:tcPr>
                  <w:tcW w:w="6" w:type="dxa"/>
                  <w:hideMark/>
                </w:tcPr>
                <w:p w14:paraId="08AAA810" w14:textId="77777777" w:rsidR="001E1112" w:rsidRPr="00317ABF" w:rsidRDefault="001E1112" w:rsidP="00EE0AC3">
                  <w:pPr>
                    <w:framePr w:hSpace="141" w:wrap="around" w:vAnchor="text" w:hAnchor="text" w:xAlign="right" w:y="1"/>
                    <w:spacing w:before="120"/>
                    <w:suppressOverlap/>
                    <w:jc w:val="both"/>
                    <w:rPr>
                      <w:sz w:val="22"/>
                      <w:szCs w:val="22"/>
                    </w:rPr>
                  </w:pPr>
                </w:p>
              </w:tc>
              <w:tc>
                <w:tcPr>
                  <w:tcW w:w="9066" w:type="dxa"/>
                  <w:hideMark/>
                </w:tcPr>
                <w:p w14:paraId="409E2FCC" w14:textId="77777777" w:rsidR="001E1112" w:rsidRPr="00317ABF" w:rsidRDefault="001E1112" w:rsidP="00EE0AC3">
                  <w:pPr>
                    <w:framePr w:hSpace="141" w:wrap="around" w:vAnchor="text" w:hAnchor="text" w:xAlign="right" w:y="1"/>
                    <w:numPr>
                      <w:ilvl w:val="0"/>
                      <w:numId w:val="31"/>
                    </w:numPr>
                    <w:spacing w:before="120"/>
                    <w:suppressOverlap/>
                    <w:jc w:val="both"/>
                    <w:rPr>
                      <w:sz w:val="22"/>
                      <w:szCs w:val="22"/>
                    </w:rPr>
                  </w:pPr>
                  <w:r w:rsidRPr="00317ABF">
                    <w:rPr>
                      <w:sz w:val="22"/>
                      <w:szCs w:val="22"/>
                    </w:rPr>
                    <w:t>brak popytu na rynku na wykorzystanie takiego pasma stwierdzono w wyniku konsultacji publicznych zgodnie z art. 23, w tym perspektywicznej oceny popytu na rynku;</w:t>
                  </w:r>
                </w:p>
              </w:tc>
            </w:tr>
            <w:tr w:rsidR="001E1112" w:rsidRPr="00317ABF" w14:paraId="118D74BC" w14:textId="77777777" w:rsidTr="241FF257">
              <w:trPr>
                <w:tblCellSpacing w:w="0" w:type="dxa"/>
              </w:trPr>
              <w:tc>
                <w:tcPr>
                  <w:tcW w:w="6" w:type="dxa"/>
                  <w:hideMark/>
                </w:tcPr>
                <w:p w14:paraId="6F7F107B" w14:textId="77777777" w:rsidR="001E1112" w:rsidRPr="00317ABF" w:rsidRDefault="001E1112" w:rsidP="00EE0AC3">
                  <w:pPr>
                    <w:framePr w:hSpace="141" w:wrap="around" w:vAnchor="text" w:hAnchor="text" w:xAlign="right" w:y="1"/>
                    <w:spacing w:before="120"/>
                    <w:suppressOverlap/>
                    <w:jc w:val="both"/>
                    <w:rPr>
                      <w:sz w:val="22"/>
                      <w:szCs w:val="22"/>
                    </w:rPr>
                  </w:pPr>
                </w:p>
              </w:tc>
              <w:tc>
                <w:tcPr>
                  <w:tcW w:w="9066" w:type="dxa"/>
                  <w:hideMark/>
                </w:tcPr>
                <w:p w14:paraId="63C6910D" w14:textId="77777777" w:rsidR="001E1112" w:rsidRPr="00317ABF" w:rsidRDefault="001E1112" w:rsidP="00EE0AC3">
                  <w:pPr>
                    <w:framePr w:hSpace="141" w:wrap="around" w:vAnchor="text" w:hAnchor="text" w:xAlign="right" w:y="1"/>
                    <w:numPr>
                      <w:ilvl w:val="0"/>
                      <w:numId w:val="31"/>
                    </w:numPr>
                    <w:spacing w:before="120"/>
                    <w:suppressOverlap/>
                    <w:jc w:val="both"/>
                    <w:rPr>
                      <w:sz w:val="22"/>
                      <w:szCs w:val="22"/>
                    </w:rPr>
                  </w:pPr>
                  <w:r w:rsidRPr="00317ABF">
                    <w:rPr>
                      <w:sz w:val="22"/>
                      <w:szCs w:val="22"/>
                    </w:rPr>
                    <w:t>takie alternatywne wykorzystanie nie uniemożliwia ani nie utrudnia dostępności albo wykorzystania tego pasma w innych państwach członkowskich; oraz</w:t>
                  </w:r>
                </w:p>
              </w:tc>
            </w:tr>
            <w:tr w:rsidR="001E1112" w:rsidRPr="00317ABF" w14:paraId="1BBB398C" w14:textId="77777777" w:rsidTr="00A462BE">
              <w:trPr>
                <w:tblCellSpacing w:w="0" w:type="dxa"/>
              </w:trPr>
              <w:tc>
                <w:tcPr>
                  <w:tcW w:w="6" w:type="dxa"/>
                  <w:hideMark/>
                </w:tcPr>
                <w:p w14:paraId="330838BD" w14:textId="77777777" w:rsidR="001E1112" w:rsidRPr="00317ABF" w:rsidRDefault="001E1112" w:rsidP="00EE0AC3">
                  <w:pPr>
                    <w:framePr w:hSpace="141" w:wrap="around" w:vAnchor="text" w:hAnchor="text" w:xAlign="right" w:y="1"/>
                    <w:spacing w:before="120"/>
                    <w:suppressOverlap/>
                    <w:jc w:val="both"/>
                    <w:rPr>
                      <w:sz w:val="22"/>
                      <w:szCs w:val="22"/>
                    </w:rPr>
                  </w:pPr>
                </w:p>
              </w:tc>
              <w:tc>
                <w:tcPr>
                  <w:tcW w:w="9066" w:type="dxa"/>
                  <w:hideMark/>
                </w:tcPr>
                <w:p w14:paraId="7F9BB757" w14:textId="77777777" w:rsidR="001E1112" w:rsidRPr="00317ABF" w:rsidRDefault="001E1112" w:rsidP="00EE0AC3">
                  <w:pPr>
                    <w:framePr w:hSpace="141" w:wrap="around" w:vAnchor="text" w:hAnchor="text" w:xAlign="right" w:y="1"/>
                    <w:numPr>
                      <w:ilvl w:val="0"/>
                      <w:numId w:val="31"/>
                    </w:numPr>
                    <w:spacing w:before="120"/>
                    <w:suppressOverlap/>
                    <w:jc w:val="both"/>
                    <w:rPr>
                      <w:sz w:val="22"/>
                      <w:szCs w:val="22"/>
                    </w:rPr>
                  </w:pPr>
                  <w:r w:rsidRPr="00317ABF">
                    <w:rPr>
                      <w:sz w:val="22"/>
                      <w:szCs w:val="22"/>
                    </w:rPr>
                    <w:t>państwo członkowskie, którego to dotyczy, należycie uwzględnia długoterminową dostępność lub długoterminowe wykorzystanie takiego pasma w Unii oraz efekt skali w odniesieniu do urządzeń, będący wynikiem użytkowania zharmonizowanego widma radiowego w Unii.</w:t>
                  </w:r>
                </w:p>
              </w:tc>
            </w:tr>
          </w:tbl>
          <w:p w14:paraId="640E9B03" w14:textId="77777777" w:rsidR="001E1112" w:rsidRPr="00317ABF" w:rsidRDefault="001E1112" w:rsidP="00DB3BEC">
            <w:pPr>
              <w:spacing w:before="120"/>
              <w:jc w:val="both"/>
              <w:rPr>
                <w:sz w:val="22"/>
                <w:szCs w:val="22"/>
              </w:rPr>
            </w:pPr>
            <w:r w:rsidRPr="00317ABF">
              <w:rPr>
                <w:sz w:val="22"/>
                <w:szCs w:val="22"/>
              </w:rPr>
              <w:t xml:space="preserve">Każda decyzja dopuszczająca wyjątkowe alternatywne wykorzystanie podlega regularnemu przeglądowi i w każdym przypadku zostaje poddana szybko przeglądowi na należycie uzasadniony wniosek skierowany przez przyszłego użytkownika do organu właściwego do spraw użytkowania pasma </w:t>
            </w:r>
            <w:r w:rsidRPr="00317ABF">
              <w:rPr>
                <w:sz w:val="22"/>
                <w:szCs w:val="22"/>
              </w:rPr>
              <w:lastRenderedPageBreak/>
              <w:t>zgodnie z technicznym środkiem harmonizującym. Państwo członkowskie informuje Komisję i pozostałe państwa członkowskie o podjętej decyzji, wraz z jej uzasadnieniem, oraz o wynikach każdego przeglądu.</w:t>
            </w:r>
          </w:p>
        </w:tc>
        <w:tc>
          <w:tcPr>
            <w:tcW w:w="986" w:type="dxa"/>
          </w:tcPr>
          <w:p w14:paraId="3941A625" w14:textId="41D140FF" w:rsidR="001E1112" w:rsidRPr="00317ABF" w:rsidRDefault="001E1112" w:rsidP="00DB3BEC">
            <w:pPr>
              <w:jc w:val="both"/>
              <w:rPr>
                <w:sz w:val="22"/>
                <w:szCs w:val="22"/>
              </w:rPr>
            </w:pPr>
            <w:r w:rsidRPr="00317ABF">
              <w:rPr>
                <w:sz w:val="22"/>
                <w:szCs w:val="22"/>
              </w:rPr>
              <w:lastRenderedPageBreak/>
              <w:t>N</w:t>
            </w:r>
          </w:p>
        </w:tc>
        <w:tc>
          <w:tcPr>
            <w:tcW w:w="910" w:type="dxa"/>
          </w:tcPr>
          <w:p w14:paraId="1BF5E8EE" w14:textId="38E61804" w:rsidR="001E1112" w:rsidRPr="00317ABF" w:rsidRDefault="001E1112" w:rsidP="00DB3BEC">
            <w:pPr>
              <w:pStyle w:val="Tekstpodstawowy"/>
              <w:rPr>
                <w:b/>
                <w:bCs/>
                <w:noProof/>
                <w:sz w:val="22"/>
                <w:szCs w:val="22"/>
              </w:rPr>
            </w:pPr>
            <w:r w:rsidRPr="00317ABF">
              <w:rPr>
                <w:b/>
                <w:bCs/>
                <w:noProof/>
                <w:sz w:val="22"/>
                <w:szCs w:val="22"/>
              </w:rPr>
              <w:t xml:space="preserve">art. </w:t>
            </w:r>
            <w:r w:rsidR="0034504F" w:rsidRPr="00317ABF">
              <w:rPr>
                <w:b/>
                <w:bCs/>
                <w:noProof/>
                <w:sz w:val="22"/>
                <w:szCs w:val="22"/>
              </w:rPr>
              <w:t>65</w:t>
            </w:r>
          </w:p>
        </w:tc>
        <w:tc>
          <w:tcPr>
            <w:tcW w:w="6814" w:type="dxa"/>
            <w:gridSpan w:val="2"/>
          </w:tcPr>
          <w:p w14:paraId="4BDB29ED" w14:textId="77777777" w:rsidR="0034504F" w:rsidRPr="00317ABF" w:rsidRDefault="0034504F" w:rsidP="0034504F">
            <w:pPr>
              <w:pStyle w:val="ARTartustawynprozporzdzenia"/>
              <w:keepNext/>
              <w:spacing w:before="0" w:line="240" w:lineRule="auto"/>
              <w:ind w:firstLine="0"/>
              <w:rPr>
                <w:rFonts w:ascii="Times New Roman" w:hAnsi="Times New Roman" w:cs="Times New Roman"/>
                <w:sz w:val="22"/>
                <w:szCs w:val="22"/>
              </w:rPr>
            </w:pPr>
            <w:r w:rsidRPr="00317ABF">
              <w:rPr>
                <w:rStyle w:val="Ppogrubienie"/>
                <w:rFonts w:ascii="Times New Roman" w:hAnsi="Times New Roman"/>
                <w:sz w:val="22"/>
                <w:szCs w:val="22"/>
              </w:rPr>
              <w:t>Art. 65.</w:t>
            </w:r>
            <w:r w:rsidRPr="00317ABF">
              <w:rPr>
                <w:rFonts w:ascii="Times New Roman" w:hAnsi="Times New Roman" w:cs="Times New Roman"/>
                <w:sz w:val="22"/>
                <w:szCs w:val="22"/>
              </w:rPr>
              <w:t xml:space="preserve"> 1. Prezes UKE dopuszcza dysponowanie częstotliwościami zharmonizowanymi na potrzeby innych systemów niż wskazane w technicznym środku wykonawczym, o którym mowa w art. 4 decyzji nr 676/2002/WE, zwanego dalej “alternatywnym wykorzystaniem”, o ile:</w:t>
            </w:r>
          </w:p>
          <w:p w14:paraId="31E45392" w14:textId="77777777" w:rsidR="0034504F" w:rsidRPr="00317ABF" w:rsidRDefault="0034504F" w:rsidP="0034504F">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1)</w:t>
            </w:r>
            <w:r w:rsidRPr="00317ABF">
              <w:rPr>
                <w:rFonts w:ascii="Times New Roman" w:hAnsi="Times New Roman" w:cs="Times New Roman"/>
                <w:sz w:val="22"/>
                <w:szCs w:val="22"/>
              </w:rPr>
              <w:tab/>
              <w:t>stwierdzi brak popytu na wykorzystywanie danego zakresu częstotliwości na potrzeby systemów, dla których dokonano harmonizacji;</w:t>
            </w:r>
          </w:p>
          <w:p w14:paraId="1F66E627" w14:textId="77777777" w:rsidR="0034504F" w:rsidRPr="00317ABF" w:rsidRDefault="0034504F" w:rsidP="0034504F">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2)</w:t>
            </w:r>
            <w:r w:rsidRPr="00317ABF">
              <w:rPr>
                <w:rFonts w:ascii="Times New Roman" w:hAnsi="Times New Roman" w:cs="Times New Roman"/>
                <w:sz w:val="22"/>
                <w:szCs w:val="22"/>
              </w:rPr>
              <w:tab/>
              <w:t>alternatywne wykorzystanie nie uniemożliwia ani nie utrudnia wykorzystania danego zakresu częstotliwości na potrzeby systemów, dla których dokonano harmonizacji w innym państwie członkowskich;</w:t>
            </w:r>
          </w:p>
          <w:p w14:paraId="3726ADE7" w14:textId="77777777" w:rsidR="001E1112" w:rsidRPr="00317ABF" w:rsidRDefault="001E1112" w:rsidP="0034504F">
            <w:pPr>
              <w:pStyle w:val="PKTpunkt0"/>
              <w:spacing w:line="240" w:lineRule="auto"/>
              <w:rPr>
                <w:rFonts w:ascii="Times New Roman" w:hAnsi="Times New Roman" w:cs="Times New Roman"/>
                <w:sz w:val="22"/>
                <w:szCs w:val="22"/>
              </w:rPr>
            </w:pPr>
            <w:r w:rsidRPr="00317ABF">
              <w:rPr>
                <w:rFonts w:ascii="Times New Roman" w:eastAsia="Times" w:hAnsi="Times New Roman" w:cs="Times New Roman"/>
                <w:sz w:val="22"/>
                <w:szCs w:val="22"/>
              </w:rPr>
              <w:t>3)</w:t>
            </w:r>
            <w:r w:rsidR="0034504F" w:rsidRPr="00317ABF">
              <w:rPr>
                <w:rFonts w:ascii="Times New Roman" w:hAnsi="Times New Roman" w:cs="Times New Roman"/>
                <w:sz w:val="22"/>
                <w:szCs w:val="22"/>
              </w:rPr>
              <w:tab/>
            </w:r>
            <w:r w:rsidRPr="00317ABF">
              <w:rPr>
                <w:rFonts w:ascii="Times New Roman" w:eastAsia="Times" w:hAnsi="Times New Roman" w:cs="Times New Roman"/>
                <w:sz w:val="22"/>
                <w:szCs w:val="22"/>
              </w:rPr>
              <w:t>nie wpłynie to negatywnie na długoterminowe korzyści wynikające z wykorzystania danego zakresu częstotliwości w Unii Europejskiej na potrzeby systemów, dla których dokonano harmonizacji.</w:t>
            </w:r>
          </w:p>
          <w:p w14:paraId="21B66C8D" w14:textId="76690F3A" w:rsidR="001E1112" w:rsidRPr="00317ABF" w:rsidRDefault="001E1112" w:rsidP="0034504F">
            <w:pPr>
              <w:pStyle w:val="USTustnpkodeksu"/>
              <w:spacing w:line="240" w:lineRule="auto"/>
              <w:rPr>
                <w:rFonts w:ascii="Times New Roman" w:eastAsia="Times" w:hAnsi="Times New Roman" w:cs="Times New Roman"/>
                <w:sz w:val="22"/>
                <w:szCs w:val="22"/>
              </w:rPr>
            </w:pPr>
            <w:r w:rsidRPr="00317ABF">
              <w:rPr>
                <w:rFonts w:ascii="Times New Roman" w:eastAsia="Times" w:hAnsi="Times New Roman" w:cs="Times New Roman"/>
                <w:sz w:val="22"/>
                <w:szCs w:val="22"/>
              </w:rPr>
              <w:t>2. Prezes UKE przeprowadza postępowanie konsultacyjne dotyczące zbadania popytu, o którym mowa w ust. 1 pkt 1.</w:t>
            </w:r>
          </w:p>
          <w:p w14:paraId="33071C29" w14:textId="50C54477" w:rsidR="001E1112" w:rsidRPr="00317ABF" w:rsidRDefault="001E1112" w:rsidP="0034504F">
            <w:pPr>
              <w:pStyle w:val="USTustnpkodeksu"/>
              <w:spacing w:line="240" w:lineRule="auto"/>
              <w:rPr>
                <w:rFonts w:ascii="Times New Roman" w:hAnsi="Times New Roman" w:cs="Times New Roman"/>
                <w:sz w:val="22"/>
                <w:szCs w:val="22"/>
              </w:rPr>
            </w:pPr>
            <w:r w:rsidRPr="00317ABF">
              <w:rPr>
                <w:rFonts w:ascii="Times New Roman" w:eastAsia="Times" w:hAnsi="Times New Roman" w:cs="Times New Roman"/>
                <w:sz w:val="22"/>
                <w:szCs w:val="22"/>
              </w:rPr>
              <w:t>3. W przypadku gdy Prezes UKE wydał decyzję w sprawie rezerwacji częstotliwości umożliwiającą alternatywne wykorzystanie, dokonuje przeglądu wystąpienia przesłanek, o których mowa w ust. 1, w odniesieniu do wydanych decyzji, nie rzadziej niż co dwa lata oraz na wniosek o rezerwację częstotliwości zharmonizowanych na potrzeby systemów, dla których dokonano harmonizacji lub wniosek o pozwolenie na używanie urządzenia radiowego w systemach, dla których dokonano harmonizacji, dotyczące częstotliwości, których wykorzystanie byłoby znacząco utrudnione lub niemożliwe ze względu na alternatywne wykorzystanie.</w:t>
            </w:r>
          </w:p>
          <w:p w14:paraId="209CBB20" w14:textId="50C54477" w:rsidR="001E1112" w:rsidRPr="00317ABF" w:rsidRDefault="001E1112" w:rsidP="0034504F">
            <w:pPr>
              <w:pStyle w:val="USTustnpkodeksu"/>
              <w:spacing w:line="240" w:lineRule="auto"/>
              <w:rPr>
                <w:rFonts w:ascii="Times New Roman" w:hAnsi="Times New Roman" w:cs="Times New Roman"/>
                <w:sz w:val="22"/>
                <w:szCs w:val="22"/>
              </w:rPr>
            </w:pPr>
            <w:r w:rsidRPr="00317ABF">
              <w:rPr>
                <w:rFonts w:ascii="Times New Roman" w:eastAsia="Times" w:hAnsi="Times New Roman" w:cs="Times New Roman"/>
                <w:sz w:val="22"/>
                <w:szCs w:val="22"/>
              </w:rPr>
              <w:t>4. W decyzji dokonującej rezerwacji częstotliwości zharmonizowanych Prezes UKE cofa lub zmienia rezerwację umożliwiającą alternatywne wykorzystanie w zakresie, w jakim znacząco utrudnia lub uniemożliwia wykorzystanie tych częstotliwości na potrzeby systemów, dla których dokonano harmonizacji.</w:t>
            </w:r>
          </w:p>
          <w:p w14:paraId="0FA998C1" w14:textId="239D1F0F" w:rsidR="001E1112" w:rsidRPr="00317ABF" w:rsidRDefault="001E1112" w:rsidP="0034504F">
            <w:pPr>
              <w:pStyle w:val="USTustnpkodeksu"/>
              <w:spacing w:line="240" w:lineRule="auto"/>
              <w:rPr>
                <w:rFonts w:ascii="Times New Roman" w:hAnsi="Times New Roman" w:cs="Times New Roman"/>
                <w:sz w:val="22"/>
                <w:szCs w:val="22"/>
              </w:rPr>
            </w:pPr>
            <w:r w:rsidRPr="00317ABF">
              <w:rPr>
                <w:rFonts w:ascii="Times New Roman" w:eastAsia="Times" w:hAnsi="Times New Roman" w:cs="Times New Roman"/>
                <w:sz w:val="22"/>
                <w:szCs w:val="22"/>
              </w:rPr>
              <w:t>5. W decyzji, o której mowa w ust. 4, Prezes UKE określa termin cofnięcia decyzji umożliwiającej alternatywne wykorzystanie oraz termin dokonania rezerwacji częstotliwości na potrzeby systemów, dla których dokonano harmonizacji, nie krótszy niż trzy miesiące od wydania decyzji.</w:t>
            </w:r>
          </w:p>
          <w:p w14:paraId="7B3403DF" w14:textId="503019EA" w:rsidR="001E1112" w:rsidRPr="00317ABF" w:rsidRDefault="001E1112" w:rsidP="00DB3BEC">
            <w:pPr>
              <w:jc w:val="both"/>
              <w:rPr>
                <w:sz w:val="22"/>
                <w:szCs w:val="22"/>
              </w:rPr>
            </w:pPr>
            <w:r w:rsidRPr="00317ABF">
              <w:rPr>
                <w:rFonts w:eastAsia="Times"/>
                <w:sz w:val="22"/>
                <w:szCs w:val="22"/>
              </w:rPr>
              <w:t>6. Częstotliwości alternatywnie wykorzystywane uważa się za dostępne na potrzeby systemów, dla których dokonano harmonizacji.</w:t>
            </w:r>
          </w:p>
        </w:tc>
      </w:tr>
      <w:tr w:rsidR="001E1112" w:rsidRPr="00317ABF" w14:paraId="1A60A4C0" w14:textId="77777777" w:rsidTr="7753F98D">
        <w:trPr>
          <w:gridAfter w:val="2"/>
          <w:wAfter w:w="175" w:type="dxa"/>
        </w:trPr>
        <w:tc>
          <w:tcPr>
            <w:tcW w:w="704" w:type="dxa"/>
          </w:tcPr>
          <w:p w14:paraId="2495D6C9" w14:textId="77777777" w:rsidR="001E1112" w:rsidRPr="00317ABF" w:rsidRDefault="001E1112" w:rsidP="00DB3BEC">
            <w:pPr>
              <w:jc w:val="both"/>
              <w:rPr>
                <w:sz w:val="22"/>
                <w:szCs w:val="22"/>
              </w:rPr>
            </w:pPr>
            <w:r w:rsidRPr="00317ABF">
              <w:rPr>
                <w:sz w:val="22"/>
                <w:szCs w:val="22"/>
              </w:rPr>
              <w:lastRenderedPageBreak/>
              <w:t>Art.45 ust. 4</w:t>
            </w:r>
          </w:p>
        </w:tc>
        <w:tc>
          <w:tcPr>
            <w:tcW w:w="4308" w:type="dxa"/>
          </w:tcPr>
          <w:p w14:paraId="25EF609B" w14:textId="77777777" w:rsidR="001E1112" w:rsidRPr="00317ABF" w:rsidRDefault="001E1112" w:rsidP="00DB3BEC">
            <w:pPr>
              <w:spacing w:before="120"/>
              <w:jc w:val="both"/>
              <w:rPr>
                <w:sz w:val="22"/>
                <w:szCs w:val="22"/>
              </w:rPr>
            </w:pPr>
            <w:r w:rsidRPr="00317ABF">
              <w:rPr>
                <w:sz w:val="22"/>
                <w:szCs w:val="22"/>
              </w:rPr>
              <w:t>4.   Bez uszczerbku dla akapitu drugiego, państwa członkowskie zapewniają, aby wszystkie rodzaje technologii wykorzystywane do dostarczania sieci łączności elektronicznej lub świadczenia usług łączności elektronicznej mogły być stosowane w wykorzystaniu widma radiowego, uznanego w krajowym planie przeznaczenia częstotliwości za dostępne dla usług łączności elektronicznej zgodnie z prawem Unii.</w:t>
            </w:r>
          </w:p>
          <w:p w14:paraId="0740E5A7" w14:textId="77777777" w:rsidR="001E1112" w:rsidRPr="00317ABF" w:rsidRDefault="001E1112" w:rsidP="00DB3BEC">
            <w:pPr>
              <w:spacing w:before="120"/>
              <w:jc w:val="both"/>
              <w:rPr>
                <w:sz w:val="22"/>
                <w:szCs w:val="22"/>
              </w:rPr>
            </w:pPr>
            <w:r w:rsidRPr="00317ABF">
              <w:rPr>
                <w:sz w:val="22"/>
                <w:szCs w:val="22"/>
              </w:rPr>
              <w:t>Państwa członkowskie mogą jednak ustanowić proporcjonalne i niedyskryminacyjne ograniczenia określonych rodzajów użytkowanych sieci radiowych lub technologii dostępu bezprzewodowego wykorzystywanych w usługach łączności elektronicznej, w przypadku gdy jest to uzasadnione koniecznością:</w:t>
            </w:r>
          </w:p>
          <w:tbl>
            <w:tblPr>
              <w:tblW w:w="5000" w:type="pct"/>
              <w:tblCellSpacing w:w="0" w:type="dxa"/>
              <w:tblLayout w:type="fixed"/>
              <w:tblCellMar>
                <w:left w:w="0" w:type="dxa"/>
                <w:right w:w="0" w:type="dxa"/>
              </w:tblCellMar>
              <w:tblLook w:val="04A0" w:firstRow="1" w:lastRow="0" w:firstColumn="1" w:lastColumn="0" w:noHBand="0" w:noVBand="1"/>
            </w:tblPr>
            <w:tblGrid>
              <w:gridCol w:w="20"/>
              <w:gridCol w:w="4148"/>
            </w:tblGrid>
            <w:tr w:rsidR="001E1112" w:rsidRPr="00317ABF" w14:paraId="6B89FD80" w14:textId="77777777" w:rsidTr="00A462BE">
              <w:trPr>
                <w:tblCellSpacing w:w="0" w:type="dxa"/>
              </w:trPr>
              <w:tc>
                <w:tcPr>
                  <w:tcW w:w="17" w:type="dxa"/>
                  <w:hideMark/>
                </w:tcPr>
                <w:p w14:paraId="2DB483DF" w14:textId="77777777" w:rsidR="001E1112" w:rsidRPr="00317ABF" w:rsidRDefault="001E1112" w:rsidP="00EE0AC3">
                  <w:pPr>
                    <w:framePr w:hSpace="141" w:wrap="around" w:vAnchor="text" w:hAnchor="text" w:xAlign="right" w:y="1"/>
                    <w:spacing w:before="120"/>
                    <w:suppressOverlap/>
                    <w:jc w:val="both"/>
                    <w:rPr>
                      <w:sz w:val="22"/>
                      <w:szCs w:val="22"/>
                    </w:rPr>
                  </w:pPr>
                </w:p>
              </w:tc>
              <w:tc>
                <w:tcPr>
                  <w:tcW w:w="9055" w:type="dxa"/>
                  <w:hideMark/>
                </w:tcPr>
                <w:p w14:paraId="469A8F9F" w14:textId="77777777" w:rsidR="001E1112" w:rsidRPr="00317ABF" w:rsidRDefault="001E1112" w:rsidP="00EE0AC3">
                  <w:pPr>
                    <w:framePr w:hSpace="141" w:wrap="around" w:vAnchor="text" w:hAnchor="text" w:xAlign="right" w:y="1"/>
                    <w:numPr>
                      <w:ilvl w:val="0"/>
                      <w:numId w:val="32"/>
                    </w:numPr>
                    <w:spacing w:before="120"/>
                    <w:suppressOverlap/>
                    <w:jc w:val="both"/>
                    <w:rPr>
                      <w:sz w:val="22"/>
                      <w:szCs w:val="22"/>
                    </w:rPr>
                  </w:pPr>
                  <w:r w:rsidRPr="00317ABF">
                    <w:rPr>
                      <w:sz w:val="22"/>
                      <w:szCs w:val="22"/>
                    </w:rPr>
                    <w:t>uniknięcia szkodliwych zakłóceń;</w:t>
                  </w:r>
                </w:p>
              </w:tc>
            </w:tr>
          </w:tbl>
          <w:p w14:paraId="0994303C" w14:textId="77777777" w:rsidR="001E1112" w:rsidRPr="00317ABF" w:rsidRDefault="001E1112" w:rsidP="00DB3BEC">
            <w:pPr>
              <w:jc w:val="both"/>
              <w:rPr>
                <w:vanish/>
                <w:sz w:val="22"/>
                <w:szCs w:val="22"/>
              </w:rPr>
            </w:pPr>
          </w:p>
          <w:tbl>
            <w:tblPr>
              <w:tblW w:w="5000" w:type="pct"/>
              <w:tblCellSpacing w:w="0" w:type="dxa"/>
              <w:tblLayout w:type="fixed"/>
              <w:tblCellMar>
                <w:left w:w="0" w:type="dxa"/>
                <w:right w:w="0" w:type="dxa"/>
              </w:tblCellMar>
              <w:tblLook w:val="04A0" w:firstRow="1" w:lastRow="0" w:firstColumn="1" w:lastColumn="0" w:noHBand="0" w:noVBand="1"/>
            </w:tblPr>
            <w:tblGrid>
              <w:gridCol w:w="20"/>
              <w:gridCol w:w="4148"/>
            </w:tblGrid>
            <w:tr w:rsidR="001E1112" w:rsidRPr="00317ABF" w14:paraId="179D79CA" w14:textId="77777777" w:rsidTr="00A462BE">
              <w:trPr>
                <w:tblCellSpacing w:w="0" w:type="dxa"/>
              </w:trPr>
              <w:tc>
                <w:tcPr>
                  <w:tcW w:w="6" w:type="dxa"/>
                  <w:hideMark/>
                </w:tcPr>
                <w:p w14:paraId="0613CC25" w14:textId="77777777" w:rsidR="001E1112" w:rsidRPr="00317ABF" w:rsidRDefault="001E1112" w:rsidP="00EE0AC3">
                  <w:pPr>
                    <w:framePr w:hSpace="141" w:wrap="around" w:vAnchor="text" w:hAnchor="text" w:xAlign="right" w:y="1"/>
                    <w:spacing w:before="120"/>
                    <w:suppressOverlap/>
                    <w:jc w:val="both"/>
                    <w:rPr>
                      <w:sz w:val="22"/>
                      <w:szCs w:val="22"/>
                    </w:rPr>
                  </w:pPr>
                </w:p>
              </w:tc>
              <w:tc>
                <w:tcPr>
                  <w:tcW w:w="9066" w:type="dxa"/>
                  <w:hideMark/>
                </w:tcPr>
                <w:p w14:paraId="7F41F502" w14:textId="77777777" w:rsidR="001E1112" w:rsidRPr="00317ABF" w:rsidRDefault="001E1112" w:rsidP="00EE0AC3">
                  <w:pPr>
                    <w:framePr w:hSpace="141" w:wrap="around" w:vAnchor="text" w:hAnchor="text" w:xAlign="right" w:y="1"/>
                    <w:numPr>
                      <w:ilvl w:val="0"/>
                      <w:numId w:val="32"/>
                    </w:numPr>
                    <w:spacing w:before="120"/>
                    <w:suppressOverlap/>
                    <w:jc w:val="both"/>
                    <w:rPr>
                      <w:sz w:val="22"/>
                      <w:szCs w:val="22"/>
                    </w:rPr>
                  </w:pPr>
                  <w:r w:rsidRPr="00317ABF">
                    <w:rPr>
                      <w:sz w:val="22"/>
                      <w:szCs w:val="22"/>
                    </w:rPr>
                    <w:t>ochrony zdrowia publicznego przed oddziaływaniem pól elektromagnetycznych, uwzględniając w jak największym stopniu zalecenie 1999/519/WE;</w:t>
                  </w:r>
                </w:p>
              </w:tc>
            </w:tr>
          </w:tbl>
          <w:p w14:paraId="7836CA9C" w14:textId="77777777" w:rsidR="001E1112" w:rsidRPr="00317ABF" w:rsidRDefault="001E1112" w:rsidP="00DB3BEC">
            <w:pPr>
              <w:jc w:val="both"/>
              <w:rPr>
                <w:vanish/>
                <w:sz w:val="22"/>
                <w:szCs w:val="22"/>
              </w:rPr>
            </w:pPr>
          </w:p>
          <w:tbl>
            <w:tblPr>
              <w:tblW w:w="5000" w:type="pct"/>
              <w:tblCellSpacing w:w="0" w:type="dxa"/>
              <w:tblLayout w:type="fixed"/>
              <w:tblCellMar>
                <w:left w:w="0" w:type="dxa"/>
                <w:right w:w="0" w:type="dxa"/>
              </w:tblCellMar>
              <w:tblLook w:val="04A0" w:firstRow="1" w:lastRow="0" w:firstColumn="1" w:lastColumn="0" w:noHBand="0" w:noVBand="1"/>
            </w:tblPr>
            <w:tblGrid>
              <w:gridCol w:w="20"/>
              <w:gridCol w:w="4148"/>
            </w:tblGrid>
            <w:tr w:rsidR="001E1112" w:rsidRPr="00317ABF" w14:paraId="4EFACEC1" w14:textId="77777777" w:rsidTr="00A462BE">
              <w:trPr>
                <w:tblCellSpacing w:w="0" w:type="dxa"/>
              </w:trPr>
              <w:tc>
                <w:tcPr>
                  <w:tcW w:w="14" w:type="dxa"/>
                  <w:hideMark/>
                </w:tcPr>
                <w:p w14:paraId="140836A0" w14:textId="77777777" w:rsidR="001E1112" w:rsidRPr="00317ABF" w:rsidRDefault="001E1112" w:rsidP="00EE0AC3">
                  <w:pPr>
                    <w:framePr w:hSpace="141" w:wrap="around" w:vAnchor="text" w:hAnchor="text" w:xAlign="right" w:y="1"/>
                    <w:spacing w:before="120"/>
                    <w:suppressOverlap/>
                    <w:jc w:val="both"/>
                    <w:rPr>
                      <w:sz w:val="22"/>
                      <w:szCs w:val="22"/>
                    </w:rPr>
                  </w:pPr>
                </w:p>
              </w:tc>
              <w:tc>
                <w:tcPr>
                  <w:tcW w:w="9058" w:type="dxa"/>
                  <w:hideMark/>
                </w:tcPr>
                <w:p w14:paraId="07C20C5C" w14:textId="77777777" w:rsidR="001E1112" w:rsidRPr="00317ABF" w:rsidRDefault="001E1112" w:rsidP="00EE0AC3">
                  <w:pPr>
                    <w:framePr w:hSpace="141" w:wrap="around" w:vAnchor="text" w:hAnchor="text" w:xAlign="right" w:y="1"/>
                    <w:numPr>
                      <w:ilvl w:val="0"/>
                      <w:numId w:val="32"/>
                    </w:numPr>
                    <w:spacing w:before="120"/>
                    <w:suppressOverlap/>
                    <w:jc w:val="both"/>
                    <w:rPr>
                      <w:sz w:val="22"/>
                      <w:szCs w:val="22"/>
                    </w:rPr>
                  </w:pPr>
                  <w:r w:rsidRPr="00317ABF">
                    <w:rPr>
                      <w:sz w:val="22"/>
                      <w:szCs w:val="22"/>
                    </w:rPr>
                    <w:t>zapewnienia jakości technicznej usługi;</w:t>
                  </w:r>
                </w:p>
              </w:tc>
            </w:tr>
          </w:tbl>
          <w:p w14:paraId="14A57484" w14:textId="77777777" w:rsidR="001E1112" w:rsidRPr="00317ABF" w:rsidRDefault="001E1112" w:rsidP="00DB3BEC">
            <w:pPr>
              <w:jc w:val="both"/>
              <w:rPr>
                <w:vanish/>
                <w:sz w:val="22"/>
                <w:szCs w:val="22"/>
              </w:rPr>
            </w:pPr>
          </w:p>
          <w:tbl>
            <w:tblPr>
              <w:tblW w:w="5000" w:type="pct"/>
              <w:tblCellSpacing w:w="0" w:type="dxa"/>
              <w:tblLayout w:type="fixed"/>
              <w:tblCellMar>
                <w:left w:w="0" w:type="dxa"/>
                <w:right w:w="0" w:type="dxa"/>
              </w:tblCellMar>
              <w:tblLook w:val="04A0" w:firstRow="1" w:lastRow="0" w:firstColumn="1" w:lastColumn="0" w:noHBand="0" w:noVBand="1"/>
            </w:tblPr>
            <w:tblGrid>
              <w:gridCol w:w="20"/>
              <w:gridCol w:w="4148"/>
            </w:tblGrid>
            <w:tr w:rsidR="001E1112" w:rsidRPr="00317ABF" w14:paraId="5B27B774" w14:textId="77777777" w:rsidTr="00A462BE">
              <w:trPr>
                <w:tblCellSpacing w:w="0" w:type="dxa"/>
              </w:trPr>
              <w:tc>
                <w:tcPr>
                  <w:tcW w:w="8" w:type="dxa"/>
                  <w:hideMark/>
                </w:tcPr>
                <w:p w14:paraId="42E3FBC2" w14:textId="77777777" w:rsidR="001E1112" w:rsidRPr="00317ABF" w:rsidRDefault="001E1112" w:rsidP="00EE0AC3">
                  <w:pPr>
                    <w:framePr w:hSpace="141" w:wrap="around" w:vAnchor="text" w:hAnchor="text" w:xAlign="right" w:y="1"/>
                    <w:spacing w:before="120"/>
                    <w:suppressOverlap/>
                    <w:jc w:val="both"/>
                    <w:rPr>
                      <w:sz w:val="22"/>
                      <w:szCs w:val="22"/>
                    </w:rPr>
                  </w:pPr>
                </w:p>
              </w:tc>
              <w:tc>
                <w:tcPr>
                  <w:tcW w:w="9064" w:type="dxa"/>
                  <w:hideMark/>
                </w:tcPr>
                <w:p w14:paraId="5041FD42" w14:textId="77777777" w:rsidR="001E1112" w:rsidRPr="00317ABF" w:rsidRDefault="001E1112" w:rsidP="00EE0AC3">
                  <w:pPr>
                    <w:framePr w:hSpace="141" w:wrap="around" w:vAnchor="text" w:hAnchor="text" w:xAlign="right" w:y="1"/>
                    <w:numPr>
                      <w:ilvl w:val="0"/>
                      <w:numId w:val="32"/>
                    </w:numPr>
                    <w:spacing w:before="120"/>
                    <w:suppressOverlap/>
                    <w:jc w:val="both"/>
                    <w:rPr>
                      <w:sz w:val="22"/>
                      <w:szCs w:val="22"/>
                    </w:rPr>
                  </w:pPr>
                  <w:r w:rsidRPr="00317ABF">
                    <w:rPr>
                      <w:sz w:val="22"/>
                      <w:szCs w:val="22"/>
                    </w:rPr>
                    <w:t>zapewnienia jak najszerszego współużytkowania widma radiowego;</w:t>
                  </w:r>
                </w:p>
              </w:tc>
            </w:tr>
          </w:tbl>
          <w:p w14:paraId="18113A09" w14:textId="77777777" w:rsidR="001E1112" w:rsidRPr="00317ABF" w:rsidRDefault="001E1112" w:rsidP="00DB3BEC">
            <w:pPr>
              <w:jc w:val="both"/>
              <w:rPr>
                <w:vanish/>
                <w:sz w:val="22"/>
                <w:szCs w:val="22"/>
              </w:rPr>
            </w:pPr>
          </w:p>
          <w:tbl>
            <w:tblPr>
              <w:tblW w:w="5000" w:type="pct"/>
              <w:tblCellSpacing w:w="0" w:type="dxa"/>
              <w:tblLayout w:type="fixed"/>
              <w:tblCellMar>
                <w:left w:w="0" w:type="dxa"/>
                <w:right w:w="0" w:type="dxa"/>
              </w:tblCellMar>
              <w:tblLook w:val="04A0" w:firstRow="1" w:lastRow="0" w:firstColumn="1" w:lastColumn="0" w:noHBand="0" w:noVBand="1"/>
            </w:tblPr>
            <w:tblGrid>
              <w:gridCol w:w="20"/>
              <w:gridCol w:w="4148"/>
            </w:tblGrid>
            <w:tr w:rsidR="001E1112" w:rsidRPr="00317ABF" w14:paraId="5E9BED16" w14:textId="77777777" w:rsidTr="00A462BE">
              <w:trPr>
                <w:tblCellSpacing w:w="0" w:type="dxa"/>
              </w:trPr>
              <w:tc>
                <w:tcPr>
                  <w:tcW w:w="8" w:type="dxa"/>
                  <w:hideMark/>
                </w:tcPr>
                <w:p w14:paraId="18AF15B3" w14:textId="77777777" w:rsidR="001E1112" w:rsidRPr="00317ABF" w:rsidRDefault="001E1112" w:rsidP="00EE0AC3">
                  <w:pPr>
                    <w:framePr w:hSpace="141" w:wrap="around" w:vAnchor="text" w:hAnchor="text" w:xAlign="right" w:y="1"/>
                    <w:spacing w:before="120"/>
                    <w:suppressOverlap/>
                    <w:jc w:val="both"/>
                    <w:rPr>
                      <w:sz w:val="22"/>
                      <w:szCs w:val="22"/>
                    </w:rPr>
                  </w:pPr>
                </w:p>
              </w:tc>
              <w:tc>
                <w:tcPr>
                  <w:tcW w:w="9064" w:type="dxa"/>
                  <w:hideMark/>
                </w:tcPr>
                <w:p w14:paraId="3F7D2B8C" w14:textId="77777777" w:rsidR="001E1112" w:rsidRPr="00317ABF" w:rsidRDefault="001E1112" w:rsidP="00EE0AC3">
                  <w:pPr>
                    <w:framePr w:hSpace="141" w:wrap="around" w:vAnchor="text" w:hAnchor="text" w:xAlign="right" w:y="1"/>
                    <w:numPr>
                      <w:ilvl w:val="0"/>
                      <w:numId w:val="32"/>
                    </w:numPr>
                    <w:spacing w:before="120"/>
                    <w:suppressOverlap/>
                    <w:jc w:val="both"/>
                    <w:rPr>
                      <w:sz w:val="22"/>
                      <w:szCs w:val="22"/>
                    </w:rPr>
                  </w:pPr>
                  <w:r w:rsidRPr="00317ABF">
                    <w:rPr>
                      <w:sz w:val="22"/>
                      <w:szCs w:val="22"/>
                    </w:rPr>
                    <w:t>zagwarantowania efektywnego wykorzystania widma radiowego; lub</w:t>
                  </w:r>
                </w:p>
              </w:tc>
            </w:tr>
          </w:tbl>
          <w:p w14:paraId="44EC7652" w14:textId="77777777" w:rsidR="001E1112" w:rsidRPr="00317ABF" w:rsidRDefault="001E1112" w:rsidP="00DB3BEC">
            <w:pPr>
              <w:jc w:val="both"/>
              <w:rPr>
                <w:vanish/>
                <w:sz w:val="22"/>
                <w:szCs w:val="22"/>
              </w:rPr>
            </w:pPr>
          </w:p>
          <w:tbl>
            <w:tblPr>
              <w:tblW w:w="5000" w:type="pct"/>
              <w:tblCellSpacing w:w="0" w:type="dxa"/>
              <w:tblLayout w:type="fixed"/>
              <w:tblCellMar>
                <w:left w:w="0" w:type="dxa"/>
                <w:right w:w="0" w:type="dxa"/>
              </w:tblCellMar>
              <w:tblLook w:val="04A0" w:firstRow="1" w:lastRow="0" w:firstColumn="1" w:lastColumn="0" w:noHBand="0" w:noVBand="1"/>
            </w:tblPr>
            <w:tblGrid>
              <w:gridCol w:w="20"/>
              <w:gridCol w:w="4148"/>
            </w:tblGrid>
            <w:tr w:rsidR="001E1112" w:rsidRPr="00317ABF" w14:paraId="48B5C7A5" w14:textId="77777777" w:rsidTr="00A462BE">
              <w:trPr>
                <w:tblCellSpacing w:w="0" w:type="dxa"/>
              </w:trPr>
              <w:tc>
                <w:tcPr>
                  <w:tcW w:w="8" w:type="dxa"/>
                  <w:hideMark/>
                </w:tcPr>
                <w:p w14:paraId="3ADFD508" w14:textId="77777777" w:rsidR="001E1112" w:rsidRPr="00317ABF" w:rsidRDefault="001E1112" w:rsidP="00EE0AC3">
                  <w:pPr>
                    <w:framePr w:hSpace="141" w:wrap="around" w:vAnchor="text" w:hAnchor="text" w:xAlign="right" w:y="1"/>
                    <w:spacing w:before="120"/>
                    <w:suppressOverlap/>
                    <w:jc w:val="both"/>
                    <w:rPr>
                      <w:sz w:val="22"/>
                      <w:szCs w:val="22"/>
                    </w:rPr>
                  </w:pPr>
                </w:p>
              </w:tc>
              <w:tc>
                <w:tcPr>
                  <w:tcW w:w="9064" w:type="dxa"/>
                  <w:hideMark/>
                </w:tcPr>
                <w:p w14:paraId="1500AAA1" w14:textId="77777777" w:rsidR="001E1112" w:rsidRPr="00317ABF" w:rsidRDefault="001E1112" w:rsidP="00EE0AC3">
                  <w:pPr>
                    <w:framePr w:hSpace="141" w:wrap="around" w:vAnchor="text" w:hAnchor="text" w:xAlign="right" w:y="1"/>
                    <w:numPr>
                      <w:ilvl w:val="0"/>
                      <w:numId w:val="32"/>
                    </w:numPr>
                    <w:spacing w:before="120"/>
                    <w:suppressOverlap/>
                    <w:jc w:val="both"/>
                    <w:rPr>
                      <w:sz w:val="22"/>
                      <w:szCs w:val="22"/>
                    </w:rPr>
                  </w:pPr>
                  <w:r w:rsidRPr="00317ABF">
                    <w:rPr>
                      <w:sz w:val="22"/>
                      <w:szCs w:val="22"/>
                    </w:rPr>
                    <w:t>zapewnienia realizacji celu leżącego w interesie ogólnym zgodnie z ust. 5.</w:t>
                  </w:r>
                </w:p>
              </w:tc>
            </w:tr>
          </w:tbl>
          <w:p w14:paraId="1935F1DB" w14:textId="77777777" w:rsidR="001E1112" w:rsidRPr="00317ABF" w:rsidRDefault="001E1112" w:rsidP="00DB3BEC">
            <w:pPr>
              <w:spacing w:before="120"/>
              <w:jc w:val="both"/>
              <w:rPr>
                <w:sz w:val="22"/>
                <w:szCs w:val="22"/>
              </w:rPr>
            </w:pPr>
          </w:p>
        </w:tc>
        <w:tc>
          <w:tcPr>
            <w:tcW w:w="986" w:type="dxa"/>
          </w:tcPr>
          <w:p w14:paraId="63F7BA64" w14:textId="35DC2BD7" w:rsidR="001E1112" w:rsidRPr="00317ABF" w:rsidRDefault="001E1112" w:rsidP="00DB3BEC">
            <w:pPr>
              <w:jc w:val="both"/>
              <w:rPr>
                <w:sz w:val="22"/>
                <w:szCs w:val="22"/>
              </w:rPr>
            </w:pPr>
            <w:r w:rsidRPr="00317ABF">
              <w:rPr>
                <w:sz w:val="22"/>
                <w:szCs w:val="22"/>
              </w:rPr>
              <w:lastRenderedPageBreak/>
              <w:t>T/N</w:t>
            </w:r>
          </w:p>
        </w:tc>
        <w:tc>
          <w:tcPr>
            <w:tcW w:w="910" w:type="dxa"/>
          </w:tcPr>
          <w:p w14:paraId="6F06EEB0" w14:textId="6DA2AC3C" w:rsidR="001E1112" w:rsidRPr="00317ABF" w:rsidRDefault="001E1112" w:rsidP="00DB3BEC">
            <w:pPr>
              <w:pStyle w:val="Tekstpodstawowy"/>
              <w:rPr>
                <w:b/>
                <w:sz w:val="22"/>
                <w:szCs w:val="22"/>
                <w:lang w:val="en-US"/>
              </w:rPr>
            </w:pPr>
            <w:r w:rsidRPr="00317ABF">
              <w:rPr>
                <w:b/>
                <w:sz w:val="22"/>
                <w:szCs w:val="22"/>
                <w:lang w:val="en-US"/>
              </w:rPr>
              <w:t xml:space="preserve">Art. </w:t>
            </w:r>
            <w:r w:rsidR="00820363" w:rsidRPr="00317ABF">
              <w:rPr>
                <w:b/>
                <w:sz w:val="22"/>
                <w:szCs w:val="22"/>
                <w:lang w:val="en-US"/>
              </w:rPr>
              <w:t>407</w:t>
            </w:r>
            <w:r w:rsidRPr="00317ABF">
              <w:rPr>
                <w:b/>
                <w:sz w:val="22"/>
                <w:szCs w:val="22"/>
                <w:lang w:val="en-US"/>
              </w:rPr>
              <w:t xml:space="preserve"> ust. 2 pkt 3 lit. F</w:t>
            </w:r>
          </w:p>
          <w:p w14:paraId="11AD48F1" w14:textId="155C0FE1" w:rsidR="001E1112" w:rsidRPr="00317ABF" w:rsidRDefault="001E1112" w:rsidP="00DB3BEC">
            <w:pPr>
              <w:pStyle w:val="Tekstpodstawowy"/>
              <w:rPr>
                <w:b/>
                <w:sz w:val="22"/>
                <w:szCs w:val="22"/>
                <w:lang w:val="en-US"/>
              </w:rPr>
            </w:pPr>
            <w:r w:rsidRPr="00317ABF">
              <w:rPr>
                <w:b/>
                <w:sz w:val="22"/>
                <w:szCs w:val="22"/>
                <w:lang w:val="en-US"/>
              </w:rPr>
              <w:t xml:space="preserve">Art. </w:t>
            </w:r>
            <w:r w:rsidR="00820363" w:rsidRPr="00317ABF">
              <w:rPr>
                <w:b/>
                <w:sz w:val="22"/>
                <w:szCs w:val="22"/>
                <w:lang w:val="en-US"/>
              </w:rPr>
              <w:t>88</w:t>
            </w:r>
          </w:p>
        </w:tc>
        <w:tc>
          <w:tcPr>
            <w:tcW w:w="6814" w:type="dxa"/>
            <w:gridSpan w:val="2"/>
          </w:tcPr>
          <w:p w14:paraId="047C708C" w14:textId="63BAC14D" w:rsidR="001E1112" w:rsidRPr="00317ABF" w:rsidRDefault="001E1112" w:rsidP="00DB3BEC">
            <w:pPr>
              <w:ind w:left="476" w:hanging="476"/>
              <w:jc w:val="both"/>
              <w:rPr>
                <w:sz w:val="22"/>
                <w:szCs w:val="22"/>
              </w:rPr>
            </w:pPr>
            <w:r w:rsidRPr="00317ABF">
              <w:rPr>
                <w:rFonts w:eastAsia="Times"/>
                <w:sz w:val="22"/>
                <w:szCs w:val="22"/>
              </w:rPr>
              <w:t>f)     kierowanie się zasadą neutralności technologicznej przy gospodarowaniu częstotliwościami;</w:t>
            </w:r>
          </w:p>
          <w:p w14:paraId="57D0854D" w14:textId="45A4F161" w:rsidR="001E1112" w:rsidRPr="00317ABF" w:rsidRDefault="001E1112" w:rsidP="00DB3BEC">
            <w:pPr>
              <w:ind w:left="476" w:hanging="476"/>
              <w:jc w:val="both"/>
              <w:rPr>
                <w:rFonts w:eastAsia="Times"/>
                <w:sz w:val="22"/>
                <w:szCs w:val="22"/>
              </w:rPr>
            </w:pPr>
          </w:p>
          <w:p w14:paraId="0B858014" w14:textId="77777777" w:rsidR="00820363" w:rsidRPr="00317ABF" w:rsidRDefault="00820363" w:rsidP="00D746B7">
            <w:pPr>
              <w:pStyle w:val="ARTartustawynprozporzdzenia"/>
              <w:keepNext/>
              <w:spacing w:before="0" w:line="240" w:lineRule="auto"/>
              <w:ind w:firstLine="0"/>
              <w:rPr>
                <w:rFonts w:ascii="Times New Roman" w:hAnsi="Times New Roman" w:cs="Times New Roman"/>
                <w:sz w:val="22"/>
                <w:szCs w:val="22"/>
              </w:rPr>
            </w:pPr>
            <w:r w:rsidRPr="00317ABF">
              <w:rPr>
                <w:rStyle w:val="Ppogrubienie"/>
                <w:rFonts w:ascii="Times New Roman" w:hAnsi="Times New Roman"/>
                <w:sz w:val="22"/>
                <w:szCs w:val="22"/>
              </w:rPr>
              <w:t>Art. 88.</w:t>
            </w:r>
            <w:r w:rsidRPr="00317ABF">
              <w:rPr>
                <w:rFonts w:ascii="Times New Roman" w:hAnsi="Times New Roman" w:cs="Times New Roman"/>
                <w:sz w:val="22"/>
                <w:szCs w:val="22"/>
              </w:rPr>
              <w:t xml:space="preserve"> 1. Prezes UKE może określić w rezerwacji częstotliwości ograniczenie, o którym mowa w art. 87 ust. 3 pkt 4 lit. a, w przypadku gdy wprowadzenie takiego ograniczenia jest uzasadnione koniecznością:</w:t>
            </w:r>
          </w:p>
          <w:p w14:paraId="1B8F2748" w14:textId="77777777" w:rsidR="00820363" w:rsidRPr="00317ABF" w:rsidRDefault="00820363" w:rsidP="00D746B7">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1)</w:t>
            </w:r>
            <w:r w:rsidRPr="00317ABF">
              <w:rPr>
                <w:rFonts w:ascii="Times New Roman" w:hAnsi="Times New Roman" w:cs="Times New Roman"/>
                <w:sz w:val="22"/>
                <w:szCs w:val="22"/>
              </w:rPr>
              <w:tab/>
              <w:t>uniknięcia szkodliwych zaburzeń elektromagnetycznych lub szkodliwych zakłóceń;</w:t>
            </w:r>
          </w:p>
          <w:p w14:paraId="5DE2A87B" w14:textId="77777777" w:rsidR="00820363" w:rsidRPr="00317ABF" w:rsidRDefault="00820363" w:rsidP="00D746B7">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2)</w:t>
            </w:r>
            <w:r w:rsidRPr="00317ABF">
              <w:rPr>
                <w:rFonts w:ascii="Times New Roman" w:hAnsi="Times New Roman" w:cs="Times New Roman"/>
                <w:sz w:val="22"/>
                <w:szCs w:val="22"/>
              </w:rPr>
              <w:tab/>
              <w:t>ochrony ludności przed oddziaływaniem pól elektromagnetycznych;</w:t>
            </w:r>
          </w:p>
          <w:p w14:paraId="5B6660C8" w14:textId="77777777" w:rsidR="00820363" w:rsidRPr="00317ABF" w:rsidRDefault="00820363" w:rsidP="00D746B7">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3)</w:t>
            </w:r>
            <w:r w:rsidRPr="00317ABF">
              <w:rPr>
                <w:rFonts w:ascii="Times New Roman" w:hAnsi="Times New Roman" w:cs="Times New Roman"/>
                <w:sz w:val="22"/>
                <w:szCs w:val="22"/>
              </w:rPr>
              <w:tab/>
              <w:t>zapewnienia odpowiedniej jakości technicznej usługi;</w:t>
            </w:r>
          </w:p>
          <w:p w14:paraId="019BBA4B" w14:textId="77777777" w:rsidR="00820363" w:rsidRPr="00317ABF" w:rsidRDefault="00820363" w:rsidP="00D746B7">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4)</w:t>
            </w:r>
            <w:r w:rsidRPr="00317ABF">
              <w:rPr>
                <w:rFonts w:ascii="Times New Roman" w:hAnsi="Times New Roman" w:cs="Times New Roman"/>
                <w:sz w:val="22"/>
                <w:szCs w:val="22"/>
              </w:rPr>
              <w:tab/>
              <w:t>zapewnienia jak najszerszego współużytkowania częstotliwości;</w:t>
            </w:r>
          </w:p>
          <w:p w14:paraId="4E46765C" w14:textId="77777777" w:rsidR="00820363" w:rsidRPr="00317ABF" w:rsidRDefault="00820363" w:rsidP="00D746B7">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5)</w:t>
            </w:r>
            <w:r w:rsidRPr="00317ABF">
              <w:rPr>
                <w:rFonts w:ascii="Times New Roman" w:hAnsi="Times New Roman" w:cs="Times New Roman"/>
                <w:sz w:val="22"/>
                <w:szCs w:val="22"/>
              </w:rPr>
              <w:tab/>
              <w:t>zagwarantowania efektywnego wykorzystania częstotliwości;</w:t>
            </w:r>
          </w:p>
          <w:p w14:paraId="00377A39" w14:textId="77777777" w:rsidR="00820363" w:rsidRPr="00317ABF" w:rsidRDefault="00820363" w:rsidP="00D746B7">
            <w:pPr>
              <w:pStyle w:val="PKTpunkt0"/>
              <w:keepNext/>
              <w:spacing w:line="240" w:lineRule="auto"/>
              <w:rPr>
                <w:rFonts w:ascii="Times New Roman" w:hAnsi="Times New Roman" w:cs="Times New Roman"/>
                <w:sz w:val="22"/>
                <w:szCs w:val="22"/>
              </w:rPr>
            </w:pPr>
            <w:r w:rsidRPr="00317ABF">
              <w:rPr>
                <w:rFonts w:ascii="Times New Roman" w:hAnsi="Times New Roman" w:cs="Times New Roman"/>
                <w:sz w:val="22"/>
                <w:szCs w:val="22"/>
              </w:rPr>
              <w:t>6)</w:t>
            </w:r>
            <w:r w:rsidRPr="00317ABF">
              <w:rPr>
                <w:rFonts w:ascii="Times New Roman" w:hAnsi="Times New Roman" w:cs="Times New Roman"/>
                <w:sz w:val="22"/>
                <w:szCs w:val="22"/>
              </w:rPr>
              <w:tab/>
              <w:t>zapewnienia realizacji celu leżącego w interesie publicznym, w szczególności takiego jak:</w:t>
            </w:r>
          </w:p>
          <w:p w14:paraId="6B5890A1" w14:textId="77777777" w:rsidR="00820363" w:rsidRPr="00317ABF" w:rsidRDefault="00820363" w:rsidP="00D746B7">
            <w:pPr>
              <w:pStyle w:val="LITlitera"/>
              <w:spacing w:line="240" w:lineRule="auto"/>
              <w:rPr>
                <w:rFonts w:ascii="Times New Roman" w:hAnsi="Times New Roman" w:cs="Times New Roman"/>
                <w:sz w:val="22"/>
                <w:szCs w:val="22"/>
              </w:rPr>
            </w:pPr>
            <w:r w:rsidRPr="00317ABF">
              <w:rPr>
                <w:rFonts w:ascii="Times New Roman" w:hAnsi="Times New Roman" w:cs="Times New Roman"/>
                <w:sz w:val="22"/>
                <w:szCs w:val="22"/>
              </w:rPr>
              <w:t>a)</w:t>
            </w:r>
            <w:r w:rsidRPr="00317ABF">
              <w:rPr>
                <w:rFonts w:ascii="Times New Roman" w:hAnsi="Times New Roman" w:cs="Times New Roman"/>
                <w:sz w:val="22"/>
                <w:szCs w:val="22"/>
              </w:rPr>
              <w:tab/>
              <w:t>ochrona życia i zdrowia ludzi,</w:t>
            </w:r>
          </w:p>
          <w:p w14:paraId="3FB16BF9" w14:textId="77777777" w:rsidR="00820363" w:rsidRPr="00317ABF" w:rsidRDefault="00820363" w:rsidP="00D746B7">
            <w:pPr>
              <w:pStyle w:val="LITlitera"/>
              <w:spacing w:line="240" w:lineRule="auto"/>
              <w:rPr>
                <w:rFonts w:ascii="Times New Roman" w:hAnsi="Times New Roman" w:cs="Times New Roman"/>
                <w:sz w:val="22"/>
                <w:szCs w:val="22"/>
              </w:rPr>
            </w:pPr>
            <w:r w:rsidRPr="00317ABF">
              <w:rPr>
                <w:rFonts w:ascii="Times New Roman" w:hAnsi="Times New Roman" w:cs="Times New Roman"/>
                <w:sz w:val="22"/>
                <w:szCs w:val="22"/>
              </w:rPr>
              <w:t>b)</w:t>
            </w:r>
            <w:r w:rsidRPr="00317ABF">
              <w:rPr>
                <w:rFonts w:ascii="Times New Roman" w:hAnsi="Times New Roman" w:cs="Times New Roman"/>
                <w:sz w:val="22"/>
                <w:szCs w:val="22"/>
              </w:rPr>
              <w:tab/>
              <w:t>wspieranie spójności społecznej, regionalnej lub terytorialnej,</w:t>
            </w:r>
          </w:p>
          <w:p w14:paraId="1487FE82" w14:textId="77777777" w:rsidR="00820363" w:rsidRPr="00317ABF" w:rsidRDefault="00820363" w:rsidP="00D746B7">
            <w:pPr>
              <w:pStyle w:val="LITlitera"/>
              <w:spacing w:line="240" w:lineRule="auto"/>
              <w:rPr>
                <w:rFonts w:ascii="Times New Roman" w:hAnsi="Times New Roman" w:cs="Times New Roman"/>
                <w:sz w:val="22"/>
                <w:szCs w:val="22"/>
              </w:rPr>
            </w:pPr>
            <w:r w:rsidRPr="00317ABF">
              <w:rPr>
                <w:rFonts w:ascii="Times New Roman" w:hAnsi="Times New Roman" w:cs="Times New Roman"/>
                <w:sz w:val="22"/>
                <w:szCs w:val="22"/>
              </w:rPr>
              <w:t>c)</w:t>
            </w:r>
            <w:r w:rsidRPr="00317ABF">
              <w:rPr>
                <w:rFonts w:ascii="Times New Roman" w:hAnsi="Times New Roman" w:cs="Times New Roman"/>
                <w:sz w:val="22"/>
                <w:szCs w:val="22"/>
              </w:rPr>
              <w:tab/>
              <w:t>unikanie nieefektywnego wykorzystywania częstotliwości,</w:t>
            </w:r>
          </w:p>
          <w:p w14:paraId="72001F26" w14:textId="77777777" w:rsidR="001E1112" w:rsidRPr="00317ABF" w:rsidRDefault="001E1112" w:rsidP="00D746B7">
            <w:pPr>
              <w:pStyle w:val="LITlitera"/>
              <w:spacing w:line="240" w:lineRule="auto"/>
              <w:rPr>
                <w:rFonts w:ascii="Times New Roman" w:hAnsi="Times New Roman" w:cs="Times New Roman"/>
                <w:sz w:val="22"/>
                <w:szCs w:val="22"/>
              </w:rPr>
            </w:pPr>
            <w:r w:rsidRPr="00317ABF">
              <w:rPr>
                <w:rFonts w:ascii="Times New Roman" w:eastAsia="Times" w:hAnsi="Times New Roman" w:cs="Times New Roman"/>
                <w:sz w:val="22"/>
                <w:szCs w:val="22"/>
              </w:rPr>
              <w:t>d)</w:t>
            </w:r>
            <w:r w:rsidR="00820363" w:rsidRPr="00317ABF">
              <w:rPr>
                <w:rFonts w:ascii="Times New Roman" w:hAnsi="Times New Roman" w:cs="Times New Roman"/>
                <w:sz w:val="22"/>
                <w:szCs w:val="22"/>
              </w:rPr>
              <w:tab/>
            </w:r>
            <w:r w:rsidRPr="00317ABF">
              <w:rPr>
                <w:rFonts w:ascii="Times New Roman" w:eastAsia="Times" w:hAnsi="Times New Roman" w:cs="Times New Roman"/>
                <w:sz w:val="22"/>
                <w:szCs w:val="22"/>
              </w:rPr>
              <w:t>promowanie różnorodności kulturowej i językowej oraz pluralizmu mediów, w szczególności poprzez świadczenie nadawczych usług radiofonicznych i telewizyjnych.</w:t>
            </w:r>
          </w:p>
          <w:p w14:paraId="4537AFBB" w14:textId="77777777" w:rsidR="001E1112" w:rsidRPr="00317ABF" w:rsidRDefault="001E1112" w:rsidP="00D746B7">
            <w:pPr>
              <w:pStyle w:val="USTustnpkodeksu"/>
              <w:spacing w:line="240" w:lineRule="auto"/>
              <w:rPr>
                <w:rFonts w:ascii="Times New Roman" w:hAnsi="Times New Roman" w:cs="Times New Roman"/>
                <w:sz w:val="22"/>
                <w:szCs w:val="22"/>
              </w:rPr>
            </w:pPr>
            <w:r w:rsidRPr="00317ABF">
              <w:rPr>
                <w:rFonts w:ascii="Times New Roman" w:eastAsia="Times" w:hAnsi="Times New Roman" w:cs="Times New Roman"/>
                <w:sz w:val="22"/>
                <w:szCs w:val="22"/>
              </w:rPr>
              <w:t xml:space="preserve">2. Ograniczenie, o którym mowa w art. </w:t>
            </w:r>
            <w:r w:rsidR="00820363" w:rsidRPr="00317ABF">
              <w:rPr>
                <w:rFonts w:ascii="Times New Roman" w:hAnsi="Times New Roman" w:cs="Times New Roman"/>
                <w:sz w:val="22"/>
                <w:szCs w:val="22"/>
              </w:rPr>
              <w:t>87</w:t>
            </w:r>
            <w:r w:rsidRPr="00317ABF">
              <w:rPr>
                <w:rFonts w:ascii="Times New Roman" w:eastAsia="Times" w:hAnsi="Times New Roman" w:cs="Times New Roman"/>
                <w:sz w:val="22"/>
                <w:szCs w:val="22"/>
              </w:rPr>
              <w:t xml:space="preserve"> ust. 3 pkt 4 lit. b, Prezes UKE może określić w przypadku, gdy wprowadzenie takiego ograniczenia jest uzasadnione koniecznością realizacji celu leżącego w interesie publicznym, o którym mowa w ust. 1 pkt 6.</w:t>
            </w:r>
          </w:p>
          <w:p w14:paraId="11ADDA23" w14:textId="77777777" w:rsidR="001E1112" w:rsidRPr="00317ABF" w:rsidRDefault="001E1112" w:rsidP="00D746B7">
            <w:pPr>
              <w:pStyle w:val="USTustnpkodeksu"/>
              <w:spacing w:line="240" w:lineRule="auto"/>
              <w:rPr>
                <w:rFonts w:ascii="Times New Roman" w:hAnsi="Times New Roman" w:cs="Times New Roman"/>
                <w:sz w:val="22"/>
                <w:szCs w:val="22"/>
              </w:rPr>
            </w:pPr>
            <w:r w:rsidRPr="00317ABF">
              <w:rPr>
                <w:rFonts w:ascii="Times New Roman" w:eastAsia="Times" w:hAnsi="Times New Roman" w:cs="Times New Roman"/>
                <w:sz w:val="22"/>
                <w:szCs w:val="22"/>
              </w:rPr>
              <w:t xml:space="preserve">3. Ograniczenie, o którym mowa w art. </w:t>
            </w:r>
            <w:r w:rsidR="00820363" w:rsidRPr="00317ABF">
              <w:rPr>
                <w:rFonts w:ascii="Times New Roman" w:hAnsi="Times New Roman" w:cs="Times New Roman"/>
                <w:sz w:val="22"/>
                <w:szCs w:val="22"/>
              </w:rPr>
              <w:t>87</w:t>
            </w:r>
            <w:r w:rsidRPr="00317ABF">
              <w:rPr>
                <w:rFonts w:ascii="Times New Roman" w:eastAsia="Times" w:hAnsi="Times New Roman" w:cs="Times New Roman"/>
                <w:sz w:val="22"/>
                <w:szCs w:val="22"/>
              </w:rPr>
              <w:t xml:space="preserve"> ust. 3 pkt 4 lit. c, Prezes UKE może określić w przypadku, gdy jest to uzasadnione koniecznością ochrony usług związanych z zapewnieniem ochrony życia i zdrowia ludzi.</w:t>
            </w:r>
          </w:p>
          <w:p w14:paraId="326A6E05" w14:textId="5428549C" w:rsidR="001E1112" w:rsidRPr="00317ABF" w:rsidRDefault="001E1112" w:rsidP="00DB3BEC">
            <w:pPr>
              <w:ind w:left="476" w:hanging="476"/>
              <w:jc w:val="both"/>
              <w:rPr>
                <w:sz w:val="22"/>
                <w:szCs w:val="22"/>
              </w:rPr>
            </w:pPr>
            <w:r w:rsidRPr="00317ABF">
              <w:rPr>
                <w:sz w:val="22"/>
                <w:szCs w:val="22"/>
              </w:rPr>
              <w:t xml:space="preserve">4. Do decyzji o rezerwacji częstotliwości zawierającej ograniczenia, o których mowa w art. </w:t>
            </w:r>
            <w:r w:rsidR="00820363" w:rsidRPr="00317ABF">
              <w:rPr>
                <w:sz w:val="22"/>
                <w:szCs w:val="22"/>
              </w:rPr>
              <w:t>87</w:t>
            </w:r>
            <w:r w:rsidRPr="00317ABF">
              <w:rPr>
                <w:sz w:val="22"/>
                <w:szCs w:val="22"/>
              </w:rPr>
              <w:t xml:space="preserve"> ust. 3 pkt 4, stosuje się przepisy o postępowaniu konsultacyjnym. Przepisu nie stosuje się do decyzji wydawanej po postępowaniu selekcyjnym.</w:t>
            </w:r>
          </w:p>
          <w:p w14:paraId="3547A4C1" w14:textId="180167C7" w:rsidR="001E1112" w:rsidRPr="00317ABF" w:rsidRDefault="001E1112" w:rsidP="00DB3BEC">
            <w:pPr>
              <w:jc w:val="both"/>
              <w:rPr>
                <w:sz w:val="22"/>
                <w:szCs w:val="22"/>
              </w:rPr>
            </w:pPr>
          </w:p>
        </w:tc>
      </w:tr>
      <w:tr w:rsidR="001E1112" w:rsidRPr="00317ABF" w14:paraId="246E7990" w14:textId="77777777" w:rsidTr="7753F98D">
        <w:trPr>
          <w:gridAfter w:val="2"/>
          <w:wAfter w:w="175" w:type="dxa"/>
        </w:trPr>
        <w:tc>
          <w:tcPr>
            <w:tcW w:w="704" w:type="dxa"/>
          </w:tcPr>
          <w:p w14:paraId="01F821C0" w14:textId="77777777" w:rsidR="001E1112" w:rsidRPr="00317ABF" w:rsidRDefault="001E1112" w:rsidP="00DB3BEC">
            <w:pPr>
              <w:jc w:val="both"/>
              <w:rPr>
                <w:sz w:val="22"/>
                <w:szCs w:val="22"/>
              </w:rPr>
            </w:pPr>
            <w:r w:rsidRPr="00317ABF">
              <w:rPr>
                <w:sz w:val="22"/>
                <w:szCs w:val="22"/>
              </w:rPr>
              <w:lastRenderedPageBreak/>
              <w:t>Art.45 ust. 5</w:t>
            </w:r>
          </w:p>
        </w:tc>
        <w:tc>
          <w:tcPr>
            <w:tcW w:w="4308" w:type="dxa"/>
          </w:tcPr>
          <w:p w14:paraId="118497A9" w14:textId="77777777" w:rsidR="001E1112" w:rsidRPr="00317ABF" w:rsidRDefault="001E1112" w:rsidP="00DB3BEC">
            <w:pPr>
              <w:spacing w:before="120"/>
              <w:jc w:val="both"/>
              <w:rPr>
                <w:sz w:val="22"/>
                <w:szCs w:val="22"/>
              </w:rPr>
            </w:pPr>
            <w:r w:rsidRPr="00317ABF">
              <w:rPr>
                <w:sz w:val="22"/>
                <w:szCs w:val="22"/>
              </w:rPr>
              <w:t>5.   Bez uszczerbku dla akapitu drugiego, państwa członkowskie zapewniają, aby wszystkie rodzaje usług łączności elektronicznej mogły być stosowane w wykorzystaniu widma radiowego, uznanego w krajowym planie przeznaczenia częstotliwości za dostępne dla usług łączności elektronicznej zgodnie z prawem Unii. Państwa członkowskie mogą jednak ustanowić proporcjonalne i niedyskryminacyjne ograniczenia rodzajów świadczonych usług łączności elektronicznej, w tym w razie konieczności w celu spełnienia wymogu ustanowionego w Regulaminie Radiokomunikacyjnym ITU.</w:t>
            </w:r>
          </w:p>
          <w:p w14:paraId="41C06A4C" w14:textId="77777777" w:rsidR="001E1112" w:rsidRPr="00317ABF" w:rsidRDefault="001E1112" w:rsidP="00DB3BEC">
            <w:pPr>
              <w:spacing w:before="120"/>
              <w:jc w:val="both"/>
              <w:rPr>
                <w:sz w:val="22"/>
                <w:szCs w:val="22"/>
              </w:rPr>
            </w:pPr>
            <w:r w:rsidRPr="00317ABF">
              <w:rPr>
                <w:sz w:val="22"/>
                <w:szCs w:val="22"/>
              </w:rPr>
              <w:t>Środki, które wymagają świadczenia usług łączności elektronicznej w określonym paśmie dostępnym dla tych usług, są uzasadnione koniecznością realizacji celu leżącego w interesie ogólnym określonego przez państwa członkowskie zgodnie z prawem Unii; do celów tych należy między innymi:</w:t>
            </w:r>
          </w:p>
          <w:tbl>
            <w:tblPr>
              <w:tblW w:w="5000" w:type="pct"/>
              <w:tblCellSpacing w:w="0" w:type="dxa"/>
              <w:tblLayout w:type="fixed"/>
              <w:tblCellMar>
                <w:left w:w="0" w:type="dxa"/>
                <w:right w:w="0" w:type="dxa"/>
              </w:tblCellMar>
              <w:tblLook w:val="04A0" w:firstRow="1" w:lastRow="0" w:firstColumn="1" w:lastColumn="0" w:noHBand="0" w:noVBand="1"/>
            </w:tblPr>
            <w:tblGrid>
              <w:gridCol w:w="22"/>
              <w:gridCol w:w="4146"/>
            </w:tblGrid>
            <w:tr w:rsidR="001E1112" w:rsidRPr="00317ABF" w14:paraId="04ADDC25" w14:textId="77777777" w:rsidTr="00A462BE">
              <w:trPr>
                <w:tblCellSpacing w:w="0" w:type="dxa"/>
              </w:trPr>
              <w:tc>
                <w:tcPr>
                  <w:tcW w:w="25" w:type="dxa"/>
                  <w:hideMark/>
                </w:tcPr>
                <w:p w14:paraId="6F1FF6B7" w14:textId="77777777" w:rsidR="001E1112" w:rsidRPr="00317ABF" w:rsidRDefault="001E1112" w:rsidP="00EE0AC3">
                  <w:pPr>
                    <w:framePr w:hSpace="141" w:wrap="around" w:vAnchor="text" w:hAnchor="text" w:xAlign="right" w:y="1"/>
                    <w:spacing w:before="120"/>
                    <w:suppressOverlap/>
                    <w:jc w:val="both"/>
                    <w:rPr>
                      <w:sz w:val="22"/>
                      <w:szCs w:val="22"/>
                    </w:rPr>
                  </w:pPr>
                </w:p>
              </w:tc>
              <w:tc>
                <w:tcPr>
                  <w:tcW w:w="9047" w:type="dxa"/>
                  <w:hideMark/>
                </w:tcPr>
                <w:p w14:paraId="50D00C6C" w14:textId="77777777" w:rsidR="001E1112" w:rsidRPr="00317ABF" w:rsidRDefault="001E1112" w:rsidP="00EE0AC3">
                  <w:pPr>
                    <w:framePr w:hSpace="141" w:wrap="around" w:vAnchor="text" w:hAnchor="text" w:xAlign="right" w:y="1"/>
                    <w:numPr>
                      <w:ilvl w:val="0"/>
                      <w:numId w:val="33"/>
                    </w:numPr>
                    <w:spacing w:before="120"/>
                    <w:suppressOverlap/>
                    <w:jc w:val="both"/>
                    <w:rPr>
                      <w:sz w:val="22"/>
                      <w:szCs w:val="22"/>
                    </w:rPr>
                  </w:pPr>
                  <w:r w:rsidRPr="00317ABF">
                    <w:rPr>
                      <w:sz w:val="22"/>
                      <w:szCs w:val="22"/>
                    </w:rPr>
                    <w:t>bezpieczeństwo życia;</w:t>
                  </w:r>
                </w:p>
              </w:tc>
            </w:tr>
          </w:tbl>
          <w:p w14:paraId="08D2AF85" w14:textId="77777777" w:rsidR="001E1112" w:rsidRPr="00317ABF" w:rsidRDefault="001E1112" w:rsidP="00DB3BEC">
            <w:pPr>
              <w:jc w:val="both"/>
              <w:rPr>
                <w:vanish/>
                <w:sz w:val="22"/>
                <w:szCs w:val="22"/>
              </w:rPr>
            </w:pPr>
          </w:p>
          <w:tbl>
            <w:tblPr>
              <w:tblW w:w="5000" w:type="pct"/>
              <w:tblCellSpacing w:w="0" w:type="dxa"/>
              <w:tblLayout w:type="fixed"/>
              <w:tblCellMar>
                <w:left w:w="0" w:type="dxa"/>
                <w:right w:w="0" w:type="dxa"/>
              </w:tblCellMar>
              <w:tblLook w:val="04A0" w:firstRow="1" w:lastRow="0" w:firstColumn="1" w:lastColumn="0" w:noHBand="0" w:noVBand="1"/>
            </w:tblPr>
            <w:tblGrid>
              <w:gridCol w:w="20"/>
              <w:gridCol w:w="4148"/>
            </w:tblGrid>
            <w:tr w:rsidR="001E1112" w:rsidRPr="00317ABF" w14:paraId="056BEC34" w14:textId="77777777" w:rsidTr="00A462BE">
              <w:trPr>
                <w:tblCellSpacing w:w="0" w:type="dxa"/>
              </w:trPr>
              <w:tc>
                <w:tcPr>
                  <w:tcW w:w="9" w:type="dxa"/>
                  <w:hideMark/>
                </w:tcPr>
                <w:p w14:paraId="5A259495" w14:textId="77777777" w:rsidR="001E1112" w:rsidRPr="00317ABF" w:rsidRDefault="001E1112" w:rsidP="00EE0AC3">
                  <w:pPr>
                    <w:framePr w:hSpace="141" w:wrap="around" w:vAnchor="text" w:hAnchor="text" w:xAlign="right" w:y="1"/>
                    <w:spacing w:before="120"/>
                    <w:suppressOverlap/>
                    <w:jc w:val="both"/>
                    <w:rPr>
                      <w:sz w:val="22"/>
                      <w:szCs w:val="22"/>
                    </w:rPr>
                  </w:pPr>
                </w:p>
              </w:tc>
              <w:tc>
                <w:tcPr>
                  <w:tcW w:w="9063" w:type="dxa"/>
                  <w:hideMark/>
                </w:tcPr>
                <w:p w14:paraId="5136D8B1" w14:textId="77777777" w:rsidR="001E1112" w:rsidRPr="00317ABF" w:rsidRDefault="001E1112" w:rsidP="00EE0AC3">
                  <w:pPr>
                    <w:framePr w:hSpace="141" w:wrap="around" w:vAnchor="text" w:hAnchor="text" w:xAlign="right" w:y="1"/>
                    <w:numPr>
                      <w:ilvl w:val="0"/>
                      <w:numId w:val="33"/>
                    </w:numPr>
                    <w:spacing w:before="120"/>
                    <w:suppressOverlap/>
                    <w:jc w:val="both"/>
                    <w:rPr>
                      <w:sz w:val="22"/>
                      <w:szCs w:val="22"/>
                    </w:rPr>
                  </w:pPr>
                  <w:r w:rsidRPr="00317ABF">
                    <w:rPr>
                      <w:sz w:val="22"/>
                      <w:szCs w:val="22"/>
                    </w:rPr>
                    <w:t>wspieranie spójności społecznej, regionalnej lub terytorialnej;</w:t>
                  </w:r>
                </w:p>
              </w:tc>
            </w:tr>
          </w:tbl>
          <w:p w14:paraId="676C0DDA" w14:textId="77777777" w:rsidR="001E1112" w:rsidRPr="00317ABF" w:rsidRDefault="001E1112" w:rsidP="00DB3BEC">
            <w:pPr>
              <w:jc w:val="both"/>
              <w:rPr>
                <w:vanish/>
                <w:sz w:val="22"/>
                <w:szCs w:val="22"/>
              </w:rPr>
            </w:pPr>
          </w:p>
          <w:tbl>
            <w:tblPr>
              <w:tblW w:w="5000" w:type="pct"/>
              <w:tblCellSpacing w:w="0" w:type="dxa"/>
              <w:tblLayout w:type="fixed"/>
              <w:tblCellMar>
                <w:left w:w="0" w:type="dxa"/>
                <w:right w:w="0" w:type="dxa"/>
              </w:tblCellMar>
              <w:tblLook w:val="04A0" w:firstRow="1" w:lastRow="0" w:firstColumn="1" w:lastColumn="0" w:noHBand="0" w:noVBand="1"/>
            </w:tblPr>
            <w:tblGrid>
              <w:gridCol w:w="20"/>
              <w:gridCol w:w="4148"/>
            </w:tblGrid>
            <w:tr w:rsidR="001E1112" w:rsidRPr="00317ABF" w14:paraId="0D79B531" w14:textId="77777777" w:rsidTr="00A462BE">
              <w:trPr>
                <w:tblCellSpacing w:w="0" w:type="dxa"/>
              </w:trPr>
              <w:tc>
                <w:tcPr>
                  <w:tcW w:w="9" w:type="dxa"/>
                  <w:hideMark/>
                </w:tcPr>
                <w:p w14:paraId="60EC9516" w14:textId="77777777" w:rsidR="001E1112" w:rsidRPr="00317ABF" w:rsidRDefault="001E1112" w:rsidP="00EE0AC3">
                  <w:pPr>
                    <w:framePr w:hSpace="141" w:wrap="around" w:vAnchor="text" w:hAnchor="text" w:xAlign="right" w:y="1"/>
                    <w:spacing w:before="120"/>
                    <w:suppressOverlap/>
                    <w:jc w:val="both"/>
                    <w:rPr>
                      <w:sz w:val="22"/>
                      <w:szCs w:val="22"/>
                    </w:rPr>
                  </w:pPr>
                </w:p>
              </w:tc>
              <w:tc>
                <w:tcPr>
                  <w:tcW w:w="9063" w:type="dxa"/>
                  <w:hideMark/>
                </w:tcPr>
                <w:p w14:paraId="7181A231" w14:textId="77777777" w:rsidR="001E1112" w:rsidRPr="00317ABF" w:rsidRDefault="001E1112" w:rsidP="00EE0AC3">
                  <w:pPr>
                    <w:framePr w:hSpace="141" w:wrap="around" w:vAnchor="text" w:hAnchor="text" w:xAlign="right" w:y="1"/>
                    <w:numPr>
                      <w:ilvl w:val="0"/>
                      <w:numId w:val="33"/>
                    </w:numPr>
                    <w:spacing w:before="120"/>
                    <w:suppressOverlap/>
                    <w:jc w:val="both"/>
                    <w:rPr>
                      <w:sz w:val="22"/>
                      <w:szCs w:val="22"/>
                    </w:rPr>
                  </w:pPr>
                  <w:r w:rsidRPr="00317ABF">
                    <w:rPr>
                      <w:sz w:val="22"/>
                      <w:szCs w:val="22"/>
                    </w:rPr>
                    <w:t>unikanie nieefektywnego wykorzystania widma radiowego; lub</w:t>
                  </w:r>
                </w:p>
              </w:tc>
            </w:tr>
          </w:tbl>
          <w:p w14:paraId="5945FE44" w14:textId="77777777" w:rsidR="001E1112" w:rsidRPr="00317ABF" w:rsidRDefault="001E1112" w:rsidP="00DB3BEC">
            <w:pPr>
              <w:jc w:val="both"/>
              <w:rPr>
                <w:vanish/>
                <w:sz w:val="22"/>
                <w:szCs w:val="22"/>
              </w:rPr>
            </w:pPr>
          </w:p>
          <w:tbl>
            <w:tblPr>
              <w:tblW w:w="5000" w:type="pct"/>
              <w:tblCellSpacing w:w="0" w:type="dxa"/>
              <w:tblLayout w:type="fixed"/>
              <w:tblCellMar>
                <w:left w:w="0" w:type="dxa"/>
                <w:right w:w="0" w:type="dxa"/>
              </w:tblCellMar>
              <w:tblLook w:val="04A0" w:firstRow="1" w:lastRow="0" w:firstColumn="1" w:lastColumn="0" w:noHBand="0" w:noVBand="1"/>
            </w:tblPr>
            <w:tblGrid>
              <w:gridCol w:w="20"/>
              <w:gridCol w:w="4148"/>
            </w:tblGrid>
            <w:tr w:rsidR="001E1112" w:rsidRPr="00317ABF" w14:paraId="3E91A12D" w14:textId="77777777" w:rsidTr="00A462BE">
              <w:trPr>
                <w:tblCellSpacing w:w="0" w:type="dxa"/>
              </w:trPr>
              <w:tc>
                <w:tcPr>
                  <w:tcW w:w="6" w:type="dxa"/>
                  <w:hideMark/>
                </w:tcPr>
                <w:p w14:paraId="66387125" w14:textId="77777777" w:rsidR="001E1112" w:rsidRPr="00317ABF" w:rsidRDefault="001E1112" w:rsidP="00EE0AC3">
                  <w:pPr>
                    <w:framePr w:hSpace="141" w:wrap="around" w:vAnchor="text" w:hAnchor="text" w:xAlign="right" w:y="1"/>
                    <w:spacing w:before="120"/>
                    <w:suppressOverlap/>
                    <w:jc w:val="both"/>
                    <w:rPr>
                      <w:sz w:val="22"/>
                      <w:szCs w:val="22"/>
                    </w:rPr>
                  </w:pPr>
                </w:p>
              </w:tc>
              <w:tc>
                <w:tcPr>
                  <w:tcW w:w="9066" w:type="dxa"/>
                  <w:hideMark/>
                </w:tcPr>
                <w:p w14:paraId="573554A3" w14:textId="77777777" w:rsidR="001E1112" w:rsidRPr="00317ABF" w:rsidRDefault="001E1112" w:rsidP="00EE0AC3">
                  <w:pPr>
                    <w:framePr w:hSpace="141" w:wrap="around" w:vAnchor="text" w:hAnchor="text" w:xAlign="right" w:y="1"/>
                    <w:numPr>
                      <w:ilvl w:val="0"/>
                      <w:numId w:val="33"/>
                    </w:numPr>
                    <w:spacing w:before="120"/>
                    <w:suppressOverlap/>
                    <w:jc w:val="both"/>
                    <w:rPr>
                      <w:sz w:val="22"/>
                      <w:szCs w:val="22"/>
                    </w:rPr>
                  </w:pPr>
                  <w:r w:rsidRPr="00317ABF">
                    <w:rPr>
                      <w:sz w:val="22"/>
                      <w:szCs w:val="22"/>
                    </w:rPr>
                    <w:t>promowanie różnorodności kulturowej i językowej oraz pluralizmu mediów, na przykład świadczenie nadawczych usług radiowych i telewizyjnych.</w:t>
                  </w:r>
                </w:p>
              </w:tc>
            </w:tr>
          </w:tbl>
          <w:p w14:paraId="2DD810CF" w14:textId="77777777" w:rsidR="001E1112" w:rsidRPr="00317ABF" w:rsidRDefault="001E1112" w:rsidP="00DB3BEC">
            <w:pPr>
              <w:jc w:val="both"/>
              <w:rPr>
                <w:sz w:val="22"/>
                <w:szCs w:val="22"/>
              </w:rPr>
            </w:pPr>
            <w:r w:rsidRPr="00317ABF">
              <w:rPr>
                <w:sz w:val="22"/>
                <w:szCs w:val="22"/>
              </w:rPr>
              <w:t>Środek, który zakazuje świadczenia jakiejkolwiek innej usługi łączności elektronicznej w określonym paśmie, można zastosować wyłącznie w przypadku, gdy jest to uzasadnione koniecznością ochrony usług związanych z bezpieczeństwem życia. Państwa członkowskie mogą również w drodze wyjątku rozszerzyć zakres takiego środka, aby zrealizować inne cele leżące w interesie ogólnym określone przez państwa członkowskie zgodnie z prawem Unii.</w:t>
            </w:r>
          </w:p>
        </w:tc>
        <w:tc>
          <w:tcPr>
            <w:tcW w:w="986" w:type="dxa"/>
          </w:tcPr>
          <w:p w14:paraId="06C30544" w14:textId="560E735E" w:rsidR="001E1112" w:rsidRPr="00317ABF" w:rsidRDefault="001E1112" w:rsidP="00DB3BEC">
            <w:pPr>
              <w:jc w:val="both"/>
              <w:rPr>
                <w:sz w:val="22"/>
                <w:szCs w:val="22"/>
              </w:rPr>
            </w:pPr>
            <w:r w:rsidRPr="00317ABF">
              <w:rPr>
                <w:sz w:val="22"/>
                <w:szCs w:val="22"/>
              </w:rPr>
              <w:lastRenderedPageBreak/>
              <w:t>T/N</w:t>
            </w:r>
          </w:p>
        </w:tc>
        <w:tc>
          <w:tcPr>
            <w:tcW w:w="910" w:type="dxa"/>
          </w:tcPr>
          <w:p w14:paraId="0F517030" w14:textId="41AE9EDE" w:rsidR="001E1112" w:rsidRPr="00317ABF" w:rsidRDefault="001E1112" w:rsidP="00DB3BEC">
            <w:pPr>
              <w:pStyle w:val="Tekstpodstawowy"/>
              <w:rPr>
                <w:b/>
                <w:bCs/>
                <w:noProof/>
                <w:sz w:val="22"/>
                <w:szCs w:val="22"/>
              </w:rPr>
            </w:pPr>
            <w:r w:rsidRPr="00317ABF">
              <w:rPr>
                <w:b/>
                <w:bCs/>
                <w:noProof/>
                <w:sz w:val="22"/>
                <w:szCs w:val="22"/>
              </w:rPr>
              <w:t xml:space="preserve">Art. </w:t>
            </w:r>
            <w:r w:rsidR="00245488" w:rsidRPr="00317ABF">
              <w:rPr>
                <w:b/>
                <w:bCs/>
                <w:noProof/>
                <w:sz w:val="22"/>
                <w:szCs w:val="22"/>
              </w:rPr>
              <w:t>88</w:t>
            </w:r>
            <w:r w:rsidRPr="00317ABF">
              <w:rPr>
                <w:b/>
                <w:bCs/>
                <w:noProof/>
                <w:sz w:val="22"/>
                <w:szCs w:val="22"/>
              </w:rPr>
              <w:t xml:space="preserve"> ust. 1 pkt 6</w:t>
            </w:r>
          </w:p>
        </w:tc>
        <w:tc>
          <w:tcPr>
            <w:tcW w:w="6814" w:type="dxa"/>
            <w:gridSpan w:val="2"/>
          </w:tcPr>
          <w:p w14:paraId="2058773B" w14:textId="67942184" w:rsidR="00245488" w:rsidRPr="00317ABF" w:rsidRDefault="00245488" w:rsidP="00245488">
            <w:pPr>
              <w:pStyle w:val="ARTartustawynprozporzdzenia"/>
              <w:keepNext/>
              <w:spacing w:before="0" w:line="240" w:lineRule="auto"/>
              <w:ind w:firstLine="0"/>
              <w:rPr>
                <w:rFonts w:ascii="Times New Roman" w:hAnsi="Times New Roman" w:cs="Times New Roman"/>
                <w:sz w:val="22"/>
                <w:szCs w:val="22"/>
              </w:rPr>
            </w:pPr>
            <w:r w:rsidRPr="00317ABF">
              <w:rPr>
                <w:rFonts w:ascii="Times New Roman" w:hAnsi="Times New Roman" w:cs="Times New Roman"/>
                <w:sz w:val="22"/>
                <w:szCs w:val="22"/>
              </w:rPr>
              <w:t>6)</w:t>
            </w:r>
            <w:r w:rsidRPr="00317ABF">
              <w:rPr>
                <w:rFonts w:ascii="Times New Roman" w:hAnsi="Times New Roman" w:cs="Times New Roman"/>
                <w:sz w:val="22"/>
                <w:szCs w:val="22"/>
              </w:rPr>
              <w:tab/>
              <w:t>zapewnienia realizacji celu leżącego w interesie publicznym, w szczególności takiego jak:</w:t>
            </w:r>
          </w:p>
          <w:p w14:paraId="7CE2DD52" w14:textId="77777777" w:rsidR="00245488" w:rsidRPr="00317ABF" w:rsidRDefault="00245488" w:rsidP="00245488">
            <w:pPr>
              <w:pStyle w:val="LITlitera"/>
              <w:spacing w:line="240" w:lineRule="auto"/>
              <w:rPr>
                <w:rFonts w:ascii="Times New Roman" w:hAnsi="Times New Roman" w:cs="Times New Roman"/>
                <w:sz w:val="22"/>
                <w:szCs w:val="22"/>
              </w:rPr>
            </w:pPr>
            <w:r w:rsidRPr="00317ABF">
              <w:rPr>
                <w:rFonts w:ascii="Times New Roman" w:hAnsi="Times New Roman" w:cs="Times New Roman"/>
                <w:sz w:val="22"/>
                <w:szCs w:val="22"/>
              </w:rPr>
              <w:t>a)</w:t>
            </w:r>
            <w:r w:rsidRPr="00317ABF">
              <w:rPr>
                <w:rFonts w:ascii="Times New Roman" w:hAnsi="Times New Roman" w:cs="Times New Roman"/>
                <w:sz w:val="22"/>
                <w:szCs w:val="22"/>
              </w:rPr>
              <w:tab/>
              <w:t>ochrona życia i zdrowia ludzi,</w:t>
            </w:r>
          </w:p>
          <w:p w14:paraId="265194E7" w14:textId="77777777" w:rsidR="00245488" w:rsidRPr="00317ABF" w:rsidRDefault="00245488" w:rsidP="00245488">
            <w:pPr>
              <w:pStyle w:val="LITlitera"/>
              <w:spacing w:line="240" w:lineRule="auto"/>
              <w:rPr>
                <w:rFonts w:ascii="Times New Roman" w:hAnsi="Times New Roman" w:cs="Times New Roman"/>
                <w:sz w:val="22"/>
                <w:szCs w:val="22"/>
              </w:rPr>
            </w:pPr>
            <w:r w:rsidRPr="00317ABF">
              <w:rPr>
                <w:rFonts w:ascii="Times New Roman" w:hAnsi="Times New Roman" w:cs="Times New Roman"/>
                <w:sz w:val="22"/>
                <w:szCs w:val="22"/>
              </w:rPr>
              <w:t>b)</w:t>
            </w:r>
            <w:r w:rsidRPr="00317ABF">
              <w:rPr>
                <w:rFonts w:ascii="Times New Roman" w:hAnsi="Times New Roman" w:cs="Times New Roman"/>
                <w:sz w:val="22"/>
                <w:szCs w:val="22"/>
              </w:rPr>
              <w:tab/>
              <w:t>wspieranie spójności społecznej, regionalnej lub terytorialnej,</w:t>
            </w:r>
          </w:p>
          <w:p w14:paraId="22CA38C3" w14:textId="77777777" w:rsidR="00245488" w:rsidRPr="00317ABF" w:rsidRDefault="00245488" w:rsidP="00245488">
            <w:pPr>
              <w:pStyle w:val="LITlitera"/>
              <w:spacing w:line="240" w:lineRule="auto"/>
              <w:rPr>
                <w:rFonts w:ascii="Times New Roman" w:hAnsi="Times New Roman" w:cs="Times New Roman"/>
                <w:sz w:val="22"/>
                <w:szCs w:val="22"/>
              </w:rPr>
            </w:pPr>
            <w:r w:rsidRPr="00317ABF">
              <w:rPr>
                <w:rFonts w:ascii="Times New Roman" w:hAnsi="Times New Roman" w:cs="Times New Roman"/>
                <w:sz w:val="22"/>
                <w:szCs w:val="22"/>
              </w:rPr>
              <w:t>c)</w:t>
            </w:r>
            <w:r w:rsidRPr="00317ABF">
              <w:rPr>
                <w:rFonts w:ascii="Times New Roman" w:hAnsi="Times New Roman" w:cs="Times New Roman"/>
                <w:sz w:val="22"/>
                <w:szCs w:val="22"/>
              </w:rPr>
              <w:tab/>
              <w:t>unikanie nieefektywnego wykorzystywania częstotliwości,</w:t>
            </w:r>
          </w:p>
          <w:p w14:paraId="42F05852" w14:textId="77777777" w:rsidR="00245488" w:rsidRPr="00317ABF" w:rsidRDefault="001E1112" w:rsidP="00245488">
            <w:pPr>
              <w:pStyle w:val="LITlitera"/>
              <w:spacing w:line="240" w:lineRule="auto"/>
              <w:rPr>
                <w:rFonts w:ascii="Times New Roman" w:hAnsi="Times New Roman" w:cs="Times New Roman"/>
                <w:sz w:val="22"/>
                <w:szCs w:val="22"/>
              </w:rPr>
            </w:pPr>
            <w:r w:rsidRPr="00317ABF">
              <w:rPr>
                <w:rFonts w:ascii="Times New Roman" w:hAnsi="Times New Roman" w:cs="Times New Roman"/>
                <w:sz w:val="22"/>
                <w:szCs w:val="22"/>
              </w:rPr>
              <w:t>d)</w:t>
            </w:r>
            <w:r w:rsidR="00245488" w:rsidRPr="00317ABF">
              <w:rPr>
                <w:rFonts w:ascii="Times New Roman" w:hAnsi="Times New Roman" w:cs="Times New Roman"/>
                <w:sz w:val="22"/>
                <w:szCs w:val="22"/>
              </w:rPr>
              <w:tab/>
            </w:r>
            <w:r w:rsidRPr="00317ABF">
              <w:rPr>
                <w:rFonts w:ascii="Times New Roman" w:hAnsi="Times New Roman" w:cs="Times New Roman"/>
                <w:sz w:val="22"/>
                <w:szCs w:val="22"/>
              </w:rPr>
              <w:t>promowanie różnorodności kulturowej i językowej oraz pluralizmu mediów, w szczególności poprzez świadczenie nadawczych usług radiofonicznych i telewizyjnych.</w:t>
            </w:r>
          </w:p>
          <w:p w14:paraId="65559C6B" w14:textId="1E6A35C5" w:rsidR="001E1112" w:rsidRPr="00317ABF" w:rsidRDefault="001E1112" w:rsidP="00DB3BEC">
            <w:pPr>
              <w:jc w:val="both"/>
              <w:rPr>
                <w:sz w:val="22"/>
                <w:szCs w:val="22"/>
              </w:rPr>
            </w:pPr>
          </w:p>
        </w:tc>
      </w:tr>
      <w:tr w:rsidR="001E1112" w:rsidRPr="00317ABF" w14:paraId="23B3C8E5" w14:textId="77777777" w:rsidTr="7753F98D">
        <w:trPr>
          <w:gridAfter w:val="2"/>
          <w:wAfter w:w="175" w:type="dxa"/>
        </w:trPr>
        <w:tc>
          <w:tcPr>
            <w:tcW w:w="704" w:type="dxa"/>
          </w:tcPr>
          <w:p w14:paraId="0BE191E1" w14:textId="77777777" w:rsidR="001E1112" w:rsidRPr="00317ABF" w:rsidRDefault="001E1112" w:rsidP="00DB3BEC">
            <w:pPr>
              <w:jc w:val="both"/>
              <w:rPr>
                <w:sz w:val="22"/>
                <w:szCs w:val="22"/>
              </w:rPr>
            </w:pPr>
            <w:r w:rsidRPr="00317ABF">
              <w:rPr>
                <w:sz w:val="22"/>
                <w:szCs w:val="22"/>
              </w:rPr>
              <w:lastRenderedPageBreak/>
              <w:t>Art.45 ust. 6</w:t>
            </w:r>
          </w:p>
        </w:tc>
        <w:tc>
          <w:tcPr>
            <w:tcW w:w="4308" w:type="dxa"/>
          </w:tcPr>
          <w:p w14:paraId="4BF6AA95" w14:textId="77777777" w:rsidR="001E1112" w:rsidRPr="00317ABF" w:rsidRDefault="001E1112" w:rsidP="00DB3BEC">
            <w:pPr>
              <w:spacing w:before="120"/>
              <w:jc w:val="both"/>
              <w:rPr>
                <w:sz w:val="22"/>
                <w:szCs w:val="22"/>
              </w:rPr>
            </w:pPr>
            <w:r w:rsidRPr="00317ABF">
              <w:rPr>
                <w:sz w:val="22"/>
                <w:szCs w:val="22"/>
              </w:rPr>
              <w:t>6.   Państwa członkowskie dokonują regularnego przeglądu konieczności ograniczeń, o których mowa w ust. 4 i 5, oraz podają do wiadomości publicznej wyniki takich przeglądów.</w:t>
            </w:r>
          </w:p>
        </w:tc>
        <w:tc>
          <w:tcPr>
            <w:tcW w:w="986" w:type="dxa"/>
          </w:tcPr>
          <w:p w14:paraId="3785B1E1" w14:textId="036CC0CF" w:rsidR="001E1112" w:rsidRPr="00317ABF" w:rsidRDefault="001E1112" w:rsidP="00DB3BEC">
            <w:pPr>
              <w:jc w:val="both"/>
              <w:rPr>
                <w:sz w:val="22"/>
                <w:szCs w:val="22"/>
              </w:rPr>
            </w:pPr>
            <w:r w:rsidRPr="00317ABF">
              <w:rPr>
                <w:sz w:val="22"/>
                <w:szCs w:val="22"/>
              </w:rPr>
              <w:t>T</w:t>
            </w:r>
          </w:p>
        </w:tc>
        <w:tc>
          <w:tcPr>
            <w:tcW w:w="910" w:type="dxa"/>
          </w:tcPr>
          <w:p w14:paraId="4578E92F" w14:textId="34409DB2" w:rsidR="001E1112" w:rsidRPr="00317ABF" w:rsidRDefault="00DB3BEC" w:rsidP="00DB3BEC">
            <w:pPr>
              <w:pStyle w:val="Tekstpodstawowy"/>
              <w:rPr>
                <w:b/>
                <w:bCs/>
                <w:noProof/>
                <w:sz w:val="22"/>
                <w:szCs w:val="22"/>
              </w:rPr>
            </w:pPr>
            <w:r w:rsidRPr="00317ABF">
              <w:rPr>
                <w:b/>
                <w:bCs/>
                <w:noProof/>
                <w:sz w:val="22"/>
                <w:szCs w:val="22"/>
              </w:rPr>
              <w:t xml:space="preserve">Art. </w:t>
            </w:r>
            <w:r w:rsidR="00245488" w:rsidRPr="00317ABF">
              <w:rPr>
                <w:b/>
                <w:bCs/>
                <w:noProof/>
                <w:sz w:val="22"/>
                <w:szCs w:val="22"/>
              </w:rPr>
              <w:t>99</w:t>
            </w:r>
            <w:r w:rsidR="001E1112" w:rsidRPr="00317ABF">
              <w:rPr>
                <w:b/>
                <w:bCs/>
                <w:noProof/>
                <w:sz w:val="22"/>
                <w:szCs w:val="22"/>
              </w:rPr>
              <w:t xml:space="preserve"> ust. 5</w:t>
            </w:r>
          </w:p>
          <w:p w14:paraId="5B8D13F0" w14:textId="37274630" w:rsidR="001E1112" w:rsidRPr="00317ABF" w:rsidRDefault="001E1112" w:rsidP="00DB3BEC">
            <w:pPr>
              <w:pStyle w:val="Tekstpodstawowy"/>
              <w:rPr>
                <w:b/>
                <w:bCs/>
                <w:noProof/>
                <w:sz w:val="22"/>
                <w:szCs w:val="22"/>
              </w:rPr>
            </w:pPr>
          </w:p>
          <w:p w14:paraId="254EDEBE" w14:textId="687ABB5A" w:rsidR="001E1112" w:rsidRPr="00317ABF" w:rsidRDefault="001E1112" w:rsidP="00DB3BEC">
            <w:pPr>
              <w:pStyle w:val="Tekstpodstawowy"/>
              <w:rPr>
                <w:b/>
                <w:bCs/>
                <w:noProof/>
                <w:sz w:val="22"/>
                <w:szCs w:val="22"/>
              </w:rPr>
            </w:pPr>
          </w:p>
          <w:p w14:paraId="72E28F82" w14:textId="4AF075FE" w:rsidR="001E1112" w:rsidRPr="00317ABF" w:rsidRDefault="001E1112" w:rsidP="00DB3BEC">
            <w:pPr>
              <w:pStyle w:val="Tekstpodstawowy"/>
              <w:rPr>
                <w:b/>
                <w:bCs/>
                <w:noProof/>
                <w:sz w:val="22"/>
                <w:szCs w:val="22"/>
              </w:rPr>
            </w:pPr>
          </w:p>
          <w:p w14:paraId="23710AEB" w14:textId="1F739E3B" w:rsidR="001E1112" w:rsidRPr="00317ABF" w:rsidRDefault="001E1112" w:rsidP="00DB3BEC">
            <w:pPr>
              <w:pStyle w:val="Tekstpodstawowy"/>
              <w:rPr>
                <w:b/>
                <w:bCs/>
                <w:noProof/>
                <w:sz w:val="22"/>
                <w:szCs w:val="22"/>
              </w:rPr>
            </w:pPr>
            <w:r w:rsidRPr="00317ABF">
              <w:rPr>
                <w:b/>
                <w:bCs/>
                <w:noProof/>
                <w:sz w:val="22"/>
                <w:szCs w:val="22"/>
              </w:rPr>
              <w:t xml:space="preserve">Art. </w:t>
            </w:r>
            <w:r w:rsidR="00245488" w:rsidRPr="00317ABF">
              <w:rPr>
                <w:b/>
                <w:bCs/>
                <w:noProof/>
                <w:sz w:val="22"/>
                <w:szCs w:val="22"/>
              </w:rPr>
              <w:t>414</w:t>
            </w:r>
            <w:r w:rsidRPr="00317ABF">
              <w:rPr>
                <w:b/>
                <w:bCs/>
                <w:noProof/>
                <w:sz w:val="22"/>
                <w:szCs w:val="22"/>
              </w:rPr>
              <w:t xml:space="preserve"> ust. 3</w:t>
            </w:r>
          </w:p>
        </w:tc>
        <w:tc>
          <w:tcPr>
            <w:tcW w:w="6814" w:type="dxa"/>
            <w:gridSpan w:val="2"/>
          </w:tcPr>
          <w:p w14:paraId="167C9D58" w14:textId="77777777" w:rsidR="001E1112" w:rsidRPr="00317ABF" w:rsidRDefault="001E1112" w:rsidP="00DB3BEC">
            <w:pPr>
              <w:jc w:val="both"/>
              <w:rPr>
                <w:sz w:val="22"/>
                <w:szCs w:val="22"/>
              </w:rPr>
            </w:pPr>
            <w:r w:rsidRPr="00317ABF">
              <w:rPr>
                <w:sz w:val="22"/>
                <w:szCs w:val="22"/>
              </w:rPr>
              <w:t xml:space="preserve">5. Niezależnie od przesłanek, o których mowa w ust. 1 i 4, Prezes UKE zmienia rezerwację częstotliwości w zakresie ograniczeń, o których mowa </w:t>
            </w:r>
            <w:r w:rsidR="00245488" w:rsidRPr="00317ABF">
              <w:rPr>
                <w:sz w:val="22"/>
                <w:szCs w:val="22"/>
              </w:rPr>
              <w:t>w art. 87</w:t>
            </w:r>
            <w:r w:rsidRPr="00317ABF">
              <w:rPr>
                <w:sz w:val="22"/>
                <w:szCs w:val="22"/>
              </w:rPr>
              <w:t xml:space="preserve"> ust. 3 pkt 4, jeżeli nie zachodzi konieczność utrzymywania tych ograniczeń, w szczególności, gdy wynika to z przeglądu, o którym mowa w art. </w:t>
            </w:r>
            <w:r w:rsidR="00245488" w:rsidRPr="00317ABF">
              <w:rPr>
                <w:sz w:val="22"/>
                <w:szCs w:val="22"/>
              </w:rPr>
              <w:t>414</w:t>
            </w:r>
            <w:r w:rsidRPr="00317ABF">
              <w:rPr>
                <w:sz w:val="22"/>
                <w:szCs w:val="22"/>
              </w:rPr>
              <w:t xml:space="preserve"> ust. 3.</w:t>
            </w:r>
          </w:p>
          <w:p w14:paraId="7CA4C9BB" w14:textId="36B3C58D" w:rsidR="001E1112" w:rsidRPr="00317ABF" w:rsidRDefault="001E1112" w:rsidP="00DB3BEC">
            <w:pPr>
              <w:jc w:val="both"/>
              <w:rPr>
                <w:sz w:val="22"/>
                <w:szCs w:val="22"/>
              </w:rPr>
            </w:pPr>
            <w:r w:rsidRPr="00317ABF">
              <w:rPr>
                <w:rFonts w:eastAsia="Times"/>
                <w:sz w:val="22"/>
                <w:szCs w:val="22"/>
              </w:rPr>
              <w:t xml:space="preserve">3. Prezes UKE dokonuje, nie rzadziej niż co dwa lata, regularnego przeglądu konieczności stosowania w decyzjach w sprawie rezerwacji częstotliwości ograniczeń, o których mowa w art. </w:t>
            </w:r>
            <w:r w:rsidR="00245488" w:rsidRPr="00317ABF">
              <w:rPr>
                <w:sz w:val="22"/>
                <w:szCs w:val="22"/>
              </w:rPr>
              <w:t>87</w:t>
            </w:r>
            <w:r w:rsidRPr="00317ABF">
              <w:rPr>
                <w:rFonts w:eastAsia="Times"/>
                <w:sz w:val="22"/>
                <w:szCs w:val="22"/>
              </w:rPr>
              <w:t xml:space="preserve"> ust. 3 pkt 4, oraz udostępnia jego wyniki na stronie podmiotowej BIP UKE.</w:t>
            </w:r>
          </w:p>
        </w:tc>
      </w:tr>
      <w:tr w:rsidR="001E1112" w:rsidRPr="00317ABF" w14:paraId="5F11C24F" w14:textId="77777777" w:rsidTr="7753F98D">
        <w:trPr>
          <w:gridAfter w:val="2"/>
          <w:wAfter w:w="175" w:type="dxa"/>
        </w:trPr>
        <w:tc>
          <w:tcPr>
            <w:tcW w:w="704" w:type="dxa"/>
          </w:tcPr>
          <w:p w14:paraId="58C0B5FE" w14:textId="77777777" w:rsidR="001E1112" w:rsidRPr="00317ABF" w:rsidRDefault="001E1112" w:rsidP="00DB3BEC">
            <w:pPr>
              <w:jc w:val="both"/>
              <w:rPr>
                <w:sz w:val="22"/>
                <w:szCs w:val="22"/>
              </w:rPr>
            </w:pPr>
            <w:r w:rsidRPr="00317ABF">
              <w:rPr>
                <w:sz w:val="22"/>
                <w:szCs w:val="22"/>
              </w:rPr>
              <w:t>Art.45 ust. 7</w:t>
            </w:r>
          </w:p>
        </w:tc>
        <w:tc>
          <w:tcPr>
            <w:tcW w:w="4308" w:type="dxa"/>
          </w:tcPr>
          <w:p w14:paraId="342CB650" w14:textId="77777777" w:rsidR="001E1112" w:rsidRPr="00317ABF" w:rsidRDefault="001E1112" w:rsidP="00DB3BEC">
            <w:pPr>
              <w:spacing w:before="120"/>
              <w:jc w:val="both"/>
              <w:rPr>
                <w:sz w:val="22"/>
                <w:szCs w:val="22"/>
              </w:rPr>
            </w:pPr>
            <w:r w:rsidRPr="00317ABF">
              <w:rPr>
                <w:sz w:val="22"/>
                <w:szCs w:val="22"/>
              </w:rPr>
              <w:t>7.   Ograniczenia wprowadzone przed dniem 25 maja 2011 r. muszą spełnić wymogi ust. 4 i 5 do dnia 20 grudnia 2018 r.</w:t>
            </w:r>
          </w:p>
        </w:tc>
        <w:tc>
          <w:tcPr>
            <w:tcW w:w="986" w:type="dxa"/>
          </w:tcPr>
          <w:p w14:paraId="19750B75" w14:textId="55BD31B0" w:rsidR="001E1112" w:rsidRPr="00317ABF" w:rsidRDefault="001E1112" w:rsidP="00DB3BEC">
            <w:pPr>
              <w:jc w:val="both"/>
              <w:rPr>
                <w:sz w:val="22"/>
                <w:szCs w:val="22"/>
              </w:rPr>
            </w:pPr>
            <w:r w:rsidRPr="00317ABF">
              <w:rPr>
                <w:sz w:val="22"/>
                <w:szCs w:val="22"/>
              </w:rPr>
              <w:t>N</w:t>
            </w:r>
          </w:p>
        </w:tc>
        <w:tc>
          <w:tcPr>
            <w:tcW w:w="910" w:type="dxa"/>
          </w:tcPr>
          <w:p w14:paraId="196539C0" w14:textId="77777777" w:rsidR="001E1112" w:rsidRPr="00317ABF" w:rsidRDefault="001E1112" w:rsidP="00DB3BEC">
            <w:pPr>
              <w:pStyle w:val="Tekstpodstawowy"/>
              <w:rPr>
                <w:b/>
                <w:noProof/>
                <w:sz w:val="22"/>
                <w:szCs w:val="22"/>
              </w:rPr>
            </w:pPr>
          </w:p>
        </w:tc>
        <w:tc>
          <w:tcPr>
            <w:tcW w:w="6814" w:type="dxa"/>
            <w:gridSpan w:val="2"/>
          </w:tcPr>
          <w:p w14:paraId="4CD14B65" w14:textId="77777777" w:rsidR="001E1112" w:rsidRPr="00317ABF" w:rsidRDefault="001E1112" w:rsidP="00DB3BEC">
            <w:pPr>
              <w:pStyle w:val="Tekstpodstawowy"/>
              <w:rPr>
                <w:sz w:val="22"/>
                <w:szCs w:val="22"/>
              </w:rPr>
            </w:pPr>
          </w:p>
        </w:tc>
      </w:tr>
      <w:tr w:rsidR="001E1112" w:rsidRPr="00317ABF" w14:paraId="23A91F9D" w14:textId="77777777" w:rsidTr="7753F98D">
        <w:trPr>
          <w:gridAfter w:val="2"/>
          <w:wAfter w:w="175" w:type="dxa"/>
        </w:trPr>
        <w:tc>
          <w:tcPr>
            <w:tcW w:w="704" w:type="dxa"/>
          </w:tcPr>
          <w:p w14:paraId="51AB1727" w14:textId="77777777" w:rsidR="001E1112" w:rsidRPr="00317ABF" w:rsidRDefault="001E1112" w:rsidP="00DB3BEC">
            <w:pPr>
              <w:jc w:val="both"/>
              <w:rPr>
                <w:b/>
                <w:sz w:val="22"/>
                <w:szCs w:val="22"/>
              </w:rPr>
            </w:pPr>
            <w:r w:rsidRPr="00317ABF">
              <w:rPr>
                <w:b/>
                <w:sz w:val="22"/>
                <w:szCs w:val="22"/>
              </w:rPr>
              <w:t>Art. 46</w:t>
            </w:r>
          </w:p>
        </w:tc>
        <w:tc>
          <w:tcPr>
            <w:tcW w:w="4308" w:type="dxa"/>
          </w:tcPr>
          <w:p w14:paraId="5D2870BB" w14:textId="77777777" w:rsidR="001E1112" w:rsidRPr="00317ABF" w:rsidRDefault="001E1112" w:rsidP="00DB3BEC">
            <w:pPr>
              <w:spacing w:before="120"/>
              <w:jc w:val="both"/>
              <w:rPr>
                <w:sz w:val="22"/>
                <w:szCs w:val="22"/>
              </w:rPr>
            </w:pPr>
            <w:r w:rsidRPr="00317ABF">
              <w:rPr>
                <w:b/>
                <w:bCs/>
                <w:sz w:val="22"/>
                <w:szCs w:val="22"/>
              </w:rPr>
              <w:t>Zezwolenie na użytkowanie widma radiowego</w:t>
            </w:r>
          </w:p>
        </w:tc>
        <w:tc>
          <w:tcPr>
            <w:tcW w:w="986" w:type="dxa"/>
          </w:tcPr>
          <w:p w14:paraId="321EC6C3" w14:textId="77777777" w:rsidR="001E1112" w:rsidRPr="00317ABF" w:rsidRDefault="001E1112" w:rsidP="00DB3BEC">
            <w:pPr>
              <w:jc w:val="both"/>
              <w:rPr>
                <w:sz w:val="22"/>
                <w:szCs w:val="22"/>
              </w:rPr>
            </w:pPr>
          </w:p>
        </w:tc>
        <w:tc>
          <w:tcPr>
            <w:tcW w:w="910" w:type="dxa"/>
          </w:tcPr>
          <w:p w14:paraId="34243052" w14:textId="77777777" w:rsidR="001E1112" w:rsidRPr="00317ABF" w:rsidRDefault="001E1112" w:rsidP="00DB3BEC">
            <w:pPr>
              <w:pStyle w:val="Tekstpodstawowy"/>
              <w:rPr>
                <w:b/>
                <w:noProof/>
                <w:sz w:val="22"/>
                <w:szCs w:val="22"/>
              </w:rPr>
            </w:pPr>
          </w:p>
        </w:tc>
        <w:tc>
          <w:tcPr>
            <w:tcW w:w="6814" w:type="dxa"/>
            <w:gridSpan w:val="2"/>
          </w:tcPr>
          <w:p w14:paraId="181D7EFB" w14:textId="77777777" w:rsidR="001E1112" w:rsidRPr="00317ABF" w:rsidRDefault="001E1112" w:rsidP="00DB3BEC">
            <w:pPr>
              <w:pStyle w:val="Tekstpodstawowy"/>
              <w:rPr>
                <w:sz w:val="22"/>
                <w:szCs w:val="22"/>
              </w:rPr>
            </w:pPr>
          </w:p>
        </w:tc>
      </w:tr>
      <w:tr w:rsidR="001E1112" w:rsidRPr="00317ABF" w14:paraId="5DBC42DD" w14:textId="77777777" w:rsidTr="7753F98D">
        <w:trPr>
          <w:gridAfter w:val="2"/>
          <w:wAfter w:w="175" w:type="dxa"/>
        </w:trPr>
        <w:tc>
          <w:tcPr>
            <w:tcW w:w="704" w:type="dxa"/>
          </w:tcPr>
          <w:p w14:paraId="4DB48C43" w14:textId="77777777" w:rsidR="001E1112" w:rsidRPr="00317ABF" w:rsidRDefault="001E1112" w:rsidP="00DB3BEC">
            <w:pPr>
              <w:jc w:val="both"/>
              <w:rPr>
                <w:sz w:val="22"/>
                <w:szCs w:val="22"/>
              </w:rPr>
            </w:pPr>
            <w:r w:rsidRPr="00317ABF">
              <w:rPr>
                <w:sz w:val="22"/>
                <w:szCs w:val="22"/>
              </w:rPr>
              <w:t>Art. 46 ust. 1</w:t>
            </w:r>
          </w:p>
        </w:tc>
        <w:tc>
          <w:tcPr>
            <w:tcW w:w="4308" w:type="dxa"/>
          </w:tcPr>
          <w:p w14:paraId="563BB1E1" w14:textId="77777777" w:rsidR="001E1112" w:rsidRPr="00317ABF" w:rsidRDefault="001E1112" w:rsidP="00DB3BEC">
            <w:pPr>
              <w:spacing w:before="120"/>
              <w:jc w:val="both"/>
              <w:rPr>
                <w:sz w:val="22"/>
                <w:szCs w:val="22"/>
              </w:rPr>
            </w:pPr>
            <w:r w:rsidRPr="00317ABF">
              <w:rPr>
                <w:sz w:val="22"/>
                <w:szCs w:val="22"/>
              </w:rPr>
              <w:t xml:space="preserve">1.   Państwa członkowskie ułatwiają korzystanie z widma radiowego, w tym jego współużytkowanie, na podstawie ogólnych zezwoleń oraz ograniczają przyznawanie </w:t>
            </w:r>
            <w:r w:rsidRPr="00317ABF">
              <w:rPr>
                <w:sz w:val="22"/>
                <w:szCs w:val="22"/>
              </w:rPr>
              <w:lastRenderedPageBreak/>
              <w:t>indywidualnych praw do użytkowania widma radiowego do sytuacji, w których prawa te są niezbędne, aby zmaksymalizować wydajne wykorzystanie widma w świetle zapotrzebowania, uwzględniając kryteria określone w akapicie drugim. We wszystkich pozostałych przypadkach państwa członkowskie określają warunki wykorzystania widma radiowego w ogólnym zezwoleniu.</w:t>
            </w:r>
          </w:p>
          <w:p w14:paraId="56CD3091" w14:textId="77777777" w:rsidR="001E1112" w:rsidRPr="00317ABF" w:rsidRDefault="001E1112" w:rsidP="00DB3BEC">
            <w:pPr>
              <w:spacing w:before="120"/>
              <w:jc w:val="both"/>
              <w:rPr>
                <w:sz w:val="22"/>
                <w:szCs w:val="22"/>
              </w:rPr>
            </w:pPr>
            <w:r w:rsidRPr="00317ABF">
              <w:rPr>
                <w:sz w:val="22"/>
                <w:szCs w:val="22"/>
              </w:rPr>
              <w:t>W tym celu państwa członkowskie decydują o najodpowiedniejszym systemie udzielania zezwoleń na użytkowanie widma radiowego stosownie do:</w:t>
            </w:r>
          </w:p>
          <w:tbl>
            <w:tblPr>
              <w:tblW w:w="5000" w:type="pct"/>
              <w:tblCellSpacing w:w="0" w:type="dxa"/>
              <w:tblLayout w:type="fixed"/>
              <w:tblCellMar>
                <w:left w:w="0" w:type="dxa"/>
                <w:right w:w="0" w:type="dxa"/>
              </w:tblCellMar>
              <w:tblLook w:val="04A0" w:firstRow="1" w:lastRow="0" w:firstColumn="1" w:lastColumn="0" w:noHBand="0" w:noVBand="1"/>
            </w:tblPr>
            <w:tblGrid>
              <w:gridCol w:w="20"/>
              <w:gridCol w:w="4148"/>
            </w:tblGrid>
            <w:tr w:rsidR="001E1112" w:rsidRPr="00317ABF" w14:paraId="12F5088A" w14:textId="77777777" w:rsidTr="00A462BE">
              <w:trPr>
                <w:tblCellSpacing w:w="0" w:type="dxa"/>
              </w:trPr>
              <w:tc>
                <w:tcPr>
                  <w:tcW w:w="12" w:type="dxa"/>
                  <w:hideMark/>
                </w:tcPr>
                <w:p w14:paraId="5DB8B760" w14:textId="77777777" w:rsidR="001E1112" w:rsidRPr="00317ABF" w:rsidRDefault="001E1112" w:rsidP="00EE0AC3">
                  <w:pPr>
                    <w:framePr w:hSpace="141" w:wrap="around" w:vAnchor="text" w:hAnchor="text" w:xAlign="right" w:y="1"/>
                    <w:spacing w:before="120"/>
                    <w:suppressOverlap/>
                    <w:jc w:val="both"/>
                    <w:rPr>
                      <w:sz w:val="22"/>
                      <w:szCs w:val="22"/>
                    </w:rPr>
                  </w:pPr>
                </w:p>
              </w:tc>
              <w:tc>
                <w:tcPr>
                  <w:tcW w:w="9060" w:type="dxa"/>
                  <w:hideMark/>
                </w:tcPr>
                <w:p w14:paraId="5FFD9E85" w14:textId="77777777" w:rsidR="001E1112" w:rsidRPr="00317ABF" w:rsidRDefault="001E1112" w:rsidP="00EE0AC3">
                  <w:pPr>
                    <w:framePr w:hSpace="141" w:wrap="around" w:vAnchor="text" w:hAnchor="text" w:xAlign="right" w:y="1"/>
                    <w:numPr>
                      <w:ilvl w:val="0"/>
                      <w:numId w:val="34"/>
                    </w:numPr>
                    <w:spacing w:before="120"/>
                    <w:suppressOverlap/>
                    <w:jc w:val="both"/>
                    <w:rPr>
                      <w:sz w:val="22"/>
                      <w:szCs w:val="22"/>
                    </w:rPr>
                  </w:pPr>
                  <w:r w:rsidRPr="00317ABF">
                    <w:rPr>
                      <w:sz w:val="22"/>
                      <w:szCs w:val="22"/>
                    </w:rPr>
                    <w:t>cech szczególnych danego widma radiowego;</w:t>
                  </w:r>
                </w:p>
              </w:tc>
            </w:tr>
          </w:tbl>
          <w:p w14:paraId="79739E70" w14:textId="77777777" w:rsidR="001E1112" w:rsidRPr="00317ABF" w:rsidRDefault="001E1112" w:rsidP="00DB3BEC">
            <w:pPr>
              <w:jc w:val="both"/>
              <w:rPr>
                <w:vanish/>
                <w:sz w:val="22"/>
                <w:szCs w:val="22"/>
              </w:rPr>
            </w:pPr>
          </w:p>
          <w:tbl>
            <w:tblPr>
              <w:tblW w:w="5000" w:type="pct"/>
              <w:tblCellSpacing w:w="0" w:type="dxa"/>
              <w:tblLayout w:type="fixed"/>
              <w:tblCellMar>
                <w:left w:w="0" w:type="dxa"/>
                <w:right w:w="0" w:type="dxa"/>
              </w:tblCellMar>
              <w:tblLook w:val="04A0" w:firstRow="1" w:lastRow="0" w:firstColumn="1" w:lastColumn="0" w:noHBand="0" w:noVBand="1"/>
            </w:tblPr>
            <w:tblGrid>
              <w:gridCol w:w="20"/>
              <w:gridCol w:w="4148"/>
            </w:tblGrid>
            <w:tr w:rsidR="001E1112" w:rsidRPr="00317ABF" w14:paraId="124EA71E" w14:textId="77777777" w:rsidTr="00A462BE">
              <w:trPr>
                <w:tblCellSpacing w:w="0" w:type="dxa"/>
              </w:trPr>
              <w:tc>
                <w:tcPr>
                  <w:tcW w:w="10" w:type="dxa"/>
                  <w:hideMark/>
                </w:tcPr>
                <w:p w14:paraId="66B7A83A" w14:textId="77777777" w:rsidR="001E1112" w:rsidRPr="00317ABF" w:rsidRDefault="001E1112" w:rsidP="00EE0AC3">
                  <w:pPr>
                    <w:framePr w:hSpace="141" w:wrap="around" w:vAnchor="text" w:hAnchor="text" w:xAlign="right" w:y="1"/>
                    <w:spacing w:before="120"/>
                    <w:suppressOverlap/>
                    <w:jc w:val="both"/>
                    <w:rPr>
                      <w:sz w:val="22"/>
                      <w:szCs w:val="22"/>
                    </w:rPr>
                  </w:pPr>
                </w:p>
              </w:tc>
              <w:tc>
                <w:tcPr>
                  <w:tcW w:w="9062" w:type="dxa"/>
                  <w:hideMark/>
                </w:tcPr>
                <w:p w14:paraId="70F62B63" w14:textId="77777777" w:rsidR="001E1112" w:rsidRPr="00317ABF" w:rsidRDefault="001E1112" w:rsidP="00EE0AC3">
                  <w:pPr>
                    <w:framePr w:hSpace="141" w:wrap="around" w:vAnchor="text" w:hAnchor="text" w:xAlign="right" w:y="1"/>
                    <w:numPr>
                      <w:ilvl w:val="0"/>
                      <w:numId w:val="34"/>
                    </w:numPr>
                    <w:spacing w:before="120"/>
                    <w:suppressOverlap/>
                    <w:jc w:val="both"/>
                    <w:rPr>
                      <w:sz w:val="22"/>
                      <w:szCs w:val="22"/>
                    </w:rPr>
                  </w:pPr>
                  <w:r w:rsidRPr="00317ABF">
                    <w:rPr>
                      <w:sz w:val="22"/>
                      <w:szCs w:val="22"/>
                    </w:rPr>
                    <w:t>konieczności ochrony przed szkodliwymi zakłóceniami;</w:t>
                  </w:r>
                </w:p>
              </w:tc>
            </w:tr>
          </w:tbl>
          <w:p w14:paraId="7233886B" w14:textId="77777777" w:rsidR="001E1112" w:rsidRPr="00317ABF" w:rsidRDefault="001E1112" w:rsidP="00DB3BEC">
            <w:pPr>
              <w:jc w:val="both"/>
              <w:rPr>
                <w:vanish/>
                <w:sz w:val="22"/>
                <w:szCs w:val="22"/>
              </w:rPr>
            </w:pPr>
          </w:p>
          <w:tbl>
            <w:tblPr>
              <w:tblW w:w="5000" w:type="pct"/>
              <w:tblCellSpacing w:w="0" w:type="dxa"/>
              <w:tblLayout w:type="fixed"/>
              <w:tblCellMar>
                <w:left w:w="0" w:type="dxa"/>
                <w:right w:w="0" w:type="dxa"/>
              </w:tblCellMar>
              <w:tblLook w:val="04A0" w:firstRow="1" w:lastRow="0" w:firstColumn="1" w:lastColumn="0" w:noHBand="0" w:noVBand="1"/>
            </w:tblPr>
            <w:tblGrid>
              <w:gridCol w:w="20"/>
              <w:gridCol w:w="4148"/>
            </w:tblGrid>
            <w:tr w:rsidR="001E1112" w:rsidRPr="00317ABF" w14:paraId="2A840A80" w14:textId="77777777" w:rsidTr="00A462BE">
              <w:trPr>
                <w:tblCellSpacing w:w="0" w:type="dxa"/>
              </w:trPr>
              <w:tc>
                <w:tcPr>
                  <w:tcW w:w="6" w:type="dxa"/>
                  <w:hideMark/>
                </w:tcPr>
                <w:p w14:paraId="191852F8" w14:textId="77777777" w:rsidR="001E1112" w:rsidRPr="00317ABF" w:rsidRDefault="001E1112" w:rsidP="00EE0AC3">
                  <w:pPr>
                    <w:framePr w:hSpace="141" w:wrap="around" w:vAnchor="text" w:hAnchor="text" w:xAlign="right" w:y="1"/>
                    <w:spacing w:before="120"/>
                    <w:suppressOverlap/>
                    <w:jc w:val="both"/>
                    <w:rPr>
                      <w:sz w:val="22"/>
                      <w:szCs w:val="22"/>
                    </w:rPr>
                  </w:pPr>
                </w:p>
              </w:tc>
              <w:tc>
                <w:tcPr>
                  <w:tcW w:w="9066" w:type="dxa"/>
                  <w:hideMark/>
                </w:tcPr>
                <w:p w14:paraId="29BCA9E2" w14:textId="77777777" w:rsidR="001E1112" w:rsidRPr="00317ABF" w:rsidRDefault="001E1112" w:rsidP="00EE0AC3">
                  <w:pPr>
                    <w:framePr w:hSpace="141" w:wrap="around" w:vAnchor="text" w:hAnchor="text" w:xAlign="right" w:y="1"/>
                    <w:numPr>
                      <w:ilvl w:val="0"/>
                      <w:numId w:val="34"/>
                    </w:numPr>
                    <w:spacing w:before="120"/>
                    <w:suppressOverlap/>
                    <w:jc w:val="both"/>
                    <w:rPr>
                      <w:sz w:val="22"/>
                      <w:szCs w:val="22"/>
                    </w:rPr>
                  </w:pPr>
                  <w:r w:rsidRPr="00317ABF">
                    <w:rPr>
                      <w:sz w:val="22"/>
                      <w:szCs w:val="22"/>
                    </w:rPr>
                    <w:t>opracowania wiarygodnych warunków współdzielenia widma radiowego, w stosownych przypadkach;</w:t>
                  </w:r>
                </w:p>
              </w:tc>
            </w:tr>
          </w:tbl>
          <w:p w14:paraId="13D271C3" w14:textId="77777777" w:rsidR="001E1112" w:rsidRPr="00317ABF" w:rsidRDefault="001E1112" w:rsidP="00DB3BEC">
            <w:pPr>
              <w:jc w:val="both"/>
              <w:rPr>
                <w:vanish/>
                <w:sz w:val="22"/>
                <w:szCs w:val="22"/>
              </w:rPr>
            </w:pPr>
          </w:p>
          <w:tbl>
            <w:tblPr>
              <w:tblW w:w="5000" w:type="pct"/>
              <w:tblCellSpacing w:w="0" w:type="dxa"/>
              <w:tblLayout w:type="fixed"/>
              <w:tblCellMar>
                <w:left w:w="0" w:type="dxa"/>
                <w:right w:w="0" w:type="dxa"/>
              </w:tblCellMar>
              <w:tblLook w:val="04A0" w:firstRow="1" w:lastRow="0" w:firstColumn="1" w:lastColumn="0" w:noHBand="0" w:noVBand="1"/>
            </w:tblPr>
            <w:tblGrid>
              <w:gridCol w:w="20"/>
              <w:gridCol w:w="4148"/>
            </w:tblGrid>
            <w:tr w:rsidR="001E1112" w:rsidRPr="00317ABF" w14:paraId="480588CC" w14:textId="77777777" w:rsidTr="00A462BE">
              <w:trPr>
                <w:tblCellSpacing w:w="0" w:type="dxa"/>
              </w:trPr>
              <w:tc>
                <w:tcPr>
                  <w:tcW w:w="9" w:type="dxa"/>
                  <w:hideMark/>
                </w:tcPr>
                <w:p w14:paraId="6C0DA9BA" w14:textId="77777777" w:rsidR="001E1112" w:rsidRPr="00317ABF" w:rsidRDefault="001E1112" w:rsidP="00EE0AC3">
                  <w:pPr>
                    <w:framePr w:hSpace="141" w:wrap="around" w:vAnchor="text" w:hAnchor="text" w:xAlign="right" w:y="1"/>
                    <w:spacing w:before="120"/>
                    <w:suppressOverlap/>
                    <w:jc w:val="both"/>
                    <w:rPr>
                      <w:sz w:val="22"/>
                      <w:szCs w:val="22"/>
                    </w:rPr>
                  </w:pPr>
                </w:p>
              </w:tc>
              <w:tc>
                <w:tcPr>
                  <w:tcW w:w="9063" w:type="dxa"/>
                  <w:hideMark/>
                </w:tcPr>
                <w:p w14:paraId="11B5D443" w14:textId="77777777" w:rsidR="001E1112" w:rsidRPr="00317ABF" w:rsidRDefault="001E1112" w:rsidP="00EE0AC3">
                  <w:pPr>
                    <w:framePr w:hSpace="141" w:wrap="around" w:vAnchor="text" w:hAnchor="text" w:xAlign="right" w:y="1"/>
                    <w:numPr>
                      <w:ilvl w:val="0"/>
                      <w:numId w:val="34"/>
                    </w:numPr>
                    <w:spacing w:before="120"/>
                    <w:suppressOverlap/>
                    <w:jc w:val="both"/>
                    <w:rPr>
                      <w:sz w:val="22"/>
                      <w:szCs w:val="22"/>
                    </w:rPr>
                  </w:pPr>
                  <w:r w:rsidRPr="00317ABF">
                    <w:rPr>
                      <w:sz w:val="22"/>
                      <w:szCs w:val="22"/>
                    </w:rPr>
                    <w:t>potrzeby zapewnienia technicznej jakości łączności lub usługi;</w:t>
                  </w:r>
                </w:p>
              </w:tc>
            </w:tr>
          </w:tbl>
          <w:p w14:paraId="4F287B89" w14:textId="77777777" w:rsidR="001E1112" w:rsidRPr="00317ABF" w:rsidRDefault="001E1112" w:rsidP="00DB3BEC">
            <w:pPr>
              <w:jc w:val="both"/>
              <w:rPr>
                <w:vanish/>
                <w:sz w:val="22"/>
                <w:szCs w:val="22"/>
              </w:rPr>
            </w:pPr>
          </w:p>
          <w:tbl>
            <w:tblPr>
              <w:tblW w:w="5000" w:type="pct"/>
              <w:tblCellSpacing w:w="0" w:type="dxa"/>
              <w:tblLayout w:type="fixed"/>
              <w:tblCellMar>
                <w:left w:w="0" w:type="dxa"/>
                <w:right w:w="0" w:type="dxa"/>
              </w:tblCellMar>
              <w:tblLook w:val="04A0" w:firstRow="1" w:lastRow="0" w:firstColumn="1" w:lastColumn="0" w:noHBand="0" w:noVBand="1"/>
            </w:tblPr>
            <w:tblGrid>
              <w:gridCol w:w="20"/>
              <w:gridCol w:w="4148"/>
            </w:tblGrid>
            <w:tr w:rsidR="001E1112" w:rsidRPr="00317ABF" w14:paraId="49DCCC74" w14:textId="77777777" w:rsidTr="00A462BE">
              <w:trPr>
                <w:tblCellSpacing w:w="0" w:type="dxa"/>
              </w:trPr>
              <w:tc>
                <w:tcPr>
                  <w:tcW w:w="6" w:type="dxa"/>
                  <w:hideMark/>
                </w:tcPr>
                <w:p w14:paraId="6E1C584A" w14:textId="77777777" w:rsidR="001E1112" w:rsidRPr="00317ABF" w:rsidRDefault="001E1112" w:rsidP="00EE0AC3">
                  <w:pPr>
                    <w:framePr w:hSpace="141" w:wrap="around" w:vAnchor="text" w:hAnchor="text" w:xAlign="right" w:y="1"/>
                    <w:spacing w:before="120"/>
                    <w:suppressOverlap/>
                    <w:jc w:val="both"/>
                    <w:rPr>
                      <w:sz w:val="22"/>
                      <w:szCs w:val="22"/>
                    </w:rPr>
                  </w:pPr>
                </w:p>
              </w:tc>
              <w:tc>
                <w:tcPr>
                  <w:tcW w:w="9066" w:type="dxa"/>
                  <w:hideMark/>
                </w:tcPr>
                <w:p w14:paraId="4655629A" w14:textId="77777777" w:rsidR="001E1112" w:rsidRPr="00317ABF" w:rsidRDefault="001E1112" w:rsidP="00EE0AC3">
                  <w:pPr>
                    <w:framePr w:hSpace="141" w:wrap="around" w:vAnchor="text" w:hAnchor="text" w:xAlign="right" w:y="1"/>
                    <w:numPr>
                      <w:ilvl w:val="0"/>
                      <w:numId w:val="34"/>
                    </w:numPr>
                    <w:spacing w:before="120"/>
                    <w:suppressOverlap/>
                    <w:jc w:val="both"/>
                    <w:rPr>
                      <w:sz w:val="22"/>
                      <w:szCs w:val="22"/>
                    </w:rPr>
                  </w:pPr>
                  <w:r w:rsidRPr="00317ABF">
                    <w:rPr>
                      <w:sz w:val="22"/>
                      <w:szCs w:val="22"/>
                    </w:rPr>
                    <w:t>innych celów leżących w interesie ogólnym określonych przez państwa członkowskie zgodnie z prawem Unii;</w:t>
                  </w:r>
                </w:p>
              </w:tc>
            </w:tr>
          </w:tbl>
          <w:p w14:paraId="2D163F8E" w14:textId="77777777" w:rsidR="001E1112" w:rsidRPr="00317ABF" w:rsidRDefault="001E1112" w:rsidP="00DB3BEC">
            <w:pPr>
              <w:jc w:val="both"/>
              <w:rPr>
                <w:vanish/>
                <w:sz w:val="22"/>
                <w:szCs w:val="22"/>
              </w:rPr>
            </w:pPr>
          </w:p>
          <w:tbl>
            <w:tblPr>
              <w:tblW w:w="5000" w:type="pct"/>
              <w:tblCellSpacing w:w="0" w:type="dxa"/>
              <w:tblLayout w:type="fixed"/>
              <w:tblCellMar>
                <w:left w:w="0" w:type="dxa"/>
                <w:right w:w="0" w:type="dxa"/>
              </w:tblCellMar>
              <w:tblLook w:val="04A0" w:firstRow="1" w:lastRow="0" w:firstColumn="1" w:lastColumn="0" w:noHBand="0" w:noVBand="1"/>
            </w:tblPr>
            <w:tblGrid>
              <w:gridCol w:w="20"/>
              <w:gridCol w:w="4148"/>
            </w:tblGrid>
            <w:tr w:rsidR="001E1112" w:rsidRPr="00317ABF" w14:paraId="07660465" w14:textId="77777777" w:rsidTr="00A462BE">
              <w:trPr>
                <w:tblCellSpacing w:w="0" w:type="dxa"/>
              </w:trPr>
              <w:tc>
                <w:tcPr>
                  <w:tcW w:w="8" w:type="dxa"/>
                  <w:hideMark/>
                </w:tcPr>
                <w:p w14:paraId="573AE814" w14:textId="77777777" w:rsidR="001E1112" w:rsidRPr="00317ABF" w:rsidRDefault="001E1112" w:rsidP="00EE0AC3">
                  <w:pPr>
                    <w:framePr w:hSpace="141" w:wrap="around" w:vAnchor="text" w:hAnchor="text" w:xAlign="right" w:y="1"/>
                    <w:spacing w:before="120"/>
                    <w:suppressOverlap/>
                    <w:jc w:val="both"/>
                    <w:rPr>
                      <w:sz w:val="22"/>
                      <w:szCs w:val="22"/>
                    </w:rPr>
                  </w:pPr>
                </w:p>
              </w:tc>
              <w:tc>
                <w:tcPr>
                  <w:tcW w:w="9064" w:type="dxa"/>
                  <w:hideMark/>
                </w:tcPr>
                <w:p w14:paraId="2EB219F5" w14:textId="77777777" w:rsidR="001E1112" w:rsidRPr="00317ABF" w:rsidRDefault="001E1112" w:rsidP="00EE0AC3">
                  <w:pPr>
                    <w:framePr w:hSpace="141" w:wrap="around" w:vAnchor="text" w:hAnchor="text" w:xAlign="right" w:y="1"/>
                    <w:numPr>
                      <w:ilvl w:val="0"/>
                      <w:numId w:val="34"/>
                    </w:numPr>
                    <w:spacing w:before="120"/>
                    <w:suppressOverlap/>
                    <w:jc w:val="both"/>
                    <w:rPr>
                      <w:sz w:val="22"/>
                      <w:szCs w:val="22"/>
                    </w:rPr>
                  </w:pPr>
                  <w:r w:rsidRPr="00317ABF">
                    <w:rPr>
                      <w:sz w:val="22"/>
                      <w:szCs w:val="22"/>
                    </w:rPr>
                    <w:t>potrzeby zagwarantowania efektywnego wykorzystania widma radiowego.</w:t>
                  </w:r>
                </w:p>
              </w:tc>
            </w:tr>
          </w:tbl>
          <w:p w14:paraId="4EF14661" w14:textId="77777777" w:rsidR="001E1112" w:rsidRPr="00317ABF" w:rsidRDefault="001E1112" w:rsidP="00DB3BEC">
            <w:pPr>
              <w:spacing w:before="120"/>
              <w:jc w:val="both"/>
              <w:rPr>
                <w:sz w:val="22"/>
                <w:szCs w:val="22"/>
              </w:rPr>
            </w:pPr>
            <w:r w:rsidRPr="00317ABF">
              <w:rPr>
                <w:sz w:val="22"/>
                <w:szCs w:val="22"/>
              </w:rPr>
              <w:t xml:space="preserve">Przy rozważaniu stosowania systemu ogólnego zezwolenia lub przyznawania indywidualnych </w:t>
            </w:r>
            <w:r w:rsidRPr="00317ABF">
              <w:rPr>
                <w:sz w:val="22"/>
                <w:szCs w:val="22"/>
              </w:rPr>
              <w:lastRenderedPageBreak/>
              <w:t>praw użytkowania zharmonizowanego widma radiowego z uwzględnieniem technicznych środków wykonawczych przyjętych zgodnie z art. 4 decyzji nr 676/2002/WE, państwa członkowskie dążą do minimalizacji problemu szkodliwych zakłóceń, w tym w przypadku współużytkowania widma radiowego, w oparciu o kombinację ogólnego zezwolenia i indywidualnych praw użytkowania.</w:t>
            </w:r>
          </w:p>
          <w:p w14:paraId="23596833" w14:textId="77777777" w:rsidR="001E1112" w:rsidRPr="00317ABF" w:rsidRDefault="001E1112" w:rsidP="00DB3BEC">
            <w:pPr>
              <w:spacing w:before="120"/>
              <w:jc w:val="both"/>
              <w:rPr>
                <w:sz w:val="22"/>
                <w:szCs w:val="22"/>
              </w:rPr>
            </w:pPr>
            <w:r w:rsidRPr="00317ABF">
              <w:rPr>
                <w:sz w:val="22"/>
                <w:szCs w:val="22"/>
              </w:rPr>
              <w:t>W stosownych przypadkach państwa członkowskie rozważają możliwość wydania zezwolenia na użytkowanie widma radiowego w oparciu o kombinację ogólnego zezwolenia i indywidualnych praw użytkowania, biorąc pod uwagę możliwe skutki różnych kombinacji ogólnego zezwolenia i indywidualnych praw użytkowania oraz stopniowego przechodzenia z jednej kategorii do drugiej na konkurencję, innowacje i wchodzenie na rynek.</w:t>
            </w:r>
          </w:p>
          <w:p w14:paraId="7BE47EB1" w14:textId="77777777" w:rsidR="001E1112" w:rsidRPr="00317ABF" w:rsidRDefault="001E1112" w:rsidP="00DB3BEC">
            <w:pPr>
              <w:jc w:val="both"/>
              <w:rPr>
                <w:sz w:val="22"/>
                <w:szCs w:val="22"/>
              </w:rPr>
            </w:pPr>
            <w:r w:rsidRPr="00317ABF">
              <w:rPr>
                <w:sz w:val="22"/>
                <w:szCs w:val="22"/>
              </w:rPr>
              <w:t>Państwa członkowskie dążą do minimalizowania ograniczeń dotyczących wykorzystania widma radiowego, biorąc w odpowiednim stopniu pod uwagę rozwiązania techniczne w zakresie postępowania w przypadku szkodliwych zakłóceń tak, aby wprowadzić możliwie najmniej uciążliwy system wydawania zezwoleń.</w:t>
            </w:r>
          </w:p>
        </w:tc>
        <w:tc>
          <w:tcPr>
            <w:tcW w:w="986" w:type="dxa"/>
          </w:tcPr>
          <w:p w14:paraId="7EC72A95" w14:textId="34D6811B" w:rsidR="001E1112" w:rsidRPr="00317ABF" w:rsidRDefault="001E1112" w:rsidP="00DB3BEC">
            <w:pPr>
              <w:jc w:val="both"/>
              <w:rPr>
                <w:sz w:val="22"/>
                <w:szCs w:val="22"/>
              </w:rPr>
            </w:pPr>
            <w:r w:rsidRPr="00317ABF">
              <w:rPr>
                <w:sz w:val="22"/>
                <w:szCs w:val="22"/>
              </w:rPr>
              <w:lastRenderedPageBreak/>
              <w:t>N</w:t>
            </w:r>
          </w:p>
        </w:tc>
        <w:tc>
          <w:tcPr>
            <w:tcW w:w="910" w:type="dxa"/>
          </w:tcPr>
          <w:p w14:paraId="27A8754D" w14:textId="5B2E68E6" w:rsidR="001E1112" w:rsidRPr="00317ABF" w:rsidRDefault="001E1112" w:rsidP="00DB3BEC">
            <w:pPr>
              <w:pStyle w:val="Tekstpodstawowy"/>
              <w:rPr>
                <w:b/>
                <w:bCs/>
                <w:noProof/>
                <w:sz w:val="22"/>
                <w:szCs w:val="22"/>
                <w:lang w:val="en-US"/>
              </w:rPr>
            </w:pPr>
            <w:r w:rsidRPr="00317ABF">
              <w:rPr>
                <w:b/>
                <w:bCs/>
                <w:noProof/>
                <w:sz w:val="22"/>
                <w:szCs w:val="22"/>
                <w:lang w:val="en-US"/>
              </w:rPr>
              <w:t xml:space="preserve">art. </w:t>
            </w:r>
            <w:r w:rsidR="00EE3DC9" w:rsidRPr="00317ABF">
              <w:rPr>
                <w:b/>
                <w:bCs/>
                <w:noProof/>
                <w:sz w:val="22"/>
                <w:szCs w:val="22"/>
                <w:lang w:val="en-US"/>
              </w:rPr>
              <w:t xml:space="preserve">133, </w:t>
            </w:r>
            <w:r w:rsidRPr="00317ABF">
              <w:rPr>
                <w:b/>
                <w:bCs/>
                <w:noProof/>
                <w:sz w:val="22"/>
                <w:szCs w:val="22"/>
                <w:lang w:val="en-US"/>
              </w:rPr>
              <w:t xml:space="preserve">art. </w:t>
            </w:r>
            <w:r w:rsidR="00834596" w:rsidRPr="00317ABF">
              <w:rPr>
                <w:b/>
                <w:bCs/>
                <w:noProof/>
                <w:sz w:val="22"/>
                <w:szCs w:val="22"/>
                <w:lang w:val="en-US"/>
              </w:rPr>
              <w:t xml:space="preserve">138, </w:t>
            </w:r>
            <w:r w:rsidR="00F2028B" w:rsidRPr="00317ABF">
              <w:rPr>
                <w:b/>
                <w:bCs/>
                <w:noProof/>
                <w:sz w:val="22"/>
                <w:szCs w:val="22"/>
                <w:lang w:val="en-US"/>
              </w:rPr>
              <w:t>139</w:t>
            </w:r>
            <w:r w:rsidRPr="00317ABF">
              <w:rPr>
                <w:b/>
                <w:bCs/>
                <w:noProof/>
                <w:sz w:val="22"/>
                <w:szCs w:val="22"/>
                <w:lang w:val="en-US"/>
              </w:rPr>
              <w:t>,</w:t>
            </w:r>
            <w:r w:rsidR="00F2028B" w:rsidRPr="00317ABF">
              <w:rPr>
                <w:b/>
                <w:bCs/>
                <w:noProof/>
                <w:sz w:val="22"/>
                <w:szCs w:val="22"/>
                <w:lang w:val="en-US"/>
              </w:rPr>
              <w:t xml:space="preserve"> art. 142</w:t>
            </w:r>
            <w:r w:rsidRPr="00317ABF">
              <w:rPr>
                <w:b/>
                <w:bCs/>
                <w:noProof/>
                <w:sz w:val="22"/>
                <w:szCs w:val="22"/>
                <w:lang w:val="en-US"/>
              </w:rPr>
              <w:t xml:space="preserve">, art. </w:t>
            </w:r>
            <w:r w:rsidR="007B7675" w:rsidRPr="00317ABF">
              <w:rPr>
                <w:b/>
                <w:bCs/>
                <w:noProof/>
                <w:sz w:val="22"/>
                <w:szCs w:val="22"/>
                <w:lang w:val="en-US"/>
              </w:rPr>
              <w:t>143</w:t>
            </w:r>
            <w:r w:rsidRPr="00317ABF">
              <w:rPr>
                <w:b/>
                <w:bCs/>
                <w:noProof/>
                <w:sz w:val="22"/>
                <w:szCs w:val="22"/>
                <w:lang w:val="en-US"/>
              </w:rPr>
              <w:t xml:space="preserve">, art. </w:t>
            </w:r>
            <w:r w:rsidR="00F2028B" w:rsidRPr="00317ABF">
              <w:rPr>
                <w:b/>
                <w:bCs/>
                <w:noProof/>
                <w:sz w:val="22"/>
                <w:szCs w:val="22"/>
                <w:lang w:val="en-US"/>
              </w:rPr>
              <w:lastRenderedPageBreak/>
              <w:t>145</w:t>
            </w:r>
            <w:r w:rsidRPr="00317ABF">
              <w:rPr>
                <w:b/>
                <w:bCs/>
                <w:noProof/>
                <w:sz w:val="22"/>
                <w:szCs w:val="22"/>
                <w:lang w:val="en-US"/>
              </w:rPr>
              <w:t xml:space="preserve">, art. </w:t>
            </w:r>
            <w:r w:rsidR="00F2028B" w:rsidRPr="00317ABF">
              <w:rPr>
                <w:b/>
                <w:bCs/>
                <w:noProof/>
                <w:sz w:val="22"/>
                <w:szCs w:val="22"/>
                <w:lang w:val="en-US"/>
              </w:rPr>
              <w:t>147</w:t>
            </w:r>
            <w:r w:rsidRPr="00317ABF">
              <w:rPr>
                <w:b/>
                <w:bCs/>
                <w:noProof/>
                <w:sz w:val="22"/>
                <w:szCs w:val="22"/>
                <w:lang w:val="en-US"/>
              </w:rPr>
              <w:t xml:space="preserve">, art. </w:t>
            </w:r>
            <w:r w:rsidR="00F2028B" w:rsidRPr="00317ABF">
              <w:rPr>
                <w:b/>
                <w:bCs/>
                <w:noProof/>
                <w:sz w:val="22"/>
                <w:szCs w:val="22"/>
                <w:lang w:val="en-US"/>
              </w:rPr>
              <w:t>148, art. 1</w:t>
            </w:r>
            <w:r w:rsidR="007B7675" w:rsidRPr="00317ABF">
              <w:rPr>
                <w:b/>
                <w:bCs/>
                <w:noProof/>
                <w:sz w:val="22"/>
                <w:szCs w:val="22"/>
                <w:lang w:val="en-US"/>
              </w:rPr>
              <w:t>49</w:t>
            </w:r>
            <w:r w:rsidRPr="00317ABF">
              <w:rPr>
                <w:b/>
                <w:bCs/>
                <w:noProof/>
                <w:sz w:val="22"/>
                <w:szCs w:val="22"/>
                <w:lang w:val="en-US"/>
              </w:rPr>
              <w:t xml:space="preserve">, </w:t>
            </w:r>
            <w:r w:rsidR="007B7675" w:rsidRPr="00317ABF">
              <w:rPr>
                <w:b/>
                <w:bCs/>
                <w:noProof/>
                <w:sz w:val="22"/>
                <w:szCs w:val="22"/>
                <w:lang w:val="en-US"/>
              </w:rPr>
              <w:t xml:space="preserve"> art. 150</w:t>
            </w:r>
            <w:r w:rsidRPr="00317ABF">
              <w:rPr>
                <w:b/>
                <w:bCs/>
                <w:noProof/>
                <w:sz w:val="22"/>
                <w:szCs w:val="22"/>
                <w:lang w:val="en-US"/>
              </w:rPr>
              <w:t xml:space="preserve">, </w:t>
            </w:r>
            <w:r w:rsidR="00DB3BEC" w:rsidRPr="00317ABF">
              <w:rPr>
                <w:b/>
                <w:bCs/>
                <w:noProof/>
                <w:sz w:val="22"/>
                <w:szCs w:val="22"/>
                <w:lang w:val="en-US"/>
              </w:rPr>
              <w:t xml:space="preserve">Art. </w:t>
            </w:r>
            <w:r w:rsidR="00F2028B" w:rsidRPr="00317ABF">
              <w:rPr>
                <w:b/>
                <w:bCs/>
                <w:noProof/>
                <w:sz w:val="22"/>
                <w:szCs w:val="22"/>
                <w:lang w:val="en-US"/>
              </w:rPr>
              <w:t>151, art. 152</w:t>
            </w:r>
            <w:r w:rsidRPr="00317ABF">
              <w:rPr>
                <w:b/>
                <w:bCs/>
                <w:noProof/>
                <w:sz w:val="22"/>
                <w:szCs w:val="22"/>
                <w:lang w:val="en-US"/>
              </w:rPr>
              <w:t xml:space="preserve">, </w:t>
            </w:r>
            <w:r w:rsidR="00DB3BEC" w:rsidRPr="00317ABF">
              <w:rPr>
                <w:b/>
                <w:bCs/>
                <w:noProof/>
                <w:sz w:val="22"/>
                <w:szCs w:val="22"/>
                <w:lang w:val="en-US"/>
              </w:rPr>
              <w:t xml:space="preserve">Art. </w:t>
            </w:r>
            <w:r w:rsidR="00F2028B" w:rsidRPr="00317ABF">
              <w:rPr>
                <w:b/>
                <w:bCs/>
                <w:noProof/>
                <w:sz w:val="22"/>
                <w:szCs w:val="22"/>
                <w:lang w:val="en-US"/>
              </w:rPr>
              <w:t>153</w:t>
            </w:r>
            <w:r w:rsidRPr="00317ABF">
              <w:rPr>
                <w:b/>
                <w:bCs/>
                <w:noProof/>
                <w:sz w:val="22"/>
                <w:szCs w:val="22"/>
                <w:lang w:val="en-US"/>
              </w:rPr>
              <w:t>, art</w:t>
            </w:r>
            <w:r w:rsidR="00F2028B" w:rsidRPr="00317ABF">
              <w:rPr>
                <w:b/>
                <w:bCs/>
                <w:noProof/>
                <w:sz w:val="22"/>
                <w:szCs w:val="22"/>
                <w:lang w:val="en-US"/>
              </w:rPr>
              <w:t>. 154</w:t>
            </w:r>
            <w:r w:rsidRPr="00317ABF">
              <w:rPr>
                <w:b/>
                <w:bCs/>
                <w:noProof/>
                <w:sz w:val="22"/>
                <w:szCs w:val="22"/>
                <w:lang w:val="en-US"/>
              </w:rPr>
              <w:t xml:space="preserve">, </w:t>
            </w:r>
            <w:r w:rsidR="00DB3BEC" w:rsidRPr="00317ABF">
              <w:rPr>
                <w:b/>
                <w:bCs/>
                <w:noProof/>
                <w:sz w:val="22"/>
                <w:szCs w:val="22"/>
                <w:lang w:val="en-US"/>
              </w:rPr>
              <w:t xml:space="preserve">Art. </w:t>
            </w:r>
            <w:r w:rsidR="00F2028B" w:rsidRPr="00317ABF">
              <w:rPr>
                <w:b/>
                <w:bCs/>
                <w:noProof/>
                <w:sz w:val="22"/>
                <w:szCs w:val="22"/>
                <w:lang w:val="en-US"/>
              </w:rPr>
              <w:t>155, art. 156</w:t>
            </w:r>
          </w:p>
        </w:tc>
        <w:tc>
          <w:tcPr>
            <w:tcW w:w="6814" w:type="dxa"/>
            <w:gridSpan w:val="2"/>
          </w:tcPr>
          <w:p w14:paraId="46465C13" w14:textId="08A9A2BB" w:rsidR="00EE3DC9" w:rsidRPr="00317ABF" w:rsidRDefault="00EE3DC9" w:rsidP="00EE3DC9">
            <w:pPr>
              <w:pStyle w:val="ARTartustawynprozporzdzenia"/>
              <w:spacing w:before="0" w:line="240" w:lineRule="auto"/>
              <w:ind w:firstLine="0"/>
              <w:rPr>
                <w:rStyle w:val="Ppogrubienie"/>
                <w:rFonts w:ascii="Times New Roman" w:hAnsi="Times New Roman"/>
                <w:sz w:val="22"/>
                <w:szCs w:val="22"/>
              </w:rPr>
            </w:pPr>
            <w:r w:rsidRPr="00317ABF">
              <w:rPr>
                <w:rFonts w:ascii="Times New Roman" w:hAnsi="Times New Roman" w:cs="Times New Roman"/>
                <w:b/>
                <w:szCs w:val="24"/>
              </w:rPr>
              <w:lastRenderedPageBreak/>
              <w:t>Art. 133.</w:t>
            </w:r>
            <w:r w:rsidRPr="00317ABF">
              <w:rPr>
                <w:rFonts w:ascii="Times New Roman" w:hAnsi="Times New Roman" w:cs="Times New Roman"/>
                <w:szCs w:val="24"/>
              </w:rPr>
              <w:t xml:space="preserve"> Informację o dokonaniu przydziału częstotliwości Prezes UKE niezwłocznie publikuje na stronie podmiotowej BIP UKE. Informacja ta zawiera numer przydziału częstotliwości, zakres </w:t>
            </w:r>
            <w:r w:rsidRPr="00317ABF">
              <w:rPr>
                <w:rFonts w:ascii="Times New Roman" w:hAnsi="Times New Roman" w:cs="Times New Roman"/>
                <w:szCs w:val="24"/>
              </w:rPr>
              <w:lastRenderedPageBreak/>
              <w:t>częstotliwości objętych przydziałem częstotliwości oraz okres, na jaki został dokonany przydział częstotliwości.</w:t>
            </w:r>
          </w:p>
          <w:p w14:paraId="56B55827" w14:textId="77777777" w:rsidR="001E1112" w:rsidRPr="00317ABF" w:rsidRDefault="001E1112" w:rsidP="00F2028B">
            <w:pPr>
              <w:pStyle w:val="ARTartustawynprozporzdzenia"/>
              <w:spacing w:before="0" w:line="240" w:lineRule="auto"/>
              <w:ind w:firstLine="0"/>
              <w:rPr>
                <w:rFonts w:ascii="Times New Roman" w:hAnsi="Times New Roman" w:cs="Times New Roman"/>
                <w:sz w:val="22"/>
                <w:szCs w:val="22"/>
              </w:rPr>
            </w:pPr>
            <w:r w:rsidRPr="00317ABF">
              <w:rPr>
                <w:rStyle w:val="Ppogrubienie"/>
                <w:rFonts w:ascii="Times New Roman" w:hAnsi="Times New Roman"/>
                <w:sz w:val="22"/>
                <w:szCs w:val="22"/>
              </w:rPr>
              <w:t>Art. 122.</w:t>
            </w:r>
            <w:r w:rsidRPr="00317ABF">
              <w:rPr>
                <w:rFonts w:ascii="Times New Roman" w:hAnsi="Times New Roman" w:cs="Times New Roman"/>
                <w:sz w:val="22"/>
                <w:szCs w:val="22"/>
              </w:rPr>
              <w:t xml:space="preserve"> 1. Z zastrzeżeniem art. 127, art. 133 i art. 134, używanie urządzenia radiowego wymaga posiadania pozwolenia radiowego, zwanego dalej „pozwoleniem”.</w:t>
            </w:r>
          </w:p>
          <w:p w14:paraId="0603B77F" w14:textId="77777777" w:rsidR="001E1112" w:rsidRPr="00317ABF" w:rsidRDefault="001E1112" w:rsidP="00DB3BEC">
            <w:pPr>
              <w:pStyle w:val="USTustnpkodeksu"/>
              <w:spacing w:line="240" w:lineRule="auto"/>
              <w:rPr>
                <w:rFonts w:ascii="Times New Roman" w:hAnsi="Times New Roman" w:cs="Times New Roman"/>
                <w:sz w:val="22"/>
                <w:szCs w:val="22"/>
              </w:rPr>
            </w:pPr>
            <w:r w:rsidRPr="00317ABF">
              <w:rPr>
                <w:rFonts w:ascii="Times New Roman" w:hAnsi="Times New Roman" w:cs="Times New Roman"/>
                <w:sz w:val="22"/>
                <w:szCs w:val="22"/>
              </w:rPr>
              <w:t>2. Prezes UKE wydaje pozwolenie w drodze decyzji.</w:t>
            </w:r>
          </w:p>
          <w:p w14:paraId="57A3491E" w14:textId="77777777" w:rsidR="001E1112" w:rsidRPr="00317ABF" w:rsidRDefault="001E1112" w:rsidP="00DB3BEC">
            <w:pPr>
              <w:pStyle w:val="USTustnpkodeksu"/>
              <w:spacing w:line="240" w:lineRule="auto"/>
              <w:rPr>
                <w:rFonts w:ascii="Times New Roman" w:hAnsi="Times New Roman" w:cs="Times New Roman"/>
                <w:sz w:val="22"/>
                <w:szCs w:val="22"/>
              </w:rPr>
            </w:pPr>
            <w:r w:rsidRPr="00317ABF">
              <w:rPr>
                <w:rFonts w:ascii="Times New Roman" w:hAnsi="Times New Roman" w:cs="Times New Roman"/>
                <w:sz w:val="22"/>
                <w:szCs w:val="22"/>
              </w:rPr>
              <w:t>3. Postępowanie w sprawie wydania pozwolenia wszczyna się na wniosek zainteresowanego podmiotu.</w:t>
            </w:r>
          </w:p>
          <w:p w14:paraId="2E38F6C4" w14:textId="77777777" w:rsidR="001E1112" w:rsidRPr="00317ABF" w:rsidRDefault="001E1112" w:rsidP="00DB3BEC">
            <w:pPr>
              <w:pStyle w:val="USTustnpkodeksu"/>
              <w:spacing w:line="240" w:lineRule="auto"/>
              <w:rPr>
                <w:rFonts w:ascii="Times New Roman" w:hAnsi="Times New Roman" w:cs="Times New Roman"/>
                <w:sz w:val="22"/>
                <w:szCs w:val="22"/>
              </w:rPr>
            </w:pPr>
            <w:r w:rsidRPr="00317ABF">
              <w:rPr>
                <w:rFonts w:ascii="Times New Roman" w:hAnsi="Times New Roman" w:cs="Times New Roman"/>
                <w:sz w:val="22"/>
                <w:szCs w:val="22"/>
              </w:rPr>
              <w:t>4. Podmiot posiadający rezerwację częstotliwości lub podmiot przez niego upoważniony lub podmiot, któremu częstotliwości zostały wydzierżawione lub przekazane do użytkowania zgodnie z art. 91, o ile nie została wydana decyzja, o której mowa w art. 91 ust. 5, może żądać wydania pozwolenia dotyczącego wykorzystania zasobu częstotliwości objętego rezerwacją częstotliwości w okresie jej obowiązywania.</w:t>
            </w:r>
          </w:p>
          <w:p w14:paraId="2FC1542D" w14:textId="77777777" w:rsidR="00F2028B" w:rsidRPr="00317ABF" w:rsidRDefault="00F2028B" w:rsidP="00F2028B">
            <w:pPr>
              <w:pStyle w:val="USTustnpkodeksu"/>
              <w:spacing w:line="240" w:lineRule="auto"/>
              <w:rPr>
                <w:rFonts w:ascii="Times New Roman" w:hAnsi="Times New Roman" w:cs="Times New Roman"/>
                <w:sz w:val="22"/>
                <w:szCs w:val="22"/>
              </w:rPr>
            </w:pPr>
            <w:r w:rsidRPr="00317ABF">
              <w:rPr>
                <w:rFonts w:ascii="Times New Roman" w:hAnsi="Times New Roman" w:cs="Times New Roman"/>
                <w:sz w:val="22"/>
                <w:szCs w:val="22"/>
              </w:rPr>
              <w:t>5. Do pozwolenia stosuje się odpowiednio art. 65.</w:t>
            </w:r>
          </w:p>
          <w:p w14:paraId="1D1056C1" w14:textId="77777777" w:rsidR="001E1112" w:rsidRPr="00317ABF" w:rsidRDefault="001E1112" w:rsidP="00DB3BEC">
            <w:pPr>
              <w:pStyle w:val="USTustnpkodeksu"/>
              <w:spacing w:line="240" w:lineRule="auto"/>
              <w:rPr>
                <w:rFonts w:ascii="Times New Roman" w:hAnsi="Times New Roman" w:cs="Times New Roman"/>
                <w:sz w:val="22"/>
                <w:szCs w:val="22"/>
              </w:rPr>
            </w:pPr>
            <w:r w:rsidRPr="00317ABF">
              <w:rPr>
                <w:rFonts w:ascii="Times New Roman" w:hAnsi="Times New Roman" w:cs="Times New Roman"/>
                <w:sz w:val="22"/>
                <w:szCs w:val="22"/>
              </w:rPr>
              <w:t>6. W przypadku wygaśnięcia lub rozwiązania umowy o wydzierżawienie częstotliwości lub umowy o przekazanie częstotliwości do użytkowania, o których mowa w art. 91, Prezes UKE stwierdza wygaśnięcie pozwolenia wydanego zgodnie z ust. 4.</w:t>
            </w:r>
          </w:p>
          <w:p w14:paraId="16DCDC05" w14:textId="77777777" w:rsidR="001E1112" w:rsidRPr="00317ABF" w:rsidRDefault="00F2028B" w:rsidP="00DB3BEC">
            <w:pPr>
              <w:pStyle w:val="USTustnpkodeksu"/>
              <w:spacing w:line="240" w:lineRule="auto"/>
              <w:rPr>
                <w:rFonts w:ascii="Times New Roman" w:hAnsi="Times New Roman" w:cs="Times New Roman"/>
                <w:sz w:val="22"/>
                <w:szCs w:val="22"/>
              </w:rPr>
            </w:pPr>
            <w:r w:rsidRPr="00317ABF">
              <w:rPr>
                <w:rFonts w:ascii="Times New Roman" w:hAnsi="Times New Roman" w:cs="Times New Roman"/>
                <w:sz w:val="22"/>
                <w:szCs w:val="22"/>
              </w:rPr>
              <w:t>7. W przypadku częstotliwości radiowych, których przeznaczenie określono w Krajowej Tablicy Przeznaczeń Częstotliwości lub ustalono w planie zagospodarowania częstotliwości, decyzja powinna być wydana w terminie 6 tygodni od dnia złożenia wniosku.</w:t>
            </w:r>
          </w:p>
          <w:p w14:paraId="13B953BB" w14:textId="482C2141" w:rsidR="001E1112" w:rsidRPr="00317ABF" w:rsidRDefault="00121DC8" w:rsidP="00121DC8">
            <w:pPr>
              <w:rPr>
                <w:sz w:val="22"/>
                <w:szCs w:val="22"/>
              </w:rPr>
            </w:pPr>
            <w:r w:rsidRPr="00317ABF">
              <w:rPr>
                <w:sz w:val="22"/>
                <w:szCs w:val="22"/>
              </w:rPr>
              <w:t>8</w:t>
            </w:r>
            <w:r w:rsidR="001E1112" w:rsidRPr="00317ABF">
              <w:rPr>
                <w:sz w:val="22"/>
                <w:szCs w:val="22"/>
              </w:rPr>
              <w:t xml:space="preserve">. Przepisu ust. </w:t>
            </w:r>
            <w:r w:rsidRPr="00317ABF">
              <w:rPr>
                <w:sz w:val="22"/>
                <w:szCs w:val="22"/>
              </w:rPr>
              <w:t>7</w:t>
            </w:r>
            <w:r w:rsidR="001E1112" w:rsidRPr="00317ABF">
              <w:rPr>
                <w:sz w:val="22"/>
                <w:szCs w:val="22"/>
              </w:rPr>
              <w:t xml:space="preserve"> nie stosuje się w przypadkach wymagających uzgodnień międzynarodowych lub wynikających z wiążących Rzeczpospolitą Polską umów międzynarodowych dotyczących użytkowania częstotliwości radiowych lub pozycji orbitalnych</w:t>
            </w:r>
            <w:r w:rsidRPr="00317ABF">
              <w:rPr>
                <w:sz w:val="22"/>
                <w:szCs w:val="22"/>
              </w:rPr>
              <w:t>.</w:t>
            </w:r>
            <w:r w:rsidR="001E1112" w:rsidRPr="00317ABF">
              <w:rPr>
                <w:sz w:val="22"/>
                <w:szCs w:val="22"/>
              </w:rPr>
              <w:t>.</w:t>
            </w:r>
          </w:p>
          <w:p w14:paraId="47CDF34B" w14:textId="5851C06E" w:rsidR="001E1112" w:rsidRPr="00317ABF" w:rsidRDefault="001E1112" w:rsidP="00F2028B">
            <w:pPr>
              <w:pStyle w:val="ARTartustawynprozporzdzenia"/>
              <w:spacing w:line="240" w:lineRule="auto"/>
              <w:ind w:firstLine="0"/>
              <w:rPr>
                <w:rFonts w:ascii="Times New Roman" w:hAnsi="Times New Roman" w:cs="Times New Roman"/>
                <w:sz w:val="22"/>
                <w:szCs w:val="22"/>
              </w:rPr>
            </w:pPr>
            <w:r w:rsidRPr="00317ABF">
              <w:rPr>
                <w:rStyle w:val="Ppogrubienie"/>
                <w:rFonts w:ascii="Times New Roman" w:hAnsi="Times New Roman"/>
                <w:sz w:val="22"/>
                <w:szCs w:val="22"/>
              </w:rPr>
              <w:t>Art. </w:t>
            </w:r>
            <w:r w:rsidR="00F2028B" w:rsidRPr="00317ABF">
              <w:rPr>
                <w:rStyle w:val="Ppogrubienie"/>
                <w:rFonts w:ascii="Times New Roman" w:hAnsi="Times New Roman"/>
                <w:sz w:val="22"/>
                <w:szCs w:val="22"/>
              </w:rPr>
              <w:t>139</w:t>
            </w:r>
            <w:r w:rsidRPr="00317ABF">
              <w:rPr>
                <w:rStyle w:val="Ppogrubienie"/>
                <w:rFonts w:ascii="Times New Roman" w:hAnsi="Times New Roman"/>
                <w:sz w:val="22"/>
                <w:szCs w:val="22"/>
              </w:rPr>
              <w:t>.</w:t>
            </w:r>
            <w:r w:rsidRPr="00317ABF">
              <w:rPr>
                <w:rFonts w:ascii="Times New Roman" w:hAnsi="Times New Roman" w:cs="Times New Roman"/>
                <w:sz w:val="22"/>
                <w:szCs w:val="22"/>
              </w:rPr>
              <w:t xml:space="preserve"> Przepisu art. </w:t>
            </w:r>
            <w:r w:rsidR="00F2028B" w:rsidRPr="00317ABF">
              <w:rPr>
                <w:rFonts w:ascii="Times New Roman" w:hAnsi="Times New Roman" w:cs="Times New Roman"/>
                <w:sz w:val="22"/>
                <w:szCs w:val="22"/>
              </w:rPr>
              <w:t>138</w:t>
            </w:r>
            <w:r w:rsidRPr="00317ABF">
              <w:rPr>
                <w:rFonts w:ascii="Times New Roman" w:hAnsi="Times New Roman" w:cs="Times New Roman"/>
                <w:sz w:val="22"/>
                <w:szCs w:val="22"/>
              </w:rPr>
              <w:t xml:space="preserve"> ust. 1 nie stosuje się do urządzeń radiowych wykorzystywanych przez użytkowników rządowych</w:t>
            </w:r>
            <w:r w:rsidR="00F2028B" w:rsidRPr="00317ABF">
              <w:rPr>
                <w:rFonts w:ascii="Times New Roman" w:hAnsi="Times New Roman" w:cs="Times New Roman"/>
                <w:sz w:val="22"/>
                <w:szCs w:val="22"/>
              </w:rPr>
              <w:t>.</w:t>
            </w:r>
          </w:p>
          <w:p w14:paraId="473506C6" w14:textId="77777777" w:rsidR="007B7675" w:rsidRPr="00317ABF" w:rsidRDefault="007B7675" w:rsidP="00F2028B">
            <w:pPr>
              <w:pStyle w:val="ARTartustawynprozporzdzenia"/>
              <w:spacing w:line="240" w:lineRule="auto"/>
              <w:ind w:firstLine="0"/>
              <w:rPr>
                <w:rFonts w:ascii="Times New Roman" w:hAnsi="Times New Roman" w:cs="Times New Roman"/>
                <w:sz w:val="22"/>
                <w:szCs w:val="22"/>
              </w:rPr>
            </w:pPr>
          </w:p>
          <w:p w14:paraId="4BDC63DE" w14:textId="77777777" w:rsidR="007B7675" w:rsidRPr="00317ABF" w:rsidRDefault="007B7675" w:rsidP="007B7675">
            <w:pPr>
              <w:pStyle w:val="ARTartustawynprozporzdzenia"/>
              <w:keepNext/>
              <w:spacing w:before="0" w:line="240" w:lineRule="auto"/>
              <w:ind w:firstLine="0"/>
              <w:rPr>
                <w:rFonts w:ascii="Times New Roman" w:hAnsi="Times New Roman" w:cs="Times New Roman"/>
                <w:sz w:val="22"/>
                <w:szCs w:val="22"/>
              </w:rPr>
            </w:pPr>
            <w:r w:rsidRPr="00317ABF">
              <w:rPr>
                <w:rStyle w:val="Ppogrubienie"/>
                <w:rFonts w:ascii="Times New Roman" w:hAnsi="Times New Roman"/>
                <w:sz w:val="22"/>
                <w:szCs w:val="22"/>
              </w:rPr>
              <w:t>Art. 142.</w:t>
            </w:r>
            <w:r w:rsidRPr="00317ABF">
              <w:rPr>
                <w:rFonts w:ascii="Times New Roman" w:hAnsi="Times New Roman" w:cs="Times New Roman"/>
                <w:sz w:val="22"/>
                <w:szCs w:val="22"/>
              </w:rPr>
              <w:t xml:space="preserve"> 1. Pozwolenie wydaje się podmiotowi, który spełnia wymagania określone ustawą oraz jeżeli:</w:t>
            </w:r>
          </w:p>
          <w:p w14:paraId="60F0260C" w14:textId="77777777" w:rsidR="007B7675" w:rsidRPr="00317ABF" w:rsidRDefault="007B7675" w:rsidP="007B7675">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 xml:space="preserve">1) </w:t>
            </w:r>
            <w:r w:rsidRPr="00317ABF">
              <w:rPr>
                <w:rFonts w:ascii="Times New Roman" w:hAnsi="Times New Roman" w:cs="Times New Roman"/>
                <w:sz w:val="22"/>
                <w:szCs w:val="22"/>
              </w:rPr>
              <w:tab/>
              <w:t>nie zachodzi żadna z okoliczności, o których mowa w art. 100 ust. 2 pkt 1-3 i 5;</w:t>
            </w:r>
          </w:p>
          <w:p w14:paraId="77F0717F" w14:textId="77777777" w:rsidR="007B7675" w:rsidRPr="00317ABF" w:rsidRDefault="007B7675" w:rsidP="007B7675">
            <w:pPr>
              <w:pStyle w:val="PKTpunkt0"/>
              <w:keepNext/>
              <w:spacing w:line="240" w:lineRule="auto"/>
              <w:rPr>
                <w:rFonts w:ascii="Times New Roman" w:hAnsi="Times New Roman" w:cs="Times New Roman"/>
                <w:sz w:val="22"/>
                <w:szCs w:val="22"/>
              </w:rPr>
            </w:pPr>
            <w:r w:rsidRPr="00317ABF">
              <w:rPr>
                <w:rFonts w:ascii="Times New Roman" w:hAnsi="Times New Roman" w:cs="Times New Roman"/>
                <w:sz w:val="22"/>
                <w:szCs w:val="22"/>
              </w:rPr>
              <w:t xml:space="preserve">2) </w:t>
            </w:r>
            <w:r w:rsidRPr="00317ABF">
              <w:rPr>
                <w:rFonts w:ascii="Times New Roman" w:hAnsi="Times New Roman" w:cs="Times New Roman"/>
                <w:sz w:val="22"/>
                <w:szCs w:val="22"/>
              </w:rPr>
              <w:tab/>
              <w:t>częstotliwości objęte wnioskiem:</w:t>
            </w:r>
          </w:p>
          <w:p w14:paraId="5E3F1EDA" w14:textId="77777777" w:rsidR="007B7675" w:rsidRPr="00317ABF" w:rsidRDefault="007B7675" w:rsidP="007B7675">
            <w:pPr>
              <w:pStyle w:val="LITlitera"/>
              <w:spacing w:line="240" w:lineRule="auto"/>
              <w:rPr>
                <w:rFonts w:ascii="Times New Roman" w:hAnsi="Times New Roman" w:cs="Times New Roman"/>
                <w:sz w:val="22"/>
                <w:szCs w:val="22"/>
              </w:rPr>
            </w:pPr>
            <w:r w:rsidRPr="00317ABF">
              <w:rPr>
                <w:rFonts w:ascii="Times New Roman" w:hAnsi="Times New Roman" w:cs="Times New Roman"/>
                <w:sz w:val="22"/>
                <w:szCs w:val="22"/>
              </w:rPr>
              <w:t xml:space="preserve">a) </w:t>
            </w:r>
            <w:r w:rsidRPr="00317ABF">
              <w:rPr>
                <w:rFonts w:ascii="Times New Roman" w:hAnsi="Times New Roman" w:cs="Times New Roman"/>
                <w:sz w:val="22"/>
                <w:szCs w:val="22"/>
              </w:rPr>
              <w:tab/>
              <w:t>są dostępne,</w:t>
            </w:r>
          </w:p>
          <w:p w14:paraId="368F8C01" w14:textId="77777777" w:rsidR="007B7675" w:rsidRPr="00317ABF" w:rsidRDefault="007B7675" w:rsidP="007B7675">
            <w:pPr>
              <w:pStyle w:val="LITlitera"/>
              <w:spacing w:line="240" w:lineRule="auto"/>
              <w:rPr>
                <w:rFonts w:ascii="Times New Roman" w:hAnsi="Times New Roman" w:cs="Times New Roman"/>
                <w:sz w:val="22"/>
                <w:szCs w:val="22"/>
              </w:rPr>
            </w:pPr>
            <w:r w:rsidRPr="00317ABF">
              <w:rPr>
                <w:rFonts w:ascii="Times New Roman" w:hAnsi="Times New Roman" w:cs="Times New Roman"/>
                <w:sz w:val="22"/>
                <w:szCs w:val="22"/>
              </w:rPr>
              <w:t xml:space="preserve">b) </w:t>
            </w:r>
            <w:r w:rsidRPr="00317ABF">
              <w:rPr>
                <w:rFonts w:ascii="Times New Roman" w:hAnsi="Times New Roman" w:cs="Times New Roman"/>
                <w:sz w:val="22"/>
                <w:szCs w:val="22"/>
              </w:rPr>
              <w:tab/>
              <w:t xml:space="preserve">zostały przeznaczone w Krajowej Tablicy Przeznaczeń Częstotliwości dla wnioskowanej służby radiokomunikacyjnej i </w:t>
            </w:r>
            <w:r w:rsidRPr="00317ABF">
              <w:rPr>
                <w:rFonts w:ascii="Times New Roman" w:hAnsi="Times New Roman" w:cs="Times New Roman"/>
                <w:sz w:val="22"/>
                <w:szCs w:val="22"/>
              </w:rPr>
              <w:lastRenderedPageBreak/>
              <w:t>użytkowania oraz plan zagospodarowania częstotliwości przewiduje ich zagospodarowanie zgodne z wnioskiem,</w:t>
            </w:r>
          </w:p>
          <w:p w14:paraId="3BFAD10A" w14:textId="77777777" w:rsidR="007B7675" w:rsidRPr="00317ABF" w:rsidRDefault="007B7675" w:rsidP="007B7675">
            <w:pPr>
              <w:pStyle w:val="LITlitera"/>
              <w:spacing w:line="240" w:lineRule="auto"/>
              <w:rPr>
                <w:rFonts w:ascii="Times New Roman" w:hAnsi="Times New Roman" w:cs="Times New Roman"/>
                <w:sz w:val="22"/>
                <w:szCs w:val="22"/>
              </w:rPr>
            </w:pPr>
            <w:r w:rsidRPr="00317ABF">
              <w:rPr>
                <w:rFonts w:ascii="Times New Roman" w:hAnsi="Times New Roman" w:cs="Times New Roman"/>
                <w:sz w:val="22"/>
                <w:szCs w:val="22"/>
              </w:rPr>
              <w:t>c)</w:t>
            </w:r>
            <w:r w:rsidRPr="00317ABF">
              <w:rPr>
                <w:rFonts w:ascii="Times New Roman" w:hAnsi="Times New Roman" w:cs="Times New Roman"/>
                <w:sz w:val="22"/>
                <w:szCs w:val="22"/>
              </w:rPr>
              <w:tab/>
              <w:t>mogą być wykorzystywane przez urządzenie radiowe bez powodowania szkodliwych zaburzeń elektromagnetycznych lub kolizji z przyznanymi na rzecz innych podmiotów rezerwacjami, przydziałami częstotliwości, pozwoleniami lub decyzjami o prawie do wykorzystywania częstotliwości,</w:t>
            </w:r>
          </w:p>
          <w:p w14:paraId="2437951F" w14:textId="77777777" w:rsidR="001E1112" w:rsidRPr="00317ABF" w:rsidRDefault="001E1112" w:rsidP="00DB3BEC">
            <w:pPr>
              <w:pStyle w:val="LITlitera"/>
              <w:spacing w:line="240" w:lineRule="auto"/>
              <w:rPr>
                <w:rFonts w:ascii="Times New Roman" w:hAnsi="Times New Roman" w:cs="Times New Roman"/>
                <w:sz w:val="22"/>
                <w:szCs w:val="22"/>
              </w:rPr>
            </w:pPr>
            <w:r w:rsidRPr="00317ABF">
              <w:rPr>
                <w:rFonts w:ascii="Times New Roman" w:hAnsi="Times New Roman" w:cs="Times New Roman"/>
                <w:sz w:val="22"/>
                <w:szCs w:val="22"/>
              </w:rPr>
              <w:t>d)</w:t>
            </w:r>
            <w:r w:rsidRPr="00317ABF">
              <w:rPr>
                <w:rFonts w:ascii="Times New Roman" w:hAnsi="Times New Roman" w:cs="Times New Roman"/>
                <w:sz w:val="22"/>
                <w:szCs w:val="22"/>
              </w:rPr>
              <w:tab/>
              <w:t>zostały międzynarodowo uzgodnione w zakresie i formie określonych w międzynarodowych przepisach radiokomunikacyjnych lub wiążących Rzeczpospolitą Polską umowach międzynarodowych, w przypadku gdy zachodzi możliwość powodowania szkodliwych zakłóceń poza granicami Rzeczypospolitej Polskiej,</w:t>
            </w:r>
          </w:p>
          <w:p w14:paraId="422E33FE" w14:textId="77777777" w:rsidR="007B7675" w:rsidRPr="00317ABF" w:rsidRDefault="007B7675" w:rsidP="007B7675">
            <w:pPr>
              <w:pStyle w:val="LITlitera"/>
              <w:spacing w:line="240" w:lineRule="auto"/>
              <w:rPr>
                <w:rFonts w:ascii="Times New Roman" w:hAnsi="Times New Roman" w:cs="Times New Roman"/>
                <w:sz w:val="22"/>
                <w:szCs w:val="22"/>
              </w:rPr>
            </w:pPr>
            <w:r w:rsidRPr="00317ABF">
              <w:rPr>
                <w:rFonts w:ascii="Times New Roman" w:hAnsi="Times New Roman" w:cs="Times New Roman"/>
                <w:sz w:val="22"/>
                <w:szCs w:val="22"/>
              </w:rPr>
              <w:t xml:space="preserve">e) </w:t>
            </w:r>
            <w:r w:rsidRPr="00317ABF">
              <w:rPr>
                <w:rFonts w:ascii="Times New Roman" w:hAnsi="Times New Roman" w:cs="Times New Roman"/>
                <w:sz w:val="22"/>
                <w:szCs w:val="22"/>
              </w:rPr>
              <w:tab/>
              <w:t>będą wykorzystywane w sposób efektywny;</w:t>
            </w:r>
          </w:p>
          <w:p w14:paraId="018D7A68" w14:textId="77777777" w:rsidR="007B7675" w:rsidRPr="00317ABF" w:rsidRDefault="007B7675" w:rsidP="007B7675">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 xml:space="preserve">3) </w:t>
            </w:r>
            <w:r w:rsidRPr="00317ABF">
              <w:rPr>
                <w:rFonts w:ascii="Times New Roman" w:hAnsi="Times New Roman" w:cs="Times New Roman"/>
                <w:sz w:val="22"/>
                <w:szCs w:val="22"/>
              </w:rPr>
              <w:tab/>
              <w:t>urządzenie pracujące na podstawie pozwolenia może być chronione przed szkodliwymi zakłóceniami;</w:t>
            </w:r>
          </w:p>
          <w:p w14:paraId="2B9DA72C" w14:textId="77777777" w:rsidR="007B7675" w:rsidRPr="00317ABF" w:rsidRDefault="007B7675" w:rsidP="007B7675">
            <w:pPr>
              <w:pStyle w:val="PKTpunkt0"/>
              <w:keepNext/>
              <w:spacing w:line="240" w:lineRule="auto"/>
              <w:rPr>
                <w:rFonts w:ascii="Times New Roman" w:hAnsi="Times New Roman" w:cs="Times New Roman"/>
                <w:sz w:val="22"/>
                <w:szCs w:val="22"/>
              </w:rPr>
            </w:pPr>
            <w:r w:rsidRPr="00317ABF">
              <w:rPr>
                <w:rFonts w:ascii="Times New Roman" w:hAnsi="Times New Roman" w:cs="Times New Roman"/>
                <w:sz w:val="22"/>
                <w:szCs w:val="22"/>
              </w:rPr>
              <w:t xml:space="preserve">4) </w:t>
            </w:r>
            <w:r w:rsidRPr="00317ABF">
              <w:rPr>
                <w:rFonts w:ascii="Times New Roman" w:hAnsi="Times New Roman" w:cs="Times New Roman"/>
                <w:sz w:val="22"/>
                <w:szCs w:val="22"/>
              </w:rPr>
              <w:tab/>
              <w:t>wnioskodawca przedłoży:</w:t>
            </w:r>
          </w:p>
          <w:p w14:paraId="5A231016" w14:textId="77777777" w:rsidR="007B7675" w:rsidRPr="00317ABF" w:rsidRDefault="007B7675" w:rsidP="007B7675">
            <w:pPr>
              <w:pStyle w:val="LITlitera"/>
              <w:spacing w:line="240" w:lineRule="auto"/>
              <w:rPr>
                <w:rFonts w:ascii="Times New Roman" w:hAnsi="Times New Roman" w:cs="Times New Roman"/>
                <w:sz w:val="22"/>
                <w:szCs w:val="22"/>
              </w:rPr>
            </w:pPr>
            <w:r w:rsidRPr="00317ABF">
              <w:rPr>
                <w:rFonts w:ascii="Times New Roman" w:hAnsi="Times New Roman" w:cs="Times New Roman"/>
                <w:sz w:val="22"/>
                <w:szCs w:val="22"/>
              </w:rPr>
              <w:t xml:space="preserve">a) </w:t>
            </w:r>
            <w:r w:rsidRPr="00317ABF">
              <w:rPr>
                <w:rFonts w:ascii="Times New Roman" w:hAnsi="Times New Roman" w:cs="Times New Roman"/>
                <w:sz w:val="22"/>
                <w:szCs w:val="22"/>
              </w:rPr>
              <w:tab/>
              <w:t>dokument potwierdzający spełnienie przez urządzenie wymagań, o których mowa w art. 269 ust. 1-3 albo – w przypadku urządzeń wykorzystywanych w służbie radiokomunikacji morskiej i żeglugi śródlądowej lub w służbie radiokomunikacji lotniczej - dokument potwierdzający objęcie tych urządzeń przepisami, o których mowa odpowiednio w art. 269 ust. 7 pkt 2 lub pkt 3,</w:t>
            </w:r>
          </w:p>
          <w:p w14:paraId="0E2CFDD0" w14:textId="77777777" w:rsidR="007B7675" w:rsidRPr="00317ABF" w:rsidRDefault="007B7675" w:rsidP="007B7675">
            <w:pPr>
              <w:pStyle w:val="LITlitera"/>
              <w:spacing w:line="240" w:lineRule="auto"/>
              <w:rPr>
                <w:rFonts w:ascii="Times New Roman" w:hAnsi="Times New Roman" w:cs="Times New Roman"/>
                <w:sz w:val="22"/>
                <w:szCs w:val="22"/>
              </w:rPr>
            </w:pPr>
            <w:r w:rsidRPr="00317ABF">
              <w:rPr>
                <w:rFonts w:ascii="Times New Roman" w:hAnsi="Times New Roman" w:cs="Times New Roman"/>
                <w:sz w:val="22"/>
                <w:szCs w:val="22"/>
              </w:rPr>
              <w:t xml:space="preserve">b) </w:t>
            </w:r>
            <w:r w:rsidRPr="00317ABF">
              <w:rPr>
                <w:rFonts w:ascii="Times New Roman" w:hAnsi="Times New Roman" w:cs="Times New Roman"/>
                <w:sz w:val="22"/>
                <w:szCs w:val="22"/>
              </w:rPr>
              <w:tab/>
              <w:t>dokument potwierdzający rejestrację statku powietrznego, morskiego lub żeglugi śródlądowej w Rzeczypospolitej Polskiej - w przypadku ubiegania się o wydanie pozwolenia radiowego w służbie radiokomunikacji morskiej i żeglugi śródlądowej lub w służbie radiokomunikacji lotniczej ,</w:t>
            </w:r>
          </w:p>
          <w:p w14:paraId="6F11E03D" w14:textId="77777777" w:rsidR="007B7675" w:rsidRPr="00317ABF" w:rsidRDefault="007B7675" w:rsidP="007B7675">
            <w:pPr>
              <w:pStyle w:val="LITlitera"/>
              <w:spacing w:line="240" w:lineRule="auto"/>
              <w:rPr>
                <w:rFonts w:ascii="Times New Roman" w:hAnsi="Times New Roman" w:cs="Times New Roman"/>
                <w:sz w:val="22"/>
                <w:szCs w:val="22"/>
              </w:rPr>
            </w:pPr>
            <w:r w:rsidRPr="00317ABF">
              <w:rPr>
                <w:rFonts w:ascii="Times New Roman" w:hAnsi="Times New Roman" w:cs="Times New Roman"/>
                <w:sz w:val="22"/>
                <w:szCs w:val="22"/>
              </w:rPr>
              <w:t xml:space="preserve">c) </w:t>
            </w:r>
            <w:r w:rsidRPr="00317ABF">
              <w:rPr>
                <w:rFonts w:ascii="Times New Roman" w:hAnsi="Times New Roman" w:cs="Times New Roman"/>
                <w:sz w:val="22"/>
                <w:szCs w:val="22"/>
              </w:rPr>
              <w:tab/>
              <w:t>dokument potwierdzający uzyskanie zgody operatora satelity na wykorzystywanie transpondera - w przypadku pozwolenia dla naziemnej stacji w służbie satelitarnej,</w:t>
            </w:r>
          </w:p>
          <w:p w14:paraId="1BD46F89" w14:textId="77777777" w:rsidR="007B7675" w:rsidRPr="00317ABF" w:rsidRDefault="007B7675" w:rsidP="007B7675">
            <w:pPr>
              <w:ind w:left="805" w:hanging="295"/>
              <w:jc w:val="both"/>
              <w:rPr>
                <w:sz w:val="22"/>
                <w:szCs w:val="22"/>
              </w:rPr>
            </w:pPr>
            <w:r w:rsidRPr="00317ABF">
              <w:rPr>
                <w:bCs/>
                <w:sz w:val="22"/>
                <w:szCs w:val="22"/>
              </w:rPr>
              <w:t xml:space="preserve">d) </w:t>
            </w:r>
            <w:r w:rsidRPr="00317ABF">
              <w:rPr>
                <w:sz w:val="22"/>
                <w:szCs w:val="22"/>
              </w:rPr>
              <w:tab/>
              <w:t xml:space="preserve">dokument potwierdzający pozytywny wynik egzaminu z wiadomości i umiejętności z zakresu obsługi urządzeń radiowych w służbie radiokomunikacyjnej amatorskiej lub dokument równoważny wydany przez uprawniony organ zagraniczny - </w:t>
            </w:r>
            <w:r w:rsidRPr="00317ABF">
              <w:rPr>
                <w:bCs/>
                <w:sz w:val="22"/>
                <w:szCs w:val="22"/>
              </w:rPr>
              <w:t>w przypadku ubiegania się o wydanie pozwolenia radiowego w służbie radiokomunikacji amatorskiej;</w:t>
            </w:r>
          </w:p>
          <w:p w14:paraId="624972D8" w14:textId="77777777" w:rsidR="001E1112" w:rsidRPr="00317ABF" w:rsidRDefault="001E1112" w:rsidP="007B7675">
            <w:pPr>
              <w:jc w:val="both"/>
              <w:rPr>
                <w:sz w:val="22"/>
                <w:szCs w:val="22"/>
              </w:rPr>
            </w:pPr>
            <w:r w:rsidRPr="00317ABF">
              <w:rPr>
                <w:sz w:val="22"/>
                <w:szCs w:val="22"/>
              </w:rPr>
              <w:t>5)</w:t>
            </w:r>
            <w:r w:rsidR="007B7675" w:rsidRPr="00317ABF">
              <w:rPr>
                <w:bCs/>
                <w:sz w:val="22"/>
                <w:szCs w:val="22"/>
              </w:rPr>
              <w:t xml:space="preserve"> </w:t>
            </w:r>
            <w:r w:rsidRPr="00317ABF">
              <w:rPr>
                <w:sz w:val="22"/>
                <w:szCs w:val="22"/>
              </w:rPr>
              <w:tab/>
              <w:t>urządzenie nie koliduje z pracą urządzeń kontrolno-pomiarowych UKE.</w:t>
            </w:r>
          </w:p>
          <w:p w14:paraId="36C7A275" w14:textId="77777777" w:rsidR="001E1112" w:rsidRPr="00317ABF" w:rsidRDefault="001E1112" w:rsidP="00DB3BEC">
            <w:pPr>
              <w:pStyle w:val="USTustnpkodeksu"/>
              <w:spacing w:line="240" w:lineRule="auto"/>
              <w:rPr>
                <w:rFonts w:ascii="Times New Roman" w:hAnsi="Times New Roman" w:cs="Times New Roman"/>
                <w:sz w:val="22"/>
                <w:szCs w:val="22"/>
              </w:rPr>
            </w:pPr>
            <w:r w:rsidRPr="00317ABF">
              <w:rPr>
                <w:rFonts w:ascii="Times New Roman" w:hAnsi="Times New Roman" w:cs="Times New Roman"/>
                <w:sz w:val="22"/>
                <w:szCs w:val="22"/>
              </w:rPr>
              <w:lastRenderedPageBreak/>
              <w:t xml:space="preserve">2. Wykaz urządzeń kontrolno-pomiarowych UKE, o których mowa w ust. 1 pkt 5 </w:t>
            </w:r>
            <w:r w:rsidR="007B7675" w:rsidRPr="00317ABF">
              <w:rPr>
                <w:rFonts w:ascii="Times New Roman" w:hAnsi="Times New Roman" w:cs="Times New Roman"/>
                <w:sz w:val="22"/>
                <w:szCs w:val="22"/>
              </w:rPr>
              <w:t xml:space="preserve">oraz art. 129 pkt 7, wraz z warunkami ochrony tych urządzeń </w:t>
            </w:r>
            <w:r w:rsidRPr="00317ABF">
              <w:rPr>
                <w:rFonts w:ascii="Times New Roman" w:hAnsi="Times New Roman" w:cs="Times New Roman"/>
                <w:sz w:val="22"/>
                <w:szCs w:val="22"/>
              </w:rPr>
              <w:t>udostępniany jest na stronie podmiotowej BIP UKE.</w:t>
            </w:r>
          </w:p>
          <w:p w14:paraId="23B0421D" w14:textId="77777777" w:rsidR="001E1112" w:rsidRPr="00317ABF" w:rsidRDefault="001E1112" w:rsidP="00DB3BEC">
            <w:pPr>
              <w:pStyle w:val="USTustnpkodeksu"/>
              <w:spacing w:line="240" w:lineRule="auto"/>
              <w:rPr>
                <w:rFonts w:ascii="Times New Roman" w:hAnsi="Times New Roman" w:cs="Times New Roman"/>
                <w:sz w:val="22"/>
                <w:szCs w:val="22"/>
              </w:rPr>
            </w:pPr>
            <w:r w:rsidRPr="00317ABF">
              <w:rPr>
                <w:rFonts w:ascii="Times New Roman" w:hAnsi="Times New Roman" w:cs="Times New Roman"/>
                <w:sz w:val="22"/>
                <w:szCs w:val="22"/>
              </w:rPr>
              <w:t>3. Obowiązek, o którym mowa w ust. 1 pkt 4 lit. a, nie dotyczy urządzeń przeznaczonych do wyłącznego używania w służbie radiokomunikacyjnej amatorskiej, niebędących przedmiotem oferty handlowej.</w:t>
            </w:r>
          </w:p>
          <w:p w14:paraId="3BE523AF" w14:textId="77777777" w:rsidR="001E1112" w:rsidRPr="00317ABF" w:rsidRDefault="001E1112" w:rsidP="007B7675">
            <w:pPr>
              <w:rPr>
                <w:sz w:val="22"/>
                <w:szCs w:val="22"/>
              </w:rPr>
            </w:pPr>
            <w:r w:rsidRPr="00317ABF">
              <w:rPr>
                <w:sz w:val="22"/>
                <w:szCs w:val="22"/>
              </w:rPr>
              <w:t>4. Pozwolenia są wydawane na okres nieprzekraczający 10 lat, a dla służby radiokomunikacyjnej amatorskiej na okres nieprzekraczający 25 lat.</w:t>
            </w:r>
          </w:p>
          <w:p w14:paraId="2BB3D3B9" w14:textId="77777777" w:rsidR="007B7675" w:rsidRPr="00317ABF" w:rsidRDefault="007B7675" w:rsidP="007B7675">
            <w:pPr>
              <w:pStyle w:val="USTustnpkodeksu"/>
              <w:ind w:firstLine="0"/>
              <w:rPr>
                <w:b/>
              </w:rPr>
            </w:pPr>
          </w:p>
          <w:p w14:paraId="407BBA57" w14:textId="2CCE30FB" w:rsidR="007B7675" w:rsidRPr="00317ABF" w:rsidRDefault="007B7675" w:rsidP="007B7675">
            <w:pPr>
              <w:pStyle w:val="USTustnpkodeksu"/>
              <w:spacing w:line="240" w:lineRule="auto"/>
              <w:ind w:firstLine="0"/>
              <w:rPr>
                <w:rFonts w:ascii="Times New Roman" w:hAnsi="Times New Roman" w:cs="Times New Roman"/>
                <w:sz w:val="22"/>
                <w:szCs w:val="22"/>
              </w:rPr>
            </w:pPr>
            <w:r w:rsidRPr="00317ABF">
              <w:rPr>
                <w:rFonts w:ascii="Times New Roman" w:hAnsi="Times New Roman" w:cs="Times New Roman"/>
                <w:b/>
                <w:sz w:val="22"/>
                <w:szCs w:val="22"/>
              </w:rPr>
              <w:t xml:space="preserve">Art. 143. </w:t>
            </w:r>
            <w:r w:rsidRPr="00317ABF">
              <w:rPr>
                <w:rFonts w:ascii="Times New Roman" w:hAnsi="Times New Roman" w:cs="Times New Roman"/>
                <w:sz w:val="22"/>
                <w:szCs w:val="22"/>
              </w:rPr>
              <w:t>1. W służbie radiokomunikacyjnej amatorskiej Prezes UKE wydaje pozwolenia kategorii 1, kategorii 3, kategorii 5 i pozwolenia dodatkowe. W pozwoleniu Prezes UKE wskazuje znak wywoławczy, za pomocą którego identyfikuje się stację amatorską.</w:t>
            </w:r>
          </w:p>
          <w:p w14:paraId="65A86BED" w14:textId="77777777" w:rsidR="007B7675" w:rsidRPr="00317ABF" w:rsidRDefault="007B7675" w:rsidP="007B7675">
            <w:pPr>
              <w:keepNext/>
              <w:ind w:firstLine="510"/>
              <w:jc w:val="both"/>
              <w:rPr>
                <w:bCs/>
                <w:sz w:val="22"/>
                <w:szCs w:val="22"/>
              </w:rPr>
            </w:pPr>
            <w:r w:rsidRPr="00317ABF">
              <w:rPr>
                <w:bCs/>
                <w:sz w:val="22"/>
                <w:szCs w:val="22"/>
              </w:rPr>
              <w:t xml:space="preserve">2. Prezes UKE wydaje pozwolenie w służbie radiokomunikacyjnej amatorskiej osobie fizycznej na podstawie zaświadczenia o pozytywnym wyniku egzaminu z wiadomości i umiejętności osoby ubiegającej się o pozwolenie, z zastrzeżeniem ust. art. 142 ust. 1.  </w:t>
            </w:r>
          </w:p>
          <w:p w14:paraId="09415884" w14:textId="77777777" w:rsidR="007B7675" w:rsidRPr="00317ABF" w:rsidRDefault="007B7675" w:rsidP="007B7675">
            <w:pPr>
              <w:ind w:firstLine="510"/>
              <w:jc w:val="both"/>
              <w:rPr>
                <w:color w:val="333333"/>
                <w:sz w:val="22"/>
                <w:szCs w:val="22"/>
              </w:rPr>
            </w:pPr>
            <w:r w:rsidRPr="00317ABF">
              <w:rPr>
                <w:sz w:val="22"/>
                <w:szCs w:val="22"/>
              </w:rPr>
              <w:t xml:space="preserve">3. Prezes UKE wydaje pozwolenie w służbie radiokomunikacyjnej amatorskiej </w:t>
            </w:r>
            <w:r w:rsidRPr="00317ABF">
              <w:rPr>
                <w:color w:val="333333"/>
                <w:sz w:val="22"/>
                <w:szCs w:val="22"/>
              </w:rPr>
              <w:t>osobie prawnej, w tym terenowej jednostce organizacyjnej stowarzyszenia posiadającego osobowość prawną, a także stowarzyszeniu zwykłemu w rozumieniu ustawy z dnia 7 kwietnia 1989 r. - Prawo o stowarzyszeniach (Dz. U. z 2019 poz. 713 oraz z 2020 poz. 695 i 1086), na podstawie pozwolenia kategorii 1 lub równoważnego dokumentu wydanego przez uprawniony organ zagraniczny osoby upoważnionej do ubiegania się o wydanie pozwolenia dla tej osoby prawnej, która ukończyła 18 lat.</w:t>
            </w:r>
          </w:p>
          <w:p w14:paraId="2AED6545" w14:textId="77777777" w:rsidR="007B7675" w:rsidRPr="00317ABF" w:rsidRDefault="007B7675" w:rsidP="007B7675">
            <w:pPr>
              <w:keepNext/>
              <w:ind w:firstLine="510"/>
              <w:jc w:val="both"/>
              <w:rPr>
                <w:bCs/>
                <w:sz w:val="22"/>
                <w:szCs w:val="22"/>
              </w:rPr>
            </w:pPr>
            <w:r w:rsidRPr="00317ABF">
              <w:rPr>
                <w:sz w:val="22"/>
                <w:szCs w:val="22"/>
              </w:rPr>
              <w:t>4</w:t>
            </w:r>
            <w:r w:rsidRPr="00317ABF">
              <w:rPr>
                <w:bCs/>
                <w:sz w:val="22"/>
                <w:szCs w:val="22"/>
              </w:rPr>
              <w:t xml:space="preserve">. Pozytywny wynik egzaminu, o którym mowa w ust. 2 i ust. 3, jest ważny bezterminowo.  </w:t>
            </w:r>
          </w:p>
          <w:p w14:paraId="6096BF8C" w14:textId="77777777" w:rsidR="001E1112" w:rsidRPr="00317ABF" w:rsidRDefault="001E1112" w:rsidP="007B7675">
            <w:pPr>
              <w:keepNext/>
              <w:ind w:firstLine="510"/>
              <w:jc w:val="both"/>
              <w:rPr>
                <w:sz w:val="22"/>
                <w:szCs w:val="22"/>
              </w:rPr>
            </w:pPr>
            <w:r w:rsidRPr="00317ABF">
              <w:rPr>
                <w:sz w:val="22"/>
                <w:szCs w:val="22"/>
              </w:rPr>
              <w:t>5. Minister właściwy do spraw informatyzacji określi, w drodze rozporządzenia, dla służby radiokomunikacyjnej amatorskiej:</w:t>
            </w:r>
          </w:p>
          <w:p w14:paraId="339236E8" w14:textId="77777777" w:rsidR="007B7675" w:rsidRPr="00317ABF" w:rsidRDefault="007B7675" w:rsidP="007B7675">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1) szczegółowy zakres pozwoleń,</w:t>
            </w:r>
          </w:p>
          <w:p w14:paraId="0B51366E" w14:textId="77777777" w:rsidR="007B7675" w:rsidRPr="00317ABF" w:rsidRDefault="007B7675" w:rsidP="007B7675">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2) wymagania niezbędne do uzyskania pozwolenia i zakres wymogów egzaminacyjnych,</w:t>
            </w:r>
          </w:p>
          <w:p w14:paraId="45A1CCC3" w14:textId="77777777" w:rsidR="007B7675" w:rsidRPr="00317ABF" w:rsidRDefault="007B7675" w:rsidP="007B7675">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3) tryb przeprowadzania egzaminów, w tym egzaminów poprawkowych, sposób powoływania komisji egzaminacyjnej, a także wysokość opłat za przeprowadzenie egzaminu i wydanie pozwolenia,</w:t>
            </w:r>
          </w:p>
          <w:p w14:paraId="6B393485" w14:textId="77777777" w:rsidR="007B7675" w:rsidRPr="00317ABF" w:rsidRDefault="007B7675" w:rsidP="007B7675">
            <w:pPr>
              <w:ind w:left="510" w:hanging="510"/>
              <w:jc w:val="both"/>
              <w:textAlignment w:val="baseline"/>
              <w:rPr>
                <w:sz w:val="22"/>
                <w:szCs w:val="22"/>
              </w:rPr>
            </w:pPr>
            <w:r w:rsidRPr="00317ABF">
              <w:rPr>
                <w:bCs/>
                <w:sz w:val="22"/>
                <w:szCs w:val="22"/>
              </w:rPr>
              <w:t>4) okres</w:t>
            </w:r>
            <w:r w:rsidRPr="00317ABF">
              <w:rPr>
                <w:rStyle w:val="normaltextrun"/>
                <w:sz w:val="22"/>
                <w:szCs w:val="22"/>
              </w:rPr>
              <w:t> ważności pozwoleń,</w:t>
            </w:r>
          </w:p>
          <w:p w14:paraId="0CA0D0CC" w14:textId="77777777" w:rsidR="007B7675" w:rsidRPr="00317ABF" w:rsidRDefault="007B7675" w:rsidP="007B7675">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5)</w:t>
            </w:r>
            <w:r w:rsidRPr="00317ABF">
              <w:rPr>
                <w:rFonts w:ascii="Times New Roman" w:hAnsi="Times New Roman" w:cs="Times New Roman"/>
                <w:sz w:val="22"/>
                <w:szCs w:val="22"/>
              </w:rPr>
              <w:tab/>
              <w:t>sposób identyfikacji stacji amatorskiej</w:t>
            </w:r>
          </w:p>
          <w:p w14:paraId="71489516" w14:textId="1076ECF7" w:rsidR="001E1112" w:rsidRPr="00317ABF" w:rsidRDefault="007B7675" w:rsidP="007B7675">
            <w:pPr>
              <w:pStyle w:val="ARTartustawynprozporzdzenia"/>
              <w:spacing w:before="0" w:line="240" w:lineRule="auto"/>
              <w:ind w:firstLine="0"/>
              <w:rPr>
                <w:rFonts w:ascii="Times New Roman" w:hAnsi="Times New Roman" w:cs="Times New Roman"/>
                <w:sz w:val="22"/>
                <w:szCs w:val="22"/>
              </w:rPr>
            </w:pPr>
            <w:r w:rsidRPr="00317ABF">
              <w:rPr>
                <w:rFonts w:ascii="Times New Roman" w:hAnsi="Times New Roman" w:cs="Times New Roman"/>
                <w:sz w:val="22"/>
                <w:szCs w:val="22"/>
              </w:rPr>
              <w:lastRenderedPageBreak/>
              <w:t>− biorąc pod uwagę międzynarodowe przepisy radiokomunikacyjne oraz rodzaj pozwolenia.</w:t>
            </w:r>
          </w:p>
          <w:p w14:paraId="6BFDE4B1" w14:textId="77777777" w:rsidR="006D7A29" w:rsidRPr="00317ABF" w:rsidRDefault="006D7A29" w:rsidP="007B7675">
            <w:pPr>
              <w:pStyle w:val="ARTartustawynprozporzdzenia"/>
              <w:spacing w:before="0" w:line="240" w:lineRule="auto"/>
              <w:ind w:firstLine="0"/>
              <w:rPr>
                <w:rFonts w:ascii="Times New Roman" w:hAnsi="Times New Roman" w:cs="Times New Roman"/>
                <w:sz w:val="22"/>
                <w:szCs w:val="22"/>
              </w:rPr>
            </w:pPr>
          </w:p>
          <w:p w14:paraId="43EBE983" w14:textId="77777777" w:rsidR="001E1112" w:rsidRPr="00317ABF" w:rsidRDefault="001E1112" w:rsidP="007B7675">
            <w:pPr>
              <w:pStyle w:val="ARTartustawynprozporzdzenia"/>
              <w:spacing w:before="0" w:line="240" w:lineRule="auto"/>
              <w:rPr>
                <w:rFonts w:ascii="Times New Roman" w:hAnsi="Times New Roman" w:cs="Times New Roman"/>
                <w:sz w:val="22"/>
                <w:szCs w:val="22"/>
              </w:rPr>
            </w:pPr>
            <w:r w:rsidRPr="00317ABF">
              <w:rPr>
                <w:rStyle w:val="Ppogrubienie"/>
                <w:rFonts w:ascii="Times New Roman" w:hAnsi="Times New Roman"/>
                <w:sz w:val="22"/>
                <w:szCs w:val="22"/>
              </w:rPr>
              <w:t>Art. 127.</w:t>
            </w:r>
            <w:r w:rsidRPr="00317ABF">
              <w:rPr>
                <w:rFonts w:ascii="Times New Roman" w:hAnsi="Times New Roman" w:cs="Times New Roman"/>
                <w:sz w:val="22"/>
                <w:szCs w:val="22"/>
              </w:rPr>
              <w:t xml:space="preserve"> 1. Nie wymaga pozwolenia używanie urządzeń radiowych przeznaczonych wyłącznie do odbioru.</w:t>
            </w:r>
          </w:p>
          <w:p w14:paraId="4C6A32A3" w14:textId="77777777" w:rsidR="001E1112" w:rsidRPr="00317ABF" w:rsidRDefault="001E1112" w:rsidP="00DB3BEC">
            <w:pPr>
              <w:pStyle w:val="USTustnpkodeksu"/>
              <w:keepNext/>
              <w:spacing w:line="240" w:lineRule="auto"/>
              <w:rPr>
                <w:rFonts w:ascii="Times New Roman" w:hAnsi="Times New Roman" w:cs="Times New Roman"/>
                <w:sz w:val="22"/>
                <w:szCs w:val="22"/>
              </w:rPr>
            </w:pPr>
            <w:r w:rsidRPr="00317ABF">
              <w:rPr>
                <w:rFonts w:ascii="Times New Roman" w:hAnsi="Times New Roman" w:cs="Times New Roman"/>
                <w:sz w:val="22"/>
                <w:szCs w:val="22"/>
              </w:rPr>
              <w:t>2. Nie wymaga pozwolenia używanie urządzenia radiowego nadawczego lub nadawczo-odbiorczego:</w:t>
            </w:r>
          </w:p>
          <w:p w14:paraId="503940C2" w14:textId="77777777" w:rsidR="007B7675" w:rsidRPr="00317ABF" w:rsidRDefault="007B7675" w:rsidP="007B7675">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 xml:space="preserve">1) </w:t>
            </w:r>
            <w:r w:rsidRPr="00317ABF">
              <w:rPr>
                <w:rFonts w:ascii="Times New Roman" w:hAnsi="Times New Roman" w:cs="Times New Roman"/>
                <w:sz w:val="22"/>
                <w:szCs w:val="22"/>
              </w:rPr>
              <w:tab/>
              <w:t>używanego przez zagraniczny statek powietrzny, morski lub statek żeglugi śródlądowej, zgodnie z międzynarodowymi przepisami radiokomunikacyjnymi, jeżeli urządzenie zostało dopuszczone do używania przez właściwy organ;</w:t>
            </w:r>
          </w:p>
          <w:p w14:paraId="3F763C47" w14:textId="77777777" w:rsidR="007B7675" w:rsidRPr="00317ABF" w:rsidRDefault="007B7675" w:rsidP="007B7675">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 xml:space="preserve">2) </w:t>
            </w:r>
            <w:r w:rsidRPr="00317ABF">
              <w:rPr>
                <w:rFonts w:ascii="Times New Roman" w:hAnsi="Times New Roman" w:cs="Times New Roman"/>
                <w:sz w:val="22"/>
                <w:szCs w:val="22"/>
              </w:rPr>
              <w:tab/>
              <w:t>używanego, zgodnie z przepisami międzynarodowymi, w służbie amatorskiej przez cudzoziemca oraz obywatela polskiego stale rezydującego za granicą podczas pobytu na terytorium Rzeczypospolitej Polskiej, jeżeli jednorazowo pobyt taki nie jest dłuższy niż 90 dni;</w:t>
            </w:r>
          </w:p>
          <w:p w14:paraId="35F3358D" w14:textId="77777777" w:rsidR="007B7675" w:rsidRPr="00317ABF" w:rsidRDefault="007B7675" w:rsidP="007B7675">
            <w:pPr>
              <w:pStyle w:val="PKTpunkt0"/>
              <w:keepNext/>
              <w:spacing w:line="240" w:lineRule="auto"/>
              <w:rPr>
                <w:rFonts w:ascii="Times New Roman" w:hAnsi="Times New Roman" w:cs="Times New Roman"/>
                <w:sz w:val="22"/>
                <w:szCs w:val="22"/>
              </w:rPr>
            </w:pPr>
            <w:r w:rsidRPr="00317ABF">
              <w:rPr>
                <w:rFonts w:ascii="Times New Roman" w:hAnsi="Times New Roman" w:cs="Times New Roman"/>
                <w:sz w:val="22"/>
                <w:szCs w:val="22"/>
              </w:rPr>
              <w:t xml:space="preserve">3) </w:t>
            </w:r>
            <w:r w:rsidRPr="00317ABF">
              <w:rPr>
                <w:rFonts w:ascii="Times New Roman" w:hAnsi="Times New Roman" w:cs="Times New Roman"/>
                <w:sz w:val="22"/>
                <w:szCs w:val="22"/>
              </w:rPr>
              <w:tab/>
              <w:t>końcowego:</w:t>
            </w:r>
          </w:p>
          <w:p w14:paraId="4E5A402F" w14:textId="77777777" w:rsidR="007B7675" w:rsidRPr="00317ABF" w:rsidRDefault="007B7675" w:rsidP="007B7675">
            <w:pPr>
              <w:pStyle w:val="LITlitera"/>
              <w:spacing w:line="240" w:lineRule="auto"/>
              <w:rPr>
                <w:rFonts w:ascii="Times New Roman" w:hAnsi="Times New Roman" w:cs="Times New Roman"/>
                <w:sz w:val="22"/>
                <w:szCs w:val="22"/>
              </w:rPr>
            </w:pPr>
            <w:r w:rsidRPr="00317ABF">
              <w:rPr>
                <w:rFonts w:ascii="Times New Roman" w:hAnsi="Times New Roman" w:cs="Times New Roman"/>
                <w:sz w:val="22"/>
                <w:szCs w:val="22"/>
              </w:rPr>
              <w:t xml:space="preserve">a) </w:t>
            </w:r>
            <w:r w:rsidRPr="00317ABF">
              <w:rPr>
                <w:rFonts w:ascii="Times New Roman" w:hAnsi="Times New Roman" w:cs="Times New Roman"/>
                <w:sz w:val="22"/>
                <w:szCs w:val="22"/>
              </w:rPr>
              <w:tab/>
              <w:t>dołączanego do zakończenia sieci telekomunikacyjnej, z wyłączeniem urządzeń stosowanych w służbie lotniczej, morskiej lub żeglugi śródlądowej,</w:t>
            </w:r>
          </w:p>
          <w:p w14:paraId="775D1C5E" w14:textId="77777777" w:rsidR="007B7675" w:rsidRPr="00317ABF" w:rsidRDefault="007B7675" w:rsidP="007B7675">
            <w:pPr>
              <w:pStyle w:val="LITlitera"/>
              <w:spacing w:line="240" w:lineRule="auto"/>
              <w:rPr>
                <w:rFonts w:ascii="Times New Roman" w:hAnsi="Times New Roman" w:cs="Times New Roman"/>
                <w:sz w:val="22"/>
                <w:szCs w:val="22"/>
              </w:rPr>
            </w:pPr>
            <w:r w:rsidRPr="00317ABF">
              <w:rPr>
                <w:rFonts w:ascii="Times New Roman" w:hAnsi="Times New Roman" w:cs="Times New Roman"/>
                <w:sz w:val="22"/>
                <w:szCs w:val="22"/>
              </w:rPr>
              <w:t xml:space="preserve">b) </w:t>
            </w:r>
            <w:r w:rsidRPr="00317ABF">
              <w:rPr>
                <w:rFonts w:ascii="Times New Roman" w:hAnsi="Times New Roman" w:cs="Times New Roman"/>
                <w:sz w:val="22"/>
                <w:szCs w:val="22"/>
              </w:rPr>
              <w:tab/>
              <w:t>służącego do utrzymywania łączności z przebywającym krótkookresowo na terytorium Rzeczypospolitej Polskiej lub znajdującym się na nim w tranzycie, zagranicznym pojazdem, statkiem powietrznym, morskim lub statkiem żeglugi śródlądowej, przytwierdzonego w sposób trwały do tego pojazdu lub statku, wykorzystującego międzynarodowo uzgodnione zakresy częstotliwości;</w:t>
            </w:r>
          </w:p>
          <w:p w14:paraId="4A16456C" w14:textId="77777777" w:rsidR="007B7675" w:rsidRPr="00317ABF" w:rsidRDefault="007B7675" w:rsidP="007B7675">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 xml:space="preserve">4) </w:t>
            </w:r>
            <w:r w:rsidRPr="00317ABF">
              <w:rPr>
                <w:rFonts w:ascii="Times New Roman" w:hAnsi="Times New Roman" w:cs="Times New Roman"/>
                <w:sz w:val="22"/>
                <w:szCs w:val="22"/>
              </w:rPr>
              <w:tab/>
              <w:t>wykorzystującego zakresy częstotliwości zarezerwowane na rzecz podmiotu uprawnionego do dysponowania częstotliwością lub, za zgodą tego podmiotu, podmiotu przez niego upoważnionemu lub któremu częstotliwości zostały wydzierżawione lub przekazane do użytkowania zgodnie z art. 96, o ile nie została wydana decyzja, o której mowa w art. 96 ust. 5, o ile rezerwacja częstotliwości przewiduje zwolnienie z obowiązku uzyskania pozwolenia i określa warunki wykorzystywania częstotliwości;</w:t>
            </w:r>
          </w:p>
          <w:p w14:paraId="7387ECBE" w14:textId="77777777" w:rsidR="001E1112" w:rsidRPr="00317ABF" w:rsidRDefault="001E1112" w:rsidP="00DB3BEC">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5)</w:t>
            </w:r>
            <w:r w:rsidR="007B7675" w:rsidRPr="00317ABF">
              <w:rPr>
                <w:rFonts w:ascii="Times New Roman" w:hAnsi="Times New Roman" w:cs="Times New Roman"/>
                <w:sz w:val="22"/>
                <w:szCs w:val="22"/>
              </w:rPr>
              <w:t xml:space="preserve"> </w:t>
            </w:r>
            <w:r w:rsidRPr="00317ABF">
              <w:rPr>
                <w:rFonts w:ascii="Times New Roman" w:hAnsi="Times New Roman" w:cs="Times New Roman"/>
                <w:sz w:val="22"/>
                <w:szCs w:val="22"/>
              </w:rPr>
              <w:tab/>
              <w:t xml:space="preserve">będącego urządzeniem klasy 1, o którym mowa w art. </w:t>
            </w:r>
            <w:r w:rsidR="007B7675" w:rsidRPr="00317ABF">
              <w:rPr>
                <w:rFonts w:ascii="Times New Roman" w:hAnsi="Times New Roman" w:cs="Times New Roman"/>
                <w:sz w:val="22"/>
                <w:szCs w:val="22"/>
              </w:rPr>
              <w:t>270</w:t>
            </w:r>
            <w:r w:rsidRPr="00317ABF">
              <w:rPr>
                <w:rFonts w:ascii="Times New Roman" w:hAnsi="Times New Roman" w:cs="Times New Roman"/>
                <w:sz w:val="22"/>
                <w:szCs w:val="22"/>
              </w:rPr>
              <w:t xml:space="preserve"> ust. 3.</w:t>
            </w:r>
          </w:p>
          <w:p w14:paraId="40921A7A" w14:textId="77777777" w:rsidR="001E1112" w:rsidRPr="00317ABF" w:rsidRDefault="001E1112" w:rsidP="00DB3BEC">
            <w:pPr>
              <w:pStyle w:val="USTustnpkodeksu"/>
              <w:spacing w:line="240" w:lineRule="auto"/>
              <w:rPr>
                <w:rFonts w:ascii="Times New Roman" w:hAnsi="Times New Roman" w:cs="Times New Roman"/>
                <w:sz w:val="22"/>
                <w:szCs w:val="22"/>
              </w:rPr>
            </w:pPr>
            <w:r w:rsidRPr="00317ABF">
              <w:rPr>
                <w:rFonts w:ascii="Times New Roman" w:hAnsi="Times New Roman" w:cs="Times New Roman"/>
                <w:sz w:val="22"/>
                <w:szCs w:val="22"/>
              </w:rPr>
              <w:t>3. Urządzenia klasy 1, o których mowa w art. 244 ust. 3, nie podlegają ochronie przed szkodliwymi zakłóceniami powodowanymi przez inne urządzenia.</w:t>
            </w:r>
          </w:p>
          <w:p w14:paraId="400E9210" w14:textId="77777777" w:rsidR="001E1112" w:rsidRPr="00317ABF" w:rsidRDefault="001E1112" w:rsidP="00DB3BEC">
            <w:pPr>
              <w:pStyle w:val="USTustnpkodeksu"/>
              <w:keepNext/>
              <w:spacing w:line="240" w:lineRule="auto"/>
              <w:rPr>
                <w:rFonts w:ascii="Times New Roman" w:hAnsi="Times New Roman" w:cs="Times New Roman"/>
                <w:sz w:val="22"/>
                <w:szCs w:val="22"/>
              </w:rPr>
            </w:pPr>
            <w:r w:rsidRPr="00317ABF">
              <w:rPr>
                <w:rFonts w:ascii="Times New Roman" w:hAnsi="Times New Roman" w:cs="Times New Roman"/>
                <w:sz w:val="22"/>
                <w:szCs w:val="22"/>
              </w:rPr>
              <w:lastRenderedPageBreak/>
              <w:t>4. Minister właściwy do spraw informatyzacji może, w drodze rozporządzenia, rozszerzyć zakres urządzeń radiowych nadawczych lub nadawczo-odbiorczych, które mogą być używane bez pozwolenia, kierując się zasadą zwiększania liczby rodzajów takich urządzeń, przy uwzględnieniu potrzeby harmonijnego gospodarowania częstotliwościami, określając:</w:t>
            </w:r>
          </w:p>
          <w:p w14:paraId="09352E4F" w14:textId="77777777" w:rsidR="007B7675" w:rsidRPr="00317ABF" w:rsidRDefault="007B7675" w:rsidP="007B7675">
            <w:pPr>
              <w:pStyle w:val="PKTpunkt0"/>
              <w:keepNext/>
              <w:spacing w:line="240" w:lineRule="auto"/>
              <w:rPr>
                <w:rFonts w:ascii="Times New Roman" w:hAnsi="Times New Roman" w:cs="Times New Roman"/>
                <w:sz w:val="22"/>
                <w:szCs w:val="22"/>
              </w:rPr>
            </w:pPr>
            <w:r w:rsidRPr="00317ABF">
              <w:rPr>
                <w:rFonts w:ascii="Times New Roman" w:hAnsi="Times New Roman" w:cs="Times New Roman"/>
                <w:sz w:val="22"/>
                <w:szCs w:val="22"/>
              </w:rPr>
              <w:t xml:space="preserve">1) </w:t>
            </w:r>
            <w:r w:rsidRPr="00317ABF">
              <w:rPr>
                <w:rFonts w:ascii="Times New Roman" w:hAnsi="Times New Roman" w:cs="Times New Roman"/>
                <w:sz w:val="22"/>
                <w:szCs w:val="22"/>
              </w:rPr>
              <w:tab/>
              <w:t>warunki używania urządzeń radiowych nadawczych lub nadawczo-odbiorczych, które mogą być używane bez pozwolenia,</w:t>
            </w:r>
          </w:p>
          <w:p w14:paraId="583E317D" w14:textId="77777777" w:rsidR="007B7675" w:rsidRPr="00317ABF" w:rsidRDefault="001E1112" w:rsidP="007B7675">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2)</w:t>
            </w:r>
            <w:r w:rsidR="007B7675" w:rsidRPr="00317ABF">
              <w:rPr>
                <w:rFonts w:ascii="Times New Roman" w:hAnsi="Times New Roman" w:cs="Times New Roman"/>
                <w:sz w:val="22"/>
                <w:szCs w:val="22"/>
              </w:rPr>
              <w:t xml:space="preserve"> </w:t>
            </w:r>
            <w:r w:rsidRPr="00317ABF">
              <w:rPr>
                <w:rFonts w:ascii="Times New Roman" w:hAnsi="Times New Roman" w:cs="Times New Roman"/>
                <w:sz w:val="22"/>
                <w:szCs w:val="22"/>
              </w:rPr>
              <w:tab/>
              <w:t>rodzaje służb radiokomunikacyjnych</w:t>
            </w:r>
            <w:r w:rsidR="007B7675" w:rsidRPr="00317ABF">
              <w:rPr>
                <w:rFonts w:ascii="Times New Roman" w:hAnsi="Times New Roman" w:cs="Times New Roman"/>
                <w:sz w:val="22"/>
                <w:szCs w:val="22"/>
              </w:rPr>
              <w:t xml:space="preserve"> </w:t>
            </w:r>
          </w:p>
          <w:p w14:paraId="334AFEBA" w14:textId="42DC945E" w:rsidR="006D7A29" w:rsidRPr="00317ABF" w:rsidRDefault="007B7675" w:rsidP="00EE3DC9">
            <w:pPr>
              <w:rPr>
                <w:sz w:val="22"/>
                <w:szCs w:val="22"/>
              </w:rPr>
            </w:pPr>
            <w:r w:rsidRPr="00317ABF">
              <w:rPr>
                <w:sz w:val="22"/>
                <w:szCs w:val="22"/>
              </w:rPr>
              <w:t>- uwzględniając przepisy międzynarodowe</w:t>
            </w:r>
            <w:r w:rsidR="001E1112" w:rsidRPr="00317ABF">
              <w:rPr>
                <w:sz w:val="22"/>
                <w:szCs w:val="22"/>
              </w:rPr>
              <w:t>.</w:t>
            </w:r>
          </w:p>
          <w:p w14:paraId="50B03AAA" w14:textId="77777777" w:rsidR="001E1112" w:rsidRPr="00317ABF" w:rsidRDefault="001E1112" w:rsidP="00EE3DC9">
            <w:pPr>
              <w:pStyle w:val="ARTartustawynprozporzdzenia"/>
              <w:spacing w:before="0" w:line="240" w:lineRule="auto"/>
              <w:rPr>
                <w:rFonts w:ascii="Times New Roman" w:hAnsi="Times New Roman" w:cs="Times New Roman"/>
                <w:sz w:val="22"/>
                <w:szCs w:val="22"/>
              </w:rPr>
            </w:pPr>
            <w:r w:rsidRPr="00317ABF">
              <w:rPr>
                <w:rStyle w:val="Ppogrubienie"/>
                <w:rFonts w:ascii="Times New Roman" w:hAnsi="Times New Roman"/>
                <w:sz w:val="22"/>
                <w:szCs w:val="22"/>
              </w:rPr>
              <w:t>Art. 129.</w:t>
            </w:r>
            <w:r w:rsidRPr="00317ABF">
              <w:rPr>
                <w:rFonts w:ascii="Times New Roman" w:hAnsi="Times New Roman" w:cs="Times New Roman"/>
                <w:sz w:val="22"/>
                <w:szCs w:val="22"/>
              </w:rPr>
              <w:t xml:space="preserve"> 1. Używanie urządzenia radiowego nadawczego lub nadawczo-odbiorczego, niewymagającego pozwolenia na podstawie art. 127 ust. 2 pkt 4, podlega wpisowi do rejestru urządzeń radiowych używanych bez pozwolenia, zwanego dalej „rejestrem urządzeń”.</w:t>
            </w:r>
          </w:p>
          <w:p w14:paraId="13C76ED1" w14:textId="77777777" w:rsidR="001E1112" w:rsidRPr="00317ABF" w:rsidRDefault="001E1112" w:rsidP="00DB3BEC">
            <w:pPr>
              <w:pStyle w:val="USTustnpkodeksu"/>
              <w:spacing w:line="240" w:lineRule="auto"/>
              <w:rPr>
                <w:rFonts w:ascii="Times New Roman" w:hAnsi="Times New Roman" w:cs="Times New Roman"/>
                <w:sz w:val="22"/>
                <w:szCs w:val="22"/>
              </w:rPr>
            </w:pPr>
            <w:r w:rsidRPr="00317ABF">
              <w:rPr>
                <w:rFonts w:ascii="Times New Roman" w:hAnsi="Times New Roman" w:cs="Times New Roman"/>
                <w:sz w:val="22"/>
                <w:szCs w:val="22"/>
              </w:rPr>
              <w:t>2. Prezes UKE prowadzi rejestr urządzeń w systemie teleinformatycznym.</w:t>
            </w:r>
          </w:p>
          <w:p w14:paraId="64F30058" w14:textId="77777777" w:rsidR="001E1112" w:rsidRPr="00317ABF" w:rsidRDefault="001E1112" w:rsidP="00DB3BEC">
            <w:pPr>
              <w:pStyle w:val="USTustnpkodeksu"/>
              <w:keepNext/>
              <w:spacing w:line="240" w:lineRule="auto"/>
              <w:rPr>
                <w:rFonts w:ascii="Times New Roman" w:hAnsi="Times New Roman" w:cs="Times New Roman"/>
                <w:sz w:val="22"/>
                <w:szCs w:val="22"/>
              </w:rPr>
            </w:pPr>
            <w:r w:rsidRPr="00317ABF">
              <w:rPr>
                <w:rFonts w:ascii="Times New Roman" w:hAnsi="Times New Roman" w:cs="Times New Roman"/>
                <w:sz w:val="22"/>
                <w:szCs w:val="22"/>
              </w:rPr>
              <w:t>3. Rejestr urządzeń obejmuje w szczególności:</w:t>
            </w:r>
          </w:p>
          <w:p w14:paraId="5961278E" w14:textId="77777777" w:rsidR="001E1112" w:rsidRPr="00317ABF" w:rsidRDefault="001E1112" w:rsidP="00DB3BEC">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1)</w:t>
            </w:r>
            <w:r w:rsidRPr="00317ABF">
              <w:rPr>
                <w:rFonts w:ascii="Times New Roman" w:hAnsi="Times New Roman" w:cs="Times New Roman"/>
                <w:sz w:val="22"/>
                <w:szCs w:val="22"/>
              </w:rPr>
              <w:tab/>
              <w:t>kolejny numer wpisu;</w:t>
            </w:r>
          </w:p>
          <w:p w14:paraId="7F374886" w14:textId="77777777" w:rsidR="001E1112" w:rsidRPr="00317ABF" w:rsidRDefault="001E1112" w:rsidP="00DB3BEC">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2)</w:t>
            </w:r>
            <w:r w:rsidRPr="00317ABF">
              <w:rPr>
                <w:rFonts w:ascii="Times New Roman" w:hAnsi="Times New Roman" w:cs="Times New Roman"/>
                <w:sz w:val="22"/>
                <w:szCs w:val="22"/>
              </w:rPr>
              <w:tab/>
              <w:t>datę otrzymania wniosku oraz datę dokonania wpisu;</w:t>
            </w:r>
          </w:p>
          <w:p w14:paraId="06E64A00" w14:textId="77777777" w:rsidR="001E1112" w:rsidRPr="00317ABF" w:rsidRDefault="001E1112" w:rsidP="00DB3BEC">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3)</w:t>
            </w:r>
            <w:r w:rsidRPr="00317ABF">
              <w:rPr>
                <w:rFonts w:ascii="Times New Roman" w:hAnsi="Times New Roman" w:cs="Times New Roman"/>
                <w:sz w:val="22"/>
                <w:szCs w:val="22"/>
              </w:rPr>
              <w:tab/>
              <w:t>dane, o których mowa w art. 130 ust. 1.</w:t>
            </w:r>
          </w:p>
          <w:p w14:paraId="5249FA95" w14:textId="77777777" w:rsidR="00EE3DC9" w:rsidRPr="00317ABF" w:rsidRDefault="001E1112" w:rsidP="00EE3DC9">
            <w:pPr>
              <w:rPr>
                <w:sz w:val="22"/>
                <w:szCs w:val="22"/>
              </w:rPr>
            </w:pPr>
            <w:r w:rsidRPr="00317ABF">
              <w:rPr>
                <w:sz w:val="22"/>
                <w:szCs w:val="22"/>
              </w:rPr>
              <w:t>4. Rejestr urządzeń jest jawny i jest udostępniany na stronie podmiotowej BIP UKE.</w:t>
            </w:r>
          </w:p>
          <w:p w14:paraId="4BB1854A" w14:textId="6957B11C" w:rsidR="001E1112" w:rsidRPr="00317ABF" w:rsidRDefault="001E1112" w:rsidP="00DB3BEC">
            <w:pPr>
              <w:pStyle w:val="USTustnpkodeksu"/>
              <w:spacing w:line="240" w:lineRule="auto"/>
              <w:rPr>
                <w:rFonts w:ascii="Times New Roman" w:hAnsi="Times New Roman" w:cs="Times New Roman"/>
                <w:sz w:val="22"/>
                <w:szCs w:val="22"/>
              </w:rPr>
            </w:pPr>
          </w:p>
          <w:p w14:paraId="32430912" w14:textId="77777777" w:rsidR="006D7A29" w:rsidRPr="00317ABF" w:rsidRDefault="006D7A29" w:rsidP="007B7675">
            <w:pPr>
              <w:pStyle w:val="USTustnpkodeksu"/>
              <w:spacing w:line="240" w:lineRule="auto"/>
              <w:rPr>
                <w:rFonts w:ascii="Times New Roman" w:hAnsi="Times New Roman" w:cs="Times New Roman"/>
                <w:sz w:val="22"/>
                <w:szCs w:val="22"/>
              </w:rPr>
            </w:pPr>
          </w:p>
          <w:p w14:paraId="745356EC" w14:textId="77777777" w:rsidR="001E1112" w:rsidRPr="00317ABF" w:rsidRDefault="001E1112" w:rsidP="00EE3DC9">
            <w:pPr>
              <w:pStyle w:val="ARTartustawynprozporzdzenia"/>
              <w:keepNext/>
              <w:spacing w:before="0" w:line="240" w:lineRule="auto"/>
              <w:rPr>
                <w:rFonts w:ascii="Times New Roman" w:hAnsi="Times New Roman" w:cs="Times New Roman"/>
                <w:sz w:val="22"/>
                <w:szCs w:val="22"/>
              </w:rPr>
            </w:pPr>
            <w:r w:rsidRPr="00317ABF">
              <w:rPr>
                <w:rStyle w:val="Ppogrubienie"/>
                <w:rFonts w:ascii="Times New Roman" w:hAnsi="Times New Roman"/>
                <w:sz w:val="22"/>
                <w:szCs w:val="22"/>
              </w:rPr>
              <w:t>Art. 130.</w:t>
            </w:r>
            <w:r w:rsidRPr="00317ABF">
              <w:rPr>
                <w:rFonts w:ascii="Times New Roman" w:hAnsi="Times New Roman" w:cs="Times New Roman"/>
                <w:sz w:val="22"/>
                <w:szCs w:val="22"/>
              </w:rPr>
              <w:t xml:space="preserve"> 1. Prezes UKE dokonuje wpisu do rejestru urządzeń na podstawie złożonego przez podmiot uprawniony do dysponowania częstotliwością wniosku zawierającego następujące dane:</w:t>
            </w:r>
          </w:p>
          <w:p w14:paraId="3C3AA348" w14:textId="77777777" w:rsidR="001E1112" w:rsidRPr="00317ABF" w:rsidRDefault="001E1112" w:rsidP="00DB3BEC">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1)</w:t>
            </w:r>
            <w:r w:rsidRPr="00317ABF">
              <w:rPr>
                <w:rFonts w:ascii="Times New Roman" w:hAnsi="Times New Roman" w:cs="Times New Roman"/>
                <w:sz w:val="22"/>
                <w:szCs w:val="22"/>
              </w:rPr>
              <w:tab/>
              <w:t>nazwę (firmę) podmiotu uprawnionego do dysponowania częstotliwością, jego siedzibę i adres;</w:t>
            </w:r>
          </w:p>
          <w:p w14:paraId="3096CB43" w14:textId="77777777" w:rsidR="001E1112" w:rsidRPr="00317ABF" w:rsidRDefault="001E1112" w:rsidP="00DB3BEC">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2)</w:t>
            </w:r>
            <w:r w:rsidRPr="00317ABF">
              <w:rPr>
                <w:rFonts w:ascii="Times New Roman" w:hAnsi="Times New Roman" w:cs="Times New Roman"/>
                <w:sz w:val="22"/>
                <w:szCs w:val="22"/>
              </w:rPr>
              <w:tab/>
              <w:t>oznaczenie formy prawnej podmiotu uprawnionego do dysponowania częstotliwością;</w:t>
            </w:r>
          </w:p>
          <w:p w14:paraId="24009578" w14:textId="77777777" w:rsidR="001E1112" w:rsidRPr="00317ABF" w:rsidRDefault="001E1112" w:rsidP="00DB3BEC">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3)</w:t>
            </w:r>
            <w:r w:rsidRPr="00317ABF">
              <w:rPr>
                <w:rFonts w:ascii="Times New Roman" w:hAnsi="Times New Roman" w:cs="Times New Roman"/>
                <w:sz w:val="22"/>
                <w:szCs w:val="22"/>
              </w:rPr>
              <w:tab/>
              <w:t>numer decyzji w sprawie rezerwacji częstotliwości;</w:t>
            </w:r>
          </w:p>
          <w:p w14:paraId="4572E50D" w14:textId="77777777" w:rsidR="001E1112" w:rsidRPr="00317ABF" w:rsidRDefault="001E1112" w:rsidP="00DB3BEC">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4)</w:t>
            </w:r>
            <w:r w:rsidRPr="00317ABF">
              <w:rPr>
                <w:rFonts w:ascii="Times New Roman" w:hAnsi="Times New Roman" w:cs="Times New Roman"/>
                <w:sz w:val="22"/>
                <w:szCs w:val="22"/>
              </w:rPr>
              <w:tab/>
              <w:t>imię, nazwisko, adres i numer telefonu osoby upoważnionej do kontaktowania się w imieniu podmiotu uprawnionego do dysponowania częstotliwością;</w:t>
            </w:r>
          </w:p>
          <w:p w14:paraId="63C9EFFF" w14:textId="77777777" w:rsidR="001E1112" w:rsidRPr="00317ABF" w:rsidRDefault="001E1112" w:rsidP="00DB3BEC">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5)</w:t>
            </w:r>
            <w:r w:rsidRPr="00317ABF">
              <w:rPr>
                <w:rFonts w:ascii="Times New Roman" w:hAnsi="Times New Roman" w:cs="Times New Roman"/>
                <w:sz w:val="22"/>
                <w:szCs w:val="22"/>
              </w:rPr>
              <w:tab/>
              <w:t>warunki wykorzystywania częstotliwości, o których mowa w art. 125 ust. 1 pkt 1;</w:t>
            </w:r>
          </w:p>
          <w:p w14:paraId="55090664" w14:textId="77777777" w:rsidR="001E1112" w:rsidRPr="00317ABF" w:rsidRDefault="001E1112" w:rsidP="00DB3BEC">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6)</w:t>
            </w:r>
            <w:r w:rsidRPr="00317ABF">
              <w:rPr>
                <w:rFonts w:ascii="Times New Roman" w:hAnsi="Times New Roman" w:cs="Times New Roman"/>
                <w:sz w:val="22"/>
                <w:szCs w:val="22"/>
              </w:rPr>
              <w:tab/>
              <w:t>przewidywaną datę rozpoczęcia używania urządzenia.</w:t>
            </w:r>
          </w:p>
          <w:p w14:paraId="564714BA" w14:textId="77777777" w:rsidR="001E1112" w:rsidRPr="00317ABF" w:rsidRDefault="001E1112" w:rsidP="00DB3BEC">
            <w:pPr>
              <w:pStyle w:val="USTustnpkodeksu"/>
              <w:keepNext/>
              <w:spacing w:line="240" w:lineRule="auto"/>
              <w:rPr>
                <w:rFonts w:ascii="Times New Roman" w:hAnsi="Times New Roman" w:cs="Times New Roman"/>
                <w:sz w:val="22"/>
                <w:szCs w:val="22"/>
              </w:rPr>
            </w:pPr>
            <w:r w:rsidRPr="00317ABF">
              <w:rPr>
                <w:rFonts w:ascii="Times New Roman" w:hAnsi="Times New Roman" w:cs="Times New Roman"/>
                <w:sz w:val="22"/>
                <w:szCs w:val="22"/>
              </w:rPr>
              <w:t xml:space="preserve">2. Wniosek o wpis do rejestru urządzeń zawiera oświadczenie </w:t>
            </w:r>
            <w:r w:rsidR="007B7675" w:rsidRPr="00317ABF">
              <w:rPr>
                <w:rFonts w:ascii="Times New Roman" w:hAnsi="Times New Roman" w:cs="Times New Roman"/>
                <w:sz w:val="22"/>
                <w:szCs w:val="22"/>
              </w:rPr>
              <w:t xml:space="preserve">osoby uprawnionej do reprezentowania podmiotu, o którym mowa w ust. 1, </w:t>
            </w:r>
            <w:r w:rsidRPr="00317ABF">
              <w:rPr>
                <w:rFonts w:ascii="Times New Roman" w:hAnsi="Times New Roman" w:cs="Times New Roman"/>
                <w:sz w:val="22"/>
                <w:szCs w:val="22"/>
              </w:rPr>
              <w:t xml:space="preserve">o </w:t>
            </w:r>
            <w:r w:rsidRPr="00317ABF">
              <w:rPr>
                <w:rFonts w:ascii="Times New Roman" w:hAnsi="Times New Roman" w:cs="Times New Roman"/>
                <w:sz w:val="22"/>
                <w:szCs w:val="22"/>
              </w:rPr>
              <w:lastRenderedPageBreak/>
              <w:t>następującej treści: „Świadomy odpowiedzialności karnej za złożenie fałszywego oświadczenia wynikającej z art. 233 § 6 Kodeksu karnego oświadczam, że:</w:t>
            </w:r>
          </w:p>
          <w:p w14:paraId="7FF2FAB5" w14:textId="77777777" w:rsidR="001E1112" w:rsidRPr="00317ABF" w:rsidRDefault="001E1112" w:rsidP="00DB3BEC">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1)</w:t>
            </w:r>
            <w:r w:rsidRPr="00317ABF">
              <w:rPr>
                <w:rFonts w:ascii="Times New Roman" w:hAnsi="Times New Roman" w:cs="Times New Roman"/>
                <w:sz w:val="22"/>
                <w:szCs w:val="22"/>
              </w:rPr>
              <w:tab/>
              <w:t xml:space="preserve"> dane zawarte we wniosku o wpis do rejestru urządzeń są zgodne z prawdą;</w:t>
            </w:r>
          </w:p>
          <w:p w14:paraId="2788FB79" w14:textId="77777777" w:rsidR="001E1112" w:rsidRPr="00317ABF" w:rsidRDefault="001E1112" w:rsidP="00DB3BEC">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2)</w:t>
            </w:r>
            <w:r w:rsidRPr="00317ABF">
              <w:rPr>
                <w:rFonts w:ascii="Times New Roman" w:hAnsi="Times New Roman" w:cs="Times New Roman"/>
                <w:sz w:val="22"/>
                <w:szCs w:val="22"/>
              </w:rPr>
              <w:tab/>
              <w:t xml:space="preserve"> znane mi są i spełniam wynikające z ustawy z dnia … r. - Prawo komunikacji elektronicznej warunki używania urządzenia radiowego, którego dotyczy wniosek;</w:t>
            </w:r>
          </w:p>
          <w:p w14:paraId="4D242567" w14:textId="77777777" w:rsidR="001E1112" w:rsidRPr="00317ABF" w:rsidRDefault="001E1112" w:rsidP="00DB3BEC">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3)</w:t>
            </w:r>
            <w:r w:rsidRPr="00317ABF">
              <w:rPr>
                <w:rFonts w:ascii="Times New Roman" w:hAnsi="Times New Roman" w:cs="Times New Roman"/>
                <w:sz w:val="22"/>
                <w:szCs w:val="22"/>
              </w:rPr>
              <w:tab/>
              <w:t xml:space="preserve"> urządzenie radiowe objęte wnioskiem spełnia odnoszące się do niego wymagania, o których mowa w art. 233 ust. 1-3.”. Klauzula ta zastępuje pouczenie organu uprawnionego do odebrania oświadczenia o odpowiedzialności karnej za złożenie fałszywego oświadczenia.</w:t>
            </w:r>
          </w:p>
          <w:p w14:paraId="7EBBAF17" w14:textId="77777777" w:rsidR="001E1112" w:rsidRPr="00317ABF" w:rsidRDefault="001E1112" w:rsidP="00DB3BEC">
            <w:pPr>
              <w:pStyle w:val="USTustnpkodeksu"/>
              <w:spacing w:line="240" w:lineRule="auto"/>
              <w:rPr>
                <w:rFonts w:ascii="Times New Roman" w:hAnsi="Times New Roman" w:cs="Times New Roman"/>
                <w:sz w:val="22"/>
                <w:szCs w:val="22"/>
              </w:rPr>
            </w:pPr>
            <w:r w:rsidRPr="00317ABF">
              <w:rPr>
                <w:rFonts w:ascii="Times New Roman" w:hAnsi="Times New Roman" w:cs="Times New Roman"/>
                <w:sz w:val="22"/>
                <w:szCs w:val="22"/>
              </w:rPr>
              <w:t>3. Do wniosku o wpis do rejestru urządzeń składanego przez podmiot upoważniony, o którym mowa w art. 122 ust. 4 dołącza się upoważnienie do wykorzystywania częstotliwości udzielone przez podmiot uprawniony do dysponowania częstotliwością, wskazujące zakres częstotliwości, obszar, na którym częstotliwości mogą być wykorzystywane oraz okres, w którym podmiot jest uprawniony do wykorzystywania częstotliwości.</w:t>
            </w:r>
          </w:p>
          <w:p w14:paraId="0138FAEC" w14:textId="30D72065" w:rsidR="001E1112" w:rsidRPr="00317ABF" w:rsidRDefault="001E1112" w:rsidP="007B7675">
            <w:pPr>
              <w:pStyle w:val="ARTartustawynprozporzdzenia"/>
              <w:keepNext/>
              <w:spacing w:before="0" w:line="240" w:lineRule="auto"/>
              <w:rPr>
                <w:rFonts w:ascii="Times New Roman" w:hAnsi="Times New Roman" w:cs="Times New Roman"/>
                <w:sz w:val="22"/>
                <w:szCs w:val="22"/>
              </w:rPr>
            </w:pPr>
            <w:r w:rsidRPr="00317ABF">
              <w:rPr>
                <w:rFonts w:ascii="Times New Roman" w:hAnsi="Times New Roman" w:cs="Times New Roman"/>
                <w:sz w:val="22"/>
                <w:szCs w:val="22"/>
              </w:rPr>
              <w:t>4. Wniosek, o którym mowa w ust. 1, opatrzony jest kwalifikowanym podpisem elektronicznym, podpisem zaufanym albo podpisem osobistym</w:t>
            </w:r>
            <w:r w:rsidR="00EE3DC9" w:rsidRPr="00317ABF">
              <w:rPr>
                <w:rFonts w:ascii="Times New Roman" w:hAnsi="Times New Roman" w:cs="Times New Roman"/>
                <w:sz w:val="22"/>
                <w:szCs w:val="22"/>
              </w:rPr>
              <w:t>.</w:t>
            </w:r>
            <w:r w:rsidRPr="00317ABF">
              <w:rPr>
                <w:rFonts w:ascii="Times New Roman" w:hAnsi="Times New Roman" w:cs="Times New Roman"/>
                <w:sz w:val="22"/>
                <w:szCs w:val="22"/>
              </w:rPr>
              <w:t>.</w:t>
            </w:r>
          </w:p>
          <w:p w14:paraId="74A561A2" w14:textId="77777777" w:rsidR="006D7A29" w:rsidRPr="00317ABF" w:rsidRDefault="006D7A29" w:rsidP="007B7675">
            <w:pPr>
              <w:pStyle w:val="ARTartustawynprozporzdzenia"/>
              <w:keepNext/>
              <w:spacing w:before="0" w:line="240" w:lineRule="auto"/>
              <w:rPr>
                <w:rFonts w:ascii="Times New Roman" w:hAnsi="Times New Roman" w:cs="Times New Roman"/>
                <w:sz w:val="22"/>
                <w:szCs w:val="22"/>
              </w:rPr>
            </w:pPr>
          </w:p>
          <w:p w14:paraId="01FEE310" w14:textId="77777777" w:rsidR="001E1112" w:rsidRPr="00317ABF" w:rsidRDefault="001E1112" w:rsidP="007B7675">
            <w:pPr>
              <w:pStyle w:val="ARTartustawynprozporzdzenia"/>
              <w:keepNext/>
              <w:spacing w:before="0" w:line="240" w:lineRule="auto"/>
              <w:ind w:firstLine="0"/>
              <w:rPr>
                <w:rFonts w:ascii="Times New Roman" w:hAnsi="Times New Roman" w:cs="Times New Roman"/>
                <w:sz w:val="22"/>
                <w:szCs w:val="22"/>
              </w:rPr>
            </w:pPr>
            <w:r w:rsidRPr="00317ABF">
              <w:rPr>
                <w:rStyle w:val="Ppogrubienie"/>
                <w:rFonts w:ascii="Times New Roman" w:hAnsi="Times New Roman"/>
                <w:sz w:val="22"/>
                <w:szCs w:val="22"/>
              </w:rPr>
              <w:t>Art. </w:t>
            </w:r>
            <w:r w:rsidR="007B7675" w:rsidRPr="00317ABF">
              <w:rPr>
                <w:rStyle w:val="Ppogrubienie"/>
                <w:rFonts w:ascii="Times New Roman" w:hAnsi="Times New Roman"/>
                <w:sz w:val="22"/>
                <w:szCs w:val="22"/>
              </w:rPr>
              <w:t>149</w:t>
            </w:r>
            <w:r w:rsidRPr="00317ABF">
              <w:rPr>
                <w:rStyle w:val="Ppogrubienie"/>
                <w:rFonts w:ascii="Times New Roman" w:hAnsi="Times New Roman"/>
                <w:sz w:val="22"/>
                <w:szCs w:val="22"/>
              </w:rPr>
              <w:t>.</w:t>
            </w:r>
            <w:r w:rsidRPr="00317ABF">
              <w:rPr>
                <w:rFonts w:ascii="Times New Roman" w:hAnsi="Times New Roman" w:cs="Times New Roman"/>
                <w:sz w:val="22"/>
                <w:szCs w:val="22"/>
              </w:rPr>
              <w:t xml:space="preserve"> 1. Prezes UKE dokonuje wpisu urządzenia do rejestru urządzeń w terminie do 21 dni roboczych od dnia otrzymania wniosku, o którym mowa w art. </w:t>
            </w:r>
            <w:r w:rsidR="007B7675" w:rsidRPr="00317ABF">
              <w:rPr>
                <w:rFonts w:ascii="Times New Roman" w:hAnsi="Times New Roman" w:cs="Times New Roman"/>
                <w:sz w:val="22"/>
                <w:szCs w:val="22"/>
              </w:rPr>
              <w:t>148</w:t>
            </w:r>
            <w:r w:rsidRPr="00317ABF">
              <w:rPr>
                <w:rFonts w:ascii="Times New Roman" w:hAnsi="Times New Roman" w:cs="Times New Roman"/>
                <w:sz w:val="22"/>
                <w:szCs w:val="22"/>
              </w:rPr>
              <w:t xml:space="preserve"> </w:t>
            </w:r>
            <w:r w:rsidR="00DB3BEC" w:rsidRPr="00317ABF">
              <w:rPr>
                <w:rFonts w:ascii="Times New Roman" w:hAnsi="Times New Roman" w:cs="Times New Roman"/>
                <w:sz w:val="22"/>
                <w:szCs w:val="22"/>
              </w:rPr>
              <w:t xml:space="preserve">ust. </w:t>
            </w:r>
            <w:r w:rsidRPr="00317ABF">
              <w:rPr>
                <w:rFonts w:ascii="Times New Roman" w:hAnsi="Times New Roman" w:cs="Times New Roman"/>
                <w:sz w:val="22"/>
                <w:szCs w:val="22"/>
              </w:rPr>
              <w:t>1, lub od dnia uzupełnienia tego wniosku.</w:t>
            </w:r>
          </w:p>
          <w:p w14:paraId="2A59A08D" w14:textId="77777777" w:rsidR="001E1112" w:rsidRPr="00317ABF" w:rsidRDefault="001E1112" w:rsidP="00DB3BEC">
            <w:pPr>
              <w:pStyle w:val="USTustnpkodeksu"/>
              <w:spacing w:line="240" w:lineRule="auto"/>
              <w:rPr>
                <w:rFonts w:ascii="Times New Roman" w:hAnsi="Times New Roman" w:cs="Times New Roman"/>
                <w:sz w:val="22"/>
                <w:szCs w:val="22"/>
              </w:rPr>
            </w:pPr>
            <w:r w:rsidRPr="00317ABF">
              <w:rPr>
                <w:rFonts w:ascii="Times New Roman" w:hAnsi="Times New Roman" w:cs="Times New Roman"/>
                <w:sz w:val="22"/>
                <w:szCs w:val="22"/>
              </w:rPr>
              <w:t xml:space="preserve">2. W przypadku, gdy wniosek nie zawiera danych, o których mowa w art. </w:t>
            </w:r>
            <w:r w:rsidR="007B7675" w:rsidRPr="00317ABF">
              <w:rPr>
                <w:rFonts w:ascii="Times New Roman" w:hAnsi="Times New Roman" w:cs="Times New Roman"/>
                <w:sz w:val="22"/>
                <w:szCs w:val="22"/>
              </w:rPr>
              <w:t>148</w:t>
            </w:r>
            <w:r w:rsidRPr="00317ABF">
              <w:rPr>
                <w:rFonts w:ascii="Times New Roman" w:hAnsi="Times New Roman" w:cs="Times New Roman"/>
                <w:sz w:val="22"/>
                <w:szCs w:val="22"/>
              </w:rPr>
              <w:t xml:space="preserve"> ust. </w:t>
            </w:r>
            <w:r w:rsidR="007B7675" w:rsidRPr="00317ABF">
              <w:rPr>
                <w:rFonts w:ascii="Times New Roman" w:hAnsi="Times New Roman" w:cs="Times New Roman"/>
                <w:sz w:val="22"/>
                <w:szCs w:val="22"/>
              </w:rPr>
              <w:t>1 lub oświadczenia, o którym mowa w art. 148 ust. 2 albo</w:t>
            </w:r>
            <w:r w:rsidRPr="00317ABF">
              <w:rPr>
                <w:rFonts w:ascii="Times New Roman" w:hAnsi="Times New Roman" w:cs="Times New Roman"/>
                <w:sz w:val="22"/>
                <w:szCs w:val="22"/>
              </w:rPr>
              <w:t xml:space="preserve"> w przypadku stwierdzenia, że we wniosku błędnie określono dane, o których mowa w art. </w:t>
            </w:r>
            <w:r w:rsidR="007B7675" w:rsidRPr="00317ABF">
              <w:rPr>
                <w:rFonts w:ascii="Times New Roman" w:hAnsi="Times New Roman" w:cs="Times New Roman"/>
                <w:sz w:val="22"/>
                <w:szCs w:val="22"/>
              </w:rPr>
              <w:t>148</w:t>
            </w:r>
            <w:r w:rsidRPr="00317ABF">
              <w:rPr>
                <w:rFonts w:ascii="Times New Roman" w:hAnsi="Times New Roman" w:cs="Times New Roman"/>
                <w:sz w:val="22"/>
                <w:szCs w:val="22"/>
              </w:rPr>
              <w:t xml:space="preserve"> ust. 1, Prezes UKE niezwłocznie, jednak nie później niż przed upływem terminu, o którym mowa w ust. 1, wzywa wnioskodawcę do uzupełnienia wniosku w terminie 7 dni od dnia doręczenia wezwania. Wniosek nieuzupełniony w wyznaczonym terminie pozostawia się bez rozpoznania.</w:t>
            </w:r>
          </w:p>
          <w:p w14:paraId="4B7107FD" w14:textId="77777777" w:rsidR="001E1112" w:rsidRPr="00317ABF" w:rsidRDefault="001E1112" w:rsidP="00DB3BEC">
            <w:pPr>
              <w:pStyle w:val="USTustnpkodeksu"/>
              <w:spacing w:line="240" w:lineRule="auto"/>
              <w:rPr>
                <w:rFonts w:ascii="Times New Roman" w:hAnsi="Times New Roman" w:cs="Times New Roman"/>
                <w:sz w:val="22"/>
                <w:szCs w:val="22"/>
              </w:rPr>
            </w:pPr>
            <w:r w:rsidRPr="00317ABF">
              <w:rPr>
                <w:rFonts w:ascii="Times New Roman" w:hAnsi="Times New Roman" w:cs="Times New Roman"/>
                <w:sz w:val="22"/>
                <w:szCs w:val="22"/>
              </w:rPr>
              <w:t>3. Jeżeli Prezes UKE, z zastrzeżeniem ust. 2, nie dokona wpisu w terminie, o którym mowa w ust. 1, a od dnia otrzymania wniosku o wpis do rejestru urządzeń upłynęło 28 dni roboczych, podmiot uprawniony do dysponowania częstotliwością może rozpocząć jej wykorzystywanie za pomocą urządzenia, którego dotyczył wniosek, po uprzednim zawiadomieniu pisemnie Prezesa UKE.</w:t>
            </w:r>
          </w:p>
          <w:p w14:paraId="4A4C6065" w14:textId="77777777" w:rsidR="001E1112" w:rsidRPr="00317ABF" w:rsidRDefault="001E1112" w:rsidP="00DB3BEC">
            <w:pPr>
              <w:pStyle w:val="USTustnpkodeksu"/>
              <w:spacing w:line="240" w:lineRule="auto"/>
              <w:rPr>
                <w:rFonts w:ascii="Times New Roman" w:hAnsi="Times New Roman" w:cs="Times New Roman"/>
                <w:sz w:val="22"/>
                <w:szCs w:val="22"/>
              </w:rPr>
            </w:pPr>
            <w:r w:rsidRPr="00317ABF">
              <w:rPr>
                <w:rFonts w:ascii="Times New Roman" w:hAnsi="Times New Roman" w:cs="Times New Roman"/>
                <w:sz w:val="22"/>
                <w:szCs w:val="22"/>
              </w:rPr>
              <w:lastRenderedPageBreak/>
              <w:t>4. Prezes UKE prostuje z urzędu wpis do rejestru urządzeń zawierający oczywiste błędy lub niezgodności ze stanem faktycznym.</w:t>
            </w:r>
          </w:p>
          <w:p w14:paraId="120B431E" w14:textId="77777777" w:rsidR="007B7675" w:rsidRPr="00317ABF" w:rsidRDefault="007B7675" w:rsidP="007B7675">
            <w:pPr>
              <w:pStyle w:val="USTustnpkodeksu"/>
              <w:spacing w:line="240" w:lineRule="auto"/>
              <w:rPr>
                <w:rFonts w:ascii="Times New Roman" w:hAnsi="Times New Roman" w:cs="Times New Roman"/>
                <w:sz w:val="22"/>
                <w:szCs w:val="22"/>
              </w:rPr>
            </w:pPr>
          </w:p>
          <w:p w14:paraId="429AFE92" w14:textId="77777777" w:rsidR="007B7675" w:rsidRPr="00317ABF" w:rsidRDefault="007B7675" w:rsidP="006D7A29">
            <w:pPr>
              <w:pStyle w:val="ARTartustawynprozporzdzenia"/>
              <w:spacing w:before="0" w:line="240" w:lineRule="auto"/>
              <w:ind w:firstLine="0"/>
              <w:rPr>
                <w:rFonts w:ascii="Times New Roman" w:hAnsi="Times New Roman" w:cs="Times New Roman"/>
                <w:sz w:val="22"/>
                <w:szCs w:val="22"/>
              </w:rPr>
            </w:pPr>
            <w:r w:rsidRPr="00317ABF">
              <w:rPr>
                <w:rStyle w:val="Ppogrubienie"/>
                <w:rFonts w:ascii="Times New Roman" w:hAnsi="Times New Roman"/>
                <w:sz w:val="22"/>
                <w:szCs w:val="22"/>
              </w:rPr>
              <w:t>Art. 150.</w:t>
            </w:r>
            <w:r w:rsidRPr="00317ABF">
              <w:rPr>
                <w:rFonts w:ascii="Times New Roman" w:hAnsi="Times New Roman" w:cs="Times New Roman"/>
                <w:sz w:val="22"/>
                <w:szCs w:val="22"/>
              </w:rPr>
              <w:t xml:space="preserve"> 1. Jeżeli nastąpiła zmiana danych, o których mowa w art. 148 ust. 1, podmiot wpisany do rejestru urządzeń jest obowiązany w terminie 7 dni od dnia zmiany tych danych złożyć do Prezesa UKE wniosek o zmianę wpisu w rejestrze urządzeń.</w:t>
            </w:r>
          </w:p>
          <w:p w14:paraId="4F24F590" w14:textId="77777777" w:rsidR="007B7675" w:rsidRPr="00317ABF" w:rsidRDefault="007B7675" w:rsidP="006D7A29">
            <w:pPr>
              <w:pStyle w:val="USTustnpkodeksu"/>
              <w:spacing w:line="240" w:lineRule="auto"/>
              <w:rPr>
                <w:rFonts w:ascii="Times New Roman" w:hAnsi="Times New Roman" w:cs="Times New Roman"/>
                <w:sz w:val="22"/>
                <w:szCs w:val="22"/>
              </w:rPr>
            </w:pPr>
            <w:r w:rsidRPr="00317ABF">
              <w:rPr>
                <w:rFonts w:ascii="Times New Roman" w:hAnsi="Times New Roman" w:cs="Times New Roman"/>
                <w:sz w:val="22"/>
                <w:szCs w:val="22"/>
              </w:rPr>
              <w:t>2. Wniosek, o którym mowa w ust. 1, zawiera numer z rejestru urządzeń, dane podlegające zmianie oraz oświadczenie, o którym mowa w art. 148 ust. 2.</w:t>
            </w:r>
          </w:p>
          <w:p w14:paraId="57ED7CF0" w14:textId="77777777" w:rsidR="007B7675" w:rsidRPr="00317ABF" w:rsidRDefault="007B7675" w:rsidP="006D7A29">
            <w:pPr>
              <w:pStyle w:val="USTustnpkodeksu"/>
              <w:spacing w:line="240" w:lineRule="auto"/>
              <w:rPr>
                <w:rFonts w:ascii="Times New Roman" w:hAnsi="Times New Roman" w:cs="Times New Roman"/>
                <w:sz w:val="22"/>
                <w:szCs w:val="22"/>
              </w:rPr>
            </w:pPr>
            <w:r w:rsidRPr="00317ABF">
              <w:rPr>
                <w:rFonts w:ascii="Times New Roman" w:hAnsi="Times New Roman" w:cs="Times New Roman"/>
                <w:sz w:val="22"/>
                <w:szCs w:val="22"/>
              </w:rPr>
              <w:t>3. W przypadku braków formalnych wniosku o zmianę wpisu, stosuje się art. 149 ust. 1.</w:t>
            </w:r>
          </w:p>
          <w:p w14:paraId="6586C6DA" w14:textId="4CDEE50B" w:rsidR="007B7675" w:rsidRPr="00317ABF" w:rsidRDefault="007B7675" w:rsidP="007B7675">
            <w:pPr>
              <w:pStyle w:val="USTustnpkodeksu"/>
              <w:spacing w:line="240" w:lineRule="auto"/>
              <w:ind w:firstLine="0"/>
              <w:rPr>
                <w:rFonts w:ascii="Times New Roman" w:hAnsi="Times New Roman" w:cs="Times New Roman"/>
                <w:sz w:val="22"/>
                <w:szCs w:val="22"/>
              </w:rPr>
            </w:pPr>
            <w:r w:rsidRPr="00317ABF">
              <w:rPr>
                <w:rFonts w:ascii="Times New Roman" w:hAnsi="Times New Roman" w:cs="Times New Roman"/>
                <w:sz w:val="22"/>
                <w:szCs w:val="22"/>
              </w:rPr>
              <w:t>4. Prezes UKE na podstawie wniosku, o którym mowa w ust. 1, dokonuje zmiany wpisu w rejestrze urządzeń.</w:t>
            </w:r>
          </w:p>
          <w:p w14:paraId="242CD8F0" w14:textId="77777777" w:rsidR="006D7A29" w:rsidRPr="00317ABF" w:rsidRDefault="006D7A29" w:rsidP="006D7A29">
            <w:pPr>
              <w:pStyle w:val="USTustnpkodeksu"/>
              <w:spacing w:line="240" w:lineRule="auto"/>
              <w:ind w:firstLine="0"/>
              <w:rPr>
                <w:rFonts w:ascii="Times New Roman" w:hAnsi="Times New Roman" w:cs="Times New Roman"/>
                <w:sz w:val="22"/>
                <w:szCs w:val="22"/>
              </w:rPr>
            </w:pPr>
          </w:p>
          <w:p w14:paraId="6EE23894" w14:textId="77777777" w:rsidR="000E577C" w:rsidRPr="00317ABF" w:rsidRDefault="000E577C" w:rsidP="006D7A29">
            <w:pPr>
              <w:pStyle w:val="ARTartustawynprozporzdzenia"/>
              <w:spacing w:before="0" w:line="240" w:lineRule="auto"/>
              <w:ind w:firstLine="0"/>
              <w:rPr>
                <w:rFonts w:ascii="Times New Roman" w:hAnsi="Times New Roman" w:cs="Times New Roman"/>
                <w:sz w:val="22"/>
                <w:szCs w:val="22"/>
              </w:rPr>
            </w:pPr>
            <w:r w:rsidRPr="00317ABF">
              <w:rPr>
                <w:rStyle w:val="Ppogrubienie"/>
                <w:rFonts w:ascii="Times New Roman" w:hAnsi="Times New Roman"/>
                <w:sz w:val="22"/>
                <w:szCs w:val="22"/>
              </w:rPr>
              <w:t>Art. 151.</w:t>
            </w:r>
            <w:r w:rsidRPr="00317ABF">
              <w:rPr>
                <w:rFonts w:ascii="Times New Roman" w:hAnsi="Times New Roman" w:cs="Times New Roman"/>
                <w:sz w:val="22"/>
                <w:szCs w:val="22"/>
              </w:rPr>
              <w:t xml:space="preserve"> 1. Prezes UKE może wykreślić wpis do rejestru urządzeń, jeżeli zachodzą okoliczności, o których mowa w art. 99 ust. 1.</w:t>
            </w:r>
          </w:p>
          <w:p w14:paraId="74E9FACF" w14:textId="77777777" w:rsidR="001E1112" w:rsidRPr="00317ABF" w:rsidRDefault="001E1112" w:rsidP="00DB3BEC">
            <w:pPr>
              <w:pStyle w:val="USTustnpkodeksu"/>
              <w:spacing w:line="240" w:lineRule="auto"/>
              <w:rPr>
                <w:rFonts w:ascii="Times New Roman" w:hAnsi="Times New Roman" w:cs="Times New Roman"/>
                <w:sz w:val="22"/>
                <w:szCs w:val="22"/>
              </w:rPr>
            </w:pPr>
            <w:r w:rsidRPr="00317ABF">
              <w:rPr>
                <w:rFonts w:ascii="Times New Roman" w:hAnsi="Times New Roman" w:cs="Times New Roman"/>
                <w:sz w:val="22"/>
                <w:szCs w:val="22"/>
              </w:rPr>
              <w:t>2. Prezes UKE wykreśla wpis do rejestru urządzeń w przypadku wygaśnięcia rezerwacji częstotliwości albo na wniosek podmiotu uprawnionego do dysponowania rezerwacją.</w:t>
            </w:r>
          </w:p>
          <w:p w14:paraId="2313A6EE" w14:textId="77777777" w:rsidR="006D7A29" w:rsidRPr="00317ABF" w:rsidRDefault="006D7A29" w:rsidP="006D7A29">
            <w:pPr>
              <w:pStyle w:val="USTustnpkodeksu"/>
              <w:spacing w:line="240" w:lineRule="auto"/>
              <w:rPr>
                <w:rFonts w:ascii="Times New Roman" w:hAnsi="Times New Roman" w:cs="Times New Roman"/>
                <w:sz w:val="22"/>
                <w:szCs w:val="22"/>
              </w:rPr>
            </w:pPr>
          </w:p>
          <w:p w14:paraId="095E3B20" w14:textId="77777777" w:rsidR="000E577C" w:rsidRPr="00317ABF" w:rsidRDefault="000E577C" w:rsidP="006D7A29">
            <w:pPr>
              <w:pStyle w:val="ARTartustawynprozporzdzenia"/>
              <w:spacing w:before="0" w:line="240" w:lineRule="auto"/>
              <w:ind w:firstLine="0"/>
              <w:rPr>
                <w:rFonts w:ascii="Times New Roman" w:hAnsi="Times New Roman" w:cs="Times New Roman"/>
                <w:sz w:val="22"/>
                <w:szCs w:val="22"/>
              </w:rPr>
            </w:pPr>
            <w:r w:rsidRPr="00317ABF">
              <w:rPr>
                <w:rStyle w:val="Ppogrubienie"/>
                <w:rFonts w:ascii="Times New Roman" w:hAnsi="Times New Roman"/>
                <w:sz w:val="22"/>
                <w:szCs w:val="22"/>
              </w:rPr>
              <w:t>Art. 152.</w:t>
            </w:r>
            <w:r w:rsidRPr="00317ABF">
              <w:rPr>
                <w:rFonts w:ascii="Times New Roman" w:hAnsi="Times New Roman" w:cs="Times New Roman"/>
                <w:sz w:val="22"/>
                <w:szCs w:val="22"/>
              </w:rPr>
              <w:t xml:space="preserve"> 1. Prezes UKE, w drodze decyzji, na wniosek zainteresowanego podmiotu, może dopuścić czasowe używanie urządzenia radiowego w zakresach częstotliwości cywilnych lub cywilno-rządowych w celu zapewnienia przekazu informacji na okres nieprzekraczający 30 dni.</w:t>
            </w:r>
          </w:p>
          <w:p w14:paraId="7F0EEACD" w14:textId="77777777" w:rsidR="000E577C" w:rsidRPr="00317ABF" w:rsidRDefault="000E577C" w:rsidP="006D7A29">
            <w:pPr>
              <w:pStyle w:val="USTustnpkodeksu"/>
              <w:spacing w:line="240" w:lineRule="auto"/>
              <w:rPr>
                <w:rFonts w:ascii="Times New Roman" w:hAnsi="Times New Roman" w:cs="Times New Roman"/>
                <w:sz w:val="22"/>
                <w:szCs w:val="22"/>
              </w:rPr>
            </w:pPr>
            <w:r w:rsidRPr="00317ABF">
              <w:rPr>
                <w:rFonts w:ascii="Times New Roman" w:hAnsi="Times New Roman" w:cs="Times New Roman"/>
                <w:sz w:val="22"/>
                <w:szCs w:val="22"/>
              </w:rPr>
              <w:t>2. Prezes UKE wydając decyzję, o której mowa w ust. 1, kieruje się obiektywnymi, przejrzystymi, niedyskryminacyjnymi i proporcjonalnymi kryteriami.</w:t>
            </w:r>
          </w:p>
          <w:p w14:paraId="7A52B2CE" w14:textId="77777777" w:rsidR="000E577C" w:rsidRPr="00317ABF" w:rsidRDefault="000E577C" w:rsidP="006D7A29">
            <w:pPr>
              <w:pStyle w:val="USTustnpkodeksu"/>
              <w:keepNext/>
              <w:spacing w:line="240" w:lineRule="auto"/>
              <w:rPr>
                <w:rFonts w:ascii="Times New Roman" w:hAnsi="Times New Roman" w:cs="Times New Roman"/>
                <w:sz w:val="22"/>
                <w:szCs w:val="22"/>
              </w:rPr>
            </w:pPr>
            <w:r w:rsidRPr="00317ABF">
              <w:rPr>
                <w:rFonts w:ascii="Times New Roman" w:hAnsi="Times New Roman" w:cs="Times New Roman"/>
                <w:sz w:val="22"/>
                <w:szCs w:val="22"/>
              </w:rPr>
              <w:t>3. Do wniosku, o którym mowa w ust. 1, dołącza się oryginał lub kopię:</w:t>
            </w:r>
          </w:p>
          <w:p w14:paraId="51A27E3F" w14:textId="77777777" w:rsidR="000E577C" w:rsidRPr="00317ABF" w:rsidRDefault="000E577C" w:rsidP="006D7A29">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 xml:space="preserve">1) </w:t>
            </w:r>
            <w:r w:rsidRPr="00317ABF">
              <w:rPr>
                <w:rFonts w:ascii="Times New Roman" w:hAnsi="Times New Roman" w:cs="Times New Roman"/>
                <w:sz w:val="22"/>
                <w:szCs w:val="22"/>
              </w:rPr>
              <w:tab/>
              <w:t>dokumentu potwierdzającego spełnienie przez urządzenie wymagań, o których mowa w art. 269 ust. 1-3;</w:t>
            </w:r>
          </w:p>
          <w:p w14:paraId="61D22900" w14:textId="77777777" w:rsidR="000E577C" w:rsidRPr="00317ABF" w:rsidRDefault="000E577C" w:rsidP="006D7A29">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 xml:space="preserve">2) </w:t>
            </w:r>
            <w:r w:rsidRPr="00317ABF">
              <w:rPr>
                <w:rFonts w:ascii="Times New Roman" w:hAnsi="Times New Roman" w:cs="Times New Roman"/>
                <w:sz w:val="22"/>
                <w:szCs w:val="22"/>
              </w:rPr>
              <w:tab/>
              <w:t>pełnomocnictwa - jeżeli strona działa przez pełnomocnika;</w:t>
            </w:r>
          </w:p>
          <w:p w14:paraId="567BD757" w14:textId="77777777" w:rsidR="000E577C" w:rsidRPr="00317ABF" w:rsidRDefault="000E577C" w:rsidP="006D7A29">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 xml:space="preserve">3) </w:t>
            </w:r>
            <w:r w:rsidRPr="00317ABF">
              <w:rPr>
                <w:rFonts w:ascii="Times New Roman" w:hAnsi="Times New Roman" w:cs="Times New Roman"/>
                <w:sz w:val="22"/>
                <w:szCs w:val="22"/>
              </w:rPr>
              <w:tab/>
              <w:t>dowodu uiszczenia opłaty za prawo do wykorzystywania częstotliwości, o której mowa w art. 24 ust. 4.</w:t>
            </w:r>
          </w:p>
          <w:p w14:paraId="6801057C" w14:textId="77777777" w:rsidR="000E577C" w:rsidRPr="00317ABF" w:rsidRDefault="000E577C" w:rsidP="006D7A29">
            <w:pPr>
              <w:pStyle w:val="USTustnpkodeksu"/>
              <w:spacing w:line="240" w:lineRule="auto"/>
              <w:rPr>
                <w:rFonts w:ascii="Times New Roman" w:hAnsi="Times New Roman" w:cs="Times New Roman"/>
                <w:sz w:val="22"/>
                <w:szCs w:val="22"/>
              </w:rPr>
            </w:pPr>
            <w:r w:rsidRPr="00317ABF">
              <w:rPr>
                <w:rFonts w:ascii="Times New Roman" w:hAnsi="Times New Roman" w:cs="Times New Roman"/>
                <w:sz w:val="22"/>
                <w:szCs w:val="22"/>
              </w:rPr>
              <w:t>4. Dokumenty, o których mowa w ust. 3, mogą być złożone w języku angielskim. Przepisu art. 33 § 2 i 3 oraz art. 76a § 2 ustawy z dnia 14 czerwca 1960 r. - Kodeks postępowania administracyjnego nie stosuje się.</w:t>
            </w:r>
          </w:p>
          <w:p w14:paraId="0A3C60EF" w14:textId="77777777" w:rsidR="000E577C" w:rsidRPr="00317ABF" w:rsidRDefault="000E577C" w:rsidP="006D7A29">
            <w:pPr>
              <w:pStyle w:val="USTustnpkodeksu"/>
              <w:spacing w:line="240" w:lineRule="auto"/>
              <w:rPr>
                <w:rFonts w:ascii="Times New Roman" w:hAnsi="Times New Roman" w:cs="Times New Roman"/>
                <w:sz w:val="22"/>
                <w:szCs w:val="22"/>
              </w:rPr>
            </w:pPr>
            <w:r w:rsidRPr="00317ABF">
              <w:rPr>
                <w:rFonts w:ascii="Times New Roman" w:hAnsi="Times New Roman" w:cs="Times New Roman"/>
                <w:sz w:val="22"/>
                <w:szCs w:val="22"/>
              </w:rPr>
              <w:lastRenderedPageBreak/>
              <w:t>5. Obowiązek wniesienia opłaty za prawo do wykorzystywania częstotliwości, o której mowa w art. 24 ust. 4, powstaje z chwilą złożenia wniosku, o którym mowa w ust. 1. Opłatę wpłaca się z chwilą powstania obowiązku jej zapłaty.</w:t>
            </w:r>
          </w:p>
          <w:p w14:paraId="1240B43E" w14:textId="77777777" w:rsidR="001E1112" w:rsidRPr="00317ABF" w:rsidRDefault="001E1112" w:rsidP="00DB3BEC">
            <w:pPr>
              <w:pStyle w:val="USTustnpkodeksu"/>
              <w:keepNext/>
              <w:spacing w:line="240" w:lineRule="auto"/>
              <w:rPr>
                <w:rFonts w:ascii="Times New Roman" w:hAnsi="Times New Roman" w:cs="Times New Roman"/>
                <w:sz w:val="22"/>
                <w:szCs w:val="22"/>
              </w:rPr>
            </w:pPr>
            <w:r w:rsidRPr="00317ABF">
              <w:rPr>
                <w:rFonts w:ascii="Times New Roman" w:hAnsi="Times New Roman" w:cs="Times New Roman"/>
                <w:sz w:val="22"/>
                <w:szCs w:val="22"/>
              </w:rPr>
              <w:t>7. W decyzji, o której mowa w ust. 1, Prezes UKE określa:</w:t>
            </w:r>
          </w:p>
          <w:p w14:paraId="574F7C4C" w14:textId="77777777" w:rsidR="001E1112" w:rsidRPr="00317ABF" w:rsidRDefault="001E1112" w:rsidP="00DB3BEC">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1)</w:t>
            </w:r>
            <w:r w:rsidRPr="00317ABF">
              <w:rPr>
                <w:rFonts w:ascii="Times New Roman" w:hAnsi="Times New Roman" w:cs="Times New Roman"/>
                <w:sz w:val="22"/>
                <w:szCs w:val="22"/>
              </w:rPr>
              <w:tab/>
              <w:t>rodzaj, wyróżnik typu oraz nazwę producenta urządzenia radiowego, którego dotyczy decyzja;</w:t>
            </w:r>
          </w:p>
          <w:p w14:paraId="15D2FC75" w14:textId="77777777" w:rsidR="000E577C" w:rsidRPr="00317ABF" w:rsidRDefault="000E577C" w:rsidP="006D7A29">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2)</w:t>
            </w:r>
            <w:r w:rsidRPr="00317ABF">
              <w:rPr>
                <w:rFonts w:ascii="Times New Roman" w:hAnsi="Times New Roman" w:cs="Times New Roman"/>
                <w:sz w:val="22"/>
                <w:szCs w:val="22"/>
              </w:rPr>
              <w:tab/>
              <w:t>uprawniony podmiot oraz jego siedzibę i adres lub adres stałego miejsca wykonywania działalności gospodarczej jeżeli podmiot posiada takie miejsce;</w:t>
            </w:r>
          </w:p>
          <w:p w14:paraId="4F0DAE7F" w14:textId="77777777" w:rsidR="001E1112" w:rsidRPr="00317ABF" w:rsidRDefault="001E1112" w:rsidP="00DB3BEC">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3)</w:t>
            </w:r>
            <w:r w:rsidRPr="00317ABF">
              <w:rPr>
                <w:rFonts w:ascii="Times New Roman" w:hAnsi="Times New Roman" w:cs="Times New Roman"/>
                <w:sz w:val="22"/>
                <w:szCs w:val="22"/>
              </w:rPr>
              <w:tab/>
              <w:t>warunki wykorzystania częstotliwości;</w:t>
            </w:r>
          </w:p>
          <w:p w14:paraId="5AEC1CC5" w14:textId="77777777" w:rsidR="001E1112" w:rsidRPr="00317ABF" w:rsidRDefault="001E1112" w:rsidP="00DB3BEC">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4)</w:t>
            </w:r>
            <w:r w:rsidRPr="00317ABF">
              <w:rPr>
                <w:rFonts w:ascii="Times New Roman" w:hAnsi="Times New Roman" w:cs="Times New Roman"/>
                <w:sz w:val="22"/>
                <w:szCs w:val="22"/>
              </w:rPr>
              <w:tab/>
              <w:t>warunki używania urządzenia radiowego, w szczególności rodzaj służby, w której jest wykorzystywane urządzenie;</w:t>
            </w:r>
          </w:p>
          <w:p w14:paraId="2F189B37" w14:textId="77777777" w:rsidR="001E1112" w:rsidRPr="00317ABF" w:rsidRDefault="001E1112" w:rsidP="00DB3BEC">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5)</w:t>
            </w:r>
            <w:r w:rsidRPr="00317ABF">
              <w:rPr>
                <w:rFonts w:ascii="Times New Roman" w:hAnsi="Times New Roman" w:cs="Times New Roman"/>
                <w:sz w:val="22"/>
                <w:szCs w:val="22"/>
              </w:rPr>
              <w:tab/>
              <w:t>okres obowiązywania decyzji;</w:t>
            </w:r>
          </w:p>
          <w:p w14:paraId="5E076B2A" w14:textId="77777777" w:rsidR="001E1112" w:rsidRPr="00317ABF" w:rsidRDefault="001E1112" w:rsidP="00DB3BEC">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6)</w:t>
            </w:r>
            <w:r w:rsidRPr="00317ABF">
              <w:rPr>
                <w:rFonts w:ascii="Times New Roman" w:hAnsi="Times New Roman" w:cs="Times New Roman"/>
                <w:sz w:val="22"/>
                <w:szCs w:val="22"/>
              </w:rPr>
              <w:tab/>
              <w:t>termin rozpoczęcia wykorzystania częstotliwości.</w:t>
            </w:r>
          </w:p>
          <w:p w14:paraId="5DA71075" w14:textId="656A2E65" w:rsidR="001E1112" w:rsidRPr="00317ABF" w:rsidRDefault="000E577C" w:rsidP="00DB3BEC">
            <w:pPr>
              <w:pStyle w:val="USTustnpkodeksu"/>
              <w:spacing w:line="240" w:lineRule="auto"/>
              <w:rPr>
                <w:rFonts w:ascii="Times New Roman" w:hAnsi="Times New Roman" w:cs="Times New Roman"/>
                <w:sz w:val="22"/>
                <w:szCs w:val="22"/>
              </w:rPr>
            </w:pPr>
            <w:r w:rsidRPr="00317ABF">
              <w:rPr>
                <w:rFonts w:ascii="Times New Roman" w:hAnsi="Times New Roman" w:cs="Times New Roman"/>
                <w:sz w:val="22"/>
                <w:szCs w:val="22"/>
              </w:rPr>
              <w:t>7</w:t>
            </w:r>
            <w:r w:rsidR="001E1112" w:rsidRPr="00317ABF">
              <w:rPr>
                <w:rFonts w:ascii="Times New Roman" w:hAnsi="Times New Roman" w:cs="Times New Roman"/>
                <w:sz w:val="22"/>
                <w:szCs w:val="22"/>
              </w:rPr>
              <w:t xml:space="preserve">. Prezes UKE odmawia wydania decyzji, o której mowa w ust. 1, albo cofa tę decyzję, jeżeli wystąpi jedna z okoliczności, o których mowa w art. </w:t>
            </w:r>
            <w:r w:rsidRPr="00317ABF">
              <w:rPr>
                <w:rFonts w:ascii="Times New Roman" w:hAnsi="Times New Roman" w:cs="Times New Roman"/>
                <w:sz w:val="22"/>
                <w:szCs w:val="22"/>
              </w:rPr>
              <w:t>100</w:t>
            </w:r>
            <w:r w:rsidR="001E1112" w:rsidRPr="00317ABF">
              <w:rPr>
                <w:rFonts w:ascii="Times New Roman" w:hAnsi="Times New Roman" w:cs="Times New Roman"/>
                <w:sz w:val="22"/>
                <w:szCs w:val="22"/>
              </w:rPr>
              <w:t xml:space="preserve"> ust. 2 pkt 1-3.</w:t>
            </w:r>
          </w:p>
          <w:p w14:paraId="051697E7" w14:textId="77777777" w:rsidR="000E577C" w:rsidRPr="00317ABF" w:rsidRDefault="000E577C" w:rsidP="006D7A29">
            <w:pPr>
              <w:pStyle w:val="ARTartustawynprozporzdzenia"/>
              <w:spacing w:before="0" w:line="240" w:lineRule="auto"/>
              <w:ind w:firstLine="0"/>
              <w:rPr>
                <w:rFonts w:ascii="Times New Roman" w:hAnsi="Times New Roman" w:cs="Times New Roman"/>
                <w:sz w:val="22"/>
                <w:szCs w:val="22"/>
              </w:rPr>
            </w:pPr>
            <w:r w:rsidRPr="00317ABF">
              <w:rPr>
                <w:rStyle w:val="Ppogrubienie"/>
                <w:rFonts w:ascii="Times New Roman" w:hAnsi="Times New Roman"/>
                <w:sz w:val="22"/>
                <w:szCs w:val="22"/>
              </w:rPr>
              <w:t>Art. 153.</w:t>
            </w:r>
            <w:r w:rsidRPr="00317ABF">
              <w:rPr>
                <w:rFonts w:ascii="Times New Roman" w:hAnsi="Times New Roman" w:cs="Times New Roman"/>
                <w:sz w:val="22"/>
                <w:szCs w:val="22"/>
              </w:rPr>
              <w:t xml:space="preserve"> 1. Prezes UKE, w drodze decyzji, na wniosek zainteresowanego podmiotu, może zezwolić na czasowe używanie urządzenia radiowego nadawczego lub nadawczo-odbiorczego w celu przeprowadzenia badań, testów lub eksperymentów w zakresach częstotliwości cywilnych lub cywilno-rządowych, pod warunkiem przedstawienia celu oraz harmonogramu prowadzenia tych badań, testów lub eksperymentów.</w:t>
            </w:r>
          </w:p>
          <w:p w14:paraId="4ECE3D41" w14:textId="77777777" w:rsidR="000E577C" w:rsidRPr="00317ABF" w:rsidRDefault="000E577C" w:rsidP="006D7A29">
            <w:pPr>
              <w:pStyle w:val="USTustnpkodeksu"/>
              <w:spacing w:line="240" w:lineRule="auto"/>
              <w:rPr>
                <w:rFonts w:ascii="Times New Roman" w:hAnsi="Times New Roman" w:cs="Times New Roman"/>
                <w:sz w:val="22"/>
                <w:szCs w:val="22"/>
              </w:rPr>
            </w:pPr>
            <w:r w:rsidRPr="00317ABF">
              <w:rPr>
                <w:rFonts w:ascii="Times New Roman" w:hAnsi="Times New Roman" w:cs="Times New Roman"/>
                <w:sz w:val="22"/>
                <w:szCs w:val="22"/>
              </w:rPr>
              <w:t>2. Decyzję, o której mowa w ust. 1, dotyczącą używania urządzeń radiowych służących do rozprowadzania lub rozpowszechniania programów radiofonicznych lub telewizyjnych, Prezes UKE wydaje w porozumieniu z Przewodniczącym KRRiT. Niezajęcie stanowiska przez Przewodniczącego KRRiT w terminie 10 dni roboczych od dnia otrzymania projektu decyzji jest równoznaczne z uzgodnieniem projektu.</w:t>
            </w:r>
          </w:p>
          <w:p w14:paraId="5910B344" w14:textId="77777777" w:rsidR="000E577C" w:rsidRPr="00317ABF" w:rsidRDefault="000E577C" w:rsidP="006D7A29">
            <w:pPr>
              <w:pStyle w:val="USTustnpkodeksu"/>
              <w:spacing w:line="240" w:lineRule="auto"/>
              <w:rPr>
                <w:rFonts w:ascii="Times New Roman" w:hAnsi="Times New Roman" w:cs="Times New Roman"/>
                <w:sz w:val="22"/>
                <w:szCs w:val="22"/>
              </w:rPr>
            </w:pPr>
            <w:r w:rsidRPr="00317ABF">
              <w:rPr>
                <w:rFonts w:ascii="Times New Roman" w:hAnsi="Times New Roman" w:cs="Times New Roman"/>
                <w:sz w:val="22"/>
                <w:szCs w:val="22"/>
              </w:rPr>
              <w:t>3. Stroną postępowania w sprawie o wydanie decyzji, o której mowa w ust. 1, jest także podmiot dysponujący rezerwacją częstotliwości.</w:t>
            </w:r>
          </w:p>
          <w:p w14:paraId="70BA0A92" w14:textId="77777777" w:rsidR="000E577C" w:rsidRPr="00317ABF" w:rsidRDefault="000E577C" w:rsidP="006D7A29">
            <w:pPr>
              <w:pStyle w:val="USTustnpkodeksu"/>
              <w:spacing w:line="240" w:lineRule="auto"/>
              <w:rPr>
                <w:rFonts w:ascii="Times New Roman" w:hAnsi="Times New Roman" w:cs="Times New Roman"/>
                <w:sz w:val="22"/>
                <w:szCs w:val="22"/>
              </w:rPr>
            </w:pPr>
            <w:r w:rsidRPr="00317ABF">
              <w:rPr>
                <w:rFonts w:ascii="Times New Roman" w:hAnsi="Times New Roman" w:cs="Times New Roman"/>
                <w:sz w:val="22"/>
                <w:szCs w:val="22"/>
              </w:rPr>
              <w:t>4. Zezwolenie, o którym mowa w ust. 1, nie może być wydane na okres dłuższy niż rok.</w:t>
            </w:r>
          </w:p>
          <w:p w14:paraId="2C347F32" w14:textId="77777777" w:rsidR="000E577C" w:rsidRPr="00317ABF" w:rsidRDefault="000E577C" w:rsidP="006D7A29">
            <w:pPr>
              <w:pStyle w:val="USTustnpkodeksu"/>
              <w:spacing w:line="240" w:lineRule="auto"/>
              <w:rPr>
                <w:rFonts w:ascii="Times New Roman" w:hAnsi="Times New Roman" w:cs="Times New Roman"/>
                <w:sz w:val="22"/>
                <w:szCs w:val="22"/>
              </w:rPr>
            </w:pPr>
            <w:r w:rsidRPr="00317ABF">
              <w:rPr>
                <w:rFonts w:ascii="Times New Roman" w:hAnsi="Times New Roman" w:cs="Times New Roman"/>
                <w:sz w:val="22"/>
                <w:szCs w:val="22"/>
              </w:rPr>
              <w:t xml:space="preserve">5. Zezwolenie, o którym mowa w ust. 1, może być na wniosek zainteresowanego podmiotu jednokrotnie przedłużone na okres nie dłuższy niż rok, po przedłożeniu sprawozdania z dotychczas wykonanych działań w zakresie badań, testów lub eksperymentów w ramach tego zezwolenia. </w:t>
            </w:r>
            <w:r w:rsidRPr="00317ABF">
              <w:rPr>
                <w:rFonts w:ascii="Times New Roman" w:hAnsi="Times New Roman" w:cs="Times New Roman"/>
                <w:sz w:val="22"/>
                <w:szCs w:val="22"/>
              </w:rPr>
              <w:lastRenderedPageBreak/>
              <w:t>Prezes UKE odmawia przedłużenia zezwolenia w przypadku nieprzedłożenia takiego sprawozdania.</w:t>
            </w:r>
          </w:p>
          <w:p w14:paraId="75007A40" w14:textId="77777777" w:rsidR="000E577C" w:rsidRPr="00317ABF" w:rsidRDefault="000E577C" w:rsidP="006D7A29">
            <w:pPr>
              <w:pStyle w:val="USTustnpkodeksu"/>
              <w:spacing w:line="240" w:lineRule="auto"/>
              <w:rPr>
                <w:rFonts w:ascii="Times New Roman" w:hAnsi="Times New Roman" w:cs="Times New Roman"/>
                <w:sz w:val="22"/>
                <w:szCs w:val="22"/>
              </w:rPr>
            </w:pPr>
            <w:r w:rsidRPr="00317ABF">
              <w:rPr>
                <w:rFonts w:ascii="Times New Roman" w:hAnsi="Times New Roman" w:cs="Times New Roman"/>
                <w:sz w:val="22"/>
                <w:szCs w:val="22"/>
              </w:rPr>
              <w:t>6. Podmiot, który uzyskał zezwolenie, o którym mowa w ust. 1, obowiązany jest przedłożyć Prezesowi UKE sprawozdanie z przeprowadzonych badań, testów lub eksperymentów, w terminie nie dłuższym niż 14 dni od dnia ich zakończenia.</w:t>
            </w:r>
          </w:p>
          <w:p w14:paraId="662D7C7D" w14:textId="77777777" w:rsidR="001E1112" w:rsidRPr="00317ABF" w:rsidRDefault="001E1112" w:rsidP="00DB3BEC">
            <w:pPr>
              <w:pStyle w:val="USTustnpkodeksu"/>
              <w:keepNext/>
              <w:spacing w:line="240" w:lineRule="auto"/>
              <w:rPr>
                <w:rFonts w:ascii="Times New Roman" w:hAnsi="Times New Roman" w:cs="Times New Roman"/>
                <w:sz w:val="22"/>
                <w:szCs w:val="22"/>
              </w:rPr>
            </w:pPr>
            <w:r w:rsidRPr="00317ABF">
              <w:rPr>
                <w:rFonts w:ascii="Times New Roman" w:hAnsi="Times New Roman" w:cs="Times New Roman"/>
                <w:sz w:val="22"/>
                <w:szCs w:val="22"/>
              </w:rPr>
              <w:t>8. Sprawozdanie, o którym mowa w ust. 6 lub ust. 7, z zastrzeżeniem przepisów o ochronie własności przemysłowej i intelektualnej, zawiera w szczególności:</w:t>
            </w:r>
          </w:p>
          <w:p w14:paraId="7A0DC7D6" w14:textId="77777777" w:rsidR="001E1112" w:rsidRPr="00317ABF" w:rsidRDefault="001E1112" w:rsidP="00DB3BEC">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1)</w:t>
            </w:r>
            <w:r w:rsidRPr="00317ABF">
              <w:rPr>
                <w:rFonts w:ascii="Times New Roman" w:hAnsi="Times New Roman" w:cs="Times New Roman"/>
                <w:sz w:val="22"/>
                <w:szCs w:val="22"/>
              </w:rPr>
              <w:tab/>
              <w:t>określenie urządzeń radiowych wykorzystanych w badaniach, testach lub eksperymentach, oraz ich parametry;</w:t>
            </w:r>
          </w:p>
          <w:p w14:paraId="7DB84351" w14:textId="77777777" w:rsidR="001E1112" w:rsidRPr="00317ABF" w:rsidRDefault="001E1112" w:rsidP="00DB3BEC">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2)</w:t>
            </w:r>
            <w:r w:rsidRPr="00317ABF">
              <w:rPr>
                <w:rFonts w:ascii="Times New Roman" w:hAnsi="Times New Roman" w:cs="Times New Roman"/>
                <w:sz w:val="22"/>
                <w:szCs w:val="22"/>
              </w:rPr>
              <w:tab/>
              <w:t>opis metodyki badań, testów lub eksperymentów i ich wyniki;</w:t>
            </w:r>
          </w:p>
          <w:p w14:paraId="20FB6DE4" w14:textId="77777777" w:rsidR="001E1112" w:rsidRPr="00317ABF" w:rsidRDefault="001E1112" w:rsidP="00DB3BEC">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3)</w:t>
            </w:r>
            <w:r w:rsidRPr="00317ABF">
              <w:rPr>
                <w:rFonts w:ascii="Times New Roman" w:hAnsi="Times New Roman" w:cs="Times New Roman"/>
                <w:sz w:val="22"/>
                <w:szCs w:val="22"/>
              </w:rPr>
              <w:tab/>
              <w:t>wnioski wynikające z przeprowadzonych badań, testów lub eksperymentów.</w:t>
            </w:r>
          </w:p>
          <w:p w14:paraId="10D1F3DF" w14:textId="77777777" w:rsidR="000E577C" w:rsidRPr="00317ABF" w:rsidRDefault="000E577C" w:rsidP="006D7A29">
            <w:pPr>
              <w:pStyle w:val="USTustnpkodeksu"/>
              <w:spacing w:line="240" w:lineRule="auto"/>
              <w:rPr>
                <w:rFonts w:ascii="Times New Roman" w:hAnsi="Times New Roman" w:cs="Times New Roman"/>
                <w:sz w:val="22"/>
                <w:szCs w:val="22"/>
              </w:rPr>
            </w:pPr>
            <w:r w:rsidRPr="00317ABF">
              <w:rPr>
                <w:rFonts w:ascii="Times New Roman" w:hAnsi="Times New Roman" w:cs="Times New Roman"/>
                <w:sz w:val="22"/>
                <w:szCs w:val="22"/>
              </w:rPr>
              <w:t>8. Do wydania decyzji, o której mowa w ust. 1, przepisy art. 152 ust. 3 pkt 1 i pkt 3-4, ust. 5 i 6 stosuje się.</w:t>
            </w:r>
          </w:p>
          <w:p w14:paraId="618559CC" w14:textId="77777777" w:rsidR="000E577C" w:rsidRPr="00317ABF" w:rsidRDefault="000E577C" w:rsidP="006D7A29">
            <w:pPr>
              <w:pStyle w:val="USTustnpkodeksu"/>
              <w:spacing w:line="240" w:lineRule="auto"/>
              <w:rPr>
                <w:rFonts w:ascii="Times New Roman" w:hAnsi="Times New Roman" w:cs="Times New Roman"/>
                <w:sz w:val="22"/>
                <w:szCs w:val="22"/>
              </w:rPr>
            </w:pPr>
            <w:r w:rsidRPr="00317ABF">
              <w:rPr>
                <w:rFonts w:ascii="Times New Roman" w:hAnsi="Times New Roman" w:cs="Times New Roman"/>
                <w:sz w:val="22"/>
                <w:szCs w:val="22"/>
              </w:rPr>
              <w:t>9. Prezes UKE, w drodze decyzji, odmawia zezwolenia albo cofa zezwolenie, jeżeli wystąpi jedna z okoliczności, o których mowa w art. 100 ust. 2 pkt 1-3.</w:t>
            </w:r>
          </w:p>
          <w:p w14:paraId="53D2D242" w14:textId="77777777" w:rsidR="000E577C" w:rsidRPr="00317ABF" w:rsidRDefault="000E577C" w:rsidP="006D7A29">
            <w:pPr>
              <w:pStyle w:val="USTustnpkodeksu"/>
              <w:spacing w:line="240" w:lineRule="auto"/>
              <w:rPr>
                <w:rFonts w:ascii="Times New Roman" w:hAnsi="Times New Roman" w:cs="Times New Roman"/>
                <w:sz w:val="22"/>
                <w:szCs w:val="22"/>
              </w:rPr>
            </w:pPr>
            <w:r w:rsidRPr="00317ABF">
              <w:rPr>
                <w:rFonts w:ascii="Times New Roman" w:hAnsi="Times New Roman" w:cs="Times New Roman"/>
                <w:sz w:val="22"/>
                <w:szCs w:val="22"/>
              </w:rPr>
              <w:t>10. Prezes UKE, w drodze decyzji, odmawia zezwolenia jeżeli podmiot, który będąc do tego zobowiązanym nie złożył sprawozdania z przeprowadzonych badań, testów lub eksperymentów.</w:t>
            </w:r>
          </w:p>
          <w:p w14:paraId="59D8FE13" w14:textId="77777777" w:rsidR="000E577C" w:rsidRPr="00317ABF" w:rsidRDefault="000E577C" w:rsidP="006D7A29">
            <w:pPr>
              <w:pStyle w:val="USTustnpkodeksu"/>
              <w:spacing w:line="240" w:lineRule="auto"/>
              <w:rPr>
                <w:rFonts w:ascii="Times New Roman" w:hAnsi="Times New Roman" w:cs="Times New Roman"/>
                <w:sz w:val="22"/>
                <w:szCs w:val="22"/>
              </w:rPr>
            </w:pPr>
            <w:r w:rsidRPr="00317ABF">
              <w:rPr>
                <w:rFonts w:ascii="Times New Roman" w:hAnsi="Times New Roman" w:cs="Times New Roman"/>
                <w:sz w:val="22"/>
                <w:szCs w:val="22"/>
              </w:rPr>
              <w:t>11.</w:t>
            </w:r>
            <w:r w:rsidR="001E1112" w:rsidRPr="00317ABF">
              <w:rPr>
                <w:rFonts w:ascii="Times New Roman" w:hAnsi="Times New Roman" w:cs="Times New Roman"/>
                <w:sz w:val="22"/>
                <w:szCs w:val="22"/>
              </w:rPr>
              <w:t xml:space="preserve"> Prezes UKE, w drodze decyzji może cofnąć zezwolenie, jeżeli podmiot nie rozpoczął badań, testów lub eksperymentów w terminie 3 miesięcy od dnia rozpoczęcia wykorzystywania częstotliwości określonego w zezwoleniu.</w:t>
            </w:r>
          </w:p>
          <w:p w14:paraId="15177E9E" w14:textId="2D4D2F26" w:rsidR="001E1112" w:rsidRPr="00317ABF" w:rsidRDefault="001E1112" w:rsidP="00DB3BEC">
            <w:pPr>
              <w:pStyle w:val="USTustnpkodeksu"/>
              <w:spacing w:line="240" w:lineRule="auto"/>
              <w:rPr>
                <w:rFonts w:ascii="Times New Roman" w:hAnsi="Times New Roman" w:cs="Times New Roman"/>
                <w:sz w:val="22"/>
                <w:szCs w:val="22"/>
              </w:rPr>
            </w:pPr>
          </w:p>
          <w:p w14:paraId="41612154" w14:textId="77777777" w:rsidR="001E1112" w:rsidRPr="00317ABF" w:rsidRDefault="001E1112" w:rsidP="006D7A29">
            <w:pPr>
              <w:pStyle w:val="ARTartustawynprozporzdzenia"/>
              <w:keepNext/>
              <w:spacing w:before="0" w:line="240" w:lineRule="auto"/>
              <w:ind w:firstLine="0"/>
              <w:rPr>
                <w:rFonts w:ascii="Times New Roman" w:hAnsi="Times New Roman" w:cs="Times New Roman"/>
                <w:sz w:val="22"/>
                <w:szCs w:val="22"/>
              </w:rPr>
            </w:pPr>
            <w:r w:rsidRPr="00317ABF">
              <w:rPr>
                <w:rStyle w:val="Ppogrubienie"/>
                <w:rFonts w:ascii="Times New Roman" w:hAnsi="Times New Roman"/>
                <w:sz w:val="22"/>
                <w:szCs w:val="22"/>
              </w:rPr>
              <w:t>Art. 135.</w:t>
            </w:r>
            <w:r w:rsidRPr="00317ABF">
              <w:rPr>
                <w:rFonts w:ascii="Times New Roman" w:hAnsi="Times New Roman" w:cs="Times New Roman"/>
                <w:sz w:val="22"/>
                <w:szCs w:val="22"/>
              </w:rPr>
              <w:t xml:space="preserve"> Prezes UKE udostępnia na stronie podmiotowej BIP UKE informacje o wydanych pozwoleniach, decyzjach o rezerwacji częstotliwości oraz decyzjach o zezwoleniu na czasowe używanie urządzeń radiowych, o których mowa w art. 133 oraz art. 134, obejmujące:</w:t>
            </w:r>
          </w:p>
          <w:p w14:paraId="46487A9E" w14:textId="77777777" w:rsidR="001E1112" w:rsidRPr="00317ABF" w:rsidRDefault="001E1112" w:rsidP="00DB3BEC">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1)</w:t>
            </w:r>
            <w:r w:rsidRPr="00317ABF">
              <w:rPr>
                <w:rFonts w:ascii="Times New Roman" w:hAnsi="Times New Roman" w:cs="Times New Roman"/>
                <w:sz w:val="22"/>
                <w:szCs w:val="22"/>
              </w:rPr>
              <w:tab/>
              <w:t>nazwę (firmę) podmiotu uprawnionego;</w:t>
            </w:r>
          </w:p>
          <w:p w14:paraId="6594D6D6" w14:textId="77777777" w:rsidR="001E1112" w:rsidRPr="00317ABF" w:rsidRDefault="001E1112" w:rsidP="00DB3BEC">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2)</w:t>
            </w:r>
            <w:r w:rsidRPr="00317ABF">
              <w:rPr>
                <w:rFonts w:ascii="Times New Roman" w:hAnsi="Times New Roman" w:cs="Times New Roman"/>
                <w:sz w:val="22"/>
                <w:szCs w:val="22"/>
              </w:rPr>
              <w:tab/>
              <w:t>zakres częstotliwości;</w:t>
            </w:r>
          </w:p>
          <w:p w14:paraId="1A02CEF9" w14:textId="77777777" w:rsidR="001E1112" w:rsidRPr="00317ABF" w:rsidRDefault="001E1112" w:rsidP="00DB3BEC">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3)</w:t>
            </w:r>
            <w:r w:rsidRPr="00317ABF">
              <w:rPr>
                <w:rFonts w:ascii="Times New Roman" w:hAnsi="Times New Roman" w:cs="Times New Roman"/>
                <w:sz w:val="22"/>
                <w:szCs w:val="22"/>
              </w:rPr>
              <w:tab/>
              <w:t>obszar, na którym częstotliwości mogą być wykorzystywane lub lokalizację stacji;</w:t>
            </w:r>
          </w:p>
          <w:p w14:paraId="78CAEA44" w14:textId="77777777" w:rsidR="001E1112" w:rsidRPr="00317ABF" w:rsidRDefault="001E1112" w:rsidP="001154A5">
            <w:pPr>
              <w:rPr>
                <w:sz w:val="22"/>
                <w:szCs w:val="22"/>
              </w:rPr>
            </w:pPr>
            <w:r w:rsidRPr="00317ABF">
              <w:rPr>
                <w:sz w:val="22"/>
                <w:szCs w:val="22"/>
              </w:rPr>
              <w:t>4)</w:t>
            </w:r>
            <w:r w:rsidRPr="00317ABF">
              <w:rPr>
                <w:sz w:val="22"/>
                <w:szCs w:val="22"/>
              </w:rPr>
              <w:tab/>
              <w:t>okres obowiązywania decyzji.</w:t>
            </w:r>
          </w:p>
          <w:p w14:paraId="029A93DE" w14:textId="77777777" w:rsidR="006D7A29" w:rsidRPr="00317ABF" w:rsidRDefault="006D7A29" w:rsidP="006D7A29">
            <w:pPr>
              <w:pStyle w:val="PKTpunkt0"/>
              <w:spacing w:line="240" w:lineRule="auto"/>
              <w:rPr>
                <w:rFonts w:ascii="Times New Roman" w:hAnsi="Times New Roman" w:cs="Times New Roman"/>
                <w:sz w:val="22"/>
                <w:szCs w:val="22"/>
              </w:rPr>
            </w:pPr>
          </w:p>
          <w:p w14:paraId="78BCBC22" w14:textId="77777777" w:rsidR="006D7A29" w:rsidRPr="00317ABF" w:rsidRDefault="006D7A29" w:rsidP="006D7A29">
            <w:pPr>
              <w:pStyle w:val="USTustnpkodeksu"/>
              <w:spacing w:line="240" w:lineRule="auto"/>
              <w:ind w:firstLine="0"/>
              <w:rPr>
                <w:rFonts w:ascii="Times New Roman" w:hAnsi="Times New Roman" w:cs="Times New Roman"/>
                <w:sz w:val="22"/>
                <w:szCs w:val="22"/>
              </w:rPr>
            </w:pPr>
            <w:r w:rsidRPr="00317ABF">
              <w:rPr>
                <w:rStyle w:val="Ppogrubienie"/>
                <w:rFonts w:ascii="Times New Roman" w:hAnsi="Times New Roman"/>
                <w:sz w:val="22"/>
                <w:szCs w:val="22"/>
              </w:rPr>
              <w:t>Art. 155.</w:t>
            </w:r>
            <w:r w:rsidRPr="00317ABF">
              <w:rPr>
                <w:rFonts w:ascii="Times New Roman" w:hAnsi="Times New Roman" w:cs="Times New Roman"/>
                <w:sz w:val="22"/>
                <w:szCs w:val="22"/>
              </w:rPr>
              <w:t xml:space="preserve"> 1. Czasowe używanie urządzenia radiowego nadawczego lub nadawczo-odbiorczego, wykorzystującego częstotliwości użytkowane jako </w:t>
            </w:r>
            <w:r w:rsidRPr="00317ABF">
              <w:rPr>
                <w:rFonts w:ascii="Times New Roman" w:hAnsi="Times New Roman" w:cs="Times New Roman"/>
                <w:sz w:val="22"/>
                <w:szCs w:val="22"/>
              </w:rPr>
              <w:lastRenderedPageBreak/>
              <w:t>cywilne lub cywilno-rządowe, służącego do komunikacji w systemie naziemnym lub satelitarnym, przez misje dyplomatyczne, urzędy konsularne, zagraniczne misje specjalne oraz przedstawicielstwa organizacji międzynarodowych, korzystające z przywilejów i immunitetów na podstawie ustaw, umów i zwyczajów międzynarodowych, mające swe siedziby na terytorium Rzeczypospolitej Polskiej, wymaga uzyskania pisemnej zgody Prezesa UKE, zatwierdzonej przez ministra właściwego do spraw zagranicznych, oraz dopuszczalne jest wyłącznie w zakresie związanym z działalnością dyplomatyczną tych podmiotów, chyba że odpowiednie wiążące Rzeczpospolitą Polską umowy międzynarodowe stanowią inaczej lub wymaga tego zasada wzajemności.</w:t>
            </w:r>
          </w:p>
          <w:p w14:paraId="7B8A6DEB" w14:textId="77777777" w:rsidR="006D7A29" w:rsidRPr="00317ABF" w:rsidRDefault="006D7A29" w:rsidP="006D7A29">
            <w:pPr>
              <w:pStyle w:val="USTustnpkodeksu"/>
              <w:spacing w:line="240" w:lineRule="auto"/>
              <w:rPr>
                <w:rFonts w:ascii="Times New Roman" w:hAnsi="Times New Roman" w:cs="Times New Roman"/>
                <w:sz w:val="22"/>
                <w:szCs w:val="22"/>
              </w:rPr>
            </w:pPr>
            <w:r w:rsidRPr="00317ABF">
              <w:rPr>
                <w:rFonts w:ascii="Times New Roman" w:hAnsi="Times New Roman" w:cs="Times New Roman"/>
                <w:sz w:val="22"/>
                <w:szCs w:val="22"/>
              </w:rPr>
              <w:t>2. Wniosek o wydanie zgody składany jest do Prezesa UKE, za pośrednictwem ministra właściwego do spraw zagranicznych niezwłocznie, jednak nie później niż w terminie 7 dni roboczych przed planowanym rozpoczęciem wykorzystywania częstotliwości.</w:t>
            </w:r>
          </w:p>
          <w:p w14:paraId="08A7BD19" w14:textId="77777777" w:rsidR="006D7A29" w:rsidRPr="00317ABF" w:rsidRDefault="006D7A29" w:rsidP="006D7A29">
            <w:pPr>
              <w:pStyle w:val="USTustnpkodeksu"/>
              <w:spacing w:line="240" w:lineRule="auto"/>
              <w:rPr>
                <w:rFonts w:ascii="Times New Roman" w:hAnsi="Times New Roman" w:cs="Times New Roman"/>
                <w:sz w:val="22"/>
                <w:szCs w:val="22"/>
              </w:rPr>
            </w:pPr>
            <w:r w:rsidRPr="00317ABF">
              <w:rPr>
                <w:rFonts w:ascii="Times New Roman" w:hAnsi="Times New Roman" w:cs="Times New Roman"/>
                <w:sz w:val="22"/>
                <w:szCs w:val="22"/>
              </w:rPr>
              <w:t>3. W wyjątkowych przypadkach, wymagających pilnego działania ze względu na ważny interes państwa, wniosek o wydanie zgody może zostać złożony bez zachowania terminu, o którym mowa w ust. 2. Prezes UKE może pozostawić taki wniosek bez rozpoznania, w przypadku, gdy ze względów technicznych lub organizacyjnych, brak jest możliwości jego rozpatrzenia przed planowanym rozpoczęciem wykorzystywania częstotliwości przez wnioskodawcę.</w:t>
            </w:r>
          </w:p>
          <w:p w14:paraId="260E0AC7" w14:textId="77777777" w:rsidR="006D7A29" w:rsidRPr="00317ABF" w:rsidRDefault="006D7A29" w:rsidP="006D7A29">
            <w:pPr>
              <w:pStyle w:val="USTustnpkodeksu"/>
              <w:keepNext/>
              <w:spacing w:line="240" w:lineRule="auto"/>
              <w:rPr>
                <w:rFonts w:ascii="Times New Roman" w:hAnsi="Times New Roman" w:cs="Times New Roman"/>
                <w:sz w:val="22"/>
                <w:szCs w:val="22"/>
              </w:rPr>
            </w:pPr>
            <w:r w:rsidRPr="00317ABF">
              <w:rPr>
                <w:rFonts w:ascii="Times New Roman" w:hAnsi="Times New Roman" w:cs="Times New Roman"/>
                <w:sz w:val="22"/>
                <w:szCs w:val="22"/>
              </w:rPr>
              <w:t>4. Wniosek o wydanie zgody zawiera:</w:t>
            </w:r>
          </w:p>
          <w:p w14:paraId="1DF6CA43" w14:textId="77777777" w:rsidR="001E1112" w:rsidRPr="00317ABF" w:rsidRDefault="001E1112" w:rsidP="00DB3BEC">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1)</w:t>
            </w:r>
            <w:r w:rsidRPr="00317ABF">
              <w:rPr>
                <w:rFonts w:ascii="Times New Roman" w:hAnsi="Times New Roman" w:cs="Times New Roman"/>
                <w:sz w:val="22"/>
                <w:szCs w:val="22"/>
              </w:rPr>
              <w:tab/>
              <w:t>cel, w którym będzie używane urządzenie;</w:t>
            </w:r>
          </w:p>
          <w:p w14:paraId="1FBA34DF" w14:textId="77777777" w:rsidR="001E1112" w:rsidRPr="00317ABF" w:rsidRDefault="001E1112" w:rsidP="00DB3BEC">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2)</w:t>
            </w:r>
            <w:r w:rsidRPr="00317ABF">
              <w:rPr>
                <w:rFonts w:ascii="Times New Roman" w:hAnsi="Times New Roman" w:cs="Times New Roman"/>
                <w:sz w:val="22"/>
                <w:szCs w:val="22"/>
              </w:rPr>
              <w:tab/>
              <w:t>obszar wykorzystywania częstotliwości albo obszar przemieszczania urządzenia;</w:t>
            </w:r>
          </w:p>
          <w:p w14:paraId="458B2242" w14:textId="77777777" w:rsidR="001E1112" w:rsidRPr="00317ABF" w:rsidRDefault="001E1112" w:rsidP="00DB3BEC">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3)</w:t>
            </w:r>
            <w:r w:rsidRPr="00317ABF">
              <w:rPr>
                <w:rFonts w:ascii="Times New Roman" w:hAnsi="Times New Roman" w:cs="Times New Roman"/>
                <w:sz w:val="22"/>
                <w:szCs w:val="22"/>
              </w:rPr>
              <w:tab/>
              <w:t>termin rozpoczęcia oraz zakończenia wykorzystywania częstotliwości;</w:t>
            </w:r>
          </w:p>
          <w:p w14:paraId="05AE1040" w14:textId="77777777" w:rsidR="001E1112" w:rsidRPr="00317ABF" w:rsidRDefault="001E1112" w:rsidP="00DB3BEC">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4)</w:t>
            </w:r>
            <w:r w:rsidRPr="00317ABF">
              <w:rPr>
                <w:rFonts w:ascii="Times New Roman" w:hAnsi="Times New Roman" w:cs="Times New Roman"/>
                <w:sz w:val="22"/>
                <w:szCs w:val="22"/>
              </w:rPr>
              <w:tab/>
              <w:t>typ i rodzaj urządzenia;</w:t>
            </w:r>
          </w:p>
          <w:p w14:paraId="01B22BAA" w14:textId="77777777" w:rsidR="001E1112" w:rsidRPr="00317ABF" w:rsidRDefault="001E1112" w:rsidP="00DB3BEC">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5)</w:t>
            </w:r>
            <w:r w:rsidRPr="00317ABF">
              <w:rPr>
                <w:rFonts w:ascii="Times New Roman" w:hAnsi="Times New Roman" w:cs="Times New Roman"/>
                <w:sz w:val="22"/>
                <w:szCs w:val="22"/>
              </w:rPr>
              <w:tab/>
              <w:t>moc wyjściową urządzenia;</w:t>
            </w:r>
          </w:p>
          <w:p w14:paraId="2B41C604" w14:textId="77777777" w:rsidR="001E1112" w:rsidRPr="00317ABF" w:rsidRDefault="001E1112" w:rsidP="00DB3BEC">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6)</w:t>
            </w:r>
            <w:r w:rsidRPr="00317ABF">
              <w:rPr>
                <w:rFonts w:ascii="Times New Roman" w:hAnsi="Times New Roman" w:cs="Times New Roman"/>
                <w:sz w:val="22"/>
                <w:szCs w:val="22"/>
              </w:rPr>
              <w:tab/>
              <w:t>częstotliwości nadawania i odbioru;</w:t>
            </w:r>
          </w:p>
          <w:p w14:paraId="15565635" w14:textId="77777777" w:rsidR="001E1112" w:rsidRPr="00317ABF" w:rsidRDefault="001E1112" w:rsidP="00DB3BEC">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7)</w:t>
            </w:r>
            <w:r w:rsidRPr="00317ABF">
              <w:rPr>
                <w:rFonts w:ascii="Times New Roman" w:hAnsi="Times New Roman" w:cs="Times New Roman"/>
                <w:sz w:val="22"/>
                <w:szCs w:val="22"/>
              </w:rPr>
              <w:tab/>
              <w:t>szerokość kanału i rodzaj emisji.</w:t>
            </w:r>
          </w:p>
          <w:p w14:paraId="5898AEA5" w14:textId="77777777" w:rsidR="006D7A29" w:rsidRPr="00317ABF" w:rsidRDefault="006D7A29" w:rsidP="006D7A29">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8) imię, nazwisko, adres do korespondencji, adres poczty elektronicznej i numer telefonu osoby wyznaczonej do kontaktu w sprawie technicznych warunków wykorzystania częstotliwości lub używania urządzenia radiowego.</w:t>
            </w:r>
          </w:p>
          <w:p w14:paraId="7470C701" w14:textId="77777777" w:rsidR="006D7A29" w:rsidRPr="00317ABF" w:rsidRDefault="006D7A29" w:rsidP="006D7A29">
            <w:pPr>
              <w:pStyle w:val="USTustnpkodeksu"/>
              <w:spacing w:line="240" w:lineRule="auto"/>
              <w:rPr>
                <w:rFonts w:ascii="Times New Roman" w:hAnsi="Times New Roman" w:cs="Times New Roman"/>
                <w:sz w:val="22"/>
                <w:szCs w:val="22"/>
              </w:rPr>
            </w:pPr>
            <w:r w:rsidRPr="00317ABF">
              <w:rPr>
                <w:rFonts w:ascii="Times New Roman" w:hAnsi="Times New Roman" w:cs="Times New Roman"/>
                <w:sz w:val="22"/>
                <w:szCs w:val="22"/>
              </w:rPr>
              <w:t xml:space="preserve">5. Prezes UKE wydaje zgodę na używanie urządzenia, o którym mowa w ust. 1, jeżeli urządzenie to nie będzie powodować szkodliwych zakłóceń w pracy innych urządzeń lub nie będzie prowadzić do wystąpienia okoliczności, o których mowa w art. 99 ust. 1 pkt 3. W przypadku </w:t>
            </w:r>
            <w:r w:rsidRPr="00317ABF">
              <w:rPr>
                <w:rFonts w:ascii="Times New Roman" w:hAnsi="Times New Roman" w:cs="Times New Roman"/>
                <w:sz w:val="22"/>
                <w:szCs w:val="22"/>
              </w:rPr>
              <w:lastRenderedPageBreak/>
              <w:t>stwierdzenia możliwości wystąpienia takich zakłóceń lub okoliczności, Prezes UKE nie wydaje zgody oraz informuje wnioskodawcę, za pośrednictwem ministra właściwego do spraw zagranicznych, o możliwości zmiany wniosku w wyznaczonym terminie, ze wskazaniem zakresu tych zmian.</w:t>
            </w:r>
          </w:p>
          <w:p w14:paraId="258F741D" w14:textId="77777777" w:rsidR="006D7A29" w:rsidRPr="00317ABF" w:rsidRDefault="006D7A29" w:rsidP="006D7A29">
            <w:pPr>
              <w:pStyle w:val="USTustnpkodeksu"/>
              <w:spacing w:line="240" w:lineRule="auto"/>
              <w:rPr>
                <w:rFonts w:ascii="Times New Roman" w:hAnsi="Times New Roman" w:cs="Times New Roman"/>
                <w:sz w:val="22"/>
                <w:szCs w:val="22"/>
              </w:rPr>
            </w:pPr>
            <w:r w:rsidRPr="00317ABF">
              <w:rPr>
                <w:rFonts w:ascii="Times New Roman" w:hAnsi="Times New Roman" w:cs="Times New Roman"/>
                <w:sz w:val="22"/>
                <w:szCs w:val="22"/>
              </w:rPr>
              <w:t>6. Prezes UKE wydaje zgodę na używanie urządzenia radiowego, o którym mowa w ust. 1, na okres nieprzekraczający 30 dni.</w:t>
            </w:r>
          </w:p>
          <w:p w14:paraId="0B665507" w14:textId="77777777" w:rsidR="006D7A29" w:rsidRPr="00317ABF" w:rsidRDefault="006D7A29" w:rsidP="006D7A29">
            <w:pPr>
              <w:pStyle w:val="USTustnpkodeksu"/>
              <w:spacing w:line="240" w:lineRule="auto"/>
              <w:rPr>
                <w:rFonts w:ascii="Times New Roman" w:hAnsi="Times New Roman" w:cs="Times New Roman"/>
                <w:sz w:val="22"/>
                <w:szCs w:val="22"/>
              </w:rPr>
            </w:pPr>
            <w:r w:rsidRPr="00317ABF">
              <w:rPr>
                <w:rFonts w:ascii="Times New Roman" w:hAnsi="Times New Roman" w:cs="Times New Roman"/>
                <w:sz w:val="22"/>
                <w:szCs w:val="22"/>
              </w:rPr>
              <w:t>7. W przypadku, gdy urządzenie radiowe, o którym mowa w ust. 1, powoduje szkodliwe zakłócenia lub prowadzi do wystąpienia okoliczności, o których mowa w art. 99 ust. 1 pkt 3, Prezes UKE:</w:t>
            </w:r>
          </w:p>
          <w:p w14:paraId="6FD8B4DF" w14:textId="77777777" w:rsidR="006D7A29" w:rsidRPr="00317ABF" w:rsidRDefault="006D7A29" w:rsidP="006D7A29">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 xml:space="preserve">1) </w:t>
            </w:r>
            <w:r w:rsidRPr="00317ABF">
              <w:rPr>
                <w:rFonts w:ascii="Times New Roman" w:hAnsi="Times New Roman" w:cs="Times New Roman"/>
                <w:sz w:val="22"/>
                <w:szCs w:val="22"/>
              </w:rPr>
              <w:tab/>
              <w:t>określa nowe warunki wykorzystania częstotliwości albo</w:t>
            </w:r>
          </w:p>
          <w:p w14:paraId="679FCC37" w14:textId="77777777" w:rsidR="006D7A29" w:rsidRPr="00317ABF" w:rsidRDefault="006D7A29" w:rsidP="006D7A29">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 xml:space="preserve">2) </w:t>
            </w:r>
            <w:r w:rsidRPr="00317ABF">
              <w:rPr>
                <w:rFonts w:ascii="Times New Roman" w:hAnsi="Times New Roman" w:cs="Times New Roman"/>
                <w:sz w:val="22"/>
                <w:szCs w:val="22"/>
              </w:rPr>
              <w:tab/>
              <w:t>stwierdza konieczność zaprzestania używania urządzenia radiowego</w:t>
            </w:r>
          </w:p>
          <w:p w14:paraId="786A47E6" w14:textId="77777777" w:rsidR="006D7A29" w:rsidRPr="00317ABF" w:rsidRDefault="006D7A29" w:rsidP="006D7A29">
            <w:pPr>
              <w:pStyle w:val="CZWSPPKTczwsplnapunktw"/>
              <w:spacing w:line="240" w:lineRule="auto"/>
              <w:rPr>
                <w:rFonts w:ascii="Times New Roman" w:hAnsi="Times New Roman" w:cs="Times New Roman"/>
                <w:sz w:val="22"/>
                <w:szCs w:val="22"/>
              </w:rPr>
            </w:pPr>
            <w:r w:rsidRPr="00317ABF">
              <w:rPr>
                <w:rFonts w:ascii="Times New Roman" w:hAnsi="Times New Roman" w:cs="Times New Roman"/>
                <w:sz w:val="22"/>
                <w:szCs w:val="22"/>
              </w:rPr>
              <w:t>– informując o tym użytkownika urządzenia radiowego, za pośrednictwem ministra właściwego do spraw zagranicznych.</w:t>
            </w:r>
          </w:p>
          <w:p w14:paraId="20552E4E" w14:textId="77777777" w:rsidR="006D7A29" w:rsidRPr="00317ABF" w:rsidRDefault="006D7A29" w:rsidP="006D7A29">
            <w:pPr>
              <w:pStyle w:val="USTustnpkodeksu"/>
              <w:spacing w:line="240" w:lineRule="auto"/>
              <w:rPr>
                <w:rFonts w:ascii="Times New Roman" w:hAnsi="Times New Roman" w:cs="Times New Roman"/>
                <w:sz w:val="22"/>
                <w:szCs w:val="22"/>
              </w:rPr>
            </w:pPr>
            <w:r w:rsidRPr="00317ABF">
              <w:rPr>
                <w:rFonts w:ascii="Times New Roman" w:hAnsi="Times New Roman" w:cs="Times New Roman"/>
                <w:sz w:val="22"/>
                <w:szCs w:val="22"/>
              </w:rPr>
              <w:t>8. W przypadku stwierdzenia, że urządzenie radiowe, o którym mowa w ust. 1, wykorzystywane jest niezgodnie z warunkami określonymi w wydanej zgodzie, Prezes UKE informuje użytkownika urządzenia radiowego, za pośrednictwem ministra właściwego do spraw zagranicznych, o konieczności dostosowania, w określonym terminie, warunków wykorzystania częstotliwości do warunków, na które wydano zgodę.</w:t>
            </w:r>
          </w:p>
          <w:p w14:paraId="7EDE219A" w14:textId="737BDB9E" w:rsidR="006D7A29" w:rsidRPr="00317ABF" w:rsidRDefault="006D7A29" w:rsidP="006D7A29">
            <w:pPr>
              <w:pStyle w:val="USTustnpkodeksu"/>
              <w:spacing w:line="240" w:lineRule="auto"/>
              <w:rPr>
                <w:rFonts w:ascii="Times New Roman" w:hAnsi="Times New Roman" w:cs="Times New Roman"/>
                <w:sz w:val="22"/>
                <w:szCs w:val="22"/>
              </w:rPr>
            </w:pPr>
            <w:r w:rsidRPr="00317ABF">
              <w:rPr>
                <w:rFonts w:ascii="Times New Roman" w:hAnsi="Times New Roman" w:cs="Times New Roman"/>
                <w:sz w:val="22"/>
                <w:szCs w:val="22"/>
              </w:rPr>
              <w:t>9</w:t>
            </w:r>
            <w:r w:rsidR="001E1112" w:rsidRPr="00317ABF">
              <w:rPr>
                <w:rFonts w:ascii="Times New Roman" w:hAnsi="Times New Roman" w:cs="Times New Roman"/>
                <w:sz w:val="22"/>
                <w:szCs w:val="22"/>
              </w:rPr>
              <w:t xml:space="preserve">. Prezes UKE informuje </w:t>
            </w:r>
            <w:r w:rsidRPr="00317ABF">
              <w:rPr>
                <w:rFonts w:ascii="Times New Roman" w:hAnsi="Times New Roman" w:cs="Times New Roman"/>
                <w:sz w:val="22"/>
                <w:szCs w:val="22"/>
              </w:rPr>
              <w:t xml:space="preserve">użytkownika urządzenia radiowego, za pośrednictwem </w:t>
            </w:r>
            <w:r w:rsidR="001E1112" w:rsidRPr="00317ABF">
              <w:rPr>
                <w:rFonts w:ascii="Times New Roman" w:hAnsi="Times New Roman" w:cs="Times New Roman"/>
                <w:sz w:val="22"/>
                <w:szCs w:val="22"/>
              </w:rPr>
              <w:t>ministra właściwego do spraw zagranicznych</w:t>
            </w:r>
            <w:r w:rsidRPr="00317ABF">
              <w:rPr>
                <w:rFonts w:ascii="Times New Roman" w:hAnsi="Times New Roman" w:cs="Times New Roman"/>
                <w:sz w:val="22"/>
                <w:szCs w:val="22"/>
              </w:rPr>
              <w:t>,</w:t>
            </w:r>
            <w:r w:rsidR="001E1112" w:rsidRPr="00317ABF">
              <w:rPr>
                <w:rFonts w:ascii="Times New Roman" w:hAnsi="Times New Roman" w:cs="Times New Roman"/>
                <w:sz w:val="22"/>
                <w:szCs w:val="22"/>
              </w:rPr>
              <w:t xml:space="preserve"> o cofnięciu zgody w przypadku niedostosowania wykorzystania częstotliwości do warunków, na które wydano zgodę w terminie przez niego wyznaczonym.</w:t>
            </w:r>
          </w:p>
          <w:p w14:paraId="4684E617" w14:textId="77777777" w:rsidR="006D7A29" w:rsidRPr="00317ABF" w:rsidRDefault="006D7A29" w:rsidP="006D7A29">
            <w:pPr>
              <w:pStyle w:val="USTustnpkodeksu"/>
              <w:spacing w:line="240" w:lineRule="auto"/>
              <w:rPr>
                <w:rFonts w:ascii="Times New Roman" w:hAnsi="Times New Roman" w:cs="Times New Roman"/>
                <w:sz w:val="22"/>
                <w:szCs w:val="22"/>
              </w:rPr>
            </w:pPr>
          </w:p>
          <w:p w14:paraId="2ABC04C9" w14:textId="77777777" w:rsidR="006D7A29" w:rsidRPr="00317ABF" w:rsidRDefault="006D7A29" w:rsidP="006D7A29">
            <w:pPr>
              <w:pStyle w:val="ARTartustawynprozporzdzenia"/>
              <w:spacing w:before="0" w:line="240" w:lineRule="auto"/>
              <w:ind w:firstLine="0"/>
              <w:rPr>
                <w:rFonts w:ascii="Times New Roman" w:hAnsi="Times New Roman" w:cs="Times New Roman"/>
                <w:sz w:val="22"/>
                <w:szCs w:val="22"/>
              </w:rPr>
            </w:pPr>
            <w:r w:rsidRPr="00317ABF">
              <w:rPr>
                <w:rFonts w:ascii="Times New Roman" w:hAnsi="Times New Roman" w:cs="Times New Roman"/>
                <w:b/>
                <w:sz w:val="22"/>
                <w:szCs w:val="22"/>
              </w:rPr>
              <w:t>Art. 156.</w:t>
            </w:r>
            <w:r w:rsidRPr="00317ABF">
              <w:rPr>
                <w:rFonts w:ascii="Times New Roman" w:hAnsi="Times New Roman" w:cs="Times New Roman"/>
                <w:sz w:val="22"/>
                <w:szCs w:val="22"/>
              </w:rPr>
              <w:t xml:space="preserve"> 1.  Czasowe używanie urządzenia radiowego nadawczego lub nadawczo-odbiorczego, wykorzystującego częstotliwości użytkowane jako rządowe, służącego do komunikacji w systemie naziemnym lub satelitarnym, przez misje dyplomatyczne, urzędy konsularne, zagraniczne misje specjalne oraz przedstawicielstwa organizacji międzynarodowych, korzystające z przywilejów i immunitetów na podstawie ustaw, umów i zwyczajów międzynarodowych, mające swe siedziby na terytorium Rzeczypospolitej Polskiej, wymaga uzyskania pisemnej zgody Ministra Obrony Narodowej, zatwierdzonej przez ministra właściwego do spraw zagranicznych, oraz dopuszczalne jest wyłącznie w zakresie związanym z działalnością dyplomatyczną tych podmiotów, chyba że odpowiednie wiążące Rzeczpospolitą Polską umowy międzynarodowe stanowią inaczej lub wymaga tego zasada wzajemności.</w:t>
            </w:r>
          </w:p>
          <w:p w14:paraId="0A1065F8" w14:textId="77777777" w:rsidR="006D7A29" w:rsidRPr="00317ABF" w:rsidRDefault="006D7A29" w:rsidP="006D7A29">
            <w:pPr>
              <w:pStyle w:val="ARTartustawynprozporzdzenia"/>
              <w:spacing w:before="0" w:line="240" w:lineRule="auto"/>
              <w:rPr>
                <w:rFonts w:ascii="Times New Roman" w:hAnsi="Times New Roman" w:cs="Times New Roman"/>
                <w:sz w:val="22"/>
                <w:szCs w:val="22"/>
              </w:rPr>
            </w:pPr>
            <w:r w:rsidRPr="00317ABF">
              <w:rPr>
                <w:rFonts w:ascii="Times New Roman" w:hAnsi="Times New Roman" w:cs="Times New Roman"/>
                <w:sz w:val="22"/>
                <w:szCs w:val="22"/>
              </w:rPr>
              <w:lastRenderedPageBreak/>
              <w:t>2. Wniosek o wydanie zgody składany jest do Ministra Obrony Narodowej za pośrednictwem ministra właściwego do spraw zagranicznych niezwłocznie, jednak nie później niż w terminie 7 dni roboczych przed planowanym rozpoczęciem wykorzystywania częstotliwości. W przypadku przekazania przez ministra właściwego do spraw zagranicznych wniosku o wydanie zgody do Prezesa UKE, Prezes UKE niezwłocznie przekazuje wniosek do Ministra Obrony Narodowej.</w:t>
            </w:r>
          </w:p>
          <w:p w14:paraId="3224917E" w14:textId="77777777" w:rsidR="006D7A29" w:rsidRPr="00317ABF" w:rsidRDefault="006D7A29" w:rsidP="006D7A29">
            <w:pPr>
              <w:pStyle w:val="ARTartustawynprozporzdzenia"/>
              <w:spacing w:before="0" w:line="240" w:lineRule="auto"/>
              <w:rPr>
                <w:rFonts w:ascii="Times New Roman" w:hAnsi="Times New Roman" w:cs="Times New Roman"/>
                <w:sz w:val="22"/>
                <w:szCs w:val="22"/>
              </w:rPr>
            </w:pPr>
            <w:r w:rsidRPr="00317ABF">
              <w:rPr>
                <w:rFonts w:ascii="Times New Roman" w:hAnsi="Times New Roman" w:cs="Times New Roman"/>
                <w:sz w:val="22"/>
                <w:szCs w:val="22"/>
              </w:rPr>
              <w:t>3. Minister Obrony Narodowej może powierzyć realizację zadań, o których mowa w ust. 1 i 2 kierownikowi komórki organizacyjnej lub jednostki organizacyjnej podległej Ministrowi Obrony Narodowej lub przez niego nadzorowanej, właściwej w sprawach zarządzania częstotliwościami.</w:t>
            </w:r>
          </w:p>
          <w:p w14:paraId="7E842436" w14:textId="3FEE63AB" w:rsidR="001E1112" w:rsidRPr="00317ABF" w:rsidRDefault="006D7A29" w:rsidP="006D7A29">
            <w:pPr>
              <w:pStyle w:val="ARTartustawynprozporzdzenia"/>
              <w:spacing w:before="0" w:line="240" w:lineRule="auto"/>
              <w:ind w:firstLine="0"/>
              <w:rPr>
                <w:rFonts w:ascii="Times New Roman" w:hAnsi="Times New Roman" w:cs="Times New Roman"/>
                <w:sz w:val="22"/>
                <w:szCs w:val="22"/>
              </w:rPr>
            </w:pPr>
            <w:r w:rsidRPr="00317ABF">
              <w:rPr>
                <w:rFonts w:ascii="Times New Roman" w:hAnsi="Times New Roman" w:cs="Times New Roman"/>
                <w:sz w:val="22"/>
                <w:szCs w:val="22"/>
              </w:rPr>
              <w:t>4. Przepis art. 155 ust. 3-9 stosuje się odpowiednio.</w:t>
            </w:r>
          </w:p>
          <w:p w14:paraId="2B2C3BEE" w14:textId="77777777" w:rsidR="001E1112" w:rsidRPr="00317ABF" w:rsidRDefault="001E1112" w:rsidP="00DB3BEC">
            <w:pPr>
              <w:pStyle w:val="Tekstpodstawowy"/>
              <w:rPr>
                <w:sz w:val="22"/>
                <w:szCs w:val="22"/>
              </w:rPr>
            </w:pPr>
          </w:p>
        </w:tc>
      </w:tr>
      <w:tr w:rsidR="001E1112" w:rsidRPr="00317ABF" w14:paraId="67957E10" w14:textId="77777777" w:rsidTr="7753F98D">
        <w:trPr>
          <w:gridAfter w:val="2"/>
          <w:wAfter w:w="175" w:type="dxa"/>
        </w:trPr>
        <w:tc>
          <w:tcPr>
            <w:tcW w:w="704" w:type="dxa"/>
          </w:tcPr>
          <w:p w14:paraId="1262A5B2" w14:textId="77777777" w:rsidR="001E1112" w:rsidRPr="00317ABF" w:rsidRDefault="001E1112" w:rsidP="00DB3BEC">
            <w:pPr>
              <w:jc w:val="both"/>
              <w:rPr>
                <w:sz w:val="22"/>
                <w:szCs w:val="22"/>
              </w:rPr>
            </w:pPr>
            <w:r w:rsidRPr="00317ABF">
              <w:rPr>
                <w:sz w:val="22"/>
                <w:szCs w:val="22"/>
              </w:rPr>
              <w:lastRenderedPageBreak/>
              <w:t>Art. 46 ust. 2</w:t>
            </w:r>
          </w:p>
        </w:tc>
        <w:tc>
          <w:tcPr>
            <w:tcW w:w="4308" w:type="dxa"/>
          </w:tcPr>
          <w:p w14:paraId="553E85EC" w14:textId="77777777" w:rsidR="001E1112" w:rsidRPr="00317ABF" w:rsidRDefault="001E1112" w:rsidP="00DB3BEC">
            <w:pPr>
              <w:spacing w:before="120"/>
              <w:jc w:val="both"/>
              <w:rPr>
                <w:sz w:val="22"/>
                <w:szCs w:val="22"/>
              </w:rPr>
            </w:pPr>
            <w:r w:rsidRPr="00317ABF">
              <w:rPr>
                <w:sz w:val="22"/>
                <w:szCs w:val="22"/>
              </w:rPr>
              <w:t>2.   Podejmując decyzję na podstawie ust. 1 mającą na celu ułatwienie współużytkowania widma radiowego, właściwe organy zapewniają, aby warunki współużytkowania widma radiowego były jednoznacznie określone w zezwoleniu. Takie warunki ułatwiają wydajne wykorzystanie widma radiowego, konkurencję i innowacje.</w:t>
            </w:r>
          </w:p>
        </w:tc>
        <w:tc>
          <w:tcPr>
            <w:tcW w:w="986" w:type="dxa"/>
          </w:tcPr>
          <w:p w14:paraId="1D75F981" w14:textId="7F2DCB2F" w:rsidR="001E1112" w:rsidRPr="00317ABF" w:rsidRDefault="001E1112" w:rsidP="00DB3BEC">
            <w:pPr>
              <w:jc w:val="both"/>
              <w:rPr>
                <w:sz w:val="22"/>
                <w:szCs w:val="22"/>
              </w:rPr>
            </w:pPr>
            <w:r w:rsidRPr="00317ABF">
              <w:rPr>
                <w:sz w:val="22"/>
                <w:szCs w:val="22"/>
              </w:rPr>
              <w:t>T</w:t>
            </w:r>
          </w:p>
        </w:tc>
        <w:tc>
          <w:tcPr>
            <w:tcW w:w="910" w:type="dxa"/>
          </w:tcPr>
          <w:p w14:paraId="492E0C3C" w14:textId="5B443233" w:rsidR="001E1112" w:rsidRPr="00317ABF" w:rsidRDefault="00DB3BEC" w:rsidP="00DB3BEC">
            <w:pPr>
              <w:pStyle w:val="Tekstpodstawowy"/>
              <w:rPr>
                <w:b/>
                <w:bCs/>
                <w:noProof/>
                <w:sz w:val="22"/>
                <w:szCs w:val="22"/>
              </w:rPr>
            </w:pPr>
            <w:r w:rsidRPr="00317ABF">
              <w:rPr>
                <w:b/>
                <w:bCs/>
                <w:noProof/>
                <w:sz w:val="22"/>
                <w:szCs w:val="22"/>
              </w:rPr>
              <w:t xml:space="preserve">Art. </w:t>
            </w:r>
            <w:r w:rsidR="00E85F34" w:rsidRPr="00317ABF">
              <w:rPr>
                <w:b/>
                <w:bCs/>
                <w:noProof/>
                <w:sz w:val="22"/>
                <w:szCs w:val="22"/>
              </w:rPr>
              <w:t>87</w:t>
            </w:r>
            <w:r w:rsidR="001E1112" w:rsidRPr="00317ABF">
              <w:rPr>
                <w:b/>
                <w:bCs/>
                <w:noProof/>
                <w:sz w:val="22"/>
                <w:szCs w:val="22"/>
              </w:rPr>
              <w:t xml:space="preserve"> ust. 3</w:t>
            </w:r>
          </w:p>
        </w:tc>
        <w:tc>
          <w:tcPr>
            <w:tcW w:w="6814" w:type="dxa"/>
            <w:gridSpan w:val="2"/>
          </w:tcPr>
          <w:p w14:paraId="131D9BDC" w14:textId="7575DAB3" w:rsidR="001E1112" w:rsidRPr="00317ABF" w:rsidRDefault="001E1112" w:rsidP="00DB3BEC">
            <w:pPr>
              <w:ind w:firstLine="510"/>
              <w:jc w:val="both"/>
              <w:rPr>
                <w:sz w:val="22"/>
                <w:szCs w:val="22"/>
              </w:rPr>
            </w:pPr>
            <w:r w:rsidRPr="00317ABF">
              <w:rPr>
                <w:rFonts w:eastAsia="Times"/>
                <w:sz w:val="22"/>
                <w:szCs w:val="22"/>
              </w:rPr>
              <w:t>3. W rezerwacji częstotliwości można określić w szczególności:</w:t>
            </w:r>
          </w:p>
          <w:p w14:paraId="34899AD6" w14:textId="547FA7B9" w:rsidR="001E1112" w:rsidRPr="00317ABF" w:rsidRDefault="001E1112" w:rsidP="00DB3BEC">
            <w:pPr>
              <w:ind w:left="510" w:hanging="510"/>
              <w:jc w:val="both"/>
              <w:rPr>
                <w:sz w:val="22"/>
                <w:szCs w:val="22"/>
              </w:rPr>
            </w:pPr>
            <w:r w:rsidRPr="00317ABF">
              <w:rPr>
                <w:rFonts w:eastAsia="Times"/>
                <w:sz w:val="22"/>
                <w:szCs w:val="22"/>
              </w:rPr>
              <w:t xml:space="preserve">1)     </w:t>
            </w:r>
            <w:r w:rsidRPr="00317ABF">
              <w:rPr>
                <w:rFonts w:eastAsia="Times"/>
              </w:rPr>
              <w:t xml:space="preserve"> </w:t>
            </w:r>
            <w:r w:rsidRPr="00317ABF">
              <w:rPr>
                <w:rFonts w:eastAsia="Times"/>
                <w:sz w:val="22"/>
                <w:szCs w:val="22"/>
              </w:rPr>
              <w:t xml:space="preserve">warunki wykorzystywania, w tym także w ramach współużytkowania częstotliwości, o których mowa w art. </w:t>
            </w:r>
            <w:r w:rsidR="00E85F34" w:rsidRPr="00317ABF">
              <w:rPr>
                <w:sz w:val="22"/>
                <w:szCs w:val="22"/>
              </w:rPr>
              <w:t>141</w:t>
            </w:r>
            <w:r w:rsidRPr="00317ABF">
              <w:rPr>
                <w:rFonts w:eastAsia="Times"/>
                <w:sz w:val="22"/>
                <w:szCs w:val="22"/>
              </w:rPr>
              <w:t>;</w:t>
            </w:r>
          </w:p>
          <w:p w14:paraId="025559CF" w14:textId="16F5A6B8" w:rsidR="001E1112" w:rsidRPr="00317ABF" w:rsidRDefault="001E1112" w:rsidP="00DB3BEC">
            <w:pPr>
              <w:jc w:val="both"/>
              <w:rPr>
                <w:sz w:val="22"/>
                <w:szCs w:val="22"/>
              </w:rPr>
            </w:pPr>
          </w:p>
        </w:tc>
      </w:tr>
      <w:tr w:rsidR="001E1112" w:rsidRPr="00317ABF" w14:paraId="71CAEF6F" w14:textId="77777777" w:rsidTr="7753F98D">
        <w:trPr>
          <w:gridAfter w:val="2"/>
          <w:wAfter w:w="175" w:type="dxa"/>
        </w:trPr>
        <w:tc>
          <w:tcPr>
            <w:tcW w:w="704" w:type="dxa"/>
          </w:tcPr>
          <w:p w14:paraId="706089D1" w14:textId="77777777" w:rsidR="001E1112" w:rsidRPr="00317ABF" w:rsidRDefault="001E1112" w:rsidP="00DB3BEC">
            <w:pPr>
              <w:jc w:val="both"/>
              <w:rPr>
                <w:b/>
                <w:sz w:val="22"/>
                <w:szCs w:val="22"/>
              </w:rPr>
            </w:pPr>
            <w:r w:rsidRPr="00317ABF">
              <w:rPr>
                <w:b/>
                <w:sz w:val="22"/>
                <w:szCs w:val="22"/>
              </w:rPr>
              <w:t>Art. 47</w:t>
            </w:r>
          </w:p>
        </w:tc>
        <w:tc>
          <w:tcPr>
            <w:tcW w:w="4308" w:type="dxa"/>
          </w:tcPr>
          <w:p w14:paraId="073D18F9" w14:textId="77777777" w:rsidR="001E1112" w:rsidRPr="00317ABF" w:rsidRDefault="001E1112" w:rsidP="00DB3BEC">
            <w:pPr>
              <w:spacing w:before="120"/>
              <w:jc w:val="both"/>
              <w:rPr>
                <w:sz w:val="22"/>
                <w:szCs w:val="22"/>
              </w:rPr>
            </w:pPr>
            <w:r w:rsidRPr="00317ABF">
              <w:rPr>
                <w:b/>
                <w:bCs/>
                <w:sz w:val="22"/>
                <w:szCs w:val="22"/>
              </w:rPr>
              <w:t>Warunki dotyczące indywidualnych praw użytkowania widma radiowego</w:t>
            </w:r>
          </w:p>
        </w:tc>
        <w:tc>
          <w:tcPr>
            <w:tcW w:w="986" w:type="dxa"/>
          </w:tcPr>
          <w:p w14:paraId="09013C57" w14:textId="77777777" w:rsidR="001E1112" w:rsidRPr="00317ABF" w:rsidRDefault="001E1112" w:rsidP="00DB3BEC">
            <w:pPr>
              <w:jc w:val="both"/>
              <w:rPr>
                <w:sz w:val="22"/>
                <w:szCs w:val="22"/>
              </w:rPr>
            </w:pPr>
          </w:p>
        </w:tc>
        <w:tc>
          <w:tcPr>
            <w:tcW w:w="910" w:type="dxa"/>
          </w:tcPr>
          <w:p w14:paraId="30921DD6" w14:textId="77777777" w:rsidR="001E1112" w:rsidRPr="00317ABF" w:rsidRDefault="001E1112" w:rsidP="00DB3BEC">
            <w:pPr>
              <w:pStyle w:val="Tekstpodstawowy"/>
              <w:rPr>
                <w:b/>
                <w:noProof/>
                <w:sz w:val="22"/>
                <w:szCs w:val="22"/>
              </w:rPr>
            </w:pPr>
          </w:p>
        </w:tc>
        <w:tc>
          <w:tcPr>
            <w:tcW w:w="6814" w:type="dxa"/>
            <w:gridSpan w:val="2"/>
          </w:tcPr>
          <w:p w14:paraId="532D7643" w14:textId="77777777" w:rsidR="001E1112" w:rsidRPr="00317ABF" w:rsidRDefault="001E1112" w:rsidP="00DB3BEC">
            <w:pPr>
              <w:pStyle w:val="Tekstpodstawowy"/>
              <w:rPr>
                <w:sz w:val="22"/>
                <w:szCs w:val="22"/>
              </w:rPr>
            </w:pPr>
          </w:p>
        </w:tc>
      </w:tr>
      <w:tr w:rsidR="001E1112" w:rsidRPr="00317ABF" w14:paraId="67CD8CD9" w14:textId="77777777" w:rsidTr="7753F98D">
        <w:trPr>
          <w:gridAfter w:val="2"/>
          <w:wAfter w:w="175" w:type="dxa"/>
        </w:trPr>
        <w:tc>
          <w:tcPr>
            <w:tcW w:w="704" w:type="dxa"/>
          </w:tcPr>
          <w:p w14:paraId="18C52BAC" w14:textId="77777777" w:rsidR="001E1112" w:rsidRPr="00317ABF" w:rsidRDefault="001E1112" w:rsidP="00DB3BEC">
            <w:pPr>
              <w:jc w:val="both"/>
              <w:rPr>
                <w:sz w:val="22"/>
                <w:szCs w:val="22"/>
              </w:rPr>
            </w:pPr>
            <w:r w:rsidRPr="00317ABF">
              <w:rPr>
                <w:sz w:val="22"/>
                <w:szCs w:val="22"/>
              </w:rPr>
              <w:t>Art. 47 ust. 1</w:t>
            </w:r>
          </w:p>
        </w:tc>
        <w:tc>
          <w:tcPr>
            <w:tcW w:w="4308" w:type="dxa"/>
          </w:tcPr>
          <w:p w14:paraId="19FBF6A0" w14:textId="77777777" w:rsidR="001E1112" w:rsidRPr="00317ABF" w:rsidRDefault="001E1112" w:rsidP="00DB3BEC">
            <w:pPr>
              <w:spacing w:before="120"/>
              <w:jc w:val="both"/>
              <w:rPr>
                <w:sz w:val="22"/>
                <w:szCs w:val="22"/>
              </w:rPr>
            </w:pPr>
            <w:r w:rsidRPr="00317ABF">
              <w:rPr>
                <w:sz w:val="22"/>
                <w:szCs w:val="22"/>
              </w:rPr>
              <w:t xml:space="preserve">1.   Właściwe organy obwarowują warunkami indywidualne prawa użytkowania widma radiowego zgodnie z art. 13 ust. 1 w taki sposób, aby zapewnić optymalne i najefektywniejsze i najwydajniejsze użytkowanie widma radiowego. Przed przydzieleniem lub odnowieniem takich praw, wyraźnie określają wszelkie takie warunki, w tym wymagany poziom użytkowania oraz możliwość spełnienia tego wymogu przez obrót prawami i ich dzierżawę aby zapewnić wykonanie tych warunków zgodnie z art. 30. Warunki, którymi obwarowano odnowienie prawa użytkowania </w:t>
            </w:r>
            <w:r w:rsidRPr="00317ABF">
              <w:rPr>
                <w:sz w:val="22"/>
                <w:szCs w:val="22"/>
              </w:rPr>
              <w:lastRenderedPageBreak/>
              <w:t>widma radiowego, nie mogą zapewniać nienależnej przewagi dotychczasowym posiadaczom tych praw.</w:t>
            </w:r>
          </w:p>
          <w:p w14:paraId="78E88186" w14:textId="77777777" w:rsidR="001E1112" w:rsidRPr="00317ABF" w:rsidRDefault="001E1112" w:rsidP="00DB3BEC">
            <w:pPr>
              <w:spacing w:before="120"/>
              <w:jc w:val="both"/>
              <w:rPr>
                <w:sz w:val="22"/>
                <w:szCs w:val="22"/>
              </w:rPr>
            </w:pPr>
            <w:r w:rsidRPr="00317ABF">
              <w:rPr>
                <w:sz w:val="22"/>
                <w:szCs w:val="22"/>
              </w:rPr>
              <w:t>Takie warunki określają wszelkie mające zastosowanie parametry, w tym obowiązujący termin na wdrożenie praw, którego niedotrzymanie uprawniałoby właściwy organ do wycofania prawa użytkowania lub wprowadzenia innych środków.</w:t>
            </w:r>
          </w:p>
          <w:p w14:paraId="7155F95E" w14:textId="77777777" w:rsidR="001E1112" w:rsidRPr="00317ABF" w:rsidRDefault="001E1112" w:rsidP="00DB3BEC">
            <w:pPr>
              <w:spacing w:before="120"/>
              <w:jc w:val="both"/>
              <w:rPr>
                <w:sz w:val="22"/>
                <w:szCs w:val="22"/>
              </w:rPr>
            </w:pPr>
            <w:r w:rsidRPr="00317ABF">
              <w:rPr>
                <w:sz w:val="22"/>
                <w:szCs w:val="22"/>
              </w:rPr>
              <w:t>Właściwe organy odpowiednio wcześnie i w przejrzysty sposób odbywają konsultacje z zainteresowanymi stronami i informują je o warunkach, którymi mają zostać obwarowane indywidualne prawa użytkowania, przed ich nałożeniem. Organy te z wyprzedzeniem określają kryteria oceny spełnienia tych warunków i informują o nich zainteresowane strony w przejrzysty sposób.</w:t>
            </w:r>
          </w:p>
        </w:tc>
        <w:tc>
          <w:tcPr>
            <w:tcW w:w="986" w:type="dxa"/>
          </w:tcPr>
          <w:p w14:paraId="65166A0A" w14:textId="2FF5685D" w:rsidR="001E1112" w:rsidRPr="00317ABF" w:rsidRDefault="001E1112" w:rsidP="00DB3BEC">
            <w:pPr>
              <w:jc w:val="both"/>
              <w:rPr>
                <w:sz w:val="22"/>
                <w:szCs w:val="22"/>
              </w:rPr>
            </w:pPr>
            <w:r w:rsidRPr="00317ABF">
              <w:rPr>
                <w:sz w:val="22"/>
                <w:szCs w:val="22"/>
              </w:rPr>
              <w:lastRenderedPageBreak/>
              <w:t>T</w:t>
            </w:r>
          </w:p>
        </w:tc>
        <w:tc>
          <w:tcPr>
            <w:tcW w:w="910" w:type="dxa"/>
          </w:tcPr>
          <w:p w14:paraId="48FE81CE" w14:textId="6A8DD180" w:rsidR="001E1112" w:rsidRPr="00317ABF" w:rsidRDefault="001E1112" w:rsidP="00DB3BEC">
            <w:pPr>
              <w:pStyle w:val="Tekstpodstawowy"/>
              <w:rPr>
                <w:b/>
                <w:bCs/>
                <w:noProof/>
                <w:sz w:val="22"/>
                <w:szCs w:val="22"/>
              </w:rPr>
            </w:pPr>
            <w:r w:rsidRPr="00317ABF">
              <w:rPr>
                <w:b/>
                <w:bCs/>
                <w:noProof/>
                <w:sz w:val="22"/>
                <w:szCs w:val="22"/>
              </w:rPr>
              <w:t xml:space="preserve">Art. </w:t>
            </w:r>
            <w:r w:rsidR="00BF0395" w:rsidRPr="00317ABF">
              <w:rPr>
                <w:b/>
                <w:bCs/>
                <w:noProof/>
                <w:sz w:val="22"/>
                <w:szCs w:val="22"/>
              </w:rPr>
              <w:t>87</w:t>
            </w:r>
            <w:r w:rsidRPr="00317ABF">
              <w:rPr>
                <w:b/>
                <w:bCs/>
                <w:noProof/>
                <w:sz w:val="22"/>
                <w:szCs w:val="22"/>
              </w:rPr>
              <w:t xml:space="preserve"> ust. 1</w:t>
            </w:r>
            <w:r w:rsidR="00BF0395" w:rsidRPr="00317ABF">
              <w:rPr>
                <w:b/>
                <w:bCs/>
                <w:noProof/>
                <w:sz w:val="22"/>
                <w:szCs w:val="22"/>
              </w:rPr>
              <w:t>,</w:t>
            </w:r>
          </w:p>
          <w:p w14:paraId="62C2D79E" w14:textId="3C858D63" w:rsidR="001E1112" w:rsidRPr="00317ABF" w:rsidRDefault="001E1112" w:rsidP="00DB3BEC">
            <w:pPr>
              <w:pStyle w:val="Tekstpodstawowy"/>
              <w:rPr>
                <w:b/>
                <w:bCs/>
                <w:noProof/>
                <w:sz w:val="22"/>
                <w:szCs w:val="22"/>
              </w:rPr>
            </w:pPr>
            <w:r w:rsidRPr="00317ABF">
              <w:rPr>
                <w:b/>
                <w:bCs/>
                <w:noProof/>
                <w:sz w:val="22"/>
                <w:szCs w:val="22"/>
              </w:rPr>
              <w:t>(</w:t>
            </w:r>
            <w:r w:rsidR="00BF0395" w:rsidRPr="00317ABF">
              <w:rPr>
                <w:b/>
                <w:bCs/>
                <w:noProof/>
                <w:sz w:val="22"/>
                <w:szCs w:val="22"/>
              </w:rPr>
              <w:t>w zakresieakapitu</w:t>
            </w:r>
            <w:r w:rsidRPr="00317ABF">
              <w:rPr>
                <w:b/>
                <w:bCs/>
                <w:noProof/>
                <w:sz w:val="22"/>
                <w:szCs w:val="22"/>
              </w:rPr>
              <w:t xml:space="preserve"> 3) Art. </w:t>
            </w:r>
            <w:r w:rsidR="00BF0395" w:rsidRPr="00317ABF">
              <w:rPr>
                <w:b/>
                <w:bCs/>
                <w:noProof/>
                <w:sz w:val="22"/>
                <w:szCs w:val="22"/>
              </w:rPr>
              <w:t>81</w:t>
            </w:r>
          </w:p>
        </w:tc>
        <w:tc>
          <w:tcPr>
            <w:tcW w:w="6814" w:type="dxa"/>
            <w:gridSpan w:val="2"/>
          </w:tcPr>
          <w:p w14:paraId="5377E734" w14:textId="31EDF36A" w:rsidR="001E1112" w:rsidRPr="00317ABF" w:rsidRDefault="001E1112" w:rsidP="00DB3BEC">
            <w:pPr>
              <w:ind w:firstLine="510"/>
              <w:jc w:val="both"/>
              <w:rPr>
                <w:sz w:val="22"/>
                <w:szCs w:val="22"/>
              </w:rPr>
            </w:pPr>
            <w:r w:rsidRPr="00317ABF">
              <w:rPr>
                <w:rFonts w:eastAsia="Times"/>
                <w:b/>
                <w:bCs/>
                <w:sz w:val="22"/>
                <w:szCs w:val="22"/>
              </w:rPr>
              <w:t xml:space="preserve">Art. </w:t>
            </w:r>
            <w:r w:rsidR="00BF0395" w:rsidRPr="00317ABF">
              <w:rPr>
                <w:rFonts w:eastAsia="Times"/>
                <w:b/>
                <w:bCs/>
                <w:sz w:val="22"/>
                <w:szCs w:val="22"/>
              </w:rPr>
              <w:t>87</w:t>
            </w:r>
            <w:r w:rsidRPr="00317ABF">
              <w:rPr>
                <w:rFonts w:eastAsia="Times"/>
                <w:b/>
                <w:bCs/>
                <w:sz w:val="22"/>
                <w:szCs w:val="22"/>
              </w:rPr>
              <w:t>.</w:t>
            </w:r>
            <w:r w:rsidRPr="00317ABF">
              <w:rPr>
                <w:rFonts w:eastAsia="Times"/>
                <w:sz w:val="22"/>
                <w:szCs w:val="22"/>
              </w:rPr>
              <w:t xml:space="preserve"> 1. W rezerwacji częstotliwości określa się:</w:t>
            </w:r>
          </w:p>
          <w:p w14:paraId="3FDA1F37" w14:textId="77777777" w:rsidR="00BF0395" w:rsidRPr="00317ABF" w:rsidRDefault="00BF0395" w:rsidP="00BF0395">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1)</w:t>
            </w:r>
            <w:r w:rsidRPr="00317ABF">
              <w:rPr>
                <w:rFonts w:ascii="Times New Roman" w:hAnsi="Times New Roman" w:cs="Times New Roman"/>
                <w:sz w:val="22"/>
                <w:szCs w:val="22"/>
              </w:rPr>
              <w:tab/>
              <w:t>uprawniony podmiot, na rzecz którego dokonano rezerwacji częstotliwości, oraz jego siedzibę i adres;</w:t>
            </w:r>
          </w:p>
          <w:p w14:paraId="2DEC5A72" w14:textId="77777777" w:rsidR="00BF0395" w:rsidRPr="00317ABF" w:rsidRDefault="00BF0395" w:rsidP="00BF0395">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2)</w:t>
            </w:r>
            <w:r w:rsidRPr="00317ABF">
              <w:rPr>
                <w:rFonts w:ascii="Times New Roman" w:hAnsi="Times New Roman" w:cs="Times New Roman"/>
                <w:sz w:val="22"/>
                <w:szCs w:val="22"/>
              </w:rPr>
              <w:tab/>
              <w:t>zakres częstotliwości lub pozycje orbitalne objęte rezerwacją;</w:t>
            </w:r>
          </w:p>
          <w:p w14:paraId="5F569C9B" w14:textId="77777777" w:rsidR="00BF0395" w:rsidRPr="00317ABF" w:rsidRDefault="00BF0395" w:rsidP="00BF0395">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3)</w:t>
            </w:r>
            <w:r w:rsidRPr="00317ABF">
              <w:rPr>
                <w:rFonts w:ascii="Times New Roman" w:hAnsi="Times New Roman" w:cs="Times New Roman"/>
                <w:sz w:val="22"/>
                <w:szCs w:val="22"/>
              </w:rPr>
              <w:tab/>
              <w:t>obszar, na którym mogą być wykorzystywane częstotliwości;</w:t>
            </w:r>
          </w:p>
          <w:p w14:paraId="18C2D44E" w14:textId="77777777" w:rsidR="00BF0395" w:rsidRPr="00317ABF" w:rsidRDefault="00BF0395" w:rsidP="00BF0395">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4)</w:t>
            </w:r>
            <w:r w:rsidRPr="00317ABF">
              <w:rPr>
                <w:rFonts w:ascii="Times New Roman" w:hAnsi="Times New Roman" w:cs="Times New Roman"/>
                <w:sz w:val="22"/>
                <w:szCs w:val="22"/>
              </w:rPr>
              <w:tab/>
              <w:t>rodzaje służby radiokomunikacyjnej;</w:t>
            </w:r>
          </w:p>
          <w:p w14:paraId="055780B1" w14:textId="77777777" w:rsidR="00BF0395" w:rsidRPr="00317ABF" w:rsidRDefault="00BF0395" w:rsidP="00BF0395">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5)</w:t>
            </w:r>
            <w:r w:rsidRPr="00317ABF">
              <w:rPr>
                <w:rFonts w:ascii="Times New Roman" w:hAnsi="Times New Roman" w:cs="Times New Roman"/>
                <w:sz w:val="22"/>
                <w:szCs w:val="22"/>
              </w:rPr>
              <w:tab/>
              <w:t>okres obowiązywania rezerwacji;</w:t>
            </w:r>
          </w:p>
          <w:p w14:paraId="08F0BD4D" w14:textId="77777777" w:rsidR="00BF0395" w:rsidRPr="00317ABF" w:rsidRDefault="00BF0395" w:rsidP="00BF0395">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6)</w:t>
            </w:r>
            <w:r w:rsidRPr="00317ABF">
              <w:rPr>
                <w:rFonts w:ascii="Times New Roman" w:hAnsi="Times New Roman" w:cs="Times New Roman"/>
                <w:sz w:val="22"/>
                <w:szCs w:val="22"/>
              </w:rPr>
              <w:tab/>
              <w:t>okres wykorzystywania częstotliwości;</w:t>
            </w:r>
          </w:p>
          <w:p w14:paraId="169AF2E4" w14:textId="77777777" w:rsidR="00BF0395" w:rsidRPr="00317ABF" w:rsidRDefault="00BF0395" w:rsidP="00BF0395">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7)</w:t>
            </w:r>
            <w:r w:rsidRPr="00317ABF">
              <w:rPr>
                <w:rFonts w:ascii="Times New Roman" w:hAnsi="Times New Roman" w:cs="Times New Roman"/>
                <w:sz w:val="22"/>
                <w:szCs w:val="22"/>
              </w:rPr>
              <w:tab/>
              <w:t>termin, w jakim podmiot jest obowiązany rozpocząć wykorzystywanie częstotliwości;</w:t>
            </w:r>
          </w:p>
          <w:p w14:paraId="5164C5FB" w14:textId="77777777" w:rsidR="00BF0395" w:rsidRPr="00317ABF" w:rsidRDefault="00BF0395" w:rsidP="00BF0395">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8)</w:t>
            </w:r>
            <w:r w:rsidRPr="00317ABF">
              <w:rPr>
                <w:rFonts w:ascii="Times New Roman" w:hAnsi="Times New Roman" w:cs="Times New Roman"/>
                <w:sz w:val="22"/>
                <w:szCs w:val="22"/>
              </w:rPr>
              <w:tab/>
              <w:t>wymagania w zakresie wykorzystania częstotliwości oraz wskazanie czy ich realizacja jest możliwa w drodze dzierżawy lub przekazania do użytkowania częstotliwości;</w:t>
            </w:r>
          </w:p>
          <w:p w14:paraId="220C0E05" w14:textId="77777777" w:rsidR="00BF0395" w:rsidRPr="00317ABF" w:rsidRDefault="00BF0395" w:rsidP="00BF0395">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lastRenderedPageBreak/>
              <w:t>9)</w:t>
            </w:r>
            <w:r w:rsidRPr="00317ABF">
              <w:rPr>
                <w:rFonts w:ascii="Times New Roman" w:hAnsi="Times New Roman" w:cs="Times New Roman"/>
                <w:sz w:val="22"/>
                <w:szCs w:val="22"/>
              </w:rPr>
              <w:tab/>
              <w:t>warunki do wydania pozwolenia radiowego uwzględniające warunki wynikające z wiążących Rzeczpospolitą Polską umów międzynarodowych;</w:t>
            </w:r>
          </w:p>
          <w:p w14:paraId="43829581" w14:textId="77777777" w:rsidR="00BF0395" w:rsidRPr="00317ABF" w:rsidRDefault="00BF0395" w:rsidP="00BF0395">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10)</w:t>
            </w:r>
            <w:r w:rsidRPr="00317ABF">
              <w:rPr>
                <w:rFonts w:ascii="Times New Roman" w:hAnsi="Times New Roman" w:cs="Times New Roman"/>
                <w:sz w:val="22"/>
                <w:szCs w:val="22"/>
              </w:rPr>
              <w:tab/>
              <w:t>zobowiązania podmiotu podjęte w ramach postępowania selekcyjnego, o ile zostały podjęte;</w:t>
            </w:r>
          </w:p>
          <w:p w14:paraId="23E641FF" w14:textId="7B791CD4" w:rsidR="001E1112" w:rsidRPr="00317ABF" w:rsidRDefault="001E1112" w:rsidP="00DB3BEC">
            <w:pPr>
              <w:jc w:val="both"/>
              <w:rPr>
                <w:sz w:val="22"/>
                <w:szCs w:val="22"/>
              </w:rPr>
            </w:pPr>
            <w:r w:rsidRPr="00317ABF">
              <w:rPr>
                <w:sz w:val="22"/>
                <w:szCs w:val="22"/>
              </w:rPr>
              <w:t>11)</w:t>
            </w:r>
            <w:r w:rsidR="00BF0395" w:rsidRPr="00317ABF">
              <w:rPr>
                <w:sz w:val="22"/>
                <w:szCs w:val="22"/>
              </w:rPr>
              <w:tab/>
            </w:r>
            <w:r w:rsidRPr="00317ABF">
              <w:rPr>
                <w:sz w:val="22"/>
                <w:szCs w:val="22"/>
              </w:rPr>
              <w:t xml:space="preserve">wymagania dotyczące bezpieczeństwa i integralności infrastruktury telekomunikacyjnej i usług ustalone przez Prezesa UKE z uwzględnieniem rekomendacji i wytycznych Europejskiej Agencji do spraw Bezpieczeństwa Sieci i Informacji (ENISA), po zasięgnięciu opinii Kolegium, o którym mowa w art. 64 ustawy z dnia 5 lipca 2018 r. o krajowym systemie cyberbezpieczeństwa, jeżeli rezerwacja </w:t>
            </w:r>
            <w:r w:rsidR="00BF0395" w:rsidRPr="00317ABF">
              <w:rPr>
                <w:sz w:val="22"/>
                <w:szCs w:val="22"/>
              </w:rPr>
              <w:t xml:space="preserve">będzie obejmować co najmniej 30% obszaru kraju i </w:t>
            </w:r>
            <w:r w:rsidRPr="00317ABF">
              <w:rPr>
                <w:sz w:val="22"/>
                <w:szCs w:val="22"/>
              </w:rPr>
              <w:t xml:space="preserve">jest dokonywana </w:t>
            </w:r>
            <w:r w:rsidR="00BF0395" w:rsidRPr="00317ABF">
              <w:rPr>
                <w:sz w:val="22"/>
                <w:szCs w:val="22"/>
              </w:rPr>
              <w:t xml:space="preserve">bez przeprowadzenia postępowania selekcyjnego, o którym mowa w art. 104 ust. 3 lub </w:t>
            </w:r>
            <w:r w:rsidRPr="00317ABF">
              <w:rPr>
                <w:sz w:val="22"/>
                <w:szCs w:val="22"/>
              </w:rPr>
              <w:t>po przeprowadzeniu aukcji</w:t>
            </w:r>
            <w:r w:rsidR="00BF0395" w:rsidRPr="00317ABF">
              <w:rPr>
                <w:sz w:val="22"/>
                <w:szCs w:val="22"/>
              </w:rPr>
              <w:t xml:space="preserve"> lub przetargu</w:t>
            </w:r>
            <w:r w:rsidRPr="00317ABF">
              <w:rPr>
                <w:sz w:val="22"/>
                <w:szCs w:val="22"/>
              </w:rPr>
              <w:t xml:space="preserve">, o </w:t>
            </w:r>
            <w:r w:rsidR="00BF0395" w:rsidRPr="00317ABF">
              <w:rPr>
                <w:sz w:val="22"/>
                <w:szCs w:val="22"/>
              </w:rPr>
              <w:t>których</w:t>
            </w:r>
            <w:r w:rsidRPr="00317ABF">
              <w:rPr>
                <w:sz w:val="22"/>
                <w:szCs w:val="22"/>
              </w:rPr>
              <w:t xml:space="preserve"> mowa w art. </w:t>
            </w:r>
            <w:r w:rsidR="00BF0395" w:rsidRPr="00317ABF">
              <w:rPr>
                <w:sz w:val="22"/>
                <w:szCs w:val="22"/>
              </w:rPr>
              <w:t>104</w:t>
            </w:r>
            <w:r w:rsidRPr="00317ABF">
              <w:rPr>
                <w:sz w:val="22"/>
                <w:szCs w:val="22"/>
              </w:rPr>
              <w:t xml:space="preserve"> ust. 3 pkt 2.</w:t>
            </w:r>
          </w:p>
          <w:p w14:paraId="2F76CBE7" w14:textId="77777777" w:rsidR="003409F3" w:rsidRPr="00317ABF" w:rsidRDefault="003409F3" w:rsidP="00BF0395">
            <w:pPr>
              <w:jc w:val="both"/>
              <w:rPr>
                <w:sz w:val="22"/>
                <w:szCs w:val="22"/>
              </w:rPr>
            </w:pPr>
          </w:p>
          <w:p w14:paraId="6338D6A5" w14:textId="57524097" w:rsidR="001E1112" w:rsidRPr="00317ABF" w:rsidRDefault="001E1112" w:rsidP="00DB3BEC">
            <w:pPr>
              <w:jc w:val="both"/>
              <w:rPr>
                <w:sz w:val="22"/>
                <w:szCs w:val="22"/>
              </w:rPr>
            </w:pPr>
            <w:r w:rsidRPr="00317ABF">
              <w:rPr>
                <w:rStyle w:val="Ppogrubienie"/>
                <w:sz w:val="22"/>
                <w:szCs w:val="22"/>
              </w:rPr>
              <w:t>Art.</w:t>
            </w:r>
            <w:r w:rsidR="003409F3" w:rsidRPr="00317ABF">
              <w:rPr>
                <w:rStyle w:val="Ppogrubienie"/>
                <w:sz w:val="22"/>
                <w:szCs w:val="22"/>
              </w:rPr>
              <w:t> 81</w:t>
            </w:r>
            <w:r w:rsidRPr="00317ABF">
              <w:rPr>
                <w:rStyle w:val="Ppogrubienie"/>
                <w:sz w:val="22"/>
                <w:szCs w:val="22"/>
              </w:rPr>
              <w:t>.</w:t>
            </w:r>
            <w:r w:rsidRPr="00317ABF">
              <w:rPr>
                <w:sz w:val="22"/>
                <w:szCs w:val="22"/>
              </w:rPr>
              <w:t xml:space="preserve"> Przed wydaniem decyzji w sprawie rezerwacji częstotliwości, niepoprzedzonej przetargiem, aukcją, konkursem, zwanych dalej „postępowaniem selekcyjnym”, Prezes UKE przekazuje stronie projekt rozstrzygnięcia wyznaczając odpowiedni</w:t>
            </w:r>
            <w:r w:rsidR="003409F3" w:rsidRPr="00317ABF">
              <w:rPr>
                <w:sz w:val="22"/>
                <w:szCs w:val="22"/>
              </w:rPr>
              <w:t>, nie krótszy niż 14 dni,</w:t>
            </w:r>
            <w:r w:rsidRPr="00317ABF">
              <w:rPr>
                <w:sz w:val="22"/>
                <w:szCs w:val="22"/>
              </w:rPr>
              <w:t xml:space="preserve"> termin na zajęcie stanowiska.</w:t>
            </w:r>
          </w:p>
        </w:tc>
      </w:tr>
      <w:tr w:rsidR="001E1112" w:rsidRPr="00317ABF" w14:paraId="2CE564E7" w14:textId="77777777" w:rsidTr="7753F98D">
        <w:trPr>
          <w:gridAfter w:val="2"/>
          <w:wAfter w:w="175" w:type="dxa"/>
        </w:trPr>
        <w:tc>
          <w:tcPr>
            <w:tcW w:w="704" w:type="dxa"/>
          </w:tcPr>
          <w:p w14:paraId="71C19FC7" w14:textId="77777777" w:rsidR="001E1112" w:rsidRPr="00317ABF" w:rsidRDefault="001E1112" w:rsidP="00DB3BEC">
            <w:pPr>
              <w:jc w:val="both"/>
              <w:rPr>
                <w:sz w:val="22"/>
                <w:szCs w:val="22"/>
              </w:rPr>
            </w:pPr>
            <w:r w:rsidRPr="00317ABF">
              <w:rPr>
                <w:sz w:val="22"/>
                <w:szCs w:val="22"/>
              </w:rPr>
              <w:lastRenderedPageBreak/>
              <w:t>Art. 47 ust. 2</w:t>
            </w:r>
          </w:p>
        </w:tc>
        <w:tc>
          <w:tcPr>
            <w:tcW w:w="4308" w:type="dxa"/>
          </w:tcPr>
          <w:p w14:paraId="0A68D8D2" w14:textId="77777777" w:rsidR="001E1112" w:rsidRPr="00317ABF" w:rsidRDefault="001E1112" w:rsidP="00DB3BEC">
            <w:pPr>
              <w:spacing w:before="120"/>
              <w:jc w:val="both"/>
              <w:rPr>
                <w:sz w:val="22"/>
                <w:szCs w:val="22"/>
              </w:rPr>
            </w:pPr>
            <w:r w:rsidRPr="00317ABF">
              <w:rPr>
                <w:sz w:val="22"/>
                <w:szCs w:val="22"/>
              </w:rPr>
              <w:t>2.   Obwarowując warunkami indywidualne prawa wykorzystania widma radiowego, właściwe organy mogą zwłaszcza w celu zapewnienia efektywnego i wydajnego wykorzystania widma radiowego lub wspierania większego zasięgu, przewidzieć następujące możliwości:</w:t>
            </w:r>
          </w:p>
          <w:tbl>
            <w:tblPr>
              <w:tblW w:w="5000" w:type="pct"/>
              <w:tblCellSpacing w:w="0" w:type="dxa"/>
              <w:tblLayout w:type="fixed"/>
              <w:tblCellMar>
                <w:left w:w="0" w:type="dxa"/>
                <w:right w:w="0" w:type="dxa"/>
              </w:tblCellMar>
              <w:tblLook w:val="04A0" w:firstRow="1" w:lastRow="0" w:firstColumn="1" w:lastColumn="0" w:noHBand="0" w:noVBand="1"/>
            </w:tblPr>
            <w:tblGrid>
              <w:gridCol w:w="20"/>
              <w:gridCol w:w="4148"/>
            </w:tblGrid>
            <w:tr w:rsidR="001E1112" w:rsidRPr="00317ABF" w14:paraId="311A24AD" w14:textId="77777777" w:rsidTr="00A462BE">
              <w:trPr>
                <w:tblCellSpacing w:w="0" w:type="dxa"/>
              </w:trPr>
              <w:tc>
                <w:tcPr>
                  <w:tcW w:w="6" w:type="dxa"/>
                  <w:hideMark/>
                </w:tcPr>
                <w:p w14:paraId="0CFCD97B" w14:textId="77777777" w:rsidR="001E1112" w:rsidRPr="00317ABF" w:rsidRDefault="001E1112" w:rsidP="00EE0AC3">
                  <w:pPr>
                    <w:framePr w:hSpace="141" w:wrap="around" w:vAnchor="text" w:hAnchor="text" w:xAlign="right" w:y="1"/>
                    <w:spacing w:before="120"/>
                    <w:suppressOverlap/>
                    <w:jc w:val="both"/>
                    <w:rPr>
                      <w:sz w:val="22"/>
                      <w:szCs w:val="22"/>
                    </w:rPr>
                  </w:pPr>
                </w:p>
              </w:tc>
              <w:tc>
                <w:tcPr>
                  <w:tcW w:w="9066" w:type="dxa"/>
                  <w:hideMark/>
                </w:tcPr>
                <w:p w14:paraId="15D98E97" w14:textId="77777777" w:rsidR="001E1112" w:rsidRPr="00317ABF" w:rsidRDefault="001E1112" w:rsidP="00EE0AC3">
                  <w:pPr>
                    <w:framePr w:hSpace="141" w:wrap="around" w:vAnchor="text" w:hAnchor="text" w:xAlign="right" w:y="1"/>
                    <w:numPr>
                      <w:ilvl w:val="0"/>
                      <w:numId w:val="35"/>
                    </w:numPr>
                    <w:spacing w:before="120"/>
                    <w:suppressOverlap/>
                    <w:jc w:val="both"/>
                    <w:rPr>
                      <w:sz w:val="22"/>
                      <w:szCs w:val="22"/>
                    </w:rPr>
                  </w:pPr>
                  <w:r w:rsidRPr="00317ABF">
                    <w:rPr>
                      <w:sz w:val="22"/>
                      <w:szCs w:val="22"/>
                    </w:rPr>
                    <w:t>współużytkowania infrastruktury pasywnej lub aktywnej, która opiera się na widmie radiowym, lub współużytkowania widma radiowego,:</w:t>
                  </w:r>
                </w:p>
              </w:tc>
            </w:tr>
          </w:tbl>
          <w:p w14:paraId="7001A5AA" w14:textId="77777777" w:rsidR="001E1112" w:rsidRPr="00317ABF" w:rsidRDefault="001E1112" w:rsidP="00DB3BEC">
            <w:pPr>
              <w:jc w:val="both"/>
              <w:rPr>
                <w:vanish/>
                <w:sz w:val="22"/>
                <w:szCs w:val="22"/>
              </w:rPr>
            </w:pPr>
          </w:p>
          <w:tbl>
            <w:tblPr>
              <w:tblW w:w="5000" w:type="pct"/>
              <w:tblCellSpacing w:w="0" w:type="dxa"/>
              <w:tblLayout w:type="fixed"/>
              <w:tblCellMar>
                <w:left w:w="0" w:type="dxa"/>
                <w:right w:w="0" w:type="dxa"/>
              </w:tblCellMar>
              <w:tblLook w:val="04A0" w:firstRow="1" w:lastRow="0" w:firstColumn="1" w:lastColumn="0" w:noHBand="0" w:noVBand="1"/>
            </w:tblPr>
            <w:tblGrid>
              <w:gridCol w:w="20"/>
              <w:gridCol w:w="4148"/>
            </w:tblGrid>
            <w:tr w:rsidR="001E1112" w:rsidRPr="00317ABF" w14:paraId="7CC9C2BC" w14:textId="77777777" w:rsidTr="00A462BE">
              <w:trPr>
                <w:tblCellSpacing w:w="0" w:type="dxa"/>
              </w:trPr>
              <w:tc>
                <w:tcPr>
                  <w:tcW w:w="9" w:type="dxa"/>
                  <w:hideMark/>
                </w:tcPr>
                <w:p w14:paraId="52832FE1" w14:textId="77777777" w:rsidR="001E1112" w:rsidRPr="00317ABF" w:rsidRDefault="001E1112" w:rsidP="00EE0AC3">
                  <w:pPr>
                    <w:framePr w:hSpace="141" w:wrap="around" w:vAnchor="text" w:hAnchor="text" w:xAlign="right" w:y="1"/>
                    <w:spacing w:before="120"/>
                    <w:suppressOverlap/>
                    <w:jc w:val="both"/>
                    <w:rPr>
                      <w:sz w:val="22"/>
                      <w:szCs w:val="22"/>
                    </w:rPr>
                  </w:pPr>
                </w:p>
              </w:tc>
              <w:tc>
                <w:tcPr>
                  <w:tcW w:w="9063" w:type="dxa"/>
                  <w:hideMark/>
                </w:tcPr>
                <w:p w14:paraId="70437689" w14:textId="77777777" w:rsidR="001E1112" w:rsidRPr="00317ABF" w:rsidRDefault="001E1112" w:rsidP="00EE0AC3">
                  <w:pPr>
                    <w:framePr w:hSpace="141" w:wrap="around" w:vAnchor="text" w:hAnchor="text" w:xAlign="right" w:y="1"/>
                    <w:numPr>
                      <w:ilvl w:val="0"/>
                      <w:numId w:val="35"/>
                    </w:numPr>
                    <w:spacing w:before="120"/>
                    <w:suppressOverlap/>
                    <w:jc w:val="both"/>
                    <w:rPr>
                      <w:sz w:val="22"/>
                      <w:szCs w:val="22"/>
                    </w:rPr>
                  </w:pPr>
                  <w:r w:rsidRPr="00317ABF">
                    <w:rPr>
                      <w:sz w:val="22"/>
                      <w:szCs w:val="22"/>
                    </w:rPr>
                    <w:t>zawierania komercyjnych umów dostępu do usług roamingu;</w:t>
                  </w:r>
                </w:p>
              </w:tc>
            </w:tr>
          </w:tbl>
          <w:p w14:paraId="7586E6C1" w14:textId="77777777" w:rsidR="001E1112" w:rsidRPr="00317ABF" w:rsidRDefault="001E1112" w:rsidP="00DB3BEC">
            <w:pPr>
              <w:jc w:val="both"/>
              <w:rPr>
                <w:vanish/>
                <w:sz w:val="22"/>
                <w:szCs w:val="22"/>
              </w:rPr>
            </w:pPr>
          </w:p>
          <w:tbl>
            <w:tblPr>
              <w:tblW w:w="5000" w:type="pct"/>
              <w:tblCellSpacing w:w="0" w:type="dxa"/>
              <w:tblLayout w:type="fixed"/>
              <w:tblCellMar>
                <w:left w:w="0" w:type="dxa"/>
                <w:right w:w="0" w:type="dxa"/>
              </w:tblCellMar>
              <w:tblLook w:val="04A0" w:firstRow="1" w:lastRow="0" w:firstColumn="1" w:lastColumn="0" w:noHBand="0" w:noVBand="1"/>
            </w:tblPr>
            <w:tblGrid>
              <w:gridCol w:w="20"/>
              <w:gridCol w:w="4148"/>
            </w:tblGrid>
            <w:tr w:rsidR="001E1112" w:rsidRPr="00317ABF" w14:paraId="604A7046" w14:textId="77777777" w:rsidTr="00A462BE">
              <w:trPr>
                <w:tblCellSpacing w:w="0" w:type="dxa"/>
              </w:trPr>
              <w:tc>
                <w:tcPr>
                  <w:tcW w:w="6" w:type="dxa"/>
                  <w:hideMark/>
                </w:tcPr>
                <w:p w14:paraId="34D9DEF3" w14:textId="77777777" w:rsidR="001E1112" w:rsidRPr="00317ABF" w:rsidRDefault="001E1112" w:rsidP="00EE0AC3">
                  <w:pPr>
                    <w:framePr w:hSpace="141" w:wrap="around" w:vAnchor="text" w:hAnchor="text" w:xAlign="right" w:y="1"/>
                    <w:spacing w:before="120"/>
                    <w:suppressOverlap/>
                    <w:jc w:val="both"/>
                    <w:rPr>
                      <w:sz w:val="22"/>
                      <w:szCs w:val="22"/>
                    </w:rPr>
                  </w:pPr>
                </w:p>
              </w:tc>
              <w:tc>
                <w:tcPr>
                  <w:tcW w:w="9066" w:type="dxa"/>
                  <w:hideMark/>
                </w:tcPr>
                <w:p w14:paraId="6BFE70B4" w14:textId="77777777" w:rsidR="001E1112" w:rsidRPr="00317ABF" w:rsidRDefault="001E1112" w:rsidP="00EE0AC3">
                  <w:pPr>
                    <w:framePr w:hSpace="141" w:wrap="around" w:vAnchor="text" w:hAnchor="text" w:xAlign="right" w:y="1"/>
                    <w:numPr>
                      <w:ilvl w:val="0"/>
                      <w:numId w:val="35"/>
                    </w:numPr>
                    <w:spacing w:before="120"/>
                    <w:suppressOverlap/>
                    <w:jc w:val="both"/>
                    <w:rPr>
                      <w:sz w:val="22"/>
                      <w:szCs w:val="22"/>
                    </w:rPr>
                  </w:pPr>
                  <w:r w:rsidRPr="00317ABF">
                    <w:rPr>
                      <w:sz w:val="22"/>
                      <w:szCs w:val="22"/>
                    </w:rPr>
                    <w:t xml:space="preserve">uruchamiania wspólnie infrastruktury na potrzeby dostarczania sieci </w:t>
                  </w:r>
                  <w:r w:rsidRPr="00317ABF">
                    <w:rPr>
                      <w:sz w:val="22"/>
                      <w:szCs w:val="22"/>
                    </w:rPr>
                    <w:lastRenderedPageBreak/>
                    <w:t>lub świadczenia usług, które uzależnione są od wykorzystania widma radiowego.</w:t>
                  </w:r>
                </w:p>
              </w:tc>
            </w:tr>
          </w:tbl>
          <w:p w14:paraId="3AF926C9" w14:textId="77777777" w:rsidR="001E1112" w:rsidRPr="00317ABF" w:rsidRDefault="001E1112" w:rsidP="00DB3BEC">
            <w:pPr>
              <w:spacing w:before="120"/>
              <w:jc w:val="both"/>
              <w:rPr>
                <w:sz w:val="22"/>
                <w:szCs w:val="22"/>
              </w:rPr>
            </w:pPr>
            <w:r w:rsidRPr="00317ABF">
              <w:rPr>
                <w:sz w:val="22"/>
                <w:szCs w:val="22"/>
              </w:rPr>
              <w:lastRenderedPageBreak/>
              <w:t>Ustalając warunki którymi obwarowano prawa użytkowania widma radiowego, właściwe organy nie zabraniają współużytkowania widma radiowego. Wdrożenie przez przedsiębiorstwa warunków nałożonych na podstawie niniejszego ustępu nadal podlega przepisom prawa konkurencji.</w:t>
            </w:r>
          </w:p>
        </w:tc>
        <w:tc>
          <w:tcPr>
            <w:tcW w:w="986" w:type="dxa"/>
          </w:tcPr>
          <w:p w14:paraId="42DC095F" w14:textId="002AA8D5" w:rsidR="001E1112" w:rsidRPr="00317ABF" w:rsidRDefault="001E1112" w:rsidP="00DB3BEC">
            <w:pPr>
              <w:jc w:val="both"/>
              <w:rPr>
                <w:sz w:val="22"/>
                <w:szCs w:val="22"/>
              </w:rPr>
            </w:pPr>
            <w:r w:rsidRPr="00317ABF">
              <w:rPr>
                <w:sz w:val="22"/>
                <w:szCs w:val="22"/>
              </w:rPr>
              <w:lastRenderedPageBreak/>
              <w:t>N</w:t>
            </w:r>
          </w:p>
        </w:tc>
        <w:tc>
          <w:tcPr>
            <w:tcW w:w="910" w:type="dxa"/>
          </w:tcPr>
          <w:p w14:paraId="0D6FC255" w14:textId="723A1C3B" w:rsidR="001E1112" w:rsidRPr="00317ABF" w:rsidRDefault="00DB3BEC" w:rsidP="00DB3BEC">
            <w:pPr>
              <w:pStyle w:val="Tekstpodstawowy"/>
              <w:rPr>
                <w:b/>
                <w:bCs/>
                <w:noProof/>
                <w:sz w:val="22"/>
                <w:szCs w:val="22"/>
              </w:rPr>
            </w:pPr>
            <w:r w:rsidRPr="00317ABF">
              <w:rPr>
                <w:b/>
                <w:bCs/>
                <w:noProof/>
                <w:sz w:val="22"/>
                <w:szCs w:val="22"/>
              </w:rPr>
              <w:t xml:space="preserve">Art. </w:t>
            </w:r>
            <w:r w:rsidR="00096C97" w:rsidRPr="00317ABF">
              <w:rPr>
                <w:b/>
                <w:bCs/>
                <w:noProof/>
                <w:sz w:val="22"/>
                <w:szCs w:val="22"/>
              </w:rPr>
              <w:t>87</w:t>
            </w:r>
            <w:r w:rsidR="001E1112" w:rsidRPr="00317ABF">
              <w:rPr>
                <w:b/>
                <w:bCs/>
                <w:noProof/>
                <w:sz w:val="22"/>
                <w:szCs w:val="22"/>
              </w:rPr>
              <w:t xml:space="preserve"> ust. 3 pkt 5-7</w:t>
            </w:r>
          </w:p>
        </w:tc>
        <w:tc>
          <w:tcPr>
            <w:tcW w:w="6814" w:type="dxa"/>
            <w:gridSpan w:val="2"/>
          </w:tcPr>
          <w:p w14:paraId="06A1926A" w14:textId="77777777" w:rsidR="00096C97" w:rsidRPr="00317ABF" w:rsidRDefault="00096C97" w:rsidP="00096C97">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5)</w:t>
            </w:r>
            <w:r w:rsidRPr="00317ABF">
              <w:rPr>
                <w:rFonts w:ascii="Times New Roman" w:hAnsi="Times New Roman" w:cs="Times New Roman"/>
                <w:sz w:val="22"/>
                <w:szCs w:val="22"/>
              </w:rPr>
              <w:tab/>
              <w:t>możliwość lub obowiązek współużytkowania częstotliwości lub dostępu do elementów sieci telekomunikacyjnej i usług dodatkowych służącej do wykorzystywania częstotliwości objętych rezerwacją;</w:t>
            </w:r>
          </w:p>
          <w:p w14:paraId="7F7AA24E" w14:textId="77777777" w:rsidR="00096C97" w:rsidRPr="00317ABF" w:rsidRDefault="00096C97" w:rsidP="00096C97">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6)</w:t>
            </w:r>
            <w:r w:rsidRPr="00317ABF">
              <w:rPr>
                <w:rFonts w:ascii="Times New Roman" w:hAnsi="Times New Roman" w:cs="Times New Roman"/>
                <w:sz w:val="22"/>
                <w:szCs w:val="22"/>
              </w:rPr>
              <w:tab/>
              <w:t>możliwość lub obowiązek zapewnienia dostępu telekomunikacyjnego na potrzeby roamingu lokalnego;</w:t>
            </w:r>
          </w:p>
          <w:p w14:paraId="4823D41C" w14:textId="0C7418A3" w:rsidR="001E1112" w:rsidRPr="00317ABF" w:rsidRDefault="001E1112" w:rsidP="00DB3BEC">
            <w:pPr>
              <w:jc w:val="both"/>
              <w:rPr>
                <w:sz w:val="22"/>
                <w:szCs w:val="22"/>
              </w:rPr>
            </w:pPr>
            <w:r w:rsidRPr="00317ABF">
              <w:rPr>
                <w:rFonts w:eastAsia="Times"/>
                <w:sz w:val="22"/>
                <w:szCs w:val="22"/>
              </w:rPr>
              <w:t xml:space="preserve">7)     </w:t>
            </w:r>
            <w:r w:rsidR="00096C97" w:rsidRPr="00317ABF">
              <w:rPr>
                <w:sz w:val="22"/>
                <w:szCs w:val="22"/>
              </w:rPr>
              <w:t xml:space="preserve">  </w:t>
            </w:r>
            <w:r w:rsidRPr="00317ABF">
              <w:rPr>
                <w:rFonts w:eastAsia="Times"/>
                <w:sz w:val="22"/>
                <w:szCs w:val="22"/>
              </w:rPr>
              <w:t>obowiązek uruchamiania</w:t>
            </w:r>
            <w:r w:rsidR="00096C97" w:rsidRPr="00317ABF">
              <w:rPr>
                <w:sz w:val="22"/>
                <w:szCs w:val="22"/>
              </w:rPr>
              <w:t>,</w:t>
            </w:r>
            <w:r w:rsidRPr="00317ABF">
              <w:rPr>
                <w:rFonts w:eastAsia="Times"/>
                <w:sz w:val="22"/>
                <w:szCs w:val="22"/>
              </w:rPr>
              <w:t xml:space="preserve"> wspólnie z innym podmiotem</w:t>
            </w:r>
            <w:r w:rsidR="00096C97" w:rsidRPr="00317ABF">
              <w:rPr>
                <w:sz w:val="22"/>
                <w:szCs w:val="22"/>
              </w:rPr>
              <w:t>,</w:t>
            </w:r>
            <w:r w:rsidRPr="00317ABF">
              <w:rPr>
                <w:rFonts w:eastAsia="Times"/>
                <w:sz w:val="22"/>
                <w:szCs w:val="22"/>
              </w:rPr>
              <w:t xml:space="preserve"> infrastruktury na potrzeby dostarczania sieci lub świadczenia usług, które uzależnione są od wykorzystania częstotliwości objętych rezerwacją;</w:t>
            </w:r>
          </w:p>
        </w:tc>
      </w:tr>
      <w:tr w:rsidR="001E1112" w:rsidRPr="00317ABF" w14:paraId="006B906B" w14:textId="77777777" w:rsidTr="7753F98D">
        <w:trPr>
          <w:gridAfter w:val="2"/>
          <w:wAfter w:w="175" w:type="dxa"/>
        </w:trPr>
        <w:tc>
          <w:tcPr>
            <w:tcW w:w="704" w:type="dxa"/>
          </w:tcPr>
          <w:p w14:paraId="0D6BB0D2" w14:textId="77777777" w:rsidR="001E1112" w:rsidRPr="00317ABF" w:rsidRDefault="001E1112" w:rsidP="00DB3BEC">
            <w:pPr>
              <w:jc w:val="both"/>
              <w:rPr>
                <w:b/>
                <w:sz w:val="22"/>
                <w:szCs w:val="22"/>
              </w:rPr>
            </w:pPr>
            <w:r w:rsidRPr="00317ABF">
              <w:rPr>
                <w:b/>
                <w:sz w:val="22"/>
                <w:szCs w:val="22"/>
              </w:rPr>
              <w:lastRenderedPageBreak/>
              <w:t>Art. 48</w:t>
            </w:r>
          </w:p>
        </w:tc>
        <w:tc>
          <w:tcPr>
            <w:tcW w:w="4308" w:type="dxa"/>
          </w:tcPr>
          <w:p w14:paraId="43E4A0FF" w14:textId="77777777" w:rsidR="001E1112" w:rsidRPr="00317ABF" w:rsidRDefault="001E1112" w:rsidP="00DB3BEC">
            <w:pPr>
              <w:spacing w:before="120"/>
              <w:jc w:val="both"/>
              <w:rPr>
                <w:sz w:val="22"/>
                <w:szCs w:val="22"/>
              </w:rPr>
            </w:pPr>
            <w:r w:rsidRPr="00317ABF">
              <w:rPr>
                <w:b/>
                <w:bCs/>
                <w:sz w:val="22"/>
                <w:szCs w:val="22"/>
              </w:rPr>
              <w:t>Przyznawanie indywidualnych praw użytkowania widma radiowego</w:t>
            </w:r>
          </w:p>
        </w:tc>
        <w:tc>
          <w:tcPr>
            <w:tcW w:w="986" w:type="dxa"/>
          </w:tcPr>
          <w:p w14:paraId="256E56B6" w14:textId="77777777" w:rsidR="001E1112" w:rsidRPr="00317ABF" w:rsidRDefault="001E1112" w:rsidP="00DB3BEC">
            <w:pPr>
              <w:jc w:val="both"/>
              <w:rPr>
                <w:sz w:val="22"/>
                <w:szCs w:val="22"/>
              </w:rPr>
            </w:pPr>
          </w:p>
        </w:tc>
        <w:tc>
          <w:tcPr>
            <w:tcW w:w="910" w:type="dxa"/>
          </w:tcPr>
          <w:p w14:paraId="3E05DC03" w14:textId="77777777" w:rsidR="001E1112" w:rsidRPr="00317ABF" w:rsidRDefault="001E1112" w:rsidP="00DB3BEC">
            <w:pPr>
              <w:pStyle w:val="Tekstpodstawowy"/>
              <w:rPr>
                <w:b/>
                <w:noProof/>
                <w:sz w:val="22"/>
                <w:szCs w:val="22"/>
              </w:rPr>
            </w:pPr>
          </w:p>
        </w:tc>
        <w:tc>
          <w:tcPr>
            <w:tcW w:w="6814" w:type="dxa"/>
            <w:gridSpan w:val="2"/>
          </w:tcPr>
          <w:p w14:paraId="7C72859A" w14:textId="77777777" w:rsidR="001E1112" w:rsidRPr="00317ABF" w:rsidRDefault="001E1112" w:rsidP="00DB3BEC">
            <w:pPr>
              <w:pStyle w:val="Tekstpodstawowy"/>
              <w:rPr>
                <w:sz w:val="22"/>
                <w:szCs w:val="22"/>
              </w:rPr>
            </w:pPr>
          </w:p>
        </w:tc>
      </w:tr>
      <w:tr w:rsidR="001E1112" w:rsidRPr="00317ABF" w14:paraId="69745E65" w14:textId="77777777" w:rsidTr="7753F98D">
        <w:trPr>
          <w:gridAfter w:val="2"/>
          <w:wAfter w:w="175" w:type="dxa"/>
        </w:trPr>
        <w:tc>
          <w:tcPr>
            <w:tcW w:w="704" w:type="dxa"/>
          </w:tcPr>
          <w:p w14:paraId="784E2682" w14:textId="77777777" w:rsidR="001E1112" w:rsidRPr="00317ABF" w:rsidRDefault="001E1112" w:rsidP="00DB3BEC">
            <w:pPr>
              <w:jc w:val="both"/>
              <w:rPr>
                <w:sz w:val="22"/>
                <w:szCs w:val="22"/>
              </w:rPr>
            </w:pPr>
            <w:r w:rsidRPr="00317ABF">
              <w:rPr>
                <w:sz w:val="22"/>
                <w:szCs w:val="22"/>
              </w:rPr>
              <w:t>Art. 48 ust. 1</w:t>
            </w:r>
          </w:p>
        </w:tc>
        <w:tc>
          <w:tcPr>
            <w:tcW w:w="4308" w:type="dxa"/>
          </w:tcPr>
          <w:p w14:paraId="523E2FAD" w14:textId="77777777" w:rsidR="001E1112" w:rsidRPr="00317ABF" w:rsidRDefault="001E1112" w:rsidP="00DB3BEC">
            <w:pPr>
              <w:spacing w:before="120"/>
              <w:jc w:val="both"/>
              <w:rPr>
                <w:sz w:val="22"/>
                <w:szCs w:val="22"/>
              </w:rPr>
            </w:pPr>
            <w:r w:rsidRPr="00317ABF">
              <w:rPr>
                <w:sz w:val="22"/>
                <w:szCs w:val="22"/>
              </w:rPr>
              <w:t>1.   W przypadku gdy konieczne jest przyznanie indywidualnych praw użytkowania widma radiowego, państwa członkowskie przyznają takie prawa – na wniosek – każdemu przedsiębiorstwu do celów dostarczania sieci łączności elektronicznej lub świadczenia usług na podstawie ogólnego zezwolenia, o którym mowa w art. 12, z zastrzeżeniem art. 13, art. 21 ust. 1 lit. c) i art. 55, oraz wszelkich innych przepisów zapewniających skuteczne wykorzystanie tych zasobów zgodnie z niniejszą dyrektywą.</w:t>
            </w:r>
          </w:p>
        </w:tc>
        <w:tc>
          <w:tcPr>
            <w:tcW w:w="986" w:type="dxa"/>
          </w:tcPr>
          <w:p w14:paraId="48D8542A" w14:textId="007289F6" w:rsidR="001E1112" w:rsidRPr="00317ABF" w:rsidRDefault="001E1112" w:rsidP="00DB3BEC">
            <w:pPr>
              <w:jc w:val="both"/>
              <w:rPr>
                <w:sz w:val="22"/>
                <w:szCs w:val="22"/>
              </w:rPr>
            </w:pPr>
            <w:r w:rsidRPr="00317ABF">
              <w:rPr>
                <w:sz w:val="22"/>
                <w:szCs w:val="22"/>
              </w:rPr>
              <w:t>T</w:t>
            </w:r>
          </w:p>
        </w:tc>
        <w:tc>
          <w:tcPr>
            <w:tcW w:w="910" w:type="dxa"/>
          </w:tcPr>
          <w:p w14:paraId="6655A5A4" w14:textId="4F21F7D0" w:rsidR="001E1112" w:rsidRPr="00317ABF" w:rsidRDefault="001E1112" w:rsidP="00DB3BEC">
            <w:pPr>
              <w:pStyle w:val="Tekstpodstawowy"/>
              <w:rPr>
                <w:b/>
                <w:sz w:val="22"/>
                <w:szCs w:val="22"/>
                <w:lang w:val="en-US"/>
              </w:rPr>
            </w:pPr>
            <w:r w:rsidRPr="00317ABF">
              <w:rPr>
                <w:b/>
                <w:sz w:val="22"/>
                <w:szCs w:val="22"/>
                <w:lang w:val="en-US"/>
              </w:rPr>
              <w:t xml:space="preserve">Art. </w:t>
            </w:r>
            <w:r w:rsidR="00AD3556" w:rsidRPr="00317ABF">
              <w:rPr>
                <w:b/>
                <w:sz w:val="22"/>
                <w:szCs w:val="22"/>
                <w:lang w:val="en-US"/>
              </w:rPr>
              <w:t>82</w:t>
            </w:r>
            <w:r w:rsidRPr="00317ABF">
              <w:rPr>
                <w:b/>
                <w:sz w:val="22"/>
                <w:szCs w:val="22"/>
                <w:lang w:val="en-US"/>
              </w:rPr>
              <w:t xml:space="preserve"> ust. 1</w:t>
            </w:r>
            <w:r w:rsidR="00121DC8" w:rsidRPr="00317ABF">
              <w:rPr>
                <w:b/>
                <w:sz w:val="22"/>
                <w:szCs w:val="22"/>
                <w:lang w:val="en-US"/>
              </w:rPr>
              <w:t>, art. 132</w:t>
            </w:r>
          </w:p>
          <w:p w14:paraId="7B5EB90D" w14:textId="036CF726" w:rsidR="001E1112" w:rsidRPr="00317ABF" w:rsidRDefault="001E1112" w:rsidP="00DB3BEC">
            <w:pPr>
              <w:pStyle w:val="Tekstpodstawowy"/>
              <w:rPr>
                <w:b/>
                <w:sz w:val="22"/>
                <w:szCs w:val="22"/>
                <w:lang w:val="en-US"/>
              </w:rPr>
            </w:pPr>
            <w:r w:rsidRPr="00317ABF">
              <w:rPr>
                <w:b/>
                <w:sz w:val="22"/>
                <w:szCs w:val="22"/>
                <w:lang w:val="en-US"/>
              </w:rPr>
              <w:t xml:space="preserve">Art. </w:t>
            </w:r>
            <w:r w:rsidR="00AD3556" w:rsidRPr="00317ABF">
              <w:rPr>
                <w:b/>
                <w:sz w:val="22"/>
                <w:szCs w:val="22"/>
                <w:lang w:val="en-US"/>
              </w:rPr>
              <w:t>138</w:t>
            </w:r>
          </w:p>
          <w:p w14:paraId="6C835F51" w14:textId="712C5766" w:rsidR="001E1112" w:rsidRPr="00317ABF" w:rsidRDefault="001E1112" w:rsidP="00DB3BEC">
            <w:pPr>
              <w:pStyle w:val="Tekstpodstawowy"/>
              <w:rPr>
                <w:b/>
                <w:sz w:val="22"/>
                <w:szCs w:val="22"/>
                <w:lang w:val="en-US"/>
              </w:rPr>
            </w:pPr>
            <w:r w:rsidRPr="00317ABF">
              <w:rPr>
                <w:b/>
                <w:sz w:val="22"/>
                <w:szCs w:val="22"/>
                <w:lang w:val="en-US"/>
              </w:rPr>
              <w:t xml:space="preserve">Art. </w:t>
            </w:r>
            <w:r w:rsidR="00AD3556" w:rsidRPr="00317ABF">
              <w:rPr>
                <w:b/>
                <w:sz w:val="22"/>
                <w:szCs w:val="22"/>
                <w:lang w:val="en-US"/>
              </w:rPr>
              <w:t>142</w:t>
            </w:r>
          </w:p>
        </w:tc>
        <w:tc>
          <w:tcPr>
            <w:tcW w:w="6814" w:type="dxa"/>
            <w:gridSpan w:val="2"/>
          </w:tcPr>
          <w:p w14:paraId="5DD6C40D" w14:textId="77777777" w:rsidR="00AD3556" w:rsidRPr="00317ABF" w:rsidRDefault="00AD3556" w:rsidP="00AD3556">
            <w:pPr>
              <w:pStyle w:val="ARTartustawynprozporzdzenia"/>
              <w:spacing w:before="0" w:line="240" w:lineRule="auto"/>
              <w:ind w:firstLine="0"/>
              <w:rPr>
                <w:rFonts w:ascii="Times New Roman" w:hAnsi="Times New Roman" w:cs="Times New Roman"/>
                <w:sz w:val="22"/>
                <w:szCs w:val="22"/>
              </w:rPr>
            </w:pPr>
            <w:r w:rsidRPr="00317ABF">
              <w:rPr>
                <w:rStyle w:val="Ppogrubienie"/>
                <w:rFonts w:ascii="Times New Roman" w:hAnsi="Times New Roman"/>
                <w:sz w:val="22"/>
                <w:szCs w:val="22"/>
              </w:rPr>
              <w:t>Art. 82.</w:t>
            </w:r>
            <w:r w:rsidRPr="00317ABF">
              <w:rPr>
                <w:rFonts w:ascii="Times New Roman" w:hAnsi="Times New Roman" w:cs="Times New Roman"/>
                <w:sz w:val="22"/>
                <w:szCs w:val="22"/>
              </w:rPr>
              <w:t xml:space="preserve"> 1. Prezes UKE wydaje decyzję w sprawie rezerwacji częstotliwości w terminie 6 tygodni od dnia złożenia wniosku przez podmiot ubiegający się o rezerwację częstotliwości, z zastrzeżeniem ust. 2.</w:t>
            </w:r>
          </w:p>
          <w:p w14:paraId="143FBC16" w14:textId="628662DD" w:rsidR="00121DC8" w:rsidRPr="00317ABF" w:rsidRDefault="00121DC8" w:rsidP="00121DC8">
            <w:pPr>
              <w:rPr>
                <w:sz w:val="22"/>
                <w:szCs w:val="22"/>
              </w:rPr>
            </w:pPr>
            <w:r w:rsidRPr="00317ABF">
              <w:rPr>
                <w:b/>
                <w:sz w:val="22"/>
                <w:szCs w:val="22"/>
              </w:rPr>
              <w:t>Art. 132</w:t>
            </w:r>
            <w:r w:rsidRPr="00317ABF">
              <w:rPr>
                <w:sz w:val="22"/>
                <w:szCs w:val="22"/>
              </w:rPr>
              <w:t>. 1. Prezes UKE dokonuje przydziału częstotliwości w terminie 6 tygodni od dnia złożenia wniosku przez podmiot ubiegający się o przydział częstotliwości, z zastrzeżeniem ust. 2.</w:t>
            </w:r>
          </w:p>
          <w:p w14:paraId="6C1F57D4" w14:textId="77777777" w:rsidR="00121DC8" w:rsidRPr="00317ABF" w:rsidRDefault="00121DC8" w:rsidP="00121DC8">
            <w:pPr>
              <w:pStyle w:val="USTustnpkodeksu"/>
              <w:spacing w:line="240" w:lineRule="auto"/>
              <w:rPr>
                <w:rFonts w:ascii="Times New Roman" w:hAnsi="Times New Roman" w:cs="Times New Roman"/>
                <w:sz w:val="22"/>
                <w:szCs w:val="22"/>
              </w:rPr>
            </w:pPr>
            <w:r w:rsidRPr="00317ABF">
              <w:rPr>
                <w:rFonts w:ascii="Times New Roman" w:hAnsi="Times New Roman" w:cs="Times New Roman"/>
                <w:sz w:val="22"/>
                <w:szCs w:val="22"/>
              </w:rPr>
              <w:t>2. Jeżeli dokonanie przydziału częstotliwości wymaga przeprowadzenia uzgodnień międzynarodowych, Prezes UKE dokonuje przydziału częstotliwości w terminie 6 tygodni od dnia zakończenia uzgodnień międzynarodowych.</w:t>
            </w:r>
          </w:p>
          <w:p w14:paraId="652CBCE1" w14:textId="77777777" w:rsidR="00121DC8" w:rsidRPr="00317ABF" w:rsidRDefault="00121DC8" w:rsidP="00AD3556">
            <w:pPr>
              <w:pStyle w:val="ARTartustawynprozporzdzenia"/>
              <w:spacing w:before="0" w:line="240" w:lineRule="auto"/>
              <w:ind w:firstLine="0"/>
              <w:rPr>
                <w:rFonts w:ascii="Times New Roman" w:hAnsi="Times New Roman" w:cs="Times New Roman"/>
                <w:sz w:val="22"/>
                <w:szCs w:val="22"/>
              </w:rPr>
            </w:pPr>
          </w:p>
          <w:p w14:paraId="177E28A1" w14:textId="77777777" w:rsidR="001E1112" w:rsidRPr="00317ABF" w:rsidRDefault="001E1112" w:rsidP="00AD3556">
            <w:pPr>
              <w:pStyle w:val="ARTartustawynprozporzdzenia"/>
              <w:spacing w:before="0" w:line="240" w:lineRule="auto"/>
              <w:ind w:firstLine="0"/>
              <w:rPr>
                <w:rFonts w:ascii="Times New Roman" w:hAnsi="Times New Roman" w:cs="Times New Roman"/>
                <w:sz w:val="22"/>
                <w:szCs w:val="22"/>
              </w:rPr>
            </w:pPr>
            <w:r w:rsidRPr="00317ABF">
              <w:rPr>
                <w:rStyle w:val="Ppogrubienie"/>
                <w:rFonts w:ascii="Times New Roman" w:hAnsi="Times New Roman"/>
                <w:sz w:val="22"/>
                <w:szCs w:val="22"/>
              </w:rPr>
              <w:t>Art. </w:t>
            </w:r>
            <w:r w:rsidR="00AD3556" w:rsidRPr="00317ABF">
              <w:rPr>
                <w:rStyle w:val="Ppogrubienie"/>
                <w:rFonts w:ascii="Times New Roman" w:hAnsi="Times New Roman"/>
                <w:sz w:val="22"/>
                <w:szCs w:val="22"/>
              </w:rPr>
              <w:t>138.</w:t>
            </w:r>
            <w:r w:rsidRPr="00317ABF">
              <w:rPr>
                <w:rFonts w:ascii="Times New Roman" w:hAnsi="Times New Roman" w:cs="Times New Roman"/>
                <w:sz w:val="22"/>
                <w:szCs w:val="22"/>
              </w:rPr>
              <w:t xml:space="preserve"> 1. Z zastrzeżeniem art. </w:t>
            </w:r>
            <w:r w:rsidR="00AD3556" w:rsidRPr="00317ABF">
              <w:rPr>
                <w:rFonts w:ascii="Times New Roman" w:hAnsi="Times New Roman" w:cs="Times New Roman"/>
                <w:sz w:val="22"/>
                <w:szCs w:val="22"/>
              </w:rPr>
              <w:t>145</w:t>
            </w:r>
            <w:r w:rsidRPr="00317ABF">
              <w:rPr>
                <w:rFonts w:ascii="Times New Roman" w:hAnsi="Times New Roman" w:cs="Times New Roman"/>
                <w:sz w:val="22"/>
                <w:szCs w:val="22"/>
              </w:rPr>
              <w:t xml:space="preserve">, art. </w:t>
            </w:r>
            <w:r w:rsidR="00AD3556" w:rsidRPr="00317ABF">
              <w:rPr>
                <w:rFonts w:ascii="Times New Roman" w:hAnsi="Times New Roman" w:cs="Times New Roman"/>
                <w:sz w:val="22"/>
                <w:szCs w:val="22"/>
              </w:rPr>
              <w:t>152</w:t>
            </w:r>
            <w:r w:rsidRPr="00317ABF">
              <w:rPr>
                <w:rFonts w:ascii="Times New Roman" w:hAnsi="Times New Roman" w:cs="Times New Roman"/>
                <w:sz w:val="22"/>
                <w:szCs w:val="22"/>
              </w:rPr>
              <w:t xml:space="preserve"> i art. </w:t>
            </w:r>
            <w:r w:rsidR="00AD3556" w:rsidRPr="00317ABF">
              <w:rPr>
                <w:rFonts w:ascii="Times New Roman" w:hAnsi="Times New Roman" w:cs="Times New Roman"/>
                <w:sz w:val="22"/>
                <w:szCs w:val="22"/>
              </w:rPr>
              <w:t>153</w:t>
            </w:r>
            <w:r w:rsidRPr="00317ABF">
              <w:rPr>
                <w:rFonts w:ascii="Times New Roman" w:hAnsi="Times New Roman" w:cs="Times New Roman"/>
                <w:sz w:val="22"/>
                <w:szCs w:val="22"/>
              </w:rPr>
              <w:t>, używanie urządzenia radiowego wymaga posiadania pozwolenia radiowego, zwanego dalej „pozwoleniem”.</w:t>
            </w:r>
          </w:p>
          <w:p w14:paraId="5DE95AD7" w14:textId="77777777" w:rsidR="001E1112" w:rsidRPr="00317ABF" w:rsidRDefault="001E1112" w:rsidP="00DB3BEC">
            <w:pPr>
              <w:pStyle w:val="USTustnpkodeksu"/>
              <w:spacing w:line="240" w:lineRule="auto"/>
              <w:rPr>
                <w:rFonts w:ascii="Times New Roman" w:hAnsi="Times New Roman" w:cs="Times New Roman"/>
                <w:sz w:val="22"/>
                <w:szCs w:val="22"/>
              </w:rPr>
            </w:pPr>
            <w:r w:rsidRPr="00317ABF">
              <w:rPr>
                <w:rFonts w:ascii="Times New Roman" w:hAnsi="Times New Roman" w:cs="Times New Roman"/>
                <w:sz w:val="22"/>
                <w:szCs w:val="22"/>
              </w:rPr>
              <w:t>2. Prezes UKE wydaje pozwolenie w drodze decyzji.</w:t>
            </w:r>
          </w:p>
          <w:p w14:paraId="5C4EC657" w14:textId="77777777" w:rsidR="001E1112" w:rsidRPr="00317ABF" w:rsidRDefault="001E1112" w:rsidP="00DB3BEC">
            <w:pPr>
              <w:pStyle w:val="USTustnpkodeksu"/>
              <w:spacing w:line="240" w:lineRule="auto"/>
              <w:rPr>
                <w:rFonts w:ascii="Times New Roman" w:hAnsi="Times New Roman" w:cs="Times New Roman"/>
                <w:sz w:val="22"/>
                <w:szCs w:val="22"/>
              </w:rPr>
            </w:pPr>
            <w:r w:rsidRPr="00317ABF">
              <w:rPr>
                <w:rFonts w:ascii="Times New Roman" w:hAnsi="Times New Roman" w:cs="Times New Roman"/>
                <w:sz w:val="22"/>
                <w:szCs w:val="22"/>
              </w:rPr>
              <w:t>3. Postępowanie w sprawie wydania pozwolenia wszczyna się na wniosek zainteresowanego podmiotu.</w:t>
            </w:r>
          </w:p>
          <w:p w14:paraId="551BE872" w14:textId="77777777" w:rsidR="001E1112" w:rsidRPr="00317ABF" w:rsidRDefault="001E1112" w:rsidP="00DB3BEC">
            <w:pPr>
              <w:pStyle w:val="USTustnpkodeksu"/>
              <w:spacing w:line="240" w:lineRule="auto"/>
              <w:rPr>
                <w:rFonts w:ascii="Times New Roman" w:hAnsi="Times New Roman" w:cs="Times New Roman"/>
                <w:sz w:val="22"/>
                <w:szCs w:val="22"/>
              </w:rPr>
            </w:pPr>
            <w:r w:rsidRPr="00317ABF">
              <w:rPr>
                <w:rFonts w:ascii="Times New Roman" w:hAnsi="Times New Roman" w:cs="Times New Roman"/>
                <w:sz w:val="22"/>
                <w:szCs w:val="22"/>
              </w:rPr>
              <w:t xml:space="preserve">4. Podmiot posiadający rezerwację częstotliwości lub podmiot przez niego upoważniony lub podmiot, któremu częstotliwości zostały wydzierżawione lub przekazane do użytkowania zgodnie z art. </w:t>
            </w:r>
            <w:r w:rsidR="00AD3556" w:rsidRPr="00317ABF">
              <w:rPr>
                <w:rFonts w:ascii="Times New Roman" w:hAnsi="Times New Roman" w:cs="Times New Roman"/>
                <w:sz w:val="22"/>
                <w:szCs w:val="22"/>
              </w:rPr>
              <w:t>96, o ile nie została wydana decyzja, o której mowa w art. 96</w:t>
            </w:r>
            <w:r w:rsidRPr="00317ABF">
              <w:rPr>
                <w:rFonts w:ascii="Times New Roman" w:hAnsi="Times New Roman" w:cs="Times New Roman"/>
                <w:sz w:val="22"/>
                <w:szCs w:val="22"/>
              </w:rPr>
              <w:t xml:space="preserve"> ust. 5, może żądać wydania pozwolenia dotyczącego wykorzystania zasobu częstotliwości objętego rezerwacją częstotliwości w okresie jej obowiązywania.</w:t>
            </w:r>
          </w:p>
          <w:p w14:paraId="2AB14C62" w14:textId="77777777" w:rsidR="00AD3556" w:rsidRPr="00317ABF" w:rsidRDefault="00AD3556" w:rsidP="00AD3556">
            <w:pPr>
              <w:pStyle w:val="USTustnpkodeksu"/>
              <w:spacing w:line="240" w:lineRule="auto"/>
              <w:rPr>
                <w:rFonts w:ascii="Times New Roman" w:hAnsi="Times New Roman" w:cs="Times New Roman"/>
                <w:sz w:val="22"/>
                <w:szCs w:val="22"/>
              </w:rPr>
            </w:pPr>
            <w:r w:rsidRPr="00317ABF">
              <w:rPr>
                <w:rFonts w:ascii="Times New Roman" w:hAnsi="Times New Roman" w:cs="Times New Roman"/>
                <w:sz w:val="22"/>
                <w:szCs w:val="22"/>
              </w:rPr>
              <w:t>5. Do pozwolenia stosuje się odpowiednio art. 65.</w:t>
            </w:r>
          </w:p>
          <w:p w14:paraId="6ECC25D0" w14:textId="77777777" w:rsidR="001E1112" w:rsidRPr="00317ABF" w:rsidRDefault="001E1112" w:rsidP="00DB3BEC">
            <w:pPr>
              <w:pStyle w:val="USTustnpkodeksu"/>
              <w:spacing w:line="240" w:lineRule="auto"/>
              <w:rPr>
                <w:rFonts w:ascii="Times New Roman" w:hAnsi="Times New Roman" w:cs="Times New Roman"/>
                <w:sz w:val="22"/>
                <w:szCs w:val="22"/>
              </w:rPr>
            </w:pPr>
            <w:r w:rsidRPr="00317ABF">
              <w:rPr>
                <w:rFonts w:ascii="Times New Roman" w:hAnsi="Times New Roman" w:cs="Times New Roman"/>
                <w:sz w:val="22"/>
                <w:szCs w:val="22"/>
              </w:rPr>
              <w:t xml:space="preserve">6. W przypadku wygaśnięcia lub rozwiązania umowy o wydzierżawienie częstotliwości lub umowy o przekazanie częstotliwości do </w:t>
            </w:r>
            <w:r w:rsidRPr="00317ABF">
              <w:rPr>
                <w:rFonts w:ascii="Times New Roman" w:hAnsi="Times New Roman" w:cs="Times New Roman"/>
                <w:sz w:val="22"/>
                <w:szCs w:val="22"/>
              </w:rPr>
              <w:lastRenderedPageBreak/>
              <w:t xml:space="preserve">użytkowania, o których mowa w art. </w:t>
            </w:r>
            <w:r w:rsidR="00AD3556" w:rsidRPr="00317ABF">
              <w:rPr>
                <w:rFonts w:ascii="Times New Roman" w:hAnsi="Times New Roman" w:cs="Times New Roman"/>
                <w:sz w:val="22"/>
                <w:szCs w:val="22"/>
              </w:rPr>
              <w:t>96</w:t>
            </w:r>
            <w:r w:rsidRPr="00317ABF">
              <w:rPr>
                <w:rFonts w:ascii="Times New Roman" w:hAnsi="Times New Roman" w:cs="Times New Roman"/>
                <w:sz w:val="22"/>
                <w:szCs w:val="22"/>
              </w:rPr>
              <w:t>, Prezes UKE stwierdza wygaśnięcie pozwolenia wydanego zgodnie z ust. 4.</w:t>
            </w:r>
          </w:p>
          <w:p w14:paraId="28D39114" w14:textId="77777777" w:rsidR="001E1112" w:rsidRPr="00317ABF" w:rsidRDefault="001E1112" w:rsidP="00DB3BEC">
            <w:pPr>
              <w:pStyle w:val="USTustnpkodeksu"/>
              <w:spacing w:line="240" w:lineRule="auto"/>
              <w:rPr>
                <w:rFonts w:ascii="Times New Roman" w:hAnsi="Times New Roman" w:cs="Times New Roman"/>
                <w:sz w:val="22"/>
                <w:szCs w:val="22"/>
              </w:rPr>
            </w:pPr>
            <w:r w:rsidRPr="00317ABF">
              <w:rPr>
                <w:rFonts w:ascii="Times New Roman" w:hAnsi="Times New Roman" w:cs="Times New Roman"/>
                <w:sz w:val="22"/>
                <w:szCs w:val="22"/>
              </w:rPr>
              <w:t xml:space="preserve">7. </w:t>
            </w:r>
            <w:r w:rsidR="00AD3556" w:rsidRPr="00317ABF">
              <w:rPr>
                <w:rFonts w:ascii="Times New Roman" w:hAnsi="Times New Roman" w:cs="Times New Roman"/>
                <w:sz w:val="22"/>
                <w:szCs w:val="22"/>
              </w:rPr>
              <w:t>W przypadku częstotliwości radiowych, których przeznaczenie określono w Krajowej Tablicy Przeznaczeń Częstotliwości lub ustalono w planie zagospodarowania częstotliwości, decyzja powinna być wydana w terminie 6 tygodni od dnia złożenia wniosku</w:t>
            </w:r>
            <w:r w:rsidRPr="00317ABF">
              <w:rPr>
                <w:rFonts w:ascii="Times New Roman" w:hAnsi="Times New Roman" w:cs="Times New Roman"/>
                <w:sz w:val="22"/>
                <w:szCs w:val="22"/>
              </w:rPr>
              <w:t>.</w:t>
            </w:r>
          </w:p>
          <w:p w14:paraId="57717120" w14:textId="77777777" w:rsidR="00AD3556" w:rsidRPr="00317ABF" w:rsidRDefault="00AD3556" w:rsidP="00AD3556">
            <w:pPr>
              <w:ind w:firstLine="567"/>
              <w:rPr>
                <w:sz w:val="22"/>
                <w:szCs w:val="22"/>
              </w:rPr>
            </w:pPr>
            <w:r w:rsidRPr="00317ABF">
              <w:rPr>
                <w:sz w:val="22"/>
                <w:szCs w:val="22"/>
              </w:rPr>
              <w:t>8. Przepisu ust. 7 nie stosuje się w przypadkach wymagających uzgodnień międzynarodowych lub wynikających z wiążących Rzeczpospolitą Polską umów międzynarodowych dotyczących użytkowania częstotliwości radiowych lub pozycji orbitalnych.</w:t>
            </w:r>
          </w:p>
          <w:p w14:paraId="7AFD3FCD" w14:textId="77777777" w:rsidR="00AD3556" w:rsidRPr="00317ABF" w:rsidRDefault="00AD3556" w:rsidP="00AD3556">
            <w:pPr>
              <w:jc w:val="both"/>
              <w:rPr>
                <w:sz w:val="22"/>
                <w:szCs w:val="22"/>
              </w:rPr>
            </w:pPr>
          </w:p>
          <w:p w14:paraId="5EBC2CEE" w14:textId="77777777" w:rsidR="00AD3556" w:rsidRPr="00317ABF" w:rsidRDefault="00AD3556" w:rsidP="00AD3556">
            <w:pPr>
              <w:pStyle w:val="ARTartustawynprozporzdzenia"/>
              <w:keepNext/>
              <w:spacing w:before="0" w:line="240" w:lineRule="auto"/>
              <w:ind w:firstLine="0"/>
              <w:rPr>
                <w:rFonts w:ascii="Times New Roman" w:hAnsi="Times New Roman" w:cs="Times New Roman"/>
                <w:sz w:val="22"/>
                <w:szCs w:val="22"/>
              </w:rPr>
            </w:pPr>
            <w:r w:rsidRPr="00317ABF">
              <w:rPr>
                <w:rStyle w:val="Ppogrubienie"/>
                <w:rFonts w:ascii="Times New Roman" w:hAnsi="Times New Roman"/>
                <w:sz w:val="22"/>
                <w:szCs w:val="22"/>
              </w:rPr>
              <w:t>Art. 142.</w:t>
            </w:r>
            <w:r w:rsidRPr="00317ABF">
              <w:rPr>
                <w:rFonts w:ascii="Times New Roman" w:hAnsi="Times New Roman" w:cs="Times New Roman"/>
                <w:sz w:val="22"/>
                <w:szCs w:val="22"/>
              </w:rPr>
              <w:t xml:space="preserve"> 1. Pozwolenie wydaje się podmiotowi, który spełnia wymagania określone ustawą oraz jeżeli:</w:t>
            </w:r>
          </w:p>
          <w:p w14:paraId="74148F95" w14:textId="77777777" w:rsidR="00AD3556" w:rsidRPr="00317ABF" w:rsidRDefault="00AD3556" w:rsidP="00AD3556">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 xml:space="preserve">1) </w:t>
            </w:r>
            <w:r w:rsidRPr="00317ABF">
              <w:rPr>
                <w:rFonts w:ascii="Times New Roman" w:hAnsi="Times New Roman" w:cs="Times New Roman"/>
                <w:sz w:val="22"/>
                <w:szCs w:val="22"/>
              </w:rPr>
              <w:tab/>
              <w:t>nie zachodzi żadna z okoliczności, o których mowa w art. 100 ust. 2 pkt 1-3 i 5;</w:t>
            </w:r>
          </w:p>
          <w:p w14:paraId="53D54143" w14:textId="77777777" w:rsidR="00AD3556" w:rsidRPr="00317ABF" w:rsidRDefault="00AD3556" w:rsidP="00AD3556">
            <w:pPr>
              <w:pStyle w:val="PKTpunkt0"/>
              <w:keepNext/>
              <w:spacing w:line="240" w:lineRule="auto"/>
              <w:rPr>
                <w:rFonts w:ascii="Times New Roman" w:hAnsi="Times New Roman" w:cs="Times New Roman"/>
                <w:sz w:val="22"/>
                <w:szCs w:val="22"/>
              </w:rPr>
            </w:pPr>
            <w:r w:rsidRPr="00317ABF">
              <w:rPr>
                <w:rFonts w:ascii="Times New Roman" w:hAnsi="Times New Roman" w:cs="Times New Roman"/>
                <w:sz w:val="22"/>
                <w:szCs w:val="22"/>
              </w:rPr>
              <w:t xml:space="preserve">2) </w:t>
            </w:r>
            <w:r w:rsidRPr="00317ABF">
              <w:rPr>
                <w:rFonts w:ascii="Times New Roman" w:hAnsi="Times New Roman" w:cs="Times New Roman"/>
                <w:sz w:val="22"/>
                <w:szCs w:val="22"/>
              </w:rPr>
              <w:tab/>
              <w:t>częstotliwości objęte wnioskiem:</w:t>
            </w:r>
          </w:p>
          <w:p w14:paraId="3735842D" w14:textId="77777777" w:rsidR="00AD3556" w:rsidRPr="00317ABF" w:rsidRDefault="00AD3556" w:rsidP="00AD3556">
            <w:pPr>
              <w:pStyle w:val="LITlitera"/>
              <w:spacing w:line="240" w:lineRule="auto"/>
              <w:rPr>
                <w:rFonts w:ascii="Times New Roman" w:hAnsi="Times New Roman" w:cs="Times New Roman"/>
                <w:sz w:val="22"/>
                <w:szCs w:val="22"/>
              </w:rPr>
            </w:pPr>
            <w:r w:rsidRPr="00317ABF">
              <w:rPr>
                <w:rFonts w:ascii="Times New Roman" w:hAnsi="Times New Roman" w:cs="Times New Roman"/>
                <w:sz w:val="22"/>
                <w:szCs w:val="22"/>
              </w:rPr>
              <w:t xml:space="preserve">a) </w:t>
            </w:r>
            <w:r w:rsidRPr="00317ABF">
              <w:rPr>
                <w:rFonts w:ascii="Times New Roman" w:hAnsi="Times New Roman" w:cs="Times New Roman"/>
                <w:sz w:val="22"/>
                <w:szCs w:val="22"/>
              </w:rPr>
              <w:tab/>
              <w:t>są dostępne,</w:t>
            </w:r>
          </w:p>
          <w:p w14:paraId="1B1C8E36" w14:textId="77777777" w:rsidR="00AD3556" w:rsidRPr="00317ABF" w:rsidRDefault="00AD3556" w:rsidP="00AD3556">
            <w:pPr>
              <w:pStyle w:val="LITlitera"/>
              <w:spacing w:line="240" w:lineRule="auto"/>
              <w:rPr>
                <w:rFonts w:ascii="Times New Roman" w:hAnsi="Times New Roman" w:cs="Times New Roman"/>
                <w:sz w:val="22"/>
                <w:szCs w:val="22"/>
              </w:rPr>
            </w:pPr>
            <w:r w:rsidRPr="00317ABF">
              <w:rPr>
                <w:rFonts w:ascii="Times New Roman" w:hAnsi="Times New Roman" w:cs="Times New Roman"/>
                <w:sz w:val="22"/>
                <w:szCs w:val="22"/>
              </w:rPr>
              <w:t xml:space="preserve">b) </w:t>
            </w:r>
            <w:r w:rsidRPr="00317ABF">
              <w:rPr>
                <w:rFonts w:ascii="Times New Roman" w:hAnsi="Times New Roman" w:cs="Times New Roman"/>
                <w:sz w:val="22"/>
                <w:szCs w:val="22"/>
              </w:rPr>
              <w:tab/>
              <w:t>zostały przeznaczone w Krajowej Tablicy Przeznaczeń Częstotliwości dla wnioskowanej służby radiokomunikacyjnej i użytkowania oraz plan zagospodarowania częstotliwości przewiduje ich zagospodarowanie zgodne z wnioskiem,</w:t>
            </w:r>
          </w:p>
          <w:p w14:paraId="31887B9E" w14:textId="77777777" w:rsidR="00AD3556" w:rsidRPr="00317ABF" w:rsidRDefault="00AD3556" w:rsidP="00AD3556">
            <w:pPr>
              <w:pStyle w:val="LITlitera"/>
              <w:spacing w:line="240" w:lineRule="auto"/>
              <w:rPr>
                <w:rFonts w:ascii="Times New Roman" w:hAnsi="Times New Roman" w:cs="Times New Roman"/>
                <w:sz w:val="22"/>
                <w:szCs w:val="22"/>
              </w:rPr>
            </w:pPr>
            <w:r w:rsidRPr="00317ABF">
              <w:rPr>
                <w:rFonts w:ascii="Times New Roman" w:hAnsi="Times New Roman" w:cs="Times New Roman"/>
                <w:sz w:val="22"/>
                <w:szCs w:val="22"/>
              </w:rPr>
              <w:t>c)</w:t>
            </w:r>
            <w:r w:rsidRPr="00317ABF">
              <w:rPr>
                <w:rFonts w:ascii="Times New Roman" w:hAnsi="Times New Roman" w:cs="Times New Roman"/>
                <w:sz w:val="22"/>
                <w:szCs w:val="22"/>
              </w:rPr>
              <w:tab/>
              <w:t>mogą być wykorzystywane przez urządzenie radiowe bez powodowania szkodliwych zaburzeń elektromagnetycznych lub kolizji z przyznanymi na rzecz innych podmiotów rezerwacjami, przydziałami częstotliwości, pozwoleniami lub decyzjami o prawie do wykorzystywania częstotliwości,</w:t>
            </w:r>
          </w:p>
          <w:p w14:paraId="5BFB399C" w14:textId="77777777" w:rsidR="001E1112" w:rsidRPr="00317ABF" w:rsidRDefault="001E1112" w:rsidP="00DB3BEC">
            <w:pPr>
              <w:pStyle w:val="LITlitera"/>
              <w:spacing w:line="240" w:lineRule="auto"/>
              <w:rPr>
                <w:rFonts w:ascii="Times New Roman" w:hAnsi="Times New Roman" w:cs="Times New Roman"/>
                <w:sz w:val="22"/>
                <w:szCs w:val="22"/>
              </w:rPr>
            </w:pPr>
            <w:r w:rsidRPr="00317ABF">
              <w:rPr>
                <w:rFonts w:ascii="Times New Roman" w:hAnsi="Times New Roman" w:cs="Times New Roman"/>
                <w:sz w:val="22"/>
                <w:szCs w:val="22"/>
              </w:rPr>
              <w:t>d)</w:t>
            </w:r>
            <w:r w:rsidRPr="00317ABF">
              <w:rPr>
                <w:rFonts w:ascii="Times New Roman" w:hAnsi="Times New Roman" w:cs="Times New Roman"/>
                <w:sz w:val="22"/>
                <w:szCs w:val="22"/>
              </w:rPr>
              <w:tab/>
              <w:t>zostały międzynarodowo uzgodnione w zakresie i formie określonych w międzynarodowych przepisach radiokomunikacyjnych lub wiążących Rzeczpospolitą Polską umowach międzynarodowych, w przypadku gdy zachodzi możliwość powodowania szkodliwych zakłóceń poza granicami Rzeczypospolitej Polskiej,</w:t>
            </w:r>
          </w:p>
          <w:p w14:paraId="4FDDEE03" w14:textId="77777777" w:rsidR="00AD3556" w:rsidRPr="00317ABF" w:rsidRDefault="00AD3556" w:rsidP="00AD3556">
            <w:pPr>
              <w:pStyle w:val="LITlitera"/>
              <w:spacing w:line="240" w:lineRule="auto"/>
              <w:rPr>
                <w:rFonts w:ascii="Times New Roman" w:hAnsi="Times New Roman" w:cs="Times New Roman"/>
                <w:sz w:val="22"/>
                <w:szCs w:val="22"/>
              </w:rPr>
            </w:pPr>
            <w:r w:rsidRPr="00317ABF">
              <w:rPr>
                <w:rFonts w:ascii="Times New Roman" w:hAnsi="Times New Roman" w:cs="Times New Roman"/>
                <w:sz w:val="22"/>
                <w:szCs w:val="22"/>
              </w:rPr>
              <w:t xml:space="preserve">e) </w:t>
            </w:r>
            <w:r w:rsidRPr="00317ABF">
              <w:rPr>
                <w:rFonts w:ascii="Times New Roman" w:hAnsi="Times New Roman" w:cs="Times New Roman"/>
                <w:sz w:val="22"/>
                <w:szCs w:val="22"/>
              </w:rPr>
              <w:tab/>
              <w:t>będą wykorzystywane w sposób efektywny;</w:t>
            </w:r>
          </w:p>
          <w:p w14:paraId="1000C8DA" w14:textId="77777777" w:rsidR="00AD3556" w:rsidRPr="00317ABF" w:rsidRDefault="00AD3556" w:rsidP="00AD3556">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 xml:space="preserve">3) </w:t>
            </w:r>
            <w:r w:rsidRPr="00317ABF">
              <w:rPr>
                <w:rFonts w:ascii="Times New Roman" w:hAnsi="Times New Roman" w:cs="Times New Roman"/>
                <w:sz w:val="22"/>
                <w:szCs w:val="22"/>
              </w:rPr>
              <w:tab/>
              <w:t>urządzenie pracujące na podstawie pozwolenia może być chronione przed szkodliwymi zakłóceniami;</w:t>
            </w:r>
          </w:p>
          <w:p w14:paraId="09260BEB" w14:textId="77777777" w:rsidR="00AD3556" w:rsidRPr="00317ABF" w:rsidRDefault="00AD3556" w:rsidP="00AD3556">
            <w:pPr>
              <w:pStyle w:val="PKTpunkt0"/>
              <w:keepNext/>
              <w:spacing w:line="240" w:lineRule="auto"/>
              <w:rPr>
                <w:rFonts w:ascii="Times New Roman" w:hAnsi="Times New Roman" w:cs="Times New Roman"/>
                <w:sz w:val="22"/>
                <w:szCs w:val="22"/>
              </w:rPr>
            </w:pPr>
            <w:r w:rsidRPr="00317ABF">
              <w:rPr>
                <w:rFonts w:ascii="Times New Roman" w:hAnsi="Times New Roman" w:cs="Times New Roman"/>
                <w:sz w:val="22"/>
                <w:szCs w:val="22"/>
              </w:rPr>
              <w:t xml:space="preserve">4) </w:t>
            </w:r>
            <w:r w:rsidRPr="00317ABF">
              <w:rPr>
                <w:rFonts w:ascii="Times New Roman" w:hAnsi="Times New Roman" w:cs="Times New Roman"/>
                <w:sz w:val="22"/>
                <w:szCs w:val="22"/>
              </w:rPr>
              <w:tab/>
              <w:t>wnioskodawca przedłoży:</w:t>
            </w:r>
          </w:p>
          <w:p w14:paraId="13A3FD1B" w14:textId="77777777" w:rsidR="00AD3556" w:rsidRPr="00317ABF" w:rsidRDefault="00AD3556" w:rsidP="00AD3556">
            <w:pPr>
              <w:pStyle w:val="LITlitera"/>
              <w:spacing w:line="240" w:lineRule="auto"/>
              <w:rPr>
                <w:rFonts w:ascii="Times New Roman" w:hAnsi="Times New Roman" w:cs="Times New Roman"/>
                <w:sz w:val="22"/>
                <w:szCs w:val="22"/>
              </w:rPr>
            </w:pPr>
            <w:r w:rsidRPr="00317ABF">
              <w:rPr>
                <w:rFonts w:ascii="Times New Roman" w:hAnsi="Times New Roman" w:cs="Times New Roman"/>
                <w:sz w:val="22"/>
                <w:szCs w:val="22"/>
              </w:rPr>
              <w:t xml:space="preserve">a) </w:t>
            </w:r>
            <w:r w:rsidRPr="00317ABF">
              <w:rPr>
                <w:rFonts w:ascii="Times New Roman" w:hAnsi="Times New Roman" w:cs="Times New Roman"/>
                <w:sz w:val="22"/>
                <w:szCs w:val="22"/>
              </w:rPr>
              <w:tab/>
              <w:t xml:space="preserve">dokument potwierdzający spełnienie przez urządzenie wymagań, o których mowa w art. 269 ust. 1-3 albo – w przypadku urządzeń wykorzystywanych w służbie radiokomunikacji morskiej i </w:t>
            </w:r>
            <w:r w:rsidRPr="00317ABF">
              <w:rPr>
                <w:rFonts w:ascii="Times New Roman" w:hAnsi="Times New Roman" w:cs="Times New Roman"/>
                <w:sz w:val="22"/>
                <w:szCs w:val="22"/>
              </w:rPr>
              <w:lastRenderedPageBreak/>
              <w:t>żeglugi śródlądowej lub w służbie radiokomunikacji lotniczej - dokument potwierdzający objęcie tych urządzeń przepisami, o których mowa odpowiednio w art. 269 ust. 7 pkt 2 lub pkt 3,</w:t>
            </w:r>
          </w:p>
          <w:p w14:paraId="1531BA45" w14:textId="77777777" w:rsidR="00AD3556" w:rsidRPr="00317ABF" w:rsidRDefault="00AD3556" w:rsidP="00AD3556">
            <w:pPr>
              <w:pStyle w:val="LITlitera"/>
              <w:spacing w:line="240" w:lineRule="auto"/>
              <w:rPr>
                <w:rFonts w:ascii="Times New Roman" w:hAnsi="Times New Roman" w:cs="Times New Roman"/>
                <w:sz w:val="22"/>
                <w:szCs w:val="22"/>
              </w:rPr>
            </w:pPr>
            <w:r w:rsidRPr="00317ABF">
              <w:rPr>
                <w:rFonts w:ascii="Times New Roman" w:hAnsi="Times New Roman" w:cs="Times New Roman"/>
                <w:sz w:val="22"/>
                <w:szCs w:val="22"/>
              </w:rPr>
              <w:t xml:space="preserve">b) </w:t>
            </w:r>
            <w:r w:rsidRPr="00317ABF">
              <w:rPr>
                <w:rFonts w:ascii="Times New Roman" w:hAnsi="Times New Roman" w:cs="Times New Roman"/>
                <w:sz w:val="22"/>
                <w:szCs w:val="22"/>
              </w:rPr>
              <w:tab/>
              <w:t>dokument potwierdzający rejestrację statku powietrznego, morskiego lub żeglugi śródlądowej w Rzeczypospolitej Polskiej - w przypadku ubiegania się o wydanie pozwolenia radiowego w służbie radiokomunikacji morskiej i żeglugi śródlądowej lub w służbie radiokomunikacji lotniczej ,</w:t>
            </w:r>
          </w:p>
          <w:p w14:paraId="2FC3AB28" w14:textId="77777777" w:rsidR="00AD3556" w:rsidRPr="00317ABF" w:rsidRDefault="00AD3556" w:rsidP="00AD3556">
            <w:pPr>
              <w:pStyle w:val="LITlitera"/>
              <w:spacing w:line="240" w:lineRule="auto"/>
              <w:rPr>
                <w:rFonts w:ascii="Times New Roman" w:hAnsi="Times New Roman" w:cs="Times New Roman"/>
                <w:sz w:val="22"/>
                <w:szCs w:val="22"/>
              </w:rPr>
            </w:pPr>
            <w:r w:rsidRPr="00317ABF">
              <w:rPr>
                <w:rFonts w:ascii="Times New Roman" w:hAnsi="Times New Roman" w:cs="Times New Roman"/>
                <w:sz w:val="22"/>
                <w:szCs w:val="22"/>
              </w:rPr>
              <w:t xml:space="preserve">c) </w:t>
            </w:r>
            <w:r w:rsidRPr="00317ABF">
              <w:rPr>
                <w:rFonts w:ascii="Times New Roman" w:hAnsi="Times New Roman" w:cs="Times New Roman"/>
                <w:sz w:val="22"/>
                <w:szCs w:val="22"/>
              </w:rPr>
              <w:tab/>
              <w:t>dokument potwierdzający uzyskanie zgody operatora satelity na wykorzystywanie transpondera - w przypadku pozwolenia dla naziemnej stacji w służbie satelitarnej,</w:t>
            </w:r>
          </w:p>
          <w:p w14:paraId="0089D8F4" w14:textId="77777777" w:rsidR="00AD3556" w:rsidRPr="00317ABF" w:rsidRDefault="00AD3556" w:rsidP="00AD3556">
            <w:pPr>
              <w:ind w:left="805" w:hanging="295"/>
              <w:jc w:val="both"/>
              <w:rPr>
                <w:sz w:val="22"/>
                <w:szCs w:val="22"/>
              </w:rPr>
            </w:pPr>
            <w:r w:rsidRPr="00317ABF">
              <w:rPr>
                <w:bCs/>
                <w:sz w:val="22"/>
                <w:szCs w:val="22"/>
              </w:rPr>
              <w:t xml:space="preserve">d) </w:t>
            </w:r>
            <w:r w:rsidRPr="00317ABF">
              <w:rPr>
                <w:sz w:val="22"/>
                <w:szCs w:val="22"/>
              </w:rPr>
              <w:tab/>
              <w:t xml:space="preserve">dokument potwierdzający pozytywny wynik egzaminu z wiadomości i umiejętności z zakresu obsługi urządzeń radiowych w służbie radiokomunikacyjnej amatorskiej lub dokument równoważny wydany przez uprawniony organ zagraniczny - </w:t>
            </w:r>
            <w:r w:rsidRPr="00317ABF">
              <w:rPr>
                <w:bCs/>
                <w:sz w:val="22"/>
                <w:szCs w:val="22"/>
              </w:rPr>
              <w:t>w przypadku ubiegania się o wydanie pozwolenia radiowego w służbie radiokomunikacji amatorskiej;</w:t>
            </w:r>
          </w:p>
          <w:p w14:paraId="4354BDB1" w14:textId="77777777" w:rsidR="001E1112" w:rsidRPr="00317ABF" w:rsidRDefault="001E1112" w:rsidP="00AD3556">
            <w:pPr>
              <w:jc w:val="both"/>
              <w:rPr>
                <w:sz w:val="22"/>
                <w:szCs w:val="22"/>
              </w:rPr>
            </w:pPr>
            <w:r w:rsidRPr="00317ABF">
              <w:rPr>
                <w:sz w:val="22"/>
                <w:szCs w:val="22"/>
              </w:rPr>
              <w:t>5)</w:t>
            </w:r>
            <w:r w:rsidR="00AD3556" w:rsidRPr="00317ABF">
              <w:rPr>
                <w:bCs/>
                <w:sz w:val="22"/>
                <w:szCs w:val="22"/>
              </w:rPr>
              <w:t xml:space="preserve"> </w:t>
            </w:r>
            <w:r w:rsidRPr="00317ABF">
              <w:rPr>
                <w:sz w:val="22"/>
                <w:szCs w:val="22"/>
              </w:rPr>
              <w:tab/>
              <w:t>urządzenie nie koliduje z pracą urządzeń kontrolno-pomiarowych UKE.</w:t>
            </w:r>
          </w:p>
          <w:p w14:paraId="24FDF9DC" w14:textId="77777777" w:rsidR="001E1112" w:rsidRPr="00317ABF" w:rsidRDefault="001E1112" w:rsidP="00DB3BEC">
            <w:pPr>
              <w:pStyle w:val="USTustnpkodeksu"/>
              <w:spacing w:line="240" w:lineRule="auto"/>
              <w:rPr>
                <w:rFonts w:ascii="Times New Roman" w:hAnsi="Times New Roman" w:cs="Times New Roman"/>
                <w:sz w:val="22"/>
                <w:szCs w:val="22"/>
              </w:rPr>
            </w:pPr>
            <w:r w:rsidRPr="00317ABF">
              <w:rPr>
                <w:rFonts w:ascii="Times New Roman" w:hAnsi="Times New Roman" w:cs="Times New Roman"/>
                <w:sz w:val="22"/>
                <w:szCs w:val="22"/>
              </w:rPr>
              <w:t xml:space="preserve">2. Wykaz urządzeń kontrolno-pomiarowych UKE, o których mowa w ust. </w:t>
            </w:r>
            <w:r w:rsidR="00AD3556" w:rsidRPr="00317ABF">
              <w:rPr>
                <w:rFonts w:ascii="Times New Roman" w:hAnsi="Times New Roman" w:cs="Times New Roman"/>
                <w:sz w:val="22"/>
                <w:szCs w:val="22"/>
              </w:rPr>
              <w:t>1 pkt 5 oraz art. 129 pkt 7, wraz z warunkami ochrony tych urządzeń</w:t>
            </w:r>
            <w:r w:rsidRPr="00317ABF">
              <w:rPr>
                <w:rFonts w:ascii="Times New Roman" w:hAnsi="Times New Roman" w:cs="Times New Roman"/>
                <w:sz w:val="22"/>
                <w:szCs w:val="22"/>
              </w:rPr>
              <w:t xml:space="preserve"> udostępniany jest na stronie podmiotowej BIP UKE.</w:t>
            </w:r>
          </w:p>
          <w:p w14:paraId="3E672199" w14:textId="77777777" w:rsidR="001E1112" w:rsidRPr="00317ABF" w:rsidRDefault="001E1112" w:rsidP="00DB3BEC">
            <w:pPr>
              <w:pStyle w:val="USTustnpkodeksu"/>
              <w:spacing w:line="240" w:lineRule="auto"/>
              <w:rPr>
                <w:rFonts w:ascii="Times New Roman" w:hAnsi="Times New Roman" w:cs="Times New Roman"/>
                <w:sz w:val="22"/>
                <w:szCs w:val="22"/>
              </w:rPr>
            </w:pPr>
            <w:r w:rsidRPr="00317ABF">
              <w:rPr>
                <w:rFonts w:ascii="Times New Roman" w:hAnsi="Times New Roman" w:cs="Times New Roman"/>
                <w:sz w:val="22"/>
                <w:szCs w:val="22"/>
              </w:rPr>
              <w:t>3. Obowiązek, o którym mowa w ust. 1 pkt 4 lit. a, nie dotyczy urządzeń przeznaczonych do wyłącznego używania w służbie radiokomunikacyjnej amatorskiej, niebędących przedmiotem oferty handlowej.</w:t>
            </w:r>
          </w:p>
          <w:p w14:paraId="01654B64" w14:textId="1580B8A9" w:rsidR="001E1112" w:rsidRPr="00317ABF" w:rsidRDefault="001E1112" w:rsidP="00DB3BEC">
            <w:pPr>
              <w:jc w:val="both"/>
              <w:rPr>
                <w:sz w:val="22"/>
                <w:szCs w:val="22"/>
              </w:rPr>
            </w:pPr>
            <w:r w:rsidRPr="00317ABF">
              <w:rPr>
                <w:sz w:val="22"/>
                <w:szCs w:val="22"/>
              </w:rPr>
              <w:t>4. Pozwolenia są wydawane na okres nieprzekraczający 10 lat, a dla służby radiokomunikacyjnej amatorskiej na okres nieprzekraczający 25 lat.</w:t>
            </w:r>
          </w:p>
        </w:tc>
      </w:tr>
      <w:tr w:rsidR="001E1112" w:rsidRPr="00317ABF" w14:paraId="18681E52" w14:textId="77777777" w:rsidTr="7753F98D">
        <w:trPr>
          <w:gridAfter w:val="2"/>
          <w:wAfter w:w="175" w:type="dxa"/>
        </w:trPr>
        <w:tc>
          <w:tcPr>
            <w:tcW w:w="704" w:type="dxa"/>
          </w:tcPr>
          <w:p w14:paraId="18A92F3D" w14:textId="77777777" w:rsidR="001E1112" w:rsidRPr="00317ABF" w:rsidRDefault="001E1112" w:rsidP="00DB3BEC">
            <w:pPr>
              <w:jc w:val="both"/>
              <w:rPr>
                <w:sz w:val="22"/>
                <w:szCs w:val="22"/>
              </w:rPr>
            </w:pPr>
            <w:r w:rsidRPr="00317ABF">
              <w:rPr>
                <w:sz w:val="22"/>
                <w:szCs w:val="22"/>
              </w:rPr>
              <w:lastRenderedPageBreak/>
              <w:t>Art. 48 ust. 2</w:t>
            </w:r>
          </w:p>
        </w:tc>
        <w:tc>
          <w:tcPr>
            <w:tcW w:w="4308" w:type="dxa"/>
          </w:tcPr>
          <w:p w14:paraId="5084A9E6" w14:textId="77777777" w:rsidR="001E1112" w:rsidRPr="00317ABF" w:rsidRDefault="001E1112" w:rsidP="00DB3BEC">
            <w:pPr>
              <w:spacing w:before="120"/>
              <w:jc w:val="both"/>
              <w:rPr>
                <w:sz w:val="22"/>
                <w:szCs w:val="22"/>
              </w:rPr>
            </w:pPr>
            <w:r w:rsidRPr="00317ABF">
              <w:rPr>
                <w:sz w:val="22"/>
                <w:szCs w:val="22"/>
              </w:rPr>
              <w:t xml:space="preserve">2.   Bez uszczerbku dla szczegółowych kryteriów i procedur przyjętych przez państwa członkowskie w celu przyznawania indywidualnych praw użytkowania widma radiowego dostawcom treści radiowych lub telewizyjnych, aby osiągnąć cele leżące w interesie ogólnym zgodnie z prawem Unii, indywidualne prawa użytkowania widma radiowego są przyznawane w oparciu o otwarte, obiektywne, przejrzyste, niedyskryminacyjne </w:t>
            </w:r>
            <w:r w:rsidRPr="00317ABF">
              <w:rPr>
                <w:sz w:val="22"/>
                <w:szCs w:val="22"/>
              </w:rPr>
              <w:lastRenderedPageBreak/>
              <w:t>i proporcjonalne procedury, a w przypadku częstotliwości radiowych – zgodnie z art. 45.</w:t>
            </w:r>
          </w:p>
        </w:tc>
        <w:tc>
          <w:tcPr>
            <w:tcW w:w="986" w:type="dxa"/>
          </w:tcPr>
          <w:p w14:paraId="3F784C44" w14:textId="28938D12" w:rsidR="001E1112" w:rsidRPr="00317ABF" w:rsidRDefault="001E1112" w:rsidP="00DB3BEC">
            <w:pPr>
              <w:jc w:val="both"/>
              <w:rPr>
                <w:sz w:val="22"/>
                <w:szCs w:val="22"/>
              </w:rPr>
            </w:pPr>
            <w:r w:rsidRPr="00317ABF">
              <w:rPr>
                <w:sz w:val="22"/>
                <w:szCs w:val="22"/>
              </w:rPr>
              <w:lastRenderedPageBreak/>
              <w:t>T</w:t>
            </w:r>
          </w:p>
        </w:tc>
        <w:tc>
          <w:tcPr>
            <w:tcW w:w="910" w:type="dxa"/>
          </w:tcPr>
          <w:p w14:paraId="6AE3613C" w14:textId="231D1C36" w:rsidR="001E1112" w:rsidRPr="00317ABF" w:rsidRDefault="001E1112" w:rsidP="00DB3BEC">
            <w:pPr>
              <w:pStyle w:val="Tekstpodstawowy"/>
              <w:rPr>
                <w:b/>
                <w:bCs/>
                <w:noProof/>
                <w:sz w:val="22"/>
                <w:szCs w:val="22"/>
              </w:rPr>
            </w:pPr>
            <w:r w:rsidRPr="00317ABF">
              <w:rPr>
                <w:b/>
                <w:bCs/>
                <w:noProof/>
                <w:sz w:val="22"/>
                <w:szCs w:val="22"/>
              </w:rPr>
              <w:t xml:space="preserve">Art. </w:t>
            </w:r>
            <w:r w:rsidR="002F157A" w:rsidRPr="00317ABF">
              <w:rPr>
                <w:b/>
                <w:bCs/>
                <w:noProof/>
                <w:sz w:val="22"/>
                <w:szCs w:val="22"/>
              </w:rPr>
              <w:t>104</w:t>
            </w:r>
          </w:p>
        </w:tc>
        <w:tc>
          <w:tcPr>
            <w:tcW w:w="6814" w:type="dxa"/>
            <w:gridSpan w:val="2"/>
          </w:tcPr>
          <w:p w14:paraId="469391A4" w14:textId="77777777" w:rsidR="001E1112" w:rsidRPr="00317ABF" w:rsidRDefault="001E1112" w:rsidP="002F157A">
            <w:pPr>
              <w:pStyle w:val="ARTartustawynprozporzdzenia"/>
              <w:spacing w:before="0" w:line="240" w:lineRule="auto"/>
              <w:ind w:firstLine="0"/>
              <w:rPr>
                <w:rFonts w:ascii="Times New Roman" w:hAnsi="Times New Roman" w:cs="Times New Roman"/>
                <w:sz w:val="22"/>
                <w:szCs w:val="22"/>
              </w:rPr>
            </w:pPr>
            <w:r w:rsidRPr="00317ABF">
              <w:rPr>
                <w:rStyle w:val="Ppogrubienie"/>
                <w:rFonts w:ascii="Times New Roman" w:eastAsia="Times" w:hAnsi="Times New Roman"/>
                <w:sz w:val="22"/>
                <w:szCs w:val="22"/>
              </w:rPr>
              <w:t>Art.</w:t>
            </w:r>
            <w:r w:rsidR="002F157A" w:rsidRPr="00317ABF">
              <w:rPr>
                <w:rStyle w:val="Ppogrubienie"/>
                <w:rFonts w:ascii="Times New Roman" w:hAnsi="Times New Roman"/>
                <w:sz w:val="22"/>
                <w:szCs w:val="22"/>
              </w:rPr>
              <w:t> 104.</w:t>
            </w:r>
            <w:r w:rsidRPr="00317ABF">
              <w:rPr>
                <w:rFonts w:ascii="Times New Roman" w:eastAsia="Times" w:hAnsi="Times New Roman" w:cs="Times New Roman"/>
                <w:sz w:val="22"/>
                <w:szCs w:val="22"/>
              </w:rPr>
              <w:t xml:space="preserve"> 1. Prezes UKE udostępnia na stronie podmiotowej BIP UKE informację o zajętych zasobach częstotliwości oraz aktualizuje ją nie rzadziej niż raz w miesiącu. Prezes UKE może także ogłosić informację o dostępnym zasobie częstotliwości.</w:t>
            </w:r>
          </w:p>
          <w:p w14:paraId="667FCBED" w14:textId="07F0D1DE" w:rsidR="001E1112" w:rsidRPr="00317ABF" w:rsidRDefault="001E1112" w:rsidP="002F157A">
            <w:pPr>
              <w:pStyle w:val="USTustnpkodeksu"/>
              <w:spacing w:line="240" w:lineRule="auto"/>
              <w:rPr>
                <w:rFonts w:ascii="Times New Roman" w:hAnsi="Times New Roman" w:cs="Times New Roman"/>
                <w:sz w:val="22"/>
                <w:szCs w:val="22"/>
              </w:rPr>
            </w:pPr>
            <w:r w:rsidRPr="00317ABF">
              <w:rPr>
                <w:rFonts w:ascii="Times New Roman" w:eastAsia="Times" w:hAnsi="Times New Roman" w:cs="Times New Roman"/>
                <w:sz w:val="22"/>
                <w:szCs w:val="22"/>
              </w:rPr>
              <w:t xml:space="preserve">2. W przypadku wpłynięcia wniosku o rezerwację częstotliwości z dostępnego zasobu Prezes UKE udostępnia niezwłocznie na stronie podmiotowej BIP UKE informację o wpłynięciu wniosku i wyznacza zainteresowanym podmiotom termin 14 dni na złożenie wniosku o rezerwację częstotliwości. Jeżeli w terminie wyznaczonym przez Prezesa UKE zostanie złożony wniosek o rezerwację częstotliwości, którego </w:t>
            </w:r>
            <w:r w:rsidRPr="00317ABF">
              <w:rPr>
                <w:rFonts w:ascii="Times New Roman" w:eastAsia="Times" w:hAnsi="Times New Roman" w:cs="Times New Roman"/>
                <w:sz w:val="22"/>
                <w:szCs w:val="22"/>
              </w:rPr>
              <w:lastRenderedPageBreak/>
              <w:t>uwzględnienie spowoduje przekroczenie dostępnego zasobu częstotliwości, wówczas zachodzi brak dostatecznego zasobu częstotliwości.</w:t>
            </w:r>
          </w:p>
          <w:p w14:paraId="79397169" w14:textId="77777777" w:rsidR="001E1112" w:rsidRPr="00317ABF" w:rsidRDefault="001E1112" w:rsidP="002F157A">
            <w:pPr>
              <w:pStyle w:val="USTustnpkodeksu"/>
              <w:keepNext/>
              <w:spacing w:line="240" w:lineRule="auto"/>
              <w:rPr>
                <w:rFonts w:ascii="Times New Roman" w:hAnsi="Times New Roman" w:cs="Times New Roman"/>
                <w:sz w:val="22"/>
                <w:szCs w:val="22"/>
              </w:rPr>
            </w:pPr>
            <w:r w:rsidRPr="00317ABF">
              <w:rPr>
                <w:rFonts w:ascii="Times New Roman" w:eastAsia="Times" w:hAnsi="Times New Roman" w:cs="Times New Roman"/>
                <w:sz w:val="22"/>
                <w:szCs w:val="22"/>
              </w:rPr>
              <w:t xml:space="preserve">3. W przypadku braku </w:t>
            </w:r>
            <w:r w:rsidR="002F157A" w:rsidRPr="00317ABF">
              <w:rPr>
                <w:rFonts w:ascii="Times New Roman" w:hAnsi="Times New Roman" w:cs="Times New Roman"/>
                <w:sz w:val="22"/>
                <w:szCs w:val="22"/>
              </w:rPr>
              <w:t>dostatecznego zasobu</w:t>
            </w:r>
            <w:r w:rsidRPr="00317ABF">
              <w:rPr>
                <w:rFonts w:ascii="Times New Roman" w:eastAsia="Times" w:hAnsi="Times New Roman" w:cs="Times New Roman"/>
                <w:sz w:val="22"/>
                <w:szCs w:val="22"/>
              </w:rPr>
              <w:t xml:space="preserve"> częstotliwości podmiot, dla którego zostanie dokonana rezerwacja częstotliwości, jest wyłaniany w drodze postępowania selekcyjnego:</w:t>
            </w:r>
          </w:p>
          <w:p w14:paraId="181678BB" w14:textId="77777777" w:rsidR="002F157A" w:rsidRPr="00317ABF" w:rsidRDefault="002F157A" w:rsidP="002F157A">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1)</w:t>
            </w:r>
            <w:r w:rsidRPr="00317ABF">
              <w:rPr>
                <w:rFonts w:ascii="Times New Roman" w:hAnsi="Times New Roman" w:cs="Times New Roman"/>
                <w:sz w:val="22"/>
                <w:szCs w:val="22"/>
              </w:rPr>
              <w:tab/>
              <w:t>konkursu - w przypadku rezerwacji częstotliwości na cele rozpowszechniania w sposób cyfrowy lub rozprowadzania programów radiofonicznych lub telewizyjnych;</w:t>
            </w:r>
          </w:p>
          <w:p w14:paraId="6C7766DD" w14:textId="31224C9D" w:rsidR="001E1112" w:rsidRPr="00317ABF" w:rsidRDefault="001E1112" w:rsidP="00DB3BEC">
            <w:pPr>
              <w:jc w:val="both"/>
              <w:rPr>
                <w:sz w:val="22"/>
                <w:szCs w:val="22"/>
              </w:rPr>
            </w:pPr>
            <w:r w:rsidRPr="00317ABF">
              <w:rPr>
                <w:sz w:val="22"/>
                <w:szCs w:val="22"/>
              </w:rPr>
              <w:t>2)</w:t>
            </w:r>
            <w:r w:rsidR="002F157A" w:rsidRPr="00317ABF">
              <w:rPr>
                <w:sz w:val="22"/>
                <w:szCs w:val="22"/>
              </w:rPr>
              <w:tab/>
            </w:r>
            <w:r w:rsidRPr="00317ABF">
              <w:rPr>
                <w:sz w:val="22"/>
                <w:szCs w:val="22"/>
              </w:rPr>
              <w:t>przetargu albo aukcji - w pozostałych przypadkach.</w:t>
            </w:r>
          </w:p>
        </w:tc>
      </w:tr>
      <w:tr w:rsidR="001E1112" w:rsidRPr="00317ABF" w14:paraId="561FB7A7" w14:textId="77777777" w:rsidTr="7753F98D">
        <w:trPr>
          <w:gridAfter w:val="2"/>
          <w:wAfter w:w="175" w:type="dxa"/>
        </w:trPr>
        <w:tc>
          <w:tcPr>
            <w:tcW w:w="704" w:type="dxa"/>
          </w:tcPr>
          <w:p w14:paraId="1507A5FD" w14:textId="77777777" w:rsidR="001E1112" w:rsidRPr="00317ABF" w:rsidRDefault="001E1112" w:rsidP="00DB3BEC">
            <w:pPr>
              <w:jc w:val="both"/>
              <w:rPr>
                <w:sz w:val="22"/>
                <w:szCs w:val="22"/>
              </w:rPr>
            </w:pPr>
            <w:r w:rsidRPr="00317ABF">
              <w:rPr>
                <w:sz w:val="22"/>
                <w:szCs w:val="22"/>
              </w:rPr>
              <w:lastRenderedPageBreak/>
              <w:t>Art. 48 ust. 3</w:t>
            </w:r>
          </w:p>
        </w:tc>
        <w:tc>
          <w:tcPr>
            <w:tcW w:w="4308" w:type="dxa"/>
          </w:tcPr>
          <w:p w14:paraId="49CA82A8" w14:textId="77777777" w:rsidR="001E1112" w:rsidRPr="00317ABF" w:rsidRDefault="001E1112" w:rsidP="00DB3BEC">
            <w:pPr>
              <w:spacing w:before="120"/>
              <w:jc w:val="both"/>
              <w:rPr>
                <w:sz w:val="22"/>
                <w:szCs w:val="22"/>
              </w:rPr>
            </w:pPr>
            <w:r w:rsidRPr="00317ABF">
              <w:rPr>
                <w:sz w:val="22"/>
                <w:szCs w:val="22"/>
              </w:rPr>
              <w:t>3.   Wyjątek od stosowania wymogu otwartych procedur może mieć zastosowanie w przypadkach, gdy przyznanie indywidualnych praw użytkowania widma radiowego dostawcom treści radiowych lub telewizyjnych jest konieczne do osiągnięcia celu leżącego w interesie ogólnym określonego przez państwa członkowskie zgodnie z prawem Unii.</w:t>
            </w:r>
          </w:p>
        </w:tc>
        <w:tc>
          <w:tcPr>
            <w:tcW w:w="986" w:type="dxa"/>
          </w:tcPr>
          <w:p w14:paraId="0C4D61FE" w14:textId="05786447" w:rsidR="001E1112" w:rsidRPr="00317ABF" w:rsidRDefault="001E1112" w:rsidP="00DB3BEC">
            <w:pPr>
              <w:jc w:val="both"/>
              <w:rPr>
                <w:sz w:val="22"/>
                <w:szCs w:val="22"/>
              </w:rPr>
            </w:pPr>
            <w:r w:rsidRPr="00317ABF">
              <w:rPr>
                <w:sz w:val="22"/>
                <w:szCs w:val="22"/>
              </w:rPr>
              <w:t>N</w:t>
            </w:r>
          </w:p>
        </w:tc>
        <w:tc>
          <w:tcPr>
            <w:tcW w:w="910" w:type="dxa"/>
          </w:tcPr>
          <w:p w14:paraId="488331A6" w14:textId="37EC65F3" w:rsidR="001E1112" w:rsidRPr="00317ABF" w:rsidRDefault="001E1112" w:rsidP="00DB3BEC">
            <w:pPr>
              <w:pStyle w:val="Tekstpodstawowy"/>
              <w:rPr>
                <w:b/>
                <w:bCs/>
                <w:noProof/>
                <w:sz w:val="22"/>
                <w:szCs w:val="22"/>
              </w:rPr>
            </w:pPr>
            <w:r w:rsidRPr="00317ABF">
              <w:rPr>
                <w:b/>
                <w:bCs/>
                <w:noProof/>
                <w:sz w:val="22"/>
                <w:szCs w:val="22"/>
              </w:rPr>
              <w:t xml:space="preserve">Art. </w:t>
            </w:r>
            <w:r w:rsidR="00F46E3A" w:rsidRPr="00317ABF">
              <w:rPr>
                <w:b/>
                <w:bCs/>
                <w:noProof/>
                <w:sz w:val="22"/>
                <w:szCs w:val="22"/>
              </w:rPr>
              <w:t>69</w:t>
            </w:r>
            <w:r w:rsidRPr="00317ABF">
              <w:rPr>
                <w:b/>
                <w:bCs/>
                <w:noProof/>
                <w:sz w:val="22"/>
                <w:szCs w:val="22"/>
              </w:rPr>
              <w:t xml:space="preserve"> ust. 2</w:t>
            </w:r>
          </w:p>
          <w:p w14:paraId="3FC5D4F2" w14:textId="77777777" w:rsidR="001E1112" w:rsidRPr="00317ABF" w:rsidRDefault="001E1112" w:rsidP="00DB3BEC">
            <w:pPr>
              <w:pStyle w:val="Tekstpodstawowy"/>
              <w:rPr>
                <w:b/>
                <w:bCs/>
                <w:noProof/>
                <w:sz w:val="22"/>
                <w:szCs w:val="22"/>
              </w:rPr>
            </w:pPr>
          </w:p>
          <w:p w14:paraId="140F64CD" w14:textId="77777777" w:rsidR="001E1112" w:rsidRPr="00317ABF" w:rsidRDefault="001E1112" w:rsidP="00DB3BEC">
            <w:pPr>
              <w:pStyle w:val="Tekstpodstawowy"/>
              <w:rPr>
                <w:b/>
                <w:bCs/>
                <w:noProof/>
                <w:sz w:val="22"/>
                <w:szCs w:val="22"/>
              </w:rPr>
            </w:pPr>
          </w:p>
          <w:p w14:paraId="2D9ADBD3" w14:textId="77777777" w:rsidR="001E1112" w:rsidRPr="00317ABF" w:rsidRDefault="001E1112" w:rsidP="00DB3BEC">
            <w:pPr>
              <w:pStyle w:val="Tekstpodstawowy"/>
              <w:rPr>
                <w:b/>
                <w:bCs/>
                <w:noProof/>
                <w:sz w:val="22"/>
                <w:szCs w:val="22"/>
              </w:rPr>
            </w:pPr>
          </w:p>
          <w:p w14:paraId="28EFEED7" w14:textId="77777777" w:rsidR="001E1112" w:rsidRPr="00317ABF" w:rsidRDefault="001E1112" w:rsidP="00DB3BEC">
            <w:pPr>
              <w:pStyle w:val="Tekstpodstawowy"/>
              <w:rPr>
                <w:b/>
                <w:bCs/>
                <w:noProof/>
                <w:sz w:val="22"/>
                <w:szCs w:val="22"/>
              </w:rPr>
            </w:pPr>
          </w:p>
          <w:p w14:paraId="17AA88FF" w14:textId="77777777" w:rsidR="001E1112" w:rsidRPr="00317ABF" w:rsidRDefault="001E1112" w:rsidP="00DB3BEC">
            <w:pPr>
              <w:pStyle w:val="Tekstpodstawowy"/>
              <w:rPr>
                <w:b/>
                <w:bCs/>
                <w:noProof/>
                <w:sz w:val="22"/>
                <w:szCs w:val="22"/>
              </w:rPr>
            </w:pPr>
          </w:p>
          <w:p w14:paraId="04565EC8" w14:textId="77777777" w:rsidR="001E1112" w:rsidRPr="00317ABF" w:rsidRDefault="001E1112" w:rsidP="00DB3BEC">
            <w:pPr>
              <w:pStyle w:val="Tekstpodstawowy"/>
              <w:rPr>
                <w:b/>
                <w:bCs/>
                <w:noProof/>
                <w:sz w:val="22"/>
                <w:szCs w:val="22"/>
              </w:rPr>
            </w:pPr>
          </w:p>
          <w:p w14:paraId="007EBE5B" w14:textId="77777777" w:rsidR="001E1112" w:rsidRPr="00317ABF" w:rsidRDefault="001E1112" w:rsidP="00DB3BEC">
            <w:pPr>
              <w:pStyle w:val="Tekstpodstawowy"/>
              <w:rPr>
                <w:b/>
                <w:bCs/>
                <w:noProof/>
                <w:sz w:val="22"/>
                <w:szCs w:val="22"/>
              </w:rPr>
            </w:pPr>
          </w:p>
          <w:p w14:paraId="1959562B" w14:textId="77777777" w:rsidR="001E1112" w:rsidRPr="00317ABF" w:rsidRDefault="001E1112" w:rsidP="00DB3BEC">
            <w:pPr>
              <w:pStyle w:val="Tekstpodstawowy"/>
              <w:rPr>
                <w:b/>
                <w:bCs/>
                <w:noProof/>
                <w:sz w:val="22"/>
                <w:szCs w:val="22"/>
              </w:rPr>
            </w:pPr>
          </w:p>
          <w:p w14:paraId="134B7070" w14:textId="77777777" w:rsidR="001E1112" w:rsidRPr="00317ABF" w:rsidRDefault="001E1112" w:rsidP="00DB3BEC">
            <w:pPr>
              <w:pStyle w:val="Tekstpodstawowy"/>
              <w:rPr>
                <w:b/>
                <w:bCs/>
                <w:noProof/>
                <w:sz w:val="22"/>
                <w:szCs w:val="22"/>
              </w:rPr>
            </w:pPr>
          </w:p>
          <w:p w14:paraId="50253C3C" w14:textId="77777777" w:rsidR="001E1112" w:rsidRPr="00317ABF" w:rsidRDefault="001E1112" w:rsidP="00DB3BEC">
            <w:pPr>
              <w:pStyle w:val="Tekstpodstawowy"/>
              <w:rPr>
                <w:b/>
                <w:bCs/>
                <w:noProof/>
                <w:sz w:val="22"/>
                <w:szCs w:val="22"/>
              </w:rPr>
            </w:pPr>
          </w:p>
          <w:p w14:paraId="3F84AD31" w14:textId="77777777" w:rsidR="001E1112" w:rsidRPr="00317ABF" w:rsidRDefault="001E1112" w:rsidP="00DB3BEC">
            <w:pPr>
              <w:pStyle w:val="Tekstpodstawowy"/>
              <w:rPr>
                <w:b/>
                <w:bCs/>
                <w:noProof/>
                <w:sz w:val="22"/>
                <w:szCs w:val="22"/>
              </w:rPr>
            </w:pPr>
          </w:p>
          <w:p w14:paraId="5438CDC7" w14:textId="1D3C82A8" w:rsidR="001E1112" w:rsidRPr="00317ABF" w:rsidRDefault="001E1112" w:rsidP="00DB3BEC">
            <w:pPr>
              <w:pStyle w:val="Tekstpodstawowy"/>
              <w:rPr>
                <w:b/>
                <w:bCs/>
                <w:noProof/>
                <w:sz w:val="22"/>
                <w:szCs w:val="22"/>
              </w:rPr>
            </w:pPr>
            <w:r w:rsidRPr="00317ABF">
              <w:rPr>
                <w:b/>
                <w:bCs/>
                <w:noProof/>
                <w:sz w:val="22"/>
                <w:szCs w:val="22"/>
              </w:rPr>
              <w:t xml:space="preserve">Art. </w:t>
            </w:r>
            <w:r w:rsidR="00F46E3A" w:rsidRPr="00317ABF">
              <w:rPr>
                <w:b/>
                <w:bCs/>
                <w:noProof/>
                <w:sz w:val="22"/>
                <w:szCs w:val="22"/>
              </w:rPr>
              <w:t>89</w:t>
            </w:r>
            <w:r w:rsidRPr="00317ABF">
              <w:rPr>
                <w:b/>
                <w:bCs/>
                <w:noProof/>
                <w:sz w:val="22"/>
                <w:szCs w:val="22"/>
              </w:rPr>
              <w:t xml:space="preserve"> ust. 2</w:t>
            </w:r>
          </w:p>
        </w:tc>
        <w:tc>
          <w:tcPr>
            <w:tcW w:w="6814" w:type="dxa"/>
            <w:gridSpan w:val="2"/>
          </w:tcPr>
          <w:p w14:paraId="5F95A2A5" w14:textId="77777777" w:rsidR="00F46E3A" w:rsidRPr="00317ABF" w:rsidRDefault="00F46E3A" w:rsidP="00F46E3A">
            <w:pPr>
              <w:pStyle w:val="USTustnpkodeksu"/>
              <w:keepNext/>
              <w:spacing w:line="240" w:lineRule="auto"/>
              <w:ind w:firstLine="0"/>
              <w:rPr>
                <w:rFonts w:ascii="Times New Roman" w:hAnsi="Times New Roman" w:cs="Times New Roman"/>
                <w:sz w:val="22"/>
                <w:szCs w:val="22"/>
              </w:rPr>
            </w:pPr>
            <w:r w:rsidRPr="00317ABF">
              <w:rPr>
                <w:rFonts w:ascii="Times New Roman" w:hAnsi="Times New Roman" w:cs="Times New Roman"/>
                <w:sz w:val="22"/>
                <w:szCs w:val="22"/>
              </w:rPr>
              <w:t>2. W przypadku dokonywania rezerwacji częstotliwości lub jej zmiany, w celu:</w:t>
            </w:r>
          </w:p>
          <w:p w14:paraId="0A8D779A" w14:textId="77777777" w:rsidR="00F46E3A" w:rsidRPr="00317ABF" w:rsidRDefault="00F46E3A" w:rsidP="00F46E3A">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1)</w:t>
            </w:r>
            <w:r w:rsidRPr="00317ABF">
              <w:rPr>
                <w:rFonts w:ascii="Times New Roman" w:hAnsi="Times New Roman" w:cs="Times New Roman"/>
                <w:sz w:val="22"/>
                <w:szCs w:val="22"/>
              </w:rPr>
              <w:tab/>
              <w:t>rozpowszechniania programów radiofonicznych w sposób analogowy drogą rozsiewczą naziemną,</w:t>
            </w:r>
          </w:p>
          <w:p w14:paraId="7031F262" w14:textId="77777777" w:rsidR="00F46E3A" w:rsidRPr="00317ABF" w:rsidRDefault="00F46E3A" w:rsidP="00F46E3A">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2)</w:t>
            </w:r>
            <w:r w:rsidRPr="00317ABF">
              <w:rPr>
                <w:rFonts w:ascii="Times New Roman" w:hAnsi="Times New Roman" w:cs="Times New Roman"/>
                <w:sz w:val="22"/>
                <w:szCs w:val="22"/>
              </w:rPr>
              <w:tab/>
              <w:t>rozpowszechniania lub rozprowadzania w sposób cyfrowy drogą rozsiewczą naziemną programów telewizyjnych na multipleksie pierwszym lub multipleksie drugim przez nadawców posiadających koncesję lub koncesję na kolejny okres,</w:t>
            </w:r>
          </w:p>
          <w:p w14:paraId="15837D4E" w14:textId="77777777" w:rsidR="001E1112" w:rsidRPr="00317ABF" w:rsidRDefault="001E1112" w:rsidP="00F46E3A">
            <w:pPr>
              <w:pStyle w:val="PKTpunkt0"/>
              <w:spacing w:line="240" w:lineRule="auto"/>
              <w:rPr>
                <w:rFonts w:ascii="Times New Roman" w:hAnsi="Times New Roman" w:cs="Times New Roman"/>
                <w:sz w:val="22"/>
                <w:szCs w:val="22"/>
              </w:rPr>
            </w:pPr>
            <w:r w:rsidRPr="00317ABF">
              <w:rPr>
                <w:rFonts w:ascii="Times New Roman" w:eastAsia="Times" w:hAnsi="Times New Roman" w:cs="Times New Roman"/>
                <w:sz w:val="22"/>
                <w:szCs w:val="22"/>
              </w:rPr>
              <w:t>3)</w:t>
            </w:r>
            <w:r w:rsidR="00F46E3A" w:rsidRPr="00317ABF">
              <w:rPr>
                <w:rFonts w:ascii="Times New Roman" w:hAnsi="Times New Roman" w:cs="Times New Roman"/>
                <w:sz w:val="22"/>
                <w:szCs w:val="22"/>
              </w:rPr>
              <w:tab/>
            </w:r>
            <w:r w:rsidRPr="00317ABF">
              <w:rPr>
                <w:rFonts w:ascii="Times New Roman" w:eastAsia="Times" w:hAnsi="Times New Roman" w:cs="Times New Roman"/>
                <w:sz w:val="22"/>
                <w:szCs w:val="22"/>
              </w:rPr>
              <w:t>wykonywania ustawowych zadań przez spółki, o których mowa w art. 26 ust. 2 i 3 ustawy z dnia 29 grudnia 1992 r. o radiofonii i telewizji</w:t>
            </w:r>
          </w:p>
          <w:p w14:paraId="6BCA3724" w14:textId="54DAC45A" w:rsidR="001E1112" w:rsidRPr="00317ABF" w:rsidRDefault="001E1112" w:rsidP="00DB3BEC">
            <w:pPr>
              <w:jc w:val="both"/>
              <w:rPr>
                <w:sz w:val="22"/>
                <w:szCs w:val="22"/>
              </w:rPr>
            </w:pPr>
            <w:r w:rsidRPr="00317ABF">
              <w:rPr>
                <w:sz w:val="22"/>
                <w:szCs w:val="22"/>
              </w:rPr>
              <w:t xml:space="preserve">- Prezes UKE wydaje decyzję niezwłocznie. Przepisów art. </w:t>
            </w:r>
            <w:r w:rsidR="00F46E3A" w:rsidRPr="00317ABF">
              <w:rPr>
                <w:sz w:val="22"/>
                <w:szCs w:val="22"/>
              </w:rPr>
              <w:t>104</w:t>
            </w:r>
            <w:r w:rsidRPr="00317ABF">
              <w:rPr>
                <w:sz w:val="22"/>
                <w:szCs w:val="22"/>
              </w:rPr>
              <w:t xml:space="preserve"> i art. </w:t>
            </w:r>
            <w:r w:rsidR="00F46E3A" w:rsidRPr="00317ABF">
              <w:rPr>
                <w:sz w:val="22"/>
                <w:szCs w:val="22"/>
              </w:rPr>
              <w:t>105</w:t>
            </w:r>
            <w:r w:rsidRPr="00317ABF">
              <w:rPr>
                <w:sz w:val="22"/>
                <w:szCs w:val="22"/>
              </w:rPr>
              <w:t xml:space="preserve"> nie stosuje się.</w:t>
            </w:r>
          </w:p>
          <w:p w14:paraId="5F4428B6" w14:textId="77777777" w:rsidR="00F46E3A" w:rsidRPr="00317ABF" w:rsidRDefault="00F46E3A" w:rsidP="00F46E3A">
            <w:pPr>
              <w:jc w:val="both"/>
              <w:rPr>
                <w:sz w:val="22"/>
                <w:szCs w:val="22"/>
              </w:rPr>
            </w:pPr>
          </w:p>
          <w:p w14:paraId="5A32EA57" w14:textId="40719AA9" w:rsidR="001E1112" w:rsidRPr="00317ABF" w:rsidRDefault="001E1112" w:rsidP="00F46E3A">
            <w:pPr>
              <w:pStyle w:val="USTustnpkodeksu"/>
              <w:spacing w:line="240" w:lineRule="auto"/>
              <w:ind w:firstLine="0"/>
              <w:rPr>
                <w:rFonts w:ascii="Times New Roman" w:hAnsi="Times New Roman" w:cs="Times New Roman"/>
                <w:sz w:val="22"/>
                <w:szCs w:val="22"/>
              </w:rPr>
            </w:pPr>
            <w:r w:rsidRPr="00317ABF">
              <w:rPr>
                <w:rFonts w:ascii="Times New Roman" w:hAnsi="Times New Roman" w:cs="Times New Roman"/>
                <w:sz w:val="22"/>
                <w:szCs w:val="22"/>
              </w:rPr>
              <w:t>2. Przepisu ust. 1 pkt 3 nie stosuje się do rezerwacji częstotliwości na cele rozpowszechniania programów radiofonicznych w sposób analogowy drogą rozsiewczą naziemną.</w:t>
            </w:r>
          </w:p>
        </w:tc>
      </w:tr>
      <w:tr w:rsidR="001E1112" w:rsidRPr="00317ABF" w14:paraId="60036EE0" w14:textId="77777777" w:rsidTr="7753F98D">
        <w:trPr>
          <w:gridAfter w:val="2"/>
          <w:wAfter w:w="175" w:type="dxa"/>
        </w:trPr>
        <w:tc>
          <w:tcPr>
            <w:tcW w:w="704" w:type="dxa"/>
          </w:tcPr>
          <w:p w14:paraId="6DECCDFF" w14:textId="77777777" w:rsidR="001E1112" w:rsidRPr="00317ABF" w:rsidRDefault="001E1112" w:rsidP="00DB3BEC">
            <w:pPr>
              <w:jc w:val="both"/>
              <w:rPr>
                <w:sz w:val="22"/>
                <w:szCs w:val="22"/>
              </w:rPr>
            </w:pPr>
            <w:r w:rsidRPr="00317ABF">
              <w:rPr>
                <w:sz w:val="22"/>
                <w:szCs w:val="22"/>
              </w:rPr>
              <w:t>Art. 48 ust. 4</w:t>
            </w:r>
          </w:p>
        </w:tc>
        <w:tc>
          <w:tcPr>
            <w:tcW w:w="4308" w:type="dxa"/>
          </w:tcPr>
          <w:p w14:paraId="595EE536" w14:textId="77777777" w:rsidR="001E1112" w:rsidRPr="00317ABF" w:rsidRDefault="001E1112" w:rsidP="00DB3BEC">
            <w:pPr>
              <w:spacing w:before="120"/>
              <w:jc w:val="both"/>
              <w:rPr>
                <w:sz w:val="22"/>
                <w:szCs w:val="22"/>
              </w:rPr>
            </w:pPr>
            <w:r w:rsidRPr="00317ABF">
              <w:rPr>
                <w:sz w:val="22"/>
                <w:szCs w:val="22"/>
              </w:rPr>
              <w:t xml:space="preserve">4.   Właściwe organy rozpatrują wnioski o indywidualne prawa użytkowania widma radiowego w ramach procedury selekcji według obiektywnych, przejrzystych, proporcjonalnych i niedyskryminacyjnych kryteriów kwalifikowalności, które określono z wyprzedzeniem i które odzwierciedlają warunki, którymi mają zostać obwarowane te prawa. Właściwe organy mają prawo żądać od wnioskodawców wszelkich informacji niezbędnych, aby ocenić – w świetle tych kryteriów – ich zdolność do spełnienia tych warunków. Jeżeli właściwy organ stwierdzi, że </w:t>
            </w:r>
            <w:r w:rsidRPr="00317ABF">
              <w:rPr>
                <w:sz w:val="22"/>
                <w:szCs w:val="22"/>
              </w:rPr>
              <w:lastRenderedPageBreak/>
              <w:t>wnioskodawca nie posiada wymaganej zdolności, wydaje należycie uzasadnioną decyzję w tym zakresie.</w:t>
            </w:r>
          </w:p>
        </w:tc>
        <w:tc>
          <w:tcPr>
            <w:tcW w:w="986" w:type="dxa"/>
          </w:tcPr>
          <w:p w14:paraId="28024822" w14:textId="014F7854" w:rsidR="001E1112" w:rsidRPr="00317ABF" w:rsidRDefault="001E1112" w:rsidP="00DB3BEC">
            <w:pPr>
              <w:jc w:val="both"/>
              <w:rPr>
                <w:sz w:val="22"/>
                <w:szCs w:val="22"/>
              </w:rPr>
            </w:pPr>
            <w:r w:rsidRPr="00317ABF">
              <w:rPr>
                <w:sz w:val="22"/>
                <w:szCs w:val="22"/>
              </w:rPr>
              <w:lastRenderedPageBreak/>
              <w:t>T</w:t>
            </w:r>
          </w:p>
        </w:tc>
        <w:tc>
          <w:tcPr>
            <w:tcW w:w="910" w:type="dxa"/>
          </w:tcPr>
          <w:p w14:paraId="7164FD06" w14:textId="293D6AF9" w:rsidR="001E1112" w:rsidRPr="00317ABF" w:rsidRDefault="00DB3BEC" w:rsidP="00DB3BEC">
            <w:pPr>
              <w:pStyle w:val="Tekstpodstawowy"/>
              <w:rPr>
                <w:b/>
                <w:sz w:val="22"/>
                <w:szCs w:val="22"/>
                <w:lang w:val="en-US"/>
              </w:rPr>
            </w:pPr>
            <w:r w:rsidRPr="00317ABF">
              <w:rPr>
                <w:b/>
                <w:sz w:val="22"/>
                <w:szCs w:val="22"/>
                <w:lang w:val="en-US"/>
              </w:rPr>
              <w:t xml:space="preserve">Art. </w:t>
            </w:r>
            <w:r w:rsidR="001C6C02" w:rsidRPr="00317ABF">
              <w:rPr>
                <w:b/>
                <w:sz w:val="22"/>
                <w:szCs w:val="22"/>
                <w:lang w:val="en-US"/>
              </w:rPr>
              <w:t>112</w:t>
            </w:r>
          </w:p>
          <w:p w14:paraId="68A2E098" w14:textId="10924109" w:rsidR="001E1112" w:rsidRPr="00317ABF" w:rsidRDefault="00DB3BEC" w:rsidP="00DB3BEC">
            <w:pPr>
              <w:pStyle w:val="Tekstpodstawowy"/>
              <w:rPr>
                <w:b/>
                <w:bCs/>
                <w:noProof/>
                <w:sz w:val="22"/>
                <w:szCs w:val="22"/>
                <w:lang w:val="en-US"/>
              </w:rPr>
            </w:pPr>
            <w:r w:rsidRPr="00317ABF">
              <w:rPr>
                <w:b/>
                <w:bCs/>
                <w:noProof/>
                <w:sz w:val="22"/>
                <w:szCs w:val="22"/>
                <w:lang w:val="en-US"/>
              </w:rPr>
              <w:t xml:space="preserve">Art. </w:t>
            </w:r>
            <w:r w:rsidR="001C6C02" w:rsidRPr="00317ABF">
              <w:rPr>
                <w:b/>
                <w:bCs/>
                <w:noProof/>
                <w:sz w:val="22"/>
                <w:szCs w:val="22"/>
                <w:lang w:val="en-US"/>
              </w:rPr>
              <w:t>113</w:t>
            </w:r>
            <w:r w:rsidR="001E1112" w:rsidRPr="00317ABF">
              <w:rPr>
                <w:b/>
                <w:bCs/>
                <w:noProof/>
                <w:sz w:val="22"/>
                <w:szCs w:val="22"/>
                <w:lang w:val="en-US"/>
              </w:rPr>
              <w:t xml:space="preserve">, art. </w:t>
            </w:r>
            <w:r w:rsidR="001C6C02" w:rsidRPr="00317ABF">
              <w:rPr>
                <w:b/>
                <w:bCs/>
                <w:noProof/>
                <w:sz w:val="22"/>
                <w:szCs w:val="22"/>
                <w:lang w:val="en-US"/>
              </w:rPr>
              <w:t>114</w:t>
            </w:r>
            <w:r w:rsidR="001E1112" w:rsidRPr="00317ABF">
              <w:rPr>
                <w:b/>
                <w:bCs/>
                <w:noProof/>
                <w:sz w:val="22"/>
                <w:szCs w:val="22"/>
                <w:lang w:val="en-US"/>
              </w:rPr>
              <w:t xml:space="preserve">, art. </w:t>
            </w:r>
            <w:r w:rsidR="001C6C02" w:rsidRPr="00317ABF">
              <w:rPr>
                <w:b/>
                <w:bCs/>
                <w:noProof/>
                <w:sz w:val="22"/>
                <w:szCs w:val="22"/>
                <w:lang w:val="en-US"/>
              </w:rPr>
              <w:t>115</w:t>
            </w:r>
            <w:r w:rsidR="001E1112" w:rsidRPr="00317ABF">
              <w:rPr>
                <w:b/>
                <w:bCs/>
                <w:noProof/>
                <w:sz w:val="22"/>
                <w:szCs w:val="22"/>
                <w:lang w:val="en-US"/>
              </w:rPr>
              <w:t xml:space="preserve">, art. </w:t>
            </w:r>
            <w:r w:rsidR="001C6C02" w:rsidRPr="00317ABF">
              <w:rPr>
                <w:b/>
                <w:bCs/>
                <w:noProof/>
                <w:sz w:val="22"/>
                <w:szCs w:val="22"/>
                <w:lang w:val="en-US"/>
              </w:rPr>
              <w:t>116</w:t>
            </w:r>
            <w:r w:rsidR="001E1112" w:rsidRPr="00317ABF">
              <w:rPr>
                <w:b/>
                <w:bCs/>
                <w:noProof/>
                <w:sz w:val="22"/>
                <w:szCs w:val="22"/>
                <w:lang w:val="en-US"/>
              </w:rPr>
              <w:t xml:space="preserve">, </w:t>
            </w:r>
            <w:r w:rsidRPr="00317ABF">
              <w:rPr>
                <w:b/>
                <w:bCs/>
                <w:noProof/>
                <w:sz w:val="22"/>
                <w:szCs w:val="22"/>
                <w:lang w:val="en-US"/>
              </w:rPr>
              <w:t xml:space="preserve">Art. </w:t>
            </w:r>
            <w:r w:rsidR="001E1112" w:rsidRPr="00317ABF">
              <w:rPr>
                <w:b/>
                <w:bCs/>
                <w:noProof/>
                <w:sz w:val="22"/>
                <w:szCs w:val="22"/>
                <w:lang w:val="en-US"/>
              </w:rPr>
              <w:t>11</w:t>
            </w:r>
            <w:r w:rsidR="001C6C02" w:rsidRPr="00317ABF">
              <w:rPr>
                <w:b/>
                <w:bCs/>
                <w:noProof/>
                <w:sz w:val="22"/>
                <w:szCs w:val="22"/>
                <w:lang w:val="en-US"/>
              </w:rPr>
              <w:t>7</w:t>
            </w:r>
          </w:p>
        </w:tc>
        <w:tc>
          <w:tcPr>
            <w:tcW w:w="6814" w:type="dxa"/>
            <w:gridSpan w:val="2"/>
          </w:tcPr>
          <w:p w14:paraId="1C0D2144" w14:textId="77777777" w:rsidR="001C6C02" w:rsidRPr="00317ABF" w:rsidRDefault="001C6C02" w:rsidP="001C6C02">
            <w:pPr>
              <w:pStyle w:val="ARTartustawynprozporzdzenia"/>
              <w:keepNext/>
              <w:spacing w:before="0" w:line="240" w:lineRule="auto"/>
              <w:rPr>
                <w:rFonts w:ascii="Times New Roman" w:hAnsi="Times New Roman" w:cs="Times New Roman"/>
                <w:sz w:val="22"/>
                <w:szCs w:val="22"/>
              </w:rPr>
            </w:pPr>
            <w:r w:rsidRPr="00317ABF">
              <w:rPr>
                <w:rStyle w:val="Ppogrubienie"/>
                <w:rFonts w:ascii="Times New Roman" w:hAnsi="Times New Roman"/>
                <w:sz w:val="22"/>
                <w:szCs w:val="22"/>
              </w:rPr>
              <w:t>Art. 112.</w:t>
            </w:r>
            <w:r w:rsidRPr="00317ABF">
              <w:rPr>
                <w:rFonts w:ascii="Times New Roman" w:hAnsi="Times New Roman" w:cs="Times New Roman"/>
                <w:sz w:val="22"/>
                <w:szCs w:val="22"/>
              </w:rPr>
              <w:t xml:space="preserve"> 1. Prezes UKE, z zastrzeżeniem art. 113 ust. 3, określa w dokumentacji w szczególności:</w:t>
            </w:r>
          </w:p>
          <w:p w14:paraId="3EC1F423" w14:textId="77777777" w:rsidR="001C6C02" w:rsidRPr="00317ABF" w:rsidRDefault="001C6C02" w:rsidP="001C6C02">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1)</w:t>
            </w:r>
            <w:r w:rsidRPr="00317ABF">
              <w:rPr>
                <w:rFonts w:ascii="Times New Roman" w:hAnsi="Times New Roman" w:cs="Times New Roman"/>
                <w:sz w:val="22"/>
                <w:szCs w:val="22"/>
              </w:rPr>
              <w:tab/>
              <w:t>przedmiot i zakres postępowania selekcyjnego;</w:t>
            </w:r>
          </w:p>
          <w:p w14:paraId="31BFB2AA" w14:textId="77777777" w:rsidR="001C6C02" w:rsidRPr="00317ABF" w:rsidRDefault="001C6C02" w:rsidP="001C6C02">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2)</w:t>
            </w:r>
            <w:r w:rsidRPr="00317ABF">
              <w:rPr>
                <w:rFonts w:ascii="Times New Roman" w:hAnsi="Times New Roman" w:cs="Times New Roman"/>
                <w:sz w:val="22"/>
                <w:szCs w:val="22"/>
              </w:rPr>
              <w:tab/>
              <w:t>warunki uczestnictwa w postępowaniu selekcyjnym;</w:t>
            </w:r>
          </w:p>
          <w:p w14:paraId="2235F655" w14:textId="77777777" w:rsidR="001C6C02" w:rsidRPr="00317ABF" w:rsidRDefault="001C6C02" w:rsidP="001C6C02">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3)</w:t>
            </w:r>
            <w:r w:rsidRPr="00317ABF">
              <w:rPr>
                <w:rFonts w:ascii="Times New Roman" w:hAnsi="Times New Roman" w:cs="Times New Roman"/>
                <w:sz w:val="22"/>
                <w:szCs w:val="22"/>
              </w:rPr>
              <w:tab/>
              <w:t>kryteria oceny ofert;</w:t>
            </w:r>
          </w:p>
          <w:p w14:paraId="0B37D4CD" w14:textId="77777777" w:rsidR="001C6C02" w:rsidRPr="00317ABF" w:rsidRDefault="001C6C02" w:rsidP="001C6C02">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4)</w:t>
            </w:r>
            <w:r w:rsidRPr="00317ABF">
              <w:rPr>
                <w:rFonts w:ascii="Times New Roman" w:hAnsi="Times New Roman" w:cs="Times New Roman"/>
                <w:sz w:val="22"/>
                <w:szCs w:val="22"/>
              </w:rPr>
              <w:tab/>
              <w:t>wymagania, jakim powinna odpowiadać oferta;</w:t>
            </w:r>
          </w:p>
          <w:p w14:paraId="77EB7F9B" w14:textId="77777777" w:rsidR="001C6C02" w:rsidRPr="00317ABF" w:rsidRDefault="001C6C02" w:rsidP="001C6C02">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5)</w:t>
            </w:r>
            <w:r w:rsidRPr="00317ABF">
              <w:rPr>
                <w:rFonts w:ascii="Times New Roman" w:hAnsi="Times New Roman" w:cs="Times New Roman"/>
                <w:sz w:val="22"/>
                <w:szCs w:val="22"/>
              </w:rPr>
              <w:tab/>
              <w:t>minimum kwalifikacyjne albo wskazuje, że minimum kwalifikacyjne nie zostało ustalone;</w:t>
            </w:r>
          </w:p>
          <w:p w14:paraId="208B53EC" w14:textId="77777777" w:rsidR="001C6C02" w:rsidRPr="00317ABF" w:rsidRDefault="001C6C02" w:rsidP="001C6C02">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6)</w:t>
            </w:r>
            <w:r w:rsidRPr="00317ABF">
              <w:rPr>
                <w:rFonts w:ascii="Times New Roman" w:hAnsi="Times New Roman" w:cs="Times New Roman"/>
                <w:sz w:val="22"/>
                <w:szCs w:val="22"/>
              </w:rPr>
              <w:tab/>
              <w:t>zasady ustalenia wyników postępowania selekcyjnego.</w:t>
            </w:r>
          </w:p>
          <w:p w14:paraId="0CBBEA98" w14:textId="77777777" w:rsidR="001E1112" w:rsidRPr="00317ABF" w:rsidRDefault="001E1112" w:rsidP="001C6C02">
            <w:pPr>
              <w:pStyle w:val="USTustnpkodeksu"/>
              <w:spacing w:line="240" w:lineRule="auto"/>
              <w:rPr>
                <w:rFonts w:ascii="Times New Roman" w:hAnsi="Times New Roman" w:cs="Times New Roman"/>
                <w:sz w:val="22"/>
                <w:szCs w:val="22"/>
              </w:rPr>
            </w:pPr>
            <w:r w:rsidRPr="00317ABF">
              <w:rPr>
                <w:rFonts w:ascii="Times New Roman" w:eastAsia="Times" w:hAnsi="Times New Roman" w:cs="Times New Roman"/>
                <w:sz w:val="22"/>
                <w:szCs w:val="22"/>
              </w:rPr>
              <w:t xml:space="preserve">2. W dokumentacji określa się które części oferty uczestnika postępowania selekcyjnego będą stanowiły zobowiązania, o których mowa w art. </w:t>
            </w:r>
            <w:r w:rsidR="001C6C02" w:rsidRPr="00317ABF">
              <w:rPr>
                <w:rFonts w:ascii="Times New Roman" w:hAnsi="Times New Roman" w:cs="Times New Roman"/>
                <w:sz w:val="22"/>
                <w:szCs w:val="22"/>
              </w:rPr>
              <w:t>87</w:t>
            </w:r>
            <w:r w:rsidRPr="00317ABF">
              <w:rPr>
                <w:rFonts w:ascii="Times New Roman" w:eastAsia="Times" w:hAnsi="Times New Roman" w:cs="Times New Roman"/>
                <w:sz w:val="22"/>
                <w:szCs w:val="22"/>
              </w:rPr>
              <w:t xml:space="preserve"> ust. 1 pkt 10.</w:t>
            </w:r>
          </w:p>
          <w:p w14:paraId="202D467C" w14:textId="77777777" w:rsidR="001E1112" w:rsidRPr="00317ABF" w:rsidRDefault="001E1112" w:rsidP="001C6C02">
            <w:pPr>
              <w:rPr>
                <w:sz w:val="22"/>
                <w:szCs w:val="22"/>
              </w:rPr>
            </w:pPr>
            <w:r w:rsidRPr="00317ABF">
              <w:rPr>
                <w:rFonts w:eastAsia="Times"/>
                <w:sz w:val="22"/>
                <w:szCs w:val="22"/>
              </w:rPr>
              <w:lastRenderedPageBreak/>
              <w:t>3. Dokumentację udostępnia się za opłatą, która nie może przekroczyć kosztów wykonania dokumentacji. Opłata jest pobierana przez Urząd Komunikacji Elektronicznej.</w:t>
            </w:r>
          </w:p>
          <w:p w14:paraId="590BB718" w14:textId="77777777" w:rsidR="001C6C02" w:rsidRPr="00317ABF" w:rsidRDefault="001C6C02" w:rsidP="001C6C02">
            <w:pPr>
              <w:pStyle w:val="ARTartustawynprozporzdzenia"/>
              <w:keepNext/>
              <w:spacing w:before="0" w:line="240" w:lineRule="auto"/>
              <w:rPr>
                <w:rFonts w:ascii="Times New Roman" w:hAnsi="Times New Roman" w:cs="Times New Roman"/>
                <w:sz w:val="22"/>
                <w:szCs w:val="22"/>
              </w:rPr>
            </w:pPr>
            <w:r w:rsidRPr="00317ABF">
              <w:rPr>
                <w:rStyle w:val="Ppogrubienie"/>
                <w:rFonts w:ascii="Times New Roman" w:hAnsi="Times New Roman"/>
                <w:sz w:val="22"/>
                <w:szCs w:val="22"/>
              </w:rPr>
              <w:t>Art. 113.</w:t>
            </w:r>
            <w:r w:rsidRPr="00317ABF">
              <w:rPr>
                <w:rFonts w:ascii="Times New Roman" w:hAnsi="Times New Roman" w:cs="Times New Roman"/>
                <w:sz w:val="22"/>
                <w:szCs w:val="22"/>
              </w:rPr>
              <w:t xml:space="preserve"> 1. Prezes UKE, określając warunki uczestnictwa w przetargu albo w aukcji, może w szczególności wskazać zasoby częstotliwości, którymi dysponowanie:</w:t>
            </w:r>
          </w:p>
          <w:p w14:paraId="317BFCB2" w14:textId="77777777" w:rsidR="001C6C02" w:rsidRPr="00317ABF" w:rsidRDefault="001C6C02" w:rsidP="001C6C02">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1)</w:t>
            </w:r>
            <w:r w:rsidRPr="00317ABF">
              <w:rPr>
                <w:rFonts w:ascii="Times New Roman" w:hAnsi="Times New Roman" w:cs="Times New Roman"/>
                <w:sz w:val="22"/>
                <w:szCs w:val="22"/>
              </w:rPr>
              <w:tab/>
              <w:t>wyłącza z udziału w przetargu albo aukcji podmiot dysponujący tym zasobem lub podmioty z grupy kapitałowej dysponującej tym zasobem lub</w:t>
            </w:r>
          </w:p>
          <w:p w14:paraId="7C99FE7E" w14:textId="77777777" w:rsidR="001C6C02" w:rsidRPr="00317ABF" w:rsidRDefault="001C6C02" w:rsidP="001C6C02">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2)</w:t>
            </w:r>
            <w:r w:rsidRPr="00317ABF">
              <w:rPr>
                <w:rFonts w:ascii="Times New Roman" w:hAnsi="Times New Roman" w:cs="Times New Roman"/>
                <w:sz w:val="22"/>
                <w:szCs w:val="22"/>
              </w:rPr>
              <w:tab/>
              <w:t>ogranicza zasoby częstotliwości, o których rezerwację może ubiegać się podmiot dysponujący tym zasobem lub podmioty z grupy kapitałowej dysponującej tym zasobem, lub</w:t>
            </w:r>
          </w:p>
          <w:p w14:paraId="1BE3B45C" w14:textId="77777777" w:rsidR="001E1112" w:rsidRPr="00317ABF" w:rsidRDefault="001E1112" w:rsidP="001C6C02">
            <w:pPr>
              <w:pStyle w:val="PKTpunkt0"/>
              <w:spacing w:line="240" w:lineRule="auto"/>
              <w:rPr>
                <w:rFonts w:ascii="Times New Roman" w:hAnsi="Times New Roman" w:cs="Times New Roman"/>
                <w:sz w:val="22"/>
                <w:szCs w:val="22"/>
              </w:rPr>
            </w:pPr>
            <w:r w:rsidRPr="00317ABF">
              <w:rPr>
                <w:rFonts w:ascii="Times New Roman" w:eastAsia="Times" w:hAnsi="Times New Roman" w:cs="Times New Roman"/>
                <w:sz w:val="22"/>
                <w:szCs w:val="22"/>
              </w:rPr>
              <w:t>3)</w:t>
            </w:r>
            <w:r w:rsidR="001C6C02" w:rsidRPr="00317ABF">
              <w:rPr>
                <w:rFonts w:ascii="Times New Roman" w:hAnsi="Times New Roman" w:cs="Times New Roman"/>
                <w:sz w:val="22"/>
                <w:szCs w:val="22"/>
              </w:rPr>
              <w:tab/>
            </w:r>
            <w:r w:rsidRPr="00317ABF">
              <w:rPr>
                <w:rFonts w:ascii="Times New Roman" w:eastAsia="Times" w:hAnsi="Times New Roman" w:cs="Times New Roman"/>
                <w:sz w:val="22"/>
                <w:szCs w:val="22"/>
              </w:rPr>
              <w:t>uprawnia do udziału w przetargu albo aukcji podmiot dysponujący tym zasobem lub podmioty z grupy kapitałowej dysponującej tym zasobem.</w:t>
            </w:r>
          </w:p>
          <w:p w14:paraId="781C304C" w14:textId="238558B2" w:rsidR="001E1112" w:rsidRPr="00317ABF" w:rsidRDefault="001E1112" w:rsidP="001C6C02">
            <w:pPr>
              <w:pStyle w:val="USTustnpkodeksu"/>
              <w:keepNext/>
              <w:spacing w:line="240" w:lineRule="auto"/>
              <w:rPr>
                <w:rFonts w:ascii="Times New Roman" w:hAnsi="Times New Roman" w:cs="Times New Roman"/>
                <w:sz w:val="22"/>
                <w:szCs w:val="22"/>
              </w:rPr>
            </w:pPr>
            <w:r w:rsidRPr="00317ABF">
              <w:rPr>
                <w:rFonts w:ascii="Times New Roman" w:eastAsia="Times" w:hAnsi="Times New Roman" w:cs="Times New Roman"/>
                <w:sz w:val="22"/>
                <w:szCs w:val="22"/>
              </w:rPr>
              <w:t>2. Prezes UKE, określając warunki uczestnictwa w postępowaniu selekcyjnym, może wskazać:</w:t>
            </w:r>
          </w:p>
          <w:p w14:paraId="7F6299D9" w14:textId="77777777" w:rsidR="001C6C02" w:rsidRPr="00317ABF" w:rsidRDefault="001C6C02" w:rsidP="001C6C02">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1)</w:t>
            </w:r>
            <w:r w:rsidRPr="00317ABF">
              <w:rPr>
                <w:rFonts w:ascii="Times New Roman" w:hAnsi="Times New Roman" w:cs="Times New Roman"/>
                <w:sz w:val="22"/>
                <w:szCs w:val="22"/>
              </w:rPr>
              <w:tab/>
              <w:t>wymagania, jakie powinien spełniać podmiot składający ofertę, w szczególności dotyczące jego wiarygodności finansowej lub doświadczenia w wykonywaniu działalności telekomunikacyjnej;</w:t>
            </w:r>
          </w:p>
          <w:p w14:paraId="6479A9EB" w14:textId="77777777" w:rsidR="001E1112" w:rsidRPr="00317ABF" w:rsidRDefault="001E1112" w:rsidP="001C6C02">
            <w:pPr>
              <w:pStyle w:val="PKTpunkt0"/>
              <w:spacing w:line="240" w:lineRule="auto"/>
              <w:rPr>
                <w:rFonts w:ascii="Times New Roman" w:hAnsi="Times New Roman" w:cs="Times New Roman"/>
                <w:sz w:val="22"/>
                <w:szCs w:val="22"/>
              </w:rPr>
            </w:pPr>
            <w:r w:rsidRPr="00317ABF">
              <w:rPr>
                <w:rFonts w:ascii="Times New Roman" w:eastAsia="Times" w:hAnsi="Times New Roman" w:cs="Times New Roman"/>
                <w:sz w:val="22"/>
                <w:szCs w:val="22"/>
              </w:rPr>
              <w:t>2)</w:t>
            </w:r>
            <w:r w:rsidR="001C6C02" w:rsidRPr="00317ABF">
              <w:rPr>
                <w:rFonts w:ascii="Times New Roman" w:hAnsi="Times New Roman" w:cs="Times New Roman"/>
                <w:sz w:val="22"/>
                <w:szCs w:val="22"/>
              </w:rPr>
              <w:tab/>
            </w:r>
            <w:r w:rsidRPr="00317ABF">
              <w:rPr>
                <w:rFonts w:ascii="Times New Roman" w:eastAsia="Times" w:hAnsi="Times New Roman" w:cs="Times New Roman"/>
                <w:sz w:val="22"/>
                <w:szCs w:val="22"/>
              </w:rPr>
              <w:t>że tylko jeden podmiot z danej grupy kapitałowej może uczestniczyć w postępowaniu selekcyjnym.</w:t>
            </w:r>
          </w:p>
          <w:p w14:paraId="6A0872CE" w14:textId="24CBDBB1" w:rsidR="001E1112" w:rsidRPr="00317ABF" w:rsidRDefault="001E1112" w:rsidP="001C6C02">
            <w:pPr>
              <w:pStyle w:val="USTustnpkodeksu"/>
              <w:spacing w:line="240" w:lineRule="auto"/>
              <w:rPr>
                <w:rFonts w:ascii="Times New Roman" w:hAnsi="Times New Roman" w:cs="Times New Roman"/>
                <w:sz w:val="22"/>
                <w:szCs w:val="22"/>
              </w:rPr>
            </w:pPr>
            <w:r w:rsidRPr="00317ABF">
              <w:rPr>
                <w:rFonts w:ascii="Times New Roman" w:hAnsi="Times New Roman" w:cs="Times New Roman"/>
                <w:sz w:val="22"/>
                <w:szCs w:val="22"/>
              </w:rPr>
              <w:t>3. Warunki uczestnictwa w konkursie, w zakresie dodatkowych obowiązków i zadań przedsiębiorcy dotyczących zawartości programowej, w tym warunków dotyczących transmisji obowiązkowej, określa w zakresie wynikającym z ustawy o radiofonii i telewizji Przewodniczący KRRiT na wniosek Prezesa UKE, w terminie 30 dni od dnia otrzymania wniosku, uwzględniając pozaekonomiczne interesy narodowe dotyczące kultury, języka i pluralizmu mediów.</w:t>
            </w:r>
          </w:p>
          <w:p w14:paraId="47948871" w14:textId="77777777" w:rsidR="001E1112" w:rsidRPr="00317ABF" w:rsidRDefault="001E1112" w:rsidP="001C6C02">
            <w:pPr>
              <w:pStyle w:val="ARTartustawynprozporzdzenia"/>
              <w:spacing w:before="0" w:line="240" w:lineRule="auto"/>
              <w:rPr>
                <w:rFonts w:ascii="Times New Roman" w:hAnsi="Times New Roman" w:cs="Times New Roman"/>
                <w:sz w:val="22"/>
                <w:szCs w:val="22"/>
              </w:rPr>
            </w:pPr>
            <w:r w:rsidRPr="00317ABF">
              <w:rPr>
                <w:rStyle w:val="Ppogrubienie"/>
                <w:rFonts w:ascii="Times New Roman" w:hAnsi="Times New Roman"/>
                <w:sz w:val="22"/>
                <w:szCs w:val="22"/>
              </w:rPr>
              <w:t>Art. </w:t>
            </w:r>
            <w:r w:rsidR="001C6C02" w:rsidRPr="00317ABF">
              <w:rPr>
                <w:rStyle w:val="Ppogrubienie"/>
                <w:rFonts w:ascii="Times New Roman" w:hAnsi="Times New Roman"/>
                <w:sz w:val="22"/>
                <w:szCs w:val="22"/>
              </w:rPr>
              <w:t>114</w:t>
            </w:r>
            <w:r w:rsidRPr="00317ABF">
              <w:rPr>
                <w:rStyle w:val="Ppogrubienie"/>
                <w:rFonts w:ascii="Times New Roman" w:hAnsi="Times New Roman"/>
                <w:sz w:val="22"/>
                <w:szCs w:val="22"/>
              </w:rPr>
              <w:t>.</w:t>
            </w:r>
            <w:r w:rsidRPr="00317ABF">
              <w:rPr>
                <w:rFonts w:ascii="Times New Roman" w:hAnsi="Times New Roman" w:cs="Times New Roman"/>
                <w:sz w:val="22"/>
                <w:szCs w:val="22"/>
              </w:rPr>
              <w:t xml:space="preserve"> 1. Prezes UKE określa w dokumentacji przetargowej albo aukcyjnej wysokość wadium, biorąc pod uwagę znaczenie społeczne i gospodarcze przedmiotu przetargu albo aukcji.</w:t>
            </w:r>
          </w:p>
          <w:p w14:paraId="284330E4" w14:textId="77777777" w:rsidR="001E1112" w:rsidRPr="00317ABF" w:rsidRDefault="001E1112" w:rsidP="00DB3BEC">
            <w:pPr>
              <w:pStyle w:val="USTustnpkodeksu"/>
              <w:spacing w:line="240" w:lineRule="auto"/>
              <w:rPr>
                <w:rFonts w:ascii="Times New Roman" w:hAnsi="Times New Roman" w:cs="Times New Roman"/>
                <w:sz w:val="22"/>
                <w:szCs w:val="22"/>
              </w:rPr>
            </w:pPr>
            <w:r w:rsidRPr="00317ABF">
              <w:rPr>
                <w:rFonts w:ascii="Times New Roman" w:hAnsi="Times New Roman" w:cs="Times New Roman"/>
                <w:sz w:val="22"/>
                <w:szCs w:val="22"/>
              </w:rPr>
              <w:t>2. Wysokość wadium nie może być niższa niż 5% opłaty, o której mowa w art. 24 ust. 1, i wyższa niż 5000% tej opłaty, jednakże nie niższa niż 500 złotych. W przypadku przetargu i aukcji na kilka rezerwacji - wysokość wadium i obowiązek wpłaty dotyczą każdej rezerwacji.</w:t>
            </w:r>
          </w:p>
          <w:p w14:paraId="34B76C80" w14:textId="77777777" w:rsidR="001E1112" w:rsidRPr="00317ABF" w:rsidRDefault="001E1112" w:rsidP="00DB3BEC">
            <w:pPr>
              <w:pStyle w:val="USTustnpkodeksu"/>
              <w:spacing w:line="240" w:lineRule="auto"/>
              <w:rPr>
                <w:rFonts w:ascii="Times New Roman" w:hAnsi="Times New Roman" w:cs="Times New Roman"/>
                <w:sz w:val="22"/>
                <w:szCs w:val="22"/>
              </w:rPr>
            </w:pPr>
            <w:r w:rsidRPr="00317ABF">
              <w:rPr>
                <w:rFonts w:ascii="Times New Roman" w:hAnsi="Times New Roman" w:cs="Times New Roman"/>
                <w:sz w:val="22"/>
                <w:szCs w:val="22"/>
              </w:rPr>
              <w:t>3. Utratę wadium powoduje:</w:t>
            </w:r>
          </w:p>
          <w:p w14:paraId="7BCA43E3" w14:textId="77777777" w:rsidR="001E1112" w:rsidRPr="00317ABF" w:rsidRDefault="001E1112" w:rsidP="00DB3BEC">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1)</w:t>
            </w:r>
            <w:r w:rsidRPr="00317ABF">
              <w:rPr>
                <w:rFonts w:ascii="Times New Roman" w:hAnsi="Times New Roman" w:cs="Times New Roman"/>
                <w:sz w:val="22"/>
                <w:szCs w:val="22"/>
              </w:rPr>
              <w:tab/>
              <w:t>wycofanie oferty z przetargu albo aukcji po upływie terminu na składanie ofert,</w:t>
            </w:r>
          </w:p>
          <w:p w14:paraId="199B500E" w14:textId="77777777" w:rsidR="001E1112" w:rsidRPr="00317ABF" w:rsidRDefault="001E1112" w:rsidP="00DB3BEC">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lastRenderedPageBreak/>
              <w:t>2)</w:t>
            </w:r>
            <w:r w:rsidRPr="00317ABF">
              <w:rPr>
                <w:rFonts w:ascii="Times New Roman" w:hAnsi="Times New Roman" w:cs="Times New Roman"/>
                <w:sz w:val="22"/>
                <w:szCs w:val="22"/>
              </w:rPr>
              <w:tab/>
              <w:t>niezadeklarowanie kwoty pierwszego postąpienia w aukcji,</w:t>
            </w:r>
          </w:p>
          <w:p w14:paraId="765AF4D6" w14:textId="77777777" w:rsidR="001E1112" w:rsidRPr="00317ABF" w:rsidRDefault="001E1112" w:rsidP="00DB3BEC">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3)</w:t>
            </w:r>
            <w:r w:rsidRPr="00317ABF">
              <w:rPr>
                <w:rFonts w:ascii="Times New Roman" w:hAnsi="Times New Roman" w:cs="Times New Roman"/>
                <w:sz w:val="22"/>
                <w:szCs w:val="22"/>
              </w:rPr>
              <w:tab/>
              <w:t>niewniesienie wymaganego depozytu, lub</w:t>
            </w:r>
          </w:p>
          <w:p w14:paraId="1A6FA816" w14:textId="77777777" w:rsidR="001E1112" w:rsidRPr="00317ABF" w:rsidRDefault="001E1112" w:rsidP="00DB3BEC">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4)</w:t>
            </w:r>
            <w:r w:rsidRPr="00317ABF">
              <w:rPr>
                <w:rFonts w:ascii="Times New Roman" w:hAnsi="Times New Roman" w:cs="Times New Roman"/>
                <w:sz w:val="22"/>
                <w:szCs w:val="22"/>
              </w:rPr>
              <w:tab/>
              <w:t xml:space="preserve">rezygnacja przez podmiot wyłoniony, o którym mowa w art. </w:t>
            </w:r>
            <w:r w:rsidR="001C6C02" w:rsidRPr="00317ABF">
              <w:rPr>
                <w:rFonts w:ascii="Times New Roman" w:hAnsi="Times New Roman" w:cs="Times New Roman"/>
                <w:sz w:val="22"/>
                <w:szCs w:val="22"/>
              </w:rPr>
              <w:t>120</w:t>
            </w:r>
            <w:r w:rsidRPr="00317ABF">
              <w:rPr>
                <w:rFonts w:ascii="Times New Roman" w:hAnsi="Times New Roman" w:cs="Times New Roman"/>
                <w:sz w:val="22"/>
                <w:szCs w:val="22"/>
              </w:rPr>
              <w:t xml:space="preserve"> ust. 2 lub 3, z uzyskania rezerwacji częstotliwości.</w:t>
            </w:r>
          </w:p>
          <w:p w14:paraId="48900EA9" w14:textId="77777777" w:rsidR="001E1112" w:rsidRPr="00317ABF" w:rsidRDefault="001E1112" w:rsidP="00DB3BEC">
            <w:pPr>
              <w:pStyle w:val="USTustnpkodeksu"/>
              <w:spacing w:line="240" w:lineRule="auto"/>
              <w:rPr>
                <w:rFonts w:ascii="Times New Roman" w:hAnsi="Times New Roman" w:cs="Times New Roman"/>
                <w:sz w:val="22"/>
                <w:szCs w:val="22"/>
              </w:rPr>
            </w:pPr>
            <w:r w:rsidRPr="00317ABF">
              <w:rPr>
                <w:rFonts w:ascii="Times New Roman" w:hAnsi="Times New Roman" w:cs="Times New Roman"/>
                <w:sz w:val="22"/>
                <w:szCs w:val="22"/>
              </w:rPr>
              <w:t>4. W przypadku, gdy uczestnik przetargu albo aukcji został podmiotem wyłonionym dla więcej niż jednej rezerwacji, przepis ust. 3 stosuje się odpowiednio do każdej oferty.</w:t>
            </w:r>
          </w:p>
          <w:p w14:paraId="598F4BD9" w14:textId="77777777" w:rsidR="001E1112" w:rsidRPr="00317ABF" w:rsidRDefault="001E1112" w:rsidP="00DB3BEC">
            <w:pPr>
              <w:pStyle w:val="USTustnpkodeksu"/>
              <w:spacing w:line="240" w:lineRule="auto"/>
              <w:rPr>
                <w:rFonts w:ascii="Times New Roman" w:hAnsi="Times New Roman" w:cs="Times New Roman"/>
                <w:sz w:val="22"/>
                <w:szCs w:val="22"/>
              </w:rPr>
            </w:pPr>
            <w:r w:rsidRPr="00317ABF">
              <w:rPr>
                <w:rFonts w:ascii="Times New Roman" w:hAnsi="Times New Roman" w:cs="Times New Roman"/>
                <w:sz w:val="22"/>
                <w:szCs w:val="22"/>
              </w:rPr>
              <w:t>5. Wadium wniesione przez podmiot wyłoniony, o którym mowa w art. 114 ust. 2 lub 3, podlega zaliczeniu na poczet dodatkowej opłaty, o której mowa w art. 24 ust. 5. W przypadku, gdy wadium jest wyższe od tej opłaty, Prezes UKE w terminie 21 dni od dnia, w którym decyzja o dokonaniu rezerwacji częstotliwości stała się ostateczna, zwraca nadwyżkę.</w:t>
            </w:r>
          </w:p>
          <w:p w14:paraId="695DB798" w14:textId="77777777" w:rsidR="001E1112" w:rsidRPr="00317ABF" w:rsidRDefault="001E1112" w:rsidP="00DB3BEC">
            <w:pPr>
              <w:pStyle w:val="USTustnpkodeksu"/>
              <w:spacing w:line="240" w:lineRule="auto"/>
              <w:rPr>
                <w:rFonts w:ascii="Times New Roman" w:hAnsi="Times New Roman" w:cs="Times New Roman"/>
                <w:sz w:val="22"/>
                <w:szCs w:val="22"/>
              </w:rPr>
            </w:pPr>
            <w:r w:rsidRPr="00317ABF">
              <w:rPr>
                <w:rFonts w:ascii="Times New Roman" w:hAnsi="Times New Roman" w:cs="Times New Roman"/>
                <w:sz w:val="22"/>
                <w:szCs w:val="22"/>
              </w:rPr>
              <w:t>6. Wadium wniesione przez uczestnika przetargu albo aukcji, który spełnił warunki uczestnictwa w przetargu albo aukcji oraz osiągnął minimum kwalifikacyjne, jeżeli zostało określone w dokumentacji, podlega zwrotowi w terminie 21 dni od dnia, w którym decyzja o dokonaniu rezerwacji częstotliwości stała się ostateczna, a w przypadku uczestnika przetargu albo aukcji, który nie spełnił warunków uczestnictwa w przetargu albo aukcji lub nie osiągnął minimum kwalifikacyjnego - w terminie 14 dni od dnia ogłoszenia wyników przetargu albo aukcji albo uznania ich za nierozstrzygnięte.</w:t>
            </w:r>
          </w:p>
          <w:p w14:paraId="28044A6F" w14:textId="65619A26" w:rsidR="001E1112" w:rsidRPr="00317ABF" w:rsidRDefault="001E1112" w:rsidP="001C6C02">
            <w:pPr>
              <w:pStyle w:val="USTustnpkodeksu"/>
              <w:spacing w:line="240" w:lineRule="auto"/>
              <w:rPr>
                <w:rFonts w:ascii="Times New Roman" w:hAnsi="Times New Roman" w:cs="Times New Roman"/>
                <w:sz w:val="22"/>
                <w:szCs w:val="22"/>
              </w:rPr>
            </w:pPr>
            <w:r w:rsidRPr="00317ABF">
              <w:rPr>
                <w:rFonts w:ascii="Times New Roman" w:hAnsi="Times New Roman" w:cs="Times New Roman"/>
                <w:sz w:val="22"/>
                <w:szCs w:val="22"/>
              </w:rPr>
              <w:t>7. W przypadku unieważnienia przetargu albo aukcji przed dokonaniem rezerwacji częstotliwości zwrot wadium następuje w terminie 21 dni od dnia, w którym decyzja o unieważnieniu przetargu albo aukcji stała się ostateczna.</w:t>
            </w:r>
          </w:p>
          <w:p w14:paraId="7230C522" w14:textId="77777777" w:rsidR="001E1112" w:rsidRPr="00317ABF" w:rsidRDefault="001E1112" w:rsidP="001C6C02">
            <w:pPr>
              <w:pStyle w:val="ARTartustawynprozporzdzenia"/>
              <w:spacing w:before="0" w:line="240" w:lineRule="auto"/>
              <w:rPr>
                <w:rFonts w:ascii="Times New Roman" w:hAnsi="Times New Roman" w:cs="Times New Roman"/>
                <w:sz w:val="22"/>
                <w:szCs w:val="22"/>
              </w:rPr>
            </w:pPr>
            <w:r w:rsidRPr="00317ABF">
              <w:rPr>
                <w:rStyle w:val="Ppogrubienie"/>
                <w:rFonts w:ascii="Times New Roman" w:hAnsi="Times New Roman"/>
                <w:sz w:val="22"/>
                <w:szCs w:val="22"/>
              </w:rPr>
              <w:t>Art. 110.</w:t>
            </w:r>
            <w:r w:rsidRPr="00317ABF">
              <w:rPr>
                <w:rFonts w:ascii="Times New Roman" w:hAnsi="Times New Roman" w:cs="Times New Roman"/>
                <w:sz w:val="22"/>
                <w:szCs w:val="22"/>
              </w:rPr>
              <w:t xml:space="preserve"> 1. Prezes UKE może określić w dokumentacji aukcyjnej wymóg wniesienia depozytu, sposób ustalania jego wysokości, w tym wysokość wskaźnika procentowego przyjmowanego do ustalania wysokości depozytu, oraz zasady wnoszenia depozytu.</w:t>
            </w:r>
          </w:p>
          <w:p w14:paraId="5407A415" w14:textId="77777777" w:rsidR="001E1112" w:rsidRPr="00317ABF" w:rsidRDefault="001E1112" w:rsidP="00DB3BEC">
            <w:pPr>
              <w:pStyle w:val="USTustnpkodeksu"/>
              <w:spacing w:line="240" w:lineRule="auto"/>
              <w:rPr>
                <w:rFonts w:ascii="Times New Roman" w:hAnsi="Times New Roman" w:cs="Times New Roman"/>
                <w:sz w:val="22"/>
                <w:szCs w:val="22"/>
              </w:rPr>
            </w:pPr>
            <w:r w:rsidRPr="00317ABF">
              <w:rPr>
                <w:rFonts w:ascii="Times New Roman" w:hAnsi="Times New Roman" w:cs="Times New Roman"/>
                <w:sz w:val="22"/>
                <w:szCs w:val="22"/>
              </w:rPr>
              <w:t>2. Wysokość depozytu nie może być niższa niż 20% i wyższa niż 100% sumy wszystkich ofert danego uczestnika aukcji złożonych w momencie ogłoszenia konieczności wniesienia depozytu.</w:t>
            </w:r>
          </w:p>
          <w:p w14:paraId="442EA7D9" w14:textId="77777777" w:rsidR="001E1112" w:rsidRPr="00317ABF" w:rsidRDefault="001E1112" w:rsidP="00DB3BEC">
            <w:pPr>
              <w:pStyle w:val="USTustnpkodeksu"/>
              <w:spacing w:line="240" w:lineRule="auto"/>
              <w:rPr>
                <w:rFonts w:ascii="Times New Roman" w:hAnsi="Times New Roman" w:cs="Times New Roman"/>
                <w:sz w:val="22"/>
                <w:szCs w:val="22"/>
              </w:rPr>
            </w:pPr>
            <w:r w:rsidRPr="00317ABF">
              <w:rPr>
                <w:rFonts w:ascii="Times New Roman" w:hAnsi="Times New Roman" w:cs="Times New Roman"/>
                <w:sz w:val="22"/>
                <w:szCs w:val="22"/>
              </w:rPr>
              <w:t>3. Niewniesienie przez uczestnika aukcji wymaganego depozytu powoduje jego wykluczenie. Wykluczony uczestnik nie może składać kolejnych ofert, traci wniesiony depozyt, a złożone przez niego oferty tracą ważność.</w:t>
            </w:r>
          </w:p>
          <w:p w14:paraId="4CEA1117" w14:textId="77777777" w:rsidR="001E1112" w:rsidRPr="00317ABF" w:rsidRDefault="001E1112" w:rsidP="00DB3BEC">
            <w:pPr>
              <w:pStyle w:val="USTustnpkodeksu"/>
              <w:spacing w:line="240" w:lineRule="auto"/>
              <w:rPr>
                <w:rFonts w:ascii="Times New Roman" w:hAnsi="Times New Roman" w:cs="Times New Roman"/>
                <w:sz w:val="22"/>
                <w:szCs w:val="22"/>
              </w:rPr>
            </w:pPr>
            <w:r w:rsidRPr="00317ABF">
              <w:rPr>
                <w:rFonts w:ascii="Times New Roman" w:hAnsi="Times New Roman" w:cs="Times New Roman"/>
                <w:sz w:val="22"/>
                <w:szCs w:val="22"/>
              </w:rPr>
              <w:t xml:space="preserve">4. Rezygnacja przez podmiot wyłoniony, o którym mowa w art. 114 ust. 2, z uzyskania rezerwacji częstotliwości powoduje utratę depozytu w kwocie stanowiącej iloczyn wskaźnika procentowego przyjmowanego do </w:t>
            </w:r>
            <w:r w:rsidRPr="00317ABF">
              <w:rPr>
                <w:rFonts w:ascii="Times New Roman" w:hAnsi="Times New Roman" w:cs="Times New Roman"/>
                <w:sz w:val="22"/>
                <w:szCs w:val="22"/>
              </w:rPr>
              <w:lastRenderedPageBreak/>
              <w:t>ustalenia wysokości depozytu i opłaty zadeklarowanej przez podmiot za tę rezerwację częstotliwości w momencie ostatniego ogłoszenia konieczności wniesienia depozytu.</w:t>
            </w:r>
          </w:p>
          <w:p w14:paraId="4A9E705A" w14:textId="77777777" w:rsidR="001E1112" w:rsidRPr="00317ABF" w:rsidRDefault="001E1112" w:rsidP="00DB3BEC">
            <w:pPr>
              <w:pStyle w:val="USTustnpkodeksu"/>
              <w:spacing w:line="240" w:lineRule="auto"/>
              <w:rPr>
                <w:rFonts w:ascii="Times New Roman" w:hAnsi="Times New Roman" w:cs="Times New Roman"/>
                <w:sz w:val="22"/>
                <w:szCs w:val="22"/>
              </w:rPr>
            </w:pPr>
            <w:r w:rsidRPr="00317ABF">
              <w:rPr>
                <w:rFonts w:ascii="Times New Roman" w:hAnsi="Times New Roman" w:cs="Times New Roman"/>
                <w:sz w:val="22"/>
                <w:szCs w:val="22"/>
              </w:rPr>
              <w:t>5. Depozyt wniesiony przez podmiot wyłoniony, o którym mowa w art. 114 ust. 2 lub 3, jeżeli nie zrezygnował on z uzyskania rezerwacji częstotliwości, podlega zaliczeniu na poczet opłaty, o której mowa w art. 24 ust. 5, w części, w której ta opłata nie została pokryta z wadium. W przypadku, gdy depozyt jest wyższy od części opłaty niepokrytej z wadium, Prezes UKE w terminie 21 dni od dnia, w którym decyzja o dokonaniu rezerwacji częstotliwości stała się ostateczna, zwraca nadwyżkę.</w:t>
            </w:r>
          </w:p>
          <w:p w14:paraId="3B491419" w14:textId="77777777" w:rsidR="001E1112" w:rsidRPr="00317ABF" w:rsidRDefault="001E1112" w:rsidP="00DB3BEC">
            <w:pPr>
              <w:pStyle w:val="USTustnpkodeksu"/>
              <w:spacing w:line="240" w:lineRule="auto"/>
              <w:rPr>
                <w:rFonts w:ascii="Times New Roman" w:hAnsi="Times New Roman" w:cs="Times New Roman"/>
                <w:sz w:val="22"/>
                <w:szCs w:val="22"/>
              </w:rPr>
            </w:pPr>
            <w:r w:rsidRPr="00317ABF">
              <w:rPr>
                <w:rFonts w:ascii="Times New Roman" w:hAnsi="Times New Roman" w:cs="Times New Roman"/>
                <w:sz w:val="22"/>
                <w:szCs w:val="22"/>
              </w:rPr>
              <w:t>6. Depozyt wniesiony przez uczestnika aukcji, który nie został podmiotem wyłonionym, podlega zwrotowi w terminie 21 dni od dnia, w którym decyzja o dokonaniu rezerwacji częstotliwości stała się ostateczna, albo w terminie 14 dni od dnia uznania aukcji za nierozstrzygniętą.</w:t>
            </w:r>
          </w:p>
          <w:p w14:paraId="7D94D008" w14:textId="77777777" w:rsidR="001E1112" w:rsidRPr="00317ABF" w:rsidRDefault="001E1112" w:rsidP="00DB3BEC">
            <w:pPr>
              <w:pStyle w:val="USTustnpkodeksu"/>
              <w:spacing w:line="240" w:lineRule="auto"/>
              <w:rPr>
                <w:rFonts w:ascii="Times New Roman" w:hAnsi="Times New Roman" w:cs="Times New Roman"/>
                <w:sz w:val="22"/>
                <w:szCs w:val="22"/>
              </w:rPr>
            </w:pPr>
            <w:r w:rsidRPr="00317ABF">
              <w:rPr>
                <w:rFonts w:ascii="Times New Roman" w:hAnsi="Times New Roman" w:cs="Times New Roman"/>
                <w:sz w:val="22"/>
                <w:szCs w:val="22"/>
              </w:rPr>
              <w:t>7. W przypadku unieważnienia aukcji przed dokonaniem rezerwacji częstotliwości, zwrot depozytu następuje w terminie 21 dni od dnia, w którym decyzja o unieważnieniu aukcji stała się ostateczna.</w:t>
            </w:r>
          </w:p>
          <w:p w14:paraId="50FDB1A6" w14:textId="77777777" w:rsidR="001E1112" w:rsidRPr="00317ABF" w:rsidRDefault="001E1112" w:rsidP="001C6C02">
            <w:pPr>
              <w:pStyle w:val="ARTartustawynprozporzdzenia"/>
              <w:spacing w:before="0" w:line="240" w:lineRule="auto"/>
              <w:rPr>
                <w:rFonts w:ascii="Times New Roman" w:hAnsi="Times New Roman" w:cs="Times New Roman"/>
                <w:sz w:val="22"/>
                <w:szCs w:val="22"/>
              </w:rPr>
            </w:pPr>
            <w:r w:rsidRPr="00317ABF">
              <w:rPr>
                <w:rStyle w:val="Ppogrubienie"/>
                <w:rFonts w:ascii="Times New Roman" w:hAnsi="Times New Roman"/>
                <w:sz w:val="22"/>
                <w:szCs w:val="22"/>
              </w:rPr>
              <w:t>Art. 111.</w:t>
            </w:r>
            <w:r w:rsidRPr="00317ABF">
              <w:rPr>
                <w:rFonts w:ascii="Times New Roman" w:hAnsi="Times New Roman" w:cs="Times New Roman"/>
                <w:sz w:val="22"/>
                <w:szCs w:val="22"/>
              </w:rPr>
              <w:t xml:space="preserve"> 1. Ofertę składaną w ramach postępowania selekcyjnego należy sporządzić zgodnie z wymogami dokumentacji oraz złożyć w terminie określonym w ogłoszeniu o wszczęciu postępowania selekcyjnego.</w:t>
            </w:r>
          </w:p>
          <w:p w14:paraId="1AF2883F" w14:textId="2F951921" w:rsidR="001E1112" w:rsidRPr="00317ABF" w:rsidRDefault="001E1112" w:rsidP="001C6C02">
            <w:pPr>
              <w:pStyle w:val="USTustnpkodeksu"/>
              <w:spacing w:line="240" w:lineRule="auto"/>
              <w:rPr>
                <w:rFonts w:ascii="Times New Roman" w:hAnsi="Times New Roman" w:cs="Times New Roman"/>
                <w:sz w:val="22"/>
                <w:szCs w:val="22"/>
              </w:rPr>
            </w:pPr>
            <w:r w:rsidRPr="00317ABF">
              <w:rPr>
                <w:rFonts w:ascii="Times New Roman" w:hAnsi="Times New Roman" w:cs="Times New Roman"/>
                <w:sz w:val="22"/>
                <w:szCs w:val="22"/>
              </w:rPr>
              <w:t>2. Oferta zawiera podpisane przez osobę uprawnioną do reprezentowania uczestnika tego postępowania oświadczenie, składane pod rygorem odpowiedzialności karnej za składanie fałszywych oświadczeń, że informacje zawarte w ofercie są zgodne z prawdą. Oświadczenie zawiera klauzulę następującej treści: „Świadomy odpowiedzialności karnej za złożenie fałszywego oświadczenia wynikającej z art. 233 § 6 Kodeksu karnego oświadczam, że informacje zawarte w ofercie są zgodne z prawdą.”</w:t>
            </w:r>
            <w:r w:rsidRPr="00317ABF">
              <w:rPr>
                <w:rFonts w:ascii="Times New Roman" w:hAnsi="Times New Roman" w:cs="Times New Roman"/>
                <w:color w:val="2B579A"/>
                <w:sz w:val="22"/>
                <w:szCs w:val="22"/>
              </w:rPr>
              <w:t xml:space="preserve">. </w:t>
            </w:r>
            <w:r w:rsidRPr="00317ABF">
              <w:rPr>
                <w:rFonts w:ascii="Times New Roman" w:hAnsi="Times New Roman" w:cs="Times New Roman"/>
                <w:sz w:val="22"/>
                <w:szCs w:val="22"/>
              </w:rPr>
              <w:t>Klauzula ta zastępuje pouczenie organu uprawnionego do odebrania oświadczenia o odpowiedzialności karnej za złożenie fałszywego oświadczenia.</w:t>
            </w:r>
          </w:p>
          <w:p w14:paraId="55A9D2E4" w14:textId="77777777" w:rsidR="001E1112" w:rsidRPr="00317ABF" w:rsidRDefault="001E1112" w:rsidP="001C6C02">
            <w:pPr>
              <w:pStyle w:val="ARTartustawynprozporzdzenia"/>
              <w:keepNext/>
              <w:spacing w:before="0" w:line="240" w:lineRule="auto"/>
              <w:rPr>
                <w:rFonts w:ascii="Times New Roman" w:hAnsi="Times New Roman" w:cs="Times New Roman"/>
                <w:sz w:val="22"/>
                <w:szCs w:val="22"/>
              </w:rPr>
            </w:pPr>
            <w:r w:rsidRPr="00317ABF">
              <w:rPr>
                <w:rStyle w:val="Ppogrubienie"/>
                <w:rFonts w:ascii="Times New Roman" w:eastAsia="Times" w:hAnsi="Times New Roman"/>
                <w:sz w:val="22"/>
                <w:szCs w:val="22"/>
              </w:rPr>
              <w:t>Art.</w:t>
            </w:r>
            <w:r w:rsidR="001C6C02" w:rsidRPr="00317ABF">
              <w:rPr>
                <w:rStyle w:val="Ppogrubienie"/>
                <w:rFonts w:ascii="Times New Roman" w:hAnsi="Times New Roman"/>
                <w:sz w:val="22"/>
                <w:szCs w:val="22"/>
              </w:rPr>
              <w:t> 117.</w:t>
            </w:r>
            <w:r w:rsidRPr="00317ABF">
              <w:rPr>
                <w:rFonts w:ascii="Times New Roman" w:eastAsia="Times" w:hAnsi="Times New Roman" w:cs="Times New Roman"/>
                <w:sz w:val="22"/>
                <w:szCs w:val="22"/>
              </w:rPr>
              <w:t xml:space="preserve"> 1. Kryteriami oceny ofert w przetargu są:</w:t>
            </w:r>
          </w:p>
          <w:p w14:paraId="70AA70FC" w14:textId="77777777" w:rsidR="001C6C02" w:rsidRPr="00317ABF" w:rsidRDefault="001C6C02" w:rsidP="001C6C02">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1)</w:t>
            </w:r>
            <w:r w:rsidRPr="00317ABF">
              <w:rPr>
                <w:rFonts w:ascii="Times New Roman" w:hAnsi="Times New Roman" w:cs="Times New Roman"/>
                <w:sz w:val="22"/>
                <w:szCs w:val="22"/>
              </w:rPr>
              <w:tab/>
              <w:t>zachowanie warunków konkurencji;</w:t>
            </w:r>
          </w:p>
          <w:p w14:paraId="55BD74CC" w14:textId="77777777" w:rsidR="001C6C02" w:rsidRPr="00317ABF" w:rsidRDefault="001C6C02" w:rsidP="001C6C02">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2)</w:t>
            </w:r>
            <w:r w:rsidRPr="00317ABF">
              <w:rPr>
                <w:rFonts w:ascii="Times New Roman" w:hAnsi="Times New Roman" w:cs="Times New Roman"/>
                <w:sz w:val="22"/>
                <w:szCs w:val="22"/>
              </w:rPr>
              <w:tab/>
              <w:t>wysokość kwoty zadeklarowanej przez uczestnika przetargu;</w:t>
            </w:r>
          </w:p>
          <w:p w14:paraId="758A4A8C" w14:textId="77777777" w:rsidR="001E1112" w:rsidRPr="00317ABF" w:rsidRDefault="001E1112" w:rsidP="001C6C02">
            <w:pPr>
              <w:pStyle w:val="PKTpunkt0"/>
              <w:spacing w:line="240" w:lineRule="auto"/>
              <w:rPr>
                <w:rFonts w:ascii="Times New Roman" w:hAnsi="Times New Roman" w:cs="Times New Roman"/>
                <w:sz w:val="22"/>
                <w:szCs w:val="22"/>
              </w:rPr>
            </w:pPr>
            <w:r w:rsidRPr="00317ABF">
              <w:rPr>
                <w:rFonts w:ascii="Times New Roman" w:eastAsia="Times" w:hAnsi="Times New Roman" w:cs="Times New Roman"/>
                <w:sz w:val="22"/>
                <w:szCs w:val="22"/>
              </w:rPr>
              <w:t>3)</w:t>
            </w:r>
            <w:r w:rsidR="001C6C02" w:rsidRPr="00317ABF">
              <w:rPr>
                <w:rFonts w:ascii="Times New Roman" w:hAnsi="Times New Roman" w:cs="Times New Roman"/>
                <w:sz w:val="22"/>
                <w:szCs w:val="22"/>
              </w:rPr>
              <w:tab/>
            </w:r>
            <w:r w:rsidRPr="00317ABF">
              <w:rPr>
                <w:rFonts w:ascii="Times New Roman" w:eastAsia="Times" w:hAnsi="Times New Roman" w:cs="Times New Roman"/>
                <w:sz w:val="22"/>
                <w:szCs w:val="22"/>
              </w:rPr>
              <w:t>inne niż określone w pkt 1 i 2 obiektywne kryteria, jeżeli zostały zamieszczone w dokumentacji.</w:t>
            </w:r>
          </w:p>
          <w:p w14:paraId="0C3A4AA8" w14:textId="77777777" w:rsidR="001E1112" w:rsidRPr="00317ABF" w:rsidRDefault="001E1112" w:rsidP="001C6C02">
            <w:pPr>
              <w:pStyle w:val="USTustnpkodeksu"/>
              <w:spacing w:line="240" w:lineRule="auto"/>
              <w:rPr>
                <w:rFonts w:ascii="Times New Roman" w:hAnsi="Times New Roman" w:cs="Times New Roman"/>
                <w:sz w:val="22"/>
                <w:szCs w:val="22"/>
              </w:rPr>
            </w:pPr>
            <w:r w:rsidRPr="00317ABF">
              <w:rPr>
                <w:rFonts w:ascii="Times New Roman" w:eastAsia="Times" w:hAnsi="Times New Roman" w:cs="Times New Roman"/>
                <w:sz w:val="22"/>
                <w:szCs w:val="22"/>
              </w:rPr>
              <w:t xml:space="preserve">2. Prezes UKE, spośród kryteriów, o których mowa w ust. 1 pkt 1 i 2, dokonuje w dokumentacji wyboru najistotniejszego kryterium oceny ofert w przetargu, mając na uwadze cele </w:t>
            </w:r>
            <w:r w:rsidR="001C6C02" w:rsidRPr="00317ABF">
              <w:rPr>
                <w:rFonts w:ascii="Times New Roman" w:hAnsi="Times New Roman" w:cs="Times New Roman"/>
                <w:sz w:val="22"/>
                <w:szCs w:val="22"/>
              </w:rPr>
              <w:t>polityki regulacyjnej</w:t>
            </w:r>
            <w:r w:rsidRPr="00317ABF">
              <w:rPr>
                <w:rFonts w:ascii="Times New Roman" w:eastAsia="Times" w:hAnsi="Times New Roman" w:cs="Times New Roman"/>
                <w:sz w:val="22"/>
                <w:szCs w:val="22"/>
              </w:rPr>
              <w:t xml:space="preserve"> i stan konkurencji na rynku.</w:t>
            </w:r>
          </w:p>
          <w:p w14:paraId="3A0A6715" w14:textId="02235D95" w:rsidR="001E1112" w:rsidRPr="00317ABF" w:rsidRDefault="001E1112" w:rsidP="001C6C02">
            <w:pPr>
              <w:pStyle w:val="USTustnpkodeksu"/>
              <w:spacing w:line="240" w:lineRule="auto"/>
              <w:rPr>
                <w:rFonts w:ascii="Times New Roman" w:hAnsi="Times New Roman" w:cs="Times New Roman"/>
                <w:sz w:val="22"/>
                <w:szCs w:val="22"/>
              </w:rPr>
            </w:pPr>
            <w:r w:rsidRPr="00317ABF">
              <w:rPr>
                <w:rFonts w:ascii="Times New Roman" w:eastAsia="Times" w:hAnsi="Times New Roman" w:cs="Times New Roman"/>
                <w:sz w:val="22"/>
                <w:szCs w:val="22"/>
              </w:rPr>
              <w:lastRenderedPageBreak/>
              <w:t>3. Kryterium oceny ofert w ramach aukcji jest wysokość kwoty zadeklarowanej przez uczestnika aukcji.</w:t>
            </w:r>
          </w:p>
          <w:p w14:paraId="622914FC" w14:textId="267EB6CD" w:rsidR="001E1112" w:rsidRPr="00317ABF" w:rsidRDefault="001E1112" w:rsidP="001C6C02">
            <w:pPr>
              <w:pStyle w:val="USTustnpkodeksu"/>
              <w:keepNext/>
              <w:spacing w:line="240" w:lineRule="auto"/>
              <w:rPr>
                <w:rFonts w:ascii="Times New Roman" w:hAnsi="Times New Roman" w:cs="Times New Roman"/>
                <w:sz w:val="22"/>
                <w:szCs w:val="22"/>
              </w:rPr>
            </w:pPr>
            <w:r w:rsidRPr="00317ABF">
              <w:rPr>
                <w:rFonts w:ascii="Times New Roman" w:eastAsia="Times" w:hAnsi="Times New Roman" w:cs="Times New Roman"/>
                <w:sz w:val="22"/>
                <w:szCs w:val="22"/>
              </w:rPr>
              <w:t>4. Kryteriami oceny ofert w konkursie są:</w:t>
            </w:r>
          </w:p>
          <w:p w14:paraId="47799DD0" w14:textId="77777777" w:rsidR="001C6C02" w:rsidRPr="00317ABF" w:rsidRDefault="001C6C02" w:rsidP="001C6C02">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1)</w:t>
            </w:r>
            <w:r w:rsidRPr="00317ABF">
              <w:rPr>
                <w:rFonts w:ascii="Times New Roman" w:hAnsi="Times New Roman" w:cs="Times New Roman"/>
                <w:sz w:val="22"/>
                <w:szCs w:val="22"/>
              </w:rPr>
              <w:tab/>
              <w:t>zachowanie warunków konkurencji;</w:t>
            </w:r>
          </w:p>
          <w:p w14:paraId="1B571186" w14:textId="77777777" w:rsidR="001E1112" w:rsidRPr="00317ABF" w:rsidRDefault="001E1112" w:rsidP="001C6C02">
            <w:pPr>
              <w:pStyle w:val="PKTpunkt0"/>
              <w:spacing w:line="240" w:lineRule="auto"/>
              <w:rPr>
                <w:rFonts w:ascii="Times New Roman" w:hAnsi="Times New Roman" w:cs="Times New Roman"/>
                <w:sz w:val="22"/>
                <w:szCs w:val="22"/>
              </w:rPr>
            </w:pPr>
            <w:r w:rsidRPr="00317ABF">
              <w:rPr>
                <w:rFonts w:ascii="Times New Roman" w:eastAsia="Times" w:hAnsi="Times New Roman" w:cs="Times New Roman"/>
                <w:sz w:val="22"/>
                <w:szCs w:val="22"/>
              </w:rPr>
              <w:t>2)</w:t>
            </w:r>
            <w:r w:rsidR="001C6C02" w:rsidRPr="00317ABF">
              <w:rPr>
                <w:rFonts w:ascii="Times New Roman" w:hAnsi="Times New Roman" w:cs="Times New Roman"/>
                <w:sz w:val="22"/>
                <w:szCs w:val="22"/>
              </w:rPr>
              <w:tab/>
            </w:r>
            <w:r w:rsidRPr="00317ABF">
              <w:rPr>
                <w:rFonts w:ascii="Times New Roman" w:eastAsia="Times" w:hAnsi="Times New Roman" w:cs="Times New Roman"/>
                <w:sz w:val="22"/>
                <w:szCs w:val="22"/>
              </w:rPr>
              <w:t>inne niż określone w pkt 1 obiektywne kryteria, jeżeli zostały zamieszczone w dokumentacji.</w:t>
            </w:r>
          </w:p>
          <w:p w14:paraId="35A442DE" w14:textId="77777777" w:rsidR="001E1112" w:rsidRPr="00317ABF" w:rsidRDefault="001E1112" w:rsidP="001C6C02">
            <w:pPr>
              <w:pStyle w:val="USTustnpkodeksu"/>
              <w:spacing w:line="240" w:lineRule="auto"/>
              <w:rPr>
                <w:rFonts w:ascii="Times New Roman" w:hAnsi="Times New Roman" w:cs="Times New Roman"/>
                <w:sz w:val="22"/>
                <w:szCs w:val="22"/>
              </w:rPr>
            </w:pPr>
            <w:r w:rsidRPr="00317ABF">
              <w:rPr>
                <w:rFonts w:ascii="Times New Roman" w:eastAsia="Times" w:hAnsi="Times New Roman" w:cs="Times New Roman"/>
                <w:sz w:val="22"/>
                <w:szCs w:val="22"/>
              </w:rPr>
              <w:t xml:space="preserve">5. W przypadku określenia w dokumentacji konkursowej więcej niż jednego kryterium oceny ofert, Prezes UKE dokonuje wyboru najistotniejszego kryterium oceny ofert, mając na uwadze cele </w:t>
            </w:r>
            <w:r w:rsidR="001C6C02" w:rsidRPr="00317ABF">
              <w:rPr>
                <w:rFonts w:ascii="Times New Roman" w:hAnsi="Times New Roman" w:cs="Times New Roman"/>
                <w:sz w:val="22"/>
                <w:szCs w:val="22"/>
              </w:rPr>
              <w:t>polityki regulacyjnej</w:t>
            </w:r>
            <w:r w:rsidRPr="00317ABF">
              <w:rPr>
                <w:rFonts w:ascii="Times New Roman" w:eastAsia="Times" w:hAnsi="Times New Roman" w:cs="Times New Roman"/>
                <w:sz w:val="22"/>
                <w:szCs w:val="22"/>
              </w:rPr>
              <w:t xml:space="preserve"> i stan konkurencji na rynku.</w:t>
            </w:r>
          </w:p>
          <w:p w14:paraId="568BD35C" w14:textId="51BECE44" w:rsidR="001E1112" w:rsidRPr="00317ABF" w:rsidRDefault="001E1112" w:rsidP="00DB3BEC">
            <w:pPr>
              <w:jc w:val="both"/>
              <w:rPr>
                <w:sz w:val="22"/>
                <w:szCs w:val="22"/>
              </w:rPr>
            </w:pPr>
            <w:r w:rsidRPr="00317ABF">
              <w:rPr>
                <w:sz w:val="22"/>
                <w:szCs w:val="22"/>
              </w:rPr>
              <w:t>6. W sprawie zachowania warunków konkurencji, o których mowa w ust. 1 pkt 1 i ust. 4 pkt 1, Prezes UKE zasięga opinii Prezesa UOKiK.</w:t>
            </w:r>
          </w:p>
        </w:tc>
      </w:tr>
      <w:tr w:rsidR="001E1112" w:rsidRPr="00317ABF" w14:paraId="597AA170" w14:textId="77777777" w:rsidTr="7753F98D">
        <w:trPr>
          <w:gridAfter w:val="2"/>
          <w:wAfter w:w="175" w:type="dxa"/>
        </w:trPr>
        <w:tc>
          <w:tcPr>
            <w:tcW w:w="704" w:type="dxa"/>
          </w:tcPr>
          <w:p w14:paraId="768A85C9" w14:textId="77777777" w:rsidR="001E1112" w:rsidRPr="00317ABF" w:rsidRDefault="001E1112" w:rsidP="00DB3BEC">
            <w:pPr>
              <w:jc w:val="both"/>
              <w:rPr>
                <w:sz w:val="22"/>
                <w:szCs w:val="22"/>
              </w:rPr>
            </w:pPr>
            <w:r w:rsidRPr="00317ABF">
              <w:rPr>
                <w:sz w:val="22"/>
                <w:szCs w:val="22"/>
              </w:rPr>
              <w:lastRenderedPageBreak/>
              <w:t>Art. 48 ust. 5</w:t>
            </w:r>
          </w:p>
        </w:tc>
        <w:tc>
          <w:tcPr>
            <w:tcW w:w="4308" w:type="dxa"/>
          </w:tcPr>
          <w:p w14:paraId="30B3CF4D" w14:textId="77777777" w:rsidR="001E1112" w:rsidRPr="00317ABF" w:rsidRDefault="001E1112" w:rsidP="00DB3BEC">
            <w:pPr>
              <w:spacing w:before="120"/>
              <w:jc w:val="both"/>
              <w:rPr>
                <w:sz w:val="22"/>
                <w:szCs w:val="22"/>
              </w:rPr>
            </w:pPr>
            <w:r w:rsidRPr="00317ABF">
              <w:rPr>
                <w:sz w:val="22"/>
                <w:szCs w:val="22"/>
              </w:rPr>
              <w:t>5.   Przyznając indywidualne prawa użytkowania widma radiowego, państwa członkowskie określają, czy prawa te mogą być przekazane lub wydzierżawione przez posiadacza prawa i na jakich warunkach. Zastosowanie ma art. 45 i 51.</w:t>
            </w:r>
          </w:p>
        </w:tc>
        <w:tc>
          <w:tcPr>
            <w:tcW w:w="986" w:type="dxa"/>
          </w:tcPr>
          <w:p w14:paraId="3B952D13" w14:textId="6DBC378D" w:rsidR="001E1112" w:rsidRPr="00317ABF" w:rsidRDefault="001E1112" w:rsidP="00DB3BEC">
            <w:pPr>
              <w:jc w:val="both"/>
              <w:rPr>
                <w:sz w:val="22"/>
                <w:szCs w:val="22"/>
              </w:rPr>
            </w:pPr>
            <w:r w:rsidRPr="00317ABF">
              <w:rPr>
                <w:sz w:val="22"/>
                <w:szCs w:val="22"/>
              </w:rPr>
              <w:t>T</w:t>
            </w:r>
          </w:p>
        </w:tc>
        <w:tc>
          <w:tcPr>
            <w:tcW w:w="910" w:type="dxa"/>
          </w:tcPr>
          <w:p w14:paraId="34E17C33" w14:textId="2FD56FD2" w:rsidR="001E1112" w:rsidRPr="00317ABF" w:rsidRDefault="001E1112" w:rsidP="00DB3BEC">
            <w:pPr>
              <w:pStyle w:val="Tekstpodstawowy"/>
              <w:rPr>
                <w:b/>
                <w:bCs/>
                <w:noProof/>
                <w:sz w:val="22"/>
                <w:szCs w:val="22"/>
              </w:rPr>
            </w:pPr>
            <w:r w:rsidRPr="00317ABF">
              <w:rPr>
                <w:b/>
                <w:bCs/>
                <w:noProof/>
                <w:sz w:val="22"/>
                <w:szCs w:val="22"/>
              </w:rPr>
              <w:t xml:space="preserve">Art. </w:t>
            </w:r>
            <w:r w:rsidR="001C6C02" w:rsidRPr="00317ABF">
              <w:rPr>
                <w:b/>
                <w:bCs/>
                <w:noProof/>
                <w:sz w:val="22"/>
                <w:szCs w:val="22"/>
              </w:rPr>
              <w:t>96 ust. 1</w:t>
            </w:r>
          </w:p>
        </w:tc>
        <w:tc>
          <w:tcPr>
            <w:tcW w:w="6814" w:type="dxa"/>
            <w:gridSpan w:val="2"/>
          </w:tcPr>
          <w:p w14:paraId="1474F3CF" w14:textId="77777777" w:rsidR="001C6C02" w:rsidRPr="00317ABF" w:rsidRDefault="001E1112" w:rsidP="001C6C02">
            <w:pPr>
              <w:pStyle w:val="ARTartustawynprozporzdzenia"/>
              <w:spacing w:line="240" w:lineRule="auto"/>
              <w:ind w:firstLine="0"/>
              <w:rPr>
                <w:rFonts w:ascii="Times New Roman" w:hAnsi="Times New Roman" w:cs="Times New Roman"/>
                <w:sz w:val="22"/>
                <w:szCs w:val="22"/>
              </w:rPr>
            </w:pPr>
            <w:r w:rsidRPr="00317ABF">
              <w:rPr>
                <w:rStyle w:val="Ppogrubienie"/>
                <w:rFonts w:ascii="Times New Roman" w:hAnsi="Times New Roman"/>
                <w:sz w:val="22"/>
                <w:szCs w:val="22"/>
              </w:rPr>
              <w:t>Art.</w:t>
            </w:r>
            <w:r w:rsidR="001C6C02" w:rsidRPr="00317ABF">
              <w:rPr>
                <w:rStyle w:val="Ppogrubienie"/>
                <w:rFonts w:ascii="Times New Roman" w:hAnsi="Times New Roman"/>
                <w:sz w:val="22"/>
                <w:szCs w:val="22"/>
              </w:rPr>
              <w:t> 96</w:t>
            </w:r>
            <w:r w:rsidRPr="00317ABF">
              <w:rPr>
                <w:rStyle w:val="Ppogrubienie"/>
                <w:rFonts w:ascii="Times New Roman" w:hAnsi="Times New Roman"/>
                <w:sz w:val="22"/>
                <w:szCs w:val="22"/>
              </w:rPr>
              <w:t>.</w:t>
            </w:r>
            <w:r w:rsidRPr="00317ABF">
              <w:rPr>
                <w:rFonts w:ascii="Times New Roman" w:hAnsi="Times New Roman" w:cs="Times New Roman"/>
                <w:sz w:val="22"/>
                <w:szCs w:val="22"/>
              </w:rPr>
              <w:t xml:space="preserve"> 1. Podmiot dysponujący rezerwacją częstotliwości, może wydzierżawić lub przekazać do użytkowania na podstawie innego tytułu prawnego częstotliwości objęte rezerwacją, na rzecz innego podmiotu.</w:t>
            </w:r>
          </w:p>
          <w:p w14:paraId="30FDBAE7" w14:textId="5F59D609" w:rsidR="001E1112" w:rsidRPr="00317ABF" w:rsidRDefault="001E1112" w:rsidP="00DB3BEC">
            <w:pPr>
              <w:jc w:val="both"/>
              <w:rPr>
                <w:sz w:val="22"/>
                <w:szCs w:val="22"/>
              </w:rPr>
            </w:pPr>
          </w:p>
        </w:tc>
      </w:tr>
      <w:tr w:rsidR="001E1112" w:rsidRPr="00317ABF" w14:paraId="6EFCB6C0" w14:textId="77777777" w:rsidTr="7753F98D">
        <w:trPr>
          <w:gridAfter w:val="2"/>
          <w:wAfter w:w="175" w:type="dxa"/>
        </w:trPr>
        <w:tc>
          <w:tcPr>
            <w:tcW w:w="704" w:type="dxa"/>
          </w:tcPr>
          <w:p w14:paraId="4ABF111D" w14:textId="77777777" w:rsidR="001E1112" w:rsidRPr="00317ABF" w:rsidRDefault="001E1112" w:rsidP="00DB3BEC">
            <w:pPr>
              <w:jc w:val="both"/>
              <w:rPr>
                <w:sz w:val="22"/>
                <w:szCs w:val="22"/>
              </w:rPr>
            </w:pPr>
            <w:r w:rsidRPr="00317ABF">
              <w:rPr>
                <w:sz w:val="22"/>
                <w:szCs w:val="22"/>
              </w:rPr>
              <w:t>Art. 48 ust. 6</w:t>
            </w:r>
          </w:p>
        </w:tc>
        <w:tc>
          <w:tcPr>
            <w:tcW w:w="4308" w:type="dxa"/>
          </w:tcPr>
          <w:p w14:paraId="3E21953E" w14:textId="77777777" w:rsidR="001E1112" w:rsidRPr="00317ABF" w:rsidRDefault="001E1112" w:rsidP="00DB3BEC">
            <w:pPr>
              <w:spacing w:before="120"/>
              <w:jc w:val="both"/>
              <w:rPr>
                <w:sz w:val="22"/>
                <w:szCs w:val="22"/>
              </w:rPr>
            </w:pPr>
            <w:r w:rsidRPr="00317ABF">
              <w:rPr>
                <w:sz w:val="22"/>
                <w:szCs w:val="22"/>
              </w:rPr>
              <w:t>6.   Właściwy organ podejmuje, ogłasza i podaje do wiadomości publicznej decyzje dotyczące przyznawania indywidualnych praw użytkowania widma radiowego jak najszybciej po wpłynięciu do niego kompletnej dokumentacji wniosku i w terminie sześciu tygodni w przypadku widma radiowego, które uznano za dostępne na potrzeby usług łączności elektronicznej w danym krajowym planie przeznaczenia częstotliwości. Ten termin pozostaje bez uszczerbku dla art. 55 ust. 7 i dla obowiązujących postanowień umów międzynarodowych dotyczących wykorzystania widma radiowego lub pozycji orbitalnych.</w:t>
            </w:r>
          </w:p>
        </w:tc>
        <w:tc>
          <w:tcPr>
            <w:tcW w:w="986" w:type="dxa"/>
          </w:tcPr>
          <w:p w14:paraId="19229553" w14:textId="7609E5DB" w:rsidR="001E1112" w:rsidRPr="00317ABF" w:rsidRDefault="001E1112" w:rsidP="00DB3BEC">
            <w:pPr>
              <w:jc w:val="both"/>
              <w:rPr>
                <w:sz w:val="22"/>
                <w:szCs w:val="22"/>
              </w:rPr>
            </w:pPr>
            <w:r w:rsidRPr="00317ABF">
              <w:rPr>
                <w:sz w:val="22"/>
                <w:szCs w:val="22"/>
              </w:rPr>
              <w:t>T</w:t>
            </w:r>
          </w:p>
        </w:tc>
        <w:tc>
          <w:tcPr>
            <w:tcW w:w="910" w:type="dxa"/>
          </w:tcPr>
          <w:p w14:paraId="4B3B8776" w14:textId="653EF40E" w:rsidR="001E1112" w:rsidRPr="00317ABF" w:rsidRDefault="00DB3BEC" w:rsidP="00DB3BEC">
            <w:pPr>
              <w:pStyle w:val="Tekstpodstawowy"/>
              <w:rPr>
                <w:b/>
                <w:bCs/>
                <w:noProof/>
                <w:sz w:val="22"/>
                <w:szCs w:val="22"/>
              </w:rPr>
            </w:pPr>
            <w:r w:rsidRPr="00317ABF">
              <w:rPr>
                <w:b/>
                <w:bCs/>
                <w:noProof/>
                <w:sz w:val="22"/>
                <w:szCs w:val="22"/>
              </w:rPr>
              <w:t xml:space="preserve">Art. </w:t>
            </w:r>
            <w:r w:rsidR="00AC2B9F" w:rsidRPr="00317ABF">
              <w:rPr>
                <w:b/>
                <w:bCs/>
                <w:noProof/>
                <w:sz w:val="22"/>
                <w:szCs w:val="22"/>
              </w:rPr>
              <w:t>82</w:t>
            </w:r>
          </w:p>
          <w:p w14:paraId="32711FD0" w14:textId="31FB17E1" w:rsidR="00EE3DC9" w:rsidRPr="00317ABF" w:rsidRDefault="00EE3DC9" w:rsidP="00DB3BEC">
            <w:pPr>
              <w:pStyle w:val="Tekstpodstawowy"/>
              <w:rPr>
                <w:b/>
                <w:bCs/>
                <w:noProof/>
                <w:sz w:val="22"/>
                <w:szCs w:val="22"/>
              </w:rPr>
            </w:pPr>
          </w:p>
          <w:p w14:paraId="78C4D3B7" w14:textId="77777777" w:rsidR="00EE3DC9" w:rsidRPr="00317ABF" w:rsidRDefault="00EE3DC9" w:rsidP="00DB3BEC">
            <w:pPr>
              <w:pStyle w:val="Tekstpodstawowy"/>
              <w:rPr>
                <w:b/>
                <w:bCs/>
                <w:noProof/>
                <w:sz w:val="22"/>
                <w:szCs w:val="22"/>
              </w:rPr>
            </w:pPr>
          </w:p>
          <w:p w14:paraId="1F163670" w14:textId="77777777" w:rsidR="00EE3DC9" w:rsidRPr="00317ABF" w:rsidRDefault="00EE3DC9" w:rsidP="00DB3BEC">
            <w:pPr>
              <w:pStyle w:val="Tekstpodstawowy"/>
              <w:rPr>
                <w:b/>
                <w:bCs/>
                <w:noProof/>
                <w:sz w:val="22"/>
                <w:szCs w:val="22"/>
              </w:rPr>
            </w:pPr>
          </w:p>
          <w:p w14:paraId="2CA0596B" w14:textId="77777777" w:rsidR="00EE3DC9" w:rsidRPr="00317ABF" w:rsidRDefault="00EE3DC9" w:rsidP="00DB3BEC">
            <w:pPr>
              <w:pStyle w:val="Tekstpodstawowy"/>
              <w:rPr>
                <w:b/>
                <w:bCs/>
                <w:noProof/>
                <w:sz w:val="22"/>
                <w:szCs w:val="22"/>
              </w:rPr>
            </w:pPr>
          </w:p>
          <w:p w14:paraId="3B0D7D70" w14:textId="77777777" w:rsidR="00EE3DC9" w:rsidRPr="00317ABF" w:rsidRDefault="00EE3DC9" w:rsidP="00DB3BEC">
            <w:pPr>
              <w:pStyle w:val="Tekstpodstawowy"/>
              <w:rPr>
                <w:b/>
                <w:bCs/>
                <w:noProof/>
                <w:sz w:val="22"/>
                <w:szCs w:val="22"/>
              </w:rPr>
            </w:pPr>
          </w:p>
          <w:p w14:paraId="5A30F494" w14:textId="77777777" w:rsidR="00EE3DC9" w:rsidRPr="00317ABF" w:rsidRDefault="00EE3DC9" w:rsidP="00DB3BEC">
            <w:pPr>
              <w:pStyle w:val="Tekstpodstawowy"/>
              <w:rPr>
                <w:b/>
                <w:bCs/>
                <w:noProof/>
                <w:sz w:val="22"/>
                <w:szCs w:val="22"/>
              </w:rPr>
            </w:pPr>
          </w:p>
          <w:p w14:paraId="26C647AF" w14:textId="77777777" w:rsidR="00EE3DC9" w:rsidRPr="00317ABF" w:rsidRDefault="00EE3DC9" w:rsidP="00DB3BEC">
            <w:pPr>
              <w:pStyle w:val="Tekstpodstawowy"/>
              <w:rPr>
                <w:b/>
                <w:bCs/>
                <w:noProof/>
                <w:sz w:val="22"/>
                <w:szCs w:val="22"/>
              </w:rPr>
            </w:pPr>
          </w:p>
          <w:p w14:paraId="4BB74EAD" w14:textId="77777777" w:rsidR="00EE3DC9" w:rsidRPr="00317ABF" w:rsidRDefault="00EE3DC9" w:rsidP="00DB3BEC">
            <w:pPr>
              <w:pStyle w:val="Tekstpodstawowy"/>
              <w:rPr>
                <w:b/>
                <w:bCs/>
                <w:noProof/>
                <w:sz w:val="22"/>
                <w:szCs w:val="22"/>
              </w:rPr>
            </w:pPr>
          </w:p>
          <w:p w14:paraId="1CD49EBF" w14:textId="5E85D079" w:rsidR="00EE3DC9" w:rsidRPr="00317ABF" w:rsidRDefault="00EE3DC9" w:rsidP="00DB3BEC">
            <w:pPr>
              <w:pStyle w:val="Tekstpodstawowy"/>
              <w:rPr>
                <w:b/>
                <w:bCs/>
                <w:noProof/>
                <w:sz w:val="22"/>
                <w:szCs w:val="22"/>
              </w:rPr>
            </w:pPr>
            <w:r w:rsidRPr="00317ABF">
              <w:rPr>
                <w:b/>
                <w:bCs/>
                <w:noProof/>
                <w:sz w:val="22"/>
                <w:szCs w:val="22"/>
              </w:rPr>
              <w:t>Art. 132</w:t>
            </w:r>
          </w:p>
          <w:p w14:paraId="786123B6" w14:textId="7AD0675E" w:rsidR="001E1112" w:rsidRPr="00317ABF" w:rsidRDefault="001E1112" w:rsidP="00DB3BEC">
            <w:pPr>
              <w:pStyle w:val="Tekstpodstawowy"/>
              <w:rPr>
                <w:b/>
                <w:bCs/>
                <w:noProof/>
                <w:sz w:val="22"/>
                <w:szCs w:val="22"/>
              </w:rPr>
            </w:pPr>
          </w:p>
          <w:p w14:paraId="1C036736" w14:textId="135F9EAE" w:rsidR="001E1112" w:rsidRPr="00317ABF" w:rsidRDefault="001E1112" w:rsidP="00DB3BEC">
            <w:pPr>
              <w:pStyle w:val="Tekstpodstawowy"/>
              <w:rPr>
                <w:b/>
                <w:bCs/>
                <w:noProof/>
                <w:sz w:val="22"/>
                <w:szCs w:val="22"/>
              </w:rPr>
            </w:pPr>
          </w:p>
          <w:p w14:paraId="32D5B2CE" w14:textId="23E397E1" w:rsidR="001E1112" w:rsidRPr="00317ABF" w:rsidRDefault="001E1112" w:rsidP="00DB3BEC">
            <w:pPr>
              <w:pStyle w:val="Tekstpodstawowy"/>
              <w:rPr>
                <w:b/>
                <w:bCs/>
                <w:noProof/>
                <w:sz w:val="22"/>
                <w:szCs w:val="22"/>
              </w:rPr>
            </w:pPr>
          </w:p>
          <w:p w14:paraId="2B545F4C" w14:textId="60AFE85C" w:rsidR="001E1112" w:rsidRPr="00317ABF" w:rsidRDefault="001E1112" w:rsidP="00DB3BEC">
            <w:pPr>
              <w:pStyle w:val="Tekstpodstawowy"/>
              <w:rPr>
                <w:b/>
                <w:bCs/>
                <w:noProof/>
                <w:sz w:val="22"/>
                <w:szCs w:val="22"/>
              </w:rPr>
            </w:pPr>
          </w:p>
          <w:p w14:paraId="6F910B9D" w14:textId="654D2449" w:rsidR="001E1112" w:rsidRPr="00317ABF" w:rsidRDefault="001E1112" w:rsidP="00DB3BEC">
            <w:pPr>
              <w:pStyle w:val="Tekstpodstawowy"/>
              <w:rPr>
                <w:b/>
                <w:bCs/>
                <w:noProof/>
                <w:sz w:val="22"/>
                <w:szCs w:val="22"/>
              </w:rPr>
            </w:pPr>
          </w:p>
          <w:p w14:paraId="670B48C9" w14:textId="3C7F3200" w:rsidR="001E1112" w:rsidRPr="00317ABF" w:rsidRDefault="001E1112" w:rsidP="00DB3BEC">
            <w:pPr>
              <w:pStyle w:val="Tekstpodstawowy"/>
              <w:rPr>
                <w:b/>
                <w:bCs/>
                <w:noProof/>
                <w:sz w:val="22"/>
                <w:szCs w:val="22"/>
              </w:rPr>
            </w:pPr>
          </w:p>
          <w:p w14:paraId="5E9414D4" w14:textId="06A7A4FF" w:rsidR="001E1112" w:rsidRPr="00317ABF" w:rsidRDefault="001E1112" w:rsidP="00DB3BEC">
            <w:pPr>
              <w:pStyle w:val="Tekstpodstawowy"/>
              <w:rPr>
                <w:b/>
                <w:bCs/>
                <w:noProof/>
                <w:sz w:val="22"/>
                <w:szCs w:val="22"/>
              </w:rPr>
            </w:pPr>
          </w:p>
          <w:p w14:paraId="6C4B5D58" w14:textId="7AC5EFEF" w:rsidR="001E1112" w:rsidRPr="00317ABF" w:rsidRDefault="001E1112" w:rsidP="00DB3BEC">
            <w:pPr>
              <w:pStyle w:val="Tekstpodstawowy"/>
              <w:rPr>
                <w:b/>
                <w:bCs/>
                <w:noProof/>
                <w:sz w:val="22"/>
                <w:szCs w:val="22"/>
              </w:rPr>
            </w:pPr>
            <w:r w:rsidRPr="00317ABF">
              <w:rPr>
                <w:b/>
                <w:bCs/>
                <w:noProof/>
                <w:sz w:val="22"/>
                <w:szCs w:val="22"/>
              </w:rPr>
              <w:t xml:space="preserve">Art. </w:t>
            </w:r>
            <w:r w:rsidR="00AC2B9F" w:rsidRPr="00317ABF">
              <w:rPr>
                <w:b/>
                <w:bCs/>
                <w:noProof/>
                <w:sz w:val="22"/>
                <w:szCs w:val="22"/>
              </w:rPr>
              <w:t>138</w:t>
            </w:r>
            <w:r w:rsidRPr="00317ABF">
              <w:rPr>
                <w:b/>
                <w:bCs/>
                <w:noProof/>
                <w:sz w:val="22"/>
                <w:szCs w:val="22"/>
              </w:rPr>
              <w:t xml:space="preserve"> ust. </w:t>
            </w:r>
            <w:r w:rsidR="00AC2B9F" w:rsidRPr="00317ABF">
              <w:rPr>
                <w:b/>
                <w:bCs/>
                <w:noProof/>
                <w:sz w:val="22"/>
                <w:szCs w:val="22"/>
              </w:rPr>
              <w:t xml:space="preserve">7 i </w:t>
            </w:r>
            <w:r w:rsidRPr="00317ABF">
              <w:rPr>
                <w:b/>
                <w:bCs/>
                <w:noProof/>
                <w:sz w:val="22"/>
                <w:szCs w:val="22"/>
              </w:rPr>
              <w:t>8</w:t>
            </w:r>
          </w:p>
        </w:tc>
        <w:tc>
          <w:tcPr>
            <w:tcW w:w="6814" w:type="dxa"/>
            <w:gridSpan w:val="2"/>
          </w:tcPr>
          <w:p w14:paraId="4813930F" w14:textId="77777777" w:rsidR="001E1112" w:rsidRPr="00317ABF" w:rsidRDefault="001E1112" w:rsidP="00AC2B9F">
            <w:pPr>
              <w:pStyle w:val="ARTartustawynprozporzdzenia"/>
              <w:spacing w:before="0" w:line="240" w:lineRule="auto"/>
              <w:ind w:firstLine="0"/>
              <w:rPr>
                <w:rFonts w:ascii="Times New Roman" w:hAnsi="Times New Roman" w:cs="Times New Roman"/>
                <w:sz w:val="22"/>
                <w:szCs w:val="22"/>
              </w:rPr>
            </w:pPr>
            <w:r w:rsidRPr="00317ABF">
              <w:rPr>
                <w:rStyle w:val="Ppogrubienie"/>
                <w:rFonts w:ascii="Times New Roman" w:eastAsia="Times" w:hAnsi="Times New Roman"/>
                <w:sz w:val="22"/>
                <w:szCs w:val="22"/>
              </w:rPr>
              <w:t>Art.</w:t>
            </w:r>
            <w:r w:rsidR="00AC2B9F" w:rsidRPr="00317ABF">
              <w:rPr>
                <w:rStyle w:val="Ppogrubienie"/>
                <w:rFonts w:ascii="Times New Roman" w:hAnsi="Times New Roman"/>
                <w:sz w:val="22"/>
                <w:szCs w:val="22"/>
              </w:rPr>
              <w:t> 82</w:t>
            </w:r>
            <w:r w:rsidRPr="00317ABF">
              <w:rPr>
                <w:rStyle w:val="Ppogrubienie"/>
                <w:rFonts w:ascii="Times New Roman" w:eastAsia="Times" w:hAnsi="Times New Roman"/>
                <w:sz w:val="22"/>
                <w:szCs w:val="22"/>
              </w:rPr>
              <w:t>.</w:t>
            </w:r>
            <w:r w:rsidRPr="00317ABF">
              <w:rPr>
                <w:rFonts w:ascii="Times New Roman" w:eastAsia="Times" w:hAnsi="Times New Roman" w:cs="Times New Roman"/>
                <w:sz w:val="22"/>
                <w:szCs w:val="22"/>
              </w:rPr>
              <w:t xml:space="preserve"> 1. Prezes UKE wydaje decyzję w sprawie rezerwacji częstotliwości w terminie 6 tygodni od dnia złożenia wniosku przez podmiot ubiegający się o rezerwację częstotliwości, z zastrzeżeniem ust. 2.</w:t>
            </w:r>
          </w:p>
          <w:p w14:paraId="2AF2F0EF" w14:textId="00BE16DE" w:rsidR="001E1112" w:rsidRPr="00317ABF" w:rsidRDefault="001E1112" w:rsidP="00AC2B9F">
            <w:pPr>
              <w:pStyle w:val="USTustnpkodeksu"/>
              <w:spacing w:line="240" w:lineRule="auto"/>
              <w:rPr>
                <w:rFonts w:ascii="Times New Roman" w:hAnsi="Times New Roman" w:cs="Times New Roman"/>
                <w:sz w:val="22"/>
                <w:szCs w:val="22"/>
              </w:rPr>
            </w:pPr>
            <w:r w:rsidRPr="00317ABF">
              <w:rPr>
                <w:rFonts w:ascii="Times New Roman" w:hAnsi="Times New Roman" w:cs="Times New Roman"/>
                <w:sz w:val="22"/>
                <w:szCs w:val="22"/>
              </w:rPr>
              <w:t>2. Jeżeli dokonanie rezerwacji częstotliwości wymaga przeprowadzenia postępowania selekcyjnego albo uzgodnień międzynarodowych, Prezes UKE wydaje decyzję w sprawie rezerwacji częstotliwości w terminie 6 tygodni od dnia ogłoszenia wyników postępowania selekcyjnego albo zakończenia uzgodnień międzynarodowych.</w:t>
            </w:r>
          </w:p>
          <w:p w14:paraId="4E9B9EAD" w14:textId="77777777" w:rsidR="00EE3DC9" w:rsidRPr="00317ABF" w:rsidRDefault="00EE3DC9" w:rsidP="00EE3DC9">
            <w:pPr>
              <w:ind w:left="170"/>
              <w:rPr>
                <w:sz w:val="22"/>
                <w:szCs w:val="22"/>
              </w:rPr>
            </w:pPr>
            <w:r w:rsidRPr="00317ABF">
              <w:rPr>
                <w:b/>
                <w:sz w:val="22"/>
                <w:szCs w:val="22"/>
              </w:rPr>
              <w:t>Art. 132</w:t>
            </w:r>
            <w:r w:rsidRPr="00317ABF">
              <w:rPr>
                <w:sz w:val="22"/>
                <w:szCs w:val="22"/>
              </w:rPr>
              <w:t>. 1. Prezes UKE dokonuje przydziału częstotliwości w terminie 6 tygodni od dnia złożenia wniosku przez podmiot ubiegający się o przydział częstotliwości, z zastrzeżeniem ust. 2.</w:t>
            </w:r>
          </w:p>
          <w:p w14:paraId="43234231" w14:textId="77777777" w:rsidR="00EE3DC9" w:rsidRPr="00317ABF" w:rsidRDefault="00EE3DC9" w:rsidP="00EE3DC9">
            <w:pPr>
              <w:pStyle w:val="USTustnpkodeksu"/>
              <w:spacing w:line="240" w:lineRule="auto"/>
              <w:rPr>
                <w:rFonts w:ascii="Times New Roman" w:hAnsi="Times New Roman" w:cs="Times New Roman"/>
                <w:sz w:val="22"/>
                <w:szCs w:val="22"/>
              </w:rPr>
            </w:pPr>
            <w:r w:rsidRPr="00317ABF">
              <w:rPr>
                <w:rFonts w:ascii="Times New Roman" w:hAnsi="Times New Roman" w:cs="Times New Roman"/>
                <w:sz w:val="22"/>
                <w:szCs w:val="22"/>
              </w:rPr>
              <w:t>2. Jeżeli dokonanie przydziału częstotliwości wymaga przeprowadzenia uzgodnień międzynarodowych, Prezes UKE dokonuje przydziału częstotliwości w terminie 6 tygodni od dnia zakończenia uzgodnień międzynarodowych.</w:t>
            </w:r>
          </w:p>
          <w:p w14:paraId="4AA9E68D" w14:textId="77777777" w:rsidR="001E1112" w:rsidRPr="00317ABF" w:rsidRDefault="001E1112" w:rsidP="00DB3BEC">
            <w:pPr>
              <w:jc w:val="both"/>
              <w:rPr>
                <w:sz w:val="22"/>
                <w:szCs w:val="22"/>
              </w:rPr>
            </w:pPr>
          </w:p>
          <w:p w14:paraId="4252F575" w14:textId="77777777" w:rsidR="00AC2B9F" w:rsidRPr="00317ABF" w:rsidRDefault="00AC2B9F" w:rsidP="00AC2B9F">
            <w:pPr>
              <w:pStyle w:val="USTustnpkodeksu"/>
              <w:spacing w:line="240" w:lineRule="auto"/>
              <w:ind w:firstLine="0"/>
              <w:rPr>
                <w:rFonts w:ascii="Times New Roman" w:hAnsi="Times New Roman" w:cs="Times New Roman"/>
                <w:sz w:val="22"/>
                <w:szCs w:val="22"/>
              </w:rPr>
            </w:pPr>
            <w:r w:rsidRPr="00317ABF">
              <w:rPr>
                <w:rFonts w:ascii="Times New Roman" w:hAnsi="Times New Roman" w:cs="Times New Roman"/>
                <w:sz w:val="22"/>
                <w:szCs w:val="22"/>
              </w:rPr>
              <w:t>7</w:t>
            </w:r>
            <w:r w:rsidR="001E1112" w:rsidRPr="00317ABF">
              <w:rPr>
                <w:rFonts w:ascii="Times New Roman" w:hAnsi="Times New Roman" w:cs="Times New Roman"/>
                <w:sz w:val="22"/>
                <w:szCs w:val="22"/>
              </w:rPr>
              <w:t xml:space="preserve">. W przypadku częstotliwości radiowych, których przeznaczenie określono w Krajowej Tablicy Przeznaczeń Częstotliwości lub ustalono w planie </w:t>
            </w:r>
            <w:r w:rsidR="001E1112" w:rsidRPr="00317ABF">
              <w:rPr>
                <w:rFonts w:ascii="Times New Roman" w:hAnsi="Times New Roman" w:cs="Times New Roman"/>
                <w:sz w:val="22"/>
                <w:szCs w:val="22"/>
              </w:rPr>
              <w:lastRenderedPageBreak/>
              <w:t xml:space="preserve">zagospodarowania częstotliwości, decyzja powinna być </w:t>
            </w:r>
            <w:r w:rsidRPr="00317ABF">
              <w:rPr>
                <w:rFonts w:ascii="Times New Roman" w:hAnsi="Times New Roman" w:cs="Times New Roman"/>
                <w:sz w:val="22"/>
                <w:szCs w:val="22"/>
              </w:rPr>
              <w:t>wydana</w:t>
            </w:r>
            <w:r w:rsidR="001E1112" w:rsidRPr="00317ABF">
              <w:rPr>
                <w:rFonts w:ascii="Times New Roman" w:hAnsi="Times New Roman" w:cs="Times New Roman"/>
                <w:sz w:val="22"/>
                <w:szCs w:val="22"/>
              </w:rPr>
              <w:t xml:space="preserve"> w terminie 6 tygodni od dnia złożenia wniosku.</w:t>
            </w:r>
          </w:p>
          <w:p w14:paraId="4EB47F20" w14:textId="16929B6A" w:rsidR="001E1112" w:rsidRPr="00317ABF" w:rsidRDefault="00AC2B9F" w:rsidP="00AC2B9F">
            <w:pPr>
              <w:rPr>
                <w:sz w:val="22"/>
                <w:szCs w:val="22"/>
              </w:rPr>
            </w:pPr>
            <w:r w:rsidRPr="00317ABF">
              <w:rPr>
                <w:sz w:val="22"/>
                <w:szCs w:val="22"/>
              </w:rPr>
              <w:t>8. Przepisu ust. 7 nie stosuje się w przypadkach wymagających uzgodnień międzynarodowych lub wynikających z wiążących Rzeczpospolitą Polską umów międzynarodowych dotyczących użytkowania częstotliwości radiowych lub pozycji orbitalnych.</w:t>
            </w:r>
          </w:p>
        </w:tc>
      </w:tr>
      <w:tr w:rsidR="001E1112" w:rsidRPr="00317ABF" w14:paraId="3C1C4643" w14:textId="77777777" w:rsidTr="7753F98D">
        <w:trPr>
          <w:gridAfter w:val="2"/>
          <w:wAfter w:w="175" w:type="dxa"/>
        </w:trPr>
        <w:tc>
          <w:tcPr>
            <w:tcW w:w="704" w:type="dxa"/>
          </w:tcPr>
          <w:p w14:paraId="25EF3546" w14:textId="77777777" w:rsidR="001E1112" w:rsidRPr="00317ABF" w:rsidRDefault="001E1112" w:rsidP="00DB3BEC">
            <w:pPr>
              <w:jc w:val="both"/>
              <w:rPr>
                <w:b/>
                <w:sz w:val="22"/>
                <w:szCs w:val="22"/>
              </w:rPr>
            </w:pPr>
            <w:r w:rsidRPr="00317ABF">
              <w:rPr>
                <w:b/>
                <w:sz w:val="22"/>
                <w:szCs w:val="22"/>
              </w:rPr>
              <w:lastRenderedPageBreak/>
              <w:t>Art. 49</w:t>
            </w:r>
          </w:p>
        </w:tc>
        <w:tc>
          <w:tcPr>
            <w:tcW w:w="4308" w:type="dxa"/>
          </w:tcPr>
          <w:p w14:paraId="1E4A0ED3" w14:textId="77777777" w:rsidR="001E1112" w:rsidRPr="00317ABF" w:rsidRDefault="001E1112" w:rsidP="00DB3BEC">
            <w:pPr>
              <w:spacing w:before="60" w:after="120"/>
              <w:jc w:val="both"/>
              <w:rPr>
                <w:b/>
                <w:bCs/>
                <w:sz w:val="22"/>
                <w:szCs w:val="22"/>
              </w:rPr>
            </w:pPr>
            <w:r w:rsidRPr="00317ABF">
              <w:rPr>
                <w:b/>
                <w:bCs/>
                <w:sz w:val="22"/>
                <w:szCs w:val="22"/>
              </w:rPr>
              <w:t>Czas obowiązywania praw</w:t>
            </w:r>
          </w:p>
        </w:tc>
        <w:tc>
          <w:tcPr>
            <w:tcW w:w="986" w:type="dxa"/>
          </w:tcPr>
          <w:p w14:paraId="62C602B9" w14:textId="77777777" w:rsidR="001E1112" w:rsidRPr="00317ABF" w:rsidRDefault="001E1112" w:rsidP="00DB3BEC">
            <w:pPr>
              <w:jc w:val="both"/>
              <w:rPr>
                <w:sz w:val="22"/>
                <w:szCs w:val="22"/>
              </w:rPr>
            </w:pPr>
          </w:p>
        </w:tc>
        <w:tc>
          <w:tcPr>
            <w:tcW w:w="910" w:type="dxa"/>
          </w:tcPr>
          <w:p w14:paraId="6B8E78C4" w14:textId="77777777" w:rsidR="001E1112" w:rsidRPr="00317ABF" w:rsidRDefault="001E1112" w:rsidP="00DB3BEC">
            <w:pPr>
              <w:pStyle w:val="Tekstpodstawowy"/>
              <w:rPr>
                <w:b/>
                <w:noProof/>
                <w:sz w:val="22"/>
                <w:szCs w:val="22"/>
              </w:rPr>
            </w:pPr>
          </w:p>
        </w:tc>
        <w:tc>
          <w:tcPr>
            <w:tcW w:w="6814" w:type="dxa"/>
            <w:gridSpan w:val="2"/>
          </w:tcPr>
          <w:p w14:paraId="7536E722" w14:textId="77777777" w:rsidR="001E1112" w:rsidRPr="00317ABF" w:rsidRDefault="001E1112" w:rsidP="00DB3BEC">
            <w:pPr>
              <w:pStyle w:val="Tekstpodstawowy"/>
              <w:rPr>
                <w:sz w:val="22"/>
                <w:szCs w:val="22"/>
              </w:rPr>
            </w:pPr>
          </w:p>
        </w:tc>
      </w:tr>
      <w:tr w:rsidR="001E1112" w:rsidRPr="00317ABF" w14:paraId="751379FF" w14:textId="77777777" w:rsidTr="7753F98D">
        <w:trPr>
          <w:gridAfter w:val="2"/>
          <w:wAfter w:w="175" w:type="dxa"/>
        </w:trPr>
        <w:tc>
          <w:tcPr>
            <w:tcW w:w="704" w:type="dxa"/>
          </w:tcPr>
          <w:p w14:paraId="3294B0C3" w14:textId="77777777" w:rsidR="001E1112" w:rsidRPr="00317ABF" w:rsidRDefault="001E1112" w:rsidP="00DB3BEC">
            <w:pPr>
              <w:jc w:val="both"/>
              <w:rPr>
                <w:sz w:val="22"/>
                <w:szCs w:val="22"/>
              </w:rPr>
            </w:pPr>
            <w:r w:rsidRPr="00317ABF">
              <w:rPr>
                <w:sz w:val="22"/>
                <w:szCs w:val="22"/>
              </w:rPr>
              <w:t>Art. 49 ust. 1</w:t>
            </w:r>
          </w:p>
        </w:tc>
        <w:tc>
          <w:tcPr>
            <w:tcW w:w="4308" w:type="dxa"/>
          </w:tcPr>
          <w:p w14:paraId="5591623B" w14:textId="77777777" w:rsidR="001E1112" w:rsidRPr="00317ABF" w:rsidRDefault="001E1112" w:rsidP="00DB3BEC">
            <w:pPr>
              <w:spacing w:before="120"/>
              <w:jc w:val="both"/>
              <w:rPr>
                <w:sz w:val="22"/>
                <w:szCs w:val="22"/>
              </w:rPr>
            </w:pPr>
            <w:r w:rsidRPr="00317ABF">
              <w:rPr>
                <w:sz w:val="22"/>
                <w:szCs w:val="22"/>
              </w:rPr>
              <w:t>w drodze indywidualnych praw użytkowania na czas określony, zapewniają, aby prawo użytkowania przyznawano na okres, który jest odpowiedni z punktu widzenia zamierzonych celów zgodnie z art. 55 ust. 2, przy odpowiednim uwzględnieniu konieczności zapewnienia konkurencji, a także w szczególności efektywnego i wydajnego użytkowania widma radiowego i wspierania innowacji i skutecznych inwestycji, w tym poprzez dopuszczenie odpowiedniego okresu amortyzacji inwestycji.</w:t>
            </w:r>
          </w:p>
        </w:tc>
        <w:tc>
          <w:tcPr>
            <w:tcW w:w="986" w:type="dxa"/>
          </w:tcPr>
          <w:p w14:paraId="70DB45E9" w14:textId="53451A8D" w:rsidR="001E1112" w:rsidRPr="00317ABF" w:rsidRDefault="001E1112" w:rsidP="00DB3BEC">
            <w:pPr>
              <w:jc w:val="both"/>
              <w:rPr>
                <w:sz w:val="22"/>
                <w:szCs w:val="22"/>
              </w:rPr>
            </w:pPr>
            <w:r w:rsidRPr="00317ABF">
              <w:rPr>
                <w:sz w:val="22"/>
                <w:szCs w:val="22"/>
              </w:rPr>
              <w:t>T</w:t>
            </w:r>
          </w:p>
        </w:tc>
        <w:tc>
          <w:tcPr>
            <w:tcW w:w="910" w:type="dxa"/>
          </w:tcPr>
          <w:p w14:paraId="23CFDA3F" w14:textId="2EF405CB" w:rsidR="001E1112" w:rsidRPr="00317ABF" w:rsidRDefault="00DB3BEC" w:rsidP="00DB3BEC">
            <w:pPr>
              <w:pStyle w:val="Tekstpodstawowy"/>
              <w:rPr>
                <w:b/>
                <w:bCs/>
                <w:noProof/>
                <w:sz w:val="22"/>
                <w:szCs w:val="22"/>
              </w:rPr>
            </w:pPr>
            <w:r w:rsidRPr="00317ABF">
              <w:rPr>
                <w:b/>
                <w:bCs/>
                <w:noProof/>
                <w:sz w:val="22"/>
                <w:szCs w:val="22"/>
              </w:rPr>
              <w:t xml:space="preserve">Art. </w:t>
            </w:r>
            <w:r w:rsidR="00B02A3D" w:rsidRPr="00317ABF">
              <w:rPr>
                <w:b/>
                <w:bCs/>
                <w:noProof/>
                <w:sz w:val="22"/>
                <w:szCs w:val="22"/>
              </w:rPr>
              <w:t>80</w:t>
            </w:r>
            <w:r w:rsidR="001E1112" w:rsidRPr="00317ABF">
              <w:rPr>
                <w:b/>
                <w:bCs/>
                <w:noProof/>
                <w:sz w:val="22"/>
                <w:szCs w:val="22"/>
              </w:rPr>
              <w:t xml:space="preserve"> ust. 2</w:t>
            </w:r>
          </w:p>
        </w:tc>
        <w:tc>
          <w:tcPr>
            <w:tcW w:w="6814" w:type="dxa"/>
            <w:gridSpan w:val="2"/>
          </w:tcPr>
          <w:p w14:paraId="706AF430" w14:textId="5FA21AA6" w:rsidR="001E1112" w:rsidRPr="00317ABF" w:rsidRDefault="001E1112" w:rsidP="00B02A3D">
            <w:pPr>
              <w:pStyle w:val="USTustnpkodeksu"/>
              <w:keepNext/>
              <w:spacing w:line="240" w:lineRule="auto"/>
              <w:ind w:firstLine="0"/>
              <w:rPr>
                <w:rFonts w:ascii="Times New Roman" w:hAnsi="Times New Roman" w:cs="Times New Roman"/>
                <w:sz w:val="22"/>
                <w:szCs w:val="22"/>
              </w:rPr>
            </w:pPr>
            <w:r w:rsidRPr="00317ABF">
              <w:rPr>
                <w:rFonts w:ascii="Times New Roman" w:eastAsia="Times" w:hAnsi="Times New Roman" w:cs="Times New Roman"/>
                <w:sz w:val="22"/>
                <w:szCs w:val="22"/>
              </w:rPr>
              <w:t>2. Prezes UKE, ustalając okres obowiązywania rezerwacji częstotliwości bierze pod uwagę:</w:t>
            </w:r>
          </w:p>
          <w:p w14:paraId="727ADD70" w14:textId="77777777" w:rsidR="00B02A3D" w:rsidRPr="00317ABF" w:rsidRDefault="00B02A3D" w:rsidP="00B02A3D">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1)</w:t>
            </w:r>
            <w:r w:rsidRPr="00317ABF">
              <w:rPr>
                <w:rFonts w:ascii="Times New Roman" w:hAnsi="Times New Roman" w:cs="Times New Roman"/>
                <w:sz w:val="22"/>
                <w:szCs w:val="22"/>
              </w:rPr>
              <w:tab/>
              <w:t>charakter usług świadczonych przez podmiot wnioskujący o rezerwację częstotliwości;</w:t>
            </w:r>
          </w:p>
          <w:p w14:paraId="6E8DFA6F" w14:textId="77777777" w:rsidR="00B02A3D" w:rsidRPr="00317ABF" w:rsidRDefault="00B02A3D" w:rsidP="00B02A3D">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2)</w:t>
            </w:r>
            <w:r w:rsidRPr="00317ABF">
              <w:rPr>
                <w:rFonts w:ascii="Times New Roman" w:hAnsi="Times New Roman" w:cs="Times New Roman"/>
                <w:sz w:val="22"/>
                <w:szCs w:val="22"/>
              </w:rPr>
              <w:tab/>
              <w:t>inwestycje konieczne dla wykorzystywania rezerwowanych częstotliwości, w tym okres ich amortyzacji;</w:t>
            </w:r>
          </w:p>
          <w:p w14:paraId="57CD7221" w14:textId="77777777" w:rsidR="00B02A3D" w:rsidRPr="00317ABF" w:rsidRDefault="00B02A3D" w:rsidP="00B02A3D">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3)</w:t>
            </w:r>
            <w:r w:rsidRPr="00317ABF">
              <w:rPr>
                <w:rFonts w:ascii="Times New Roman" w:hAnsi="Times New Roman" w:cs="Times New Roman"/>
                <w:sz w:val="22"/>
                <w:szCs w:val="22"/>
              </w:rPr>
              <w:tab/>
              <w:t>międzynarodowe kierunki rozwoju wykorzystywania częstotliwości;</w:t>
            </w:r>
          </w:p>
          <w:p w14:paraId="7FA034ED" w14:textId="77777777" w:rsidR="00B02A3D" w:rsidRPr="00317ABF" w:rsidRDefault="00B02A3D" w:rsidP="00B02A3D">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4)</w:t>
            </w:r>
            <w:r w:rsidRPr="00317ABF">
              <w:rPr>
                <w:rFonts w:ascii="Times New Roman" w:hAnsi="Times New Roman" w:cs="Times New Roman"/>
                <w:sz w:val="22"/>
                <w:szCs w:val="22"/>
              </w:rPr>
              <w:tab/>
              <w:t>konieczność zapewnienia równoprawnej i skutecznej konkurencji;</w:t>
            </w:r>
          </w:p>
          <w:p w14:paraId="401B593D" w14:textId="77777777" w:rsidR="00B02A3D" w:rsidRPr="00317ABF" w:rsidRDefault="00B02A3D" w:rsidP="00B02A3D">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5)</w:t>
            </w:r>
            <w:r w:rsidRPr="00317ABF">
              <w:rPr>
                <w:rFonts w:ascii="Times New Roman" w:hAnsi="Times New Roman" w:cs="Times New Roman"/>
                <w:sz w:val="22"/>
                <w:szCs w:val="22"/>
              </w:rPr>
              <w:tab/>
              <w:t>wspieranie rozwoju infrastruktury telekomunikacyjnej oraz innowacyjnych technologii;</w:t>
            </w:r>
          </w:p>
          <w:p w14:paraId="743B5DC9" w14:textId="77777777" w:rsidR="00B02A3D" w:rsidRPr="00317ABF" w:rsidRDefault="00B02A3D" w:rsidP="00B02A3D">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6)</w:t>
            </w:r>
            <w:r w:rsidRPr="00317ABF">
              <w:rPr>
                <w:rFonts w:ascii="Times New Roman" w:hAnsi="Times New Roman" w:cs="Times New Roman"/>
                <w:sz w:val="22"/>
                <w:szCs w:val="22"/>
              </w:rPr>
              <w:tab/>
              <w:t>zapewnienie odpowiedniej jakości lub zasięgu usług telekomunikacyjnych;</w:t>
            </w:r>
          </w:p>
          <w:p w14:paraId="2489E60D" w14:textId="77777777" w:rsidR="00B02A3D" w:rsidRPr="00317ABF" w:rsidRDefault="00B02A3D" w:rsidP="00B02A3D">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7)</w:t>
            </w:r>
            <w:r w:rsidRPr="00317ABF">
              <w:rPr>
                <w:rFonts w:ascii="Times New Roman" w:hAnsi="Times New Roman" w:cs="Times New Roman"/>
                <w:sz w:val="22"/>
                <w:szCs w:val="22"/>
              </w:rPr>
              <w:tab/>
              <w:t>zapewnianie efektywnego gospodarowania częstotliwościami;</w:t>
            </w:r>
          </w:p>
          <w:p w14:paraId="731DE341" w14:textId="594B4847" w:rsidR="001E1112" w:rsidRPr="00317ABF" w:rsidRDefault="001E1112" w:rsidP="00DB3BEC">
            <w:pPr>
              <w:jc w:val="both"/>
              <w:rPr>
                <w:sz w:val="22"/>
                <w:szCs w:val="22"/>
              </w:rPr>
            </w:pPr>
            <w:r w:rsidRPr="00317ABF">
              <w:rPr>
                <w:sz w:val="22"/>
                <w:szCs w:val="22"/>
              </w:rPr>
              <w:t>8)</w:t>
            </w:r>
            <w:r w:rsidR="00B02A3D" w:rsidRPr="00317ABF">
              <w:rPr>
                <w:sz w:val="22"/>
                <w:szCs w:val="22"/>
              </w:rPr>
              <w:tab/>
            </w:r>
            <w:r w:rsidRPr="00317ABF">
              <w:rPr>
                <w:sz w:val="22"/>
                <w:szCs w:val="22"/>
              </w:rPr>
              <w:t>czas obowiązywania innych rezerwacji częstotliwości o analogicznych właściwościach.</w:t>
            </w:r>
          </w:p>
        </w:tc>
      </w:tr>
      <w:tr w:rsidR="001E1112" w:rsidRPr="00317ABF" w14:paraId="71CABA9E" w14:textId="77777777" w:rsidTr="7753F98D">
        <w:trPr>
          <w:gridAfter w:val="2"/>
          <w:wAfter w:w="175" w:type="dxa"/>
        </w:trPr>
        <w:tc>
          <w:tcPr>
            <w:tcW w:w="704" w:type="dxa"/>
          </w:tcPr>
          <w:p w14:paraId="4D5F1FC1" w14:textId="77777777" w:rsidR="001E1112" w:rsidRPr="00317ABF" w:rsidRDefault="001E1112" w:rsidP="00DB3BEC">
            <w:pPr>
              <w:jc w:val="both"/>
              <w:rPr>
                <w:sz w:val="22"/>
                <w:szCs w:val="22"/>
              </w:rPr>
            </w:pPr>
            <w:r w:rsidRPr="00317ABF">
              <w:rPr>
                <w:sz w:val="22"/>
                <w:szCs w:val="22"/>
              </w:rPr>
              <w:t>Art. 49 ust. 2</w:t>
            </w:r>
          </w:p>
        </w:tc>
        <w:tc>
          <w:tcPr>
            <w:tcW w:w="4308" w:type="dxa"/>
          </w:tcPr>
          <w:p w14:paraId="5AA07A50" w14:textId="77777777" w:rsidR="001E1112" w:rsidRPr="00317ABF" w:rsidRDefault="001E1112" w:rsidP="00DB3BEC">
            <w:pPr>
              <w:spacing w:before="120"/>
              <w:jc w:val="both"/>
              <w:rPr>
                <w:sz w:val="22"/>
                <w:szCs w:val="22"/>
              </w:rPr>
            </w:pPr>
            <w:r w:rsidRPr="00317ABF">
              <w:rPr>
                <w:sz w:val="22"/>
                <w:szCs w:val="22"/>
              </w:rPr>
              <w:t xml:space="preserve">2.   W przypadku gdy państwa członkowskie przyznają indywidualne prawa użytkowania widma radiowego, w odniesieniu do których ustalone zostały zharmonizowane warunki ustanowione poprzez techniczne środki wykonawcze zgodnie z decyzją nr 676/2002/WE, aby umożliwić użytkowanie do celów usług bezprzewodowej szerokopasmowej łączności elektronicznej (zwanej dalej „usługami bezprzewodowej łączności szerokopasmowej”) w ograniczonym okresie, zapewniają one przewidywalność regulacyjną dla posiadaczy praw w okresie co najmniej 20 lat dotyczącą warunków inwestycji w infrastrukturę, która opiera się na </w:t>
            </w:r>
            <w:r w:rsidRPr="00317ABF">
              <w:rPr>
                <w:sz w:val="22"/>
                <w:szCs w:val="22"/>
              </w:rPr>
              <w:lastRenderedPageBreak/>
              <w:t>wykorzystaniu takiego widma radiowego, uwzględniając wymogi, o których mowa w ust. 1. Niniejszy artykuł podlega, w stosownych przypadkach, zmianom warunków, którymi obwarowano te prawa użytkowania zgodnie z art. 18.</w:t>
            </w:r>
          </w:p>
          <w:p w14:paraId="70E49D2C" w14:textId="77777777" w:rsidR="001E1112" w:rsidRPr="00317ABF" w:rsidRDefault="001E1112" w:rsidP="00DB3BEC">
            <w:pPr>
              <w:spacing w:before="120"/>
              <w:jc w:val="both"/>
              <w:rPr>
                <w:sz w:val="22"/>
                <w:szCs w:val="22"/>
              </w:rPr>
            </w:pPr>
            <w:r w:rsidRPr="00317ABF">
              <w:rPr>
                <w:sz w:val="22"/>
                <w:szCs w:val="22"/>
              </w:rPr>
              <w:t>W tym celu państwa członkowskie zapewniają, aby prawa te były ważne przez co najmniej 15 lat i obejmowały, jeżeli jest to konieczne do spełnienia akapitu pierwszego, odpowiednie przedłużenie ich obowiązywania na warunkach określonych w niniejszym ustępie.</w:t>
            </w:r>
          </w:p>
          <w:p w14:paraId="57CC29E4" w14:textId="77777777" w:rsidR="001E1112" w:rsidRPr="00317ABF" w:rsidRDefault="001E1112" w:rsidP="00DB3BEC">
            <w:pPr>
              <w:spacing w:before="120"/>
              <w:jc w:val="both"/>
              <w:rPr>
                <w:sz w:val="22"/>
                <w:szCs w:val="22"/>
              </w:rPr>
            </w:pPr>
            <w:r w:rsidRPr="00317ABF">
              <w:rPr>
                <w:sz w:val="22"/>
                <w:szCs w:val="22"/>
              </w:rPr>
              <w:t>Państwa członkowskie udostępniają w przejrzysty sposób wszystkim zainteresowanym stronom przed przyznaniem praw użytkowania ogólne kryteria przedłużania obowiązywania praw użytkowania jako część warunków określonych na mocy art. 55 ust. 3 i 6. Takie ogólne kryteria odnoszą się do:</w:t>
            </w:r>
          </w:p>
          <w:tbl>
            <w:tblPr>
              <w:tblW w:w="5000" w:type="pct"/>
              <w:tblCellSpacing w:w="0" w:type="dxa"/>
              <w:tblLayout w:type="fixed"/>
              <w:tblCellMar>
                <w:left w:w="0" w:type="dxa"/>
                <w:right w:w="0" w:type="dxa"/>
              </w:tblCellMar>
              <w:tblLook w:val="04A0" w:firstRow="1" w:lastRow="0" w:firstColumn="1" w:lastColumn="0" w:noHBand="0" w:noVBand="1"/>
            </w:tblPr>
            <w:tblGrid>
              <w:gridCol w:w="20"/>
              <w:gridCol w:w="4148"/>
            </w:tblGrid>
            <w:tr w:rsidR="001E1112" w:rsidRPr="00317ABF" w14:paraId="5DA9AD0C" w14:textId="77777777" w:rsidTr="00A462BE">
              <w:trPr>
                <w:tblCellSpacing w:w="0" w:type="dxa"/>
              </w:trPr>
              <w:tc>
                <w:tcPr>
                  <w:tcW w:w="6" w:type="dxa"/>
                  <w:hideMark/>
                </w:tcPr>
                <w:p w14:paraId="442AB339" w14:textId="77777777" w:rsidR="001E1112" w:rsidRPr="00317ABF" w:rsidRDefault="001E1112" w:rsidP="00EE0AC3">
                  <w:pPr>
                    <w:framePr w:hSpace="141" w:wrap="around" w:vAnchor="text" w:hAnchor="text" w:xAlign="right" w:y="1"/>
                    <w:spacing w:before="120"/>
                    <w:suppressOverlap/>
                    <w:jc w:val="both"/>
                    <w:rPr>
                      <w:sz w:val="22"/>
                      <w:szCs w:val="22"/>
                    </w:rPr>
                  </w:pPr>
                </w:p>
              </w:tc>
              <w:tc>
                <w:tcPr>
                  <w:tcW w:w="9066" w:type="dxa"/>
                  <w:hideMark/>
                </w:tcPr>
                <w:p w14:paraId="06827F53" w14:textId="77777777" w:rsidR="001E1112" w:rsidRPr="00317ABF" w:rsidRDefault="001E1112" w:rsidP="00EE0AC3">
                  <w:pPr>
                    <w:framePr w:hSpace="141" w:wrap="around" w:vAnchor="text" w:hAnchor="text" w:xAlign="right" w:y="1"/>
                    <w:numPr>
                      <w:ilvl w:val="0"/>
                      <w:numId w:val="37"/>
                    </w:numPr>
                    <w:spacing w:before="120"/>
                    <w:suppressOverlap/>
                    <w:jc w:val="both"/>
                    <w:rPr>
                      <w:sz w:val="22"/>
                      <w:szCs w:val="22"/>
                    </w:rPr>
                  </w:pPr>
                  <w:r w:rsidRPr="00317ABF">
                    <w:rPr>
                      <w:sz w:val="22"/>
                      <w:szCs w:val="22"/>
                    </w:rPr>
                    <w:t>potrzeby zapewnienia efektywnego i wydajnego wykorzystania danego widma radiowego, celów określonych w art. 45 ust. 2 lit. a) i b) lub potrzeby realizacji celów leżących w ogólnym interesie odnoszących się do ochrony bezpieczeństwa życia, porządku publicznego, bezpieczeństwa publicznego lub obrony; lub</w:t>
                  </w:r>
                </w:p>
              </w:tc>
            </w:tr>
          </w:tbl>
          <w:p w14:paraId="368F1CCA" w14:textId="77777777" w:rsidR="001E1112" w:rsidRPr="00317ABF" w:rsidRDefault="001E1112" w:rsidP="00DB3BEC">
            <w:pPr>
              <w:jc w:val="both"/>
              <w:rPr>
                <w:vanish/>
                <w:sz w:val="22"/>
                <w:szCs w:val="22"/>
              </w:rPr>
            </w:pPr>
          </w:p>
          <w:tbl>
            <w:tblPr>
              <w:tblW w:w="5000" w:type="pct"/>
              <w:tblCellSpacing w:w="0" w:type="dxa"/>
              <w:tblLayout w:type="fixed"/>
              <w:tblCellMar>
                <w:left w:w="0" w:type="dxa"/>
                <w:right w:w="0" w:type="dxa"/>
              </w:tblCellMar>
              <w:tblLook w:val="04A0" w:firstRow="1" w:lastRow="0" w:firstColumn="1" w:lastColumn="0" w:noHBand="0" w:noVBand="1"/>
            </w:tblPr>
            <w:tblGrid>
              <w:gridCol w:w="20"/>
              <w:gridCol w:w="4148"/>
            </w:tblGrid>
            <w:tr w:rsidR="001E1112" w:rsidRPr="00317ABF" w14:paraId="5E940F28" w14:textId="77777777" w:rsidTr="00A462BE">
              <w:trPr>
                <w:tblCellSpacing w:w="0" w:type="dxa"/>
              </w:trPr>
              <w:tc>
                <w:tcPr>
                  <w:tcW w:w="11" w:type="dxa"/>
                  <w:hideMark/>
                </w:tcPr>
                <w:p w14:paraId="20E7E792" w14:textId="77777777" w:rsidR="001E1112" w:rsidRPr="00317ABF" w:rsidRDefault="001E1112" w:rsidP="00EE0AC3">
                  <w:pPr>
                    <w:framePr w:hSpace="141" w:wrap="around" w:vAnchor="text" w:hAnchor="text" w:xAlign="right" w:y="1"/>
                    <w:spacing w:before="120"/>
                    <w:suppressOverlap/>
                    <w:jc w:val="both"/>
                    <w:rPr>
                      <w:sz w:val="22"/>
                      <w:szCs w:val="22"/>
                    </w:rPr>
                  </w:pPr>
                </w:p>
              </w:tc>
              <w:tc>
                <w:tcPr>
                  <w:tcW w:w="9061" w:type="dxa"/>
                  <w:hideMark/>
                </w:tcPr>
                <w:p w14:paraId="722CF971" w14:textId="77777777" w:rsidR="001E1112" w:rsidRPr="00317ABF" w:rsidRDefault="001E1112" w:rsidP="00EE0AC3">
                  <w:pPr>
                    <w:framePr w:hSpace="141" w:wrap="around" w:vAnchor="text" w:hAnchor="text" w:xAlign="right" w:y="1"/>
                    <w:numPr>
                      <w:ilvl w:val="0"/>
                      <w:numId w:val="37"/>
                    </w:numPr>
                    <w:spacing w:before="120"/>
                    <w:suppressOverlap/>
                    <w:jc w:val="both"/>
                    <w:rPr>
                      <w:sz w:val="22"/>
                      <w:szCs w:val="22"/>
                    </w:rPr>
                  </w:pPr>
                  <w:r w:rsidRPr="00317ABF">
                    <w:rPr>
                      <w:sz w:val="22"/>
                      <w:szCs w:val="22"/>
                    </w:rPr>
                    <w:t>potrzeby zapewnienia niezakłóconej konkurencji.</w:t>
                  </w:r>
                </w:p>
              </w:tc>
            </w:tr>
          </w:tbl>
          <w:p w14:paraId="54C13CEB" w14:textId="77777777" w:rsidR="001E1112" w:rsidRPr="00317ABF" w:rsidRDefault="001E1112" w:rsidP="00DB3BEC">
            <w:pPr>
              <w:spacing w:before="120"/>
              <w:jc w:val="both"/>
              <w:rPr>
                <w:sz w:val="22"/>
                <w:szCs w:val="22"/>
              </w:rPr>
            </w:pPr>
            <w:r w:rsidRPr="00317ABF">
              <w:rPr>
                <w:sz w:val="22"/>
                <w:szCs w:val="22"/>
              </w:rPr>
              <w:t xml:space="preserve">Co najmniej dwa lata przed zakończeniem początkowego okresu obowiązywania danego indywidualnego prawa użytkowania właściwy organ przeprowadza obiektywną i perspektywiczną ocenę ogólnych kryteriów </w:t>
            </w:r>
            <w:r w:rsidRPr="00317ABF">
              <w:rPr>
                <w:sz w:val="22"/>
                <w:szCs w:val="22"/>
              </w:rPr>
              <w:lastRenderedPageBreak/>
              <w:t>przedłużenia okresu obowiązywania tego prawa użytkowania w świetle art. 45 ust. 2 lit. c). Pod warunkiem że właściwy organ nie wszczął działania egzekucyjnego w odniesieniu do niezgodności z warunkami praw użytkowania na podstawie art. 30, przyznaje wydłużenie okresu obowiązywania prawa użytkowania, chyba że uzna, że takie przedłużenie nie spełniałoby ogólnych kryteriów ustalonych zgodnie z akapitem trzecim lit. a) lub lit. b) niniejszego ustępu.</w:t>
            </w:r>
          </w:p>
          <w:p w14:paraId="14EBAA4B" w14:textId="77777777" w:rsidR="001E1112" w:rsidRPr="00317ABF" w:rsidRDefault="001E1112" w:rsidP="00DB3BEC">
            <w:pPr>
              <w:spacing w:before="120"/>
              <w:jc w:val="both"/>
              <w:rPr>
                <w:sz w:val="22"/>
                <w:szCs w:val="22"/>
              </w:rPr>
            </w:pPr>
            <w:r w:rsidRPr="00317ABF">
              <w:rPr>
                <w:sz w:val="22"/>
                <w:szCs w:val="22"/>
              </w:rPr>
              <w:t>Na podstawie tej oceny właściwy organ powiadamia posiadacza praw, czy wydłużenie okresu obowiązywania prawa użytkowania może zostać przyznane.</w:t>
            </w:r>
          </w:p>
          <w:p w14:paraId="64088D5E" w14:textId="77777777" w:rsidR="001E1112" w:rsidRPr="00317ABF" w:rsidRDefault="001E1112" w:rsidP="00DB3BEC">
            <w:pPr>
              <w:spacing w:before="120"/>
              <w:jc w:val="both"/>
              <w:rPr>
                <w:sz w:val="22"/>
                <w:szCs w:val="22"/>
              </w:rPr>
            </w:pPr>
            <w:r w:rsidRPr="00317ABF">
              <w:rPr>
                <w:sz w:val="22"/>
                <w:szCs w:val="22"/>
              </w:rPr>
              <w:t>Jeżeli takie wydłużenie nie może zostać przyznane, właściwy organ stosuje art. 48 w odniesieniu do przyznania praw użytkowania w przypadku konkretnego pasma widma radiowego.</w:t>
            </w:r>
          </w:p>
          <w:p w14:paraId="7277B9B7" w14:textId="77777777" w:rsidR="001E1112" w:rsidRPr="00317ABF" w:rsidRDefault="001E1112" w:rsidP="00DB3BEC">
            <w:pPr>
              <w:spacing w:before="120"/>
              <w:jc w:val="both"/>
              <w:rPr>
                <w:sz w:val="22"/>
                <w:szCs w:val="22"/>
              </w:rPr>
            </w:pPr>
            <w:r w:rsidRPr="00317ABF">
              <w:rPr>
                <w:sz w:val="22"/>
                <w:szCs w:val="22"/>
              </w:rPr>
              <w:t>Wszelkie środki na mocy niniejszego ustępu muszą być proporcjonalne, niedyskryminacyjne, przejrzyste i uzasadnione.</w:t>
            </w:r>
          </w:p>
          <w:p w14:paraId="10511ED1" w14:textId="77777777" w:rsidR="001E1112" w:rsidRPr="00317ABF" w:rsidRDefault="001E1112" w:rsidP="00DB3BEC">
            <w:pPr>
              <w:spacing w:before="120"/>
              <w:jc w:val="both"/>
              <w:rPr>
                <w:sz w:val="22"/>
                <w:szCs w:val="22"/>
              </w:rPr>
            </w:pPr>
            <w:r w:rsidRPr="00317ABF">
              <w:rPr>
                <w:sz w:val="22"/>
                <w:szCs w:val="22"/>
              </w:rPr>
              <w:t>Na zasadzie odstępstwa od art. 23 zainteresowane strony mają możliwość przedstawiania uwag do wszelkich planowanych środków na podstawie akapitów trzeciego i czwartego niniejszego ustępu przez okres przynajmniej trzech miesięcy.</w:t>
            </w:r>
          </w:p>
          <w:p w14:paraId="6ED72379" w14:textId="77777777" w:rsidR="001E1112" w:rsidRPr="00317ABF" w:rsidRDefault="001E1112" w:rsidP="00DB3BEC">
            <w:pPr>
              <w:spacing w:before="120"/>
              <w:jc w:val="both"/>
              <w:rPr>
                <w:sz w:val="22"/>
                <w:szCs w:val="22"/>
              </w:rPr>
            </w:pPr>
            <w:r w:rsidRPr="00317ABF">
              <w:rPr>
                <w:sz w:val="22"/>
                <w:szCs w:val="22"/>
              </w:rPr>
              <w:t>Niniejszy ustęp pozostaje bez uszczerbku dla stosowania art. 19 i 30.</w:t>
            </w:r>
          </w:p>
          <w:p w14:paraId="6B2AC25E" w14:textId="77777777" w:rsidR="001E1112" w:rsidRPr="00317ABF" w:rsidRDefault="001E1112" w:rsidP="00DB3BEC">
            <w:pPr>
              <w:jc w:val="both"/>
              <w:rPr>
                <w:sz w:val="22"/>
                <w:szCs w:val="22"/>
              </w:rPr>
            </w:pPr>
            <w:r w:rsidRPr="00317ABF">
              <w:rPr>
                <w:sz w:val="22"/>
                <w:szCs w:val="22"/>
              </w:rPr>
              <w:t>Określając opłaty za prawa użytkowania, państwa członkowskie uwzględniają mechanizm przewidziany w niniejszym ustępie.</w:t>
            </w:r>
          </w:p>
          <w:p w14:paraId="28B8B4A9" w14:textId="77777777" w:rsidR="001E1112" w:rsidRPr="00317ABF" w:rsidRDefault="001E1112" w:rsidP="00DB3BEC">
            <w:pPr>
              <w:spacing w:before="120"/>
              <w:jc w:val="both"/>
              <w:rPr>
                <w:sz w:val="22"/>
                <w:szCs w:val="22"/>
              </w:rPr>
            </w:pPr>
          </w:p>
        </w:tc>
        <w:tc>
          <w:tcPr>
            <w:tcW w:w="986" w:type="dxa"/>
          </w:tcPr>
          <w:p w14:paraId="4148676D" w14:textId="264B535D" w:rsidR="001E1112" w:rsidRPr="00317ABF" w:rsidRDefault="001E1112" w:rsidP="00DB3BEC">
            <w:pPr>
              <w:jc w:val="both"/>
              <w:rPr>
                <w:sz w:val="22"/>
                <w:szCs w:val="22"/>
              </w:rPr>
            </w:pPr>
            <w:r w:rsidRPr="00317ABF">
              <w:rPr>
                <w:sz w:val="22"/>
                <w:szCs w:val="22"/>
              </w:rPr>
              <w:lastRenderedPageBreak/>
              <w:t>T</w:t>
            </w:r>
          </w:p>
        </w:tc>
        <w:tc>
          <w:tcPr>
            <w:tcW w:w="910" w:type="dxa"/>
          </w:tcPr>
          <w:p w14:paraId="4B4ACD1F" w14:textId="6BADEEBA" w:rsidR="001E1112" w:rsidRPr="00317ABF" w:rsidRDefault="00DB3BEC" w:rsidP="00DB3BEC">
            <w:pPr>
              <w:pStyle w:val="Tekstpodstawowy"/>
              <w:rPr>
                <w:b/>
                <w:bCs/>
                <w:noProof/>
                <w:sz w:val="22"/>
                <w:szCs w:val="22"/>
              </w:rPr>
            </w:pPr>
            <w:r w:rsidRPr="00317ABF">
              <w:rPr>
                <w:b/>
                <w:bCs/>
                <w:noProof/>
                <w:sz w:val="22"/>
                <w:szCs w:val="22"/>
              </w:rPr>
              <w:t xml:space="preserve">Art. </w:t>
            </w:r>
            <w:r w:rsidR="00B02A3D" w:rsidRPr="00317ABF">
              <w:rPr>
                <w:b/>
                <w:bCs/>
                <w:noProof/>
                <w:sz w:val="22"/>
                <w:szCs w:val="22"/>
              </w:rPr>
              <w:t>80</w:t>
            </w:r>
            <w:r w:rsidR="001E1112" w:rsidRPr="00317ABF">
              <w:rPr>
                <w:b/>
                <w:bCs/>
                <w:noProof/>
                <w:sz w:val="22"/>
                <w:szCs w:val="22"/>
              </w:rPr>
              <w:t xml:space="preserve"> ust. 1</w:t>
            </w:r>
          </w:p>
          <w:p w14:paraId="542DFA5D" w14:textId="1AB343F4" w:rsidR="001E1112" w:rsidRPr="00317ABF" w:rsidRDefault="001E1112" w:rsidP="00DB3BEC">
            <w:pPr>
              <w:pStyle w:val="Tekstpodstawowy"/>
              <w:rPr>
                <w:b/>
                <w:bCs/>
                <w:noProof/>
                <w:sz w:val="22"/>
                <w:szCs w:val="22"/>
              </w:rPr>
            </w:pPr>
          </w:p>
          <w:p w14:paraId="3B66978C" w14:textId="2BE27726" w:rsidR="001E1112" w:rsidRPr="00317ABF" w:rsidRDefault="001E1112" w:rsidP="00DB3BEC">
            <w:pPr>
              <w:pStyle w:val="Tekstpodstawowy"/>
              <w:rPr>
                <w:b/>
                <w:bCs/>
                <w:noProof/>
                <w:sz w:val="22"/>
                <w:szCs w:val="22"/>
              </w:rPr>
            </w:pPr>
          </w:p>
          <w:p w14:paraId="626F996B" w14:textId="77777777" w:rsidR="00B02A3D" w:rsidRPr="00317ABF" w:rsidRDefault="00B02A3D" w:rsidP="00DB3BEC">
            <w:pPr>
              <w:pStyle w:val="Tekstpodstawowy"/>
              <w:rPr>
                <w:b/>
                <w:bCs/>
                <w:noProof/>
                <w:sz w:val="22"/>
                <w:szCs w:val="22"/>
              </w:rPr>
            </w:pPr>
          </w:p>
          <w:p w14:paraId="64EFBB0F" w14:textId="047D6BAF" w:rsidR="001E1112" w:rsidRPr="00317ABF" w:rsidRDefault="00DB3BEC" w:rsidP="00DB3BEC">
            <w:pPr>
              <w:pStyle w:val="Tekstpodstawowy"/>
              <w:rPr>
                <w:b/>
                <w:bCs/>
                <w:noProof/>
                <w:sz w:val="22"/>
                <w:szCs w:val="22"/>
              </w:rPr>
            </w:pPr>
            <w:r w:rsidRPr="00317ABF">
              <w:rPr>
                <w:b/>
                <w:bCs/>
                <w:noProof/>
                <w:sz w:val="22"/>
                <w:szCs w:val="22"/>
              </w:rPr>
              <w:t xml:space="preserve">Art. </w:t>
            </w:r>
            <w:r w:rsidR="00B02A3D" w:rsidRPr="00317ABF">
              <w:rPr>
                <w:b/>
                <w:bCs/>
                <w:noProof/>
                <w:sz w:val="22"/>
                <w:szCs w:val="22"/>
              </w:rPr>
              <w:t>92</w:t>
            </w:r>
          </w:p>
        </w:tc>
        <w:tc>
          <w:tcPr>
            <w:tcW w:w="6814" w:type="dxa"/>
            <w:gridSpan w:val="2"/>
          </w:tcPr>
          <w:p w14:paraId="015B5457" w14:textId="77777777" w:rsidR="001E1112" w:rsidRPr="00317ABF" w:rsidRDefault="001E1112" w:rsidP="00B02A3D">
            <w:pPr>
              <w:jc w:val="both"/>
              <w:rPr>
                <w:sz w:val="22"/>
                <w:szCs w:val="22"/>
              </w:rPr>
            </w:pPr>
            <w:r w:rsidRPr="00317ABF">
              <w:rPr>
                <w:rStyle w:val="Ppogrubienie"/>
                <w:rFonts w:eastAsia="Times"/>
                <w:sz w:val="22"/>
                <w:szCs w:val="22"/>
              </w:rPr>
              <w:t>Art.</w:t>
            </w:r>
            <w:r w:rsidR="00B02A3D" w:rsidRPr="00317ABF">
              <w:rPr>
                <w:rStyle w:val="Ppogrubienie"/>
                <w:sz w:val="22"/>
                <w:szCs w:val="22"/>
              </w:rPr>
              <w:t> 80</w:t>
            </w:r>
            <w:r w:rsidRPr="00317ABF">
              <w:rPr>
                <w:rStyle w:val="Ppogrubienie"/>
                <w:rFonts w:eastAsia="Times"/>
                <w:sz w:val="22"/>
                <w:szCs w:val="22"/>
              </w:rPr>
              <w:t>.</w:t>
            </w:r>
            <w:r w:rsidRPr="00317ABF">
              <w:rPr>
                <w:rFonts w:eastAsia="Times"/>
                <w:sz w:val="22"/>
                <w:szCs w:val="22"/>
              </w:rPr>
              <w:t xml:space="preserve"> 1. Rezerwacji częstotliwości dokonuje się na czas określony nie dłuższy niż 15 lat, a w przypadku rezerwacji częstotliwości zharmonizowanych na potrzeby systemów szerokopasmowych, rezerwacji częstotliwości dokonuje się na czas nie krótszy niż 15 lat i nie dłuższy niż 20 lat.</w:t>
            </w:r>
          </w:p>
          <w:p w14:paraId="01F32996" w14:textId="77777777" w:rsidR="001E1112" w:rsidRPr="00317ABF" w:rsidRDefault="001E1112" w:rsidP="00B02A3D">
            <w:pPr>
              <w:pStyle w:val="ARTartustawynprozporzdzenia"/>
              <w:spacing w:before="0" w:line="240" w:lineRule="auto"/>
              <w:ind w:firstLine="0"/>
              <w:rPr>
                <w:rFonts w:ascii="Times New Roman" w:hAnsi="Times New Roman" w:cs="Times New Roman"/>
                <w:sz w:val="22"/>
                <w:szCs w:val="22"/>
              </w:rPr>
            </w:pPr>
            <w:r w:rsidRPr="00317ABF">
              <w:rPr>
                <w:rStyle w:val="Ppogrubienie"/>
                <w:rFonts w:ascii="Times New Roman" w:eastAsia="Times" w:hAnsi="Times New Roman"/>
                <w:sz w:val="22"/>
                <w:szCs w:val="22"/>
              </w:rPr>
              <w:t>Art.</w:t>
            </w:r>
            <w:r w:rsidR="00B02A3D" w:rsidRPr="00317ABF">
              <w:rPr>
                <w:rStyle w:val="Ppogrubienie"/>
                <w:rFonts w:ascii="Times New Roman" w:hAnsi="Times New Roman"/>
                <w:sz w:val="22"/>
                <w:szCs w:val="22"/>
              </w:rPr>
              <w:t> 92</w:t>
            </w:r>
            <w:r w:rsidRPr="00317ABF">
              <w:rPr>
                <w:rStyle w:val="Ppogrubienie"/>
                <w:rFonts w:ascii="Times New Roman" w:eastAsia="Times" w:hAnsi="Times New Roman"/>
                <w:sz w:val="22"/>
                <w:szCs w:val="22"/>
              </w:rPr>
              <w:t>.</w:t>
            </w:r>
            <w:r w:rsidRPr="00317ABF">
              <w:rPr>
                <w:rFonts w:ascii="Times New Roman" w:eastAsia="Times" w:hAnsi="Times New Roman" w:cs="Times New Roman"/>
                <w:sz w:val="22"/>
                <w:szCs w:val="22"/>
              </w:rPr>
              <w:t xml:space="preserve"> 1. Prezes UKE może przedłużyć rezerwację częstotliwości zharmonizowanych na potrzeby systemów szerokopasmowych na wniosek podmiotu, który w czasie wykorzystywania przedmiotowych częstotliwości nie naruszył rażąco warunków wykorzystywania częstotliwości określonych w ustawie, przepisach wykonawczych i decyzji o rezerwacji częstotliwości, na okres do 5 lat, przy czym łączny czas obowiązywania tej rezerwacji częstotliwości nie może być dłuższy niż 20 lat. Przy przedłużaniu rezerwacji częstotliwości postępowania selekcyjnego nie przeprowadza się.</w:t>
            </w:r>
          </w:p>
          <w:p w14:paraId="516A641B" w14:textId="4EDC4010" w:rsidR="001E1112" w:rsidRPr="00317ABF" w:rsidRDefault="001E1112" w:rsidP="00B02A3D">
            <w:pPr>
              <w:pStyle w:val="USTustnpkodeksu"/>
              <w:spacing w:line="240" w:lineRule="auto"/>
              <w:rPr>
                <w:rFonts w:ascii="Times New Roman" w:hAnsi="Times New Roman" w:cs="Times New Roman"/>
                <w:sz w:val="22"/>
                <w:szCs w:val="22"/>
              </w:rPr>
            </w:pPr>
            <w:r w:rsidRPr="00317ABF">
              <w:rPr>
                <w:rFonts w:ascii="Times New Roman" w:eastAsia="Times" w:hAnsi="Times New Roman" w:cs="Times New Roman"/>
                <w:sz w:val="22"/>
                <w:szCs w:val="22"/>
              </w:rPr>
              <w:t xml:space="preserve">2. Prezes UKE w porozumieniu z Prezesem UOKiK może, w drodze decyzji, odmówić przedłużenia rezerwacji częstotliwości zharmonizowanych na potrzeby systemów szerokopasmowych, jeżeli </w:t>
            </w:r>
            <w:r w:rsidRPr="00317ABF">
              <w:rPr>
                <w:rFonts w:ascii="Times New Roman" w:eastAsia="Times" w:hAnsi="Times New Roman" w:cs="Times New Roman"/>
                <w:sz w:val="22"/>
                <w:szCs w:val="22"/>
              </w:rPr>
              <w:lastRenderedPageBreak/>
              <w:t>przemawia za tym potrzeba zapewnienia równoprawnej i skutecznej konkurencji, w szczególności w przypadku gdy przedłużenie rezerwacji częstotliwości mogłoby doprowadzić do nadmiernego skupienia częstotliwości przez dany podmiot lub grupę kapitałową, w której znajduje się dany podmiot.</w:t>
            </w:r>
          </w:p>
          <w:p w14:paraId="00E526D0" w14:textId="159CFD5A" w:rsidR="001E1112" w:rsidRPr="00317ABF" w:rsidRDefault="001E1112" w:rsidP="00B02A3D">
            <w:pPr>
              <w:pStyle w:val="USTustnpkodeksu"/>
              <w:keepNext/>
              <w:spacing w:line="240" w:lineRule="auto"/>
              <w:rPr>
                <w:rFonts w:ascii="Times New Roman" w:hAnsi="Times New Roman" w:cs="Times New Roman"/>
                <w:sz w:val="22"/>
                <w:szCs w:val="22"/>
              </w:rPr>
            </w:pPr>
            <w:r w:rsidRPr="00317ABF">
              <w:rPr>
                <w:rFonts w:ascii="Times New Roman" w:eastAsia="Times" w:hAnsi="Times New Roman" w:cs="Times New Roman"/>
                <w:sz w:val="22"/>
                <w:szCs w:val="22"/>
              </w:rPr>
              <w:t>3. Prezes UKE może, w drodze decyzji, odmówić przedłużenia rezerwacji częstotliwości zharmonizowanych na potrzeby systemów szerokopasmowych:</w:t>
            </w:r>
          </w:p>
          <w:p w14:paraId="6DF3744A" w14:textId="77777777" w:rsidR="00B02A3D" w:rsidRPr="00317ABF" w:rsidRDefault="00B02A3D" w:rsidP="00B02A3D">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1)</w:t>
            </w:r>
            <w:r w:rsidRPr="00317ABF">
              <w:rPr>
                <w:rFonts w:ascii="Times New Roman" w:hAnsi="Times New Roman" w:cs="Times New Roman"/>
                <w:sz w:val="22"/>
                <w:szCs w:val="22"/>
              </w:rPr>
              <w:tab/>
              <w:t>w przypadku konieczności dostosowania czasu obowiązywania rezerwacji częstotliwości do innych rezerwacji częstotliwości o analogicznych właściwościach;</w:t>
            </w:r>
          </w:p>
          <w:p w14:paraId="2FC136BE" w14:textId="77777777" w:rsidR="00B02A3D" w:rsidRPr="00317ABF" w:rsidRDefault="00B02A3D" w:rsidP="00B02A3D">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2)</w:t>
            </w:r>
            <w:r w:rsidRPr="00317ABF">
              <w:rPr>
                <w:rFonts w:ascii="Times New Roman" w:hAnsi="Times New Roman" w:cs="Times New Roman"/>
                <w:sz w:val="22"/>
                <w:szCs w:val="22"/>
              </w:rPr>
              <w:tab/>
              <w:t>w przypadku gdy rezerwacja częstotliwości umożliwia ich alternatywne wykorzystanie;</w:t>
            </w:r>
          </w:p>
          <w:p w14:paraId="38467043" w14:textId="77777777" w:rsidR="001E1112" w:rsidRPr="00317ABF" w:rsidRDefault="001E1112" w:rsidP="00B02A3D">
            <w:pPr>
              <w:pStyle w:val="PKTpunkt0"/>
              <w:spacing w:line="240" w:lineRule="auto"/>
              <w:rPr>
                <w:rFonts w:ascii="Times New Roman" w:hAnsi="Times New Roman" w:cs="Times New Roman"/>
                <w:sz w:val="22"/>
                <w:szCs w:val="22"/>
              </w:rPr>
            </w:pPr>
            <w:r w:rsidRPr="00317ABF">
              <w:rPr>
                <w:rFonts w:ascii="Times New Roman" w:eastAsia="Times" w:hAnsi="Times New Roman" w:cs="Times New Roman"/>
                <w:sz w:val="22"/>
                <w:szCs w:val="22"/>
              </w:rPr>
              <w:t>3)</w:t>
            </w:r>
            <w:r w:rsidR="00B02A3D" w:rsidRPr="00317ABF">
              <w:rPr>
                <w:rFonts w:ascii="Times New Roman" w:hAnsi="Times New Roman" w:cs="Times New Roman"/>
                <w:sz w:val="22"/>
                <w:szCs w:val="22"/>
              </w:rPr>
              <w:tab/>
            </w:r>
            <w:r w:rsidRPr="00317ABF">
              <w:rPr>
                <w:rFonts w:ascii="Times New Roman" w:eastAsia="Times" w:hAnsi="Times New Roman" w:cs="Times New Roman"/>
                <w:sz w:val="22"/>
                <w:szCs w:val="22"/>
              </w:rPr>
              <w:t>jeżeli przemawia za tym potrzeba istotnego zwiększenia efektywności wykorzystania częstotliwości.</w:t>
            </w:r>
          </w:p>
          <w:p w14:paraId="42A51E7B" w14:textId="77777777" w:rsidR="001E1112" w:rsidRPr="00317ABF" w:rsidRDefault="001E1112" w:rsidP="00B02A3D">
            <w:pPr>
              <w:pStyle w:val="USTustnpkodeksu"/>
              <w:spacing w:line="240" w:lineRule="auto"/>
              <w:rPr>
                <w:rFonts w:ascii="Times New Roman" w:hAnsi="Times New Roman" w:cs="Times New Roman"/>
                <w:sz w:val="22"/>
                <w:szCs w:val="22"/>
              </w:rPr>
            </w:pPr>
            <w:r w:rsidRPr="00317ABF">
              <w:rPr>
                <w:rFonts w:ascii="Times New Roman" w:eastAsia="Times" w:hAnsi="Times New Roman" w:cs="Times New Roman"/>
                <w:sz w:val="22"/>
                <w:szCs w:val="22"/>
              </w:rPr>
              <w:t xml:space="preserve">4. Prezes UKE, w drodze decyzji, odmawia przedłużenia rezerwacji częstotliwości zharmonizowanych na potrzeby systemów szerokopasmowych w przypadku wystąpienia przesłanek, o których mowa w art. </w:t>
            </w:r>
            <w:r w:rsidR="00B02A3D" w:rsidRPr="00317ABF">
              <w:rPr>
                <w:rFonts w:ascii="Times New Roman" w:hAnsi="Times New Roman" w:cs="Times New Roman"/>
                <w:sz w:val="22"/>
                <w:szCs w:val="22"/>
              </w:rPr>
              <w:t>99</w:t>
            </w:r>
            <w:r w:rsidRPr="00317ABF">
              <w:rPr>
                <w:rFonts w:ascii="Times New Roman" w:eastAsia="Times" w:hAnsi="Times New Roman" w:cs="Times New Roman"/>
                <w:sz w:val="22"/>
                <w:szCs w:val="22"/>
              </w:rPr>
              <w:t xml:space="preserve"> ust. 1 pkt 3 lub art. </w:t>
            </w:r>
            <w:r w:rsidR="00B02A3D" w:rsidRPr="00317ABF">
              <w:rPr>
                <w:rFonts w:ascii="Times New Roman" w:hAnsi="Times New Roman" w:cs="Times New Roman"/>
                <w:sz w:val="22"/>
                <w:szCs w:val="22"/>
              </w:rPr>
              <w:t>100</w:t>
            </w:r>
            <w:r w:rsidRPr="00317ABF">
              <w:rPr>
                <w:rFonts w:ascii="Times New Roman" w:eastAsia="Times" w:hAnsi="Times New Roman" w:cs="Times New Roman"/>
                <w:sz w:val="22"/>
                <w:szCs w:val="22"/>
              </w:rPr>
              <w:t xml:space="preserve"> ust. 1 pkt 1, 3 lub 6. Przepisy art. </w:t>
            </w:r>
            <w:r w:rsidR="00B02A3D" w:rsidRPr="00317ABF">
              <w:rPr>
                <w:rFonts w:ascii="Times New Roman" w:hAnsi="Times New Roman" w:cs="Times New Roman"/>
                <w:sz w:val="22"/>
                <w:szCs w:val="22"/>
              </w:rPr>
              <w:t>100</w:t>
            </w:r>
            <w:r w:rsidRPr="00317ABF">
              <w:rPr>
                <w:rFonts w:ascii="Times New Roman" w:eastAsia="Times" w:hAnsi="Times New Roman" w:cs="Times New Roman"/>
                <w:sz w:val="22"/>
                <w:szCs w:val="22"/>
              </w:rPr>
              <w:t xml:space="preserve"> ust. 3-6 stosuje się.</w:t>
            </w:r>
          </w:p>
          <w:p w14:paraId="253AD129" w14:textId="77777777" w:rsidR="00B02A3D" w:rsidRPr="00317ABF" w:rsidRDefault="00B02A3D" w:rsidP="00B02A3D">
            <w:pPr>
              <w:pStyle w:val="USTustnpkodeksu"/>
              <w:spacing w:line="240" w:lineRule="auto"/>
              <w:rPr>
                <w:rFonts w:ascii="Times New Roman" w:hAnsi="Times New Roman" w:cs="Times New Roman"/>
                <w:sz w:val="22"/>
                <w:szCs w:val="22"/>
              </w:rPr>
            </w:pPr>
            <w:r w:rsidRPr="00317ABF">
              <w:rPr>
                <w:rFonts w:ascii="Times New Roman" w:hAnsi="Times New Roman" w:cs="Times New Roman"/>
                <w:sz w:val="22"/>
                <w:szCs w:val="22"/>
              </w:rPr>
              <w:t>5. W przypadku wydania przez Prezesa UKE decyzji o odmowie przedłużenia rezerwacji częstotliwości stosuje się przepisy art. art. 104, art. 106 i art. 107.</w:t>
            </w:r>
          </w:p>
          <w:p w14:paraId="303E4BDC" w14:textId="710FDA35" w:rsidR="001E1112" w:rsidRPr="00317ABF" w:rsidRDefault="001E1112" w:rsidP="00B02A3D">
            <w:pPr>
              <w:pStyle w:val="USTustnpkodeksu"/>
              <w:spacing w:line="240" w:lineRule="auto"/>
              <w:rPr>
                <w:rFonts w:ascii="Times New Roman" w:hAnsi="Times New Roman" w:cs="Times New Roman"/>
                <w:sz w:val="22"/>
                <w:szCs w:val="22"/>
              </w:rPr>
            </w:pPr>
            <w:r w:rsidRPr="00317ABF">
              <w:rPr>
                <w:rFonts w:ascii="Times New Roman" w:eastAsia="Times" w:hAnsi="Times New Roman" w:cs="Times New Roman"/>
                <w:sz w:val="22"/>
                <w:szCs w:val="22"/>
              </w:rPr>
              <w:t>6. Wniosek, o którym mowa w ust. 1, należy złożyć nie wcześniej niż 4 lata przed upływem okresu wykorzystywania częstotliwości zharmonizowanych na potrzeby systemów szerokopasmowych i nie później niż 3 lata przed upływem tego okresu. Prezes UKE wydaje decyzję w sprawie przedłużenia rezerwacji częstotliwości nie później niż 2 lata przed upływem okresu wykorzystywania częstotliwości zharmonizowanych na potrzeby systemów szerokopasmowych.</w:t>
            </w:r>
          </w:p>
          <w:p w14:paraId="627E5A1A" w14:textId="2A1E283A" w:rsidR="001E1112" w:rsidRPr="00317ABF" w:rsidRDefault="001E1112" w:rsidP="00DB3BEC">
            <w:pPr>
              <w:jc w:val="both"/>
              <w:rPr>
                <w:sz w:val="22"/>
                <w:szCs w:val="22"/>
              </w:rPr>
            </w:pPr>
            <w:r w:rsidRPr="00317ABF">
              <w:rPr>
                <w:sz w:val="22"/>
                <w:szCs w:val="22"/>
              </w:rPr>
              <w:t>7. Prezes UKE udostępnia na stronie podmiotowej BIP UKE informację o zamiarze przedłużenia lub odmowy przedłużenia rezerwacji częstotliwości zharmonizowanych na potrzeby systemów szerokopasmowych oraz określa termin na przedstawienie stanowiska nie krótszy niż 3 miesiące od udostępnienia informacji.</w:t>
            </w:r>
          </w:p>
          <w:p w14:paraId="271C0797" w14:textId="19E5A430" w:rsidR="001E1112" w:rsidRPr="00317ABF" w:rsidRDefault="001E1112" w:rsidP="00DB3BEC">
            <w:pPr>
              <w:jc w:val="both"/>
              <w:rPr>
                <w:sz w:val="22"/>
                <w:szCs w:val="22"/>
              </w:rPr>
            </w:pPr>
          </w:p>
        </w:tc>
      </w:tr>
      <w:tr w:rsidR="001E1112" w:rsidRPr="00317ABF" w14:paraId="65F17E5D" w14:textId="77777777" w:rsidTr="7753F98D">
        <w:trPr>
          <w:gridAfter w:val="2"/>
          <w:wAfter w:w="175" w:type="dxa"/>
        </w:trPr>
        <w:tc>
          <w:tcPr>
            <w:tcW w:w="704" w:type="dxa"/>
          </w:tcPr>
          <w:p w14:paraId="1003465E" w14:textId="77777777" w:rsidR="001E1112" w:rsidRPr="00317ABF" w:rsidRDefault="001E1112" w:rsidP="00DB3BEC">
            <w:pPr>
              <w:jc w:val="both"/>
              <w:rPr>
                <w:sz w:val="22"/>
                <w:szCs w:val="22"/>
              </w:rPr>
            </w:pPr>
            <w:r w:rsidRPr="00317ABF">
              <w:rPr>
                <w:sz w:val="22"/>
                <w:szCs w:val="22"/>
              </w:rPr>
              <w:lastRenderedPageBreak/>
              <w:t>Art. 49 ust. 3</w:t>
            </w:r>
          </w:p>
        </w:tc>
        <w:tc>
          <w:tcPr>
            <w:tcW w:w="4308" w:type="dxa"/>
          </w:tcPr>
          <w:p w14:paraId="16497BE6" w14:textId="77777777" w:rsidR="001E1112" w:rsidRPr="00317ABF" w:rsidRDefault="001E1112" w:rsidP="00DB3BEC">
            <w:pPr>
              <w:spacing w:before="120"/>
              <w:jc w:val="both"/>
              <w:rPr>
                <w:sz w:val="22"/>
                <w:szCs w:val="22"/>
              </w:rPr>
            </w:pPr>
            <w:r w:rsidRPr="00317ABF">
              <w:rPr>
                <w:sz w:val="22"/>
                <w:szCs w:val="22"/>
              </w:rPr>
              <w:t>3.   Państwa członkowskie mogą odstąpić od stosowania ust. 2 niniejszego artykułu w należycie uzasadnionych następujących przypadkach:</w:t>
            </w:r>
          </w:p>
          <w:tbl>
            <w:tblPr>
              <w:tblW w:w="5000" w:type="pct"/>
              <w:tblCellSpacing w:w="0" w:type="dxa"/>
              <w:tblLayout w:type="fixed"/>
              <w:tblCellMar>
                <w:left w:w="0" w:type="dxa"/>
                <w:right w:w="0" w:type="dxa"/>
              </w:tblCellMar>
              <w:tblLook w:val="04A0" w:firstRow="1" w:lastRow="0" w:firstColumn="1" w:lastColumn="0" w:noHBand="0" w:noVBand="1"/>
            </w:tblPr>
            <w:tblGrid>
              <w:gridCol w:w="20"/>
              <w:gridCol w:w="4148"/>
            </w:tblGrid>
            <w:tr w:rsidR="001E1112" w:rsidRPr="00317ABF" w14:paraId="7F2EF185" w14:textId="77777777" w:rsidTr="00A462BE">
              <w:trPr>
                <w:tblCellSpacing w:w="0" w:type="dxa"/>
              </w:trPr>
              <w:tc>
                <w:tcPr>
                  <w:tcW w:w="6" w:type="dxa"/>
                  <w:hideMark/>
                </w:tcPr>
                <w:p w14:paraId="0CC95B50" w14:textId="77777777" w:rsidR="001E1112" w:rsidRPr="00317ABF" w:rsidRDefault="001E1112" w:rsidP="00EE0AC3">
                  <w:pPr>
                    <w:framePr w:hSpace="141" w:wrap="around" w:vAnchor="text" w:hAnchor="text" w:xAlign="right" w:y="1"/>
                    <w:spacing w:before="120"/>
                    <w:suppressOverlap/>
                    <w:jc w:val="both"/>
                    <w:rPr>
                      <w:sz w:val="22"/>
                      <w:szCs w:val="22"/>
                    </w:rPr>
                  </w:pPr>
                </w:p>
              </w:tc>
              <w:tc>
                <w:tcPr>
                  <w:tcW w:w="9066" w:type="dxa"/>
                  <w:hideMark/>
                </w:tcPr>
                <w:p w14:paraId="7871AAE2" w14:textId="77777777" w:rsidR="001E1112" w:rsidRPr="00317ABF" w:rsidRDefault="001E1112" w:rsidP="00EE0AC3">
                  <w:pPr>
                    <w:framePr w:hSpace="141" w:wrap="around" w:vAnchor="text" w:hAnchor="text" w:xAlign="right" w:y="1"/>
                    <w:numPr>
                      <w:ilvl w:val="0"/>
                      <w:numId w:val="36"/>
                    </w:numPr>
                    <w:spacing w:before="120"/>
                    <w:suppressOverlap/>
                    <w:jc w:val="both"/>
                    <w:rPr>
                      <w:sz w:val="22"/>
                      <w:szCs w:val="22"/>
                    </w:rPr>
                  </w:pPr>
                  <w:r w:rsidRPr="00317ABF">
                    <w:rPr>
                      <w:sz w:val="22"/>
                      <w:szCs w:val="22"/>
                    </w:rPr>
                    <w:t>w ograniczonych obszarach geograficznych, w których dostęp do szybkich sieci jest znacznie utrudniony lub jest niemożliwy i gdy jest to konieczne do zapewnienia realizacji celów określonych w art. 45 ust. 2;</w:t>
                  </w:r>
                </w:p>
              </w:tc>
            </w:tr>
          </w:tbl>
          <w:p w14:paraId="1BB14473" w14:textId="77777777" w:rsidR="001E1112" w:rsidRPr="00317ABF" w:rsidRDefault="001E1112" w:rsidP="00DB3BEC">
            <w:pPr>
              <w:jc w:val="both"/>
              <w:rPr>
                <w:vanish/>
                <w:sz w:val="22"/>
                <w:szCs w:val="22"/>
              </w:rPr>
            </w:pPr>
          </w:p>
          <w:tbl>
            <w:tblPr>
              <w:tblW w:w="5000" w:type="pct"/>
              <w:tblCellSpacing w:w="0" w:type="dxa"/>
              <w:tblLayout w:type="fixed"/>
              <w:tblCellMar>
                <w:left w:w="0" w:type="dxa"/>
                <w:right w:w="0" w:type="dxa"/>
              </w:tblCellMar>
              <w:tblLook w:val="04A0" w:firstRow="1" w:lastRow="0" w:firstColumn="1" w:lastColumn="0" w:noHBand="0" w:noVBand="1"/>
            </w:tblPr>
            <w:tblGrid>
              <w:gridCol w:w="20"/>
              <w:gridCol w:w="4148"/>
            </w:tblGrid>
            <w:tr w:rsidR="001E1112" w:rsidRPr="00317ABF" w14:paraId="372A87E2" w14:textId="77777777" w:rsidTr="00A462BE">
              <w:trPr>
                <w:tblCellSpacing w:w="0" w:type="dxa"/>
              </w:trPr>
              <w:tc>
                <w:tcPr>
                  <w:tcW w:w="10" w:type="dxa"/>
                  <w:hideMark/>
                </w:tcPr>
                <w:p w14:paraId="7B928E39" w14:textId="77777777" w:rsidR="001E1112" w:rsidRPr="00317ABF" w:rsidRDefault="001E1112" w:rsidP="00EE0AC3">
                  <w:pPr>
                    <w:framePr w:hSpace="141" w:wrap="around" w:vAnchor="text" w:hAnchor="text" w:xAlign="right" w:y="1"/>
                    <w:spacing w:before="120"/>
                    <w:suppressOverlap/>
                    <w:jc w:val="both"/>
                    <w:rPr>
                      <w:sz w:val="22"/>
                      <w:szCs w:val="22"/>
                    </w:rPr>
                  </w:pPr>
                </w:p>
              </w:tc>
              <w:tc>
                <w:tcPr>
                  <w:tcW w:w="9062" w:type="dxa"/>
                  <w:hideMark/>
                </w:tcPr>
                <w:p w14:paraId="6B733FC9" w14:textId="77777777" w:rsidR="001E1112" w:rsidRPr="00317ABF" w:rsidRDefault="001E1112" w:rsidP="00EE0AC3">
                  <w:pPr>
                    <w:framePr w:hSpace="141" w:wrap="around" w:vAnchor="text" w:hAnchor="text" w:xAlign="right" w:y="1"/>
                    <w:numPr>
                      <w:ilvl w:val="0"/>
                      <w:numId w:val="36"/>
                    </w:numPr>
                    <w:spacing w:before="120"/>
                    <w:suppressOverlap/>
                    <w:jc w:val="both"/>
                    <w:rPr>
                      <w:sz w:val="22"/>
                      <w:szCs w:val="22"/>
                    </w:rPr>
                  </w:pPr>
                  <w:r w:rsidRPr="00317ABF">
                    <w:rPr>
                      <w:sz w:val="22"/>
                      <w:szCs w:val="22"/>
                    </w:rPr>
                    <w:t>w przypadku konkretnych projektów krótkoterminowych;</w:t>
                  </w:r>
                </w:p>
              </w:tc>
            </w:tr>
          </w:tbl>
          <w:p w14:paraId="18079FA4" w14:textId="77777777" w:rsidR="001E1112" w:rsidRPr="00317ABF" w:rsidRDefault="001E1112" w:rsidP="00DB3BEC">
            <w:pPr>
              <w:jc w:val="both"/>
              <w:rPr>
                <w:vanish/>
                <w:sz w:val="22"/>
                <w:szCs w:val="22"/>
              </w:rPr>
            </w:pPr>
          </w:p>
          <w:tbl>
            <w:tblPr>
              <w:tblW w:w="5000" w:type="pct"/>
              <w:tblCellSpacing w:w="0" w:type="dxa"/>
              <w:tblLayout w:type="fixed"/>
              <w:tblCellMar>
                <w:left w:w="0" w:type="dxa"/>
                <w:right w:w="0" w:type="dxa"/>
              </w:tblCellMar>
              <w:tblLook w:val="04A0" w:firstRow="1" w:lastRow="0" w:firstColumn="1" w:lastColumn="0" w:noHBand="0" w:noVBand="1"/>
            </w:tblPr>
            <w:tblGrid>
              <w:gridCol w:w="20"/>
              <w:gridCol w:w="4148"/>
            </w:tblGrid>
            <w:tr w:rsidR="001E1112" w:rsidRPr="00317ABF" w14:paraId="344CE3BB" w14:textId="77777777" w:rsidTr="00A462BE">
              <w:trPr>
                <w:tblCellSpacing w:w="0" w:type="dxa"/>
              </w:trPr>
              <w:tc>
                <w:tcPr>
                  <w:tcW w:w="12" w:type="dxa"/>
                  <w:hideMark/>
                </w:tcPr>
                <w:p w14:paraId="40115F30" w14:textId="77777777" w:rsidR="001E1112" w:rsidRPr="00317ABF" w:rsidRDefault="001E1112" w:rsidP="00EE0AC3">
                  <w:pPr>
                    <w:framePr w:hSpace="141" w:wrap="around" w:vAnchor="text" w:hAnchor="text" w:xAlign="right" w:y="1"/>
                    <w:spacing w:before="120"/>
                    <w:suppressOverlap/>
                    <w:jc w:val="both"/>
                    <w:rPr>
                      <w:sz w:val="22"/>
                      <w:szCs w:val="22"/>
                    </w:rPr>
                  </w:pPr>
                </w:p>
              </w:tc>
              <w:tc>
                <w:tcPr>
                  <w:tcW w:w="9060" w:type="dxa"/>
                  <w:hideMark/>
                </w:tcPr>
                <w:p w14:paraId="28D3534D" w14:textId="77777777" w:rsidR="001E1112" w:rsidRPr="00317ABF" w:rsidRDefault="001E1112" w:rsidP="00EE0AC3">
                  <w:pPr>
                    <w:framePr w:hSpace="141" w:wrap="around" w:vAnchor="text" w:hAnchor="text" w:xAlign="right" w:y="1"/>
                    <w:numPr>
                      <w:ilvl w:val="0"/>
                      <w:numId w:val="36"/>
                    </w:numPr>
                    <w:spacing w:before="120"/>
                    <w:suppressOverlap/>
                    <w:jc w:val="both"/>
                    <w:rPr>
                      <w:sz w:val="22"/>
                      <w:szCs w:val="22"/>
                    </w:rPr>
                  </w:pPr>
                  <w:r w:rsidRPr="00317ABF">
                    <w:rPr>
                      <w:sz w:val="22"/>
                      <w:szCs w:val="22"/>
                    </w:rPr>
                    <w:t>w przypadku użytkowania eksperymentalnego;</w:t>
                  </w:r>
                </w:p>
              </w:tc>
            </w:tr>
          </w:tbl>
          <w:p w14:paraId="5DBC631D" w14:textId="77777777" w:rsidR="001E1112" w:rsidRPr="00317ABF" w:rsidRDefault="001E1112" w:rsidP="00DB3BEC">
            <w:pPr>
              <w:jc w:val="both"/>
              <w:rPr>
                <w:vanish/>
                <w:sz w:val="22"/>
                <w:szCs w:val="22"/>
              </w:rPr>
            </w:pPr>
          </w:p>
          <w:tbl>
            <w:tblPr>
              <w:tblW w:w="5000" w:type="pct"/>
              <w:tblCellSpacing w:w="0" w:type="dxa"/>
              <w:tblLayout w:type="fixed"/>
              <w:tblCellMar>
                <w:left w:w="0" w:type="dxa"/>
                <w:right w:w="0" w:type="dxa"/>
              </w:tblCellMar>
              <w:tblLook w:val="04A0" w:firstRow="1" w:lastRow="0" w:firstColumn="1" w:lastColumn="0" w:noHBand="0" w:noVBand="1"/>
            </w:tblPr>
            <w:tblGrid>
              <w:gridCol w:w="20"/>
              <w:gridCol w:w="4148"/>
            </w:tblGrid>
            <w:tr w:rsidR="001E1112" w:rsidRPr="00317ABF" w14:paraId="7C3FDCE2" w14:textId="77777777" w:rsidTr="00A462BE">
              <w:trPr>
                <w:tblCellSpacing w:w="0" w:type="dxa"/>
              </w:trPr>
              <w:tc>
                <w:tcPr>
                  <w:tcW w:w="6" w:type="dxa"/>
                  <w:hideMark/>
                </w:tcPr>
                <w:p w14:paraId="659666EB" w14:textId="77777777" w:rsidR="001E1112" w:rsidRPr="00317ABF" w:rsidRDefault="001E1112" w:rsidP="00EE0AC3">
                  <w:pPr>
                    <w:framePr w:hSpace="141" w:wrap="around" w:vAnchor="text" w:hAnchor="text" w:xAlign="right" w:y="1"/>
                    <w:spacing w:before="120"/>
                    <w:suppressOverlap/>
                    <w:jc w:val="both"/>
                    <w:rPr>
                      <w:sz w:val="22"/>
                      <w:szCs w:val="22"/>
                    </w:rPr>
                  </w:pPr>
                </w:p>
              </w:tc>
              <w:tc>
                <w:tcPr>
                  <w:tcW w:w="9066" w:type="dxa"/>
                  <w:hideMark/>
                </w:tcPr>
                <w:p w14:paraId="4FDCC1E7" w14:textId="77777777" w:rsidR="001E1112" w:rsidRPr="00317ABF" w:rsidRDefault="001E1112" w:rsidP="00EE0AC3">
                  <w:pPr>
                    <w:framePr w:hSpace="141" w:wrap="around" w:vAnchor="text" w:hAnchor="text" w:xAlign="right" w:y="1"/>
                    <w:numPr>
                      <w:ilvl w:val="0"/>
                      <w:numId w:val="36"/>
                    </w:numPr>
                    <w:spacing w:before="120"/>
                    <w:suppressOverlap/>
                    <w:jc w:val="both"/>
                    <w:rPr>
                      <w:sz w:val="22"/>
                      <w:szCs w:val="22"/>
                    </w:rPr>
                  </w:pPr>
                  <w:r w:rsidRPr="00317ABF">
                    <w:rPr>
                      <w:sz w:val="22"/>
                      <w:szCs w:val="22"/>
                    </w:rPr>
                    <w:t>w przypadku wykorzystywania widma radiowego, które zgodnie z art. 45 ust. 4 i 5 może funkcjonować jednocześnie z usługami bezprzewodowej szerokopasmowej łączności; lub</w:t>
                  </w:r>
                </w:p>
              </w:tc>
            </w:tr>
          </w:tbl>
          <w:p w14:paraId="27E573D0" w14:textId="77777777" w:rsidR="001E1112" w:rsidRPr="00317ABF" w:rsidRDefault="001E1112" w:rsidP="00DB3BEC">
            <w:pPr>
              <w:jc w:val="both"/>
              <w:rPr>
                <w:vanish/>
                <w:sz w:val="22"/>
                <w:szCs w:val="22"/>
              </w:rPr>
            </w:pPr>
          </w:p>
          <w:tbl>
            <w:tblPr>
              <w:tblW w:w="4766" w:type="pct"/>
              <w:tblCellSpacing w:w="0" w:type="dxa"/>
              <w:tblLayout w:type="fixed"/>
              <w:tblCellMar>
                <w:left w:w="0" w:type="dxa"/>
                <w:right w:w="0" w:type="dxa"/>
              </w:tblCellMar>
              <w:tblLook w:val="04A0" w:firstRow="1" w:lastRow="0" w:firstColumn="1" w:lastColumn="0" w:noHBand="0" w:noVBand="1"/>
            </w:tblPr>
            <w:tblGrid>
              <w:gridCol w:w="20"/>
              <w:gridCol w:w="3953"/>
            </w:tblGrid>
            <w:tr w:rsidR="001E1112" w:rsidRPr="00317ABF" w14:paraId="7C61318D" w14:textId="77777777" w:rsidTr="00A462BE">
              <w:trPr>
                <w:tblCellSpacing w:w="0" w:type="dxa"/>
              </w:trPr>
              <w:tc>
                <w:tcPr>
                  <w:tcW w:w="6" w:type="dxa"/>
                  <w:hideMark/>
                </w:tcPr>
                <w:p w14:paraId="53FC8B84" w14:textId="77777777" w:rsidR="001E1112" w:rsidRPr="00317ABF" w:rsidRDefault="001E1112" w:rsidP="00EE0AC3">
                  <w:pPr>
                    <w:framePr w:hSpace="141" w:wrap="around" w:vAnchor="text" w:hAnchor="text" w:xAlign="right" w:y="1"/>
                    <w:spacing w:before="120"/>
                    <w:suppressOverlap/>
                    <w:jc w:val="both"/>
                    <w:rPr>
                      <w:sz w:val="22"/>
                      <w:szCs w:val="22"/>
                    </w:rPr>
                  </w:pPr>
                </w:p>
              </w:tc>
              <w:tc>
                <w:tcPr>
                  <w:tcW w:w="4997" w:type="pct"/>
                  <w:hideMark/>
                </w:tcPr>
                <w:p w14:paraId="3F862735" w14:textId="77777777" w:rsidR="001E1112" w:rsidRPr="00317ABF" w:rsidRDefault="001E1112" w:rsidP="00EE0AC3">
                  <w:pPr>
                    <w:framePr w:hSpace="141" w:wrap="around" w:vAnchor="text" w:hAnchor="text" w:xAlign="right" w:y="1"/>
                    <w:numPr>
                      <w:ilvl w:val="0"/>
                      <w:numId w:val="36"/>
                    </w:numPr>
                    <w:spacing w:before="120"/>
                    <w:suppressOverlap/>
                    <w:jc w:val="both"/>
                    <w:rPr>
                      <w:sz w:val="22"/>
                      <w:szCs w:val="22"/>
                    </w:rPr>
                  </w:pPr>
                  <w:r w:rsidRPr="00317ABF">
                    <w:rPr>
                      <w:sz w:val="22"/>
                      <w:szCs w:val="22"/>
                    </w:rPr>
                    <w:t>w przypadku alternatywnego wykorzystywania widma radiowego zgodnie z art. 45 ust. 3.</w:t>
                  </w:r>
                </w:p>
              </w:tc>
            </w:tr>
          </w:tbl>
          <w:p w14:paraId="760DAE74" w14:textId="77777777" w:rsidR="001E1112" w:rsidRPr="00317ABF" w:rsidRDefault="001E1112" w:rsidP="00DB3BEC">
            <w:pPr>
              <w:spacing w:before="120"/>
              <w:jc w:val="both"/>
              <w:rPr>
                <w:sz w:val="22"/>
                <w:szCs w:val="22"/>
              </w:rPr>
            </w:pPr>
          </w:p>
        </w:tc>
        <w:tc>
          <w:tcPr>
            <w:tcW w:w="986" w:type="dxa"/>
          </w:tcPr>
          <w:p w14:paraId="179BB159" w14:textId="542D77D7" w:rsidR="001E1112" w:rsidRPr="00317ABF" w:rsidRDefault="001E1112" w:rsidP="00DB3BEC">
            <w:pPr>
              <w:jc w:val="both"/>
              <w:rPr>
                <w:sz w:val="22"/>
                <w:szCs w:val="22"/>
              </w:rPr>
            </w:pPr>
            <w:r w:rsidRPr="00317ABF">
              <w:rPr>
                <w:sz w:val="22"/>
                <w:szCs w:val="22"/>
              </w:rPr>
              <w:t>N</w:t>
            </w:r>
          </w:p>
        </w:tc>
        <w:tc>
          <w:tcPr>
            <w:tcW w:w="910" w:type="dxa"/>
          </w:tcPr>
          <w:p w14:paraId="7955E85B" w14:textId="7DF544C6" w:rsidR="001E1112" w:rsidRPr="00317ABF" w:rsidRDefault="001E1112" w:rsidP="00DB3BEC">
            <w:pPr>
              <w:pStyle w:val="Tekstpodstawowy"/>
              <w:rPr>
                <w:b/>
                <w:bCs/>
                <w:noProof/>
                <w:sz w:val="22"/>
                <w:szCs w:val="22"/>
              </w:rPr>
            </w:pPr>
            <w:r w:rsidRPr="00317ABF">
              <w:rPr>
                <w:b/>
                <w:bCs/>
                <w:noProof/>
                <w:sz w:val="22"/>
                <w:szCs w:val="22"/>
              </w:rPr>
              <w:t xml:space="preserve">Art. </w:t>
            </w:r>
            <w:r w:rsidR="00B02A3D" w:rsidRPr="00317ABF">
              <w:rPr>
                <w:b/>
                <w:bCs/>
                <w:noProof/>
                <w:sz w:val="22"/>
                <w:szCs w:val="22"/>
              </w:rPr>
              <w:t>80</w:t>
            </w:r>
            <w:r w:rsidRPr="00317ABF">
              <w:rPr>
                <w:b/>
                <w:bCs/>
                <w:noProof/>
                <w:sz w:val="22"/>
                <w:szCs w:val="22"/>
              </w:rPr>
              <w:t xml:space="preserve"> ust. 3 pkt 2</w:t>
            </w:r>
          </w:p>
        </w:tc>
        <w:tc>
          <w:tcPr>
            <w:tcW w:w="6814" w:type="dxa"/>
            <w:gridSpan w:val="2"/>
          </w:tcPr>
          <w:p w14:paraId="04216973" w14:textId="26B3B1E1" w:rsidR="001E1112" w:rsidRPr="00317ABF" w:rsidRDefault="001E1112" w:rsidP="00DB3BEC">
            <w:pPr>
              <w:ind w:firstLine="510"/>
              <w:jc w:val="both"/>
              <w:rPr>
                <w:sz w:val="22"/>
                <w:szCs w:val="22"/>
              </w:rPr>
            </w:pPr>
            <w:r w:rsidRPr="00317ABF">
              <w:rPr>
                <w:rFonts w:eastAsia="Times"/>
                <w:sz w:val="22"/>
                <w:szCs w:val="22"/>
              </w:rPr>
              <w:t>3. Prezes UKE może dokonać rezerwacji częstotliwości zharmonizowanych na potrzeby systemów szerokopasmowych na czas krótszy niż określony w ust. 1:</w:t>
            </w:r>
          </w:p>
          <w:p w14:paraId="5E34A2E7" w14:textId="7E97584B" w:rsidR="001E1112" w:rsidRPr="00317ABF" w:rsidRDefault="001E1112" w:rsidP="00DB3BEC">
            <w:pPr>
              <w:ind w:left="510" w:hanging="510"/>
              <w:jc w:val="both"/>
              <w:rPr>
                <w:sz w:val="22"/>
                <w:szCs w:val="22"/>
              </w:rPr>
            </w:pPr>
            <w:r w:rsidRPr="00317ABF">
              <w:rPr>
                <w:rFonts w:eastAsia="Times"/>
                <w:sz w:val="22"/>
                <w:szCs w:val="22"/>
              </w:rPr>
              <w:t xml:space="preserve">2)     </w:t>
            </w:r>
            <w:r w:rsidR="00B02A3D" w:rsidRPr="00317ABF">
              <w:t xml:space="preserve"> </w:t>
            </w:r>
            <w:r w:rsidR="00B02A3D" w:rsidRPr="00317ABF">
              <w:rPr>
                <w:sz w:val="22"/>
                <w:szCs w:val="22"/>
              </w:rPr>
              <w:t>w przypadku gdy rezerwacja częstotliwości umożliwia ich alternatywne wykorzystanie.</w:t>
            </w:r>
          </w:p>
          <w:p w14:paraId="47A1F791" w14:textId="1B2BFA0D" w:rsidR="001E1112" w:rsidRPr="00317ABF" w:rsidRDefault="001E1112" w:rsidP="00DB3BEC">
            <w:pPr>
              <w:jc w:val="both"/>
              <w:rPr>
                <w:sz w:val="22"/>
                <w:szCs w:val="22"/>
              </w:rPr>
            </w:pPr>
          </w:p>
        </w:tc>
      </w:tr>
      <w:tr w:rsidR="001E1112" w:rsidRPr="00317ABF" w14:paraId="1576DE4E" w14:textId="77777777" w:rsidTr="7753F98D">
        <w:trPr>
          <w:gridAfter w:val="2"/>
          <w:wAfter w:w="175" w:type="dxa"/>
        </w:trPr>
        <w:tc>
          <w:tcPr>
            <w:tcW w:w="704" w:type="dxa"/>
          </w:tcPr>
          <w:p w14:paraId="14349803" w14:textId="77777777" w:rsidR="001E1112" w:rsidRPr="00317ABF" w:rsidRDefault="001E1112" w:rsidP="00DB3BEC">
            <w:pPr>
              <w:jc w:val="both"/>
              <w:rPr>
                <w:sz w:val="22"/>
                <w:szCs w:val="22"/>
              </w:rPr>
            </w:pPr>
            <w:r w:rsidRPr="00317ABF">
              <w:rPr>
                <w:sz w:val="22"/>
                <w:szCs w:val="22"/>
              </w:rPr>
              <w:t>Art. 49 ust. 4</w:t>
            </w:r>
          </w:p>
        </w:tc>
        <w:tc>
          <w:tcPr>
            <w:tcW w:w="4308" w:type="dxa"/>
          </w:tcPr>
          <w:p w14:paraId="77AAA6E9" w14:textId="77777777" w:rsidR="001E1112" w:rsidRPr="00317ABF" w:rsidRDefault="001E1112" w:rsidP="00DB3BEC">
            <w:pPr>
              <w:spacing w:before="120"/>
              <w:jc w:val="both"/>
              <w:rPr>
                <w:sz w:val="22"/>
                <w:szCs w:val="22"/>
              </w:rPr>
            </w:pPr>
            <w:r w:rsidRPr="00317ABF">
              <w:rPr>
                <w:sz w:val="22"/>
                <w:szCs w:val="22"/>
              </w:rPr>
              <w:t>4.   Państwa członkowskie mogą dostosować czas obowiązywania praw określony w niniejszym artykule, aby zapewnić jednoczesne wygaśnięcie okresu obowiązywania praw w jednym paśmie lub kilku pasmach.</w:t>
            </w:r>
          </w:p>
        </w:tc>
        <w:tc>
          <w:tcPr>
            <w:tcW w:w="986" w:type="dxa"/>
          </w:tcPr>
          <w:p w14:paraId="0959290F" w14:textId="76723685" w:rsidR="001E1112" w:rsidRPr="00317ABF" w:rsidRDefault="001E1112" w:rsidP="00DB3BEC">
            <w:pPr>
              <w:jc w:val="both"/>
              <w:rPr>
                <w:sz w:val="22"/>
                <w:szCs w:val="22"/>
              </w:rPr>
            </w:pPr>
            <w:r w:rsidRPr="00317ABF">
              <w:rPr>
                <w:sz w:val="22"/>
                <w:szCs w:val="22"/>
              </w:rPr>
              <w:t>N</w:t>
            </w:r>
          </w:p>
        </w:tc>
        <w:tc>
          <w:tcPr>
            <w:tcW w:w="910" w:type="dxa"/>
          </w:tcPr>
          <w:p w14:paraId="365386CD" w14:textId="56B5F01A" w:rsidR="001E1112" w:rsidRPr="00317ABF" w:rsidRDefault="00DB3BEC" w:rsidP="00DB3BEC">
            <w:pPr>
              <w:pStyle w:val="Tekstpodstawowy"/>
              <w:rPr>
                <w:b/>
                <w:bCs/>
                <w:noProof/>
                <w:sz w:val="22"/>
                <w:szCs w:val="22"/>
              </w:rPr>
            </w:pPr>
            <w:r w:rsidRPr="00317ABF">
              <w:rPr>
                <w:b/>
                <w:bCs/>
                <w:noProof/>
                <w:sz w:val="22"/>
                <w:szCs w:val="22"/>
              </w:rPr>
              <w:t xml:space="preserve">Art. </w:t>
            </w:r>
            <w:r w:rsidR="00C4262E" w:rsidRPr="00317ABF">
              <w:rPr>
                <w:b/>
                <w:bCs/>
                <w:noProof/>
                <w:sz w:val="22"/>
                <w:szCs w:val="22"/>
              </w:rPr>
              <w:t>80</w:t>
            </w:r>
            <w:r w:rsidR="001E1112" w:rsidRPr="00317ABF">
              <w:rPr>
                <w:b/>
                <w:bCs/>
                <w:noProof/>
                <w:sz w:val="22"/>
                <w:szCs w:val="22"/>
              </w:rPr>
              <w:t xml:space="preserve"> ust. 3 pkt 1</w:t>
            </w:r>
          </w:p>
        </w:tc>
        <w:tc>
          <w:tcPr>
            <w:tcW w:w="6814" w:type="dxa"/>
            <w:gridSpan w:val="2"/>
          </w:tcPr>
          <w:p w14:paraId="0E61912D" w14:textId="73FF002C" w:rsidR="001E1112" w:rsidRPr="00317ABF" w:rsidRDefault="001E1112" w:rsidP="00DB3BEC">
            <w:pPr>
              <w:ind w:firstLine="510"/>
              <w:jc w:val="both"/>
              <w:rPr>
                <w:sz w:val="22"/>
                <w:szCs w:val="22"/>
              </w:rPr>
            </w:pPr>
            <w:r w:rsidRPr="00317ABF">
              <w:rPr>
                <w:rFonts w:eastAsia="Times"/>
                <w:sz w:val="22"/>
                <w:szCs w:val="22"/>
              </w:rPr>
              <w:t>3. Prezes UKE może dokonać rezerwacji częstotliwości zharmonizowanych na potrzeby systemów szerokopasmowych na czas krótszy niż określony w ust. 1:</w:t>
            </w:r>
          </w:p>
          <w:p w14:paraId="422B6944" w14:textId="4B3B1B90" w:rsidR="001E1112" w:rsidRPr="00317ABF" w:rsidRDefault="001E1112" w:rsidP="00DB3BEC">
            <w:pPr>
              <w:ind w:left="510" w:hanging="510"/>
              <w:jc w:val="both"/>
              <w:rPr>
                <w:sz w:val="22"/>
                <w:szCs w:val="22"/>
              </w:rPr>
            </w:pPr>
            <w:r w:rsidRPr="00317ABF">
              <w:rPr>
                <w:rFonts w:eastAsia="Times"/>
                <w:sz w:val="22"/>
                <w:szCs w:val="22"/>
              </w:rPr>
              <w:t>1)  w przypadku konieczności dostosowania czasu obowiązywania rezerwacji częstotliwości do innych rezerwacji częstotliwości o analogicznych właściwościach;</w:t>
            </w:r>
          </w:p>
          <w:p w14:paraId="582CAAFF" w14:textId="2BC77214" w:rsidR="001E1112" w:rsidRPr="00317ABF" w:rsidRDefault="001E1112" w:rsidP="00DB3BEC">
            <w:pPr>
              <w:jc w:val="both"/>
              <w:rPr>
                <w:sz w:val="22"/>
                <w:szCs w:val="22"/>
              </w:rPr>
            </w:pPr>
          </w:p>
        </w:tc>
      </w:tr>
      <w:tr w:rsidR="001E1112" w:rsidRPr="00317ABF" w14:paraId="6919FE74" w14:textId="77777777" w:rsidTr="7753F98D">
        <w:trPr>
          <w:gridAfter w:val="2"/>
          <w:wAfter w:w="175" w:type="dxa"/>
        </w:trPr>
        <w:tc>
          <w:tcPr>
            <w:tcW w:w="704" w:type="dxa"/>
          </w:tcPr>
          <w:p w14:paraId="5B313355" w14:textId="77777777" w:rsidR="001E1112" w:rsidRPr="00317ABF" w:rsidRDefault="001E1112" w:rsidP="00DB3BEC">
            <w:pPr>
              <w:jc w:val="both"/>
              <w:rPr>
                <w:b/>
                <w:sz w:val="22"/>
                <w:szCs w:val="22"/>
              </w:rPr>
            </w:pPr>
            <w:r w:rsidRPr="00317ABF">
              <w:rPr>
                <w:b/>
                <w:sz w:val="22"/>
                <w:szCs w:val="22"/>
              </w:rPr>
              <w:lastRenderedPageBreak/>
              <w:t xml:space="preserve">Art. 50 </w:t>
            </w:r>
          </w:p>
        </w:tc>
        <w:tc>
          <w:tcPr>
            <w:tcW w:w="4308" w:type="dxa"/>
          </w:tcPr>
          <w:p w14:paraId="02446A2A" w14:textId="77777777" w:rsidR="001E1112" w:rsidRPr="00317ABF" w:rsidRDefault="001E1112" w:rsidP="00DB3BEC">
            <w:pPr>
              <w:spacing w:before="120"/>
              <w:jc w:val="both"/>
              <w:rPr>
                <w:sz w:val="22"/>
                <w:szCs w:val="22"/>
              </w:rPr>
            </w:pPr>
            <w:r w:rsidRPr="00317ABF">
              <w:rPr>
                <w:b/>
                <w:bCs/>
                <w:sz w:val="22"/>
                <w:szCs w:val="22"/>
              </w:rPr>
              <w:t>Odnowienie indywidualnych praw użytkowania zharmonizowanego widma radiowego</w:t>
            </w:r>
          </w:p>
        </w:tc>
        <w:tc>
          <w:tcPr>
            <w:tcW w:w="986" w:type="dxa"/>
          </w:tcPr>
          <w:p w14:paraId="718EF448" w14:textId="77777777" w:rsidR="001E1112" w:rsidRPr="00317ABF" w:rsidRDefault="001E1112" w:rsidP="00DB3BEC">
            <w:pPr>
              <w:jc w:val="both"/>
              <w:rPr>
                <w:sz w:val="22"/>
                <w:szCs w:val="22"/>
              </w:rPr>
            </w:pPr>
          </w:p>
        </w:tc>
        <w:tc>
          <w:tcPr>
            <w:tcW w:w="910" w:type="dxa"/>
          </w:tcPr>
          <w:p w14:paraId="1985FB31" w14:textId="77777777" w:rsidR="001E1112" w:rsidRPr="00317ABF" w:rsidRDefault="001E1112" w:rsidP="00DB3BEC">
            <w:pPr>
              <w:pStyle w:val="Tekstpodstawowy"/>
              <w:rPr>
                <w:b/>
                <w:noProof/>
                <w:sz w:val="22"/>
                <w:szCs w:val="22"/>
              </w:rPr>
            </w:pPr>
          </w:p>
        </w:tc>
        <w:tc>
          <w:tcPr>
            <w:tcW w:w="6814" w:type="dxa"/>
            <w:gridSpan w:val="2"/>
          </w:tcPr>
          <w:p w14:paraId="1F521B06" w14:textId="77777777" w:rsidR="001E1112" w:rsidRPr="00317ABF" w:rsidRDefault="001E1112" w:rsidP="00DB3BEC">
            <w:pPr>
              <w:pStyle w:val="Tekstpodstawowy"/>
              <w:rPr>
                <w:sz w:val="22"/>
                <w:szCs w:val="22"/>
              </w:rPr>
            </w:pPr>
          </w:p>
        </w:tc>
      </w:tr>
      <w:tr w:rsidR="001E1112" w:rsidRPr="00317ABF" w14:paraId="4FFB14BF" w14:textId="77777777" w:rsidTr="7753F98D">
        <w:trPr>
          <w:gridAfter w:val="2"/>
          <w:wAfter w:w="175" w:type="dxa"/>
        </w:trPr>
        <w:tc>
          <w:tcPr>
            <w:tcW w:w="704" w:type="dxa"/>
          </w:tcPr>
          <w:p w14:paraId="7C41F7B4" w14:textId="77777777" w:rsidR="001E1112" w:rsidRPr="00317ABF" w:rsidRDefault="001E1112" w:rsidP="00DB3BEC">
            <w:pPr>
              <w:jc w:val="both"/>
              <w:rPr>
                <w:sz w:val="22"/>
                <w:szCs w:val="22"/>
              </w:rPr>
            </w:pPr>
            <w:r w:rsidRPr="00317ABF">
              <w:rPr>
                <w:sz w:val="22"/>
                <w:szCs w:val="22"/>
              </w:rPr>
              <w:t>Art. 50 ust.  1</w:t>
            </w:r>
          </w:p>
        </w:tc>
        <w:tc>
          <w:tcPr>
            <w:tcW w:w="4308" w:type="dxa"/>
          </w:tcPr>
          <w:p w14:paraId="5483765D" w14:textId="77777777" w:rsidR="001E1112" w:rsidRPr="00317ABF" w:rsidRDefault="001E1112" w:rsidP="00DB3BEC">
            <w:pPr>
              <w:spacing w:before="120"/>
              <w:jc w:val="both"/>
              <w:rPr>
                <w:sz w:val="22"/>
                <w:szCs w:val="22"/>
              </w:rPr>
            </w:pPr>
            <w:r w:rsidRPr="00317ABF">
              <w:rPr>
                <w:sz w:val="22"/>
                <w:szCs w:val="22"/>
              </w:rPr>
              <w:t>1.   Krajowe organy regulacyjne lub inne właściwe organy podejmują decyzję w sprawie odnowienia indywidualnych praw użytkowania zharmonizowanego widma radiowego odpowiednio wcześnie przed wygaśnięciem okresu obowiązywania tych praw z wyjątkiem gdy w momencie przeznaczenia wyraźnie wykluczono możliwość odnowienia. Do tego celu organy te oceniają potrzebę takiego odnowienia z własnej inicjatywy lub na wniosek posiadacza praw, przy czym w tym drugim przypadku nie wcześniej niż pięć lat przed wygaśnięciem okresu obowiązywania danych praw. Powyższa procedura pozostaje bez uszczerbku dla klauzul regulujących odnowienie praw mających zastosowanie do istniejących praw.</w:t>
            </w:r>
          </w:p>
        </w:tc>
        <w:tc>
          <w:tcPr>
            <w:tcW w:w="986" w:type="dxa"/>
          </w:tcPr>
          <w:p w14:paraId="447B2103" w14:textId="36E897EB" w:rsidR="001E1112" w:rsidRPr="00317ABF" w:rsidRDefault="001E1112" w:rsidP="00DB3BEC">
            <w:pPr>
              <w:jc w:val="both"/>
              <w:rPr>
                <w:sz w:val="22"/>
                <w:szCs w:val="22"/>
              </w:rPr>
            </w:pPr>
            <w:r w:rsidRPr="00317ABF">
              <w:rPr>
                <w:sz w:val="22"/>
                <w:szCs w:val="22"/>
              </w:rPr>
              <w:t>T</w:t>
            </w:r>
          </w:p>
        </w:tc>
        <w:tc>
          <w:tcPr>
            <w:tcW w:w="910" w:type="dxa"/>
          </w:tcPr>
          <w:p w14:paraId="3F0BC072" w14:textId="70CC57EB" w:rsidR="001E1112" w:rsidRPr="00317ABF" w:rsidRDefault="001E1112" w:rsidP="00DB3BEC">
            <w:pPr>
              <w:pStyle w:val="Tekstpodstawowy"/>
              <w:rPr>
                <w:b/>
                <w:bCs/>
                <w:noProof/>
                <w:sz w:val="22"/>
                <w:szCs w:val="22"/>
              </w:rPr>
            </w:pPr>
            <w:r w:rsidRPr="00317ABF">
              <w:rPr>
                <w:b/>
                <w:bCs/>
                <w:noProof/>
                <w:sz w:val="22"/>
                <w:szCs w:val="22"/>
              </w:rPr>
              <w:t xml:space="preserve">Art. </w:t>
            </w:r>
            <w:r w:rsidR="00C4262E" w:rsidRPr="00317ABF">
              <w:rPr>
                <w:b/>
                <w:bCs/>
                <w:noProof/>
                <w:sz w:val="22"/>
                <w:szCs w:val="22"/>
              </w:rPr>
              <w:t>87</w:t>
            </w:r>
            <w:r w:rsidRPr="00317ABF">
              <w:rPr>
                <w:b/>
                <w:bCs/>
                <w:noProof/>
                <w:sz w:val="22"/>
                <w:szCs w:val="22"/>
              </w:rPr>
              <w:t xml:space="preserve"> ust. 3 pkt 8</w:t>
            </w:r>
          </w:p>
          <w:p w14:paraId="296FBDBF" w14:textId="18ADDF1C" w:rsidR="001E1112" w:rsidRPr="00317ABF" w:rsidRDefault="001E1112" w:rsidP="00DB3BEC">
            <w:pPr>
              <w:pStyle w:val="Tekstpodstawowy"/>
              <w:rPr>
                <w:b/>
                <w:bCs/>
                <w:noProof/>
                <w:sz w:val="22"/>
                <w:szCs w:val="22"/>
              </w:rPr>
            </w:pPr>
          </w:p>
          <w:p w14:paraId="1C7DFABA" w14:textId="7F2567E5" w:rsidR="001E1112" w:rsidRPr="00317ABF" w:rsidRDefault="00DB3BEC" w:rsidP="00DB3BEC">
            <w:pPr>
              <w:pStyle w:val="Tekstpodstawowy"/>
              <w:rPr>
                <w:b/>
                <w:bCs/>
                <w:noProof/>
                <w:sz w:val="22"/>
                <w:szCs w:val="22"/>
              </w:rPr>
            </w:pPr>
            <w:r w:rsidRPr="00317ABF">
              <w:rPr>
                <w:b/>
                <w:bCs/>
                <w:noProof/>
                <w:sz w:val="22"/>
                <w:szCs w:val="22"/>
              </w:rPr>
              <w:t xml:space="preserve">Art. </w:t>
            </w:r>
            <w:r w:rsidR="00C4262E" w:rsidRPr="00317ABF">
              <w:rPr>
                <w:b/>
                <w:bCs/>
                <w:noProof/>
                <w:sz w:val="22"/>
                <w:szCs w:val="22"/>
              </w:rPr>
              <w:t>93</w:t>
            </w:r>
            <w:r w:rsidR="001E1112" w:rsidRPr="00317ABF">
              <w:rPr>
                <w:b/>
                <w:bCs/>
                <w:noProof/>
                <w:sz w:val="22"/>
                <w:szCs w:val="22"/>
              </w:rPr>
              <w:t xml:space="preserve"> ust. 1, ust. 8-11</w:t>
            </w:r>
          </w:p>
        </w:tc>
        <w:tc>
          <w:tcPr>
            <w:tcW w:w="6814" w:type="dxa"/>
            <w:gridSpan w:val="2"/>
          </w:tcPr>
          <w:p w14:paraId="08B4C54C" w14:textId="4F643AC3" w:rsidR="001E1112" w:rsidRPr="00317ABF" w:rsidRDefault="001E1112" w:rsidP="00DB3BEC">
            <w:pPr>
              <w:ind w:left="510" w:hanging="510"/>
              <w:jc w:val="both"/>
              <w:rPr>
                <w:sz w:val="22"/>
                <w:szCs w:val="22"/>
              </w:rPr>
            </w:pPr>
            <w:r w:rsidRPr="00317ABF">
              <w:rPr>
                <w:rFonts w:eastAsia="Times"/>
                <w:sz w:val="22"/>
                <w:szCs w:val="22"/>
              </w:rPr>
              <w:t xml:space="preserve">8)     </w:t>
            </w:r>
            <w:r w:rsidRPr="00317ABF">
              <w:rPr>
                <w:rFonts w:eastAsia="Times"/>
              </w:rPr>
              <w:t xml:space="preserve"> </w:t>
            </w:r>
            <w:r w:rsidRPr="00317ABF">
              <w:rPr>
                <w:rFonts w:eastAsia="Times"/>
                <w:sz w:val="22"/>
                <w:szCs w:val="22"/>
              </w:rPr>
              <w:t>wyłączenie możliwości dokonania rezerwacji częstotliwości na kolejny okres.</w:t>
            </w:r>
          </w:p>
          <w:p w14:paraId="5D92E04A" w14:textId="7F8CCEAA" w:rsidR="001E1112" w:rsidRPr="00317ABF" w:rsidRDefault="001E1112" w:rsidP="00DB3BEC">
            <w:pPr>
              <w:jc w:val="both"/>
              <w:rPr>
                <w:b/>
                <w:bCs/>
                <w:sz w:val="22"/>
                <w:szCs w:val="22"/>
              </w:rPr>
            </w:pPr>
          </w:p>
          <w:p w14:paraId="2C1B7771" w14:textId="221D8CCE" w:rsidR="001E1112" w:rsidRPr="00317ABF" w:rsidRDefault="001E1112" w:rsidP="00DB3BEC">
            <w:pPr>
              <w:jc w:val="both"/>
              <w:rPr>
                <w:sz w:val="22"/>
                <w:szCs w:val="22"/>
              </w:rPr>
            </w:pPr>
            <w:r w:rsidRPr="00317ABF">
              <w:rPr>
                <w:b/>
                <w:bCs/>
                <w:sz w:val="22"/>
                <w:szCs w:val="22"/>
              </w:rPr>
              <w:t xml:space="preserve">Art. </w:t>
            </w:r>
            <w:r w:rsidR="00C4262E" w:rsidRPr="00317ABF">
              <w:rPr>
                <w:b/>
                <w:bCs/>
                <w:sz w:val="22"/>
                <w:szCs w:val="22"/>
              </w:rPr>
              <w:t>93</w:t>
            </w:r>
            <w:r w:rsidRPr="00317ABF">
              <w:rPr>
                <w:b/>
                <w:bCs/>
                <w:sz w:val="22"/>
                <w:szCs w:val="22"/>
              </w:rPr>
              <w:t>.</w:t>
            </w:r>
            <w:r w:rsidRPr="00317ABF">
              <w:rPr>
                <w:sz w:val="22"/>
                <w:szCs w:val="22"/>
              </w:rPr>
              <w:t xml:space="preserve"> 1.  Prezes UKE może dokonać rezerwacji częstotliwości zharmonizowanych na kolejny okres, na wniosek podmiotu dysponującego tą rezerwacją, kierując się celami określonymi w art. </w:t>
            </w:r>
            <w:r w:rsidR="00C4262E" w:rsidRPr="00317ABF">
              <w:rPr>
                <w:sz w:val="22"/>
                <w:szCs w:val="22"/>
              </w:rPr>
              <w:t> 407</w:t>
            </w:r>
            <w:r w:rsidRPr="00317ABF">
              <w:rPr>
                <w:sz w:val="22"/>
                <w:szCs w:val="22"/>
              </w:rPr>
              <w:t xml:space="preserve"> ust. 2 oraz potrzebą zapewnienia najbardziej efektywnego wykorzystania częstotliwości oraz biorąc pod uwagę potrzebę zapewnienia ciągłości świadczenia usług telekomunikacyjnych.</w:t>
            </w:r>
          </w:p>
          <w:p w14:paraId="642F8F2C" w14:textId="1FA6A823" w:rsidR="001E1112" w:rsidRPr="00317ABF" w:rsidRDefault="001E1112" w:rsidP="00C4262E">
            <w:pPr>
              <w:pStyle w:val="USTustnpkodeksu"/>
              <w:spacing w:line="240" w:lineRule="auto"/>
              <w:rPr>
                <w:rFonts w:ascii="Times New Roman" w:hAnsi="Times New Roman" w:cs="Times New Roman"/>
                <w:sz w:val="22"/>
                <w:szCs w:val="22"/>
              </w:rPr>
            </w:pPr>
            <w:r w:rsidRPr="00317ABF">
              <w:rPr>
                <w:rFonts w:ascii="Times New Roman" w:eastAsia="Times" w:hAnsi="Times New Roman" w:cs="Times New Roman"/>
                <w:sz w:val="22"/>
                <w:szCs w:val="22"/>
              </w:rPr>
              <w:t>8. Wniosek, o którym mowa w ust. 1, należy złożyć nie wcześniej niż 5 lat przed upływem okresu wykorzystywania częstotliwości, nie później niż rok przed upływem tego okresu. W przypadku rezerwacji częstotliwości wydanych na okres roku lub krótszy, wniosek należy złożyć nie później niż 6 miesięcy przed upływem okresu wykorzystywania częstotliwości.</w:t>
            </w:r>
          </w:p>
          <w:p w14:paraId="5E0D2995" w14:textId="7A3DEF09" w:rsidR="001E1112" w:rsidRPr="00317ABF" w:rsidRDefault="001E1112" w:rsidP="00C4262E">
            <w:pPr>
              <w:pStyle w:val="USTustnpkodeksu"/>
              <w:spacing w:line="240" w:lineRule="auto"/>
              <w:rPr>
                <w:rFonts w:ascii="Times New Roman" w:hAnsi="Times New Roman" w:cs="Times New Roman"/>
                <w:sz w:val="22"/>
                <w:szCs w:val="22"/>
              </w:rPr>
            </w:pPr>
            <w:r w:rsidRPr="00317ABF">
              <w:rPr>
                <w:rFonts w:ascii="Times New Roman" w:eastAsia="Times" w:hAnsi="Times New Roman" w:cs="Times New Roman"/>
                <w:sz w:val="22"/>
                <w:szCs w:val="22"/>
              </w:rPr>
              <w:t>9. W przypadku, gdy w dniu złożenia wniosku, o którym mowa w ust. 1, w zakresie rezerwacji objętej tym wnioskiem toczy się postępowanie, o którym mowa w ust. 11, postępowanie wszczęte na wniosek, o którym mowa w ust. 1, ulega zawieszeniu do czasu wydania ostatecznego rozstrzygnięcia na podstawie ust. 11. Wydanie ostatecznej decyzji stwierdzającej brak możliwości dokonania rezerwacji częstotliwości na kolejny okres skutkuje bezprzedmiotowością postępowania wszczętego na wniosek, o którym mowa w ust. 1.</w:t>
            </w:r>
          </w:p>
          <w:p w14:paraId="34CF964F" w14:textId="3B6CBEF2" w:rsidR="001E1112" w:rsidRPr="00317ABF" w:rsidRDefault="001E1112" w:rsidP="00C4262E">
            <w:pPr>
              <w:pStyle w:val="USTustnpkodeksu"/>
              <w:spacing w:line="240" w:lineRule="auto"/>
              <w:rPr>
                <w:rFonts w:ascii="Times New Roman" w:hAnsi="Times New Roman" w:cs="Times New Roman"/>
                <w:sz w:val="22"/>
                <w:szCs w:val="22"/>
              </w:rPr>
            </w:pPr>
            <w:r w:rsidRPr="00317ABF">
              <w:rPr>
                <w:rFonts w:ascii="Times New Roman" w:eastAsia="Times" w:hAnsi="Times New Roman" w:cs="Times New Roman"/>
                <w:sz w:val="22"/>
                <w:szCs w:val="22"/>
              </w:rPr>
              <w:t>10. Wniosek, o którym mowa w ust. 1, złożony bez zachowania terminu, o którym mowa w ust. 8, Prezes UKE pozostawia bez rozpoznania.</w:t>
            </w:r>
          </w:p>
          <w:p w14:paraId="558DAC16" w14:textId="2C40965C" w:rsidR="001E1112" w:rsidRPr="00317ABF" w:rsidRDefault="001E1112" w:rsidP="00DB3BEC">
            <w:pPr>
              <w:ind w:firstLine="510"/>
              <w:jc w:val="both"/>
              <w:rPr>
                <w:sz w:val="22"/>
                <w:szCs w:val="22"/>
              </w:rPr>
            </w:pPr>
            <w:r w:rsidRPr="00317ABF">
              <w:rPr>
                <w:rFonts w:eastAsia="Times"/>
                <w:sz w:val="22"/>
                <w:szCs w:val="22"/>
              </w:rPr>
              <w:t>11. Prezes UKE może z urzędu wydać decyzję, w której stwierdzi brak możliwości dokonania rezerwacji częstotliwości na kolejny okres. Przepisy ust. 2-5 stosuje się. Postępowanie wszczyna się nie wcześniej niż 5 lat przed upływem okresu wykorzystywania częstotliwości. Postępowania nie wszczyna się w przypadku, gdy miałoby ono dotyczyć rezerwacji częstotliwości, w zakresie której prowadzone jest postępowanie wszczęte na wniosek, o którym mowa w ust. 1.</w:t>
            </w:r>
          </w:p>
          <w:p w14:paraId="415284E4" w14:textId="32F8C157" w:rsidR="001E1112" w:rsidRPr="00317ABF" w:rsidRDefault="001E1112" w:rsidP="00DB3BEC">
            <w:pPr>
              <w:jc w:val="both"/>
              <w:rPr>
                <w:sz w:val="22"/>
                <w:szCs w:val="22"/>
              </w:rPr>
            </w:pPr>
          </w:p>
        </w:tc>
      </w:tr>
      <w:tr w:rsidR="001E1112" w:rsidRPr="00317ABF" w14:paraId="3794D7D1" w14:textId="77777777" w:rsidTr="7753F98D">
        <w:trPr>
          <w:gridAfter w:val="2"/>
          <w:wAfter w:w="175" w:type="dxa"/>
        </w:trPr>
        <w:tc>
          <w:tcPr>
            <w:tcW w:w="704" w:type="dxa"/>
          </w:tcPr>
          <w:p w14:paraId="45194F6E" w14:textId="77777777" w:rsidR="001E1112" w:rsidRPr="00317ABF" w:rsidRDefault="001E1112" w:rsidP="00DB3BEC">
            <w:pPr>
              <w:jc w:val="both"/>
              <w:rPr>
                <w:sz w:val="22"/>
                <w:szCs w:val="22"/>
              </w:rPr>
            </w:pPr>
            <w:r w:rsidRPr="00317ABF">
              <w:rPr>
                <w:sz w:val="22"/>
                <w:szCs w:val="22"/>
              </w:rPr>
              <w:t>Art. 50 ust.  2</w:t>
            </w:r>
          </w:p>
        </w:tc>
        <w:tc>
          <w:tcPr>
            <w:tcW w:w="4308" w:type="dxa"/>
          </w:tcPr>
          <w:p w14:paraId="094240EE" w14:textId="77777777" w:rsidR="001E1112" w:rsidRPr="00317ABF" w:rsidRDefault="001E1112" w:rsidP="00DB3BEC">
            <w:pPr>
              <w:spacing w:before="120"/>
              <w:jc w:val="both"/>
              <w:rPr>
                <w:sz w:val="22"/>
                <w:szCs w:val="22"/>
              </w:rPr>
            </w:pPr>
            <w:r w:rsidRPr="00317ABF">
              <w:rPr>
                <w:sz w:val="22"/>
                <w:szCs w:val="22"/>
              </w:rPr>
              <w:t>2.   Podejmując decyzję na podstawie ust. 1 niniejszego artykułu, właściwe organy uwzględniają między innymi:</w:t>
            </w:r>
          </w:p>
          <w:tbl>
            <w:tblPr>
              <w:tblW w:w="5000" w:type="pct"/>
              <w:tblCellSpacing w:w="0" w:type="dxa"/>
              <w:tblLayout w:type="fixed"/>
              <w:tblCellMar>
                <w:left w:w="0" w:type="dxa"/>
                <w:right w:w="0" w:type="dxa"/>
              </w:tblCellMar>
              <w:tblLook w:val="04A0" w:firstRow="1" w:lastRow="0" w:firstColumn="1" w:lastColumn="0" w:noHBand="0" w:noVBand="1"/>
            </w:tblPr>
            <w:tblGrid>
              <w:gridCol w:w="20"/>
              <w:gridCol w:w="4148"/>
            </w:tblGrid>
            <w:tr w:rsidR="001E1112" w:rsidRPr="00317ABF" w14:paraId="1E5F4CF0" w14:textId="77777777" w:rsidTr="00A462BE">
              <w:trPr>
                <w:tblCellSpacing w:w="0" w:type="dxa"/>
              </w:trPr>
              <w:tc>
                <w:tcPr>
                  <w:tcW w:w="6" w:type="dxa"/>
                  <w:hideMark/>
                </w:tcPr>
                <w:p w14:paraId="36A2DEB6" w14:textId="77777777" w:rsidR="001E1112" w:rsidRPr="00317ABF" w:rsidRDefault="001E1112" w:rsidP="00EE0AC3">
                  <w:pPr>
                    <w:framePr w:hSpace="141" w:wrap="around" w:vAnchor="text" w:hAnchor="text" w:xAlign="right" w:y="1"/>
                    <w:spacing w:before="120"/>
                    <w:suppressOverlap/>
                    <w:jc w:val="both"/>
                    <w:rPr>
                      <w:sz w:val="22"/>
                      <w:szCs w:val="22"/>
                    </w:rPr>
                  </w:pPr>
                </w:p>
              </w:tc>
              <w:tc>
                <w:tcPr>
                  <w:tcW w:w="9066" w:type="dxa"/>
                  <w:hideMark/>
                </w:tcPr>
                <w:p w14:paraId="210B84F1" w14:textId="77777777" w:rsidR="001E1112" w:rsidRPr="00317ABF" w:rsidRDefault="001E1112" w:rsidP="00EE0AC3">
                  <w:pPr>
                    <w:framePr w:hSpace="141" w:wrap="around" w:vAnchor="text" w:hAnchor="text" w:xAlign="right" w:y="1"/>
                    <w:numPr>
                      <w:ilvl w:val="0"/>
                      <w:numId w:val="39"/>
                    </w:numPr>
                    <w:spacing w:before="120"/>
                    <w:suppressOverlap/>
                    <w:jc w:val="both"/>
                    <w:rPr>
                      <w:sz w:val="22"/>
                      <w:szCs w:val="22"/>
                    </w:rPr>
                  </w:pPr>
                  <w:r w:rsidRPr="00317ABF">
                    <w:rPr>
                      <w:sz w:val="22"/>
                      <w:szCs w:val="22"/>
                    </w:rPr>
                    <w:t>osiągnięcie celów określonych w art. 3, art. 45 ust. 2 i art. 48 ust. 2, a także celów polityki publicznej wynikających z przepisów prawa unijnego lub krajowego;</w:t>
                  </w:r>
                </w:p>
              </w:tc>
            </w:tr>
          </w:tbl>
          <w:p w14:paraId="0347D1D5" w14:textId="77777777" w:rsidR="001E1112" w:rsidRPr="00317ABF" w:rsidRDefault="001E1112" w:rsidP="00DB3BEC">
            <w:pPr>
              <w:jc w:val="both"/>
              <w:rPr>
                <w:vanish/>
                <w:sz w:val="22"/>
                <w:szCs w:val="22"/>
              </w:rPr>
            </w:pPr>
          </w:p>
          <w:tbl>
            <w:tblPr>
              <w:tblW w:w="5000" w:type="pct"/>
              <w:tblCellSpacing w:w="0" w:type="dxa"/>
              <w:tblLayout w:type="fixed"/>
              <w:tblCellMar>
                <w:left w:w="0" w:type="dxa"/>
                <w:right w:w="0" w:type="dxa"/>
              </w:tblCellMar>
              <w:tblLook w:val="04A0" w:firstRow="1" w:lastRow="0" w:firstColumn="1" w:lastColumn="0" w:noHBand="0" w:noVBand="1"/>
            </w:tblPr>
            <w:tblGrid>
              <w:gridCol w:w="20"/>
              <w:gridCol w:w="4148"/>
            </w:tblGrid>
            <w:tr w:rsidR="001E1112" w:rsidRPr="00317ABF" w14:paraId="3CE01689" w14:textId="77777777" w:rsidTr="00A462BE">
              <w:trPr>
                <w:tblCellSpacing w:w="0" w:type="dxa"/>
              </w:trPr>
              <w:tc>
                <w:tcPr>
                  <w:tcW w:w="6" w:type="dxa"/>
                  <w:hideMark/>
                </w:tcPr>
                <w:p w14:paraId="3AE1DF72" w14:textId="77777777" w:rsidR="001E1112" w:rsidRPr="00317ABF" w:rsidRDefault="001E1112" w:rsidP="00EE0AC3">
                  <w:pPr>
                    <w:framePr w:hSpace="141" w:wrap="around" w:vAnchor="text" w:hAnchor="text" w:xAlign="right" w:y="1"/>
                    <w:spacing w:before="120"/>
                    <w:suppressOverlap/>
                    <w:jc w:val="both"/>
                    <w:rPr>
                      <w:sz w:val="22"/>
                      <w:szCs w:val="22"/>
                    </w:rPr>
                  </w:pPr>
                </w:p>
              </w:tc>
              <w:tc>
                <w:tcPr>
                  <w:tcW w:w="9066" w:type="dxa"/>
                  <w:hideMark/>
                </w:tcPr>
                <w:p w14:paraId="6495DC43" w14:textId="77777777" w:rsidR="001E1112" w:rsidRPr="00317ABF" w:rsidRDefault="001E1112" w:rsidP="00EE0AC3">
                  <w:pPr>
                    <w:framePr w:hSpace="141" w:wrap="around" w:vAnchor="text" w:hAnchor="text" w:xAlign="right" w:y="1"/>
                    <w:numPr>
                      <w:ilvl w:val="0"/>
                      <w:numId w:val="39"/>
                    </w:numPr>
                    <w:spacing w:before="120"/>
                    <w:suppressOverlap/>
                    <w:jc w:val="both"/>
                    <w:rPr>
                      <w:sz w:val="22"/>
                      <w:szCs w:val="22"/>
                    </w:rPr>
                  </w:pPr>
                  <w:r w:rsidRPr="00317ABF">
                    <w:rPr>
                      <w:sz w:val="22"/>
                      <w:szCs w:val="22"/>
                    </w:rPr>
                    <w:t>wdrożenie technicznego środka wykonawczego przyjętego zgodnie z art. 4 decyzji nr 676/2002/WE;</w:t>
                  </w:r>
                </w:p>
              </w:tc>
            </w:tr>
          </w:tbl>
          <w:p w14:paraId="284F2E65" w14:textId="77777777" w:rsidR="001E1112" w:rsidRPr="00317ABF" w:rsidRDefault="001E1112" w:rsidP="00DB3BEC">
            <w:pPr>
              <w:jc w:val="both"/>
              <w:rPr>
                <w:vanish/>
                <w:sz w:val="22"/>
                <w:szCs w:val="22"/>
              </w:rPr>
            </w:pPr>
          </w:p>
          <w:tbl>
            <w:tblPr>
              <w:tblW w:w="5000" w:type="pct"/>
              <w:tblCellSpacing w:w="0" w:type="dxa"/>
              <w:tblLayout w:type="fixed"/>
              <w:tblCellMar>
                <w:left w:w="0" w:type="dxa"/>
                <w:right w:w="0" w:type="dxa"/>
              </w:tblCellMar>
              <w:tblLook w:val="04A0" w:firstRow="1" w:lastRow="0" w:firstColumn="1" w:lastColumn="0" w:noHBand="0" w:noVBand="1"/>
            </w:tblPr>
            <w:tblGrid>
              <w:gridCol w:w="20"/>
              <w:gridCol w:w="4148"/>
            </w:tblGrid>
            <w:tr w:rsidR="001E1112" w:rsidRPr="00317ABF" w14:paraId="2851A6FB" w14:textId="77777777" w:rsidTr="00A462BE">
              <w:trPr>
                <w:tblCellSpacing w:w="0" w:type="dxa"/>
              </w:trPr>
              <w:tc>
                <w:tcPr>
                  <w:tcW w:w="6" w:type="dxa"/>
                  <w:hideMark/>
                </w:tcPr>
                <w:p w14:paraId="687CCB83" w14:textId="77777777" w:rsidR="001E1112" w:rsidRPr="00317ABF" w:rsidRDefault="001E1112" w:rsidP="00EE0AC3">
                  <w:pPr>
                    <w:framePr w:hSpace="141" w:wrap="around" w:vAnchor="text" w:hAnchor="text" w:xAlign="right" w:y="1"/>
                    <w:spacing w:before="120"/>
                    <w:suppressOverlap/>
                    <w:jc w:val="both"/>
                    <w:rPr>
                      <w:sz w:val="22"/>
                      <w:szCs w:val="22"/>
                    </w:rPr>
                  </w:pPr>
                </w:p>
              </w:tc>
              <w:tc>
                <w:tcPr>
                  <w:tcW w:w="9066" w:type="dxa"/>
                  <w:hideMark/>
                </w:tcPr>
                <w:p w14:paraId="0131B853" w14:textId="77777777" w:rsidR="001E1112" w:rsidRPr="00317ABF" w:rsidRDefault="001E1112" w:rsidP="00EE0AC3">
                  <w:pPr>
                    <w:framePr w:hSpace="141" w:wrap="around" w:vAnchor="text" w:hAnchor="text" w:xAlign="right" w:y="1"/>
                    <w:numPr>
                      <w:ilvl w:val="0"/>
                      <w:numId w:val="39"/>
                    </w:numPr>
                    <w:spacing w:before="120"/>
                    <w:suppressOverlap/>
                    <w:jc w:val="both"/>
                    <w:rPr>
                      <w:sz w:val="22"/>
                      <w:szCs w:val="22"/>
                    </w:rPr>
                  </w:pPr>
                  <w:r w:rsidRPr="00317ABF">
                    <w:rPr>
                      <w:sz w:val="22"/>
                      <w:szCs w:val="22"/>
                    </w:rPr>
                    <w:t>wyniki przeglądu prawidłowego wykonania warunków, którymi obwarowano dane prawo;</w:t>
                  </w:r>
                </w:p>
              </w:tc>
            </w:tr>
          </w:tbl>
          <w:p w14:paraId="26F7A8D2" w14:textId="77777777" w:rsidR="001E1112" w:rsidRPr="00317ABF" w:rsidRDefault="001E1112" w:rsidP="00DB3BEC">
            <w:pPr>
              <w:jc w:val="both"/>
              <w:rPr>
                <w:vanish/>
                <w:sz w:val="22"/>
                <w:szCs w:val="22"/>
              </w:rPr>
            </w:pPr>
          </w:p>
          <w:tbl>
            <w:tblPr>
              <w:tblW w:w="5000" w:type="pct"/>
              <w:tblCellSpacing w:w="0" w:type="dxa"/>
              <w:tblLayout w:type="fixed"/>
              <w:tblCellMar>
                <w:left w:w="0" w:type="dxa"/>
                <w:right w:w="0" w:type="dxa"/>
              </w:tblCellMar>
              <w:tblLook w:val="04A0" w:firstRow="1" w:lastRow="0" w:firstColumn="1" w:lastColumn="0" w:noHBand="0" w:noVBand="1"/>
            </w:tblPr>
            <w:tblGrid>
              <w:gridCol w:w="20"/>
              <w:gridCol w:w="4148"/>
            </w:tblGrid>
            <w:tr w:rsidR="001E1112" w:rsidRPr="00317ABF" w14:paraId="63CAF34F" w14:textId="77777777" w:rsidTr="00A462BE">
              <w:trPr>
                <w:tblCellSpacing w:w="0" w:type="dxa"/>
              </w:trPr>
              <w:tc>
                <w:tcPr>
                  <w:tcW w:w="7" w:type="dxa"/>
                  <w:hideMark/>
                </w:tcPr>
                <w:p w14:paraId="3CDFBF48" w14:textId="77777777" w:rsidR="001E1112" w:rsidRPr="00317ABF" w:rsidRDefault="001E1112" w:rsidP="00EE0AC3">
                  <w:pPr>
                    <w:framePr w:hSpace="141" w:wrap="around" w:vAnchor="text" w:hAnchor="text" w:xAlign="right" w:y="1"/>
                    <w:spacing w:before="120"/>
                    <w:suppressOverlap/>
                    <w:jc w:val="both"/>
                    <w:rPr>
                      <w:sz w:val="22"/>
                      <w:szCs w:val="22"/>
                    </w:rPr>
                  </w:pPr>
                </w:p>
              </w:tc>
              <w:tc>
                <w:tcPr>
                  <w:tcW w:w="9065" w:type="dxa"/>
                  <w:hideMark/>
                </w:tcPr>
                <w:p w14:paraId="64925136" w14:textId="77777777" w:rsidR="001E1112" w:rsidRPr="00317ABF" w:rsidRDefault="001E1112" w:rsidP="00EE0AC3">
                  <w:pPr>
                    <w:framePr w:hSpace="141" w:wrap="around" w:vAnchor="text" w:hAnchor="text" w:xAlign="right" w:y="1"/>
                    <w:numPr>
                      <w:ilvl w:val="0"/>
                      <w:numId w:val="39"/>
                    </w:numPr>
                    <w:spacing w:before="120"/>
                    <w:suppressOverlap/>
                    <w:jc w:val="both"/>
                    <w:rPr>
                      <w:sz w:val="22"/>
                      <w:szCs w:val="22"/>
                    </w:rPr>
                  </w:pPr>
                  <w:r w:rsidRPr="00317ABF">
                    <w:rPr>
                      <w:sz w:val="22"/>
                      <w:szCs w:val="22"/>
                    </w:rPr>
                    <w:t>konieczność wspierania lub unikania zakłócenia konkurencji zgodnie z art. 52;</w:t>
                  </w:r>
                </w:p>
              </w:tc>
            </w:tr>
          </w:tbl>
          <w:p w14:paraId="0F964381" w14:textId="77777777" w:rsidR="001E1112" w:rsidRPr="00317ABF" w:rsidRDefault="001E1112" w:rsidP="00DB3BEC">
            <w:pPr>
              <w:jc w:val="both"/>
              <w:rPr>
                <w:vanish/>
                <w:sz w:val="22"/>
                <w:szCs w:val="22"/>
              </w:rPr>
            </w:pPr>
          </w:p>
          <w:tbl>
            <w:tblPr>
              <w:tblW w:w="5000" w:type="pct"/>
              <w:tblCellSpacing w:w="0" w:type="dxa"/>
              <w:tblLayout w:type="fixed"/>
              <w:tblCellMar>
                <w:left w:w="0" w:type="dxa"/>
                <w:right w:w="0" w:type="dxa"/>
              </w:tblCellMar>
              <w:tblLook w:val="04A0" w:firstRow="1" w:lastRow="0" w:firstColumn="1" w:lastColumn="0" w:noHBand="0" w:noVBand="1"/>
            </w:tblPr>
            <w:tblGrid>
              <w:gridCol w:w="20"/>
              <w:gridCol w:w="4148"/>
            </w:tblGrid>
            <w:tr w:rsidR="001E1112" w:rsidRPr="00317ABF" w14:paraId="3B38ED1D" w14:textId="77777777" w:rsidTr="00A462BE">
              <w:trPr>
                <w:tblCellSpacing w:w="0" w:type="dxa"/>
              </w:trPr>
              <w:tc>
                <w:tcPr>
                  <w:tcW w:w="6" w:type="dxa"/>
                  <w:hideMark/>
                </w:tcPr>
                <w:p w14:paraId="6B253C85" w14:textId="77777777" w:rsidR="001E1112" w:rsidRPr="00317ABF" w:rsidRDefault="001E1112" w:rsidP="00EE0AC3">
                  <w:pPr>
                    <w:framePr w:hSpace="141" w:wrap="around" w:vAnchor="text" w:hAnchor="text" w:xAlign="right" w:y="1"/>
                    <w:spacing w:before="120"/>
                    <w:suppressOverlap/>
                    <w:jc w:val="both"/>
                    <w:rPr>
                      <w:sz w:val="22"/>
                      <w:szCs w:val="22"/>
                    </w:rPr>
                  </w:pPr>
                </w:p>
              </w:tc>
              <w:tc>
                <w:tcPr>
                  <w:tcW w:w="9066" w:type="dxa"/>
                  <w:hideMark/>
                </w:tcPr>
                <w:p w14:paraId="22BD7F08" w14:textId="77777777" w:rsidR="001E1112" w:rsidRPr="00317ABF" w:rsidRDefault="001E1112" w:rsidP="00EE0AC3">
                  <w:pPr>
                    <w:framePr w:hSpace="141" w:wrap="around" w:vAnchor="text" w:hAnchor="text" w:xAlign="right" w:y="1"/>
                    <w:numPr>
                      <w:ilvl w:val="0"/>
                      <w:numId w:val="39"/>
                    </w:numPr>
                    <w:spacing w:before="120"/>
                    <w:suppressOverlap/>
                    <w:jc w:val="both"/>
                    <w:rPr>
                      <w:sz w:val="22"/>
                      <w:szCs w:val="22"/>
                    </w:rPr>
                  </w:pPr>
                  <w:r w:rsidRPr="00317ABF">
                    <w:rPr>
                      <w:sz w:val="22"/>
                      <w:szCs w:val="22"/>
                    </w:rPr>
                    <w:t>konieczność zwiększenia wydajności wykorzystania widma radiowego w świetle postępu technologicznego lub zmian sytuacji rynkowej;</w:t>
                  </w:r>
                </w:p>
              </w:tc>
            </w:tr>
          </w:tbl>
          <w:p w14:paraId="37098E63" w14:textId="77777777" w:rsidR="001E1112" w:rsidRPr="00317ABF" w:rsidRDefault="001E1112" w:rsidP="00DB3BEC">
            <w:pPr>
              <w:jc w:val="both"/>
              <w:rPr>
                <w:vanish/>
                <w:sz w:val="22"/>
                <w:szCs w:val="22"/>
              </w:rPr>
            </w:pPr>
          </w:p>
          <w:tbl>
            <w:tblPr>
              <w:tblW w:w="5000" w:type="pct"/>
              <w:tblCellSpacing w:w="0" w:type="dxa"/>
              <w:tblLayout w:type="fixed"/>
              <w:tblCellMar>
                <w:left w:w="0" w:type="dxa"/>
                <w:right w:w="0" w:type="dxa"/>
              </w:tblCellMar>
              <w:tblLook w:val="04A0" w:firstRow="1" w:lastRow="0" w:firstColumn="1" w:lastColumn="0" w:noHBand="0" w:noVBand="1"/>
            </w:tblPr>
            <w:tblGrid>
              <w:gridCol w:w="20"/>
              <w:gridCol w:w="4148"/>
            </w:tblGrid>
            <w:tr w:rsidR="001E1112" w:rsidRPr="00317ABF" w14:paraId="6502A6A3" w14:textId="77777777" w:rsidTr="00A462BE">
              <w:trPr>
                <w:tblCellSpacing w:w="0" w:type="dxa"/>
              </w:trPr>
              <w:tc>
                <w:tcPr>
                  <w:tcW w:w="9" w:type="dxa"/>
                  <w:hideMark/>
                </w:tcPr>
                <w:p w14:paraId="0A377B76" w14:textId="77777777" w:rsidR="001E1112" w:rsidRPr="00317ABF" w:rsidRDefault="001E1112" w:rsidP="00EE0AC3">
                  <w:pPr>
                    <w:framePr w:hSpace="141" w:wrap="around" w:vAnchor="text" w:hAnchor="text" w:xAlign="right" w:y="1"/>
                    <w:spacing w:before="120"/>
                    <w:suppressOverlap/>
                    <w:jc w:val="both"/>
                    <w:rPr>
                      <w:sz w:val="22"/>
                      <w:szCs w:val="22"/>
                    </w:rPr>
                  </w:pPr>
                </w:p>
              </w:tc>
              <w:tc>
                <w:tcPr>
                  <w:tcW w:w="9063" w:type="dxa"/>
                  <w:hideMark/>
                </w:tcPr>
                <w:p w14:paraId="5BB67B04" w14:textId="77777777" w:rsidR="001E1112" w:rsidRPr="00317ABF" w:rsidRDefault="001E1112" w:rsidP="00EE0AC3">
                  <w:pPr>
                    <w:framePr w:hSpace="141" w:wrap="around" w:vAnchor="text" w:hAnchor="text" w:xAlign="right" w:y="1"/>
                    <w:numPr>
                      <w:ilvl w:val="0"/>
                      <w:numId w:val="39"/>
                    </w:numPr>
                    <w:spacing w:before="120"/>
                    <w:suppressOverlap/>
                    <w:jc w:val="both"/>
                    <w:rPr>
                      <w:sz w:val="22"/>
                      <w:szCs w:val="22"/>
                    </w:rPr>
                  </w:pPr>
                  <w:r w:rsidRPr="00317ABF">
                    <w:rPr>
                      <w:sz w:val="22"/>
                      <w:szCs w:val="22"/>
                    </w:rPr>
                    <w:t>konieczność unikania poważnych zakłóceń w świadczeniu usług.</w:t>
                  </w:r>
                </w:p>
              </w:tc>
            </w:tr>
          </w:tbl>
          <w:p w14:paraId="25AEEB9C" w14:textId="77777777" w:rsidR="001E1112" w:rsidRPr="00317ABF" w:rsidRDefault="001E1112" w:rsidP="00DB3BEC">
            <w:pPr>
              <w:spacing w:before="120"/>
              <w:jc w:val="both"/>
              <w:rPr>
                <w:sz w:val="22"/>
                <w:szCs w:val="22"/>
              </w:rPr>
            </w:pPr>
          </w:p>
        </w:tc>
        <w:tc>
          <w:tcPr>
            <w:tcW w:w="986" w:type="dxa"/>
          </w:tcPr>
          <w:p w14:paraId="42246A39" w14:textId="63560192" w:rsidR="001E1112" w:rsidRPr="00317ABF" w:rsidRDefault="001E1112" w:rsidP="00DB3BEC">
            <w:pPr>
              <w:jc w:val="both"/>
              <w:rPr>
                <w:sz w:val="22"/>
                <w:szCs w:val="22"/>
              </w:rPr>
            </w:pPr>
            <w:r w:rsidRPr="00317ABF">
              <w:rPr>
                <w:sz w:val="22"/>
                <w:szCs w:val="22"/>
              </w:rPr>
              <w:lastRenderedPageBreak/>
              <w:t>T</w:t>
            </w:r>
          </w:p>
        </w:tc>
        <w:tc>
          <w:tcPr>
            <w:tcW w:w="910" w:type="dxa"/>
          </w:tcPr>
          <w:p w14:paraId="36CAC27D" w14:textId="5CF6AE9A" w:rsidR="001E1112" w:rsidRPr="00317ABF" w:rsidRDefault="00DB3BEC" w:rsidP="00DB3BEC">
            <w:pPr>
              <w:pStyle w:val="Tekstpodstawowy"/>
              <w:rPr>
                <w:b/>
                <w:bCs/>
                <w:noProof/>
                <w:sz w:val="22"/>
                <w:szCs w:val="22"/>
              </w:rPr>
            </w:pPr>
            <w:r w:rsidRPr="00317ABF">
              <w:rPr>
                <w:b/>
                <w:bCs/>
                <w:noProof/>
                <w:sz w:val="22"/>
                <w:szCs w:val="22"/>
              </w:rPr>
              <w:t xml:space="preserve">Art. </w:t>
            </w:r>
            <w:r w:rsidR="00C4262E" w:rsidRPr="00317ABF">
              <w:rPr>
                <w:b/>
                <w:bCs/>
                <w:noProof/>
                <w:sz w:val="22"/>
                <w:szCs w:val="22"/>
              </w:rPr>
              <w:t>93</w:t>
            </w:r>
            <w:r w:rsidR="001E1112" w:rsidRPr="00317ABF">
              <w:rPr>
                <w:b/>
                <w:bCs/>
                <w:noProof/>
                <w:sz w:val="22"/>
                <w:szCs w:val="22"/>
              </w:rPr>
              <w:t xml:space="preserve"> ust. 1-4</w:t>
            </w:r>
          </w:p>
        </w:tc>
        <w:tc>
          <w:tcPr>
            <w:tcW w:w="6814" w:type="dxa"/>
            <w:gridSpan w:val="2"/>
          </w:tcPr>
          <w:p w14:paraId="46781216" w14:textId="10D708AE" w:rsidR="001E1112" w:rsidRPr="00317ABF" w:rsidRDefault="001E1112" w:rsidP="00DB3BEC">
            <w:pPr>
              <w:ind w:firstLine="510"/>
              <w:jc w:val="both"/>
              <w:rPr>
                <w:sz w:val="22"/>
                <w:szCs w:val="22"/>
              </w:rPr>
            </w:pPr>
            <w:r w:rsidRPr="00317ABF">
              <w:rPr>
                <w:b/>
                <w:bCs/>
                <w:sz w:val="22"/>
                <w:szCs w:val="22"/>
              </w:rPr>
              <w:t xml:space="preserve">Art. </w:t>
            </w:r>
            <w:r w:rsidR="00C4262E" w:rsidRPr="00317ABF">
              <w:rPr>
                <w:b/>
                <w:bCs/>
                <w:sz w:val="22"/>
                <w:szCs w:val="22"/>
              </w:rPr>
              <w:t>93</w:t>
            </w:r>
            <w:r w:rsidRPr="00317ABF">
              <w:rPr>
                <w:b/>
                <w:bCs/>
                <w:sz w:val="22"/>
                <w:szCs w:val="22"/>
              </w:rPr>
              <w:t>.</w:t>
            </w:r>
            <w:r w:rsidRPr="00317ABF">
              <w:rPr>
                <w:sz w:val="22"/>
                <w:szCs w:val="22"/>
              </w:rPr>
              <w:t xml:space="preserve"> 1.  Prezes UKE może dokonać rezerwacji częstotliwości zharmonizowanych na kolejny okres, na wniosek podmiotu dysponującego tą rezerwacją, kierując się celami określonymi w art. </w:t>
            </w:r>
            <w:r w:rsidR="00C4262E" w:rsidRPr="00317ABF">
              <w:rPr>
                <w:sz w:val="22"/>
                <w:szCs w:val="22"/>
              </w:rPr>
              <w:t> 407</w:t>
            </w:r>
            <w:r w:rsidRPr="00317ABF">
              <w:rPr>
                <w:sz w:val="22"/>
                <w:szCs w:val="22"/>
              </w:rPr>
              <w:t xml:space="preserve"> ust. 2 oraz </w:t>
            </w:r>
            <w:r w:rsidRPr="00317ABF">
              <w:rPr>
                <w:sz w:val="22"/>
                <w:szCs w:val="22"/>
              </w:rPr>
              <w:lastRenderedPageBreak/>
              <w:t>potrzebą zapewnienia najbardziej efektywnego wykorzystania częstotliwości oraz biorąc pod uwagę potrzebę zapewnienia ciągłości świadczenia usług telekomunikacyjnych.</w:t>
            </w:r>
          </w:p>
          <w:p w14:paraId="2C5F36E1" w14:textId="16400832" w:rsidR="001E1112" w:rsidRPr="00317ABF" w:rsidRDefault="001E1112" w:rsidP="00C4262E">
            <w:pPr>
              <w:pStyle w:val="USTustnpkodeksu"/>
              <w:keepNext/>
              <w:spacing w:line="240" w:lineRule="auto"/>
              <w:rPr>
                <w:rFonts w:ascii="Times New Roman" w:hAnsi="Times New Roman" w:cs="Times New Roman"/>
                <w:sz w:val="22"/>
                <w:szCs w:val="22"/>
              </w:rPr>
            </w:pPr>
            <w:r w:rsidRPr="00317ABF">
              <w:rPr>
                <w:rFonts w:ascii="Times New Roman" w:eastAsia="Times" w:hAnsi="Times New Roman" w:cs="Times New Roman"/>
                <w:sz w:val="22"/>
                <w:szCs w:val="22"/>
              </w:rPr>
              <w:t>2. Prezes UKE odmawia dokonania rezerwacji na kolejny okres w przypadku gdy:</w:t>
            </w:r>
          </w:p>
          <w:p w14:paraId="7843593C" w14:textId="77777777" w:rsidR="00C4262E" w:rsidRPr="00317ABF" w:rsidRDefault="00C4262E" w:rsidP="00C4262E">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1)</w:t>
            </w:r>
            <w:r w:rsidRPr="00317ABF">
              <w:rPr>
                <w:rFonts w:ascii="Times New Roman" w:hAnsi="Times New Roman" w:cs="Times New Roman"/>
                <w:sz w:val="22"/>
                <w:szCs w:val="22"/>
              </w:rPr>
              <w:tab/>
              <w:t>podmiot w okresie rezerwacji naruszył rażąco warunki wykorzystywania częstotliwości określone w ustawie, przepisach wykonawczych i w decyzji o rezerwacji częstotliwości;</w:t>
            </w:r>
          </w:p>
          <w:p w14:paraId="4AC35279" w14:textId="77777777" w:rsidR="00C4262E" w:rsidRPr="00317ABF" w:rsidRDefault="00C4262E" w:rsidP="00C4262E">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2)</w:t>
            </w:r>
            <w:r w:rsidRPr="00317ABF">
              <w:rPr>
                <w:rFonts w:ascii="Times New Roman" w:hAnsi="Times New Roman" w:cs="Times New Roman"/>
                <w:sz w:val="22"/>
                <w:szCs w:val="22"/>
              </w:rPr>
              <w:tab/>
              <w:t>wystąpią przesłanki, o których mowa w art. 99 ust. 1 pkt 3 lub art. 100 ust. 1 pkt 1, 3 i 6;</w:t>
            </w:r>
          </w:p>
          <w:p w14:paraId="423FD994" w14:textId="77777777" w:rsidR="00C4262E" w:rsidRPr="00317ABF" w:rsidRDefault="00C4262E" w:rsidP="00C4262E">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3)</w:t>
            </w:r>
            <w:r w:rsidRPr="00317ABF">
              <w:rPr>
                <w:rFonts w:ascii="Times New Roman" w:hAnsi="Times New Roman" w:cs="Times New Roman"/>
                <w:sz w:val="22"/>
                <w:szCs w:val="22"/>
              </w:rPr>
              <w:tab/>
              <w:t>przemawia za tym potrzeba zapewnienia równoprawnej i skutecznej konkurencji, w szczególności w przypadku, gdy dokonanie rezerwacji częstotliwości na kolejny okres mogłoby doprowadzić do nadmiernego skupienia częstotliwości przez dany podmiot lub grupę kapitałową, w której znajduje się dany podmiot.</w:t>
            </w:r>
          </w:p>
          <w:p w14:paraId="268AD2A4" w14:textId="77777777" w:rsidR="00C4262E" w:rsidRPr="00317ABF" w:rsidRDefault="00C4262E" w:rsidP="00C4262E">
            <w:pPr>
              <w:pStyle w:val="PKTpunkt0"/>
              <w:spacing w:line="240" w:lineRule="auto"/>
              <w:ind w:firstLine="0"/>
              <w:rPr>
                <w:rFonts w:ascii="Times New Roman" w:hAnsi="Times New Roman" w:cs="Times New Roman"/>
                <w:sz w:val="22"/>
                <w:szCs w:val="22"/>
              </w:rPr>
            </w:pPr>
            <w:r w:rsidRPr="00317ABF">
              <w:rPr>
                <w:rFonts w:ascii="Times New Roman" w:hAnsi="Times New Roman" w:cs="Times New Roman"/>
                <w:sz w:val="22"/>
                <w:szCs w:val="22"/>
              </w:rPr>
              <w:t>3.</w:t>
            </w:r>
            <w:r w:rsidRPr="00317ABF">
              <w:rPr>
                <w:rFonts w:ascii="Times New Roman" w:hAnsi="Times New Roman" w:cs="Times New Roman"/>
                <w:sz w:val="22"/>
                <w:szCs w:val="22"/>
              </w:rPr>
              <w:tab/>
              <w:t>Do odmowy dokonania rezerwacji na kolejny okres stosuje się przepisy art. 100 ust. 3-6.</w:t>
            </w:r>
          </w:p>
          <w:p w14:paraId="65FA83EA" w14:textId="36BFA92F" w:rsidR="001E1112" w:rsidRPr="00317ABF" w:rsidRDefault="001E1112" w:rsidP="00DB3BEC">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 xml:space="preserve">4. W przypadku, o którym mowa w ust. 2 pkt </w:t>
            </w:r>
            <w:r w:rsidR="00C4262E" w:rsidRPr="00317ABF">
              <w:rPr>
                <w:rFonts w:ascii="Times New Roman" w:hAnsi="Times New Roman" w:cs="Times New Roman"/>
                <w:sz w:val="22"/>
                <w:szCs w:val="22"/>
              </w:rPr>
              <w:t>3</w:t>
            </w:r>
            <w:r w:rsidRPr="00317ABF">
              <w:rPr>
                <w:rFonts w:ascii="Times New Roman" w:hAnsi="Times New Roman" w:cs="Times New Roman"/>
                <w:sz w:val="22"/>
                <w:szCs w:val="22"/>
              </w:rPr>
              <w:t>, Prezes UKE wydaje decyzję w porozumieniu z Prezesem UOKiK.</w:t>
            </w:r>
          </w:p>
          <w:p w14:paraId="03E48A86" w14:textId="77777777" w:rsidR="001E1112" w:rsidRPr="00317ABF" w:rsidRDefault="001E1112" w:rsidP="00DB3BEC">
            <w:pPr>
              <w:ind w:left="510" w:hanging="510"/>
              <w:jc w:val="both"/>
              <w:rPr>
                <w:sz w:val="22"/>
                <w:szCs w:val="22"/>
              </w:rPr>
            </w:pPr>
          </w:p>
          <w:p w14:paraId="2EAF0182" w14:textId="4F99BB3B" w:rsidR="001E1112" w:rsidRPr="00317ABF" w:rsidRDefault="001E1112" w:rsidP="00DB3BEC">
            <w:pPr>
              <w:jc w:val="both"/>
              <w:rPr>
                <w:sz w:val="22"/>
                <w:szCs w:val="22"/>
              </w:rPr>
            </w:pPr>
          </w:p>
        </w:tc>
      </w:tr>
      <w:tr w:rsidR="001E1112" w:rsidRPr="00317ABF" w14:paraId="38002D92" w14:textId="77777777" w:rsidTr="7753F98D">
        <w:trPr>
          <w:gridAfter w:val="2"/>
          <w:wAfter w:w="175" w:type="dxa"/>
        </w:trPr>
        <w:tc>
          <w:tcPr>
            <w:tcW w:w="704" w:type="dxa"/>
          </w:tcPr>
          <w:p w14:paraId="527D66E5" w14:textId="77777777" w:rsidR="001E1112" w:rsidRPr="00317ABF" w:rsidRDefault="001E1112" w:rsidP="00DB3BEC">
            <w:pPr>
              <w:jc w:val="both"/>
              <w:rPr>
                <w:sz w:val="22"/>
                <w:szCs w:val="22"/>
              </w:rPr>
            </w:pPr>
            <w:r w:rsidRPr="00317ABF">
              <w:rPr>
                <w:sz w:val="22"/>
                <w:szCs w:val="22"/>
              </w:rPr>
              <w:lastRenderedPageBreak/>
              <w:t>Art. 50 ust.  3</w:t>
            </w:r>
          </w:p>
        </w:tc>
        <w:tc>
          <w:tcPr>
            <w:tcW w:w="4308" w:type="dxa"/>
          </w:tcPr>
          <w:p w14:paraId="47461343" w14:textId="77777777" w:rsidR="001E1112" w:rsidRPr="00317ABF" w:rsidRDefault="001E1112" w:rsidP="00DB3BEC">
            <w:pPr>
              <w:spacing w:before="120"/>
              <w:jc w:val="both"/>
              <w:rPr>
                <w:sz w:val="22"/>
                <w:szCs w:val="22"/>
              </w:rPr>
            </w:pPr>
            <w:r w:rsidRPr="00317ABF">
              <w:rPr>
                <w:sz w:val="22"/>
                <w:szCs w:val="22"/>
              </w:rPr>
              <w:t>3.   Rozważając ewentualne odnowienie indywidualnych praw użytkowania zharmonizowanego widma radiowego, w którego przypadku istnieje ograniczona liczba praw użytkowania na podstawie ust. 2 niniejszego artykułu, właściwe organy przeprowadzają otwarte, przejrzyste i niedyskryminujące postępowanie oraz między innymi:</w:t>
            </w:r>
          </w:p>
          <w:tbl>
            <w:tblPr>
              <w:tblW w:w="5000" w:type="pct"/>
              <w:tblCellSpacing w:w="0" w:type="dxa"/>
              <w:tblLayout w:type="fixed"/>
              <w:tblCellMar>
                <w:left w:w="0" w:type="dxa"/>
                <w:right w:w="0" w:type="dxa"/>
              </w:tblCellMar>
              <w:tblLook w:val="04A0" w:firstRow="1" w:lastRow="0" w:firstColumn="1" w:lastColumn="0" w:noHBand="0" w:noVBand="1"/>
            </w:tblPr>
            <w:tblGrid>
              <w:gridCol w:w="20"/>
              <w:gridCol w:w="4148"/>
            </w:tblGrid>
            <w:tr w:rsidR="001E1112" w:rsidRPr="00317ABF" w14:paraId="399F42B5" w14:textId="77777777" w:rsidTr="00A462BE">
              <w:trPr>
                <w:tblCellSpacing w:w="0" w:type="dxa"/>
              </w:trPr>
              <w:tc>
                <w:tcPr>
                  <w:tcW w:w="6" w:type="dxa"/>
                  <w:hideMark/>
                </w:tcPr>
                <w:p w14:paraId="22C360CA" w14:textId="77777777" w:rsidR="001E1112" w:rsidRPr="00317ABF" w:rsidRDefault="001E1112" w:rsidP="00EE0AC3">
                  <w:pPr>
                    <w:framePr w:hSpace="141" w:wrap="around" w:vAnchor="text" w:hAnchor="text" w:xAlign="right" w:y="1"/>
                    <w:spacing w:before="120"/>
                    <w:suppressOverlap/>
                    <w:jc w:val="both"/>
                    <w:rPr>
                      <w:sz w:val="22"/>
                      <w:szCs w:val="22"/>
                    </w:rPr>
                  </w:pPr>
                </w:p>
              </w:tc>
              <w:tc>
                <w:tcPr>
                  <w:tcW w:w="9066" w:type="dxa"/>
                  <w:hideMark/>
                </w:tcPr>
                <w:p w14:paraId="3047DCD5" w14:textId="77777777" w:rsidR="001E1112" w:rsidRPr="00317ABF" w:rsidRDefault="001E1112" w:rsidP="00EE0AC3">
                  <w:pPr>
                    <w:framePr w:hSpace="141" w:wrap="around" w:vAnchor="text" w:hAnchor="text" w:xAlign="right" w:y="1"/>
                    <w:numPr>
                      <w:ilvl w:val="0"/>
                      <w:numId w:val="38"/>
                    </w:numPr>
                    <w:spacing w:before="120"/>
                    <w:suppressOverlap/>
                    <w:jc w:val="both"/>
                    <w:rPr>
                      <w:sz w:val="22"/>
                      <w:szCs w:val="22"/>
                    </w:rPr>
                  </w:pPr>
                  <w:r w:rsidRPr="00317ABF">
                    <w:rPr>
                      <w:sz w:val="22"/>
                      <w:szCs w:val="22"/>
                    </w:rPr>
                    <w:t>zapewniają wszystkim zainteresowanym stronom możliwość wyrażenia opinii w ramach konsultacji publicznych zgodnie z art. 23; oraz</w:t>
                  </w:r>
                </w:p>
              </w:tc>
            </w:tr>
          </w:tbl>
          <w:p w14:paraId="5244676D" w14:textId="77777777" w:rsidR="001E1112" w:rsidRPr="00317ABF" w:rsidRDefault="001E1112" w:rsidP="00DB3BEC">
            <w:pPr>
              <w:jc w:val="both"/>
              <w:rPr>
                <w:vanish/>
                <w:sz w:val="22"/>
                <w:szCs w:val="22"/>
              </w:rPr>
            </w:pPr>
          </w:p>
          <w:tbl>
            <w:tblPr>
              <w:tblW w:w="5000" w:type="pct"/>
              <w:tblCellSpacing w:w="0" w:type="dxa"/>
              <w:tblLayout w:type="fixed"/>
              <w:tblCellMar>
                <w:left w:w="0" w:type="dxa"/>
                <w:right w:w="0" w:type="dxa"/>
              </w:tblCellMar>
              <w:tblLook w:val="04A0" w:firstRow="1" w:lastRow="0" w:firstColumn="1" w:lastColumn="0" w:noHBand="0" w:noVBand="1"/>
            </w:tblPr>
            <w:tblGrid>
              <w:gridCol w:w="20"/>
              <w:gridCol w:w="4148"/>
            </w:tblGrid>
            <w:tr w:rsidR="001E1112" w:rsidRPr="00317ABF" w14:paraId="02B35037" w14:textId="77777777" w:rsidTr="00A462BE">
              <w:trPr>
                <w:tblCellSpacing w:w="0" w:type="dxa"/>
              </w:trPr>
              <w:tc>
                <w:tcPr>
                  <w:tcW w:w="9" w:type="dxa"/>
                  <w:hideMark/>
                </w:tcPr>
                <w:p w14:paraId="49871886" w14:textId="77777777" w:rsidR="001E1112" w:rsidRPr="00317ABF" w:rsidRDefault="001E1112" w:rsidP="00EE0AC3">
                  <w:pPr>
                    <w:framePr w:hSpace="141" w:wrap="around" w:vAnchor="text" w:hAnchor="text" w:xAlign="right" w:y="1"/>
                    <w:spacing w:before="120"/>
                    <w:suppressOverlap/>
                    <w:jc w:val="both"/>
                    <w:rPr>
                      <w:sz w:val="22"/>
                      <w:szCs w:val="22"/>
                    </w:rPr>
                  </w:pPr>
                </w:p>
              </w:tc>
              <w:tc>
                <w:tcPr>
                  <w:tcW w:w="9063" w:type="dxa"/>
                  <w:hideMark/>
                </w:tcPr>
                <w:p w14:paraId="37F80AD3" w14:textId="77777777" w:rsidR="001E1112" w:rsidRPr="00317ABF" w:rsidRDefault="001E1112" w:rsidP="00EE0AC3">
                  <w:pPr>
                    <w:framePr w:hSpace="141" w:wrap="around" w:vAnchor="text" w:hAnchor="text" w:xAlign="right" w:y="1"/>
                    <w:numPr>
                      <w:ilvl w:val="0"/>
                      <w:numId w:val="38"/>
                    </w:numPr>
                    <w:spacing w:before="120"/>
                    <w:suppressOverlap/>
                    <w:jc w:val="both"/>
                    <w:rPr>
                      <w:sz w:val="22"/>
                      <w:szCs w:val="22"/>
                    </w:rPr>
                  </w:pPr>
                  <w:r w:rsidRPr="00317ABF">
                    <w:rPr>
                      <w:sz w:val="22"/>
                      <w:szCs w:val="22"/>
                    </w:rPr>
                    <w:t>wyraźnie określają powody tego ewentualnego odnowienia.</w:t>
                  </w:r>
                </w:p>
              </w:tc>
            </w:tr>
          </w:tbl>
          <w:p w14:paraId="7435D59A" w14:textId="77777777" w:rsidR="001E1112" w:rsidRPr="00317ABF" w:rsidRDefault="001E1112" w:rsidP="00DB3BEC">
            <w:pPr>
              <w:spacing w:before="120"/>
              <w:jc w:val="both"/>
              <w:rPr>
                <w:sz w:val="22"/>
                <w:szCs w:val="22"/>
              </w:rPr>
            </w:pPr>
            <w:r w:rsidRPr="00317ABF">
              <w:rPr>
                <w:sz w:val="22"/>
                <w:szCs w:val="22"/>
              </w:rPr>
              <w:t>Krajowy organ regulacyjny lub inny właściwy organ uwzględniają wszelkie wynikające z konsultacji przeprowadzonych na podstawie akapitu pierwszego niniejszego ustępu dowody na popyt rynkowy ze strony przedsiębiorstw innych niż te, które posiadają prawa użytkowania widma radiowego w danym paśmie, przy podejmowaniu decyzji w sprawie odnowienia praw użytkowania lub o zorganizowaniu nowej procedury selekcji w celu przyznania praw użytkowania na podstawie art. 55.</w:t>
            </w:r>
          </w:p>
        </w:tc>
        <w:tc>
          <w:tcPr>
            <w:tcW w:w="986" w:type="dxa"/>
          </w:tcPr>
          <w:p w14:paraId="2AC7C029" w14:textId="12CF70FB" w:rsidR="001E1112" w:rsidRPr="00317ABF" w:rsidRDefault="001E1112" w:rsidP="00DB3BEC">
            <w:pPr>
              <w:jc w:val="both"/>
              <w:rPr>
                <w:sz w:val="22"/>
                <w:szCs w:val="22"/>
              </w:rPr>
            </w:pPr>
            <w:r w:rsidRPr="00317ABF">
              <w:rPr>
                <w:sz w:val="22"/>
                <w:szCs w:val="22"/>
              </w:rPr>
              <w:lastRenderedPageBreak/>
              <w:t>T</w:t>
            </w:r>
          </w:p>
        </w:tc>
        <w:tc>
          <w:tcPr>
            <w:tcW w:w="910" w:type="dxa"/>
          </w:tcPr>
          <w:p w14:paraId="3BD1ED56" w14:textId="4FCC6D6E" w:rsidR="001E1112" w:rsidRPr="00317ABF" w:rsidRDefault="001E1112" w:rsidP="00DB3BEC">
            <w:pPr>
              <w:pStyle w:val="Tekstpodstawowy"/>
              <w:rPr>
                <w:b/>
                <w:bCs/>
                <w:noProof/>
                <w:sz w:val="22"/>
                <w:szCs w:val="22"/>
              </w:rPr>
            </w:pPr>
            <w:r w:rsidRPr="00317ABF">
              <w:rPr>
                <w:b/>
                <w:bCs/>
                <w:noProof/>
                <w:sz w:val="22"/>
                <w:szCs w:val="22"/>
              </w:rPr>
              <w:t xml:space="preserve">Art. </w:t>
            </w:r>
            <w:r w:rsidR="00C4262E" w:rsidRPr="00317ABF">
              <w:rPr>
                <w:b/>
                <w:bCs/>
                <w:noProof/>
                <w:sz w:val="22"/>
                <w:szCs w:val="22"/>
              </w:rPr>
              <w:t>93</w:t>
            </w:r>
            <w:r w:rsidRPr="00317ABF">
              <w:rPr>
                <w:b/>
                <w:bCs/>
                <w:noProof/>
                <w:sz w:val="22"/>
                <w:szCs w:val="22"/>
              </w:rPr>
              <w:t xml:space="preserve"> ust. 5-7</w:t>
            </w:r>
          </w:p>
        </w:tc>
        <w:tc>
          <w:tcPr>
            <w:tcW w:w="6814" w:type="dxa"/>
            <w:gridSpan w:val="2"/>
          </w:tcPr>
          <w:p w14:paraId="367A07AC" w14:textId="2FC490C9" w:rsidR="001E1112" w:rsidRPr="00317ABF" w:rsidRDefault="001E1112" w:rsidP="00C4262E">
            <w:pPr>
              <w:pStyle w:val="USTustnpkodeksu"/>
              <w:spacing w:line="240" w:lineRule="auto"/>
              <w:rPr>
                <w:rFonts w:ascii="Times New Roman" w:hAnsi="Times New Roman" w:cs="Times New Roman"/>
                <w:sz w:val="22"/>
                <w:szCs w:val="22"/>
              </w:rPr>
            </w:pPr>
            <w:r w:rsidRPr="00317ABF">
              <w:rPr>
                <w:rFonts w:ascii="Times New Roman" w:eastAsia="Times" w:hAnsi="Times New Roman" w:cs="Times New Roman"/>
                <w:sz w:val="22"/>
                <w:szCs w:val="22"/>
              </w:rPr>
              <w:t>5. Prezes UKE przed wydaniem decyzji w sprawie dokonania rezerwacji częstotliwości zharmonizowanych na kolejny okres przeprowadza postępowanie konsultacyjne.</w:t>
            </w:r>
          </w:p>
          <w:p w14:paraId="0A0C38FF" w14:textId="4F1797FF" w:rsidR="001E1112" w:rsidRPr="00317ABF" w:rsidRDefault="001E1112" w:rsidP="00C4262E">
            <w:pPr>
              <w:pStyle w:val="USTustnpkodeksu"/>
              <w:spacing w:line="240" w:lineRule="auto"/>
              <w:rPr>
                <w:rFonts w:ascii="Times New Roman" w:hAnsi="Times New Roman" w:cs="Times New Roman"/>
                <w:sz w:val="22"/>
                <w:szCs w:val="22"/>
              </w:rPr>
            </w:pPr>
            <w:r w:rsidRPr="00317ABF">
              <w:rPr>
                <w:rFonts w:ascii="Times New Roman" w:eastAsia="Times" w:hAnsi="Times New Roman" w:cs="Times New Roman"/>
                <w:sz w:val="22"/>
                <w:szCs w:val="22"/>
              </w:rPr>
              <w:t>6. W przypadku złożenia w ramach postępowania konsultacyjnego wniosku o rezerwację częstotliwości przez podmiot, który zapewnia efektywne ich wykorzystanie oraz nie posiada rezerwacji częstotliwości o analogicznych właściwościach, Prezes UKE może odmówić dokonania rezerwacji na kolejny okres.</w:t>
            </w:r>
          </w:p>
          <w:p w14:paraId="25A6A833" w14:textId="77777777" w:rsidR="00C4262E" w:rsidRPr="00317ABF" w:rsidRDefault="001E1112" w:rsidP="00C4262E">
            <w:pPr>
              <w:pStyle w:val="USTustnpkodeksu"/>
              <w:spacing w:line="240" w:lineRule="auto"/>
              <w:rPr>
                <w:rFonts w:ascii="Times New Roman" w:hAnsi="Times New Roman" w:cs="Times New Roman"/>
                <w:sz w:val="22"/>
                <w:szCs w:val="22"/>
              </w:rPr>
            </w:pPr>
            <w:r w:rsidRPr="00317ABF">
              <w:rPr>
                <w:rFonts w:ascii="Times New Roman" w:hAnsi="Times New Roman" w:cs="Times New Roman"/>
                <w:sz w:val="22"/>
                <w:szCs w:val="22"/>
              </w:rPr>
              <w:t xml:space="preserve">7. W przypadku wydania przez Prezesa UKE decyzji o odmowie rezerwacji częstotliwości na kolejny okres stosuje się art.  </w:t>
            </w:r>
            <w:r w:rsidR="00C4262E" w:rsidRPr="00317ABF">
              <w:rPr>
                <w:rFonts w:ascii="Times New Roman" w:hAnsi="Times New Roman" w:cs="Times New Roman"/>
                <w:sz w:val="22"/>
                <w:szCs w:val="22"/>
              </w:rPr>
              <w:t>104</w:t>
            </w:r>
            <w:r w:rsidRPr="00317ABF">
              <w:rPr>
                <w:rFonts w:ascii="Times New Roman" w:hAnsi="Times New Roman" w:cs="Times New Roman"/>
                <w:sz w:val="22"/>
                <w:szCs w:val="22"/>
              </w:rPr>
              <w:t xml:space="preserve">, art. </w:t>
            </w:r>
            <w:r w:rsidR="00C4262E" w:rsidRPr="00317ABF">
              <w:rPr>
                <w:rFonts w:ascii="Times New Roman" w:hAnsi="Times New Roman" w:cs="Times New Roman"/>
                <w:sz w:val="22"/>
                <w:szCs w:val="22"/>
              </w:rPr>
              <w:t>106</w:t>
            </w:r>
            <w:r w:rsidRPr="00317ABF">
              <w:rPr>
                <w:rFonts w:ascii="Times New Roman" w:hAnsi="Times New Roman" w:cs="Times New Roman"/>
                <w:sz w:val="22"/>
                <w:szCs w:val="22"/>
              </w:rPr>
              <w:t xml:space="preserve"> i art. </w:t>
            </w:r>
            <w:r w:rsidR="00C4262E" w:rsidRPr="00317ABF">
              <w:rPr>
                <w:rFonts w:ascii="Times New Roman" w:hAnsi="Times New Roman" w:cs="Times New Roman"/>
                <w:sz w:val="22"/>
                <w:szCs w:val="22"/>
              </w:rPr>
              <w:t>107.</w:t>
            </w:r>
          </w:p>
          <w:p w14:paraId="6E29E5B4" w14:textId="0C2A234B" w:rsidR="001E1112" w:rsidRPr="00317ABF" w:rsidRDefault="001E1112" w:rsidP="00DB3BEC">
            <w:pPr>
              <w:jc w:val="both"/>
              <w:rPr>
                <w:sz w:val="22"/>
                <w:szCs w:val="22"/>
              </w:rPr>
            </w:pPr>
          </w:p>
        </w:tc>
      </w:tr>
      <w:tr w:rsidR="001E1112" w:rsidRPr="00317ABF" w14:paraId="5815BCCC" w14:textId="77777777" w:rsidTr="7753F98D">
        <w:trPr>
          <w:gridAfter w:val="2"/>
          <w:wAfter w:w="175" w:type="dxa"/>
        </w:trPr>
        <w:tc>
          <w:tcPr>
            <w:tcW w:w="704" w:type="dxa"/>
          </w:tcPr>
          <w:p w14:paraId="410AE71D" w14:textId="77777777" w:rsidR="001E1112" w:rsidRPr="00317ABF" w:rsidRDefault="001E1112" w:rsidP="00DB3BEC">
            <w:pPr>
              <w:jc w:val="both"/>
              <w:rPr>
                <w:sz w:val="22"/>
                <w:szCs w:val="22"/>
              </w:rPr>
            </w:pPr>
            <w:r w:rsidRPr="00317ABF">
              <w:rPr>
                <w:sz w:val="22"/>
                <w:szCs w:val="22"/>
              </w:rPr>
              <w:lastRenderedPageBreak/>
              <w:t>Art. 50 ust.  4</w:t>
            </w:r>
          </w:p>
        </w:tc>
        <w:tc>
          <w:tcPr>
            <w:tcW w:w="4308" w:type="dxa"/>
          </w:tcPr>
          <w:p w14:paraId="7A31C9DE" w14:textId="77777777" w:rsidR="001E1112" w:rsidRPr="00317ABF" w:rsidRDefault="001E1112" w:rsidP="00DB3BEC">
            <w:pPr>
              <w:spacing w:before="120"/>
              <w:jc w:val="both"/>
              <w:rPr>
                <w:sz w:val="22"/>
                <w:szCs w:val="22"/>
              </w:rPr>
            </w:pPr>
            <w:r w:rsidRPr="00317ABF">
              <w:rPr>
                <w:sz w:val="22"/>
                <w:szCs w:val="22"/>
              </w:rPr>
              <w:t>4.   Decyzji o odnowieniu indywidulanych praw użytkowania zharmonizowanego widma radiowego może towarzyszyć przegląd opłat, a także innych związanych z nimi warunków. W stosownych przypadkach, krajowe organy regulacyjne lub inne właściwe organy mogą dokonać korekty opłat z tytułu praw użytkowania zgodnie z art. 42.</w:t>
            </w:r>
          </w:p>
        </w:tc>
        <w:tc>
          <w:tcPr>
            <w:tcW w:w="986" w:type="dxa"/>
          </w:tcPr>
          <w:p w14:paraId="0486D37F" w14:textId="12D43442" w:rsidR="001E1112" w:rsidRPr="00317ABF" w:rsidRDefault="001E1112" w:rsidP="00DB3BEC">
            <w:pPr>
              <w:jc w:val="both"/>
              <w:rPr>
                <w:sz w:val="22"/>
                <w:szCs w:val="22"/>
              </w:rPr>
            </w:pPr>
            <w:r w:rsidRPr="00317ABF">
              <w:rPr>
                <w:sz w:val="22"/>
                <w:szCs w:val="22"/>
              </w:rPr>
              <w:t>N</w:t>
            </w:r>
          </w:p>
        </w:tc>
        <w:tc>
          <w:tcPr>
            <w:tcW w:w="910" w:type="dxa"/>
          </w:tcPr>
          <w:p w14:paraId="433FB565" w14:textId="0AFD16C4" w:rsidR="001E1112" w:rsidRPr="00317ABF" w:rsidRDefault="00DB3BEC" w:rsidP="00DB3BEC">
            <w:pPr>
              <w:pStyle w:val="Tekstpodstawowy"/>
              <w:rPr>
                <w:b/>
                <w:bCs/>
                <w:noProof/>
                <w:sz w:val="22"/>
                <w:szCs w:val="22"/>
              </w:rPr>
            </w:pPr>
            <w:r w:rsidRPr="00317ABF">
              <w:rPr>
                <w:b/>
                <w:bCs/>
                <w:noProof/>
                <w:sz w:val="22"/>
                <w:szCs w:val="22"/>
              </w:rPr>
              <w:t xml:space="preserve">Art. </w:t>
            </w:r>
            <w:r w:rsidR="001E1112" w:rsidRPr="00317ABF">
              <w:rPr>
                <w:b/>
                <w:bCs/>
                <w:noProof/>
                <w:sz w:val="22"/>
                <w:szCs w:val="22"/>
              </w:rPr>
              <w:t>24 ust. 6 i 7</w:t>
            </w:r>
          </w:p>
        </w:tc>
        <w:tc>
          <w:tcPr>
            <w:tcW w:w="6814" w:type="dxa"/>
            <w:gridSpan w:val="2"/>
          </w:tcPr>
          <w:p w14:paraId="4AFA095A" w14:textId="77777777" w:rsidR="00E51C1C" w:rsidRPr="00317ABF" w:rsidRDefault="00E51C1C" w:rsidP="00E51C1C">
            <w:pPr>
              <w:pStyle w:val="USTustnpkodeksu"/>
              <w:keepNext/>
              <w:spacing w:line="240" w:lineRule="auto"/>
              <w:rPr>
                <w:rFonts w:ascii="Times New Roman" w:hAnsi="Times New Roman" w:cs="Times New Roman"/>
                <w:sz w:val="22"/>
                <w:szCs w:val="22"/>
              </w:rPr>
            </w:pPr>
            <w:r w:rsidRPr="00317ABF">
              <w:rPr>
                <w:rFonts w:ascii="Times New Roman" w:hAnsi="Times New Roman" w:cs="Times New Roman"/>
                <w:sz w:val="22"/>
                <w:szCs w:val="22"/>
              </w:rPr>
              <w:t>6. Podmiot, na rzecz którego dokonano rezerwacji częstotliwości na kolejny okres w drodze postępowania, o którym mowa w art. 93 ust. 1, uiszcza w terminie 14 dni od dnia doręczenia decyzji w sprawie rezerwacji częstotliwości jednorazową opłatę za dokonanie rezerwacji częstotliwości na kolejny okres w kwocie stanowiącej iloczyn:</w:t>
            </w:r>
          </w:p>
          <w:p w14:paraId="75458CEC" w14:textId="77777777" w:rsidR="00E51C1C" w:rsidRPr="00317ABF" w:rsidRDefault="00E51C1C" w:rsidP="00E51C1C">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1)</w:t>
            </w:r>
            <w:r w:rsidRPr="00317ABF">
              <w:rPr>
                <w:rFonts w:ascii="Times New Roman" w:hAnsi="Times New Roman" w:cs="Times New Roman"/>
                <w:sz w:val="22"/>
                <w:szCs w:val="22"/>
              </w:rPr>
              <w:tab/>
              <w:t>wartości częstotliwości o szerokości 1 MHz dla takiego samego obszaru i wykorzystywania częstotliwości, uzyskanej w wyniku przeprowadzenia ostatniego przetargu, aukcji albo konkursu na rezerwację częstotliwości z danego zakresu częstotliwości;</w:t>
            </w:r>
          </w:p>
          <w:p w14:paraId="083C21AA" w14:textId="77777777" w:rsidR="00E51C1C" w:rsidRPr="00317ABF" w:rsidRDefault="00E51C1C" w:rsidP="00E51C1C">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2)</w:t>
            </w:r>
            <w:r w:rsidRPr="00317ABF">
              <w:rPr>
                <w:rFonts w:ascii="Times New Roman" w:hAnsi="Times New Roman" w:cs="Times New Roman"/>
                <w:sz w:val="22"/>
                <w:szCs w:val="22"/>
              </w:rPr>
              <w:tab/>
            </w:r>
            <w:r w:rsidRPr="00317ABF" w:rsidDel="002A743C">
              <w:rPr>
                <w:rFonts w:ascii="Times New Roman" w:hAnsi="Times New Roman" w:cs="Times New Roman"/>
                <w:sz w:val="22"/>
                <w:szCs w:val="22"/>
              </w:rPr>
              <w:t xml:space="preserve">ilości </w:t>
            </w:r>
            <w:r w:rsidRPr="00317ABF">
              <w:rPr>
                <w:rFonts w:ascii="Times New Roman" w:hAnsi="Times New Roman" w:cs="Times New Roman"/>
                <w:sz w:val="22"/>
                <w:szCs w:val="22"/>
              </w:rPr>
              <w:t>MHz objętych rezerwacją częstotliwości na kolejny okres oraz</w:t>
            </w:r>
          </w:p>
          <w:p w14:paraId="006C944F" w14:textId="77777777" w:rsidR="001E1112" w:rsidRPr="00317ABF" w:rsidRDefault="001E1112" w:rsidP="00E51C1C">
            <w:pPr>
              <w:pStyle w:val="PKTpunkt0"/>
              <w:spacing w:line="240" w:lineRule="auto"/>
              <w:rPr>
                <w:rFonts w:ascii="Times New Roman" w:hAnsi="Times New Roman" w:cs="Times New Roman"/>
                <w:sz w:val="22"/>
                <w:szCs w:val="22"/>
              </w:rPr>
            </w:pPr>
            <w:r w:rsidRPr="00317ABF">
              <w:rPr>
                <w:rFonts w:ascii="Times New Roman" w:eastAsia="Times" w:hAnsi="Times New Roman" w:cs="Times New Roman"/>
                <w:sz w:val="22"/>
                <w:szCs w:val="22"/>
              </w:rPr>
              <w:t>3)</w:t>
            </w:r>
            <w:r w:rsidR="00E51C1C" w:rsidRPr="00317ABF">
              <w:rPr>
                <w:rFonts w:ascii="Times New Roman" w:hAnsi="Times New Roman" w:cs="Times New Roman"/>
                <w:sz w:val="22"/>
                <w:szCs w:val="22"/>
              </w:rPr>
              <w:tab/>
            </w:r>
            <w:r w:rsidRPr="00317ABF">
              <w:rPr>
                <w:rFonts w:ascii="Times New Roman" w:eastAsia="Times" w:hAnsi="Times New Roman" w:cs="Times New Roman"/>
                <w:sz w:val="22"/>
                <w:szCs w:val="22"/>
              </w:rPr>
              <w:t>średniorocznych wskaźników cen towarów i usług konsumpcyjnych ogółem udostępnianych przez Prezesa Głównego Urzędu Statystycznego, za okres od roku, w którym przeprowadzono ostatni przetarg, aukcję albo konkurs na rezerwację częstotliwości, o których mowa w pkt 1, do roku poprzedzającego rok, w którym złożono wniosek o dokonanie rezerwacji częstotliwości na kolejny okres.</w:t>
            </w:r>
          </w:p>
          <w:p w14:paraId="51643681" w14:textId="317ABF5D" w:rsidR="001E1112" w:rsidRPr="00317ABF" w:rsidRDefault="001E1112" w:rsidP="00DB3BEC">
            <w:pPr>
              <w:jc w:val="both"/>
              <w:rPr>
                <w:sz w:val="22"/>
                <w:szCs w:val="22"/>
              </w:rPr>
            </w:pPr>
            <w:r w:rsidRPr="00317ABF">
              <w:rPr>
                <w:sz w:val="22"/>
                <w:szCs w:val="22"/>
              </w:rPr>
              <w:t xml:space="preserve">7. W przypadku dokonania rezerwacji częstotliwości na kolejny okres, inny niż okres, na który wydano rezerwację częstotliwości, o których mowa w </w:t>
            </w:r>
            <w:r w:rsidRPr="00317ABF">
              <w:rPr>
                <w:sz w:val="22"/>
                <w:szCs w:val="22"/>
              </w:rPr>
              <w:lastRenderedPageBreak/>
              <w:t>ust. 6 pkt 1, opłatę określa się proporcjonalnie do okresu, na jaki dokonywana jest ta rezerwacja częstotliwości.</w:t>
            </w:r>
          </w:p>
        </w:tc>
      </w:tr>
      <w:tr w:rsidR="001E1112" w:rsidRPr="00317ABF" w14:paraId="329A7322" w14:textId="77777777" w:rsidTr="7753F98D">
        <w:trPr>
          <w:gridAfter w:val="2"/>
          <w:wAfter w:w="175" w:type="dxa"/>
        </w:trPr>
        <w:tc>
          <w:tcPr>
            <w:tcW w:w="704" w:type="dxa"/>
          </w:tcPr>
          <w:p w14:paraId="708AC49A" w14:textId="77777777" w:rsidR="001E1112" w:rsidRPr="00317ABF" w:rsidRDefault="001E1112" w:rsidP="00DB3BEC">
            <w:pPr>
              <w:jc w:val="both"/>
              <w:rPr>
                <w:b/>
                <w:sz w:val="22"/>
                <w:szCs w:val="22"/>
              </w:rPr>
            </w:pPr>
            <w:r w:rsidRPr="00317ABF">
              <w:rPr>
                <w:b/>
                <w:sz w:val="22"/>
                <w:szCs w:val="22"/>
              </w:rPr>
              <w:lastRenderedPageBreak/>
              <w:t>Art. 51</w:t>
            </w:r>
          </w:p>
        </w:tc>
        <w:tc>
          <w:tcPr>
            <w:tcW w:w="4308" w:type="dxa"/>
          </w:tcPr>
          <w:p w14:paraId="122CDBC0" w14:textId="77777777" w:rsidR="001E1112" w:rsidRPr="00317ABF" w:rsidRDefault="001E1112" w:rsidP="00DB3BEC">
            <w:pPr>
              <w:spacing w:before="120"/>
              <w:jc w:val="both"/>
              <w:rPr>
                <w:sz w:val="22"/>
                <w:szCs w:val="22"/>
              </w:rPr>
            </w:pPr>
            <w:r w:rsidRPr="00317ABF">
              <w:rPr>
                <w:b/>
                <w:bCs/>
                <w:sz w:val="22"/>
                <w:szCs w:val="22"/>
              </w:rPr>
              <w:t>Przekazanie lub dzierżawa indywidualnych praw użytkowania widma radiowego</w:t>
            </w:r>
          </w:p>
        </w:tc>
        <w:tc>
          <w:tcPr>
            <w:tcW w:w="986" w:type="dxa"/>
          </w:tcPr>
          <w:p w14:paraId="0BDDEA17" w14:textId="77777777" w:rsidR="001E1112" w:rsidRPr="00317ABF" w:rsidRDefault="001E1112" w:rsidP="00DB3BEC">
            <w:pPr>
              <w:jc w:val="both"/>
              <w:rPr>
                <w:sz w:val="22"/>
                <w:szCs w:val="22"/>
              </w:rPr>
            </w:pPr>
          </w:p>
        </w:tc>
        <w:tc>
          <w:tcPr>
            <w:tcW w:w="910" w:type="dxa"/>
          </w:tcPr>
          <w:p w14:paraId="77CBE861" w14:textId="77777777" w:rsidR="001E1112" w:rsidRPr="00317ABF" w:rsidRDefault="001E1112" w:rsidP="00DB3BEC">
            <w:pPr>
              <w:pStyle w:val="Tekstpodstawowy"/>
              <w:rPr>
                <w:b/>
                <w:noProof/>
                <w:sz w:val="22"/>
                <w:szCs w:val="22"/>
              </w:rPr>
            </w:pPr>
          </w:p>
        </w:tc>
        <w:tc>
          <w:tcPr>
            <w:tcW w:w="6814" w:type="dxa"/>
            <w:gridSpan w:val="2"/>
          </w:tcPr>
          <w:p w14:paraId="30AA8F23" w14:textId="77777777" w:rsidR="001E1112" w:rsidRPr="00317ABF" w:rsidRDefault="001E1112" w:rsidP="00DB3BEC">
            <w:pPr>
              <w:pStyle w:val="Tekstpodstawowy"/>
              <w:rPr>
                <w:sz w:val="22"/>
                <w:szCs w:val="22"/>
              </w:rPr>
            </w:pPr>
          </w:p>
        </w:tc>
      </w:tr>
      <w:tr w:rsidR="001E1112" w:rsidRPr="00317ABF" w14:paraId="1842DDC7" w14:textId="77777777" w:rsidTr="7753F98D">
        <w:trPr>
          <w:gridAfter w:val="2"/>
          <w:wAfter w:w="175" w:type="dxa"/>
        </w:trPr>
        <w:tc>
          <w:tcPr>
            <w:tcW w:w="704" w:type="dxa"/>
          </w:tcPr>
          <w:p w14:paraId="3C2E0102" w14:textId="77777777" w:rsidR="001E1112" w:rsidRPr="00317ABF" w:rsidRDefault="001E1112" w:rsidP="00DB3BEC">
            <w:pPr>
              <w:jc w:val="both"/>
              <w:rPr>
                <w:sz w:val="22"/>
                <w:szCs w:val="22"/>
              </w:rPr>
            </w:pPr>
            <w:r w:rsidRPr="00317ABF">
              <w:rPr>
                <w:sz w:val="22"/>
                <w:szCs w:val="22"/>
              </w:rPr>
              <w:t>Art. 51 ust. 1</w:t>
            </w:r>
          </w:p>
        </w:tc>
        <w:tc>
          <w:tcPr>
            <w:tcW w:w="4308" w:type="dxa"/>
          </w:tcPr>
          <w:p w14:paraId="58F6BDA5" w14:textId="77777777" w:rsidR="001E1112" w:rsidRPr="00317ABF" w:rsidRDefault="001E1112" w:rsidP="00DB3BEC">
            <w:pPr>
              <w:spacing w:before="120"/>
              <w:jc w:val="both"/>
              <w:rPr>
                <w:sz w:val="22"/>
                <w:szCs w:val="22"/>
              </w:rPr>
            </w:pPr>
            <w:r w:rsidRPr="00317ABF">
              <w:rPr>
                <w:sz w:val="22"/>
                <w:szCs w:val="22"/>
              </w:rPr>
              <w:t>1.   Państwa członkowskie zapewniają, aby przedsiębiorstwa mogły przekazywać lub wydzierżawiać innym przedsiębiorstwom indywidualne prawa użytkowania widma radiowego.</w:t>
            </w:r>
          </w:p>
          <w:p w14:paraId="380AB3AC" w14:textId="77777777" w:rsidR="001E1112" w:rsidRPr="00317ABF" w:rsidRDefault="001E1112" w:rsidP="00DB3BEC">
            <w:pPr>
              <w:spacing w:before="120"/>
              <w:jc w:val="both"/>
              <w:rPr>
                <w:sz w:val="22"/>
                <w:szCs w:val="22"/>
              </w:rPr>
            </w:pPr>
            <w:r w:rsidRPr="00317ABF">
              <w:rPr>
                <w:sz w:val="22"/>
                <w:szCs w:val="22"/>
              </w:rPr>
              <w:t>Państwa członkowskie mogą określić, że niniejszy ustęp nie ma zastosowania, jeżeli przysługujące przedsiębiorstwu indywidualne prawo użytkowania widma radiowego przyznano początkowo bezpłatnie lub przydzielono do celów nadawania.</w:t>
            </w:r>
          </w:p>
        </w:tc>
        <w:tc>
          <w:tcPr>
            <w:tcW w:w="986" w:type="dxa"/>
          </w:tcPr>
          <w:p w14:paraId="4E4D0102" w14:textId="772F2E1C" w:rsidR="001E1112" w:rsidRPr="00317ABF" w:rsidRDefault="001E1112" w:rsidP="00DB3BEC">
            <w:pPr>
              <w:jc w:val="both"/>
              <w:rPr>
                <w:sz w:val="22"/>
                <w:szCs w:val="22"/>
              </w:rPr>
            </w:pPr>
            <w:r w:rsidRPr="00317ABF">
              <w:rPr>
                <w:sz w:val="22"/>
                <w:szCs w:val="22"/>
              </w:rPr>
              <w:t>T</w:t>
            </w:r>
          </w:p>
        </w:tc>
        <w:tc>
          <w:tcPr>
            <w:tcW w:w="910" w:type="dxa"/>
          </w:tcPr>
          <w:p w14:paraId="521DC0F4" w14:textId="6F00EC25" w:rsidR="001E1112" w:rsidRPr="00317ABF" w:rsidRDefault="001E1112" w:rsidP="00DB3BEC">
            <w:pPr>
              <w:pStyle w:val="Tekstpodstawowy"/>
              <w:rPr>
                <w:b/>
                <w:bCs/>
                <w:noProof/>
                <w:sz w:val="22"/>
                <w:szCs w:val="22"/>
              </w:rPr>
            </w:pPr>
            <w:r w:rsidRPr="00317ABF">
              <w:rPr>
                <w:b/>
                <w:bCs/>
                <w:noProof/>
                <w:sz w:val="22"/>
                <w:szCs w:val="22"/>
              </w:rPr>
              <w:t xml:space="preserve">Art. </w:t>
            </w:r>
            <w:r w:rsidR="00E51C1C" w:rsidRPr="00317ABF">
              <w:rPr>
                <w:b/>
                <w:bCs/>
                <w:noProof/>
                <w:sz w:val="22"/>
                <w:szCs w:val="22"/>
              </w:rPr>
              <w:t>95</w:t>
            </w:r>
            <w:r w:rsidRPr="00317ABF">
              <w:rPr>
                <w:b/>
                <w:bCs/>
                <w:noProof/>
                <w:sz w:val="22"/>
                <w:szCs w:val="22"/>
              </w:rPr>
              <w:t xml:space="preserve"> ust. 1, 5-7 i </w:t>
            </w:r>
            <w:r w:rsidR="00E51C1C" w:rsidRPr="00317ABF">
              <w:rPr>
                <w:b/>
                <w:bCs/>
                <w:noProof/>
                <w:sz w:val="22"/>
                <w:szCs w:val="22"/>
              </w:rPr>
              <w:t>96</w:t>
            </w:r>
            <w:r w:rsidRPr="00317ABF">
              <w:rPr>
                <w:b/>
                <w:bCs/>
                <w:noProof/>
                <w:sz w:val="22"/>
                <w:szCs w:val="22"/>
              </w:rPr>
              <w:t xml:space="preserve"> ust. 1, 6-7</w:t>
            </w:r>
            <w:r w:rsidR="006F20A9" w:rsidRPr="00317ABF">
              <w:rPr>
                <w:b/>
                <w:bCs/>
                <w:noProof/>
                <w:sz w:val="22"/>
                <w:szCs w:val="22"/>
              </w:rPr>
              <w:t xml:space="preserve"> i 9</w:t>
            </w:r>
          </w:p>
        </w:tc>
        <w:tc>
          <w:tcPr>
            <w:tcW w:w="6814" w:type="dxa"/>
            <w:gridSpan w:val="2"/>
          </w:tcPr>
          <w:p w14:paraId="764154B4" w14:textId="77777777" w:rsidR="00E51C1C" w:rsidRPr="00317ABF" w:rsidRDefault="00E51C1C" w:rsidP="00E51C1C">
            <w:pPr>
              <w:pStyle w:val="ARTartustawynprozporzdzenia"/>
              <w:keepNext/>
              <w:spacing w:before="0" w:line="240" w:lineRule="auto"/>
              <w:ind w:firstLine="0"/>
              <w:rPr>
                <w:rFonts w:ascii="Times New Roman" w:hAnsi="Times New Roman" w:cs="Times New Roman"/>
                <w:sz w:val="22"/>
                <w:szCs w:val="22"/>
              </w:rPr>
            </w:pPr>
            <w:r w:rsidRPr="00317ABF">
              <w:rPr>
                <w:rStyle w:val="Ppogrubienie"/>
                <w:rFonts w:ascii="Times New Roman" w:hAnsi="Times New Roman"/>
                <w:sz w:val="22"/>
                <w:szCs w:val="22"/>
              </w:rPr>
              <w:t>Art. 95.</w:t>
            </w:r>
            <w:r w:rsidRPr="00317ABF">
              <w:rPr>
                <w:rFonts w:ascii="Times New Roman" w:hAnsi="Times New Roman" w:cs="Times New Roman"/>
                <w:sz w:val="22"/>
                <w:szCs w:val="22"/>
              </w:rPr>
              <w:t xml:space="preserve"> 1. Prezes UKE na wniosek, z wyłączeniem rezerwacji częstotliwości na cele rozpowszechniania programów radiofonicznych w sposób analogowy drogą rozsiewczą naziemną, dokonuje zmiany podmiotu dysponującego rezerwacją częstotliwości, w tym także na rzecz kilku użytkowników, jeżeli podmiot:</w:t>
            </w:r>
          </w:p>
          <w:p w14:paraId="435B6205" w14:textId="77777777" w:rsidR="00E51C1C" w:rsidRPr="00317ABF" w:rsidRDefault="00E51C1C" w:rsidP="00E51C1C">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1)</w:t>
            </w:r>
            <w:r w:rsidRPr="00317ABF">
              <w:rPr>
                <w:rFonts w:ascii="Times New Roman" w:hAnsi="Times New Roman" w:cs="Times New Roman"/>
                <w:sz w:val="22"/>
                <w:szCs w:val="22"/>
              </w:rPr>
              <w:tab/>
              <w:t>dysponujący rezerwacją częstotliwości w tym wniosku wskaże podmiot, który będzie dysponował rezerwacją lub współużytkował częstotliwość w wyniku tej zmiany;</w:t>
            </w:r>
          </w:p>
          <w:p w14:paraId="45E39E6F" w14:textId="23CC318F" w:rsidR="001E1112" w:rsidRPr="00317ABF" w:rsidRDefault="001E1112" w:rsidP="00DB3BEC">
            <w:pPr>
              <w:ind w:firstLine="510"/>
              <w:jc w:val="both"/>
              <w:rPr>
                <w:sz w:val="22"/>
                <w:szCs w:val="22"/>
              </w:rPr>
            </w:pPr>
            <w:r w:rsidRPr="00317ABF">
              <w:rPr>
                <w:sz w:val="22"/>
                <w:szCs w:val="22"/>
              </w:rPr>
              <w:t>2)</w:t>
            </w:r>
            <w:r w:rsidR="00E51C1C" w:rsidRPr="00317ABF">
              <w:rPr>
                <w:sz w:val="22"/>
                <w:szCs w:val="22"/>
              </w:rPr>
              <w:tab/>
            </w:r>
            <w:r w:rsidRPr="00317ABF">
              <w:rPr>
                <w:sz w:val="22"/>
                <w:szCs w:val="22"/>
              </w:rPr>
              <w:t>wskazany we wniosku, wyrazi zgodę na przejęcie lub w przypadku współużytkowania częstotliwości przyjęcie uprawnień i obowiązków wynikających ze zmiany podmiotu dysponującego rezerwacją i spełnia wymagania określone ustawą.</w:t>
            </w:r>
          </w:p>
          <w:p w14:paraId="0DEB9097" w14:textId="77777777" w:rsidR="00E51C1C" w:rsidRPr="00317ABF" w:rsidRDefault="00E51C1C" w:rsidP="00E51C1C">
            <w:pPr>
              <w:pStyle w:val="USTustnpkodeksu"/>
              <w:spacing w:line="240" w:lineRule="auto"/>
              <w:rPr>
                <w:rFonts w:ascii="Times New Roman" w:hAnsi="Times New Roman" w:cs="Times New Roman"/>
                <w:sz w:val="22"/>
                <w:szCs w:val="22"/>
              </w:rPr>
            </w:pPr>
            <w:r w:rsidRPr="00317ABF">
              <w:rPr>
                <w:rFonts w:ascii="Times New Roman" w:hAnsi="Times New Roman" w:cs="Times New Roman"/>
                <w:sz w:val="22"/>
                <w:szCs w:val="22"/>
              </w:rPr>
              <w:t>5. W przypadku gdy zmiana podmiotu dysponującego rezerwacją częstotliwości wiąże się z ich współużytkowaniem stosuje się przepisy art. 85-86.</w:t>
            </w:r>
          </w:p>
          <w:p w14:paraId="2D083993" w14:textId="77777777" w:rsidR="001E1112" w:rsidRPr="00317ABF" w:rsidRDefault="001E1112" w:rsidP="00E51C1C">
            <w:pPr>
              <w:pStyle w:val="USTustnpkodeksu"/>
              <w:spacing w:line="240" w:lineRule="auto"/>
              <w:rPr>
                <w:rFonts w:ascii="Times New Roman" w:hAnsi="Times New Roman" w:cs="Times New Roman"/>
                <w:sz w:val="22"/>
                <w:szCs w:val="22"/>
              </w:rPr>
            </w:pPr>
            <w:r w:rsidRPr="00317ABF">
              <w:rPr>
                <w:rFonts w:ascii="Times New Roman" w:hAnsi="Times New Roman" w:cs="Times New Roman"/>
                <w:sz w:val="22"/>
                <w:szCs w:val="22"/>
              </w:rPr>
              <w:t>6. Prezes UKE dokonuje zmiany podmiotu dysponującego rezerwacją częstotliwości dokonaną w drodze postępowania selekcyjnego, po zasięgnięciu opinii Prezesa UOKiK w sprawie zachowania warunków konkurencji.</w:t>
            </w:r>
          </w:p>
          <w:p w14:paraId="2F959365" w14:textId="001D9ADA" w:rsidR="001E1112" w:rsidRPr="00317ABF" w:rsidRDefault="001E1112" w:rsidP="00DB3BEC">
            <w:pPr>
              <w:pStyle w:val="USTustnpkodeksu"/>
              <w:spacing w:line="240" w:lineRule="auto"/>
              <w:ind w:firstLine="0"/>
              <w:rPr>
                <w:rFonts w:ascii="Times New Roman" w:hAnsi="Times New Roman" w:cs="Times New Roman"/>
                <w:sz w:val="22"/>
                <w:szCs w:val="22"/>
              </w:rPr>
            </w:pPr>
            <w:r w:rsidRPr="00317ABF">
              <w:rPr>
                <w:rFonts w:ascii="Times New Roman" w:hAnsi="Times New Roman" w:cs="Times New Roman"/>
                <w:sz w:val="22"/>
                <w:szCs w:val="22"/>
              </w:rPr>
              <w:t>7. Prezes UKE podejmuje decyzję w sprawie zmiany podmiotu dysponującego rezerwacją częstotliwości na cele rozpowszechniania w sposób cyfrowy lub rozprowadzania programów radiofonicznych lub telewizyjnych, w porozumieniu z Przewodniczącym KRRiT.</w:t>
            </w:r>
          </w:p>
          <w:p w14:paraId="5FBCA624" w14:textId="77777777" w:rsidR="001E1112" w:rsidRPr="00317ABF" w:rsidRDefault="001E1112" w:rsidP="00DB3BEC">
            <w:pPr>
              <w:jc w:val="both"/>
              <w:rPr>
                <w:sz w:val="22"/>
                <w:szCs w:val="22"/>
              </w:rPr>
            </w:pPr>
          </w:p>
          <w:p w14:paraId="3E831750" w14:textId="5492BB17" w:rsidR="001E1112" w:rsidRPr="00317ABF" w:rsidRDefault="001E1112" w:rsidP="00E51C1C">
            <w:pPr>
              <w:rPr>
                <w:rFonts w:eastAsia="Times"/>
                <w:sz w:val="22"/>
                <w:szCs w:val="22"/>
              </w:rPr>
            </w:pPr>
            <w:r w:rsidRPr="00317ABF">
              <w:rPr>
                <w:rStyle w:val="Ppogrubienie"/>
                <w:rFonts w:eastAsia="Times"/>
                <w:sz w:val="22"/>
                <w:szCs w:val="22"/>
              </w:rPr>
              <w:t>Art.</w:t>
            </w:r>
            <w:r w:rsidR="00E51C1C" w:rsidRPr="00317ABF">
              <w:rPr>
                <w:rStyle w:val="Ppogrubienie"/>
                <w:sz w:val="22"/>
                <w:szCs w:val="22"/>
              </w:rPr>
              <w:t> 96</w:t>
            </w:r>
            <w:r w:rsidRPr="00317ABF">
              <w:rPr>
                <w:rStyle w:val="Ppogrubienie"/>
                <w:rFonts w:eastAsia="Times"/>
                <w:sz w:val="22"/>
                <w:szCs w:val="22"/>
              </w:rPr>
              <w:t>.</w:t>
            </w:r>
            <w:r w:rsidRPr="00317ABF">
              <w:rPr>
                <w:rFonts w:eastAsia="Times"/>
                <w:sz w:val="22"/>
                <w:szCs w:val="22"/>
              </w:rPr>
              <w:t xml:space="preserve"> 1. Podmiot dysponujący rezerwacją częstotliwości, może wydzierżawić lub przekazać do użytkowania na podstawie innego tytułu prawnego częstotliwości objęte rezerwacją, na rzecz innego podmiotu.</w:t>
            </w:r>
          </w:p>
          <w:p w14:paraId="1CEAB982" w14:textId="77777777" w:rsidR="001E1112" w:rsidRPr="00317ABF" w:rsidRDefault="001E1112" w:rsidP="00E51C1C">
            <w:pPr>
              <w:pStyle w:val="USTustnpkodeksu"/>
              <w:spacing w:line="240" w:lineRule="auto"/>
              <w:rPr>
                <w:rFonts w:ascii="Times New Roman" w:hAnsi="Times New Roman" w:cs="Times New Roman"/>
                <w:sz w:val="22"/>
                <w:szCs w:val="22"/>
              </w:rPr>
            </w:pPr>
            <w:r w:rsidRPr="00317ABF">
              <w:rPr>
                <w:rFonts w:ascii="Times New Roman" w:hAnsi="Times New Roman" w:cs="Times New Roman"/>
                <w:sz w:val="22"/>
                <w:szCs w:val="22"/>
              </w:rPr>
              <w:t>6. W przypadku częstotliwości przeznaczonych na potrzeby rozpowszechniania lub rozprowadzania programów radiofonicznych lub telewizyjnych, Prezes UKE wydaje decyzję, o której mowa w ust. 5 pkt 2, w porozumieniu z Przewodniczącym KRRiT.</w:t>
            </w:r>
          </w:p>
          <w:p w14:paraId="56CA78A9" w14:textId="77777777" w:rsidR="001E1112" w:rsidRPr="00317ABF" w:rsidRDefault="001E1112" w:rsidP="00E51C1C">
            <w:pPr>
              <w:jc w:val="both"/>
              <w:rPr>
                <w:sz w:val="22"/>
                <w:szCs w:val="22"/>
              </w:rPr>
            </w:pPr>
            <w:r w:rsidRPr="00317ABF">
              <w:rPr>
                <w:sz w:val="22"/>
                <w:szCs w:val="22"/>
              </w:rPr>
              <w:t>7. Przepis ust. 2 stosuje się odpowiednio w przypadku wygaśnięcia lub rozwiązania umowy o wydzierżawienie częstotliwości lub ich przekazanie do użytkowania na rzecz innego podmiotu.</w:t>
            </w:r>
          </w:p>
          <w:p w14:paraId="3083C59C" w14:textId="77777777" w:rsidR="006F20A9" w:rsidRPr="00317ABF" w:rsidRDefault="006F20A9" w:rsidP="006F20A9">
            <w:pPr>
              <w:pStyle w:val="USTustnpkodeksu"/>
              <w:spacing w:line="240" w:lineRule="auto"/>
              <w:rPr>
                <w:rFonts w:ascii="Times New Roman" w:hAnsi="Times New Roman" w:cs="Times New Roman"/>
                <w:sz w:val="22"/>
                <w:szCs w:val="22"/>
              </w:rPr>
            </w:pPr>
            <w:r w:rsidRPr="00317ABF">
              <w:rPr>
                <w:rFonts w:ascii="Times New Roman" w:hAnsi="Times New Roman" w:cs="Times New Roman"/>
                <w:sz w:val="22"/>
                <w:szCs w:val="22"/>
              </w:rPr>
              <w:lastRenderedPageBreak/>
              <w:t>9. Podmiot, któremu częstotliwości zostały wydzierżawione lub przekazane do użytkowania i któremu wydano decyzję o zakazie wykorzystywania częstotliwości, o której mowa w ust. 5, nie może ubiegać się o wydanie pozwolenia radiowego z wykorzystaniem tych częstotliwości.</w:t>
            </w:r>
          </w:p>
          <w:p w14:paraId="533C2012" w14:textId="27AD6011" w:rsidR="001E1112" w:rsidRPr="00317ABF" w:rsidRDefault="001E1112" w:rsidP="00DB3BEC">
            <w:pPr>
              <w:jc w:val="both"/>
              <w:rPr>
                <w:sz w:val="22"/>
                <w:szCs w:val="22"/>
              </w:rPr>
            </w:pPr>
          </w:p>
        </w:tc>
      </w:tr>
      <w:tr w:rsidR="001E1112" w:rsidRPr="00317ABF" w14:paraId="2285F390" w14:textId="77777777" w:rsidTr="7753F98D">
        <w:trPr>
          <w:gridAfter w:val="2"/>
          <w:wAfter w:w="175" w:type="dxa"/>
        </w:trPr>
        <w:tc>
          <w:tcPr>
            <w:tcW w:w="704" w:type="dxa"/>
          </w:tcPr>
          <w:p w14:paraId="395A3647" w14:textId="77777777" w:rsidR="001E1112" w:rsidRPr="00317ABF" w:rsidRDefault="001E1112" w:rsidP="00DB3BEC">
            <w:pPr>
              <w:jc w:val="both"/>
              <w:rPr>
                <w:sz w:val="22"/>
                <w:szCs w:val="22"/>
              </w:rPr>
            </w:pPr>
            <w:r w:rsidRPr="00317ABF">
              <w:rPr>
                <w:sz w:val="22"/>
                <w:szCs w:val="22"/>
              </w:rPr>
              <w:lastRenderedPageBreak/>
              <w:t>Art. 51 ust. 2</w:t>
            </w:r>
          </w:p>
        </w:tc>
        <w:tc>
          <w:tcPr>
            <w:tcW w:w="4308" w:type="dxa"/>
          </w:tcPr>
          <w:p w14:paraId="2D8D9281" w14:textId="77777777" w:rsidR="001E1112" w:rsidRPr="00317ABF" w:rsidRDefault="001E1112" w:rsidP="00DB3BEC">
            <w:pPr>
              <w:spacing w:before="120"/>
              <w:jc w:val="both"/>
              <w:rPr>
                <w:sz w:val="22"/>
                <w:szCs w:val="22"/>
              </w:rPr>
            </w:pPr>
            <w:r w:rsidRPr="00317ABF">
              <w:rPr>
                <w:sz w:val="22"/>
                <w:szCs w:val="22"/>
              </w:rPr>
              <w:t>2.   Państwa członkowskie zapewniają, aby przedsiębiorstwa powiadamiały zgodnie z procedurami krajowymi o zamiarze lub fakcie przekazania lub dzierżawy praw użytkowania widma radiowego właściwy organ, a także by taki zamiar lub fakt przekazania podawano do wiadomości publicznej. W przypadku zharmonizowanego widma radiowego każde takie przekazanie musi być zgodne z takim zharmonizowanym użytkowaniem.</w:t>
            </w:r>
          </w:p>
        </w:tc>
        <w:tc>
          <w:tcPr>
            <w:tcW w:w="986" w:type="dxa"/>
          </w:tcPr>
          <w:p w14:paraId="6152D71A" w14:textId="5947F115" w:rsidR="001E1112" w:rsidRPr="00317ABF" w:rsidRDefault="001E1112" w:rsidP="00DB3BEC">
            <w:pPr>
              <w:jc w:val="both"/>
              <w:rPr>
                <w:sz w:val="22"/>
                <w:szCs w:val="22"/>
              </w:rPr>
            </w:pPr>
            <w:r w:rsidRPr="00317ABF">
              <w:rPr>
                <w:sz w:val="22"/>
                <w:szCs w:val="22"/>
              </w:rPr>
              <w:t>T</w:t>
            </w:r>
          </w:p>
        </w:tc>
        <w:tc>
          <w:tcPr>
            <w:tcW w:w="910" w:type="dxa"/>
          </w:tcPr>
          <w:p w14:paraId="032B7333" w14:textId="78D98504" w:rsidR="001E1112" w:rsidRPr="00317ABF" w:rsidRDefault="001E1112" w:rsidP="00DB3BEC">
            <w:pPr>
              <w:pStyle w:val="Tekstpodstawowy"/>
              <w:rPr>
                <w:b/>
                <w:bCs/>
                <w:noProof/>
                <w:sz w:val="22"/>
                <w:szCs w:val="22"/>
              </w:rPr>
            </w:pPr>
            <w:r w:rsidRPr="00317ABF">
              <w:rPr>
                <w:b/>
                <w:bCs/>
                <w:noProof/>
                <w:sz w:val="22"/>
                <w:szCs w:val="22"/>
              </w:rPr>
              <w:t xml:space="preserve">Art. </w:t>
            </w:r>
            <w:r w:rsidR="006373CE" w:rsidRPr="00317ABF">
              <w:rPr>
                <w:b/>
                <w:bCs/>
                <w:noProof/>
                <w:sz w:val="22"/>
                <w:szCs w:val="22"/>
              </w:rPr>
              <w:t>95</w:t>
            </w:r>
            <w:r w:rsidRPr="00317ABF">
              <w:rPr>
                <w:b/>
                <w:bCs/>
                <w:noProof/>
                <w:sz w:val="22"/>
                <w:szCs w:val="22"/>
              </w:rPr>
              <w:t xml:space="preserve"> ust. 2 i 8</w:t>
            </w:r>
          </w:p>
          <w:p w14:paraId="57C5F8B4" w14:textId="47D17CF6" w:rsidR="001E1112" w:rsidRPr="00317ABF" w:rsidRDefault="001E1112" w:rsidP="00DB3BEC">
            <w:pPr>
              <w:pStyle w:val="Tekstpodstawowy"/>
              <w:rPr>
                <w:b/>
                <w:bCs/>
                <w:noProof/>
                <w:sz w:val="22"/>
                <w:szCs w:val="22"/>
              </w:rPr>
            </w:pPr>
          </w:p>
          <w:p w14:paraId="64E5F722" w14:textId="62C585C0" w:rsidR="001E1112" w:rsidRPr="00317ABF" w:rsidRDefault="001E1112" w:rsidP="00DB3BEC">
            <w:pPr>
              <w:pStyle w:val="Tekstpodstawowy"/>
              <w:rPr>
                <w:b/>
                <w:bCs/>
                <w:noProof/>
                <w:sz w:val="22"/>
                <w:szCs w:val="22"/>
              </w:rPr>
            </w:pPr>
          </w:p>
          <w:p w14:paraId="2EFE8DF6" w14:textId="3AD99EE2" w:rsidR="001E1112" w:rsidRPr="00317ABF" w:rsidRDefault="001E1112" w:rsidP="00DB3BEC">
            <w:pPr>
              <w:pStyle w:val="Tekstpodstawowy"/>
              <w:rPr>
                <w:b/>
                <w:bCs/>
                <w:noProof/>
                <w:sz w:val="22"/>
                <w:szCs w:val="22"/>
              </w:rPr>
            </w:pPr>
          </w:p>
          <w:p w14:paraId="49E8B338" w14:textId="5EAD6178" w:rsidR="001E1112" w:rsidRPr="00317ABF" w:rsidRDefault="001E1112" w:rsidP="00DB3BEC">
            <w:pPr>
              <w:pStyle w:val="Tekstpodstawowy"/>
              <w:rPr>
                <w:b/>
                <w:bCs/>
                <w:noProof/>
                <w:sz w:val="22"/>
                <w:szCs w:val="22"/>
              </w:rPr>
            </w:pPr>
          </w:p>
          <w:p w14:paraId="3AAC554A" w14:textId="6E26D0F4" w:rsidR="001E1112" w:rsidRPr="00317ABF" w:rsidRDefault="001E1112" w:rsidP="00DB3BEC">
            <w:pPr>
              <w:pStyle w:val="Tekstpodstawowy"/>
              <w:rPr>
                <w:b/>
                <w:bCs/>
                <w:noProof/>
                <w:sz w:val="22"/>
                <w:szCs w:val="22"/>
              </w:rPr>
            </w:pPr>
          </w:p>
          <w:p w14:paraId="34E51E26" w14:textId="105E1F01" w:rsidR="001E1112" w:rsidRPr="00317ABF" w:rsidRDefault="001E1112" w:rsidP="00DB3BEC">
            <w:pPr>
              <w:pStyle w:val="Tekstpodstawowy"/>
              <w:rPr>
                <w:b/>
                <w:bCs/>
                <w:noProof/>
                <w:sz w:val="22"/>
                <w:szCs w:val="22"/>
              </w:rPr>
            </w:pPr>
          </w:p>
          <w:p w14:paraId="14F5DA60" w14:textId="236DA65D" w:rsidR="001E1112" w:rsidRPr="00317ABF" w:rsidRDefault="001E1112" w:rsidP="00DB3BEC">
            <w:pPr>
              <w:pStyle w:val="Tekstpodstawowy"/>
              <w:rPr>
                <w:b/>
                <w:bCs/>
                <w:noProof/>
                <w:sz w:val="22"/>
                <w:szCs w:val="22"/>
              </w:rPr>
            </w:pPr>
          </w:p>
          <w:p w14:paraId="7D64B730" w14:textId="34AEA543" w:rsidR="001E1112" w:rsidRPr="00317ABF" w:rsidRDefault="001E1112" w:rsidP="00DB3BEC">
            <w:pPr>
              <w:pStyle w:val="Tekstpodstawowy"/>
              <w:rPr>
                <w:b/>
                <w:bCs/>
                <w:noProof/>
                <w:sz w:val="22"/>
                <w:szCs w:val="22"/>
              </w:rPr>
            </w:pPr>
          </w:p>
          <w:p w14:paraId="580A45B0" w14:textId="27460C06" w:rsidR="001E1112" w:rsidRPr="00317ABF" w:rsidRDefault="001E1112" w:rsidP="00DB3BEC">
            <w:pPr>
              <w:pStyle w:val="Tekstpodstawowy"/>
              <w:rPr>
                <w:b/>
                <w:bCs/>
                <w:noProof/>
                <w:sz w:val="22"/>
                <w:szCs w:val="22"/>
              </w:rPr>
            </w:pPr>
          </w:p>
          <w:p w14:paraId="43E934EB" w14:textId="6231E1A2" w:rsidR="001E1112" w:rsidRPr="00317ABF" w:rsidRDefault="001E1112" w:rsidP="00DB3BEC">
            <w:pPr>
              <w:pStyle w:val="Tekstpodstawowy"/>
              <w:rPr>
                <w:b/>
                <w:bCs/>
                <w:noProof/>
                <w:sz w:val="22"/>
                <w:szCs w:val="22"/>
              </w:rPr>
            </w:pPr>
          </w:p>
          <w:p w14:paraId="026ECA74" w14:textId="22101DF4" w:rsidR="001E1112" w:rsidRPr="00317ABF" w:rsidRDefault="001E1112" w:rsidP="00DB3BEC">
            <w:pPr>
              <w:pStyle w:val="Tekstpodstawowy"/>
              <w:rPr>
                <w:b/>
                <w:bCs/>
                <w:noProof/>
                <w:sz w:val="22"/>
                <w:szCs w:val="22"/>
              </w:rPr>
            </w:pPr>
          </w:p>
          <w:p w14:paraId="625532E2" w14:textId="138898C7" w:rsidR="001E1112" w:rsidRPr="00317ABF" w:rsidRDefault="001E1112" w:rsidP="00DB3BEC">
            <w:pPr>
              <w:pStyle w:val="Tekstpodstawowy"/>
              <w:rPr>
                <w:b/>
                <w:bCs/>
                <w:noProof/>
                <w:sz w:val="22"/>
                <w:szCs w:val="22"/>
              </w:rPr>
            </w:pPr>
          </w:p>
          <w:p w14:paraId="414E3798" w14:textId="5A8CD435" w:rsidR="001E1112" w:rsidRPr="00317ABF" w:rsidRDefault="001E1112" w:rsidP="00DB3BEC">
            <w:pPr>
              <w:pStyle w:val="Tekstpodstawowy"/>
              <w:rPr>
                <w:b/>
                <w:bCs/>
                <w:noProof/>
                <w:sz w:val="22"/>
                <w:szCs w:val="22"/>
              </w:rPr>
            </w:pPr>
          </w:p>
          <w:p w14:paraId="7A921DE6" w14:textId="443D804B" w:rsidR="001E1112" w:rsidRPr="00317ABF" w:rsidRDefault="001E1112" w:rsidP="00DB3BEC">
            <w:pPr>
              <w:pStyle w:val="Tekstpodstawowy"/>
              <w:rPr>
                <w:b/>
                <w:bCs/>
                <w:noProof/>
                <w:sz w:val="22"/>
                <w:szCs w:val="22"/>
              </w:rPr>
            </w:pPr>
          </w:p>
          <w:p w14:paraId="2FF20E01" w14:textId="3E0F75FC" w:rsidR="001E1112" w:rsidRPr="00317ABF" w:rsidRDefault="001E1112" w:rsidP="00DB3BEC">
            <w:pPr>
              <w:pStyle w:val="Tekstpodstawowy"/>
              <w:rPr>
                <w:b/>
                <w:bCs/>
                <w:noProof/>
                <w:sz w:val="22"/>
                <w:szCs w:val="22"/>
              </w:rPr>
            </w:pPr>
          </w:p>
          <w:p w14:paraId="2BCD0226" w14:textId="34FA7FA2" w:rsidR="001E1112" w:rsidRPr="00317ABF" w:rsidRDefault="001E1112" w:rsidP="00DB3BEC">
            <w:pPr>
              <w:pStyle w:val="Tekstpodstawowy"/>
              <w:rPr>
                <w:b/>
                <w:bCs/>
                <w:noProof/>
                <w:sz w:val="22"/>
                <w:szCs w:val="22"/>
              </w:rPr>
            </w:pPr>
          </w:p>
          <w:p w14:paraId="05C3455A" w14:textId="7334F1E6" w:rsidR="001E1112" w:rsidRPr="00317ABF" w:rsidRDefault="001E1112" w:rsidP="00DB3BEC">
            <w:pPr>
              <w:pStyle w:val="Tekstpodstawowy"/>
              <w:rPr>
                <w:b/>
                <w:bCs/>
                <w:noProof/>
                <w:sz w:val="22"/>
                <w:szCs w:val="22"/>
              </w:rPr>
            </w:pPr>
          </w:p>
          <w:p w14:paraId="47448CB4" w14:textId="6E36DFB6" w:rsidR="001E1112" w:rsidRPr="00317ABF" w:rsidRDefault="001E1112" w:rsidP="00DB3BEC">
            <w:pPr>
              <w:pStyle w:val="Tekstpodstawowy"/>
              <w:rPr>
                <w:b/>
                <w:bCs/>
                <w:noProof/>
                <w:sz w:val="22"/>
                <w:szCs w:val="22"/>
              </w:rPr>
            </w:pPr>
          </w:p>
          <w:p w14:paraId="5F18229F" w14:textId="75FE0832" w:rsidR="001E1112" w:rsidRPr="00317ABF" w:rsidRDefault="001E1112" w:rsidP="00DB3BEC">
            <w:pPr>
              <w:pStyle w:val="Tekstpodstawowy"/>
              <w:rPr>
                <w:b/>
                <w:bCs/>
                <w:noProof/>
                <w:sz w:val="22"/>
                <w:szCs w:val="22"/>
              </w:rPr>
            </w:pPr>
          </w:p>
          <w:p w14:paraId="2D116E81" w14:textId="77777777" w:rsidR="006373CE" w:rsidRPr="00317ABF" w:rsidRDefault="006373CE" w:rsidP="00DB3BEC">
            <w:pPr>
              <w:pStyle w:val="Tekstpodstawowy"/>
              <w:rPr>
                <w:b/>
                <w:bCs/>
                <w:noProof/>
                <w:sz w:val="22"/>
                <w:szCs w:val="22"/>
              </w:rPr>
            </w:pPr>
          </w:p>
          <w:p w14:paraId="085BA8B1" w14:textId="77777777" w:rsidR="006373CE" w:rsidRPr="00317ABF" w:rsidRDefault="006373CE" w:rsidP="00DB3BEC">
            <w:pPr>
              <w:pStyle w:val="Tekstpodstawowy"/>
              <w:rPr>
                <w:b/>
                <w:bCs/>
                <w:noProof/>
                <w:sz w:val="22"/>
                <w:szCs w:val="22"/>
              </w:rPr>
            </w:pPr>
          </w:p>
          <w:p w14:paraId="6E0B0A63" w14:textId="646EA0E4" w:rsidR="001E1112" w:rsidRPr="00317ABF" w:rsidRDefault="00DB3BEC" w:rsidP="00DB3BEC">
            <w:pPr>
              <w:pStyle w:val="Tekstpodstawowy"/>
              <w:rPr>
                <w:b/>
                <w:bCs/>
                <w:noProof/>
                <w:sz w:val="22"/>
                <w:szCs w:val="22"/>
              </w:rPr>
            </w:pPr>
            <w:r w:rsidRPr="00317ABF">
              <w:rPr>
                <w:b/>
                <w:bCs/>
                <w:noProof/>
                <w:sz w:val="22"/>
                <w:szCs w:val="22"/>
              </w:rPr>
              <w:t xml:space="preserve">Art. </w:t>
            </w:r>
            <w:r w:rsidR="006373CE" w:rsidRPr="00317ABF">
              <w:rPr>
                <w:b/>
                <w:bCs/>
                <w:noProof/>
                <w:sz w:val="22"/>
                <w:szCs w:val="22"/>
              </w:rPr>
              <w:t>96</w:t>
            </w:r>
            <w:r w:rsidR="001E1112" w:rsidRPr="00317ABF">
              <w:rPr>
                <w:b/>
                <w:bCs/>
                <w:noProof/>
                <w:sz w:val="22"/>
                <w:szCs w:val="22"/>
              </w:rPr>
              <w:t xml:space="preserve"> ust. 2, 3 i 8</w:t>
            </w:r>
          </w:p>
        </w:tc>
        <w:tc>
          <w:tcPr>
            <w:tcW w:w="6814" w:type="dxa"/>
            <w:gridSpan w:val="2"/>
          </w:tcPr>
          <w:p w14:paraId="36E8E89A" w14:textId="1CF49F4B" w:rsidR="001E1112" w:rsidRPr="00317ABF" w:rsidRDefault="001E1112" w:rsidP="006373CE">
            <w:pPr>
              <w:pStyle w:val="USTustnpkodeksu"/>
              <w:keepNext/>
              <w:spacing w:line="240" w:lineRule="auto"/>
              <w:rPr>
                <w:rFonts w:ascii="Times New Roman" w:hAnsi="Times New Roman" w:cs="Times New Roman"/>
                <w:sz w:val="22"/>
                <w:szCs w:val="22"/>
              </w:rPr>
            </w:pPr>
            <w:r w:rsidRPr="00317ABF">
              <w:rPr>
                <w:rFonts w:ascii="Times New Roman" w:eastAsia="Times" w:hAnsi="Times New Roman" w:cs="Times New Roman"/>
                <w:sz w:val="22"/>
                <w:szCs w:val="22"/>
              </w:rPr>
              <w:t>2. Podmiot dysponujący rezerwacją częstotliwości we wniosku, dotyczącym części zakresu częstotliwości lub pozycji orbitalnych objętych rezerwacją lub części obszaru, na którym mogą być wykorzystywane częstotliwości, określa również:</w:t>
            </w:r>
          </w:p>
          <w:p w14:paraId="7C91DA9E" w14:textId="77777777" w:rsidR="006373CE" w:rsidRPr="00317ABF" w:rsidRDefault="006373CE" w:rsidP="006373CE">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1)</w:t>
            </w:r>
            <w:r w:rsidRPr="00317ABF">
              <w:rPr>
                <w:rFonts w:ascii="Times New Roman" w:hAnsi="Times New Roman" w:cs="Times New Roman"/>
                <w:sz w:val="22"/>
                <w:szCs w:val="22"/>
              </w:rPr>
              <w:tab/>
              <w:t>zakres częstotliwości lub pozycji orbitalnych, którymi dysponował będzie podmiot wskazany we wniosku;</w:t>
            </w:r>
          </w:p>
          <w:p w14:paraId="072CAAC6" w14:textId="027CD38B" w:rsidR="006373CE" w:rsidRPr="00317ABF" w:rsidRDefault="006373CE" w:rsidP="006373CE">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2)</w:t>
            </w:r>
            <w:r w:rsidRPr="00317ABF">
              <w:rPr>
                <w:rFonts w:ascii="Times New Roman" w:hAnsi="Times New Roman" w:cs="Times New Roman"/>
                <w:sz w:val="22"/>
                <w:szCs w:val="22"/>
              </w:rPr>
              <w:tab/>
              <w:t>obszar, zgodnie z administracyjnym podziałem kraju, na którym będą mogły być wykorzystywane częstotliwości przez podmiot wskazany we wniosku;</w:t>
            </w:r>
          </w:p>
          <w:p w14:paraId="21EB162E" w14:textId="57A01497" w:rsidR="001E1112" w:rsidRPr="00317ABF" w:rsidRDefault="001E1112" w:rsidP="00DB3BEC">
            <w:pPr>
              <w:jc w:val="both"/>
              <w:rPr>
                <w:sz w:val="22"/>
                <w:szCs w:val="22"/>
              </w:rPr>
            </w:pPr>
            <w:r w:rsidRPr="00317ABF">
              <w:rPr>
                <w:sz w:val="22"/>
                <w:szCs w:val="22"/>
              </w:rPr>
              <w:t>3)</w:t>
            </w:r>
            <w:r w:rsidR="006373CE" w:rsidRPr="00317ABF">
              <w:rPr>
                <w:sz w:val="22"/>
                <w:szCs w:val="22"/>
              </w:rPr>
              <w:tab/>
            </w:r>
            <w:r w:rsidRPr="00317ABF">
              <w:rPr>
                <w:sz w:val="22"/>
                <w:szCs w:val="22"/>
              </w:rPr>
              <w:t xml:space="preserve">propozycję podziału uprawnień, innych niż określone w pkt 1 i 2, oraz obowiązków wynikających z rezerwacji, w tym zobowiązań, o których mowa w art. </w:t>
            </w:r>
            <w:r w:rsidR="006373CE" w:rsidRPr="00317ABF">
              <w:rPr>
                <w:sz w:val="22"/>
                <w:szCs w:val="22"/>
              </w:rPr>
              <w:t>87</w:t>
            </w:r>
            <w:r w:rsidRPr="00317ABF">
              <w:rPr>
                <w:sz w:val="22"/>
                <w:szCs w:val="22"/>
              </w:rPr>
              <w:t xml:space="preserve"> ust. 1 pkt 10, odpowiednio do zakresu częstotliwości lub pozycji orbitalnych objętych rezerwacją lub obszaru, na którym będą mogły być wykorzystywane częstotliwości przez podmiot wskazany we wniosku.</w:t>
            </w:r>
          </w:p>
          <w:p w14:paraId="38DD491F" w14:textId="53291F0C" w:rsidR="001E1112" w:rsidRPr="00317ABF" w:rsidRDefault="001E1112" w:rsidP="006373CE">
            <w:pPr>
              <w:ind w:firstLine="510"/>
              <w:jc w:val="both"/>
              <w:rPr>
                <w:sz w:val="22"/>
                <w:szCs w:val="22"/>
              </w:rPr>
            </w:pPr>
            <w:r w:rsidRPr="00317ABF">
              <w:rPr>
                <w:sz w:val="22"/>
                <w:szCs w:val="22"/>
              </w:rPr>
              <w:t>8. Prezes UKE udostępnia niezwłocznie na stronie podmiotowej BIP UKE informację o wydaniu decyzji o zmianie podmiotu dysponującego rezerwacją częstotliwości obejmującą nazwę (firmę) podmiotu, na rzecz którego przeniesiono rezerwację częstotliwości lub podmiotów współużytkujących częstotliwość, zakres częstotliwości, obszar objęty rezerwacją oraz okres obowiązywania rezerwacji.</w:t>
            </w:r>
          </w:p>
          <w:p w14:paraId="3DCDE36C" w14:textId="77777777" w:rsidR="006373CE" w:rsidRPr="00317ABF" w:rsidRDefault="006373CE" w:rsidP="006373CE">
            <w:pPr>
              <w:ind w:firstLine="510"/>
              <w:jc w:val="both"/>
              <w:rPr>
                <w:sz w:val="22"/>
                <w:szCs w:val="22"/>
              </w:rPr>
            </w:pPr>
          </w:p>
          <w:p w14:paraId="1D4EF633" w14:textId="77777777" w:rsidR="001E1112" w:rsidRPr="00317ABF" w:rsidRDefault="001E1112" w:rsidP="00DB3BEC">
            <w:pPr>
              <w:ind w:firstLine="510"/>
              <w:jc w:val="both"/>
              <w:rPr>
                <w:sz w:val="22"/>
                <w:szCs w:val="22"/>
              </w:rPr>
            </w:pPr>
            <w:r w:rsidRPr="00317ABF">
              <w:rPr>
                <w:rFonts w:eastAsia="Times"/>
                <w:sz w:val="22"/>
                <w:szCs w:val="22"/>
              </w:rPr>
              <w:t>2. W przypadku, o którym mowa w ust. 1, podmiot dysponujący rezerwacją częstotliwości, zawiadamia Prezesa UKE, a w przypadku częstotliwości przeznaczonych na cele rozpowszechniania lub rozprowadzania programów radiofonicznych lub telewizyjnych - także Przewodniczącego KRRiT, o wydzierżawieniu częstotliwości lub przekazaniu ich do użytkowania, nie później niż w terminie 14 dni od dnia zawarcia umowy.</w:t>
            </w:r>
          </w:p>
          <w:p w14:paraId="6E7D9169" w14:textId="6934C12D" w:rsidR="001E1112" w:rsidRPr="00317ABF" w:rsidRDefault="001E1112" w:rsidP="006373CE">
            <w:pPr>
              <w:pStyle w:val="USTustnpkodeksu"/>
              <w:keepNext/>
              <w:spacing w:line="240" w:lineRule="auto"/>
              <w:rPr>
                <w:rFonts w:ascii="Times New Roman" w:hAnsi="Times New Roman" w:cs="Times New Roman"/>
                <w:sz w:val="22"/>
                <w:szCs w:val="22"/>
              </w:rPr>
            </w:pPr>
            <w:r w:rsidRPr="00317ABF">
              <w:rPr>
                <w:rFonts w:ascii="Times New Roman" w:eastAsia="Times" w:hAnsi="Times New Roman" w:cs="Times New Roman"/>
                <w:sz w:val="22"/>
                <w:szCs w:val="22"/>
              </w:rPr>
              <w:t>3. W zawiadomieniu, o którym mowa w ust. 2, określa się podmiot, na rzecz którego wydzierżawiono lub któremu przekazano do użytkowania częstotliwości objęte rezerwacją, jego adres lub siedzibę oraz okres, na jaki umowa została zawarta. Jeżeli umowa dotyczy udostępnienia części zakresu częstotliwości objętych rezerwacją lub części obszaru, na którym mogą być wykorzystywane częstotliwości, zawiadomienie powinno również określać:</w:t>
            </w:r>
          </w:p>
          <w:p w14:paraId="14C14458" w14:textId="77777777" w:rsidR="006373CE" w:rsidRPr="00317ABF" w:rsidRDefault="006373CE" w:rsidP="006373CE">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lastRenderedPageBreak/>
              <w:t>1)</w:t>
            </w:r>
            <w:r w:rsidRPr="00317ABF">
              <w:rPr>
                <w:rFonts w:ascii="Times New Roman" w:hAnsi="Times New Roman" w:cs="Times New Roman"/>
                <w:sz w:val="22"/>
                <w:szCs w:val="22"/>
              </w:rPr>
              <w:tab/>
              <w:t>zakres częstotliwości, którymi będzie dysponował podmiot wskazany w zawiadomieniu lub</w:t>
            </w:r>
          </w:p>
          <w:p w14:paraId="6BCDF94B" w14:textId="09CC1D98" w:rsidR="001E1112" w:rsidRPr="00317ABF" w:rsidRDefault="001E1112" w:rsidP="006373CE">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2)</w:t>
            </w:r>
            <w:r w:rsidR="006373CE" w:rsidRPr="00317ABF">
              <w:rPr>
                <w:rFonts w:ascii="Times New Roman" w:hAnsi="Times New Roman" w:cs="Times New Roman"/>
                <w:sz w:val="22"/>
                <w:szCs w:val="22"/>
              </w:rPr>
              <w:tab/>
            </w:r>
            <w:r w:rsidRPr="00317ABF">
              <w:rPr>
                <w:rFonts w:ascii="Times New Roman" w:hAnsi="Times New Roman" w:cs="Times New Roman"/>
                <w:sz w:val="22"/>
                <w:szCs w:val="22"/>
              </w:rPr>
              <w:t>obszar, na którym będą mogły być wykorzystywane częstotliwości przez podmiot wskazany w zawiadomieniu.</w:t>
            </w:r>
          </w:p>
          <w:p w14:paraId="65803923" w14:textId="73E10269" w:rsidR="001E1112" w:rsidRPr="00317ABF" w:rsidRDefault="001E1112" w:rsidP="00DB3BEC">
            <w:pPr>
              <w:jc w:val="both"/>
              <w:rPr>
                <w:sz w:val="22"/>
                <w:szCs w:val="22"/>
              </w:rPr>
            </w:pPr>
            <w:r w:rsidRPr="00317ABF">
              <w:rPr>
                <w:rFonts w:eastAsia="Times"/>
                <w:sz w:val="22"/>
                <w:szCs w:val="22"/>
              </w:rPr>
              <w:t>8. Prezes UKE niezwłocznie udostępnia na stronie podmiotowej BIP UKE treść zawiadomienia, o którym mowa w ust. 2, oraz w przypadku podjęcia decyzji, o której mowa w ust. 5, informację o jej treści.</w:t>
            </w:r>
          </w:p>
        </w:tc>
      </w:tr>
      <w:tr w:rsidR="001E1112" w:rsidRPr="00317ABF" w14:paraId="36EFA2CD" w14:textId="77777777" w:rsidTr="7753F98D">
        <w:trPr>
          <w:gridAfter w:val="2"/>
          <w:wAfter w:w="175" w:type="dxa"/>
        </w:trPr>
        <w:tc>
          <w:tcPr>
            <w:tcW w:w="704" w:type="dxa"/>
          </w:tcPr>
          <w:p w14:paraId="33310FDB" w14:textId="77777777" w:rsidR="001E1112" w:rsidRPr="00317ABF" w:rsidRDefault="001E1112" w:rsidP="00DB3BEC">
            <w:pPr>
              <w:jc w:val="both"/>
              <w:rPr>
                <w:sz w:val="22"/>
                <w:szCs w:val="22"/>
              </w:rPr>
            </w:pPr>
            <w:r w:rsidRPr="00317ABF">
              <w:rPr>
                <w:sz w:val="22"/>
                <w:szCs w:val="22"/>
              </w:rPr>
              <w:lastRenderedPageBreak/>
              <w:t>Art. 51 ust. 3</w:t>
            </w:r>
          </w:p>
        </w:tc>
        <w:tc>
          <w:tcPr>
            <w:tcW w:w="4308" w:type="dxa"/>
          </w:tcPr>
          <w:p w14:paraId="446E41E7" w14:textId="77777777" w:rsidR="001E1112" w:rsidRPr="00317ABF" w:rsidRDefault="001E1112" w:rsidP="00DB3BEC">
            <w:pPr>
              <w:spacing w:before="120"/>
              <w:jc w:val="both"/>
              <w:rPr>
                <w:sz w:val="22"/>
                <w:szCs w:val="22"/>
              </w:rPr>
            </w:pPr>
            <w:r w:rsidRPr="00317ABF">
              <w:rPr>
                <w:sz w:val="22"/>
                <w:szCs w:val="22"/>
              </w:rPr>
              <w:t>3.   Państwa członkowskie dopuszczają przekazanie lub dzierżawę praw użytkowania widma radiowego pod warunkiem utrzymania pierwotnych warunków, którymi obwarowano te prawa użytkowania. Bez uszczerbku dla konieczności zapewnienia niezakłóconej konkurencji, w szczególności zgodnie z art. 52, państwa członkowskie:</w:t>
            </w:r>
          </w:p>
          <w:tbl>
            <w:tblPr>
              <w:tblW w:w="5000" w:type="pct"/>
              <w:tblCellSpacing w:w="0" w:type="dxa"/>
              <w:tblLayout w:type="fixed"/>
              <w:tblCellMar>
                <w:left w:w="0" w:type="dxa"/>
                <w:right w:w="0" w:type="dxa"/>
              </w:tblCellMar>
              <w:tblLook w:val="04A0" w:firstRow="1" w:lastRow="0" w:firstColumn="1" w:lastColumn="0" w:noHBand="0" w:noVBand="1"/>
            </w:tblPr>
            <w:tblGrid>
              <w:gridCol w:w="20"/>
              <w:gridCol w:w="4148"/>
            </w:tblGrid>
            <w:tr w:rsidR="001E1112" w:rsidRPr="00317ABF" w14:paraId="66CA0CE9" w14:textId="77777777" w:rsidTr="00A462BE">
              <w:trPr>
                <w:tblCellSpacing w:w="0" w:type="dxa"/>
              </w:trPr>
              <w:tc>
                <w:tcPr>
                  <w:tcW w:w="7" w:type="dxa"/>
                  <w:hideMark/>
                </w:tcPr>
                <w:p w14:paraId="7F2612E7" w14:textId="77777777" w:rsidR="001E1112" w:rsidRPr="00317ABF" w:rsidRDefault="001E1112" w:rsidP="00EE0AC3">
                  <w:pPr>
                    <w:framePr w:hSpace="141" w:wrap="around" w:vAnchor="text" w:hAnchor="text" w:xAlign="right" w:y="1"/>
                    <w:spacing w:before="120"/>
                    <w:suppressOverlap/>
                    <w:jc w:val="both"/>
                    <w:rPr>
                      <w:sz w:val="22"/>
                      <w:szCs w:val="22"/>
                    </w:rPr>
                  </w:pPr>
                </w:p>
              </w:tc>
              <w:tc>
                <w:tcPr>
                  <w:tcW w:w="9065" w:type="dxa"/>
                  <w:hideMark/>
                </w:tcPr>
                <w:p w14:paraId="52CD8329" w14:textId="77777777" w:rsidR="001E1112" w:rsidRPr="00317ABF" w:rsidRDefault="001E1112" w:rsidP="00EE0AC3">
                  <w:pPr>
                    <w:framePr w:hSpace="141" w:wrap="around" w:vAnchor="text" w:hAnchor="text" w:xAlign="right" w:y="1"/>
                    <w:numPr>
                      <w:ilvl w:val="0"/>
                      <w:numId w:val="40"/>
                    </w:numPr>
                    <w:spacing w:before="120"/>
                    <w:suppressOverlap/>
                    <w:jc w:val="both"/>
                    <w:rPr>
                      <w:sz w:val="22"/>
                      <w:szCs w:val="22"/>
                    </w:rPr>
                  </w:pPr>
                  <w:r w:rsidRPr="00317ABF">
                    <w:rPr>
                      <w:sz w:val="22"/>
                      <w:szCs w:val="22"/>
                    </w:rPr>
                    <w:t>obejmują przekazywanie i dzierżawę procedurą, która jest jak najmniej uciążliwa;</w:t>
                  </w:r>
                </w:p>
              </w:tc>
            </w:tr>
          </w:tbl>
          <w:p w14:paraId="5ECAE9C8" w14:textId="77777777" w:rsidR="001E1112" w:rsidRPr="00317ABF" w:rsidRDefault="001E1112" w:rsidP="00DB3BEC">
            <w:pPr>
              <w:jc w:val="both"/>
              <w:rPr>
                <w:vanish/>
                <w:sz w:val="22"/>
                <w:szCs w:val="22"/>
              </w:rPr>
            </w:pPr>
          </w:p>
          <w:tbl>
            <w:tblPr>
              <w:tblW w:w="5000" w:type="pct"/>
              <w:tblCellSpacing w:w="0" w:type="dxa"/>
              <w:tblLayout w:type="fixed"/>
              <w:tblCellMar>
                <w:left w:w="0" w:type="dxa"/>
                <w:right w:w="0" w:type="dxa"/>
              </w:tblCellMar>
              <w:tblLook w:val="04A0" w:firstRow="1" w:lastRow="0" w:firstColumn="1" w:lastColumn="0" w:noHBand="0" w:noVBand="1"/>
            </w:tblPr>
            <w:tblGrid>
              <w:gridCol w:w="20"/>
              <w:gridCol w:w="4148"/>
            </w:tblGrid>
            <w:tr w:rsidR="001E1112" w:rsidRPr="00317ABF" w14:paraId="2985BFCB" w14:textId="77777777" w:rsidTr="00A462BE">
              <w:trPr>
                <w:tblCellSpacing w:w="0" w:type="dxa"/>
              </w:trPr>
              <w:tc>
                <w:tcPr>
                  <w:tcW w:w="6" w:type="dxa"/>
                  <w:hideMark/>
                </w:tcPr>
                <w:p w14:paraId="5E078B78" w14:textId="77777777" w:rsidR="001E1112" w:rsidRPr="00317ABF" w:rsidRDefault="001E1112" w:rsidP="00EE0AC3">
                  <w:pPr>
                    <w:framePr w:hSpace="141" w:wrap="around" w:vAnchor="text" w:hAnchor="text" w:xAlign="right" w:y="1"/>
                    <w:spacing w:before="120"/>
                    <w:suppressOverlap/>
                    <w:jc w:val="both"/>
                    <w:rPr>
                      <w:sz w:val="22"/>
                      <w:szCs w:val="22"/>
                    </w:rPr>
                  </w:pPr>
                </w:p>
              </w:tc>
              <w:tc>
                <w:tcPr>
                  <w:tcW w:w="9066" w:type="dxa"/>
                  <w:hideMark/>
                </w:tcPr>
                <w:p w14:paraId="501E7D07" w14:textId="77777777" w:rsidR="001E1112" w:rsidRPr="00317ABF" w:rsidRDefault="001E1112" w:rsidP="00EE0AC3">
                  <w:pPr>
                    <w:framePr w:hSpace="141" w:wrap="around" w:vAnchor="text" w:hAnchor="text" w:xAlign="right" w:y="1"/>
                    <w:numPr>
                      <w:ilvl w:val="0"/>
                      <w:numId w:val="40"/>
                    </w:numPr>
                    <w:spacing w:before="120"/>
                    <w:suppressOverlap/>
                    <w:jc w:val="both"/>
                    <w:rPr>
                      <w:sz w:val="22"/>
                      <w:szCs w:val="22"/>
                    </w:rPr>
                  </w:pPr>
                  <w:r w:rsidRPr="00317ABF">
                    <w:rPr>
                      <w:sz w:val="22"/>
                      <w:szCs w:val="22"/>
                    </w:rPr>
                    <w:t>nie sprzeciwiają się dzierżawie praw użytkowania widma radiowego, jeżeli wydzierżawiający zobowiąże się do dalszego ponoszenia odpowiedzialności za wypełnienie pierwotnych warunków, którymi obwarowano prawo użytkowania;</w:t>
                  </w:r>
                </w:p>
              </w:tc>
            </w:tr>
          </w:tbl>
          <w:p w14:paraId="1D22616F" w14:textId="77777777" w:rsidR="001E1112" w:rsidRPr="00317ABF" w:rsidRDefault="001E1112" w:rsidP="00DB3BEC">
            <w:pPr>
              <w:jc w:val="both"/>
              <w:rPr>
                <w:vanish/>
                <w:sz w:val="22"/>
                <w:szCs w:val="22"/>
              </w:rPr>
            </w:pPr>
          </w:p>
          <w:tbl>
            <w:tblPr>
              <w:tblW w:w="5000" w:type="pct"/>
              <w:tblCellSpacing w:w="0" w:type="dxa"/>
              <w:tblLayout w:type="fixed"/>
              <w:tblCellMar>
                <w:left w:w="0" w:type="dxa"/>
                <w:right w:w="0" w:type="dxa"/>
              </w:tblCellMar>
              <w:tblLook w:val="04A0" w:firstRow="1" w:lastRow="0" w:firstColumn="1" w:lastColumn="0" w:noHBand="0" w:noVBand="1"/>
            </w:tblPr>
            <w:tblGrid>
              <w:gridCol w:w="20"/>
              <w:gridCol w:w="4148"/>
            </w:tblGrid>
            <w:tr w:rsidR="001E1112" w:rsidRPr="00317ABF" w14:paraId="10366064" w14:textId="77777777" w:rsidTr="00A462BE">
              <w:trPr>
                <w:tblCellSpacing w:w="0" w:type="dxa"/>
              </w:trPr>
              <w:tc>
                <w:tcPr>
                  <w:tcW w:w="6" w:type="dxa"/>
                  <w:hideMark/>
                </w:tcPr>
                <w:p w14:paraId="71820AAC" w14:textId="77777777" w:rsidR="001E1112" w:rsidRPr="00317ABF" w:rsidRDefault="001E1112" w:rsidP="00EE0AC3">
                  <w:pPr>
                    <w:framePr w:hSpace="141" w:wrap="around" w:vAnchor="text" w:hAnchor="text" w:xAlign="right" w:y="1"/>
                    <w:spacing w:before="120"/>
                    <w:suppressOverlap/>
                    <w:jc w:val="both"/>
                    <w:rPr>
                      <w:sz w:val="22"/>
                      <w:szCs w:val="22"/>
                    </w:rPr>
                  </w:pPr>
                </w:p>
              </w:tc>
              <w:tc>
                <w:tcPr>
                  <w:tcW w:w="9066" w:type="dxa"/>
                  <w:hideMark/>
                </w:tcPr>
                <w:p w14:paraId="3700D11B" w14:textId="77777777" w:rsidR="001E1112" w:rsidRPr="00317ABF" w:rsidRDefault="001E1112" w:rsidP="00EE0AC3">
                  <w:pPr>
                    <w:framePr w:hSpace="141" w:wrap="around" w:vAnchor="text" w:hAnchor="text" w:xAlign="right" w:y="1"/>
                    <w:numPr>
                      <w:ilvl w:val="0"/>
                      <w:numId w:val="40"/>
                    </w:numPr>
                    <w:spacing w:before="120"/>
                    <w:suppressOverlap/>
                    <w:jc w:val="both"/>
                    <w:rPr>
                      <w:sz w:val="22"/>
                      <w:szCs w:val="22"/>
                    </w:rPr>
                  </w:pPr>
                  <w:r w:rsidRPr="00317ABF">
                    <w:rPr>
                      <w:sz w:val="22"/>
                      <w:szCs w:val="22"/>
                    </w:rPr>
                    <w:t>nie sprzeciwiają się przekazaniu praw użytkowania widma radiowego, chyba że występuje wyraźne ryzyko, iż nowy posiadacz tych praw nie jest w stanie wypełnić pierwotnych warunków, którymi obwarowano prawo użytkowania.</w:t>
                  </w:r>
                </w:p>
              </w:tc>
            </w:tr>
          </w:tbl>
          <w:p w14:paraId="1926EC4C" w14:textId="77777777" w:rsidR="001E1112" w:rsidRPr="00317ABF" w:rsidRDefault="001E1112" w:rsidP="00DB3BEC">
            <w:pPr>
              <w:spacing w:before="120"/>
              <w:jc w:val="both"/>
              <w:rPr>
                <w:sz w:val="22"/>
                <w:szCs w:val="22"/>
              </w:rPr>
            </w:pPr>
            <w:r w:rsidRPr="00317ABF">
              <w:rPr>
                <w:sz w:val="22"/>
                <w:szCs w:val="22"/>
              </w:rPr>
              <w:t xml:space="preserve">Wszelkie opłaty administracyjne nakładane na przedsiębiorstwa w związku z rozpatrywaniem </w:t>
            </w:r>
            <w:r w:rsidRPr="00317ABF">
              <w:rPr>
                <w:sz w:val="22"/>
                <w:szCs w:val="22"/>
              </w:rPr>
              <w:lastRenderedPageBreak/>
              <w:t>wniosku o przekazanie lub dzierżawę prawa użytkowania widma radiowego są zgodne z art. 16.</w:t>
            </w:r>
          </w:p>
          <w:p w14:paraId="3B9964EF" w14:textId="77777777" w:rsidR="001E1112" w:rsidRPr="00317ABF" w:rsidRDefault="001E1112" w:rsidP="00DB3BEC">
            <w:pPr>
              <w:spacing w:before="120"/>
              <w:jc w:val="both"/>
              <w:rPr>
                <w:sz w:val="22"/>
                <w:szCs w:val="22"/>
              </w:rPr>
            </w:pPr>
            <w:r w:rsidRPr="00317ABF">
              <w:rPr>
                <w:sz w:val="22"/>
                <w:szCs w:val="22"/>
              </w:rPr>
              <w:t>Lit. a), b) i c) akapitu pierwszego pozostają bez uszczerbku dla przysługujących państwom członkowskim kompetencji do egzekwowania w dowolnym czasie wobec zarówno wydzierżawiającego, jak i dzierżawcy spełnienia warunków, którymi obwarowano prawa użytkowania, zgodnie z przepisami prawa krajowego.</w:t>
            </w:r>
          </w:p>
          <w:p w14:paraId="088AEA38" w14:textId="24B832DE" w:rsidR="001E1112" w:rsidRPr="00317ABF" w:rsidRDefault="001E1112" w:rsidP="00DB3BEC">
            <w:pPr>
              <w:spacing w:before="120"/>
              <w:jc w:val="both"/>
              <w:rPr>
                <w:sz w:val="22"/>
                <w:szCs w:val="22"/>
              </w:rPr>
            </w:pPr>
            <w:r w:rsidRPr="00317ABF">
              <w:rPr>
                <w:sz w:val="22"/>
                <w:szCs w:val="22"/>
              </w:rPr>
              <w:t>Właściwe organy ułatwiają przekazanie lub dzierżawę praw użytkowania widma radiowego poprzez terminowe rozpatrywanie wszelkich wniosków o dostosowanie warunków, którymi obwarowano dane prawa, oraz poprzez zapewnienie możliwości podziału lub dezagregacji, w możliwie szerokim zakresie, praw lub odpowiedniego widma radiowego, którego te prawa dotyczą.</w:t>
            </w:r>
          </w:p>
          <w:p w14:paraId="02DCE6D2" w14:textId="77777777" w:rsidR="001E1112" w:rsidRPr="00317ABF" w:rsidRDefault="001E1112" w:rsidP="00DB3BEC">
            <w:pPr>
              <w:spacing w:before="120"/>
              <w:jc w:val="both"/>
              <w:rPr>
                <w:sz w:val="22"/>
                <w:szCs w:val="22"/>
              </w:rPr>
            </w:pPr>
            <w:r w:rsidRPr="00317ABF">
              <w:rPr>
                <w:sz w:val="22"/>
                <w:szCs w:val="22"/>
              </w:rPr>
              <w:t>Mając na względzie ewentualne przekazanie lub dzierżawę prawa użytkowania widma radiowego, właściwe organy podają do wiadomości publicznej – w momencie utworzenia danego prawa – odpowiednie szczegółowe informacje dotyczące zbywalnych praw indywidualnych w standardowym formacie elektronicznym i zapewniają ich publiczną dostępność przez cały okres ważności danego prawa.</w:t>
            </w:r>
          </w:p>
          <w:p w14:paraId="0B3F97B2" w14:textId="77777777" w:rsidR="001E1112" w:rsidRPr="00317ABF" w:rsidRDefault="001E1112" w:rsidP="00DB3BEC">
            <w:pPr>
              <w:spacing w:before="120"/>
              <w:jc w:val="both"/>
              <w:rPr>
                <w:sz w:val="22"/>
                <w:szCs w:val="22"/>
              </w:rPr>
            </w:pPr>
            <w:r w:rsidRPr="00317ABF">
              <w:rPr>
                <w:sz w:val="22"/>
                <w:szCs w:val="22"/>
              </w:rPr>
              <w:t>Komisja może przyjmować środki wykonawcze służące określeniu tych odpowiednich szczegółowych informacji.</w:t>
            </w:r>
          </w:p>
          <w:p w14:paraId="29F3F023" w14:textId="77777777" w:rsidR="001E1112" w:rsidRPr="00317ABF" w:rsidRDefault="001E1112" w:rsidP="00DB3BEC">
            <w:pPr>
              <w:spacing w:before="120"/>
              <w:jc w:val="both"/>
              <w:rPr>
                <w:sz w:val="22"/>
                <w:szCs w:val="22"/>
              </w:rPr>
            </w:pPr>
            <w:r w:rsidRPr="00317ABF">
              <w:rPr>
                <w:sz w:val="22"/>
                <w:szCs w:val="22"/>
              </w:rPr>
              <w:t>Te środki wykonawcze przyjmuje się zgodnie z procedurą sprawdzającą, o której mowa w art. 118 ust. 4.</w:t>
            </w:r>
          </w:p>
        </w:tc>
        <w:tc>
          <w:tcPr>
            <w:tcW w:w="986" w:type="dxa"/>
          </w:tcPr>
          <w:p w14:paraId="4A9953BE" w14:textId="2B87A619" w:rsidR="001E1112" w:rsidRPr="00317ABF" w:rsidRDefault="001E1112" w:rsidP="00DB3BEC">
            <w:pPr>
              <w:jc w:val="both"/>
              <w:rPr>
                <w:sz w:val="22"/>
                <w:szCs w:val="22"/>
              </w:rPr>
            </w:pPr>
            <w:r w:rsidRPr="00317ABF">
              <w:rPr>
                <w:sz w:val="22"/>
                <w:szCs w:val="22"/>
              </w:rPr>
              <w:lastRenderedPageBreak/>
              <w:t>T</w:t>
            </w:r>
          </w:p>
        </w:tc>
        <w:tc>
          <w:tcPr>
            <w:tcW w:w="910" w:type="dxa"/>
          </w:tcPr>
          <w:p w14:paraId="6FA48EA3" w14:textId="7103FC6D" w:rsidR="001E1112" w:rsidRPr="00317ABF" w:rsidRDefault="001E1112" w:rsidP="00DB3BEC">
            <w:pPr>
              <w:pStyle w:val="Tekstpodstawowy"/>
              <w:rPr>
                <w:b/>
                <w:bCs/>
                <w:noProof/>
                <w:sz w:val="22"/>
                <w:szCs w:val="22"/>
              </w:rPr>
            </w:pPr>
            <w:r w:rsidRPr="00317ABF">
              <w:rPr>
                <w:b/>
                <w:bCs/>
                <w:noProof/>
                <w:sz w:val="22"/>
                <w:szCs w:val="22"/>
              </w:rPr>
              <w:t xml:space="preserve">Art. </w:t>
            </w:r>
            <w:r w:rsidR="00330B08" w:rsidRPr="00317ABF">
              <w:rPr>
                <w:b/>
                <w:bCs/>
                <w:noProof/>
                <w:sz w:val="22"/>
                <w:szCs w:val="22"/>
              </w:rPr>
              <w:t>95</w:t>
            </w:r>
            <w:r w:rsidRPr="00317ABF">
              <w:rPr>
                <w:b/>
                <w:bCs/>
                <w:noProof/>
                <w:sz w:val="22"/>
                <w:szCs w:val="22"/>
              </w:rPr>
              <w:t xml:space="preserve"> ust. 2-4</w:t>
            </w:r>
          </w:p>
          <w:p w14:paraId="79BAB9DE" w14:textId="74B096C3" w:rsidR="001E1112" w:rsidRPr="00317ABF" w:rsidRDefault="001E1112" w:rsidP="00DB3BEC">
            <w:pPr>
              <w:pStyle w:val="Tekstpodstawowy"/>
              <w:rPr>
                <w:b/>
                <w:bCs/>
                <w:noProof/>
                <w:sz w:val="22"/>
                <w:szCs w:val="22"/>
              </w:rPr>
            </w:pPr>
          </w:p>
          <w:p w14:paraId="551A6400" w14:textId="4CBF046D" w:rsidR="001E1112" w:rsidRPr="00317ABF" w:rsidRDefault="001E1112" w:rsidP="00DB3BEC">
            <w:pPr>
              <w:pStyle w:val="Tekstpodstawowy"/>
              <w:rPr>
                <w:b/>
                <w:bCs/>
                <w:noProof/>
                <w:sz w:val="22"/>
                <w:szCs w:val="22"/>
              </w:rPr>
            </w:pPr>
          </w:p>
          <w:p w14:paraId="5CC74C37" w14:textId="56995F9A" w:rsidR="001E1112" w:rsidRPr="00317ABF" w:rsidRDefault="001E1112" w:rsidP="00DB3BEC">
            <w:pPr>
              <w:pStyle w:val="Tekstpodstawowy"/>
              <w:rPr>
                <w:b/>
                <w:bCs/>
                <w:noProof/>
                <w:sz w:val="22"/>
                <w:szCs w:val="22"/>
              </w:rPr>
            </w:pPr>
          </w:p>
          <w:p w14:paraId="63034490" w14:textId="71EF30B3" w:rsidR="001E1112" w:rsidRPr="00317ABF" w:rsidRDefault="001E1112" w:rsidP="00DB3BEC">
            <w:pPr>
              <w:pStyle w:val="Tekstpodstawowy"/>
              <w:rPr>
                <w:b/>
                <w:bCs/>
                <w:noProof/>
                <w:sz w:val="22"/>
                <w:szCs w:val="22"/>
              </w:rPr>
            </w:pPr>
          </w:p>
          <w:p w14:paraId="13C5D41F" w14:textId="6835F969" w:rsidR="001E1112" w:rsidRPr="00317ABF" w:rsidRDefault="001E1112" w:rsidP="00DB3BEC">
            <w:pPr>
              <w:pStyle w:val="Tekstpodstawowy"/>
              <w:rPr>
                <w:b/>
                <w:bCs/>
                <w:noProof/>
                <w:sz w:val="22"/>
                <w:szCs w:val="22"/>
              </w:rPr>
            </w:pPr>
          </w:p>
          <w:p w14:paraId="11EC016B" w14:textId="567A329C" w:rsidR="001E1112" w:rsidRPr="00317ABF" w:rsidRDefault="001E1112" w:rsidP="00DB3BEC">
            <w:pPr>
              <w:pStyle w:val="Tekstpodstawowy"/>
              <w:rPr>
                <w:b/>
                <w:bCs/>
                <w:noProof/>
                <w:sz w:val="22"/>
                <w:szCs w:val="22"/>
              </w:rPr>
            </w:pPr>
          </w:p>
          <w:p w14:paraId="1EAC4D92" w14:textId="45F5DC58" w:rsidR="001E1112" w:rsidRPr="00317ABF" w:rsidRDefault="001E1112" w:rsidP="00DB3BEC">
            <w:pPr>
              <w:pStyle w:val="Tekstpodstawowy"/>
              <w:rPr>
                <w:b/>
                <w:bCs/>
                <w:noProof/>
                <w:sz w:val="22"/>
                <w:szCs w:val="22"/>
              </w:rPr>
            </w:pPr>
          </w:p>
          <w:p w14:paraId="5D4FDED3" w14:textId="1ABF32D7" w:rsidR="001E1112" w:rsidRPr="00317ABF" w:rsidRDefault="001E1112" w:rsidP="00DB3BEC">
            <w:pPr>
              <w:pStyle w:val="Tekstpodstawowy"/>
              <w:rPr>
                <w:b/>
                <w:bCs/>
                <w:noProof/>
                <w:sz w:val="22"/>
                <w:szCs w:val="22"/>
              </w:rPr>
            </w:pPr>
          </w:p>
          <w:p w14:paraId="44FF66CF" w14:textId="37E5F008" w:rsidR="001E1112" w:rsidRPr="00317ABF" w:rsidRDefault="001E1112" w:rsidP="00DB3BEC">
            <w:pPr>
              <w:pStyle w:val="Tekstpodstawowy"/>
              <w:rPr>
                <w:b/>
                <w:bCs/>
                <w:noProof/>
                <w:sz w:val="22"/>
                <w:szCs w:val="22"/>
              </w:rPr>
            </w:pPr>
          </w:p>
          <w:p w14:paraId="5B5D5B36" w14:textId="1C185E96" w:rsidR="001E1112" w:rsidRPr="00317ABF" w:rsidRDefault="001E1112" w:rsidP="00DB3BEC">
            <w:pPr>
              <w:pStyle w:val="Tekstpodstawowy"/>
              <w:rPr>
                <w:b/>
                <w:bCs/>
                <w:noProof/>
                <w:sz w:val="22"/>
                <w:szCs w:val="22"/>
              </w:rPr>
            </w:pPr>
          </w:p>
          <w:p w14:paraId="602774AF" w14:textId="2C7BE147" w:rsidR="001E1112" w:rsidRPr="00317ABF" w:rsidRDefault="001E1112" w:rsidP="00DB3BEC">
            <w:pPr>
              <w:pStyle w:val="Tekstpodstawowy"/>
              <w:rPr>
                <w:b/>
                <w:bCs/>
                <w:noProof/>
                <w:sz w:val="22"/>
                <w:szCs w:val="22"/>
              </w:rPr>
            </w:pPr>
          </w:p>
          <w:p w14:paraId="640F6D67" w14:textId="3637EC47" w:rsidR="001E1112" w:rsidRPr="00317ABF" w:rsidRDefault="001E1112" w:rsidP="00DB3BEC">
            <w:pPr>
              <w:pStyle w:val="Tekstpodstawowy"/>
              <w:rPr>
                <w:b/>
                <w:bCs/>
                <w:noProof/>
                <w:sz w:val="22"/>
                <w:szCs w:val="22"/>
              </w:rPr>
            </w:pPr>
          </w:p>
          <w:p w14:paraId="549ADF43" w14:textId="3DA26E70" w:rsidR="001E1112" w:rsidRPr="00317ABF" w:rsidRDefault="001E1112" w:rsidP="00DB3BEC">
            <w:pPr>
              <w:pStyle w:val="Tekstpodstawowy"/>
              <w:rPr>
                <w:b/>
                <w:bCs/>
                <w:noProof/>
                <w:sz w:val="22"/>
                <w:szCs w:val="22"/>
              </w:rPr>
            </w:pPr>
          </w:p>
          <w:p w14:paraId="3D9FCC39" w14:textId="55F7E15A" w:rsidR="001E1112" w:rsidRPr="00317ABF" w:rsidRDefault="001E1112" w:rsidP="00DB3BEC">
            <w:pPr>
              <w:pStyle w:val="Tekstpodstawowy"/>
              <w:rPr>
                <w:b/>
                <w:bCs/>
                <w:noProof/>
                <w:sz w:val="22"/>
                <w:szCs w:val="22"/>
              </w:rPr>
            </w:pPr>
          </w:p>
          <w:p w14:paraId="12CB7E29" w14:textId="2A51E46D" w:rsidR="001E1112" w:rsidRPr="00317ABF" w:rsidRDefault="001E1112" w:rsidP="00DB3BEC">
            <w:pPr>
              <w:pStyle w:val="Tekstpodstawowy"/>
              <w:rPr>
                <w:b/>
                <w:bCs/>
                <w:noProof/>
                <w:sz w:val="22"/>
                <w:szCs w:val="22"/>
              </w:rPr>
            </w:pPr>
          </w:p>
          <w:p w14:paraId="384A881C" w14:textId="16BA6961" w:rsidR="001E1112" w:rsidRPr="00317ABF" w:rsidRDefault="001E1112" w:rsidP="00DB3BEC">
            <w:pPr>
              <w:pStyle w:val="Tekstpodstawowy"/>
              <w:rPr>
                <w:b/>
                <w:bCs/>
                <w:noProof/>
                <w:sz w:val="22"/>
                <w:szCs w:val="22"/>
              </w:rPr>
            </w:pPr>
          </w:p>
          <w:p w14:paraId="57950DCF" w14:textId="38483A9D" w:rsidR="001E1112" w:rsidRPr="00317ABF" w:rsidRDefault="001E1112" w:rsidP="00DB3BEC">
            <w:pPr>
              <w:pStyle w:val="Tekstpodstawowy"/>
              <w:rPr>
                <w:b/>
                <w:bCs/>
                <w:noProof/>
                <w:sz w:val="22"/>
                <w:szCs w:val="22"/>
              </w:rPr>
            </w:pPr>
          </w:p>
          <w:p w14:paraId="27E02181" w14:textId="10C7A2CB" w:rsidR="001E1112" w:rsidRPr="00317ABF" w:rsidRDefault="001E1112" w:rsidP="00DB3BEC">
            <w:pPr>
              <w:pStyle w:val="Tekstpodstawowy"/>
              <w:rPr>
                <w:b/>
                <w:bCs/>
                <w:noProof/>
                <w:sz w:val="22"/>
                <w:szCs w:val="22"/>
              </w:rPr>
            </w:pPr>
          </w:p>
          <w:p w14:paraId="7F8CF59A" w14:textId="37FED741" w:rsidR="001E1112" w:rsidRPr="00317ABF" w:rsidRDefault="001E1112" w:rsidP="00DB3BEC">
            <w:pPr>
              <w:pStyle w:val="Tekstpodstawowy"/>
              <w:rPr>
                <w:b/>
                <w:bCs/>
                <w:noProof/>
                <w:sz w:val="22"/>
                <w:szCs w:val="22"/>
              </w:rPr>
            </w:pPr>
          </w:p>
          <w:p w14:paraId="0C460F3A" w14:textId="2738C8DD" w:rsidR="001E1112" w:rsidRPr="00317ABF" w:rsidRDefault="001E1112" w:rsidP="00DB3BEC">
            <w:pPr>
              <w:pStyle w:val="Tekstpodstawowy"/>
              <w:rPr>
                <w:b/>
                <w:bCs/>
                <w:noProof/>
                <w:sz w:val="22"/>
                <w:szCs w:val="22"/>
              </w:rPr>
            </w:pPr>
          </w:p>
          <w:p w14:paraId="0AA4FA14" w14:textId="613C7FDA" w:rsidR="001E1112" w:rsidRPr="00317ABF" w:rsidRDefault="001E1112" w:rsidP="00DB3BEC">
            <w:pPr>
              <w:pStyle w:val="Tekstpodstawowy"/>
              <w:rPr>
                <w:b/>
                <w:bCs/>
                <w:noProof/>
                <w:sz w:val="22"/>
                <w:szCs w:val="22"/>
              </w:rPr>
            </w:pPr>
          </w:p>
          <w:p w14:paraId="6F3FC6A2" w14:textId="330D21CE" w:rsidR="001E1112" w:rsidRPr="00317ABF" w:rsidRDefault="001E1112" w:rsidP="00DB3BEC">
            <w:pPr>
              <w:pStyle w:val="Tekstpodstawowy"/>
              <w:rPr>
                <w:b/>
                <w:bCs/>
                <w:noProof/>
                <w:sz w:val="22"/>
                <w:szCs w:val="22"/>
              </w:rPr>
            </w:pPr>
          </w:p>
          <w:p w14:paraId="2B2CECEF" w14:textId="1BA7BA56" w:rsidR="001E1112" w:rsidRPr="00317ABF" w:rsidRDefault="001E1112" w:rsidP="00DB3BEC">
            <w:pPr>
              <w:pStyle w:val="Tekstpodstawowy"/>
              <w:rPr>
                <w:b/>
                <w:bCs/>
                <w:noProof/>
                <w:sz w:val="22"/>
                <w:szCs w:val="22"/>
              </w:rPr>
            </w:pPr>
          </w:p>
          <w:p w14:paraId="659CC850" w14:textId="78310B6B" w:rsidR="001E1112" w:rsidRPr="00317ABF" w:rsidRDefault="001E1112" w:rsidP="00DB3BEC">
            <w:pPr>
              <w:pStyle w:val="Tekstpodstawowy"/>
              <w:rPr>
                <w:b/>
                <w:bCs/>
                <w:noProof/>
                <w:sz w:val="22"/>
                <w:szCs w:val="22"/>
              </w:rPr>
            </w:pPr>
          </w:p>
          <w:p w14:paraId="77A7A011" w14:textId="203D1C39" w:rsidR="001E1112" w:rsidRPr="00317ABF" w:rsidRDefault="001E1112" w:rsidP="00DB3BEC">
            <w:pPr>
              <w:pStyle w:val="Tekstpodstawowy"/>
              <w:rPr>
                <w:b/>
                <w:bCs/>
                <w:noProof/>
                <w:sz w:val="22"/>
                <w:szCs w:val="22"/>
              </w:rPr>
            </w:pPr>
          </w:p>
          <w:p w14:paraId="3AE63A7B" w14:textId="70566DB3" w:rsidR="001E1112" w:rsidRPr="00317ABF" w:rsidRDefault="001E1112" w:rsidP="00DB3BEC">
            <w:pPr>
              <w:pStyle w:val="Tekstpodstawowy"/>
              <w:rPr>
                <w:b/>
                <w:bCs/>
                <w:noProof/>
                <w:sz w:val="22"/>
                <w:szCs w:val="22"/>
              </w:rPr>
            </w:pPr>
          </w:p>
          <w:p w14:paraId="5C2E2181" w14:textId="704FA581" w:rsidR="001E1112" w:rsidRPr="00317ABF" w:rsidRDefault="001E1112" w:rsidP="00DB3BEC">
            <w:pPr>
              <w:pStyle w:val="Tekstpodstawowy"/>
              <w:rPr>
                <w:b/>
                <w:bCs/>
                <w:noProof/>
                <w:sz w:val="22"/>
                <w:szCs w:val="22"/>
              </w:rPr>
            </w:pPr>
          </w:p>
          <w:p w14:paraId="3A1F563C" w14:textId="6DA72184" w:rsidR="001E1112" w:rsidRPr="00317ABF" w:rsidRDefault="001E1112" w:rsidP="00DB3BEC">
            <w:pPr>
              <w:pStyle w:val="Tekstpodstawowy"/>
              <w:rPr>
                <w:b/>
                <w:bCs/>
                <w:noProof/>
                <w:sz w:val="22"/>
                <w:szCs w:val="22"/>
              </w:rPr>
            </w:pPr>
          </w:p>
          <w:p w14:paraId="73016D7C" w14:textId="78F9F2E0" w:rsidR="001E1112" w:rsidRPr="00317ABF" w:rsidRDefault="001E1112" w:rsidP="00DB3BEC">
            <w:pPr>
              <w:pStyle w:val="Tekstpodstawowy"/>
              <w:rPr>
                <w:b/>
                <w:bCs/>
                <w:noProof/>
                <w:sz w:val="22"/>
                <w:szCs w:val="22"/>
              </w:rPr>
            </w:pPr>
          </w:p>
          <w:p w14:paraId="02AA47D6" w14:textId="77777777" w:rsidR="001E1112" w:rsidRPr="00317ABF" w:rsidRDefault="001E1112" w:rsidP="00DB3BEC">
            <w:pPr>
              <w:pStyle w:val="Tekstpodstawowy"/>
              <w:rPr>
                <w:b/>
                <w:bCs/>
                <w:noProof/>
                <w:sz w:val="22"/>
                <w:szCs w:val="22"/>
              </w:rPr>
            </w:pPr>
          </w:p>
          <w:p w14:paraId="168BEEBA" w14:textId="77777777" w:rsidR="001E1112" w:rsidRPr="00317ABF" w:rsidRDefault="001E1112" w:rsidP="00DB3BEC">
            <w:pPr>
              <w:pStyle w:val="Tekstpodstawowy"/>
              <w:rPr>
                <w:b/>
                <w:bCs/>
                <w:noProof/>
                <w:sz w:val="22"/>
                <w:szCs w:val="22"/>
              </w:rPr>
            </w:pPr>
          </w:p>
          <w:p w14:paraId="2085996F" w14:textId="7ADEC324" w:rsidR="001E1112" w:rsidRPr="00317ABF" w:rsidRDefault="001E1112" w:rsidP="00DB3BEC">
            <w:pPr>
              <w:pStyle w:val="Tekstpodstawowy"/>
              <w:rPr>
                <w:b/>
                <w:bCs/>
                <w:noProof/>
                <w:sz w:val="22"/>
                <w:szCs w:val="22"/>
              </w:rPr>
            </w:pPr>
            <w:r w:rsidRPr="00317ABF">
              <w:rPr>
                <w:b/>
                <w:bCs/>
                <w:noProof/>
                <w:sz w:val="22"/>
                <w:szCs w:val="22"/>
              </w:rPr>
              <w:t xml:space="preserve">Art. </w:t>
            </w:r>
            <w:r w:rsidR="00330B08" w:rsidRPr="00317ABF">
              <w:rPr>
                <w:b/>
                <w:bCs/>
                <w:noProof/>
                <w:sz w:val="22"/>
                <w:szCs w:val="22"/>
              </w:rPr>
              <w:t>96</w:t>
            </w:r>
            <w:r w:rsidRPr="00317ABF">
              <w:rPr>
                <w:b/>
                <w:bCs/>
                <w:noProof/>
                <w:sz w:val="22"/>
                <w:szCs w:val="22"/>
              </w:rPr>
              <w:t xml:space="preserve"> ust. 4 i 5</w:t>
            </w:r>
          </w:p>
          <w:p w14:paraId="25AB90B2" w14:textId="43A68D4F" w:rsidR="001E1112" w:rsidRPr="00317ABF" w:rsidRDefault="001E1112" w:rsidP="00DB3BEC">
            <w:pPr>
              <w:pStyle w:val="Tekstpodstawowy"/>
              <w:rPr>
                <w:b/>
                <w:bCs/>
                <w:noProof/>
                <w:sz w:val="22"/>
                <w:szCs w:val="22"/>
              </w:rPr>
            </w:pPr>
          </w:p>
          <w:p w14:paraId="1F41F40D" w14:textId="471A5235" w:rsidR="001E1112" w:rsidRPr="00317ABF" w:rsidRDefault="001E1112" w:rsidP="00DB3BEC">
            <w:pPr>
              <w:pStyle w:val="Tekstpodstawowy"/>
              <w:rPr>
                <w:b/>
                <w:bCs/>
                <w:noProof/>
                <w:sz w:val="22"/>
                <w:szCs w:val="22"/>
              </w:rPr>
            </w:pPr>
          </w:p>
          <w:p w14:paraId="1283D00E" w14:textId="6E9D9A35" w:rsidR="001E1112" w:rsidRPr="00317ABF" w:rsidRDefault="001E1112" w:rsidP="00DB3BEC">
            <w:pPr>
              <w:pStyle w:val="Tekstpodstawowy"/>
              <w:rPr>
                <w:b/>
                <w:bCs/>
                <w:noProof/>
                <w:sz w:val="22"/>
                <w:szCs w:val="22"/>
              </w:rPr>
            </w:pPr>
          </w:p>
          <w:p w14:paraId="792E6E2B" w14:textId="56A98BA8" w:rsidR="001E1112" w:rsidRPr="00317ABF" w:rsidRDefault="001E1112" w:rsidP="00DB3BEC">
            <w:pPr>
              <w:pStyle w:val="Tekstpodstawowy"/>
              <w:rPr>
                <w:b/>
                <w:bCs/>
                <w:noProof/>
                <w:sz w:val="22"/>
                <w:szCs w:val="22"/>
              </w:rPr>
            </w:pPr>
          </w:p>
          <w:p w14:paraId="2747C84B" w14:textId="79AB171C" w:rsidR="001E1112" w:rsidRPr="00317ABF" w:rsidRDefault="001E1112" w:rsidP="00DB3BEC">
            <w:pPr>
              <w:pStyle w:val="Tekstpodstawowy"/>
              <w:rPr>
                <w:b/>
                <w:bCs/>
                <w:noProof/>
                <w:sz w:val="22"/>
                <w:szCs w:val="22"/>
              </w:rPr>
            </w:pPr>
          </w:p>
          <w:p w14:paraId="11FA6B18" w14:textId="2FCB32B2" w:rsidR="001E1112" w:rsidRPr="00317ABF" w:rsidRDefault="001E1112" w:rsidP="00DB3BEC">
            <w:pPr>
              <w:pStyle w:val="Tekstpodstawowy"/>
              <w:rPr>
                <w:b/>
                <w:bCs/>
                <w:noProof/>
                <w:sz w:val="22"/>
                <w:szCs w:val="22"/>
              </w:rPr>
            </w:pPr>
          </w:p>
          <w:p w14:paraId="6F30396C" w14:textId="35096327" w:rsidR="001E1112" w:rsidRPr="00317ABF" w:rsidRDefault="001E1112" w:rsidP="00DB3BEC">
            <w:pPr>
              <w:pStyle w:val="Tekstpodstawowy"/>
              <w:rPr>
                <w:b/>
                <w:bCs/>
                <w:noProof/>
                <w:sz w:val="22"/>
                <w:szCs w:val="22"/>
              </w:rPr>
            </w:pPr>
          </w:p>
          <w:p w14:paraId="63570457" w14:textId="7ADD4154" w:rsidR="001E1112" w:rsidRPr="00317ABF" w:rsidRDefault="001E1112" w:rsidP="00DB3BEC">
            <w:pPr>
              <w:pStyle w:val="Tekstpodstawowy"/>
              <w:rPr>
                <w:b/>
                <w:bCs/>
                <w:noProof/>
                <w:sz w:val="22"/>
                <w:szCs w:val="22"/>
              </w:rPr>
            </w:pPr>
          </w:p>
          <w:p w14:paraId="26A8C2BC" w14:textId="24629C0C" w:rsidR="001E1112" w:rsidRPr="00317ABF" w:rsidRDefault="001E1112" w:rsidP="00DB3BEC">
            <w:pPr>
              <w:pStyle w:val="Tekstpodstawowy"/>
              <w:rPr>
                <w:b/>
                <w:bCs/>
                <w:noProof/>
                <w:sz w:val="22"/>
                <w:szCs w:val="22"/>
              </w:rPr>
            </w:pPr>
          </w:p>
          <w:p w14:paraId="7F637184" w14:textId="77777777" w:rsidR="001E1112" w:rsidRPr="00317ABF" w:rsidRDefault="001E1112" w:rsidP="00DB3BEC">
            <w:pPr>
              <w:pStyle w:val="Tekstpodstawowy"/>
              <w:rPr>
                <w:b/>
                <w:bCs/>
                <w:noProof/>
                <w:sz w:val="22"/>
                <w:szCs w:val="22"/>
              </w:rPr>
            </w:pPr>
          </w:p>
          <w:p w14:paraId="31D5CF72" w14:textId="77777777" w:rsidR="001E1112" w:rsidRPr="00317ABF" w:rsidRDefault="001E1112" w:rsidP="00DB3BEC">
            <w:pPr>
              <w:pStyle w:val="Tekstpodstawowy"/>
              <w:rPr>
                <w:b/>
                <w:bCs/>
                <w:noProof/>
                <w:sz w:val="22"/>
                <w:szCs w:val="22"/>
              </w:rPr>
            </w:pPr>
          </w:p>
          <w:p w14:paraId="54B4A977" w14:textId="185D065C" w:rsidR="001E1112" w:rsidRPr="00317ABF" w:rsidRDefault="00DB3BEC" w:rsidP="00DB3BEC">
            <w:pPr>
              <w:pStyle w:val="Tekstpodstawowy"/>
              <w:rPr>
                <w:b/>
                <w:bCs/>
                <w:noProof/>
                <w:sz w:val="22"/>
                <w:szCs w:val="22"/>
              </w:rPr>
            </w:pPr>
            <w:r w:rsidRPr="00317ABF">
              <w:rPr>
                <w:b/>
                <w:bCs/>
                <w:noProof/>
                <w:sz w:val="22"/>
                <w:szCs w:val="22"/>
              </w:rPr>
              <w:t>Art.</w:t>
            </w:r>
            <w:r w:rsidR="00330B08" w:rsidRPr="00317ABF">
              <w:rPr>
                <w:b/>
                <w:bCs/>
                <w:noProof/>
                <w:sz w:val="22"/>
                <w:szCs w:val="22"/>
              </w:rPr>
              <w:t>84</w:t>
            </w:r>
          </w:p>
          <w:p w14:paraId="0D2B515B" w14:textId="77777777" w:rsidR="001E1112" w:rsidRPr="00317ABF" w:rsidRDefault="001E1112" w:rsidP="00DB3BEC">
            <w:pPr>
              <w:pStyle w:val="Tekstpodstawowy"/>
              <w:rPr>
                <w:b/>
                <w:bCs/>
                <w:noProof/>
                <w:sz w:val="22"/>
                <w:szCs w:val="22"/>
              </w:rPr>
            </w:pPr>
          </w:p>
          <w:p w14:paraId="51DCC448" w14:textId="77777777" w:rsidR="001E1112" w:rsidRPr="00317ABF" w:rsidRDefault="001E1112" w:rsidP="00DB3BEC">
            <w:pPr>
              <w:pStyle w:val="Tekstpodstawowy"/>
              <w:rPr>
                <w:b/>
                <w:bCs/>
                <w:noProof/>
                <w:sz w:val="22"/>
                <w:szCs w:val="22"/>
              </w:rPr>
            </w:pPr>
          </w:p>
          <w:p w14:paraId="1D62EF27" w14:textId="77777777" w:rsidR="001E1112" w:rsidRPr="00317ABF" w:rsidRDefault="001E1112" w:rsidP="00DB3BEC">
            <w:pPr>
              <w:pStyle w:val="Tekstpodstawowy"/>
              <w:rPr>
                <w:b/>
                <w:bCs/>
                <w:noProof/>
                <w:sz w:val="22"/>
                <w:szCs w:val="22"/>
              </w:rPr>
            </w:pPr>
          </w:p>
          <w:p w14:paraId="777D5B58" w14:textId="77777777" w:rsidR="001E1112" w:rsidRPr="00317ABF" w:rsidRDefault="001E1112" w:rsidP="00DB3BEC">
            <w:pPr>
              <w:pStyle w:val="Tekstpodstawowy"/>
              <w:rPr>
                <w:b/>
                <w:bCs/>
                <w:noProof/>
                <w:sz w:val="22"/>
                <w:szCs w:val="22"/>
              </w:rPr>
            </w:pPr>
          </w:p>
          <w:p w14:paraId="1F26374E" w14:textId="77777777" w:rsidR="001E1112" w:rsidRPr="00317ABF" w:rsidRDefault="001E1112" w:rsidP="00DB3BEC">
            <w:pPr>
              <w:pStyle w:val="Tekstpodstawowy"/>
              <w:rPr>
                <w:b/>
                <w:bCs/>
                <w:noProof/>
                <w:sz w:val="22"/>
                <w:szCs w:val="22"/>
              </w:rPr>
            </w:pPr>
          </w:p>
          <w:p w14:paraId="18247A63" w14:textId="77777777" w:rsidR="001E1112" w:rsidRPr="00317ABF" w:rsidRDefault="001E1112" w:rsidP="00DB3BEC">
            <w:pPr>
              <w:pStyle w:val="Tekstpodstawowy"/>
              <w:rPr>
                <w:b/>
                <w:bCs/>
                <w:noProof/>
                <w:sz w:val="22"/>
                <w:szCs w:val="22"/>
              </w:rPr>
            </w:pPr>
          </w:p>
          <w:p w14:paraId="4A77F3A4" w14:textId="77777777" w:rsidR="001E1112" w:rsidRPr="00317ABF" w:rsidRDefault="001E1112" w:rsidP="00DB3BEC">
            <w:pPr>
              <w:pStyle w:val="Tekstpodstawowy"/>
              <w:rPr>
                <w:b/>
                <w:bCs/>
                <w:noProof/>
                <w:sz w:val="22"/>
                <w:szCs w:val="22"/>
              </w:rPr>
            </w:pPr>
          </w:p>
          <w:p w14:paraId="76CAC5F3" w14:textId="77777777" w:rsidR="001E1112" w:rsidRPr="00317ABF" w:rsidRDefault="001E1112" w:rsidP="00DB3BEC">
            <w:pPr>
              <w:pStyle w:val="Tekstpodstawowy"/>
              <w:rPr>
                <w:b/>
                <w:bCs/>
                <w:noProof/>
                <w:sz w:val="22"/>
                <w:szCs w:val="22"/>
              </w:rPr>
            </w:pPr>
          </w:p>
          <w:p w14:paraId="5C18E047" w14:textId="77777777" w:rsidR="001E1112" w:rsidRPr="00317ABF" w:rsidRDefault="001E1112" w:rsidP="00DB3BEC">
            <w:pPr>
              <w:pStyle w:val="Tekstpodstawowy"/>
              <w:rPr>
                <w:b/>
                <w:bCs/>
                <w:noProof/>
                <w:sz w:val="22"/>
                <w:szCs w:val="22"/>
              </w:rPr>
            </w:pPr>
          </w:p>
          <w:p w14:paraId="69183572" w14:textId="31D61C63" w:rsidR="001E1112" w:rsidRPr="00317ABF" w:rsidRDefault="001E1112" w:rsidP="00DB3BEC">
            <w:pPr>
              <w:pStyle w:val="Tekstpodstawowy"/>
              <w:rPr>
                <w:b/>
                <w:bCs/>
                <w:noProof/>
                <w:sz w:val="22"/>
                <w:szCs w:val="22"/>
              </w:rPr>
            </w:pPr>
          </w:p>
        </w:tc>
        <w:tc>
          <w:tcPr>
            <w:tcW w:w="6814" w:type="dxa"/>
            <w:gridSpan w:val="2"/>
          </w:tcPr>
          <w:p w14:paraId="5A9D3AB4" w14:textId="4636E910" w:rsidR="001E1112" w:rsidRPr="00317ABF" w:rsidRDefault="001E1112" w:rsidP="00330B08">
            <w:pPr>
              <w:pStyle w:val="USTustnpkodeksu"/>
              <w:keepNext/>
              <w:spacing w:line="240" w:lineRule="auto"/>
              <w:rPr>
                <w:rFonts w:ascii="Times New Roman" w:hAnsi="Times New Roman" w:cs="Times New Roman"/>
                <w:sz w:val="22"/>
                <w:szCs w:val="22"/>
              </w:rPr>
            </w:pPr>
            <w:r w:rsidRPr="00317ABF">
              <w:rPr>
                <w:rFonts w:ascii="Times New Roman" w:eastAsia="Times" w:hAnsi="Times New Roman" w:cs="Times New Roman"/>
                <w:sz w:val="22"/>
                <w:szCs w:val="22"/>
              </w:rPr>
              <w:lastRenderedPageBreak/>
              <w:t>2. Podmiot dysponujący rezerwacją częstotliwości we wniosku, dotyczącym części zakresu częstotliwości lub pozycji orbitalnych objętych rezerwacją lub części obszaru, na którym mogą być wykorzystywane częstotliwości, określa również:</w:t>
            </w:r>
          </w:p>
          <w:p w14:paraId="3FAC9F5F" w14:textId="77777777" w:rsidR="00330B08" w:rsidRPr="00317ABF" w:rsidRDefault="00330B08" w:rsidP="00330B08">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1)</w:t>
            </w:r>
            <w:r w:rsidRPr="00317ABF">
              <w:rPr>
                <w:rFonts w:ascii="Times New Roman" w:hAnsi="Times New Roman" w:cs="Times New Roman"/>
                <w:sz w:val="22"/>
                <w:szCs w:val="22"/>
              </w:rPr>
              <w:tab/>
              <w:t>zakres częstotliwości lub pozycji orbitalnych, którymi dysponował będzie podmiot wskazany we wniosku;</w:t>
            </w:r>
          </w:p>
          <w:p w14:paraId="5C6ACD36" w14:textId="77777777" w:rsidR="00330B08" w:rsidRPr="00317ABF" w:rsidRDefault="00330B08" w:rsidP="00330B08">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2)</w:t>
            </w:r>
            <w:r w:rsidRPr="00317ABF">
              <w:rPr>
                <w:rFonts w:ascii="Times New Roman" w:hAnsi="Times New Roman" w:cs="Times New Roman"/>
                <w:sz w:val="22"/>
                <w:szCs w:val="22"/>
              </w:rPr>
              <w:tab/>
              <w:t>obszar, zgodnie z administracyjnym podziałem kraju, na którym będą mogły być wykorzystywane częstotliwości przez podmiot wskazany we wniosku;</w:t>
            </w:r>
          </w:p>
          <w:p w14:paraId="0664F514" w14:textId="77777777" w:rsidR="001E1112" w:rsidRPr="00317ABF" w:rsidRDefault="001E1112" w:rsidP="00330B08">
            <w:pPr>
              <w:pStyle w:val="PKTpunkt0"/>
              <w:spacing w:line="240" w:lineRule="auto"/>
              <w:rPr>
                <w:rFonts w:ascii="Times New Roman" w:hAnsi="Times New Roman" w:cs="Times New Roman"/>
                <w:sz w:val="22"/>
                <w:szCs w:val="22"/>
              </w:rPr>
            </w:pPr>
            <w:r w:rsidRPr="00317ABF">
              <w:rPr>
                <w:rFonts w:ascii="Times New Roman" w:eastAsia="Times" w:hAnsi="Times New Roman" w:cs="Times New Roman"/>
                <w:sz w:val="22"/>
                <w:szCs w:val="22"/>
              </w:rPr>
              <w:t>3)</w:t>
            </w:r>
            <w:r w:rsidR="00330B08" w:rsidRPr="00317ABF">
              <w:rPr>
                <w:rFonts w:ascii="Times New Roman" w:hAnsi="Times New Roman" w:cs="Times New Roman"/>
                <w:sz w:val="22"/>
                <w:szCs w:val="22"/>
              </w:rPr>
              <w:tab/>
            </w:r>
            <w:r w:rsidRPr="00317ABF">
              <w:rPr>
                <w:rFonts w:ascii="Times New Roman" w:eastAsia="Times" w:hAnsi="Times New Roman" w:cs="Times New Roman"/>
                <w:sz w:val="22"/>
                <w:szCs w:val="22"/>
              </w:rPr>
              <w:t xml:space="preserve">propozycję podziału uprawnień, innych niż określone w pkt 1 i 2, oraz obowiązków wynikających z rezerwacji, w tym zobowiązań, o których mowa w art. </w:t>
            </w:r>
            <w:r w:rsidR="00330B08" w:rsidRPr="00317ABF">
              <w:rPr>
                <w:rFonts w:ascii="Times New Roman" w:hAnsi="Times New Roman" w:cs="Times New Roman"/>
                <w:sz w:val="22"/>
                <w:szCs w:val="22"/>
              </w:rPr>
              <w:t>87</w:t>
            </w:r>
            <w:r w:rsidRPr="00317ABF">
              <w:rPr>
                <w:rFonts w:ascii="Times New Roman" w:eastAsia="Times" w:hAnsi="Times New Roman" w:cs="Times New Roman"/>
                <w:sz w:val="22"/>
                <w:szCs w:val="22"/>
              </w:rPr>
              <w:t xml:space="preserve"> ust. 1 pkt 10, odpowiednio do zakresu częstotliwości lub pozycji orbitalnych objętych rezerwacją lub obszaru, na którym będą mogły być wykorzystywane częstotliwości przez podmiot wskazany we wniosku.</w:t>
            </w:r>
          </w:p>
          <w:p w14:paraId="3EF7EF21" w14:textId="19597FA9" w:rsidR="001E1112" w:rsidRPr="00317ABF" w:rsidRDefault="001E1112" w:rsidP="00330B08">
            <w:pPr>
              <w:pStyle w:val="USTustnpkodeksu"/>
              <w:keepNext/>
              <w:spacing w:line="240" w:lineRule="auto"/>
              <w:rPr>
                <w:rFonts w:ascii="Times New Roman" w:hAnsi="Times New Roman" w:cs="Times New Roman"/>
                <w:sz w:val="22"/>
                <w:szCs w:val="22"/>
              </w:rPr>
            </w:pPr>
            <w:r w:rsidRPr="00317ABF">
              <w:rPr>
                <w:rFonts w:ascii="Times New Roman" w:eastAsia="Times" w:hAnsi="Times New Roman" w:cs="Times New Roman"/>
                <w:sz w:val="22"/>
                <w:szCs w:val="22"/>
              </w:rPr>
              <w:t>3. Prezes UKE, odmawia zmiany podmiotu dysponującego rezerwacją częstotliwości w zakresie, o którym mowa w ust. 1 lub w ust. 2, jeżeli:</w:t>
            </w:r>
          </w:p>
          <w:p w14:paraId="64F50982" w14:textId="77777777" w:rsidR="00330B08" w:rsidRPr="00317ABF" w:rsidRDefault="00330B08" w:rsidP="00330B08">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1)</w:t>
            </w:r>
            <w:r w:rsidRPr="00317ABF">
              <w:rPr>
                <w:rFonts w:ascii="Times New Roman" w:hAnsi="Times New Roman" w:cs="Times New Roman"/>
                <w:sz w:val="22"/>
                <w:szCs w:val="22"/>
              </w:rPr>
              <w:tab/>
              <w:t>zachodzi uzasadnione przypuszczenie, iż wnioskowana zmiana nie przyczyni się do osiągnięcia celów określonych w art. 407 ust. 2, lub</w:t>
            </w:r>
          </w:p>
          <w:p w14:paraId="277AAD8C" w14:textId="77777777" w:rsidR="00330B08" w:rsidRPr="00317ABF" w:rsidRDefault="00330B08" w:rsidP="00330B08">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2)</w:t>
            </w:r>
            <w:r w:rsidRPr="00317ABF">
              <w:rPr>
                <w:rFonts w:ascii="Times New Roman" w:hAnsi="Times New Roman" w:cs="Times New Roman"/>
                <w:sz w:val="22"/>
                <w:szCs w:val="22"/>
              </w:rPr>
              <w:tab/>
              <w:t>zachodzi uzasadnione przypuszczenie, iż podmiot, który został wskazany we wniosku, nie wywiąże się z obowiązków wynikających z rezerwacji częstotliwości, w tym zobowiązań, o których mowa w art. 87 ust. 1 pkt 10, lub</w:t>
            </w:r>
          </w:p>
          <w:p w14:paraId="2B075070" w14:textId="77777777" w:rsidR="001E1112" w:rsidRPr="00317ABF" w:rsidRDefault="001E1112" w:rsidP="00330B08">
            <w:pPr>
              <w:pStyle w:val="PKTpunkt0"/>
              <w:spacing w:line="240" w:lineRule="auto"/>
              <w:rPr>
                <w:rFonts w:ascii="Times New Roman" w:hAnsi="Times New Roman" w:cs="Times New Roman"/>
                <w:sz w:val="22"/>
                <w:szCs w:val="22"/>
              </w:rPr>
            </w:pPr>
            <w:r w:rsidRPr="00317ABF">
              <w:rPr>
                <w:rFonts w:ascii="Times New Roman" w:eastAsia="Times" w:hAnsi="Times New Roman" w:cs="Times New Roman"/>
                <w:sz w:val="22"/>
                <w:szCs w:val="22"/>
              </w:rPr>
              <w:t>3)</w:t>
            </w:r>
            <w:r w:rsidR="00330B08" w:rsidRPr="00317ABF">
              <w:rPr>
                <w:rFonts w:ascii="Times New Roman" w:hAnsi="Times New Roman" w:cs="Times New Roman"/>
                <w:sz w:val="22"/>
                <w:szCs w:val="22"/>
              </w:rPr>
              <w:tab/>
            </w:r>
            <w:r w:rsidRPr="00317ABF">
              <w:rPr>
                <w:rFonts w:ascii="Times New Roman" w:eastAsia="Times" w:hAnsi="Times New Roman" w:cs="Times New Roman"/>
                <w:sz w:val="22"/>
                <w:szCs w:val="22"/>
              </w:rPr>
              <w:t xml:space="preserve">propozycja podziału uprawnień, innych niż określone w ust. 2 pkt 1 i 2, oraz obowiązków wynikających z rezerwacji częstotliwości, w tym zobowiązań, o których mowa w art. </w:t>
            </w:r>
            <w:r w:rsidR="00330B08" w:rsidRPr="00317ABF">
              <w:rPr>
                <w:rFonts w:ascii="Times New Roman" w:hAnsi="Times New Roman" w:cs="Times New Roman"/>
                <w:sz w:val="22"/>
                <w:szCs w:val="22"/>
              </w:rPr>
              <w:t>87</w:t>
            </w:r>
            <w:r w:rsidRPr="00317ABF">
              <w:rPr>
                <w:rFonts w:ascii="Times New Roman" w:eastAsia="Times" w:hAnsi="Times New Roman" w:cs="Times New Roman"/>
                <w:sz w:val="22"/>
                <w:szCs w:val="22"/>
              </w:rPr>
              <w:t xml:space="preserve"> ust. 1 pkt 10, nie odpowiada zakresowi częstotliwości lub pozycji orbitalnych objętych rezerwacją lub obszarowi, na którym mają być wykorzystywane częstotliwości przez podmiot wskazany we wniosku.</w:t>
            </w:r>
          </w:p>
          <w:p w14:paraId="20089CCC" w14:textId="77777777" w:rsidR="00330B08" w:rsidRPr="00317ABF" w:rsidRDefault="001E1112" w:rsidP="00330B08">
            <w:pPr>
              <w:rPr>
                <w:sz w:val="22"/>
                <w:szCs w:val="22"/>
              </w:rPr>
            </w:pPr>
            <w:r w:rsidRPr="00317ABF">
              <w:rPr>
                <w:sz w:val="22"/>
                <w:szCs w:val="22"/>
              </w:rPr>
              <w:t>4. Z wyjątkiem zmiany podmiotu dysponującego rezerwacją częstotliwości oraz zmian, o których mowa w ust. 2, rezerwacja częstotliwości nie ulega zmianie.</w:t>
            </w:r>
          </w:p>
          <w:p w14:paraId="6E6F9380" w14:textId="275AF3CC" w:rsidR="001E1112" w:rsidRPr="00317ABF" w:rsidRDefault="001E1112" w:rsidP="00DB3BEC">
            <w:pPr>
              <w:jc w:val="both"/>
              <w:rPr>
                <w:sz w:val="22"/>
                <w:szCs w:val="22"/>
              </w:rPr>
            </w:pPr>
          </w:p>
          <w:p w14:paraId="050E0FAF" w14:textId="6CA0BEDF" w:rsidR="001E1112" w:rsidRPr="00317ABF" w:rsidRDefault="001E1112" w:rsidP="00330B08">
            <w:pPr>
              <w:pStyle w:val="USTustnpkodeksu"/>
              <w:spacing w:line="240" w:lineRule="auto"/>
              <w:ind w:firstLine="0"/>
              <w:rPr>
                <w:rFonts w:ascii="Times New Roman" w:hAnsi="Times New Roman" w:cs="Times New Roman"/>
                <w:sz w:val="22"/>
                <w:szCs w:val="22"/>
              </w:rPr>
            </w:pPr>
            <w:r w:rsidRPr="00317ABF">
              <w:rPr>
                <w:rFonts w:ascii="Times New Roman" w:eastAsia="Times" w:hAnsi="Times New Roman" w:cs="Times New Roman"/>
                <w:sz w:val="22"/>
                <w:szCs w:val="22"/>
              </w:rPr>
              <w:t>4. Podmiot, któremu częstotliwości zostały wydzierżawione lub przekazane do użytkowania, obowiązany jest wykorzystywać je zgodnie z przepisami ustawy oraz wymogami określonymi w rezerwacji częstotliwości.</w:t>
            </w:r>
          </w:p>
          <w:p w14:paraId="4DF41FEE" w14:textId="1A40F614" w:rsidR="001E1112" w:rsidRPr="00317ABF" w:rsidRDefault="001E1112" w:rsidP="00330B08">
            <w:pPr>
              <w:pStyle w:val="USTustnpkodeksu"/>
              <w:keepNext/>
              <w:spacing w:line="240" w:lineRule="auto"/>
              <w:rPr>
                <w:rFonts w:ascii="Times New Roman" w:hAnsi="Times New Roman" w:cs="Times New Roman"/>
                <w:sz w:val="22"/>
                <w:szCs w:val="22"/>
              </w:rPr>
            </w:pPr>
            <w:r w:rsidRPr="00317ABF">
              <w:rPr>
                <w:rFonts w:ascii="Times New Roman" w:eastAsia="Times" w:hAnsi="Times New Roman" w:cs="Times New Roman"/>
                <w:sz w:val="22"/>
                <w:szCs w:val="22"/>
              </w:rPr>
              <w:t>5. Prezes UKE może, w drodze decyzji, zmienić warunki wykorzystywania częstotliwości lub zakazać ich wykorzystywania przez podmiot, o którym mowa w ust. 4, w przypadku:</w:t>
            </w:r>
          </w:p>
          <w:p w14:paraId="73E97620" w14:textId="77777777" w:rsidR="00330B08" w:rsidRPr="00317ABF" w:rsidRDefault="00330B08" w:rsidP="00330B08">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1)</w:t>
            </w:r>
            <w:r w:rsidRPr="00317ABF">
              <w:rPr>
                <w:rFonts w:ascii="Times New Roman" w:hAnsi="Times New Roman" w:cs="Times New Roman"/>
                <w:sz w:val="22"/>
                <w:szCs w:val="22"/>
              </w:rPr>
              <w:tab/>
              <w:t>zaistnienia okoliczności, o których mowa w art. 99 ust. 1 pkt 3 i 8;</w:t>
            </w:r>
          </w:p>
          <w:p w14:paraId="57EE06CB" w14:textId="5E658E7A" w:rsidR="001E1112" w:rsidRPr="00317ABF" w:rsidRDefault="001E1112" w:rsidP="00DB3BEC">
            <w:pPr>
              <w:jc w:val="both"/>
              <w:rPr>
                <w:b/>
                <w:bCs/>
                <w:sz w:val="22"/>
                <w:szCs w:val="22"/>
              </w:rPr>
            </w:pPr>
            <w:r w:rsidRPr="00317ABF">
              <w:rPr>
                <w:sz w:val="22"/>
                <w:szCs w:val="22"/>
              </w:rPr>
              <w:t>2)</w:t>
            </w:r>
            <w:r w:rsidR="00330B08" w:rsidRPr="00317ABF">
              <w:rPr>
                <w:sz w:val="22"/>
                <w:szCs w:val="22"/>
              </w:rPr>
              <w:tab/>
            </w:r>
            <w:r w:rsidRPr="00317ABF">
              <w:rPr>
                <w:sz w:val="22"/>
                <w:szCs w:val="22"/>
              </w:rPr>
              <w:t>gdy wykorzystywanie tych częstotliwości przez ten podmiot mogłoby doprowadzić do zakłócenia konkurencji, w szczególności poprzez nadmierne skupienie częstotliwości przez dany podmiot lub przez grupę kapitałową - w tym zakresie Prezes UKE zasięga opinii Prezesa UOKiK.</w:t>
            </w:r>
          </w:p>
          <w:p w14:paraId="29BE67A0" w14:textId="77777777" w:rsidR="001E1112" w:rsidRPr="00317ABF" w:rsidRDefault="001E1112" w:rsidP="00DB3BEC">
            <w:pPr>
              <w:jc w:val="both"/>
              <w:rPr>
                <w:b/>
                <w:bCs/>
                <w:sz w:val="22"/>
                <w:szCs w:val="22"/>
              </w:rPr>
            </w:pPr>
          </w:p>
          <w:p w14:paraId="7ACE821A" w14:textId="5F620B1E" w:rsidR="00330B08" w:rsidRPr="00317ABF" w:rsidRDefault="00330B08" w:rsidP="00330B08">
            <w:pPr>
              <w:rPr>
                <w:sz w:val="22"/>
                <w:szCs w:val="22"/>
              </w:rPr>
            </w:pPr>
            <w:r w:rsidRPr="00317ABF">
              <w:rPr>
                <w:sz w:val="22"/>
                <w:szCs w:val="22"/>
              </w:rPr>
              <w:t xml:space="preserve"> </w:t>
            </w:r>
            <w:r w:rsidR="001E1112" w:rsidRPr="00317ABF">
              <w:rPr>
                <w:rStyle w:val="Ppogrubienie"/>
                <w:sz w:val="22"/>
                <w:szCs w:val="22"/>
              </w:rPr>
              <w:t>Art.</w:t>
            </w:r>
            <w:r w:rsidRPr="00317ABF">
              <w:rPr>
                <w:rStyle w:val="Ppogrubienie"/>
                <w:sz w:val="22"/>
                <w:szCs w:val="22"/>
              </w:rPr>
              <w:t> 84</w:t>
            </w:r>
            <w:r w:rsidR="001E1112" w:rsidRPr="00317ABF">
              <w:rPr>
                <w:rStyle w:val="Ppogrubienie"/>
                <w:sz w:val="22"/>
                <w:szCs w:val="22"/>
              </w:rPr>
              <w:t>.</w:t>
            </w:r>
            <w:r w:rsidR="001E1112" w:rsidRPr="00317ABF">
              <w:rPr>
                <w:sz w:val="22"/>
                <w:szCs w:val="22"/>
              </w:rPr>
              <w:t xml:space="preserve"> Prezes UKE niezwłocznie udostępnia decyzję o dokonaniu lub zmianie rezerwacji częstotliwości na stronie podmiotowej BIP UKE</w:t>
            </w:r>
          </w:p>
          <w:p w14:paraId="4744A9B7" w14:textId="1854730D" w:rsidR="001E1112" w:rsidRPr="00317ABF" w:rsidRDefault="001E1112" w:rsidP="00DB3BEC">
            <w:pPr>
              <w:jc w:val="both"/>
              <w:rPr>
                <w:sz w:val="22"/>
                <w:szCs w:val="22"/>
              </w:rPr>
            </w:pPr>
          </w:p>
        </w:tc>
      </w:tr>
      <w:tr w:rsidR="001E1112" w:rsidRPr="00317ABF" w14:paraId="46B05CEE" w14:textId="77777777" w:rsidTr="7753F98D">
        <w:trPr>
          <w:gridAfter w:val="2"/>
          <w:wAfter w:w="175" w:type="dxa"/>
        </w:trPr>
        <w:tc>
          <w:tcPr>
            <w:tcW w:w="704" w:type="dxa"/>
          </w:tcPr>
          <w:p w14:paraId="15F80DED" w14:textId="77777777" w:rsidR="001E1112" w:rsidRPr="00317ABF" w:rsidRDefault="001E1112" w:rsidP="00DB3BEC">
            <w:pPr>
              <w:jc w:val="both"/>
              <w:rPr>
                <w:b/>
                <w:sz w:val="22"/>
                <w:szCs w:val="22"/>
              </w:rPr>
            </w:pPr>
            <w:r w:rsidRPr="00317ABF">
              <w:rPr>
                <w:b/>
                <w:sz w:val="22"/>
                <w:szCs w:val="22"/>
              </w:rPr>
              <w:lastRenderedPageBreak/>
              <w:t>Art. 52</w:t>
            </w:r>
          </w:p>
        </w:tc>
        <w:tc>
          <w:tcPr>
            <w:tcW w:w="4308" w:type="dxa"/>
          </w:tcPr>
          <w:p w14:paraId="221CD369" w14:textId="77777777" w:rsidR="001E1112" w:rsidRPr="00317ABF" w:rsidRDefault="001E1112" w:rsidP="00DB3BEC">
            <w:pPr>
              <w:spacing w:before="120"/>
              <w:jc w:val="both"/>
              <w:rPr>
                <w:sz w:val="22"/>
                <w:szCs w:val="22"/>
              </w:rPr>
            </w:pPr>
            <w:r w:rsidRPr="00317ABF">
              <w:rPr>
                <w:b/>
                <w:bCs/>
                <w:sz w:val="22"/>
                <w:szCs w:val="22"/>
              </w:rPr>
              <w:t>Konkurencja</w:t>
            </w:r>
          </w:p>
        </w:tc>
        <w:tc>
          <w:tcPr>
            <w:tcW w:w="986" w:type="dxa"/>
          </w:tcPr>
          <w:p w14:paraId="4375995E" w14:textId="77777777" w:rsidR="001E1112" w:rsidRPr="00317ABF" w:rsidRDefault="001E1112" w:rsidP="00DB3BEC">
            <w:pPr>
              <w:jc w:val="both"/>
              <w:rPr>
                <w:sz w:val="22"/>
                <w:szCs w:val="22"/>
              </w:rPr>
            </w:pPr>
          </w:p>
        </w:tc>
        <w:tc>
          <w:tcPr>
            <w:tcW w:w="910" w:type="dxa"/>
          </w:tcPr>
          <w:p w14:paraId="5E2CB341" w14:textId="77777777" w:rsidR="001E1112" w:rsidRPr="00317ABF" w:rsidRDefault="001E1112" w:rsidP="00DB3BEC">
            <w:pPr>
              <w:pStyle w:val="Tekstpodstawowy"/>
              <w:rPr>
                <w:b/>
                <w:noProof/>
                <w:sz w:val="22"/>
                <w:szCs w:val="22"/>
              </w:rPr>
            </w:pPr>
          </w:p>
        </w:tc>
        <w:tc>
          <w:tcPr>
            <w:tcW w:w="6814" w:type="dxa"/>
            <w:gridSpan w:val="2"/>
          </w:tcPr>
          <w:p w14:paraId="6A971AD1" w14:textId="77777777" w:rsidR="001E1112" w:rsidRPr="00317ABF" w:rsidRDefault="001E1112" w:rsidP="00DB3BEC">
            <w:pPr>
              <w:pStyle w:val="Tekstpodstawowy"/>
              <w:rPr>
                <w:sz w:val="22"/>
                <w:szCs w:val="22"/>
              </w:rPr>
            </w:pPr>
          </w:p>
        </w:tc>
      </w:tr>
      <w:tr w:rsidR="001E1112" w:rsidRPr="00317ABF" w14:paraId="775C9DC1" w14:textId="77777777" w:rsidTr="7753F98D">
        <w:trPr>
          <w:gridAfter w:val="2"/>
          <w:wAfter w:w="175" w:type="dxa"/>
        </w:trPr>
        <w:tc>
          <w:tcPr>
            <w:tcW w:w="704" w:type="dxa"/>
          </w:tcPr>
          <w:p w14:paraId="713CDBBD" w14:textId="77777777" w:rsidR="001E1112" w:rsidRPr="00317ABF" w:rsidRDefault="001E1112" w:rsidP="00DB3BEC">
            <w:pPr>
              <w:jc w:val="both"/>
              <w:rPr>
                <w:sz w:val="22"/>
                <w:szCs w:val="22"/>
              </w:rPr>
            </w:pPr>
            <w:r w:rsidRPr="00317ABF">
              <w:rPr>
                <w:sz w:val="22"/>
                <w:szCs w:val="22"/>
              </w:rPr>
              <w:t>Art. 52 ust. 1</w:t>
            </w:r>
          </w:p>
        </w:tc>
        <w:tc>
          <w:tcPr>
            <w:tcW w:w="4308" w:type="dxa"/>
          </w:tcPr>
          <w:p w14:paraId="0E99FF59" w14:textId="77777777" w:rsidR="001E1112" w:rsidRPr="00317ABF" w:rsidRDefault="001E1112" w:rsidP="00DB3BEC">
            <w:pPr>
              <w:spacing w:before="120"/>
              <w:jc w:val="both"/>
              <w:rPr>
                <w:sz w:val="22"/>
                <w:szCs w:val="22"/>
              </w:rPr>
            </w:pPr>
            <w:r w:rsidRPr="00317ABF">
              <w:rPr>
                <w:sz w:val="22"/>
                <w:szCs w:val="22"/>
              </w:rPr>
              <w:t>1.   Przy podejmowaniu decyzji w sprawie przyznania, zmiany lub odnowienia praw użytkowania widma radiowego na potrzeby sieci i usług łączności elektronicznej zgodnie z niniejszą dyrektywą krajowe organy regulacyjne lub inne właściwe organy wspierają efektywną konkurencję i unikają zakłóceń konkurencji na rynku wewnętrznym.</w:t>
            </w:r>
          </w:p>
        </w:tc>
        <w:tc>
          <w:tcPr>
            <w:tcW w:w="986" w:type="dxa"/>
          </w:tcPr>
          <w:p w14:paraId="7E4E85DF" w14:textId="5AE15AE1" w:rsidR="001E1112" w:rsidRPr="00317ABF" w:rsidRDefault="001E1112" w:rsidP="00DB3BEC">
            <w:pPr>
              <w:jc w:val="both"/>
              <w:rPr>
                <w:sz w:val="22"/>
                <w:szCs w:val="22"/>
              </w:rPr>
            </w:pPr>
            <w:r w:rsidRPr="00317ABF">
              <w:rPr>
                <w:sz w:val="22"/>
                <w:szCs w:val="22"/>
              </w:rPr>
              <w:t>T</w:t>
            </w:r>
          </w:p>
        </w:tc>
        <w:tc>
          <w:tcPr>
            <w:tcW w:w="910" w:type="dxa"/>
          </w:tcPr>
          <w:p w14:paraId="1C009A51" w14:textId="795EC592" w:rsidR="001E1112" w:rsidRPr="00317ABF" w:rsidRDefault="00DB3BEC" w:rsidP="00DB3BEC">
            <w:pPr>
              <w:pStyle w:val="Tekstpodstawowy"/>
              <w:rPr>
                <w:b/>
                <w:bCs/>
                <w:noProof/>
                <w:sz w:val="22"/>
                <w:szCs w:val="22"/>
              </w:rPr>
            </w:pPr>
            <w:r w:rsidRPr="00317ABF">
              <w:rPr>
                <w:b/>
                <w:bCs/>
                <w:noProof/>
                <w:sz w:val="22"/>
                <w:szCs w:val="22"/>
              </w:rPr>
              <w:t xml:space="preserve">Art. </w:t>
            </w:r>
            <w:r w:rsidR="00331174" w:rsidRPr="00317ABF">
              <w:rPr>
                <w:b/>
                <w:bCs/>
                <w:noProof/>
                <w:sz w:val="22"/>
                <w:szCs w:val="22"/>
              </w:rPr>
              <w:t xml:space="preserve">98 </w:t>
            </w:r>
          </w:p>
        </w:tc>
        <w:tc>
          <w:tcPr>
            <w:tcW w:w="6814" w:type="dxa"/>
            <w:gridSpan w:val="2"/>
          </w:tcPr>
          <w:p w14:paraId="1D776ED2" w14:textId="77777777" w:rsidR="00331174" w:rsidRPr="00317ABF" w:rsidRDefault="00331174" w:rsidP="00331174">
            <w:pPr>
              <w:pStyle w:val="ARTartustawynprozporzdzenia"/>
              <w:keepNext/>
              <w:spacing w:before="0" w:line="240" w:lineRule="auto"/>
              <w:rPr>
                <w:rFonts w:ascii="Times New Roman" w:hAnsi="Times New Roman" w:cs="Times New Roman"/>
                <w:sz w:val="22"/>
                <w:szCs w:val="22"/>
              </w:rPr>
            </w:pPr>
            <w:r w:rsidRPr="00317ABF">
              <w:rPr>
                <w:rStyle w:val="Ppogrubienie"/>
                <w:rFonts w:ascii="Times New Roman" w:hAnsi="Times New Roman"/>
                <w:sz w:val="22"/>
                <w:szCs w:val="22"/>
              </w:rPr>
              <w:t>Art. 98.</w:t>
            </w:r>
            <w:r w:rsidRPr="00317ABF">
              <w:rPr>
                <w:rFonts w:ascii="Times New Roman" w:hAnsi="Times New Roman" w:cs="Times New Roman"/>
                <w:sz w:val="22"/>
                <w:szCs w:val="22"/>
              </w:rPr>
              <w:t> Prezes UKE, w celu wspierania równoprawnej i skutecznej konkurencji, w szczególności zapobiegania nadmiernemu skupieniu częstotliwości przez podmiot lub podmioty z grupy kapitałowej, uwzględniając warunki rynkowe, w tym w szczególności oceniając w sposób obiektywny i perspektywiczny warunki konkurencji, a także prawdopodobny wpływ na dotychczasowe i przyszłe inwestycje uczestników rynku, może:</w:t>
            </w:r>
          </w:p>
          <w:p w14:paraId="09E32B5C" w14:textId="77777777" w:rsidR="00331174" w:rsidRPr="00317ABF" w:rsidRDefault="00331174" w:rsidP="00331174">
            <w:pPr>
              <w:pStyle w:val="PKTpunkt0"/>
              <w:keepNext/>
              <w:spacing w:line="240" w:lineRule="auto"/>
              <w:rPr>
                <w:rFonts w:ascii="Times New Roman" w:hAnsi="Times New Roman" w:cs="Times New Roman"/>
                <w:sz w:val="22"/>
                <w:szCs w:val="22"/>
              </w:rPr>
            </w:pPr>
            <w:r w:rsidRPr="00317ABF">
              <w:rPr>
                <w:rFonts w:ascii="Times New Roman" w:hAnsi="Times New Roman" w:cs="Times New Roman"/>
                <w:sz w:val="22"/>
                <w:szCs w:val="22"/>
              </w:rPr>
              <w:t>1)</w:t>
            </w:r>
            <w:r w:rsidRPr="00317ABF">
              <w:rPr>
                <w:rFonts w:ascii="Times New Roman" w:hAnsi="Times New Roman" w:cs="Times New Roman"/>
                <w:sz w:val="22"/>
                <w:szCs w:val="22"/>
              </w:rPr>
              <w:tab/>
              <w:t>w decyzji w sprawie dokonania rezerwacji lub dokonania rezerwacji na kolejny okres:</w:t>
            </w:r>
          </w:p>
          <w:p w14:paraId="6B031D52" w14:textId="77777777" w:rsidR="00331174" w:rsidRPr="00317ABF" w:rsidRDefault="00331174" w:rsidP="00331174">
            <w:pPr>
              <w:pStyle w:val="LITlitera"/>
              <w:spacing w:line="240" w:lineRule="auto"/>
              <w:rPr>
                <w:rFonts w:ascii="Times New Roman" w:hAnsi="Times New Roman" w:cs="Times New Roman"/>
                <w:sz w:val="22"/>
                <w:szCs w:val="22"/>
              </w:rPr>
            </w:pPr>
            <w:r w:rsidRPr="00317ABF">
              <w:rPr>
                <w:rFonts w:ascii="Times New Roman" w:hAnsi="Times New Roman" w:cs="Times New Roman"/>
                <w:sz w:val="22"/>
                <w:szCs w:val="22"/>
              </w:rPr>
              <w:t>a)</w:t>
            </w:r>
            <w:r w:rsidRPr="00317ABF">
              <w:rPr>
                <w:rFonts w:ascii="Times New Roman" w:hAnsi="Times New Roman" w:cs="Times New Roman"/>
                <w:sz w:val="22"/>
                <w:szCs w:val="22"/>
              </w:rPr>
              <w:tab/>
              <w:t>ograniczyć zasoby częstotliwości przyznawane podmiotowi,</w:t>
            </w:r>
          </w:p>
          <w:p w14:paraId="7188B5C4" w14:textId="77777777" w:rsidR="00331174" w:rsidRPr="00317ABF" w:rsidRDefault="00331174" w:rsidP="00331174">
            <w:pPr>
              <w:pStyle w:val="LITlitera"/>
              <w:spacing w:line="240" w:lineRule="auto"/>
              <w:rPr>
                <w:rFonts w:ascii="Times New Roman" w:hAnsi="Times New Roman" w:cs="Times New Roman"/>
                <w:sz w:val="22"/>
                <w:szCs w:val="22"/>
              </w:rPr>
            </w:pPr>
            <w:r w:rsidRPr="00317ABF">
              <w:rPr>
                <w:rFonts w:ascii="Times New Roman" w:hAnsi="Times New Roman" w:cs="Times New Roman"/>
                <w:sz w:val="22"/>
                <w:szCs w:val="22"/>
              </w:rPr>
              <w:t>b)</w:t>
            </w:r>
            <w:r w:rsidRPr="00317ABF">
              <w:rPr>
                <w:rFonts w:ascii="Times New Roman" w:hAnsi="Times New Roman" w:cs="Times New Roman"/>
                <w:sz w:val="22"/>
                <w:szCs w:val="22"/>
              </w:rPr>
              <w:tab/>
              <w:t>nałożyć obowiązki w zakresie zapewnienia dostępu telekomunikacyjnego, w szczególności dostępu do infrastruktury służącej do wykorzystywania częstotliwości objętych dokonaną rezerwacją, w tym na potrzeby roamingu lokalnego, w odniesieniu do danego zasobu częstotliwości lub zasobu o analogicznych właściwościach,</w:t>
            </w:r>
          </w:p>
          <w:p w14:paraId="24B21E76" w14:textId="77777777" w:rsidR="00331174" w:rsidRPr="00317ABF" w:rsidRDefault="00331174" w:rsidP="00331174">
            <w:pPr>
              <w:pStyle w:val="LITlitera"/>
              <w:spacing w:line="240" w:lineRule="auto"/>
              <w:rPr>
                <w:rFonts w:ascii="Times New Roman" w:hAnsi="Times New Roman" w:cs="Times New Roman"/>
                <w:sz w:val="22"/>
                <w:szCs w:val="22"/>
              </w:rPr>
            </w:pPr>
            <w:r w:rsidRPr="00317ABF">
              <w:rPr>
                <w:rFonts w:ascii="Times New Roman" w:hAnsi="Times New Roman" w:cs="Times New Roman"/>
                <w:sz w:val="22"/>
                <w:szCs w:val="22"/>
              </w:rPr>
              <w:t>c)</w:t>
            </w:r>
            <w:r w:rsidRPr="00317ABF">
              <w:rPr>
                <w:rFonts w:ascii="Times New Roman" w:hAnsi="Times New Roman" w:cs="Times New Roman"/>
                <w:sz w:val="22"/>
                <w:szCs w:val="22"/>
              </w:rPr>
              <w:tab/>
              <w:t>odmówić przyznania całości lub części zasobu objętego wnioskiem jeżeli zachodzi potrzeba przeznaczenia tego zasobu dla nowego podmiotu,</w:t>
            </w:r>
          </w:p>
          <w:p w14:paraId="60474AE4" w14:textId="77777777" w:rsidR="00331174" w:rsidRPr="00317ABF" w:rsidRDefault="00331174" w:rsidP="00331174">
            <w:pPr>
              <w:pStyle w:val="LITlitera"/>
              <w:spacing w:line="240" w:lineRule="auto"/>
              <w:rPr>
                <w:rFonts w:ascii="Times New Roman" w:hAnsi="Times New Roman" w:cs="Times New Roman"/>
                <w:sz w:val="22"/>
                <w:szCs w:val="22"/>
              </w:rPr>
            </w:pPr>
            <w:r w:rsidRPr="00317ABF">
              <w:rPr>
                <w:rFonts w:ascii="Times New Roman" w:hAnsi="Times New Roman" w:cs="Times New Roman"/>
                <w:sz w:val="22"/>
                <w:szCs w:val="22"/>
              </w:rPr>
              <w:t>d)</w:t>
            </w:r>
            <w:r w:rsidRPr="00317ABF">
              <w:rPr>
                <w:rFonts w:ascii="Times New Roman" w:hAnsi="Times New Roman" w:cs="Times New Roman"/>
                <w:sz w:val="22"/>
                <w:szCs w:val="22"/>
              </w:rPr>
              <w:tab/>
              <w:t>odmówić dokonania rezerwacji częstotliwości,</w:t>
            </w:r>
          </w:p>
          <w:p w14:paraId="2A10E53F" w14:textId="77777777" w:rsidR="00331174" w:rsidRPr="00317ABF" w:rsidRDefault="00331174" w:rsidP="00331174">
            <w:pPr>
              <w:pStyle w:val="LITlitera"/>
              <w:spacing w:line="240" w:lineRule="auto"/>
              <w:rPr>
                <w:rFonts w:ascii="Times New Roman" w:hAnsi="Times New Roman" w:cs="Times New Roman"/>
                <w:sz w:val="22"/>
                <w:szCs w:val="22"/>
              </w:rPr>
            </w:pPr>
            <w:r w:rsidRPr="00317ABF">
              <w:rPr>
                <w:rFonts w:ascii="Times New Roman" w:hAnsi="Times New Roman" w:cs="Times New Roman"/>
                <w:sz w:val="22"/>
                <w:szCs w:val="22"/>
              </w:rPr>
              <w:t>e)</w:t>
            </w:r>
            <w:r w:rsidRPr="00317ABF">
              <w:rPr>
                <w:rFonts w:ascii="Times New Roman" w:hAnsi="Times New Roman" w:cs="Times New Roman"/>
                <w:sz w:val="22"/>
                <w:szCs w:val="22"/>
              </w:rPr>
              <w:tab/>
              <w:t>zakazać lub określić warunki zmiany podmiotu dysponującego rezerwacją częstotliwości lub wydzierżawienia lub przekazania do użytkowania częstotliwości objętych rezerwacją, gdy istnieje prawdopodobieństwo poważnego zakłócenia konkurencji;</w:t>
            </w:r>
          </w:p>
          <w:p w14:paraId="65376240" w14:textId="77777777" w:rsidR="00331174" w:rsidRPr="00317ABF" w:rsidRDefault="00331174" w:rsidP="00331174">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2)</w:t>
            </w:r>
            <w:r w:rsidRPr="00317ABF">
              <w:rPr>
                <w:rFonts w:ascii="Times New Roman" w:hAnsi="Times New Roman" w:cs="Times New Roman"/>
                <w:sz w:val="22"/>
                <w:szCs w:val="22"/>
              </w:rPr>
              <w:tab/>
              <w:t>odmówić, w drodze decyzji, zmiany rezerwacji częstotliwości, która prowadzi do zmiany sposobu wykorzystywania zasobu częstotliwości;</w:t>
            </w:r>
          </w:p>
          <w:p w14:paraId="18C10C37" w14:textId="77777777" w:rsidR="00331174" w:rsidRPr="00317ABF" w:rsidRDefault="00331174" w:rsidP="00331174">
            <w:pPr>
              <w:jc w:val="both"/>
              <w:rPr>
                <w:sz w:val="22"/>
                <w:szCs w:val="22"/>
              </w:rPr>
            </w:pPr>
            <w:r w:rsidRPr="00317ABF">
              <w:rPr>
                <w:sz w:val="22"/>
                <w:szCs w:val="22"/>
              </w:rPr>
              <w:t>3) w decyzji w sprawie zmiany rezerwacji częstotliwości:</w:t>
            </w:r>
          </w:p>
          <w:p w14:paraId="40FE6116" w14:textId="77777777" w:rsidR="00331174" w:rsidRPr="00317ABF" w:rsidRDefault="00331174" w:rsidP="00331174">
            <w:pPr>
              <w:pStyle w:val="LITlitera"/>
              <w:spacing w:line="240" w:lineRule="auto"/>
              <w:rPr>
                <w:rFonts w:ascii="Times New Roman" w:hAnsi="Times New Roman" w:cs="Times New Roman"/>
                <w:sz w:val="22"/>
                <w:szCs w:val="22"/>
              </w:rPr>
            </w:pPr>
            <w:r w:rsidRPr="00317ABF">
              <w:rPr>
                <w:rFonts w:ascii="Times New Roman" w:hAnsi="Times New Roman" w:cs="Times New Roman"/>
                <w:sz w:val="22"/>
                <w:szCs w:val="22"/>
              </w:rPr>
              <w:t>a) nałożyć obowiązki w zakresie zapewnienia dostępu telekomunikacyjnego, w szczególności dostępu do infrastruktury służącej do wykorzystywania częstotliwości objętych dokonaną rezerwacją, w tym na potrzeby roamingu lokalnego, w odniesieniu do danego zasobu częstotliwości lub zasobu o analogicznych właściwościach,</w:t>
            </w:r>
          </w:p>
          <w:p w14:paraId="28DCB8F7" w14:textId="79DF714A" w:rsidR="001E1112" w:rsidRPr="00317ABF" w:rsidRDefault="00331174" w:rsidP="00DB3BEC">
            <w:pPr>
              <w:jc w:val="both"/>
              <w:rPr>
                <w:sz w:val="22"/>
                <w:szCs w:val="22"/>
              </w:rPr>
            </w:pPr>
            <w:r w:rsidRPr="00317ABF">
              <w:rPr>
                <w:sz w:val="22"/>
                <w:szCs w:val="22"/>
              </w:rPr>
              <w:t>b) zakazać lub określić warunki zmiany podmiotu dysponującego rezerwacją częstotliwości lub wydzierżawienia lub przekazania do użytkowania częstotliwości objętych rezerwacją, gdy istnieje prawdopodobieństwo poważnego zakłócenia konkurencji.</w:t>
            </w:r>
          </w:p>
        </w:tc>
      </w:tr>
      <w:tr w:rsidR="001E1112" w:rsidRPr="00317ABF" w14:paraId="05049DDD" w14:textId="77777777" w:rsidTr="7753F98D">
        <w:trPr>
          <w:gridAfter w:val="2"/>
          <w:wAfter w:w="175" w:type="dxa"/>
        </w:trPr>
        <w:tc>
          <w:tcPr>
            <w:tcW w:w="704" w:type="dxa"/>
          </w:tcPr>
          <w:p w14:paraId="09246EF6" w14:textId="77777777" w:rsidR="001E1112" w:rsidRPr="00317ABF" w:rsidRDefault="001E1112" w:rsidP="00DB3BEC">
            <w:pPr>
              <w:jc w:val="both"/>
              <w:rPr>
                <w:sz w:val="22"/>
                <w:szCs w:val="22"/>
              </w:rPr>
            </w:pPr>
            <w:r w:rsidRPr="00317ABF">
              <w:rPr>
                <w:sz w:val="22"/>
                <w:szCs w:val="22"/>
              </w:rPr>
              <w:lastRenderedPageBreak/>
              <w:t>Art. 52 ust. 2</w:t>
            </w:r>
          </w:p>
        </w:tc>
        <w:tc>
          <w:tcPr>
            <w:tcW w:w="4308" w:type="dxa"/>
          </w:tcPr>
          <w:p w14:paraId="53FDA1A9" w14:textId="77777777" w:rsidR="001E1112" w:rsidRPr="00317ABF" w:rsidRDefault="001E1112" w:rsidP="00DB3BEC">
            <w:pPr>
              <w:spacing w:before="120"/>
              <w:jc w:val="both"/>
              <w:rPr>
                <w:sz w:val="22"/>
                <w:szCs w:val="22"/>
              </w:rPr>
            </w:pPr>
            <w:r w:rsidRPr="00317ABF">
              <w:rPr>
                <w:sz w:val="22"/>
                <w:szCs w:val="22"/>
              </w:rPr>
              <w:t>2.   W przypadku gdy państwa członkowskie przyznają, zmieniają lub odnawiają prawa użytkowania widma radiowego, ich krajowy organ regulacyjny lub inne właściwe organy, na podstawie opinii przekazanej przez krajowy organ regulacyjny, może podejmować odpowiednie środki, takie jak:</w:t>
            </w:r>
          </w:p>
          <w:tbl>
            <w:tblPr>
              <w:tblW w:w="5000" w:type="pct"/>
              <w:tblCellSpacing w:w="0" w:type="dxa"/>
              <w:tblLayout w:type="fixed"/>
              <w:tblCellMar>
                <w:left w:w="0" w:type="dxa"/>
                <w:right w:w="0" w:type="dxa"/>
              </w:tblCellMar>
              <w:tblLook w:val="04A0" w:firstRow="1" w:lastRow="0" w:firstColumn="1" w:lastColumn="0" w:noHBand="0" w:noVBand="1"/>
            </w:tblPr>
            <w:tblGrid>
              <w:gridCol w:w="20"/>
              <w:gridCol w:w="4148"/>
            </w:tblGrid>
            <w:tr w:rsidR="001E1112" w:rsidRPr="00317ABF" w14:paraId="26C67C63" w14:textId="77777777" w:rsidTr="00A462BE">
              <w:trPr>
                <w:tblCellSpacing w:w="0" w:type="dxa"/>
              </w:trPr>
              <w:tc>
                <w:tcPr>
                  <w:tcW w:w="6" w:type="dxa"/>
                  <w:hideMark/>
                </w:tcPr>
                <w:p w14:paraId="6416B0FC" w14:textId="77777777" w:rsidR="001E1112" w:rsidRPr="00317ABF" w:rsidRDefault="001E1112" w:rsidP="00EE0AC3">
                  <w:pPr>
                    <w:framePr w:hSpace="141" w:wrap="around" w:vAnchor="text" w:hAnchor="text" w:xAlign="right" w:y="1"/>
                    <w:spacing w:before="120"/>
                    <w:suppressOverlap/>
                    <w:jc w:val="both"/>
                    <w:rPr>
                      <w:sz w:val="22"/>
                      <w:szCs w:val="22"/>
                    </w:rPr>
                  </w:pPr>
                </w:p>
              </w:tc>
              <w:tc>
                <w:tcPr>
                  <w:tcW w:w="9066" w:type="dxa"/>
                  <w:hideMark/>
                </w:tcPr>
                <w:p w14:paraId="265B3179" w14:textId="77777777" w:rsidR="001E1112" w:rsidRPr="00317ABF" w:rsidRDefault="001E1112" w:rsidP="00EE0AC3">
                  <w:pPr>
                    <w:framePr w:hSpace="141" w:wrap="around" w:vAnchor="text" w:hAnchor="text" w:xAlign="right" w:y="1"/>
                    <w:numPr>
                      <w:ilvl w:val="0"/>
                      <w:numId w:val="41"/>
                    </w:numPr>
                    <w:spacing w:before="120"/>
                    <w:suppressOverlap/>
                    <w:jc w:val="both"/>
                    <w:rPr>
                      <w:sz w:val="22"/>
                      <w:szCs w:val="22"/>
                    </w:rPr>
                  </w:pPr>
                  <w:r w:rsidRPr="00317ABF">
                    <w:rPr>
                      <w:sz w:val="22"/>
                      <w:szCs w:val="22"/>
                    </w:rPr>
                    <w:t>ograniczenie ilości pasm widma radiowego, na które przyznaje się prawa użytkowania dowolnemu przedsiębiorstwu, lub, w uzasadnionych przypadkach, obwarowanie tych praw użytkowania warunkami, takimi jak zapewnienie dostępu hurtowego czy usług roamingu krajowego lub regionalnego, w niektórych pasmach lub w niektórych grupach pasm o podobnej charakterystyce;</w:t>
                  </w:r>
                </w:p>
              </w:tc>
            </w:tr>
          </w:tbl>
          <w:p w14:paraId="051EBC08" w14:textId="77777777" w:rsidR="001E1112" w:rsidRPr="00317ABF" w:rsidRDefault="001E1112" w:rsidP="00DB3BEC">
            <w:pPr>
              <w:jc w:val="both"/>
              <w:rPr>
                <w:vanish/>
                <w:sz w:val="22"/>
                <w:szCs w:val="22"/>
              </w:rPr>
            </w:pPr>
          </w:p>
          <w:tbl>
            <w:tblPr>
              <w:tblW w:w="5000" w:type="pct"/>
              <w:tblCellSpacing w:w="0" w:type="dxa"/>
              <w:tblLayout w:type="fixed"/>
              <w:tblCellMar>
                <w:left w:w="0" w:type="dxa"/>
                <w:right w:w="0" w:type="dxa"/>
              </w:tblCellMar>
              <w:tblLook w:val="04A0" w:firstRow="1" w:lastRow="0" w:firstColumn="1" w:lastColumn="0" w:noHBand="0" w:noVBand="1"/>
            </w:tblPr>
            <w:tblGrid>
              <w:gridCol w:w="20"/>
              <w:gridCol w:w="4148"/>
            </w:tblGrid>
            <w:tr w:rsidR="001E1112" w:rsidRPr="00317ABF" w14:paraId="25A5CB8A" w14:textId="77777777" w:rsidTr="00A462BE">
              <w:trPr>
                <w:tblCellSpacing w:w="0" w:type="dxa"/>
              </w:trPr>
              <w:tc>
                <w:tcPr>
                  <w:tcW w:w="6" w:type="dxa"/>
                  <w:hideMark/>
                </w:tcPr>
                <w:p w14:paraId="09823EE7" w14:textId="77777777" w:rsidR="001E1112" w:rsidRPr="00317ABF" w:rsidRDefault="001E1112" w:rsidP="00EE0AC3">
                  <w:pPr>
                    <w:framePr w:hSpace="141" w:wrap="around" w:vAnchor="text" w:hAnchor="text" w:xAlign="right" w:y="1"/>
                    <w:spacing w:before="120"/>
                    <w:suppressOverlap/>
                    <w:jc w:val="both"/>
                    <w:rPr>
                      <w:sz w:val="22"/>
                      <w:szCs w:val="22"/>
                    </w:rPr>
                  </w:pPr>
                </w:p>
              </w:tc>
              <w:tc>
                <w:tcPr>
                  <w:tcW w:w="9066" w:type="dxa"/>
                  <w:hideMark/>
                </w:tcPr>
                <w:p w14:paraId="73B470AE" w14:textId="77777777" w:rsidR="001E1112" w:rsidRPr="00317ABF" w:rsidRDefault="001E1112" w:rsidP="00EE0AC3">
                  <w:pPr>
                    <w:framePr w:hSpace="141" w:wrap="around" w:vAnchor="text" w:hAnchor="text" w:xAlign="right" w:y="1"/>
                    <w:numPr>
                      <w:ilvl w:val="0"/>
                      <w:numId w:val="41"/>
                    </w:numPr>
                    <w:spacing w:before="120"/>
                    <w:suppressOverlap/>
                    <w:jc w:val="both"/>
                    <w:rPr>
                      <w:sz w:val="22"/>
                      <w:szCs w:val="22"/>
                    </w:rPr>
                  </w:pPr>
                  <w:r w:rsidRPr="00317ABF">
                    <w:rPr>
                      <w:sz w:val="22"/>
                      <w:szCs w:val="22"/>
                    </w:rPr>
                    <w:t>zarezerwowanie, w stosownych i uzasadnionych przypadkach w zależności od konkretnej sytuacji na rynku krajowym, określonej części pasma lub grupy pasm widma radiowego z myślą o przydzieleniu ich nowym operatorom;</w:t>
                  </w:r>
                </w:p>
              </w:tc>
            </w:tr>
          </w:tbl>
          <w:p w14:paraId="2C1A9C61" w14:textId="77777777" w:rsidR="001E1112" w:rsidRPr="00317ABF" w:rsidRDefault="001E1112" w:rsidP="00DB3BEC">
            <w:pPr>
              <w:jc w:val="both"/>
              <w:rPr>
                <w:vanish/>
                <w:sz w:val="22"/>
                <w:szCs w:val="22"/>
              </w:rPr>
            </w:pPr>
          </w:p>
          <w:tbl>
            <w:tblPr>
              <w:tblW w:w="5000" w:type="pct"/>
              <w:tblCellSpacing w:w="0" w:type="dxa"/>
              <w:tblLayout w:type="fixed"/>
              <w:tblCellMar>
                <w:left w:w="0" w:type="dxa"/>
                <w:right w:w="0" w:type="dxa"/>
              </w:tblCellMar>
              <w:tblLook w:val="04A0" w:firstRow="1" w:lastRow="0" w:firstColumn="1" w:lastColumn="0" w:noHBand="0" w:noVBand="1"/>
            </w:tblPr>
            <w:tblGrid>
              <w:gridCol w:w="20"/>
              <w:gridCol w:w="4148"/>
            </w:tblGrid>
            <w:tr w:rsidR="001E1112" w:rsidRPr="00317ABF" w14:paraId="39F7BD01" w14:textId="77777777" w:rsidTr="00A462BE">
              <w:trPr>
                <w:tblCellSpacing w:w="0" w:type="dxa"/>
              </w:trPr>
              <w:tc>
                <w:tcPr>
                  <w:tcW w:w="6" w:type="dxa"/>
                  <w:hideMark/>
                </w:tcPr>
                <w:p w14:paraId="7C6EB220" w14:textId="77777777" w:rsidR="001E1112" w:rsidRPr="00317ABF" w:rsidRDefault="001E1112" w:rsidP="00EE0AC3">
                  <w:pPr>
                    <w:framePr w:hSpace="141" w:wrap="around" w:vAnchor="text" w:hAnchor="text" w:xAlign="right" w:y="1"/>
                    <w:spacing w:before="120"/>
                    <w:suppressOverlap/>
                    <w:jc w:val="both"/>
                    <w:rPr>
                      <w:sz w:val="22"/>
                      <w:szCs w:val="22"/>
                    </w:rPr>
                  </w:pPr>
                </w:p>
              </w:tc>
              <w:tc>
                <w:tcPr>
                  <w:tcW w:w="9066" w:type="dxa"/>
                  <w:hideMark/>
                </w:tcPr>
                <w:p w14:paraId="09BD14E9" w14:textId="77777777" w:rsidR="001E1112" w:rsidRPr="00317ABF" w:rsidRDefault="001E1112" w:rsidP="00EE0AC3">
                  <w:pPr>
                    <w:framePr w:hSpace="141" w:wrap="around" w:vAnchor="text" w:hAnchor="text" w:xAlign="right" w:y="1"/>
                    <w:numPr>
                      <w:ilvl w:val="0"/>
                      <w:numId w:val="41"/>
                    </w:numPr>
                    <w:spacing w:before="120"/>
                    <w:suppressOverlap/>
                    <w:jc w:val="both"/>
                    <w:rPr>
                      <w:sz w:val="22"/>
                      <w:szCs w:val="22"/>
                    </w:rPr>
                  </w:pPr>
                  <w:r w:rsidRPr="00317ABF">
                    <w:rPr>
                      <w:sz w:val="22"/>
                      <w:szCs w:val="22"/>
                    </w:rPr>
                    <w:t xml:space="preserve">odmowa przyznania nowych praw użytkowania widma radiowego lub zezwolenia na nowe użytkowanie widma radiowego w określonych pasmach lub obwarowanie przyznania nowych praw użytkowania widma radiowego lub wydania zezwolenia na nowe wykorzystanie widma radiowego określonymi warunkami, </w:t>
                  </w:r>
                  <w:r w:rsidRPr="00317ABF">
                    <w:rPr>
                      <w:sz w:val="22"/>
                      <w:szCs w:val="22"/>
                    </w:rPr>
                    <w:lastRenderedPageBreak/>
                    <w:t>aby zapobiec zakłóceniom konkurencji wynikłym z przeznaczenia, przekazania lub akumulacji praw użytkowania;</w:t>
                  </w:r>
                </w:p>
              </w:tc>
            </w:tr>
          </w:tbl>
          <w:p w14:paraId="142D48B9" w14:textId="77777777" w:rsidR="001E1112" w:rsidRPr="00317ABF" w:rsidRDefault="001E1112" w:rsidP="00DB3BEC">
            <w:pPr>
              <w:jc w:val="both"/>
              <w:rPr>
                <w:vanish/>
                <w:sz w:val="22"/>
                <w:szCs w:val="22"/>
              </w:rPr>
            </w:pPr>
          </w:p>
          <w:tbl>
            <w:tblPr>
              <w:tblW w:w="5000" w:type="pct"/>
              <w:tblCellSpacing w:w="0" w:type="dxa"/>
              <w:tblLayout w:type="fixed"/>
              <w:tblCellMar>
                <w:left w:w="0" w:type="dxa"/>
                <w:right w:w="0" w:type="dxa"/>
              </w:tblCellMar>
              <w:tblLook w:val="04A0" w:firstRow="1" w:lastRow="0" w:firstColumn="1" w:lastColumn="0" w:noHBand="0" w:noVBand="1"/>
            </w:tblPr>
            <w:tblGrid>
              <w:gridCol w:w="20"/>
              <w:gridCol w:w="4148"/>
            </w:tblGrid>
            <w:tr w:rsidR="001E1112" w:rsidRPr="00317ABF" w14:paraId="231EFFD0" w14:textId="77777777" w:rsidTr="00A462BE">
              <w:trPr>
                <w:tblCellSpacing w:w="0" w:type="dxa"/>
              </w:trPr>
              <w:tc>
                <w:tcPr>
                  <w:tcW w:w="6" w:type="dxa"/>
                  <w:hideMark/>
                </w:tcPr>
                <w:p w14:paraId="25ED151C" w14:textId="77777777" w:rsidR="001E1112" w:rsidRPr="00317ABF" w:rsidRDefault="001E1112" w:rsidP="00EE0AC3">
                  <w:pPr>
                    <w:framePr w:hSpace="141" w:wrap="around" w:vAnchor="text" w:hAnchor="text" w:xAlign="right" w:y="1"/>
                    <w:spacing w:before="120"/>
                    <w:suppressOverlap/>
                    <w:jc w:val="both"/>
                    <w:rPr>
                      <w:sz w:val="22"/>
                      <w:szCs w:val="22"/>
                    </w:rPr>
                  </w:pPr>
                </w:p>
              </w:tc>
              <w:tc>
                <w:tcPr>
                  <w:tcW w:w="9066" w:type="dxa"/>
                  <w:hideMark/>
                </w:tcPr>
                <w:p w14:paraId="6DE34362" w14:textId="77777777" w:rsidR="001E1112" w:rsidRPr="00317ABF" w:rsidRDefault="001E1112" w:rsidP="00EE0AC3">
                  <w:pPr>
                    <w:framePr w:hSpace="141" w:wrap="around" w:vAnchor="text" w:hAnchor="text" w:xAlign="right" w:y="1"/>
                    <w:numPr>
                      <w:ilvl w:val="0"/>
                      <w:numId w:val="41"/>
                    </w:numPr>
                    <w:spacing w:before="120"/>
                    <w:suppressOverlap/>
                    <w:jc w:val="both"/>
                    <w:rPr>
                      <w:sz w:val="22"/>
                      <w:szCs w:val="22"/>
                    </w:rPr>
                  </w:pPr>
                  <w:r w:rsidRPr="00317ABF">
                    <w:rPr>
                      <w:sz w:val="22"/>
                      <w:szCs w:val="22"/>
                    </w:rPr>
                    <w:t>włączenie warunków wprowadzających zakaz przekazywania praw użytkowania widma radiowego niepodlegającego unijnej lub krajowej procedurze dotyczącej kontroli połączeń lub obwarowujących takie transfery warunkami, gdy istnieje prawdopodobieństwo poważnego zakłócenia konkurencji;</w:t>
                  </w:r>
                </w:p>
              </w:tc>
            </w:tr>
          </w:tbl>
          <w:p w14:paraId="56B73A94" w14:textId="77777777" w:rsidR="001E1112" w:rsidRPr="00317ABF" w:rsidRDefault="001E1112" w:rsidP="00DB3BEC">
            <w:pPr>
              <w:jc w:val="both"/>
              <w:rPr>
                <w:vanish/>
                <w:sz w:val="22"/>
                <w:szCs w:val="22"/>
              </w:rPr>
            </w:pPr>
          </w:p>
          <w:tbl>
            <w:tblPr>
              <w:tblW w:w="5000" w:type="pct"/>
              <w:tblCellSpacing w:w="0" w:type="dxa"/>
              <w:tblLayout w:type="fixed"/>
              <w:tblCellMar>
                <w:left w:w="0" w:type="dxa"/>
                <w:right w:w="0" w:type="dxa"/>
              </w:tblCellMar>
              <w:tblLook w:val="04A0" w:firstRow="1" w:lastRow="0" w:firstColumn="1" w:lastColumn="0" w:noHBand="0" w:noVBand="1"/>
            </w:tblPr>
            <w:tblGrid>
              <w:gridCol w:w="20"/>
              <w:gridCol w:w="4148"/>
            </w:tblGrid>
            <w:tr w:rsidR="001E1112" w:rsidRPr="00317ABF" w14:paraId="6CA74F40" w14:textId="77777777" w:rsidTr="00A462BE">
              <w:trPr>
                <w:tblCellSpacing w:w="0" w:type="dxa"/>
              </w:trPr>
              <w:tc>
                <w:tcPr>
                  <w:tcW w:w="6" w:type="dxa"/>
                  <w:hideMark/>
                </w:tcPr>
                <w:p w14:paraId="04165889" w14:textId="77777777" w:rsidR="001E1112" w:rsidRPr="00317ABF" w:rsidRDefault="001E1112" w:rsidP="00EE0AC3">
                  <w:pPr>
                    <w:framePr w:hSpace="141" w:wrap="around" w:vAnchor="text" w:hAnchor="text" w:xAlign="right" w:y="1"/>
                    <w:spacing w:before="120"/>
                    <w:suppressOverlap/>
                    <w:jc w:val="both"/>
                    <w:rPr>
                      <w:sz w:val="22"/>
                      <w:szCs w:val="22"/>
                    </w:rPr>
                  </w:pPr>
                </w:p>
              </w:tc>
              <w:tc>
                <w:tcPr>
                  <w:tcW w:w="9066" w:type="dxa"/>
                  <w:hideMark/>
                </w:tcPr>
                <w:p w14:paraId="5E74CCA2" w14:textId="77777777" w:rsidR="001E1112" w:rsidRPr="00317ABF" w:rsidRDefault="001E1112" w:rsidP="00EE0AC3">
                  <w:pPr>
                    <w:framePr w:hSpace="141" w:wrap="around" w:vAnchor="text" w:hAnchor="text" w:xAlign="right" w:y="1"/>
                    <w:numPr>
                      <w:ilvl w:val="0"/>
                      <w:numId w:val="41"/>
                    </w:numPr>
                    <w:spacing w:before="120"/>
                    <w:suppressOverlap/>
                    <w:jc w:val="both"/>
                    <w:rPr>
                      <w:sz w:val="22"/>
                      <w:szCs w:val="22"/>
                    </w:rPr>
                  </w:pPr>
                  <w:r w:rsidRPr="00317ABF">
                    <w:rPr>
                      <w:sz w:val="22"/>
                      <w:szCs w:val="22"/>
                    </w:rPr>
                    <w:t>zmiana aktualnych praw zgodnie z niniejszą dyrektywą, jeżeli będzie to niezbędne, aby zaradzić zaistniałym zakłóceniom konkurencji, które wynikają z przekazania lub akumulowania praw użytkowania widma radiowego.</w:t>
                  </w:r>
                </w:p>
              </w:tc>
            </w:tr>
          </w:tbl>
          <w:p w14:paraId="0F6DFB92" w14:textId="77777777" w:rsidR="001E1112" w:rsidRPr="00317ABF" w:rsidRDefault="001E1112" w:rsidP="00DB3BEC">
            <w:pPr>
              <w:jc w:val="both"/>
              <w:rPr>
                <w:sz w:val="22"/>
                <w:szCs w:val="22"/>
              </w:rPr>
            </w:pPr>
            <w:r w:rsidRPr="00317ABF">
              <w:rPr>
                <w:sz w:val="22"/>
                <w:szCs w:val="22"/>
              </w:rPr>
              <w:t>Krajowe organy regulacyjne oraz inne właściwe organy, uwzględniając warunki rynkowe i dostępne wartości odniesienia, opierają swoją decyzję na obiektywnej i perspektywicznej ocenie panujących na rynku warunków konkurencji oraz tego, czy środki te są konieczne, aby utrzymać lub osiągnąć efektywną konkurencję, a także prawdopodobnego wpływu tych środków na dotychczasowe i przyszłe inwestycje uczestników rynku, zwłaszcza inwestycje związane z uruchamianiem sieci. Dokonując tego, uwzględniają one podejście do analizy rynku określone w art. 67 ust. 2.</w:t>
            </w:r>
          </w:p>
        </w:tc>
        <w:tc>
          <w:tcPr>
            <w:tcW w:w="986" w:type="dxa"/>
          </w:tcPr>
          <w:p w14:paraId="012247C8" w14:textId="29C74651" w:rsidR="001E1112" w:rsidRPr="00317ABF" w:rsidRDefault="001E1112" w:rsidP="00DB3BEC">
            <w:pPr>
              <w:jc w:val="both"/>
              <w:rPr>
                <w:sz w:val="22"/>
                <w:szCs w:val="22"/>
              </w:rPr>
            </w:pPr>
            <w:r w:rsidRPr="00317ABF">
              <w:rPr>
                <w:sz w:val="22"/>
                <w:szCs w:val="22"/>
              </w:rPr>
              <w:lastRenderedPageBreak/>
              <w:t>T</w:t>
            </w:r>
          </w:p>
        </w:tc>
        <w:tc>
          <w:tcPr>
            <w:tcW w:w="910" w:type="dxa"/>
          </w:tcPr>
          <w:p w14:paraId="7099B7D1" w14:textId="62864D02" w:rsidR="001E1112" w:rsidRPr="00317ABF" w:rsidRDefault="001E1112" w:rsidP="00DB3BEC">
            <w:pPr>
              <w:pStyle w:val="Tekstpodstawowy"/>
              <w:rPr>
                <w:b/>
                <w:bCs/>
                <w:noProof/>
                <w:sz w:val="22"/>
                <w:szCs w:val="22"/>
              </w:rPr>
            </w:pPr>
            <w:r w:rsidRPr="00317ABF">
              <w:rPr>
                <w:b/>
                <w:bCs/>
                <w:noProof/>
                <w:sz w:val="22"/>
                <w:szCs w:val="22"/>
              </w:rPr>
              <w:t xml:space="preserve">Art. </w:t>
            </w:r>
            <w:r w:rsidR="00331174" w:rsidRPr="00317ABF">
              <w:rPr>
                <w:b/>
                <w:bCs/>
                <w:noProof/>
                <w:sz w:val="22"/>
                <w:szCs w:val="22"/>
              </w:rPr>
              <w:t>98</w:t>
            </w:r>
          </w:p>
        </w:tc>
        <w:tc>
          <w:tcPr>
            <w:tcW w:w="6814" w:type="dxa"/>
            <w:gridSpan w:val="2"/>
          </w:tcPr>
          <w:p w14:paraId="72DABC69" w14:textId="77777777" w:rsidR="00331174" w:rsidRPr="00317ABF" w:rsidRDefault="00331174" w:rsidP="00331174">
            <w:pPr>
              <w:pStyle w:val="ARTartustawynprozporzdzenia"/>
              <w:keepNext/>
              <w:spacing w:before="0" w:line="240" w:lineRule="auto"/>
              <w:rPr>
                <w:rFonts w:ascii="Times New Roman" w:hAnsi="Times New Roman" w:cs="Times New Roman"/>
                <w:sz w:val="22"/>
                <w:szCs w:val="22"/>
              </w:rPr>
            </w:pPr>
            <w:r w:rsidRPr="00317ABF">
              <w:rPr>
                <w:rStyle w:val="Ppogrubienie"/>
                <w:rFonts w:ascii="Times New Roman" w:hAnsi="Times New Roman"/>
                <w:sz w:val="22"/>
                <w:szCs w:val="22"/>
              </w:rPr>
              <w:t>Art. 98.</w:t>
            </w:r>
            <w:r w:rsidRPr="00317ABF">
              <w:rPr>
                <w:rFonts w:ascii="Times New Roman" w:hAnsi="Times New Roman" w:cs="Times New Roman"/>
                <w:sz w:val="22"/>
                <w:szCs w:val="22"/>
              </w:rPr>
              <w:t> Prezes UKE, w celu wspierania równoprawnej i skutecznej konkurencji, w szczególności zapobiegania nadmiernemu skupieniu częstotliwości przez podmiot lub podmioty z grupy kapitałowej, uwzględniając warunki rynkowe, w tym w szczególności oceniając w sposób obiektywny i perspektywiczny warunki konkurencji, a także prawdopodobny wpływ na dotychczasowe i przyszłe inwestycje uczestników rynku, może:</w:t>
            </w:r>
          </w:p>
          <w:p w14:paraId="4C7B07D2" w14:textId="77777777" w:rsidR="00331174" w:rsidRPr="00317ABF" w:rsidRDefault="00331174" w:rsidP="00331174">
            <w:pPr>
              <w:pStyle w:val="PKTpunkt0"/>
              <w:keepNext/>
              <w:spacing w:line="240" w:lineRule="auto"/>
              <w:rPr>
                <w:rFonts w:ascii="Times New Roman" w:hAnsi="Times New Roman" w:cs="Times New Roman"/>
                <w:sz w:val="22"/>
                <w:szCs w:val="22"/>
              </w:rPr>
            </w:pPr>
            <w:r w:rsidRPr="00317ABF">
              <w:rPr>
                <w:rFonts w:ascii="Times New Roman" w:hAnsi="Times New Roman" w:cs="Times New Roman"/>
                <w:sz w:val="22"/>
                <w:szCs w:val="22"/>
              </w:rPr>
              <w:t>1)</w:t>
            </w:r>
            <w:r w:rsidRPr="00317ABF">
              <w:rPr>
                <w:rFonts w:ascii="Times New Roman" w:hAnsi="Times New Roman" w:cs="Times New Roman"/>
                <w:sz w:val="22"/>
                <w:szCs w:val="22"/>
              </w:rPr>
              <w:tab/>
              <w:t>w decyzji w sprawie dokonania rezerwacji lub dokonania rezerwacji na kolejny okres:</w:t>
            </w:r>
          </w:p>
          <w:p w14:paraId="26E7F0E9" w14:textId="77777777" w:rsidR="00331174" w:rsidRPr="00317ABF" w:rsidRDefault="00331174" w:rsidP="00331174">
            <w:pPr>
              <w:pStyle w:val="LITlitera"/>
              <w:spacing w:line="240" w:lineRule="auto"/>
              <w:rPr>
                <w:rFonts w:ascii="Times New Roman" w:hAnsi="Times New Roman" w:cs="Times New Roman"/>
                <w:sz w:val="22"/>
                <w:szCs w:val="22"/>
              </w:rPr>
            </w:pPr>
            <w:r w:rsidRPr="00317ABF">
              <w:rPr>
                <w:rFonts w:ascii="Times New Roman" w:hAnsi="Times New Roman" w:cs="Times New Roman"/>
                <w:sz w:val="22"/>
                <w:szCs w:val="22"/>
              </w:rPr>
              <w:t>a)</w:t>
            </w:r>
            <w:r w:rsidRPr="00317ABF">
              <w:rPr>
                <w:rFonts w:ascii="Times New Roman" w:hAnsi="Times New Roman" w:cs="Times New Roman"/>
                <w:sz w:val="22"/>
                <w:szCs w:val="22"/>
              </w:rPr>
              <w:tab/>
              <w:t>ograniczyć zasoby częstotliwości przyznawane podmiotowi,</w:t>
            </w:r>
          </w:p>
          <w:p w14:paraId="2B11EA85" w14:textId="77777777" w:rsidR="00331174" w:rsidRPr="00317ABF" w:rsidRDefault="00331174" w:rsidP="00331174">
            <w:pPr>
              <w:pStyle w:val="LITlitera"/>
              <w:spacing w:line="240" w:lineRule="auto"/>
              <w:rPr>
                <w:rFonts w:ascii="Times New Roman" w:hAnsi="Times New Roman" w:cs="Times New Roman"/>
                <w:sz w:val="22"/>
                <w:szCs w:val="22"/>
              </w:rPr>
            </w:pPr>
            <w:r w:rsidRPr="00317ABF">
              <w:rPr>
                <w:rFonts w:ascii="Times New Roman" w:hAnsi="Times New Roman" w:cs="Times New Roman"/>
                <w:sz w:val="22"/>
                <w:szCs w:val="22"/>
              </w:rPr>
              <w:t>b)</w:t>
            </w:r>
            <w:r w:rsidRPr="00317ABF">
              <w:rPr>
                <w:rFonts w:ascii="Times New Roman" w:hAnsi="Times New Roman" w:cs="Times New Roman"/>
                <w:sz w:val="22"/>
                <w:szCs w:val="22"/>
              </w:rPr>
              <w:tab/>
              <w:t>nałożyć obowiązki w zakresie zapewnienia dostępu telekomunikacyjnego, w szczególności dostępu do infrastruktury służącej do wykorzystywania częstotliwości objętych dokonaną rezerwacją, w tym na potrzeby roamingu lokalnego, w odniesieniu do danego zasobu częstotliwości lub zasobu o analogicznych właściwościach,</w:t>
            </w:r>
          </w:p>
          <w:p w14:paraId="695EBBEB" w14:textId="77777777" w:rsidR="00331174" w:rsidRPr="00317ABF" w:rsidRDefault="00331174" w:rsidP="00331174">
            <w:pPr>
              <w:pStyle w:val="LITlitera"/>
              <w:spacing w:line="240" w:lineRule="auto"/>
              <w:rPr>
                <w:rFonts w:ascii="Times New Roman" w:hAnsi="Times New Roman" w:cs="Times New Roman"/>
                <w:sz w:val="22"/>
                <w:szCs w:val="22"/>
              </w:rPr>
            </w:pPr>
            <w:r w:rsidRPr="00317ABF">
              <w:rPr>
                <w:rFonts w:ascii="Times New Roman" w:hAnsi="Times New Roman" w:cs="Times New Roman"/>
                <w:sz w:val="22"/>
                <w:szCs w:val="22"/>
              </w:rPr>
              <w:t>c)</w:t>
            </w:r>
            <w:r w:rsidRPr="00317ABF">
              <w:rPr>
                <w:rFonts w:ascii="Times New Roman" w:hAnsi="Times New Roman" w:cs="Times New Roman"/>
                <w:sz w:val="22"/>
                <w:szCs w:val="22"/>
              </w:rPr>
              <w:tab/>
              <w:t>odmówić przyznania całości lub części zasobu objętego wnioskiem jeżeli zachodzi potrzeba przeznaczenia tego zasobu dla nowego podmiotu,</w:t>
            </w:r>
          </w:p>
          <w:p w14:paraId="725C0AC6" w14:textId="77777777" w:rsidR="00331174" w:rsidRPr="00317ABF" w:rsidRDefault="00331174" w:rsidP="00331174">
            <w:pPr>
              <w:pStyle w:val="LITlitera"/>
              <w:spacing w:line="240" w:lineRule="auto"/>
              <w:rPr>
                <w:rFonts w:ascii="Times New Roman" w:hAnsi="Times New Roman" w:cs="Times New Roman"/>
                <w:sz w:val="22"/>
                <w:szCs w:val="22"/>
              </w:rPr>
            </w:pPr>
            <w:r w:rsidRPr="00317ABF">
              <w:rPr>
                <w:rFonts w:ascii="Times New Roman" w:hAnsi="Times New Roman" w:cs="Times New Roman"/>
                <w:sz w:val="22"/>
                <w:szCs w:val="22"/>
              </w:rPr>
              <w:t>d)</w:t>
            </w:r>
            <w:r w:rsidRPr="00317ABF">
              <w:rPr>
                <w:rFonts w:ascii="Times New Roman" w:hAnsi="Times New Roman" w:cs="Times New Roman"/>
                <w:sz w:val="22"/>
                <w:szCs w:val="22"/>
              </w:rPr>
              <w:tab/>
              <w:t>odmówić dokonania rezerwacji częstotliwości,</w:t>
            </w:r>
          </w:p>
          <w:p w14:paraId="5016370E" w14:textId="77777777" w:rsidR="00331174" w:rsidRPr="00317ABF" w:rsidRDefault="00331174" w:rsidP="00331174">
            <w:pPr>
              <w:pStyle w:val="LITlitera"/>
              <w:spacing w:line="240" w:lineRule="auto"/>
              <w:rPr>
                <w:rFonts w:ascii="Times New Roman" w:hAnsi="Times New Roman" w:cs="Times New Roman"/>
                <w:sz w:val="22"/>
                <w:szCs w:val="22"/>
              </w:rPr>
            </w:pPr>
            <w:r w:rsidRPr="00317ABF">
              <w:rPr>
                <w:rFonts w:ascii="Times New Roman" w:hAnsi="Times New Roman" w:cs="Times New Roman"/>
                <w:sz w:val="22"/>
                <w:szCs w:val="22"/>
              </w:rPr>
              <w:t>e)</w:t>
            </w:r>
            <w:r w:rsidRPr="00317ABF">
              <w:rPr>
                <w:rFonts w:ascii="Times New Roman" w:hAnsi="Times New Roman" w:cs="Times New Roman"/>
                <w:sz w:val="22"/>
                <w:szCs w:val="22"/>
              </w:rPr>
              <w:tab/>
              <w:t>zakazać lub określić warunki zmiany podmiotu dysponującego rezerwacją częstotliwości lub wydzierżawienia lub przekazania do użytkowania częstotliwości objętych rezerwacją, gdy istnieje prawdopodobieństwo poważnego zakłócenia konkurencji;</w:t>
            </w:r>
          </w:p>
          <w:p w14:paraId="7F4AE7ED" w14:textId="77777777" w:rsidR="00331174" w:rsidRPr="00317ABF" w:rsidRDefault="00331174" w:rsidP="00331174">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2)</w:t>
            </w:r>
            <w:r w:rsidRPr="00317ABF">
              <w:rPr>
                <w:rFonts w:ascii="Times New Roman" w:hAnsi="Times New Roman" w:cs="Times New Roman"/>
                <w:sz w:val="22"/>
                <w:szCs w:val="22"/>
              </w:rPr>
              <w:tab/>
              <w:t>odmówić, w drodze decyzji, zmiany rezerwacji częstotliwości, która prowadzi do zmiany sposobu wykorzystywania zasobu częstotliwości;</w:t>
            </w:r>
          </w:p>
          <w:p w14:paraId="77B0791D" w14:textId="77777777" w:rsidR="00331174" w:rsidRPr="00317ABF" w:rsidRDefault="00331174" w:rsidP="00331174">
            <w:pPr>
              <w:jc w:val="both"/>
              <w:rPr>
                <w:sz w:val="22"/>
                <w:szCs w:val="22"/>
              </w:rPr>
            </w:pPr>
            <w:r w:rsidRPr="00317ABF">
              <w:rPr>
                <w:sz w:val="22"/>
                <w:szCs w:val="22"/>
              </w:rPr>
              <w:t>3) w decyzji w sprawie zmiany rezerwacji częstotliwości:</w:t>
            </w:r>
          </w:p>
          <w:p w14:paraId="48233DDA" w14:textId="77777777" w:rsidR="00331174" w:rsidRPr="00317ABF" w:rsidRDefault="00331174" w:rsidP="00331174">
            <w:pPr>
              <w:pStyle w:val="LITlitera"/>
              <w:spacing w:line="240" w:lineRule="auto"/>
              <w:rPr>
                <w:rFonts w:ascii="Times New Roman" w:hAnsi="Times New Roman" w:cs="Times New Roman"/>
                <w:sz w:val="22"/>
                <w:szCs w:val="22"/>
              </w:rPr>
            </w:pPr>
            <w:r w:rsidRPr="00317ABF">
              <w:rPr>
                <w:rFonts w:ascii="Times New Roman" w:hAnsi="Times New Roman" w:cs="Times New Roman"/>
                <w:sz w:val="22"/>
                <w:szCs w:val="22"/>
              </w:rPr>
              <w:t>a) nałożyć obowiązki w zakresie zapewnienia dostępu telekomunikacyjnego, w szczególności dostępu do infrastruktury służącej do wykorzystywania częstotliwości objętych dokonaną rezerwacją, w tym na potrzeby roamingu lokalnego, w odniesieniu do danego zasobu częstotliwości lub zasobu o analogicznych właściwościach,</w:t>
            </w:r>
          </w:p>
          <w:p w14:paraId="72241D2F" w14:textId="0B08B8D4" w:rsidR="001E1112" w:rsidRPr="00317ABF" w:rsidRDefault="00331174" w:rsidP="00DB3BEC">
            <w:pPr>
              <w:jc w:val="both"/>
              <w:rPr>
                <w:sz w:val="22"/>
                <w:szCs w:val="22"/>
              </w:rPr>
            </w:pPr>
            <w:r w:rsidRPr="00317ABF">
              <w:rPr>
                <w:sz w:val="22"/>
                <w:szCs w:val="22"/>
              </w:rPr>
              <w:t>b) zakazać lub określić warunki zmiany podmiotu dysponującego rezerwacją częstotliwości lub wydzierżawienia lub przekazania do użytkowania częstotliwości objętych rezerwacją, gdy istnieje prawdopodobieństwo poważnego zakłócenia konkurencji.</w:t>
            </w:r>
          </w:p>
        </w:tc>
      </w:tr>
      <w:tr w:rsidR="001E1112" w:rsidRPr="00317ABF" w14:paraId="2C35442D" w14:textId="77777777" w:rsidTr="7753F98D">
        <w:trPr>
          <w:gridAfter w:val="2"/>
          <w:wAfter w:w="175" w:type="dxa"/>
        </w:trPr>
        <w:tc>
          <w:tcPr>
            <w:tcW w:w="704" w:type="dxa"/>
          </w:tcPr>
          <w:p w14:paraId="7B98CB58" w14:textId="77777777" w:rsidR="001E1112" w:rsidRPr="00317ABF" w:rsidRDefault="001E1112" w:rsidP="00DB3BEC">
            <w:pPr>
              <w:jc w:val="both"/>
              <w:rPr>
                <w:sz w:val="22"/>
                <w:szCs w:val="22"/>
              </w:rPr>
            </w:pPr>
            <w:r w:rsidRPr="00317ABF">
              <w:rPr>
                <w:sz w:val="22"/>
                <w:szCs w:val="22"/>
              </w:rPr>
              <w:lastRenderedPageBreak/>
              <w:t>Art. 52 ust. 3</w:t>
            </w:r>
          </w:p>
        </w:tc>
        <w:tc>
          <w:tcPr>
            <w:tcW w:w="4308" w:type="dxa"/>
          </w:tcPr>
          <w:p w14:paraId="01AE18DA" w14:textId="77777777" w:rsidR="001E1112" w:rsidRPr="00317ABF" w:rsidRDefault="001E1112" w:rsidP="00DB3BEC">
            <w:pPr>
              <w:spacing w:before="120"/>
              <w:jc w:val="both"/>
              <w:rPr>
                <w:sz w:val="22"/>
                <w:szCs w:val="22"/>
              </w:rPr>
            </w:pPr>
            <w:r w:rsidRPr="00317ABF">
              <w:rPr>
                <w:sz w:val="22"/>
                <w:szCs w:val="22"/>
              </w:rPr>
              <w:t>3.   Stosując przepisy ust. 2 niniejszego artykułu, krajowe organy regulacyjne lub inne właściwe organy postępują zgodnie z procedurami przewidzianymi w art. 18, 19, 23 i 35.</w:t>
            </w:r>
          </w:p>
        </w:tc>
        <w:tc>
          <w:tcPr>
            <w:tcW w:w="986" w:type="dxa"/>
          </w:tcPr>
          <w:p w14:paraId="5EEAC298" w14:textId="21373888" w:rsidR="001E1112" w:rsidRPr="00317ABF" w:rsidRDefault="001E1112" w:rsidP="00DB3BEC">
            <w:pPr>
              <w:jc w:val="both"/>
              <w:rPr>
                <w:sz w:val="22"/>
                <w:szCs w:val="22"/>
              </w:rPr>
            </w:pPr>
            <w:r w:rsidRPr="00317ABF">
              <w:rPr>
                <w:sz w:val="22"/>
                <w:szCs w:val="22"/>
              </w:rPr>
              <w:t>N</w:t>
            </w:r>
          </w:p>
        </w:tc>
        <w:tc>
          <w:tcPr>
            <w:tcW w:w="910" w:type="dxa"/>
          </w:tcPr>
          <w:p w14:paraId="38D1B4C6" w14:textId="00668E5A" w:rsidR="001E1112" w:rsidRPr="00317ABF" w:rsidRDefault="001E1112" w:rsidP="00DB3BEC">
            <w:pPr>
              <w:pStyle w:val="Tekstpodstawowy"/>
              <w:rPr>
                <w:b/>
                <w:bCs/>
                <w:noProof/>
                <w:sz w:val="22"/>
                <w:szCs w:val="22"/>
              </w:rPr>
            </w:pPr>
            <w:r w:rsidRPr="00317ABF">
              <w:rPr>
                <w:b/>
                <w:bCs/>
                <w:noProof/>
                <w:sz w:val="22"/>
                <w:szCs w:val="22"/>
              </w:rPr>
              <w:t>Przepisy stosuje się na zasadach ogólnych</w:t>
            </w:r>
          </w:p>
        </w:tc>
        <w:tc>
          <w:tcPr>
            <w:tcW w:w="6814" w:type="dxa"/>
            <w:gridSpan w:val="2"/>
          </w:tcPr>
          <w:p w14:paraId="16348AF1" w14:textId="77777777" w:rsidR="001E1112" w:rsidRPr="00317ABF" w:rsidRDefault="001E1112" w:rsidP="00DB3BEC">
            <w:pPr>
              <w:pStyle w:val="Tekstpodstawowy"/>
              <w:rPr>
                <w:sz w:val="22"/>
                <w:szCs w:val="22"/>
              </w:rPr>
            </w:pPr>
          </w:p>
        </w:tc>
      </w:tr>
      <w:tr w:rsidR="001E1112" w:rsidRPr="00317ABF" w14:paraId="33C2E10C" w14:textId="77777777" w:rsidTr="7753F98D">
        <w:trPr>
          <w:gridAfter w:val="2"/>
          <w:wAfter w:w="175" w:type="dxa"/>
        </w:trPr>
        <w:tc>
          <w:tcPr>
            <w:tcW w:w="704" w:type="dxa"/>
          </w:tcPr>
          <w:p w14:paraId="57D618EC" w14:textId="77777777" w:rsidR="001E1112" w:rsidRPr="00317ABF" w:rsidRDefault="001E1112" w:rsidP="00DB3BEC">
            <w:pPr>
              <w:jc w:val="both"/>
              <w:rPr>
                <w:b/>
                <w:sz w:val="22"/>
                <w:szCs w:val="22"/>
              </w:rPr>
            </w:pPr>
            <w:r w:rsidRPr="00317ABF">
              <w:rPr>
                <w:b/>
                <w:sz w:val="22"/>
                <w:szCs w:val="22"/>
              </w:rPr>
              <w:t>Art. 53</w:t>
            </w:r>
          </w:p>
        </w:tc>
        <w:tc>
          <w:tcPr>
            <w:tcW w:w="4308" w:type="dxa"/>
          </w:tcPr>
          <w:p w14:paraId="750C87C4" w14:textId="77777777" w:rsidR="001E1112" w:rsidRPr="00317ABF" w:rsidRDefault="001E1112" w:rsidP="00DB3BEC">
            <w:pPr>
              <w:spacing w:before="120"/>
              <w:jc w:val="both"/>
              <w:rPr>
                <w:sz w:val="22"/>
                <w:szCs w:val="22"/>
              </w:rPr>
            </w:pPr>
            <w:r w:rsidRPr="00317ABF">
              <w:rPr>
                <w:b/>
                <w:bCs/>
                <w:sz w:val="22"/>
                <w:szCs w:val="22"/>
              </w:rPr>
              <w:t>Skoordynowany termin przyznawania praw</w:t>
            </w:r>
          </w:p>
        </w:tc>
        <w:tc>
          <w:tcPr>
            <w:tcW w:w="986" w:type="dxa"/>
          </w:tcPr>
          <w:p w14:paraId="723390F6" w14:textId="77777777" w:rsidR="001E1112" w:rsidRPr="00317ABF" w:rsidRDefault="001E1112" w:rsidP="00DB3BEC">
            <w:pPr>
              <w:jc w:val="both"/>
              <w:rPr>
                <w:sz w:val="22"/>
                <w:szCs w:val="22"/>
              </w:rPr>
            </w:pPr>
          </w:p>
        </w:tc>
        <w:tc>
          <w:tcPr>
            <w:tcW w:w="910" w:type="dxa"/>
          </w:tcPr>
          <w:p w14:paraId="7E1D9252" w14:textId="77777777" w:rsidR="001E1112" w:rsidRPr="00317ABF" w:rsidRDefault="001E1112" w:rsidP="00DB3BEC">
            <w:pPr>
              <w:pStyle w:val="Tekstpodstawowy"/>
              <w:rPr>
                <w:b/>
                <w:noProof/>
                <w:sz w:val="22"/>
                <w:szCs w:val="22"/>
              </w:rPr>
            </w:pPr>
          </w:p>
        </w:tc>
        <w:tc>
          <w:tcPr>
            <w:tcW w:w="6814" w:type="dxa"/>
            <w:gridSpan w:val="2"/>
          </w:tcPr>
          <w:p w14:paraId="039F5909" w14:textId="77777777" w:rsidR="001E1112" w:rsidRPr="00317ABF" w:rsidRDefault="001E1112" w:rsidP="00DB3BEC">
            <w:pPr>
              <w:pStyle w:val="Tekstpodstawowy"/>
              <w:rPr>
                <w:sz w:val="22"/>
                <w:szCs w:val="22"/>
              </w:rPr>
            </w:pPr>
          </w:p>
        </w:tc>
      </w:tr>
      <w:tr w:rsidR="001E1112" w:rsidRPr="00317ABF" w14:paraId="617ABE9B" w14:textId="77777777" w:rsidTr="7753F98D">
        <w:trPr>
          <w:gridAfter w:val="2"/>
          <w:wAfter w:w="175" w:type="dxa"/>
        </w:trPr>
        <w:tc>
          <w:tcPr>
            <w:tcW w:w="704" w:type="dxa"/>
          </w:tcPr>
          <w:p w14:paraId="1E013C44" w14:textId="77777777" w:rsidR="001E1112" w:rsidRPr="00317ABF" w:rsidRDefault="001E1112" w:rsidP="00DB3BEC">
            <w:pPr>
              <w:jc w:val="both"/>
              <w:rPr>
                <w:sz w:val="22"/>
                <w:szCs w:val="22"/>
              </w:rPr>
            </w:pPr>
            <w:r w:rsidRPr="00317ABF">
              <w:rPr>
                <w:sz w:val="22"/>
                <w:szCs w:val="22"/>
              </w:rPr>
              <w:t>Art. 53 ust. 1</w:t>
            </w:r>
          </w:p>
        </w:tc>
        <w:tc>
          <w:tcPr>
            <w:tcW w:w="4308" w:type="dxa"/>
          </w:tcPr>
          <w:p w14:paraId="1558BCFD" w14:textId="77777777" w:rsidR="001E1112" w:rsidRPr="00317ABF" w:rsidRDefault="001E1112" w:rsidP="00DB3BEC">
            <w:pPr>
              <w:spacing w:before="120"/>
              <w:jc w:val="both"/>
              <w:rPr>
                <w:sz w:val="22"/>
                <w:szCs w:val="22"/>
              </w:rPr>
            </w:pPr>
            <w:r w:rsidRPr="00317ABF">
              <w:rPr>
                <w:sz w:val="22"/>
                <w:szCs w:val="22"/>
              </w:rPr>
              <w:t>1.   Państwa członkowskie współpracują w celu koordynacji wykorzystania zharmonizowanego widma radiowego do celów sieci i usługi łączności elektronicznej w Unii, należycie uwzględniając zróżnicowane sytuacje panujące na rynkach poszczególnych państw członkowskich. Może to obejmować określenie jednego wspólnego maksymalnego terminu lub, w stosownych przypadkach, kilku wspólnych terminów, przed upływem których należy zezwolić na wykorzystanie konkretnego zharmonizowanego widma radiowego.</w:t>
            </w:r>
          </w:p>
        </w:tc>
        <w:tc>
          <w:tcPr>
            <w:tcW w:w="986" w:type="dxa"/>
          </w:tcPr>
          <w:p w14:paraId="755B44F5" w14:textId="05A3F038" w:rsidR="001E1112" w:rsidRPr="00317ABF" w:rsidRDefault="001E1112" w:rsidP="00DB3BEC">
            <w:pPr>
              <w:jc w:val="both"/>
              <w:rPr>
                <w:sz w:val="22"/>
                <w:szCs w:val="22"/>
              </w:rPr>
            </w:pPr>
            <w:r w:rsidRPr="00317ABF">
              <w:rPr>
                <w:sz w:val="22"/>
                <w:szCs w:val="22"/>
              </w:rPr>
              <w:t>N</w:t>
            </w:r>
          </w:p>
        </w:tc>
        <w:tc>
          <w:tcPr>
            <w:tcW w:w="910" w:type="dxa"/>
          </w:tcPr>
          <w:p w14:paraId="46009881" w14:textId="51E36987" w:rsidR="001E1112" w:rsidRPr="00317ABF" w:rsidRDefault="001E1112" w:rsidP="00DB3BEC">
            <w:pPr>
              <w:pStyle w:val="Tekstpodstawowy"/>
              <w:rPr>
                <w:b/>
                <w:bCs/>
                <w:noProof/>
                <w:sz w:val="22"/>
                <w:szCs w:val="22"/>
              </w:rPr>
            </w:pPr>
            <w:r w:rsidRPr="00317ABF">
              <w:rPr>
                <w:b/>
                <w:bCs/>
                <w:noProof/>
                <w:sz w:val="22"/>
                <w:szCs w:val="22"/>
              </w:rPr>
              <w:t xml:space="preserve">Art. </w:t>
            </w:r>
            <w:r w:rsidR="00331174" w:rsidRPr="00317ABF">
              <w:rPr>
                <w:b/>
                <w:bCs/>
                <w:noProof/>
                <w:sz w:val="22"/>
                <w:szCs w:val="22"/>
              </w:rPr>
              <w:t>414</w:t>
            </w:r>
            <w:r w:rsidRPr="00317ABF">
              <w:rPr>
                <w:b/>
                <w:bCs/>
                <w:noProof/>
                <w:sz w:val="22"/>
                <w:szCs w:val="22"/>
              </w:rPr>
              <w:t xml:space="preserve"> ust. 1 pkt </w:t>
            </w:r>
            <w:r w:rsidR="00331174" w:rsidRPr="00317ABF">
              <w:rPr>
                <w:b/>
                <w:bCs/>
                <w:noProof/>
                <w:sz w:val="22"/>
                <w:szCs w:val="22"/>
              </w:rPr>
              <w:t>18</w:t>
            </w:r>
          </w:p>
        </w:tc>
        <w:tc>
          <w:tcPr>
            <w:tcW w:w="6814" w:type="dxa"/>
            <w:gridSpan w:val="2"/>
          </w:tcPr>
          <w:p w14:paraId="56F276C6" w14:textId="11F4C202" w:rsidR="001E1112" w:rsidRPr="00317ABF" w:rsidRDefault="00331174" w:rsidP="00DB3BEC">
            <w:pPr>
              <w:ind w:left="510" w:hanging="510"/>
              <w:jc w:val="both"/>
              <w:rPr>
                <w:sz w:val="22"/>
                <w:szCs w:val="22"/>
              </w:rPr>
            </w:pPr>
            <w:r w:rsidRPr="00317ABF">
              <w:rPr>
                <w:rFonts w:eastAsia="Times"/>
                <w:sz w:val="22"/>
                <w:szCs w:val="22"/>
              </w:rPr>
              <w:t>18</w:t>
            </w:r>
            <w:r w:rsidR="001E1112" w:rsidRPr="00317ABF">
              <w:rPr>
                <w:rFonts w:eastAsia="Times"/>
                <w:sz w:val="22"/>
                <w:szCs w:val="22"/>
              </w:rPr>
              <w:t>)   prowadzenie transgranicznych koordynacji częstotliwości z innymi państwami, w tym zawieranie niezbędnych umów lub porozumień, w sposób i w terminach pozwalających na realizację zobowiązań wynikających z wiążących Rzeczpospolitą Polską umów międzynarodowych lub aktów prawnych Unii Europejskiej, dotyczących gospodarowania częstotliwościami;</w:t>
            </w:r>
          </w:p>
          <w:p w14:paraId="58957790" w14:textId="5F8CF0B2" w:rsidR="001E1112" w:rsidRPr="00317ABF" w:rsidRDefault="001E1112" w:rsidP="00DB3BEC">
            <w:pPr>
              <w:jc w:val="both"/>
              <w:rPr>
                <w:sz w:val="22"/>
                <w:szCs w:val="22"/>
              </w:rPr>
            </w:pPr>
          </w:p>
        </w:tc>
      </w:tr>
      <w:tr w:rsidR="001E1112" w:rsidRPr="00317ABF" w14:paraId="423EC28A" w14:textId="77777777" w:rsidTr="7753F98D">
        <w:trPr>
          <w:gridAfter w:val="2"/>
          <w:wAfter w:w="175" w:type="dxa"/>
        </w:trPr>
        <w:tc>
          <w:tcPr>
            <w:tcW w:w="704" w:type="dxa"/>
          </w:tcPr>
          <w:p w14:paraId="18581E3F" w14:textId="77777777" w:rsidR="001E1112" w:rsidRPr="00317ABF" w:rsidRDefault="001E1112" w:rsidP="00DB3BEC">
            <w:pPr>
              <w:jc w:val="both"/>
              <w:rPr>
                <w:sz w:val="22"/>
                <w:szCs w:val="22"/>
              </w:rPr>
            </w:pPr>
            <w:r w:rsidRPr="00317ABF">
              <w:rPr>
                <w:sz w:val="22"/>
                <w:szCs w:val="22"/>
              </w:rPr>
              <w:t>Art. 53 ust. 2</w:t>
            </w:r>
          </w:p>
        </w:tc>
        <w:tc>
          <w:tcPr>
            <w:tcW w:w="4308" w:type="dxa"/>
          </w:tcPr>
          <w:p w14:paraId="2FFDBB63" w14:textId="77777777" w:rsidR="001E1112" w:rsidRPr="00317ABF" w:rsidRDefault="001E1112" w:rsidP="00DB3BEC">
            <w:pPr>
              <w:spacing w:before="120"/>
              <w:jc w:val="both"/>
              <w:rPr>
                <w:sz w:val="22"/>
                <w:szCs w:val="22"/>
              </w:rPr>
            </w:pPr>
            <w:r w:rsidRPr="00317ABF">
              <w:rPr>
                <w:sz w:val="22"/>
                <w:szCs w:val="22"/>
              </w:rPr>
              <w:t xml:space="preserve">2.   W przypadku, gdy ustanowiono zharmonizowane warunki w drodze technicznych środków wykonawczych zgodnie z decyzją nr 676/2002/WE w celu umożliwienia wykorzystania widma radiowego do celów sieci i usług bezprzewodowej szerokopasmowej łączności, państwa członkowskie umożliwiają użytkowanie takiego widma radiowego możliwie jak najszybciej i najpóźniej 30 miesięcy po przyjęciu tego środka lub możliwie jak najszybciej po uchyleniu jakiejkolwiek decyzji umożliwiającej alternatywne użytkowanie w drodze wyjątku na podstawie art. 45 ust. 3 niniejszej dyrektywy. Nie narusza to decyzji (UE) 2017/899 oraz prawa </w:t>
            </w:r>
            <w:r w:rsidRPr="00317ABF">
              <w:rPr>
                <w:sz w:val="22"/>
                <w:szCs w:val="22"/>
              </w:rPr>
              <w:lastRenderedPageBreak/>
              <w:t>inicjatywy Komisji do proponowania aktów ustawodawczych.</w:t>
            </w:r>
          </w:p>
        </w:tc>
        <w:tc>
          <w:tcPr>
            <w:tcW w:w="986" w:type="dxa"/>
          </w:tcPr>
          <w:p w14:paraId="0947E076" w14:textId="60436F83" w:rsidR="001E1112" w:rsidRPr="00317ABF" w:rsidRDefault="001E1112" w:rsidP="00DB3BEC">
            <w:pPr>
              <w:jc w:val="both"/>
              <w:rPr>
                <w:sz w:val="22"/>
                <w:szCs w:val="22"/>
              </w:rPr>
            </w:pPr>
            <w:r w:rsidRPr="00317ABF">
              <w:rPr>
                <w:sz w:val="22"/>
                <w:szCs w:val="22"/>
              </w:rPr>
              <w:lastRenderedPageBreak/>
              <w:t>T</w:t>
            </w:r>
          </w:p>
        </w:tc>
        <w:tc>
          <w:tcPr>
            <w:tcW w:w="910" w:type="dxa"/>
          </w:tcPr>
          <w:p w14:paraId="27DF38AA" w14:textId="6D374078" w:rsidR="001E1112" w:rsidRPr="00317ABF" w:rsidRDefault="00DB3BEC" w:rsidP="00DB3BEC">
            <w:pPr>
              <w:pStyle w:val="Tekstpodstawowy"/>
              <w:rPr>
                <w:b/>
                <w:bCs/>
                <w:noProof/>
                <w:sz w:val="22"/>
                <w:szCs w:val="22"/>
              </w:rPr>
            </w:pPr>
            <w:r w:rsidRPr="00317ABF">
              <w:rPr>
                <w:b/>
                <w:bCs/>
                <w:noProof/>
                <w:sz w:val="22"/>
                <w:szCs w:val="22"/>
              </w:rPr>
              <w:t xml:space="preserve">Art. </w:t>
            </w:r>
            <w:r w:rsidR="00331174" w:rsidRPr="00317ABF">
              <w:rPr>
                <w:b/>
                <w:bCs/>
                <w:noProof/>
                <w:sz w:val="22"/>
                <w:szCs w:val="22"/>
              </w:rPr>
              <w:t>62</w:t>
            </w:r>
            <w:r w:rsidR="001E1112" w:rsidRPr="00317ABF">
              <w:rPr>
                <w:b/>
                <w:bCs/>
                <w:noProof/>
                <w:sz w:val="22"/>
                <w:szCs w:val="22"/>
              </w:rPr>
              <w:t xml:space="preserve"> ust. 3 pkt 3, ust. 4</w:t>
            </w:r>
          </w:p>
          <w:p w14:paraId="4DD11262" w14:textId="34BF6AA0" w:rsidR="001E1112" w:rsidRPr="00317ABF" w:rsidRDefault="001E1112" w:rsidP="00DB3BEC">
            <w:pPr>
              <w:pStyle w:val="Tekstpodstawowy"/>
              <w:rPr>
                <w:b/>
                <w:bCs/>
                <w:noProof/>
                <w:sz w:val="22"/>
                <w:szCs w:val="22"/>
              </w:rPr>
            </w:pPr>
          </w:p>
          <w:p w14:paraId="72D55F2D" w14:textId="55265E8B" w:rsidR="001E1112" w:rsidRPr="00317ABF" w:rsidRDefault="001E1112" w:rsidP="00DB3BEC">
            <w:pPr>
              <w:pStyle w:val="Tekstpodstawowy"/>
              <w:rPr>
                <w:b/>
                <w:bCs/>
                <w:noProof/>
                <w:sz w:val="22"/>
                <w:szCs w:val="22"/>
              </w:rPr>
            </w:pPr>
          </w:p>
          <w:p w14:paraId="4629FE0F" w14:textId="707C1CFB" w:rsidR="001E1112" w:rsidRPr="00317ABF" w:rsidRDefault="001E1112" w:rsidP="00DB3BEC">
            <w:pPr>
              <w:pStyle w:val="Tekstpodstawowy"/>
              <w:rPr>
                <w:b/>
                <w:bCs/>
                <w:noProof/>
                <w:sz w:val="22"/>
                <w:szCs w:val="22"/>
              </w:rPr>
            </w:pPr>
          </w:p>
          <w:p w14:paraId="4A1456C9" w14:textId="77777777" w:rsidR="001E1112" w:rsidRPr="00317ABF" w:rsidRDefault="001E1112" w:rsidP="00DB3BEC">
            <w:pPr>
              <w:pStyle w:val="Tekstpodstawowy"/>
              <w:rPr>
                <w:b/>
                <w:bCs/>
                <w:noProof/>
                <w:sz w:val="22"/>
                <w:szCs w:val="22"/>
              </w:rPr>
            </w:pPr>
          </w:p>
          <w:p w14:paraId="4245AC44" w14:textId="77777777" w:rsidR="001E1112" w:rsidRPr="00317ABF" w:rsidRDefault="001E1112" w:rsidP="00DB3BEC">
            <w:pPr>
              <w:pStyle w:val="Tekstpodstawowy"/>
              <w:rPr>
                <w:b/>
                <w:bCs/>
                <w:noProof/>
                <w:sz w:val="22"/>
                <w:szCs w:val="22"/>
              </w:rPr>
            </w:pPr>
          </w:p>
          <w:p w14:paraId="3D48B699" w14:textId="77777777" w:rsidR="001E1112" w:rsidRPr="00317ABF" w:rsidRDefault="001E1112" w:rsidP="00DB3BEC">
            <w:pPr>
              <w:pStyle w:val="Tekstpodstawowy"/>
              <w:rPr>
                <w:b/>
                <w:bCs/>
                <w:noProof/>
                <w:sz w:val="22"/>
                <w:szCs w:val="22"/>
              </w:rPr>
            </w:pPr>
          </w:p>
          <w:p w14:paraId="2991E293" w14:textId="77777777" w:rsidR="001E1112" w:rsidRPr="00317ABF" w:rsidRDefault="001E1112" w:rsidP="00DB3BEC">
            <w:pPr>
              <w:pStyle w:val="Tekstpodstawowy"/>
              <w:rPr>
                <w:b/>
                <w:bCs/>
                <w:noProof/>
                <w:sz w:val="22"/>
                <w:szCs w:val="22"/>
              </w:rPr>
            </w:pPr>
          </w:p>
          <w:p w14:paraId="5CADF6D2" w14:textId="77777777" w:rsidR="001E1112" w:rsidRPr="00317ABF" w:rsidRDefault="001E1112" w:rsidP="00DB3BEC">
            <w:pPr>
              <w:pStyle w:val="Tekstpodstawowy"/>
              <w:rPr>
                <w:b/>
                <w:bCs/>
                <w:noProof/>
                <w:sz w:val="22"/>
                <w:szCs w:val="22"/>
              </w:rPr>
            </w:pPr>
          </w:p>
          <w:p w14:paraId="18E2B2D4" w14:textId="77777777" w:rsidR="001E1112" w:rsidRPr="00317ABF" w:rsidRDefault="001E1112" w:rsidP="00DB3BEC">
            <w:pPr>
              <w:pStyle w:val="Tekstpodstawowy"/>
              <w:rPr>
                <w:b/>
                <w:bCs/>
                <w:noProof/>
                <w:sz w:val="22"/>
                <w:szCs w:val="22"/>
              </w:rPr>
            </w:pPr>
          </w:p>
          <w:p w14:paraId="4BF32F01" w14:textId="77777777" w:rsidR="001E1112" w:rsidRPr="00317ABF" w:rsidRDefault="001E1112" w:rsidP="00DB3BEC">
            <w:pPr>
              <w:pStyle w:val="Tekstpodstawowy"/>
              <w:rPr>
                <w:b/>
                <w:bCs/>
                <w:noProof/>
                <w:sz w:val="22"/>
                <w:szCs w:val="22"/>
              </w:rPr>
            </w:pPr>
          </w:p>
          <w:p w14:paraId="4B5F17D9" w14:textId="77777777" w:rsidR="001E1112" w:rsidRPr="00317ABF" w:rsidRDefault="001E1112" w:rsidP="00DB3BEC">
            <w:pPr>
              <w:pStyle w:val="Tekstpodstawowy"/>
              <w:rPr>
                <w:b/>
                <w:bCs/>
                <w:noProof/>
                <w:sz w:val="22"/>
                <w:szCs w:val="22"/>
              </w:rPr>
            </w:pPr>
          </w:p>
          <w:p w14:paraId="1A22BB8C" w14:textId="77777777" w:rsidR="001E1112" w:rsidRPr="00317ABF" w:rsidRDefault="001E1112" w:rsidP="00DB3BEC">
            <w:pPr>
              <w:pStyle w:val="Tekstpodstawowy"/>
              <w:rPr>
                <w:b/>
                <w:bCs/>
                <w:noProof/>
                <w:sz w:val="22"/>
                <w:szCs w:val="22"/>
              </w:rPr>
            </w:pPr>
          </w:p>
          <w:p w14:paraId="18B53CB2" w14:textId="77777777" w:rsidR="00331174" w:rsidRPr="00317ABF" w:rsidRDefault="00331174" w:rsidP="00DB3BEC">
            <w:pPr>
              <w:pStyle w:val="Tekstpodstawowy"/>
              <w:rPr>
                <w:b/>
                <w:bCs/>
                <w:noProof/>
                <w:sz w:val="22"/>
                <w:szCs w:val="22"/>
              </w:rPr>
            </w:pPr>
          </w:p>
          <w:p w14:paraId="2A640445" w14:textId="7BE638B9" w:rsidR="001E1112" w:rsidRPr="00317ABF" w:rsidRDefault="001E1112" w:rsidP="00DB3BEC">
            <w:pPr>
              <w:pStyle w:val="Tekstpodstawowy"/>
              <w:rPr>
                <w:b/>
                <w:bCs/>
                <w:noProof/>
                <w:sz w:val="22"/>
                <w:szCs w:val="22"/>
              </w:rPr>
            </w:pPr>
            <w:r w:rsidRPr="00317ABF">
              <w:rPr>
                <w:b/>
                <w:bCs/>
                <w:noProof/>
                <w:sz w:val="22"/>
                <w:szCs w:val="22"/>
              </w:rPr>
              <w:t xml:space="preserve">Art. </w:t>
            </w:r>
            <w:r w:rsidR="00331174" w:rsidRPr="00317ABF">
              <w:rPr>
                <w:b/>
                <w:bCs/>
                <w:noProof/>
                <w:sz w:val="22"/>
                <w:szCs w:val="22"/>
              </w:rPr>
              <w:t>64</w:t>
            </w:r>
            <w:r w:rsidRPr="00317ABF">
              <w:rPr>
                <w:b/>
                <w:bCs/>
                <w:noProof/>
                <w:sz w:val="22"/>
                <w:szCs w:val="22"/>
              </w:rPr>
              <w:t xml:space="preserve"> ust. 1</w:t>
            </w:r>
          </w:p>
        </w:tc>
        <w:tc>
          <w:tcPr>
            <w:tcW w:w="6814" w:type="dxa"/>
            <w:gridSpan w:val="2"/>
          </w:tcPr>
          <w:p w14:paraId="72410826" w14:textId="09D3CA8A" w:rsidR="001E1112" w:rsidRPr="00317ABF" w:rsidRDefault="001E1112" w:rsidP="00DB3BEC">
            <w:pPr>
              <w:jc w:val="both"/>
              <w:rPr>
                <w:sz w:val="22"/>
                <w:szCs w:val="22"/>
              </w:rPr>
            </w:pPr>
            <w:r w:rsidRPr="00317ABF">
              <w:rPr>
                <w:sz w:val="22"/>
                <w:szCs w:val="22"/>
              </w:rPr>
              <w:lastRenderedPageBreak/>
              <w:t>3. Rada Ministrów określi, w drodze rozporządzenia, Krajową Tablicę Przeznaczeń Częstotliwości, realizując politykę państwa w zakresie gospodarki zasobami częstotliwości, spełniania wymagań dotyczących kompatybilności elektromagnetycznej oraz telekomunikacji, z uwzględnieniem:</w:t>
            </w:r>
          </w:p>
          <w:p w14:paraId="5D4F827E" w14:textId="337E2C6F" w:rsidR="001E1112" w:rsidRPr="00317ABF" w:rsidRDefault="001E1112" w:rsidP="00DB3BEC">
            <w:pPr>
              <w:ind w:left="510" w:hanging="510"/>
              <w:jc w:val="both"/>
              <w:rPr>
                <w:sz w:val="22"/>
                <w:szCs w:val="22"/>
              </w:rPr>
            </w:pPr>
            <w:r w:rsidRPr="00317ABF">
              <w:rPr>
                <w:rFonts w:eastAsia="Times"/>
                <w:sz w:val="22"/>
                <w:szCs w:val="22"/>
              </w:rPr>
              <w:t>3)      zharmonizowanych warunków ustanowionych w drodze technicznych środków wykonawczych przyjętych zgodnie decyzją 676/2002/WE;</w:t>
            </w:r>
          </w:p>
          <w:p w14:paraId="72795351" w14:textId="77777777" w:rsidR="00331174" w:rsidRPr="00317ABF" w:rsidRDefault="00331174" w:rsidP="00331174">
            <w:pPr>
              <w:ind w:left="510" w:hanging="510"/>
              <w:jc w:val="both"/>
              <w:rPr>
                <w:sz w:val="22"/>
                <w:szCs w:val="22"/>
              </w:rPr>
            </w:pPr>
          </w:p>
          <w:p w14:paraId="0A271C27" w14:textId="77777777" w:rsidR="001E1112" w:rsidRPr="00317ABF" w:rsidRDefault="001E1112" w:rsidP="00331174">
            <w:pPr>
              <w:pStyle w:val="USTustnpkodeksu"/>
              <w:keepNext/>
              <w:spacing w:line="240" w:lineRule="auto"/>
              <w:rPr>
                <w:rFonts w:ascii="Times New Roman" w:hAnsi="Times New Roman" w:cs="Times New Roman"/>
                <w:sz w:val="22"/>
                <w:szCs w:val="22"/>
              </w:rPr>
            </w:pPr>
            <w:r w:rsidRPr="00317ABF">
              <w:rPr>
                <w:rFonts w:ascii="Times New Roman" w:hAnsi="Times New Roman" w:cs="Times New Roman"/>
                <w:sz w:val="22"/>
                <w:szCs w:val="22"/>
              </w:rPr>
              <w:t>4. Minister właściwy do spraw informatyzacji może określić, w drodze rozporządzenia, harmonogram rozdysponowania określonych zasobów częstotliwości użytkowanych jako cywilne w użytkowaniu cywilnym lub cywilno-rządowym, z uwzględnieniem:</w:t>
            </w:r>
          </w:p>
          <w:p w14:paraId="196FA98F" w14:textId="77777777" w:rsidR="001E1112" w:rsidRPr="00317ABF" w:rsidRDefault="001E1112" w:rsidP="00DB3BEC">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1)</w:t>
            </w:r>
            <w:r w:rsidRPr="00317ABF">
              <w:rPr>
                <w:rFonts w:ascii="Times New Roman" w:hAnsi="Times New Roman" w:cs="Times New Roman"/>
                <w:sz w:val="22"/>
                <w:szCs w:val="22"/>
              </w:rPr>
              <w:tab/>
              <w:t>polityki państwa w zakresie gospodarki zasobami częstotliwości;</w:t>
            </w:r>
          </w:p>
          <w:p w14:paraId="6BC89EED" w14:textId="77777777" w:rsidR="001E1112" w:rsidRPr="00317ABF" w:rsidRDefault="001E1112" w:rsidP="00DB3BEC">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2)</w:t>
            </w:r>
            <w:r w:rsidRPr="00317ABF">
              <w:rPr>
                <w:rFonts w:ascii="Times New Roman" w:hAnsi="Times New Roman" w:cs="Times New Roman"/>
                <w:sz w:val="22"/>
                <w:szCs w:val="22"/>
              </w:rPr>
              <w:tab/>
              <w:t>przeznaczeń częstotliwości określonych w Krajowej Tablicy Przeznaczeń Częstotliwości;</w:t>
            </w:r>
          </w:p>
          <w:p w14:paraId="231A5C87" w14:textId="0A85CAFC" w:rsidR="001E1112" w:rsidRPr="00317ABF" w:rsidRDefault="001E1112" w:rsidP="00DB3BEC">
            <w:pPr>
              <w:jc w:val="both"/>
              <w:rPr>
                <w:sz w:val="22"/>
                <w:szCs w:val="22"/>
              </w:rPr>
            </w:pPr>
            <w:r w:rsidRPr="00317ABF">
              <w:rPr>
                <w:sz w:val="22"/>
                <w:szCs w:val="22"/>
              </w:rPr>
              <w:lastRenderedPageBreak/>
              <w:t>3)</w:t>
            </w:r>
            <w:r w:rsidRPr="00317ABF">
              <w:rPr>
                <w:sz w:val="22"/>
                <w:szCs w:val="22"/>
              </w:rPr>
              <w:tab/>
              <w:t>wymagań stosowanych przy określaniu Krajowej Tablicy Przeznaczeń Częstotliwości.</w:t>
            </w:r>
          </w:p>
          <w:p w14:paraId="703B2860" w14:textId="339AC3AD" w:rsidR="001E1112" w:rsidRPr="00317ABF" w:rsidRDefault="00331174" w:rsidP="00331174">
            <w:pPr>
              <w:rPr>
                <w:sz w:val="22"/>
                <w:szCs w:val="22"/>
              </w:rPr>
            </w:pPr>
            <w:r w:rsidRPr="00317ABF">
              <w:rPr>
                <w:rStyle w:val="Ppogrubienie"/>
                <w:sz w:val="22"/>
                <w:szCs w:val="22"/>
              </w:rPr>
              <w:t>Art. 64.</w:t>
            </w:r>
            <w:r w:rsidRPr="00317ABF">
              <w:rPr>
                <w:sz w:val="22"/>
                <w:szCs w:val="22"/>
              </w:rPr>
              <w:t xml:space="preserve"> </w:t>
            </w:r>
            <w:r w:rsidR="001E1112" w:rsidRPr="00317ABF">
              <w:rPr>
                <w:rFonts w:eastAsia="Times"/>
                <w:sz w:val="22"/>
                <w:szCs w:val="22"/>
              </w:rPr>
              <w:t>1. Prezes UKE zapewnia możliwość wykorzystywania częstotliwości zharmonizowanych na potrzeby usług szerokopasmowych, w terminie 30 miesięcy od dnia wejścia w życie technicznego środka wykonawczego, o którym mowa w art. 4 decyzji nr 676/2002/WE.</w:t>
            </w:r>
          </w:p>
        </w:tc>
      </w:tr>
      <w:tr w:rsidR="001E1112" w:rsidRPr="00317ABF" w14:paraId="02FD1A4F" w14:textId="77777777" w:rsidTr="7753F98D">
        <w:trPr>
          <w:gridAfter w:val="2"/>
          <w:wAfter w:w="175" w:type="dxa"/>
        </w:trPr>
        <w:tc>
          <w:tcPr>
            <w:tcW w:w="704" w:type="dxa"/>
          </w:tcPr>
          <w:p w14:paraId="23D4EB1E" w14:textId="77777777" w:rsidR="001E1112" w:rsidRPr="00317ABF" w:rsidRDefault="001E1112" w:rsidP="00DB3BEC">
            <w:pPr>
              <w:jc w:val="both"/>
              <w:rPr>
                <w:sz w:val="22"/>
                <w:szCs w:val="22"/>
              </w:rPr>
            </w:pPr>
            <w:r w:rsidRPr="00317ABF">
              <w:rPr>
                <w:sz w:val="22"/>
                <w:szCs w:val="22"/>
              </w:rPr>
              <w:lastRenderedPageBreak/>
              <w:t>Art. 53 ust. 3</w:t>
            </w:r>
          </w:p>
        </w:tc>
        <w:tc>
          <w:tcPr>
            <w:tcW w:w="4308" w:type="dxa"/>
          </w:tcPr>
          <w:p w14:paraId="1386EA0F" w14:textId="77777777" w:rsidR="001E1112" w:rsidRPr="00317ABF" w:rsidRDefault="001E1112" w:rsidP="00DB3BEC">
            <w:pPr>
              <w:spacing w:before="120"/>
              <w:jc w:val="both"/>
              <w:rPr>
                <w:sz w:val="22"/>
                <w:szCs w:val="22"/>
              </w:rPr>
            </w:pPr>
            <w:r w:rsidRPr="00317ABF">
              <w:rPr>
                <w:sz w:val="22"/>
                <w:szCs w:val="22"/>
              </w:rPr>
              <w:t>3.   Państwo członkowskie może przesunąć termin przewidziany w ust. 2 niniejszego artykułu w odniesieniu do konkretnego pasma w następujących okolicznościach:</w:t>
            </w:r>
          </w:p>
          <w:tbl>
            <w:tblPr>
              <w:tblW w:w="5000" w:type="pct"/>
              <w:tblCellSpacing w:w="0" w:type="dxa"/>
              <w:tblLayout w:type="fixed"/>
              <w:tblCellMar>
                <w:left w:w="0" w:type="dxa"/>
                <w:right w:w="0" w:type="dxa"/>
              </w:tblCellMar>
              <w:tblLook w:val="04A0" w:firstRow="1" w:lastRow="0" w:firstColumn="1" w:lastColumn="0" w:noHBand="0" w:noVBand="1"/>
            </w:tblPr>
            <w:tblGrid>
              <w:gridCol w:w="20"/>
              <w:gridCol w:w="20"/>
              <w:gridCol w:w="4128"/>
            </w:tblGrid>
            <w:tr w:rsidR="001E1112" w:rsidRPr="00317ABF" w14:paraId="557995EF" w14:textId="77777777" w:rsidTr="241FF257">
              <w:trPr>
                <w:tblCellSpacing w:w="0" w:type="dxa"/>
              </w:trPr>
              <w:tc>
                <w:tcPr>
                  <w:tcW w:w="6" w:type="dxa"/>
                  <w:hideMark/>
                </w:tcPr>
                <w:p w14:paraId="44A8064C" w14:textId="77777777" w:rsidR="001E1112" w:rsidRPr="00317ABF" w:rsidRDefault="001E1112" w:rsidP="00EE0AC3">
                  <w:pPr>
                    <w:framePr w:hSpace="141" w:wrap="around" w:vAnchor="text" w:hAnchor="text" w:xAlign="right" w:y="1"/>
                    <w:spacing w:before="120"/>
                    <w:suppressOverlap/>
                    <w:jc w:val="both"/>
                    <w:rPr>
                      <w:sz w:val="22"/>
                      <w:szCs w:val="22"/>
                    </w:rPr>
                  </w:pPr>
                </w:p>
              </w:tc>
              <w:tc>
                <w:tcPr>
                  <w:tcW w:w="9066" w:type="dxa"/>
                  <w:gridSpan w:val="2"/>
                  <w:hideMark/>
                </w:tcPr>
                <w:p w14:paraId="61E4E4EE" w14:textId="77777777" w:rsidR="001E1112" w:rsidRPr="00317ABF" w:rsidRDefault="001E1112" w:rsidP="00EE0AC3">
                  <w:pPr>
                    <w:framePr w:hSpace="141" w:wrap="around" w:vAnchor="text" w:hAnchor="text" w:xAlign="right" w:y="1"/>
                    <w:numPr>
                      <w:ilvl w:val="0"/>
                      <w:numId w:val="42"/>
                    </w:numPr>
                    <w:spacing w:before="120"/>
                    <w:suppressOverlap/>
                    <w:jc w:val="both"/>
                    <w:rPr>
                      <w:sz w:val="22"/>
                      <w:szCs w:val="22"/>
                    </w:rPr>
                  </w:pPr>
                  <w:r w:rsidRPr="00317ABF">
                    <w:rPr>
                      <w:sz w:val="22"/>
                      <w:szCs w:val="22"/>
                    </w:rPr>
                    <w:t>w zakresie uzasadnionym przez ograniczenie wykorzystania tego pasma w oparciu o cel leżący w interesie ogólnym przewidziany w art. 45 ust. 5 lit. a) lub d);</w:t>
                  </w:r>
                </w:p>
              </w:tc>
            </w:tr>
            <w:tr w:rsidR="001E1112" w:rsidRPr="00317ABF" w14:paraId="3DE9AA31" w14:textId="77777777" w:rsidTr="241FF257">
              <w:trPr>
                <w:tblCellSpacing w:w="0" w:type="dxa"/>
              </w:trPr>
              <w:tc>
                <w:tcPr>
                  <w:tcW w:w="6" w:type="dxa"/>
                  <w:hideMark/>
                </w:tcPr>
                <w:p w14:paraId="18FF7917" w14:textId="77777777" w:rsidR="001E1112" w:rsidRPr="00317ABF" w:rsidRDefault="001E1112" w:rsidP="00EE0AC3">
                  <w:pPr>
                    <w:framePr w:hSpace="141" w:wrap="around" w:vAnchor="text" w:hAnchor="text" w:xAlign="right" w:y="1"/>
                    <w:spacing w:before="120"/>
                    <w:suppressOverlap/>
                    <w:jc w:val="both"/>
                    <w:rPr>
                      <w:sz w:val="22"/>
                      <w:szCs w:val="22"/>
                    </w:rPr>
                  </w:pPr>
                </w:p>
              </w:tc>
              <w:tc>
                <w:tcPr>
                  <w:tcW w:w="9066" w:type="dxa"/>
                  <w:gridSpan w:val="2"/>
                  <w:hideMark/>
                </w:tcPr>
                <w:p w14:paraId="1831F1C8" w14:textId="77777777" w:rsidR="001E1112" w:rsidRPr="00317ABF" w:rsidRDefault="001E1112" w:rsidP="00EE0AC3">
                  <w:pPr>
                    <w:framePr w:hSpace="141" w:wrap="around" w:vAnchor="text" w:hAnchor="text" w:xAlign="right" w:y="1"/>
                    <w:numPr>
                      <w:ilvl w:val="0"/>
                      <w:numId w:val="42"/>
                    </w:numPr>
                    <w:spacing w:before="120"/>
                    <w:suppressOverlap/>
                    <w:jc w:val="both"/>
                    <w:rPr>
                      <w:sz w:val="22"/>
                      <w:szCs w:val="22"/>
                    </w:rPr>
                  </w:pPr>
                  <w:r w:rsidRPr="00317ABF">
                    <w:rPr>
                      <w:sz w:val="22"/>
                      <w:szCs w:val="22"/>
                    </w:rPr>
                    <w:t>w przypadku nierozstrzygniętych kwestii koordynacji transgranicznej skutkujących powstaniem szkodliwych zakłóceń z państwami trzecimi, pod warunkiem że dotknięte państwo członkowskie zwróciło się o pomoc Unii, stosownie do przypadku, na podstawie art. 28 ust. 5;</w:t>
                  </w:r>
                </w:p>
              </w:tc>
            </w:tr>
            <w:tr w:rsidR="001E1112" w:rsidRPr="00317ABF" w14:paraId="2DD43CD0" w14:textId="77777777" w:rsidTr="241FF257">
              <w:trPr>
                <w:tblCellSpacing w:w="0" w:type="dxa"/>
              </w:trPr>
              <w:tc>
                <w:tcPr>
                  <w:tcW w:w="9" w:type="dxa"/>
                  <w:hideMark/>
                </w:tcPr>
                <w:p w14:paraId="70EF1EE4" w14:textId="77777777" w:rsidR="001E1112" w:rsidRPr="00317ABF" w:rsidRDefault="001E1112" w:rsidP="00EE0AC3">
                  <w:pPr>
                    <w:framePr w:hSpace="141" w:wrap="around" w:vAnchor="text" w:hAnchor="text" w:xAlign="right" w:y="1"/>
                    <w:spacing w:before="120"/>
                    <w:suppressOverlap/>
                    <w:jc w:val="both"/>
                    <w:rPr>
                      <w:sz w:val="22"/>
                      <w:szCs w:val="22"/>
                    </w:rPr>
                  </w:pPr>
                </w:p>
              </w:tc>
              <w:tc>
                <w:tcPr>
                  <w:tcW w:w="9063" w:type="dxa"/>
                  <w:gridSpan w:val="2"/>
                  <w:hideMark/>
                </w:tcPr>
                <w:p w14:paraId="031B02C5" w14:textId="77777777" w:rsidR="001E1112" w:rsidRPr="00317ABF" w:rsidRDefault="001E1112" w:rsidP="00EE0AC3">
                  <w:pPr>
                    <w:framePr w:hSpace="141" w:wrap="around" w:vAnchor="text" w:hAnchor="text" w:xAlign="right" w:y="1"/>
                    <w:numPr>
                      <w:ilvl w:val="0"/>
                      <w:numId w:val="42"/>
                    </w:numPr>
                    <w:spacing w:before="120"/>
                    <w:suppressOverlap/>
                    <w:jc w:val="both"/>
                    <w:rPr>
                      <w:sz w:val="22"/>
                      <w:szCs w:val="22"/>
                    </w:rPr>
                  </w:pPr>
                  <w:r w:rsidRPr="00317ABF">
                    <w:rPr>
                      <w:sz w:val="22"/>
                      <w:szCs w:val="22"/>
                    </w:rPr>
                    <w:t>zagwarantowanie bezpieczeństwa narodowego i obrony; lub</w:t>
                  </w:r>
                </w:p>
              </w:tc>
            </w:tr>
            <w:tr w:rsidR="001E1112" w:rsidRPr="00317ABF" w14:paraId="3E021E02" w14:textId="77777777" w:rsidTr="241FF257">
              <w:trPr>
                <w:tblCellSpacing w:w="0" w:type="dxa"/>
              </w:trPr>
              <w:tc>
                <w:tcPr>
                  <w:tcW w:w="47" w:type="dxa"/>
                  <w:gridSpan w:val="2"/>
                  <w:hideMark/>
                </w:tcPr>
                <w:p w14:paraId="2F4D02C6" w14:textId="77777777" w:rsidR="001E1112" w:rsidRPr="00317ABF" w:rsidRDefault="001E1112" w:rsidP="00EE0AC3">
                  <w:pPr>
                    <w:framePr w:hSpace="141" w:wrap="around" w:vAnchor="text" w:hAnchor="text" w:xAlign="right" w:y="1"/>
                    <w:spacing w:before="120"/>
                    <w:suppressOverlap/>
                    <w:jc w:val="both"/>
                    <w:rPr>
                      <w:sz w:val="22"/>
                      <w:szCs w:val="22"/>
                    </w:rPr>
                  </w:pPr>
                </w:p>
              </w:tc>
              <w:tc>
                <w:tcPr>
                  <w:tcW w:w="9025" w:type="dxa"/>
                  <w:hideMark/>
                </w:tcPr>
                <w:p w14:paraId="16D411BB" w14:textId="77777777" w:rsidR="001E1112" w:rsidRPr="00317ABF" w:rsidRDefault="001E1112" w:rsidP="00EE0AC3">
                  <w:pPr>
                    <w:framePr w:hSpace="141" w:wrap="around" w:vAnchor="text" w:hAnchor="text" w:xAlign="right" w:y="1"/>
                    <w:numPr>
                      <w:ilvl w:val="0"/>
                      <w:numId w:val="42"/>
                    </w:numPr>
                    <w:spacing w:before="120"/>
                    <w:suppressOverlap/>
                    <w:jc w:val="both"/>
                    <w:rPr>
                      <w:sz w:val="22"/>
                      <w:szCs w:val="22"/>
                    </w:rPr>
                  </w:pPr>
                  <w:r w:rsidRPr="00317ABF">
                    <w:rPr>
                      <w:sz w:val="22"/>
                      <w:szCs w:val="22"/>
                    </w:rPr>
                    <w:t>siła wyższa.</w:t>
                  </w:r>
                </w:p>
              </w:tc>
            </w:tr>
          </w:tbl>
          <w:p w14:paraId="2EE4445F" w14:textId="163D0D25" w:rsidR="001E1112" w:rsidRPr="00317ABF" w:rsidRDefault="001E1112" w:rsidP="00DB3BEC">
            <w:pPr>
              <w:jc w:val="both"/>
              <w:rPr>
                <w:sz w:val="22"/>
                <w:szCs w:val="22"/>
              </w:rPr>
            </w:pPr>
          </w:p>
          <w:p w14:paraId="4047E773" w14:textId="6C055082" w:rsidR="001E1112" w:rsidRPr="00317ABF" w:rsidRDefault="001E1112" w:rsidP="00DB3BEC">
            <w:pPr>
              <w:jc w:val="both"/>
              <w:rPr>
                <w:sz w:val="22"/>
                <w:szCs w:val="22"/>
              </w:rPr>
            </w:pPr>
            <w:r w:rsidRPr="00317ABF">
              <w:rPr>
                <w:sz w:val="22"/>
                <w:szCs w:val="22"/>
              </w:rPr>
              <w:t>Państwa członkowskie, których to dotyczy dokonują przeglądu takiego przesunięcia terminu nie rzadziej niż co dwa lata.</w:t>
            </w:r>
          </w:p>
          <w:p w14:paraId="0A6995BE" w14:textId="77777777" w:rsidR="001E1112" w:rsidRPr="00317ABF" w:rsidRDefault="001E1112" w:rsidP="00DB3BEC">
            <w:pPr>
              <w:spacing w:before="120"/>
              <w:jc w:val="both"/>
              <w:rPr>
                <w:sz w:val="22"/>
                <w:szCs w:val="22"/>
              </w:rPr>
            </w:pPr>
          </w:p>
        </w:tc>
        <w:tc>
          <w:tcPr>
            <w:tcW w:w="986" w:type="dxa"/>
          </w:tcPr>
          <w:p w14:paraId="6001B9DC" w14:textId="477B4CFE" w:rsidR="001E1112" w:rsidRPr="00317ABF" w:rsidRDefault="001E1112" w:rsidP="00DB3BEC">
            <w:pPr>
              <w:jc w:val="both"/>
              <w:rPr>
                <w:sz w:val="22"/>
                <w:szCs w:val="22"/>
              </w:rPr>
            </w:pPr>
            <w:r w:rsidRPr="00317ABF">
              <w:rPr>
                <w:sz w:val="22"/>
                <w:szCs w:val="22"/>
              </w:rPr>
              <w:t>N</w:t>
            </w:r>
          </w:p>
        </w:tc>
        <w:tc>
          <w:tcPr>
            <w:tcW w:w="910" w:type="dxa"/>
          </w:tcPr>
          <w:p w14:paraId="796FC920" w14:textId="007DF871" w:rsidR="001E1112" w:rsidRPr="00317ABF" w:rsidRDefault="001E1112" w:rsidP="00DB3BEC">
            <w:pPr>
              <w:pStyle w:val="Tekstpodstawowy"/>
              <w:rPr>
                <w:b/>
                <w:bCs/>
                <w:noProof/>
                <w:sz w:val="22"/>
                <w:szCs w:val="22"/>
              </w:rPr>
            </w:pPr>
            <w:r w:rsidRPr="00317ABF">
              <w:rPr>
                <w:b/>
                <w:bCs/>
                <w:noProof/>
                <w:sz w:val="22"/>
                <w:szCs w:val="22"/>
              </w:rPr>
              <w:t xml:space="preserve">Art. </w:t>
            </w:r>
            <w:r w:rsidR="00331174" w:rsidRPr="00317ABF">
              <w:rPr>
                <w:b/>
                <w:bCs/>
                <w:noProof/>
                <w:sz w:val="22"/>
                <w:szCs w:val="22"/>
              </w:rPr>
              <w:t>64</w:t>
            </w:r>
            <w:r w:rsidRPr="00317ABF">
              <w:rPr>
                <w:b/>
                <w:bCs/>
                <w:noProof/>
                <w:sz w:val="22"/>
                <w:szCs w:val="22"/>
              </w:rPr>
              <w:t xml:space="preserve"> ust. 2</w:t>
            </w:r>
            <w:r w:rsidR="00DB36F9" w:rsidRPr="00317ABF">
              <w:rPr>
                <w:b/>
                <w:bCs/>
                <w:noProof/>
                <w:sz w:val="22"/>
                <w:szCs w:val="22"/>
              </w:rPr>
              <w:t xml:space="preserve">, </w:t>
            </w:r>
            <w:r w:rsidRPr="00317ABF">
              <w:rPr>
                <w:b/>
                <w:bCs/>
                <w:noProof/>
                <w:sz w:val="22"/>
                <w:szCs w:val="22"/>
              </w:rPr>
              <w:t xml:space="preserve">3 i </w:t>
            </w:r>
            <w:r w:rsidR="00DB36F9" w:rsidRPr="00317ABF">
              <w:rPr>
                <w:b/>
                <w:bCs/>
                <w:noProof/>
                <w:sz w:val="22"/>
                <w:szCs w:val="22"/>
              </w:rPr>
              <w:t>4</w:t>
            </w:r>
          </w:p>
        </w:tc>
        <w:tc>
          <w:tcPr>
            <w:tcW w:w="6814" w:type="dxa"/>
            <w:gridSpan w:val="2"/>
          </w:tcPr>
          <w:p w14:paraId="33BC0C32" w14:textId="1A3A6DF9" w:rsidR="001E1112" w:rsidRPr="00317ABF" w:rsidRDefault="001E1112" w:rsidP="00331174">
            <w:pPr>
              <w:pStyle w:val="USTustnpkodeksu"/>
              <w:keepNext/>
              <w:spacing w:line="240" w:lineRule="auto"/>
              <w:rPr>
                <w:rFonts w:ascii="Times New Roman" w:hAnsi="Times New Roman" w:cs="Times New Roman"/>
                <w:sz w:val="22"/>
                <w:szCs w:val="22"/>
              </w:rPr>
            </w:pPr>
            <w:r w:rsidRPr="00317ABF">
              <w:rPr>
                <w:rFonts w:ascii="Times New Roman" w:eastAsia="Times" w:hAnsi="Times New Roman" w:cs="Times New Roman"/>
                <w:sz w:val="22"/>
                <w:szCs w:val="22"/>
              </w:rPr>
              <w:t>2. Termin, o którym mowa w ust. 1, ulega wydłużeniu w odniesieniu do określonego zakresu częstotliwości, na czas występowania przesłanek:</w:t>
            </w:r>
          </w:p>
          <w:p w14:paraId="4A9CFA88" w14:textId="77777777" w:rsidR="00331174" w:rsidRPr="00317ABF" w:rsidRDefault="00331174" w:rsidP="00331174">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1)</w:t>
            </w:r>
            <w:r w:rsidRPr="00317ABF">
              <w:rPr>
                <w:rFonts w:ascii="Times New Roman" w:hAnsi="Times New Roman" w:cs="Times New Roman"/>
                <w:sz w:val="22"/>
                <w:szCs w:val="22"/>
              </w:rPr>
              <w:tab/>
              <w:t>konieczności zapewnienia realizacji celu leżącego w interesie publicznym w zakresie ochrony życia i zdrowia ludzi lub promowania różnorodności kulturowej i językowej oraz pluralizmu mediów, w szczególności poprzez świadczenie nadawczych usług radiofonicznych i telewizyjnych;</w:t>
            </w:r>
          </w:p>
          <w:p w14:paraId="03442334" w14:textId="77777777" w:rsidR="00331174" w:rsidRPr="00317ABF" w:rsidRDefault="00331174" w:rsidP="00331174">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2)</w:t>
            </w:r>
            <w:r w:rsidRPr="00317ABF">
              <w:rPr>
                <w:rFonts w:ascii="Times New Roman" w:hAnsi="Times New Roman" w:cs="Times New Roman"/>
                <w:sz w:val="22"/>
                <w:szCs w:val="22"/>
              </w:rPr>
              <w:tab/>
              <w:t>nierozstrzygniętych kwestii związanych z transgranicznymi koordynacjami częstotliwości z państwami spoza Unii Europejskiej, skutkujących powstaniem szkodliwych zakłóceń, pod warunkiem, że minister właściwy do spraw informatyzacji wystąpi do Komisji Europejskiej o pomoc Unii Europejskiej w rozstrzygnięciu tych kwestii;</w:t>
            </w:r>
          </w:p>
          <w:p w14:paraId="680735AA" w14:textId="77777777" w:rsidR="00331174" w:rsidRPr="00317ABF" w:rsidRDefault="00331174" w:rsidP="00331174">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3)</w:t>
            </w:r>
            <w:r w:rsidRPr="00317ABF">
              <w:rPr>
                <w:rFonts w:ascii="Times New Roman" w:hAnsi="Times New Roman" w:cs="Times New Roman"/>
                <w:sz w:val="22"/>
                <w:szCs w:val="22"/>
              </w:rPr>
              <w:tab/>
              <w:t>konieczności zapobieżenia zagrożeniom obronności lub bezpieczeństwa państwa;</w:t>
            </w:r>
          </w:p>
          <w:p w14:paraId="1E4C6C32" w14:textId="77777777" w:rsidR="001E1112" w:rsidRPr="00317ABF" w:rsidRDefault="001E1112" w:rsidP="00331174">
            <w:pPr>
              <w:pStyle w:val="PKTpunkt0"/>
              <w:spacing w:line="240" w:lineRule="auto"/>
              <w:rPr>
                <w:rFonts w:ascii="Times New Roman" w:hAnsi="Times New Roman" w:cs="Times New Roman"/>
                <w:sz w:val="22"/>
                <w:szCs w:val="22"/>
              </w:rPr>
            </w:pPr>
            <w:r w:rsidRPr="00317ABF">
              <w:rPr>
                <w:rFonts w:ascii="Times New Roman" w:eastAsia="Times" w:hAnsi="Times New Roman" w:cs="Times New Roman"/>
                <w:sz w:val="22"/>
                <w:szCs w:val="22"/>
              </w:rPr>
              <w:t>4)</w:t>
            </w:r>
            <w:r w:rsidR="00331174" w:rsidRPr="00317ABF">
              <w:rPr>
                <w:rFonts w:ascii="Times New Roman" w:hAnsi="Times New Roman" w:cs="Times New Roman"/>
                <w:sz w:val="22"/>
                <w:szCs w:val="22"/>
              </w:rPr>
              <w:tab/>
            </w:r>
            <w:r w:rsidRPr="00317ABF">
              <w:rPr>
                <w:rFonts w:ascii="Times New Roman" w:eastAsia="Times" w:hAnsi="Times New Roman" w:cs="Times New Roman"/>
                <w:sz w:val="22"/>
                <w:szCs w:val="22"/>
              </w:rPr>
              <w:t>wystąpienia siły wyższej.</w:t>
            </w:r>
          </w:p>
          <w:p w14:paraId="573FCD42" w14:textId="66C95673" w:rsidR="001E1112" w:rsidRPr="00317ABF" w:rsidRDefault="001E1112" w:rsidP="00DB3BEC">
            <w:pPr>
              <w:ind w:firstLine="510"/>
              <w:jc w:val="both"/>
              <w:rPr>
                <w:sz w:val="22"/>
                <w:szCs w:val="22"/>
              </w:rPr>
            </w:pPr>
            <w:r w:rsidRPr="00317ABF">
              <w:rPr>
                <w:rFonts w:eastAsia="Times"/>
                <w:sz w:val="22"/>
                <w:szCs w:val="22"/>
              </w:rPr>
              <w:t>3. Minister właściwy do spraw informatyzacji nie rzadziej niż co dwa lata ocenia aktualność przesłanek wydłużenia terminu, o których mowa w ust. 2. Wyniki oceny minister właściwy do spraw informatyzacji udostępnia na swojej stronie podmiotowej Biuletynu Informacji Publicznej.</w:t>
            </w:r>
          </w:p>
          <w:p w14:paraId="2D5FCB33" w14:textId="184C9810" w:rsidR="00DB36F9" w:rsidRPr="00317ABF" w:rsidRDefault="00DB36F9" w:rsidP="00331174">
            <w:pPr>
              <w:ind w:firstLine="510"/>
              <w:jc w:val="both"/>
              <w:rPr>
                <w:sz w:val="22"/>
                <w:szCs w:val="22"/>
              </w:rPr>
            </w:pPr>
            <w:r w:rsidRPr="00317ABF">
              <w:rPr>
                <w:sz w:val="22"/>
                <w:szCs w:val="22"/>
              </w:rPr>
              <w:t>4. W przypadku wydłużenia terminu, o którym mowa w ust. 1 ze względu na przesłanki o których mowa w ust. 2 pkt 3 i 4, minister właściwy do spraw informatyzacji informuje o przystąpieniu do sporządzenia oceny, o której mowa w ust. 3 oraz o jej wynikach, Ministra Obrony Narodowej i ministra właściwego do spraw wewnętrznych.</w:t>
            </w:r>
          </w:p>
          <w:p w14:paraId="1E199C28" w14:textId="2F4C20FE" w:rsidR="001E1112" w:rsidRPr="00317ABF" w:rsidRDefault="001E1112" w:rsidP="00DB3BEC">
            <w:pPr>
              <w:jc w:val="both"/>
              <w:rPr>
                <w:sz w:val="22"/>
                <w:szCs w:val="22"/>
              </w:rPr>
            </w:pPr>
          </w:p>
        </w:tc>
      </w:tr>
      <w:tr w:rsidR="001E1112" w:rsidRPr="00317ABF" w14:paraId="322382D2" w14:textId="77777777" w:rsidTr="7753F98D">
        <w:trPr>
          <w:gridAfter w:val="2"/>
          <w:wAfter w:w="175" w:type="dxa"/>
        </w:trPr>
        <w:tc>
          <w:tcPr>
            <w:tcW w:w="704" w:type="dxa"/>
          </w:tcPr>
          <w:p w14:paraId="33390B0C" w14:textId="77777777" w:rsidR="001E1112" w:rsidRPr="00317ABF" w:rsidRDefault="001E1112" w:rsidP="00DB3BEC">
            <w:pPr>
              <w:jc w:val="both"/>
              <w:rPr>
                <w:sz w:val="22"/>
                <w:szCs w:val="22"/>
              </w:rPr>
            </w:pPr>
            <w:r w:rsidRPr="00317ABF">
              <w:rPr>
                <w:sz w:val="22"/>
                <w:szCs w:val="22"/>
              </w:rPr>
              <w:t>Art. 53 ust. 4</w:t>
            </w:r>
          </w:p>
        </w:tc>
        <w:tc>
          <w:tcPr>
            <w:tcW w:w="4308" w:type="dxa"/>
          </w:tcPr>
          <w:p w14:paraId="1BD6C771" w14:textId="77777777" w:rsidR="001E1112" w:rsidRPr="00317ABF" w:rsidRDefault="001E1112" w:rsidP="00DB3BEC">
            <w:pPr>
              <w:spacing w:before="120"/>
              <w:jc w:val="both"/>
              <w:rPr>
                <w:sz w:val="22"/>
                <w:szCs w:val="22"/>
              </w:rPr>
            </w:pPr>
            <w:r w:rsidRPr="00317ABF">
              <w:rPr>
                <w:sz w:val="22"/>
                <w:szCs w:val="22"/>
              </w:rPr>
              <w:t>4.   Państwo członkowskie może przesunąć termin przewidziany w ust. 2 w odniesieniu do konkretnego pasma w niezbędnym zakresie i do 30 miesięcy w przypadku:</w:t>
            </w:r>
          </w:p>
          <w:tbl>
            <w:tblPr>
              <w:tblW w:w="5000" w:type="pct"/>
              <w:tblCellSpacing w:w="0" w:type="dxa"/>
              <w:tblLayout w:type="fixed"/>
              <w:tblCellMar>
                <w:left w:w="0" w:type="dxa"/>
                <w:right w:w="0" w:type="dxa"/>
              </w:tblCellMar>
              <w:tblLook w:val="04A0" w:firstRow="1" w:lastRow="0" w:firstColumn="1" w:lastColumn="0" w:noHBand="0" w:noVBand="1"/>
            </w:tblPr>
            <w:tblGrid>
              <w:gridCol w:w="20"/>
              <w:gridCol w:w="4148"/>
            </w:tblGrid>
            <w:tr w:rsidR="001E1112" w:rsidRPr="00317ABF" w14:paraId="6D79741C" w14:textId="77777777" w:rsidTr="00A462BE">
              <w:trPr>
                <w:tblCellSpacing w:w="0" w:type="dxa"/>
              </w:trPr>
              <w:tc>
                <w:tcPr>
                  <w:tcW w:w="6" w:type="dxa"/>
                  <w:hideMark/>
                </w:tcPr>
                <w:p w14:paraId="6311A337" w14:textId="77777777" w:rsidR="001E1112" w:rsidRPr="00317ABF" w:rsidRDefault="001E1112" w:rsidP="00EE0AC3">
                  <w:pPr>
                    <w:framePr w:hSpace="141" w:wrap="around" w:vAnchor="text" w:hAnchor="text" w:xAlign="right" w:y="1"/>
                    <w:spacing w:before="120"/>
                    <w:suppressOverlap/>
                    <w:jc w:val="both"/>
                    <w:rPr>
                      <w:sz w:val="22"/>
                      <w:szCs w:val="22"/>
                    </w:rPr>
                  </w:pPr>
                </w:p>
              </w:tc>
              <w:tc>
                <w:tcPr>
                  <w:tcW w:w="9066" w:type="dxa"/>
                  <w:hideMark/>
                </w:tcPr>
                <w:p w14:paraId="45E1EAF5" w14:textId="77777777" w:rsidR="001E1112" w:rsidRPr="00317ABF" w:rsidRDefault="001E1112" w:rsidP="00EE0AC3">
                  <w:pPr>
                    <w:framePr w:hSpace="141" w:wrap="around" w:vAnchor="text" w:hAnchor="text" w:xAlign="right" w:y="1"/>
                    <w:numPr>
                      <w:ilvl w:val="0"/>
                      <w:numId w:val="43"/>
                    </w:numPr>
                    <w:spacing w:before="120"/>
                    <w:suppressOverlap/>
                    <w:jc w:val="both"/>
                    <w:rPr>
                      <w:sz w:val="22"/>
                      <w:szCs w:val="22"/>
                    </w:rPr>
                  </w:pPr>
                  <w:r w:rsidRPr="00317ABF">
                    <w:rPr>
                      <w:sz w:val="22"/>
                      <w:szCs w:val="22"/>
                    </w:rPr>
                    <w:t>nierozstrzygniętych kwestii koordynacji transgranicznej skutkujących szkodliwą ingerencją między państwami członkowskimi, pod warunkiem że takie dotknięte państwo członkowskie na czas podejmuje wszelkie niezbędne środki na podstawie art. 28 ust. 3 i 4;</w:t>
                  </w:r>
                </w:p>
              </w:tc>
            </w:tr>
          </w:tbl>
          <w:p w14:paraId="51AACD5B" w14:textId="77777777" w:rsidR="001E1112" w:rsidRPr="00317ABF" w:rsidRDefault="001E1112" w:rsidP="00DB3BEC">
            <w:pPr>
              <w:jc w:val="both"/>
              <w:rPr>
                <w:vanish/>
                <w:sz w:val="22"/>
                <w:szCs w:val="22"/>
              </w:rPr>
            </w:pPr>
          </w:p>
          <w:tbl>
            <w:tblPr>
              <w:tblW w:w="5000" w:type="pct"/>
              <w:tblCellSpacing w:w="0" w:type="dxa"/>
              <w:tblLayout w:type="fixed"/>
              <w:tblCellMar>
                <w:left w:w="0" w:type="dxa"/>
                <w:right w:w="0" w:type="dxa"/>
              </w:tblCellMar>
              <w:tblLook w:val="04A0" w:firstRow="1" w:lastRow="0" w:firstColumn="1" w:lastColumn="0" w:noHBand="0" w:noVBand="1"/>
            </w:tblPr>
            <w:tblGrid>
              <w:gridCol w:w="20"/>
              <w:gridCol w:w="4148"/>
            </w:tblGrid>
            <w:tr w:rsidR="001E1112" w:rsidRPr="00317ABF" w14:paraId="19A16406" w14:textId="77777777" w:rsidTr="00A462BE">
              <w:trPr>
                <w:tblCellSpacing w:w="0" w:type="dxa"/>
              </w:trPr>
              <w:tc>
                <w:tcPr>
                  <w:tcW w:w="6" w:type="dxa"/>
                  <w:hideMark/>
                </w:tcPr>
                <w:p w14:paraId="2C47C054" w14:textId="77777777" w:rsidR="001E1112" w:rsidRPr="00317ABF" w:rsidRDefault="001E1112" w:rsidP="00EE0AC3">
                  <w:pPr>
                    <w:framePr w:hSpace="141" w:wrap="around" w:vAnchor="text" w:hAnchor="text" w:xAlign="right" w:y="1"/>
                    <w:spacing w:before="120"/>
                    <w:suppressOverlap/>
                    <w:jc w:val="both"/>
                    <w:rPr>
                      <w:sz w:val="22"/>
                      <w:szCs w:val="22"/>
                    </w:rPr>
                  </w:pPr>
                </w:p>
              </w:tc>
              <w:tc>
                <w:tcPr>
                  <w:tcW w:w="9066" w:type="dxa"/>
                  <w:hideMark/>
                </w:tcPr>
                <w:p w14:paraId="5CB6E45E" w14:textId="77777777" w:rsidR="001E1112" w:rsidRPr="00317ABF" w:rsidRDefault="001E1112" w:rsidP="00EE0AC3">
                  <w:pPr>
                    <w:framePr w:hSpace="141" w:wrap="around" w:vAnchor="text" w:hAnchor="text" w:xAlign="right" w:y="1"/>
                    <w:numPr>
                      <w:ilvl w:val="0"/>
                      <w:numId w:val="43"/>
                    </w:numPr>
                    <w:spacing w:before="120"/>
                    <w:suppressOverlap/>
                    <w:jc w:val="both"/>
                    <w:rPr>
                      <w:sz w:val="22"/>
                      <w:szCs w:val="22"/>
                    </w:rPr>
                  </w:pPr>
                  <w:r w:rsidRPr="00317ABF">
                    <w:rPr>
                      <w:sz w:val="22"/>
                      <w:szCs w:val="22"/>
                    </w:rPr>
                    <w:t>potrzeby zapewnienia technicznej migracji aktualnych użytkowników danego pasma, ze względu na złożoność zapewnienia migracji.</w:t>
                  </w:r>
                </w:p>
              </w:tc>
            </w:tr>
          </w:tbl>
          <w:p w14:paraId="2217CFA7" w14:textId="77777777" w:rsidR="001E1112" w:rsidRPr="00317ABF" w:rsidRDefault="001E1112" w:rsidP="00DB3BEC">
            <w:pPr>
              <w:spacing w:before="120"/>
              <w:jc w:val="both"/>
              <w:rPr>
                <w:sz w:val="22"/>
                <w:szCs w:val="22"/>
              </w:rPr>
            </w:pPr>
          </w:p>
        </w:tc>
        <w:tc>
          <w:tcPr>
            <w:tcW w:w="986" w:type="dxa"/>
          </w:tcPr>
          <w:p w14:paraId="34A5E1FD" w14:textId="5D18FF42" w:rsidR="001E1112" w:rsidRPr="00317ABF" w:rsidRDefault="001E1112" w:rsidP="00DB3BEC">
            <w:pPr>
              <w:jc w:val="both"/>
              <w:rPr>
                <w:sz w:val="22"/>
                <w:szCs w:val="22"/>
              </w:rPr>
            </w:pPr>
            <w:r w:rsidRPr="00317ABF">
              <w:rPr>
                <w:sz w:val="22"/>
                <w:szCs w:val="22"/>
              </w:rPr>
              <w:lastRenderedPageBreak/>
              <w:t>N</w:t>
            </w:r>
          </w:p>
        </w:tc>
        <w:tc>
          <w:tcPr>
            <w:tcW w:w="910" w:type="dxa"/>
          </w:tcPr>
          <w:p w14:paraId="5E68AB9A" w14:textId="08CAF4E3" w:rsidR="001E1112" w:rsidRPr="00317ABF" w:rsidRDefault="001E1112" w:rsidP="00DB3BEC">
            <w:pPr>
              <w:pStyle w:val="Tekstpodstawowy"/>
              <w:rPr>
                <w:b/>
                <w:bCs/>
                <w:noProof/>
                <w:sz w:val="22"/>
                <w:szCs w:val="22"/>
              </w:rPr>
            </w:pPr>
            <w:r w:rsidRPr="00317ABF">
              <w:rPr>
                <w:b/>
                <w:bCs/>
                <w:noProof/>
                <w:sz w:val="22"/>
                <w:szCs w:val="22"/>
              </w:rPr>
              <w:t xml:space="preserve">Art. </w:t>
            </w:r>
            <w:r w:rsidR="00331174" w:rsidRPr="00317ABF">
              <w:rPr>
                <w:b/>
                <w:bCs/>
                <w:noProof/>
                <w:sz w:val="22"/>
                <w:szCs w:val="22"/>
              </w:rPr>
              <w:t>64</w:t>
            </w:r>
            <w:r w:rsidRPr="00317ABF">
              <w:rPr>
                <w:b/>
                <w:bCs/>
                <w:noProof/>
                <w:sz w:val="22"/>
                <w:szCs w:val="22"/>
              </w:rPr>
              <w:t xml:space="preserve"> ust. </w:t>
            </w:r>
            <w:r w:rsidR="00331174" w:rsidRPr="00317ABF">
              <w:rPr>
                <w:b/>
                <w:bCs/>
                <w:noProof/>
                <w:sz w:val="22"/>
                <w:szCs w:val="22"/>
              </w:rPr>
              <w:t>5</w:t>
            </w:r>
            <w:r w:rsidRPr="00317ABF">
              <w:rPr>
                <w:b/>
                <w:bCs/>
                <w:noProof/>
                <w:sz w:val="22"/>
                <w:szCs w:val="22"/>
              </w:rPr>
              <w:t xml:space="preserve"> </w:t>
            </w:r>
          </w:p>
        </w:tc>
        <w:tc>
          <w:tcPr>
            <w:tcW w:w="6814" w:type="dxa"/>
            <w:gridSpan w:val="2"/>
          </w:tcPr>
          <w:p w14:paraId="29C22882" w14:textId="77777777" w:rsidR="00331174" w:rsidRPr="00317ABF" w:rsidRDefault="00331174" w:rsidP="00331174">
            <w:pPr>
              <w:pStyle w:val="USTustnpkodeksu"/>
              <w:keepNext/>
              <w:spacing w:line="240" w:lineRule="auto"/>
              <w:rPr>
                <w:rFonts w:ascii="Times New Roman" w:hAnsi="Times New Roman" w:cs="Times New Roman"/>
                <w:sz w:val="22"/>
                <w:szCs w:val="22"/>
              </w:rPr>
            </w:pPr>
            <w:r w:rsidRPr="00317ABF">
              <w:rPr>
                <w:rFonts w:ascii="Times New Roman" w:hAnsi="Times New Roman" w:cs="Times New Roman"/>
                <w:sz w:val="22"/>
                <w:szCs w:val="22"/>
              </w:rPr>
              <w:t>5. Termin, o którym mowa w ust. 1, ulega wydłużeniu o nie więcej niż 30 miesięcy w odniesieniu do określonego zakresu częstotliwości w przypadku:</w:t>
            </w:r>
          </w:p>
          <w:p w14:paraId="1898CF6E" w14:textId="77777777" w:rsidR="00331174" w:rsidRPr="00317ABF" w:rsidRDefault="00331174" w:rsidP="00331174">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1)</w:t>
            </w:r>
            <w:r w:rsidRPr="00317ABF">
              <w:rPr>
                <w:rFonts w:ascii="Times New Roman" w:hAnsi="Times New Roman" w:cs="Times New Roman"/>
                <w:sz w:val="22"/>
                <w:szCs w:val="22"/>
              </w:rPr>
              <w:tab/>
              <w:t xml:space="preserve">nierozstrzygniętych kwestii związanych z transgranicznymi koordynacjami częstotliwości z państwami członkowskimi Unii </w:t>
            </w:r>
            <w:r w:rsidRPr="00317ABF">
              <w:rPr>
                <w:rFonts w:ascii="Times New Roman" w:hAnsi="Times New Roman" w:cs="Times New Roman"/>
                <w:sz w:val="22"/>
                <w:szCs w:val="22"/>
              </w:rPr>
              <w:lastRenderedPageBreak/>
              <w:t>Europejskiej, skutkujących powstaniem szkodliwych zakłóceń, pod warunkiem, że Prezes UKE przed upływem terminu, o którym mowa w ust. 1 wystąpił do Zespołu do spraw Polityki Spektrum Radiowego, zwanego dalej “RSPG” z wnioskiem o pomoc w rozwiązaniu tych kwestii, a w przypadku nierozstrzygnięcia tych kwestii, minister właściwy do spraw informatyzacji wystąpił do Komisji Europejskiej z wnioskiem o ich rozstrzygnięcie;</w:t>
            </w:r>
          </w:p>
          <w:p w14:paraId="0A556220" w14:textId="395A7E63" w:rsidR="001E1112" w:rsidRPr="00317ABF" w:rsidRDefault="001E1112" w:rsidP="00DB3BEC">
            <w:pPr>
              <w:jc w:val="both"/>
              <w:rPr>
                <w:sz w:val="22"/>
                <w:szCs w:val="22"/>
              </w:rPr>
            </w:pPr>
            <w:r w:rsidRPr="00317ABF">
              <w:rPr>
                <w:sz w:val="22"/>
                <w:szCs w:val="22"/>
              </w:rPr>
              <w:t>2)</w:t>
            </w:r>
            <w:r w:rsidR="00331174" w:rsidRPr="00317ABF">
              <w:rPr>
                <w:sz w:val="22"/>
                <w:szCs w:val="22"/>
              </w:rPr>
              <w:tab/>
            </w:r>
            <w:r w:rsidRPr="00317ABF">
              <w:rPr>
                <w:sz w:val="22"/>
                <w:szCs w:val="22"/>
              </w:rPr>
              <w:t>potrzeby zapewnienia technicznej migracji podmiotów wykorzystujących dany zakres częstotliwości, ze względu na złożoność tego procesu.</w:t>
            </w:r>
          </w:p>
        </w:tc>
      </w:tr>
      <w:tr w:rsidR="001E1112" w:rsidRPr="00317ABF" w14:paraId="3FEBF41F" w14:textId="77777777" w:rsidTr="7753F98D">
        <w:trPr>
          <w:gridAfter w:val="2"/>
          <w:wAfter w:w="175" w:type="dxa"/>
        </w:trPr>
        <w:tc>
          <w:tcPr>
            <w:tcW w:w="704" w:type="dxa"/>
          </w:tcPr>
          <w:p w14:paraId="383EF592" w14:textId="77777777" w:rsidR="001E1112" w:rsidRPr="00317ABF" w:rsidRDefault="001E1112" w:rsidP="00DB3BEC">
            <w:pPr>
              <w:jc w:val="both"/>
              <w:rPr>
                <w:sz w:val="22"/>
                <w:szCs w:val="22"/>
              </w:rPr>
            </w:pPr>
            <w:r w:rsidRPr="00317ABF">
              <w:rPr>
                <w:sz w:val="22"/>
                <w:szCs w:val="22"/>
              </w:rPr>
              <w:lastRenderedPageBreak/>
              <w:t>Art. 53 ust. 5</w:t>
            </w:r>
          </w:p>
        </w:tc>
        <w:tc>
          <w:tcPr>
            <w:tcW w:w="4308" w:type="dxa"/>
          </w:tcPr>
          <w:p w14:paraId="75F1CD74" w14:textId="77777777" w:rsidR="001E1112" w:rsidRPr="00317ABF" w:rsidRDefault="001E1112" w:rsidP="00DB3BEC">
            <w:pPr>
              <w:spacing w:before="120"/>
              <w:jc w:val="both"/>
              <w:rPr>
                <w:sz w:val="22"/>
                <w:szCs w:val="22"/>
              </w:rPr>
            </w:pPr>
            <w:r w:rsidRPr="00317ABF">
              <w:rPr>
                <w:sz w:val="22"/>
                <w:szCs w:val="22"/>
              </w:rPr>
              <w:t>5.   W przypadku przesunięcia terminu na mocy ust. 3 lub 4 państwo członkowskie, którego to dotyczy powiadamia w odpowiednim czasie pozostałe państwa członkowskie i Komisję, przedstawiając powody.</w:t>
            </w:r>
          </w:p>
        </w:tc>
        <w:tc>
          <w:tcPr>
            <w:tcW w:w="986" w:type="dxa"/>
          </w:tcPr>
          <w:p w14:paraId="7681F587" w14:textId="5A575ECC" w:rsidR="001E1112" w:rsidRPr="00317ABF" w:rsidRDefault="001E1112" w:rsidP="00DB3BEC">
            <w:pPr>
              <w:jc w:val="both"/>
              <w:rPr>
                <w:sz w:val="22"/>
                <w:szCs w:val="22"/>
              </w:rPr>
            </w:pPr>
            <w:r w:rsidRPr="00317ABF">
              <w:rPr>
                <w:sz w:val="22"/>
                <w:szCs w:val="22"/>
              </w:rPr>
              <w:t>T</w:t>
            </w:r>
          </w:p>
        </w:tc>
        <w:tc>
          <w:tcPr>
            <w:tcW w:w="910" w:type="dxa"/>
          </w:tcPr>
          <w:p w14:paraId="6A26B542" w14:textId="07499AED" w:rsidR="001E1112" w:rsidRPr="00317ABF" w:rsidRDefault="00DB3BEC" w:rsidP="00DB3BEC">
            <w:pPr>
              <w:pStyle w:val="Tekstpodstawowy"/>
              <w:rPr>
                <w:b/>
                <w:bCs/>
                <w:noProof/>
                <w:sz w:val="22"/>
                <w:szCs w:val="22"/>
              </w:rPr>
            </w:pPr>
            <w:r w:rsidRPr="00317ABF">
              <w:rPr>
                <w:b/>
                <w:bCs/>
                <w:noProof/>
                <w:sz w:val="22"/>
                <w:szCs w:val="22"/>
              </w:rPr>
              <w:t xml:space="preserve">Art. </w:t>
            </w:r>
            <w:r w:rsidR="00DB36F9" w:rsidRPr="00317ABF">
              <w:rPr>
                <w:b/>
                <w:bCs/>
                <w:noProof/>
                <w:sz w:val="22"/>
                <w:szCs w:val="22"/>
              </w:rPr>
              <w:t>64</w:t>
            </w:r>
            <w:r w:rsidR="001E1112" w:rsidRPr="00317ABF">
              <w:rPr>
                <w:b/>
                <w:bCs/>
                <w:noProof/>
                <w:sz w:val="22"/>
                <w:szCs w:val="22"/>
              </w:rPr>
              <w:t xml:space="preserve"> ust. </w:t>
            </w:r>
            <w:r w:rsidR="00DB36F9" w:rsidRPr="00317ABF">
              <w:rPr>
                <w:b/>
                <w:bCs/>
                <w:noProof/>
                <w:sz w:val="22"/>
                <w:szCs w:val="22"/>
              </w:rPr>
              <w:t>6</w:t>
            </w:r>
          </w:p>
        </w:tc>
        <w:tc>
          <w:tcPr>
            <w:tcW w:w="6814" w:type="dxa"/>
            <w:gridSpan w:val="2"/>
          </w:tcPr>
          <w:p w14:paraId="1973A996" w14:textId="77777777" w:rsidR="00DB36F9" w:rsidRPr="00317ABF" w:rsidRDefault="00DB36F9" w:rsidP="00DB36F9">
            <w:pPr>
              <w:pStyle w:val="USTustnpkodeksu"/>
              <w:spacing w:line="240" w:lineRule="auto"/>
              <w:rPr>
                <w:rFonts w:ascii="Times New Roman" w:hAnsi="Times New Roman" w:cs="Times New Roman"/>
                <w:sz w:val="22"/>
                <w:szCs w:val="22"/>
              </w:rPr>
            </w:pPr>
            <w:r w:rsidRPr="00317ABF">
              <w:rPr>
                <w:rFonts w:ascii="Times New Roman" w:hAnsi="Times New Roman" w:cs="Times New Roman"/>
                <w:sz w:val="22"/>
                <w:szCs w:val="22"/>
              </w:rPr>
              <w:t>6</w:t>
            </w:r>
            <w:r w:rsidR="001E1112" w:rsidRPr="00317ABF">
              <w:rPr>
                <w:rFonts w:ascii="Times New Roman" w:hAnsi="Times New Roman" w:cs="Times New Roman"/>
                <w:sz w:val="22"/>
                <w:szCs w:val="22"/>
              </w:rPr>
              <w:t>. Minister właściwy do spraw informatyzacji niezwłocznie zawiadamia państwa członkowskie Unii Europejskiej oraz Komisję Europejską o wydłużeniu terminu, o którym mowa w ust. 1, przedstawiając uzasadnienie tego przedłużenia.</w:t>
            </w:r>
          </w:p>
          <w:p w14:paraId="1BF0CA24" w14:textId="47EAE583" w:rsidR="001E1112" w:rsidRPr="00317ABF" w:rsidRDefault="001E1112" w:rsidP="00DB3BEC">
            <w:pPr>
              <w:jc w:val="both"/>
              <w:rPr>
                <w:sz w:val="22"/>
                <w:szCs w:val="22"/>
              </w:rPr>
            </w:pPr>
          </w:p>
        </w:tc>
      </w:tr>
      <w:tr w:rsidR="001E1112" w:rsidRPr="00317ABF" w14:paraId="1320844C" w14:textId="77777777" w:rsidTr="7753F98D">
        <w:trPr>
          <w:gridAfter w:val="2"/>
          <w:wAfter w:w="175" w:type="dxa"/>
        </w:trPr>
        <w:tc>
          <w:tcPr>
            <w:tcW w:w="704" w:type="dxa"/>
          </w:tcPr>
          <w:p w14:paraId="020C605A" w14:textId="77777777" w:rsidR="001E1112" w:rsidRPr="00317ABF" w:rsidRDefault="001E1112" w:rsidP="00DB3BEC">
            <w:pPr>
              <w:jc w:val="both"/>
              <w:rPr>
                <w:b/>
                <w:sz w:val="22"/>
                <w:szCs w:val="22"/>
              </w:rPr>
            </w:pPr>
            <w:r w:rsidRPr="00317ABF">
              <w:rPr>
                <w:b/>
                <w:sz w:val="22"/>
                <w:szCs w:val="22"/>
              </w:rPr>
              <w:t>Art. 54</w:t>
            </w:r>
          </w:p>
        </w:tc>
        <w:tc>
          <w:tcPr>
            <w:tcW w:w="4308" w:type="dxa"/>
          </w:tcPr>
          <w:p w14:paraId="72A7B9FC" w14:textId="77777777" w:rsidR="001E1112" w:rsidRPr="00317ABF" w:rsidRDefault="001E1112" w:rsidP="00DB3BEC">
            <w:pPr>
              <w:spacing w:before="120"/>
              <w:jc w:val="both"/>
              <w:rPr>
                <w:sz w:val="22"/>
                <w:szCs w:val="22"/>
              </w:rPr>
            </w:pPr>
            <w:r w:rsidRPr="00317ABF">
              <w:rPr>
                <w:b/>
                <w:bCs/>
                <w:sz w:val="22"/>
                <w:szCs w:val="22"/>
              </w:rPr>
              <w:t>Skoordynowany termin przydzielania konkretnych pasm 5G</w:t>
            </w:r>
          </w:p>
        </w:tc>
        <w:tc>
          <w:tcPr>
            <w:tcW w:w="986" w:type="dxa"/>
          </w:tcPr>
          <w:p w14:paraId="37FCDD83" w14:textId="77777777" w:rsidR="001E1112" w:rsidRPr="00317ABF" w:rsidRDefault="001E1112" w:rsidP="00DB3BEC">
            <w:pPr>
              <w:jc w:val="both"/>
              <w:rPr>
                <w:sz w:val="22"/>
                <w:szCs w:val="22"/>
              </w:rPr>
            </w:pPr>
          </w:p>
        </w:tc>
        <w:tc>
          <w:tcPr>
            <w:tcW w:w="910" w:type="dxa"/>
          </w:tcPr>
          <w:p w14:paraId="321032C9" w14:textId="77777777" w:rsidR="001E1112" w:rsidRPr="00317ABF" w:rsidRDefault="001E1112" w:rsidP="00DB3BEC">
            <w:pPr>
              <w:pStyle w:val="Tekstpodstawowy"/>
              <w:rPr>
                <w:b/>
                <w:noProof/>
                <w:sz w:val="22"/>
                <w:szCs w:val="22"/>
              </w:rPr>
            </w:pPr>
          </w:p>
        </w:tc>
        <w:tc>
          <w:tcPr>
            <w:tcW w:w="6814" w:type="dxa"/>
            <w:gridSpan w:val="2"/>
          </w:tcPr>
          <w:p w14:paraId="64C527AD" w14:textId="77777777" w:rsidR="001E1112" w:rsidRPr="00317ABF" w:rsidRDefault="001E1112" w:rsidP="00DB3BEC">
            <w:pPr>
              <w:pStyle w:val="Tekstpodstawowy"/>
              <w:rPr>
                <w:sz w:val="22"/>
                <w:szCs w:val="22"/>
              </w:rPr>
            </w:pPr>
          </w:p>
        </w:tc>
      </w:tr>
      <w:tr w:rsidR="001E1112" w:rsidRPr="00317ABF" w14:paraId="56E9CCE2" w14:textId="77777777" w:rsidTr="7753F98D">
        <w:trPr>
          <w:gridAfter w:val="2"/>
          <w:wAfter w:w="175" w:type="dxa"/>
        </w:trPr>
        <w:tc>
          <w:tcPr>
            <w:tcW w:w="704" w:type="dxa"/>
          </w:tcPr>
          <w:p w14:paraId="05AD9678" w14:textId="77777777" w:rsidR="001E1112" w:rsidRPr="00317ABF" w:rsidRDefault="001E1112" w:rsidP="00DB3BEC">
            <w:pPr>
              <w:jc w:val="both"/>
              <w:rPr>
                <w:sz w:val="22"/>
                <w:szCs w:val="22"/>
              </w:rPr>
            </w:pPr>
            <w:r w:rsidRPr="00317ABF">
              <w:rPr>
                <w:sz w:val="22"/>
                <w:szCs w:val="22"/>
              </w:rPr>
              <w:t>Art. 54 ust. 1</w:t>
            </w:r>
          </w:p>
        </w:tc>
        <w:tc>
          <w:tcPr>
            <w:tcW w:w="4308" w:type="dxa"/>
          </w:tcPr>
          <w:p w14:paraId="71711AC2" w14:textId="77777777" w:rsidR="001E1112" w:rsidRPr="00317ABF" w:rsidRDefault="001E1112" w:rsidP="00DB3BEC">
            <w:pPr>
              <w:spacing w:before="120"/>
              <w:jc w:val="both"/>
              <w:rPr>
                <w:sz w:val="22"/>
                <w:szCs w:val="22"/>
              </w:rPr>
            </w:pPr>
            <w:r w:rsidRPr="00317ABF">
              <w:rPr>
                <w:sz w:val="22"/>
                <w:szCs w:val="22"/>
              </w:rPr>
              <w:t>1.   Do dnia 31 grudnia 2020 r. w odniesieniu do naziemnych systemów zdolnych do świadczenia usług bezprzewodowej szerokopasmowej łączności państwa członkowskie, gdy jest to konieczne dla ułatwienia realizacji sieci 5G, podejmują wszelkie odpowiednie środki, aby:</w:t>
            </w:r>
          </w:p>
          <w:tbl>
            <w:tblPr>
              <w:tblW w:w="5000" w:type="pct"/>
              <w:tblCellSpacing w:w="0" w:type="dxa"/>
              <w:tblLayout w:type="fixed"/>
              <w:tblCellMar>
                <w:left w:w="0" w:type="dxa"/>
                <w:right w:w="0" w:type="dxa"/>
              </w:tblCellMar>
              <w:tblLook w:val="04A0" w:firstRow="1" w:lastRow="0" w:firstColumn="1" w:lastColumn="0" w:noHBand="0" w:noVBand="1"/>
            </w:tblPr>
            <w:tblGrid>
              <w:gridCol w:w="20"/>
              <w:gridCol w:w="4148"/>
            </w:tblGrid>
            <w:tr w:rsidR="001E1112" w:rsidRPr="00317ABF" w14:paraId="05F4F221" w14:textId="77777777" w:rsidTr="001D28BB">
              <w:trPr>
                <w:tblCellSpacing w:w="0" w:type="dxa"/>
              </w:trPr>
              <w:tc>
                <w:tcPr>
                  <w:tcW w:w="6" w:type="dxa"/>
                  <w:hideMark/>
                </w:tcPr>
                <w:p w14:paraId="73183DC0" w14:textId="77777777" w:rsidR="001E1112" w:rsidRPr="00317ABF" w:rsidRDefault="001E1112" w:rsidP="00EE0AC3">
                  <w:pPr>
                    <w:framePr w:hSpace="141" w:wrap="around" w:vAnchor="text" w:hAnchor="text" w:xAlign="right" w:y="1"/>
                    <w:spacing w:before="120"/>
                    <w:suppressOverlap/>
                    <w:jc w:val="both"/>
                    <w:rPr>
                      <w:sz w:val="22"/>
                      <w:szCs w:val="22"/>
                    </w:rPr>
                  </w:pPr>
                </w:p>
              </w:tc>
              <w:tc>
                <w:tcPr>
                  <w:tcW w:w="9066" w:type="dxa"/>
                  <w:hideMark/>
                </w:tcPr>
                <w:p w14:paraId="5E275AC4" w14:textId="77777777" w:rsidR="001E1112" w:rsidRPr="00317ABF" w:rsidRDefault="001E1112" w:rsidP="00EE0AC3">
                  <w:pPr>
                    <w:framePr w:hSpace="141" w:wrap="around" w:vAnchor="text" w:hAnchor="text" w:xAlign="right" w:y="1"/>
                    <w:numPr>
                      <w:ilvl w:val="0"/>
                      <w:numId w:val="44"/>
                    </w:numPr>
                    <w:spacing w:before="120"/>
                    <w:suppressOverlap/>
                    <w:jc w:val="both"/>
                    <w:rPr>
                      <w:sz w:val="22"/>
                      <w:szCs w:val="22"/>
                    </w:rPr>
                  </w:pPr>
                  <w:r w:rsidRPr="00317ABF">
                    <w:rPr>
                      <w:sz w:val="22"/>
                      <w:szCs w:val="22"/>
                    </w:rPr>
                    <w:t>zreorganizować i umożliwić użytkowanie wystarczająco dużych bloków zakresu częstotliwości 3,4–3,8 GHz;</w:t>
                  </w:r>
                </w:p>
              </w:tc>
            </w:tr>
          </w:tbl>
          <w:p w14:paraId="17C028FB" w14:textId="77777777" w:rsidR="001E1112" w:rsidRPr="00317ABF" w:rsidRDefault="001E1112" w:rsidP="00DB3BEC">
            <w:pPr>
              <w:jc w:val="both"/>
              <w:rPr>
                <w:vanish/>
                <w:sz w:val="22"/>
                <w:szCs w:val="22"/>
              </w:rPr>
            </w:pPr>
          </w:p>
          <w:tbl>
            <w:tblPr>
              <w:tblW w:w="5000" w:type="pct"/>
              <w:tblCellSpacing w:w="0" w:type="dxa"/>
              <w:tblLayout w:type="fixed"/>
              <w:tblCellMar>
                <w:left w:w="0" w:type="dxa"/>
                <w:right w:w="0" w:type="dxa"/>
              </w:tblCellMar>
              <w:tblLook w:val="04A0" w:firstRow="1" w:lastRow="0" w:firstColumn="1" w:lastColumn="0" w:noHBand="0" w:noVBand="1"/>
            </w:tblPr>
            <w:tblGrid>
              <w:gridCol w:w="20"/>
              <w:gridCol w:w="4148"/>
            </w:tblGrid>
            <w:tr w:rsidR="001E1112" w:rsidRPr="00317ABF" w14:paraId="52D8BF05" w14:textId="77777777" w:rsidTr="001D28BB">
              <w:trPr>
                <w:tblCellSpacing w:w="0" w:type="dxa"/>
              </w:trPr>
              <w:tc>
                <w:tcPr>
                  <w:tcW w:w="6" w:type="dxa"/>
                  <w:hideMark/>
                </w:tcPr>
                <w:p w14:paraId="79C8CAA1" w14:textId="77777777" w:rsidR="001E1112" w:rsidRPr="00317ABF" w:rsidRDefault="001E1112" w:rsidP="00EE0AC3">
                  <w:pPr>
                    <w:framePr w:hSpace="141" w:wrap="around" w:vAnchor="text" w:hAnchor="text" w:xAlign="right" w:y="1"/>
                    <w:spacing w:before="120"/>
                    <w:suppressOverlap/>
                    <w:jc w:val="both"/>
                    <w:rPr>
                      <w:sz w:val="22"/>
                      <w:szCs w:val="22"/>
                    </w:rPr>
                  </w:pPr>
                </w:p>
              </w:tc>
              <w:tc>
                <w:tcPr>
                  <w:tcW w:w="9066" w:type="dxa"/>
                  <w:hideMark/>
                </w:tcPr>
                <w:p w14:paraId="349E8CCF" w14:textId="77777777" w:rsidR="001E1112" w:rsidRPr="00317ABF" w:rsidRDefault="001E1112" w:rsidP="00EE0AC3">
                  <w:pPr>
                    <w:framePr w:hSpace="141" w:wrap="around" w:vAnchor="text" w:hAnchor="text" w:xAlign="right" w:y="1"/>
                    <w:numPr>
                      <w:ilvl w:val="0"/>
                      <w:numId w:val="44"/>
                    </w:numPr>
                    <w:spacing w:before="120"/>
                    <w:suppressOverlap/>
                    <w:jc w:val="both"/>
                    <w:rPr>
                      <w:sz w:val="22"/>
                      <w:szCs w:val="22"/>
                    </w:rPr>
                  </w:pPr>
                  <w:r w:rsidRPr="00317ABF">
                    <w:rPr>
                      <w:sz w:val="22"/>
                      <w:szCs w:val="22"/>
                    </w:rPr>
                    <w:t xml:space="preserve">umożliwić użytkowanie przynajmniej 1 GHz zakresu częstotliwości 24,25–27,5 GHz, pod warunkiem że istnieją </w:t>
                  </w:r>
                  <w:r w:rsidRPr="00317ABF">
                    <w:rPr>
                      <w:sz w:val="22"/>
                      <w:szCs w:val="22"/>
                    </w:rPr>
                    <w:lastRenderedPageBreak/>
                    <w:t>niezbite dowody świadczące o popycie rynkowym i braku znacznych ograniczeń dla migracji istniejących użytkowników lub o zwolnieniu pasma.</w:t>
                  </w:r>
                </w:p>
              </w:tc>
            </w:tr>
          </w:tbl>
          <w:p w14:paraId="69EFBFC0" w14:textId="77777777" w:rsidR="001E1112" w:rsidRPr="00317ABF" w:rsidRDefault="001E1112" w:rsidP="00DB3BEC">
            <w:pPr>
              <w:spacing w:before="120"/>
              <w:jc w:val="both"/>
              <w:rPr>
                <w:sz w:val="22"/>
                <w:szCs w:val="22"/>
              </w:rPr>
            </w:pPr>
          </w:p>
        </w:tc>
        <w:tc>
          <w:tcPr>
            <w:tcW w:w="986" w:type="dxa"/>
          </w:tcPr>
          <w:p w14:paraId="18A2A7C9" w14:textId="5F120D3B" w:rsidR="001E1112" w:rsidRPr="00317ABF" w:rsidRDefault="001E1112" w:rsidP="00DB3BEC">
            <w:pPr>
              <w:jc w:val="both"/>
              <w:rPr>
                <w:sz w:val="22"/>
                <w:szCs w:val="22"/>
              </w:rPr>
            </w:pPr>
            <w:r w:rsidRPr="00317ABF">
              <w:rPr>
                <w:sz w:val="22"/>
                <w:szCs w:val="22"/>
              </w:rPr>
              <w:lastRenderedPageBreak/>
              <w:t>N</w:t>
            </w:r>
          </w:p>
        </w:tc>
        <w:tc>
          <w:tcPr>
            <w:tcW w:w="910" w:type="dxa"/>
          </w:tcPr>
          <w:p w14:paraId="302DD8F0" w14:textId="77777777" w:rsidR="001E1112" w:rsidRPr="00317ABF" w:rsidRDefault="001E1112" w:rsidP="00DB3BEC">
            <w:pPr>
              <w:pStyle w:val="Tekstpodstawowy"/>
              <w:rPr>
                <w:b/>
                <w:noProof/>
                <w:sz w:val="22"/>
                <w:szCs w:val="22"/>
              </w:rPr>
            </w:pPr>
          </w:p>
        </w:tc>
        <w:tc>
          <w:tcPr>
            <w:tcW w:w="6814" w:type="dxa"/>
            <w:gridSpan w:val="2"/>
          </w:tcPr>
          <w:p w14:paraId="16A89B89" w14:textId="77777777" w:rsidR="001E1112" w:rsidRPr="00317ABF" w:rsidRDefault="001E1112" w:rsidP="00DB3BEC">
            <w:pPr>
              <w:pStyle w:val="Tekstpodstawowy"/>
              <w:rPr>
                <w:sz w:val="22"/>
                <w:szCs w:val="22"/>
              </w:rPr>
            </w:pPr>
          </w:p>
        </w:tc>
      </w:tr>
      <w:tr w:rsidR="001E1112" w:rsidRPr="00317ABF" w14:paraId="03729768" w14:textId="77777777" w:rsidTr="7753F98D">
        <w:trPr>
          <w:gridAfter w:val="2"/>
          <w:wAfter w:w="175" w:type="dxa"/>
        </w:trPr>
        <w:tc>
          <w:tcPr>
            <w:tcW w:w="704" w:type="dxa"/>
          </w:tcPr>
          <w:p w14:paraId="276518C2" w14:textId="77777777" w:rsidR="001E1112" w:rsidRPr="00317ABF" w:rsidRDefault="001E1112" w:rsidP="00DB3BEC">
            <w:pPr>
              <w:jc w:val="both"/>
              <w:rPr>
                <w:sz w:val="22"/>
                <w:szCs w:val="22"/>
              </w:rPr>
            </w:pPr>
            <w:r w:rsidRPr="00317ABF">
              <w:rPr>
                <w:sz w:val="22"/>
                <w:szCs w:val="22"/>
              </w:rPr>
              <w:lastRenderedPageBreak/>
              <w:t>Art. 54 ust. 2</w:t>
            </w:r>
          </w:p>
        </w:tc>
        <w:tc>
          <w:tcPr>
            <w:tcW w:w="4308" w:type="dxa"/>
          </w:tcPr>
          <w:p w14:paraId="3FD7569D" w14:textId="77777777" w:rsidR="001E1112" w:rsidRPr="00317ABF" w:rsidRDefault="001E1112" w:rsidP="00DB3BEC">
            <w:pPr>
              <w:spacing w:before="120"/>
              <w:jc w:val="both"/>
              <w:rPr>
                <w:sz w:val="22"/>
                <w:szCs w:val="22"/>
              </w:rPr>
            </w:pPr>
            <w:r w:rsidRPr="00317ABF">
              <w:rPr>
                <w:sz w:val="22"/>
                <w:szCs w:val="22"/>
              </w:rPr>
              <w:t>2.   Państwa członkowskie mogą jednak przedłużyć termin określony w ust. 1 niniejszego artykułu, jeżeli jest to uzasadnione, zgodnie z art. 45 ust. 3 lub art. 53 ust. 2, 3 lub 4.</w:t>
            </w:r>
          </w:p>
        </w:tc>
        <w:tc>
          <w:tcPr>
            <w:tcW w:w="986" w:type="dxa"/>
          </w:tcPr>
          <w:p w14:paraId="5612620D" w14:textId="41673EBF" w:rsidR="001E1112" w:rsidRPr="00317ABF" w:rsidRDefault="001E1112" w:rsidP="00DB3BEC">
            <w:pPr>
              <w:jc w:val="both"/>
              <w:rPr>
                <w:sz w:val="22"/>
                <w:szCs w:val="22"/>
              </w:rPr>
            </w:pPr>
            <w:r w:rsidRPr="00317ABF">
              <w:rPr>
                <w:sz w:val="22"/>
                <w:szCs w:val="22"/>
              </w:rPr>
              <w:t>N</w:t>
            </w:r>
          </w:p>
        </w:tc>
        <w:tc>
          <w:tcPr>
            <w:tcW w:w="910" w:type="dxa"/>
          </w:tcPr>
          <w:p w14:paraId="1206202A" w14:textId="77777777" w:rsidR="001E1112" w:rsidRPr="00317ABF" w:rsidRDefault="001E1112" w:rsidP="00DB3BEC">
            <w:pPr>
              <w:pStyle w:val="Tekstpodstawowy"/>
              <w:rPr>
                <w:b/>
                <w:noProof/>
                <w:sz w:val="22"/>
                <w:szCs w:val="22"/>
              </w:rPr>
            </w:pPr>
          </w:p>
        </w:tc>
        <w:tc>
          <w:tcPr>
            <w:tcW w:w="6814" w:type="dxa"/>
            <w:gridSpan w:val="2"/>
          </w:tcPr>
          <w:p w14:paraId="3C8A857E" w14:textId="77777777" w:rsidR="001E1112" w:rsidRPr="00317ABF" w:rsidRDefault="001E1112" w:rsidP="00DB3BEC">
            <w:pPr>
              <w:pStyle w:val="Tekstpodstawowy"/>
              <w:rPr>
                <w:sz w:val="22"/>
                <w:szCs w:val="22"/>
              </w:rPr>
            </w:pPr>
          </w:p>
        </w:tc>
      </w:tr>
      <w:tr w:rsidR="001E1112" w:rsidRPr="00317ABF" w14:paraId="17566406" w14:textId="77777777" w:rsidTr="7753F98D">
        <w:trPr>
          <w:gridAfter w:val="2"/>
          <w:wAfter w:w="175" w:type="dxa"/>
        </w:trPr>
        <w:tc>
          <w:tcPr>
            <w:tcW w:w="704" w:type="dxa"/>
          </w:tcPr>
          <w:p w14:paraId="072AD7E9" w14:textId="77777777" w:rsidR="001E1112" w:rsidRPr="00317ABF" w:rsidRDefault="001E1112" w:rsidP="00DB3BEC">
            <w:pPr>
              <w:jc w:val="both"/>
              <w:rPr>
                <w:sz w:val="22"/>
                <w:szCs w:val="22"/>
              </w:rPr>
            </w:pPr>
            <w:r w:rsidRPr="00317ABF">
              <w:rPr>
                <w:sz w:val="22"/>
                <w:szCs w:val="22"/>
              </w:rPr>
              <w:t>Art. 54 ust. 3</w:t>
            </w:r>
          </w:p>
        </w:tc>
        <w:tc>
          <w:tcPr>
            <w:tcW w:w="4308" w:type="dxa"/>
          </w:tcPr>
          <w:p w14:paraId="450D9E33" w14:textId="77777777" w:rsidR="001E1112" w:rsidRPr="00317ABF" w:rsidRDefault="001E1112" w:rsidP="00DB3BEC">
            <w:pPr>
              <w:spacing w:before="120"/>
              <w:jc w:val="both"/>
              <w:rPr>
                <w:sz w:val="22"/>
                <w:szCs w:val="22"/>
              </w:rPr>
            </w:pPr>
            <w:r w:rsidRPr="00317ABF">
              <w:rPr>
                <w:sz w:val="22"/>
                <w:szCs w:val="22"/>
              </w:rPr>
              <w:t>3.   Środki podejmowane na podstawie ust. 1 niniejszego artykułu spełniają zharmonizowane warunki ustanowione w drodze technicznych środków wykonawczych przyjętych przez Komisję zgodnie art. 4 decyzji nr 676/2002/WE.</w:t>
            </w:r>
          </w:p>
        </w:tc>
        <w:tc>
          <w:tcPr>
            <w:tcW w:w="986" w:type="dxa"/>
          </w:tcPr>
          <w:p w14:paraId="2CB0D7CB" w14:textId="7080BC99" w:rsidR="001E1112" w:rsidRPr="00317ABF" w:rsidRDefault="001E1112" w:rsidP="00DB3BEC">
            <w:pPr>
              <w:jc w:val="both"/>
              <w:rPr>
                <w:sz w:val="22"/>
                <w:szCs w:val="22"/>
              </w:rPr>
            </w:pPr>
            <w:r w:rsidRPr="00317ABF">
              <w:rPr>
                <w:sz w:val="22"/>
                <w:szCs w:val="22"/>
              </w:rPr>
              <w:t>N</w:t>
            </w:r>
          </w:p>
        </w:tc>
        <w:tc>
          <w:tcPr>
            <w:tcW w:w="910" w:type="dxa"/>
          </w:tcPr>
          <w:p w14:paraId="2E5C6B8F" w14:textId="77777777" w:rsidR="001E1112" w:rsidRPr="00317ABF" w:rsidRDefault="001E1112" w:rsidP="00DB3BEC">
            <w:pPr>
              <w:pStyle w:val="Tekstpodstawowy"/>
              <w:rPr>
                <w:b/>
                <w:noProof/>
                <w:sz w:val="22"/>
                <w:szCs w:val="22"/>
              </w:rPr>
            </w:pPr>
          </w:p>
        </w:tc>
        <w:tc>
          <w:tcPr>
            <w:tcW w:w="6814" w:type="dxa"/>
            <w:gridSpan w:val="2"/>
          </w:tcPr>
          <w:p w14:paraId="05B20969" w14:textId="77777777" w:rsidR="001E1112" w:rsidRPr="00317ABF" w:rsidRDefault="001E1112" w:rsidP="00DB3BEC">
            <w:pPr>
              <w:pStyle w:val="Tekstpodstawowy"/>
              <w:rPr>
                <w:sz w:val="22"/>
                <w:szCs w:val="22"/>
              </w:rPr>
            </w:pPr>
          </w:p>
        </w:tc>
      </w:tr>
      <w:tr w:rsidR="001E1112" w:rsidRPr="00317ABF" w14:paraId="57061918" w14:textId="77777777" w:rsidTr="7753F98D">
        <w:trPr>
          <w:gridAfter w:val="2"/>
          <w:wAfter w:w="175" w:type="dxa"/>
        </w:trPr>
        <w:tc>
          <w:tcPr>
            <w:tcW w:w="704" w:type="dxa"/>
          </w:tcPr>
          <w:p w14:paraId="4BD9E6ED" w14:textId="77777777" w:rsidR="001E1112" w:rsidRPr="00317ABF" w:rsidRDefault="001E1112" w:rsidP="00DB3BEC">
            <w:pPr>
              <w:jc w:val="both"/>
              <w:rPr>
                <w:b/>
                <w:sz w:val="22"/>
                <w:szCs w:val="22"/>
              </w:rPr>
            </w:pPr>
            <w:r w:rsidRPr="00317ABF">
              <w:rPr>
                <w:b/>
                <w:sz w:val="22"/>
                <w:szCs w:val="22"/>
              </w:rPr>
              <w:t>Art. 55</w:t>
            </w:r>
          </w:p>
        </w:tc>
        <w:tc>
          <w:tcPr>
            <w:tcW w:w="4308" w:type="dxa"/>
          </w:tcPr>
          <w:p w14:paraId="1FF385A6" w14:textId="77777777" w:rsidR="001E1112" w:rsidRPr="00317ABF" w:rsidRDefault="001E1112" w:rsidP="00DB3BEC">
            <w:pPr>
              <w:spacing w:before="60" w:after="120"/>
              <w:jc w:val="both"/>
              <w:rPr>
                <w:b/>
                <w:bCs/>
                <w:sz w:val="22"/>
                <w:szCs w:val="22"/>
              </w:rPr>
            </w:pPr>
            <w:r w:rsidRPr="00317ABF">
              <w:rPr>
                <w:b/>
                <w:bCs/>
                <w:sz w:val="22"/>
                <w:szCs w:val="22"/>
              </w:rPr>
              <w:t>Procedura ograniczania liczby praw użytkowania, które mają zostać przyznane dla widma radiowego</w:t>
            </w:r>
          </w:p>
        </w:tc>
        <w:tc>
          <w:tcPr>
            <w:tcW w:w="986" w:type="dxa"/>
          </w:tcPr>
          <w:p w14:paraId="6C9ECDB7" w14:textId="77777777" w:rsidR="001E1112" w:rsidRPr="00317ABF" w:rsidRDefault="001E1112" w:rsidP="00DB3BEC">
            <w:pPr>
              <w:jc w:val="both"/>
              <w:rPr>
                <w:sz w:val="22"/>
                <w:szCs w:val="22"/>
              </w:rPr>
            </w:pPr>
          </w:p>
        </w:tc>
        <w:tc>
          <w:tcPr>
            <w:tcW w:w="910" w:type="dxa"/>
          </w:tcPr>
          <w:p w14:paraId="10EE03AE" w14:textId="77777777" w:rsidR="001E1112" w:rsidRPr="00317ABF" w:rsidRDefault="001E1112" w:rsidP="00DB3BEC">
            <w:pPr>
              <w:pStyle w:val="Tekstpodstawowy"/>
              <w:rPr>
                <w:b/>
                <w:noProof/>
                <w:sz w:val="22"/>
                <w:szCs w:val="22"/>
              </w:rPr>
            </w:pPr>
          </w:p>
        </w:tc>
        <w:tc>
          <w:tcPr>
            <w:tcW w:w="6814" w:type="dxa"/>
            <w:gridSpan w:val="2"/>
          </w:tcPr>
          <w:p w14:paraId="05DC0218" w14:textId="77777777" w:rsidR="001E1112" w:rsidRPr="00317ABF" w:rsidRDefault="001E1112" w:rsidP="00DB3BEC">
            <w:pPr>
              <w:pStyle w:val="Tekstpodstawowy"/>
              <w:rPr>
                <w:sz w:val="22"/>
                <w:szCs w:val="22"/>
              </w:rPr>
            </w:pPr>
          </w:p>
        </w:tc>
      </w:tr>
      <w:tr w:rsidR="001E1112" w:rsidRPr="00317ABF" w14:paraId="162945B1" w14:textId="77777777" w:rsidTr="7753F98D">
        <w:trPr>
          <w:gridAfter w:val="2"/>
          <w:wAfter w:w="175" w:type="dxa"/>
        </w:trPr>
        <w:tc>
          <w:tcPr>
            <w:tcW w:w="704" w:type="dxa"/>
          </w:tcPr>
          <w:p w14:paraId="33A1B79F" w14:textId="77777777" w:rsidR="001E1112" w:rsidRPr="00317ABF" w:rsidRDefault="001E1112" w:rsidP="00DB3BEC">
            <w:pPr>
              <w:jc w:val="both"/>
              <w:rPr>
                <w:sz w:val="22"/>
                <w:szCs w:val="22"/>
              </w:rPr>
            </w:pPr>
            <w:r w:rsidRPr="00317ABF">
              <w:rPr>
                <w:sz w:val="22"/>
                <w:szCs w:val="22"/>
              </w:rPr>
              <w:t>Art. 55 ust. 1</w:t>
            </w:r>
          </w:p>
        </w:tc>
        <w:tc>
          <w:tcPr>
            <w:tcW w:w="4308" w:type="dxa"/>
          </w:tcPr>
          <w:p w14:paraId="2F8D49C3" w14:textId="77777777" w:rsidR="001E1112" w:rsidRPr="00317ABF" w:rsidRDefault="001E1112" w:rsidP="00DB3BEC">
            <w:pPr>
              <w:spacing w:before="120"/>
              <w:jc w:val="both"/>
              <w:rPr>
                <w:sz w:val="22"/>
                <w:szCs w:val="22"/>
              </w:rPr>
            </w:pPr>
            <w:r w:rsidRPr="00317ABF">
              <w:rPr>
                <w:sz w:val="22"/>
                <w:szCs w:val="22"/>
              </w:rPr>
              <w:t>1.   Bez uszczerbku dla art. 53, państwo członkowskie, które stwierdzi, że prawo użytkowania widma radiowego nie może podlegać warunkom ogólnego zezwolenia, i które rozważa, czy ograniczyć liczbę praw użytkowania, które mają zostać przyznane dla widma radiowego, między innymi:</w:t>
            </w:r>
          </w:p>
          <w:tbl>
            <w:tblPr>
              <w:tblW w:w="5000" w:type="pct"/>
              <w:tblCellSpacing w:w="0" w:type="dxa"/>
              <w:tblLayout w:type="fixed"/>
              <w:tblCellMar>
                <w:left w:w="0" w:type="dxa"/>
                <w:right w:w="0" w:type="dxa"/>
              </w:tblCellMar>
              <w:tblLook w:val="04A0" w:firstRow="1" w:lastRow="0" w:firstColumn="1" w:lastColumn="0" w:noHBand="0" w:noVBand="1"/>
            </w:tblPr>
            <w:tblGrid>
              <w:gridCol w:w="20"/>
              <w:gridCol w:w="4148"/>
            </w:tblGrid>
            <w:tr w:rsidR="001E1112" w:rsidRPr="00317ABF" w14:paraId="41C6918E" w14:textId="77777777" w:rsidTr="001D28BB">
              <w:trPr>
                <w:tblCellSpacing w:w="0" w:type="dxa"/>
              </w:trPr>
              <w:tc>
                <w:tcPr>
                  <w:tcW w:w="6" w:type="dxa"/>
                  <w:hideMark/>
                </w:tcPr>
                <w:p w14:paraId="176924FD" w14:textId="77777777" w:rsidR="001E1112" w:rsidRPr="00317ABF" w:rsidRDefault="001E1112" w:rsidP="00EE0AC3">
                  <w:pPr>
                    <w:framePr w:hSpace="141" w:wrap="around" w:vAnchor="text" w:hAnchor="text" w:xAlign="right" w:y="1"/>
                    <w:spacing w:before="120"/>
                    <w:suppressOverlap/>
                    <w:jc w:val="both"/>
                    <w:rPr>
                      <w:sz w:val="22"/>
                      <w:szCs w:val="22"/>
                    </w:rPr>
                  </w:pPr>
                </w:p>
              </w:tc>
              <w:tc>
                <w:tcPr>
                  <w:tcW w:w="9066" w:type="dxa"/>
                  <w:hideMark/>
                </w:tcPr>
                <w:p w14:paraId="3CA8FD4D" w14:textId="77777777" w:rsidR="001E1112" w:rsidRPr="00317ABF" w:rsidRDefault="001E1112" w:rsidP="00EE0AC3">
                  <w:pPr>
                    <w:framePr w:hSpace="141" w:wrap="around" w:vAnchor="text" w:hAnchor="text" w:xAlign="right" w:y="1"/>
                    <w:numPr>
                      <w:ilvl w:val="0"/>
                      <w:numId w:val="45"/>
                    </w:numPr>
                    <w:spacing w:before="120"/>
                    <w:suppressOverlap/>
                    <w:jc w:val="both"/>
                    <w:rPr>
                      <w:sz w:val="22"/>
                      <w:szCs w:val="22"/>
                    </w:rPr>
                  </w:pPr>
                  <w:r w:rsidRPr="00317ABF">
                    <w:rPr>
                      <w:sz w:val="22"/>
                      <w:szCs w:val="22"/>
                    </w:rPr>
                    <w:t xml:space="preserve">wyraźnie wskazuje powody ograniczenia praw użytkowania, w szczególności poprzez odpowiednie rozważenie potrzeby zwiększenia korzyści dla użytkowników oraz ułatwiania rozwoju konkurencji, oraz dokonuje przeglądu tego ograniczenia, w stosownych przypadkach, w regularnych odstępach czasu lub na </w:t>
                  </w:r>
                  <w:r w:rsidRPr="00317ABF">
                    <w:rPr>
                      <w:sz w:val="22"/>
                      <w:szCs w:val="22"/>
                    </w:rPr>
                    <w:lastRenderedPageBreak/>
                    <w:t>uzasadniony wniosek zainteresowanego przedsiębiorstwa;</w:t>
                  </w:r>
                </w:p>
              </w:tc>
            </w:tr>
          </w:tbl>
          <w:p w14:paraId="75691DDA" w14:textId="77777777" w:rsidR="001E1112" w:rsidRPr="00317ABF" w:rsidRDefault="001E1112" w:rsidP="00DB3BEC">
            <w:pPr>
              <w:jc w:val="both"/>
              <w:rPr>
                <w:vanish/>
                <w:sz w:val="22"/>
                <w:szCs w:val="22"/>
              </w:rPr>
            </w:pPr>
          </w:p>
          <w:tbl>
            <w:tblPr>
              <w:tblW w:w="5000" w:type="pct"/>
              <w:tblCellSpacing w:w="0" w:type="dxa"/>
              <w:tblLayout w:type="fixed"/>
              <w:tblCellMar>
                <w:left w:w="0" w:type="dxa"/>
                <w:right w:w="0" w:type="dxa"/>
              </w:tblCellMar>
              <w:tblLook w:val="04A0" w:firstRow="1" w:lastRow="0" w:firstColumn="1" w:lastColumn="0" w:noHBand="0" w:noVBand="1"/>
            </w:tblPr>
            <w:tblGrid>
              <w:gridCol w:w="20"/>
              <w:gridCol w:w="4148"/>
            </w:tblGrid>
            <w:tr w:rsidR="001E1112" w:rsidRPr="00317ABF" w14:paraId="4BD4289A" w14:textId="77777777" w:rsidTr="001D28BB">
              <w:trPr>
                <w:tblCellSpacing w:w="0" w:type="dxa"/>
              </w:trPr>
              <w:tc>
                <w:tcPr>
                  <w:tcW w:w="6" w:type="dxa"/>
                  <w:hideMark/>
                </w:tcPr>
                <w:p w14:paraId="636455E4" w14:textId="77777777" w:rsidR="001E1112" w:rsidRPr="00317ABF" w:rsidRDefault="001E1112" w:rsidP="00EE0AC3">
                  <w:pPr>
                    <w:framePr w:hSpace="141" w:wrap="around" w:vAnchor="text" w:hAnchor="text" w:xAlign="right" w:y="1"/>
                    <w:spacing w:before="120"/>
                    <w:suppressOverlap/>
                    <w:jc w:val="both"/>
                    <w:rPr>
                      <w:sz w:val="22"/>
                      <w:szCs w:val="22"/>
                    </w:rPr>
                  </w:pPr>
                </w:p>
              </w:tc>
              <w:tc>
                <w:tcPr>
                  <w:tcW w:w="9066" w:type="dxa"/>
                  <w:hideMark/>
                </w:tcPr>
                <w:p w14:paraId="3E1A4456" w14:textId="77777777" w:rsidR="001E1112" w:rsidRPr="00317ABF" w:rsidRDefault="001E1112" w:rsidP="00EE0AC3">
                  <w:pPr>
                    <w:framePr w:hSpace="141" w:wrap="around" w:vAnchor="text" w:hAnchor="text" w:xAlign="right" w:y="1"/>
                    <w:numPr>
                      <w:ilvl w:val="0"/>
                      <w:numId w:val="45"/>
                    </w:numPr>
                    <w:spacing w:before="120"/>
                    <w:suppressOverlap/>
                    <w:jc w:val="both"/>
                    <w:rPr>
                      <w:sz w:val="22"/>
                      <w:szCs w:val="22"/>
                    </w:rPr>
                  </w:pPr>
                  <w:r w:rsidRPr="00317ABF">
                    <w:rPr>
                      <w:sz w:val="22"/>
                      <w:szCs w:val="22"/>
                    </w:rPr>
                    <w:t>zapewnia wszystkim zainteresowanym stronom, w tym użytkownikom i konsumentom, możliwość wypowiedzenia się w kwestii jakichkolwiek ograniczeń w ramach konsultacji publicznych zgodnie z art. 23.</w:t>
                  </w:r>
                </w:p>
              </w:tc>
            </w:tr>
          </w:tbl>
          <w:p w14:paraId="143FA822" w14:textId="77777777" w:rsidR="001E1112" w:rsidRPr="00317ABF" w:rsidRDefault="001E1112" w:rsidP="00DB3BEC">
            <w:pPr>
              <w:spacing w:before="120"/>
              <w:jc w:val="both"/>
              <w:rPr>
                <w:sz w:val="22"/>
                <w:szCs w:val="22"/>
              </w:rPr>
            </w:pPr>
          </w:p>
        </w:tc>
        <w:tc>
          <w:tcPr>
            <w:tcW w:w="986" w:type="dxa"/>
          </w:tcPr>
          <w:p w14:paraId="5090789D" w14:textId="67B47D8A" w:rsidR="001E1112" w:rsidRPr="00317ABF" w:rsidRDefault="001E1112" w:rsidP="00DB3BEC">
            <w:pPr>
              <w:jc w:val="both"/>
              <w:rPr>
                <w:sz w:val="22"/>
                <w:szCs w:val="22"/>
              </w:rPr>
            </w:pPr>
            <w:r w:rsidRPr="00317ABF">
              <w:rPr>
                <w:sz w:val="22"/>
                <w:szCs w:val="22"/>
              </w:rPr>
              <w:lastRenderedPageBreak/>
              <w:t>T</w:t>
            </w:r>
          </w:p>
        </w:tc>
        <w:tc>
          <w:tcPr>
            <w:tcW w:w="910" w:type="dxa"/>
          </w:tcPr>
          <w:p w14:paraId="7E20AB3F" w14:textId="3639AFC1" w:rsidR="001E1112" w:rsidRPr="00317ABF" w:rsidRDefault="00DB3BEC" w:rsidP="00DB3BEC">
            <w:pPr>
              <w:pStyle w:val="Tekstpodstawowy"/>
              <w:rPr>
                <w:b/>
                <w:bCs/>
                <w:noProof/>
                <w:sz w:val="22"/>
                <w:szCs w:val="22"/>
              </w:rPr>
            </w:pPr>
            <w:r w:rsidRPr="00317ABF">
              <w:rPr>
                <w:b/>
                <w:bCs/>
                <w:noProof/>
                <w:sz w:val="22"/>
                <w:szCs w:val="22"/>
              </w:rPr>
              <w:t xml:space="preserve">Art. </w:t>
            </w:r>
            <w:r w:rsidR="00CB34F1" w:rsidRPr="00317ABF">
              <w:rPr>
                <w:b/>
                <w:bCs/>
                <w:noProof/>
                <w:sz w:val="22"/>
                <w:szCs w:val="22"/>
              </w:rPr>
              <w:t>108</w:t>
            </w:r>
            <w:r w:rsidR="001E1112" w:rsidRPr="00317ABF">
              <w:rPr>
                <w:b/>
                <w:bCs/>
                <w:noProof/>
                <w:sz w:val="22"/>
                <w:szCs w:val="22"/>
              </w:rPr>
              <w:t xml:space="preserve"> ust. 1</w:t>
            </w:r>
          </w:p>
        </w:tc>
        <w:tc>
          <w:tcPr>
            <w:tcW w:w="6814" w:type="dxa"/>
            <w:gridSpan w:val="2"/>
          </w:tcPr>
          <w:p w14:paraId="2C13B6A8" w14:textId="07D6EA28" w:rsidR="001E1112" w:rsidRPr="00317ABF" w:rsidRDefault="001E1112" w:rsidP="00DB3BEC">
            <w:pPr>
              <w:jc w:val="both"/>
              <w:rPr>
                <w:sz w:val="22"/>
                <w:szCs w:val="22"/>
              </w:rPr>
            </w:pPr>
            <w:r w:rsidRPr="00317ABF">
              <w:rPr>
                <w:rStyle w:val="Ppogrubienie"/>
                <w:rFonts w:eastAsia="Times"/>
                <w:sz w:val="22"/>
                <w:szCs w:val="22"/>
              </w:rPr>
              <w:t>Art.</w:t>
            </w:r>
            <w:r w:rsidR="00CB34F1" w:rsidRPr="00317ABF">
              <w:rPr>
                <w:rStyle w:val="Ppogrubienie"/>
                <w:sz w:val="22"/>
                <w:szCs w:val="22"/>
              </w:rPr>
              <w:t> 108.</w:t>
            </w:r>
            <w:r w:rsidRPr="00317ABF">
              <w:rPr>
                <w:rFonts w:eastAsia="Times"/>
                <w:sz w:val="22"/>
                <w:szCs w:val="22"/>
              </w:rPr>
              <w:t xml:space="preserve"> 1. Prezes UKE, przed rozpoczęciem postępowania selekcyjnego, przeprowadza postępowanie konsultacyjne, udostępniając projekt ogłoszenia o przetargu, aukcji albo konkursie, projekt dokumentacji przetargowej, aukcyjnej albo konkursowej i projekt rozstrzygnięcia decyzji w sprawie rezerwacji częstotliwości, która zostanie wydana po przeprowadzeniu postępowania, o którym mowa w art. </w:t>
            </w:r>
            <w:r w:rsidR="00CB34F1" w:rsidRPr="00317ABF">
              <w:rPr>
                <w:sz w:val="22"/>
                <w:szCs w:val="22"/>
              </w:rPr>
              <w:t>121</w:t>
            </w:r>
            <w:r w:rsidRPr="00317ABF">
              <w:rPr>
                <w:rFonts w:eastAsia="Times"/>
                <w:sz w:val="22"/>
                <w:szCs w:val="22"/>
              </w:rPr>
              <w:t xml:space="preserve"> ust. 1, a także podając przyczyny wyboru trybu postępowania selekcyjnego oraz cel, którego osiągnięciu ma służyć to postępowanie.</w:t>
            </w:r>
          </w:p>
        </w:tc>
      </w:tr>
      <w:tr w:rsidR="001E1112" w:rsidRPr="00317ABF" w14:paraId="4961E229" w14:textId="77777777" w:rsidTr="7753F98D">
        <w:trPr>
          <w:gridAfter w:val="2"/>
          <w:wAfter w:w="175" w:type="dxa"/>
        </w:trPr>
        <w:tc>
          <w:tcPr>
            <w:tcW w:w="704" w:type="dxa"/>
          </w:tcPr>
          <w:p w14:paraId="79089B3E" w14:textId="77777777" w:rsidR="001E1112" w:rsidRPr="00317ABF" w:rsidRDefault="001E1112" w:rsidP="00DB3BEC">
            <w:pPr>
              <w:jc w:val="both"/>
              <w:rPr>
                <w:sz w:val="22"/>
                <w:szCs w:val="22"/>
              </w:rPr>
            </w:pPr>
            <w:r w:rsidRPr="00317ABF">
              <w:rPr>
                <w:sz w:val="22"/>
                <w:szCs w:val="22"/>
              </w:rPr>
              <w:lastRenderedPageBreak/>
              <w:t>Art. 55 ust. 2</w:t>
            </w:r>
          </w:p>
        </w:tc>
        <w:tc>
          <w:tcPr>
            <w:tcW w:w="4308" w:type="dxa"/>
          </w:tcPr>
          <w:p w14:paraId="3096AE5B" w14:textId="77777777" w:rsidR="001E1112" w:rsidRPr="00317ABF" w:rsidRDefault="001E1112" w:rsidP="00DB3BEC">
            <w:pPr>
              <w:spacing w:before="120"/>
              <w:jc w:val="both"/>
              <w:rPr>
                <w:sz w:val="22"/>
                <w:szCs w:val="22"/>
              </w:rPr>
            </w:pPr>
            <w:r w:rsidRPr="00317ABF">
              <w:rPr>
                <w:sz w:val="22"/>
                <w:szCs w:val="22"/>
              </w:rPr>
              <w:t>2.   Jeżeli państwo członkowskie stwierdzi, że należy ograniczyć liczbę praw użytkowania, wyraźnie określa i uzasadnia cele, jakie przyświecają procedurze selekcji konkurencyjnej lub porównawczej na podstawie niniejszego artykułu, oraz w miarę możliwości określa je w ujęciu ilościowym, zwracając należytą uwagę na konieczność osiągnięcia celów krajowych oraz celów związanych z rynkiem wewnętrznym. Cele, które państwo członkowskie może sformułować pod kątem konkretnej procedury selekcji, muszą, oprócz wspierania konkurencji, być ograniczone do jednego z następujących aspektów lub większej ich liczby:</w:t>
            </w:r>
          </w:p>
          <w:tbl>
            <w:tblPr>
              <w:tblW w:w="5000" w:type="pct"/>
              <w:tblCellSpacing w:w="0" w:type="dxa"/>
              <w:tblLayout w:type="fixed"/>
              <w:tblCellMar>
                <w:left w:w="0" w:type="dxa"/>
                <w:right w:w="0" w:type="dxa"/>
              </w:tblCellMar>
              <w:tblLook w:val="04A0" w:firstRow="1" w:lastRow="0" w:firstColumn="1" w:lastColumn="0" w:noHBand="0" w:noVBand="1"/>
            </w:tblPr>
            <w:tblGrid>
              <w:gridCol w:w="24"/>
              <w:gridCol w:w="4144"/>
            </w:tblGrid>
            <w:tr w:rsidR="001E1112" w:rsidRPr="00317ABF" w14:paraId="1849BA75" w14:textId="77777777" w:rsidTr="001D28BB">
              <w:trPr>
                <w:tblCellSpacing w:w="0" w:type="dxa"/>
              </w:trPr>
              <w:tc>
                <w:tcPr>
                  <w:tcW w:w="29" w:type="dxa"/>
                  <w:hideMark/>
                </w:tcPr>
                <w:p w14:paraId="7825458B" w14:textId="77777777" w:rsidR="001E1112" w:rsidRPr="00317ABF" w:rsidRDefault="001E1112" w:rsidP="00EE0AC3">
                  <w:pPr>
                    <w:framePr w:hSpace="141" w:wrap="around" w:vAnchor="text" w:hAnchor="text" w:xAlign="right" w:y="1"/>
                    <w:spacing w:before="120"/>
                    <w:suppressOverlap/>
                    <w:jc w:val="both"/>
                    <w:rPr>
                      <w:sz w:val="22"/>
                      <w:szCs w:val="22"/>
                    </w:rPr>
                  </w:pPr>
                </w:p>
              </w:tc>
              <w:tc>
                <w:tcPr>
                  <w:tcW w:w="9043" w:type="dxa"/>
                  <w:hideMark/>
                </w:tcPr>
                <w:p w14:paraId="0088A4E1" w14:textId="77777777" w:rsidR="001E1112" w:rsidRPr="00317ABF" w:rsidRDefault="001E1112" w:rsidP="00EE0AC3">
                  <w:pPr>
                    <w:framePr w:hSpace="141" w:wrap="around" w:vAnchor="text" w:hAnchor="text" w:xAlign="right" w:y="1"/>
                    <w:numPr>
                      <w:ilvl w:val="0"/>
                      <w:numId w:val="46"/>
                    </w:numPr>
                    <w:spacing w:before="120"/>
                    <w:suppressOverlap/>
                    <w:jc w:val="both"/>
                    <w:rPr>
                      <w:sz w:val="22"/>
                      <w:szCs w:val="22"/>
                    </w:rPr>
                  </w:pPr>
                  <w:r w:rsidRPr="00317ABF">
                    <w:rPr>
                      <w:sz w:val="22"/>
                      <w:szCs w:val="22"/>
                    </w:rPr>
                    <w:t>wspieranie zasięgu;</w:t>
                  </w:r>
                </w:p>
              </w:tc>
            </w:tr>
          </w:tbl>
          <w:p w14:paraId="42CD822F" w14:textId="77777777" w:rsidR="001E1112" w:rsidRPr="00317ABF" w:rsidRDefault="001E1112" w:rsidP="00DB3BEC">
            <w:pPr>
              <w:jc w:val="both"/>
              <w:rPr>
                <w:vanish/>
                <w:sz w:val="22"/>
                <w:szCs w:val="22"/>
              </w:rPr>
            </w:pPr>
          </w:p>
          <w:tbl>
            <w:tblPr>
              <w:tblW w:w="5000" w:type="pct"/>
              <w:tblCellSpacing w:w="0" w:type="dxa"/>
              <w:tblLayout w:type="fixed"/>
              <w:tblCellMar>
                <w:left w:w="0" w:type="dxa"/>
                <w:right w:w="0" w:type="dxa"/>
              </w:tblCellMar>
              <w:tblLook w:val="04A0" w:firstRow="1" w:lastRow="0" w:firstColumn="1" w:lastColumn="0" w:noHBand="0" w:noVBand="1"/>
            </w:tblPr>
            <w:tblGrid>
              <w:gridCol w:w="20"/>
              <w:gridCol w:w="4148"/>
            </w:tblGrid>
            <w:tr w:rsidR="001E1112" w:rsidRPr="00317ABF" w14:paraId="38BB329E" w14:textId="77777777" w:rsidTr="001D28BB">
              <w:trPr>
                <w:tblCellSpacing w:w="0" w:type="dxa"/>
              </w:trPr>
              <w:tc>
                <w:tcPr>
                  <w:tcW w:w="14" w:type="dxa"/>
                  <w:hideMark/>
                </w:tcPr>
                <w:p w14:paraId="0916780B" w14:textId="77777777" w:rsidR="001E1112" w:rsidRPr="00317ABF" w:rsidRDefault="001E1112" w:rsidP="00EE0AC3">
                  <w:pPr>
                    <w:framePr w:hSpace="141" w:wrap="around" w:vAnchor="text" w:hAnchor="text" w:xAlign="right" w:y="1"/>
                    <w:spacing w:before="120"/>
                    <w:suppressOverlap/>
                    <w:jc w:val="both"/>
                    <w:rPr>
                      <w:sz w:val="22"/>
                      <w:szCs w:val="22"/>
                    </w:rPr>
                  </w:pPr>
                </w:p>
              </w:tc>
              <w:tc>
                <w:tcPr>
                  <w:tcW w:w="9058" w:type="dxa"/>
                  <w:hideMark/>
                </w:tcPr>
                <w:p w14:paraId="76D1D667" w14:textId="77777777" w:rsidR="001E1112" w:rsidRPr="00317ABF" w:rsidRDefault="001E1112" w:rsidP="00EE0AC3">
                  <w:pPr>
                    <w:framePr w:hSpace="141" w:wrap="around" w:vAnchor="text" w:hAnchor="text" w:xAlign="right" w:y="1"/>
                    <w:numPr>
                      <w:ilvl w:val="0"/>
                      <w:numId w:val="46"/>
                    </w:numPr>
                    <w:spacing w:before="120"/>
                    <w:suppressOverlap/>
                    <w:jc w:val="both"/>
                    <w:rPr>
                      <w:sz w:val="22"/>
                      <w:szCs w:val="22"/>
                    </w:rPr>
                  </w:pPr>
                  <w:r w:rsidRPr="00317ABF">
                    <w:rPr>
                      <w:sz w:val="22"/>
                      <w:szCs w:val="22"/>
                    </w:rPr>
                    <w:t>zapewnienie wymaganej jakości usług;</w:t>
                  </w:r>
                </w:p>
              </w:tc>
            </w:tr>
          </w:tbl>
          <w:p w14:paraId="285B6095" w14:textId="77777777" w:rsidR="001E1112" w:rsidRPr="00317ABF" w:rsidRDefault="001E1112" w:rsidP="00DB3BEC">
            <w:pPr>
              <w:jc w:val="both"/>
              <w:rPr>
                <w:vanish/>
                <w:sz w:val="22"/>
                <w:szCs w:val="22"/>
              </w:rPr>
            </w:pPr>
          </w:p>
          <w:tbl>
            <w:tblPr>
              <w:tblW w:w="5000" w:type="pct"/>
              <w:tblCellSpacing w:w="0" w:type="dxa"/>
              <w:tblLayout w:type="fixed"/>
              <w:tblCellMar>
                <w:left w:w="0" w:type="dxa"/>
                <w:right w:w="0" w:type="dxa"/>
              </w:tblCellMar>
              <w:tblLook w:val="04A0" w:firstRow="1" w:lastRow="0" w:firstColumn="1" w:lastColumn="0" w:noHBand="0" w:noVBand="1"/>
            </w:tblPr>
            <w:tblGrid>
              <w:gridCol w:w="20"/>
              <w:gridCol w:w="4148"/>
            </w:tblGrid>
            <w:tr w:rsidR="001E1112" w:rsidRPr="00317ABF" w14:paraId="27FF75E7" w14:textId="77777777" w:rsidTr="001D28BB">
              <w:trPr>
                <w:tblCellSpacing w:w="0" w:type="dxa"/>
              </w:trPr>
              <w:tc>
                <w:tcPr>
                  <w:tcW w:w="6" w:type="dxa"/>
                  <w:hideMark/>
                </w:tcPr>
                <w:p w14:paraId="2CF6D4EB" w14:textId="77777777" w:rsidR="001E1112" w:rsidRPr="00317ABF" w:rsidRDefault="001E1112" w:rsidP="00EE0AC3">
                  <w:pPr>
                    <w:framePr w:hSpace="141" w:wrap="around" w:vAnchor="text" w:hAnchor="text" w:xAlign="right" w:y="1"/>
                    <w:spacing w:before="120"/>
                    <w:suppressOverlap/>
                    <w:jc w:val="both"/>
                    <w:rPr>
                      <w:sz w:val="22"/>
                      <w:szCs w:val="22"/>
                    </w:rPr>
                  </w:pPr>
                </w:p>
              </w:tc>
              <w:tc>
                <w:tcPr>
                  <w:tcW w:w="9066" w:type="dxa"/>
                  <w:hideMark/>
                </w:tcPr>
                <w:p w14:paraId="5A06E55C" w14:textId="77777777" w:rsidR="001E1112" w:rsidRPr="00317ABF" w:rsidRDefault="001E1112" w:rsidP="00EE0AC3">
                  <w:pPr>
                    <w:framePr w:hSpace="141" w:wrap="around" w:vAnchor="text" w:hAnchor="text" w:xAlign="right" w:y="1"/>
                    <w:numPr>
                      <w:ilvl w:val="0"/>
                      <w:numId w:val="46"/>
                    </w:numPr>
                    <w:spacing w:before="120"/>
                    <w:suppressOverlap/>
                    <w:jc w:val="both"/>
                    <w:rPr>
                      <w:sz w:val="22"/>
                      <w:szCs w:val="22"/>
                    </w:rPr>
                  </w:pPr>
                  <w:r w:rsidRPr="00317ABF">
                    <w:rPr>
                      <w:sz w:val="22"/>
                      <w:szCs w:val="22"/>
                    </w:rPr>
                    <w:t>wspieranie efektywnego wykorzystania widma radiowego, w tym przez uwzględnienie warunków związanych z prawami użytkowania i poziomu opłat;</w:t>
                  </w:r>
                </w:p>
              </w:tc>
            </w:tr>
          </w:tbl>
          <w:p w14:paraId="03B079D7" w14:textId="77777777" w:rsidR="001E1112" w:rsidRPr="00317ABF" w:rsidRDefault="001E1112" w:rsidP="00DB3BEC">
            <w:pPr>
              <w:jc w:val="both"/>
              <w:rPr>
                <w:vanish/>
                <w:sz w:val="22"/>
                <w:szCs w:val="22"/>
              </w:rPr>
            </w:pPr>
          </w:p>
          <w:tbl>
            <w:tblPr>
              <w:tblW w:w="5000" w:type="pct"/>
              <w:tblCellSpacing w:w="0" w:type="dxa"/>
              <w:tblLayout w:type="fixed"/>
              <w:tblCellMar>
                <w:left w:w="0" w:type="dxa"/>
                <w:right w:w="0" w:type="dxa"/>
              </w:tblCellMar>
              <w:tblLook w:val="04A0" w:firstRow="1" w:lastRow="0" w:firstColumn="1" w:lastColumn="0" w:noHBand="0" w:noVBand="1"/>
            </w:tblPr>
            <w:tblGrid>
              <w:gridCol w:w="20"/>
              <w:gridCol w:w="4148"/>
            </w:tblGrid>
            <w:tr w:rsidR="001E1112" w:rsidRPr="00317ABF" w14:paraId="7831254D" w14:textId="77777777" w:rsidTr="001D28BB">
              <w:trPr>
                <w:tblCellSpacing w:w="0" w:type="dxa"/>
              </w:trPr>
              <w:tc>
                <w:tcPr>
                  <w:tcW w:w="10" w:type="dxa"/>
                  <w:hideMark/>
                </w:tcPr>
                <w:p w14:paraId="27E3F437" w14:textId="77777777" w:rsidR="001E1112" w:rsidRPr="00317ABF" w:rsidRDefault="001E1112" w:rsidP="00EE0AC3">
                  <w:pPr>
                    <w:framePr w:hSpace="141" w:wrap="around" w:vAnchor="text" w:hAnchor="text" w:xAlign="right" w:y="1"/>
                    <w:spacing w:before="120"/>
                    <w:suppressOverlap/>
                    <w:jc w:val="both"/>
                    <w:rPr>
                      <w:sz w:val="22"/>
                      <w:szCs w:val="22"/>
                    </w:rPr>
                  </w:pPr>
                </w:p>
              </w:tc>
              <w:tc>
                <w:tcPr>
                  <w:tcW w:w="9062" w:type="dxa"/>
                  <w:hideMark/>
                </w:tcPr>
                <w:p w14:paraId="02A85EF4" w14:textId="77777777" w:rsidR="001E1112" w:rsidRPr="00317ABF" w:rsidRDefault="001E1112" w:rsidP="00EE0AC3">
                  <w:pPr>
                    <w:framePr w:hSpace="141" w:wrap="around" w:vAnchor="text" w:hAnchor="text" w:xAlign="right" w:y="1"/>
                    <w:numPr>
                      <w:ilvl w:val="0"/>
                      <w:numId w:val="46"/>
                    </w:numPr>
                    <w:spacing w:before="120"/>
                    <w:suppressOverlap/>
                    <w:jc w:val="both"/>
                    <w:rPr>
                      <w:sz w:val="22"/>
                      <w:szCs w:val="22"/>
                    </w:rPr>
                  </w:pPr>
                  <w:r w:rsidRPr="00317ABF">
                    <w:rPr>
                      <w:sz w:val="22"/>
                      <w:szCs w:val="22"/>
                    </w:rPr>
                    <w:t>wspieranie innowacji i rozwoju działalności gospodarczej.</w:t>
                  </w:r>
                </w:p>
              </w:tc>
            </w:tr>
          </w:tbl>
          <w:p w14:paraId="02BFC9B0" w14:textId="1C8D2D74" w:rsidR="001E1112" w:rsidRPr="00317ABF" w:rsidRDefault="001E1112" w:rsidP="00DB3BEC">
            <w:pPr>
              <w:spacing w:before="120"/>
              <w:jc w:val="both"/>
              <w:rPr>
                <w:sz w:val="22"/>
                <w:szCs w:val="22"/>
              </w:rPr>
            </w:pPr>
            <w:r w:rsidRPr="00317ABF">
              <w:rPr>
                <w:sz w:val="22"/>
                <w:szCs w:val="22"/>
              </w:rPr>
              <w:t>Krajowy organ regulacyjny lub inny właściwy organ wyraźnie określa procedurę selekcji, w tym każdy wstępny etap pozwalający uzyskać dostęp do procedury selekcji, i uzasadnia wybór danej procedury. Organ ten wyraźnie informuje również o wynikach każdej odnośnej oceny konkurencji, uwarunkowań technicznych i warunków ekonomicznych na danym rynku i prezentuje powody ewentualnego zastosowania i wyboru środków na podstawie art. 35.</w:t>
            </w:r>
          </w:p>
        </w:tc>
        <w:tc>
          <w:tcPr>
            <w:tcW w:w="986" w:type="dxa"/>
          </w:tcPr>
          <w:p w14:paraId="598FF35B" w14:textId="3598D7F9" w:rsidR="001E1112" w:rsidRPr="00317ABF" w:rsidRDefault="001E1112" w:rsidP="00DB3BEC">
            <w:pPr>
              <w:jc w:val="both"/>
              <w:rPr>
                <w:sz w:val="22"/>
                <w:szCs w:val="22"/>
              </w:rPr>
            </w:pPr>
            <w:r w:rsidRPr="00317ABF">
              <w:rPr>
                <w:sz w:val="22"/>
                <w:szCs w:val="22"/>
              </w:rPr>
              <w:lastRenderedPageBreak/>
              <w:t>T</w:t>
            </w:r>
          </w:p>
        </w:tc>
        <w:tc>
          <w:tcPr>
            <w:tcW w:w="910" w:type="dxa"/>
          </w:tcPr>
          <w:p w14:paraId="426CF7B8" w14:textId="38AC2A94" w:rsidR="001E1112" w:rsidRPr="00317ABF" w:rsidRDefault="00DB3BEC" w:rsidP="00DB3BEC">
            <w:pPr>
              <w:pStyle w:val="Tekstpodstawowy"/>
              <w:rPr>
                <w:b/>
                <w:bCs/>
                <w:noProof/>
                <w:sz w:val="22"/>
                <w:szCs w:val="22"/>
              </w:rPr>
            </w:pPr>
            <w:r w:rsidRPr="00317ABF">
              <w:rPr>
                <w:b/>
                <w:bCs/>
                <w:noProof/>
                <w:sz w:val="22"/>
                <w:szCs w:val="22"/>
              </w:rPr>
              <w:t xml:space="preserve">Art. </w:t>
            </w:r>
            <w:r w:rsidR="00CB34F1" w:rsidRPr="00317ABF">
              <w:rPr>
                <w:b/>
                <w:bCs/>
                <w:noProof/>
                <w:sz w:val="22"/>
                <w:szCs w:val="22"/>
              </w:rPr>
              <w:t>108</w:t>
            </w:r>
            <w:r w:rsidR="001E1112" w:rsidRPr="00317ABF">
              <w:rPr>
                <w:b/>
                <w:bCs/>
                <w:noProof/>
                <w:sz w:val="22"/>
                <w:szCs w:val="22"/>
              </w:rPr>
              <w:t xml:space="preserve"> </w:t>
            </w:r>
          </w:p>
        </w:tc>
        <w:tc>
          <w:tcPr>
            <w:tcW w:w="6814" w:type="dxa"/>
            <w:gridSpan w:val="2"/>
          </w:tcPr>
          <w:p w14:paraId="7BF786B9" w14:textId="7D227EBE" w:rsidR="001E1112" w:rsidRPr="00317ABF" w:rsidRDefault="00CB34F1" w:rsidP="00DB3BEC">
            <w:pPr>
              <w:ind w:firstLine="510"/>
              <w:jc w:val="both"/>
              <w:rPr>
                <w:sz w:val="22"/>
                <w:szCs w:val="22"/>
              </w:rPr>
            </w:pPr>
            <w:r w:rsidRPr="00317ABF">
              <w:rPr>
                <w:rStyle w:val="Ppogrubienie"/>
                <w:sz w:val="22"/>
                <w:szCs w:val="22"/>
              </w:rPr>
              <w:t>Art. 108.</w:t>
            </w:r>
            <w:r w:rsidRPr="00317ABF">
              <w:rPr>
                <w:sz w:val="22"/>
                <w:szCs w:val="22"/>
              </w:rPr>
              <w:t xml:space="preserve"> </w:t>
            </w:r>
            <w:r w:rsidR="001E1112" w:rsidRPr="00317ABF">
              <w:rPr>
                <w:rFonts w:eastAsia="Times"/>
                <w:sz w:val="22"/>
                <w:szCs w:val="22"/>
              </w:rPr>
              <w:t xml:space="preserve">1. Prezes UKE, przed rozpoczęciem postępowania selekcyjnego, przeprowadza postępowanie konsultacyjne, udostępniając projekt ogłoszenia o przetargu, aukcji albo konkursie, projekt dokumentacji przetargowej, aukcyjnej albo konkursowej i projekt rozstrzygnięcia decyzji w sprawie rezerwacji częstotliwości, która zostanie wydana po przeprowadzeniu postępowania, o którym mowa w art. </w:t>
            </w:r>
            <w:r w:rsidRPr="00317ABF">
              <w:rPr>
                <w:sz w:val="22"/>
                <w:szCs w:val="22"/>
              </w:rPr>
              <w:t>121</w:t>
            </w:r>
            <w:r w:rsidR="001E1112" w:rsidRPr="00317ABF">
              <w:rPr>
                <w:rFonts w:eastAsia="Times"/>
                <w:sz w:val="22"/>
                <w:szCs w:val="22"/>
              </w:rPr>
              <w:t xml:space="preserve"> ust. 1, a także podając przyczyny wyboru trybu postępowania selekcyjnego oraz cel, którego osiągnięciu ma służyć to postępowanie.</w:t>
            </w:r>
          </w:p>
          <w:p w14:paraId="2F9F3794" w14:textId="1DA3F2F7" w:rsidR="001E1112" w:rsidRPr="00317ABF" w:rsidRDefault="001E1112" w:rsidP="00CB34F1">
            <w:pPr>
              <w:pStyle w:val="USTustnpkodeksu"/>
              <w:keepNext/>
              <w:spacing w:line="240" w:lineRule="auto"/>
              <w:rPr>
                <w:rFonts w:ascii="Times New Roman" w:hAnsi="Times New Roman" w:cs="Times New Roman"/>
                <w:sz w:val="22"/>
                <w:szCs w:val="22"/>
              </w:rPr>
            </w:pPr>
            <w:r w:rsidRPr="00317ABF">
              <w:rPr>
                <w:rFonts w:ascii="Times New Roman" w:eastAsia="Times" w:hAnsi="Times New Roman" w:cs="Times New Roman"/>
                <w:sz w:val="22"/>
                <w:szCs w:val="22"/>
              </w:rPr>
              <w:t>2. Cel, o którym mowa w ust. 1, oprócz wspierania równoprawnej konkurencji, może dodatkowo obejmować:</w:t>
            </w:r>
          </w:p>
          <w:p w14:paraId="65A2CE16" w14:textId="77777777" w:rsidR="00CB34F1" w:rsidRPr="00317ABF" w:rsidRDefault="00CB34F1" w:rsidP="00CB34F1">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1)</w:t>
            </w:r>
            <w:r w:rsidRPr="00317ABF">
              <w:rPr>
                <w:rFonts w:ascii="Times New Roman" w:hAnsi="Times New Roman" w:cs="Times New Roman"/>
                <w:sz w:val="22"/>
                <w:szCs w:val="22"/>
              </w:rPr>
              <w:tab/>
              <w:t>wspieranie zasięgu sieci i usług telekomunikacyjnych;</w:t>
            </w:r>
          </w:p>
          <w:p w14:paraId="31C91336" w14:textId="77777777" w:rsidR="00CB34F1" w:rsidRPr="00317ABF" w:rsidRDefault="00CB34F1" w:rsidP="00CB34F1">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2)</w:t>
            </w:r>
            <w:r w:rsidRPr="00317ABF">
              <w:rPr>
                <w:rFonts w:ascii="Times New Roman" w:hAnsi="Times New Roman" w:cs="Times New Roman"/>
                <w:sz w:val="22"/>
                <w:szCs w:val="22"/>
              </w:rPr>
              <w:tab/>
              <w:t>zapewnienie odpowiedniej jakości usług;</w:t>
            </w:r>
          </w:p>
          <w:p w14:paraId="09F2C3B4" w14:textId="77777777" w:rsidR="00CB34F1" w:rsidRPr="00317ABF" w:rsidRDefault="00CB34F1" w:rsidP="00CB34F1">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3)</w:t>
            </w:r>
            <w:r w:rsidRPr="00317ABF">
              <w:rPr>
                <w:rFonts w:ascii="Times New Roman" w:hAnsi="Times New Roman" w:cs="Times New Roman"/>
                <w:sz w:val="22"/>
                <w:szCs w:val="22"/>
              </w:rPr>
              <w:tab/>
              <w:t>wspieranie efektywnego wykorzystania częstotliwości;</w:t>
            </w:r>
          </w:p>
          <w:p w14:paraId="414A9600" w14:textId="77777777" w:rsidR="00CB34F1" w:rsidRPr="00317ABF" w:rsidRDefault="00CB34F1" w:rsidP="00CB34F1">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4)</w:t>
            </w:r>
            <w:r w:rsidRPr="00317ABF">
              <w:rPr>
                <w:rFonts w:ascii="Times New Roman" w:hAnsi="Times New Roman" w:cs="Times New Roman"/>
                <w:sz w:val="22"/>
                <w:szCs w:val="22"/>
              </w:rPr>
              <w:tab/>
              <w:t>tworzenie warunków do rozwoju działalności opartej na innowacyjnych technologiach.</w:t>
            </w:r>
          </w:p>
          <w:p w14:paraId="65694E05" w14:textId="77777777" w:rsidR="00CB34F1" w:rsidRPr="00317ABF" w:rsidRDefault="00CB34F1" w:rsidP="00CB34F1">
            <w:pPr>
              <w:pStyle w:val="USTustnpkodeksu"/>
              <w:keepNext/>
              <w:spacing w:line="240" w:lineRule="auto"/>
              <w:rPr>
                <w:rFonts w:ascii="Times New Roman" w:hAnsi="Times New Roman" w:cs="Times New Roman"/>
                <w:sz w:val="22"/>
                <w:szCs w:val="22"/>
              </w:rPr>
            </w:pPr>
            <w:r w:rsidRPr="00317ABF">
              <w:rPr>
                <w:rFonts w:ascii="Times New Roman" w:hAnsi="Times New Roman" w:cs="Times New Roman"/>
                <w:sz w:val="22"/>
                <w:szCs w:val="22"/>
              </w:rPr>
              <w:t>3. Po zakończeniu postępowania konsultacyjnego, Prezes UKE, udostępnia na stronie podmiotowej BIP UKE, wraz ze stanowiskami uczestników, które nie stanowią tajemnic prawnie chronionych:</w:t>
            </w:r>
          </w:p>
          <w:p w14:paraId="13E315B9" w14:textId="77777777" w:rsidR="00CB34F1" w:rsidRPr="00317ABF" w:rsidRDefault="00CB34F1" w:rsidP="00CB34F1">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1)</w:t>
            </w:r>
            <w:r w:rsidRPr="00317ABF">
              <w:rPr>
                <w:rFonts w:ascii="Times New Roman" w:hAnsi="Times New Roman" w:cs="Times New Roman"/>
                <w:sz w:val="22"/>
                <w:szCs w:val="22"/>
              </w:rPr>
              <w:tab/>
              <w:t>informacje o wyborze trybu postępowania selekcyjnego uzasadniając ten wybór oraz</w:t>
            </w:r>
          </w:p>
          <w:p w14:paraId="4DD7F606" w14:textId="09C51002" w:rsidR="001E1112" w:rsidRPr="00317ABF" w:rsidRDefault="001E1112" w:rsidP="00DB3BEC">
            <w:pPr>
              <w:jc w:val="both"/>
              <w:rPr>
                <w:sz w:val="22"/>
                <w:szCs w:val="22"/>
              </w:rPr>
            </w:pPr>
            <w:r w:rsidRPr="00317ABF">
              <w:rPr>
                <w:sz w:val="22"/>
                <w:szCs w:val="22"/>
              </w:rPr>
              <w:t>2)</w:t>
            </w:r>
            <w:r w:rsidR="00CB34F1" w:rsidRPr="00317ABF">
              <w:rPr>
                <w:sz w:val="22"/>
                <w:szCs w:val="22"/>
              </w:rPr>
              <w:tab/>
            </w:r>
            <w:r w:rsidRPr="00317ABF">
              <w:rPr>
                <w:sz w:val="22"/>
                <w:szCs w:val="22"/>
              </w:rPr>
              <w:t xml:space="preserve">informacje dotyczące forum wzajemnej oceny, o którym mowa w art. </w:t>
            </w:r>
            <w:r w:rsidR="00CB34F1" w:rsidRPr="00317ABF">
              <w:rPr>
                <w:sz w:val="22"/>
                <w:szCs w:val="22"/>
              </w:rPr>
              <w:t>109</w:t>
            </w:r>
            <w:r w:rsidRPr="00317ABF">
              <w:rPr>
                <w:sz w:val="22"/>
                <w:szCs w:val="22"/>
              </w:rPr>
              <w:t>, o ile było zwołane.</w:t>
            </w:r>
          </w:p>
        </w:tc>
      </w:tr>
      <w:tr w:rsidR="001E1112" w:rsidRPr="00317ABF" w14:paraId="5FDA30E9" w14:textId="77777777" w:rsidTr="7753F98D">
        <w:trPr>
          <w:gridAfter w:val="2"/>
          <w:wAfter w:w="175" w:type="dxa"/>
        </w:trPr>
        <w:tc>
          <w:tcPr>
            <w:tcW w:w="704" w:type="dxa"/>
          </w:tcPr>
          <w:p w14:paraId="5DCCFEF1" w14:textId="77777777" w:rsidR="001E1112" w:rsidRPr="00317ABF" w:rsidRDefault="001E1112" w:rsidP="00DB3BEC">
            <w:pPr>
              <w:jc w:val="both"/>
              <w:rPr>
                <w:sz w:val="22"/>
                <w:szCs w:val="22"/>
              </w:rPr>
            </w:pPr>
            <w:r w:rsidRPr="00317ABF">
              <w:rPr>
                <w:sz w:val="22"/>
                <w:szCs w:val="22"/>
              </w:rPr>
              <w:lastRenderedPageBreak/>
              <w:t>Art. 55 ust. 3</w:t>
            </w:r>
          </w:p>
        </w:tc>
        <w:tc>
          <w:tcPr>
            <w:tcW w:w="4308" w:type="dxa"/>
          </w:tcPr>
          <w:p w14:paraId="1EA7421A" w14:textId="77777777" w:rsidR="001E1112" w:rsidRPr="00317ABF" w:rsidRDefault="001E1112" w:rsidP="00DB3BEC">
            <w:pPr>
              <w:spacing w:before="120"/>
              <w:jc w:val="both"/>
              <w:rPr>
                <w:sz w:val="22"/>
                <w:szCs w:val="22"/>
              </w:rPr>
            </w:pPr>
            <w:r w:rsidRPr="00317ABF">
              <w:rPr>
                <w:sz w:val="22"/>
                <w:szCs w:val="22"/>
              </w:rPr>
              <w:t>3.   Państwa członkowskie publikują każdą decyzję dotyczącą wybranej procedury selekcji i powiązanych warunków, wyraźnie podając jej uzasadnienie. Publikują również warunki, którymi obwarowane zostaną prawa użytkowania.</w:t>
            </w:r>
          </w:p>
        </w:tc>
        <w:tc>
          <w:tcPr>
            <w:tcW w:w="986" w:type="dxa"/>
          </w:tcPr>
          <w:p w14:paraId="01814BFE" w14:textId="5E0606AE" w:rsidR="001E1112" w:rsidRPr="00317ABF" w:rsidRDefault="001E1112" w:rsidP="00DB3BEC">
            <w:pPr>
              <w:jc w:val="both"/>
              <w:rPr>
                <w:sz w:val="22"/>
                <w:szCs w:val="22"/>
              </w:rPr>
            </w:pPr>
            <w:r w:rsidRPr="00317ABF">
              <w:rPr>
                <w:sz w:val="22"/>
                <w:szCs w:val="22"/>
              </w:rPr>
              <w:t>T</w:t>
            </w:r>
          </w:p>
        </w:tc>
        <w:tc>
          <w:tcPr>
            <w:tcW w:w="910" w:type="dxa"/>
          </w:tcPr>
          <w:p w14:paraId="7EE69AC3" w14:textId="0459034F" w:rsidR="001E1112" w:rsidRPr="00317ABF" w:rsidRDefault="001E1112" w:rsidP="00DB3BEC">
            <w:pPr>
              <w:pStyle w:val="Tekstpodstawowy"/>
              <w:rPr>
                <w:b/>
                <w:bCs/>
                <w:noProof/>
                <w:sz w:val="22"/>
                <w:szCs w:val="22"/>
              </w:rPr>
            </w:pPr>
            <w:r w:rsidRPr="00317ABF">
              <w:rPr>
                <w:b/>
                <w:bCs/>
                <w:noProof/>
                <w:sz w:val="22"/>
                <w:szCs w:val="22"/>
              </w:rPr>
              <w:t xml:space="preserve">Art. </w:t>
            </w:r>
            <w:r w:rsidR="001105ED" w:rsidRPr="00317ABF">
              <w:rPr>
                <w:b/>
                <w:bCs/>
                <w:noProof/>
                <w:sz w:val="22"/>
                <w:szCs w:val="22"/>
              </w:rPr>
              <w:t>108</w:t>
            </w:r>
            <w:r w:rsidRPr="00317ABF">
              <w:rPr>
                <w:b/>
                <w:bCs/>
                <w:noProof/>
                <w:sz w:val="22"/>
                <w:szCs w:val="22"/>
              </w:rPr>
              <w:t xml:space="preserve"> ust. 3</w:t>
            </w:r>
          </w:p>
        </w:tc>
        <w:tc>
          <w:tcPr>
            <w:tcW w:w="6814" w:type="dxa"/>
            <w:gridSpan w:val="2"/>
          </w:tcPr>
          <w:p w14:paraId="0C1DAF6D" w14:textId="77777777" w:rsidR="001105ED" w:rsidRPr="00317ABF" w:rsidRDefault="001105ED" w:rsidP="001105ED">
            <w:pPr>
              <w:pStyle w:val="USTustnpkodeksu"/>
              <w:keepNext/>
              <w:spacing w:line="240" w:lineRule="auto"/>
              <w:rPr>
                <w:rFonts w:ascii="Times New Roman" w:hAnsi="Times New Roman" w:cs="Times New Roman"/>
                <w:sz w:val="22"/>
                <w:szCs w:val="22"/>
              </w:rPr>
            </w:pPr>
            <w:r w:rsidRPr="00317ABF">
              <w:rPr>
                <w:rFonts w:ascii="Times New Roman" w:hAnsi="Times New Roman" w:cs="Times New Roman"/>
                <w:sz w:val="22"/>
                <w:szCs w:val="22"/>
              </w:rPr>
              <w:t>3. Po zakończeniu postępowania konsultacyjnego, Prezes UKE, udostępnia na stronie podmiotowej BIP UKE, wraz ze stanowiskami uczestników, które nie stanowią tajemnic prawnie chronionych:</w:t>
            </w:r>
          </w:p>
          <w:p w14:paraId="69DFAC55" w14:textId="77777777" w:rsidR="001105ED" w:rsidRPr="00317ABF" w:rsidRDefault="001105ED" w:rsidP="001105ED">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1)</w:t>
            </w:r>
            <w:r w:rsidRPr="00317ABF">
              <w:rPr>
                <w:rFonts w:ascii="Times New Roman" w:hAnsi="Times New Roman" w:cs="Times New Roman"/>
                <w:sz w:val="22"/>
                <w:szCs w:val="22"/>
              </w:rPr>
              <w:tab/>
              <w:t>informacje o wyborze trybu postępowania selekcyjnego uzasadniając ten wybór oraz</w:t>
            </w:r>
          </w:p>
          <w:p w14:paraId="5D148105" w14:textId="44E31A83" w:rsidR="001E1112" w:rsidRPr="00317ABF" w:rsidRDefault="001E1112" w:rsidP="00DB3BEC">
            <w:pPr>
              <w:jc w:val="both"/>
              <w:rPr>
                <w:sz w:val="22"/>
                <w:szCs w:val="22"/>
              </w:rPr>
            </w:pPr>
            <w:r w:rsidRPr="00317ABF">
              <w:rPr>
                <w:sz w:val="22"/>
                <w:szCs w:val="22"/>
              </w:rPr>
              <w:t>2)</w:t>
            </w:r>
            <w:r w:rsidR="001105ED" w:rsidRPr="00317ABF">
              <w:rPr>
                <w:sz w:val="22"/>
                <w:szCs w:val="22"/>
              </w:rPr>
              <w:tab/>
            </w:r>
            <w:r w:rsidRPr="00317ABF">
              <w:rPr>
                <w:sz w:val="22"/>
                <w:szCs w:val="22"/>
              </w:rPr>
              <w:t xml:space="preserve">informacje dotyczące forum wzajemnej oceny, o którym mowa w art. </w:t>
            </w:r>
            <w:r w:rsidR="001105ED" w:rsidRPr="00317ABF">
              <w:rPr>
                <w:sz w:val="22"/>
                <w:szCs w:val="22"/>
              </w:rPr>
              <w:t>109</w:t>
            </w:r>
            <w:r w:rsidRPr="00317ABF">
              <w:rPr>
                <w:sz w:val="22"/>
                <w:szCs w:val="22"/>
              </w:rPr>
              <w:t>, o ile było zwołane.</w:t>
            </w:r>
          </w:p>
        </w:tc>
      </w:tr>
      <w:tr w:rsidR="001E1112" w:rsidRPr="00317ABF" w14:paraId="3E6008F4" w14:textId="77777777" w:rsidTr="7753F98D">
        <w:trPr>
          <w:gridAfter w:val="2"/>
          <w:wAfter w:w="175" w:type="dxa"/>
        </w:trPr>
        <w:tc>
          <w:tcPr>
            <w:tcW w:w="704" w:type="dxa"/>
          </w:tcPr>
          <w:p w14:paraId="357638CC" w14:textId="77777777" w:rsidR="001E1112" w:rsidRPr="00317ABF" w:rsidRDefault="001E1112" w:rsidP="00DB3BEC">
            <w:pPr>
              <w:jc w:val="both"/>
              <w:rPr>
                <w:sz w:val="22"/>
                <w:szCs w:val="22"/>
              </w:rPr>
            </w:pPr>
            <w:r w:rsidRPr="00317ABF">
              <w:rPr>
                <w:sz w:val="22"/>
                <w:szCs w:val="22"/>
              </w:rPr>
              <w:t>Art. 55 ust. 4</w:t>
            </w:r>
          </w:p>
        </w:tc>
        <w:tc>
          <w:tcPr>
            <w:tcW w:w="4308" w:type="dxa"/>
          </w:tcPr>
          <w:p w14:paraId="32C8AC96" w14:textId="77777777" w:rsidR="001E1112" w:rsidRPr="00317ABF" w:rsidRDefault="001E1112" w:rsidP="00DB3BEC">
            <w:pPr>
              <w:spacing w:before="120"/>
              <w:jc w:val="both"/>
              <w:rPr>
                <w:sz w:val="22"/>
                <w:szCs w:val="22"/>
              </w:rPr>
            </w:pPr>
            <w:r w:rsidRPr="00317ABF">
              <w:rPr>
                <w:sz w:val="22"/>
                <w:szCs w:val="22"/>
              </w:rPr>
              <w:t>4.   Po określeniu procedury selekcyjnej państwa członkowskie zapraszają do składania wniosków o przyznanie praw użytkowania.</w:t>
            </w:r>
          </w:p>
        </w:tc>
        <w:tc>
          <w:tcPr>
            <w:tcW w:w="986" w:type="dxa"/>
          </w:tcPr>
          <w:p w14:paraId="1CA3D955" w14:textId="54226E6F" w:rsidR="001E1112" w:rsidRPr="00317ABF" w:rsidRDefault="001E1112" w:rsidP="00DB3BEC">
            <w:pPr>
              <w:jc w:val="both"/>
              <w:rPr>
                <w:sz w:val="22"/>
                <w:szCs w:val="22"/>
              </w:rPr>
            </w:pPr>
            <w:r w:rsidRPr="00317ABF">
              <w:rPr>
                <w:sz w:val="22"/>
                <w:szCs w:val="22"/>
              </w:rPr>
              <w:t>T</w:t>
            </w:r>
          </w:p>
        </w:tc>
        <w:tc>
          <w:tcPr>
            <w:tcW w:w="910" w:type="dxa"/>
          </w:tcPr>
          <w:p w14:paraId="6B71455C" w14:textId="0BEFA156" w:rsidR="001E1112" w:rsidRPr="00317ABF" w:rsidRDefault="00DB3BEC" w:rsidP="00DB3BEC">
            <w:pPr>
              <w:pStyle w:val="Tekstpodstawowy"/>
              <w:rPr>
                <w:b/>
                <w:bCs/>
                <w:noProof/>
                <w:sz w:val="22"/>
                <w:szCs w:val="22"/>
              </w:rPr>
            </w:pPr>
            <w:r w:rsidRPr="00317ABF">
              <w:rPr>
                <w:b/>
                <w:bCs/>
                <w:noProof/>
                <w:sz w:val="22"/>
                <w:szCs w:val="22"/>
              </w:rPr>
              <w:t xml:space="preserve">Art. </w:t>
            </w:r>
            <w:r w:rsidR="001105ED" w:rsidRPr="00317ABF">
              <w:rPr>
                <w:b/>
                <w:bCs/>
                <w:noProof/>
                <w:sz w:val="22"/>
                <w:szCs w:val="22"/>
              </w:rPr>
              <w:t>110</w:t>
            </w:r>
          </w:p>
        </w:tc>
        <w:tc>
          <w:tcPr>
            <w:tcW w:w="6814" w:type="dxa"/>
            <w:gridSpan w:val="2"/>
          </w:tcPr>
          <w:p w14:paraId="0D7EFA30" w14:textId="77777777" w:rsidR="001E1112" w:rsidRPr="00317ABF" w:rsidRDefault="001E1112" w:rsidP="008D540E">
            <w:pPr>
              <w:pStyle w:val="ARTartustawynprozporzdzenia"/>
              <w:spacing w:before="0" w:line="240" w:lineRule="auto"/>
              <w:ind w:firstLine="0"/>
              <w:rPr>
                <w:rFonts w:ascii="Times New Roman" w:hAnsi="Times New Roman" w:cs="Times New Roman"/>
                <w:sz w:val="22"/>
                <w:szCs w:val="22"/>
              </w:rPr>
            </w:pPr>
            <w:r w:rsidRPr="00317ABF">
              <w:rPr>
                <w:rStyle w:val="Ppogrubienie"/>
                <w:rFonts w:ascii="Times New Roman" w:eastAsia="Times" w:hAnsi="Times New Roman"/>
                <w:sz w:val="22"/>
                <w:szCs w:val="22"/>
              </w:rPr>
              <w:t>Art.</w:t>
            </w:r>
            <w:r w:rsidR="001105ED" w:rsidRPr="00317ABF">
              <w:rPr>
                <w:rStyle w:val="Ppogrubienie"/>
                <w:rFonts w:ascii="Times New Roman" w:hAnsi="Times New Roman"/>
                <w:sz w:val="22"/>
                <w:szCs w:val="22"/>
              </w:rPr>
              <w:t> 110.</w:t>
            </w:r>
            <w:r w:rsidRPr="00317ABF">
              <w:rPr>
                <w:rFonts w:ascii="Times New Roman" w:eastAsia="Times" w:hAnsi="Times New Roman" w:cs="Times New Roman"/>
                <w:sz w:val="22"/>
                <w:szCs w:val="22"/>
              </w:rPr>
              <w:t xml:space="preserve"> 1. Prezes UKE ogłasza postępowanie selekcyjne niezwłocznie po zakończeniu postępowania konsultacyjnego w tej sprawie.</w:t>
            </w:r>
          </w:p>
          <w:p w14:paraId="461E55DC" w14:textId="2D2AB791" w:rsidR="001E1112" w:rsidRPr="00317ABF" w:rsidRDefault="001E1112" w:rsidP="00DB3BEC">
            <w:pPr>
              <w:jc w:val="both"/>
              <w:rPr>
                <w:sz w:val="22"/>
                <w:szCs w:val="22"/>
              </w:rPr>
            </w:pPr>
            <w:r w:rsidRPr="00317ABF">
              <w:rPr>
                <w:sz w:val="22"/>
                <w:szCs w:val="22"/>
              </w:rPr>
              <w:t xml:space="preserve">2. Ogłoszenie o przetargu, aukcji albo konkursie wraz z dokumentacją przetargową, aukcyjną albo konkursową, zwaną dalej „dokumentacją”, oraz projektem rozstrzygnięcia decyzji w sprawie rezerwacji częstotliwości, która zostanie wydana po przeprowadzeniu postępowania, o którym mowa w art. </w:t>
            </w:r>
            <w:r w:rsidR="001105ED" w:rsidRPr="00317ABF">
              <w:rPr>
                <w:sz w:val="22"/>
                <w:szCs w:val="22"/>
              </w:rPr>
              <w:t>121</w:t>
            </w:r>
            <w:r w:rsidRPr="00317ABF">
              <w:rPr>
                <w:sz w:val="22"/>
                <w:szCs w:val="22"/>
              </w:rPr>
              <w:t xml:space="preserve"> ust. 1, udostępnia się na stronie podmiotowej BIP UKE. W ogłoszeniu o przetargu, aukcji albo konkursie informuje się o rozpoczęciu postępowania selekcyjnego oraz terminie na złożenie ofert.</w:t>
            </w:r>
          </w:p>
        </w:tc>
      </w:tr>
      <w:tr w:rsidR="001E1112" w:rsidRPr="00317ABF" w14:paraId="32048359" w14:textId="77777777" w:rsidTr="7753F98D">
        <w:trPr>
          <w:gridAfter w:val="2"/>
          <w:wAfter w:w="175" w:type="dxa"/>
        </w:trPr>
        <w:tc>
          <w:tcPr>
            <w:tcW w:w="704" w:type="dxa"/>
          </w:tcPr>
          <w:p w14:paraId="13295509" w14:textId="77777777" w:rsidR="001E1112" w:rsidRPr="00317ABF" w:rsidRDefault="001E1112" w:rsidP="00DB3BEC">
            <w:pPr>
              <w:jc w:val="both"/>
              <w:rPr>
                <w:sz w:val="22"/>
                <w:szCs w:val="22"/>
              </w:rPr>
            </w:pPr>
            <w:r w:rsidRPr="00317ABF">
              <w:rPr>
                <w:sz w:val="22"/>
                <w:szCs w:val="22"/>
              </w:rPr>
              <w:t>Art. 55 ust. 5</w:t>
            </w:r>
          </w:p>
        </w:tc>
        <w:tc>
          <w:tcPr>
            <w:tcW w:w="4308" w:type="dxa"/>
          </w:tcPr>
          <w:p w14:paraId="439AC596" w14:textId="77777777" w:rsidR="001E1112" w:rsidRPr="00317ABF" w:rsidRDefault="001E1112" w:rsidP="00DB3BEC">
            <w:pPr>
              <w:spacing w:before="120"/>
              <w:jc w:val="both"/>
              <w:rPr>
                <w:sz w:val="22"/>
                <w:szCs w:val="22"/>
              </w:rPr>
            </w:pPr>
            <w:r w:rsidRPr="00317ABF">
              <w:rPr>
                <w:sz w:val="22"/>
                <w:szCs w:val="22"/>
              </w:rPr>
              <w:t>5.   Jeżeli państwo członkowskie uzna, że dodatkowe prawa użytkowania widma radiowego lub kombinacja ogólnego zezwolenia i indywidualnych praw mogą być przyznane, publikuje te ustalenia i rozpoczyna procedurę przyznania takich praw.</w:t>
            </w:r>
          </w:p>
        </w:tc>
        <w:tc>
          <w:tcPr>
            <w:tcW w:w="986" w:type="dxa"/>
          </w:tcPr>
          <w:p w14:paraId="37DD0DF6" w14:textId="05AD8DF0" w:rsidR="001E1112" w:rsidRPr="00317ABF" w:rsidRDefault="001E1112" w:rsidP="00DB3BEC">
            <w:pPr>
              <w:jc w:val="both"/>
              <w:rPr>
                <w:sz w:val="22"/>
                <w:szCs w:val="22"/>
              </w:rPr>
            </w:pPr>
            <w:r w:rsidRPr="00317ABF">
              <w:rPr>
                <w:sz w:val="22"/>
                <w:szCs w:val="22"/>
              </w:rPr>
              <w:t>N</w:t>
            </w:r>
          </w:p>
        </w:tc>
        <w:tc>
          <w:tcPr>
            <w:tcW w:w="910" w:type="dxa"/>
          </w:tcPr>
          <w:p w14:paraId="065335F8" w14:textId="3C4DDFB6" w:rsidR="001E1112" w:rsidRPr="00317ABF" w:rsidRDefault="001E1112" w:rsidP="00DB3BEC">
            <w:pPr>
              <w:pStyle w:val="Tekstpodstawowy"/>
              <w:rPr>
                <w:b/>
                <w:bCs/>
                <w:noProof/>
                <w:sz w:val="22"/>
                <w:szCs w:val="22"/>
              </w:rPr>
            </w:pPr>
            <w:r w:rsidRPr="00317ABF">
              <w:rPr>
                <w:b/>
                <w:bCs/>
                <w:noProof/>
                <w:sz w:val="22"/>
                <w:szCs w:val="22"/>
              </w:rPr>
              <w:t xml:space="preserve">Ogólne zasady postępowania selekcyjnego - </w:t>
            </w:r>
            <w:r w:rsidR="00DB3BEC" w:rsidRPr="00317ABF">
              <w:rPr>
                <w:b/>
                <w:bCs/>
                <w:noProof/>
                <w:sz w:val="22"/>
                <w:szCs w:val="22"/>
              </w:rPr>
              <w:t xml:space="preserve">Art. </w:t>
            </w:r>
            <w:r w:rsidR="008D540E" w:rsidRPr="00317ABF">
              <w:rPr>
                <w:b/>
                <w:bCs/>
                <w:noProof/>
                <w:sz w:val="22"/>
                <w:szCs w:val="22"/>
              </w:rPr>
              <w:t>110</w:t>
            </w:r>
            <w:r w:rsidRPr="00317ABF">
              <w:rPr>
                <w:b/>
                <w:bCs/>
                <w:noProof/>
                <w:sz w:val="22"/>
                <w:szCs w:val="22"/>
              </w:rPr>
              <w:t xml:space="preserve">, art. </w:t>
            </w:r>
            <w:r w:rsidR="008D540E" w:rsidRPr="00317ABF">
              <w:rPr>
                <w:b/>
                <w:bCs/>
                <w:noProof/>
                <w:sz w:val="22"/>
                <w:szCs w:val="22"/>
              </w:rPr>
              <w:t>89</w:t>
            </w:r>
            <w:r w:rsidRPr="00317ABF">
              <w:rPr>
                <w:b/>
                <w:bCs/>
                <w:noProof/>
                <w:sz w:val="22"/>
                <w:szCs w:val="22"/>
              </w:rPr>
              <w:t xml:space="preserve"> </w:t>
            </w:r>
            <w:r w:rsidR="008D540E" w:rsidRPr="00317ABF">
              <w:rPr>
                <w:b/>
                <w:bCs/>
                <w:noProof/>
                <w:sz w:val="22"/>
                <w:szCs w:val="22"/>
              </w:rPr>
              <w:t>ust. 1</w:t>
            </w:r>
            <w:r w:rsidRPr="00317ABF">
              <w:rPr>
                <w:b/>
                <w:bCs/>
                <w:noProof/>
                <w:sz w:val="22"/>
                <w:szCs w:val="22"/>
              </w:rPr>
              <w:t xml:space="preserve"> </w:t>
            </w:r>
            <w:r w:rsidRPr="00317ABF">
              <w:rPr>
                <w:b/>
                <w:bCs/>
                <w:noProof/>
                <w:sz w:val="22"/>
                <w:szCs w:val="22"/>
              </w:rPr>
              <w:lastRenderedPageBreak/>
              <w:t>(ograniczenie możliwości zmiany rezerwacji – konieczność prowadzenia selekcji)</w:t>
            </w:r>
          </w:p>
        </w:tc>
        <w:tc>
          <w:tcPr>
            <w:tcW w:w="6814" w:type="dxa"/>
            <w:gridSpan w:val="2"/>
          </w:tcPr>
          <w:p w14:paraId="3013AB87" w14:textId="7D7B2567" w:rsidR="008D540E" w:rsidRPr="00317ABF" w:rsidRDefault="008D540E" w:rsidP="008D540E">
            <w:pPr>
              <w:pStyle w:val="ARTartustawynprozporzdzenia"/>
              <w:spacing w:before="0" w:line="240" w:lineRule="auto"/>
              <w:ind w:firstLine="0"/>
              <w:rPr>
                <w:rFonts w:ascii="Times New Roman" w:hAnsi="Times New Roman" w:cs="Times New Roman"/>
                <w:sz w:val="22"/>
                <w:szCs w:val="22"/>
              </w:rPr>
            </w:pPr>
            <w:r w:rsidRPr="00317ABF">
              <w:rPr>
                <w:rStyle w:val="Ppogrubienie"/>
                <w:rFonts w:ascii="Times New Roman" w:hAnsi="Times New Roman"/>
                <w:sz w:val="22"/>
                <w:szCs w:val="22"/>
              </w:rPr>
              <w:lastRenderedPageBreak/>
              <w:t>Art. 110.</w:t>
            </w:r>
            <w:r w:rsidRPr="00317ABF">
              <w:rPr>
                <w:rFonts w:ascii="Times New Roman" w:hAnsi="Times New Roman" w:cs="Times New Roman"/>
                <w:sz w:val="22"/>
                <w:szCs w:val="22"/>
              </w:rPr>
              <w:t xml:space="preserve"> 1. Prezes UKE ogłasza postępowanie selekcyjne niezwłocznie po zakończeniu postępowania konsultacyjnego w tej sprawie.</w:t>
            </w:r>
          </w:p>
          <w:p w14:paraId="2F87FC90" w14:textId="7DA834B4" w:rsidR="008D540E" w:rsidRPr="00317ABF" w:rsidRDefault="008D540E" w:rsidP="008D540E">
            <w:pPr>
              <w:pStyle w:val="ARTartustawynprozporzdzenia"/>
              <w:keepNext/>
              <w:spacing w:line="240" w:lineRule="auto"/>
              <w:ind w:firstLine="0"/>
              <w:rPr>
                <w:rStyle w:val="Ppogrubienie"/>
                <w:rFonts w:ascii="Times New Roman" w:hAnsi="Times New Roman"/>
                <w:sz w:val="22"/>
                <w:szCs w:val="22"/>
              </w:rPr>
            </w:pPr>
            <w:r w:rsidRPr="00317ABF">
              <w:rPr>
                <w:sz w:val="22"/>
                <w:szCs w:val="22"/>
              </w:rPr>
              <w:t xml:space="preserve">2. Ogłoszenie o przetargu, aukcji albo konkursie wraz z dokumentacją przetargową, aukcyjną albo konkursową, zwaną dalej „dokumentacją”, oraz projektem rozstrzygnięcia decyzji w sprawie rezerwacji częstotliwości, która zostanie wydana po przeprowadzeniu postępowania, o którym mowa w art. 121 ust. 1, udostępnia się na stronie podmiotowej BIP UKE. W ogłoszeniu </w:t>
            </w:r>
            <w:r w:rsidRPr="00317ABF">
              <w:rPr>
                <w:sz w:val="22"/>
                <w:szCs w:val="22"/>
              </w:rPr>
              <w:lastRenderedPageBreak/>
              <w:t>o przetargu, aukcji albo konkursie informuje się o rozpoczęciu postępowania selekcyjnego oraz terminie na złożenie ofert.</w:t>
            </w:r>
          </w:p>
          <w:p w14:paraId="08EEAB09" w14:textId="77777777" w:rsidR="00866CAB" w:rsidRPr="00317ABF" w:rsidRDefault="00866CAB" w:rsidP="00866CAB">
            <w:pPr>
              <w:pStyle w:val="ARTartustawynprozporzdzenia"/>
              <w:keepNext/>
              <w:spacing w:before="0" w:line="240" w:lineRule="auto"/>
              <w:ind w:firstLine="0"/>
              <w:rPr>
                <w:rStyle w:val="Ppogrubienie"/>
                <w:rFonts w:ascii="Times New Roman" w:hAnsi="Times New Roman"/>
                <w:sz w:val="22"/>
                <w:szCs w:val="22"/>
              </w:rPr>
            </w:pPr>
          </w:p>
          <w:p w14:paraId="09E23B4A" w14:textId="77777777" w:rsidR="001E1112" w:rsidRPr="00317ABF" w:rsidRDefault="001E1112" w:rsidP="00866CAB">
            <w:pPr>
              <w:pStyle w:val="ARTartustawynprozporzdzenia"/>
              <w:keepNext/>
              <w:spacing w:before="0" w:line="240" w:lineRule="auto"/>
              <w:ind w:firstLine="0"/>
              <w:rPr>
                <w:rFonts w:ascii="Times New Roman" w:hAnsi="Times New Roman" w:cs="Times New Roman"/>
                <w:sz w:val="22"/>
                <w:szCs w:val="22"/>
              </w:rPr>
            </w:pPr>
            <w:r w:rsidRPr="00317ABF">
              <w:rPr>
                <w:rStyle w:val="Ppogrubienie"/>
                <w:rFonts w:ascii="Times New Roman" w:hAnsi="Times New Roman"/>
                <w:sz w:val="22"/>
                <w:szCs w:val="22"/>
              </w:rPr>
              <w:t>Art. 84.</w:t>
            </w:r>
            <w:r w:rsidRPr="00317ABF">
              <w:rPr>
                <w:rFonts w:ascii="Times New Roman" w:hAnsi="Times New Roman" w:cs="Times New Roman"/>
                <w:sz w:val="22"/>
                <w:szCs w:val="22"/>
              </w:rPr>
              <w:t xml:space="preserve"> 1. Zmiana rezerwacji częstotliwości nie może polegać na:</w:t>
            </w:r>
          </w:p>
          <w:p w14:paraId="47094892" w14:textId="77777777" w:rsidR="001E1112" w:rsidRPr="00317ABF" w:rsidRDefault="001E1112" w:rsidP="00DB3BEC">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1)</w:t>
            </w:r>
            <w:r w:rsidRPr="00317ABF">
              <w:rPr>
                <w:rFonts w:ascii="Times New Roman" w:hAnsi="Times New Roman" w:cs="Times New Roman"/>
                <w:sz w:val="22"/>
                <w:szCs w:val="22"/>
              </w:rPr>
              <w:tab/>
              <w:t>zwiększeniu zasobów częstotliwości pozostających w dyspozycji podmiotu, wyrażonych w MHz;</w:t>
            </w:r>
          </w:p>
          <w:p w14:paraId="4A31D5D7" w14:textId="77777777" w:rsidR="001E1112" w:rsidRPr="00317ABF" w:rsidRDefault="001E1112" w:rsidP="00DB3BEC">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2)</w:t>
            </w:r>
            <w:r w:rsidRPr="00317ABF">
              <w:rPr>
                <w:rFonts w:ascii="Times New Roman" w:hAnsi="Times New Roman" w:cs="Times New Roman"/>
                <w:sz w:val="22"/>
                <w:szCs w:val="22"/>
              </w:rPr>
              <w:tab/>
              <w:t>zamianie zasobów częstotliwości na inne zasoby, chyba że dokonywana jest na podstawie art. 94 ust. 1 pkt 9 lub art. 94 ust. 6;</w:t>
            </w:r>
          </w:p>
          <w:p w14:paraId="1B77A62B" w14:textId="1607BEC7" w:rsidR="001E1112" w:rsidRPr="00317ABF" w:rsidRDefault="001E1112" w:rsidP="00DB3BEC">
            <w:pPr>
              <w:pStyle w:val="Tekstpodstawowy"/>
              <w:rPr>
                <w:sz w:val="22"/>
                <w:szCs w:val="22"/>
              </w:rPr>
            </w:pPr>
            <w:r w:rsidRPr="00317ABF">
              <w:rPr>
                <w:sz w:val="22"/>
                <w:szCs w:val="22"/>
              </w:rPr>
              <w:t>3)</w:t>
            </w:r>
            <w:r w:rsidRPr="00317ABF">
              <w:rPr>
                <w:sz w:val="22"/>
                <w:szCs w:val="22"/>
              </w:rPr>
              <w:tab/>
              <w:t>rozszerzeniu obszaru, na którym mogą być wykorzystywane częstotliwości.</w:t>
            </w:r>
          </w:p>
        </w:tc>
      </w:tr>
      <w:tr w:rsidR="001E1112" w:rsidRPr="00317ABF" w14:paraId="540D9109" w14:textId="77777777" w:rsidTr="7753F98D">
        <w:trPr>
          <w:gridAfter w:val="2"/>
          <w:wAfter w:w="175" w:type="dxa"/>
        </w:trPr>
        <w:tc>
          <w:tcPr>
            <w:tcW w:w="704" w:type="dxa"/>
          </w:tcPr>
          <w:p w14:paraId="3F44A55D" w14:textId="77777777" w:rsidR="001E1112" w:rsidRPr="00317ABF" w:rsidRDefault="001E1112" w:rsidP="00DB3BEC">
            <w:pPr>
              <w:jc w:val="both"/>
              <w:rPr>
                <w:sz w:val="22"/>
                <w:szCs w:val="22"/>
              </w:rPr>
            </w:pPr>
            <w:r w:rsidRPr="00317ABF">
              <w:rPr>
                <w:sz w:val="22"/>
                <w:szCs w:val="22"/>
              </w:rPr>
              <w:lastRenderedPageBreak/>
              <w:t>Art. 55 ust. 6</w:t>
            </w:r>
          </w:p>
        </w:tc>
        <w:tc>
          <w:tcPr>
            <w:tcW w:w="4308" w:type="dxa"/>
          </w:tcPr>
          <w:p w14:paraId="5783F2DA" w14:textId="77777777" w:rsidR="001E1112" w:rsidRPr="00317ABF" w:rsidRDefault="001E1112" w:rsidP="00DB3BEC">
            <w:pPr>
              <w:spacing w:before="120"/>
              <w:jc w:val="both"/>
              <w:rPr>
                <w:sz w:val="22"/>
                <w:szCs w:val="22"/>
              </w:rPr>
            </w:pPr>
            <w:r w:rsidRPr="00317ABF">
              <w:rPr>
                <w:sz w:val="22"/>
                <w:szCs w:val="22"/>
              </w:rPr>
              <w:t>6.   W przypadku gdy należy ograniczyć przyznawanie praw użytkowania widma radiowego, państwa członkowskie przyznają takie prawa według kryteriów selekcji i procedury selekcyjnej, które muszą być obiektywne, przejrzyste, niedyskryminacyjne oraz proporcjonalne. Każde takie kryterium selekcji musi przyznawać odpowiednią wagę celom i wymaganiom określonym w art. 3, 4, 28 i 45.</w:t>
            </w:r>
          </w:p>
        </w:tc>
        <w:tc>
          <w:tcPr>
            <w:tcW w:w="986" w:type="dxa"/>
          </w:tcPr>
          <w:p w14:paraId="74927789" w14:textId="520A1683" w:rsidR="001E1112" w:rsidRPr="00317ABF" w:rsidRDefault="001E1112" w:rsidP="00DB3BEC">
            <w:pPr>
              <w:jc w:val="both"/>
              <w:rPr>
                <w:sz w:val="22"/>
                <w:szCs w:val="22"/>
              </w:rPr>
            </w:pPr>
            <w:r w:rsidRPr="00317ABF">
              <w:rPr>
                <w:sz w:val="22"/>
                <w:szCs w:val="22"/>
              </w:rPr>
              <w:t>T</w:t>
            </w:r>
          </w:p>
        </w:tc>
        <w:tc>
          <w:tcPr>
            <w:tcW w:w="910" w:type="dxa"/>
          </w:tcPr>
          <w:p w14:paraId="31823770" w14:textId="1A2463AC" w:rsidR="001E1112" w:rsidRPr="00317ABF" w:rsidRDefault="001E1112" w:rsidP="00DB3BEC">
            <w:pPr>
              <w:pStyle w:val="Tekstpodstawowy"/>
              <w:rPr>
                <w:b/>
                <w:bCs/>
                <w:noProof/>
                <w:sz w:val="22"/>
                <w:szCs w:val="22"/>
              </w:rPr>
            </w:pPr>
            <w:r w:rsidRPr="00317ABF">
              <w:rPr>
                <w:b/>
                <w:bCs/>
                <w:noProof/>
                <w:sz w:val="22"/>
                <w:szCs w:val="22"/>
              </w:rPr>
              <w:t xml:space="preserve">Art. </w:t>
            </w:r>
            <w:r w:rsidR="008D540E" w:rsidRPr="00317ABF">
              <w:rPr>
                <w:b/>
                <w:bCs/>
                <w:noProof/>
                <w:sz w:val="22"/>
                <w:szCs w:val="22"/>
              </w:rPr>
              <w:t>117 -126</w:t>
            </w:r>
          </w:p>
          <w:p w14:paraId="6B9598A7" w14:textId="77777777" w:rsidR="001E1112" w:rsidRPr="00317ABF" w:rsidRDefault="001E1112" w:rsidP="00DB3BEC">
            <w:pPr>
              <w:pStyle w:val="Tekstpodstawowy"/>
              <w:rPr>
                <w:b/>
                <w:bCs/>
                <w:noProof/>
                <w:sz w:val="22"/>
                <w:szCs w:val="22"/>
              </w:rPr>
            </w:pPr>
          </w:p>
          <w:p w14:paraId="650E3E1E" w14:textId="77777777" w:rsidR="001E1112" w:rsidRPr="00317ABF" w:rsidRDefault="001E1112" w:rsidP="00DB3BEC">
            <w:pPr>
              <w:pStyle w:val="Tekstpodstawowy"/>
              <w:rPr>
                <w:b/>
                <w:bCs/>
                <w:noProof/>
                <w:sz w:val="22"/>
                <w:szCs w:val="22"/>
              </w:rPr>
            </w:pPr>
          </w:p>
          <w:p w14:paraId="6E72040D" w14:textId="77777777" w:rsidR="001E1112" w:rsidRPr="00317ABF" w:rsidRDefault="001E1112" w:rsidP="00DB3BEC">
            <w:pPr>
              <w:pStyle w:val="Tekstpodstawowy"/>
              <w:rPr>
                <w:b/>
                <w:bCs/>
                <w:noProof/>
                <w:sz w:val="22"/>
                <w:szCs w:val="22"/>
              </w:rPr>
            </w:pPr>
          </w:p>
          <w:p w14:paraId="74BE1D62" w14:textId="77777777" w:rsidR="001E1112" w:rsidRPr="00317ABF" w:rsidRDefault="001E1112" w:rsidP="00DB3BEC">
            <w:pPr>
              <w:pStyle w:val="Tekstpodstawowy"/>
              <w:rPr>
                <w:b/>
                <w:bCs/>
                <w:noProof/>
                <w:sz w:val="22"/>
                <w:szCs w:val="22"/>
              </w:rPr>
            </w:pPr>
          </w:p>
          <w:p w14:paraId="350229B1" w14:textId="77777777" w:rsidR="001E1112" w:rsidRPr="00317ABF" w:rsidRDefault="001E1112" w:rsidP="00DB3BEC">
            <w:pPr>
              <w:pStyle w:val="Tekstpodstawowy"/>
              <w:rPr>
                <w:b/>
                <w:bCs/>
                <w:noProof/>
                <w:sz w:val="22"/>
                <w:szCs w:val="22"/>
              </w:rPr>
            </w:pPr>
          </w:p>
          <w:p w14:paraId="2F06387A" w14:textId="77777777" w:rsidR="001E1112" w:rsidRPr="00317ABF" w:rsidRDefault="001E1112" w:rsidP="00DB3BEC">
            <w:pPr>
              <w:pStyle w:val="Tekstpodstawowy"/>
              <w:rPr>
                <w:b/>
                <w:bCs/>
                <w:noProof/>
                <w:sz w:val="22"/>
                <w:szCs w:val="22"/>
              </w:rPr>
            </w:pPr>
          </w:p>
          <w:p w14:paraId="20F877DD" w14:textId="77777777" w:rsidR="001E1112" w:rsidRPr="00317ABF" w:rsidRDefault="001E1112" w:rsidP="00DB3BEC">
            <w:pPr>
              <w:pStyle w:val="Tekstpodstawowy"/>
              <w:rPr>
                <w:b/>
                <w:bCs/>
                <w:noProof/>
                <w:sz w:val="22"/>
                <w:szCs w:val="22"/>
              </w:rPr>
            </w:pPr>
          </w:p>
          <w:p w14:paraId="741CB166" w14:textId="77777777" w:rsidR="001E1112" w:rsidRPr="00317ABF" w:rsidRDefault="001E1112" w:rsidP="00DB3BEC">
            <w:pPr>
              <w:pStyle w:val="Tekstpodstawowy"/>
              <w:rPr>
                <w:b/>
                <w:bCs/>
                <w:noProof/>
                <w:sz w:val="22"/>
                <w:szCs w:val="22"/>
              </w:rPr>
            </w:pPr>
          </w:p>
          <w:p w14:paraId="0B37040A" w14:textId="77777777" w:rsidR="001E1112" w:rsidRPr="00317ABF" w:rsidRDefault="001E1112" w:rsidP="00DB3BEC">
            <w:pPr>
              <w:pStyle w:val="Tekstpodstawowy"/>
              <w:rPr>
                <w:b/>
                <w:bCs/>
                <w:noProof/>
                <w:sz w:val="22"/>
                <w:szCs w:val="22"/>
              </w:rPr>
            </w:pPr>
          </w:p>
          <w:p w14:paraId="58A2B738" w14:textId="77777777" w:rsidR="001E1112" w:rsidRPr="00317ABF" w:rsidRDefault="001E1112" w:rsidP="00DB3BEC">
            <w:pPr>
              <w:pStyle w:val="Tekstpodstawowy"/>
              <w:rPr>
                <w:b/>
                <w:bCs/>
                <w:noProof/>
                <w:sz w:val="22"/>
                <w:szCs w:val="22"/>
              </w:rPr>
            </w:pPr>
          </w:p>
          <w:p w14:paraId="755BB309" w14:textId="77777777" w:rsidR="001E1112" w:rsidRPr="00317ABF" w:rsidRDefault="001E1112" w:rsidP="00DB3BEC">
            <w:pPr>
              <w:pStyle w:val="Tekstpodstawowy"/>
              <w:rPr>
                <w:b/>
                <w:bCs/>
                <w:noProof/>
                <w:sz w:val="22"/>
                <w:szCs w:val="22"/>
              </w:rPr>
            </w:pPr>
          </w:p>
          <w:p w14:paraId="59F05C59" w14:textId="77777777" w:rsidR="001E1112" w:rsidRPr="00317ABF" w:rsidRDefault="001E1112" w:rsidP="00DB3BEC">
            <w:pPr>
              <w:pStyle w:val="Tekstpodstawowy"/>
              <w:rPr>
                <w:b/>
                <w:bCs/>
                <w:noProof/>
                <w:sz w:val="22"/>
                <w:szCs w:val="22"/>
              </w:rPr>
            </w:pPr>
          </w:p>
          <w:p w14:paraId="7513BABD" w14:textId="77777777" w:rsidR="001E1112" w:rsidRPr="00317ABF" w:rsidRDefault="001E1112" w:rsidP="00DB3BEC">
            <w:pPr>
              <w:pStyle w:val="Tekstpodstawowy"/>
              <w:rPr>
                <w:b/>
                <w:bCs/>
                <w:noProof/>
                <w:sz w:val="22"/>
                <w:szCs w:val="22"/>
              </w:rPr>
            </w:pPr>
          </w:p>
          <w:p w14:paraId="10EFE0E5" w14:textId="77777777" w:rsidR="001E1112" w:rsidRPr="00317ABF" w:rsidRDefault="001E1112" w:rsidP="00DB3BEC">
            <w:pPr>
              <w:pStyle w:val="Tekstpodstawowy"/>
              <w:rPr>
                <w:b/>
                <w:bCs/>
                <w:noProof/>
                <w:sz w:val="22"/>
                <w:szCs w:val="22"/>
              </w:rPr>
            </w:pPr>
          </w:p>
          <w:p w14:paraId="5D936AF6" w14:textId="77777777" w:rsidR="001E1112" w:rsidRPr="00317ABF" w:rsidRDefault="001E1112" w:rsidP="00DB3BEC">
            <w:pPr>
              <w:pStyle w:val="Tekstpodstawowy"/>
              <w:rPr>
                <w:b/>
                <w:bCs/>
                <w:noProof/>
                <w:sz w:val="22"/>
                <w:szCs w:val="22"/>
              </w:rPr>
            </w:pPr>
          </w:p>
          <w:p w14:paraId="7B7B3AED" w14:textId="77777777" w:rsidR="001E1112" w:rsidRPr="00317ABF" w:rsidRDefault="001E1112" w:rsidP="00DB3BEC">
            <w:pPr>
              <w:pStyle w:val="Tekstpodstawowy"/>
              <w:rPr>
                <w:b/>
                <w:bCs/>
                <w:noProof/>
                <w:sz w:val="22"/>
                <w:szCs w:val="22"/>
              </w:rPr>
            </w:pPr>
          </w:p>
          <w:p w14:paraId="419094F4" w14:textId="77777777" w:rsidR="001E1112" w:rsidRPr="00317ABF" w:rsidRDefault="001E1112" w:rsidP="00DB3BEC">
            <w:pPr>
              <w:pStyle w:val="Tekstpodstawowy"/>
              <w:rPr>
                <w:b/>
                <w:bCs/>
                <w:noProof/>
                <w:sz w:val="22"/>
                <w:szCs w:val="22"/>
              </w:rPr>
            </w:pPr>
          </w:p>
          <w:p w14:paraId="62AF1C0C" w14:textId="77777777" w:rsidR="001E1112" w:rsidRPr="00317ABF" w:rsidRDefault="001E1112" w:rsidP="00DB3BEC">
            <w:pPr>
              <w:pStyle w:val="Tekstpodstawowy"/>
              <w:rPr>
                <w:b/>
                <w:bCs/>
                <w:noProof/>
                <w:sz w:val="22"/>
                <w:szCs w:val="22"/>
              </w:rPr>
            </w:pPr>
          </w:p>
          <w:p w14:paraId="72D3D62B" w14:textId="77777777" w:rsidR="001E1112" w:rsidRPr="00317ABF" w:rsidRDefault="001E1112" w:rsidP="00DB3BEC">
            <w:pPr>
              <w:pStyle w:val="Tekstpodstawowy"/>
              <w:rPr>
                <w:b/>
                <w:bCs/>
                <w:noProof/>
                <w:sz w:val="22"/>
                <w:szCs w:val="22"/>
              </w:rPr>
            </w:pPr>
          </w:p>
          <w:p w14:paraId="43CC1958" w14:textId="77777777" w:rsidR="001E1112" w:rsidRPr="00317ABF" w:rsidRDefault="001E1112" w:rsidP="00DB3BEC">
            <w:pPr>
              <w:pStyle w:val="Tekstpodstawowy"/>
              <w:rPr>
                <w:b/>
                <w:bCs/>
                <w:noProof/>
                <w:sz w:val="22"/>
                <w:szCs w:val="22"/>
              </w:rPr>
            </w:pPr>
          </w:p>
          <w:p w14:paraId="07F52A33" w14:textId="77777777" w:rsidR="001E1112" w:rsidRPr="00317ABF" w:rsidRDefault="001E1112" w:rsidP="00DB3BEC">
            <w:pPr>
              <w:pStyle w:val="Tekstpodstawowy"/>
              <w:rPr>
                <w:b/>
                <w:bCs/>
                <w:noProof/>
                <w:sz w:val="22"/>
                <w:szCs w:val="22"/>
              </w:rPr>
            </w:pPr>
          </w:p>
          <w:p w14:paraId="66DAA344" w14:textId="77777777" w:rsidR="001E1112" w:rsidRPr="00317ABF" w:rsidRDefault="001E1112" w:rsidP="00DB3BEC">
            <w:pPr>
              <w:pStyle w:val="Tekstpodstawowy"/>
              <w:rPr>
                <w:b/>
                <w:bCs/>
                <w:noProof/>
                <w:sz w:val="22"/>
                <w:szCs w:val="22"/>
              </w:rPr>
            </w:pPr>
          </w:p>
          <w:p w14:paraId="6CB648BC" w14:textId="77777777" w:rsidR="001E1112" w:rsidRPr="00317ABF" w:rsidRDefault="001E1112" w:rsidP="00DB3BEC">
            <w:pPr>
              <w:pStyle w:val="Tekstpodstawowy"/>
              <w:rPr>
                <w:b/>
                <w:bCs/>
                <w:noProof/>
                <w:sz w:val="22"/>
                <w:szCs w:val="22"/>
              </w:rPr>
            </w:pPr>
          </w:p>
          <w:p w14:paraId="281136C1" w14:textId="77777777" w:rsidR="001E1112" w:rsidRPr="00317ABF" w:rsidRDefault="001E1112" w:rsidP="00DB3BEC">
            <w:pPr>
              <w:pStyle w:val="Tekstpodstawowy"/>
              <w:rPr>
                <w:b/>
                <w:bCs/>
                <w:noProof/>
                <w:sz w:val="22"/>
                <w:szCs w:val="22"/>
              </w:rPr>
            </w:pPr>
          </w:p>
          <w:p w14:paraId="376E57AA" w14:textId="77777777" w:rsidR="001E1112" w:rsidRPr="00317ABF" w:rsidRDefault="001E1112" w:rsidP="00DB3BEC">
            <w:pPr>
              <w:pStyle w:val="Tekstpodstawowy"/>
              <w:rPr>
                <w:b/>
                <w:bCs/>
                <w:noProof/>
                <w:sz w:val="22"/>
                <w:szCs w:val="22"/>
              </w:rPr>
            </w:pPr>
          </w:p>
          <w:p w14:paraId="1F25EE86" w14:textId="77777777" w:rsidR="001E1112" w:rsidRPr="00317ABF" w:rsidRDefault="001E1112" w:rsidP="00DB3BEC">
            <w:pPr>
              <w:pStyle w:val="Tekstpodstawowy"/>
              <w:rPr>
                <w:b/>
                <w:bCs/>
                <w:noProof/>
                <w:sz w:val="22"/>
                <w:szCs w:val="22"/>
              </w:rPr>
            </w:pPr>
          </w:p>
          <w:p w14:paraId="0D3C5563" w14:textId="77777777" w:rsidR="001E1112" w:rsidRPr="00317ABF" w:rsidRDefault="001E1112" w:rsidP="00DB3BEC">
            <w:pPr>
              <w:pStyle w:val="Tekstpodstawowy"/>
              <w:rPr>
                <w:b/>
                <w:bCs/>
                <w:noProof/>
                <w:sz w:val="22"/>
                <w:szCs w:val="22"/>
              </w:rPr>
            </w:pPr>
          </w:p>
          <w:p w14:paraId="5EA46E1C" w14:textId="77777777" w:rsidR="001E1112" w:rsidRPr="00317ABF" w:rsidRDefault="001E1112" w:rsidP="00DB3BEC">
            <w:pPr>
              <w:pStyle w:val="Tekstpodstawowy"/>
              <w:rPr>
                <w:b/>
                <w:bCs/>
                <w:noProof/>
                <w:sz w:val="22"/>
                <w:szCs w:val="22"/>
              </w:rPr>
            </w:pPr>
          </w:p>
          <w:p w14:paraId="65211C62" w14:textId="77777777" w:rsidR="001E1112" w:rsidRPr="00317ABF" w:rsidRDefault="001E1112" w:rsidP="00DB3BEC">
            <w:pPr>
              <w:pStyle w:val="Tekstpodstawowy"/>
              <w:rPr>
                <w:b/>
                <w:bCs/>
                <w:noProof/>
                <w:sz w:val="22"/>
                <w:szCs w:val="22"/>
              </w:rPr>
            </w:pPr>
          </w:p>
          <w:p w14:paraId="424AD13D" w14:textId="77777777" w:rsidR="001E1112" w:rsidRPr="00317ABF" w:rsidRDefault="001E1112" w:rsidP="00DB3BEC">
            <w:pPr>
              <w:pStyle w:val="Tekstpodstawowy"/>
              <w:rPr>
                <w:b/>
                <w:bCs/>
                <w:noProof/>
                <w:sz w:val="22"/>
                <w:szCs w:val="22"/>
              </w:rPr>
            </w:pPr>
          </w:p>
          <w:p w14:paraId="4B49F1BE" w14:textId="77777777" w:rsidR="001E1112" w:rsidRPr="00317ABF" w:rsidRDefault="001E1112" w:rsidP="00DB3BEC">
            <w:pPr>
              <w:pStyle w:val="Tekstpodstawowy"/>
              <w:rPr>
                <w:b/>
                <w:bCs/>
                <w:noProof/>
                <w:sz w:val="22"/>
                <w:szCs w:val="22"/>
              </w:rPr>
            </w:pPr>
          </w:p>
          <w:p w14:paraId="6ECBE508" w14:textId="77777777" w:rsidR="001E1112" w:rsidRPr="00317ABF" w:rsidRDefault="001E1112" w:rsidP="00DB3BEC">
            <w:pPr>
              <w:pStyle w:val="Tekstpodstawowy"/>
              <w:rPr>
                <w:b/>
                <w:bCs/>
                <w:noProof/>
                <w:sz w:val="22"/>
                <w:szCs w:val="22"/>
              </w:rPr>
            </w:pPr>
          </w:p>
          <w:p w14:paraId="1F1E4A09" w14:textId="77777777" w:rsidR="001E1112" w:rsidRPr="00317ABF" w:rsidRDefault="001E1112" w:rsidP="00DB3BEC">
            <w:pPr>
              <w:pStyle w:val="Tekstpodstawowy"/>
              <w:rPr>
                <w:b/>
                <w:bCs/>
                <w:noProof/>
                <w:sz w:val="22"/>
                <w:szCs w:val="22"/>
              </w:rPr>
            </w:pPr>
          </w:p>
          <w:p w14:paraId="680B04EC" w14:textId="77777777" w:rsidR="001E1112" w:rsidRPr="00317ABF" w:rsidRDefault="001E1112" w:rsidP="00DB3BEC">
            <w:pPr>
              <w:pStyle w:val="Tekstpodstawowy"/>
              <w:rPr>
                <w:b/>
                <w:bCs/>
                <w:noProof/>
                <w:sz w:val="22"/>
                <w:szCs w:val="22"/>
              </w:rPr>
            </w:pPr>
          </w:p>
          <w:p w14:paraId="09C8C0C8" w14:textId="77777777" w:rsidR="001E1112" w:rsidRPr="00317ABF" w:rsidRDefault="001E1112" w:rsidP="00DB3BEC">
            <w:pPr>
              <w:pStyle w:val="Tekstpodstawowy"/>
              <w:rPr>
                <w:b/>
                <w:bCs/>
                <w:noProof/>
                <w:sz w:val="22"/>
                <w:szCs w:val="22"/>
              </w:rPr>
            </w:pPr>
          </w:p>
          <w:p w14:paraId="75987379" w14:textId="77777777" w:rsidR="001E1112" w:rsidRPr="00317ABF" w:rsidRDefault="001E1112" w:rsidP="00DB3BEC">
            <w:pPr>
              <w:pStyle w:val="Tekstpodstawowy"/>
              <w:rPr>
                <w:b/>
                <w:bCs/>
                <w:noProof/>
                <w:sz w:val="22"/>
                <w:szCs w:val="22"/>
              </w:rPr>
            </w:pPr>
          </w:p>
          <w:p w14:paraId="7492D959" w14:textId="77777777" w:rsidR="001E1112" w:rsidRPr="00317ABF" w:rsidRDefault="001E1112" w:rsidP="00DB3BEC">
            <w:pPr>
              <w:pStyle w:val="Tekstpodstawowy"/>
              <w:rPr>
                <w:b/>
                <w:bCs/>
                <w:noProof/>
                <w:sz w:val="22"/>
                <w:szCs w:val="22"/>
              </w:rPr>
            </w:pPr>
          </w:p>
          <w:p w14:paraId="40A916DB" w14:textId="77777777" w:rsidR="001E1112" w:rsidRPr="00317ABF" w:rsidRDefault="001E1112" w:rsidP="00DB3BEC">
            <w:pPr>
              <w:pStyle w:val="Tekstpodstawowy"/>
              <w:rPr>
                <w:b/>
                <w:bCs/>
                <w:noProof/>
                <w:sz w:val="22"/>
                <w:szCs w:val="22"/>
              </w:rPr>
            </w:pPr>
          </w:p>
          <w:p w14:paraId="31DE9C36" w14:textId="77777777" w:rsidR="001E1112" w:rsidRPr="00317ABF" w:rsidRDefault="001E1112" w:rsidP="00DB3BEC">
            <w:pPr>
              <w:pStyle w:val="Tekstpodstawowy"/>
              <w:rPr>
                <w:b/>
                <w:bCs/>
                <w:noProof/>
                <w:sz w:val="22"/>
                <w:szCs w:val="22"/>
              </w:rPr>
            </w:pPr>
          </w:p>
          <w:p w14:paraId="441B967D" w14:textId="77777777" w:rsidR="001E1112" w:rsidRPr="00317ABF" w:rsidRDefault="001E1112" w:rsidP="00DB3BEC">
            <w:pPr>
              <w:pStyle w:val="Tekstpodstawowy"/>
              <w:rPr>
                <w:b/>
                <w:bCs/>
                <w:noProof/>
                <w:sz w:val="22"/>
                <w:szCs w:val="22"/>
              </w:rPr>
            </w:pPr>
          </w:p>
          <w:p w14:paraId="71690F33" w14:textId="77777777" w:rsidR="001E1112" w:rsidRPr="00317ABF" w:rsidRDefault="001E1112" w:rsidP="00DB3BEC">
            <w:pPr>
              <w:pStyle w:val="Tekstpodstawowy"/>
              <w:rPr>
                <w:b/>
                <w:bCs/>
                <w:noProof/>
                <w:sz w:val="22"/>
                <w:szCs w:val="22"/>
              </w:rPr>
            </w:pPr>
          </w:p>
          <w:p w14:paraId="667916E7" w14:textId="77777777" w:rsidR="001E1112" w:rsidRPr="00317ABF" w:rsidRDefault="001E1112" w:rsidP="00DB3BEC">
            <w:pPr>
              <w:pStyle w:val="Tekstpodstawowy"/>
              <w:rPr>
                <w:b/>
                <w:bCs/>
                <w:noProof/>
                <w:sz w:val="22"/>
                <w:szCs w:val="22"/>
              </w:rPr>
            </w:pPr>
          </w:p>
          <w:p w14:paraId="4E709407" w14:textId="77777777" w:rsidR="001E1112" w:rsidRPr="00317ABF" w:rsidRDefault="001E1112" w:rsidP="00DB3BEC">
            <w:pPr>
              <w:pStyle w:val="Tekstpodstawowy"/>
              <w:rPr>
                <w:b/>
                <w:bCs/>
                <w:noProof/>
                <w:sz w:val="22"/>
                <w:szCs w:val="22"/>
              </w:rPr>
            </w:pPr>
          </w:p>
          <w:p w14:paraId="4FEBB0E6" w14:textId="77777777" w:rsidR="001E1112" w:rsidRPr="00317ABF" w:rsidRDefault="001E1112" w:rsidP="00DB3BEC">
            <w:pPr>
              <w:pStyle w:val="Tekstpodstawowy"/>
              <w:rPr>
                <w:b/>
                <w:bCs/>
                <w:noProof/>
                <w:sz w:val="22"/>
                <w:szCs w:val="22"/>
              </w:rPr>
            </w:pPr>
          </w:p>
          <w:p w14:paraId="1FEE5806" w14:textId="77777777" w:rsidR="001E1112" w:rsidRPr="00317ABF" w:rsidRDefault="001E1112" w:rsidP="00DB3BEC">
            <w:pPr>
              <w:pStyle w:val="Tekstpodstawowy"/>
              <w:rPr>
                <w:b/>
                <w:bCs/>
                <w:noProof/>
                <w:sz w:val="22"/>
                <w:szCs w:val="22"/>
              </w:rPr>
            </w:pPr>
          </w:p>
          <w:p w14:paraId="15B3AA4F" w14:textId="77777777" w:rsidR="001E1112" w:rsidRPr="00317ABF" w:rsidRDefault="001E1112" w:rsidP="00DB3BEC">
            <w:pPr>
              <w:pStyle w:val="Tekstpodstawowy"/>
              <w:rPr>
                <w:b/>
                <w:bCs/>
                <w:noProof/>
                <w:sz w:val="22"/>
                <w:szCs w:val="22"/>
              </w:rPr>
            </w:pPr>
          </w:p>
          <w:p w14:paraId="28996128" w14:textId="77777777" w:rsidR="001E1112" w:rsidRPr="00317ABF" w:rsidRDefault="001E1112" w:rsidP="00DB3BEC">
            <w:pPr>
              <w:pStyle w:val="Tekstpodstawowy"/>
              <w:rPr>
                <w:b/>
                <w:bCs/>
                <w:noProof/>
                <w:sz w:val="22"/>
                <w:szCs w:val="22"/>
              </w:rPr>
            </w:pPr>
          </w:p>
          <w:p w14:paraId="1091AB4D" w14:textId="77777777" w:rsidR="001E1112" w:rsidRPr="00317ABF" w:rsidRDefault="001E1112" w:rsidP="00DB3BEC">
            <w:pPr>
              <w:pStyle w:val="Tekstpodstawowy"/>
              <w:rPr>
                <w:b/>
                <w:bCs/>
                <w:noProof/>
                <w:sz w:val="22"/>
                <w:szCs w:val="22"/>
              </w:rPr>
            </w:pPr>
          </w:p>
          <w:p w14:paraId="3F65631E" w14:textId="77777777" w:rsidR="001E1112" w:rsidRPr="00317ABF" w:rsidRDefault="001E1112" w:rsidP="00DB3BEC">
            <w:pPr>
              <w:pStyle w:val="Tekstpodstawowy"/>
              <w:rPr>
                <w:b/>
                <w:bCs/>
                <w:noProof/>
                <w:sz w:val="22"/>
                <w:szCs w:val="22"/>
              </w:rPr>
            </w:pPr>
          </w:p>
          <w:p w14:paraId="2F984DF1" w14:textId="77777777" w:rsidR="001E1112" w:rsidRPr="00317ABF" w:rsidRDefault="001E1112" w:rsidP="00DB3BEC">
            <w:pPr>
              <w:pStyle w:val="Tekstpodstawowy"/>
              <w:rPr>
                <w:b/>
                <w:bCs/>
                <w:noProof/>
                <w:sz w:val="22"/>
                <w:szCs w:val="22"/>
              </w:rPr>
            </w:pPr>
          </w:p>
          <w:p w14:paraId="00F2DA71" w14:textId="77777777" w:rsidR="001E1112" w:rsidRPr="00317ABF" w:rsidRDefault="001E1112" w:rsidP="00DB3BEC">
            <w:pPr>
              <w:pStyle w:val="Tekstpodstawowy"/>
              <w:rPr>
                <w:b/>
                <w:bCs/>
                <w:noProof/>
                <w:sz w:val="22"/>
                <w:szCs w:val="22"/>
              </w:rPr>
            </w:pPr>
          </w:p>
          <w:p w14:paraId="7FB2C3E4" w14:textId="77777777" w:rsidR="001E1112" w:rsidRPr="00317ABF" w:rsidRDefault="001E1112" w:rsidP="00DB3BEC">
            <w:pPr>
              <w:pStyle w:val="Tekstpodstawowy"/>
              <w:rPr>
                <w:b/>
                <w:bCs/>
                <w:noProof/>
                <w:sz w:val="22"/>
                <w:szCs w:val="22"/>
              </w:rPr>
            </w:pPr>
          </w:p>
          <w:p w14:paraId="0811ED6E" w14:textId="77777777" w:rsidR="001E1112" w:rsidRPr="00317ABF" w:rsidRDefault="001E1112" w:rsidP="00DB3BEC">
            <w:pPr>
              <w:pStyle w:val="Tekstpodstawowy"/>
              <w:rPr>
                <w:b/>
                <w:bCs/>
                <w:noProof/>
                <w:sz w:val="22"/>
                <w:szCs w:val="22"/>
              </w:rPr>
            </w:pPr>
          </w:p>
          <w:p w14:paraId="32CE4DAF" w14:textId="77777777" w:rsidR="001E1112" w:rsidRPr="00317ABF" w:rsidRDefault="001E1112" w:rsidP="00DB3BEC">
            <w:pPr>
              <w:pStyle w:val="Tekstpodstawowy"/>
              <w:rPr>
                <w:b/>
                <w:bCs/>
                <w:noProof/>
                <w:sz w:val="22"/>
                <w:szCs w:val="22"/>
              </w:rPr>
            </w:pPr>
          </w:p>
          <w:p w14:paraId="2F86F94F" w14:textId="77777777" w:rsidR="001E1112" w:rsidRPr="00317ABF" w:rsidRDefault="001E1112" w:rsidP="00DB3BEC">
            <w:pPr>
              <w:pStyle w:val="Tekstpodstawowy"/>
              <w:rPr>
                <w:b/>
                <w:bCs/>
                <w:noProof/>
                <w:sz w:val="22"/>
                <w:szCs w:val="22"/>
              </w:rPr>
            </w:pPr>
          </w:p>
          <w:p w14:paraId="68171128" w14:textId="77777777" w:rsidR="001E1112" w:rsidRPr="00317ABF" w:rsidRDefault="001E1112" w:rsidP="00DB3BEC">
            <w:pPr>
              <w:pStyle w:val="Tekstpodstawowy"/>
              <w:rPr>
                <w:b/>
                <w:bCs/>
                <w:noProof/>
                <w:sz w:val="22"/>
                <w:szCs w:val="22"/>
              </w:rPr>
            </w:pPr>
          </w:p>
          <w:p w14:paraId="57FA13FB" w14:textId="77777777" w:rsidR="001E1112" w:rsidRPr="00317ABF" w:rsidRDefault="001E1112" w:rsidP="00DB3BEC">
            <w:pPr>
              <w:pStyle w:val="Tekstpodstawowy"/>
              <w:rPr>
                <w:b/>
                <w:bCs/>
                <w:noProof/>
                <w:sz w:val="22"/>
                <w:szCs w:val="22"/>
              </w:rPr>
            </w:pPr>
          </w:p>
          <w:p w14:paraId="2FDD65F7" w14:textId="77777777" w:rsidR="001E1112" w:rsidRPr="00317ABF" w:rsidRDefault="001E1112" w:rsidP="00DB3BEC">
            <w:pPr>
              <w:pStyle w:val="Tekstpodstawowy"/>
              <w:rPr>
                <w:b/>
                <w:bCs/>
                <w:noProof/>
                <w:sz w:val="22"/>
                <w:szCs w:val="22"/>
              </w:rPr>
            </w:pPr>
          </w:p>
          <w:p w14:paraId="5B9D9024" w14:textId="77777777" w:rsidR="001E1112" w:rsidRPr="00317ABF" w:rsidRDefault="001E1112" w:rsidP="00DB3BEC">
            <w:pPr>
              <w:pStyle w:val="Tekstpodstawowy"/>
              <w:rPr>
                <w:b/>
                <w:bCs/>
                <w:noProof/>
                <w:sz w:val="22"/>
                <w:szCs w:val="22"/>
              </w:rPr>
            </w:pPr>
          </w:p>
          <w:p w14:paraId="46AFA5FF" w14:textId="77777777" w:rsidR="001E1112" w:rsidRPr="00317ABF" w:rsidRDefault="001E1112" w:rsidP="00DB3BEC">
            <w:pPr>
              <w:pStyle w:val="Tekstpodstawowy"/>
              <w:rPr>
                <w:b/>
                <w:bCs/>
                <w:noProof/>
                <w:sz w:val="22"/>
                <w:szCs w:val="22"/>
              </w:rPr>
            </w:pPr>
          </w:p>
          <w:p w14:paraId="5B7FF736" w14:textId="77777777" w:rsidR="001E1112" w:rsidRPr="00317ABF" w:rsidRDefault="001E1112" w:rsidP="00DB3BEC">
            <w:pPr>
              <w:pStyle w:val="Tekstpodstawowy"/>
              <w:rPr>
                <w:b/>
                <w:bCs/>
                <w:noProof/>
                <w:sz w:val="22"/>
                <w:szCs w:val="22"/>
              </w:rPr>
            </w:pPr>
          </w:p>
          <w:p w14:paraId="573BA8B5" w14:textId="77777777" w:rsidR="001E1112" w:rsidRPr="00317ABF" w:rsidRDefault="001E1112" w:rsidP="00DB3BEC">
            <w:pPr>
              <w:pStyle w:val="Tekstpodstawowy"/>
              <w:rPr>
                <w:b/>
                <w:bCs/>
                <w:noProof/>
                <w:sz w:val="22"/>
                <w:szCs w:val="22"/>
              </w:rPr>
            </w:pPr>
          </w:p>
          <w:p w14:paraId="26C41CA5" w14:textId="77777777" w:rsidR="001E1112" w:rsidRPr="00317ABF" w:rsidRDefault="001E1112" w:rsidP="00DB3BEC">
            <w:pPr>
              <w:pStyle w:val="Tekstpodstawowy"/>
              <w:rPr>
                <w:b/>
                <w:bCs/>
                <w:noProof/>
                <w:sz w:val="22"/>
                <w:szCs w:val="22"/>
              </w:rPr>
            </w:pPr>
          </w:p>
          <w:p w14:paraId="4C8BA734" w14:textId="77777777" w:rsidR="001E1112" w:rsidRPr="00317ABF" w:rsidRDefault="001E1112" w:rsidP="00DB3BEC">
            <w:pPr>
              <w:pStyle w:val="Tekstpodstawowy"/>
              <w:rPr>
                <w:b/>
                <w:bCs/>
                <w:noProof/>
                <w:sz w:val="22"/>
                <w:szCs w:val="22"/>
              </w:rPr>
            </w:pPr>
          </w:p>
          <w:p w14:paraId="249A57C0" w14:textId="77777777" w:rsidR="001E1112" w:rsidRPr="00317ABF" w:rsidRDefault="001E1112" w:rsidP="00DB3BEC">
            <w:pPr>
              <w:pStyle w:val="Tekstpodstawowy"/>
              <w:rPr>
                <w:b/>
                <w:bCs/>
                <w:noProof/>
                <w:sz w:val="22"/>
                <w:szCs w:val="22"/>
              </w:rPr>
            </w:pPr>
          </w:p>
          <w:p w14:paraId="50251CC4" w14:textId="77777777" w:rsidR="001E1112" w:rsidRPr="00317ABF" w:rsidRDefault="001E1112" w:rsidP="00DB3BEC">
            <w:pPr>
              <w:pStyle w:val="Tekstpodstawowy"/>
              <w:rPr>
                <w:b/>
                <w:bCs/>
                <w:noProof/>
                <w:sz w:val="22"/>
                <w:szCs w:val="22"/>
              </w:rPr>
            </w:pPr>
          </w:p>
          <w:p w14:paraId="3ACD7800" w14:textId="77777777" w:rsidR="001E1112" w:rsidRPr="00317ABF" w:rsidRDefault="001E1112" w:rsidP="00DB3BEC">
            <w:pPr>
              <w:pStyle w:val="Tekstpodstawowy"/>
              <w:rPr>
                <w:b/>
                <w:bCs/>
                <w:noProof/>
                <w:sz w:val="22"/>
                <w:szCs w:val="22"/>
              </w:rPr>
            </w:pPr>
          </w:p>
          <w:p w14:paraId="778167F2" w14:textId="77777777" w:rsidR="001E1112" w:rsidRPr="00317ABF" w:rsidRDefault="001E1112" w:rsidP="00DB3BEC">
            <w:pPr>
              <w:pStyle w:val="Tekstpodstawowy"/>
              <w:rPr>
                <w:b/>
                <w:bCs/>
                <w:noProof/>
                <w:sz w:val="22"/>
                <w:szCs w:val="22"/>
              </w:rPr>
            </w:pPr>
          </w:p>
          <w:p w14:paraId="1FC801F7" w14:textId="77777777" w:rsidR="001E1112" w:rsidRPr="00317ABF" w:rsidRDefault="001E1112" w:rsidP="00DB3BEC">
            <w:pPr>
              <w:pStyle w:val="Tekstpodstawowy"/>
              <w:rPr>
                <w:b/>
                <w:bCs/>
                <w:noProof/>
                <w:sz w:val="22"/>
                <w:szCs w:val="22"/>
              </w:rPr>
            </w:pPr>
          </w:p>
          <w:p w14:paraId="57002E48" w14:textId="77777777" w:rsidR="001E1112" w:rsidRPr="00317ABF" w:rsidRDefault="001E1112" w:rsidP="00DB3BEC">
            <w:pPr>
              <w:pStyle w:val="Tekstpodstawowy"/>
              <w:rPr>
                <w:b/>
                <w:bCs/>
                <w:noProof/>
                <w:sz w:val="22"/>
                <w:szCs w:val="22"/>
              </w:rPr>
            </w:pPr>
          </w:p>
          <w:p w14:paraId="3CFC59EC" w14:textId="77777777" w:rsidR="001E1112" w:rsidRPr="00317ABF" w:rsidRDefault="001E1112" w:rsidP="00DB3BEC">
            <w:pPr>
              <w:pStyle w:val="Tekstpodstawowy"/>
              <w:rPr>
                <w:b/>
                <w:bCs/>
                <w:noProof/>
                <w:sz w:val="22"/>
                <w:szCs w:val="22"/>
              </w:rPr>
            </w:pPr>
          </w:p>
          <w:p w14:paraId="38127D70" w14:textId="77777777" w:rsidR="001E1112" w:rsidRPr="00317ABF" w:rsidRDefault="001E1112" w:rsidP="00DB3BEC">
            <w:pPr>
              <w:pStyle w:val="Tekstpodstawowy"/>
              <w:rPr>
                <w:b/>
                <w:bCs/>
                <w:noProof/>
                <w:sz w:val="22"/>
                <w:szCs w:val="22"/>
              </w:rPr>
            </w:pPr>
          </w:p>
          <w:p w14:paraId="38630F33" w14:textId="77777777" w:rsidR="001E1112" w:rsidRPr="00317ABF" w:rsidRDefault="001E1112" w:rsidP="00DB3BEC">
            <w:pPr>
              <w:pStyle w:val="Tekstpodstawowy"/>
              <w:rPr>
                <w:b/>
                <w:bCs/>
                <w:noProof/>
                <w:sz w:val="22"/>
                <w:szCs w:val="22"/>
              </w:rPr>
            </w:pPr>
          </w:p>
          <w:p w14:paraId="4B4AE561" w14:textId="77777777" w:rsidR="001E1112" w:rsidRPr="00317ABF" w:rsidRDefault="001E1112" w:rsidP="00DB3BEC">
            <w:pPr>
              <w:pStyle w:val="Tekstpodstawowy"/>
              <w:rPr>
                <w:b/>
                <w:bCs/>
                <w:noProof/>
                <w:sz w:val="22"/>
                <w:szCs w:val="22"/>
              </w:rPr>
            </w:pPr>
          </w:p>
          <w:p w14:paraId="134E8984" w14:textId="77777777" w:rsidR="001E1112" w:rsidRPr="00317ABF" w:rsidRDefault="001E1112" w:rsidP="00DB3BEC">
            <w:pPr>
              <w:pStyle w:val="Tekstpodstawowy"/>
              <w:rPr>
                <w:b/>
                <w:bCs/>
                <w:noProof/>
                <w:sz w:val="22"/>
                <w:szCs w:val="22"/>
              </w:rPr>
            </w:pPr>
          </w:p>
          <w:p w14:paraId="46FE472C" w14:textId="77777777" w:rsidR="001E1112" w:rsidRPr="00317ABF" w:rsidRDefault="001E1112" w:rsidP="00DB3BEC">
            <w:pPr>
              <w:pStyle w:val="Tekstpodstawowy"/>
              <w:rPr>
                <w:b/>
                <w:bCs/>
                <w:noProof/>
                <w:sz w:val="22"/>
                <w:szCs w:val="22"/>
              </w:rPr>
            </w:pPr>
          </w:p>
          <w:p w14:paraId="23FD41FF" w14:textId="77777777" w:rsidR="001E1112" w:rsidRPr="00317ABF" w:rsidRDefault="001E1112" w:rsidP="00DB3BEC">
            <w:pPr>
              <w:pStyle w:val="Tekstpodstawowy"/>
              <w:rPr>
                <w:b/>
                <w:bCs/>
                <w:noProof/>
                <w:sz w:val="22"/>
                <w:szCs w:val="22"/>
              </w:rPr>
            </w:pPr>
          </w:p>
          <w:p w14:paraId="45D99367" w14:textId="77777777" w:rsidR="001E1112" w:rsidRPr="00317ABF" w:rsidRDefault="001E1112" w:rsidP="00DB3BEC">
            <w:pPr>
              <w:pStyle w:val="Tekstpodstawowy"/>
              <w:rPr>
                <w:b/>
                <w:bCs/>
                <w:noProof/>
                <w:sz w:val="22"/>
                <w:szCs w:val="22"/>
              </w:rPr>
            </w:pPr>
          </w:p>
          <w:p w14:paraId="46F89FFF" w14:textId="77777777" w:rsidR="001E1112" w:rsidRPr="00317ABF" w:rsidRDefault="001E1112" w:rsidP="00DB3BEC">
            <w:pPr>
              <w:pStyle w:val="Tekstpodstawowy"/>
              <w:rPr>
                <w:b/>
                <w:bCs/>
                <w:noProof/>
                <w:sz w:val="22"/>
                <w:szCs w:val="22"/>
              </w:rPr>
            </w:pPr>
          </w:p>
          <w:p w14:paraId="68580EA0" w14:textId="77777777" w:rsidR="001E1112" w:rsidRPr="00317ABF" w:rsidRDefault="001E1112" w:rsidP="00DB3BEC">
            <w:pPr>
              <w:pStyle w:val="Tekstpodstawowy"/>
              <w:rPr>
                <w:b/>
                <w:bCs/>
                <w:noProof/>
                <w:sz w:val="22"/>
                <w:szCs w:val="22"/>
              </w:rPr>
            </w:pPr>
          </w:p>
          <w:p w14:paraId="1535F9DA" w14:textId="77777777" w:rsidR="001E1112" w:rsidRPr="00317ABF" w:rsidRDefault="001E1112" w:rsidP="00DB3BEC">
            <w:pPr>
              <w:pStyle w:val="Tekstpodstawowy"/>
              <w:rPr>
                <w:b/>
                <w:bCs/>
                <w:noProof/>
                <w:sz w:val="22"/>
                <w:szCs w:val="22"/>
              </w:rPr>
            </w:pPr>
          </w:p>
          <w:p w14:paraId="52BEDEFC" w14:textId="77777777" w:rsidR="001E1112" w:rsidRPr="00317ABF" w:rsidRDefault="001E1112" w:rsidP="00DB3BEC">
            <w:pPr>
              <w:pStyle w:val="Tekstpodstawowy"/>
              <w:rPr>
                <w:b/>
                <w:bCs/>
                <w:noProof/>
                <w:sz w:val="22"/>
                <w:szCs w:val="22"/>
              </w:rPr>
            </w:pPr>
          </w:p>
          <w:p w14:paraId="7F7D4BA0" w14:textId="77777777" w:rsidR="001E1112" w:rsidRPr="00317ABF" w:rsidRDefault="001E1112" w:rsidP="00DB3BEC">
            <w:pPr>
              <w:pStyle w:val="Tekstpodstawowy"/>
              <w:rPr>
                <w:b/>
                <w:bCs/>
                <w:noProof/>
                <w:sz w:val="22"/>
                <w:szCs w:val="22"/>
              </w:rPr>
            </w:pPr>
          </w:p>
          <w:p w14:paraId="04CB306A" w14:textId="77777777" w:rsidR="001E1112" w:rsidRPr="00317ABF" w:rsidRDefault="001E1112" w:rsidP="00DB3BEC">
            <w:pPr>
              <w:pStyle w:val="Tekstpodstawowy"/>
              <w:rPr>
                <w:b/>
                <w:bCs/>
                <w:noProof/>
                <w:sz w:val="22"/>
                <w:szCs w:val="22"/>
              </w:rPr>
            </w:pPr>
          </w:p>
          <w:p w14:paraId="020D0C95" w14:textId="77777777" w:rsidR="001E1112" w:rsidRPr="00317ABF" w:rsidRDefault="001E1112" w:rsidP="00DB3BEC">
            <w:pPr>
              <w:pStyle w:val="Tekstpodstawowy"/>
              <w:rPr>
                <w:b/>
                <w:bCs/>
                <w:noProof/>
                <w:sz w:val="22"/>
                <w:szCs w:val="22"/>
              </w:rPr>
            </w:pPr>
          </w:p>
          <w:p w14:paraId="49A85AD6" w14:textId="77777777" w:rsidR="001E1112" w:rsidRPr="00317ABF" w:rsidRDefault="001E1112" w:rsidP="00DB3BEC">
            <w:pPr>
              <w:pStyle w:val="Tekstpodstawowy"/>
              <w:rPr>
                <w:b/>
                <w:bCs/>
                <w:noProof/>
                <w:sz w:val="22"/>
                <w:szCs w:val="22"/>
              </w:rPr>
            </w:pPr>
          </w:p>
          <w:p w14:paraId="5AB1B21D" w14:textId="77777777" w:rsidR="001E1112" w:rsidRPr="00317ABF" w:rsidRDefault="001E1112" w:rsidP="00DB3BEC">
            <w:pPr>
              <w:pStyle w:val="Tekstpodstawowy"/>
              <w:rPr>
                <w:b/>
                <w:bCs/>
                <w:noProof/>
                <w:sz w:val="22"/>
                <w:szCs w:val="22"/>
              </w:rPr>
            </w:pPr>
          </w:p>
          <w:p w14:paraId="6E0AE25E" w14:textId="77777777" w:rsidR="001E1112" w:rsidRPr="00317ABF" w:rsidRDefault="001E1112" w:rsidP="00DB3BEC">
            <w:pPr>
              <w:pStyle w:val="Tekstpodstawowy"/>
              <w:rPr>
                <w:b/>
                <w:bCs/>
                <w:noProof/>
                <w:sz w:val="22"/>
                <w:szCs w:val="22"/>
              </w:rPr>
            </w:pPr>
          </w:p>
          <w:p w14:paraId="329B1634" w14:textId="77777777" w:rsidR="001E1112" w:rsidRPr="00317ABF" w:rsidRDefault="001E1112" w:rsidP="00DB3BEC">
            <w:pPr>
              <w:pStyle w:val="Tekstpodstawowy"/>
              <w:rPr>
                <w:b/>
                <w:bCs/>
                <w:noProof/>
                <w:sz w:val="22"/>
                <w:szCs w:val="22"/>
              </w:rPr>
            </w:pPr>
          </w:p>
          <w:p w14:paraId="02AF8BA8" w14:textId="77777777" w:rsidR="001E1112" w:rsidRPr="00317ABF" w:rsidRDefault="001E1112" w:rsidP="00DB3BEC">
            <w:pPr>
              <w:pStyle w:val="Tekstpodstawowy"/>
              <w:rPr>
                <w:b/>
                <w:bCs/>
                <w:noProof/>
                <w:sz w:val="22"/>
                <w:szCs w:val="22"/>
              </w:rPr>
            </w:pPr>
          </w:p>
          <w:p w14:paraId="238D5971" w14:textId="77777777" w:rsidR="001E1112" w:rsidRPr="00317ABF" w:rsidRDefault="001E1112" w:rsidP="00DB3BEC">
            <w:pPr>
              <w:pStyle w:val="Tekstpodstawowy"/>
              <w:rPr>
                <w:b/>
                <w:bCs/>
                <w:noProof/>
                <w:sz w:val="22"/>
                <w:szCs w:val="22"/>
              </w:rPr>
            </w:pPr>
          </w:p>
          <w:p w14:paraId="00ACFA61" w14:textId="77777777" w:rsidR="001E1112" w:rsidRPr="00317ABF" w:rsidRDefault="001E1112" w:rsidP="00DB3BEC">
            <w:pPr>
              <w:pStyle w:val="Tekstpodstawowy"/>
              <w:rPr>
                <w:b/>
                <w:bCs/>
                <w:noProof/>
                <w:sz w:val="22"/>
                <w:szCs w:val="22"/>
              </w:rPr>
            </w:pPr>
          </w:p>
          <w:p w14:paraId="070E19CF" w14:textId="77777777" w:rsidR="001E1112" w:rsidRPr="00317ABF" w:rsidRDefault="001E1112" w:rsidP="00DB3BEC">
            <w:pPr>
              <w:pStyle w:val="Tekstpodstawowy"/>
              <w:rPr>
                <w:b/>
                <w:bCs/>
                <w:noProof/>
                <w:sz w:val="22"/>
                <w:szCs w:val="22"/>
              </w:rPr>
            </w:pPr>
          </w:p>
          <w:p w14:paraId="4300C103" w14:textId="77777777" w:rsidR="001E1112" w:rsidRPr="00317ABF" w:rsidRDefault="001E1112" w:rsidP="00DB3BEC">
            <w:pPr>
              <w:pStyle w:val="Tekstpodstawowy"/>
              <w:rPr>
                <w:b/>
                <w:bCs/>
                <w:noProof/>
                <w:sz w:val="22"/>
                <w:szCs w:val="22"/>
              </w:rPr>
            </w:pPr>
          </w:p>
          <w:p w14:paraId="0EF978E1" w14:textId="77777777" w:rsidR="001E1112" w:rsidRPr="00317ABF" w:rsidRDefault="001E1112" w:rsidP="00DB3BEC">
            <w:pPr>
              <w:pStyle w:val="Tekstpodstawowy"/>
              <w:rPr>
                <w:b/>
                <w:bCs/>
                <w:noProof/>
                <w:sz w:val="22"/>
                <w:szCs w:val="22"/>
              </w:rPr>
            </w:pPr>
          </w:p>
          <w:p w14:paraId="139F175F" w14:textId="77777777" w:rsidR="001E1112" w:rsidRPr="00317ABF" w:rsidRDefault="001E1112" w:rsidP="00DB3BEC">
            <w:pPr>
              <w:pStyle w:val="Tekstpodstawowy"/>
              <w:rPr>
                <w:b/>
                <w:bCs/>
                <w:noProof/>
                <w:sz w:val="22"/>
                <w:szCs w:val="22"/>
              </w:rPr>
            </w:pPr>
          </w:p>
          <w:p w14:paraId="595063DD" w14:textId="77777777" w:rsidR="001E1112" w:rsidRPr="00317ABF" w:rsidRDefault="001E1112" w:rsidP="00DB3BEC">
            <w:pPr>
              <w:pStyle w:val="Tekstpodstawowy"/>
              <w:rPr>
                <w:b/>
                <w:bCs/>
                <w:noProof/>
                <w:sz w:val="22"/>
                <w:szCs w:val="22"/>
              </w:rPr>
            </w:pPr>
          </w:p>
          <w:p w14:paraId="7C13F2A4" w14:textId="77777777" w:rsidR="001E1112" w:rsidRPr="00317ABF" w:rsidRDefault="001E1112" w:rsidP="00DB3BEC">
            <w:pPr>
              <w:pStyle w:val="Tekstpodstawowy"/>
              <w:rPr>
                <w:b/>
                <w:bCs/>
                <w:noProof/>
                <w:sz w:val="22"/>
                <w:szCs w:val="22"/>
              </w:rPr>
            </w:pPr>
          </w:p>
          <w:p w14:paraId="24508A38" w14:textId="77777777" w:rsidR="001E1112" w:rsidRPr="00317ABF" w:rsidRDefault="001E1112" w:rsidP="00DB3BEC">
            <w:pPr>
              <w:pStyle w:val="Tekstpodstawowy"/>
              <w:rPr>
                <w:b/>
                <w:bCs/>
                <w:noProof/>
                <w:sz w:val="22"/>
                <w:szCs w:val="22"/>
              </w:rPr>
            </w:pPr>
          </w:p>
          <w:p w14:paraId="40D35DEF" w14:textId="77777777" w:rsidR="001E1112" w:rsidRPr="00317ABF" w:rsidRDefault="001E1112" w:rsidP="00DB3BEC">
            <w:pPr>
              <w:pStyle w:val="Tekstpodstawowy"/>
              <w:rPr>
                <w:b/>
                <w:bCs/>
                <w:noProof/>
                <w:sz w:val="22"/>
                <w:szCs w:val="22"/>
              </w:rPr>
            </w:pPr>
          </w:p>
          <w:p w14:paraId="07C780A1" w14:textId="77777777" w:rsidR="001E1112" w:rsidRPr="00317ABF" w:rsidRDefault="001E1112" w:rsidP="00DB3BEC">
            <w:pPr>
              <w:pStyle w:val="Tekstpodstawowy"/>
              <w:rPr>
                <w:b/>
                <w:bCs/>
                <w:noProof/>
                <w:sz w:val="22"/>
                <w:szCs w:val="22"/>
              </w:rPr>
            </w:pPr>
          </w:p>
          <w:p w14:paraId="0B9E5C0F" w14:textId="77777777" w:rsidR="001E1112" w:rsidRPr="00317ABF" w:rsidRDefault="001E1112" w:rsidP="00DB3BEC">
            <w:pPr>
              <w:pStyle w:val="Tekstpodstawowy"/>
              <w:rPr>
                <w:b/>
                <w:bCs/>
                <w:noProof/>
                <w:sz w:val="22"/>
                <w:szCs w:val="22"/>
              </w:rPr>
            </w:pPr>
          </w:p>
          <w:p w14:paraId="553E6E6F" w14:textId="77777777" w:rsidR="001E1112" w:rsidRPr="00317ABF" w:rsidRDefault="001E1112" w:rsidP="00DB3BEC">
            <w:pPr>
              <w:pStyle w:val="Tekstpodstawowy"/>
              <w:rPr>
                <w:b/>
                <w:bCs/>
                <w:noProof/>
                <w:sz w:val="22"/>
                <w:szCs w:val="22"/>
              </w:rPr>
            </w:pPr>
          </w:p>
          <w:p w14:paraId="571F80FF" w14:textId="77777777" w:rsidR="001E1112" w:rsidRPr="00317ABF" w:rsidRDefault="001E1112" w:rsidP="00DB3BEC">
            <w:pPr>
              <w:pStyle w:val="Tekstpodstawowy"/>
              <w:rPr>
                <w:b/>
                <w:bCs/>
                <w:noProof/>
                <w:sz w:val="22"/>
                <w:szCs w:val="22"/>
              </w:rPr>
            </w:pPr>
          </w:p>
          <w:p w14:paraId="6EA4AD52" w14:textId="77777777" w:rsidR="001E1112" w:rsidRPr="00317ABF" w:rsidRDefault="001E1112" w:rsidP="00DB3BEC">
            <w:pPr>
              <w:pStyle w:val="Tekstpodstawowy"/>
              <w:rPr>
                <w:b/>
                <w:bCs/>
                <w:noProof/>
                <w:sz w:val="22"/>
                <w:szCs w:val="22"/>
              </w:rPr>
            </w:pPr>
          </w:p>
          <w:p w14:paraId="3E9A1834" w14:textId="77777777" w:rsidR="001E1112" w:rsidRPr="00317ABF" w:rsidRDefault="001E1112" w:rsidP="00DB3BEC">
            <w:pPr>
              <w:pStyle w:val="Tekstpodstawowy"/>
              <w:rPr>
                <w:b/>
                <w:bCs/>
                <w:noProof/>
                <w:sz w:val="22"/>
                <w:szCs w:val="22"/>
              </w:rPr>
            </w:pPr>
          </w:p>
          <w:p w14:paraId="389F4EA5" w14:textId="77777777" w:rsidR="001E1112" w:rsidRPr="00317ABF" w:rsidRDefault="001E1112" w:rsidP="00DB3BEC">
            <w:pPr>
              <w:pStyle w:val="Tekstpodstawowy"/>
              <w:rPr>
                <w:b/>
                <w:bCs/>
                <w:noProof/>
                <w:sz w:val="22"/>
                <w:szCs w:val="22"/>
              </w:rPr>
            </w:pPr>
          </w:p>
          <w:p w14:paraId="5298DBEB" w14:textId="77777777" w:rsidR="001E1112" w:rsidRPr="00317ABF" w:rsidRDefault="001E1112" w:rsidP="00DB3BEC">
            <w:pPr>
              <w:pStyle w:val="Tekstpodstawowy"/>
              <w:rPr>
                <w:b/>
                <w:bCs/>
                <w:noProof/>
                <w:sz w:val="22"/>
                <w:szCs w:val="22"/>
              </w:rPr>
            </w:pPr>
          </w:p>
          <w:p w14:paraId="4D39A741" w14:textId="77777777" w:rsidR="001E1112" w:rsidRPr="00317ABF" w:rsidRDefault="001E1112" w:rsidP="00DB3BEC">
            <w:pPr>
              <w:pStyle w:val="Tekstpodstawowy"/>
              <w:rPr>
                <w:b/>
                <w:bCs/>
                <w:noProof/>
                <w:sz w:val="22"/>
                <w:szCs w:val="22"/>
              </w:rPr>
            </w:pPr>
          </w:p>
          <w:p w14:paraId="37D23D22" w14:textId="77777777" w:rsidR="001E1112" w:rsidRPr="00317ABF" w:rsidRDefault="001E1112" w:rsidP="00DB3BEC">
            <w:pPr>
              <w:pStyle w:val="Tekstpodstawowy"/>
              <w:rPr>
                <w:b/>
                <w:bCs/>
                <w:noProof/>
                <w:sz w:val="22"/>
                <w:szCs w:val="22"/>
              </w:rPr>
            </w:pPr>
          </w:p>
          <w:p w14:paraId="178016FF" w14:textId="77777777" w:rsidR="001E1112" w:rsidRPr="00317ABF" w:rsidRDefault="001E1112" w:rsidP="00DB3BEC">
            <w:pPr>
              <w:pStyle w:val="Tekstpodstawowy"/>
              <w:rPr>
                <w:b/>
                <w:bCs/>
                <w:noProof/>
                <w:sz w:val="22"/>
                <w:szCs w:val="22"/>
              </w:rPr>
            </w:pPr>
          </w:p>
          <w:p w14:paraId="27FEFFB7" w14:textId="77777777" w:rsidR="001E1112" w:rsidRPr="00317ABF" w:rsidRDefault="001E1112" w:rsidP="00DB3BEC">
            <w:pPr>
              <w:pStyle w:val="Tekstpodstawowy"/>
              <w:rPr>
                <w:b/>
                <w:bCs/>
                <w:noProof/>
                <w:sz w:val="22"/>
                <w:szCs w:val="22"/>
              </w:rPr>
            </w:pPr>
          </w:p>
          <w:p w14:paraId="7CA4E977" w14:textId="77777777" w:rsidR="001E1112" w:rsidRPr="00317ABF" w:rsidRDefault="001E1112" w:rsidP="00DB3BEC">
            <w:pPr>
              <w:pStyle w:val="Tekstpodstawowy"/>
              <w:rPr>
                <w:b/>
                <w:bCs/>
                <w:noProof/>
                <w:sz w:val="22"/>
                <w:szCs w:val="22"/>
              </w:rPr>
            </w:pPr>
          </w:p>
          <w:p w14:paraId="5D9D8033" w14:textId="77777777" w:rsidR="001E1112" w:rsidRPr="00317ABF" w:rsidRDefault="001E1112" w:rsidP="00DB3BEC">
            <w:pPr>
              <w:pStyle w:val="Tekstpodstawowy"/>
              <w:rPr>
                <w:b/>
                <w:bCs/>
                <w:noProof/>
                <w:sz w:val="22"/>
                <w:szCs w:val="22"/>
              </w:rPr>
            </w:pPr>
          </w:p>
          <w:p w14:paraId="7E4C1C09" w14:textId="77777777" w:rsidR="001E1112" w:rsidRPr="00317ABF" w:rsidRDefault="001E1112" w:rsidP="00DB3BEC">
            <w:pPr>
              <w:pStyle w:val="Tekstpodstawowy"/>
              <w:rPr>
                <w:b/>
                <w:bCs/>
                <w:noProof/>
                <w:sz w:val="22"/>
                <w:szCs w:val="22"/>
              </w:rPr>
            </w:pPr>
          </w:p>
          <w:p w14:paraId="48DC7A9B" w14:textId="77777777" w:rsidR="001E1112" w:rsidRPr="00317ABF" w:rsidRDefault="001E1112" w:rsidP="00DB3BEC">
            <w:pPr>
              <w:pStyle w:val="Tekstpodstawowy"/>
              <w:rPr>
                <w:b/>
                <w:bCs/>
                <w:noProof/>
                <w:sz w:val="22"/>
                <w:szCs w:val="22"/>
              </w:rPr>
            </w:pPr>
          </w:p>
          <w:p w14:paraId="4D587788" w14:textId="77777777" w:rsidR="001E1112" w:rsidRPr="00317ABF" w:rsidRDefault="001E1112" w:rsidP="00DB3BEC">
            <w:pPr>
              <w:pStyle w:val="Tekstpodstawowy"/>
              <w:rPr>
                <w:b/>
                <w:bCs/>
                <w:noProof/>
                <w:sz w:val="22"/>
                <w:szCs w:val="22"/>
              </w:rPr>
            </w:pPr>
          </w:p>
          <w:p w14:paraId="55EE7379" w14:textId="77777777" w:rsidR="001E1112" w:rsidRPr="00317ABF" w:rsidRDefault="001E1112" w:rsidP="00DB3BEC">
            <w:pPr>
              <w:pStyle w:val="Tekstpodstawowy"/>
              <w:rPr>
                <w:b/>
                <w:bCs/>
                <w:noProof/>
                <w:sz w:val="22"/>
                <w:szCs w:val="22"/>
              </w:rPr>
            </w:pPr>
          </w:p>
          <w:p w14:paraId="37D0C558" w14:textId="77777777" w:rsidR="001E1112" w:rsidRPr="00317ABF" w:rsidRDefault="001E1112" w:rsidP="00DB3BEC">
            <w:pPr>
              <w:pStyle w:val="Tekstpodstawowy"/>
              <w:rPr>
                <w:b/>
                <w:bCs/>
                <w:noProof/>
                <w:sz w:val="22"/>
                <w:szCs w:val="22"/>
              </w:rPr>
            </w:pPr>
          </w:p>
          <w:p w14:paraId="5F2F9962" w14:textId="77777777" w:rsidR="001E1112" w:rsidRPr="00317ABF" w:rsidRDefault="001E1112" w:rsidP="00DB3BEC">
            <w:pPr>
              <w:pStyle w:val="Tekstpodstawowy"/>
              <w:rPr>
                <w:b/>
                <w:bCs/>
                <w:noProof/>
                <w:sz w:val="22"/>
                <w:szCs w:val="22"/>
              </w:rPr>
            </w:pPr>
          </w:p>
          <w:p w14:paraId="401C2B54" w14:textId="77777777" w:rsidR="001E1112" w:rsidRPr="00317ABF" w:rsidRDefault="001E1112" w:rsidP="00DB3BEC">
            <w:pPr>
              <w:pStyle w:val="Tekstpodstawowy"/>
              <w:rPr>
                <w:b/>
                <w:bCs/>
                <w:noProof/>
                <w:sz w:val="22"/>
                <w:szCs w:val="22"/>
              </w:rPr>
            </w:pPr>
          </w:p>
          <w:p w14:paraId="13B7107B" w14:textId="77777777" w:rsidR="001E1112" w:rsidRPr="00317ABF" w:rsidRDefault="001E1112" w:rsidP="00DB3BEC">
            <w:pPr>
              <w:pStyle w:val="Tekstpodstawowy"/>
              <w:rPr>
                <w:b/>
                <w:bCs/>
                <w:noProof/>
                <w:sz w:val="22"/>
                <w:szCs w:val="22"/>
              </w:rPr>
            </w:pPr>
          </w:p>
          <w:p w14:paraId="710005CA" w14:textId="77777777" w:rsidR="001E1112" w:rsidRPr="00317ABF" w:rsidRDefault="001E1112" w:rsidP="00DB3BEC">
            <w:pPr>
              <w:pStyle w:val="Tekstpodstawowy"/>
              <w:rPr>
                <w:b/>
                <w:bCs/>
                <w:noProof/>
                <w:sz w:val="22"/>
                <w:szCs w:val="22"/>
              </w:rPr>
            </w:pPr>
          </w:p>
          <w:p w14:paraId="28EAFEAF" w14:textId="77777777" w:rsidR="001E1112" w:rsidRPr="00317ABF" w:rsidRDefault="001E1112" w:rsidP="00DB3BEC">
            <w:pPr>
              <w:pStyle w:val="Tekstpodstawowy"/>
              <w:rPr>
                <w:b/>
                <w:bCs/>
                <w:noProof/>
                <w:sz w:val="22"/>
                <w:szCs w:val="22"/>
              </w:rPr>
            </w:pPr>
          </w:p>
          <w:p w14:paraId="5A39536B" w14:textId="77777777" w:rsidR="001E1112" w:rsidRPr="00317ABF" w:rsidRDefault="001E1112" w:rsidP="00DB3BEC">
            <w:pPr>
              <w:pStyle w:val="Tekstpodstawowy"/>
              <w:rPr>
                <w:b/>
                <w:bCs/>
                <w:noProof/>
                <w:sz w:val="22"/>
                <w:szCs w:val="22"/>
              </w:rPr>
            </w:pPr>
          </w:p>
          <w:p w14:paraId="64421386" w14:textId="77777777" w:rsidR="001E1112" w:rsidRPr="00317ABF" w:rsidRDefault="001E1112" w:rsidP="00DB3BEC">
            <w:pPr>
              <w:pStyle w:val="Tekstpodstawowy"/>
              <w:rPr>
                <w:b/>
                <w:bCs/>
                <w:noProof/>
                <w:sz w:val="22"/>
                <w:szCs w:val="22"/>
              </w:rPr>
            </w:pPr>
          </w:p>
          <w:p w14:paraId="55F3EBD9" w14:textId="77777777" w:rsidR="001E1112" w:rsidRPr="00317ABF" w:rsidRDefault="001E1112" w:rsidP="00DB3BEC">
            <w:pPr>
              <w:pStyle w:val="Tekstpodstawowy"/>
              <w:rPr>
                <w:b/>
                <w:bCs/>
                <w:noProof/>
                <w:sz w:val="22"/>
                <w:szCs w:val="22"/>
              </w:rPr>
            </w:pPr>
          </w:p>
          <w:p w14:paraId="09ABBA74" w14:textId="77777777" w:rsidR="001E1112" w:rsidRPr="00317ABF" w:rsidRDefault="001E1112" w:rsidP="00DB3BEC">
            <w:pPr>
              <w:pStyle w:val="Tekstpodstawowy"/>
              <w:rPr>
                <w:b/>
                <w:bCs/>
                <w:noProof/>
                <w:sz w:val="22"/>
                <w:szCs w:val="22"/>
              </w:rPr>
            </w:pPr>
          </w:p>
          <w:p w14:paraId="1C1CA6B8" w14:textId="77777777" w:rsidR="001E1112" w:rsidRPr="00317ABF" w:rsidRDefault="001E1112" w:rsidP="00DB3BEC">
            <w:pPr>
              <w:pStyle w:val="Tekstpodstawowy"/>
              <w:rPr>
                <w:b/>
                <w:bCs/>
                <w:noProof/>
                <w:sz w:val="22"/>
                <w:szCs w:val="22"/>
              </w:rPr>
            </w:pPr>
          </w:p>
          <w:p w14:paraId="1234ABA0" w14:textId="77777777" w:rsidR="001E1112" w:rsidRPr="00317ABF" w:rsidRDefault="001E1112" w:rsidP="00DB3BEC">
            <w:pPr>
              <w:pStyle w:val="Tekstpodstawowy"/>
              <w:rPr>
                <w:b/>
                <w:bCs/>
                <w:noProof/>
                <w:sz w:val="22"/>
                <w:szCs w:val="22"/>
              </w:rPr>
            </w:pPr>
          </w:p>
          <w:p w14:paraId="09A8D73F" w14:textId="77777777" w:rsidR="001E1112" w:rsidRPr="00317ABF" w:rsidRDefault="001E1112" w:rsidP="00DB3BEC">
            <w:pPr>
              <w:pStyle w:val="Tekstpodstawowy"/>
              <w:rPr>
                <w:b/>
                <w:bCs/>
                <w:noProof/>
                <w:sz w:val="22"/>
                <w:szCs w:val="22"/>
              </w:rPr>
            </w:pPr>
          </w:p>
          <w:p w14:paraId="2D562F41" w14:textId="77777777" w:rsidR="001E1112" w:rsidRPr="00317ABF" w:rsidRDefault="001E1112" w:rsidP="00DB3BEC">
            <w:pPr>
              <w:pStyle w:val="Tekstpodstawowy"/>
              <w:rPr>
                <w:b/>
                <w:bCs/>
                <w:noProof/>
                <w:sz w:val="22"/>
                <w:szCs w:val="22"/>
              </w:rPr>
            </w:pPr>
          </w:p>
          <w:p w14:paraId="5E5FA043" w14:textId="77777777" w:rsidR="001E1112" w:rsidRPr="00317ABF" w:rsidRDefault="001E1112" w:rsidP="00DB3BEC">
            <w:pPr>
              <w:pStyle w:val="Tekstpodstawowy"/>
              <w:rPr>
                <w:b/>
                <w:bCs/>
                <w:noProof/>
                <w:sz w:val="22"/>
                <w:szCs w:val="22"/>
              </w:rPr>
            </w:pPr>
          </w:p>
          <w:p w14:paraId="15940767" w14:textId="77777777" w:rsidR="001E1112" w:rsidRPr="00317ABF" w:rsidRDefault="001E1112" w:rsidP="00DB3BEC">
            <w:pPr>
              <w:pStyle w:val="Tekstpodstawowy"/>
              <w:rPr>
                <w:b/>
                <w:bCs/>
                <w:noProof/>
                <w:sz w:val="22"/>
                <w:szCs w:val="22"/>
              </w:rPr>
            </w:pPr>
          </w:p>
          <w:p w14:paraId="6AECC4D2" w14:textId="77777777" w:rsidR="001E1112" w:rsidRPr="00317ABF" w:rsidRDefault="001E1112" w:rsidP="00DB3BEC">
            <w:pPr>
              <w:pStyle w:val="Tekstpodstawowy"/>
              <w:rPr>
                <w:b/>
                <w:bCs/>
                <w:noProof/>
                <w:sz w:val="22"/>
                <w:szCs w:val="22"/>
              </w:rPr>
            </w:pPr>
          </w:p>
          <w:p w14:paraId="1847944B" w14:textId="77777777" w:rsidR="001E1112" w:rsidRPr="00317ABF" w:rsidRDefault="001E1112" w:rsidP="00DB3BEC">
            <w:pPr>
              <w:pStyle w:val="Tekstpodstawowy"/>
              <w:rPr>
                <w:b/>
                <w:bCs/>
                <w:noProof/>
                <w:sz w:val="22"/>
                <w:szCs w:val="22"/>
              </w:rPr>
            </w:pPr>
          </w:p>
          <w:p w14:paraId="0D10B939" w14:textId="77777777" w:rsidR="001E1112" w:rsidRPr="00317ABF" w:rsidRDefault="001E1112" w:rsidP="00DB3BEC">
            <w:pPr>
              <w:pStyle w:val="Tekstpodstawowy"/>
              <w:rPr>
                <w:b/>
                <w:bCs/>
                <w:noProof/>
                <w:sz w:val="22"/>
                <w:szCs w:val="22"/>
              </w:rPr>
            </w:pPr>
          </w:p>
          <w:p w14:paraId="559E671E" w14:textId="77777777" w:rsidR="001E1112" w:rsidRPr="00317ABF" w:rsidRDefault="001E1112" w:rsidP="00DB3BEC">
            <w:pPr>
              <w:pStyle w:val="Tekstpodstawowy"/>
              <w:rPr>
                <w:b/>
                <w:bCs/>
                <w:noProof/>
                <w:sz w:val="22"/>
                <w:szCs w:val="22"/>
              </w:rPr>
            </w:pPr>
          </w:p>
          <w:p w14:paraId="38E6D891" w14:textId="77777777" w:rsidR="001E1112" w:rsidRPr="00317ABF" w:rsidRDefault="001E1112" w:rsidP="00DB3BEC">
            <w:pPr>
              <w:pStyle w:val="Tekstpodstawowy"/>
              <w:rPr>
                <w:b/>
                <w:bCs/>
                <w:noProof/>
                <w:sz w:val="22"/>
                <w:szCs w:val="22"/>
              </w:rPr>
            </w:pPr>
          </w:p>
          <w:p w14:paraId="0B0F1762" w14:textId="77777777" w:rsidR="001E1112" w:rsidRPr="00317ABF" w:rsidRDefault="001E1112" w:rsidP="00DB3BEC">
            <w:pPr>
              <w:pStyle w:val="Tekstpodstawowy"/>
              <w:rPr>
                <w:b/>
                <w:bCs/>
                <w:noProof/>
                <w:sz w:val="22"/>
                <w:szCs w:val="22"/>
              </w:rPr>
            </w:pPr>
          </w:p>
          <w:p w14:paraId="5D00C2DF" w14:textId="77777777" w:rsidR="001E1112" w:rsidRPr="00317ABF" w:rsidRDefault="001E1112" w:rsidP="00DB3BEC">
            <w:pPr>
              <w:pStyle w:val="Tekstpodstawowy"/>
              <w:rPr>
                <w:b/>
                <w:bCs/>
                <w:noProof/>
                <w:sz w:val="22"/>
                <w:szCs w:val="22"/>
              </w:rPr>
            </w:pPr>
          </w:p>
          <w:p w14:paraId="0140CEAA" w14:textId="77777777" w:rsidR="001E1112" w:rsidRPr="00317ABF" w:rsidRDefault="001E1112" w:rsidP="00DB3BEC">
            <w:pPr>
              <w:pStyle w:val="Tekstpodstawowy"/>
              <w:rPr>
                <w:b/>
                <w:bCs/>
                <w:noProof/>
                <w:sz w:val="22"/>
                <w:szCs w:val="22"/>
              </w:rPr>
            </w:pPr>
          </w:p>
          <w:p w14:paraId="42900123" w14:textId="77777777" w:rsidR="00866CAB" w:rsidRPr="00317ABF" w:rsidRDefault="00866CAB" w:rsidP="00DB3BEC">
            <w:pPr>
              <w:pStyle w:val="Tekstpodstawowy"/>
              <w:rPr>
                <w:b/>
                <w:bCs/>
                <w:noProof/>
                <w:sz w:val="22"/>
                <w:szCs w:val="22"/>
              </w:rPr>
            </w:pPr>
          </w:p>
          <w:p w14:paraId="68866F28" w14:textId="77777777" w:rsidR="00866CAB" w:rsidRPr="00317ABF" w:rsidRDefault="00866CAB" w:rsidP="00DB3BEC">
            <w:pPr>
              <w:pStyle w:val="Tekstpodstawowy"/>
              <w:rPr>
                <w:b/>
                <w:bCs/>
                <w:noProof/>
                <w:sz w:val="22"/>
                <w:szCs w:val="22"/>
              </w:rPr>
            </w:pPr>
          </w:p>
          <w:p w14:paraId="60B45F79" w14:textId="77777777" w:rsidR="00866CAB" w:rsidRPr="00317ABF" w:rsidRDefault="00866CAB" w:rsidP="00DB3BEC">
            <w:pPr>
              <w:pStyle w:val="Tekstpodstawowy"/>
              <w:rPr>
                <w:b/>
                <w:bCs/>
                <w:noProof/>
                <w:sz w:val="22"/>
                <w:szCs w:val="22"/>
              </w:rPr>
            </w:pPr>
          </w:p>
          <w:p w14:paraId="71DAE0FE" w14:textId="6F18D9E7" w:rsidR="001E1112" w:rsidRPr="00317ABF" w:rsidRDefault="001E1112" w:rsidP="00DB3BEC">
            <w:pPr>
              <w:pStyle w:val="Tekstpodstawowy"/>
              <w:rPr>
                <w:b/>
                <w:bCs/>
                <w:noProof/>
                <w:sz w:val="22"/>
                <w:szCs w:val="22"/>
              </w:rPr>
            </w:pPr>
            <w:r w:rsidRPr="00317ABF">
              <w:rPr>
                <w:b/>
                <w:bCs/>
                <w:noProof/>
                <w:sz w:val="22"/>
                <w:szCs w:val="22"/>
              </w:rPr>
              <w:t xml:space="preserve">Art. </w:t>
            </w:r>
            <w:r w:rsidR="00866CAB" w:rsidRPr="00317ABF">
              <w:rPr>
                <w:b/>
                <w:bCs/>
                <w:noProof/>
                <w:sz w:val="22"/>
                <w:szCs w:val="22"/>
              </w:rPr>
              <w:t>89</w:t>
            </w:r>
          </w:p>
        </w:tc>
        <w:tc>
          <w:tcPr>
            <w:tcW w:w="6814" w:type="dxa"/>
            <w:gridSpan w:val="2"/>
          </w:tcPr>
          <w:p w14:paraId="70ECA0DE" w14:textId="77777777" w:rsidR="001E1112" w:rsidRPr="00317ABF" w:rsidRDefault="001E1112" w:rsidP="008D540E">
            <w:pPr>
              <w:pStyle w:val="ARTartustawynprozporzdzenia"/>
              <w:keepNext/>
              <w:spacing w:before="0" w:line="240" w:lineRule="auto"/>
              <w:rPr>
                <w:rFonts w:ascii="Times New Roman" w:hAnsi="Times New Roman" w:cs="Times New Roman"/>
                <w:sz w:val="22"/>
                <w:szCs w:val="22"/>
              </w:rPr>
            </w:pPr>
            <w:r w:rsidRPr="00317ABF">
              <w:rPr>
                <w:rStyle w:val="Ppogrubienie"/>
                <w:rFonts w:ascii="Times New Roman" w:hAnsi="Times New Roman"/>
                <w:sz w:val="22"/>
                <w:szCs w:val="22"/>
              </w:rPr>
              <w:lastRenderedPageBreak/>
              <w:t>Art. 112.</w:t>
            </w:r>
            <w:r w:rsidRPr="00317ABF">
              <w:rPr>
                <w:rFonts w:ascii="Times New Roman" w:hAnsi="Times New Roman" w:cs="Times New Roman"/>
                <w:sz w:val="22"/>
                <w:szCs w:val="22"/>
              </w:rPr>
              <w:t xml:space="preserve"> 1. Kryteriami oceny ofert w przetargu są:</w:t>
            </w:r>
          </w:p>
          <w:p w14:paraId="40E447DB" w14:textId="77777777" w:rsidR="001E1112" w:rsidRPr="00317ABF" w:rsidRDefault="001E1112" w:rsidP="00DB3BEC">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1)</w:t>
            </w:r>
            <w:r w:rsidRPr="00317ABF">
              <w:rPr>
                <w:rFonts w:ascii="Times New Roman" w:hAnsi="Times New Roman" w:cs="Times New Roman"/>
                <w:sz w:val="22"/>
                <w:szCs w:val="22"/>
              </w:rPr>
              <w:tab/>
              <w:t>zachowanie warunków konkurencji;</w:t>
            </w:r>
          </w:p>
          <w:p w14:paraId="10A562EB" w14:textId="77777777" w:rsidR="001E1112" w:rsidRPr="00317ABF" w:rsidRDefault="001E1112" w:rsidP="00DB3BEC">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2)</w:t>
            </w:r>
            <w:r w:rsidRPr="00317ABF">
              <w:rPr>
                <w:rFonts w:ascii="Times New Roman" w:hAnsi="Times New Roman" w:cs="Times New Roman"/>
                <w:sz w:val="22"/>
                <w:szCs w:val="22"/>
              </w:rPr>
              <w:tab/>
              <w:t>wysokość kwoty zadeklarowanej przez uczestnika przetargu;</w:t>
            </w:r>
          </w:p>
          <w:p w14:paraId="33D09A5A" w14:textId="77777777" w:rsidR="001E1112" w:rsidRPr="00317ABF" w:rsidRDefault="001E1112" w:rsidP="00DB3BEC">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3)</w:t>
            </w:r>
            <w:r w:rsidRPr="00317ABF">
              <w:rPr>
                <w:rFonts w:ascii="Times New Roman" w:hAnsi="Times New Roman" w:cs="Times New Roman"/>
                <w:sz w:val="22"/>
                <w:szCs w:val="22"/>
              </w:rPr>
              <w:tab/>
              <w:t>inne niż określone w pkt 1 i 2 obiektywne kryteria, jeżeli zostały zamieszczone w dokumentacji.</w:t>
            </w:r>
          </w:p>
          <w:p w14:paraId="630A37E3" w14:textId="77777777" w:rsidR="001E1112" w:rsidRPr="00317ABF" w:rsidRDefault="001E1112" w:rsidP="00DB3BEC">
            <w:pPr>
              <w:pStyle w:val="USTustnpkodeksu"/>
              <w:spacing w:line="240" w:lineRule="auto"/>
              <w:rPr>
                <w:rFonts w:ascii="Times New Roman" w:hAnsi="Times New Roman" w:cs="Times New Roman"/>
                <w:sz w:val="22"/>
                <w:szCs w:val="22"/>
              </w:rPr>
            </w:pPr>
            <w:r w:rsidRPr="00317ABF">
              <w:rPr>
                <w:rFonts w:ascii="Times New Roman" w:hAnsi="Times New Roman" w:cs="Times New Roman"/>
                <w:sz w:val="22"/>
                <w:szCs w:val="22"/>
              </w:rPr>
              <w:t xml:space="preserve">2. Prezes UKE, spośród kryteriów, o których mowa w ust. 1 pkt 1 i 2, dokonuje w dokumentacji wyboru najistotniejszego kryterium oceny ofert w przetargu, mając na uwadze cele </w:t>
            </w:r>
            <w:r w:rsidR="008D540E" w:rsidRPr="00317ABF">
              <w:rPr>
                <w:rFonts w:ascii="Times New Roman" w:hAnsi="Times New Roman" w:cs="Times New Roman"/>
                <w:sz w:val="22"/>
                <w:szCs w:val="22"/>
              </w:rPr>
              <w:t>polityki regulacyjnej</w:t>
            </w:r>
            <w:r w:rsidRPr="00317ABF">
              <w:rPr>
                <w:rFonts w:ascii="Times New Roman" w:hAnsi="Times New Roman" w:cs="Times New Roman"/>
                <w:sz w:val="22"/>
                <w:szCs w:val="22"/>
              </w:rPr>
              <w:t xml:space="preserve"> i stan konkurencji na rynku.</w:t>
            </w:r>
          </w:p>
          <w:p w14:paraId="7278C6DF" w14:textId="77777777" w:rsidR="001E1112" w:rsidRPr="00317ABF" w:rsidRDefault="001E1112" w:rsidP="00DB3BEC">
            <w:pPr>
              <w:pStyle w:val="USTustnpkodeksu"/>
              <w:spacing w:line="240" w:lineRule="auto"/>
              <w:rPr>
                <w:rFonts w:ascii="Times New Roman" w:hAnsi="Times New Roman" w:cs="Times New Roman"/>
                <w:sz w:val="22"/>
                <w:szCs w:val="22"/>
              </w:rPr>
            </w:pPr>
            <w:r w:rsidRPr="00317ABF">
              <w:rPr>
                <w:rFonts w:ascii="Times New Roman" w:hAnsi="Times New Roman" w:cs="Times New Roman"/>
                <w:sz w:val="22"/>
                <w:szCs w:val="22"/>
              </w:rPr>
              <w:t>3. Kryterium oceny ofert w ramach aukcji jest wysokość kwoty zadeklarowanej przez uczestnika aukcji.</w:t>
            </w:r>
          </w:p>
          <w:p w14:paraId="1E724609" w14:textId="77777777" w:rsidR="001E1112" w:rsidRPr="00317ABF" w:rsidRDefault="001E1112" w:rsidP="00DB3BEC">
            <w:pPr>
              <w:pStyle w:val="USTustnpkodeksu"/>
              <w:keepNext/>
              <w:spacing w:line="240" w:lineRule="auto"/>
              <w:rPr>
                <w:rFonts w:ascii="Times New Roman" w:hAnsi="Times New Roman" w:cs="Times New Roman"/>
                <w:sz w:val="22"/>
                <w:szCs w:val="22"/>
              </w:rPr>
            </w:pPr>
            <w:r w:rsidRPr="00317ABF">
              <w:rPr>
                <w:rFonts w:ascii="Times New Roman" w:hAnsi="Times New Roman" w:cs="Times New Roman"/>
                <w:sz w:val="22"/>
                <w:szCs w:val="22"/>
              </w:rPr>
              <w:t>4. Kryteriami oceny ofert w konkursie są:</w:t>
            </w:r>
          </w:p>
          <w:p w14:paraId="20F585D6" w14:textId="77777777" w:rsidR="001E1112" w:rsidRPr="00317ABF" w:rsidRDefault="001E1112" w:rsidP="00DB3BEC">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1)</w:t>
            </w:r>
            <w:r w:rsidRPr="00317ABF">
              <w:rPr>
                <w:rFonts w:ascii="Times New Roman" w:hAnsi="Times New Roman" w:cs="Times New Roman"/>
                <w:sz w:val="22"/>
                <w:szCs w:val="22"/>
              </w:rPr>
              <w:tab/>
              <w:t>zachowanie warunków konkurencji;</w:t>
            </w:r>
          </w:p>
          <w:p w14:paraId="061C2FEC" w14:textId="77777777" w:rsidR="001E1112" w:rsidRPr="00317ABF" w:rsidRDefault="001E1112" w:rsidP="00DB3BEC">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2)</w:t>
            </w:r>
            <w:r w:rsidRPr="00317ABF">
              <w:rPr>
                <w:rFonts w:ascii="Times New Roman" w:hAnsi="Times New Roman" w:cs="Times New Roman"/>
                <w:sz w:val="22"/>
                <w:szCs w:val="22"/>
              </w:rPr>
              <w:tab/>
              <w:t>inne niż określone w pkt 1 obiektywne kryteria, jeżeli zostały zamieszczone w dokumentacji.</w:t>
            </w:r>
          </w:p>
          <w:p w14:paraId="026727A9" w14:textId="77777777" w:rsidR="001E1112" w:rsidRPr="00317ABF" w:rsidRDefault="001E1112" w:rsidP="00DB3BEC">
            <w:pPr>
              <w:pStyle w:val="USTustnpkodeksu"/>
              <w:spacing w:line="240" w:lineRule="auto"/>
              <w:rPr>
                <w:rFonts w:ascii="Times New Roman" w:hAnsi="Times New Roman" w:cs="Times New Roman"/>
                <w:sz w:val="22"/>
                <w:szCs w:val="22"/>
              </w:rPr>
            </w:pPr>
            <w:r w:rsidRPr="00317ABF">
              <w:rPr>
                <w:rFonts w:ascii="Times New Roman" w:hAnsi="Times New Roman" w:cs="Times New Roman"/>
                <w:sz w:val="22"/>
                <w:szCs w:val="22"/>
              </w:rPr>
              <w:t xml:space="preserve">5. W przypadku określenia w dokumentacji konkursowej więcej niż jednego kryterium oceny ofert, Prezes UKE dokonuje wyboru najistotniejszego kryterium oceny ofert, mając na uwadze cele </w:t>
            </w:r>
            <w:r w:rsidR="008D540E" w:rsidRPr="00317ABF">
              <w:rPr>
                <w:rFonts w:ascii="Times New Roman" w:hAnsi="Times New Roman" w:cs="Times New Roman"/>
                <w:sz w:val="22"/>
                <w:szCs w:val="22"/>
              </w:rPr>
              <w:t>polityki regulacyjnej</w:t>
            </w:r>
            <w:r w:rsidRPr="00317ABF">
              <w:rPr>
                <w:rFonts w:ascii="Times New Roman" w:hAnsi="Times New Roman" w:cs="Times New Roman"/>
                <w:sz w:val="22"/>
                <w:szCs w:val="22"/>
              </w:rPr>
              <w:t xml:space="preserve"> i stan konkurencji na rynku.</w:t>
            </w:r>
          </w:p>
          <w:p w14:paraId="2A7A036D" w14:textId="4A693757" w:rsidR="001E1112" w:rsidRPr="00317ABF" w:rsidRDefault="001E1112" w:rsidP="008D540E">
            <w:pPr>
              <w:pStyle w:val="USTustnpkodeksu"/>
              <w:spacing w:line="240" w:lineRule="auto"/>
              <w:rPr>
                <w:rFonts w:ascii="Times New Roman" w:hAnsi="Times New Roman" w:cs="Times New Roman"/>
                <w:sz w:val="22"/>
                <w:szCs w:val="22"/>
              </w:rPr>
            </w:pPr>
            <w:r w:rsidRPr="00317ABF">
              <w:rPr>
                <w:rFonts w:ascii="Times New Roman" w:hAnsi="Times New Roman" w:cs="Times New Roman"/>
                <w:sz w:val="22"/>
                <w:szCs w:val="22"/>
              </w:rPr>
              <w:t>6. W sprawie zachowania warunków konkurencji, o których mowa w ust. 1 pkt 1 i ust. 4 pkt 1, Prezes UKE zasięga opinii Prezesa UOKiK.</w:t>
            </w:r>
          </w:p>
          <w:p w14:paraId="271790C0" w14:textId="77777777" w:rsidR="008D540E" w:rsidRPr="00317ABF" w:rsidRDefault="008D540E" w:rsidP="008D540E">
            <w:pPr>
              <w:pStyle w:val="ARTartustawynprozporzdzenia"/>
              <w:spacing w:before="0" w:line="240" w:lineRule="auto"/>
              <w:rPr>
                <w:rFonts w:ascii="Times New Roman" w:hAnsi="Times New Roman" w:cs="Times New Roman"/>
                <w:sz w:val="22"/>
                <w:szCs w:val="22"/>
              </w:rPr>
            </w:pPr>
            <w:r w:rsidRPr="00317ABF">
              <w:rPr>
                <w:rStyle w:val="Ppogrubienie"/>
                <w:rFonts w:ascii="Times New Roman" w:hAnsi="Times New Roman"/>
                <w:sz w:val="22"/>
                <w:szCs w:val="22"/>
              </w:rPr>
              <w:t>Art. 118.</w:t>
            </w:r>
            <w:r w:rsidRPr="00317ABF">
              <w:rPr>
                <w:rFonts w:ascii="Times New Roman" w:hAnsi="Times New Roman" w:cs="Times New Roman"/>
                <w:sz w:val="22"/>
                <w:szCs w:val="22"/>
              </w:rPr>
              <w:t xml:space="preserve"> 1. Badanie ofert w postępowaniu selekcyjnym odbywa się w dwóch etapach.</w:t>
            </w:r>
          </w:p>
          <w:p w14:paraId="4E18DCDB" w14:textId="77777777" w:rsidR="008D540E" w:rsidRPr="00317ABF" w:rsidRDefault="008D540E" w:rsidP="008D540E">
            <w:pPr>
              <w:pStyle w:val="USTustnpkodeksu"/>
              <w:spacing w:line="240" w:lineRule="auto"/>
              <w:rPr>
                <w:rFonts w:ascii="Times New Roman" w:hAnsi="Times New Roman" w:cs="Times New Roman"/>
                <w:sz w:val="22"/>
                <w:szCs w:val="22"/>
              </w:rPr>
            </w:pPr>
            <w:r w:rsidRPr="00317ABF">
              <w:rPr>
                <w:rFonts w:ascii="Times New Roman" w:hAnsi="Times New Roman" w:cs="Times New Roman"/>
                <w:sz w:val="22"/>
                <w:szCs w:val="22"/>
              </w:rPr>
              <w:t>2. Badanie ofert przeprowadza komisja powołana przez Prezesa UKE spośród osób będących pracownikami Urzędu Komunikacji Elektronicznej oraz posiadających wiedzę i doświadczenie niezbędne do przeprowadzenia postępowania selekcyjnego.</w:t>
            </w:r>
          </w:p>
          <w:p w14:paraId="2ADDA5DC" w14:textId="77777777" w:rsidR="008D540E" w:rsidRPr="00317ABF" w:rsidRDefault="008D540E" w:rsidP="008D540E">
            <w:pPr>
              <w:pStyle w:val="USTustnpkodeksu"/>
              <w:spacing w:line="240" w:lineRule="auto"/>
              <w:rPr>
                <w:rFonts w:ascii="Times New Roman" w:hAnsi="Times New Roman" w:cs="Times New Roman"/>
                <w:sz w:val="22"/>
                <w:szCs w:val="22"/>
              </w:rPr>
            </w:pPr>
            <w:r w:rsidRPr="00317ABF">
              <w:rPr>
                <w:rStyle w:val="Ppogrubienie"/>
                <w:rFonts w:ascii="Times New Roman" w:hAnsi="Times New Roman"/>
                <w:sz w:val="22"/>
                <w:szCs w:val="22"/>
              </w:rPr>
              <w:lastRenderedPageBreak/>
              <w:t>Art. 119</w:t>
            </w:r>
            <w:r w:rsidRPr="00317ABF">
              <w:rPr>
                <w:rStyle w:val="Ppogrubienie"/>
                <w:rFonts w:ascii="Times New Roman" w:hAnsi="Times New Roman"/>
                <w:bCs w:val="0"/>
                <w:sz w:val="22"/>
                <w:szCs w:val="22"/>
              </w:rPr>
              <w:t>.</w:t>
            </w:r>
            <w:r w:rsidRPr="00317ABF">
              <w:rPr>
                <w:rFonts w:ascii="Times New Roman" w:hAnsi="Times New Roman" w:cs="Times New Roman"/>
                <w:sz w:val="22"/>
                <w:szCs w:val="22"/>
              </w:rPr>
              <w:t xml:space="preserve"> Po zadeklarowaniu kwoty pierwszego postąpienia uczestnik aukcji nie może wycofać oferty.</w:t>
            </w:r>
          </w:p>
          <w:p w14:paraId="67B0E09F" w14:textId="77777777" w:rsidR="001E1112" w:rsidRPr="00317ABF" w:rsidRDefault="001E1112" w:rsidP="008D540E">
            <w:pPr>
              <w:pStyle w:val="ARTartustawynprozporzdzenia"/>
              <w:spacing w:before="0" w:line="240" w:lineRule="auto"/>
              <w:rPr>
                <w:rFonts w:ascii="Times New Roman" w:hAnsi="Times New Roman" w:cs="Times New Roman"/>
                <w:sz w:val="22"/>
                <w:szCs w:val="22"/>
              </w:rPr>
            </w:pPr>
            <w:r w:rsidRPr="00317ABF">
              <w:rPr>
                <w:rStyle w:val="Ppogrubienie"/>
                <w:rFonts w:ascii="Times New Roman" w:hAnsi="Times New Roman"/>
                <w:sz w:val="22"/>
                <w:szCs w:val="22"/>
              </w:rPr>
              <w:t>Art. 114.</w:t>
            </w:r>
            <w:r w:rsidRPr="00317ABF">
              <w:rPr>
                <w:rFonts w:ascii="Times New Roman" w:hAnsi="Times New Roman" w:cs="Times New Roman"/>
                <w:sz w:val="22"/>
                <w:szCs w:val="22"/>
              </w:rPr>
              <w:t xml:space="preserve"> 1. Wyniki postępowania selekcyjnego Prezes UKE udostępnia na stronie podmiotowej BIP UKE, w formie listy albo list uczestników tego postępowania, którzy spełnili warunki uczestnictwa oraz osiągnęli minimum kwalifikacyjne, jeżeli zostało określone w dokumentacji, uszeregowanych w kolejności według malejącej liczby uzyskanych punktów.</w:t>
            </w:r>
          </w:p>
          <w:p w14:paraId="07A62F2C" w14:textId="77777777" w:rsidR="001E1112" w:rsidRPr="00317ABF" w:rsidRDefault="001E1112" w:rsidP="00DB3BEC">
            <w:pPr>
              <w:pStyle w:val="USTustnpkodeksu"/>
              <w:keepNext/>
              <w:spacing w:line="240" w:lineRule="auto"/>
              <w:rPr>
                <w:rFonts w:ascii="Times New Roman" w:hAnsi="Times New Roman" w:cs="Times New Roman"/>
                <w:sz w:val="22"/>
                <w:szCs w:val="22"/>
              </w:rPr>
            </w:pPr>
            <w:r w:rsidRPr="00317ABF">
              <w:rPr>
                <w:rFonts w:ascii="Times New Roman" w:hAnsi="Times New Roman" w:cs="Times New Roman"/>
                <w:sz w:val="22"/>
                <w:szCs w:val="22"/>
              </w:rPr>
              <w:t xml:space="preserve">2. Podmiotem wyłonionym, o którym mowa w art. </w:t>
            </w:r>
            <w:r w:rsidR="008D540E" w:rsidRPr="00317ABF">
              <w:rPr>
                <w:rFonts w:ascii="Times New Roman" w:hAnsi="Times New Roman" w:cs="Times New Roman"/>
                <w:sz w:val="22"/>
                <w:szCs w:val="22"/>
              </w:rPr>
              <w:t>104</w:t>
            </w:r>
            <w:r w:rsidRPr="00317ABF">
              <w:rPr>
                <w:rFonts w:ascii="Times New Roman" w:hAnsi="Times New Roman" w:cs="Times New Roman"/>
                <w:sz w:val="22"/>
                <w:szCs w:val="22"/>
              </w:rPr>
              <w:t xml:space="preserve"> ust. 3, jest uczestnik postępowania selekcyjnego, który:</w:t>
            </w:r>
          </w:p>
          <w:p w14:paraId="0D6C64AF" w14:textId="77777777" w:rsidR="001E1112" w:rsidRPr="00317ABF" w:rsidRDefault="001E1112" w:rsidP="00DB3BEC">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1)</w:t>
            </w:r>
            <w:r w:rsidRPr="00317ABF">
              <w:rPr>
                <w:rFonts w:ascii="Times New Roman" w:hAnsi="Times New Roman" w:cs="Times New Roman"/>
                <w:sz w:val="22"/>
                <w:szCs w:val="22"/>
              </w:rPr>
              <w:tab/>
              <w:t>spełnił warunki uczestnictwa w postępowaniu selekcyjnym;</w:t>
            </w:r>
          </w:p>
          <w:p w14:paraId="125F3BCF" w14:textId="77777777" w:rsidR="001E1112" w:rsidRPr="00317ABF" w:rsidRDefault="001E1112" w:rsidP="00DB3BEC">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2)</w:t>
            </w:r>
            <w:r w:rsidRPr="00317ABF">
              <w:rPr>
                <w:rFonts w:ascii="Times New Roman" w:hAnsi="Times New Roman" w:cs="Times New Roman"/>
                <w:sz w:val="22"/>
                <w:szCs w:val="22"/>
              </w:rPr>
              <w:tab/>
              <w:t>osiągnął minimum kwalifikacyjne, jeżeli zostało określone w dokumentacji;</w:t>
            </w:r>
          </w:p>
          <w:p w14:paraId="6A862A72" w14:textId="77777777" w:rsidR="001E1112" w:rsidRPr="00317ABF" w:rsidRDefault="001E1112" w:rsidP="00DB3BEC">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3)</w:t>
            </w:r>
            <w:r w:rsidRPr="00317ABF">
              <w:rPr>
                <w:rFonts w:ascii="Times New Roman" w:hAnsi="Times New Roman" w:cs="Times New Roman"/>
                <w:sz w:val="22"/>
                <w:szCs w:val="22"/>
              </w:rPr>
              <w:tab/>
              <w:t>na liście, o której mowa w ust. 1, zajął najwyższą pozycję, a w przypadku gdy zgodnie z dokumentacją lista dotyczy więcej niż jednej rezerwacji częstotliwości - pozycję nie niższą niż liczba tych rezerwacji częstotliwości.</w:t>
            </w:r>
          </w:p>
          <w:p w14:paraId="381744BC" w14:textId="77777777" w:rsidR="001E1112" w:rsidRPr="00317ABF" w:rsidRDefault="001E1112" w:rsidP="00DB3BEC">
            <w:pPr>
              <w:pStyle w:val="USTustnpkodeksu"/>
              <w:spacing w:line="240" w:lineRule="auto"/>
              <w:rPr>
                <w:rFonts w:ascii="Times New Roman" w:hAnsi="Times New Roman" w:cs="Times New Roman"/>
                <w:sz w:val="22"/>
                <w:szCs w:val="22"/>
              </w:rPr>
            </w:pPr>
            <w:r w:rsidRPr="00317ABF">
              <w:rPr>
                <w:rFonts w:ascii="Times New Roman" w:hAnsi="Times New Roman" w:cs="Times New Roman"/>
                <w:sz w:val="22"/>
                <w:szCs w:val="22"/>
              </w:rPr>
              <w:t xml:space="preserve">3. W przypadku rezygnacji podmiotu wyłonionego z rezerwacji częstotliwości lub wystąpienia po stronie podmiotu wyłonionego okoliczności, o których mowa w art. </w:t>
            </w:r>
            <w:r w:rsidR="008D540E" w:rsidRPr="00317ABF">
              <w:rPr>
                <w:rFonts w:ascii="Times New Roman" w:hAnsi="Times New Roman" w:cs="Times New Roman"/>
                <w:sz w:val="22"/>
                <w:szCs w:val="22"/>
              </w:rPr>
              <w:t>99</w:t>
            </w:r>
            <w:r w:rsidRPr="00317ABF">
              <w:rPr>
                <w:rFonts w:ascii="Times New Roman" w:hAnsi="Times New Roman" w:cs="Times New Roman"/>
                <w:sz w:val="22"/>
                <w:szCs w:val="22"/>
              </w:rPr>
              <w:t xml:space="preserve"> ust. 1 pkt 3 lub art. </w:t>
            </w:r>
            <w:r w:rsidR="008D540E" w:rsidRPr="00317ABF">
              <w:rPr>
                <w:rFonts w:ascii="Times New Roman" w:hAnsi="Times New Roman" w:cs="Times New Roman"/>
                <w:sz w:val="22"/>
                <w:szCs w:val="22"/>
              </w:rPr>
              <w:t>100</w:t>
            </w:r>
            <w:r w:rsidRPr="00317ABF">
              <w:rPr>
                <w:rFonts w:ascii="Times New Roman" w:hAnsi="Times New Roman" w:cs="Times New Roman"/>
                <w:sz w:val="22"/>
                <w:szCs w:val="22"/>
              </w:rPr>
              <w:t xml:space="preserve"> ust. 1, zanim decyzja w sprawie rezerwacji częstotliwości stała się ostateczna, podmiotem wyłonionym staje się uczestnik postępowania selekcyjnego zajmujący kolejną pozycję na liście, o której mowa w ust. 1, i spełniający warunki, o których mowa w ust. 2 pkt 1 i 2.</w:t>
            </w:r>
          </w:p>
          <w:p w14:paraId="4F058940" w14:textId="77777777" w:rsidR="001E1112" w:rsidRPr="00317ABF" w:rsidRDefault="001E1112" w:rsidP="008D540E">
            <w:pPr>
              <w:pStyle w:val="ARTartustawynprozporzdzenia"/>
              <w:spacing w:before="0" w:line="240" w:lineRule="auto"/>
              <w:rPr>
                <w:rFonts w:ascii="Times New Roman" w:hAnsi="Times New Roman" w:cs="Times New Roman"/>
                <w:sz w:val="22"/>
                <w:szCs w:val="22"/>
              </w:rPr>
            </w:pPr>
            <w:r w:rsidRPr="00317ABF">
              <w:rPr>
                <w:rStyle w:val="Ppogrubienie"/>
                <w:rFonts w:ascii="Times New Roman" w:hAnsi="Times New Roman"/>
                <w:sz w:val="22"/>
                <w:szCs w:val="22"/>
              </w:rPr>
              <w:t>Art. 115.</w:t>
            </w:r>
            <w:r w:rsidRPr="00317ABF">
              <w:rPr>
                <w:rFonts w:ascii="Times New Roman" w:hAnsi="Times New Roman" w:cs="Times New Roman"/>
                <w:sz w:val="22"/>
                <w:szCs w:val="22"/>
              </w:rPr>
              <w:t xml:space="preserve"> 1. Po ogłoszeniu wyników postępowania selekcyjnego, Prezes UKE niezwłocznie, z urzędu, wszczyna postępowanie w sprawie rezerwacji częstotliwości.</w:t>
            </w:r>
          </w:p>
          <w:p w14:paraId="226F3FC2" w14:textId="77777777" w:rsidR="001E1112" w:rsidRPr="00317ABF" w:rsidRDefault="001E1112" w:rsidP="00DB3BEC">
            <w:pPr>
              <w:pStyle w:val="USTustnpkodeksu"/>
              <w:spacing w:line="240" w:lineRule="auto"/>
              <w:rPr>
                <w:rFonts w:ascii="Times New Roman" w:hAnsi="Times New Roman" w:cs="Times New Roman"/>
                <w:sz w:val="22"/>
                <w:szCs w:val="22"/>
              </w:rPr>
            </w:pPr>
            <w:r w:rsidRPr="00317ABF">
              <w:rPr>
                <w:rFonts w:ascii="Times New Roman" w:hAnsi="Times New Roman" w:cs="Times New Roman"/>
                <w:sz w:val="22"/>
                <w:szCs w:val="22"/>
              </w:rPr>
              <w:t xml:space="preserve">2. Prezes UKE dokonuje, w drodze decyzji, rezerwacji częstotliwości na rzecz podmiotu albo podmiotów wyłonionych w drodze postępowania selekcyjnego, o ile nie zachodzi żadna z przesłanek, o których mowa w art. </w:t>
            </w:r>
            <w:r w:rsidR="008D540E" w:rsidRPr="00317ABF">
              <w:rPr>
                <w:rFonts w:ascii="Times New Roman" w:hAnsi="Times New Roman" w:cs="Times New Roman"/>
                <w:sz w:val="22"/>
                <w:szCs w:val="22"/>
              </w:rPr>
              <w:t>99</w:t>
            </w:r>
            <w:r w:rsidRPr="00317ABF">
              <w:rPr>
                <w:rFonts w:ascii="Times New Roman" w:hAnsi="Times New Roman" w:cs="Times New Roman"/>
                <w:sz w:val="22"/>
                <w:szCs w:val="22"/>
              </w:rPr>
              <w:t xml:space="preserve"> ust. 1 pkt 3 oraz art. </w:t>
            </w:r>
            <w:r w:rsidR="008D540E" w:rsidRPr="00317ABF">
              <w:rPr>
                <w:rFonts w:ascii="Times New Roman" w:hAnsi="Times New Roman" w:cs="Times New Roman"/>
                <w:sz w:val="22"/>
                <w:szCs w:val="22"/>
              </w:rPr>
              <w:t>100</w:t>
            </w:r>
            <w:r w:rsidRPr="00317ABF">
              <w:rPr>
                <w:rFonts w:ascii="Times New Roman" w:hAnsi="Times New Roman" w:cs="Times New Roman"/>
                <w:sz w:val="22"/>
                <w:szCs w:val="22"/>
              </w:rPr>
              <w:t xml:space="preserve"> ust. 1 pkt 1, 3 i 6. Stroną postępowania jest podmiot wyłoniony w drodze postępowania selekcyjnego, a w przypadku, o którym mowa w art. </w:t>
            </w:r>
            <w:r w:rsidR="008D540E" w:rsidRPr="00317ABF">
              <w:rPr>
                <w:rFonts w:ascii="Times New Roman" w:hAnsi="Times New Roman" w:cs="Times New Roman"/>
                <w:sz w:val="22"/>
                <w:szCs w:val="22"/>
              </w:rPr>
              <w:t>65</w:t>
            </w:r>
            <w:r w:rsidRPr="00317ABF">
              <w:rPr>
                <w:rFonts w:ascii="Times New Roman" w:hAnsi="Times New Roman" w:cs="Times New Roman"/>
                <w:sz w:val="22"/>
                <w:szCs w:val="22"/>
              </w:rPr>
              <w:t>, również podmiot alternatywnie wykorzystujący częstotliwości. Decyzji nadaje się rygor natychmiastowej wykonalności.</w:t>
            </w:r>
          </w:p>
          <w:p w14:paraId="2FADFE47" w14:textId="77777777" w:rsidR="001E1112" w:rsidRPr="00317ABF" w:rsidRDefault="001E1112" w:rsidP="008D540E">
            <w:pPr>
              <w:pStyle w:val="USTustnpkodeksu"/>
              <w:spacing w:line="240" w:lineRule="auto"/>
              <w:rPr>
                <w:rFonts w:ascii="Times New Roman" w:hAnsi="Times New Roman" w:cs="Times New Roman"/>
                <w:sz w:val="22"/>
                <w:szCs w:val="22"/>
              </w:rPr>
            </w:pPr>
            <w:r w:rsidRPr="00317ABF">
              <w:rPr>
                <w:rFonts w:ascii="Times New Roman" w:hAnsi="Times New Roman" w:cs="Times New Roman"/>
                <w:sz w:val="22"/>
                <w:szCs w:val="22"/>
              </w:rPr>
              <w:t xml:space="preserve">3. Jeżeli przedmiotem postępowania selekcyjnego była więcej niż jedna rezerwacja częstotliwości, Prezes UKE może wszcząć i prowadzić jedno postępowanie dla więcej niż jednej rezerwacji częstotliwości. </w:t>
            </w:r>
            <w:r w:rsidR="008D540E" w:rsidRPr="00317ABF">
              <w:rPr>
                <w:rFonts w:ascii="Times New Roman" w:hAnsi="Times New Roman" w:cs="Times New Roman"/>
                <w:sz w:val="22"/>
                <w:szCs w:val="22"/>
              </w:rPr>
              <w:t>W takim</w:t>
            </w:r>
            <w:r w:rsidRPr="00317ABF">
              <w:rPr>
                <w:rFonts w:ascii="Times New Roman" w:hAnsi="Times New Roman" w:cs="Times New Roman"/>
                <w:sz w:val="22"/>
                <w:szCs w:val="22"/>
              </w:rPr>
              <w:t xml:space="preserve"> przypadku</w:t>
            </w:r>
            <w:r w:rsidR="008D540E" w:rsidRPr="00317ABF">
              <w:rPr>
                <w:rFonts w:ascii="Times New Roman" w:hAnsi="Times New Roman" w:cs="Times New Roman"/>
                <w:sz w:val="22"/>
                <w:szCs w:val="22"/>
              </w:rPr>
              <w:t xml:space="preserve"> </w:t>
            </w:r>
            <w:r w:rsidRPr="00317ABF">
              <w:rPr>
                <w:rFonts w:ascii="Times New Roman" w:hAnsi="Times New Roman" w:cs="Times New Roman"/>
                <w:sz w:val="22"/>
                <w:szCs w:val="22"/>
              </w:rPr>
              <w:t xml:space="preserve"> Prezes UKE wydaje odrębne decyzje dla każdej z rezerwacji częstotliwości.</w:t>
            </w:r>
          </w:p>
          <w:p w14:paraId="15B36EF8" w14:textId="77777777" w:rsidR="001E1112" w:rsidRPr="00317ABF" w:rsidRDefault="001E1112" w:rsidP="008D540E">
            <w:pPr>
              <w:pStyle w:val="ARTartustawynprozporzdzenia"/>
              <w:keepNext/>
              <w:spacing w:before="0" w:line="240" w:lineRule="auto"/>
              <w:rPr>
                <w:rFonts w:ascii="Times New Roman" w:hAnsi="Times New Roman" w:cs="Times New Roman"/>
                <w:sz w:val="22"/>
                <w:szCs w:val="22"/>
              </w:rPr>
            </w:pPr>
            <w:r w:rsidRPr="00317ABF">
              <w:rPr>
                <w:rStyle w:val="Ppogrubienie"/>
                <w:rFonts w:ascii="Times New Roman" w:hAnsi="Times New Roman"/>
                <w:sz w:val="22"/>
                <w:szCs w:val="22"/>
              </w:rPr>
              <w:lastRenderedPageBreak/>
              <w:t>Art. 116.</w:t>
            </w:r>
            <w:r w:rsidRPr="00317ABF">
              <w:rPr>
                <w:rFonts w:ascii="Times New Roman" w:hAnsi="Times New Roman" w:cs="Times New Roman"/>
                <w:sz w:val="22"/>
                <w:szCs w:val="22"/>
              </w:rPr>
              <w:t xml:space="preserve"> 1. Prezes UKE uznaje, w drodze decyzji, postępowanie selekcyjne za nierozstrzygnięte:</w:t>
            </w:r>
          </w:p>
          <w:p w14:paraId="1FB4E973" w14:textId="77777777" w:rsidR="001E1112" w:rsidRPr="00317ABF" w:rsidRDefault="001E1112" w:rsidP="00DB3BEC">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1)</w:t>
            </w:r>
            <w:r w:rsidRPr="00317ABF">
              <w:rPr>
                <w:rFonts w:ascii="Times New Roman" w:hAnsi="Times New Roman" w:cs="Times New Roman"/>
                <w:sz w:val="22"/>
                <w:szCs w:val="22"/>
              </w:rPr>
              <w:tab/>
              <w:t xml:space="preserve">jeżeli żaden z uczestników nie spełnił warunków uczestnictwa w postępowaniu selekcyjnym </w:t>
            </w:r>
            <w:r w:rsidR="008D540E" w:rsidRPr="00317ABF">
              <w:rPr>
                <w:rFonts w:ascii="Times New Roman" w:hAnsi="Times New Roman" w:cs="Times New Roman"/>
                <w:sz w:val="22"/>
                <w:szCs w:val="22"/>
              </w:rPr>
              <w:t>lub</w:t>
            </w:r>
            <w:r w:rsidRPr="00317ABF">
              <w:rPr>
                <w:rFonts w:ascii="Times New Roman" w:hAnsi="Times New Roman" w:cs="Times New Roman"/>
                <w:sz w:val="22"/>
                <w:szCs w:val="22"/>
              </w:rPr>
              <w:t xml:space="preserve"> nie osiągnął minimum kwalifikacyjnego, jeżeli zostało określone w dokumentacji;</w:t>
            </w:r>
          </w:p>
          <w:p w14:paraId="7A6CB3F2" w14:textId="77777777" w:rsidR="001E1112" w:rsidRPr="00317ABF" w:rsidRDefault="001E1112" w:rsidP="00DB3BEC">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2)</w:t>
            </w:r>
            <w:r w:rsidRPr="00317ABF">
              <w:rPr>
                <w:rFonts w:ascii="Times New Roman" w:hAnsi="Times New Roman" w:cs="Times New Roman"/>
                <w:sz w:val="22"/>
                <w:szCs w:val="22"/>
              </w:rPr>
              <w:tab/>
              <w:t>w przypadku, gdy w sytuacji, o której mowa w art. 114 ust. 3, nie ma innych uczestników; w przypadku postępowania selekcyjnego, które dotyczyło różnych rezerwacji częstotliwości, uznanie tego postępowania za nierozstrzygnięte odnosi się tylko do rezerwacji częstotliwości, dla której na liście nie ma innych uczestników.</w:t>
            </w:r>
          </w:p>
          <w:p w14:paraId="6FA7DC18" w14:textId="37403C95" w:rsidR="001E1112" w:rsidRPr="00317ABF" w:rsidRDefault="001E1112" w:rsidP="008D540E">
            <w:pPr>
              <w:pStyle w:val="USTustnpkodeksu"/>
              <w:spacing w:line="240" w:lineRule="auto"/>
              <w:rPr>
                <w:rFonts w:ascii="Times New Roman" w:hAnsi="Times New Roman" w:cs="Times New Roman"/>
                <w:sz w:val="22"/>
                <w:szCs w:val="22"/>
              </w:rPr>
            </w:pPr>
            <w:r w:rsidRPr="00317ABF">
              <w:rPr>
                <w:rFonts w:ascii="Times New Roman" w:hAnsi="Times New Roman" w:cs="Times New Roman"/>
                <w:sz w:val="22"/>
                <w:szCs w:val="22"/>
              </w:rPr>
              <w:t>2. Postępowanie selekcyjne jest nierozstrzygnięte, jeżeli w terminie wskazanym w ogłoszeniu o wszczęciu postępowania selekcyjnego żaden podmiot nie przystąpił do tego postępowania. Informacja w tej sprawie jest udostępniana na stronie podmiotowej BIP UKE.</w:t>
            </w:r>
          </w:p>
          <w:p w14:paraId="4F3074C1" w14:textId="77777777" w:rsidR="001E1112" w:rsidRPr="00317ABF" w:rsidRDefault="001E1112" w:rsidP="008D540E">
            <w:pPr>
              <w:pStyle w:val="ARTartustawynprozporzdzenia"/>
              <w:spacing w:before="0" w:line="240" w:lineRule="auto"/>
              <w:rPr>
                <w:rFonts w:ascii="Times New Roman" w:hAnsi="Times New Roman" w:cs="Times New Roman"/>
                <w:sz w:val="22"/>
                <w:szCs w:val="22"/>
              </w:rPr>
            </w:pPr>
            <w:r w:rsidRPr="00317ABF">
              <w:rPr>
                <w:rStyle w:val="Ppogrubienie"/>
                <w:rFonts w:ascii="Times New Roman" w:hAnsi="Times New Roman"/>
                <w:sz w:val="22"/>
                <w:szCs w:val="22"/>
              </w:rPr>
              <w:t>Art. 117.</w:t>
            </w:r>
            <w:r w:rsidRPr="00317ABF">
              <w:rPr>
                <w:rFonts w:ascii="Times New Roman" w:hAnsi="Times New Roman" w:cs="Times New Roman"/>
                <w:sz w:val="22"/>
                <w:szCs w:val="22"/>
              </w:rPr>
              <w:t xml:space="preserve"> 1. Prezes UKE, w drodze decyzji na wniosek uczestnika postępowania selekcyjnego złożony w terminie 21 dni od dnia ogłoszenia wyników tego postępowania lub z urzędu, unieważnia postępowanie, jeżeli zostały rażąco naruszone przepisy prawa lub interesy jego uczestników.</w:t>
            </w:r>
          </w:p>
          <w:p w14:paraId="044550AA" w14:textId="77777777" w:rsidR="008D540E" w:rsidRPr="00317ABF" w:rsidRDefault="008D540E" w:rsidP="008D540E">
            <w:pPr>
              <w:pStyle w:val="USTustnpkodeksu"/>
              <w:spacing w:line="240" w:lineRule="auto"/>
              <w:rPr>
                <w:rFonts w:ascii="Times New Roman" w:hAnsi="Times New Roman" w:cs="Times New Roman"/>
                <w:sz w:val="22"/>
                <w:szCs w:val="22"/>
              </w:rPr>
            </w:pPr>
            <w:r w:rsidRPr="00317ABF">
              <w:rPr>
                <w:rFonts w:ascii="Times New Roman" w:hAnsi="Times New Roman" w:cs="Times New Roman"/>
                <w:sz w:val="22"/>
                <w:szCs w:val="22"/>
              </w:rPr>
              <w:t>2. Uczestnikowi postępowania selekcyjnego, od decyzji w sprawie unieważnienia tego postępowania, przysługuje wniosek do Prezesa UKE o ponowne rozpatrzenie sprawy, a po wyczerpaniu tego trybu - skarga do sądu administracyjnego.</w:t>
            </w:r>
          </w:p>
          <w:p w14:paraId="66A466F3" w14:textId="77777777" w:rsidR="001E1112" w:rsidRPr="00317ABF" w:rsidRDefault="001E1112" w:rsidP="00DB3BEC">
            <w:pPr>
              <w:pStyle w:val="USTustnpkodeksu"/>
              <w:spacing w:line="240" w:lineRule="auto"/>
              <w:rPr>
                <w:rFonts w:ascii="Times New Roman" w:hAnsi="Times New Roman" w:cs="Times New Roman"/>
                <w:sz w:val="22"/>
                <w:szCs w:val="22"/>
              </w:rPr>
            </w:pPr>
            <w:r w:rsidRPr="00317ABF">
              <w:rPr>
                <w:rFonts w:ascii="Times New Roman" w:hAnsi="Times New Roman" w:cs="Times New Roman"/>
                <w:sz w:val="22"/>
                <w:szCs w:val="22"/>
              </w:rPr>
              <w:t>5. Uczestnikowi postępowania selekcyjnego nie przysługuje inny tryb kontroli rozstrzygnięć podejmowanych w postępowaniu selekcyjnym niż określony w ust. 1 i 2.</w:t>
            </w:r>
          </w:p>
          <w:p w14:paraId="4C0E67B2" w14:textId="77777777" w:rsidR="001E1112" w:rsidRPr="00317ABF" w:rsidRDefault="001E1112" w:rsidP="008D540E">
            <w:pPr>
              <w:pStyle w:val="ARTartustawynprozporzdzenia"/>
              <w:spacing w:before="0" w:line="240" w:lineRule="auto"/>
              <w:rPr>
                <w:rFonts w:ascii="Times New Roman" w:hAnsi="Times New Roman" w:cs="Times New Roman"/>
                <w:sz w:val="22"/>
                <w:szCs w:val="22"/>
              </w:rPr>
            </w:pPr>
            <w:r w:rsidRPr="00317ABF">
              <w:rPr>
                <w:rStyle w:val="Ppogrubienie"/>
                <w:rFonts w:ascii="Times New Roman" w:hAnsi="Times New Roman"/>
                <w:sz w:val="22"/>
                <w:szCs w:val="22"/>
              </w:rPr>
              <w:t>Art. 118.</w:t>
            </w:r>
            <w:r w:rsidRPr="00317ABF">
              <w:rPr>
                <w:rFonts w:ascii="Times New Roman" w:hAnsi="Times New Roman" w:cs="Times New Roman"/>
                <w:sz w:val="22"/>
                <w:szCs w:val="22"/>
              </w:rPr>
              <w:t xml:space="preserve"> 1. Po unieważnieniu postępowania selekcyjnego, jeżeli jest możliwe usunięcie w ten sposób naruszeń przepisów prawa lub interesów jego uczestników, które stanowiły przyczynę unieważnienia tego postępowania, Prezes UKE przeprowadza czynności niezbędne do usunięcia tych naruszeń.</w:t>
            </w:r>
          </w:p>
          <w:p w14:paraId="5FACF553" w14:textId="77777777" w:rsidR="001E1112" w:rsidRPr="00317ABF" w:rsidRDefault="001E1112" w:rsidP="00DB3BEC">
            <w:pPr>
              <w:pStyle w:val="USTustnpkodeksu"/>
              <w:keepNext/>
              <w:spacing w:line="240" w:lineRule="auto"/>
              <w:rPr>
                <w:rFonts w:ascii="Times New Roman" w:hAnsi="Times New Roman" w:cs="Times New Roman"/>
                <w:sz w:val="22"/>
                <w:szCs w:val="22"/>
              </w:rPr>
            </w:pPr>
            <w:r w:rsidRPr="00317ABF">
              <w:rPr>
                <w:rFonts w:ascii="Times New Roman" w:hAnsi="Times New Roman" w:cs="Times New Roman"/>
                <w:sz w:val="22"/>
                <w:szCs w:val="22"/>
              </w:rPr>
              <w:t>2. Czynności, o których mowa w ust. 1, przeprowadza się:</w:t>
            </w:r>
          </w:p>
          <w:p w14:paraId="11298C69" w14:textId="77777777" w:rsidR="008D540E" w:rsidRPr="00317ABF" w:rsidRDefault="008D540E" w:rsidP="008D540E">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 xml:space="preserve">1) </w:t>
            </w:r>
            <w:r w:rsidRPr="00317ABF">
              <w:rPr>
                <w:rFonts w:ascii="Times New Roman" w:hAnsi="Times New Roman" w:cs="Times New Roman"/>
                <w:sz w:val="22"/>
                <w:szCs w:val="22"/>
              </w:rPr>
              <w:tab/>
              <w:t>w oparciu o warunki uczestnictwa w postępowaniu selekcyjnym, wymagania, jakim powinna odpowiadać oferta, oraz kryteria oceny ofert, określone przed unieważnieniem postępowania selekcyjnego w dokumentacji;</w:t>
            </w:r>
          </w:p>
          <w:p w14:paraId="4F308095" w14:textId="77777777" w:rsidR="001E1112" w:rsidRPr="00317ABF" w:rsidRDefault="001E1112" w:rsidP="00DB3BEC">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2)</w:t>
            </w:r>
            <w:r w:rsidR="008D540E" w:rsidRPr="00317ABF">
              <w:rPr>
                <w:rFonts w:ascii="Times New Roman" w:hAnsi="Times New Roman" w:cs="Times New Roman"/>
                <w:sz w:val="22"/>
                <w:szCs w:val="22"/>
              </w:rPr>
              <w:t xml:space="preserve"> </w:t>
            </w:r>
            <w:r w:rsidRPr="00317ABF">
              <w:rPr>
                <w:rFonts w:ascii="Times New Roman" w:hAnsi="Times New Roman" w:cs="Times New Roman"/>
                <w:sz w:val="22"/>
                <w:szCs w:val="22"/>
              </w:rPr>
              <w:tab/>
              <w:t>w stosunku do ofert złożonych w terminie przed unieważnieniem postępowania selekcyjnego.</w:t>
            </w:r>
          </w:p>
          <w:p w14:paraId="12C1B577" w14:textId="77777777" w:rsidR="001E1112" w:rsidRPr="00317ABF" w:rsidRDefault="001E1112" w:rsidP="00DB3BEC">
            <w:pPr>
              <w:pStyle w:val="USTustnpkodeksu"/>
              <w:spacing w:line="240" w:lineRule="auto"/>
              <w:rPr>
                <w:rFonts w:ascii="Times New Roman" w:hAnsi="Times New Roman" w:cs="Times New Roman"/>
                <w:sz w:val="22"/>
                <w:szCs w:val="22"/>
              </w:rPr>
            </w:pPr>
            <w:r w:rsidRPr="00317ABF">
              <w:rPr>
                <w:rFonts w:ascii="Times New Roman" w:hAnsi="Times New Roman" w:cs="Times New Roman"/>
                <w:sz w:val="22"/>
                <w:szCs w:val="22"/>
              </w:rPr>
              <w:t xml:space="preserve">3. W przypadku, gdy istnieje potrzeba przeprowadzenia czynności, o których mowa w ust. 1, Prezes UKE ocenia oferty i w przypadku przetargu </w:t>
            </w:r>
            <w:r w:rsidRPr="00317ABF">
              <w:rPr>
                <w:rFonts w:ascii="Times New Roman" w:hAnsi="Times New Roman" w:cs="Times New Roman"/>
                <w:sz w:val="22"/>
                <w:szCs w:val="22"/>
              </w:rPr>
              <w:lastRenderedPageBreak/>
              <w:t xml:space="preserve">lub konkursu </w:t>
            </w:r>
            <w:r w:rsidR="008D540E" w:rsidRPr="00317ABF">
              <w:rPr>
                <w:rFonts w:ascii="Times New Roman" w:eastAsia="Trebuchet MS" w:hAnsi="Times New Roman" w:cs="Times New Roman"/>
                <w:sz w:val="22"/>
                <w:szCs w:val="22"/>
              </w:rPr>
              <w:t>w sprawie zachowania warunków konkurencji</w:t>
            </w:r>
            <w:r w:rsidR="008D540E" w:rsidRPr="00317ABF">
              <w:rPr>
                <w:rFonts w:ascii="Times New Roman" w:hAnsi="Times New Roman" w:cs="Times New Roman"/>
                <w:sz w:val="22"/>
                <w:szCs w:val="22"/>
              </w:rPr>
              <w:t xml:space="preserve"> </w:t>
            </w:r>
            <w:r w:rsidRPr="00317ABF">
              <w:rPr>
                <w:rFonts w:ascii="Times New Roman" w:hAnsi="Times New Roman" w:cs="Times New Roman"/>
                <w:sz w:val="22"/>
                <w:szCs w:val="22"/>
              </w:rPr>
              <w:t>zasięga opinii Prezesa UOKiK w stosunku do tych ofert.</w:t>
            </w:r>
          </w:p>
          <w:p w14:paraId="2C5B47D6" w14:textId="77777777" w:rsidR="001E1112" w:rsidRPr="00317ABF" w:rsidRDefault="001E1112" w:rsidP="00DB3BEC">
            <w:pPr>
              <w:pStyle w:val="USTustnpkodeksu"/>
              <w:spacing w:line="240" w:lineRule="auto"/>
              <w:rPr>
                <w:rFonts w:ascii="Times New Roman" w:hAnsi="Times New Roman" w:cs="Times New Roman"/>
                <w:sz w:val="22"/>
                <w:szCs w:val="22"/>
              </w:rPr>
            </w:pPr>
            <w:r w:rsidRPr="00317ABF">
              <w:rPr>
                <w:rFonts w:ascii="Times New Roman" w:hAnsi="Times New Roman" w:cs="Times New Roman"/>
                <w:sz w:val="22"/>
                <w:szCs w:val="22"/>
              </w:rPr>
              <w:t>4. Podmiotem wyłonionym po przeprowadzeniu czynności, o których mowa w ust. 1, nie może zostać podmiot, który został wyłoniony przed unieważnieniem postępowania selekcyjnego i zrezygnował z rezerwacji częstotliwości, zanim decyzja w sprawie rezerwacji częstotliwości stała się ostateczna, lub nie uiścił zadeklarowanej jednorazowej opłaty.</w:t>
            </w:r>
          </w:p>
          <w:p w14:paraId="44DF99A9" w14:textId="77777777" w:rsidR="001E1112" w:rsidRPr="00317ABF" w:rsidRDefault="001E1112" w:rsidP="00DB3BEC">
            <w:pPr>
              <w:pStyle w:val="USTustnpkodeksu"/>
              <w:spacing w:line="240" w:lineRule="auto"/>
              <w:rPr>
                <w:rFonts w:ascii="Times New Roman" w:hAnsi="Times New Roman" w:cs="Times New Roman"/>
                <w:sz w:val="22"/>
                <w:szCs w:val="22"/>
              </w:rPr>
            </w:pPr>
            <w:r w:rsidRPr="00317ABF">
              <w:rPr>
                <w:rFonts w:ascii="Times New Roman" w:hAnsi="Times New Roman" w:cs="Times New Roman"/>
                <w:sz w:val="22"/>
                <w:szCs w:val="22"/>
              </w:rPr>
              <w:t>5. W przypadku, gdy zgodnie z warunkami postępowania selekcyjnego uczestnik złożył więcej niż jedną ofertę, przepis ust. 4 stosuje się wyłącznie do oferty, w stosunku do której podmiot wyłoniony przed unieważnieniem tego postępowania zrezygnował z rezerwacji częstotliwości, zanim decyzja w sprawie rezerwacji częstotliwości stała się ostateczna, lub nie uiścił zadeklarowanej jednorazowej opłaty.</w:t>
            </w:r>
          </w:p>
          <w:p w14:paraId="5116B5B8" w14:textId="77777777" w:rsidR="001E1112" w:rsidRPr="00317ABF" w:rsidRDefault="001E1112" w:rsidP="00DB3BEC">
            <w:pPr>
              <w:pStyle w:val="USTustnpkodeksu"/>
              <w:spacing w:line="240" w:lineRule="auto"/>
              <w:rPr>
                <w:rFonts w:ascii="Times New Roman" w:hAnsi="Times New Roman" w:cs="Times New Roman"/>
                <w:sz w:val="22"/>
                <w:szCs w:val="22"/>
              </w:rPr>
            </w:pPr>
            <w:r w:rsidRPr="00317ABF">
              <w:rPr>
                <w:rFonts w:ascii="Times New Roman" w:hAnsi="Times New Roman" w:cs="Times New Roman"/>
                <w:sz w:val="22"/>
                <w:szCs w:val="22"/>
              </w:rPr>
              <w:t>6. Do czynności, o których mowa w ust. 1 stosuje się odpowiednio art. 117 ust. 1.</w:t>
            </w:r>
          </w:p>
          <w:p w14:paraId="6F463F10" w14:textId="77777777" w:rsidR="001E1112" w:rsidRPr="00317ABF" w:rsidRDefault="001E1112" w:rsidP="008D540E">
            <w:pPr>
              <w:pStyle w:val="ARTartustawynprozporzdzenia"/>
              <w:spacing w:before="0" w:line="240" w:lineRule="auto"/>
              <w:rPr>
                <w:rFonts w:ascii="Times New Roman" w:hAnsi="Times New Roman" w:cs="Times New Roman"/>
                <w:sz w:val="22"/>
                <w:szCs w:val="22"/>
              </w:rPr>
            </w:pPr>
            <w:r w:rsidRPr="00317ABF">
              <w:rPr>
                <w:rStyle w:val="Ppogrubienie"/>
                <w:rFonts w:ascii="Times New Roman" w:hAnsi="Times New Roman"/>
                <w:sz w:val="22"/>
                <w:szCs w:val="22"/>
              </w:rPr>
              <w:t>Art. 119.</w:t>
            </w:r>
            <w:r w:rsidRPr="00317ABF">
              <w:rPr>
                <w:rFonts w:ascii="Times New Roman" w:hAnsi="Times New Roman" w:cs="Times New Roman"/>
                <w:sz w:val="22"/>
                <w:szCs w:val="22"/>
              </w:rPr>
              <w:t xml:space="preserve"> 1. Zmiana wyników postępowania selekcyjnego będąca konsekwencją unieważnienia tego postępowania stanowi podstawę wznowienia postępowania w sprawie rezerwacji częstotliwości dokonanej po przeprowadzeniu tego postępowania.</w:t>
            </w:r>
          </w:p>
          <w:p w14:paraId="74EE463D" w14:textId="77777777" w:rsidR="001E1112" w:rsidRPr="00317ABF" w:rsidRDefault="001E1112" w:rsidP="00DB3BEC">
            <w:pPr>
              <w:pStyle w:val="USTustnpkodeksu"/>
              <w:spacing w:line="240" w:lineRule="auto"/>
              <w:rPr>
                <w:rFonts w:ascii="Times New Roman" w:hAnsi="Times New Roman" w:cs="Times New Roman"/>
                <w:sz w:val="22"/>
                <w:szCs w:val="22"/>
              </w:rPr>
            </w:pPr>
            <w:r w:rsidRPr="00317ABF">
              <w:rPr>
                <w:rFonts w:ascii="Times New Roman" w:hAnsi="Times New Roman" w:cs="Times New Roman"/>
                <w:sz w:val="22"/>
                <w:szCs w:val="22"/>
              </w:rPr>
              <w:t>2. Postępowania w sprawie rezerwacji częstotliwości nie wznawia się, jeżeli od dnia ogłoszenia wyników postępowania selekcyjnego upłynęło 10 lat.</w:t>
            </w:r>
          </w:p>
          <w:p w14:paraId="7409950F" w14:textId="77777777" w:rsidR="001E1112" w:rsidRPr="00317ABF" w:rsidRDefault="001E1112" w:rsidP="00DB3BEC">
            <w:pPr>
              <w:pStyle w:val="USTustnpkodeksu"/>
              <w:spacing w:line="240" w:lineRule="auto"/>
              <w:rPr>
                <w:rFonts w:ascii="Times New Roman" w:hAnsi="Times New Roman" w:cs="Times New Roman"/>
                <w:sz w:val="22"/>
                <w:szCs w:val="22"/>
              </w:rPr>
            </w:pPr>
            <w:r w:rsidRPr="00317ABF">
              <w:rPr>
                <w:rFonts w:ascii="Times New Roman" w:hAnsi="Times New Roman" w:cs="Times New Roman"/>
                <w:sz w:val="22"/>
                <w:szCs w:val="22"/>
              </w:rPr>
              <w:t>3. Decyzji w sprawie rezerwacji częstotliwości nie uchyla się, jeżeli od dnia jej doręczenia lub ogłoszenia upłynęło 10 lat.</w:t>
            </w:r>
          </w:p>
          <w:p w14:paraId="2EA846E1" w14:textId="77777777" w:rsidR="001E1112" w:rsidRPr="00317ABF" w:rsidRDefault="001E1112" w:rsidP="008D540E">
            <w:pPr>
              <w:pStyle w:val="ARTartustawynprozporzdzenia"/>
              <w:keepNext/>
              <w:spacing w:before="0" w:line="240" w:lineRule="auto"/>
              <w:rPr>
                <w:rFonts w:ascii="Times New Roman" w:hAnsi="Times New Roman" w:cs="Times New Roman"/>
                <w:sz w:val="22"/>
                <w:szCs w:val="22"/>
              </w:rPr>
            </w:pPr>
            <w:r w:rsidRPr="00317ABF">
              <w:rPr>
                <w:rStyle w:val="Ppogrubienie"/>
                <w:rFonts w:ascii="Times New Roman" w:hAnsi="Times New Roman"/>
                <w:sz w:val="22"/>
                <w:szCs w:val="22"/>
              </w:rPr>
              <w:t>Art. 120.</w:t>
            </w:r>
            <w:r w:rsidRPr="00317ABF">
              <w:rPr>
                <w:rFonts w:ascii="Times New Roman" w:hAnsi="Times New Roman" w:cs="Times New Roman"/>
                <w:sz w:val="22"/>
                <w:szCs w:val="22"/>
              </w:rPr>
              <w:t xml:space="preserve"> Minister właściwy do spraw informatyzacji określi, w drodze rozporządzenia, tryb ogłaszania postępowania selekcyjnego zapewniający właściwe poinformowanie podmiotów zainteresowanych uzyskaniem rezerwacji częstotliwości, a także:</w:t>
            </w:r>
          </w:p>
          <w:p w14:paraId="08B3E4E8" w14:textId="77777777" w:rsidR="001E1112" w:rsidRPr="00317ABF" w:rsidRDefault="001E1112" w:rsidP="00DB3BEC">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1)</w:t>
            </w:r>
            <w:r w:rsidRPr="00317ABF">
              <w:rPr>
                <w:rFonts w:ascii="Times New Roman" w:hAnsi="Times New Roman" w:cs="Times New Roman"/>
                <w:sz w:val="22"/>
                <w:szCs w:val="22"/>
              </w:rPr>
              <w:tab/>
              <w:t>szczegółowe wymagania co do zawartości dokumentacji,</w:t>
            </w:r>
          </w:p>
          <w:p w14:paraId="78615079" w14:textId="77777777" w:rsidR="001E1112" w:rsidRPr="00317ABF" w:rsidRDefault="001E1112" w:rsidP="00DB3BEC">
            <w:pPr>
              <w:pStyle w:val="PKTpunkt0"/>
              <w:keepNext/>
              <w:spacing w:line="240" w:lineRule="auto"/>
              <w:rPr>
                <w:rFonts w:ascii="Times New Roman" w:hAnsi="Times New Roman" w:cs="Times New Roman"/>
                <w:sz w:val="22"/>
                <w:szCs w:val="22"/>
              </w:rPr>
            </w:pPr>
            <w:r w:rsidRPr="00317ABF">
              <w:rPr>
                <w:rFonts w:ascii="Times New Roman" w:hAnsi="Times New Roman" w:cs="Times New Roman"/>
                <w:sz w:val="22"/>
                <w:szCs w:val="22"/>
              </w:rPr>
              <w:t>2)</w:t>
            </w:r>
            <w:r w:rsidRPr="00317ABF">
              <w:rPr>
                <w:rFonts w:ascii="Times New Roman" w:hAnsi="Times New Roman" w:cs="Times New Roman"/>
                <w:sz w:val="22"/>
                <w:szCs w:val="22"/>
              </w:rPr>
              <w:tab/>
            </w:r>
            <w:r w:rsidR="008D540E" w:rsidRPr="00317ABF">
              <w:rPr>
                <w:rFonts w:ascii="Times New Roman" w:hAnsi="Times New Roman" w:cs="Times New Roman"/>
                <w:sz w:val="22"/>
                <w:szCs w:val="22"/>
              </w:rPr>
              <w:t xml:space="preserve">szczegółowe </w:t>
            </w:r>
            <w:r w:rsidRPr="00317ABF">
              <w:rPr>
                <w:rFonts w:ascii="Times New Roman" w:hAnsi="Times New Roman" w:cs="Times New Roman"/>
                <w:sz w:val="22"/>
                <w:szCs w:val="22"/>
              </w:rPr>
              <w:t>warunki i tryb organizowania, przeprowadzania i zakończenia postępowania selekcyjnego, w tym:</w:t>
            </w:r>
          </w:p>
          <w:p w14:paraId="48593B00" w14:textId="77777777" w:rsidR="001E1112" w:rsidRPr="00317ABF" w:rsidRDefault="001E1112" w:rsidP="00DB3BEC">
            <w:pPr>
              <w:pStyle w:val="LITlitera"/>
              <w:spacing w:line="240" w:lineRule="auto"/>
              <w:rPr>
                <w:rFonts w:ascii="Times New Roman" w:hAnsi="Times New Roman" w:cs="Times New Roman"/>
                <w:sz w:val="22"/>
                <w:szCs w:val="22"/>
              </w:rPr>
            </w:pPr>
            <w:r w:rsidRPr="00317ABF">
              <w:rPr>
                <w:rFonts w:ascii="Times New Roman" w:hAnsi="Times New Roman" w:cs="Times New Roman"/>
                <w:sz w:val="22"/>
                <w:szCs w:val="22"/>
              </w:rPr>
              <w:t>a)</w:t>
            </w:r>
            <w:r w:rsidRPr="00317ABF">
              <w:rPr>
                <w:rFonts w:ascii="Times New Roman" w:hAnsi="Times New Roman" w:cs="Times New Roman"/>
                <w:sz w:val="22"/>
                <w:szCs w:val="22"/>
              </w:rPr>
              <w:tab/>
              <w:t>powoływania i pracy komisji przetargowej, komisji aukcyjnej oraz komisji konkursowej,</w:t>
            </w:r>
          </w:p>
          <w:p w14:paraId="22395162" w14:textId="77777777" w:rsidR="001E1112" w:rsidRPr="00317ABF" w:rsidRDefault="001E1112" w:rsidP="00DB3BEC">
            <w:pPr>
              <w:pStyle w:val="LITlitera"/>
              <w:spacing w:line="240" w:lineRule="auto"/>
              <w:rPr>
                <w:rFonts w:ascii="Times New Roman" w:hAnsi="Times New Roman" w:cs="Times New Roman"/>
                <w:sz w:val="22"/>
                <w:szCs w:val="22"/>
              </w:rPr>
            </w:pPr>
            <w:r w:rsidRPr="00317ABF">
              <w:rPr>
                <w:rFonts w:ascii="Times New Roman" w:hAnsi="Times New Roman" w:cs="Times New Roman"/>
                <w:sz w:val="22"/>
                <w:szCs w:val="22"/>
              </w:rPr>
              <w:t>b)</w:t>
            </w:r>
            <w:r w:rsidRPr="00317ABF">
              <w:rPr>
                <w:rFonts w:ascii="Times New Roman" w:hAnsi="Times New Roman" w:cs="Times New Roman"/>
                <w:sz w:val="22"/>
                <w:szCs w:val="22"/>
              </w:rPr>
              <w:tab/>
              <w:t>sposób wpłaty i zwrotu wadium - w przypadku przetargu oraz aukcji,</w:t>
            </w:r>
          </w:p>
          <w:p w14:paraId="0BF3E30A" w14:textId="77777777" w:rsidR="001E1112" w:rsidRPr="00317ABF" w:rsidRDefault="001E1112" w:rsidP="00DB3BEC">
            <w:pPr>
              <w:pStyle w:val="LITlitera"/>
              <w:spacing w:line="240" w:lineRule="auto"/>
              <w:rPr>
                <w:rFonts w:ascii="Times New Roman" w:hAnsi="Times New Roman" w:cs="Times New Roman"/>
                <w:sz w:val="22"/>
                <w:szCs w:val="22"/>
              </w:rPr>
            </w:pPr>
            <w:r w:rsidRPr="00317ABF">
              <w:rPr>
                <w:rFonts w:ascii="Times New Roman" w:hAnsi="Times New Roman" w:cs="Times New Roman"/>
                <w:sz w:val="22"/>
                <w:szCs w:val="22"/>
              </w:rPr>
              <w:t>c)</w:t>
            </w:r>
            <w:r w:rsidRPr="00317ABF">
              <w:rPr>
                <w:rFonts w:ascii="Times New Roman" w:hAnsi="Times New Roman" w:cs="Times New Roman"/>
                <w:sz w:val="22"/>
                <w:szCs w:val="22"/>
              </w:rPr>
              <w:tab/>
              <w:t>sposób wpłaty i zwrotu depozytu - w przypadku aukcji</w:t>
            </w:r>
          </w:p>
          <w:p w14:paraId="54F476AD" w14:textId="4F534476" w:rsidR="001E1112" w:rsidRPr="00317ABF" w:rsidRDefault="001E1112" w:rsidP="00866CAB">
            <w:pPr>
              <w:rPr>
                <w:sz w:val="22"/>
                <w:szCs w:val="22"/>
              </w:rPr>
            </w:pPr>
            <w:r w:rsidRPr="00317ABF">
              <w:rPr>
                <w:sz w:val="22"/>
                <w:szCs w:val="22"/>
              </w:rPr>
              <w:t xml:space="preserve">- kierując się potrzebą zapewnienia obiektywnych, przejrzystych i niedyskryminujących żadnego uczestnika warunków postępowania </w:t>
            </w:r>
            <w:r w:rsidRPr="00317ABF">
              <w:rPr>
                <w:sz w:val="22"/>
                <w:szCs w:val="22"/>
              </w:rPr>
              <w:lastRenderedPageBreak/>
              <w:t>selekcyjnego, jak również przejrzystych warunków podejmowania rozstrzygnięć.</w:t>
            </w:r>
          </w:p>
          <w:p w14:paraId="72E91D0C" w14:textId="77777777" w:rsidR="001E1112" w:rsidRPr="00317ABF" w:rsidRDefault="001E1112" w:rsidP="00866CAB">
            <w:pPr>
              <w:pStyle w:val="ARTartustawynprozporzdzenia"/>
              <w:keepNext/>
              <w:spacing w:before="0" w:line="240" w:lineRule="auto"/>
              <w:rPr>
                <w:rFonts w:ascii="Times New Roman" w:hAnsi="Times New Roman" w:cs="Times New Roman"/>
                <w:sz w:val="22"/>
                <w:szCs w:val="22"/>
              </w:rPr>
            </w:pPr>
            <w:r w:rsidRPr="00317ABF">
              <w:rPr>
                <w:rStyle w:val="Ppogrubienie"/>
                <w:rFonts w:ascii="Times New Roman" w:hAnsi="Times New Roman"/>
                <w:sz w:val="22"/>
                <w:szCs w:val="22"/>
              </w:rPr>
              <w:t>Art. 84.</w:t>
            </w:r>
            <w:r w:rsidRPr="00317ABF">
              <w:rPr>
                <w:rFonts w:ascii="Times New Roman" w:hAnsi="Times New Roman" w:cs="Times New Roman"/>
                <w:sz w:val="22"/>
                <w:szCs w:val="22"/>
              </w:rPr>
              <w:t xml:space="preserve"> 1. Zmiana rezerwacji częstotliwości nie może polegać na:</w:t>
            </w:r>
          </w:p>
          <w:p w14:paraId="740C5C4D" w14:textId="77777777" w:rsidR="001E1112" w:rsidRPr="00317ABF" w:rsidRDefault="001E1112" w:rsidP="00DB3BEC">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1)</w:t>
            </w:r>
            <w:r w:rsidRPr="00317ABF">
              <w:rPr>
                <w:rFonts w:ascii="Times New Roman" w:hAnsi="Times New Roman" w:cs="Times New Roman"/>
                <w:sz w:val="22"/>
                <w:szCs w:val="22"/>
              </w:rPr>
              <w:tab/>
              <w:t>zwiększeniu zasobów częstotliwości pozostających w dyspozycji podmiotu, wyrażonych w MHz;</w:t>
            </w:r>
          </w:p>
          <w:p w14:paraId="193DFB6C" w14:textId="77777777" w:rsidR="001E1112" w:rsidRPr="00317ABF" w:rsidRDefault="001E1112" w:rsidP="00DB3BEC">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2)</w:t>
            </w:r>
            <w:r w:rsidRPr="00317ABF">
              <w:rPr>
                <w:rFonts w:ascii="Times New Roman" w:hAnsi="Times New Roman" w:cs="Times New Roman"/>
                <w:sz w:val="22"/>
                <w:szCs w:val="22"/>
              </w:rPr>
              <w:tab/>
              <w:t>zamianie zasobów częstotliwości na inne zasoby, chyba że dokonywana jest na podstawie art. 94 ust. 1 pkt 9 lub art. 94 ust. 6;</w:t>
            </w:r>
          </w:p>
          <w:p w14:paraId="79E3250A" w14:textId="77777777" w:rsidR="001E1112" w:rsidRPr="00317ABF" w:rsidRDefault="001E1112" w:rsidP="00DB3BEC">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3)</w:t>
            </w:r>
            <w:r w:rsidRPr="00317ABF">
              <w:rPr>
                <w:rFonts w:ascii="Times New Roman" w:hAnsi="Times New Roman" w:cs="Times New Roman"/>
                <w:sz w:val="22"/>
                <w:szCs w:val="22"/>
              </w:rPr>
              <w:tab/>
              <w:t>rozszerzeniu obszaru, na którym mogą być wykorzystywane częstotliwości.</w:t>
            </w:r>
          </w:p>
          <w:p w14:paraId="50619A21" w14:textId="77777777" w:rsidR="00866CAB" w:rsidRPr="00317ABF" w:rsidRDefault="001E1112" w:rsidP="00866CAB">
            <w:pPr>
              <w:rPr>
                <w:sz w:val="22"/>
                <w:szCs w:val="22"/>
              </w:rPr>
            </w:pPr>
            <w:r w:rsidRPr="00317ABF">
              <w:rPr>
                <w:sz w:val="22"/>
                <w:szCs w:val="22"/>
              </w:rPr>
              <w:t>2. Przepisu ust. 1 pkt 3 nie stosuje się do rezerwacji częstotliwości na cele rozpowszechniania programów radiofonicznych w sposób analogowy drogą rozsiewczą naziemną.</w:t>
            </w:r>
          </w:p>
          <w:p w14:paraId="13A78D6B" w14:textId="57A5C568" w:rsidR="001E1112" w:rsidRPr="00317ABF" w:rsidRDefault="001E1112" w:rsidP="00DB3BEC">
            <w:pPr>
              <w:jc w:val="both"/>
              <w:rPr>
                <w:sz w:val="22"/>
                <w:szCs w:val="22"/>
              </w:rPr>
            </w:pPr>
          </w:p>
        </w:tc>
      </w:tr>
      <w:tr w:rsidR="001E1112" w:rsidRPr="00317ABF" w14:paraId="4C4BA4FE" w14:textId="77777777" w:rsidTr="7753F98D">
        <w:trPr>
          <w:gridAfter w:val="2"/>
          <w:wAfter w:w="175" w:type="dxa"/>
        </w:trPr>
        <w:tc>
          <w:tcPr>
            <w:tcW w:w="704" w:type="dxa"/>
          </w:tcPr>
          <w:p w14:paraId="7A4A6CE9" w14:textId="77777777" w:rsidR="001E1112" w:rsidRPr="00317ABF" w:rsidRDefault="001E1112" w:rsidP="00DB3BEC">
            <w:pPr>
              <w:jc w:val="both"/>
              <w:rPr>
                <w:sz w:val="22"/>
                <w:szCs w:val="22"/>
              </w:rPr>
            </w:pPr>
            <w:r w:rsidRPr="00317ABF">
              <w:rPr>
                <w:sz w:val="22"/>
                <w:szCs w:val="22"/>
              </w:rPr>
              <w:lastRenderedPageBreak/>
              <w:t>Art. 55 ust. 7</w:t>
            </w:r>
          </w:p>
        </w:tc>
        <w:tc>
          <w:tcPr>
            <w:tcW w:w="4308" w:type="dxa"/>
          </w:tcPr>
          <w:p w14:paraId="042CA932" w14:textId="77777777" w:rsidR="001E1112" w:rsidRPr="00317ABF" w:rsidRDefault="001E1112" w:rsidP="00DB3BEC">
            <w:pPr>
              <w:spacing w:before="120"/>
              <w:jc w:val="both"/>
              <w:rPr>
                <w:sz w:val="22"/>
                <w:szCs w:val="22"/>
              </w:rPr>
            </w:pPr>
            <w:r w:rsidRPr="00317ABF">
              <w:rPr>
                <w:sz w:val="22"/>
                <w:szCs w:val="22"/>
              </w:rPr>
              <w:t>7.   W razie przeprowadzenia procedury selekcji konkurencyjnej lub porównawczej państwa członkowskie mogą przedłużyć maksymalny termin sześciu tygodni, o którym mowa w art. 48 ust. 6 o tyle, o ile jest to niezbędne dla zapewnienia, by procedury były sprawiedliwe, otwarte i przejrzyste dla wszystkich zainteresowanych stron, jednakże nie dłużej niż o okres ośmiu miesięcy, z zastrzeżeniem wszelkich szczególnych harmonogramów ustalonych na podstawie art. 53.</w:t>
            </w:r>
          </w:p>
          <w:p w14:paraId="702842BD" w14:textId="77777777" w:rsidR="001E1112" w:rsidRPr="00317ABF" w:rsidRDefault="001E1112" w:rsidP="00DB3BEC">
            <w:pPr>
              <w:spacing w:before="120"/>
              <w:jc w:val="both"/>
              <w:rPr>
                <w:sz w:val="22"/>
                <w:szCs w:val="22"/>
              </w:rPr>
            </w:pPr>
            <w:r w:rsidRPr="00317ABF">
              <w:rPr>
                <w:sz w:val="22"/>
                <w:szCs w:val="22"/>
              </w:rPr>
              <w:t>Powyższe terminy pozostają bez uszczerbku dla postanowień obowiązujących umów międzynarodowych dotyczących wykorzystania widma radiowego i koordynacji satelitarnej.</w:t>
            </w:r>
          </w:p>
        </w:tc>
        <w:tc>
          <w:tcPr>
            <w:tcW w:w="986" w:type="dxa"/>
          </w:tcPr>
          <w:p w14:paraId="652B2DD3" w14:textId="3C52F0BC" w:rsidR="001E1112" w:rsidRPr="00317ABF" w:rsidRDefault="001E1112" w:rsidP="00DB3BEC">
            <w:pPr>
              <w:jc w:val="both"/>
              <w:rPr>
                <w:sz w:val="22"/>
                <w:szCs w:val="22"/>
              </w:rPr>
            </w:pPr>
            <w:r w:rsidRPr="00317ABF">
              <w:rPr>
                <w:sz w:val="22"/>
                <w:szCs w:val="22"/>
              </w:rPr>
              <w:t>T</w:t>
            </w:r>
          </w:p>
        </w:tc>
        <w:tc>
          <w:tcPr>
            <w:tcW w:w="910" w:type="dxa"/>
          </w:tcPr>
          <w:p w14:paraId="265E2F85" w14:textId="2A579603" w:rsidR="001E1112" w:rsidRPr="00317ABF" w:rsidRDefault="001E1112" w:rsidP="00DB3BEC">
            <w:pPr>
              <w:pStyle w:val="Tekstpodstawowy"/>
              <w:rPr>
                <w:b/>
                <w:bCs/>
                <w:noProof/>
                <w:sz w:val="22"/>
                <w:szCs w:val="22"/>
              </w:rPr>
            </w:pPr>
            <w:r w:rsidRPr="00317ABF">
              <w:rPr>
                <w:b/>
                <w:bCs/>
                <w:noProof/>
                <w:sz w:val="22"/>
                <w:szCs w:val="22"/>
              </w:rPr>
              <w:t xml:space="preserve">Art. </w:t>
            </w:r>
            <w:r w:rsidR="00820A15" w:rsidRPr="00317ABF">
              <w:rPr>
                <w:b/>
                <w:bCs/>
                <w:noProof/>
                <w:sz w:val="22"/>
                <w:szCs w:val="22"/>
              </w:rPr>
              <w:t>107</w:t>
            </w:r>
          </w:p>
        </w:tc>
        <w:tc>
          <w:tcPr>
            <w:tcW w:w="6814" w:type="dxa"/>
            <w:gridSpan w:val="2"/>
          </w:tcPr>
          <w:p w14:paraId="2591D36A" w14:textId="77777777" w:rsidR="001E1112" w:rsidRPr="00317ABF" w:rsidRDefault="001E1112" w:rsidP="00820A15">
            <w:pPr>
              <w:pStyle w:val="ARTartustawynprozporzdzenia"/>
              <w:spacing w:before="0" w:line="240" w:lineRule="auto"/>
              <w:ind w:firstLine="0"/>
              <w:rPr>
                <w:rFonts w:ascii="Times New Roman" w:hAnsi="Times New Roman" w:cs="Times New Roman"/>
                <w:sz w:val="22"/>
                <w:szCs w:val="22"/>
              </w:rPr>
            </w:pPr>
            <w:r w:rsidRPr="00317ABF">
              <w:rPr>
                <w:rStyle w:val="Ppogrubienie"/>
                <w:rFonts w:ascii="Times New Roman" w:hAnsi="Times New Roman"/>
                <w:sz w:val="22"/>
                <w:szCs w:val="22"/>
              </w:rPr>
              <w:t>Art. 102.</w:t>
            </w:r>
            <w:r w:rsidRPr="00317ABF">
              <w:rPr>
                <w:rFonts w:ascii="Times New Roman" w:hAnsi="Times New Roman" w:cs="Times New Roman"/>
                <w:sz w:val="22"/>
                <w:szCs w:val="22"/>
              </w:rPr>
              <w:t xml:space="preserve"> 1. Postępowanie selekcyjne jest postępowaniem odrębnym od postępowania w sprawie rezerwacji częstotliwości. Do postępowania selekcyjnego nie stosuje się przepisów ustawy z dnia 14 czerwca 1960 r. - Kodeks postępowania administracyjnego.</w:t>
            </w:r>
          </w:p>
          <w:p w14:paraId="65508CAB" w14:textId="0D434AB4" w:rsidR="001E1112" w:rsidRPr="00317ABF" w:rsidRDefault="001E1112" w:rsidP="00DB3BEC">
            <w:pPr>
              <w:jc w:val="both"/>
              <w:rPr>
                <w:sz w:val="22"/>
                <w:szCs w:val="22"/>
              </w:rPr>
            </w:pPr>
            <w:r w:rsidRPr="00317ABF">
              <w:rPr>
                <w:sz w:val="22"/>
                <w:szCs w:val="22"/>
              </w:rPr>
              <w:t xml:space="preserve">2. Termin zakończenia postępowania selekcyjnego nie może być dłuższy niż 8 miesięcy od dnia wpłynięcia wniosku, o którym mowa w art. </w:t>
            </w:r>
            <w:r w:rsidR="00820A15" w:rsidRPr="00317ABF">
              <w:rPr>
                <w:sz w:val="22"/>
                <w:szCs w:val="22"/>
              </w:rPr>
              <w:t>104</w:t>
            </w:r>
            <w:r w:rsidRPr="00317ABF">
              <w:rPr>
                <w:sz w:val="22"/>
                <w:szCs w:val="22"/>
              </w:rPr>
              <w:t xml:space="preserve"> ust. 2 w zdaniu pierwszym.</w:t>
            </w:r>
          </w:p>
        </w:tc>
      </w:tr>
      <w:tr w:rsidR="001E1112" w:rsidRPr="00317ABF" w14:paraId="6084785D" w14:textId="77777777" w:rsidTr="7753F98D">
        <w:trPr>
          <w:gridAfter w:val="2"/>
          <w:wAfter w:w="175" w:type="dxa"/>
        </w:trPr>
        <w:tc>
          <w:tcPr>
            <w:tcW w:w="704" w:type="dxa"/>
          </w:tcPr>
          <w:p w14:paraId="04EA7F40" w14:textId="77777777" w:rsidR="001E1112" w:rsidRPr="00317ABF" w:rsidRDefault="001E1112" w:rsidP="00DB3BEC">
            <w:pPr>
              <w:jc w:val="both"/>
              <w:rPr>
                <w:sz w:val="22"/>
                <w:szCs w:val="22"/>
              </w:rPr>
            </w:pPr>
            <w:r w:rsidRPr="00317ABF">
              <w:rPr>
                <w:sz w:val="22"/>
                <w:szCs w:val="22"/>
              </w:rPr>
              <w:t>Art. 55 ust. 8</w:t>
            </w:r>
          </w:p>
        </w:tc>
        <w:tc>
          <w:tcPr>
            <w:tcW w:w="4308" w:type="dxa"/>
          </w:tcPr>
          <w:p w14:paraId="2C697B7A" w14:textId="77777777" w:rsidR="001E1112" w:rsidRPr="00317ABF" w:rsidRDefault="001E1112" w:rsidP="00DB3BEC">
            <w:pPr>
              <w:spacing w:before="120"/>
              <w:jc w:val="both"/>
              <w:rPr>
                <w:sz w:val="22"/>
                <w:szCs w:val="22"/>
              </w:rPr>
            </w:pPr>
            <w:r w:rsidRPr="00317ABF">
              <w:rPr>
                <w:sz w:val="22"/>
                <w:szCs w:val="22"/>
              </w:rPr>
              <w:t>8.   Niniejszy artykuł pozostaje bez uszczerbku dla przekazywania praw użytkowania widma radiowego zgodnie z art. 51.</w:t>
            </w:r>
          </w:p>
        </w:tc>
        <w:tc>
          <w:tcPr>
            <w:tcW w:w="986" w:type="dxa"/>
          </w:tcPr>
          <w:p w14:paraId="27E8B0B9" w14:textId="470791FF" w:rsidR="001E1112" w:rsidRPr="00317ABF" w:rsidRDefault="001E1112" w:rsidP="00DB3BEC">
            <w:pPr>
              <w:jc w:val="both"/>
              <w:rPr>
                <w:sz w:val="22"/>
                <w:szCs w:val="22"/>
              </w:rPr>
            </w:pPr>
            <w:r w:rsidRPr="00317ABF">
              <w:rPr>
                <w:sz w:val="22"/>
                <w:szCs w:val="22"/>
              </w:rPr>
              <w:t>N</w:t>
            </w:r>
          </w:p>
        </w:tc>
        <w:tc>
          <w:tcPr>
            <w:tcW w:w="910" w:type="dxa"/>
          </w:tcPr>
          <w:p w14:paraId="201A40F3" w14:textId="77777777" w:rsidR="001E1112" w:rsidRPr="00317ABF" w:rsidRDefault="001E1112" w:rsidP="00DB3BEC">
            <w:pPr>
              <w:pStyle w:val="Tekstpodstawowy"/>
              <w:rPr>
                <w:b/>
                <w:noProof/>
                <w:sz w:val="22"/>
                <w:szCs w:val="22"/>
              </w:rPr>
            </w:pPr>
          </w:p>
        </w:tc>
        <w:tc>
          <w:tcPr>
            <w:tcW w:w="6814" w:type="dxa"/>
            <w:gridSpan w:val="2"/>
          </w:tcPr>
          <w:p w14:paraId="6E31D9C9" w14:textId="77777777" w:rsidR="001E1112" w:rsidRPr="00317ABF" w:rsidRDefault="001E1112" w:rsidP="00DB3BEC">
            <w:pPr>
              <w:pStyle w:val="Tekstpodstawowy"/>
              <w:rPr>
                <w:sz w:val="22"/>
                <w:szCs w:val="22"/>
              </w:rPr>
            </w:pPr>
          </w:p>
        </w:tc>
      </w:tr>
      <w:tr w:rsidR="001E1112" w:rsidRPr="00317ABF" w14:paraId="502DDA85" w14:textId="77777777" w:rsidTr="7753F98D">
        <w:trPr>
          <w:gridAfter w:val="2"/>
          <w:wAfter w:w="175" w:type="dxa"/>
        </w:trPr>
        <w:tc>
          <w:tcPr>
            <w:tcW w:w="704" w:type="dxa"/>
          </w:tcPr>
          <w:p w14:paraId="56F3DC89" w14:textId="77777777" w:rsidR="001E1112" w:rsidRPr="00317ABF" w:rsidRDefault="001E1112" w:rsidP="00DB3BEC">
            <w:pPr>
              <w:jc w:val="both"/>
              <w:rPr>
                <w:b/>
                <w:sz w:val="22"/>
                <w:szCs w:val="22"/>
              </w:rPr>
            </w:pPr>
            <w:r w:rsidRPr="00317ABF">
              <w:rPr>
                <w:b/>
                <w:sz w:val="22"/>
                <w:szCs w:val="22"/>
              </w:rPr>
              <w:t>Art. 56</w:t>
            </w:r>
          </w:p>
        </w:tc>
        <w:tc>
          <w:tcPr>
            <w:tcW w:w="4308" w:type="dxa"/>
          </w:tcPr>
          <w:p w14:paraId="600C100A" w14:textId="77777777" w:rsidR="001E1112" w:rsidRPr="00317ABF" w:rsidRDefault="001E1112" w:rsidP="00DB3BEC">
            <w:pPr>
              <w:spacing w:before="60" w:after="120"/>
              <w:jc w:val="both"/>
              <w:rPr>
                <w:b/>
                <w:bCs/>
                <w:sz w:val="22"/>
                <w:szCs w:val="22"/>
              </w:rPr>
            </w:pPr>
            <w:r w:rsidRPr="00317ABF">
              <w:rPr>
                <w:b/>
                <w:bCs/>
                <w:sz w:val="22"/>
                <w:szCs w:val="22"/>
              </w:rPr>
              <w:t>Dostęp do lokalnych sieci radiowych</w:t>
            </w:r>
          </w:p>
        </w:tc>
        <w:tc>
          <w:tcPr>
            <w:tcW w:w="986" w:type="dxa"/>
          </w:tcPr>
          <w:p w14:paraId="7F432E88" w14:textId="77777777" w:rsidR="001E1112" w:rsidRPr="00317ABF" w:rsidRDefault="001E1112" w:rsidP="00DB3BEC">
            <w:pPr>
              <w:jc w:val="both"/>
              <w:rPr>
                <w:sz w:val="22"/>
                <w:szCs w:val="22"/>
              </w:rPr>
            </w:pPr>
          </w:p>
        </w:tc>
        <w:tc>
          <w:tcPr>
            <w:tcW w:w="910" w:type="dxa"/>
          </w:tcPr>
          <w:p w14:paraId="1AC44FA1" w14:textId="77777777" w:rsidR="001E1112" w:rsidRPr="00317ABF" w:rsidRDefault="001E1112" w:rsidP="00DB3BEC">
            <w:pPr>
              <w:pStyle w:val="Tekstpodstawowy"/>
              <w:rPr>
                <w:b/>
                <w:noProof/>
                <w:sz w:val="22"/>
                <w:szCs w:val="22"/>
              </w:rPr>
            </w:pPr>
          </w:p>
        </w:tc>
        <w:tc>
          <w:tcPr>
            <w:tcW w:w="6814" w:type="dxa"/>
            <w:gridSpan w:val="2"/>
          </w:tcPr>
          <w:p w14:paraId="7185C782" w14:textId="77777777" w:rsidR="001E1112" w:rsidRPr="00317ABF" w:rsidRDefault="001E1112" w:rsidP="00DB3BEC">
            <w:pPr>
              <w:pStyle w:val="Tekstpodstawowy"/>
              <w:rPr>
                <w:sz w:val="22"/>
                <w:szCs w:val="22"/>
              </w:rPr>
            </w:pPr>
          </w:p>
        </w:tc>
      </w:tr>
      <w:tr w:rsidR="001E1112" w:rsidRPr="00317ABF" w14:paraId="3A71320E" w14:textId="77777777" w:rsidTr="7753F98D">
        <w:trPr>
          <w:gridAfter w:val="2"/>
          <w:wAfter w:w="175" w:type="dxa"/>
        </w:trPr>
        <w:tc>
          <w:tcPr>
            <w:tcW w:w="704" w:type="dxa"/>
          </w:tcPr>
          <w:p w14:paraId="47AD5C53" w14:textId="77777777" w:rsidR="001E1112" w:rsidRPr="00317ABF" w:rsidRDefault="001E1112" w:rsidP="00DB3BEC">
            <w:pPr>
              <w:jc w:val="both"/>
              <w:rPr>
                <w:sz w:val="22"/>
                <w:szCs w:val="22"/>
              </w:rPr>
            </w:pPr>
            <w:r w:rsidRPr="00317ABF">
              <w:rPr>
                <w:sz w:val="22"/>
                <w:szCs w:val="22"/>
              </w:rPr>
              <w:t>Art. 56 ust. 1</w:t>
            </w:r>
          </w:p>
        </w:tc>
        <w:tc>
          <w:tcPr>
            <w:tcW w:w="4308" w:type="dxa"/>
          </w:tcPr>
          <w:p w14:paraId="58548525" w14:textId="77777777" w:rsidR="001E1112" w:rsidRPr="00317ABF" w:rsidRDefault="001E1112" w:rsidP="00DB3BEC">
            <w:pPr>
              <w:spacing w:before="120"/>
              <w:jc w:val="both"/>
              <w:rPr>
                <w:sz w:val="22"/>
                <w:szCs w:val="22"/>
              </w:rPr>
            </w:pPr>
            <w:r w:rsidRPr="00317ABF">
              <w:rPr>
                <w:sz w:val="22"/>
                <w:szCs w:val="22"/>
              </w:rPr>
              <w:t xml:space="preserve">1.   Właściwe organy zezwalają na zapewnianie dostępu do publicznej sieci łączności elektronicznej za pośrednictwem RLAN, jak </w:t>
            </w:r>
            <w:r w:rsidRPr="00317ABF">
              <w:rPr>
                <w:sz w:val="22"/>
                <w:szCs w:val="22"/>
              </w:rPr>
              <w:lastRenderedPageBreak/>
              <w:t>również na wykorzystywanie zharmonizowanego widma radiowego w celu zapewnienia takiego dostępu, wyłącznie na warunkach mającego zastosowanie ogólnego zezwolenia odnoszących się do użytkowania widma radiowego, o których mowa w art. 46 ust. 1.</w:t>
            </w:r>
          </w:p>
          <w:p w14:paraId="0563FB2A" w14:textId="77777777" w:rsidR="001E1112" w:rsidRPr="00317ABF" w:rsidRDefault="001E1112" w:rsidP="00DB3BEC">
            <w:pPr>
              <w:spacing w:before="120"/>
              <w:jc w:val="both"/>
              <w:rPr>
                <w:sz w:val="22"/>
                <w:szCs w:val="22"/>
              </w:rPr>
            </w:pPr>
            <w:r w:rsidRPr="00317ABF">
              <w:rPr>
                <w:sz w:val="22"/>
                <w:szCs w:val="22"/>
              </w:rPr>
              <w:t>W przypadku gdy takie zapewnianie dostępu nie jest częścią działalności gospodarczej lub ma charakter dodatkowy w stosunku do działalności gospodarczej lub usługi publicznej, która nie jest uzależniona od przekazywania sygnałów w tych sieciach, przedsiębiorstwo, organ publiczny lub użytkownik końcowy, którzy zapewniają taki dostęp, nie podlegają ogólnemu zezwoleniu na dostarczanie sieci i usług łączności elektronicznej na podstawie art. 12, obowiązkom dotyczącym praw użytkowników końcowych na podstawie części III tytuł II ani obowiązkowi zapewnienia wzajemnego połączenia ich sieci na podstawie art. 61 ust. 1.</w:t>
            </w:r>
          </w:p>
        </w:tc>
        <w:tc>
          <w:tcPr>
            <w:tcW w:w="986" w:type="dxa"/>
          </w:tcPr>
          <w:p w14:paraId="5375724A" w14:textId="02D92ED6" w:rsidR="001E1112" w:rsidRPr="00317ABF" w:rsidRDefault="001E1112" w:rsidP="00DB3BEC">
            <w:pPr>
              <w:jc w:val="both"/>
              <w:rPr>
                <w:b/>
                <w:sz w:val="22"/>
                <w:szCs w:val="22"/>
              </w:rPr>
            </w:pPr>
            <w:r w:rsidRPr="00317ABF">
              <w:rPr>
                <w:b/>
                <w:sz w:val="22"/>
                <w:szCs w:val="22"/>
              </w:rPr>
              <w:lastRenderedPageBreak/>
              <w:t>T</w:t>
            </w:r>
          </w:p>
        </w:tc>
        <w:tc>
          <w:tcPr>
            <w:tcW w:w="910" w:type="dxa"/>
          </w:tcPr>
          <w:p w14:paraId="49B40545" w14:textId="3EA6FD47" w:rsidR="001E1112" w:rsidRPr="00317ABF" w:rsidRDefault="001E1112" w:rsidP="00A46D43">
            <w:pPr>
              <w:pStyle w:val="Tekstpodstawowy"/>
              <w:rPr>
                <w:b/>
                <w:noProof/>
                <w:sz w:val="22"/>
                <w:szCs w:val="22"/>
              </w:rPr>
            </w:pPr>
            <w:r w:rsidRPr="00317ABF">
              <w:rPr>
                <w:b/>
                <w:noProof/>
                <w:sz w:val="22"/>
                <w:szCs w:val="22"/>
              </w:rPr>
              <w:t xml:space="preserve">Art. 5 ust. </w:t>
            </w:r>
            <w:r w:rsidR="00A46D43" w:rsidRPr="00317ABF">
              <w:rPr>
                <w:b/>
                <w:noProof/>
                <w:sz w:val="22"/>
                <w:szCs w:val="22"/>
              </w:rPr>
              <w:t>4</w:t>
            </w:r>
          </w:p>
        </w:tc>
        <w:tc>
          <w:tcPr>
            <w:tcW w:w="6814" w:type="dxa"/>
            <w:gridSpan w:val="2"/>
          </w:tcPr>
          <w:p w14:paraId="2C5358EB" w14:textId="6184B798" w:rsidR="00A46D43" w:rsidRPr="00317ABF" w:rsidRDefault="00A46D43" w:rsidP="00A46D43">
            <w:pPr>
              <w:pStyle w:val="USTustnpkodeksu"/>
              <w:spacing w:line="240" w:lineRule="auto"/>
              <w:ind w:firstLine="0"/>
              <w:rPr>
                <w:rFonts w:ascii="Times New Roman" w:hAnsi="Times New Roman" w:cs="Times New Roman"/>
                <w:szCs w:val="24"/>
              </w:rPr>
            </w:pPr>
            <w:r w:rsidRPr="00317ABF">
              <w:rPr>
                <w:b/>
                <w:sz w:val="22"/>
                <w:szCs w:val="22"/>
              </w:rPr>
              <w:t>Art. 5 ust. 4.</w:t>
            </w:r>
            <w:r w:rsidRPr="00317ABF">
              <w:rPr>
                <w:sz w:val="22"/>
                <w:szCs w:val="22"/>
              </w:rPr>
              <w:t xml:space="preserve"> </w:t>
            </w:r>
            <w:r w:rsidRPr="00317ABF">
              <w:rPr>
                <w:rFonts w:ascii="Times New Roman" w:eastAsia="Times" w:hAnsi="Times New Roman" w:cs="Times New Roman"/>
                <w:bCs w:val="0"/>
                <w:sz w:val="22"/>
                <w:szCs w:val="22"/>
              </w:rPr>
              <w:t xml:space="preserve">Nie stanowi działalności telekomunikacyjnej umożliwianie korzystania z publicznej sieci telekomunikacyjnej za pośrednictwem </w:t>
            </w:r>
            <w:r w:rsidRPr="00317ABF">
              <w:rPr>
                <w:rFonts w:ascii="Times New Roman" w:eastAsia="Times" w:hAnsi="Times New Roman" w:cs="Times New Roman"/>
                <w:bCs w:val="0"/>
                <w:sz w:val="22"/>
                <w:szCs w:val="22"/>
              </w:rPr>
              <w:lastRenderedPageBreak/>
              <w:t>lokalnej sieci radiowej, jeżeli jest to działalność dodatkowa w stosunku do wykonywanej przez podmiot działalności głównej.</w:t>
            </w:r>
          </w:p>
          <w:p w14:paraId="5C56D2DE" w14:textId="6D95F134" w:rsidR="00A46D43" w:rsidRPr="00317ABF" w:rsidRDefault="00A46D43" w:rsidP="00DB3BEC">
            <w:pPr>
              <w:jc w:val="both"/>
              <w:rPr>
                <w:sz w:val="22"/>
                <w:szCs w:val="22"/>
              </w:rPr>
            </w:pPr>
          </w:p>
          <w:p w14:paraId="645E23BD" w14:textId="77777777" w:rsidR="001E1112" w:rsidRPr="00317ABF" w:rsidRDefault="001E1112" w:rsidP="00DB3BEC">
            <w:pPr>
              <w:pStyle w:val="Tekstpodstawowy"/>
              <w:rPr>
                <w:sz w:val="22"/>
                <w:szCs w:val="22"/>
              </w:rPr>
            </w:pPr>
          </w:p>
        </w:tc>
      </w:tr>
      <w:tr w:rsidR="001E1112" w:rsidRPr="00317ABF" w14:paraId="260B8B9A" w14:textId="77777777" w:rsidTr="7753F98D">
        <w:trPr>
          <w:gridAfter w:val="2"/>
          <w:wAfter w:w="175" w:type="dxa"/>
        </w:trPr>
        <w:tc>
          <w:tcPr>
            <w:tcW w:w="704" w:type="dxa"/>
          </w:tcPr>
          <w:p w14:paraId="4CBECB45" w14:textId="09E481F7" w:rsidR="001E1112" w:rsidRPr="00317ABF" w:rsidRDefault="001E1112" w:rsidP="00DB3BEC">
            <w:pPr>
              <w:jc w:val="both"/>
              <w:rPr>
                <w:sz w:val="22"/>
                <w:szCs w:val="22"/>
              </w:rPr>
            </w:pPr>
            <w:r w:rsidRPr="00317ABF">
              <w:rPr>
                <w:sz w:val="22"/>
                <w:szCs w:val="22"/>
              </w:rPr>
              <w:lastRenderedPageBreak/>
              <w:t>Art. 56 ust. 2</w:t>
            </w:r>
          </w:p>
        </w:tc>
        <w:tc>
          <w:tcPr>
            <w:tcW w:w="4308" w:type="dxa"/>
          </w:tcPr>
          <w:p w14:paraId="7C05BCCC" w14:textId="77777777" w:rsidR="001E1112" w:rsidRPr="00317ABF" w:rsidRDefault="001E1112" w:rsidP="00DB3BEC">
            <w:pPr>
              <w:spacing w:before="120"/>
              <w:jc w:val="both"/>
              <w:rPr>
                <w:sz w:val="22"/>
                <w:szCs w:val="22"/>
              </w:rPr>
            </w:pPr>
            <w:r w:rsidRPr="00317ABF">
              <w:rPr>
                <w:sz w:val="22"/>
                <w:szCs w:val="22"/>
              </w:rPr>
              <w:t>2.   Stosuje się art. 12 dyrektywy 2000/31/WE.</w:t>
            </w:r>
          </w:p>
        </w:tc>
        <w:tc>
          <w:tcPr>
            <w:tcW w:w="986" w:type="dxa"/>
          </w:tcPr>
          <w:p w14:paraId="2969B302" w14:textId="0B439BEA" w:rsidR="001E1112" w:rsidRPr="00317ABF" w:rsidRDefault="001E1112" w:rsidP="00DB3BEC">
            <w:pPr>
              <w:jc w:val="both"/>
              <w:rPr>
                <w:b/>
                <w:sz w:val="22"/>
                <w:szCs w:val="22"/>
              </w:rPr>
            </w:pPr>
            <w:r w:rsidRPr="00317ABF">
              <w:rPr>
                <w:b/>
                <w:sz w:val="22"/>
                <w:szCs w:val="22"/>
              </w:rPr>
              <w:t>T</w:t>
            </w:r>
          </w:p>
        </w:tc>
        <w:tc>
          <w:tcPr>
            <w:tcW w:w="910" w:type="dxa"/>
          </w:tcPr>
          <w:p w14:paraId="4FE0E20A" w14:textId="428873B4" w:rsidR="001E1112" w:rsidRPr="00317ABF" w:rsidRDefault="001E1112" w:rsidP="00A46D43">
            <w:pPr>
              <w:pStyle w:val="Tekstpodstawowy"/>
              <w:rPr>
                <w:b/>
                <w:noProof/>
                <w:sz w:val="22"/>
                <w:szCs w:val="22"/>
              </w:rPr>
            </w:pPr>
            <w:r w:rsidRPr="00317ABF">
              <w:rPr>
                <w:b/>
                <w:noProof/>
                <w:sz w:val="22"/>
                <w:szCs w:val="22"/>
              </w:rPr>
              <w:t>Art. 3</w:t>
            </w:r>
            <w:r w:rsidR="00A46D43" w:rsidRPr="00317ABF">
              <w:rPr>
                <w:b/>
                <w:noProof/>
                <w:sz w:val="22"/>
                <w:szCs w:val="22"/>
              </w:rPr>
              <w:t>83</w:t>
            </w:r>
          </w:p>
        </w:tc>
        <w:tc>
          <w:tcPr>
            <w:tcW w:w="6814" w:type="dxa"/>
            <w:gridSpan w:val="2"/>
          </w:tcPr>
          <w:p w14:paraId="14BD181A" w14:textId="77777777" w:rsidR="001B7C9A" w:rsidRPr="00317ABF" w:rsidRDefault="001B7C9A" w:rsidP="001B7C9A">
            <w:pPr>
              <w:pStyle w:val="USTustnpkodeksu"/>
              <w:spacing w:line="240" w:lineRule="auto"/>
              <w:ind w:firstLine="0"/>
              <w:rPr>
                <w:rFonts w:ascii="Times New Roman" w:eastAsia="Times" w:hAnsi="Times New Roman" w:cs="Times New Roman"/>
                <w:bCs w:val="0"/>
                <w:sz w:val="22"/>
                <w:szCs w:val="22"/>
              </w:rPr>
            </w:pPr>
            <w:r w:rsidRPr="00317ABF">
              <w:rPr>
                <w:rStyle w:val="Ppogrubienie"/>
                <w:rFonts w:ascii="Times New Roman" w:hAnsi="Times New Roman"/>
                <w:szCs w:val="24"/>
              </w:rPr>
              <w:t>Art. 383.</w:t>
            </w:r>
            <w:r w:rsidRPr="00317ABF">
              <w:rPr>
                <w:rFonts w:ascii="Times New Roman" w:hAnsi="Times New Roman" w:cs="Times New Roman"/>
                <w:szCs w:val="24"/>
              </w:rPr>
              <w:t> </w:t>
            </w:r>
            <w:r w:rsidRPr="00317ABF">
              <w:rPr>
                <w:rFonts w:ascii="Times New Roman" w:eastAsia="Times" w:hAnsi="Times New Roman" w:cs="Times New Roman"/>
                <w:bCs w:val="0"/>
                <w:sz w:val="22"/>
                <w:szCs w:val="22"/>
              </w:rPr>
              <w:t>Dostawca usług komunikacji elektronicznej oraz podmiot umożliwiający korzystanie z dostępu do publicznej sieci telekomunikacyjnej za pośrednictwem lokalnej sieci radiowej, nie odpowiada za treść komunikatów elektronicznych, jeżeli:</w:t>
            </w:r>
          </w:p>
          <w:p w14:paraId="355264DA" w14:textId="77777777" w:rsidR="001B7C9A" w:rsidRPr="00317ABF" w:rsidRDefault="001B7C9A" w:rsidP="001B7C9A">
            <w:pPr>
              <w:pStyle w:val="USTustnpkodeksu"/>
              <w:spacing w:line="240" w:lineRule="auto"/>
              <w:ind w:firstLine="0"/>
              <w:rPr>
                <w:rFonts w:ascii="Times New Roman" w:eastAsia="Times" w:hAnsi="Times New Roman" w:cs="Times New Roman"/>
                <w:bCs w:val="0"/>
                <w:sz w:val="22"/>
                <w:szCs w:val="22"/>
              </w:rPr>
            </w:pPr>
            <w:r w:rsidRPr="00317ABF">
              <w:rPr>
                <w:rFonts w:ascii="Times New Roman" w:eastAsia="Times" w:hAnsi="Times New Roman" w:cs="Times New Roman"/>
                <w:bCs w:val="0"/>
                <w:sz w:val="22"/>
                <w:szCs w:val="22"/>
              </w:rPr>
              <w:t>1)</w:t>
            </w:r>
            <w:r w:rsidRPr="00317ABF">
              <w:rPr>
                <w:rFonts w:ascii="Times New Roman" w:eastAsia="Times" w:hAnsi="Times New Roman" w:cs="Times New Roman"/>
                <w:bCs w:val="0"/>
                <w:sz w:val="22"/>
                <w:szCs w:val="22"/>
              </w:rPr>
              <w:tab/>
              <w:t>nie jest inicjatorem przekazu tych komunikatów elektronicznych;</w:t>
            </w:r>
          </w:p>
          <w:p w14:paraId="34F3DD02" w14:textId="77777777" w:rsidR="001B7C9A" w:rsidRPr="00317ABF" w:rsidRDefault="001B7C9A" w:rsidP="001B7C9A">
            <w:pPr>
              <w:pStyle w:val="USTustnpkodeksu"/>
              <w:spacing w:line="240" w:lineRule="auto"/>
              <w:ind w:firstLine="0"/>
              <w:rPr>
                <w:rFonts w:ascii="Times New Roman" w:eastAsia="Times" w:hAnsi="Times New Roman" w:cs="Times New Roman"/>
                <w:bCs w:val="0"/>
                <w:sz w:val="22"/>
                <w:szCs w:val="22"/>
              </w:rPr>
            </w:pPr>
            <w:r w:rsidRPr="00317ABF">
              <w:rPr>
                <w:rFonts w:ascii="Times New Roman" w:eastAsia="Times" w:hAnsi="Times New Roman" w:cs="Times New Roman"/>
                <w:bCs w:val="0"/>
                <w:sz w:val="22"/>
                <w:szCs w:val="22"/>
              </w:rPr>
              <w:t>2)</w:t>
            </w:r>
            <w:r w:rsidRPr="00317ABF">
              <w:rPr>
                <w:rFonts w:ascii="Times New Roman" w:eastAsia="Times" w:hAnsi="Times New Roman" w:cs="Times New Roman"/>
                <w:bCs w:val="0"/>
                <w:sz w:val="22"/>
                <w:szCs w:val="22"/>
              </w:rPr>
              <w:tab/>
              <w:t>nie wybiera odbiorcy tych komunikatów elektronicznych lub</w:t>
            </w:r>
          </w:p>
          <w:p w14:paraId="0A725917" w14:textId="77777777" w:rsidR="001B7C9A" w:rsidRPr="00317ABF" w:rsidRDefault="001B7C9A" w:rsidP="001B7C9A">
            <w:pPr>
              <w:pStyle w:val="USTustnpkodeksu"/>
              <w:spacing w:line="240" w:lineRule="auto"/>
              <w:ind w:firstLine="0"/>
              <w:rPr>
                <w:rFonts w:ascii="Times New Roman" w:eastAsia="Times" w:hAnsi="Times New Roman" w:cs="Times New Roman"/>
                <w:bCs w:val="0"/>
                <w:sz w:val="22"/>
                <w:szCs w:val="22"/>
              </w:rPr>
            </w:pPr>
            <w:r w:rsidRPr="00317ABF">
              <w:rPr>
                <w:rFonts w:ascii="Times New Roman" w:eastAsia="Times" w:hAnsi="Times New Roman" w:cs="Times New Roman"/>
                <w:bCs w:val="0"/>
                <w:sz w:val="22"/>
                <w:szCs w:val="22"/>
              </w:rPr>
              <w:t>3)</w:t>
            </w:r>
            <w:r w:rsidRPr="00317ABF">
              <w:rPr>
                <w:rFonts w:ascii="Times New Roman" w:eastAsia="Times" w:hAnsi="Times New Roman" w:cs="Times New Roman"/>
                <w:bCs w:val="0"/>
                <w:sz w:val="22"/>
                <w:szCs w:val="22"/>
              </w:rPr>
              <w:tab/>
              <w:t>nie wybiera oraz nie przekształca treści komunikatów elektronicznych.</w:t>
            </w:r>
          </w:p>
          <w:p w14:paraId="1A612639" w14:textId="3BDC7D3B" w:rsidR="001E1112" w:rsidRPr="00317ABF" w:rsidRDefault="001E1112" w:rsidP="00DB3BEC">
            <w:pPr>
              <w:ind w:left="510" w:hanging="510"/>
              <w:jc w:val="both"/>
              <w:rPr>
                <w:sz w:val="22"/>
                <w:szCs w:val="22"/>
              </w:rPr>
            </w:pPr>
          </w:p>
        </w:tc>
      </w:tr>
      <w:tr w:rsidR="001E1112" w:rsidRPr="00317ABF" w14:paraId="05A0EC24" w14:textId="77777777" w:rsidTr="7753F98D">
        <w:trPr>
          <w:gridAfter w:val="2"/>
          <w:wAfter w:w="175" w:type="dxa"/>
        </w:trPr>
        <w:tc>
          <w:tcPr>
            <w:tcW w:w="704" w:type="dxa"/>
          </w:tcPr>
          <w:p w14:paraId="751B64DD" w14:textId="77777777" w:rsidR="001E1112" w:rsidRPr="00317ABF" w:rsidRDefault="001E1112" w:rsidP="00DB3BEC">
            <w:pPr>
              <w:jc w:val="both"/>
              <w:rPr>
                <w:sz w:val="22"/>
                <w:szCs w:val="22"/>
              </w:rPr>
            </w:pPr>
            <w:r w:rsidRPr="00317ABF">
              <w:rPr>
                <w:sz w:val="22"/>
                <w:szCs w:val="22"/>
              </w:rPr>
              <w:t>Art. 56 ust. 3</w:t>
            </w:r>
          </w:p>
        </w:tc>
        <w:tc>
          <w:tcPr>
            <w:tcW w:w="4308" w:type="dxa"/>
          </w:tcPr>
          <w:p w14:paraId="32708459" w14:textId="77777777" w:rsidR="001E1112" w:rsidRPr="00317ABF" w:rsidRDefault="001E1112" w:rsidP="00DB3BEC">
            <w:pPr>
              <w:spacing w:before="120"/>
              <w:jc w:val="both"/>
              <w:rPr>
                <w:sz w:val="22"/>
                <w:szCs w:val="22"/>
              </w:rPr>
            </w:pPr>
            <w:r w:rsidRPr="00317ABF">
              <w:rPr>
                <w:sz w:val="22"/>
                <w:szCs w:val="22"/>
              </w:rPr>
              <w:t xml:space="preserve">3.   Właściwe organy nie uniemożliwiają podmiotom udostępniającym publiczne sieci łączności elektronicznej lub świadczącym publicznie dostępne usługi łączności elektronicznej zapewniania publicznego dostępu do ich sieci za pośrednictwem RLAN, które mogą znajdować się w lokalu </w:t>
            </w:r>
            <w:r w:rsidRPr="00317ABF">
              <w:rPr>
                <w:sz w:val="22"/>
                <w:szCs w:val="22"/>
              </w:rPr>
              <w:lastRenderedPageBreak/>
              <w:t>użytkownika końcowego, o ile spełnione są warunki ogólnego zezwolenia i uzyskano uprzednią świadomą zgodę użytkownika końcowego.</w:t>
            </w:r>
          </w:p>
        </w:tc>
        <w:tc>
          <w:tcPr>
            <w:tcW w:w="986" w:type="dxa"/>
          </w:tcPr>
          <w:p w14:paraId="17BAC95B" w14:textId="68DD7DD9" w:rsidR="001E1112" w:rsidRPr="00317ABF" w:rsidRDefault="001E1112" w:rsidP="00DB3BEC">
            <w:pPr>
              <w:jc w:val="both"/>
              <w:rPr>
                <w:b/>
                <w:sz w:val="22"/>
                <w:szCs w:val="22"/>
              </w:rPr>
            </w:pPr>
            <w:r w:rsidRPr="00317ABF">
              <w:rPr>
                <w:b/>
                <w:sz w:val="22"/>
                <w:szCs w:val="22"/>
              </w:rPr>
              <w:lastRenderedPageBreak/>
              <w:t>T</w:t>
            </w:r>
          </w:p>
        </w:tc>
        <w:tc>
          <w:tcPr>
            <w:tcW w:w="910" w:type="dxa"/>
          </w:tcPr>
          <w:p w14:paraId="56E1654B" w14:textId="6FCCCC73" w:rsidR="001E1112" w:rsidRPr="00317ABF" w:rsidRDefault="00E314DA" w:rsidP="00DB3BEC">
            <w:pPr>
              <w:pStyle w:val="Tekstpodstawowy"/>
              <w:rPr>
                <w:b/>
                <w:noProof/>
                <w:sz w:val="22"/>
                <w:szCs w:val="22"/>
              </w:rPr>
            </w:pPr>
            <w:r w:rsidRPr="00317ABF">
              <w:rPr>
                <w:b/>
                <w:noProof/>
                <w:sz w:val="22"/>
                <w:szCs w:val="22"/>
              </w:rPr>
              <w:t>Art. 348</w:t>
            </w:r>
            <w:r w:rsidR="001E1112" w:rsidRPr="00317ABF">
              <w:rPr>
                <w:b/>
                <w:noProof/>
                <w:sz w:val="22"/>
                <w:szCs w:val="22"/>
              </w:rPr>
              <w:t xml:space="preserve"> </w:t>
            </w:r>
          </w:p>
        </w:tc>
        <w:tc>
          <w:tcPr>
            <w:tcW w:w="6814" w:type="dxa"/>
            <w:gridSpan w:val="2"/>
          </w:tcPr>
          <w:p w14:paraId="1DB54F8D" w14:textId="5CEF2672" w:rsidR="001B7C9A" w:rsidRPr="00317ABF" w:rsidRDefault="001B7C9A" w:rsidP="001B7C9A">
            <w:pPr>
              <w:pStyle w:val="ARTartustawynprozporzdzenia"/>
              <w:spacing w:line="240" w:lineRule="auto"/>
              <w:ind w:firstLine="0"/>
              <w:rPr>
                <w:rFonts w:ascii="Times New Roman" w:hAnsi="Times New Roman" w:cs="Times New Roman"/>
                <w:szCs w:val="24"/>
              </w:rPr>
            </w:pPr>
            <w:r w:rsidRPr="00317ABF">
              <w:rPr>
                <w:rStyle w:val="Ppogrubienie"/>
                <w:rFonts w:ascii="Times New Roman" w:hAnsi="Times New Roman"/>
                <w:szCs w:val="24"/>
              </w:rPr>
              <w:t>Art. 34</w:t>
            </w:r>
            <w:r w:rsidR="00E314DA" w:rsidRPr="00317ABF">
              <w:rPr>
                <w:rStyle w:val="Ppogrubienie"/>
                <w:rFonts w:ascii="Times New Roman" w:hAnsi="Times New Roman"/>
                <w:szCs w:val="24"/>
              </w:rPr>
              <w:t>8</w:t>
            </w:r>
            <w:r w:rsidRPr="00317ABF">
              <w:rPr>
                <w:rStyle w:val="Ppogrubienie"/>
                <w:rFonts w:ascii="Times New Roman" w:hAnsi="Times New Roman"/>
                <w:szCs w:val="24"/>
              </w:rPr>
              <w:t>.</w:t>
            </w:r>
            <w:r w:rsidRPr="00317ABF">
              <w:rPr>
                <w:rFonts w:ascii="Times New Roman" w:hAnsi="Times New Roman" w:cs="Times New Roman"/>
                <w:szCs w:val="24"/>
              </w:rPr>
              <w:t xml:space="preserve"> </w:t>
            </w:r>
            <w:r w:rsidRPr="00317ABF">
              <w:rPr>
                <w:rFonts w:ascii="Times New Roman" w:eastAsia="Times" w:hAnsi="Times New Roman" w:cs="Times New Roman"/>
                <w:sz w:val="22"/>
                <w:szCs w:val="22"/>
              </w:rPr>
              <w:t>Dostęp do publicznej sieci telekomunikacyjnej za pośrednictwem lokalnej sieci radiowej może być świadczony przez dostawcę usługi dostępu do internetu przy użyciu urządzeń zlokalizowanych u użytkownika końcowego, w szczególności: w jego miejscu zamieszkania, siedzibie lub miejscu wykonywania działalności, jedynie za jego uprzednią zgodą.</w:t>
            </w:r>
          </w:p>
          <w:p w14:paraId="1F020168" w14:textId="56DAA9EA" w:rsidR="001E1112" w:rsidRPr="00317ABF" w:rsidRDefault="001E1112" w:rsidP="00DB3BEC">
            <w:pPr>
              <w:jc w:val="both"/>
              <w:rPr>
                <w:sz w:val="22"/>
                <w:szCs w:val="22"/>
              </w:rPr>
            </w:pPr>
          </w:p>
        </w:tc>
      </w:tr>
      <w:tr w:rsidR="001E1112" w:rsidRPr="00317ABF" w14:paraId="433366E5" w14:textId="77777777" w:rsidTr="7753F98D">
        <w:trPr>
          <w:gridAfter w:val="2"/>
          <w:wAfter w:w="175" w:type="dxa"/>
        </w:trPr>
        <w:tc>
          <w:tcPr>
            <w:tcW w:w="704" w:type="dxa"/>
          </w:tcPr>
          <w:p w14:paraId="3FD769FA" w14:textId="77777777" w:rsidR="001E1112" w:rsidRPr="00317ABF" w:rsidRDefault="001E1112" w:rsidP="00DB3BEC">
            <w:pPr>
              <w:jc w:val="both"/>
              <w:rPr>
                <w:sz w:val="22"/>
                <w:szCs w:val="22"/>
              </w:rPr>
            </w:pPr>
            <w:r w:rsidRPr="00317ABF">
              <w:rPr>
                <w:sz w:val="22"/>
                <w:szCs w:val="22"/>
              </w:rPr>
              <w:lastRenderedPageBreak/>
              <w:t>Art. 56 ust. 4</w:t>
            </w:r>
          </w:p>
        </w:tc>
        <w:tc>
          <w:tcPr>
            <w:tcW w:w="4308" w:type="dxa"/>
          </w:tcPr>
          <w:p w14:paraId="1B625FF4" w14:textId="77777777" w:rsidR="001E1112" w:rsidRPr="00317ABF" w:rsidRDefault="001E1112" w:rsidP="00DB3BEC">
            <w:pPr>
              <w:spacing w:before="120"/>
              <w:jc w:val="both"/>
              <w:rPr>
                <w:sz w:val="22"/>
                <w:szCs w:val="22"/>
              </w:rPr>
            </w:pPr>
            <w:r w:rsidRPr="00317ABF">
              <w:rPr>
                <w:sz w:val="22"/>
                <w:szCs w:val="22"/>
              </w:rPr>
              <w:t>4.   Zgodnie w szczególności z art. 3 ust. 1 rozporządzenia (UE) 2015/2120 właściwe organy zapewniają, aby podmioty udostępniające publiczne sieci łączności elektronicznej lub świadczące publicznie dostępne usługi łączności elektronicznej nie ograniczały jednostronnie ani nie uniemożliwiały użytkownikom końcowym:</w:t>
            </w:r>
          </w:p>
          <w:tbl>
            <w:tblPr>
              <w:tblW w:w="5000" w:type="pct"/>
              <w:tblCellSpacing w:w="0" w:type="dxa"/>
              <w:tblLayout w:type="fixed"/>
              <w:tblCellMar>
                <w:left w:w="0" w:type="dxa"/>
                <w:right w:w="0" w:type="dxa"/>
              </w:tblCellMar>
              <w:tblLook w:val="04A0" w:firstRow="1" w:lastRow="0" w:firstColumn="1" w:lastColumn="0" w:noHBand="0" w:noVBand="1"/>
            </w:tblPr>
            <w:tblGrid>
              <w:gridCol w:w="20"/>
              <w:gridCol w:w="4148"/>
            </w:tblGrid>
            <w:tr w:rsidR="001E1112" w:rsidRPr="00317ABF" w14:paraId="5C31C36A" w14:textId="77777777" w:rsidTr="001D28BB">
              <w:trPr>
                <w:tblCellSpacing w:w="0" w:type="dxa"/>
              </w:trPr>
              <w:tc>
                <w:tcPr>
                  <w:tcW w:w="7" w:type="dxa"/>
                  <w:hideMark/>
                </w:tcPr>
                <w:p w14:paraId="184ADAF2" w14:textId="77777777" w:rsidR="001E1112" w:rsidRPr="00317ABF" w:rsidRDefault="001E1112" w:rsidP="00EE0AC3">
                  <w:pPr>
                    <w:framePr w:hSpace="141" w:wrap="around" w:vAnchor="text" w:hAnchor="text" w:xAlign="right" w:y="1"/>
                    <w:spacing w:before="120"/>
                    <w:suppressOverlap/>
                    <w:jc w:val="both"/>
                    <w:rPr>
                      <w:sz w:val="22"/>
                      <w:szCs w:val="22"/>
                    </w:rPr>
                  </w:pPr>
                </w:p>
              </w:tc>
              <w:tc>
                <w:tcPr>
                  <w:tcW w:w="9065" w:type="dxa"/>
                  <w:hideMark/>
                </w:tcPr>
                <w:p w14:paraId="46B766C4" w14:textId="77777777" w:rsidR="001E1112" w:rsidRPr="00317ABF" w:rsidRDefault="001E1112" w:rsidP="00EE0AC3">
                  <w:pPr>
                    <w:framePr w:hSpace="141" w:wrap="around" w:vAnchor="text" w:hAnchor="text" w:xAlign="right" w:y="1"/>
                    <w:numPr>
                      <w:ilvl w:val="0"/>
                      <w:numId w:val="47"/>
                    </w:numPr>
                    <w:spacing w:before="120"/>
                    <w:suppressOverlap/>
                    <w:jc w:val="both"/>
                    <w:rPr>
                      <w:sz w:val="22"/>
                      <w:szCs w:val="22"/>
                    </w:rPr>
                  </w:pPr>
                  <w:r w:rsidRPr="00317ABF">
                    <w:rPr>
                      <w:sz w:val="22"/>
                      <w:szCs w:val="22"/>
                    </w:rPr>
                    <w:t>dostępu do wybranych przez siebie RLAN udostępnianych przez osoby trzecie; lub</w:t>
                  </w:r>
                </w:p>
              </w:tc>
            </w:tr>
          </w:tbl>
          <w:p w14:paraId="6E736EAA" w14:textId="77777777" w:rsidR="001E1112" w:rsidRPr="00317ABF" w:rsidRDefault="001E1112" w:rsidP="00DB3BEC">
            <w:pPr>
              <w:jc w:val="both"/>
              <w:rPr>
                <w:vanish/>
                <w:sz w:val="22"/>
                <w:szCs w:val="22"/>
              </w:rPr>
            </w:pPr>
          </w:p>
          <w:tbl>
            <w:tblPr>
              <w:tblW w:w="5000" w:type="pct"/>
              <w:tblCellSpacing w:w="0" w:type="dxa"/>
              <w:tblLayout w:type="fixed"/>
              <w:tblCellMar>
                <w:left w:w="0" w:type="dxa"/>
                <w:right w:w="0" w:type="dxa"/>
              </w:tblCellMar>
              <w:tblLook w:val="04A0" w:firstRow="1" w:lastRow="0" w:firstColumn="1" w:lastColumn="0" w:noHBand="0" w:noVBand="1"/>
            </w:tblPr>
            <w:tblGrid>
              <w:gridCol w:w="20"/>
              <w:gridCol w:w="4148"/>
            </w:tblGrid>
            <w:tr w:rsidR="001E1112" w:rsidRPr="00317ABF" w14:paraId="62BC64BD" w14:textId="77777777" w:rsidTr="001D28BB">
              <w:trPr>
                <w:tblCellSpacing w:w="0" w:type="dxa"/>
              </w:trPr>
              <w:tc>
                <w:tcPr>
                  <w:tcW w:w="6" w:type="dxa"/>
                  <w:hideMark/>
                </w:tcPr>
                <w:p w14:paraId="6EC93268" w14:textId="77777777" w:rsidR="001E1112" w:rsidRPr="00317ABF" w:rsidRDefault="001E1112" w:rsidP="00EE0AC3">
                  <w:pPr>
                    <w:framePr w:hSpace="141" w:wrap="around" w:vAnchor="text" w:hAnchor="text" w:xAlign="right" w:y="1"/>
                    <w:spacing w:before="120"/>
                    <w:suppressOverlap/>
                    <w:jc w:val="both"/>
                    <w:rPr>
                      <w:sz w:val="22"/>
                      <w:szCs w:val="22"/>
                    </w:rPr>
                  </w:pPr>
                </w:p>
              </w:tc>
              <w:tc>
                <w:tcPr>
                  <w:tcW w:w="9066" w:type="dxa"/>
                  <w:hideMark/>
                </w:tcPr>
                <w:p w14:paraId="00A1EEB2" w14:textId="77777777" w:rsidR="001E1112" w:rsidRPr="00317ABF" w:rsidRDefault="001E1112" w:rsidP="00EE0AC3">
                  <w:pPr>
                    <w:framePr w:hSpace="141" w:wrap="around" w:vAnchor="text" w:hAnchor="text" w:xAlign="right" w:y="1"/>
                    <w:numPr>
                      <w:ilvl w:val="0"/>
                      <w:numId w:val="47"/>
                    </w:numPr>
                    <w:spacing w:before="120"/>
                    <w:suppressOverlap/>
                    <w:jc w:val="both"/>
                    <w:rPr>
                      <w:sz w:val="22"/>
                      <w:szCs w:val="22"/>
                    </w:rPr>
                  </w:pPr>
                  <w:r w:rsidRPr="00317ABF">
                    <w:rPr>
                      <w:sz w:val="22"/>
                      <w:szCs w:val="22"/>
                    </w:rPr>
                    <w:t>zezwalania – na zasadzie wzajemności lub w bardziej powszechny sposób – innym użytkownikom końcowym na dostęp do sieci takich podmiotów poprzez RLAN, w tym w ramach inicjatyw osób trzecich, które grupują i udostępniają publicznie RLAN różnych użytkowników końcowych.</w:t>
                  </w:r>
                </w:p>
              </w:tc>
            </w:tr>
          </w:tbl>
          <w:p w14:paraId="6617436B" w14:textId="77777777" w:rsidR="001E1112" w:rsidRPr="00317ABF" w:rsidRDefault="001E1112" w:rsidP="00DB3BEC">
            <w:pPr>
              <w:spacing w:before="120"/>
              <w:jc w:val="both"/>
              <w:rPr>
                <w:sz w:val="22"/>
                <w:szCs w:val="22"/>
              </w:rPr>
            </w:pPr>
          </w:p>
        </w:tc>
        <w:tc>
          <w:tcPr>
            <w:tcW w:w="986" w:type="dxa"/>
          </w:tcPr>
          <w:p w14:paraId="370C0FEE" w14:textId="5C9D723A" w:rsidR="001E1112" w:rsidRPr="00317ABF" w:rsidRDefault="001E1112" w:rsidP="00DB3BEC">
            <w:pPr>
              <w:jc w:val="both"/>
              <w:rPr>
                <w:b/>
                <w:sz w:val="22"/>
                <w:szCs w:val="22"/>
              </w:rPr>
            </w:pPr>
            <w:r w:rsidRPr="00317ABF">
              <w:rPr>
                <w:b/>
                <w:sz w:val="22"/>
                <w:szCs w:val="22"/>
              </w:rPr>
              <w:t>T</w:t>
            </w:r>
          </w:p>
        </w:tc>
        <w:tc>
          <w:tcPr>
            <w:tcW w:w="910" w:type="dxa"/>
          </w:tcPr>
          <w:p w14:paraId="3D7C5F32" w14:textId="248F4607" w:rsidR="001E1112" w:rsidRPr="00317ABF" w:rsidRDefault="00E314DA" w:rsidP="00DB3BEC">
            <w:pPr>
              <w:pStyle w:val="Tekstpodstawowy"/>
              <w:rPr>
                <w:b/>
                <w:noProof/>
                <w:sz w:val="22"/>
                <w:szCs w:val="22"/>
              </w:rPr>
            </w:pPr>
            <w:r w:rsidRPr="00317ABF">
              <w:rPr>
                <w:b/>
                <w:noProof/>
                <w:sz w:val="22"/>
                <w:szCs w:val="22"/>
              </w:rPr>
              <w:t>Art. 349</w:t>
            </w:r>
            <w:r w:rsidR="001E1112" w:rsidRPr="00317ABF">
              <w:rPr>
                <w:b/>
                <w:noProof/>
                <w:sz w:val="22"/>
                <w:szCs w:val="22"/>
              </w:rPr>
              <w:t xml:space="preserve"> pkt 2</w:t>
            </w:r>
          </w:p>
        </w:tc>
        <w:tc>
          <w:tcPr>
            <w:tcW w:w="6814" w:type="dxa"/>
            <w:gridSpan w:val="2"/>
          </w:tcPr>
          <w:p w14:paraId="36CDBCB9" w14:textId="4B683414" w:rsidR="001E1112" w:rsidRPr="00317ABF" w:rsidRDefault="00E314DA" w:rsidP="00DB3BEC">
            <w:pPr>
              <w:jc w:val="both"/>
              <w:rPr>
                <w:rFonts w:eastAsia="Times"/>
                <w:sz w:val="22"/>
                <w:szCs w:val="22"/>
              </w:rPr>
            </w:pPr>
            <w:r w:rsidRPr="00317ABF">
              <w:rPr>
                <w:rFonts w:eastAsia="Times"/>
                <w:b/>
                <w:sz w:val="22"/>
                <w:szCs w:val="22"/>
              </w:rPr>
              <w:t>Art. 349</w:t>
            </w:r>
            <w:r w:rsidR="001E1112" w:rsidRPr="00317ABF">
              <w:rPr>
                <w:rFonts w:eastAsia="Times"/>
                <w:b/>
                <w:sz w:val="22"/>
                <w:szCs w:val="22"/>
              </w:rPr>
              <w:t>.</w:t>
            </w:r>
            <w:r w:rsidR="001E1112" w:rsidRPr="00317ABF">
              <w:rPr>
                <w:rFonts w:eastAsia="Times"/>
                <w:sz w:val="22"/>
                <w:szCs w:val="22"/>
              </w:rPr>
              <w:t xml:space="preserve"> Przedsiębiorca telekomunikacyjny nie może ograniczać ani uniemożliwiać: </w:t>
            </w:r>
          </w:p>
          <w:p w14:paraId="0DCDD502" w14:textId="77777777" w:rsidR="001E1112" w:rsidRPr="00317ABF" w:rsidRDefault="001E1112" w:rsidP="00DB3BEC">
            <w:pPr>
              <w:jc w:val="both"/>
              <w:rPr>
                <w:rFonts w:eastAsia="Times"/>
                <w:sz w:val="22"/>
                <w:szCs w:val="22"/>
              </w:rPr>
            </w:pPr>
            <w:r w:rsidRPr="00317ABF">
              <w:rPr>
                <w:rFonts w:eastAsia="Times"/>
                <w:sz w:val="22"/>
                <w:szCs w:val="22"/>
              </w:rPr>
              <w:t>2) udostępnienia lokalnej sieci radiowej na potrzeby korzystania z dostępu do sieci telekomunikacyjnej na rzecz użytkowników końcowych</w:t>
            </w:r>
          </w:p>
          <w:p w14:paraId="53D8FA90" w14:textId="77777777" w:rsidR="001E1112" w:rsidRPr="00317ABF" w:rsidRDefault="001E1112" w:rsidP="00DB3BEC">
            <w:pPr>
              <w:pStyle w:val="Tekstpodstawowy"/>
              <w:rPr>
                <w:sz w:val="22"/>
                <w:szCs w:val="22"/>
              </w:rPr>
            </w:pPr>
          </w:p>
        </w:tc>
      </w:tr>
      <w:tr w:rsidR="001E1112" w:rsidRPr="00317ABF" w14:paraId="6A4093C2" w14:textId="77777777" w:rsidTr="7753F98D">
        <w:trPr>
          <w:gridAfter w:val="2"/>
          <w:wAfter w:w="175" w:type="dxa"/>
        </w:trPr>
        <w:tc>
          <w:tcPr>
            <w:tcW w:w="704" w:type="dxa"/>
          </w:tcPr>
          <w:p w14:paraId="4B89E36D" w14:textId="77777777" w:rsidR="001E1112" w:rsidRPr="00317ABF" w:rsidRDefault="001E1112" w:rsidP="00DB3BEC">
            <w:pPr>
              <w:jc w:val="both"/>
              <w:rPr>
                <w:sz w:val="22"/>
                <w:szCs w:val="22"/>
              </w:rPr>
            </w:pPr>
            <w:r w:rsidRPr="00317ABF">
              <w:rPr>
                <w:sz w:val="22"/>
                <w:szCs w:val="22"/>
              </w:rPr>
              <w:t>Art. 56 ust. 5</w:t>
            </w:r>
          </w:p>
        </w:tc>
        <w:tc>
          <w:tcPr>
            <w:tcW w:w="4308" w:type="dxa"/>
          </w:tcPr>
          <w:p w14:paraId="1D582EA0" w14:textId="77777777" w:rsidR="001E1112" w:rsidRPr="00317ABF" w:rsidRDefault="001E1112" w:rsidP="00DB3BEC">
            <w:pPr>
              <w:spacing w:before="120"/>
              <w:jc w:val="both"/>
              <w:rPr>
                <w:sz w:val="22"/>
                <w:szCs w:val="22"/>
              </w:rPr>
            </w:pPr>
            <w:r w:rsidRPr="00317ABF">
              <w:rPr>
                <w:sz w:val="22"/>
                <w:szCs w:val="22"/>
              </w:rPr>
              <w:t>5.   Właściwe organy nie ograniczają ani nie uniemożliwiają użytkownikom końcowym zezwalania – na zasadzie wzajemności lub w inny sposób – innym użytkownikom końcowym na dostęp do ich RLAN, w tym w ramach inicjatyw osób trzecich, które grupują i udostępniają publicznie RLAN różnych użytkowników końcowych.</w:t>
            </w:r>
          </w:p>
        </w:tc>
        <w:tc>
          <w:tcPr>
            <w:tcW w:w="986" w:type="dxa"/>
          </w:tcPr>
          <w:p w14:paraId="3E6E8B54" w14:textId="7EEA9882" w:rsidR="001E1112" w:rsidRPr="00317ABF" w:rsidRDefault="001E1112" w:rsidP="00DB3BEC">
            <w:pPr>
              <w:jc w:val="both"/>
              <w:rPr>
                <w:b/>
                <w:sz w:val="22"/>
                <w:szCs w:val="22"/>
              </w:rPr>
            </w:pPr>
            <w:r w:rsidRPr="00317ABF">
              <w:rPr>
                <w:b/>
                <w:sz w:val="22"/>
                <w:szCs w:val="22"/>
              </w:rPr>
              <w:t>T</w:t>
            </w:r>
          </w:p>
        </w:tc>
        <w:tc>
          <w:tcPr>
            <w:tcW w:w="910" w:type="dxa"/>
          </w:tcPr>
          <w:p w14:paraId="4D248994" w14:textId="06CFF4E8" w:rsidR="001E1112" w:rsidRPr="00317ABF" w:rsidRDefault="001E1112" w:rsidP="00DB3BEC">
            <w:pPr>
              <w:pStyle w:val="Tekstpodstawowy"/>
              <w:rPr>
                <w:b/>
                <w:noProof/>
                <w:sz w:val="22"/>
                <w:szCs w:val="22"/>
              </w:rPr>
            </w:pPr>
            <w:r w:rsidRPr="00317ABF">
              <w:rPr>
                <w:b/>
                <w:noProof/>
                <w:sz w:val="22"/>
                <w:szCs w:val="22"/>
              </w:rPr>
              <w:t xml:space="preserve">Art. </w:t>
            </w:r>
            <w:r w:rsidR="001B5E4A" w:rsidRPr="00317ABF">
              <w:rPr>
                <w:b/>
                <w:noProof/>
                <w:sz w:val="22"/>
                <w:szCs w:val="22"/>
              </w:rPr>
              <w:t>349</w:t>
            </w:r>
            <w:r w:rsidRPr="00317ABF">
              <w:rPr>
                <w:b/>
                <w:noProof/>
                <w:sz w:val="22"/>
                <w:szCs w:val="22"/>
              </w:rPr>
              <w:t xml:space="preserve"> pkt 1</w:t>
            </w:r>
          </w:p>
        </w:tc>
        <w:tc>
          <w:tcPr>
            <w:tcW w:w="6814" w:type="dxa"/>
            <w:gridSpan w:val="2"/>
          </w:tcPr>
          <w:p w14:paraId="2909BFA0" w14:textId="77777777" w:rsidR="001B5E4A" w:rsidRPr="00317ABF" w:rsidRDefault="001B5E4A" w:rsidP="001B5E4A">
            <w:pPr>
              <w:jc w:val="both"/>
              <w:rPr>
                <w:rFonts w:eastAsia="Times"/>
                <w:sz w:val="22"/>
                <w:szCs w:val="22"/>
              </w:rPr>
            </w:pPr>
            <w:r w:rsidRPr="00317ABF">
              <w:rPr>
                <w:rFonts w:eastAsia="Times"/>
                <w:b/>
                <w:sz w:val="22"/>
                <w:szCs w:val="22"/>
              </w:rPr>
              <w:t>Art. 349</w:t>
            </w:r>
            <w:r w:rsidRPr="00317ABF">
              <w:rPr>
                <w:rFonts w:eastAsia="Times"/>
                <w:sz w:val="22"/>
                <w:szCs w:val="22"/>
              </w:rPr>
              <w:t>. Przedsiębiorca telekomunikacyjny nie może ograniczać ani uniemożliwiać:</w:t>
            </w:r>
          </w:p>
          <w:p w14:paraId="7609384F" w14:textId="77777777" w:rsidR="001B5E4A" w:rsidRPr="00317ABF" w:rsidRDefault="001E1112" w:rsidP="001B5E4A">
            <w:pPr>
              <w:jc w:val="both"/>
              <w:rPr>
                <w:rFonts w:eastAsia="Times"/>
                <w:sz w:val="22"/>
                <w:szCs w:val="22"/>
              </w:rPr>
            </w:pPr>
            <w:r w:rsidRPr="00317ABF">
              <w:rPr>
                <w:rFonts w:eastAsia="Times"/>
                <w:sz w:val="22"/>
                <w:szCs w:val="22"/>
              </w:rPr>
              <w:t>1)</w:t>
            </w:r>
            <w:r w:rsidR="001B5E4A" w:rsidRPr="00317ABF">
              <w:rPr>
                <w:rFonts w:eastAsia="Times"/>
                <w:sz w:val="22"/>
                <w:szCs w:val="22"/>
              </w:rPr>
              <w:tab/>
            </w:r>
            <w:r w:rsidRPr="00317ABF">
              <w:rPr>
                <w:rFonts w:eastAsia="Times"/>
                <w:sz w:val="22"/>
                <w:szCs w:val="22"/>
              </w:rPr>
              <w:t>korzystania z dostępu do publicznej sieci telekomunikacyjnej za pośrednictwem lokalnej sieci radiowej wybranej przez użytkownika końcowego, w przypadku gdy lokalna sieć radiowa została udostępniona,</w:t>
            </w:r>
          </w:p>
          <w:p w14:paraId="30C9EE6B" w14:textId="2CA6B3FE" w:rsidR="001E1112" w:rsidRPr="00317ABF" w:rsidRDefault="001E1112" w:rsidP="00DB3BEC">
            <w:pPr>
              <w:jc w:val="both"/>
              <w:rPr>
                <w:rFonts w:eastAsia="Times"/>
                <w:sz w:val="22"/>
                <w:szCs w:val="22"/>
              </w:rPr>
            </w:pPr>
          </w:p>
        </w:tc>
      </w:tr>
      <w:tr w:rsidR="001E1112" w:rsidRPr="00317ABF" w14:paraId="44535A50" w14:textId="77777777" w:rsidTr="7753F98D">
        <w:trPr>
          <w:gridAfter w:val="2"/>
          <w:wAfter w:w="175" w:type="dxa"/>
        </w:trPr>
        <w:tc>
          <w:tcPr>
            <w:tcW w:w="704" w:type="dxa"/>
          </w:tcPr>
          <w:p w14:paraId="3A2326F1" w14:textId="77777777" w:rsidR="001E1112" w:rsidRPr="00317ABF" w:rsidRDefault="001E1112" w:rsidP="00DB3BEC">
            <w:pPr>
              <w:jc w:val="both"/>
              <w:rPr>
                <w:sz w:val="22"/>
                <w:szCs w:val="22"/>
              </w:rPr>
            </w:pPr>
            <w:r w:rsidRPr="00317ABF">
              <w:rPr>
                <w:sz w:val="22"/>
                <w:szCs w:val="22"/>
              </w:rPr>
              <w:t>Art. 56 ust. 6</w:t>
            </w:r>
          </w:p>
        </w:tc>
        <w:tc>
          <w:tcPr>
            <w:tcW w:w="4308" w:type="dxa"/>
          </w:tcPr>
          <w:p w14:paraId="4A7DD861" w14:textId="77777777" w:rsidR="001E1112" w:rsidRPr="00317ABF" w:rsidRDefault="001E1112" w:rsidP="00DB3BEC">
            <w:pPr>
              <w:spacing w:before="120"/>
              <w:jc w:val="both"/>
              <w:rPr>
                <w:sz w:val="22"/>
                <w:szCs w:val="22"/>
              </w:rPr>
            </w:pPr>
            <w:r w:rsidRPr="00317ABF">
              <w:rPr>
                <w:sz w:val="22"/>
                <w:szCs w:val="22"/>
              </w:rPr>
              <w:t>6.   Właściwe organy nie ograniczają z nieuzasadnionych powodów możliwości zapewniania publicznego dostępu do RLAN:</w:t>
            </w:r>
          </w:p>
          <w:tbl>
            <w:tblPr>
              <w:tblW w:w="5000" w:type="pct"/>
              <w:tblCellSpacing w:w="0" w:type="dxa"/>
              <w:tblLayout w:type="fixed"/>
              <w:tblCellMar>
                <w:left w:w="0" w:type="dxa"/>
                <w:right w:w="0" w:type="dxa"/>
              </w:tblCellMar>
              <w:tblLook w:val="04A0" w:firstRow="1" w:lastRow="0" w:firstColumn="1" w:lastColumn="0" w:noHBand="0" w:noVBand="1"/>
            </w:tblPr>
            <w:tblGrid>
              <w:gridCol w:w="20"/>
              <w:gridCol w:w="4148"/>
            </w:tblGrid>
            <w:tr w:rsidR="001E1112" w:rsidRPr="00317ABF" w14:paraId="7718614B" w14:textId="77777777" w:rsidTr="001D28BB">
              <w:trPr>
                <w:tblCellSpacing w:w="0" w:type="dxa"/>
              </w:trPr>
              <w:tc>
                <w:tcPr>
                  <w:tcW w:w="6" w:type="dxa"/>
                  <w:hideMark/>
                </w:tcPr>
                <w:p w14:paraId="493CC4DC" w14:textId="77777777" w:rsidR="001E1112" w:rsidRPr="00317ABF" w:rsidRDefault="001E1112" w:rsidP="00EE0AC3">
                  <w:pPr>
                    <w:framePr w:hSpace="141" w:wrap="around" w:vAnchor="text" w:hAnchor="text" w:xAlign="right" w:y="1"/>
                    <w:spacing w:before="120"/>
                    <w:suppressOverlap/>
                    <w:jc w:val="both"/>
                    <w:rPr>
                      <w:sz w:val="22"/>
                      <w:szCs w:val="22"/>
                    </w:rPr>
                  </w:pPr>
                </w:p>
              </w:tc>
              <w:tc>
                <w:tcPr>
                  <w:tcW w:w="9066" w:type="dxa"/>
                  <w:hideMark/>
                </w:tcPr>
                <w:p w14:paraId="456084B4" w14:textId="77777777" w:rsidR="001E1112" w:rsidRPr="00317ABF" w:rsidRDefault="001E1112" w:rsidP="00EE0AC3">
                  <w:pPr>
                    <w:framePr w:hSpace="141" w:wrap="around" w:vAnchor="text" w:hAnchor="text" w:xAlign="right" w:y="1"/>
                    <w:numPr>
                      <w:ilvl w:val="0"/>
                      <w:numId w:val="48"/>
                    </w:numPr>
                    <w:spacing w:before="120"/>
                    <w:suppressOverlap/>
                    <w:jc w:val="both"/>
                    <w:rPr>
                      <w:sz w:val="22"/>
                      <w:szCs w:val="22"/>
                    </w:rPr>
                  </w:pPr>
                  <w:r w:rsidRPr="00317ABF">
                    <w:rPr>
                      <w:sz w:val="22"/>
                      <w:szCs w:val="22"/>
                    </w:rPr>
                    <w:t>organom sektora publicznego lub w przestrzeniach publicznych w pobliżu lokali zajmowanych przez te organy sektora publicznego, gdy takie zapewnianie dostępu ma charakter dodatkowy w stosunku do usług publicznych świadczonych w tym lokalu;</w:t>
                  </w:r>
                </w:p>
              </w:tc>
            </w:tr>
          </w:tbl>
          <w:p w14:paraId="7FCE7B08" w14:textId="77777777" w:rsidR="001E1112" w:rsidRPr="00317ABF" w:rsidRDefault="001E1112" w:rsidP="00DB3BEC">
            <w:pPr>
              <w:jc w:val="both"/>
              <w:rPr>
                <w:vanish/>
                <w:sz w:val="22"/>
                <w:szCs w:val="22"/>
              </w:rPr>
            </w:pPr>
          </w:p>
          <w:tbl>
            <w:tblPr>
              <w:tblW w:w="5000" w:type="pct"/>
              <w:tblCellSpacing w:w="0" w:type="dxa"/>
              <w:tblLayout w:type="fixed"/>
              <w:tblCellMar>
                <w:left w:w="0" w:type="dxa"/>
                <w:right w:w="0" w:type="dxa"/>
              </w:tblCellMar>
              <w:tblLook w:val="04A0" w:firstRow="1" w:lastRow="0" w:firstColumn="1" w:lastColumn="0" w:noHBand="0" w:noVBand="1"/>
            </w:tblPr>
            <w:tblGrid>
              <w:gridCol w:w="20"/>
              <w:gridCol w:w="4148"/>
            </w:tblGrid>
            <w:tr w:rsidR="001E1112" w:rsidRPr="00317ABF" w14:paraId="70B6601D" w14:textId="77777777" w:rsidTr="001D28BB">
              <w:trPr>
                <w:tblCellSpacing w:w="0" w:type="dxa"/>
              </w:trPr>
              <w:tc>
                <w:tcPr>
                  <w:tcW w:w="6" w:type="dxa"/>
                  <w:hideMark/>
                </w:tcPr>
                <w:p w14:paraId="3F1571C5" w14:textId="77777777" w:rsidR="001E1112" w:rsidRPr="00317ABF" w:rsidRDefault="001E1112" w:rsidP="00EE0AC3">
                  <w:pPr>
                    <w:framePr w:hSpace="141" w:wrap="around" w:vAnchor="text" w:hAnchor="text" w:xAlign="right" w:y="1"/>
                    <w:spacing w:before="120"/>
                    <w:suppressOverlap/>
                    <w:jc w:val="both"/>
                    <w:rPr>
                      <w:sz w:val="22"/>
                      <w:szCs w:val="22"/>
                    </w:rPr>
                  </w:pPr>
                </w:p>
              </w:tc>
              <w:tc>
                <w:tcPr>
                  <w:tcW w:w="9066" w:type="dxa"/>
                  <w:hideMark/>
                </w:tcPr>
                <w:p w14:paraId="498337C5" w14:textId="77777777" w:rsidR="001E1112" w:rsidRPr="00317ABF" w:rsidRDefault="001E1112" w:rsidP="00EE0AC3">
                  <w:pPr>
                    <w:framePr w:hSpace="141" w:wrap="around" w:vAnchor="text" w:hAnchor="text" w:xAlign="right" w:y="1"/>
                    <w:numPr>
                      <w:ilvl w:val="0"/>
                      <w:numId w:val="48"/>
                    </w:numPr>
                    <w:spacing w:before="120"/>
                    <w:suppressOverlap/>
                    <w:jc w:val="both"/>
                    <w:rPr>
                      <w:sz w:val="22"/>
                      <w:szCs w:val="22"/>
                    </w:rPr>
                  </w:pPr>
                  <w:r w:rsidRPr="00317ABF">
                    <w:rPr>
                      <w:sz w:val="22"/>
                      <w:szCs w:val="22"/>
                    </w:rPr>
                    <w:t>inicjatywom organizacji pozarządowych lub organów sektora publicznego mającym na celu grupowanie i udostępnienie – na zasadzie wzajemności lub w bardziej powszechny sposób – RLAN różnych użytkowników końcowych, w tym, w stosownych przypadkach, RLAN, do których dostęp publiczny zapewnia się zgodnie z lit. a).</w:t>
                  </w:r>
                </w:p>
              </w:tc>
            </w:tr>
          </w:tbl>
          <w:p w14:paraId="1C4FFBFA" w14:textId="77777777" w:rsidR="001E1112" w:rsidRPr="00317ABF" w:rsidRDefault="001E1112" w:rsidP="00DB3BEC">
            <w:pPr>
              <w:spacing w:before="120"/>
              <w:jc w:val="both"/>
              <w:rPr>
                <w:sz w:val="22"/>
                <w:szCs w:val="22"/>
              </w:rPr>
            </w:pPr>
          </w:p>
        </w:tc>
        <w:tc>
          <w:tcPr>
            <w:tcW w:w="986" w:type="dxa"/>
          </w:tcPr>
          <w:p w14:paraId="4EA3DAC4" w14:textId="637CFDD6" w:rsidR="001E1112" w:rsidRPr="00317ABF" w:rsidRDefault="001E1112" w:rsidP="00DB3BEC">
            <w:pPr>
              <w:jc w:val="both"/>
              <w:rPr>
                <w:b/>
                <w:sz w:val="22"/>
                <w:szCs w:val="22"/>
              </w:rPr>
            </w:pPr>
            <w:r w:rsidRPr="00317ABF">
              <w:rPr>
                <w:b/>
                <w:sz w:val="22"/>
                <w:szCs w:val="22"/>
              </w:rPr>
              <w:lastRenderedPageBreak/>
              <w:t>N</w:t>
            </w:r>
          </w:p>
        </w:tc>
        <w:tc>
          <w:tcPr>
            <w:tcW w:w="910" w:type="dxa"/>
          </w:tcPr>
          <w:p w14:paraId="6384CA15" w14:textId="77777777" w:rsidR="001E1112" w:rsidRPr="00317ABF" w:rsidRDefault="001E1112" w:rsidP="00DB3BEC">
            <w:pPr>
              <w:pStyle w:val="Tekstpodstawowy"/>
              <w:rPr>
                <w:b/>
                <w:noProof/>
                <w:sz w:val="22"/>
                <w:szCs w:val="22"/>
              </w:rPr>
            </w:pPr>
          </w:p>
        </w:tc>
        <w:tc>
          <w:tcPr>
            <w:tcW w:w="6814" w:type="dxa"/>
            <w:gridSpan w:val="2"/>
          </w:tcPr>
          <w:p w14:paraId="6674C44D" w14:textId="77777777" w:rsidR="001E1112" w:rsidRPr="00317ABF" w:rsidRDefault="001E1112" w:rsidP="00DB3BEC">
            <w:pPr>
              <w:pStyle w:val="Tekstpodstawowy"/>
              <w:rPr>
                <w:sz w:val="22"/>
                <w:szCs w:val="22"/>
              </w:rPr>
            </w:pPr>
          </w:p>
        </w:tc>
      </w:tr>
      <w:tr w:rsidR="001E1112" w:rsidRPr="00317ABF" w14:paraId="1855A712" w14:textId="77777777" w:rsidTr="7753F98D">
        <w:trPr>
          <w:gridAfter w:val="2"/>
          <w:wAfter w:w="175" w:type="dxa"/>
        </w:trPr>
        <w:tc>
          <w:tcPr>
            <w:tcW w:w="704" w:type="dxa"/>
          </w:tcPr>
          <w:p w14:paraId="524D958A" w14:textId="77777777" w:rsidR="001E1112" w:rsidRPr="00317ABF" w:rsidRDefault="001E1112" w:rsidP="00DB3BEC">
            <w:pPr>
              <w:jc w:val="both"/>
              <w:rPr>
                <w:b/>
                <w:sz w:val="22"/>
                <w:szCs w:val="22"/>
              </w:rPr>
            </w:pPr>
            <w:r w:rsidRPr="00317ABF">
              <w:rPr>
                <w:b/>
                <w:sz w:val="22"/>
                <w:szCs w:val="22"/>
              </w:rPr>
              <w:lastRenderedPageBreak/>
              <w:t>Art. 57</w:t>
            </w:r>
          </w:p>
        </w:tc>
        <w:tc>
          <w:tcPr>
            <w:tcW w:w="4308" w:type="dxa"/>
          </w:tcPr>
          <w:p w14:paraId="438AFAFB" w14:textId="77777777" w:rsidR="001E1112" w:rsidRPr="00317ABF" w:rsidRDefault="001E1112" w:rsidP="00DB3BEC">
            <w:pPr>
              <w:spacing w:before="120"/>
              <w:jc w:val="both"/>
              <w:rPr>
                <w:sz w:val="22"/>
                <w:szCs w:val="22"/>
              </w:rPr>
            </w:pPr>
            <w:r w:rsidRPr="00317ABF">
              <w:rPr>
                <w:b/>
                <w:bCs/>
                <w:sz w:val="22"/>
                <w:szCs w:val="22"/>
              </w:rPr>
              <w:t>Wdrożenie i eksploatacja punktów dostępu bezprzewodowego o bliskim zasięgu</w:t>
            </w:r>
          </w:p>
        </w:tc>
        <w:tc>
          <w:tcPr>
            <w:tcW w:w="986" w:type="dxa"/>
          </w:tcPr>
          <w:p w14:paraId="49CE0426" w14:textId="77777777" w:rsidR="001E1112" w:rsidRPr="00317ABF" w:rsidRDefault="001E1112" w:rsidP="00DB3BEC">
            <w:pPr>
              <w:jc w:val="both"/>
              <w:rPr>
                <w:sz w:val="22"/>
                <w:szCs w:val="22"/>
              </w:rPr>
            </w:pPr>
          </w:p>
        </w:tc>
        <w:tc>
          <w:tcPr>
            <w:tcW w:w="910" w:type="dxa"/>
          </w:tcPr>
          <w:p w14:paraId="4B428E1E" w14:textId="77777777" w:rsidR="001E1112" w:rsidRPr="00317ABF" w:rsidRDefault="001E1112" w:rsidP="00DB3BEC">
            <w:pPr>
              <w:pStyle w:val="Tekstpodstawowy"/>
              <w:rPr>
                <w:b/>
                <w:noProof/>
                <w:sz w:val="22"/>
                <w:szCs w:val="22"/>
              </w:rPr>
            </w:pPr>
          </w:p>
        </w:tc>
        <w:tc>
          <w:tcPr>
            <w:tcW w:w="6814" w:type="dxa"/>
            <w:gridSpan w:val="2"/>
          </w:tcPr>
          <w:p w14:paraId="531AA216" w14:textId="77777777" w:rsidR="001E1112" w:rsidRPr="00317ABF" w:rsidRDefault="001E1112" w:rsidP="00DB3BEC">
            <w:pPr>
              <w:pStyle w:val="Tekstpodstawowy"/>
              <w:rPr>
                <w:sz w:val="22"/>
                <w:szCs w:val="22"/>
              </w:rPr>
            </w:pPr>
          </w:p>
        </w:tc>
      </w:tr>
      <w:tr w:rsidR="001E1112" w:rsidRPr="00317ABF" w14:paraId="74FC0A5B" w14:textId="77777777" w:rsidTr="7753F98D">
        <w:trPr>
          <w:gridAfter w:val="2"/>
          <w:wAfter w:w="175" w:type="dxa"/>
        </w:trPr>
        <w:tc>
          <w:tcPr>
            <w:tcW w:w="704" w:type="dxa"/>
          </w:tcPr>
          <w:p w14:paraId="3DD424D1" w14:textId="77777777" w:rsidR="001E1112" w:rsidRPr="00317ABF" w:rsidRDefault="001E1112" w:rsidP="00DB3BEC">
            <w:pPr>
              <w:jc w:val="both"/>
              <w:rPr>
                <w:sz w:val="22"/>
                <w:szCs w:val="22"/>
              </w:rPr>
            </w:pPr>
            <w:r w:rsidRPr="00317ABF">
              <w:rPr>
                <w:sz w:val="22"/>
                <w:szCs w:val="22"/>
              </w:rPr>
              <w:t>Art. 57 ust. 1</w:t>
            </w:r>
          </w:p>
        </w:tc>
        <w:tc>
          <w:tcPr>
            <w:tcW w:w="4308" w:type="dxa"/>
          </w:tcPr>
          <w:p w14:paraId="5EEDD8A3" w14:textId="77777777" w:rsidR="001E1112" w:rsidRPr="00317ABF" w:rsidRDefault="001E1112" w:rsidP="00DB3BEC">
            <w:pPr>
              <w:spacing w:before="120"/>
              <w:jc w:val="both"/>
              <w:rPr>
                <w:sz w:val="22"/>
                <w:szCs w:val="22"/>
              </w:rPr>
            </w:pPr>
            <w:r w:rsidRPr="00317ABF">
              <w:rPr>
                <w:sz w:val="22"/>
                <w:szCs w:val="22"/>
              </w:rPr>
              <w:t>1.   Właściwe organy nie ograniczają z nieuzasadnionych powodów uruchamiania punktów dostępu bezprzewodowego o bliskim zasięgu. Państwa członkowskie dążą do zapewnienia, aby wszelkie przepisy dotyczące uruchamiania punktów dostępu bezprzewodowego o bliskim zasięgu były spójne na szczeblu krajowym. Przepisy te publikuje się przed ich stosowaniem</w:t>
            </w:r>
          </w:p>
          <w:p w14:paraId="76522EF3" w14:textId="77777777" w:rsidR="001E1112" w:rsidRPr="00317ABF" w:rsidRDefault="001E1112" w:rsidP="00DB3BEC">
            <w:pPr>
              <w:spacing w:before="120"/>
              <w:jc w:val="both"/>
              <w:rPr>
                <w:sz w:val="22"/>
                <w:szCs w:val="22"/>
              </w:rPr>
            </w:pPr>
            <w:r w:rsidRPr="00317ABF">
              <w:rPr>
                <w:sz w:val="22"/>
                <w:szCs w:val="22"/>
              </w:rPr>
              <w:t xml:space="preserve">W szczególności właściwe organy nie uzależniają uruchamiania punktów dostępu bezprzewodowego o bliskim zasięgu mających cechy określone na podstawie ust. 2 od jakiegokolwiek indywidualnego pozwolenia w zakresie planowania </w:t>
            </w:r>
            <w:r w:rsidRPr="00317ABF">
              <w:rPr>
                <w:sz w:val="22"/>
                <w:szCs w:val="22"/>
              </w:rPr>
              <w:lastRenderedPageBreak/>
              <w:t>przestrzennego lub innych indywidualnych uprzednich pozwoleń.</w:t>
            </w:r>
          </w:p>
          <w:p w14:paraId="3D4A051A" w14:textId="77777777" w:rsidR="001E1112" w:rsidRPr="00317ABF" w:rsidRDefault="001E1112" w:rsidP="00DB3BEC">
            <w:pPr>
              <w:spacing w:before="120"/>
              <w:jc w:val="both"/>
              <w:rPr>
                <w:sz w:val="22"/>
                <w:szCs w:val="22"/>
              </w:rPr>
            </w:pPr>
            <w:r w:rsidRPr="00317ABF">
              <w:rPr>
                <w:sz w:val="22"/>
                <w:szCs w:val="22"/>
              </w:rPr>
              <w:t>Na zasadzie odstępstwa od akapitu drugiego niniejszego ustępu właściwe organy mogą wymagać zezwoleń na uruchamianie punktów dostępu bezprzewodowego o bliskim zasięgu na budynkach lub w miejscach o wartości architektonicznej, historycznej lub przyrodniczej chronionych zgodnie z prawem krajowym lub, w razie konieczności, ze względów bezpieczeństwa publicznego. Art. 7 dyrektywy 2014/61/UE ma zastosowanie przy przyznawaniu tych zezwoleń.</w:t>
            </w:r>
          </w:p>
        </w:tc>
        <w:tc>
          <w:tcPr>
            <w:tcW w:w="986" w:type="dxa"/>
          </w:tcPr>
          <w:p w14:paraId="4E3362E6" w14:textId="4E8B5412" w:rsidR="001E1112" w:rsidRPr="00317ABF" w:rsidRDefault="001E1112" w:rsidP="00DB3BEC">
            <w:pPr>
              <w:jc w:val="both"/>
              <w:rPr>
                <w:b/>
                <w:sz w:val="22"/>
                <w:szCs w:val="22"/>
              </w:rPr>
            </w:pPr>
            <w:r w:rsidRPr="00317ABF">
              <w:rPr>
                <w:b/>
                <w:sz w:val="22"/>
                <w:szCs w:val="22"/>
              </w:rPr>
              <w:lastRenderedPageBreak/>
              <w:t>T</w:t>
            </w:r>
          </w:p>
        </w:tc>
        <w:tc>
          <w:tcPr>
            <w:tcW w:w="910" w:type="dxa"/>
          </w:tcPr>
          <w:p w14:paraId="584C1837" w14:textId="780D06D7" w:rsidR="001E1112" w:rsidRPr="00317ABF" w:rsidRDefault="001E1112" w:rsidP="00DB3BEC">
            <w:pPr>
              <w:pStyle w:val="Tekstpodstawowy"/>
              <w:rPr>
                <w:b/>
                <w:bCs/>
                <w:noProof/>
                <w:sz w:val="22"/>
                <w:szCs w:val="22"/>
              </w:rPr>
            </w:pPr>
            <w:r w:rsidRPr="00317ABF">
              <w:rPr>
                <w:b/>
                <w:bCs/>
                <w:noProof/>
                <w:sz w:val="22"/>
                <w:szCs w:val="22"/>
              </w:rPr>
              <w:t xml:space="preserve">Art. </w:t>
            </w:r>
            <w:r w:rsidR="00240931" w:rsidRPr="00317ABF">
              <w:rPr>
                <w:b/>
                <w:bCs/>
                <w:noProof/>
                <w:sz w:val="22"/>
                <w:szCs w:val="22"/>
              </w:rPr>
              <w:t>6</w:t>
            </w:r>
            <w:r w:rsidRPr="00317ABF">
              <w:rPr>
                <w:b/>
                <w:bCs/>
                <w:noProof/>
                <w:sz w:val="22"/>
                <w:szCs w:val="22"/>
              </w:rPr>
              <w:t xml:space="preserve"> pkt </w:t>
            </w:r>
            <w:r w:rsidR="00240931" w:rsidRPr="00317ABF">
              <w:rPr>
                <w:b/>
                <w:bCs/>
                <w:noProof/>
                <w:sz w:val="22"/>
                <w:szCs w:val="22"/>
              </w:rPr>
              <w:t xml:space="preserve">1 lit. a-h oraz pkt 2 </w:t>
            </w:r>
            <w:r w:rsidRPr="00317ABF">
              <w:rPr>
                <w:b/>
                <w:bCs/>
                <w:noProof/>
                <w:sz w:val="22"/>
                <w:szCs w:val="22"/>
              </w:rPr>
              <w:t xml:space="preserve">ustawy wprowadzającej PKE </w:t>
            </w:r>
          </w:p>
          <w:p w14:paraId="60A5625B" w14:textId="73A928E3" w:rsidR="001E1112" w:rsidRPr="00317ABF" w:rsidRDefault="001E1112" w:rsidP="00DB3BEC">
            <w:pPr>
              <w:pStyle w:val="Tekstpodstawowy"/>
              <w:rPr>
                <w:b/>
                <w:bCs/>
                <w:noProof/>
                <w:sz w:val="22"/>
                <w:szCs w:val="22"/>
              </w:rPr>
            </w:pPr>
          </w:p>
          <w:p w14:paraId="47917C3A" w14:textId="099F0E37" w:rsidR="001E1112" w:rsidRPr="00317ABF" w:rsidRDefault="001E1112" w:rsidP="00DB3BEC">
            <w:pPr>
              <w:pStyle w:val="Tekstpodstawowy"/>
              <w:rPr>
                <w:b/>
                <w:bCs/>
                <w:noProof/>
                <w:sz w:val="22"/>
                <w:szCs w:val="22"/>
              </w:rPr>
            </w:pPr>
          </w:p>
          <w:p w14:paraId="32D000C7" w14:textId="4E7B671B" w:rsidR="001E1112" w:rsidRPr="00317ABF" w:rsidRDefault="001E1112" w:rsidP="00DB3BEC">
            <w:pPr>
              <w:pStyle w:val="Tekstpodstawowy"/>
              <w:rPr>
                <w:b/>
                <w:bCs/>
                <w:noProof/>
                <w:sz w:val="22"/>
                <w:szCs w:val="22"/>
              </w:rPr>
            </w:pPr>
          </w:p>
          <w:p w14:paraId="0F771C37" w14:textId="65E9A07D" w:rsidR="001E1112" w:rsidRPr="00317ABF" w:rsidRDefault="001E1112" w:rsidP="00DB3BEC">
            <w:pPr>
              <w:pStyle w:val="Tekstpodstawowy"/>
              <w:rPr>
                <w:b/>
                <w:bCs/>
                <w:noProof/>
                <w:sz w:val="22"/>
                <w:szCs w:val="22"/>
              </w:rPr>
            </w:pPr>
          </w:p>
          <w:p w14:paraId="211382A6" w14:textId="598D7804" w:rsidR="001E1112" w:rsidRPr="00317ABF" w:rsidRDefault="001E1112" w:rsidP="00DB3BEC">
            <w:pPr>
              <w:pStyle w:val="Tekstpodstawowy"/>
              <w:rPr>
                <w:b/>
                <w:bCs/>
                <w:noProof/>
                <w:sz w:val="22"/>
                <w:szCs w:val="22"/>
              </w:rPr>
            </w:pPr>
          </w:p>
          <w:p w14:paraId="4728F6A8" w14:textId="565A7515" w:rsidR="001E1112" w:rsidRPr="00317ABF" w:rsidRDefault="001E1112" w:rsidP="00DB3BEC">
            <w:pPr>
              <w:pStyle w:val="Tekstpodstawowy"/>
              <w:rPr>
                <w:b/>
                <w:bCs/>
                <w:noProof/>
                <w:sz w:val="22"/>
                <w:szCs w:val="22"/>
              </w:rPr>
            </w:pPr>
          </w:p>
          <w:p w14:paraId="02218B7F" w14:textId="7F4F741B" w:rsidR="001E1112" w:rsidRPr="00317ABF" w:rsidRDefault="001E1112" w:rsidP="00DB3BEC">
            <w:pPr>
              <w:pStyle w:val="Tekstpodstawowy"/>
              <w:rPr>
                <w:b/>
                <w:bCs/>
                <w:noProof/>
                <w:sz w:val="22"/>
                <w:szCs w:val="22"/>
              </w:rPr>
            </w:pPr>
          </w:p>
          <w:p w14:paraId="28AB62C1" w14:textId="2A7273C8" w:rsidR="001E1112" w:rsidRPr="00317ABF" w:rsidRDefault="001E1112" w:rsidP="00DB3BEC">
            <w:pPr>
              <w:pStyle w:val="Tekstpodstawowy"/>
              <w:rPr>
                <w:b/>
                <w:bCs/>
                <w:noProof/>
                <w:sz w:val="22"/>
                <w:szCs w:val="22"/>
              </w:rPr>
            </w:pPr>
          </w:p>
          <w:p w14:paraId="6B76E925" w14:textId="7DE12650" w:rsidR="001E1112" w:rsidRPr="00317ABF" w:rsidRDefault="001E1112" w:rsidP="00DB3BEC">
            <w:pPr>
              <w:pStyle w:val="Tekstpodstawowy"/>
              <w:rPr>
                <w:b/>
                <w:bCs/>
                <w:noProof/>
                <w:sz w:val="22"/>
                <w:szCs w:val="22"/>
              </w:rPr>
            </w:pPr>
          </w:p>
          <w:p w14:paraId="28038F3C" w14:textId="2A94D2AB" w:rsidR="001E1112" w:rsidRPr="00317ABF" w:rsidRDefault="001E1112" w:rsidP="00DB3BEC">
            <w:pPr>
              <w:pStyle w:val="Tekstpodstawowy"/>
              <w:rPr>
                <w:b/>
                <w:bCs/>
                <w:noProof/>
                <w:sz w:val="22"/>
                <w:szCs w:val="22"/>
              </w:rPr>
            </w:pPr>
          </w:p>
          <w:p w14:paraId="63ED11D4" w14:textId="08072B53" w:rsidR="001E1112" w:rsidRPr="00317ABF" w:rsidRDefault="001E1112" w:rsidP="00DB3BEC">
            <w:pPr>
              <w:pStyle w:val="Tekstpodstawowy"/>
              <w:rPr>
                <w:b/>
                <w:bCs/>
                <w:noProof/>
                <w:sz w:val="22"/>
                <w:szCs w:val="22"/>
              </w:rPr>
            </w:pPr>
          </w:p>
          <w:p w14:paraId="3CADCD9B" w14:textId="1535C5F2" w:rsidR="001E1112" w:rsidRPr="00317ABF" w:rsidRDefault="001E1112" w:rsidP="00DB3BEC">
            <w:pPr>
              <w:pStyle w:val="Tekstpodstawowy"/>
              <w:rPr>
                <w:b/>
                <w:bCs/>
                <w:noProof/>
                <w:sz w:val="22"/>
                <w:szCs w:val="22"/>
              </w:rPr>
            </w:pPr>
          </w:p>
          <w:p w14:paraId="1FD59867" w14:textId="098297D7" w:rsidR="001E1112" w:rsidRPr="00317ABF" w:rsidRDefault="001E1112" w:rsidP="00DB3BEC">
            <w:pPr>
              <w:pStyle w:val="Tekstpodstawowy"/>
              <w:rPr>
                <w:b/>
                <w:bCs/>
                <w:noProof/>
                <w:sz w:val="22"/>
                <w:szCs w:val="22"/>
              </w:rPr>
            </w:pPr>
          </w:p>
          <w:p w14:paraId="777FD775" w14:textId="3A900795" w:rsidR="001E1112" w:rsidRPr="00317ABF" w:rsidRDefault="001E1112" w:rsidP="00DB3BEC">
            <w:pPr>
              <w:pStyle w:val="Tekstpodstawowy"/>
              <w:rPr>
                <w:b/>
                <w:bCs/>
                <w:noProof/>
                <w:sz w:val="22"/>
                <w:szCs w:val="22"/>
              </w:rPr>
            </w:pPr>
          </w:p>
          <w:p w14:paraId="47A30434" w14:textId="68237F55" w:rsidR="001E1112" w:rsidRPr="00317ABF" w:rsidRDefault="001E1112" w:rsidP="00DB3BEC">
            <w:pPr>
              <w:pStyle w:val="Tekstpodstawowy"/>
              <w:rPr>
                <w:b/>
                <w:bCs/>
                <w:noProof/>
                <w:sz w:val="22"/>
                <w:szCs w:val="22"/>
              </w:rPr>
            </w:pPr>
          </w:p>
          <w:p w14:paraId="5854169A" w14:textId="1AB8555A" w:rsidR="001E1112" w:rsidRPr="00317ABF" w:rsidRDefault="001E1112" w:rsidP="00DB3BEC">
            <w:pPr>
              <w:pStyle w:val="Tekstpodstawowy"/>
              <w:rPr>
                <w:b/>
                <w:bCs/>
                <w:noProof/>
                <w:sz w:val="22"/>
                <w:szCs w:val="22"/>
              </w:rPr>
            </w:pPr>
          </w:p>
          <w:p w14:paraId="2668CAD1" w14:textId="619DDD34" w:rsidR="001E1112" w:rsidRPr="00317ABF" w:rsidRDefault="001E1112" w:rsidP="00DB3BEC">
            <w:pPr>
              <w:pStyle w:val="Tekstpodstawowy"/>
              <w:rPr>
                <w:b/>
                <w:bCs/>
                <w:noProof/>
                <w:sz w:val="22"/>
                <w:szCs w:val="22"/>
              </w:rPr>
            </w:pPr>
          </w:p>
          <w:p w14:paraId="1F49C333" w14:textId="7875AD26" w:rsidR="001E1112" w:rsidRPr="00317ABF" w:rsidRDefault="001E1112" w:rsidP="00DB3BEC">
            <w:pPr>
              <w:pStyle w:val="Tekstpodstawowy"/>
              <w:rPr>
                <w:b/>
                <w:bCs/>
                <w:noProof/>
                <w:sz w:val="22"/>
                <w:szCs w:val="22"/>
              </w:rPr>
            </w:pPr>
          </w:p>
          <w:p w14:paraId="26841551" w14:textId="20AC1A5B" w:rsidR="001E1112" w:rsidRPr="00317ABF" w:rsidRDefault="001E1112" w:rsidP="00DB3BEC">
            <w:pPr>
              <w:pStyle w:val="Tekstpodstawowy"/>
              <w:rPr>
                <w:b/>
                <w:bCs/>
                <w:noProof/>
                <w:sz w:val="22"/>
                <w:szCs w:val="22"/>
              </w:rPr>
            </w:pPr>
          </w:p>
          <w:p w14:paraId="2A02480E" w14:textId="0EAAE20F" w:rsidR="001E1112" w:rsidRPr="00317ABF" w:rsidRDefault="001E1112" w:rsidP="00DB3BEC">
            <w:pPr>
              <w:pStyle w:val="Tekstpodstawowy"/>
              <w:rPr>
                <w:b/>
                <w:bCs/>
                <w:noProof/>
                <w:sz w:val="22"/>
                <w:szCs w:val="22"/>
              </w:rPr>
            </w:pPr>
          </w:p>
          <w:p w14:paraId="27342966" w14:textId="18D0AE11" w:rsidR="001E1112" w:rsidRPr="00317ABF" w:rsidRDefault="001E1112" w:rsidP="00DB3BEC">
            <w:pPr>
              <w:pStyle w:val="Tekstpodstawowy"/>
              <w:rPr>
                <w:b/>
                <w:bCs/>
                <w:noProof/>
                <w:sz w:val="22"/>
                <w:szCs w:val="22"/>
              </w:rPr>
            </w:pPr>
          </w:p>
          <w:p w14:paraId="19371B74" w14:textId="1071B429" w:rsidR="001E1112" w:rsidRPr="00317ABF" w:rsidRDefault="001E1112" w:rsidP="00DB3BEC">
            <w:pPr>
              <w:pStyle w:val="Tekstpodstawowy"/>
              <w:rPr>
                <w:b/>
                <w:bCs/>
                <w:noProof/>
                <w:sz w:val="22"/>
                <w:szCs w:val="22"/>
              </w:rPr>
            </w:pPr>
          </w:p>
          <w:p w14:paraId="1F6E34C2" w14:textId="2D1DA968" w:rsidR="001E1112" w:rsidRPr="00317ABF" w:rsidRDefault="001E1112" w:rsidP="00DB3BEC">
            <w:pPr>
              <w:pStyle w:val="Tekstpodstawowy"/>
              <w:rPr>
                <w:b/>
                <w:bCs/>
                <w:noProof/>
                <w:sz w:val="22"/>
                <w:szCs w:val="22"/>
              </w:rPr>
            </w:pPr>
          </w:p>
          <w:p w14:paraId="08FF0D42" w14:textId="40622BBD" w:rsidR="001E1112" w:rsidRPr="00317ABF" w:rsidRDefault="001E1112" w:rsidP="00DB3BEC">
            <w:pPr>
              <w:pStyle w:val="Tekstpodstawowy"/>
              <w:rPr>
                <w:b/>
                <w:bCs/>
                <w:noProof/>
                <w:sz w:val="22"/>
                <w:szCs w:val="22"/>
              </w:rPr>
            </w:pPr>
          </w:p>
          <w:p w14:paraId="50143121" w14:textId="386894AE" w:rsidR="001E1112" w:rsidRPr="00317ABF" w:rsidRDefault="001E1112" w:rsidP="00DB3BEC">
            <w:pPr>
              <w:pStyle w:val="Tekstpodstawowy"/>
              <w:rPr>
                <w:b/>
                <w:bCs/>
                <w:noProof/>
                <w:sz w:val="22"/>
                <w:szCs w:val="22"/>
              </w:rPr>
            </w:pPr>
          </w:p>
          <w:p w14:paraId="34611E26" w14:textId="138E86C4" w:rsidR="001E1112" w:rsidRPr="00317ABF" w:rsidRDefault="001E1112" w:rsidP="00DB3BEC">
            <w:pPr>
              <w:pStyle w:val="Tekstpodstawowy"/>
              <w:rPr>
                <w:b/>
                <w:bCs/>
                <w:noProof/>
                <w:sz w:val="22"/>
                <w:szCs w:val="22"/>
              </w:rPr>
            </w:pPr>
          </w:p>
          <w:p w14:paraId="7E157F25" w14:textId="670FC663" w:rsidR="001E1112" w:rsidRPr="00317ABF" w:rsidRDefault="001E1112" w:rsidP="00DB3BEC">
            <w:pPr>
              <w:pStyle w:val="Tekstpodstawowy"/>
              <w:rPr>
                <w:b/>
                <w:bCs/>
                <w:noProof/>
                <w:sz w:val="22"/>
                <w:szCs w:val="22"/>
              </w:rPr>
            </w:pPr>
          </w:p>
          <w:p w14:paraId="476ED71F" w14:textId="1559AB69" w:rsidR="001E1112" w:rsidRPr="00317ABF" w:rsidRDefault="001E1112" w:rsidP="00DB3BEC">
            <w:pPr>
              <w:pStyle w:val="Tekstpodstawowy"/>
              <w:rPr>
                <w:b/>
                <w:bCs/>
                <w:noProof/>
                <w:sz w:val="22"/>
                <w:szCs w:val="22"/>
              </w:rPr>
            </w:pPr>
          </w:p>
          <w:p w14:paraId="728A8672" w14:textId="76AD976F" w:rsidR="001E1112" w:rsidRPr="00317ABF" w:rsidRDefault="001E1112" w:rsidP="00DB3BEC">
            <w:pPr>
              <w:pStyle w:val="Tekstpodstawowy"/>
              <w:rPr>
                <w:b/>
                <w:bCs/>
                <w:noProof/>
                <w:sz w:val="22"/>
                <w:szCs w:val="22"/>
              </w:rPr>
            </w:pPr>
          </w:p>
          <w:p w14:paraId="6BC05440" w14:textId="44035ACD" w:rsidR="001E1112" w:rsidRPr="00317ABF" w:rsidRDefault="001E1112" w:rsidP="00DB3BEC">
            <w:pPr>
              <w:pStyle w:val="Tekstpodstawowy"/>
              <w:rPr>
                <w:b/>
                <w:bCs/>
                <w:noProof/>
                <w:sz w:val="22"/>
                <w:szCs w:val="22"/>
              </w:rPr>
            </w:pPr>
          </w:p>
          <w:p w14:paraId="134B8E59" w14:textId="692BF8FB" w:rsidR="001E1112" w:rsidRPr="00317ABF" w:rsidRDefault="001E1112" w:rsidP="00DB3BEC">
            <w:pPr>
              <w:pStyle w:val="Tekstpodstawowy"/>
              <w:rPr>
                <w:b/>
                <w:bCs/>
                <w:noProof/>
                <w:sz w:val="22"/>
                <w:szCs w:val="22"/>
              </w:rPr>
            </w:pPr>
          </w:p>
          <w:p w14:paraId="2564BD13" w14:textId="33EACEE1" w:rsidR="001E1112" w:rsidRPr="00317ABF" w:rsidRDefault="001E1112" w:rsidP="00DB3BEC">
            <w:pPr>
              <w:pStyle w:val="Tekstpodstawowy"/>
              <w:rPr>
                <w:b/>
                <w:bCs/>
                <w:noProof/>
                <w:sz w:val="22"/>
                <w:szCs w:val="22"/>
              </w:rPr>
            </w:pPr>
          </w:p>
          <w:p w14:paraId="4EB1C734" w14:textId="34C1D735" w:rsidR="001E1112" w:rsidRPr="00317ABF" w:rsidRDefault="001E1112" w:rsidP="00DB3BEC">
            <w:pPr>
              <w:pStyle w:val="Tekstpodstawowy"/>
              <w:rPr>
                <w:b/>
                <w:bCs/>
                <w:noProof/>
                <w:sz w:val="22"/>
                <w:szCs w:val="22"/>
              </w:rPr>
            </w:pPr>
          </w:p>
          <w:p w14:paraId="058E0EBD" w14:textId="62E1F29E" w:rsidR="001E1112" w:rsidRPr="00317ABF" w:rsidRDefault="001E1112" w:rsidP="00DB3BEC">
            <w:pPr>
              <w:pStyle w:val="Tekstpodstawowy"/>
              <w:rPr>
                <w:b/>
                <w:bCs/>
                <w:noProof/>
                <w:sz w:val="22"/>
                <w:szCs w:val="22"/>
              </w:rPr>
            </w:pPr>
          </w:p>
          <w:p w14:paraId="476CC3E7" w14:textId="4128B8C0" w:rsidR="001E1112" w:rsidRPr="00317ABF" w:rsidRDefault="001E1112" w:rsidP="00DB3BEC">
            <w:pPr>
              <w:pStyle w:val="Tekstpodstawowy"/>
              <w:rPr>
                <w:b/>
                <w:bCs/>
                <w:noProof/>
                <w:sz w:val="22"/>
                <w:szCs w:val="22"/>
              </w:rPr>
            </w:pPr>
          </w:p>
          <w:p w14:paraId="0DB95F99" w14:textId="5819DF51" w:rsidR="001E1112" w:rsidRPr="00317ABF" w:rsidRDefault="001E1112" w:rsidP="00DB3BEC">
            <w:pPr>
              <w:pStyle w:val="Tekstpodstawowy"/>
              <w:rPr>
                <w:b/>
                <w:bCs/>
                <w:noProof/>
                <w:sz w:val="22"/>
                <w:szCs w:val="22"/>
              </w:rPr>
            </w:pPr>
          </w:p>
          <w:p w14:paraId="3B481133" w14:textId="40C4DE1C" w:rsidR="001E1112" w:rsidRPr="00317ABF" w:rsidRDefault="001E1112" w:rsidP="00DB3BEC">
            <w:pPr>
              <w:pStyle w:val="Tekstpodstawowy"/>
              <w:rPr>
                <w:b/>
                <w:bCs/>
                <w:noProof/>
                <w:sz w:val="22"/>
                <w:szCs w:val="22"/>
              </w:rPr>
            </w:pPr>
          </w:p>
          <w:p w14:paraId="25CBEAE8" w14:textId="47842633" w:rsidR="001E1112" w:rsidRPr="00317ABF" w:rsidRDefault="001E1112" w:rsidP="00DB3BEC">
            <w:pPr>
              <w:pStyle w:val="Tekstpodstawowy"/>
              <w:rPr>
                <w:b/>
                <w:bCs/>
                <w:noProof/>
                <w:sz w:val="22"/>
                <w:szCs w:val="22"/>
              </w:rPr>
            </w:pPr>
          </w:p>
          <w:p w14:paraId="567BB5C7" w14:textId="3C05E681" w:rsidR="001E1112" w:rsidRPr="00317ABF" w:rsidRDefault="001E1112" w:rsidP="00DB3BEC">
            <w:pPr>
              <w:pStyle w:val="Tekstpodstawowy"/>
              <w:rPr>
                <w:b/>
                <w:bCs/>
                <w:noProof/>
                <w:sz w:val="22"/>
                <w:szCs w:val="22"/>
              </w:rPr>
            </w:pPr>
          </w:p>
          <w:p w14:paraId="1B2DED9E" w14:textId="3517CDA2" w:rsidR="001E1112" w:rsidRPr="00317ABF" w:rsidRDefault="001E1112" w:rsidP="00DB3BEC">
            <w:pPr>
              <w:pStyle w:val="Tekstpodstawowy"/>
              <w:rPr>
                <w:b/>
                <w:bCs/>
                <w:noProof/>
                <w:sz w:val="22"/>
                <w:szCs w:val="22"/>
              </w:rPr>
            </w:pPr>
          </w:p>
          <w:p w14:paraId="05DA49E8" w14:textId="3F61A4BA" w:rsidR="001E1112" w:rsidRPr="00317ABF" w:rsidRDefault="001E1112" w:rsidP="00DB3BEC">
            <w:pPr>
              <w:pStyle w:val="Tekstpodstawowy"/>
              <w:rPr>
                <w:b/>
                <w:bCs/>
                <w:noProof/>
                <w:sz w:val="22"/>
                <w:szCs w:val="22"/>
              </w:rPr>
            </w:pPr>
          </w:p>
          <w:p w14:paraId="02E4829E" w14:textId="3626924F" w:rsidR="001E1112" w:rsidRPr="00317ABF" w:rsidRDefault="001E1112" w:rsidP="00DB3BEC">
            <w:pPr>
              <w:pStyle w:val="Tekstpodstawowy"/>
              <w:rPr>
                <w:b/>
                <w:bCs/>
                <w:noProof/>
                <w:sz w:val="22"/>
                <w:szCs w:val="22"/>
              </w:rPr>
            </w:pPr>
          </w:p>
          <w:p w14:paraId="152D3C0A" w14:textId="191E7772" w:rsidR="001E1112" w:rsidRPr="00317ABF" w:rsidRDefault="001E1112" w:rsidP="00DB3BEC">
            <w:pPr>
              <w:pStyle w:val="Tekstpodstawowy"/>
              <w:rPr>
                <w:b/>
                <w:bCs/>
                <w:noProof/>
                <w:sz w:val="22"/>
                <w:szCs w:val="22"/>
              </w:rPr>
            </w:pPr>
          </w:p>
          <w:p w14:paraId="2446C165" w14:textId="103A07BE" w:rsidR="001E1112" w:rsidRPr="00317ABF" w:rsidRDefault="001E1112" w:rsidP="00DB3BEC">
            <w:pPr>
              <w:pStyle w:val="Tekstpodstawowy"/>
              <w:rPr>
                <w:b/>
                <w:bCs/>
                <w:noProof/>
                <w:sz w:val="22"/>
                <w:szCs w:val="22"/>
              </w:rPr>
            </w:pPr>
          </w:p>
          <w:p w14:paraId="19B0F99E" w14:textId="500AEF83" w:rsidR="001E1112" w:rsidRPr="00317ABF" w:rsidRDefault="001E1112" w:rsidP="00DB3BEC">
            <w:pPr>
              <w:pStyle w:val="Tekstpodstawowy"/>
              <w:rPr>
                <w:b/>
                <w:bCs/>
                <w:noProof/>
                <w:sz w:val="22"/>
                <w:szCs w:val="22"/>
              </w:rPr>
            </w:pPr>
          </w:p>
          <w:p w14:paraId="2A55BACE" w14:textId="2333502B" w:rsidR="001E1112" w:rsidRPr="00317ABF" w:rsidRDefault="001E1112" w:rsidP="00DB3BEC">
            <w:pPr>
              <w:pStyle w:val="Tekstpodstawowy"/>
              <w:rPr>
                <w:b/>
                <w:bCs/>
                <w:noProof/>
                <w:sz w:val="22"/>
                <w:szCs w:val="22"/>
              </w:rPr>
            </w:pPr>
          </w:p>
          <w:p w14:paraId="6ABDF60A" w14:textId="4EDFDE2E" w:rsidR="001E1112" w:rsidRPr="00317ABF" w:rsidRDefault="001E1112" w:rsidP="00DB3BEC">
            <w:pPr>
              <w:pStyle w:val="Tekstpodstawowy"/>
              <w:rPr>
                <w:b/>
                <w:bCs/>
                <w:noProof/>
                <w:sz w:val="22"/>
                <w:szCs w:val="22"/>
              </w:rPr>
            </w:pPr>
          </w:p>
          <w:p w14:paraId="7818F293" w14:textId="56E3D18F" w:rsidR="001E1112" w:rsidRPr="00317ABF" w:rsidRDefault="001E1112" w:rsidP="00DB3BEC">
            <w:pPr>
              <w:pStyle w:val="Tekstpodstawowy"/>
              <w:rPr>
                <w:b/>
                <w:bCs/>
                <w:noProof/>
                <w:sz w:val="22"/>
                <w:szCs w:val="22"/>
              </w:rPr>
            </w:pPr>
          </w:p>
          <w:p w14:paraId="3A5764C1" w14:textId="77777777" w:rsidR="00B414B9" w:rsidRPr="00317ABF" w:rsidRDefault="00B414B9" w:rsidP="00DB3BEC">
            <w:pPr>
              <w:pStyle w:val="Tekstpodstawowy"/>
              <w:rPr>
                <w:b/>
                <w:bCs/>
                <w:noProof/>
                <w:sz w:val="22"/>
                <w:szCs w:val="22"/>
              </w:rPr>
            </w:pPr>
          </w:p>
          <w:p w14:paraId="1CF08D19" w14:textId="77777777" w:rsidR="00B414B9" w:rsidRPr="00317ABF" w:rsidRDefault="00B414B9" w:rsidP="00DB3BEC">
            <w:pPr>
              <w:pStyle w:val="Tekstpodstawowy"/>
              <w:rPr>
                <w:b/>
                <w:bCs/>
                <w:noProof/>
                <w:sz w:val="22"/>
                <w:szCs w:val="22"/>
              </w:rPr>
            </w:pPr>
          </w:p>
          <w:p w14:paraId="5361BED0" w14:textId="77777777" w:rsidR="00B414B9" w:rsidRPr="00317ABF" w:rsidRDefault="00B414B9" w:rsidP="00DB3BEC">
            <w:pPr>
              <w:pStyle w:val="Tekstpodstawowy"/>
              <w:rPr>
                <w:b/>
                <w:bCs/>
                <w:noProof/>
                <w:sz w:val="22"/>
                <w:szCs w:val="22"/>
              </w:rPr>
            </w:pPr>
          </w:p>
          <w:p w14:paraId="67E21D62" w14:textId="77777777" w:rsidR="00B414B9" w:rsidRPr="00317ABF" w:rsidRDefault="00B414B9" w:rsidP="00DB3BEC">
            <w:pPr>
              <w:pStyle w:val="Tekstpodstawowy"/>
              <w:rPr>
                <w:b/>
                <w:bCs/>
                <w:noProof/>
                <w:sz w:val="22"/>
                <w:szCs w:val="22"/>
              </w:rPr>
            </w:pPr>
          </w:p>
          <w:p w14:paraId="688E210D" w14:textId="77777777" w:rsidR="00B414B9" w:rsidRPr="00317ABF" w:rsidRDefault="00B414B9" w:rsidP="00DB3BEC">
            <w:pPr>
              <w:pStyle w:val="Tekstpodstawowy"/>
              <w:rPr>
                <w:b/>
                <w:bCs/>
                <w:noProof/>
                <w:sz w:val="22"/>
                <w:szCs w:val="22"/>
              </w:rPr>
            </w:pPr>
          </w:p>
          <w:p w14:paraId="2F96D181" w14:textId="77777777" w:rsidR="00B414B9" w:rsidRPr="00317ABF" w:rsidRDefault="00B414B9" w:rsidP="00DB3BEC">
            <w:pPr>
              <w:pStyle w:val="Tekstpodstawowy"/>
              <w:rPr>
                <w:b/>
                <w:bCs/>
                <w:noProof/>
                <w:sz w:val="22"/>
                <w:szCs w:val="22"/>
              </w:rPr>
            </w:pPr>
          </w:p>
          <w:p w14:paraId="47F01D47" w14:textId="77777777" w:rsidR="00B414B9" w:rsidRPr="00317ABF" w:rsidRDefault="00B414B9" w:rsidP="00DB3BEC">
            <w:pPr>
              <w:pStyle w:val="Tekstpodstawowy"/>
              <w:rPr>
                <w:b/>
                <w:bCs/>
                <w:noProof/>
                <w:sz w:val="22"/>
                <w:szCs w:val="22"/>
              </w:rPr>
            </w:pPr>
          </w:p>
          <w:p w14:paraId="619FF758" w14:textId="77777777" w:rsidR="00B414B9" w:rsidRPr="00317ABF" w:rsidRDefault="00B414B9" w:rsidP="00DB3BEC">
            <w:pPr>
              <w:pStyle w:val="Tekstpodstawowy"/>
              <w:rPr>
                <w:b/>
                <w:bCs/>
                <w:noProof/>
                <w:sz w:val="22"/>
                <w:szCs w:val="22"/>
              </w:rPr>
            </w:pPr>
          </w:p>
          <w:p w14:paraId="50E0E0E8" w14:textId="77777777" w:rsidR="00B414B9" w:rsidRPr="00317ABF" w:rsidRDefault="00B414B9" w:rsidP="00DB3BEC">
            <w:pPr>
              <w:pStyle w:val="Tekstpodstawowy"/>
              <w:rPr>
                <w:b/>
                <w:bCs/>
                <w:noProof/>
                <w:sz w:val="22"/>
                <w:szCs w:val="22"/>
              </w:rPr>
            </w:pPr>
          </w:p>
          <w:p w14:paraId="5E20FA5F" w14:textId="77777777" w:rsidR="00B414B9" w:rsidRPr="00317ABF" w:rsidRDefault="00B414B9" w:rsidP="00DB3BEC">
            <w:pPr>
              <w:pStyle w:val="Tekstpodstawowy"/>
              <w:rPr>
                <w:b/>
                <w:bCs/>
                <w:noProof/>
                <w:sz w:val="22"/>
                <w:szCs w:val="22"/>
              </w:rPr>
            </w:pPr>
          </w:p>
          <w:p w14:paraId="32320367" w14:textId="77777777" w:rsidR="00B414B9" w:rsidRPr="00317ABF" w:rsidRDefault="00B414B9" w:rsidP="00DB3BEC">
            <w:pPr>
              <w:pStyle w:val="Tekstpodstawowy"/>
              <w:rPr>
                <w:b/>
                <w:bCs/>
                <w:noProof/>
                <w:sz w:val="22"/>
                <w:szCs w:val="22"/>
              </w:rPr>
            </w:pPr>
          </w:p>
          <w:p w14:paraId="43B947AE" w14:textId="77777777" w:rsidR="00B414B9" w:rsidRPr="00317ABF" w:rsidRDefault="00B414B9" w:rsidP="00DB3BEC">
            <w:pPr>
              <w:pStyle w:val="Tekstpodstawowy"/>
              <w:rPr>
                <w:b/>
                <w:bCs/>
                <w:noProof/>
                <w:sz w:val="22"/>
                <w:szCs w:val="22"/>
              </w:rPr>
            </w:pPr>
          </w:p>
          <w:p w14:paraId="35FFC011" w14:textId="77777777" w:rsidR="00B414B9" w:rsidRPr="00317ABF" w:rsidRDefault="00B414B9" w:rsidP="00DB3BEC">
            <w:pPr>
              <w:pStyle w:val="Tekstpodstawowy"/>
              <w:rPr>
                <w:b/>
                <w:bCs/>
                <w:noProof/>
                <w:sz w:val="22"/>
                <w:szCs w:val="22"/>
              </w:rPr>
            </w:pPr>
          </w:p>
          <w:p w14:paraId="2F782E8F" w14:textId="77777777" w:rsidR="00B414B9" w:rsidRPr="00317ABF" w:rsidRDefault="00B414B9" w:rsidP="00DB3BEC">
            <w:pPr>
              <w:pStyle w:val="Tekstpodstawowy"/>
              <w:rPr>
                <w:b/>
                <w:bCs/>
                <w:noProof/>
                <w:sz w:val="22"/>
                <w:szCs w:val="22"/>
              </w:rPr>
            </w:pPr>
          </w:p>
          <w:p w14:paraId="309EEA62" w14:textId="77777777" w:rsidR="00B414B9" w:rsidRPr="00317ABF" w:rsidRDefault="00B414B9" w:rsidP="00DB3BEC">
            <w:pPr>
              <w:pStyle w:val="Tekstpodstawowy"/>
              <w:rPr>
                <w:b/>
                <w:bCs/>
                <w:noProof/>
                <w:sz w:val="22"/>
                <w:szCs w:val="22"/>
              </w:rPr>
            </w:pPr>
          </w:p>
          <w:p w14:paraId="5B92818C" w14:textId="77777777" w:rsidR="00B414B9" w:rsidRPr="00317ABF" w:rsidRDefault="00B414B9" w:rsidP="00DB3BEC">
            <w:pPr>
              <w:pStyle w:val="Tekstpodstawowy"/>
              <w:rPr>
                <w:b/>
                <w:bCs/>
                <w:noProof/>
                <w:sz w:val="22"/>
                <w:szCs w:val="22"/>
              </w:rPr>
            </w:pPr>
          </w:p>
          <w:p w14:paraId="1E80D0CC" w14:textId="77777777" w:rsidR="00B414B9" w:rsidRPr="00317ABF" w:rsidRDefault="00B414B9" w:rsidP="00DB3BEC">
            <w:pPr>
              <w:pStyle w:val="Tekstpodstawowy"/>
              <w:rPr>
                <w:b/>
                <w:bCs/>
                <w:noProof/>
                <w:sz w:val="22"/>
                <w:szCs w:val="22"/>
              </w:rPr>
            </w:pPr>
          </w:p>
          <w:p w14:paraId="4ED6DC07" w14:textId="77777777" w:rsidR="00B414B9" w:rsidRPr="00317ABF" w:rsidRDefault="00B414B9" w:rsidP="00DB3BEC">
            <w:pPr>
              <w:pStyle w:val="Tekstpodstawowy"/>
              <w:rPr>
                <w:b/>
                <w:bCs/>
                <w:noProof/>
                <w:sz w:val="22"/>
                <w:szCs w:val="22"/>
              </w:rPr>
            </w:pPr>
          </w:p>
          <w:p w14:paraId="23C3E20B" w14:textId="77777777" w:rsidR="00B414B9" w:rsidRPr="00317ABF" w:rsidRDefault="00B414B9" w:rsidP="00DB3BEC">
            <w:pPr>
              <w:pStyle w:val="Tekstpodstawowy"/>
              <w:rPr>
                <w:b/>
                <w:bCs/>
                <w:noProof/>
                <w:sz w:val="22"/>
                <w:szCs w:val="22"/>
              </w:rPr>
            </w:pPr>
          </w:p>
          <w:p w14:paraId="2CC3903F" w14:textId="77777777" w:rsidR="00B414B9" w:rsidRPr="00317ABF" w:rsidRDefault="00B414B9" w:rsidP="00DB3BEC">
            <w:pPr>
              <w:pStyle w:val="Tekstpodstawowy"/>
              <w:rPr>
                <w:b/>
                <w:bCs/>
                <w:noProof/>
                <w:sz w:val="22"/>
                <w:szCs w:val="22"/>
              </w:rPr>
            </w:pPr>
          </w:p>
          <w:p w14:paraId="658188F7" w14:textId="77777777" w:rsidR="00B414B9" w:rsidRPr="00317ABF" w:rsidRDefault="00B414B9" w:rsidP="00DB3BEC">
            <w:pPr>
              <w:pStyle w:val="Tekstpodstawowy"/>
              <w:rPr>
                <w:b/>
                <w:bCs/>
                <w:noProof/>
                <w:sz w:val="22"/>
                <w:szCs w:val="22"/>
              </w:rPr>
            </w:pPr>
          </w:p>
          <w:p w14:paraId="357061E5" w14:textId="77777777" w:rsidR="00B414B9" w:rsidRPr="00317ABF" w:rsidRDefault="00B414B9" w:rsidP="00DB3BEC">
            <w:pPr>
              <w:pStyle w:val="Tekstpodstawowy"/>
              <w:rPr>
                <w:b/>
                <w:bCs/>
                <w:noProof/>
                <w:sz w:val="22"/>
                <w:szCs w:val="22"/>
              </w:rPr>
            </w:pPr>
          </w:p>
          <w:p w14:paraId="336852D4" w14:textId="77777777" w:rsidR="00B414B9" w:rsidRPr="00317ABF" w:rsidRDefault="00B414B9" w:rsidP="00DB3BEC">
            <w:pPr>
              <w:pStyle w:val="Tekstpodstawowy"/>
              <w:rPr>
                <w:b/>
                <w:bCs/>
                <w:noProof/>
                <w:sz w:val="22"/>
                <w:szCs w:val="22"/>
              </w:rPr>
            </w:pPr>
          </w:p>
          <w:p w14:paraId="443E512D" w14:textId="77777777" w:rsidR="00B414B9" w:rsidRPr="00317ABF" w:rsidRDefault="00B414B9" w:rsidP="00DB3BEC">
            <w:pPr>
              <w:pStyle w:val="Tekstpodstawowy"/>
              <w:rPr>
                <w:b/>
                <w:bCs/>
                <w:noProof/>
                <w:sz w:val="22"/>
                <w:szCs w:val="22"/>
              </w:rPr>
            </w:pPr>
          </w:p>
          <w:p w14:paraId="25BD1419" w14:textId="77777777" w:rsidR="00B414B9" w:rsidRPr="00317ABF" w:rsidRDefault="00B414B9" w:rsidP="00DB3BEC">
            <w:pPr>
              <w:pStyle w:val="Tekstpodstawowy"/>
              <w:rPr>
                <w:b/>
                <w:bCs/>
                <w:noProof/>
                <w:sz w:val="22"/>
                <w:szCs w:val="22"/>
              </w:rPr>
            </w:pPr>
          </w:p>
          <w:p w14:paraId="61B8DA5F" w14:textId="77777777" w:rsidR="00B414B9" w:rsidRPr="00317ABF" w:rsidRDefault="00B414B9" w:rsidP="00DB3BEC">
            <w:pPr>
              <w:pStyle w:val="Tekstpodstawowy"/>
              <w:rPr>
                <w:b/>
                <w:bCs/>
                <w:noProof/>
                <w:sz w:val="22"/>
                <w:szCs w:val="22"/>
              </w:rPr>
            </w:pPr>
          </w:p>
          <w:p w14:paraId="0B9E5FCF" w14:textId="77777777" w:rsidR="00B414B9" w:rsidRPr="00317ABF" w:rsidRDefault="00B414B9" w:rsidP="00DB3BEC">
            <w:pPr>
              <w:pStyle w:val="Tekstpodstawowy"/>
              <w:rPr>
                <w:b/>
                <w:bCs/>
                <w:noProof/>
                <w:sz w:val="22"/>
                <w:szCs w:val="22"/>
              </w:rPr>
            </w:pPr>
          </w:p>
          <w:p w14:paraId="55CE2DE3" w14:textId="77777777" w:rsidR="00B414B9" w:rsidRPr="00317ABF" w:rsidRDefault="00B414B9" w:rsidP="00DB3BEC">
            <w:pPr>
              <w:pStyle w:val="Tekstpodstawowy"/>
              <w:rPr>
                <w:b/>
                <w:bCs/>
                <w:noProof/>
                <w:sz w:val="22"/>
                <w:szCs w:val="22"/>
              </w:rPr>
            </w:pPr>
          </w:p>
          <w:p w14:paraId="61C34550" w14:textId="77777777" w:rsidR="00B414B9" w:rsidRPr="00317ABF" w:rsidRDefault="00B414B9" w:rsidP="00DB3BEC">
            <w:pPr>
              <w:pStyle w:val="Tekstpodstawowy"/>
              <w:rPr>
                <w:b/>
                <w:bCs/>
                <w:noProof/>
                <w:sz w:val="22"/>
                <w:szCs w:val="22"/>
              </w:rPr>
            </w:pPr>
          </w:p>
          <w:p w14:paraId="1B4704D4" w14:textId="77777777" w:rsidR="00B414B9" w:rsidRPr="00317ABF" w:rsidRDefault="00B414B9" w:rsidP="00DB3BEC">
            <w:pPr>
              <w:pStyle w:val="Tekstpodstawowy"/>
              <w:rPr>
                <w:b/>
                <w:bCs/>
                <w:noProof/>
                <w:sz w:val="22"/>
                <w:szCs w:val="22"/>
              </w:rPr>
            </w:pPr>
          </w:p>
          <w:p w14:paraId="0E90E8AC" w14:textId="77777777" w:rsidR="00B414B9" w:rsidRPr="00317ABF" w:rsidRDefault="00B414B9" w:rsidP="00DB3BEC">
            <w:pPr>
              <w:pStyle w:val="Tekstpodstawowy"/>
              <w:rPr>
                <w:b/>
                <w:bCs/>
                <w:noProof/>
                <w:sz w:val="22"/>
                <w:szCs w:val="22"/>
              </w:rPr>
            </w:pPr>
          </w:p>
          <w:p w14:paraId="683AD60A" w14:textId="77777777" w:rsidR="00B414B9" w:rsidRPr="00317ABF" w:rsidRDefault="00B414B9" w:rsidP="00DB3BEC">
            <w:pPr>
              <w:pStyle w:val="Tekstpodstawowy"/>
              <w:rPr>
                <w:b/>
                <w:bCs/>
                <w:noProof/>
                <w:sz w:val="22"/>
                <w:szCs w:val="22"/>
              </w:rPr>
            </w:pPr>
          </w:p>
          <w:p w14:paraId="34322961" w14:textId="77777777" w:rsidR="00B414B9" w:rsidRPr="00317ABF" w:rsidRDefault="00B414B9" w:rsidP="00DB3BEC">
            <w:pPr>
              <w:pStyle w:val="Tekstpodstawowy"/>
              <w:rPr>
                <w:b/>
                <w:bCs/>
                <w:noProof/>
                <w:sz w:val="22"/>
                <w:szCs w:val="22"/>
              </w:rPr>
            </w:pPr>
          </w:p>
          <w:p w14:paraId="036A4FB9" w14:textId="77777777" w:rsidR="00B414B9" w:rsidRPr="00317ABF" w:rsidRDefault="00B414B9" w:rsidP="00DB3BEC">
            <w:pPr>
              <w:pStyle w:val="Tekstpodstawowy"/>
              <w:rPr>
                <w:b/>
                <w:bCs/>
                <w:noProof/>
                <w:sz w:val="22"/>
                <w:szCs w:val="22"/>
              </w:rPr>
            </w:pPr>
          </w:p>
          <w:p w14:paraId="20812BC0" w14:textId="77777777" w:rsidR="00B414B9" w:rsidRPr="00317ABF" w:rsidRDefault="00B414B9" w:rsidP="00DB3BEC">
            <w:pPr>
              <w:pStyle w:val="Tekstpodstawowy"/>
              <w:rPr>
                <w:b/>
                <w:bCs/>
                <w:noProof/>
                <w:sz w:val="22"/>
                <w:szCs w:val="22"/>
              </w:rPr>
            </w:pPr>
          </w:p>
          <w:p w14:paraId="1678196D" w14:textId="77777777" w:rsidR="00B414B9" w:rsidRPr="00317ABF" w:rsidRDefault="00B414B9" w:rsidP="00DB3BEC">
            <w:pPr>
              <w:pStyle w:val="Tekstpodstawowy"/>
              <w:rPr>
                <w:b/>
                <w:bCs/>
                <w:noProof/>
                <w:sz w:val="22"/>
                <w:szCs w:val="22"/>
              </w:rPr>
            </w:pPr>
          </w:p>
          <w:p w14:paraId="187438AD" w14:textId="77777777" w:rsidR="00B414B9" w:rsidRPr="00317ABF" w:rsidRDefault="00B414B9" w:rsidP="00DB3BEC">
            <w:pPr>
              <w:pStyle w:val="Tekstpodstawowy"/>
              <w:rPr>
                <w:b/>
                <w:bCs/>
                <w:noProof/>
                <w:sz w:val="22"/>
                <w:szCs w:val="22"/>
              </w:rPr>
            </w:pPr>
          </w:p>
          <w:p w14:paraId="3DAF02AA" w14:textId="77777777" w:rsidR="00B414B9" w:rsidRPr="00317ABF" w:rsidRDefault="00B414B9" w:rsidP="00DB3BEC">
            <w:pPr>
              <w:pStyle w:val="Tekstpodstawowy"/>
              <w:rPr>
                <w:b/>
                <w:bCs/>
                <w:noProof/>
                <w:sz w:val="22"/>
                <w:szCs w:val="22"/>
              </w:rPr>
            </w:pPr>
          </w:p>
          <w:p w14:paraId="7E0607F9" w14:textId="77777777" w:rsidR="00B414B9" w:rsidRPr="00317ABF" w:rsidRDefault="00B414B9" w:rsidP="00DB3BEC">
            <w:pPr>
              <w:pStyle w:val="Tekstpodstawowy"/>
              <w:rPr>
                <w:b/>
                <w:bCs/>
                <w:noProof/>
                <w:sz w:val="22"/>
                <w:szCs w:val="22"/>
              </w:rPr>
            </w:pPr>
          </w:p>
          <w:p w14:paraId="486CE1F4" w14:textId="77777777" w:rsidR="00B414B9" w:rsidRPr="00317ABF" w:rsidRDefault="00B414B9" w:rsidP="00DB3BEC">
            <w:pPr>
              <w:pStyle w:val="Tekstpodstawowy"/>
              <w:rPr>
                <w:b/>
                <w:bCs/>
                <w:noProof/>
                <w:sz w:val="22"/>
                <w:szCs w:val="22"/>
              </w:rPr>
            </w:pPr>
          </w:p>
          <w:p w14:paraId="14252948" w14:textId="77777777" w:rsidR="00B414B9" w:rsidRPr="00317ABF" w:rsidRDefault="00B414B9" w:rsidP="00DB3BEC">
            <w:pPr>
              <w:pStyle w:val="Tekstpodstawowy"/>
              <w:rPr>
                <w:b/>
                <w:bCs/>
                <w:noProof/>
                <w:sz w:val="22"/>
                <w:szCs w:val="22"/>
              </w:rPr>
            </w:pPr>
          </w:p>
          <w:p w14:paraId="70AD6840" w14:textId="77777777" w:rsidR="00B414B9" w:rsidRPr="00317ABF" w:rsidRDefault="00B414B9" w:rsidP="00DB3BEC">
            <w:pPr>
              <w:pStyle w:val="Tekstpodstawowy"/>
              <w:rPr>
                <w:b/>
                <w:bCs/>
                <w:noProof/>
                <w:sz w:val="22"/>
                <w:szCs w:val="22"/>
              </w:rPr>
            </w:pPr>
          </w:p>
          <w:p w14:paraId="478548D3" w14:textId="77777777" w:rsidR="00B414B9" w:rsidRPr="00317ABF" w:rsidRDefault="00B414B9" w:rsidP="00DB3BEC">
            <w:pPr>
              <w:pStyle w:val="Tekstpodstawowy"/>
              <w:rPr>
                <w:b/>
                <w:bCs/>
                <w:noProof/>
                <w:sz w:val="22"/>
                <w:szCs w:val="22"/>
              </w:rPr>
            </w:pPr>
          </w:p>
          <w:p w14:paraId="5F479DF1" w14:textId="77777777" w:rsidR="00B414B9" w:rsidRPr="00317ABF" w:rsidRDefault="00B414B9" w:rsidP="00DB3BEC">
            <w:pPr>
              <w:pStyle w:val="Tekstpodstawowy"/>
              <w:rPr>
                <w:b/>
                <w:bCs/>
                <w:noProof/>
                <w:sz w:val="22"/>
                <w:szCs w:val="22"/>
              </w:rPr>
            </w:pPr>
          </w:p>
          <w:p w14:paraId="598317D7" w14:textId="77777777" w:rsidR="00B414B9" w:rsidRPr="00317ABF" w:rsidRDefault="00B414B9" w:rsidP="00DB3BEC">
            <w:pPr>
              <w:pStyle w:val="Tekstpodstawowy"/>
              <w:rPr>
                <w:b/>
                <w:bCs/>
                <w:noProof/>
                <w:sz w:val="22"/>
                <w:szCs w:val="22"/>
              </w:rPr>
            </w:pPr>
          </w:p>
          <w:p w14:paraId="15368586" w14:textId="77777777" w:rsidR="00B414B9" w:rsidRPr="00317ABF" w:rsidRDefault="00B414B9" w:rsidP="00DB3BEC">
            <w:pPr>
              <w:pStyle w:val="Tekstpodstawowy"/>
              <w:rPr>
                <w:b/>
                <w:bCs/>
                <w:noProof/>
                <w:sz w:val="22"/>
                <w:szCs w:val="22"/>
              </w:rPr>
            </w:pPr>
          </w:p>
          <w:p w14:paraId="67AD272A" w14:textId="77777777" w:rsidR="00B414B9" w:rsidRPr="00317ABF" w:rsidRDefault="00B414B9" w:rsidP="00DB3BEC">
            <w:pPr>
              <w:pStyle w:val="Tekstpodstawowy"/>
              <w:rPr>
                <w:b/>
                <w:bCs/>
                <w:noProof/>
                <w:sz w:val="22"/>
                <w:szCs w:val="22"/>
              </w:rPr>
            </w:pPr>
          </w:p>
          <w:p w14:paraId="78C46D04" w14:textId="77777777" w:rsidR="00B414B9" w:rsidRPr="00317ABF" w:rsidRDefault="00B414B9" w:rsidP="00DB3BEC">
            <w:pPr>
              <w:pStyle w:val="Tekstpodstawowy"/>
              <w:rPr>
                <w:b/>
                <w:bCs/>
                <w:noProof/>
                <w:sz w:val="22"/>
                <w:szCs w:val="22"/>
              </w:rPr>
            </w:pPr>
          </w:p>
          <w:p w14:paraId="22972ED6" w14:textId="77777777" w:rsidR="00B414B9" w:rsidRPr="00317ABF" w:rsidRDefault="00B414B9" w:rsidP="00DB3BEC">
            <w:pPr>
              <w:pStyle w:val="Tekstpodstawowy"/>
              <w:rPr>
                <w:b/>
                <w:bCs/>
                <w:noProof/>
                <w:sz w:val="22"/>
                <w:szCs w:val="22"/>
              </w:rPr>
            </w:pPr>
          </w:p>
          <w:p w14:paraId="1CEC8F4D" w14:textId="77777777" w:rsidR="00B414B9" w:rsidRPr="00317ABF" w:rsidRDefault="00B414B9" w:rsidP="00DB3BEC">
            <w:pPr>
              <w:pStyle w:val="Tekstpodstawowy"/>
              <w:rPr>
                <w:b/>
                <w:bCs/>
                <w:noProof/>
                <w:sz w:val="22"/>
                <w:szCs w:val="22"/>
              </w:rPr>
            </w:pPr>
          </w:p>
          <w:p w14:paraId="3A42425B" w14:textId="77777777" w:rsidR="00B414B9" w:rsidRPr="00317ABF" w:rsidRDefault="00B414B9" w:rsidP="00DB3BEC">
            <w:pPr>
              <w:pStyle w:val="Tekstpodstawowy"/>
              <w:rPr>
                <w:b/>
                <w:bCs/>
                <w:noProof/>
                <w:sz w:val="22"/>
                <w:szCs w:val="22"/>
              </w:rPr>
            </w:pPr>
          </w:p>
          <w:p w14:paraId="1AF87E8B" w14:textId="77777777" w:rsidR="00B414B9" w:rsidRPr="00317ABF" w:rsidRDefault="00B414B9" w:rsidP="00DB3BEC">
            <w:pPr>
              <w:pStyle w:val="Tekstpodstawowy"/>
              <w:rPr>
                <w:b/>
                <w:bCs/>
                <w:noProof/>
                <w:sz w:val="22"/>
                <w:szCs w:val="22"/>
              </w:rPr>
            </w:pPr>
          </w:p>
          <w:p w14:paraId="4A1B5A09" w14:textId="77777777" w:rsidR="00B414B9" w:rsidRPr="00317ABF" w:rsidRDefault="00B414B9" w:rsidP="00DB3BEC">
            <w:pPr>
              <w:pStyle w:val="Tekstpodstawowy"/>
              <w:rPr>
                <w:b/>
                <w:bCs/>
                <w:noProof/>
                <w:sz w:val="22"/>
                <w:szCs w:val="22"/>
              </w:rPr>
            </w:pPr>
          </w:p>
          <w:p w14:paraId="1659E64F" w14:textId="77777777" w:rsidR="00B414B9" w:rsidRPr="00317ABF" w:rsidRDefault="00B414B9" w:rsidP="00DB3BEC">
            <w:pPr>
              <w:pStyle w:val="Tekstpodstawowy"/>
              <w:rPr>
                <w:b/>
                <w:bCs/>
                <w:noProof/>
                <w:sz w:val="22"/>
                <w:szCs w:val="22"/>
              </w:rPr>
            </w:pPr>
          </w:p>
          <w:p w14:paraId="11E532C7" w14:textId="77777777" w:rsidR="00B414B9" w:rsidRPr="00317ABF" w:rsidRDefault="00B414B9" w:rsidP="00DB3BEC">
            <w:pPr>
              <w:pStyle w:val="Tekstpodstawowy"/>
              <w:rPr>
                <w:b/>
                <w:bCs/>
                <w:noProof/>
                <w:sz w:val="22"/>
                <w:szCs w:val="22"/>
              </w:rPr>
            </w:pPr>
          </w:p>
          <w:p w14:paraId="20D9BA1C" w14:textId="77777777" w:rsidR="00B414B9" w:rsidRPr="00317ABF" w:rsidRDefault="00B414B9" w:rsidP="00DB3BEC">
            <w:pPr>
              <w:pStyle w:val="Tekstpodstawowy"/>
              <w:rPr>
                <w:b/>
                <w:bCs/>
                <w:noProof/>
                <w:sz w:val="22"/>
                <w:szCs w:val="22"/>
              </w:rPr>
            </w:pPr>
          </w:p>
          <w:p w14:paraId="5BC59864" w14:textId="77777777" w:rsidR="00B414B9" w:rsidRPr="00317ABF" w:rsidRDefault="00B414B9" w:rsidP="00DB3BEC">
            <w:pPr>
              <w:pStyle w:val="Tekstpodstawowy"/>
              <w:rPr>
                <w:b/>
                <w:bCs/>
                <w:noProof/>
                <w:sz w:val="22"/>
                <w:szCs w:val="22"/>
              </w:rPr>
            </w:pPr>
          </w:p>
          <w:p w14:paraId="46741476" w14:textId="77777777" w:rsidR="00B414B9" w:rsidRPr="00317ABF" w:rsidRDefault="00B414B9" w:rsidP="00DB3BEC">
            <w:pPr>
              <w:pStyle w:val="Tekstpodstawowy"/>
              <w:rPr>
                <w:b/>
                <w:bCs/>
                <w:noProof/>
                <w:sz w:val="22"/>
                <w:szCs w:val="22"/>
              </w:rPr>
            </w:pPr>
          </w:p>
          <w:p w14:paraId="6E41CE6D" w14:textId="77777777" w:rsidR="00B414B9" w:rsidRPr="00317ABF" w:rsidRDefault="00B414B9" w:rsidP="00DB3BEC">
            <w:pPr>
              <w:pStyle w:val="Tekstpodstawowy"/>
              <w:rPr>
                <w:b/>
                <w:bCs/>
                <w:noProof/>
                <w:sz w:val="22"/>
                <w:szCs w:val="22"/>
              </w:rPr>
            </w:pPr>
          </w:p>
          <w:p w14:paraId="6C7DA1B7" w14:textId="45C11FDF" w:rsidR="001E1112" w:rsidRPr="00317ABF" w:rsidRDefault="001E1112" w:rsidP="00DB3BEC">
            <w:pPr>
              <w:pStyle w:val="Tekstpodstawowy"/>
              <w:rPr>
                <w:b/>
                <w:bCs/>
                <w:noProof/>
                <w:sz w:val="22"/>
                <w:szCs w:val="22"/>
              </w:rPr>
            </w:pPr>
            <w:r w:rsidRPr="00317ABF">
              <w:rPr>
                <w:b/>
                <w:bCs/>
                <w:noProof/>
                <w:sz w:val="22"/>
                <w:szCs w:val="22"/>
              </w:rPr>
              <w:t>Art. 3</w:t>
            </w:r>
            <w:r w:rsidR="0069103F" w:rsidRPr="00317ABF">
              <w:rPr>
                <w:b/>
                <w:bCs/>
                <w:noProof/>
                <w:sz w:val="22"/>
                <w:szCs w:val="22"/>
              </w:rPr>
              <w:t xml:space="preserve">4 pkt 12 oraz </w:t>
            </w:r>
            <w:r w:rsidRPr="00317ABF">
              <w:rPr>
                <w:b/>
                <w:bCs/>
                <w:noProof/>
                <w:sz w:val="22"/>
                <w:szCs w:val="22"/>
              </w:rPr>
              <w:t xml:space="preserve"> </w:t>
            </w:r>
            <w:r w:rsidR="0069103F" w:rsidRPr="00317ABF">
              <w:rPr>
                <w:b/>
                <w:bCs/>
                <w:noProof/>
                <w:sz w:val="22"/>
                <w:szCs w:val="22"/>
              </w:rPr>
              <w:t xml:space="preserve">32 </w:t>
            </w:r>
            <w:r w:rsidRPr="00317ABF">
              <w:rPr>
                <w:b/>
                <w:bCs/>
                <w:noProof/>
                <w:sz w:val="22"/>
                <w:szCs w:val="22"/>
              </w:rPr>
              <w:t>ustawy wprowadzającej PKE</w:t>
            </w:r>
          </w:p>
          <w:p w14:paraId="09E54D81" w14:textId="3B440AC2" w:rsidR="001E1112" w:rsidRPr="00317ABF" w:rsidRDefault="001E1112" w:rsidP="00DB3BEC">
            <w:pPr>
              <w:pStyle w:val="Tekstpodstawowy"/>
              <w:rPr>
                <w:b/>
                <w:bCs/>
                <w:noProof/>
                <w:sz w:val="22"/>
                <w:szCs w:val="22"/>
              </w:rPr>
            </w:pPr>
          </w:p>
          <w:p w14:paraId="4AA870F5" w14:textId="1A6BAF01" w:rsidR="001E1112" w:rsidRPr="00317ABF" w:rsidRDefault="001E1112" w:rsidP="00DB3BEC">
            <w:pPr>
              <w:pStyle w:val="Tekstpodstawowy"/>
              <w:rPr>
                <w:b/>
                <w:bCs/>
                <w:noProof/>
                <w:sz w:val="22"/>
                <w:szCs w:val="22"/>
              </w:rPr>
            </w:pPr>
          </w:p>
          <w:p w14:paraId="293F35A8" w14:textId="2897C181" w:rsidR="001E1112" w:rsidRPr="00317ABF" w:rsidRDefault="001E1112" w:rsidP="00DB3BEC">
            <w:pPr>
              <w:pStyle w:val="Tekstpodstawowy"/>
              <w:rPr>
                <w:b/>
                <w:bCs/>
                <w:noProof/>
                <w:sz w:val="22"/>
                <w:szCs w:val="22"/>
              </w:rPr>
            </w:pPr>
          </w:p>
          <w:p w14:paraId="7E0F4370" w14:textId="009D5169" w:rsidR="001E1112" w:rsidRPr="00317ABF" w:rsidRDefault="001E1112" w:rsidP="00DB3BEC">
            <w:pPr>
              <w:pStyle w:val="Tekstpodstawowy"/>
              <w:rPr>
                <w:b/>
                <w:bCs/>
                <w:noProof/>
                <w:sz w:val="22"/>
                <w:szCs w:val="22"/>
              </w:rPr>
            </w:pPr>
          </w:p>
          <w:p w14:paraId="34626B9E" w14:textId="52B3F184" w:rsidR="001E1112" w:rsidRPr="00317ABF" w:rsidRDefault="001E1112" w:rsidP="00DB3BEC">
            <w:pPr>
              <w:pStyle w:val="Tekstpodstawowy"/>
              <w:rPr>
                <w:b/>
                <w:bCs/>
                <w:noProof/>
                <w:sz w:val="22"/>
                <w:szCs w:val="22"/>
              </w:rPr>
            </w:pPr>
          </w:p>
          <w:p w14:paraId="2063D06A" w14:textId="0DB44F7D" w:rsidR="001E1112" w:rsidRPr="00317ABF" w:rsidRDefault="001E1112" w:rsidP="00DB3BEC">
            <w:pPr>
              <w:pStyle w:val="Tekstpodstawowy"/>
              <w:rPr>
                <w:b/>
                <w:bCs/>
                <w:noProof/>
                <w:sz w:val="22"/>
                <w:szCs w:val="22"/>
              </w:rPr>
            </w:pPr>
          </w:p>
          <w:p w14:paraId="33FE15BA" w14:textId="1B8C0540" w:rsidR="001E1112" w:rsidRPr="00317ABF" w:rsidRDefault="001E1112" w:rsidP="00DB3BEC">
            <w:pPr>
              <w:pStyle w:val="Tekstpodstawowy"/>
              <w:rPr>
                <w:b/>
                <w:bCs/>
                <w:noProof/>
                <w:sz w:val="22"/>
                <w:szCs w:val="22"/>
              </w:rPr>
            </w:pPr>
          </w:p>
          <w:p w14:paraId="5C849FD7" w14:textId="6C210261" w:rsidR="001E1112" w:rsidRPr="00317ABF" w:rsidRDefault="001E1112" w:rsidP="00DB3BEC">
            <w:pPr>
              <w:pStyle w:val="Tekstpodstawowy"/>
              <w:rPr>
                <w:b/>
                <w:bCs/>
                <w:noProof/>
                <w:sz w:val="22"/>
                <w:szCs w:val="22"/>
              </w:rPr>
            </w:pPr>
          </w:p>
          <w:p w14:paraId="50BC1B30" w14:textId="45ADAE96" w:rsidR="001E1112" w:rsidRPr="00317ABF" w:rsidRDefault="001E1112" w:rsidP="00DB3BEC">
            <w:pPr>
              <w:pStyle w:val="Tekstpodstawowy"/>
              <w:rPr>
                <w:b/>
                <w:bCs/>
                <w:noProof/>
                <w:sz w:val="22"/>
                <w:szCs w:val="22"/>
              </w:rPr>
            </w:pPr>
          </w:p>
          <w:p w14:paraId="2739BCC1" w14:textId="49955CFD" w:rsidR="001E1112" w:rsidRPr="00317ABF" w:rsidRDefault="001E1112" w:rsidP="00DB3BEC">
            <w:pPr>
              <w:pStyle w:val="Tekstpodstawowy"/>
              <w:rPr>
                <w:b/>
                <w:bCs/>
                <w:noProof/>
                <w:sz w:val="22"/>
                <w:szCs w:val="22"/>
              </w:rPr>
            </w:pPr>
          </w:p>
          <w:p w14:paraId="6AF48631" w14:textId="539ADC9A" w:rsidR="001E1112" w:rsidRPr="00317ABF" w:rsidRDefault="001E1112" w:rsidP="00DB3BEC">
            <w:pPr>
              <w:pStyle w:val="Tekstpodstawowy"/>
              <w:rPr>
                <w:b/>
                <w:bCs/>
                <w:noProof/>
                <w:sz w:val="22"/>
                <w:szCs w:val="22"/>
              </w:rPr>
            </w:pPr>
          </w:p>
          <w:p w14:paraId="34F53334" w14:textId="25725F66" w:rsidR="001E1112" w:rsidRPr="00317ABF" w:rsidRDefault="001E1112" w:rsidP="00DB3BEC">
            <w:pPr>
              <w:pStyle w:val="Tekstpodstawowy"/>
              <w:rPr>
                <w:b/>
                <w:bCs/>
                <w:noProof/>
                <w:sz w:val="22"/>
                <w:szCs w:val="22"/>
              </w:rPr>
            </w:pPr>
          </w:p>
          <w:p w14:paraId="25C7D18E" w14:textId="7E96E8D1" w:rsidR="001E1112" w:rsidRPr="00317ABF" w:rsidRDefault="0097372F" w:rsidP="00DB3BEC">
            <w:pPr>
              <w:pStyle w:val="Tekstpodstawowy"/>
              <w:rPr>
                <w:b/>
                <w:bCs/>
                <w:noProof/>
                <w:sz w:val="22"/>
                <w:szCs w:val="22"/>
              </w:rPr>
            </w:pPr>
            <w:r w:rsidRPr="00317ABF">
              <w:rPr>
                <w:b/>
                <w:bCs/>
                <w:noProof/>
                <w:sz w:val="22"/>
                <w:szCs w:val="22"/>
              </w:rPr>
              <w:t>Art. 13 ust. wpr. PKE</w:t>
            </w:r>
          </w:p>
          <w:p w14:paraId="3D21139D" w14:textId="2685BDC6" w:rsidR="001E1112" w:rsidRPr="00317ABF" w:rsidRDefault="001E1112" w:rsidP="00DB3BEC">
            <w:pPr>
              <w:pStyle w:val="Tekstpodstawowy"/>
              <w:rPr>
                <w:b/>
                <w:bCs/>
                <w:noProof/>
                <w:sz w:val="22"/>
                <w:szCs w:val="22"/>
              </w:rPr>
            </w:pPr>
          </w:p>
          <w:p w14:paraId="3BD9DCF2" w14:textId="0B474ABB" w:rsidR="001E1112" w:rsidRPr="00317ABF" w:rsidRDefault="001E1112" w:rsidP="0069103F">
            <w:pPr>
              <w:pStyle w:val="Tekstpodstawowy"/>
              <w:rPr>
                <w:b/>
                <w:bCs/>
                <w:noProof/>
                <w:sz w:val="22"/>
                <w:szCs w:val="22"/>
              </w:rPr>
            </w:pPr>
          </w:p>
        </w:tc>
        <w:tc>
          <w:tcPr>
            <w:tcW w:w="6814" w:type="dxa"/>
            <w:gridSpan w:val="2"/>
          </w:tcPr>
          <w:p w14:paraId="66C47654" w14:textId="77777777" w:rsidR="00240931" w:rsidRPr="00317ABF" w:rsidRDefault="00240931" w:rsidP="0069103F">
            <w:pPr>
              <w:pStyle w:val="ARTartustawynprozporzdzenia"/>
              <w:spacing w:line="240" w:lineRule="auto"/>
              <w:rPr>
                <w:rFonts w:ascii="Times New Roman" w:hAnsi="Times New Roman" w:cs="Times New Roman"/>
                <w:szCs w:val="24"/>
              </w:rPr>
            </w:pPr>
            <w:r w:rsidRPr="00317ABF">
              <w:rPr>
                <w:rFonts w:ascii="Times New Roman" w:hAnsi="Times New Roman" w:cs="Times New Roman"/>
                <w:b/>
                <w:bCs/>
                <w:szCs w:val="24"/>
              </w:rPr>
              <w:lastRenderedPageBreak/>
              <w:t>Art. 6.</w:t>
            </w:r>
            <w:r w:rsidRPr="00317ABF">
              <w:rPr>
                <w:rFonts w:ascii="Times New Roman" w:hAnsi="Times New Roman" w:cs="Times New Roman"/>
                <w:szCs w:val="24"/>
              </w:rPr>
              <w:t> W ustawie z dnia 21 marca 1985 r. o drogach publicznych (Dz. U. z 2020 poz. 470, 471,1087 i 2338):</w:t>
            </w:r>
          </w:p>
          <w:p w14:paraId="19FC6044" w14:textId="77777777" w:rsidR="00240931" w:rsidRPr="00317ABF" w:rsidRDefault="00240931" w:rsidP="0069103F">
            <w:pPr>
              <w:pStyle w:val="ARTartustawynprozporzdzenia"/>
              <w:spacing w:line="240" w:lineRule="auto"/>
              <w:rPr>
                <w:rFonts w:ascii="Times New Roman" w:eastAsia="Times" w:hAnsi="Times New Roman" w:cs="Times New Roman"/>
                <w:szCs w:val="24"/>
              </w:rPr>
            </w:pPr>
            <w:r w:rsidRPr="00317ABF">
              <w:rPr>
                <w:rFonts w:ascii="Times New Roman" w:eastAsia="Times" w:hAnsi="Times New Roman" w:cs="Times New Roman"/>
                <w:szCs w:val="24"/>
              </w:rPr>
              <w:t>1) w art. 39:</w:t>
            </w:r>
          </w:p>
          <w:p w14:paraId="0205CBD3" w14:textId="77777777" w:rsidR="00240931" w:rsidRPr="00317ABF" w:rsidRDefault="00240931" w:rsidP="0069103F">
            <w:pPr>
              <w:pStyle w:val="ARTartustawynprozporzdzenia"/>
              <w:spacing w:line="240" w:lineRule="auto"/>
              <w:rPr>
                <w:rFonts w:ascii="Times New Roman" w:eastAsia="Times" w:hAnsi="Times New Roman" w:cs="Times New Roman"/>
                <w:szCs w:val="24"/>
              </w:rPr>
            </w:pPr>
            <w:r w:rsidRPr="00317ABF">
              <w:rPr>
                <w:rFonts w:ascii="Times New Roman" w:eastAsia="Times" w:hAnsi="Times New Roman" w:cs="Times New Roman"/>
                <w:szCs w:val="24"/>
              </w:rPr>
              <w:t>a) w ust. 1a wyrazy „ustawy z dnia 16 lipca 2004 r. – Prawo telekomunikacyjne (Dz. U. z 2019 r. poz.</w:t>
            </w:r>
            <w:r w:rsidRPr="00317ABF">
              <w:rPr>
                <w:rFonts w:ascii="Times New Roman" w:hAnsi="Times New Roman" w:cs="Times New Roman"/>
                <w:szCs w:val="24"/>
              </w:rPr>
              <w:t xml:space="preserve"> 2460</w:t>
            </w:r>
            <w:r w:rsidRPr="00317ABF">
              <w:rPr>
                <w:rFonts w:ascii="Times New Roman" w:eastAsia="Times" w:hAnsi="Times New Roman" w:cs="Times New Roman"/>
                <w:szCs w:val="24"/>
              </w:rPr>
              <w:t>)” zastępuje się wyrazami „</w:t>
            </w:r>
            <w:r w:rsidRPr="00317ABF">
              <w:rPr>
                <w:rFonts w:ascii="Times New Roman" w:eastAsia="Calibri" w:hAnsi="Times New Roman" w:cs="Times New Roman"/>
                <w:szCs w:val="24"/>
              </w:rPr>
              <w:t xml:space="preserve">ustawy z dnia … 2021 r. </w:t>
            </w:r>
            <w:r w:rsidRPr="00317ABF">
              <w:rPr>
                <w:rFonts w:ascii="Times New Roman" w:hAnsi="Times New Roman" w:cs="Times New Roman"/>
                <w:szCs w:val="24"/>
              </w:rPr>
              <w:t>–</w:t>
            </w:r>
            <w:r w:rsidRPr="00317ABF">
              <w:rPr>
                <w:rFonts w:ascii="Times New Roman" w:eastAsia="Calibri" w:hAnsi="Times New Roman" w:cs="Times New Roman"/>
                <w:szCs w:val="24"/>
              </w:rPr>
              <w:t xml:space="preserve"> Prawo komunikacji elektronicznej (Dz. U. poz. …)”</w:t>
            </w:r>
            <w:r w:rsidRPr="00317ABF">
              <w:rPr>
                <w:rFonts w:ascii="Times New Roman" w:eastAsia="Times" w:hAnsi="Times New Roman" w:cs="Times New Roman"/>
                <w:szCs w:val="24"/>
              </w:rPr>
              <w:t>,</w:t>
            </w:r>
          </w:p>
          <w:p w14:paraId="33691D31" w14:textId="77777777" w:rsidR="00240931" w:rsidRPr="00317ABF" w:rsidRDefault="00240931" w:rsidP="0069103F">
            <w:pPr>
              <w:pStyle w:val="ARTartustawynprozporzdzenia"/>
              <w:spacing w:line="240" w:lineRule="auto"/>
              <w:rPr>
                <w:rFonts w:ascii="Times New Roman" w:eastAsia="Times" w:hAnsi="Times New Roman" w:cs="Times New Roman"/>
                <w:szCs w:val="24"/>
              </w:rPr>
            </w:pPr>
            <w:r w:rsidRPr="00317ABF">
              <w:rPr>
                <w:rFonts w:ascii="Times New Roman" w:eastAsia="Times" w:hAnsi="Times New Roman" w:cs="Times New Roman"/>
                <w:szCs w:val="24"/>
              </w:rPr>
              <w:t>b) w ust. 3 zdanie pierwsze otrzymuje brzmienie:</w:t>
            </w:r>
          </w:p>
          <w:p w14:paraId="6291BBD7" w14:textId="77777777" w:rsidR="00240931" w:rsidRPr="00317ABF" w:rsidRDefault="00240931" w:rsidP="0069103F">
            <w:pPr>
              <w:pStyle w:val="ARTartustawynprozporzdzenia"/>
              <w:spacing w:line="240" w:lineRule="auto"/>
              <w:rPr>
                <w:rFonts w:ascii="Times New Roman" w:eastAsia="Times" w:hAnsi="Times New Roman" w:cs="Times New Roman"/>
                <w:szCs w:val="24"/>
              </w:rPr>
            </w:pPr>
            <w:r w:rsidRPr="00317ABF">
              <w:rPr>
                <w:rFonts w:ascii="Times New Roman" w:eastAsia="Times" w:hAnsi="Times New Roman" w:cs="Times New Roman"/>
                <w:szCs w:val="24"/>
              </w:rPr>
              <w:t>„3. W szczególnie uzasadnionych przypadkach lokalizowanie w pasie drogowym obiektów budowlanych lub urządzeń niezwiązanych z potrzebami zarządzania drogami lub potrzebami ruchu drogowego oraz reklam,</w:t>
            </w:r>
            <w:r w:rsidRPr="00317ABF">
              <w:rPr>
                <w:rFonts w:ascii="Times New Roman" w:eastAsia="Helvetica" w:hAnsi="Times New Roman" w:cs="Times New Roman"/>
                <w:szCs w:val="24"/>
              </w:rPr>
              <w:t xml:space="preserve"> z zastrzeżeniem ust. 3</w:t>
            </w:r>
            <w:r w:rsidRPr="00317ABF">
              <w:rPr>
                <w:rFonts w:ascii="Times New Roman" w:eastAsia="Helvetica" w:hAnsi="Times New Roman" w:cs="Times New Roman"/>
                <w:szCs w:val="24"/>
                <w:vertAlign w:val="superscript"/>
              </w:rPr>
              <w:t>1</w:t>
            </w:r>
            <w:r w:rsidRPr="00317ABF">
              <w:rPr>
                <w:rFonts w:ascii="Times New Roman" w:eastAsia="Helvetica" w:hAnsi="Times New Roman" w:cs="Times New Roman"/>
                <w:szCs w:val="24"/>
              </w:rPr>
              <w:t>,</w:t>
            </w:r>
            <w:r w:rsidRPr="00317ABF">
              <w:rPr>
                <w:rFonts w:ascii="Times New Roman" w:eastAsia="Times" w:hAnsi="Times New Roman" w:cs="Times New Roman"/>
                <w:szCs w:val="24"/>
              </w:rPr>
              <w:t xml:space="preserve"> może nastąpić wyłącznie w drodze decyzji administracyjnej – zezwolenie nie jest wymagane w </w:t>
            </w:r>
            <w:r w:rsidRPr="00317ABF">
              <w:rPr>
                <w:rFonts w:ascii="Times New Roman" w:eastAsia="Times" w:hAnsi="Times New Roman" w:cs="Times New Roman"/>
                <w:szCs w:val="24"/>
              </w:rPr>
              <w:lastRenderedPageBreak/>
              <w:t>przypadku wydania decyzji, o której mowa w ust. 7, lub w przypadku zawarcia umowy, o której mowa w ust. 7a lub w art. 22 ust. 2, 2a, 2c.”,</w:t>
            </w:r>
          </w:p>
          <w:p w14:paraId="0BE00C30" w14:textId="77777777" w:rsidR="00240931" w:rsidRPr="00317ABF" w:rsidRDefault="00240931" w:rsidP="0069103F">
            <w:pPr>
              <w:pStyle w:val="ARTartustawynprozporzdzenia"/>
              <w:spacing w:line="240" w:lineRule="auto"/>
              <w:ind w:left="340" w:firstLine="170"/>
              <w:rPr>
                <w:rFonts w:ascii="Times New Roman" w:eastAsia="Times" w:hAnsi="Times New Roman" w:cs="Times New Roman"/>
                <w:szCs w:val="24"/>
              </w:rPr>
            </w:pPr>
            <w:r w:rsidRPr="00317ABF">
              <w:rPr>
                <w:rFonts w:ascii="Times New Roman" w:eastAsia="Times" w:hAnsi="Times New Roman" w:cs="Times New Roman"/>
                <w:szCs w:val="24"/>
              </w:rPr>
              <w:t xml:space="preserve">c) po ust. 3 dodaje się ust. </w:t>
            </w:r>
            <w:r w:rsidRPr="00317ABF">
              <w:rPr>
                <w:rFonts w:ascii="Times New Roman" w:hAnsi="Times New Roman" w:cs="Times New Roman"/>
                <w:szCs w:val="24"/>
              </w:rPr>
              <w:t>3</w:t>
            </w:r>
            <w:r w:rsidRPr="00317ABF">
              <w:rPr>
                <w:rFonts w:ascii="Times New Roman" w:hAnsi="Times New Roman" w:cs="Times New Roman"/>
                <w:szCs w:val="24"/>
                <w:vertAlign w:val="superscript"/>
              </w:rPr>
              <w:t>1</w:t>
            </w:r>
            <w:r w:rsidRPr="00317ABF">
              <w:rPr>
                <w:rFonts w:ascii="Times New Roman" w:eastAsia="Times" w:hAnsi="Times New Roman" w:cs="Times New Roman"/>
                <w:szCs w:val="24"/>
              </w:rPr>
              <w:t xml:space="preserve"> – </w:t>
            </w:r>
            <w:r w:rsidRPr="00317ABF">
              <w:rPr>
                <w:rFonts w:ascii="Times New Roman" w:hAnsi="Times New Roman" w:cs="Times New Roman"/>
                <w:szCs w:val="24"/>
              </w:rPr>
              <w:t>3</w:t>
            </w:r>
            <w:r w:rsidRPr="00317ABF">
              <w:rPr>
                <w:rFonts w:ascii="Times New Roman" w:hAnsi="Times New Roman" w:cs="Times New Roman"/>
                <w:szCs w:val="24"/>
                <w:vertAlign w:val="superscript"/>
              </w:rPr>
              <w:t>4</w:t>
            </w:r>
            <w:r w:rsidRPr="00317ABF">
              <w:rPr>
                <w:rFonts w:ascii="Times New Roman" w:eastAsia="Times" w:hAnsi="Times New Roman" w:cs="Times New Roman"/>
                <w:szCs w:val="24"/>
              </w:rPr>
              <w:t xml:space="preserve"> w brzmieniu:</w:t>
            </w:r>
          </w:p>
          <w:p w14:paraId="2D404230" w14:textId="77777777" w:rsidR="00240931" w:rsidRPr="00317ABF" w:rsidRDefault="00240931" w:rsidP="00240931">
            <w:pPr>
              <w:jc w:val="both"/>
            </w:pPr>
            <w:r w:rsidRPr="00317ABF">
              <w:rPr>
                <w:rFonts w:eastAsia="Times"/>
              </w:rPr>
              <w:t>„</w:t>
            </w:r>
            <w:r w:rsidRPr="00317ABF">
              <w:t>3</w:t>
            </w:r>
            <w:r w:rsidRPr="00317ABF">
              <w:rPr>
                <w:vertAlign w:val="superscript"/>
              </w:rPr>
              <w:t>1</w:t>
            </w:r>
            <w:r w:rsidRPr="00317ABF">
              <w:t>. W pasie drogowym mogą być instalowane punkty dostępu bezprzewodowego o bliskim zasięgu, o których mowa w art. 2 ust. 1 pkt 10 ustawy z dnia 7 maja 2010 r. o wspieraniu rozwoju usług i sieci telekomunikacyjnych (Dz. U. z 2019 r. poz. 2410 oraz z 2020 r. poz. 471, 875 i 1378), zwane dalej „punktami dostępu”, przy czym może to nastąpić wyłącznie za zezwoleniem właściwego zarządcy drogi, wydawanym w drodze decyzji administracyjnej.</w:t>
            </w:r>
          </w:p>
          <w:p w14:paraId="1538007C" w14:textId="77777777" w:rsidR="00240931" w:rsidRPr="00317ABF" w:rsidRDefault="00240931" w:rsidP="00240931">
            <w:pPr>
              <w:jc w:val="both"/>
            </w:pPr>
            <w:r w:rsidRPr="00317ABF">
              <w:t>3</w:t>
            </w:r>
            <w:r w:rsidRPr="00317ABF">
              <w:rPr>
                <w:vertAlign w:val="superscript"/>
              </w:rPr>
              <w:t>2</w:t>
            </w:r>
            <w:r w:rsidRPr="00317ABF">
              <w:t>. Zarządca drogi może odmówić wydania zezwolenia na instalację punktów dostępu wyłącznie, jeżeli ich umieszczenie spowodowałoby zagrożenie bezpieczeństwa ruchu drogowego.</w:t>
            </w:r>
          </w:p>
          <w:p w14:paraId="20774EBE" w14:textId="77777777" w:rsidR="00240931" w:rsidRPr="00317ABF" w:rsidRDefault="00240931" w:rsidP="0069103F">
            <w:pPr>
              <w:jc w:val="both"/>
            </w:pPr>
            <w:r w:rsidRPr="00317ABF">
              <w:t>3</w:t>
            </w:r>
            <w:r w:rsidRPr="00317ABF">
              <w:rPr>
                <w:vertAlign w:val="superscript"/>
              </w:rPr>
              <w:t>3</w:t>
            </w:r>
            <w:r w:rsidRPr="00317ABF">
              <w:t>. Do instalowania w pasie drogowym punktów dostępu nie stosuje się przepisów art. 40 ust. 1 i 3.</w:t>
            </w:r>
          </w:p>
          <w:p w14:paraId="1C14A39F" w14:textId="77777777" w:rsidR="00240931" w:rsidRPr="00317ABF" w:rsidRDefault="00240931" w:rsidP="0069103F">
            <w:pPr>
              <w:pStyle w:val="ARTartustawynprozporzdzenia"/>
              <w:spacing w:line="240" w:lineRule="auto"/>
              <w:ind w:firstLine="0"/>
              <w:rPr>
                <w:rFonts w:ascii="Times New Roman" w:hAnsi="Times New Roman" w:cs="Times New Roman"/>
                <w:szCs w:val="24"/>
              </w:rPr>
            </w:pPr>
            <w:r w:rsidRPr="00317ABF">
              <w:rPr>
                <w:rFonts w:ascii="Times New Roman" w:hAnsi="Times New Roman" w:cs="Times New Roman"/>
                <w:szCs w:val="24"/>
              </w:rPr>
              <w:t>3</w:t>
            </w:r>
            <w:r w:rsidRPr="00317ABF">
              <w:rPr>
                <w:rFonts w:ascii="Times New Roman" w:hAnsi="Times New Roman" w:cs="Times New Roman"/>
                <w:szCs w:val="24"/>
                <w:vertAlign w:val="superscript"/>
              </w:rPr>
              <w:t>4</w:t>
            </w:r>
            <w:r w:rsidRPr="00317ABF">
              <w:rPr>
                <w:rFonts w:ascii="Times New Roman" w:hAnsi="Times New Roman" w:cs="Times New Roman"/>
                <w:szCs w:val="24"/>
              </w:rPr>
              <w:t>. W przypadku gdy umieszczenie w pasie drogowym dotyczy jednocześnie infrastruktury telekomunikacyjnej i punktów dostępu, zarządca drogi proceduje wnioski o wydanie decyzji, o których mowa w ust. 3 i 3</w:t>
            </w:r>
            <w:r w:rsidRPr="00317ABF">
              <w:rPr>
                <w:rFonts w:ascii="Times New Roman" w:hAnsi="Times New Roman" w:cs="Times New Roman"/>
                <w:szCs w:val="24"/>
                <w:vertAlign w:val="superscript"/>
              </w:rPr>
              <w:t>1</w:t>
            </w:r>
            <w:r w:rsidRPr="00317ABF">
              <w:rPr>
                <w:rFonts w:ascii="Times New Roman" w:hAnsi="Times New Roman" w:cs="Times New Roman"/>
                <w:szCs w:val="24"/>
              </w:rPr>
              <w:t>, łącznie.”,</w:t>
            </w:r>
          </w:p>
          <w:p w14:paraId="5ED5C102" w14:textId="77777777" w:rsidR="00240931" w:rsidRPr="00317ABF" w:rsidRDefault="00240931" w:rsidP="00240931">
            <w:pPr>
              <w:pStyle w:val="ARTartustawynprozporzdzenia"/>
              <w:ind w:left="360" w:firstLine="150"/>
              <w:rPr>
                <w:rFonts w:ascii="Times New Roman" w:hAnsi="Times New Roman" w:cs="Times New Roman"/>
                <w:szCs w:val="24"/>
              </w:rPr>
            </w:pPr>
            <w:r w:rsidRPr="00317ABF">
              <w:rPr>
                <w:rFonts w:ascii="Times New Roman" w:hAnsi="Times New Roman" w:cs="Times New Roman"/>
                <w:szCs w:val="24"/>
              </w:rPr>
              <w:t>d) ust. 3aa otrzymuje brzmienie:</w:t>
            </w:r>
          </w:p>
          <w:p w14:paraId="495A570C" w14:textId="77777777" w:rsidR="00240931" w:rsidRPr="00317ABF" w:rsidRDefault="00240931" w:rsidP="00240931">
            <w:pPr>
              <w:jc w:val="both"/>
            </w:pPr>
            <w:r w:rsidRPr="00317ABF">
              <w:rPr>
                <w:rFonts w:eastAsia="Times"/>
              </w:rPr>
              <w:t>„</w:t>
            </w:r>
            <w:r w:rsidRPr="00317ABF">
              <w:t>3aa. W przypadku gdy decyzja, o której mowa w ust. 3</w:t>
            </w:r>
            <w:r w:rsidRPr="00317ABF">
              <w:rPr>
                <w:vertAlign w:val="superscript"/>
              </w:rPr>
              <w:t>1</w:t>
            </w:r>
            <w:r w:rsidRPr="00317ABF">
              <w:t xml:space="preserve"> lub gdy decyzja, o której mowa w ust. 3, dotyczy lokalizacji w pasie drogowym infrastruktury telekomunikacyjnej, w decyzji tej określa się dodatkowo, czy w okresie 4 lat od jej wydania planowana jest budowa, przebudowa lub remont odcinka drogi, którego dotyczy decyzja, o ile wynika to wprost z uchwały budżetowej jednostki samorządu terytorialnego, wieloletniej prognozy finansowej jednostki samorządu terytorialnego, programu wieloletniego wydanego na podstawie art. 136 ust. 2 ustawy z dnia 27 sierpnia 2009 r. o finansach publicznych (Dz. U. z 2019 r. poz. 869, 1622, 1649, 2020 i 2473 oraz z 2020 r. poz. 284) lub planów, o których mowa w art. 20 pkt 1 lub 2 niniejszej ustawy.”,</w:t>
            </w:r>
          </w:p>
          <w:p w14:paraId="29CA41B9" w14:textId="77777777" w:rsidR="00240931" w:rsidRPr="00317ABF" w:rsidRDefault="00240931" w:rsidP="00240931">
            <w:pPr>
              <w:ind w:left="340" w:firstLine="227"/>
              <w:jc w:val="both"/>
            </w:pPr>
            <w:r w:rsidRPr="00317ABF">
              <w:t>e) po ust. 3aa dodaje się ust. 3ab w brzmieniu:</w:t>
            </w:r>
          </w:p>
          <w:p w14:paraId="4F48324B" w14:textId="77777777" w:rsidR="00240931" w:rsidRPr="00317ABF" w:rsidRDefault="00240931" w:rsidP="00240931">
            <w:pPr>
              <w:jc w:val="both"/>
            </w:pPr>
            <w:r w:rsidRPr="00317ABF">
              <w:rPr>
                <w:rFonts w:eastAsia="Times"/>
              </w:rPr>
              <w:lastRenderedPageBreak/>
              <w:t>„</w:t>
            </w:r>
            <w:r w:rsidRPr="00317ABF">
              <w:t>3ab. W decyzji, o której mowa w ust. 3</w:t>
            </w:r>
            <w:r w:rsidRPr="00317ABF">
              <w:rPr>
                <w:vertAlign w:val="superscript"/>
              </w:rPr>
              <w:t>1</w:t>
            </w:r>
            <w:r w:rsidRPr="00317ABF">
              <w:t>, określa się w szczególności sposób, termin, miejsce i warunki umieszczenia w pasie drogowym punktów dostępu.”,</w:t>
            </w:r>
          </w:p>
          <w:p w14:paraId="1FBE4A27" w14:textId="77777777" w:rsidR="00240931" w:rsidRPr="00317ABF" w:rsidRDefault="00240931" w:rsidP="00240931">
            <w:pPr>
              <w:ind w:left="340" w:firstLine="227"/>
              <w:jc w:val="both"/>
            </w:pPr>
            <w:r w:rsidRPr="00317ABF">
              <w:t>f) ust. 3b otrzymuje brzmienie:</w:t>
            </w:r>
          </w:p>
          <w:p w14:paraId="622F8B04" w14:textId="77777777" w:rsidR="00240931" w:rsidRPr="00317ABF" w:rsidRDefault="00240931" w:rsidP="00240931">
            <w:pPr>
              <w:jc w:val="both"/>
            </w:pPr>
            <w:r w:rsidRPr="00317ABF">
              <w:rPr>
                <w:rFonts w:eastAsia="Times"/>
              </w:rPr>
              <w:t>„</w:t>
            </w:r>
            <w:r w:rsidRPr="00317ABF">
              <w:t xml:space="preserve">3b. W przypadku gdy właściwy organ nie wyda decyzji, o której mowa w ust. 3, w terminie 65 dni od dnia złożenia wniosku, a w odniesieniu do infrastruktury telekomunikacyjnej w rozumieniu </w:t>
            </w:r>
            <w:r w:rsidRPr="00317ABF">
              <w:rPr>
                <w:rFonts w:eastAsia="Calibri"/>
              </w:rPr>
              <w:t xml:space="preserve">ustawy z dnia … 2021 r. </w:t>
            </w:r>
            <w:r w:rsidRPr="00317ABF">
              <w:t>–</w:t>
            </w:r>
            <w:r w:rsidRPr="00317ABF">
              <w:rPr>
                <w:rFonts w:eastAsia="Calibri"/>
              </w:rPr>
              <w:t xml:space="preserve"> Prawo komunikacji elektronicznej </w:t>
            </w:r>
            <w:r w:rsidRPr="00317ABF">
              <w:t>oraz decyzji, o której mowa w ust. 3</w:t>
            </w:r>
            <w:r w:rsidRPr="00317ABF">
              <w:rPr>
                <w:vertAlign w:val="superscript"/>
              </w:rPr>
              <w:t xml:space="preserve">1 </w:t>
            </w:r>
            <w:r w:rsidRPr="00317ABF">
              <w:t>- w terminie 45 dni od dnia złożenia wniosku, organ wyższego stopnia, a w przypadku braku takiego organu - organ nadzorujący, wymierza temu organowi, w drodze postanowienia, na które przysługuje zażalenie, karę pieniężną w wysokości 500 zł za każdy dzień zwłoki.”,</w:t>
            </w:r>
          </w:p>
          <w:p w14:paraId="54F4F1EB" w14:textId="77777777" w:rsidR="00240931" w:rsidRPr="00317ABF" w:rsidRDefault="00240931" w:rsidP="00240931">
            <w:pPr>
              <w:pStyle w:val="ARTartustawynprozporzdzenia"/>
              <w:ind w:left="360" w:firstLine="150"/>
              <w:rPr>
                <w:rFonts w:ascii="Times New Roman" w:hAnsi="Times New Roman" w:cs="Times New Roman"/>
                <w:szCs w:val="24"/>
              </w:rPr>
            </w:pPr>
            <w:r w:rsidRPr="00317ABF">
              <w:rPr>
                <w:rFonts w:ascii="Times New Roman" w:hAnsi="Times New Roman" w:cs="Times New Roman"/>
                <w:szCs w:val="24"/>
              </w:rPr>
              <w:t>g) ust. 4 otrzymuje brzmienie:</w:t>
            </w:r>
          </w:p>
          <w:p w14:paraId="53F19990" w14:textId="77777777" w:rsidR="00240931" w:rsidRPr="00317ABF" w:rsidRDefault="00240931" w:rsidP="00240931">
            <w:pPr>
              <w:jc w:val="both"/>
            </w:pPr>
            <w:r w:rsidRPr="00317ABF">
              <w:rPr>
                <w:rFonts w:eastAsia="Times"/>
              </w:rPr>
              <w:t>„</w:t>
            </w:r>
            <w:r w:rsidRPr="00317ABF">
              <w:t>4. Utrzymanie obiektów i urządzeń, o których mowa w ust. 3 i 3</w:t>
            </w:r>
            <w:r w:rsidRPr="00317ABF">
              <w:rPr>
                <w:vertAlign w:val="superscript"/>
              </w:rPr>
              <w:t>1</w:t>
            </w:r>
            <w:r w:rsidRPr="00317ABF">
              <w:t>, należy do ich posiadaczy.”,</w:t>
            </w:r>
          </w:p>
          <w:p w14:paraId="769D174E" w14:textId="77777777" w:rsidR="00240931" w:rsidRPr="00317ABF" w:rsidRDefault="00240931" w:rsidP="00240931">
            <w:pPr>
              <w:ind w:left="340" w:firstLine="170"/>
            </w:pPr>
            <w:r w:rsidRPr="00317ABF">
              <w:t>h) ust. 5a otrzymuje brzmienie:</w:t>
            </w:r>
          </w:p>
          <w:p w14:paraId="0393FE0E" w14:textId="77777777" w:rsidR="00240931" w:rsidRPr="00317ABF" w:rsidRDefault="00240931" w:rsidP="00240931">
            <w:pPr>
              <w:jc w:val="both"/>
            </w:pPr>
            <w:r w:rsidRPr="00317ABF">
              <w:rPr>
                <w:rFonts w:eastAsia="Times"/>
              </w:rPr>
              <w:t>„</w:t>
            </w:r>
            <w:r w:rsidRPr="00317ABF">
              <w:t>5a. Z zastrzeżeniem art. 32 ust. 3, jeżeli budowa, przebudowa lub remont drogi wymaga przełożenia infrastruktury telekomunikacyjnej lub punktów dostępu umieszczonych w pasie drogowym, koszt tego przełożenia ponosi:</w:t>
            </w:r>
          </w:p>
          <w:p w14:paraId="5F861628" w14:textId="77777777" w:rsidR="00240931" w:rsidRPr="00317ABF" w:rsidRDefault="00240931" w:rsidP="00240931">
            <w:pPr>
              <w:jc w:val="both"/>
            </w:pPr>
            <w:r w:rsidRPr="00317ABF">
              <w:t>1)</w:t>
            </w:r>
            <w:r w:rsidRPr="00317ABF">
              <w:rPr>
                <w:b/>
                <w:bCs/>
              </w:rPr>
              <w:t xml:space="preserve"> </w:t>
            </w:r>
            <w:r w:rsidRPr="00317ABF">
              <w:t xml:space="preserve"> zarządca drogi - w przypadku gdy nie upłynęły 4 lata od dnia wydania decyzji, o której mowa w ust. 3 lub 3</w:t>
            </w:r>
            <w:r w:rsidRPr="00317ABF">
              <w:rPr>
                <w:vertAlign w:val="superscript"/>
              </w:rPr>
              <w:t>1</w:t>
            </w:r>
            <w:r w:rsidRPr="00317ABF">
              <w:t>, pod warunkiem zachowania dotychczasowych właściwości użytkowych oraz parametrów technicznych infrastruktury telekomunikacyjnej;</w:t>
            </w:r>
          </w:p>
          <w:p w14:paraId="360CE9C7" w14:textId="77777777" w:rsidR="00240931" w:rsidRPr="00317ABF" w:rsidRDefault="00240931" w:rsidP="00240931">
            <w:pPr>
              <w:jc w:val="both"/>
            </w:pPr>
            <w:r w:rsidRPr="00317ABF">
              <w:t>2)</w:t>
            </w:r>
            <w:r w:rsidRPr="00317ABF">
              <w:rPr>
                <w:b/>
                <w:bCs/>
              </w:rPr>
              <w:t xml:space="preserve"> </w:t>
            </w:r>
            <w:r w:rsidRPr="00317ABF">
              <w:t xml:space="preserve"> właściciel infrastruktury telekomunikacyjnej - w przypadku gdy: </w:t>
            </w:r>
          </w:p>
          <w:p w14:paraId="28714AB1" w14:textId="77777777" w:rsidR="00240931" w:rsidRPr="00317ABF" w:rsidRDefault="00240931" w:rsidP="00240931">
            <w:pPr>
              <w:jc w:val="both"/>
            </w:pPr>
            <w:r w:rsidRPr="00317ABF">
              <w:t xml:space="preserve"> a)</w:t>
            </w:r>
            <w:r w:rsidRPr="00317ABF">
              <w:rPr>
                <w:b/>
                <w:bCs/>
              </w:rPr>
              <w:t xml:space="preserve"> </w:t>
            </w:r>
            <w:r w:rsidRPr="00317ABF">
              <w:t xml:space="preserve"> upłynęły 4 lata od dnia wydania decyzji, o której mowa w ust. 3 lub 3</w:t>
            </w:r>
            <w:r w:rsidRPr="00317ABF">
              <w:rPr>
                <w:vertAlign w:val="superscript"/>
              </w:rPr>
              <w:t>1</w:t>
            </w:r>
            <w:r w:rsidRPr="00317ABF">
              <w:t xml:space="preserve">, </w:t>
            </w:r>
          </w:p>
          <w:p w14:paraId="1D4B2226" w14:textId="77777777" w:rsidR="00240931" w:rsidRPr="00317ABF" w:rsidRDefault="00240931" w:rsidP="00240931">
            <w:pPr>
              <w:jc w:val="both"/>
            </w:pPr>
            <w:r w:rsidRPr="00317ABF">
              <w:t xml:space="preserve"> b)</w:t>
            </w:r>
            <w:r w:rsidRPr="00317ABF">
              <w:rPr>
                <w:b/>
                <w:bCs/>
              </w:rPr>
              <w:t xml:space="preserve"> </w:t>
            </w:r>
            <w:r w:rsidRPr="00317ABF">
              <w:t xml:space="preserve"> na żądanie właściciela wprowadzono ulepszenia w infrastrukturze telekomunikacyjnej, </w:t>
            </w:r>
          </w:p>
          <w:p w14:paraId="6669C7F8" w14:textId="77777777" w:rsidR="00240931" w:rsidRPr="00317ABF" w:rsidRDefault="00240931" w:rsidP="00240931">
            <w:pPr>
              <w:jc w:val="both"/>
            </w:pPr>
            <w:r w:rsidRPr="00317ABF">
              <w:t xml:space="preserve"> c) infrastruktura telekomunikacyjna została zlokalizowana w pasie drogowym, mimo że zarządca drogi zawarł w decyzji, o której mowa w ust. 3 lub 31, informację o planowanej w okresie 4 lat budowie, </w:t>
            </w:r>
            <w:r w:rsidRPr="00317ABF">
              <w:lastRenderedPageBreak/>
              <w:t>przebudowie lub remoncie odcinka drogi, którego dotyczy decyzja.”, i) ust. 6 otrzymuje brzmienie:</w:t>
            </w:r>
          </w:p>
          <w:p w14:paraId="03296FD5" w14:textId="5AB1685C" w:rsidR="00240931" w:rsidRPr="00317ABF" w:rsidRDefault="00240931" w:rsidP="00240931">
            <w:pPr>
              <w:jc w:val="both"/>
            </w:pPr>
            <w:r w:rsidRPr="00317ABF">
              <w:t>„6. Zarządca drogi jest obowiązany zlokalizować kanał technologiczny w pasie drogowym w trakcie budowy lub przebudowy dróg publicznych.”,</w:t>
            </w:r>
          </w:p>
          <w:p w14:paraId="0357E559" w14:textId="77777777" w:rsidR="00240931" w:rsidRPr="00317ABF" w:rsidRDefault="00240931" w:rsidP="00240931">
            <w:pPr>
              <w:jc w:val="both"/>
            </w:pPr>
            <w:r w:rsidRPr="00317ABF">
              <w:t>3) w art. 40 ust. 12 otrzymuje brzmienie:</w:t>
            </w:r>
          </w:p>
          <w:p w14:paraId="5E064898" w14:textId="77777777" w:rsidR="00240931" w:rsidRPr="00317ABF" w:rsidRDefault="00240931" w:rsidP="00240931">
            <w:pPr>
              <w:jc w:val="both"/>
            </w:pPr>
            <w:r w:rsidRPr="00317ABF">
              <w:t>„12.  Za zajęcie pasa drogowego:</w:t>
            </w:r>
          </w:p>
          <w:p w14:paraId="321BD114" w14:textId="77777777" w:rsidR="00240931" w:rsidRPr="00317ABF" w:rsidRDefault="00240931" w:rsidP="00240931">
            <w:pPr>
              <w:jc w:val="both"/>
            </w:pPr>
            <w:r w:rsidRPr="00317ABF">
              <w:t>1) bez zezwolenia zarządcy drogi lub bez zawarcia umowy, o której mowa w art. 22 ust 2, 2q, 2c lub decyzji, o której mowa w art. 39 ust. 31,</w:t>
            </w:r>
          </w:p>
          <w:p w14:paraId="7030A848" w14:textId="77777777" w:rsidR="00240931" w:rsidRPr="00317ABF" w:rsidRDefault="00240931" w:rsidP="00240931">
            <w:pPr>
              <w:jc w:val="both"/>
            </w:pPr>
            <w:r w:rsidRPr="00317ABF">
              <w:t>2) z przekroczeniem terminu zajęcia określonego w zezwoleniu zarządcy drogi lub w umowie, o której mowa w art. 22 ust. 2, 2a, 2c lub w decyzji, o której mowa w art. 39 ust. 31,</w:t>
            </w:r>
          </w:p>
          <w:p w14:paraId="15B4BEF4" w14:textId="77777777" w:rsidR="00240931" w:rsidRPr="00317ABF" w:rsidRDefault="00240931" w:rsidP="00240931">
            <w:pPr>
              <w:jc w:val="both"/>
            </w:pPr>
            <w:r w:rsidRPr="00317ABF">
              <w:t xml:space="preserve">3) o powierzchni większej niż określona w zezwoleniu zarządcy drogi lub w umowie, o której mowa w art. 22 ust. 2, 2a, 2c lub w decyzji, o której mowa w art. 39 ust. 31 </w:t>
            </w:r>
          </w:p>
          <w:p w14:paraId="53B826B2" w14:textId="58D8862C" w:rsidR="00240931" w:rsidRPr="00317ABF" w:rsidRDefault="00240931" w:rsidP="00240931">
            <w:pPr>
              <w:jc w:val="both"/>
            </w:pPr>
            <w:r w:rsidRPr="00317ABF">
              <w:t>- zarządca drogi wymierza, w drodze decyzji administracyjnej, karę pieniężną w wysokości 10-krotności opłaty ustalanej zgodnie z ust. 4-6.”.</w:t>
            </w:r>
          </w:p>
          <w:p w14:paraId="74CF8970" w14:textId="77777777" w:rsidR="0069103F" w:rsidRPr="00317ABF" w:rsidRDefault="0069103F" w:rsidP="00240931">
            <w:pPr>
              <w:jc w:val="both"/>
            </w:pPr>
          </w:p>
          <w:p w14:paraId="09CDB650" w14:textId="1F1756BD" w:rsidR="0069103F" w:rsidRPr="00317ABF" w:rsidRDefault="0069103F" w:rsidP="0069103F">
            <w:pPr>
              <w:jc w:val="both"/>
            </w:pPr>
            <w:r w:rsidRPr="00317ABF">
              <w:t>2) w art. 40 ust. 12 otrzymuje brzmienie:</w:t>
            </w:r>
          </w:p>
          <w:p w14:paraId="33D7CC71" w14:textId="77777777" w:rsidR="0069103F" w:rsidRPr="00317ABF" w:rsidRDefault="0069103F" w:rsidP="0069103F">
            <w:pPr>
              <w:jc w:val="both"/>
            </w:pPr>
            <w:r w:rsidRPr="00317ABF">
              <w:t>„12.  Za zajęcie pasa drogowego:</w:t>
            </w:r>
          </w:p>
          <w:p w14:paraId="78CAD96C" w14:textId="77777777" w:rsidR="0069103F" w:rsidRPr="00317ABF" w:rsidRDefault="0069103F" w:rsidP="0069103F">
            <w:pPr>
              <w:jc w:val="both"/>
            </w:pPr>
            <w:r w:rsidRPr="00317ABF">
              <w:t>1) bez zezwolenia zarządcy drogi lub bez zawarcia umowy, o której mowa w art. 22 ust 2, 2q, 2c lub decyzji, o której mowa w art. 39 ust. 31,</w:t>
            </w:r>
          </w:p>
          <w:p w14:paraId="1904044A" w14:textId="77777777" w:rsidR="0069103F" w:rsidRPr="00317ABF" w:rsidRDefault="0069103F" w:rsidP="0069103F">
            <w:pPr>
              <w:jc w:val="both"/>
            </w:pPr>
            <w:r w:rsidRPr="00317ABF">
              <w:t>2) z przekroczeniem terminu zajęcia określonego w zezwoleniu zarządcy drogi lub w umowie, o której mowa w art. 22 ust. 2, 2a, 2c lub w decyzji, o której mowa w art. 39 ust. 31,</w:t>
            </w:r>
          </w:p>
          <w:p w14:paraId="4A254EB1" w14:textId="77777777" w:rsidR="0069103F" w:rsidRPr="00317ABF" w:rsidRDefault="0069103F" w:rsidP="0069103F">
            <w:pPr>
              <w:jc w:val="both"/>
            </w:pPr>
            <w:r w:rsidRPr="00317ABF">
              <w:t xml:space="preserve">3) o powierzchni większej niż określona w zezwoleniu zarządcy drogi lub w umowie, o której mowa w art. 22 ust. 2, 2a, 2c lub w decyzji, o której mowa w art. 39 ust. 31 </w:t>
            </w:r>
          </w:p>
          <w:p w14:paraId="1CA33D7F" w14:textId="1448C4E7" w:rsidR="0069103F" w:rsidRPr="00317ABF" w:rsidRDefault="0069103F" w:rsidP="0069103F">
            <w:pPr>
              <w:jc w:val="both"/>
            </w:pPr>
            <w:r w:rsidRPr="00317ABF">
              <w:t>- zarządca drogi wymierza, w drodze decyzji administracyjnej, karę pieniężną w wysokości 10-krotności opłaty ustalanej zgodnie z ust. 4-6.”.</w:t>
            </w:r>
          </w:p>
          <w:p w14:paraId="4C4C9BA5" w14:textId="310841DA" w:rsidR="001E1112" w:rsidRPr="00317ABF" w:rsidRDefault="001E1112" w:rsidP="0069103F">
            <w:pPr>
              <w:spacing w:line="276" w:lineRule="auto"/>
              <w:jc w:val="both"/>
            </w:pPr>
          </w:p>
          <w:p w14:paraId="0B9088CF" w14:textId="10CCB870" w:rsidR="0097372F" w:rsidRPr="00317ABF" w:rsidRDefault="0097372F" w:rsidP="0069103F">
            <w:pPr>
              <w:spacing w:line="276" w:lineRule="auto"/>
              <w:jc w:val="both"/>
              <w:rPr>
                <w:sz w:val="22"/>
                <w:szCs w:val="22"/>
              </w:rPr>
            </w:pPr>
          </w:p>
          <w:p w14:paraId="2642AC5D" w14:textId="77777777" w:rsidR="0097372F" w:rsidRPr="00317ABF" w:rsidRDefault="0097372F" w:rsidP="0097372F">
            <w:pPr>
              <w:spacing w:line="276" w:lineRule="auto"/>
              <w:jc w:val="both"/>
              <w:rPr>
                <w:sz w:val="22"/>
                <w:szCs w:val="22"/>
              </w:rPr>
            </w:pPr>
            <w:r w:rsidRPr="00317ABF">
              <w:rPr>
                <w:sz w:val="22"/>
                <w:szCs w:val="22"/>
              </w:rPr>
              <w:t>Art. 13. W ustawie z dnia 7 lipca 1994 r. Prawo budowlane (Dz. U. z 2020 r. poz. 1333 oraz z 2021 r. poz. 11) w art. 29 w ust. 4 w pkt 3 w lit. d średnik zastępuje się przecinkiem i dodaje się lit. e w brzmieniu:</w:t>
            </w:r>
          </w:p>
          <w:p w14:paraId="6C082DAA" w14:textId="66DB21F5" w:rsidR="0097372F" w:rsidRPr="00317ABF" w:rsidRDefault="0097372F" w:rsidP="0097372F">
            <w:pPr>
              <w:spacing w:line="276" w:lineRule="auto"/>
              <w:jc w:val="both"/>
              <w:rPr>
                <w:sz w:val="22"/>
                <w:szCs w:val="22"/>
              </w:rPr>
            </w:pPr>
            <w:r w:rsidRPr="00317ABF">
              <w:rPr>
                <w:sz w:val="22"/>
                <w:szCs w:val="22"/>
              </w:rPr>
              <w:t xml:space="preserve">„e) punktów dostępu bezprzewodowego o bliskim zasięgu, o których mowa w art. 2 ust. 1 pkt 10 ustawy z dnia 7 maja 2010 r. o wspieraniu rozwoju usług i sieci telekomunikacyjnych (Dz. U. z 2019 r. poz. 2410 oraz z 2020 r. poz. 471, 875 i 1378);”.   </w:t>
            </w:r>
          </w:p>
          <w:p w14:paraId="7E6E8CF0" w14:textId="77777777" w:rsidR="0097372F" w:rsidRPr="00317ABF" w:rsidRDefault="0097372F" w:rsidP="0069103F">
            <w:pPr>
              <w:spacing w:line="276" w:lineRule="auto"/>
              <w:jc w:val="both"/>
              <w:rPr>
                <w:sz w:val="22"/>
                <w:szCs w:val="22"/>
              </w:rPr>
            </w:pPr>
          </w:p>
          <w:p w14:paraId="7221CC7E" w14:textId="77777777" w:rsidR="0097372F" w:rsidRPr="00317ABF" w:rsidRDefault="0097372F" w:rsidP="0069103F">
            <w:pPr>
              <w:spacing w:line="276" w:lineRule="auto"/>
              <w:jc w:val="both"/>
              <w:rPr>
                <w:sz w:val="22"/>
                <w:szCs w:val="22"/>
              </w:rPr>
            </w:pPr>
          </w:p>
          <w:p w14:paraId="15AF00FA" w14:textId="77777777" w:rsidR="0097372F" w:rsidRPr="00317ABF" w:rsidRDefault="0097372F" w:rsidP="0069103F">
            <w:pPr>
              <w:spacing w:line="276" w:lineRule="auto"/>
              <w:jc w:val="both"/>
              <w:rPr>
                <w:sz w:val="22"/>
                <w:szCs w:val="22"/>
              </w:rPr>
            </w:pPr>
          </w:p>
          <w:p w14:paraId="75C52C64" w14:textId="77777777" w:rsidR="0097372F" w:rsidRPr="00317ABF" w:rsidRDefault="0097372F" w:rsidP="0069103F">
            <w:pPr>
              <w:spacing w:line="276" w:lineRule="auto"/>
              <w:jc w:val="both"/>
              <w:rPr>
                <w:sz w:val="22"/>
                <w:szCs w:val="22"/>
              </w:rPr>
            </w:pPr>
          </w:p>
          <w:p w14:paraId="2844F3A9" w14:textId="77777777" w:rsidR="0097372F" w:rsidRPr="00317ABF" w:rsidRDefault="0097372F" w:rsidP="0069103F">
            <w:pPr>
              <w:spacing w:line="276" w:lineRule="auto"/>
              <w:jc w:val="both"/>
              <w:rPr>
                <w:sz w:val="22"/>
                <w:szCs w:val="22"/>
              </w:rPr>
            </w:pPr>
          </w:p>
          <w:p w14:paraId="03100331" w14:textId="77777777" w:rsidR="0097372F" w:rsidRPr="00317ABF" w:rsidRDefault="0097372F" w:rsidP="0069103F">
            <w:pPr>
              <w:spacing w:line="276" w:lineRule="auto"/>
              <w:jc w:val="both"/>
              <w:rPr>
                <w:sz w:val="22"/>
                <w:szCs w:val="22"/>
              </w:rPr>
            </w:pPr>
          </w:p>
          <w:p w14:paraId="1E59A315" w14:textId="77777777" w:rsidR="0097372F" w:rsidRPr="00317ABF" w:rsidRDefault="0097372F" w:rsidP="0069103F">
            <w:pPr>
              <w:spacing w:line="276" w:lineRule="auto"/>
              <w:jc w:val="both"/>
              <w:rPr>
                <w:sz w:val="22"/>
                <w:szCs w:val="22"/>
              </w:rPr>
            </w:pPr>
          </w:p>
          <w:p w14:paraId="6EF9C12E" w14:textId="368996F4" w:rsidR="0069103F" w:rsidRPr="00317ABF" w:rsidRDefault="001E1112" w:rsidP="0069103F">
            <w:pPr>
              <w:spacing w:line="276" w:lineRule="auto"/>
              <w:jc w:val="both"/>
            </w:pPr>
            <w:r w:rsidRPr="00317ABF">
              <w:rPr>
                <w:b/>
                <w:bCs/>
              </w:rPr>
              <w:t>Art. 30.</w:t>
            </w:r>
            <w:r w:rsidRPr="00317ABF">
              <w:t xml:space="preserve"> W ustawie z dnia 7 maja 2010 r. o wspieraniu rozwoju usług i sieci telekomunikacyjnych (Dz. U. z 2019 r. poz. 2410 oraz z 2020 r. poz. 471, 695 i 875) wp</w:t>
            </w:r>
            <w:r w:rsidR="0069103F" w:rsidRPr="00317ABF">
              <w:t>rowadza się następujące zmiany:</w:t>
            </w:r>
          </w:p>
          <w:p w14:paraId="72BED39B" w14:textId="2EDB3050" w:rsidR="0069103F" w:rsidRPr="00317ABF" w:rsidRDefault="0069103F" w:rsidP="0069103F">
            <w:pPr>
              <w:spacing w:line="276" w:lineRule="auto"/>
              <w:jc w:val="both"/>
            </w:pPr>
            <w:r w:rsidRPr="00317ABF">
              <w:t xml:space="preserve">12) </w:t>
            </w:r>
            <w:r w:rsidRPr="00317ABF">
              <w:tab/>
              <w:t>art. 17 otrzymuje brzmienie:</w:t>
            </w:r>
          </w:p>
          <w:p w14:paraId="1DC8D8F9" w14:textId="77777777" w:rsidR="0069103F" w:rsidRPr="00317ABF" w:rsidRDefault="0069103F" w:rsidP="0069103F">
            <w:pPr>
              <w:spacing w:line="276" w:lineRule="auto"/>
              <w:ind w:firstLine="510"/>
              <w:jc w:val="both"/>
            </w:pPr>
            <w:r w:rsidRPr="00317ABF">
              <w:t>„Art. 17. 1. Operator sieci zapewnia przedsiębiorcom telekomunikacyjnym dostęp do infrastruktury technicznej, w tym współkorzystanie z niej, w celu realizacji szybkiej sieci telekomunikacyjnej lub powiązanych zasobów.</w:t>
            </w:r>
          </w:p>
          <w:p w14:paraId="3D387F15" w14:textId="77777777" w:rsidR="0069103F" w:rsidRPr="00317ABF" w:rsidRDefault="0069103F" w:rsidP="0069103F">
            <w:pPr>
              <w:spacing w:line="276" w:lineRule="auto"/>
              <w:ind w:firstLine="510"/>
              <w:jc w:val="both"/>
            </w:pPr>
            <w:r w:rsidRPr="00317ABF">
              <w:t>2. Dostęp telekomunikacyjny do infrastruktury technicznej, o którym mowa w ust. 1, jest odpłatny, chyba że:</w:t>
            </w:r>
          </w:p>
          <w:p w14:paraId="3B700C11" w14:textId="77777777" w:rsidR="0069103F" w:rsidRPr="00317ABF" w:rsidRDefault="0069103F" w:rsidP="0069103F">
            <w:pPr>
              <w:spacing w:line="276" w:lineRule="auto"/>
              <w:ind w:firstLine="510"/>
              <w:jc w:val="both"/>
            </w:pPr>
            <w:r w:rsidRPr="00317ABF">
              <w:t xml:space="preserve">1) </w:t>
            </w:r>
            <w:r w:rsidRPr="00317ABF">
              <w:tab/>
              <w:t>strony umowy postanowią inaczej, lub</w:t>
            </w:r>
          </w:p>
          <w:p w14:paraId="28A0C384" w14:textId="0D516533" w:rsidR="001E1112" w:rsidRPr="00317ABF" w:rsidRDefault="0069103F" w:rsidP="0069103F">
            <w:pPr>
              <w:spacing w:line="276" w:lineRule="auto"/>
              <w:ind w:firstLine="510"/>
              <w:jc w:val="both"/>
            </w:pPr>
            <w:r w:rsidRPr="00317ABF">
              <w:t xml:space="preserve">2) </w:t>
            </w:r>
            <w:r w:rsidRPr="00317ABF">
              <w:tab/>
              <w:t>dotyczy on publicznej infrastruktury technicznej w celu umieszczania w niej lub na niej punktów dostępu bezprzewodowego o bliskim zasięgu.”</w:t>
            </w:r>
          </w:p>
          <w:p w14:paraId="29D9384B" w14:textId="77777777" w:rsidR="0069103F" w:rsidRPr="00317ABF" w:rsidRDefault="0069103F" w:rsidP="0069103F">
            <w:pPr>
              <w:spacing w:line="276" w:lineRule="auto"/>
              <w:ind w:firstLine="510"/>
              <w:jc w:val="both"/>
            </w:pPr>
          </w:p>
          <w:p w14:paraId="3BF15D46" w14:textId="77777777" w:rsidR="0069103F" w:rsidRPr="00317ABF" w:rsidRDefault="0069103F" w:rsidP="0069103F">
            <w:pPr>
              <w:spacing w:line="276" w:lineRule="auto"/>
              <w:jc w:val="both"/>
            </w:pPr>
            <w:r w:rsidRPr="00317ABF">
              <w:t xml:space="preserve">32) </w:t>
            </w:r>
            <w:r w:rsidRPr="00317ABF">
              <w:tab/>
              <w:t>w art. 33 ust. 1–3 otrzymują brzmienie:</w:t>
            </w:r>
          </w:p>
          <w:p w14:paraId="35941F12" w14:textId="77777777" w:rsidR="0069103F" w:rsidRPr="00317ABF" w:rsidRDefault="0069103F" w:rsidP="0069103F">
            <w:pPr>
              <w:spacing w:line="276" w:lineRule="auto"/>
              <w:ind w:firstLine="510"/>
              <w:jc w:val="both"/>
            </w:pPr>
            <w:r w:rsidRPr="00317ABF">
              <w:lastRenderedPageBreak/>
              <w:t>„1. W przypadkach innych niż określone w art. 30 ust. 1 i 1a właściciel, użytkownik wieczysty nieruchomości lub zarządca nieruchomości jest obowiązany zapewnić operatorom, użytkownikom rządowym, o których mowa w art. 2 pkt 88 lit. a, b, d, e oraz h ustawy z dnia … 2021 r. – Prawo komunikacji elektronicznej, oraz jednostkom samorządu terytorialnego wykonującym działalność, o której mowa w art. 3 ust. 1, dostęp do nieruchomości, w tym do budynku, polegający na umożliwieniu umieszczenia na nich elementów sieci telekomunikacyjnej oraz powiązanych zasobów, a także ich eksploatacji i konserwacji, jeżeli nie uniemożliwia to racjonalnego korzystania z nieruchomości, w szczególności nie prowadzi do istotnego zmniejszenia wartości nieruchomości.</w:t>
            </w:r>
          </w:p>
          <w:p w14:paraId="7AA43B3B" w14:textId="22A7F7C0" w:rsidR="0069103F" w:rsidRPr="00317ABF" w:rsidRDefault="0069103F" w:rsidP="0069103F">
            <w:pPr>
              <w:spacing w:line="276" w:lineRule="auto"/>
              <w:ind w:firstLine="510"/>
              <w:jc w:val="both"/>
            </w:pPr>
            <w:r w:rsidRPr="00317ABF">
              <w:t>2. Dostęp, o którym mowa w ust. 1 jest odpłatny, chyba że:</w:t>
            </w:r>
          </w:p>
          <w:p w14:paraId="2574DBB1" w14:textId="1A6318AC" w:rsidR="0069103F" w:rsidRPr="00317ABF" w:rsidRDefault="0069103F" w:rsidP="0069103F">
            <w:pPr>
              <w:spacing w:line="276" w:lineRule="auto"/>
              <w:ind w:firstLine="510"/>
              <w:jc w:val="both"/>
            </w:pPr>
            <w:r w:rsidRPr="00317ABF">
              <w:rPr>
                <w:rFonts w:eastAsia="Times"/>
              </w:rPr>
              <w:t>1) strony umowy o dostępie postanowią inaczej;</w:t>
            </w:r>
          </w:p>
          <w:p w14:paraId="1EE99DC8" w14:textId="07AC6132" w:rsidR="0069103F" w:rsidRPr="00317ABF" w:rsidRDefault="0069103F" w:rsidP="0069103F">
            <w:pPr>
              <w:spacing w:line="276" w:lineRule="auto"/>
              <w:ind w:firstLine="510"/>
              <w:jc w:val="both"/>
            </w:pPr>
            <w:r w:rsidRPr="00317ABF">
              <w:t>2) dotyczy umieszczenia, eksploatacji i konserwacji punktów dostępu bezprzewodowego o bliskim zasięgu na nieruchomościach, o których mowa w ust. 1, stanowiących obszar kolejowy, o którym mowa w art. 4 pkt 8 ustawy z dnia 28 marca 2003 r. o transporcie kolejowym (Dz. U. z 2019 r. poz. 710, 730 i 1214, 1979, 2020, z 2020 r. poz. 284, 400, 462, 695 i 875).</w:t>
            </w:r>
          </w:p>
          <w:p w14:paraId="1E0B00F7" w14:textId="1FD0BBB8" w:rsidR="001E1112" w:rsidRPr="00317ABF" w:rsidRDefault="0069103F" w:rsidP="0069103F">
            <w:pPr>
              <w:spacing w:line="276" w:lineRule="auto"/>
              <w:ind w:firstLine="510"/>
              <w:jc w:val="both"/>
            </w:pPr>
            <w:r w:rsidRPr="00317ABF">
              <w:t>3. Termin zawarcia umowy o dostępie, o którym mowa w ust. 1, wynosi 30 dni od dnia wystąpienia przez operatora, użytkownika rządowego, o którym mowa w art. 2 pkt 88 lit. a, b, d, e oraz h ustawy z dnia …  2021 r. – Prawo komunikacji elektronicznej, lub jednostkę samorządu terytorialnego wykonującą działalność, o której mowa w art. 3 ust. 1 z wnioskiem o jej zawarcie. Przypisy art. 30 ust 5d stosuje się odpowiednio.”;</w:t>
            </w:r>
          </w:p>
          <w:p w14:paraId="297FC4AC" w14:textId="3E2F4757" w:rsidR="001E1112" w:rsidRPr="00317ABF" w:rsidRDefault="001E1112" w:rsidP="00DB3BEC">
            <w:pPr>
              <w:pStyle w:val="Tekstpodstawowy"/>
              <w:rPr>
                <w:sz w:val="22"/>
                <w:szCs w:val="22"/>
              </w:rPr>
            </w:pPr>
          </w:p>
        </w:tc>
      </w:tr>
      <w:tr w:rsidR="001E1112" w:rsidRPr="00317ABF" w14:paraId="3E1569C2" w14:textId="77777777" w:rsidTr="7753F98D">
        <w:trPr>
          <w:gridAfter w:val="2"/>
          <w:wAfter w:w="175" w:type="dxa"/>
        </w:trPr>
        <w:tc>
          <w:tcPr>
            <w:tcW w:w="704" w:type="dxa"/>
          </w:tcPr>
          <w:p w14:paraId="20F9907C" w14:textId="77777777" w:rsidR="001E1112" w:rsidRPr="00317ABF" w:rsidRDefault="001E1112" w:rsidP="00DB3BEC">
            <w:pPr>
              <w:jc w:val="both"/>
              <w:rPr>
                <w:sz w:val="22"/>
                <w:szCs w:val="22"/>
              </w:rPr>
            </w:pPr>
            <w:r w:rsidRPr="00317ABF">
              <w:rPr>
                <w:sz w:val="22"/>
                <w:szCs w:val="22"/>
              </w:rPr>
              <w:lastRenderedPageBreak/>
              <w:t>Art. 57 ust. 2</w:t>
            </w:r>
          </w:p>
        </w:tc>
        <w:tc>
          <w:tcPr>
            <w:tcW w:w="4308" w:type="dxa"/>
          </w:tcPr>
          <w:p w14:paraId="5734CB3C" w14:textId="77777777" w:rsidR="001E1112" w:rsidRPr="00317ABF" w:rsidRDefault="001E1112" w:rsidP="00DB3BEC">
            <w:pPr>
              <w:spacing w:before="120"/>
              <w:jc w:val="both"/>
              <w:rPr>
                <w:sz w:val="22"/>
                <w:szCs w:val="22"/>
              </w:rPr>
            </w:pPr>
            <w:r w:rsidRPr="00317ABF">
              <w:rPr>
                <w:sz w:val="22"/>
                <w:szCs w:val="22"/>
              </w:rPr>
              <w:t xml:space="preserve">2.   Komisja określa w drodze aktów wykonawczych fizyczne i techniczne cechy, takie jak maksymalna wielkość, masa </w:t>
            </w:r>
            <w:r w:rsidRPr="00317ABF">
              <w:rPr>
                <w:sz w:val="22"/>
                <w:szCs w:val="22"/>
              </w:rPr>
              <w:lastRenderedPageBreak/>
              <w:t>i, w stosownych przypadkach, moc nadawania punktów dostępu bezprzewodowego o bliskim zasięgu.</w:t>
            </w:r>
          </w:p>
          <w:p w14:paraId="7CCCA075" w14:textId="77777777" w:rsidR="001E1112" w:rsidRPr="00317ABF" w:rsidRDefault="001E1112" w:rsidP="00DB3BEC">
            <w:pPr>
              <w:spacing w:before="120"/>
              <w:jc w:val="both"/>
              <w:rPr>
                <w:sz w:val="22"/>
                <w:szCs w:val="22"/>
              </w:rPr>
            </w:pPr>
            <w:r w:rsidRPr="00317ABF">
              <w:rPr>
                <w:sz w:val="22"/>
                <w:szCs w:val="22"/>
              </w:rPr>
              <w:t>Te akty wykonawcze przyjmuje się zgodnie z procedurą sprawdzającą, o której mowa w art. 118 ust. 4.</w:t>
            </w:r>
          </w:p>
          <w:p w14:paraId="30DBFAE4" w14:textId="77777777" w:rsidR="001E1112" w:rsidRPr="00317ABF" w:rsidRDefault="001E1112" w:rsidP="00DB3BEC">
            <w:pPr>
              <w:spacing w:before="120"/>
              <w:jc w:val="both"/>
              <w:rPr>
                <w:sz w:val="22"/>
                <w:szCs w:val="22"/>
              </w:rPr>
            </w:pPr>
            <w:r w:rsidRPr="00317ABF">
              <w:rPr>
                <w:sz w:val="22"/>
                <w:szCs w:val="22"/>
              </w:rPr>
              <w:t>Pierwszy taki akt wykonawczy zostanie przyjęty do dnia 30 czerwca 2020 r.</w:t>
            </w:r>
          </w:p>
        </w:tc>
        <w:tc>
          <w:tcPr>
            <w:tcW w:w="986" w:type="dxa"/>
          </w:tcPr>
          <w:p w14:paraId="16FE046A" w14:textId="0F256C6D" w:rsidR="001E1112" w:rsidRPr="00317ABF" w:rsidRDefault="001E1112" w:rsidP="00DB3BEC">
            <w:pPr>
              <w:jc w:val="both"/>
              <w:rPr>
                <w:sz w:val="22"/>
                <w:szCs w:val="22"/>
              </w:rPr>
            </w:pPr>
            <w:r w:rsidRPr="00317ABF">
              <w:rPr>
                <w:sz w:val="22"/>
                <w:szCs w:val="22"/>
              </w:rPr>
              <w:lastRenderedPageBreak/>
              <w:t>N</w:t>
            </w:r>
          </w:p>
        </w:tc>
        <w:tc>
          <w:tcPr>
            <w:tcW w:w="910" w:type="dxa"/>
          </w:tcPr>
          <w:p w14:paraId="12ACE883" w14:textId="77777777" w:rsidR="001E1112" w:rsidRPr="00317ABF" w:rsidRDefault="001E1112" w:rsidP="00DB3BEC">
            <w:pPr>
              <w:pStyle w:val="Tekstpodstawowy"/>
              <w:rPr>
                <w:b/>
                <w:noProof/>
                <w:sz w:val="22"/>
                <w:szCs w:val="22"/>
              </w:rPr>
            </w:pPr>
          </w:p>
        </w:tc>
        <w:tc>
          <w:tcPr>
            <w:tcW w:w="6814" w:type="dxa"/>
            <w:gridSpan w:val="2"/>
          </w:tcPr>
          <w:p w14:paraId="0AA74023" w14:textId="77777777" w:rsidR="001E1112" w:rsidRPr="00317ABF" w:rsidRDefault="001E1112" w:rsidP="00DB3BEC">
            <w:pPr>
              <w:pStyle w:val="Tekstpodstawowy"/>
              <w:rPr>
                <w:sz w:val="22"/>
                <w:szCs w:val="22"/>
              </w:rPr>
            </w:pPr>
          </w:p>
        </w:tc>
      </w:tr>
      <w:tr w:rsidR="001E1112" w:rsidRPr="00317ABF" w14:paraId="3D7987B2" w14:textId="77777777" w:rsidTr="7753F98D">
        <w:trPr>
          <w:gridAfter w:val="2"/>
          <w:wAfter w:w="175" w:type="dxa"/>
        </w:trPr>
        <w:tc>
          <w:tcPr>
            <w:tcW w:w="704" w:type="dxa"/>
          </w:tcPr>
          <w:p w14:paraId="470A842C" w14:textId="77777777" w:rsidR="001E1112" w:rsidRPr="00317ABF" w:rsidRDefault="001E1112" w:rsidP="00DB3BEC">
            <w:pPr>
              <w:jc w:val="both"/>
              <w:rPr>
                <w:sz w:val="22"/>
                <w:szCs w:val="22"/>
              </w:rPr>
            </w:pPr>
            <w:r w:rsidRPr="00317ABF">
              <w:rPr>
                <w:sz w:val="22"/>
                <w:szCs w:val="22"/>
              </w:rPr>
              <w:lastRenderedPageBreak/>
              <w:t>Art. 57 ust. 3</w:t>
            </w:r>
          </w:p>
        </w:tc>
        <w:tc>
          <w:tcPr>
            <w:tcW w:w="4308" w:type="dxa"/>
          </w:tcPr>
          <w:p w14:paraId="0D87DCB4" w14:textId="77777777" w:rsidR="001E1112" w:rsidRPr="00317ABF" w:rsidRDefault="001E1112" w:rsidP="00DB3BEC">
            <w:pPr>
              <w:spacing w:before="120"/>
              <w:jc w:val="both"/>
              <w:rPr>
                <w:sz w:val="22"/>
                <w:szCs w:val="22"/>
              </w:rPr>
            </w:pPr>
            <w:r w:rsidRPr="00317ABF">
              <w:rPr>
                <w:sz w:val="22"/>
                <w:szCs w:val="22"/>
              </w:rPr>
              <w:t>3.   Niniejszy artykuł nie narusza podstawowych wymogów określonych w dyrektywie 2014/53/UE ani systemu wydawania zezwoleń mającego zastosowanie do użytkowania odpowiedniego widma radiowego.</w:t>
            </w:r>
          </w:p>
        </w:tc>
        <w:tc>
          <w:tcPr>
            <w:tcW w:w="986" w:type="dxa"/>
          </w:tcPr>
          <w:p w14:paraId="5D414F0C" w14:textId="5C1D1754" w:rsidR="001E1112" w:rsidRPr="00317ABF" w:rsidRDefault="001E1112" w:rsidP="00DB3BEC">
            <w:pPr>
              <w:jc w:val="both"/>
              <w:rPr>
                <w:sz w:val="22"/>
                <w:szCs w:val="22"/>
              </w:rPr>
            </w:pPr>
            <w:r w:rsidRPr="00317ABF">
              <w:rPr>
                <w:sz w:val="22"/>
                <w:szCs w:val="22"/>
              </w:rPr>
              <w:t>N</w:t>
            </w:r>
          </w:p>
        </w:tc>
        <w:tc>
          <w:tcPr>
            <w:tcW w:w="910" w:type="dxa"/>
          </w:tcPr>
          <w:p w14:paraId="22238E80" w14:textId="77777777" w:rsidR="001E1112" w:rsidRPr="00317ABF" w:rsidRDefault="001E1112" w:rsidP="00DB3BEC">
            <w:pPr>
              <w:pStyle w:val="Tekstpodstawowy"/>
              <w:rPr>
                <w:b/>
                <w:noProof/>
                <w:sz w:val="22"/>
                <w:szCs w:val="22"/>
              </w:rPr>
            </w:pPr>
          </w:p>
        </w:tc>
        <w:tc>
          <w:tcPr>
            <w:tcW w:w="6814" w:type="dxa"/>
            <w:gridSpan w:val="2"/>
          </w:tcPr>
          <w:p w14:paraId="4BE093F1" w14:textId="77777777" w:rsidR="001E1112" w:rsidRPr="00317ABF" w:rsidRDefault="001E1112" w:rsidP="00DB3BEC">
            <w:pPr>
              <w:pStyle w:val="Tekstpodstawowy"/>
              <w:rPr>
                <w:sz w:val="22"/>
                <w:szCs w:val="22"/>
              </w:rPr>
            </w:pPr>
          </w:p>
        </w:tc>
      </w:tr>
      <w:tr w:rsidR="001E1112" w:rsidRPr="00317ABF" w14:paraId="49178B1E" w14:textId="77777777" w:rsidTr="7753F98D">
        <w:trPr>
          <w:gridAfter w:val="2"/>
          <w:wAfter w:w="175" w:type="dxa"/>
        </w:trPr>
        <w:tc>
          <w:tcPr>
            <w:tcW w:w="704" w:type="dxa"/>
          </w:tcPr>
          <w:p w14:paraId="581857ED" w14:textId="77777777" w:rsidR="001E1112" w:rsidRPr="00317ABF" w:rsidRDefault="001E1112" w:rsidP="00DB3BEC">
            <w:pPr>
              <w:jc w:val="both"/>
              <w:rPr>
                <w:sz w:val="22"/>
                <w:szCs w:val="22"/>
              </w:rPr>
            </w:pPr>
            <w:r w:rsidRPr="00317ABF">
              <w:rPr>
                <w:sz w:val="22"/>
                <w:szCs w:val="22"/>
              </w:rPr>
              <w:t>Art. 57 ust. 4</w:t>
            </w:r>
          </w:p>
        </w:tc>
        <w:tc>
          <w:tcPr>
            <w:tcW w:w="4308" w:type="dxa"/>
          </w:tcPr>
          <w:p w14:paraId="5984544E" w14:textId="77777777" w:rsidR="001E1112" w:rsidRPr="00317ABF" w:rsidRDefault="001E1112" w:rsidP="00DB3BEC">
            <w:pPr>
              <w:spacing w:before="120"/>
              <w:jc w:val="both"/>
              <w:rPr>
                <w:sz w:val="22"/>
                <w:szCs w:val="22"/>
              </w:rPr>
            </w:pPr>
            <w:r w:rsidRPr="00317ABF">
              <w:rPr>
                <w:sz w:val="22"/>
                <w:szCs w:val="22"/>
              </w:rPr>
              <w:t>4.   Państwa członkowskie, stosując w odpowiednich przypadkach procedury przyjęte zgodnie z dyrektywą 2014/61/UE, zapewniają, aby operatorzy mieli prawo dostępu do każdej zarządzanej przez krajowe, regionalne lub lokalne organy publiczne infrastruktury technicznej, która nadaje się pod względem technicznym do umieszczania punktów dostępu bezprzewodowego o bliskim zasięgu lub która jest niezbędna do połączenia takich punktów dostępu z siecią szkieletową, w tym wyposażenia ulic, np. latarni, znaków ulicznych, sygnalizacji świetlnej, billboardów, przystanków autobusowych i tramwajowych oraz stacji metra. Organy publiczne spełniają wszystkie uzasadnione wnioski o dostęp na uczciwych, rozsądnych, przejrzystych i niedyskryminacyjnych warunkach, które są podawane do wiadomości w pojedynczym punkcie informacyjnym.</w:t>
            </w:r>
          </w:p>
        </w:tc>
        <w:tc>
          <w:tcPr>
            <w:tcW w:w="986" w:type="dxa"/>
          </w:tcPr>
          <w:p w14:paraId="41F8B88E" w14:textId="1D220CB4" w:rsidR="001E1112" w:rsidRPr="00317ABF" w:rsidRDefault="001E1112" w:rsidP="00DB3BEC">
            <w:pPr>
              <w:jc w:val="both"/>
              <w:rPr>
                <w:sz w:val="22"/>
                <w:szCs w:val="22"/>
              </w:rPr>
            </w:pPr>
            <w:r w:rsidRPr="00317ABF">
              <w:rPr>
                <w:sz w:val="22"/>
                <w:szCs w:val="22"/>
              </w:rPr>
              <w:t>T</w:t>
            </w:r>
          </w:p>
        </w:tc>
        <w:tc>
          <w:tcPr>
            <w:tcW w:w="910" w:type="dxa"/>
          </w:tcPr>
          <w:p w14:paraId="25CCFB0D" w14:textId="77777777" w:rsidR="00B414B9" w:rsidRPr="00317ABF" w:rsidRDefault="00B414B9" w:rsidP="00B414B9">
            <w:pPr>
              <w:pStyle w:val="Tekstpodstawowy"/>
              <w:rPr>
                <w:b/>
                <w:bCs/>
                <w:noProof/>
                <w:sz w:val="22"/>
                <w:szCs w:val="22"/>
              </w:rPr>
            </w:pPr>
            <w:r w:rsidRPr="00317ABF">
              <w:rPr>
                <w:b/>
                <w:bCs/>
                <w:noProof/>
                <w:sz w:val="22"/>
                <w:szCs w:val="22"/>
              </w:rPr>
              <w:t xml:space="preserve">Art. 6 pkt 1 lit. a-h oraz pkt 2 ustawy wprowadzającej PKE </w:t>
            </w:r>
          </w:p>
          <w:p w14:paraId="43C7F9B0" w14:textId="77777777" w:rsidR="00B414B9" w:rsidRPr="00317ABF" w:rsidRDefault="00B414B9" w:rsidP="00B414B9">
            <w:pPr>
              <w:pStyle w:val="Tekstpodstawowy"/>
              <w:rPr>
                <w:b/>
                <w:bCs/>
                <w:noProof/>
                <w:sz w:val="22"/>
                <w:szCs w:val="22"/>
              </w:rPr>
            </w:pPr>
          </w:p>
          <w:p w14:paraId="69C2B837" w14:textId="77777777" w:rsidR="00B414B9" w:rsidRPr="00317ABF" w:rsidRDefault="00B414B9" w:rsidP="00B414B9">
            <w:pPr>
              <w:pStyle w:val="Tekstpodstawowy"/>
              <w:rPr>
                <w:b/>
                <w:bCs/>
                <w:noProof/>
                <w:sz w:val="22"/>
                <w:szCs w:val="22"/>
              </w:rPr>
            </w:pPr>
          </w:p>
          <w:p w14:paraId="6E2209AB" w14:textId="77777777" w:rsidR="00B414B9" w:rsidRPr="00317ABF" w:rsidRDefault="00B414B9" w:rsidP="00B414B9">
            <w:pPr>
              <w:pStyle w:val="Tekstpodstawowy"/>
              <w:rPr>
                <w:b/>
                <w:bCs/>
                <w:noProof/>
                <w:sz w:val="22"/>
                <w:szCs w:val="22"/>
              </w:rPr>
            </w:pPr>
          </w:p>
          <w:p w14:paraId="2AD9D058" w14:textId="77777777" w:rsidR="00B414B9" w:rsidRPr="00317ABF" w:rsidRDefault="00B414B9" w:rsidP="00B414B9">
            <w:pPr>
              <w:pStyle w:val="Tekstpodstawowy"/>
              <w:rPr>
                <w:b/>
                <w:bCs/>
                <w:noProof/>
                <w:sz w:val="22"/>
                <w:szCs w:val="22"/>
              </w:rPr>
            </w:pPr>
          </w:p>
          <w:p w14:paraId="011A971D" w14:textId="77777777" w:rsidR="00B414B9" w:rsidRPr="00317ABF" w:rsidRDefault="00B414B9" w:rsidP="00B414B9">
            <w:pPr>
              <w:pStyle w:val="Tekstpodstawowy"/>
              <w:rPr>
                <w:b/>
                <w:bCs/>
                <w:noProof/>
                <w:sz w:val="22"/>
                <w:szCs w:val="22"/>
              </w:rPr>
            </w:pPr>
          </w:p>
          <w:p w14:paraId="7423F086" w14:textId="77777777" w:rsidR="00B414B9" w:rsidRPr="00317ABF" w:rsidRDefault="00B414B9" w:rsidP="00B414B9">
            <w:pPr>
              <w:pStyle w:val="Tekstpodstawowy"/>
              <w:rPr>
                <w:b/>
                <w:bCs/>
                <w:noProof/>
                <w:sz w:val="22"/>
                <w:szCs w:val="22"/>
              </w:rPr>
            </w:pPr>
          </w:p>
          <w:p w14:paraId="21CF3F57" w14:textId="77777777" w:rsidR="00B414B9" w:rsidRPr="00317ABF" w:rsidRDefault="00B414B9" w:rsidP="00B414B9">
            <w:pPr>
              <w:pStyle w:val="Tekstpodstawowy"/>
              <w:rPr>
                <w:b/>
                <w:bCs/>
                <w:noProof/>
                <w:sz w:val="22"/>
                <w:szCs w:val="22"/>
              </w:rPr>
            </w:pPr>
          </w:p>
          <w:p w14:paraId="26BDB8F6" w14:textId="77777777" w:rsidR="00B414B9" w:rsidRPr="00317ABF" w:rsidRDefault="00B414B9" w:rsidP="00B414B9">
            <w:pPr>
              <w:pStyle w:val="Tekstpodstawowy"/>
              <w:rPr>
                <w:b/>
                <w:bCs/>
                <w:noProof/>
                <w:sz w:val="22"/>
                <w:szCs w:val="22"/>
              </w:rPr>
            </w:pPr>
          </w:p>
          <w:p w14:paraId="576D6C5D" w14:textId="77777777" w:rsidR="00B414B9" w:rsidRPr="00317ABF" w:rsidRDefault="00B414B9" w:rsidP="00B414B9">
            <w:pPr>
              <w:pStyle w:val="Tekstpodstawowy"/>
              <w:rPr>
                <w:b/>
                <w:bCs/>
                <w:noProof/>
                <w:sz w:val="22"/>
                <w:szCs w:val="22"/>
              </w:rPr>
            </w:pPr>
          </w:p>
          <w:p w14:paraId="1BE31211" w14:textId="77777777" w:rsidR="00B414B9" w:rsidRPr="00317ABF" w:rsidRDefault="00B414B9" w:rsidP="00B414B9">
            <w:pPr>
              <w:pStyle w:val="Tekstpodstawowy"/>
              <w:rPr>
                <w:b/>
                <w:bCs/>
                <w:noProof/>
                <w:sz w:val="22"/>
                <w:szCs w:val="22"/>
              </w:rPr>
            </w:pPr>
          </w:p>
          <w:p w14:paraId="7138C753" w14:textId="77777777" w:rsidR="00B414B9" w:rsidRPr="00317ABF" w:rsidRDefault="00B414B9" w:rsidP="00B414B9">
            <w:pPr>
              <w:pStyle w:val="Tekstpodstawowy"/>
              <w:rPr>
                <w:b/>
                <w:bCs/>
                <w:noProof/>
                <w:sz w:val="22"/>
                <w:szCs w:val="22"/>
              </w:rPr>
            </w:pPr>
          </w:p>
          <w:p w14:paraId="2A43C15A" w14:textId="77777777" w:rsidR="00B414B9" w:rsidRPr="00317ABF" w:rsidRDefault="00B414B9" w:rsidP="00B414B9">
            <w:pPr>
              <w:pStyle w:val="Tekstpodstawowy"/>
              <w:rPr>
                <w:b/>
                <w:bCs/>
                <w:noProof/>
                <w:sz w:val="22"/>
                <w:szCs w:val="22"/>
              </w:rPr>
            </w:pPr>
          </w:p>
          <w:p w14:paraId="045D5977" w14:textId="77777777" w:rsidR="00B414B9" w:rsidRPr="00317ABF" w:rsidRDefault="00B414B9" w:rsidP="00B414B9">
            <w:pPr>
              <w:pStyle w:val="Tekstpodstawowy"/>
              <w:rPr>
                <w:b/>
                <w:bCs/>
                <w:noProof/>
                <w:sz w:val="22"/>
                <w:szCs w:val="22"/>
              </w:rPr>
            </w:pPr>
          </w:p>
          <w:p w14:paraId="0C3DCD73" w14:textId="77777777" w:rsidR="00B414B9" w:rsidRPr="00317ABF" w:rsidRDefault="00B414B9" w:rsidP="00B414B9">
            <w:pPr>
              <w:pStyle w:val="Tekstpodstawowy"/>
              <w:rPr>
                <w:b/>
                <w:bCs/>
                <w:noProof/>
                <w:sz w:val="22"/>
                <w:szCs w:val="22"/>
              </w:rPr>
            </w:pPr>
          </w:p>
          <w:p w14:paraId="39FF767D" w14:textId="77777777" w:rsidR="00B414B9" w:rsidRPr="00317ABF" w:rsidRDefault="00B414B9" w:rsidP="00B414B9">
            <w:pPr>
              <w:pStyle w:val="Tekstpodstawowy"/>
              <w:rPr>
                <w:b/>
                <w:bCs/>
                <w:noProof/>
                <w:sz w:val="22"/>
                <w:szCs w:val="22"/>
              </w:rPr>
            </w:pPr>
          </w:p>
          <w:p w14:paraId="18717EB7" w14:textId="77777777" w:rsidR="00B414B9" w:rsidRPr="00317ABF" w:rsidRDefault="00B414B9" w:rsidP="00B414B9">
            <w:pPr>
              <w:pStyle w:val="Tekstpodstawowy"/>
              <w:rPr>
                <w:b/>
                <w:bCs/>
                <w:noProof/>
                <w:sz w:val="22"/>
                <w:szCs w:val="22"/>
              </w:rPr>
            </w:pPr>
          </w:p>
          <w:p w14:paraId="5516FC22" w14:textId="77777777" w:rsidR="00B414B9" w:rsidRPr="00317ABF" w:rsidRDefault="00B414B9" w:rsidP="00B414B9">
            <w:pPr>
              <w:pStyle w:val="Tekstpodstawowy"/>
              <w:rPr>
                <w:b/>
                <w:bCs/>
                <w:noProof/>
                <w:sz w:val="22"/>
                <w:szCs w:val="22"/>
              </w:rPr>
            </w:pPr>
          </w:p>
          <w:p w14:paraId="6DD39365" w14:textId="77777777" w:rsidR="00B414B9" w:rsidRPr="00317ABF" w:rsidRDefault="00B414B9" w:rsidP="00B414B9">
            <w:pPr>
              <w:pStyle w:val="Tekstpodstawowy"/>
              <w:rPr>
                <w:b/>
                <w:bCs/>
                <w:noProof/>
                <w:sz w:val="22"/>
                <w:szCs w:val="22"/>
              </w:rPr>
            </w:pPr>
          </w:p>
          <w:p w14:paraId="68CA6ADF" w14:textId="77777777" w:rsidR="00B414B9" w:rsidRPr="00317ABF" w:rsidRDefault="00B414B9" w:rsidP="00B414B9">
            <w:pPr>
              <w:pStyle w:val="Tekstpodstawowy"/>
              <w:rPr>
                <w:b/>
                <w:bCs/>
                <w:noProof/>
                <w:sz w:val="22"/>
                <w:szCs w:val="22"/>
              </w:rPr>
            </w:pPr>
          </w:p>
          <w:p w14:paraId="3872DD7B" w14:textId="77777777" w:rsidR="00B414B9" w:rsidRPr="00317ABF" w:rsidRDefault="00B414B9" w:rsidP="00B414B9">
            <w:pPr>
              <w:pStyle w:val="Tekstpodstawowy"/>
              <w:rPr>
                <w:b/>
                <w:bCs/>
                <w:noProof/>
                <w:sz w:val="22"/>
                <w:szCs w:val="22"/>
              </w:rPr>
            </w:pPr>
          </w:p>
          <w:p w14:paraId="29A783D0" w14:textId="77777777" w:rsidR="00B414B9" w:rsidRPr="00317ABF" w:rsidRDefault="00B414B9" w:rsidP="00B414B9">
            <w:pPr>
              <w:pStyle w:val="Tekstpodstawowy"/>
              <w:rPr>
                <w:b/>
                <w:bCs/>
                <w:noProof/>
                <w:sz w:val="22"/>
                <w:szCs w:val="22"/>
              </w:rPr>
            </w:pPr>
          </w:p>
          <w:p w14:paraId="1A788B05" w14:textId="77777777" w:rsidR="00B414B9" w:rsidRPr="00317ABF" w:rsidRDefault="00B414B9" w:rsidP="00B414B9">
            <w:pPr>
              <w:pStyle w:val="Tekstpodstawowy"/>
              <w:rPr>
                <w:b/>
                <w:bCs/>
                <w:noProof/>
                <w:sz w:val="22"/>
                <w:szCs w:val="22"/>
              </w:rPr>
            </w:pPr>
          </w:p>
          <w:p w14:paraId="1D7A0B19" w14:textId="77777777" w:rsidR="00B414B9" w:rsidRPr="00317ABF" w:rsidRDefault="00B414B9" w:rsidP="00B414B9">
            <w:pPr>
              <w:pStyle w:val="Tekstpodstawowy"/>
              <w:rPr>
                <w:b/>
                <w:bCs/>
                <w:noProof/>
                <w:sz w:val="22"/>
                <w:szCs w:val="22"/>
              </w:rPr>
            </w:pPr>
          </w:p>
          <w:p w14:paraId="6E086E1C" w14:textId="77777777" w:rsidR="00B414B9" w:rsidRPr="00317ABF" w:rsidRDefault="00B414B9" w:rsidP="00B414B9">
            <w:pPr>
              <w:pStyle w:val="Tekstpodstawowy"/>
              <w:rPr>
                <w:b/>
                <w:bCs/>
                <w:noProof/>
                <w:sz w:val="22"/>
                <w:szCs w:val="22"/>
              </w:rPr>
            </w:pPr>
          </w:p>
          <w:p w14:paraId="54751292" w14:textId="77777777" w:rsidR="00B414B9" w:rsidRPr="00317ABF" w:rsidRDefault="00B414B9" w:rsidP="00B414B9">
            <w:pPr>
              <w:pStyle w:val="Tekstpodstawowy"/>
              <w:rPr>
                <w:b/>
                <w:bCs/>
                <w:noProof/>
                <w:sz w:val="22"/>
                <w:szCs w:val="22"/>
              </w:rPr>
            </w:pPr>
          </w:p>
          <w:p w14:paraId="2A56422F" w14:textId="77777777" w:rsidR="00B414B9" w:rsidRPr="00317ABF" w:rsidRDefault="00B414B9" w:rsidP="00B414B9">
            <w:pPr>
              <w:pStyle w:val="Tekstpodstawowy"/>
              <w:rPr>
                <w:b/>
                <w:bCs/>
                <w:noProof/>
                <w:sz w:val="22"/>
                <w:szCs w:val="22"/>
              </w:rPr>
            </w:pPr>
          </w:p>
          <w:p w14:paraId="4A35C211" w14:textId="77777777" w:rsidR="00B414B9" w:rsidRPr="00317ABF" w:rsidRDefault="00B414B9" w:rsidP="00B414B9">
            <w:pPr>
              <w:pStyle w:val="Tekstpodstawowy"/>
              <w:rPr>
                <w:b/>
                <w:bCs/>
                <w:noProof/>
                <w:sz w:val="22"/>
                <w:szCs w:val="22"/>
              </w:rPr>
            </w:pPr>
          </w:p>
          <w:p w14:paraId="0B62DA79" w14:textId="77777777" w:rsidR="00B414B9" w:rsidRPr="00317ABF" w:rsidRDefault="00B414B9" w:rsidP="00B414B9">
            <w:pPr>
              <w:pStyle w:val="Tekstpodstawowy"/>
              <w:rPr>
                <w:b/>
                <w:bCs/>
                <w:noProof/>
                <w:sz w:val="22"/>
                <w:szCs w:val="22"/>
              </w:rPr>
            </w:pPr>
          </w:p>
          <w:p w14:paraId="6A6414B1" w14:textId="77777777" w:rsidR="00B414B9" w:rsidRPr="00317ABF" w:rsidRDefault="00B414B9" w:rsidP="00B414B9">
            <w:pPr>
              <w:pStyle w:val="Tekstpodstawowy"/>
              <w:rPr>
                <w:b/>
                <w:bCs/>
                <w:noProof/>
                <w:sz w:val="22"/>
                <w:szCs w:val="22"/>
              </w:rPr>
            </w:pPr>
          </w:p>
          <w:p w14:paraId="1C7AC81C" w14:textId="77777777" w:rsidR="00B414B9" w:rsidRPr="00317ABF" w:rsidRDefault="00B414B9" w:rsidP="00B414B9">
            <w:pPr>
              <w:pStyle w:val="Tekstpodstawowy"/>
              <w:rPr>
                <w:b/>
                <w:bCs/>
                <w:noProof/>
                <w:sz w:val="22"/>
                <w:szCs w:val="22"/>
              </w:rPr>
            </w:pPr>
          </w:p>
          <w:p w14:paraId="2D5B8CAD" w14:textId="77777777" w:rsidR="00B414B9" w:rsidRPr="00317ABF" w:rsidRDefault="00B414B9" w:rsidP="00B414B9">
            <w:pPr>
              <w:pStyle w:val="Tekstpodstawowy"/>
              <w:rPr>
                <w:b/>
                <w:bCs/>
                <w:noProof/>
                <w:sz w:val="22"/>
                <w:szCs w:val="22"/>
              </w:rPr>
            </w:pPr>
          </w:p>
          <w:p w14:paraId="2C308CA9" w14:textId="77777777" w:rsidR="00B414B9" w:rsidRPr="00317ABF" w:rsidRDefault="00B414B9" w:rsidP="00B414B9">
            <w:pPr>
              <w:pStyle w:val="Tekstpodstawowy"/>
              <w:rPr>
                <w:b/>
                <w:bCs/>
                <w:noProof/>
                <w:sz w:val="22"/>
                <w:szCs w:val="22"/>
              </w:rPr>
            </w:pPr>
          </w:p>
          <w:p w14:paraId="5D90F1A1" w14:textId="77777777" w:rsidR="00B414B9" w:rsidRPr="00317ABF" w:rsidRDefault="00B414B9" w:rsidP="00B414B9">
            <w:pPr>
              <w:pStyle w:val="Tekstpodstawowy"/>
              <w:rPr>
                <w:b/>
                <w:bCs/>
                <w:noProof/>
                <w:sz w:val="22"/>
                <w:szCs w:val="22"/>
              </w:rPr>
            </w:pPr>
          </w:p>
          <w:p w14:paraId="1C929D35" w14:textId="77777777" w:rsidR="00B414B9" w:rsidRPr="00317ABF" w:rsidRDefault="00B414B9" w:rsidP="00B414B9">
            <w:pPr>
              <w:pStyle w:val="Tekstpodstawowy"/>
              <w:rPr>
                <w:b/>
                <w:bCs/>
                <w:noProof/>
                <w:sz w:val="22"/>
                <w:szCs w:val="22"/>
              </w:rPr>
            </w:pPr>
          </w:p>
          <w:p w14:paraId="3FA5CD6D" w14:textId="77777777" w:rsidR="00B414B9" w:rsidRPr="00317ABF" w:rsidRDefault="00B414B9" w:rsidP="00B414B9">
            <w:pPr>
              <w:pStyle w:val="Tekstpodstawowy"/>
              <w:rPr>
                <w:b/>
                <w:bCs/>
                <w:noProof/>
                <w:sz w:val="22"/>
                <w:szCs w:val="22"/>
              </w:rPr>
            </w:pPr>
          </w:p>
          <w:p w14:paraId="56C699E6" w14:textId="77777777" w:rsidR="00B414B9" w:rsidRPr="00317ABF" w:rsidRDefault="00B414B9" w:rsidP="00B414B9">
            <w:pPr>
              <w:pStyle w:val="Tekstpodstawowy"/>
              <w:rPr>
                <w:b/>
                <w:bCs/>
                <w:noProof/>
                <w:sz w:val="22"/>
                <w:szCs w:val="22"/>
              </w:rPr>
            </w:pPr>
          </w:p>
          <w:p w14:paraId="1C0AFB73" w14:textId="77777777" w:rsidR="00B414B9" w:rsidRPr="00317ABF" w:rsidRDefault="00B414B9" w:rsidP="00B414B9">
            <w:pPr>
              <w:pStyle w:val="Tekstpodstawowy"/>
              <w:rPr>
                <w:b/>
                <w:bCs/>
                <w:noProof/>
                <w:sz w:val="22"/>
                <w:szCs w:val="22"/>
              </w:rPr>
            </w:pPr>
          </w:p>
          <w:p w14:paraId="6C5D3E05" w14:textId="77777777" w:rsidR="00B414B9" w:rsidRPr="00317ABF" w:rsidRDefault="00B414B9" w:rsidP="00B414B9">
            <w:pPr>
              <w:pStyle w:val="Tekstpodstawowy"/>
              <w:rPr>
                <w:b/>
                <w:bCs/>
                <w:noProof/>
                <w:sz w:val="22"/>
                <w:szCs w:val="22"/>
              </w:rPr>
            </w:pPr>
          </w:p>
          <w:p w14:paraId="50213E73" w14:textId="77777777" w:rsidR="00B414B9" w:rsidRPr="00317ABF" w:rsidRDefault="00B414B9" w:rsidP="00B414B9">
            <w:pPr>
              <w:pStyle w:val="Tekstpodstawowy"/>
              <w:rPr>
                <w:b/>
                <w:bCs/>
                <w:noProof/>
                <w:sz w:val="22"/>
                <w:szCs w:val="22"/>
              </w:rPr>
            </w:pPr>
          </w:p>
          <w:p w14:paraId="2665ACB4" w14:textId="77777777" w:rsidR="00B414B9" w:rsidRPr="00317ABF" w:rsidRDefault="00B414B9" w:rsidP="00B414B9">
            <w:pPr>
              <w:pStyle w:val="Tekstpodstawowy"/>
              <w:rPr>
                <w:b/>
                <w:bCs/>
                <w:noProof/>
                <w:sz w:val="22"/>
                <w:szCs w:val="22"/>
              </w:rPr>
            </w:pPr>
          </w:p>
          <w:p w14:paraId="259F3096" w14:textId="77777777" w:rsidR="00B414B9" w:rsidRPr="00317ABF" w:rsidRDefault="00B414B9" w:rsidP="00B414B9">
            <w:pPr>
              <w:pStyle w:val="Tekstpodstawowy"/>
              <w:rPr>
                <w:b/>
                <w:bCs/>
                <w:noProof/>
                <w:sz w:val="22"/>
                <w:szCs w:val="22"/>
              </w:rPr>
            </w:pPr>
          </w:p>
          <w:p w14:paraId="6717B0FF" w14:textId="77777777" w:rsidR="00B414B9" w:rsidRPr="00317ABF" w:rsidRDefault="00B414B9" w:rsidP="00B414B9">
            <w:pPr>
              <w:pStyle w:val="Tekstpodstawowy"/>
              <w:rPr>
                <w:b/>
                <w:bCs/>
                <w:noProof/>
                <w:sz w:val="22"/>
                <w:szCs w:val="22"/>
              </w:rPr>
            </w:pPr>
          </w:p>
          <w:p w14:paraId="12EE23EB" w14:textId="77777777" w:rsidR="00B414B9" w:rsidRPr="00317ABF" w:rsidRDefault="00B414B9" w:rsidP="00B414B9">
            <w:pPr>
              <w:pStyle w:val="Tekstpodstawowy"/>
              <w:rPr>
                <w:b/>
                <w:bCs/>
                <w:noProof/>
                <w:sz w:val="22"/>
                <w:szCs w:val="22"/>
              </w:rPr>
            </w:pPr>
          </w:p>
          <w:p w14:paraId="54E4BCD2" w14:textId="77777777" w:rsidR="00B414B9" w:rsidRPr="00317ABF" w:rsidRDefault="00B414B9" w:rsidP="00B414B9">
            <w:pPr>
              <w:pStyle w:val="Tekstpodstawowy"/>
              <w:rPr>
                <w:b/>
                <w:bCs/>
                <w:noProof/>
                <w:sz w:val="22"/>
                <w:szCs w:val="22"/>
              </w:rPr>
            </w:pPr>
          </w:p>
          <w:p w14:paraId="662CA4F2" w14:textId="77777777" w:rsidR="00B414B9" w:rsidRPr="00317ABF" w:rsidRDefault="00B414B9" w:rsidP="00B414B9">
            <w:pPr>
              <w:pStyle w:val="Tekstpodstawowy"/>
              <w:rPr>
                <w:b/>
                <w:bCs/>
                <w:noProof/>
                <w:sz w:val="22"/>
                <w:szCs w:val="22"/>
              </w:rPr>
            </w:pPr>
          </w:p>
          <w:p w14:paraId="59C0BDE4" w14:textId="77777777" w:rsidR="00B414B9" w:rsidRPr="00317ABF" w:rsidRDefault="00B414B9" w:rsidP="00B414B9">
            <w:pPr>
              <w:pStyle w:val="Tekstpodstawowy"/>
              <w:rPr>
                <w:b/>
                <w:bCs/>
                <w:noProof/>
                <w:sz w:val="22"/>
                <w:szCs w:val="22"/>
              </w:rPr>
            </w:pPr>
          </w:p>
          <w:p w14:paraId="5241B5D5" w14:textId="77777777" w:rsidR="00B414B9" w:rsidRPr="00317ABF" w:rsidRDefault="00B414B9" w:rsidP="00B414B9">
            <w:pPr>
              <w:pStyle w:val="Tekstpodstawowy"/>
              <w:rPr>
                <w:b/>
                <w:bCs/>
                <w:noProof/>
                <w:sz w:val="22"/>
                <w:szCs w:val="22"/>
              </w:rPr>
            </w:pPr>
          </w:p>
          <w:p w14:paraId="3DE99CB2" w14:textId="77777777" w:rsidR="00B414B9" w:rsidRPr="00317ABF" w:rsidRDefault="00B414B9" w:rsidP="00B414B9">
            <w:pPr>
              <w:pStyle w:val="Tekstpodstawowy"/>
              <w:rPr>
                <w:b/>
                <w:bCs/>
                <w:noProof/>
                <w:sz w:val="22"/>
                <w:szCs w:val="22"/>
              </w:rPr>
            </w:pPr>
          </w:p>
          <w:p w14:paraId="462D3D38" w14:textId="77777777" w:rsidR="00B414B9" w:rsidRPr="00317ABF" w:rsidRDefault="00B414B9" w:rsidP="00B414B9">
            <w:pPr>
              <w:pStyle w:val="Tekstpodstawowy"/>
              <w:rPr>
                <w:b/>
                <w:bCs/>
                <w:noProof/>
                <w:sz w:val="22"/>
                <w:szCs w:val="22"/>
              </w:rPr>
            </w:pPr>
          </w:p>
          <w:p w14:paraId="50925E0A" w14:textId="77777777" w:rsidR="00B414B9" w:rsidRPr="00317ABF" w:rsidRDefault="00B414B9" w:rsidP="00B414B9">
            <w:pPr>
              <w:pStyle w:val="Tekstpodstawowy"/>
              <w:rPr>
                <w:b/>
                <w:bCs/>
                <w:noProof/>
                <w:sz w:val="22"/>
                <w:szCs w:val="22"/>
              </w:rPr>
            </w:pPr>
          </w:p>
          <w:p w14:paraId="1A2E9787" w14:textId="77777777" w:rsidR="00B414B9" w:rsidRPr="00317ABF" w:rsidRDefault="00B414B9" w:rsidP="00B414B9">
            <w:pPr>
              <w:pStyle w:val="Tekstpodstawowy"/>
              <w:rPr>
                <w:b/>
                <w:bCs/>
                <w:noProof/>
                <w:sz w:val="22"/>
                <w:szCs w:val="22"/>
              </w:rPr>
            </w:pPr>
          </w:p>
          <w:p w14:paraId="0877CD1E" w14:textId="77777777" w:rsidR="00B414B9" w:rsidRPr="00317ABF" w:rsidRDefault="00B414B9" w:rsidP="00B414B9">
            <w:pPr>
              <w:pStyle w:val="Tekstpodstawowy"/>
              <w:rPr>
                <w:b/>
                <w:bCs/>
                <w:noProof/>
                <w:sz w:val="22"/>
                <w:szCs w:val="22"/>
              </w:rPr>
            </w:pPr>
          </w:p>
          <w:p w14:paraId="7704BEC7" w14:textId="77777777" w:rsidR="00B414B9" w:rsidRPr="00317ABF" w:rsidRDefault="00B414B9" w:rsidP="00B414B9">
            <w:pPr>
              <w:pStyle w:val="Tekstpodstawowy"/>
              <w:rPr>
                <w:b/>
                <w:bCs/>
                <w:noProof/>
                <w:sz w:val="22"/>
                <w:szCs w:val="22"/>
              </w:rPr>
            </w:pPr>
          </w:p>
          <w:p w14:paraId="0C17D20E" w14:textId="77777777" w:rsidR="00B414B9" w:rsidRPr="00317ABF" w:rsidRDefault="00B414B9" w:rsidP="00B414B9">
            <w:pPr>
              <w:pStyle w:val="Tekstpodstawowy"/>
              <w:rPr>
                <w:b/>
                <w:bCs/>
                <w:noProof/>
                <w:sz w:val="22"/>
                <w:szCs w:val="22"/>
              </w:rPr>
            </w:pPr>
          </w:p>
          <w:p w14:paraId="08E21D02" w14:textId="77777777" w:rsidR="00B414B9" w:rsidRPr="00317ABF" w:rsidRDefault="00B414B9" w:rsidP="00B414B9">
            <w:pPr>
              <w:pStyle w:val="Tekstpodstawowy"/>
              <w:rPr>
                <w:b/>
                <w:bCs/>
                <w:noProof/>
                <w:sz w:val="22"/>
                <w:szCs w:val="22"/>
              </w:rPr>
            </w:pPr>
          </w:p>
          <w:p w14:paraId="657F98DC" w14:textId="77777777" w:rsidR="00B414B9" w:rsidRPr="00317ABF" w:rsidRDefault="00B414B9" w:rsidP="00B414B9">
            <w:pPr>
              <w:pStyle w:val="Tekstpodstawowy"/>
              <w:rPr>
                <w:b/>
                <w:bCs/>
                <w:noProof/>
                <w:sz w:val="22"/>
                <w:szCs w:val="22"/>
              </w:rPr>
            </w:pPr>
          </w:p>
          <w:p w14:paraId="6B182688" w14:textId="77777777" w:rsidR="00B414B9" w:rsidRPr="00317ABF" w:rsidRDefault="00B414B9" w:rsidP="00B414B9">
            <w:pPr>
              <w:pStyle w:val="Tekstpodstawowy"/>
              <w:rPr>
                <w:b/>
                <w:bCs/>
                <w:noProof/>
                <w:sz w:val="22"/>
                <w:szCs w:val="22"/>
              </w:rPr>
            </w:pPr>
          </w:p>
          <w:p w14:paraId="188B1DDA" w14:textId="77777777" w:rsidR="00B414B9" w:rsidRPr="00317ABF" w:rsidRDefault="00B414B9" w:rsidP="00B414B9">
            <w:pPr>
              <w:pStyle w:val="Tekstpodstawowy"/>
              <w:rPr>
                <w:b/>
                <w:bCs/>
                <w:noProof/>
                <w:sz w:val="22"/>
                <w:szCs w:val="22"/>
              </w:rPr>
            </w:pPr>
          </w:p>
          <w:p w14:paraId="2C050425" w14:textId="77777777" w:rsidR="00B414B9" w:rsidRPr="00317ABF" w:rsidRDefault="00B414B9" w:rsidP="00B414B9">
            <w:pPr>
              <w:pStyle w:val="Tekstpodstawowy"/>
              <w:rPr>
                <w:b/>
                <w:bCs/>
                <w:noProof/>
                <w:sz w:val="22"/>
                <w:szCs w:val="22"/>
              </w:rPr>
            </w:pPr>
          </w:p>
          <w:p w14:paraId="577CD203" w14:textId="77777777" w:rsidR="00B414B9" w:rsidRPr="00317ABF" w:rsidRDefault="00B414B9" w:rsidP="00B414B9">
            <w:pPr>
              <w:pStyle w:val="Tekstpodstawowy"/>
              <w:rPr>
                <w:b/>
                <w:bCs/>
                <w:noProof/>
                <w:sz w:val="22"/>
                <w:szCs w:val="22"/>
              </w:rPr>
            </w:pPr>
          </w:p>
          <w:p w14:paraId="6A919D5F" w14:textId="77777777" w:rsidR="00B414B9" w:rsidRPr="00317ABF" w:rsidRDefault="00B414B9" w:rsidP="00B414B9">
            <w:pPr>
              <w:pStyle w:val="Tekstpodstawowy"/>
              <w:rPr>
                <w:b/>
                <w:bCs/>
                <w:noProof/>
                <w:sz w:val="22"/>
                <w:szCs w:val="22"/>
              </w:rPr>
            </w:pPr>
          </w:p>
          <w:p w14:paraId="6F4F2F02" w14:textId="77777777" w:rsidR="00B414B9" w:rsidRPr="00317ABF" w:rsidRDefault="00B414B9" w:rsidP="00B414B9">
            <w:pPr>
              <w:pStyle w:val="Tekstpodstawowy"/>
              <w:rPr>
                <w:b/>
                <w:bCs/>
                <w:noProof/>
                <w:sz w:val="22"/>
                <w:szCs w:val="22"/>
              </w:rPr>
            </w:pPr>
          </w:p>
          <w:p w14:paraId="4BCB5656" w14:textId="77777777" w:rsidR="00B414B9" w:rsidRPr="00317ABF" w:rsidRDefault="00B414B9" w:rsidP="00B414B9">
            <w:pPr>
              <w:pStyle w:val="Tekstpodstawowy"/>
              <w:rPr>
                <w:b/>
                <w:bCs/>
                <w:noProof/>
                <w:sz w:val="22"/>
                <w:szCs w:val="22"/>
              </w:rPr>
            </w:pPr>
          </w:p>
          <w:p w14:paraId="52BC0FC3" w14:textId="77777777" w:rsidR="00B414B9" w:rsidRPr="00317ABF" w:rsidRDefault="00B414B9" w:rsidP="00B414B9">
            <w:pPr>
              <w:pStyle w:val="Tekstpodstawowy"/>
              <w:rPr>
                <w:b/>
                <w:bCs/>
                <w:noProof/>
                <w:sz w:val="22"/>
                <w:szCs w:val="22"/>
              </w:rPr>
            </w:pPr>
          </w:p>
          <w:p w14:paraId="13B5829C" w14:textId="77777777" w:rsidR="00B414B9" w:rsidRPr="00317ABF" w:rsidRDefault="00B414B9" w:rsidP="00B414B9">
            <w:pPr>
              <w:pStyle w:val="Tekstpodstawowy"/>
              <w:rPr>
                <w:b/>
                <w:bCs/>
                <w:noProof/>
                <w:sz w:val="22"/>
                <w:szCs w:val="22"/>
              </w:rPr>
            </w:pPr>
          </w:p>
          <w:p w14:paraId="35605B30" w14:textId="77777777" w:rsidR="00B414B9" w:rsidRPr="00317ABF" w:rsidRDefault="00B414B9" w:rsidP="00B414B9">
            <w:pPr>
              <w:pStyle w:val="Tekstpodstawowy"/>
              <w:rPr>
                <w:b/>
                <w:bCs/>
                <w:noProof/>
                <w:sz w:val="22"/>
                <w:szCs w:val="22"/>
              </w:rPr>
            </w:pPr>
          </w:p>
          <w:p w14:paraId="4C9702F9" w14:textId="77777777" w:rsidR="00B414B9" w:rsidRPr="00317ABF" w:rsidRDefault="00B414B9" w:rsidP="00B414B9">
            <w:pPr>
              <w:pStyle w:val="Tekstpodstawowy"/>
              <w:rPr>
                <w:b/>
                <w:bCs/>
                <w:noProof/>
                <w:sz w:val="22"/>
                <w:szCs w:val="22"/>
              </w:rPr>
            </w:pPr>
          </w:p>
          <w:p w14:paraId="5859EFAF" w14:textId="77777777" w:rsidR="00B414B9" w:rsidRPr="00317ABF" w:rsidRDefault="00B414B9" w:rsidP="00B414B9">
            <w:pPr>
              <w:pStyle w:val="Tekstpodstawowy"/>
              <w:rPr>
                <w:b/>
                <w:bCs/>
                <w:noProof/>
                <w:sz w:val="22"/>
                <w:szCs w:val="22"/>
              </w:rPr>
            </w:pPr>
          </w:p>
          <w:p w14:paraId="0D4CF5A1" w14:textId="77777777" w:rsidR="00B414B9" w:rsidRPr="00317ABF" w:rsidRDefault="00B414B9" w:rsidP="00B414B9">
            <w:pPr>
              <w:pStyle w:val="Tekstpodstawowy"/>
              <w:rPr>
                <w:b/>
                <w:bCs/>
                <w:noProof/>
                <w:sz w:val="22"/>
                <w:szCs w:val="22"/>
              </w:rPr>
            </w:pPr>
          </w:p>
          <w:p w14:paraId="5C77C7ED" w14:textId="77777777" w:rsidR="00B414B9" w:rsidRPr="00317ABF" w:rsidRDefault="00B414B9" w:rsidP="00B414B9">
            <w:pPr>
              <w:pStyle w:val="Tekstpodstawowy"/>
              <w:rPr>
                <w:b/>
                <w:bCs/>
                <w:noProof/>
                <w:sz w:val="22"/>
                <w:szCs w:val="22"/>
              </w:rPr>
            </w:pPr>
          </w:p>
          <w:p w14:paraId="7A3DAFE7" w14:textId="77777777" w:rsidR="00B414B9" w:rsidRPr="00317ABF" w:rsidRDefault="00B414B9" w:rsidP="00B414B9">
            <w:pPr>
              <w:pStyle w:val="Tekstpodstawowy"/>
              <w:rPr>
                <w:b/>
                <w:bCs/>
                <w:noProof/>
                <w:sz w:val="22"/>
                <w:szCs w:val="22"/>
              </w:rPr>
            </w:pPr>
          </w:p>
          <w:p w14:paraId="2B9224D5" w14:textId="77777777" w:rsidR="00B414B9" w:rsidRPr="00317ABF" w:rsidRDefault="00B414B9" w:rsidP="00B414B9">
            <w:pPr>
              <w:pStyle w:val="Tekstpodstawowy"/>
              <w:rPr>
                <w:b/>
                <w:bCs/>
                <w:noProof/>
                <w:sz w:val="22"/>
                <w:szCs w:val="22"/>
              </w:rPr>
            </w:pPr>
          </w:p>
          <w:p w14:paraId="70CC5D26" w14:textId="73A928E3" w:rsidR="00B414B9" w:rsidRPr="00317ABF" w:rsidRDefault="00B414B9" w:rsidP="00B414B9">
            <w:pPr>
              <w:pStyle w:val="Tekstpodstawowy"/>
              <w:rPr>
                <w:b/>
                <w:bCs/>
                <w:noProof/>
                <w:sz w:val="22"/>
                <w:szCs w:val="22"/>
              </w:rPr>
            </w:pPr>
          </w:p>
          <w:p w14:paraId="44BE6D8E" w14:textId="099F0E37" w:rsidR="00B414B9" w:rsidRPr="00317ABF" w:rsidRDefault="00B414B9" w:rsidP="00B414B9">
            <w:pPr>
              <w:pStyle w:val="Tekstpodstawowy"/>
              <w:rPr>
                <w:b/>
                <w:bCs/>
                <w:noProof/>
                <w:sz w:val="22"/>
                <w:szCs w:val="22"/>
              </w:rPr>
            </w:pPr>
          </w:p>
          <w:p w14:paraId="115A2E99" w14:textId="4E7B671B" w:rsidR="00B414B9" w:rsidRPr="00317ABF" w:rsidRDefault="00B414B9" w:rsidP="00B414B9">
            <w:pPr>
              <w:pStyle w:val="Tekstpodstawowy"/>
              <w:rPr>
                <w:b/>
                <w:bCs/>
                <w:noProof/>
                <w:sz w:val="22"/>
                <w:szCs w:val="22"/>
              </w:rPr>
            </w:pPr>
          </w:p>
          <w:p w14:paraId="768D47D7" w14:textId="65E9A07D" w:rsidR="00B414B9" w:rsidRPr="00317ABF" w:rsidRDefault="00B414B9" w:rsidP="00B414B9">
            <w:pPr>
              <w:pStyle w:val="Tekstpodstawowy"/>
              <w:rPr>
                <w:b/>
                <w:bCs/>
                <w:noProof/>
                <w:sz w:val="22"/>
                <w:szCs w:val="22"/>
              </w:rPr>
            </w:pPr>
          </w:p>
          <w:p w14:paraId="3A592D69" w14:textId="598D7804" w:rsidR="00B414B9" w:rsidRPr="00317ABF" w:rsidRDefault="00B414B9" w:rsidP="00B414B9">
            <w:pPr>
              <w:pStyle w:val="Tekstpodstawowy"/>
              <w:rPr>
                <w:b/>
                <w:bCs/>
                <w:noProof/>
                <w:sz w:val="22"/>
                <w:szCs w:val="22"/>
              </w:rPr>
            </w:pPr>
          </w:p>
          <w:p w14:paraId="39DB26A3" w14:textId="565A7515" w:rsidR="00B414B9" w:rsidRPr="00317ABF" w:rsidRDefault="00B414B9" w:rsidP="00B414B9">
            <w:pPr>
              <w:pStyle w:val="Tekstpodstawowy"/>
              <w:rPr>
                <w:b/>
                <w:bCs/>
                <w:noProof/>
                <w:sz w:val="22"/>
                <w:szCs w:val="22"/>
              </w:rPr>
            </w:pPr>
          </w:p>
          <w:p w14:paraId="07333957" w14:textId="7F4F741B" w:rsidR="00B414B9" w:rsidRPr="00317ABF" w:rsidRDefault="00B414B9" w:rsidP="00B414B9">
            <w:pPr>
              <w:pStyle w:val="Tekstpodstawowy"/>
              <w:rPr>
                <w:b/>
                <w:bCs/>
                <w:noProof/>
                <w:sz w:val="22"/>
                <w:szCs w:val="22"/>
              </w:rPr>
            </w:pPr>
          </w:p>
          <w:p w14:paraId="700C4A28" w14:textId="2A7273C8" w:rsidR="00B414B9" w:rsidRPr="00317ABF" w:rsidRDefault="00B414B9" w:rsidP="00B414B9">
            <w:pPr>
              <w:pStyle w:val="Tekstpodstawowy"/>
              <w:rPr>
                <w:b/>
                <w:bCs/>
                <w:noProof/>
                <w:sz w:val="22"/>
                <w:szCs w:val="22"/>
              </w:rPr>
            </w:pPr>
          </w:p>
          <w:p w14:paraId="6ADDE1C0" w14:textId="7DE12650" w:rsidR="00B414B9" w:rsidRPr="00317ABF" w:rsidRDefault="00B414B9" w:rsidP="00B414B9">
            <w:pPr>
              <w:pStyle w:val="Tekstpodstawowy"/>
              <w:rPr>
                <w:b/>
                <w:bCs/>
                <w:noProof/>
                <w:sz w:val="22"/>
                <w:szCs w:val="22"/>
              </w:rPr>
            </w:pPr>
          </w:p>
          <w:p w14:paraId="240E1E0F" w14:textId="2A94D2AB" w:rsidR="00B414B9" w:rsidRPr="00317ABF" w:rsidRDefault="00B414B9" w:rsidP="00B414B9">
            <w:pPr>
              <w:pStyle w:val="Tekstpodstawowy"/>
              <w:rPr>
                <w:b/>
                <w:bCs/>
                <w:noProof/>
                <w:sz w:val="22"/>
                <w:szCs w:val="22"/>
              </w:rPr>
            </w:pPr>
          </w:p>
          <w:p w14:paraId="3471F549" w14:textId="08072B53" w:rsidR="00B414B9" w:rsidRPr="00317ABF" w:rsidRDefault="00B414B9" w:rsidP="00B414B9">
            <w:pPr>
              <w:pStyle w:val="Tekstpodstawowy"/>
              <w:rPr>
                <w:b/>
                <w:bCs/>
                <w:noProof/>
                <w:sz w:val="22"/>
                <w:szCs w:val="22"/>
              </w:rPr>
            </w:pPr>
          </w:p>
          <w:p w14:paraId="76FBEB7B" w14:textId="1535C5F2" w:rsidR="00B414B9" w:rsidRPr="00317ABF" w:rsidRDefault="00B414B9" w:rsidP="00B414B9">
            <w:pPr>
              <w:pStyle w:val="Tekstpodstawowy"/>
              <w:rPr>
                <w:b/>
                <w:bCs/>
                <w:noProof/>
                <w:sz w:val="22"/>
                <w:szCs w:val="22"/>
              </w:rPr>
            </w:pPr>
          </w:p>
          <w:p w14:paraId="4FD21EC4" w14:textId="098297D7" w:rsidR="00B414B9" w:rsidRPr="00317ABF" w:rsidRDefault="00B414B9" w:rsidP="00B414B9">
            <w:pPr>
              <w:pStyle w:val="Tekstpodstawowy"/>
              <w:rPr>
                <w:b/>
                <w:bCs/>
                <w:noProof/>
                <w:sz w:val="22"/>
                <w:szCs w:val="22"/>
              </w:rPr>
            </w:pPr>
          </w:p>
          <w:p w14:paraId="3A41C7E2" w14:textId="3A900795" w:rsidR="00B414B9" w:rsidRPr="00317ABF" w:rsidRDefault="00B414B9" w:rsidP="00B414B9">
            <w:pPr>
              <w:pStyle w:val="Tekstpodstawowy"/>
              <w:rPr>
                <w:b/>
                <w:bCs/>
                <w:noProof/>
                <w:sz w:val="22"/>
                <w:szCs w:val="22"/>
              </w:rPr>
            </w:pPr>
          </w:p>
          <w:p w14:paraId="18B57BFC" w14:textId="68237F55" w:rsidR="00B414B9" w:rsidRPr="00317ABF" w:rsidRDefault="00B414B9" w:rsidP="00B414B9">
            <w:pPr>
              <w:pStyle w:val="Tekstpodstawowy"/>
              <w:rPr>
                <w:b/>
                <w:bCs/>
                <w:noProof/>
                <w:sz w:val="22"/>
                <w:szCs w:val="22"/>
              </w:rPr>
            </w:pPr>
          </w:p>
          <w:p w14:paraId="490FE510" w14:textId="1AB8555A" w:rsidR="00B414B9" w:rsidRPr="00317ABF" w:rsidRDefault="00B414B9" w:rsidP="00B414B9">
            <w:pPr>
              <w:pStyle w:val="Tekstpodstawowy"/>
              <w:rPr>
                <w:b/>
                <w:bCs/>
                <w:noProof/>
                <w:sz w:val="22"/>
                <w:szCs w:val="22"/>
              </w:rPr>
            </w:pPr>
          </w:p>
          <w:p w14:paraId="61A5CDCC" w14:textId="619DDD34" w:rsidR="00B414B9" w:rsidRPr="00317ABF" w:rsidRDefault="00B414B9" w:rsidP="00B414B9">
            <w:pPr>
              <w:pStyle w:val="Tekstpodstawowy"/>
              <w:rPr>
                <w:b/>
                <w:bCs/>
                <w:noProof/>
                <w:sz w:val="22"/>
                <w:szCs w:val="22"/>
              </w:rPr>
            </w:pPr>
          </w:p>
          <w:p w14:paraId="5D703A6D" w14:textId="7875AD26" w:rsidR="00B414B9" w:rsidRPr="00317ABF" w:rsidRDefault="00B414B9" w:rsidP="00B414B9">
            <w:pPr>
              <w:pStyle w:val="Tekstpodstawowy"/>
              <w:rPr>
                <w:b/>
                <w:bCs/>
                <w:noProof/>
                <w:sz w:val="22"/>
                <w:szCs w:val="22"/>
              </w:rPr>
            </w:pPr>
          </w:p>
          <w:p w14:paraId="19AD16C2" w14:textId="20AC1A5B" w:rsidR="00B414B9" w:rsidRPr="00317ABF" w:rsidRDefault="00B414B9" w:rsidP="00B414B9">
            <w:pPr>
              <w:pStyle w:val="Tekstpodstawowy"/>
              <w:rPr>
                <w:b/>
                <w:bCs/>
                <w:noProof/>
                <w:sz w:val="22"/>
                <w:szCs w:val="22"/>
              </w:rPr>
            </w:pPr>
          </w:p>
          <w:p w14:paraId="753E16D1" w14:textId="0EAAE20F" w:rsidR="00B414B9" w:rsidRPr="00317ABF" w:rsidRDefault="00B414B9" w:rsidP="00B414B9">
            <w:pPr>
              <w:pStyle w:val="Tekstpodstawowy"/>
              <w:rPr>
                <w:b/>
                <w:bCs/>
                <w:noProof/>
                <w:sz w:val="22"/>
                <w:szCs w:val="22"/>
              </w:rPr>
            </w:pPr>
          </w:p>
          <w:p w14:paraId="6A25CFE2" w14:textId="18D0AE11" w:rsidR="00B414B9" w:rsidRPr="00317ABF" w:rsidRDefault="00B414B9" w:rsidP="00B414B9">
            <w:pPr>
              <w:pStyle w:val="Tekstpodstawowy"/>
              <w:rPr>
                <w:b/>
                <w:bCs/>
                <w:noProof/>
                <w:sz w:val="22"/>
                <w:szCs w:val="22"/>
              </w:rPr>
            </w:pPr>
          </w:p>
          <w:p w14:paraId="59A01152" w14:textId="1071B429" w:rsidR="00B414B9" w:rsidRPr="00317ABF" w:rsidRDefault="00B414B9" w:rsidP="00B414B9">
            <w:pPr>
              <w:pStyle w:val="Tekstpodstawowy"/>
              <w:rPr>
                <w:b/>
                <w:bCs/>
                <w:noProof/>
                <w:sz w:val="22"/>
                <w:szCs w:val="22"/>
              </w:rPr>
            </w:pPr>
          </w:p>
          <w:p w14:paraId="7CDAFB8F" w14:textId="2D1DA968" w:rsidR="00B414B9" w:rsidRPr="00317ABF" w:rsidRDefault="00B414B9" w:rsidP="00B414B9">
            <w:pPr>
              <w:pStyle w:val="Tekstpodstawowy"/>
              <w:rPr>
                <w:b/>
                <w:bCs/>
                <w:noProof/>
                <w:sz w:val="22"/>
                <w:szCs w:val="22"/>
              </w:rPr>
            </w:pPr>
          </w:p>
          <w:p w14:paraId="70B79D3F" w14:textId="40622BBD" w:rsidR="00B414B9" w:rsidRPr="00317ABF" w:rsidRDefault="00B414B9" w:rsidP="00B414B9">
            <w:pPr>
              <w:pStyle w:val="Tekstpodstawowy"/>
              <w:rPr>
                <w:b/>
                <w:bCs/>
                <w:noProof/>
                <w:sz w:val="22"/>
                <w:szCs w:val="22"/>
              </w:rPr>
            </w:pPr>
          </w:p>
          <w:p w14:paraId="3BB5F26E" w14:textId="386894AE" w:rsidR="00B414B9" w:rsidRPr="00317ABF" w:rsidRDefault="00B414B9" w:rsidP="00B414B9">
            <w:pPr>
              <w:pStyle w:val="Tekstpodstawowy"/>
              <w:rPr>
                <w:b/>
                <w:bCs/>
                <w:noProof/>
                <w:sz w:val="22"/>
                <w:szCs w:val="22"/>
              </w:rPr>
            </w:pPr>
          </w:p>
          <w:p w14:paraId="74142F6E" w14:textId="138E86C4" w:rsidR="00B414B9" w:rsidRPr="00317ABF" w:rsidRDefault="00B414B9" w:rsidP="00B414B9">
            <w:pPr>
              <w:pStyle w:val="Tekstpodstawowy"/>
              <w:rPr>
                <w:b/>
                <w:bCs/>
                <w:noProof/>
                <w:sz w:val="22"/>
                <w:szCs w:val="22"/>
              </w:rPr>
            </w:pPr>
          </w:p>
          <w:p w14:paraId="35E4020F" w14:textId="670FC663" w:rsidR="00B414B9" w:rsidRPr="00317ABF" w:rsidRDefault="00B414B9" w:rsidP="00B414B9">
            <w:pPr>
              <w:pStyle w:val="Tekstpodstawowy"/>
              <w:rPr>
                <w:b/>
                <w:bCs/>
                <w:noProof/>
                <w:sz w:val="22"/>
                <w:szCs w:val="22"/>
              </w:rPr>
            </w:pPr>
          </w:p>
          <w:p w14:paraId="738BB9BE" w14:textId="1559AB69" w:rsidR="00B414B9" w:rsidRPr="00317ABF" w:rsidRDefault="00B414B9" w:rsidP="00B414B9">
            <w:pPr>
              <w:pStyle w:val="Tekstpodstawowy"/>
              <w:rPr>
                <w:b/>
                <w:bCs/>
                <w:noProof/>
                <w:sz w:val="22"/>
                <w:szCs w:val="22"/>
              </w:rPr>
            </w:pPr>
          </w:p>
          <w:p w14:paraId="082B077D" w14:textId="76AD976F" w:rsidR="00B414B9" w:rsidRPr="00317ABF" w:rsidRDefault="00B414B9" w:rsidP="00B414B9">
            <w:pPr>
              <w:pStyle w:val="Tekstpodstawowy"/>
              <w:rPr>
                <w:b/>
                <w:bCs/>
                <w:noProof/>
                <w:sz w:val="22"/>
                <w:szCs w:val="22"/>
              </w:rPr>
            </w:pPr>
          </w:p>
          <w:p w14:paraId="5E5A7B84" w14:textId="44035ACD" w:rsidR="00B414B9" w:rsidRPr="00317ABF" w:rsidRDefault="00B414B9" w:rsidP="00B414B9">
            <w:pPr>
              <w:pStyle w:val="Tekstpodstawowy"/>
              <w:rPr>
                <w:b/>
                <w:bCs/>
                <w:noProof/>
                <w:sz w:val="22"/>
                <w:szCs w:val="22"/>
              </w:rPr>
            </w:pPr>
          </w:p>
          <w:p w14:paraId="0F905823" w14:textId="692BF8FB" w:rsidR="00B414B9" w:rsidRPr="00317ABF" w:rsidRDefault="00B414B9" w:rsidP="00B414B9">
            <w:pPr>
              <w:pStyle w:val="Tekstpodstawowy"/>
              <w:rPr>
                <w:b/>
                <w:bCs/>
                <w:noProof/>
                <w:sz w:val="22"/>
                <w:szCs w:val="22"/>
              </w:rPr>
            </w:pPr>
          </w:p>
          <w:p w14:paraId="166808DA" w14:textId="33EACEE1" w:rsidR="00B414B9" w:rsidRPr="00317ABF" w:rsidRDefault="00B414B9" w:rsidP="00B414B9">
            <w:pPr>
              <w:pStyle w:val="Tekstpodstawowy"/>
              <w:rPr>
                <w:b/>
                <w:bCs/>
                <w:noProof/>
                <w:sz w:val="22"/>
                <w:szCs w:val="22"/>
              </w:rPr>
            </w:pPr>
          </w:p>
          <w:p w14:paraId="52BCA8D7" w14:textId="2333502B" w:rsidR="00B414B9" w:rsidRPr="00317ABF" w:rsidRDefault="00B414B9" w:rsidP="00B414B9">
            <w:pPr>
              <w:pStyle w:val="Tekstpodstawowy"/>
              <w:rPr>
                <w:b/>
                <w:bCs/>
                <w:noProof/>
                <w:sz w:val="22"/>
                <w:szCs w:val="22"/>
              </w:rPr>
            </w:pPr>
          </w:p>
          <w:p w14:paraId="10223316" w14:textId="4EDFDE2E" w:rsidR="00B414B9" w:rsidRPr="00317ABF" w:rsidRDefault="00B414B9" w:rsidP="00B414B9">
            <w:pPr>
              <w:pStyle w:val="Tekstpodstawowy"/>
              <w:rPr>
                <w:b/>
                <w:bCs/>
                <w:noProof/>
                <w:sz w:val="22"/>
                <w:szCs w:val="22"/>
              </w:rPr>
            </w:pPr>
          </w:p>
          <w:p w14:paraId="5D3AC10E" w14:textId="56E3D18F" w:rsidR="00B414B9" w:rsidRPr="00317ABF" w:rsidRDefault="00B414B9" w:rsidP="00B414B9">
            <w:pPr>
              <w:pStyle w:val="Tekstpodstawowy"/>
              <w:rPr>
                <w:b/>
                <w:bCs/>
                <w:noProof/>
                <w:sz w:val="22"/>
                <w:szCs w:val="22"/>
              </w:rPr>
            </w:pPr>
          </w:p>
          <w:p w14:paraId="635F77CB" w14:textId="77777777" w:rsidR="00B414B9" w:rsidRPr="00317ABF" w:rsidRDefault="00B414B9" w:rsidP="00B414B9">
            <w:pPr>
              <w:pStyle w:val="Tekstpodstawowy"/>
              <w:rPr>
                <w:b/>
                <w:bCs/>
                <w:noProof/>
                <w:sz w:val="22"/>
                <w:szCs w:val="22"/>
              </w:rPr>
            </w:pPr>
            <w:r w:rsidRPr="00317ABF">
              <w:rPr>
                <w:b/>
                <w:bCs/>
                <w:noProof/>
                <w:sz w:val="22"/>
                <w:szCs w:val="22"/>
              </w:rPr>
              <w:t>Art. 34 pkt 12 oraz  32 ustawy wprowadzającej PKE</w:t>
            </w:r>
          </w:p>
          <w:p w14:paraId="46C1C2C6" w14:textId="6DC393BE" w:rsidR="001E1112" w:rsidRPr="00317ABF" w:rsidRDefault="001E1112" w:rsidP="00B414B9">
            <w:pPr>
              <w:pStyle w:val="Tekstpodstawowy"/>
              <w:rPr>
                <w:b/>
                <w:bCs/>
                <w:noProof/>
                <w:sz w:val="22"/>
                <w:szCs w:val="22"/>
              </w:rPr>
            </w:pPr>
          </w:p>
        </w:tc>
        <w:tc>
          <w:tcPr>
            <w:tcW w:w="6814" w:type="dxa"/>
            <w:gridSpan w:val="2"/>
          </w:tcPr>
          <w:p w14:paraId="44489EC1" w14:textId="77777777" w:rsidR="00B414B9" w:rsidRPr="00317ABF" w:rsidRDefault="00B414B9" w:rsidP="00B414B9">
            <w:pPr>
              <w:pStyle w:val="ARTartustawynprozporzdzenia"/>
              <w:spacing w:line="240" w:lineRule="auto"/>
              <w:rPr>
                <w:rFonts w:ascii="Times New Roman" w:hAnsi="Times New Roman" w:cs="Times New Roman"/>
                <w:szCs w:val="24"/>
              </w:rPr>
            </w:pPr>
            <w:r w:rsidRPr="00317ABF">
              <w:rPr>
                <w:rFonts w:ascii="Times New Roman" w:hAnsi="Times New Roman" w:cs="Times New Roman"/>
                <w:b/>
                <w:bCs/>
                <w:szCs w:val="24"/>
              </w:rPr>
              <w:lastRenderedPageBreak/>
              <w:t>Art. 6.</w:t>
            </w:r>
            <w:r w:rsidRPr="00317ABF">
              <w:rPr>
                <w:rFonts w:ascii="Times New Roman" w:hAnsi="Times New Roman" w:cs="Times New Roman"/>
                <w:szCs w:val="24"/>
              </w:rPr>
              <w:t> W ustawie z dnia 21 marca 1985 r. o drogach publicznych (Dz. U. z 2020 poz. 470, 471,1087 i 2338):</w:t>
            </w:r>
          </w:p>
          <w:p w14:paraId="30FF189F" w14:textId="77777777" w:rsidR="00B414B9" w:rsidRPr="00317ABF" w:rsidRDefault="00B414B9" w:rsidP="00B414B9">
            <w:pPr>
              <w:pStyle w:val="ARTartustawynprozporzdzenia"/>
              <w:spacing w:line="240" w:lineRule="auto"/>
              <w:rPr>
                <w:rFonts w:ascii="Times New Roman" w:eastAsia="Times" w:hAnsi="Times New Roman" w:cs="Times New Roman"/>
                <w:szCs w:val="24"/>
              </w:rPr>
            </w:pPr>
            <w:r w:rsidRPr="00317ABF">
              <w:rPr>
                <w:rFonts w:ascii="Times New Roman" w:eastAsia="Times" w:hAnsi="Times New Roman" w:cs="Times New Roman"/>
                <w:szCs w:val="24"/>
              </w:rPr>
              <w:t>1) w art. 39:</w:t>
            </w:r>
          </w:p>
          <w:p w14:paraId="456062AE" w14:textId="77777777" w:rsidR="00B414B9" w:rsidRPr="00317ABF" w:rsidRDefault="00B414B9" w:rsidP="00B414B9">
            <w:pPr>
              <w:pStyle w:val="ARTartustawynprozporzdzenia"/>
              <w:spacing w:line="240" w:lineRule="auto"/>
              <w:rPr>
                <w:rFonts w:ascii="Times New Roman" w:eastAsia="Times" w:hAnsi="Times New Roman" w:cs="Times New Roman"/>
                <w:szCs w:val="24"/>
              </w:rPr>
            </w:pPr>
            <w:r w:rsidRPr="00317ABF">
              <w:rPr>
                <w:rFonts w:ascii="Times New Roman" w:eastAsia="Times" w:hAnsi="Times New Roman" w:cs="Times New Roman"/>
                <w:szCs w:val="24"/>
              </w:rPr>
              <w:t>a) w ust. 1a wyrazy „ustawy z dnia 16 lipca 2004 r. – Prawo telekomunikacyjne (Dz. U. z 2019 r. poz.</w:t>
            </w:r>
            <w:r w:rsidRPr="00317ABF">
              <w:rPr>
                <w:rFonts w:ascii="Times New Roman" w:hAnsi="Times New Roman" w:cs="Times New Roman"/>
                <w:szCs w:val="24"/>
              </w:rPr>
              <w:t xml:space="preserve"> 2460</w:t>
            </w:r>
            <w:r w:rsidRPr="00317ABF">
              <w:rPr>
                <w:rFonts w:ascii="Times New Roman" w:eastAsia="Times" w:hAnsi="Times New Roman" w:cs="Times New Roman"/>
                <w:szCs w:val="24"/>
              </w:rPr>
              <w:t>)” zastępuje się wyrazami „</w:t>
            </w:r>
            <w:r w:rsidRPr="00317ABF">
              <w:rPr>
                <w:rFonts w:ascii="Times New Roman" w:eastAsia="Calibri" w:hAnsi="Times New Roman" w:cs="Times New Roman"/>
                <w:szCs w:val="24"/>
              </w:rPr>
              <w:t xml:space="preserve">ustawy z dnia … 2021 r. </w:t>
            </w:r>
            <w:r w:rsidRPr="00317ABF">
              <w:rPr>
                <w:rFonts w:ascii="Times New Roman" w:hAnsi="Times New Roman" w:cs="Times New Roman"/>
                <w:szCs w:val="24"/>
              </w:rPr>
              <w:t>–</w:t>
            </w:r>
            <w:r w:rsidRPr="00317ABF">
              <w:rPr>
                <w:rFonts w:ascii="Times New Roman" w:eastAsia="Calibri" w:hAnsi="Times New Roman" w:cs="Times New Roman"/>
                <w:szCs w:val="24"/>
              </w:rPr>
              <w:t xml:space="preserve"> Prawo komunikacji elektronicznej (Dz. U. poz. …)”</w:t>
            </w:r>
            <w:r w:rsidRPr="00317ABF">
              <w:rPr>
                <w:rFonts w:ascii="Times New Roman" w:eastAsia="Times" w:hAnsi="Times New Roman" w:cs="Times New Roman"/>
                <w:szCs w:val="24"/>
              </w:rPr>
              <w:t>,</w:t>
            </w:r>
          </w:p>
          <w:p w14:paraId="1DB67BAA" w14:textId="77777777" w:rsidR="00B414B9" w:rsidRPr="00317ABF" w:rsidRDefault="00B414B9" w:rsidP="00B414B9">
            <w:pPr>
              <w:pStyle w:val="ARTartustawynprozporzdzenia"/>
              <w:spacing w:line="240" w:lineRule="auto"/>
              <w:rPr>
                <w:rFonts w:ascii="Times New Roman" w:eastAsia="Times" w:hAnsi="Times New Roman" w:cs="Times New Roman"/>
                <w:szCs w:val="24"/>
              </w:rPr>
            </w:pPr>
            <w:r w:rsidRPr="00317ABF">
              <w:rPr>
                <w:rFonts w:ascii="Times New Roman" w:eastAsia="Times" w:hAnsi="Times New Roman" w:cs="Times New Roman"/>
                <w:szCs w:val="24"/>
              </w:rPr>
              <w:t>b) w ust. 3 zdanie pierwsze otrzymuje brzmienie:</w:t>
            </w:r>
          </w:p>
          <w:p w14:paraId="7CB2E30C" w14:textId="77777777" w:rsidR="00B414B9" w:rsidRPr="00317ABF" w:rsidRDefault="00B414B9" w:rsidP="00B414B9">
            <w:pPr>
              <w:pStyle w:val="ARTartustawynprozporzdzenia"/>
              <w:spacing w:line="240" w:lineRule="auto"/>
              <w:rPr>
                <w:rFonts w:ascii="Times New Roman" w:eastAsia="Times" w:hAnsi="Times New Roman" w:cs="Times New Roman"/>
                <w:szCs w:val="24"/>
              </w:rPr>
            </w:pPr>
            <w:r w:rsidRPr="00317ABF">
              <w:rPr>
                <w:rFonts w:ascii="Times New Roman" w:eastAsia="Times" w:hAnsi="Times New Roman" w:cs="Times New Roman"/>
                <w:szCs w:val="24"/>
              </w:rPr>
              <w:t>„3. W szczególnie uzasadnionych przypadkach lokalizowanie w pasie drogowym obiektów budowlanych lub urządzeń niezwiązanych z potrzebami zarządzania drogami lub potrzebami ruchu drogowego oraz reklam,</w:t>
            </w:r>
            <w:r w:rsidRPr="00317ABF">
              <w:rPr>
                <w:rFonts w:ascii="Times New Roman" w:eastAsia="Helvetica" w:hAnsi="Times New Roman" w:cs="Times New Roman"/>
                <w:szCs w:val="24"/>
              </w:rPr>
              <w:t xml:space="preserve"> z zastrzeżeniem ust. 3</w:t>
            </w:r>
            <w:r w:rsidRPr="00317ABF">
              <w:rPr>
                <w:rFonts w:ascii="Times New Roman" w:eastAsia="Helvetica" w:hAnsi="Times New Roman" w:cs="Times New Roman"/>
                <w:szCs w:val="24"/>
                <w:vertAlign w:val="superscript"/>
              </w:rPr>
              <w:t>1</w:t>
            </w:r>
            <w:r w:rsidRPr="00317ABF">
              <w:rPr>
                <w:rFonts w:ascii="Times New Roman" w:eastAsia="Helvetica" w:hAnsi="Times New Roman" w:cs="Times New Roman"/>
                <w:szCs w:val="24"/>
              </w:rPr>
              <w:t>,</w:t>
            </w:r>
            <w:r w:rsidRPr="00317ABF">
              <w:rPr>
                <w:rFonts w:ascii="Times New Roman" w:eastAsia="Times" w:hAnsi="Times New Roman" w:cs="Times New Roman"/>
                <w:szCs w:val="24"/>
              </w:rPr>
              <w:t xml:space="preserve"> może nastąpić wyłącznie w drodze decyzji administracyjnej – zezwolenie nie jest wymagane w przypadku wydania decyzji, o której mowa w ust. 7, lub w przypadku zawarcia umowy, o której mowa w ust. 7a lub w art. 22 ust. 2, 2a, 2c.”,</w:t>
            </w:r>
          </w:p>
          <w:p w14:paraId="75BD4FB2" w14:textId="77777777" w:rsidR="00B414B9" w:rsidRPr="00317ABF" w:rsidRDefault="00B414B9" w:rsidP="00B414B9">
            <w:pPr>
              <w:pStyle w:val="ARTartustawynprozporzdzenia"/>
              <w:spacing w:line="240" w:lineRule="auto"/>
              <w:ind w:left="340" w:firstLine="170"/>
              <w:rPr>
                <w:rFonts w:ascii="Times New Roman" w:eastAsia="Times" w:hAnsi="Times New Roman" w:cs="Times New Roman"/>
                <w:szCs w:val="24"/>
              </w:rPr>
            </w:pPr>
            <w:r w:rsidRPr="00317ABF">
              <w:rPr>
                <w:rFonts w:ascii="Times New Roman" w:eastAsia="Times" w:hAnsi="Times New Roman" w:cs="Times New Roman"/>
                <w:szCs w:val="24"/>
              </w:rPr>
              <w:t xml:space="preserve">c) po ust. 3 dodaje się ust. </w:t>
            </w:r>
            <w:r w:rsidRPr="00317ABF">
              <w:rPr>
                <w:rFonts w:ascii="Times New Roman" w:hAnsi="Times New Roman" w:cs="Times New Roman"/>
                <w:szCs w:val="24"/>
              </w:rPr>
              <w:t>3</w:t>
            </w:r>
            <w:r w:rsidRPr="00317ABF">
              <w:rPr>
                <w:rFonts w:ascii="Times New Roman" w:hAnsi="Times New Roman" w:cs="Times New Roman"/>
                <w:szCs w:val="24"/>
                <w:vertAlign w:val="superscript"/>
              </w:rPr>
              <w:t>1</w:t>
            </w:r>
            <w:r w:rsidRPr="00317ABF">
              <w:rPr>
                <w:rFonts w:ascii="Times New Roman" w:eastAsia="Times" w:hAnsi="Times New Roman" w:cs="Times New Roman"/>
                <w:szCs w:val="24"/>
              </w:rPr>
              <w:t xml:space="preserve"> – </w:t>
            </w:r>
            <w:r w:rsidRPr="00317ABF">
              <w:rPr>
                <w:rFonts w:ascii="Times New Roman" w:hAnsi="Times New Roman" w:cs="Times New Roman"/>
                <w:szCs w:val="24"/>
              </w:rPr>
              <w:t>3</w:t>
            </w:r>
            <w:r w:rsidRPr="00317ABF">
              <w:rPr>
                <w:rFonts w:ascii="Times New Roman" w:hAnsi="Times New Roman" w:cs="Times New Roman"/>
                <w:szCs w:val="24"/>
                <w:vertAlign w:val="superscript"/>
              </w:rPr>
              <w:t>4</w:t>
            </w:r>
            <w:r w:rsidRPr="00317ABF">
              <w:rPr>
                <w:rFonts w:ascii="Times New Roman" w:eastAsia="Times" w:hAnsi="Times New Roman" w:cs="Times New Roman"/>
                <w:szCs w:val="24"/>
              </w:rPr>
              <w:t xml:space="preserve"> w brzmieniu:</w:t>
            </w:r>
          </w:p>
          <w:p w14:paraId="7AA7681B" w14:textId="77777777" w:rsidR="00B414B9" w:rsidRPr="00317ABF" w:rsidRDefault="00B414B9" w:rsidP="00B414B9">
            <w:pPr>
              <w:jc w:val="both"/>
            </w:pPr>
            <w:r w:rsidRPr="00317ABF">
              <w:rPr>
                <w:rFonts w:eastAsia="Times"/>
              </w:rPr>
              <w:t>„</w:t>
            </w:r>
            <w:r w:rsidRPr="00317ABF">
              <w:t>3</w:t>
            </w:r>
            <w:r w:rsidRPr="00317ABF">
              <w:rPr>
                <w:vertAlign w:val="superscript"/>
              </w:rPr>
              <w:t>1</w:t>
            </w:r>
            <w:r w:rsidRPr="00317ABF">
              <w:t xml:space="preserve">. W pasie drogowym mogą być instalowane punkty dostępu bezprzewodowego o bliskim zasięgu, o których mowa w art. 2 ust. 1 pkt 10 ustawy z dnia 7 maja 2010 r. o wspieraniu rozwoju usług i sieci </w:t>
            </w:r>
            <w:r w:rsidRPr="00317ABF">
              <w:lastRenderedPageBreak/>
              <w:t>telekomunikacyjnych (Dz. U. z 2019 r. poz. 2410 oraz z 2020 r. poz. 471, 875 i 1378), zwane dalej „punktami dostępu”, przy czym może to nastąpić wyłącznie za zezwoleniem właściwego zarządcy drogi, wydawanym w drodze decyzji administracyjnej.</w:t>
            </w:r>
          </w:p>
          <w:p w14:paraId="0351CB2C" w14:textId="77777777" w:rsidR="00B414B9" w:rsidRPr="00317ABF" w:rsidRDefault="00B414B9" w:rsidP="00B414B9">
            <w:pPr>
              <w:jc w:val="both"/>
            </w:pPr>
            <w:r w:rsidRPr="00317ABF">
              <w:t>3</w:t>
            </w:r>
            <w:r w:rsidRPr="00317ABF">
              <w:rPr>
                <w:vertAlign w:val="superscript"/>
              </w:rPr>
              <w:t>2</w:t>
            </w:r>
            <w:r w:rsidRPr="00317ABF">
              <w:t>. Zarządca drogi może odmówić wydania zezwolenia na instalację punktów dostępu wyłącznie, jeżeli ich umieszczenie spowodowałoby zagrożenie bezpieczeństwa ruchu drogowego.</w:t>
            </w:r>
          </w:p>
          <w:p w14:paraId="73EC1818" w14:textId="77777777" w:rsidR="00B414B9" w:rsidRPr="00317ABF" w:rsidRDefault="00B414B9" w:rsidP="00B414B9">
            <w:pPr>
              <w:jc w:val="both"/>
            </w:pPr>
            <w:r w:rsidRPr="00317ABF">
              <w:t>3</w:t>
            </w:r>
            <w:r w:rsidRPr="00317ABF">
              <w:rPr>
                <w:vertAlign w:val="superscript"/>
              </w:rPr>
              <w:t>3</w:t>
            </w:r>
            <w:r w:rsidRPr="00317ABF">
              <w:t>. Do instalowania w pasie drogowym punktów dostępu nie stosuje się przepisów art. 40 ust. 1 i 3.</w:t>
            </w:r>
          </w:p>
          <w:p w14:paraId="43654B01" w14:textId="77777777" w:rsidR="00B414B9" w:rsidRPr="00317ABF" w:rsidRDefault="00B414B9" w:rsidP="00B414B9">
            <w:pPr>
              <w:pStyle w:val="ARTartustawynprozporzdzenia"/>
              <w:spacing w:line="240" w:lineRule="auto"/>
              <w:ind w:firstLine="0"/>
              <w:rPr>
                <w:rFonts w:ascii="Times New Roman" w:hAnsi="Times New Roman" w:cs="Times New Roman"/>
                <w:szCs w:val="24"/>
              </w:rPr>
            </w:pPr>
            <w:r w:rsidRPr="00317ABF">
              <w:rPr>
                <w:rFonts w:ascii="Times New Roman" w:hAnsi="Times New Roman" w:cs="Times New Roman"/>
                <w:szCs w:val="24"/>
              </w:rPr>
              <w:t>3</w:t>
            </w:r>
            <w:r w:rsidRPr="00317ABF">
              <w:rPr>
                <w:rFonts w:ascii="Times New Roman" w:hAnsi="Times New Roman" w:cs="Times New Roman"/>
                <w:szCs w:val="24"/>
                <w:vertAlign w:val="superscript"/>
              </w:rPr>
              <w:t>4</w:t>
            </w:r>
            <w:r w:rsidRPr="00317ABF">
              <w:rPr>
                <w:rFonts w:ascii="Times New Roman" w:hAnsi="Times New Roman" w:cs="Times New Roman"/>
                <w:szCs w:val="24"/>
              </w:rPr>
              <w:t>. W przypadku gdy umieszczenie w pasie drogowym dotyczy jednocześnie infrastruktury telekomunikacyjnej i punktów dostępu, zarządca drogi proceduje wnioski o wydanie decyzji, o których mowa w ust. 3 i 3</w:t>
            </w:r>
            <w:r w:rsidRPr="00317ABF">
              <w:rPr>
                <w:rFonts w:ascii="Times New Roman" w:hAnsi="Times New Roman" w:cs="Times New Roman"/>
                <w:szCs w:val="24"/>
                <w:vertAlign w:val="superscript"/>
              </w:rPr>
              <w:t>1</w:t>
            </w:r>
            <w:r w:rsidRPr="00317ABF">
              <w:rPr>
                <w:rFonts w:ascii="Times New Roman" w:hAnsi="Times New Roman" w:cs="Times New Roman"/>
                <w:szCs w:val="24"/>
              </w:rPr>
              <w:t>, łącznie.”,</w:t>
            </w:r>
          </w:p>
          <w:p w14:paraId="1FFB40B4" w14:textId="77777777" w:rsidR="00B414B9" w:rsidRPr="00317ABF" w:rsidRDefault="00B414B9" w:rsidP="00B414B9">
            <w:pPr>
              <w:pStyle w:val="ARTartustawynprozporzdzenia"/>
              <w:ind w:left="360" w:firstLine="150"/>
              <w:rPr>
                <w:rFonts w:ascii="Times New Roman" w:hAnsi="Times New Roman" w:cs="Times New Roman"/>
                <w:szCs w:val="24"/>
              </w:rPr>
            </w:pPr>
            <w:r w:rsidRPr="00317ABF">
              <w:rPr>
                <w:rFonts w:ascii="Times New Roman" w:hAnsi="Times New Roman" w:cs="Times New Roman"/>
                <w:szCs w:val="24"/>
              </w:rPr>
              <w:t>d) ust. 3aa otrzymuje brzmienie:</w:t>
            </w:r>
          </w:p>
          <w:p w14:paraId="04EDFCFB" w14:textId="77777777" w:rsidR="00B414B9" w:rsidRPr="00317ABF" w:rsidRDefault="00B414B9" w:rsidP="00B414B9">
            <w:pPr>
              <w:jc w:val="both"/>
            </w:pPr>
            <w:r w:rsidRPr="00317ABF">
              <w:rPr>
                <w:rFonts w:eastAsia="Times"/>
              </w:rPr>
              <w:t>„</w:t>
            </w:r>
            <w:r w:rsidRPr="00317ABF">
              <w:t>3aa. W przypadku gdy decyzja, o której mowa w ust. 3</w:t>
            </w:r>
            <w:r w:rsidRPr="00317ABF">
              <w:rPr>
                <w:vertAlign w:val="superscript"/>
              </w:rPr>
              <w:t>1</w:t>
            </w:r>
            <w:r w:rsidRPr="00317ABF">
              <w:t xml:space="preserve"> lub gdy decyzja, o której mowa w ust. 3, dotyczy lokalizacji w pasie drogowym infrastruktury telekomunikacyjnej, w decyzji tej określa się dodatkowo, czy w okresie 4 lat od jej wydania planowana jest budowa, przebudowa lub remont odcinka drogi, którego dotyczy decyzja, o ile wynika to wprost z uchwały budżetowej jednostki samorządu terytorialnego, wieloletniej prognozy finansowej jednostki samorządu terytorialnego, programu wieloletniego wydanego na podstawie art. 136 ust. 2 ustawy z dnia 27 sierpnia 2009 r. o finansach publicznych (Dz. U. z 2019 r. poz. 869, 1622, 1649, 2020 i 2473 oraz z 2020 r. poz. 284) lub planów, o których mowa w art. 20 pkt 1 lub 2 niniejszej ustawy.”,</w:t>
            </w:r>
          </w:p>
          <w:p w14:paraId="390ED684" w14:textId="77777777" w:rsidR="00B414B9" w:rsidRPr="00317ABF" w:rsidRDefault="00B414B9" w:rsidP="00B414B9">
            <w:pPr>
              <w:ind w:left="340" w:firstLine="227"/>
              <w:jc w:val="both"/>
            </w:pPr>
            <w:r w:rsidRPr="00317ABF">
              <w:t>e) po ust. 3aa dodaje się ust. 3ab w brzmieniu:</w:t>
            </w:r>
          </w:p>
          <w:p w14:paraId="09485BAD" w14:textId="77777777" w:rsidR="00B414B9" w:rsidRPr="00317ABF" w:rsidRDefault="00B414B9" w:rsidP="00B414B9">
            <w:pPr>
              <w:jc w:val="both"/>
            </w:pPr>
            <w:r w:rsidRPr="00317ABF">
              <w:rPr>
                <w:rFonts w:eastAsia="Times"/>
              </w:rPr>
              <w:t>„</w:t>
            </w:r>
            <w:r w:rsidRPr="00317ABF">
              <w:t>3ab. W decyzji, o której mowa w ust. 3</w:t>
            </w:r>
            <w:r w:rsidRPr="00317ABF">
              <w:rPr>
                <w:vertAlign w:val="superscript"/>
              </w:rPr>
              <w:t>1</w:t>
            </w:r>
            <w:r w:rsidRPr="00317ABF">
              <w:t>, określa się w szczególności sposób, termin, miejsce i warunki umieszczenia w pasie drogowym punktów dostępu.”,</w:t>
            </w:r>
          </w:p>
          <w:p w14:paraId="37F1A788" w14:textId="77777777" w:rsidR="00B414B9" w:rsidRPr="00317ABF" w:rsidRDefault="00B414B9" w:rsidP="00B414B9">
            <w:pPr>
              <w:ind w:left="340" w:firstLine="227"/>
              <w:jc w:val="both"/>
            </w:pPr>
            <w:r w:rsidRPr="00317ABF">
              <w:t>f) ust. 3b otrzymuje brzmienie:</w:t>
            </w:r>
          </w:p>
          <w:p w14:paraId="4CB4E246" w14:textId="77777777" w:rsidR="00B414B9" w:rsidRPr="00317ABF" w:rsidRDefault="00B414B9" w:rsidP="00B414B9">
            <w:pPr>
              <w:jc w:val="both"/>
            </w:pPr>
            <w:r w:rsidRPr="00317ABF">
              <w:rPr>
                <w:rFonts w:eastAsia="Times"/>
              </w:rPr>
              <w:t>„</w:t>
            </w:r>
            <w:r w:rsidRPr="00317ABF">
              <w:t xml:space="preserve">3b. W przypadku gdy właściwy organ nie wyda decyzji, o której mowa w ust. 3, w terminie 65 dni od dnia złożenia wniosku, a w odniesieniu do infrastruktury telekomunikacyjnej w rozumieniu </w:t>
            </w:r>
            <w:r w:rsidRPr="00317ABF">
              <w:rPr>
                <w:rFonts w:eastAsia="Calibri"/>
              </w:rPr>
              <w:lastRenderedPageBreak/>
              <w:t xml:space="preserve">ustawy z dnia … 2021 r. </w:t>
            </w:r>
            <w:r w:rsidRPr="00317ABF">
              <w:t>–</w:t>
            </w:r>
            <w:r w:rsidRPr="00317ABF">
              <w:rPr>
                <w:rFonts w:eastAsia="Calibri"/>
              </w:rPr>
              <w:t xml:space="preserve"> Prawo komunikacji elektronicznej </w:t>
            </w:r>
            <w:r w:rsidRPr="00317ABF">
              <w:t>oraz decyzji, o której mowa w ust. 3</w:t>
            </w:r>
            <w:r w:rsidRPr="00317ABF">
              <w:rPr>
                <w:vertAlign w:val="superscript"/>
              </w:rPr>
              <w:t xml:space="preserve">1 </w:t>
            </w:r>
            <w:r w:rsidRPr="00317ABF">
              <w:t>- w terminie 45 dni od dnia złożenia wniosku, organ wyższego stopnia, a w przypadku braku takiego organu - organ nadzorujący, wymierza temu organowi, w drodze postanowienia, na które przysługuje zażalenie, karę pieniężną w wysokości 500 zł za każdy dzień zwłoki.”,</w:t>
            </w:r>
          </w:p>
          <w:p w14:paraId="52597769" w14:textId="77777777" w:rsidR="00B414B9" w:rsidRPr="00317ABF" w:rsidRDefault="00B414B9" w:rsidP="00B414B9">
            <w:pPr>
              <w:pStyle w:val="ARTartustawynprozporzdzenia"/>
              <w:ind w:left="360" w:firstLine="150"/>
              <w:rPr>
                <w:rFonts w:ascii="Times New Roman" w:hAnsi="Times New Roman" w:cs="Times New Roman"/>
                <w:szCs w:val="24"/>
              </w:rPr>
            </w:pPr>
            <w:r w:rsidRPr="00317ABF">
              <w:rPr>
                <w:rFonts w:ascii="Times New Roman" w:hAnsi="Times New Roman" w:cs="Times New Roman"/>
                <w:szCs w:val="24"/>
              </w:rPr>
              <w:t>g) ust. 4 otrzymuje brzmienie:</w:t>
            </w:r>
          </w:p>
          <w:p w14:paraId="4D46EB22" w14:textId="77777777" w:rsidR="00B414B9" w:rsidRPr="00317ABF" w:rsidRDefault="00B414B9" w:rsidP="00B414B9">
            <w:pPr>
              <w:jc w:val="both"/>
            </w:pPr>
            <w:r w:rsidRPr="00317ABF">
              <w:rPr>
                <w:rFonts w:eastAsia="Times"/>
              </w:rPr>
              <w:t>„</w:t>
            </w:r>
            <w:r w:rsidRPr="00317ABF">
              <w:t>4. Utrzymanie obiektów i urządzeń, o których mowa w ust. 3 i 3</w:t>
            </w:r>
            <w:r w:rsidRPr="00317ABF">
              <w:rPr>
                <w:vertAlign w:val="superscript"/>
              </w:rPr>
              <w:t>1</w:t>
            </w:r>
            <w:r w:rsidRPr="00317ABF">
              <w:t>, należy do ich posiadaczy.”,</w:t>
            </w:r>
          </w:p>
          <w:p w14:paraId="34B75816" w14:textId="77777777" w:rsidR="00B414B9" w:rsidRPr="00317ABF" w:rsidRDefault="00B414B9" w:rsidP="00B414B9">
            <w:pPr>
              <w:ind w:left="340" w:firstLine="170"/>
            </w:pPr>
            <w:r w:rsidRPr="00317ABF">
              <w:t>h) ust. 5a otrzymuje brzmienie:</w:t>
            </w:r>
          </w:p>
          <w:p w14:paraId="78BB0A92" w14:textId="77777777" w:rsidR="00B414B9" w:rsidRPr="00317ABF" w:rsidRDefault="00B414B9" w:rsidP="00B414B9">
            <w:pPr>
              <w:jc w:val="both"/>
            </w:pPr>
            <w:r w:rsidRPr="00317ABF">
              <w:rPr>
                <w:rFonts w:eastAsia="Times"/>
              </w:rPr>
              <w:t>„</w:t>
            </w:r>
            <w:r w:rsidRPr="00317ABF">
              <w:t>5a. Z zastrzeżeniem art. 32 ust. 3, jeżeli budowa, przebudowa lub remont drogi wymaga przełożenia infrastruktury telekomunikacyjnej lub punktów dostępu umieszczonych w pasie drogowym, koszt tego przełożenia ponosi:</w:t>
            </w:r>
          </w:p>
          <w:p w14:paraId="3A91874A" w14:textId="77777777" w:rsidR="00B414B9" w:rsidRPr="00317ABF" w:rsidRDefault="00B414B9" w:rsidP="00B414B9">
            <w:pPr>
              <w:jc w:val="both"/>
            </w:pPr>
            <w:r w:rsidRPr="00317ABF">
              <w:t>1)</w:t>
            </w:r>
            <w:r w:rsidRPr="00317ABF">
              <w:rPr>
                <w:b/>
                <w:bCs/>
              </w:rPr>
              <w:t xml:space="preserve"> </w:t>
            </w:r>
            <w:r w:rsidRPr="00317ABF">
              <w:t xml:space="preserve"> zarządca drogi - w przypadku gdy nie upłynęły 4 lata od dnia wydania decyzji, o której mowa w ust. 3 lub 3</w:t>
            </w:r>
            <w:r w:rsidRPr="00317ABF">
              <w:rPr>
                <w:vertAlign w:val="superscript"/>
              </w:rPr>
              <w:t>1</w:t>
            </w:r>
            <w:r w:rsidRPr="00317ABF">
              <w:t>, pod warunkiem zachowania dotychczasowych właściwości użytkowych oraz parametrów technicznych infrastruktury telekomunikacyjnej;</w:t>
            </w:r>
          </w:p>
          <w:p w14:paraId="7BFFEC49" w14:textId="77777777" w:rsidR="00B414B9" w:rsidRPr="00317ABF" w:rsidRDefault="00B414B9" w:rsidP="00B414B9">
            <w:pPr>
              <w:jc w:val="both"/>
            </w:pPr>
            <w:r w:rsidRPr="00317ABF">
              <w:t>2)</w:t>
            </w:r>
            <w:r w:rsidRPr="00317ABF">
              <w:rPr>
                <w:b/>
                <w:bCs/>
              </w:rPr>
              <w:t xml:space="preserve"> </w:t>
            </w:r>
            <w:r w:rsidRPr="00317ABF">
              <w:t xml:space="preserve"> właściciel infrastruktury telekomunikacyjnej - w przypadku gdy: </w:t>
            </w:r>
          </w:p>
          <w:p w14:paraId="24189486" w14:textId="77777777" w:rsidR="00B414B9" w:rsidRPr="00317ABF" w:rsidRDefault="00B414B9" w:rsidP="00B414B9">
            <w:pPr>
              <w:jc w:val="both"/>
            </w:pPr>
            <w:r w:rsidRPr="00317ABF">
              <w:t xml:space="preserve"> a)</w:t>
            </w:r>
            <w:r w:rsidRPr="00317ABF">
              <w:rPr>
                <w:b/>
                <w:bCs/>
              </w:rPr>
              <w:t xml:space="preserve"> </w:t>
            </w:r>
            <w:r w:rsidRPr="00317ABF">
              <w:t xml:space="preserve"> upłynęły 4 lata od dnia wydania decyzji, o której mowa w ust. 3 lub 3</w:t>
            </w:r>
            <w:r w:rsidRPr="00317ABF">
              <w:rPr>
                <w:vertAlign w:val="superscript"/>
              </w:rPr>
              <w:t>1</w:t>
            </w:r>
            <w:r w:rsidRPr="00317ABF">
              <w:t xml:space="preserve">, </w:t>
            </w:r>
          </w:p>
          <w:p w14:paraId="5E0690A6" w14:textId="77777777" w:rsidR="00B414B9" w:rsidRPr="00317ABF" w:rsidRDefault="00B414B9" w:rsidP="00B414B9">
            <w:pPr>
              <w:jc w:val="both"/>
            </w:pPr>
            <w:r w:rsidRPr="00317ABF">
              <w:t xml:space="preserve"> b)</w:t>
            </w:r>
            <w:r w:rsidRPr="00317ABF">
              <w:rPr>
                <w:b/>
                <w:bCs/>
              </w:rPr>
              <w:t xml:space="preserve"> </w:t>
            </w:r>
            <w:r w:rsidRPr="00317ABF">
              <w:t xml:space="preserve"> na żądanie właściciela wprowadzono ulepszenia w infrastrukturze telekomunikacyjnej, </w:t>
            </w:r>
          </w:p>
          <w:p w14:paraId="3CE82472" w14:textId="77777777" w:rsidR="00B414B9" w:rsidRPr="00317ABF" w:rsidRDefault="00B414B9" w:rsidP="00B414B9">
            <w:pPr>
              <w:jc w:val="both"/>
            </w:pPr>
            <w:r w:rsidRPr="00317ABF">
              <w:t xml:space="preserve"> c) infrastruktura telekomunikacyjna została zlokalizowana w pasie drogowym, mimo że zarządca drogi zawarł w decyzji, o której mowa w ust. 3 lub 31, informację o planowanej w okresie 4 lat budowie, przebudowie lub remoncie odcinka drogi, którego dotyczy decyzja.”, i) ust. 6 otrzymuje brzmienie:</w:t>
            </w:r>
          </w:p>
          <w:p w14:paraId="30CAF1B9" w14:textId="77777777" w:rsidR="00B414B9" w:rsidRPr="00317ABF" w:rsidRDefault="00B414B9" w:rsidP="00B414B9">
            <w:pPr>
              <w:jc w:val="both"/>
            </w:pPr>
            <w:r w:rsidRPr="00317ABF">
              <w:t>„6. Zarządca drogi jest obowiązany zlokalizować kanał technologiczny w pasie drogowym w trakcie budowy lub przebudowy dróg publicznych.”,</w:t>
            </w:r>
          </w:p>
          <w:p w14:paraId="74A8048B" w14:textId="77777777" w:rsidR="00B414B9" w:rsidRPr="00317ABF" w:rsidRDefault="00B414B9" w:rsidP="00B414B9">
            <w:pPr>
              <w:jc w:val="both"/>
            </w:pPr>
            <w:r w:rsidRPr="00317ABF">
              <w:t>3) w art. 40 ust. 12 otrzymuje brzmienie:</w:t>
            </w:r>
          </w:p>
          <w:p w14:paraId="6CC34D7E" w14:textId="77777777" w:rsidR="00B414B9" w:rsidRPr="00317ABF" w:rsidRDefault="00B414B9" w:rsidP="00B414B9">
            <w:pPr>
              <w:jc w:val="both"/>
            </w:pPr>
            <w:r w:rsidRPr="00317ABF">
              <w:t>„12.  Za zajęcie pasa drogowego:</w:t>
            </w:r>
          </w:p>
          <w:p w14:paraId="1B80C480" w14:textId="77777777" w:rsidR="00B414B9" w:rsidRPr="00317ABF" w:rsidRDefault="00B414B9" w:rsidP="00B414B9">
            <w:pPr>
              <w:jc w:val="both"/>
            </w:pPr>
            <w:r w:rsidRPr="00317ABF">
              <w:lastRenderedPageBreak/>
              <w:t>1) bez zezwolenia zarządcy drogi lub bez zawarcia umowy, o której mowa w art. 22 ust 2, 2q, 2c lub decyzji, o której mowa w art. 39 ust. 31,</w:t>
            </w:r>
          </w:p>
          <w:p w14:paraId="35FF215E" w14:textId="77777777" w:rsidR="00B414B9" w:rsidRPr="00317ABF" w:rsidRDefault="00B414B9" w:rsidP="00B414B9">
            <w:pPr>
              <w:jc w:val="both"/>
            </w:pPr>
            <w:r w:rsidRPr="00317ABF">
              <w:t>2) z przekroczeniem terminu zajęcia określonego w zezwoleniu zarządcy drogi lub w umowie, o której mowa w art. 22 ust. 2, 2a, 2c lub w decyzji, o której mowa w art. 39 ust. 31,</w:t>
            </w:r>
          </w:p>
          <w:p w14:paraId="17AFD5D6" w14:textId="77777777" w:rsidR="00B414B9" w:rsidRPr="00317ABF" w:rsidRDefault="00B414B9" w:rsidP="00B414B9">
            <w:pPr>
              <w:jc w:val="both"/>
            </w:pPr>
            <w:r w:rsidRPr="00317ABF">
              <w:t xml:space="preserve">3) o powierzchni większej niż określona w zezwoleniu zarządcy drogi lub w umowie, o której mowa w art. 22 ust. 2, 2a, 2c lub w decyzji, o której mowa w art. 39 ust. 31 </w:t>
            </w:r>
          </w:p>
          <w:p w14:paraId="4FAB3F8B" w14:textId="77777777" w:rsidR="00B414B9" w:rsidRPr="00317ABF" w:rsidRDefault="00B414B9" w:rsidP="00B414B9">
            <w:pPr>
              <w:jc w:val="both"/>
            </w:pPr>
            <w:r w:rsidRPr="00317ABF">
              <w:t>- zarządca drogi wymierza, w drodze decyzji administracyjnej, karę pieniężną w wysokości 10-krotności opłaty ustalanej zgodnie z ust. 4-6.”.</w:t>
            </w:r>
          </w:p>
          <w:p w14:paraId="77B1984D" w14:textId="77777777" w:rsidR="00B414B9" w:rsidRPr="00317ABF" w:rsidRDefault="00B414B9" w:rsidP="00B414B9">
            <w:pPr>
              <w:jc w:val="both"/>
            </w:pPr>
          </w:p>
          <w:p w14:paraId="732CB5E2" w14:textId="77777777" w:rsidR="00B414B9" w:rsidRPr="00317ABF" w:rsidRDefault="00B414B9" w:rsidP="00B414B9">
            <w:pPr>
              <w:jc w:val="both"/>
            </w:pPr>
            <w:r w:rsidRPr="00317ABF">
              <w:t>2) w art. 40 ust. 12 otrzymuje brzmienie:</w:t>
            </w:r>
          </w:p>
          <w:p w14:paraId="154A9F4F" w14:textId="77777777" w:rsidR="00B414B9" w:rsidRPr="00317ABF" w:rsidRDefault="00B414B9" w:rsidP="00B414B9">
            <w:pPr>
              <w:jc w:val="both"/>
            </w:pPr>
            <w:r w:rsidRPr="00317ABF">
              <w:t>„12.  Za zajęcie pasa drogowego:</w:t>
            </w:r>
          </w:p>
          <w:p w14:paraId="6ACE4515" w14:textId="77777777" w:rsidR="00B414B9" w:rsidRPr="00317ABF" w:rsidRDefault="00B414B9" w:rsidP="00B414B9">
            <w:pPr>
              <w:jc w:val="both"/>
            </w:pPr>
            <w:r w:rsidRPr="00317ABF">
              <w:t>1) bez zezwolenia zarządcy drogi lub bez zawarcia umowy, o której mowa w art. 22 ust 2, 2q, 2c lub decyzji, o której mowa w art. 39 ust. 31,</w:t>
            </w:r>
          </w:p>
          <w:p w14:paraId="063D16FE" w14:textId="77777777" w:rsidR="00B414B9" w:rsidRPr="00317ABF" w:rsidRDefault="00B414B9" w:rsidP="00B414B9">
            <w:pPr>
              <w:jc w:val="both"/>
            </w:pPr>
            <w:r w:rsidRPr="00317ABF">
              <w:t>2) z przekroczeniem terminu zajęcia określonego w zezwoleniu zarządcy drogi lub w umowie, o której mowa w art. 22 ust. 2, 2a, 2c lub w decyzji, o której mowa w art. 39 ust. 31,</w:t>
            </w:r>
          </w:p>
          <w:p w14:paraId="70A7B229" w14:textId="77777777" w:rsidR="00B414B9" w:rsidRPr="00317ABF" w:rsidRDefault="00B414B9" w:rsidP="00B414B9">
            <w:pPr>
              <w:jc w:val="both"/>
            </w:pPr>
            <w:r w:rsidRPr="00317ABF">
              <w:t xml:space="preserve">3) o powierzchni większej niż określona w zezwoleniu zarządcy drogi lub w umowie, o której mowa w art. 22 ust. 2, 2a, 2c lub w decyzji, o której mowa w art. 39 ust. 31 </w:t>
            </w:r>
          </w:p>
          <w:p w14:paraId="6C6ACF52" w14:textId="77777777" w:rsidR="00B414B9" w:rsidRPr="00317ABF" w:rsidRDefault="00B414B9" w:rsidP="00B414B9">
            <w:pPr>
              <w:jc w:val="both"/>
            </w:pPr>
            <w:r w:rsidRPr="00317ABF">
              <w:t>- zarządca drogi wymierza, w drodze decyzji administracyjnej, karę pieniężną w wysokości 10-krotności opłaty ustalanej zgodnie z ust. 4-6.”.</w:t>
            </w:r>
          </w:p>
          <w:p w14:paraId="4ED0A972" w14:textId="310841DA" w:rsidR="00B414B9" w:rsidRPr="00317ABF" w:rsidRDefault="00B414B9" w:rsidP="00B414B9">
            <w:pPr>
              <w:spacing w:line="276" w:lineRule="auto"/>
              <w:jc w:val="both"/>
            </w:pPr>
          </w:p>
          <w:p w14:paraId="664FEC61" w14:textId="6DF1E9D5" w:rsidR="00B414B9" w:rsidRPr="00317ABF" w:rsidRDefault="00B414B9" w:rsidP="00B414B9">
            <w:pPr>
              <w:spacing w:line="276" w:lineRule="auto"/>
              <w:jc w:val="both"/>
            </w:pPr>
            <w:r w:rsidRPr="00317ABF">
              <w:rPr>
                <w:b/>
                <w:bCs/>
              </w:rPr>
              <w:t>Art. 3</w:t>
            </w:r>
            <w:r w:rsidR="008149E9" w:rsidRPr="00317ABF">
              <w:rPr>
                <w:b/>
                <w:bCs/>
              </w:rPr>
              <w:t>4</w:t>
            </w:r>
            <w:r w:rsidRPr="00317ABF">
              <w:rPr>
                <w:b/>
                <w:bCs/>
              </w:rPr>
              <w:t>.</w:t>
            </w:r>
            <w:r w:rsidRPr="00317ABF">
              <w:t xml:space="preserve"> W ustawie z dnia 7 maja 2010 r. o wspieraniu rozwoju usług i sieci telekomunikacyjnych (Dz. U. z 2019 r. poz. 2410 oraz z 2020 r. poz. 471, 695 i 875) wprowadza się następujące zmiany:</w:t>
            </w:r>
          </w:p>
          <w:p w14:paraId="372B3135" w14:textId="77777777" w:rsidR="00B414B9" w:rsidRPr="00317ABF" w:rsidRDefault="00B414B9" w:rsidP="00B414B9">
            <w:pPr>
              <w:spacing w:line="276" w:lineRule="auto"/>
              <w:jc w:val="both"/>
            </w:pPr>
            <w:r w:rsidRPr="00317ABF">
              <w:t xml:space="preserve">12) </w:t>
            </w:r>
            <w:r w:rsidRPr="00317ABF">
              <w:tab/>
              <w:t>art. 17 otrzymuje brzmienie:</w:t>
            </w:r>
          </w:p>
          <w:p w14:paraId="2696943E" w14:textId="77777777" w:rsidR="00B414B9" w:rsidRPr="00317ABF" w:rsidRDefault="00B414B9" w:rsidP="00B414B9">
            <w:pPr>
              <w:spacing w:line="276" w:lineRule="auto"/>
              <w:ind w:firstLine="510"/>
              <w:jc w:val="both"/>
            </w:pPr>
            <w:r w:rsidRPr="00317ABF">
              <w:t xml:space="preserve">„Art. 17. 1. Operator sieci zapewnia przedsiębiorcom telekomunikacyjnym dostęp do infrastruktury technicznej, w tym </w:t>
            </w:r>
            <w:r w:rsidRPr="00317ABF">
              <w:lastRenderedPageBreak/>
              <w:t>współkorzystanie z niej, w celu realizacji szybkiej sieci telekomunikacyjnej lub powiązanych zasobów.</w:t>
            </w:r>
          </w:p>
          <w:p w14:paraId="3212D2CF" w14:textId="77777777" w:rsidR="00B414B9" w:rsidRPr="00317ABF" w:rsidRDefault="00B414B9" w:rsidP="00B414B9">
            <w:pPr>
              <w:spacing w:line="276" w:lineRule="auto"/>
              <w:ind w:firstLine="510"/>
              <w:jc w:val="both"/>
            </w:pPr>
            <w:r w:rsidRPr="00317ABF">
              <w:t>2. Dostęp telekomunikacyjny do infrastruktury technicznej, o którym mowa w ust. 1, jest odpłatny, chyba że:</w:t>
            </w:r>
          </w:p>
          <w:p w14:paraId="172E2F56" w14:textId="77777777" w:rsidR="00B414B9" w:rsidRPr="00317ABF" w:rsidRDefault="00B414B9" w:rsidP="00B414B9">
            <w:pPr>
              <w:spacing w:line="276" w:lineRule="auto"/>
              <w:ind w:firstLine="510"/>
              <w:jc w:val="both"/>
            </w:pPr>
            <w:r w:rsidRPr="00317ABF">
              <w:t xml:space="preserve">1) </w:t>
            </w:r>
            <w:r w:rsidRPr="00317ABF">
              <w:tab/>
              <w:t>strony umowy postanowią inaczej, lub</w:t>
            </w:r>
          </w:p>
          <w:p w14:paraId="61DAAB71" w14:textId="77777777" w:rsidR="00B414B9" w:rsidRPr="00317ABF" w:rsidRDefault="00B414B9" w:rsidP="00B414B9">
            <w:pPr>
              <w:spacing w:line="276" w:lineRule="auto"/>
              <w:ind w:firstLine="510"/>
              <w:jc w:val="both"/>
            </w:pPr>
            <w:r w:rsidRPr="00317ABF">
              <w:t xml:space="preserve">2) </w:t>
            </w:r>
            <w:r w:rsidRPr="00317ABF">
              <w:tab/>
              <w:t>dotyczy on publicznej infrastruktury technicznej w celu umieszczania w niej lub na niej punktów dostępu bezprzewodowego o bliskim zasięgu.”</w:t>
            </w:r>
          </w:p>
          <w:p w14:paraId="1CEFE68B" w14:textId="77777777" w:rsidR="00B414B9" w:rsidRPr="00317ABF" w:rsidRDefault="00B414B9" w:rsidP="00B414B9">
            <w:pPr>
              <w:spacing w:line="276" w:lineRule="auto"/>
              <w:ind w:firstLine="510"/>
              <w:jc w:val="both"/>
            </w:pPr>
          </w:p>
          <w:p w14:paraId="3A6C29D4" w14:textId="77777777" w:rsidR="00B414B9" w:rsidRPr="00317ABF" w:rsidRDefault="00B414B9" w:rsidP="00B414B9">
            <w:pPr>
              <w:spacing w:line="276" w:lineRule="auto"/>
              <w:jc w:val="both"/>
            </w:pPr>
            <w:r w:rsidRPr="00317ABF">
              <w:t xml:space="preserve">32) </w:t>
            </w:r>
            <w:r w:rsidRPr="00317ABF">
              <w:tab/>
              <w:t>w art. 33 ust. 1–3 otrzymują brzmienie:</w:t>
            </w:r>
          </w:p>
          <w:p w14:paraId="628D80DB" w14:textId="77777777" w:rsidR="00B414B9" w:rsidRPr="00317ABF" w:rsidRDefault="00B414B9" w:rsidP="00B414B9">
            <w:pPr>
              <w:spacing w:line="276" w:lineRule="auto"/>
              <w:ind w:firstLine="510"/>
              <w:jc w:val="both"/>
            </w:pPr>
            <w:r w:rsidRPr="00317ABF">
              <w:t>„1. W przypadkach innych niż określone w art. 30 ust. 1 i 1a właściciel, użytkownik wieczysty nieruchomości lub zarządca nieruchomości jest obowiązany zapewnić operatorom, użytkownikom rządowym, o których mowa w art. 2 pkt 88 lit. a, b, d, e oraz h ustawy z dnia … 2021 r. – Prawo komunikacji elektronicznej, oraz jednostkom samorządu terytorialnego wykonującym działalność, o której mowa w art. 3 ust. 1, dostęp do nieruchomości, w tym do budynku, polegający na umożliwieniu umieszczenia na nich elementów sieci telekomunikacyjnej oraz powiązanych zasobów, a także ich eksploatacji i konserwacji, jeżeli nie uniemożliwia to racjonalnego korzystania z nieruchomości, w szczególności nie prowadzi do istotnego zmniejszenia wartości nieruchomości.</w:t>
            </w:r>
          </w:p>
          <w:p w14:paraId="35B6CE22" w14:textId="22A7F7C0" w:rsidR="00B414B9" w:rsidRPr="00317ABF" w:rsidRDefault="00B414B9" w:rsidP="00B414B9">
            <w:pPr>
              <w:spacing w:line="276" w:lineRule="auto"/>
              <w:ind w:firstLine="510"/>
              <w:jc w:val="both"/>
            </w:pPr>
            <w:r w:rsidRPr="00317ABF">
              <w:t>2. Dostęp, o którym mowa w ust. 1 jest odpłatny, chyba że:</w:t>
            </w:r>
          </w:p>
          <w:p w14:paraId="6BE78DB0" w14:textId="1A6318AC" w:rsidR="00B414B9" w:rsidRPr="00317ABF" w:rsidRDefault="00B414B9" w:rsidP="00B414B9">
            <w:pPr>
              <w:spacing w:line="276" w:lineRule="auto"/>
              <w:ind w:firstLine="510"/>
              <w:jc w:val="both"/>
            </w:pPr>
            <w:r w:rsidRPr="00317ABF">
              <w:rPr>
                <w:rFonts w:eastAsia="Times"/>
              </w:rPr>
              <w:t>1) strony umowy o dostępie postanowią inaczej;</w:t>
            </w:r>
          </w:p>
          <w:p w14:paraId="3E440DC7" w14:textId="07AC6132" w:rsidR="00B414B9" w:rsidRPr="00317ABF" w:rsidRDefault="00B414B9" w:rsidP="00B414B9">
            <w:pPr>
              <w:spacing w:line="276" w:lineRule="auto"/>
              <w:ind w:firstLine="510"/>
              <w:jc w:val="both"/>
            </w:pPr>
            <w:r w:rsidRPr="00317ABF">
              <w:t>2) dotyczy umieszczenia, eksploatacji i konserwacji punktów dostępu bezprzewodowego o bliskim zasięgu na nieruchomościach, o których mowa w ust. 1, stanowiących obszar kolejowy, o którym mowa w art. 4 pkt 8 ustawy z dnia 28 marca 2003 r. o transporcie kolejowym (Dz. U. z 2019 r. poz. 710, 730 i 1214, 1979, 2020, z 2020 r. poz. 284, 400, 462, 695 i 875).</w:t>
            </w:r>
          </w:p>
          <w:p w14:paraId="1233F15A" w14:textId="77777777" w:rsidR="00B414B9" w:rsidRPr="00317ABF" w:rsidRDefault="00B414B9" w:rsidP="00B414B9">
            <w:pPr>
              <w:spacing w:line="276" w:lineRule="auto"/>
              <w:ind w:firstLine="510"/>
              <w:jc w:val="both"/>
            </w:pPr>
            <w:r w:rsidRPr="00317ABF">
              <w:lastRenderedPageBreak/>
              <w:t>3. Termin zawarcia umowy o dostępie, o którym mowa w ust. 1, wynosi 30 dni od dnia wystąpienia przez operatora, użytkownika rządowego, o którym mowa w art. 2 pkt 88 lit. a, b, d, e oraz h ustawy z dnia …  2021 r. – Prawo komunikacji elektronicznej, lub jednostkę samorządu terytorialnego wykonującą działalność, o której mowa w art. 3 ust. 1 z wnioskiem o jej zawarcie. Przypisy art. 30 ust 5d stosuje się odpowiednio.”;</w:t>
            </w:r>
          </w:p>
          <w:p w14:paraId="35D20AA2" w14:textId="03279721" w:rsidR="001E1112" w:rsidRPr="00317ABF" w:rsidRDefault="001E1112" w:rsidP="00B414B9">
            <w:pPr>
              <w:spacing w:line="276" w:lineRule="auto"/>
              <w:ind w:firstLine="510"/>
              <w:jc w:val="both"/>
              <w:rPr>
                <w:sz w:val="22"/>
                <w:szCs w:val="22"/>
              </w:rPr>
            </w:pPr>
          </w:p>
        </w:tc>
      </w:tr>
      <w:tr w:rsidR="001E1112" w:rsidRPr="00317ABF" w14:paraId="4EC3B691" w14:textId="77777777" w:rsidTr="7753F98D">
        <w:trPr>
          <w:gridAfter w:val="2"/>
          <w:wAfter w:w="175" w:type="dxa"/>
        </w:trPr>
        <w:tc>
          <w:tcPr>
            <w:tcW w:w="704" w:type="dxa"/>
          </w:tcPr>
          <w:p w14:paraId="696ECC5E" w14:textId="77777777" w:rsidR="001E1112" w:rsidRPr="00317ABF" w:rsidRDefault="001E1112" w:rsidP="00DB3BEC">
            <w:pPr>
              <w:jc w:val="both"/>
              <w:rPr>
                <w:sz w:val="22"/>
                <w:szCs w:val="22"/>
              </w:rPr>
            </w:pPr>
            <w:r w:rsidRPr="00317ABF">
              <w:rPr>
                <w:sz w:val="22"/>
                <w:szCs w:val="22"/>
              </w:rPr>
              <w:lastRenderedPageBreak/>
              <w:t>Art. 57 ust. 5</w:t>
            </w:r>
          </w:p>
        </w:tc>
        <w:tc>
          <w:tcPr>
            <w:tcW w:w="4308" w:type="dxa"/>
          </w:tcPr>
          <w:p w14:paraId="39531C58" w14:textId="77777777" w:rsidR="001E1112" w:rsidRPr="00317ABF" w:rsidRDefault="001E1112" w:rsidP="00DB3BEC">
            <w:pPr>
              <w:spacing w:before="120"/>
              <w:jc w:val="both"/>
              <w:rPr>
                <w:sz w:val="22"/>
                <w:szCs w:val="22"/>
              </w:rPr>
            </w:pPr>
            <w:r w:rsidRPr="00317ABF">
              <w:rPr>
                <w:sz w:val="22"/>
                <w:szCs w:val="22"/>
              </w:rPr>
              <w:t>5.   Bez uszczerbku dla wszelkich umów handlowych uruchamianie punktów dostępu bezprzewodowego o bliskim zasięgu nie podlega żadnym opłatom niebędącym opłatami administracyjnymi zgodnie z art. 16.</w:t>
            </w:r>
          </w:p>
        </w:tc>
        <w:tc>
          <w:tcPr>
            <w:tcW w:w="986" w:type="dxa"/>
          </w:tcPr>
          <w:p w14:paraId="5FEF48D1" w14:textId="6600611C" w:rsidR="001E1112" w:rsidRPr="00317ABF" w:rsidRDefault="001E1112" w:rsidP="00DB3BEC">
            <w:pPr>
              <w:jc w:val="both"/>
              <w:rPr>
                <w:sz w:val="22"/>
                <w:szCs w:val="22"/>
              </w:rPr>
            </w:pPr>
            <w:r w:rsidRPr="00317ABF">
              <w:rPr>
                <w:sz w:val="22"/>
                <w:szCs w:val="22"/>
              </w:rPr>
              <w:t>T</w:t>
            </w:r>
          </w:p>
        </w:tc>
        <w:tc>
          <w:tcPr>
            <w:tcW w:w="910" w:type="dxa"/>
          </w:tcPr>
          <w:p w14:paraId="24D94E1B" w14:textId="76496588" w:rsidR="001E1112" w:rsidRPr="00317ABF" w:rsidRDefault="00B414B9" w:rsidP="00B414B9">
            <w:pPr>
              <w:pStyle w:val="Tekstpodstawowy"/>
              <w:rPr>
                <w:b/>
                <w:bCs/>
                <w:noProof/>
                <w:sz w:val="22"/>
                <w:szCs w:val="22"/>
              </w:rPr>
            </w:pPr>
            <w:r w:rsidRPr="00317ABF">
              <w:rPr>
                <w:b/>
                <w:bCs/>
                <w:noProof/>
                <w:sz w:val="22"/>
                <w:szCs w:val="22"/>
              </w:rPr>
              <w:t>Jw.</w:t>
            </w:r>
          </w:p>
        </w:tc>
        <w:tc>
          <w:tcPr>
            <w:tcW w:w="6814" w:type="dxa"/>
            <w:gridSpan w:val="2"/>
          </w:tcPr>
          <w:p w14:paraId="5D012D28" w14:textId="55F77D26" w:rsidR="001E1112" w:rsidRPr="00317ABF" w:rsidRDefault="00B414B9" w:rsidP="00B414B9">
            <w:pPr>
              <w:pStyle w:val="ARTartustawynprozporzdzenia"/>
              <w:ind w:firstLine="0"/>
              <w:rPr>
                <w:sz w:val="22"/>
                <w:szCs w:val="22"/>
              </w:rPr>
            </w:pPr>
            <w:r w:rsidRPr="00317ABF">
              <w:rPr>
                <w:rFonts w:ascii="Times New Roman" w:eastAsiaTheme="minorEastAsia" w:hAnsi="Times New Roman" w:cs="Times New Roman"/>
                <w:szCs w:val="24"/>
              </w:rPr>
              <w:t>Jw.</w:t>
            </w:r>
          </w:p>
        </w:tc>
      </w:tr>
      <w:tr w:rsidR="001E1112" w:rsidRPr="00317ABF" w14:paraId="58B1A883" w14:textId="77777777" w:rsidTr="7753F98D">
        <w:trPr>
          <w:gridAfter w:val="2"/>
          <w:wAfter w:w="175" w:type="dxa"/>
        </w:trPr>
        <w:tc>
          <w:tcPr>
            <w:tcW w:w="704" w:type="dxa"/>
          </w:tcPr>
          <w:p w14:paraId="24525226" w14:textId="77777777" w:rsidR="001E1112" w:rsidRPr="00317ABF" w:rsidRDefault="001E1112" w:rsidP="00DB3BEC">
            <w:pPr>
              <w:jc w:val="both"/>
              <w:rPr>
                <w:b/>
                <w:sz w:val="22"/>
                <w:szCs w:val="22"/>
              </w:rPr>
            </w:pPr>
            <w:r w:rsidRPr="00317ABF">
              <w:rPr>
                <w:b/>
                <w:sz w:val="22"/>
                <w:szCs w:val="22"/>
              </w:rPr>
              <w:t>Art. 58</w:t>
            </w:r>
          </w:p>
        </w:tc>
        <w:tc>
          <w:tcPr>
            <w:tcW w:w="4308" w:type="dxa"/>
          </w:tcPr>
          <w:p w14:paraId="742E60E8" w14:textId="77777777" w:rsidR="001E1112" w:rsidRPr="00317ABF" w:rsidRDefault="001E1112" w:rsidP="00DB3BEC">
            <w:pPr>
              <w:spacing w:before="60" w:after="120"/>
              <w:jc w:val="both"/>
              <w:rPr>
                <w:b/>
                <w:bCs/>
                <w:sz w:val="22"/>
                <w:szCs w:val="22"/>
              </w:rPr>
            </w:pPr>
            <w:r w:rsidRPr="00317ABF">
              <w:rPr>
                <w:b/>
                <w:bCs/>
                <w:sz w:val="22"/>
                <w:szCs w:val="22"/>
              </w:rPr>
              <w:t>Regulacje techniczne dotyczące pól elektromagnetycznych</w:t>
            </w:r>
          </w:p>
          <w:p w14:paraId="2AD3A7A9" w14:textId="77777777" w:rsidR="001E1112" w:rsidRPr="00317ABF" w:rsidRDefault="001E1112" w:rsidP="00DB3BEC">
            <w:pPr>
              <w:spacing w:before="120"/>
              <w:jc w:val="both"/>
              <w:rPr>
                <w:sz w:val="22"/>
                <w:szCs w:val="22"/>
              </w:rPr>
            </w:pPr>
            <w:r w:rsidRPr="00317ABF">
              <w:rPr>
                <w:sz w:val="22"/>
                <w:szCs w:val="22"/>
              </w:rPr>
              <w:t>Procedury ustanowione w dyrektywie (UE) 2015/1535 stosuje się w odniesieniu do każdego planowanego przez państwo członkowskie środka, który w odniesieniu do pól elektromagnetycznych nakładałby wymogi inne niż wymogi przewidziane w zaleceniu nr 1999/519/WE.</w:t>
            </w:r>
          </w:p>
        </w:tc>
        <w:tc>
          <w:tcPr>
            <w:tcW w:w="986" w:type="dxa"/>
          </w:tcPr>
          <w:p w14:paraId="1BB2CA99" w14:textId="4AAF032E" w:rsidR="001E1112" w:rsidRPr="00317ABF" w:rsidRDefault="001E1112" w:rsidP="00DB3BEC">
            <w:pPr>
              <w:jc w:val="both"/>
              <w:rPr>
                <w:sz w:val="22"/>
                <w:szCs w:val="22"/>
              </w:rPr>
            </w:pPr>
            <w:r w:rsidRPr="00317ABF">
              <w:rPr>
                <w:sz w:val="22"/>
                <w:szCs w:val="22"/>
              </w:rPr>
              <w:t>N</w:t>
            </w:r>
          </w:p>
        </w:tc>
        <w:tc>
          <w:tcPr>
            <w:tcW w:w="910" w:type="dxa"/>
          </w:tcPr>
          <w:p w14:paraId="3EFAD50F" w14:textId="77777777" w:rsidR="001E1112" w:rsidRPr="00317ABF" w:rsidRDefault="001E1112" w:rsidP="00DB3BEC">
            <w:pPr>
              <w:pStyle w:val="Tekstpodstawowy"/>
              <w:rPr>
                <w:b/>
                <w:noProof/>
                <w:sz w:val="22"/>
                <w:szCs w:val="22"/>
              </w:rPr>
            </w:pPr>
          </w:p>
        </w:tc>
        <w:tc>
          <w:tcPr>
            <w:tcW w:w="6814" w:type="dxa"/>
            <w:gridSpan w:val="2"/>
          </w:tcPr>
          <w:p w14:paraId="11DEC4B9" w14:textId="77777777" w:rsidR="00B414B9" w:rsidRPr="00317ABF" w:rsidRDefault="00B414B9" w:rsidP="00B414B9">
            <w:pPr>
              <w:pStyle w:val="USTustnpkodeksu"/>
              <w:rPr>
                <w:rFonts w:ascii="Times New Roman" w:hAnsi="Times New Roman" w:cs="Times New Roman"/>
                <w:szCs w:val="24"/>
              </w:rPr>
            </w:pPr>
            <w:r w:rsidRPr="00317ABF">
              <w:rPr>
                <w:rFonts w:ascii="Times New Roman" w:hAnsi="Times New Roman" w:cs="Times New Roman"/>
                <w:szCs w:val="24"/>
              </w:rPr>
              <w:t>3. Przedsiębiorca telekomunikacyjny z państwa członkowskiego będący stroną negocjacji umowy o dostępie, nie jest obowiązany dokonywać wpisu do rejestru, o którym mowa w art. 5 ust. 1, jeżeli nie wykonuje działalności telekomunikacyjnej na terytorium Rzeczypospolitej Polskiej.</w:t>
            </w:r>
          </w:p>
          <w:p w14:paraId="3288923B" w14:textId="77777777" w:rsidR="001E1112" w:rsidRPr="00317ABF" w:rsidRDefault="001E1112" w:rsidP="00DB3BEC">
            <w:pPr>
              <w:pStyle w:val="Tekstpodstawowy"/>
              <w:rPr>
                <w:sz w:val="22"/>
                <w:szCs w:val="22"/>
              </w:rPr>
            </w:pPr>
          </w:p>
        </w:tc>
      </w:tr>
      <w:tr w:rsidR="001E1112" w:rsidRPr="00317ABF" w14:paraId="085885E8" w14:textId="77777777" w:rsidTr="7753F98D">
        <w:trPr>
          <w:gridAfter w:val="2"/>
          <w:wAfter w:w="175" w:type="dxa"/>
        </w:trPr>
        <w:tc>
          <w:tcPr>
            <w:tcW w:w="704" w:type="dxa"/>
          </w:tcPr>
          <w:p w14:paraId="7C2C9E1D" w14:textId="77777777" w:rsidR="001E1112" w:rsidRPr="00317ABF" w:rsidRDefault="001E1112" w:rsidP="00DB3BEC">
            <w:pPr>
              <w:jc w:val="both"/>
              <w:rPr>
                <w:b/>
                <w:sz w:val="22"/>
                <w:szCs w:val="22"/>
              </w:rPr>
            </w:pPr>
            <w:r w:rsidRPr="00317ABF">
              <w:rPr>
                <w:b/>
                <w:sz w:val="22"/>
                <w:szCs w:val="22"/>
              </w:rPr>
              <w:t>Art. 59</w:t>
            </w:r>
          </w:p>
        </w:tc>
        <w:tc>
          <w:tcPr>
            <w:tcW w:w="4308" w:type="dxa"/>
          </w:tcPr>
          <w:p w14:paraId="1C93572C" w14:textId="77777777" w:rsidR="001E1112" w:rsidRPr="00317ABF" w:rsidRDefault="001E1112" w:rsidP="00DB3BEC">
            <w:pPr>
              <w:spacing w:before="120"/>
              <w:jc w:val="both"/>
              <w:rPr>
                <w:sz w:val="22"/>
                <w:szCs w:val="22"/>
              </w:rPr>
            </w:pPr>
            <w:r w:rsidRPr="00317ABF">
              <w:rPr>
                <w:b/>
                <w:bCs/>
                <w:sz w:val="22"/>
                <w:szCs w:val="22"/>
              </w:rPr>
              <w:t>Ogólne ramy dotyczące dostępu i wzajemnych połączeń</w:t>
            </w:r>
          </w:p>
        </w:tc>
        <w:tc>
          <w:tcPr>
            <w:tcW w:w="986" w:type="dxa"/>
          </w:tcPr>
          <w:p w14:paraId="30FD98A3" w14:textId="77777777" w:rsidR="001E1112" w:rsidRPr="00317ABF" w:rsidRDefault="001E1112" w:rsidP="00DB3BEC">
            <w:pPr>
              <w:jc w:val="both"/>
              <w:rPr>
                <w:sz w:val="22"/>
                <w:szCs w:val="22"/>
              </w:rPr>
            </w:pPr>
          </w:p>
        </w:tc>
        <w:tc>
          <w:tcPr>
            <w:tcW w:w="910" w:type="dxa"/>
          </w:tcPr>
          <w:p w14:paraId="131E230D" w14:textId="77777777" w:rsidR="001E1112" w:rsidRPr="00317ABF" w:rsidRDefault="001E1112" w:rsidP="00DB3BEC">
            <w:pPr>
              <w:pStyle w:val="Tekstpodstawowy"/>
              <w:rPr>
                <w:b/>
                <w:noProof/>
                <w:sz w:val="22"/>
                <w:szCs w:val="22"/>
              </w:rPr>
            </w:pPr>
          </w:p>
        </w:tc>
        <w:tc>
          <w:tcPr>
            <w:tcW w:w="6814" w:type="dxa"/>
            <w:gridSpan w:val="2"/>
          </w:tcPr>
          <w:p w14:paraId="60D244C9" w14:textId="77777777" w:rsidR="001E1112" w:rsidRPr="00317ABF" w:rsidRDefault="001E1112" w:rsidP="00DB3BEC">
            <w:pPr>
              <w:pStyle w:val="Tekstpodstawowy"/>
              <w:rPr>
                <w:sz w:val="22"/>
                <w:szCs w:val="22"/>
              </w:rPr>
            </w:pPr>
          </w:p>
        </w:tc>
      </w:tr>
      <w:tr w:rsidR="001E1112" w:rsidRPr="00317ABF" w14:paraId="7AEEFA54" w14:textId="77777777" w:rsidTr="7753F98D">
        <w:trPr>
          <w:gridAfter w:val="2"/>
          <w:wAfter w:w="175" w:type="dxa"/>
        </w:trPr>
        <w:tc>
          <w:tcPr>
            <w:tcW w:w="704" w:type="dxa"/>
          </w:tcPr>
          <w:p w14:paraId="61FC880B" w14:textId="77777777" w:rsidR="001E1112" w:rsidRPr="00317ABF" w:rsidRDefault="001E1112" w:rsidP="00DB3BEC">
            <w:pPr>
              <w:jc w:val="both"/>
              <w:rPr>
                <w:sz w:val="22"/>
                <w:szCs w:val="22"/>
              </w:rPr>
            </w:pPr>
            <w:r w:rsidRPr="00317ABF">
              <w:rPr>
                <w:sz w:val="22"/>
                <w:szCs w:val="22"/>
              </w:rPr>
              <w:t>Art. 59 ust. 1</w:t>
            </w:r>
          </w:p>
        </w:tc>
        <w:tc>
          <w:tcPr>
            <w:tcW w:w="4308" w:type="dxa"/>
          </w:tcPr>
          <w:p w14:paraId="41C9CA36" w14:textId="77777777" w:rsidR="001E1112" w:rsidRPr="00317ABF" w:rsidRDefault="001E1112" w:rsidP="00DB3BEC">
            <w:pPr>
              <w:spacing w:before="120"/>
              <w:jc w:val="both"/>
              <w:rPr>
                <w:sz w:val="22"/>
                <w:szCs w:val="22"/>
              </w:rPr>
            </w:pPr>
            <w:r w:rsidRPr="00317ABF">
              <w:rPr>
                <w:sz w:val="22"/>
                <w:szCs w:val="22"/>
              </w:rPr>
              <w:t xml:space="preserve">1.   Państwa członkowskie zapewniają, by nie istniały ograniczenia, które utrudniałyby przedsiębiorstwom w tym samym państwie członkowskim albo w różnych państwach członkowskich prowadzenie pomiędzy sobą negocjacji w sprawie umów o technicznych i handlowych warunkach dotyczących dostępu lub wzajemnych połączeń, zgodnie z prawem Unii. Przedsiębiorstwo ubiegające się o dostęp albo wzajemne połączenia nie musi mieć </w:t>
            </w:r>
            <w:r w:rsidRPr="00317ABF">
              <w:rPr>
                <w:sz w:val="22"/>
                <w:szCs w:val="22"/>
              </w:rPr>
              <w:lastRenderedPageBreak/>
              <w:t>zezwolenia na prowadzenie działalności w państwie członkowskim, w którym ubiega się o dostęp albo wzajemne połączenia, jeżeli nie świadczy usług i nie obsługuje sieci w tym państwie członkowskim.</w:t>
            </w:r>
          </w:p>
        </w:tc>
        <w:tc>
          <w:tcPr>
            <w:tcW w:w="986" w:type="dxa"/>
          </w:tcPr>
          <w:p w14:paraId="2A71CD9E" w14:textId="62606490" w:rsidR="001E1112" w:rsidRPr="00317ABF" w:rsidRDefault="001E1112" w:rsidP="00DB3BEC">
            <w:pPr>
              <w:jc w:val="both"/>
              <w:rPr>
                <w:b/>
                <w:sz w:val="22"/>
                <w:szCs w:val="22"/>
              </w:rPr>
            </w:pPr>
            <w:r w:rsidRPr="00317ABF">
              <w:rPr>
                <w:b/>
                <w:sz w:val="22"/>
                <w:szCs w:val="22"/>
              </w:rPr>
              <w:lastRenderedPageBreak/>
              <w:t>T</w:t>
            </w:r>
          </w:p>
        </w:tc>
        <w:tc>
          <w:tcPr>
            <w:tcW w:w="910" w:type="dxa"/>
          </w:tcPr>
          <w:p w14:paraId="4AA6745C" w14:textId="0735F78D" w:rsidR="001E1112" w:rsidRPr="00317ABF" w:rsidRDefault="00B414B9" w:rsidP="00DB3BEC">
            <w:pPr>
              <w:pStyle w:val="Tekstpodstawowy"/>
              <w:rPr>
                <w:b/>
                <w:noProof/>
                <w:sz w:val="22"/>
                <w:szCs w:val="22"/>
              </w:rPr>
            </w:pPr>
            <w:r w:rsidRPr="00317ABF">
              <w:rPr>
                <w:b/>
                <w:noProof/>
                <w:sz w:val="22"/>
                <w:szCs w:val="22"/>
              </w:rPr>
              <w:t>Art. 16</w:t>
            </w:r>
            <w:r w:rsidR="001E1112" w:rsidRPr="00317ABF">
              <w:rPr>
                <w:b/>
                <w:noProof/>
                <w:sz w:val="22"/>
                <w:szCs w:val="22"/>
              </w:rPr>
              <w:t>9 ust. 3</w:t>
            </w:r>
          </w:p>
          <w:p w14:paraId="5383B532" w14:textId="77777777" w:rsidR="001E1112" w:rsidRPr="00317ABF" w:rsidRDefault="001E1112" w:rsidP="00DB3BEC">
            <w:pPr>
              <w:jc w:val="both"/>
              <w:rPr>
                <w:sz w:val="22"/>
                <w:szCs w:val="22"/>
              </w:rPr>
            </w:pPr>
          </w:p>
        </w:tc>
        <w:tc>
          <w:tcPr>
            <w:tcW w:w="6814" w:type="dxa"/>
            <w:gridSpan w:val="2"/>
          </w:tcPr>
          <w:p w14:paraId="543732F4" w14:textId="77777777" w:rsidR="001E1112" w:rsidRPr="00317ABF" w:rsidRDefault="001E1112" w:rsidP="00DB3BEC">
            <w:pPr>
              <w:spacing w:before="120"/>
              <w:jc w:val="both"/>
              <w:rPr>
                <w:sz w:val="22"/>
                <w:szCs w:val="22"/>
              </w:rPr>
            </w:pPr>
            <w:r w:rsidRPr="00317ABF">
              <w:rPr>
                <w:sz w:val="22"/>
                <w:szCs w:val="22"/>
              </w:rPr>
              <w:t>3. Przedsiębiorca telekomunikacyjny z państwa członkowskiego będący stroną negocjacji umowy o dostępie, nie jest obowiązany dokonywać wpisu do rejestru, o którym mowa w art. 5 ust. 1, jeżeli nie wykonuje działalności telekomunikacyjnej na terytorium Rzeczypospolitej Polskiej.</w:t>
            </w:r>
          </w:p>
          <w:p w14:paraId="1E9831B5" w14:textId="77777777" w:rsidR="001E1112" w:rsidRPr="00317ABF" w:rsidRDefault="001E1112" w:rsidP="00DB3BEC">
            <w:pPr>
              <w:pStyle w:val="Tekstpodstawowy"/>
              <w:rPr>
                <w:sz w:val="22"/>
                <w:szCs w:val="22"/>
              </w:rPr>
            </w:pPr>
          </w:p>
        </w:tc>
      </w:tr>
      <w:tr w:rsidR="001E1112" w:rsidRPr="00317ABF" w14:paraId="700A7C86" w14:textId="77777777" w:rsidTr="7753F98D">
        <w:trPr>
          <w:gridAfter w:val="2"/>
          <w:wAfter w:w="175" w:type="dxa"/>
        </w:trPr>
        <w:tc>
          <w:tcPr>
            <w:tcW w:w="704" w:type="dxa"/>
          </w:tcPr>
          <w:p w14:paraId="7F8426F7" w14:textId="77777777" w:rsidR="001E1112" w:rsidRPr="00317ABF" w:rsidRDefault="001E1112" w:rsidP="00DB3BEC">
            <w:pPr>
              <w:jc w:val="both"/>
              <w:rPr>
                <w:sz w:val="22"/>
                <w:szCs w:val="22"/>
              </w:rPr>
            </w:pPr>
            <w:r w:rsidRPr="00317ABF">
              <w:rPr>
                <w:sz w:val="22"/>
                <w:szCs w:val="22"/>
              </w:rPr>
              <w:lastRenderedPageBreak/>
              <w:t>Art. 59 ust. 2</w:t>
            </w:r>
          </w:p>
        </w:tc>
        <w:tc>
          <w:tcPr>
            <w:tcW w:w="4308" w:type="dxa"/>
          </w:tcPr>
          <w:p w14:paraId="05690DBC" w14:textId="77777777" w:rsidR="001E1112" w:rsidRPr="00317ABF" w:rsidRDefault="001E1112" w:rsidP="00DB3BEC">
            <w:pPr>
              <w:spacing w:before="120"/>
              <w:jc w:val="both"/>
              <w:rPr>
                <w:sz w:val="22"/>
                <w:szCs w:val="22"/>
              </w:rPr>
            </w:pPr>
            <w:r w:rsidRPr="00317ABF">
              <w:rPr>
                <w:sz w:val="22"/>
                <w:szCs w:val="22"/>
              </w:rPr>
              <w:t>2.   Nie naruszając przepisów art. 114, państwa członkowskie nie mogą utrzymywać w mocy prawnych czy administracyjnych środków, które nakładałyby na przedsiębiorstwa zapewniające dostęp albo wzajemne połączenia wymóg oferowania różnych warunków różnym przedsiębiorstwom w odniesieniu do równoważnych usług lub środki nakładające obowiązki, które nie są związane z faktycznie świadczonymi usługami związanymi z dostępem i wzajemnymi połączeniami, bez uszczerbku dla wymogów określonych w załączniku I.</w:t>
            </w:r>
          </w:p>
        </w:tc>
        <w:tc>
          <w:tcPr>
            <w:tcW w:w="986" w:type="dxa"/>
          </w:tcPr>
          <w:p w14:paraId="7F66BADA" w14:textId="73E0DD65" w:rsidR="001E1112" w:rsidRPr="00317ABF" w:rsidRDefault="001E1112" w:rsidP="00DB3BEC">
            <w:pPr>
              <w:jc w:val="both"/>
              <w:rPr>
                <w:b/>
                <w:sz w:val="22"/>
                <w:szCs w:val="22"/>
              </w:rPr>
            </w:pPr>
            <w:r w:rsidRPr="00317ABF">
              <w:rPr>
                <w:b/>
                <w:sz w:val="22"/>
                <w:szCs w:val="22"/>
              </w:rPr>
              <w:t>N</w:t>
            </w:r>
          </w:p>
        </w:tc>
        <w:tc>
          <w:tcPr>
            <w:tcW w:w="910" w:type="dxa"/>
          </w:tcPr>
          <w:p w14:paraId="4224E34C" w14:textId="77777777" w:rsidR="001E1112" w:rsidRPr="00317ABF" w:rsidRDefault="001E1112" w:rsidP="00DB3BEC">
            <w:pPr>
              <w:pStyle w:val="Tekstpodstawowy"/>
              <w:rPr>
                <w:b/>
                <w:noProof/>
                <w:sz w:val="22"/>
                <w:szCs w:val="22"/>
              </w:rPr>
            </w:pPr>
          </w:p>
        </w:tc>
        <w:tc>
          <w:tcPr>
            <w:tcW w:w="6814" w:type="dxa"/>
            <w:gridSpan w:val="2"/>
          </w:tcPr>
          <w:p w14:paraId="1DF2B69D" w14:textId="77777777" w:rsidR="001E1112" w:rsidRPr="00317ABF" w:rsidRDefault="001E1112" w:rsidP="00DB3BEC">
            <w:pPr>
              <w:pStyle w:val="Tekstpodstawowy"/>
              <w:rPr>
                <w:sz w:val="22"/>
                <w:szCs w:val="22"/>
              </w:rPr>
            </w:pPr>
          </w:p>
        </w:tc>
      </w:tr>
      <w:tr w:rsidR="001E1112" w:rsidRPr="00317ABF" w14:paraId="748ED405" w14:textId="77777777" w:rsidTr="7753F98D">
        <w:trPr>
          <w:gridAfter w:val="2"/>
          <w:wAfter w:w="175" w:type="dxa"/>
        </w:trPr>
        <w:tc>
          <w:tcPr>
            <w:tcW w:w="704" w:type="dxa"/>
          </w:tcPr>
          <w:p w14:paraId="10489421" w14:textId="77777777" w:rsidR="001E1112" w:rsidRPr="00317ABF" w:rsidRDefault="001E1112" w:rsidP="00DB3BEC">
            <w:pPr>
              <w:jc w:val="both"/>
              <w:rPr>
                <w:b/>
                <w:sz w:val="22"/>
                <w:szCs w:val="22"/>
              </w:rPr>
            </w:pPr>
            <w:r w:rsidRPr="00317ABF">
              <w:rPr>
                <w:b/>
                <w:sz w:val="22"/>
                <w:szCs w:val="22"/>
              </w:rPr>
              <w:t>Art. 60</w:t>
            </w:r>
          </w:p>
        </w:tc>
        <w:tc>
          <w:tcPr>
            <w:tcW w:w="4308" w:type="dxa"/>
          </w:tcPr>
          <w:p w14:paraId="528E1357" w14:textId="77777777" w:rsidR="001E1112" w:rsidRPr="00317ABF" w:rsidRDefault="001E1112" w:rsidP="00DB3BEC">
            <w:pPr>
              <w:spacing w:before="120"/>
              <w:jc w:val="both"/>
              <w:rPr>
                <w:sz w:val="22"/>
                <w:szCs w:val="22"/>
              </w:rPr>
            </w:pPr>
            <w:r w:rsidRPr="00317ABF">
              <w:rPr>
                <w:b/>
                <w:bCs/>
                <w:sz w:val="22"/>
                <w:szCs w:val="22"/>
              </w:rPr>
              <w:t>Prawa i obowiązki przedsiębiorstw</w:t>
            </w:r>
          </w:p>
        </w:tc>
        <w:tc>
          <w:tcPr>
            <w:tcW w:w="986" w:type="dxa"/>
          </w:tcPr>
          <w:p w14:paraId="71C5C954" w14:textId="77777777" w:rsidR="001E1112" w:rsidRPr="00317ABF" w:rsidRDefault="001E1112" w:rsidP="00DB3BEC">
            <w:pPr>
              <w:jc w:val="both"/>
              <w:rPr>
                <w:sz w:val="22"/>
                <w:szCs w:val="22"/>
              </w:rPr>
            </w:pPr>
          </w:p>
        </w:tc>
        <w:tc>
          <w:tcPr>
            <w:tcW w:w="910" w:type="dxa"/>
          </w:tcPr>
          <w:p w14:paraId="745BD125" w14:textId="77777777" w:rsidR="001E1112" w:rsidRPr="00317ABF" w:rsidRDefault="001E1112" w:rsidP="00DB3BEC">
            <w:pPr>
              <w:pStyle w:val="Tekstpodstawowy"/>
              <w:rPr>
                <w:b/>
                <w:noProof/>
                <w:sz w:val="22"/>
                <w:szCs w:val="22"/>
              </w:rPr>
            </w:pPr>
          </w:p>
        </w:tc>
        <w:tc>
          <w:tcPr>
            <w:tcW w:w="6814" w:type="dxa"/>
            <w:gridSpan w:val="2"/>
          </w:tcPr>
          <w:p w14:paraId="3AEF621F" w14:textId="77777777" w:rsidR="001E1112" w:rsidRPr="00317ABF" w:rsidRDefault="001E1112" w:rsidP="00DB3BEC">
            <w:pPr>
              <w:pStyle w:val="Tekstpodstawowy"/>
              <w:rPr>
                <w:sz w:val="22"/>
                <w:szCs w:val="22"/>
              </w:rPr>
            </w:pPr>
          </w:p>
        </w:tc>
      </w:tr>
      <w:tr w:rsidR="001E1112" w:rsidRPr="00317ABF" w14:paraId="346833CE" w14:textId="77777777" w:rsidTr="7753F98D">
        <w:trPr>
          <w:gridAfter w:val="2"/>
          <w:wAfter w:w="175" w:type="dxa"/>
        </w:trPr>
        <w:tc>
          <w:tcPr>
            <w:tcW w:w="704" w:type="dxa"/>
          </w:tcPr>
          <w:p w14:paraId="61A02F36" w14:textId="77777777" w:rsidR="001E1112" w:rsidRPr="00317ABF" w:rsidRDefault="001E1112" w:rsidP="00DB3BEC">
            <w:pPr>
              <w:jc w:val="both"/>
              <w:rPr>
                <w:sz w:val="22"/>
                <w:szCs w:val="22"/>
              </w:rPr>
            </w:pPr>
            <w:r w:rsidRPr="00317ABF">
              <w:rPr>
                <w:sz w:val="22"/>
                <w:szCs w:val="22"/>
              </w:rPr>
              <w:t>Art. 60 ust. 1</w:t>
            </w:r>
          </w:p>
        </w:tc>
        <w:tc>
          <w:tcPr>
            <w:tcW w:w="4308" w:type="dxa"/>
          </w:tcPr>
          <w:p w14:paraId="28A449E2" w14:textId="77777777" w:rsidR="001E1112" w:rsidRPr="00317ABF" w:rsidRDefault="001E1112" w:rsidP="00DB3BEC">
            <w:pPr>
              <w:spacing w:before="120"/>
              <w:jc w:val="both"/>
              <w:rPr>
                <w:sz w:val="22"/>
                <w:szCs w:val="22"/>
              </w:rPr>
            </w:pPr>
            <w:r w:rsidRPr="00317ABF">
              <w:rPr>
                <w:sz w:val="22"/>
                <w:szCs w:val="22"/>
              </w:rPr>
              <w:t>1.   Operatorzy publicznych sieci łączności elektronicznej mają prawo, a na wniosek innego przedsiębiorstwa uprawnionego do wystąpienia z takim wnioskiem na podstawie art. 15 – obowiązek negocjowania wzajemnych połączeń w celu świadczenia publicznie dostępnych usług łączności elektronicznej, aby zapewnić świadczenie usług i ich interoperacyjność w obrębie całej Unii. Operatorzy zapewniają dostęp i wzajemne połączenia innym przedsiębiorstwom na warunkach zgodnych z obowiązkami nałożonymi przez krajowy organ regulacyjny zgodnie z art. 61, 62 i 68.</w:t>
            </w:r>
          </w:p>
        </w:tc>
        <w:tc>
          <w:tcPr>
            <w:tcW w:w="986" w:type="dxa"/>
          </w:tcPr>
          <w:p w14:paraId="2AF2ABC4" w14:textId="54D5CCD8" w:rsidR="001E1112" w:rsidRPr="00317ABF" w:rsidRDefault="001E1112" w:rsidP="00DB3BEC">
            <w:pPr>
              <w:jc w:val="both"/>
              <w:rPr>
                <w:b/>
                <w:sz w:val="22"/>
                <w:szCs w:val="22"/>
              </w:rPr>
            </w:pPr>
            <w:r w:rsidRPr="00317ABF">
              <w:rPr>
                <w:b/>
                <w:sz w:val="22"/>
                <w:szCs w:val="22"/>
              </w:rPr>
              <w:t>T</w:t>
            </w:r>
          </w:p>
        </w:tc>
        <w:tc>
          <w:tcPr>
            <w:tcW w:w="910" w:type="dxa"/>
          </w:tcPr>
          <w:p w14:paraId="214897AD" w14:textId="0240FBEA" w:rsidR="001E1112" w:rsidRPr="00317ABF" w:rsidRDefault="00664389" w:rsidP="00DB3BEC">
            <w:pPr>
              <w:pStyle w:val="Tekstpodstawowy"/>
              <w:rPr>
                <w:b/>
                <w:noProof/>
                <w:sz w:val="22"/>
                <w:szCs w:val="22"/>
              </w:rPr>
            </w:pPr>
            <w:r w:rsidRPr="00317ABF">
              <w:rPr>
                <w:b/>
                <w:noProof/>
                <w:sz w:val="22"/>
                <w:szCs w:val="22"/>
              </w:rPr>
              <w:t xml:space="preserve">Art. 169 ust. 1; art. 170 </w:t>
            </w:r>
          </w:p>
          <w:p w14:paraId="3E954DD6" w14:textId="77777777" w:rsidR="001E1112" w:rsidRPr="00317ABF" w:rsidRDefault="001E1112" w:rsidP="00DB3BEC">
            <w:pPr>
              <w:pStyle w:val="Tekstpodstawowy"/>
              <w:rPr>
                <w:b/>
                <w:noProof/>
                <w:sz w:val="22"/>
                <w:szCs w:val="22"/>
              </w:rPr>
            </w:pPr>
          </w:p>
        </w:tc>
        <w:tc>
          <w:tcPr>
            <w:tcW w:w="6814" w:type="dxa"/>
            <w:gridSpan w:val="2"/>
          </w:tcPr>
          <w:p w14:paraId="610B0064" w14:textId="1799F247" w:rsidR="00664389" w:rsidRPr="00317ABF" w:rsidRDefault="00664389" w:rsidP="00664389">
            <w:pPr>
              <w:pStyle w:val="ARTartustawynprozporzdzenia"/>
              <w:spacing w:line="240" w:lineRule="auto"/>
              <w:rPr>
                <w:rStyle w:val="Ppogrubienie"/>
                <w:rFonts w:ascii="Times New Roman" w:hAnsi="Times New Roman"/>
                <w:b w:val="0"/>
                <w:szCs w:val="24"/>
              </w:rPr>
            </w:pPr>
            <w:r w:rsidRPr="00317ABF">
              <w:rPr>
                <w:rStyle w:val="Ppogrubienie"/>
                <w:rFonts w:ascii="Times New Roman" w:hAnsi="Times New Roman"/>
                <w:szCs w:val="24"/>
              </w:rPr>
              <w:t>Art. 169.</w:t>
            </w:r>
            <w:r w:rsidRPr="00317ABF">
              <w:rPr>
                <w:rFonts w:ascii="Times New Roman" w:hAnsi="Times New Roman" w:cs="Times New Roman"/>
                <w:szCs w:val="24"/>
              </w:rPr>
              <w:t xml:space="preserve"> 1. Strony negocjujące umowę o dostępie uwzględniają nałożone na nie obowiązki ustawowe, a także nałożone na nie obowiązki dostępowe symetryczne oraz obowiązki regulacyjne.</w:t>
            </w:r>
          </w:p>
          <w:p w14:paraId="629A485B" w14:textId="38D1BB4B" w:rsidR="00664389" w:rsidRPr="00317ABF" w:rsidRDefault="00664389" w:rsidP="00664389">
            <w:pPr>
              <w:pStyle w:val="ARTartustawynprozporzdzenia"/>
              <w:spacing w:line="240" w:lineRule="auto"/>
              <w:rPr>
                <w:rFonts w:ascii="Times New Roman" w:hAnsi="Times New Roman" w:cs="Times New Roman"/>
                <w:szCs w:val="24"/>
              </w:rPr>
            </w:pPr>
            <w:r w:rsidRPr="00317ABF">
              <w:rPr>
                <w:rStyle w:val="Ppogrubienie"/>
                <w:rFonts w:ascii="Times New Roman" w:hAnsi="Times New Roman"/>
                <w:szCs w:val="24"/>
              </w:rPr>
              <w:t>Art. 170.</w:t>
            </w:r>
            <w:r w:rsidRPr="00317ABF">
              <w:rPr>
                <w:rFonts w:ascii="Times New Roman" w:hAnsi="Times New Roman" w:cs="Times New Roman"/>
                <w:szCs w:val="24"/>
              </w:rPr>
              <w:t xml:space="preserve"> 1. Dążąc do zapewnienia świadczenia publicznie dostępnych usług telekomunikacyjnych i interoperacyjności w obrębie całej Unii Europejskiej, operator jest obowiązany do prowadzenia negocjacji w celu zawarcia umowy o dostępie w zakresie połączenia sieci na wniosek innego przedsiębiorcy telekomunikacyjnego.</w:t>
            </w:r>
          </w:p>
          <w:p w14:paraId="53D6C198" w14:textId="77777777" w:rsidR="00664389" w:rsidRPr="00317ABF" w:rsidRDefault="00664389" w:rsidP="00664389">
            <w:pPr>
              <w:pStyle w:val="USTustnpkodeksu"/>
              <w:spacing w:line="240" w:lineRule="auto"/>
              <w:rPr>
                <w:rFonts w:ascii="Times New Roman" w:hAnsi="Times New Roman" w:cs="Times New Roman"/>
                <w:szCs w:val="24"/>
              </w:rPr>
            </w:pPr>
            <w:r w:rsidRPr="00317ABF">
              <w:rPr>
                <w:rFonts w:ascii="Times New Roman" w:hAnsi="Times New Roman" w:cs="Times New Roman"/>
                <w:szCs w:val="24"/>
              </w:rPr>
              <w:t>2. Operator jest obowiązany do prowadzenia negocjacji w celu zawarcia umowy o dostępie w zakresie połączenia sieci na uzasadniony wniosek użytkownika rządowego, o którym mowa w art. 2 pkt 88 lit. a, b, d, e, g oraz h.</w:t>
            </w:r>
          </w:p>
          <w:p w14:paraId="632E6842" w14:textId="77777777" w:rsidR="001E1112" w:rsidRPr="00317ABF" w:rsidRDefault="001E1112" w:rsidP="00DB3BEC">
            <w:pPr>
              <w:pStyle w:val="USTustnpkodeksu"/>
              <w:spacing w:after="120"/>
              <w:ind w:firstLine="0"/>
              <w:rPr>
                <w:rFonts w:ascii="Times New Roman" w:hAnsi="Times New Roman" w:cs="Times New Roman"/>
                <w:sz w:val="22"/>
                <w:szCs w:val="22"/>
              </w:rPr>
            </w:pPr>
          </w:p>
          <w:p w14:paraId="5914B67C" w14:textId="77777777" w:rsidR="001E1112" w:rsidRPr="00317ABF" w:rsidRDefault="001E1112" w:rsidP="00DB3BEC">
            <w:pPr>
              <w:pStyle w:val="USTustnpkodeksu"/>
              <w:spacing w:after="120"/>
              <w:ind w:firstLine="0"/>
              <w:rPr>
                <w:rFonts w:ascii="Times New Roman" w:hAnsi="Times New Roman" w:cs="Times New Roman"/>
                <w:sz w:val="22"/>
                <w:szCs w:val="22"/>
              </w:rPr>
            </w:pPr>
          </w:p>
        </w:tc>
      </w:tr>
      <w:tr w:rsidR="001E1112" w:rsidRPr="00317ABF" w14:paraId="101A838D" w14:textId="77777777" w:rsidTr="7753F98D">
        <w:trPr>
          <w:gridAfter w:val="2"/>
          <w:wAfter w:w="175" w:type="dxa"/>
        </w:trPr>
        <w:tc>
          <w:tcPr>
            <w:tcW w:w="704" w:type="dxa"/>
          </w:tcPr>
          <w:p w14:paraId="35682774" w14:textId="77777777" w:rsidR="001E1112" w:rsidRPr="00317ABF" w:rsidRDefault="001E1112" w:rsidP="00DB3BEC">
            <w:pPr>
              <w:jc w:val="both"/>
              <w:rPr>
                <w:sz w:val="22"/>
                <w:szCs w:val="22"/>
              </w:rPr>
            </w:pPr>
            <w:r w:rsidRPr="00317ABF">
              <w:rPr>
                <w:sz w:val="22"/>
                <w:szCs w:val="22"/>
              </w:rPr>
              <w:lastRenderedPageBreak/>
              <w:t>Art. 60 ust. 2</w:t>
            </w:r>
          </w:p>
        </w:tc>
        <w:tc>
          <w:tcPr>
            <w:tcW w:w="4308" w:type="dxa"/>
          </w:tcPr>
          <w:p w14:paraId="559FDF7B" w14:textId="77777777" w:rsidR="001E1112" w:rsidRPr="00317ABF" w:rsidRDefault="001E1112" w:rsidP="00DB3BEC">
            <w:pPr>
              <w:spacing w:before="120"/>
              <w:jc w:val="both"/>
              <w:rPr>
                <w:sz w:val="22"/>
                <w:szCs w:val="22"/>
              </w:rPr>
            </w:pPr>
            <w:r w:rsidRPr="00317ABF">
              <w:rPr>
                <w:sz w:val="22"/>
                <w:szCs w:val="22"/>
              </w:rPr>
              <w:t>2.   Nie naruszając art. 21, państwa członkowskie wymagają, by przedsiębiorstwa, które otrzymują od innych przedsiębiorstw informacje przed negocjacjami w sprawie zawarcia porozumień o dostępie albo wzajemnych połączeniach, w ich trakcie albo po ich zakończeniu, używały tych informacji wyłącznie w celach, w jakich je otrzymały, oraz by zachowały przekazywane lub zachowywane informacje w poufności. Takie przedsiębiorstwa nie mogą przekazywać otrzymanych informacji innym stronom, a w szczególności innym oddziałom, jednostkom zależnym lub partnerom, którym mogłyby one zapewnić przewagę konkurencyjną.</w:t>
            </w:r>
          </w:p>
        </w:tc>
        <w:tc>
          <w:tcPr>
            <w:tcW w:w="986" w:type="dxa"/>
          </w:tcPr>
          <w:p w14:paraId="27AC5906" w14:textId="1CADB609" w:rsidR="001E1112" w:rsidRPr="00317ABF" w:rsidRDefault="001E1112" w:rsidP="00DB3BEC">
            <w:pPr>
              <w:jc w:val="both"/>
              <w:rPr>
                <w:b/>
                <w:sz w:val="22"/>
                <w:szCs w:val="22"/>
              </w:rPr>
            </w:pPr>
            <w:r w:rsidRPr="00317ABF">
              <w:rPr>
                <w:b/>
                <w:sz w:val="22"/>
                <w:szCs w:val="22"/>
              </w:rPr>
              <w:t>T</w:t>
            </w:r>
          </w:p>
        </w:tc>
        <w:tc>
          <w:tcPr>
            <w:tcW w:w="910" w:type="dxa"/>
          </w:tcPr>
          <w:p w14:paraId="30CA780B" w14:textId="1BF016EA" w:rsidR="001E1112" w:rsidRPr="00317ABF" w:rsidRDefault="00664389" w:rsidP="00DB3BEC">
            <w:pPr>
              <w:pStyle w:val="Tekstpodstawowy"/>
              <w:rPr>
                <w:b/>
                <w:noProof/>
                <w:sz w:val="22"/>
                <w:szCs w:val="22"/>
              </w:rPr>
            </w:pPr>
            <w:r w:rsidRPr="00317ABF">
              <w:rPr>
                <w:b/>
                <w:noProof/>
                <w:sz w:val="22"/>
                <w:szCs w:val="22"/>
              </w:rPr>
              <w:t>Art. 16</w:t>
            </w:r>
            <w:r w:rsidR="001E1112" w:rsidRPr="00317ABF">
              <w:rPr>
                <w:b/>
                <w:noProof/>
                <w:sz w:val="22"/>
                <w:szCs w:val="22"/>
              </w:rPr>
              <w:t>9 ust. 2</w:t>
            </w:r>
          </w:p>
        </w:tc>
        <w:tc>
          <w:tcPr>
            <w:tcW w:w="6814" w:type="dxa"/>
            <w:gridSpan w:val="2"/>
          </w:tcPr>
          <w:p w14:paraId="4E381818" w14:textId="77777777" w:rsidR="001E1112" w:rsidRPr="00317ABF" w:rsidRDefault="001E1112" w:rsidP="00DB3BEC">
            <w:pPr>
              <w:spacing w:before="120"/>
              <w:jc w:val="both"/>
              <w:rPr>
                <w:sz w:val="22"/>
                <w:szCs w:val="22"/>
              </w:rPr>
            </w:pPr>
            <w:r w:rsidRPr="00317ABF">
              <w:rPr>
                <w:sz w:val="22"/>
                <w:szCs w:val="22"/>
              </w:rPr>
              <w:t>2. Informacje uzyskane w związku z negocjacjami umowy o dostępie mogą być wykorzystane wyłącznie zgodnie z ich przeznaczeniem i podlegają obowiązkowi zachowania poufności, także po ich zakończeniu.</w:t>
            </w:r>
          </w:p>
          <w:p w14:paraId="6DF0B6D1" w14:textId="77777777" w:rsidR="001E1112" w:rsidRPr="00317ABF" w:rsidRDefault="001E1112" w:rsidP="00DB3BEC">
            <w:pPr>
              <w:spacing w:before="120"/>
              <w:jc w:val="both"/>
              <w:rPr>
                <w:sz w:val="22"/>
                <w:szCs w:val="22"/>
              </w:rPr>
            </w:pPr>
          </w:p>
        </w:tc>
      </w:tr>
      <w:tr w:rsidR="001E1112" w:rsidRPr="00317ABF" w14:paraId="32C175F5" w14:textId="77777777" w:rsidTr="7753F98D">
        <w:trPr>
          <w:gridAfter w:val="2"/>
          <w:wAfter w:w="175" w:type="dxa"/>
        </w:trPr>
        <w:tc>
          <w:tcPr>
            <w:tcW w:w="704" w:type="dxa"/>
          </w:tcPr>
          <w:p w14:paraId="174F3D89" w14:textId="77777777" w:rsidR="001E1112" w:rsidRPr="00317ABF" w:rsidRDefault="001E1112" w:rsidP="00DB3BEC">
            <w:pPr>
              <w:jc w:val="both"/>
              <w:rPr>
                <w:sz w:val="22"/>
                <w:szCs w:val="22"/>
              </w:rPr>
            </w:pPr>
            <w:r w:rsidRPr="00317ABF">
              <w:rPr>
                <w:sz w:val="22"/>
                <w:szCs w:val="22"/>
              </w:rPr>
              <w:t>Art. 60 ust. 3</w:t>
            </w:r>
          </w:p>
        </w:tc>
        <w:tc>
          <w:tcPr>
            <w:tcW w:w="4308" w:type="dxa"/>
          </w:tcPr>
          <w:p w14:paraId="3EE95BFC" w14:textId="77777777" w:rsidR="001E1112" w:rsidRPr="00317ABF" w:rsidRDefault="001E1112" w:rsidP="00DB3BEC">
            <w:pPr>
              <w:spacing w:before="120"/>
              <w:jc w:val="both"/>
              <w:rPr>
                <w:sz w:val="22"/>
                <w:szCs w:val="22"/>
              </w:rPr>
            </w:pPr>
            <w:r w:rsidRPr="00317ABF">
              <w:rPr>
                <w:sz w:val="22"/>
                <w:szCs w:val="22"/>
              </w:rPr>
              <w:t>3.   Państwa członkowskie mogą postanowić, że negocjacje powinny być prowadzone za pośrednictwem neutralnych pośredników, gdy wymagają tego warunki konkurencji.</w:t>
            </w:r>
          </w:p>
        </w:tc>
        <w:tc>
          <w:tcPr>
            <w:tcW w:w="986" w:type="dxa"/>
          </w:tcPr>
          <w:p w14:paraId="0A48C83B" w14:textId="26769332" w:rsidR="001E1112" w:rsidRPr="00317ABF" w:rsidRDefault="001E1112" w:rsidP="00DB3BEC">
            <w:pPr>
              <w:jc w:val="both"/>
              <w:rPr>
                <w:b/>
                <w:sz w:val="22"/>
                <w:szCs w:val="22"/>
              </w:rPr>
            </w:pPr>
            <w:r w:rsidRPr="00317ABF">
              <w:rPr>
                <w:b/>
                <w:sz w:val="22"/>
                <w:szCs w:val="22"/>
              </w:rPr>
              <w:t>N</w:t>
            </w:r>
          </w:p>
        </w:tc>
        <w:tc>
          <w:tcPr>
            <w:tcW w:w="910" w:type="dxa"/>
          </w:tcPr>
          <w:p w14:paraId="575E8942" w14:textId="77777777" w:rsidR="001E1112" w:rsidRPr="00317ABF" w:rsidRDefault="001E1112" w:rsidP="00DB3BEC">
            <w:pPr>
              <w:pStyle w:val="Tekstpodstawowy"/>
              <w:rPr>
                <w:b/>
                <w:noProof/>
                <w:sz w:val="22"/>
                <w:szCs w:val="22"/>
              </w:rPr>
            </w:pPr>
          </w:p>
        </w:tc>
        <w:tc>
          <w:tcPr>
            <w:tcW w:w="6814" w:type="dxa"/>
            <w:gridSpan w:val="2"/>
          </w:tcPr>
          <w:p w14:paraId="5CEEFB32" w14:textId="77777777" w:rsidR="001E1112" w:rsidRPr="00317ABF" w:rsidRDefault="001E1112" w:rsidP="00DB3BEC">
            <w:pPr>
              <w:pStyle w:val="Tekstpodstawowy"/>
              <w:rPr>
                <w:sz w:val="22"/>
                <w:szCs w:val="22"/>
              </w:rPr>
            </w:pPr>
          </w:p>
        </w:tc>
      </w:tr>
      <w:tr w:rsidR="001E1112" w:rsidRPr="00317ABF" w14:paraId="6A8B34F7" w14:textId="77777777" w:rsidTr="7753F98D">
        <w:trPr>
          <w:gridAfter w:val="2"/>
          <w:wAfter w:w="175" w:type="dxa"/>
        </w:trPr>
        <w:tc>
          <w:tcPr>
            <w:tcW w:w="704" w:type="dxa"/>
          </w:tcPr>
          <w:p w14:paraId="1AAD5C8F" w14:textId="77777777" w:rsidR="001E1112" w:rsidRPr="00317ABF" w:rsidRDefault="001E1112" w:rsidP="00DB3BEC">
            <w:pPr>
              <w:jc w:val="both"/>
              <w:rPr>
                <w:b/>
                <w:sz w:val="22"/>
                <w:szCs w:val="22"/>
              </w:rPr>
            </w:pPr>
            <w:r w:rsidRPr="00317ABF">
              <w:rPr>
                <w:b/>
                <w:sz w:val="22"/>
                <w:szCs w:val="22"/>
              </w:rPr>
              <w:t>Art. 61</w:t>
            </w:r>
          </w:p>
        </w:tc>
        <w:tc>
          <w:tcPr>
            <w:tcW w:w="4308" w:type="dxa"/>
          </w:tcPr>
          <w:p w14:paraId="10BACD36" w14:textId="77777777" w:rsidR="001E1112" w:rsidRPr="00317ABF" w:rsidRDefault="001E1112" w:rsidP="00DB3BEC">
            <w:pPr>
              <w:spacing w:before="120"/>
              <w:jc w:val="both"/>
              <w:rPr>
                <w:sz w:val="22"/>
                <w:szCs w:val="22"/>
              </w:rPr>
            </w:pPr>
            <w:r w:rsidRPr="00317ABF">
              <w:rPr>
                <w:b/>
                <w:bCs/>
                <w:sz w:val="22"/>
                <w:szCs w:val="22"/>
              </w:rPr>
              <w:t>Prawa i zakres odpowiedzialności krajowych organów regulacyjnych i innych właściwych organów w zakresie dostępu i wzajemnych połączeń</w:t>
            </w:r>
          </w:p>
        </w:tc>
        <w:tc>
          <w:tcPr>
            <w:tcW w:w="986" w:type="dxa"/>
          </w:tcPr>
          <w:p w14:paraId="0169A01B" w14:textId="77777777" w:rsidR="001E1112" w:rsidRPr="00317ABF" w:rsidRDefault="001E1112" w:rsidP="00DB3BEC">
            <w:pPr>
              <w:jc w:val="both"/>
              <w:rPr>
                <w:sz w:val="22"/>
                <w:szCs w:val="22"/>
              </w:rPr>
            </w:pPr>
          </w:p>
        </w:tc>
        <w:tc>
          <w:tcPr>
            <w:tcW w:w="910" w:type="dxa"/>
          </w:tcPr>
          <w:p w14:paraId="112B632A" w14:textId="77777777" w:rsidR="001E1112" w:rsidRPr="00317ABF" w:rsidRDefault="001E1112" w:rsidP="00DB3BEC">
            <w:pPr>
              <w:pStyle w:val="Tekstpodstawowy"/>
              <w:rPr>
                <w:b/>
                <w:noProof/>
                <w:sz w:val="22"/>
                <w:szCs w:val="22"/>
              </w:rPr>
            </w:pPr>
          </w:p>
        </w:tc>
        <w:tc>
          <w:tcPr>
            <w:tcW w:w="6814" w:type="dxa"/>
            <w:gridSpan w:val="2"/>
          </w:tcPr>
          <w:p w14:paraId="375474F1" w14:textId="77777777" w:rsidR="001E1112" w:rsidRPr="00317ABF" w:rsidRDefault="001E1112" w:rsidP="00DB3BEC">
            <w:pPr>
              <w:pStyle w:val="Tekstpodstawowy"/>
              <w:rPr>
                <w:sz w:val="22"/>
                <w:szCs w:val="22"/>
              </w:rPr>
            </w:pPr>
          </w:p>
        </w:tc>
      </w:tr>
      <w:tr w:rsidR="001E1112" w:rsidRPr="00317ABF" w14:paraId="33B9612F" w14:textId="77777777" w:rsidTr="7753F98D">
        <w:trPr>
          <w:gridAfter w:val="2"/>
          <w:wAfter w:w="175" w:type="dxa"/>
        </w:trPr>
        <w:tc>
          <w:tcPr>
            <w:tcW w:w="704" w:type="dxa"/>
          </w:tcPr>
          <w:p w14:paraId="2A7A61A8" w14:textId="77777777" w:rsidR="001E1112" w:rsidRPr="00317ABF" w:rsidRDefault="001E1112" w:rsidP="00DB3BEC">
            <w:pPr>
              <w:jc w:val="both"/>
              <w:rPr>
                <w:sz w:val="22"/>
                <w:szCs w:val="22"/>
              </w:rPr>
            </w:pPr>
            <w:r w:rsidRPr="00317ABF">
              <w:rPr>
                <w:sz w:val="22"/>
                <w:szCs w:val="22"/>
              </w:rPr>
              <w:t>Art. 61 ust. 1</w:t>
            </w:r>
          </w:p>
        </w:tc>
        <w:tc>
          <w:tcPr>
            <w:tcW w:w="4308" w:type="dxa"/>
          </w:tcPr>
          <w:p w14:paraId="1C46D2B0" w14:textId="77777777" w:rsidR="001E1112" w:rsidRPr="00317ABF" w:rsidRDefault="001E1112" w:rsidP="00DB3BEC">
            <w:pPr>
              <w:spacing w:before="120"/>
              <w:jc w:val="both"/>
              <w:rPr>
                <w:sz w:val="22"/>
                <w:szCs w:val="22"/>
              </w:rPr>
            </w:pPr>
            <w:r w:rsidRPr="00317ABF">
              <w:rPr>
                <w:sz w:val="22"/>
                <w:szCs w:val="22"/>
              </w:rPr>
              <w:t xml:space="preserve">1.   Dla realizacji celów określonych w art. 3 krajowe organy regulacyjne lub inne właściwe organy w przypadku akapitu pierwszego lit. b) i c) ust. 2 niniejszego artykułu wspierają, a w stosownych przypadkach zapewniają – zgodnie z niniejszą dyrektywą – odpowiedni dostęp i wzajemne połączenia oraz interoperacyjność usług, wykonując swoje zadania w taki sposób, aby promować wydajność, zrównoważoną konkurencję, realizację sieci o bardzo dużej przepustowości, </w:t>
            </w:r>
            <w:r w:rsidRPr="00317ABF">
              <w:rPr>
                <w:sz w:val="22"/>
                <w:szCs w:val="22"/>
              </w:rPr>
              <w:lastRenderedPageBreak/>
              <w:t>efektywne inwestycje i innowacje oraz zapewnić maksymalne korzyści użytkownikom końcowym.</w:t>
            </w:r>
          </w:p>
          <w:p w14:paraId="1D8A8897" w14:textId="77777777" w:rsidR="001E1112" w:rsidRPr="00317ABF" w:rsidRDefault="001E1112" w:rsidP="00DB3BEC">
            <w:pPr>
              <w:spacing w:before="120"/>
              <w:jc w:val="both"/>
              <w:rPr>
                <w:sz w:val="22"/>
                <w:szCs w:val="22"/>
              </w:rPr>
            </w:pPr>
            <w:r w:rsidRPr="00317ABF">
              <w:rPr>
                <w:sz w:val="22"/>
                <w:szCs w:val="22"/>
              </w:rPr>
              <w:t>Organy te zapewniają wytyczne i podają do publicznej wiadomości odpowiednie procedury pozwalające uzyskać dostęp oraz wzajemne połączenia, aby zapewnić małym i średnim przedsiębiorstwom oraz operatorom o ograniczonym zasięgu geograficznym możliwość czerpania korzyści z nałożonych obowiązków.</w:t>
            </w:r>
          </w:p>
        </w:tc>
        <w:tc>
          <w:tcPr>
            <w:tcW w:w="986" w:type="dxa"/>
          </w:tcPr>
          <w:p w14:paraId="153FD045" w14:textId="77777777" w:rsidR="001E1112" w:rsidRPr="00317ABF" w:rsidRDefault="001E1112" w:rsidP="00DB3BEC">
            <w:pPr>
              <w:jc w:val="both"/>
              <w:rPr>
                <w:b/>
                <w:sz w:val="22"/>
                <w:szCs w:val="22"/>
              </w:rPr>
            </w:pPr>
            <w:r w:rsidRPr="00317ABF">
              <w:rPr>
                <w:b/>
                <w:sz w:val="22"/>
                <w:szCs w:val="22"/>
              </w:rPr>
              <w:lastRenderedPageBreak/>
              <w:t>T (w zakresie akapitu 1)</w:t>
            </w:r>
          </w:p>
          <w:p w14:paraId="22D84D5D" w14:textId="4C25A209" w:rsidR="001E1112" w:rsidRPr="00317ABF" w:rsidRDefault="001E1112" w:rsidP="00DB3BEC">
            <w:pPr>
              <w:jc w:val="both"/>
              <w:rPr>
                <w:b/>
                <w:sz w:val="22"/>
                <w:szCs w:val="22"/>
              </w:rPr>
            </w:pPr>
            <w:r w:rsidRPr="00317ABF">
              <w:rPr>
                <w:b/>
                <w:sz w:val="22"/>
                <w:szCs w:val="22"/>
              </w:rPr>
              <w:t xml:space="preserve"> </w:t>
            </w:r>
            <w:r w:rsidRPr="00317ABF">
              <w:rPr>
                <w:b/>
                <w:sz w:val="22"/>
                <w:szCs w:val="22"/>
              </w:rPr>
              <w:br/>
              <w:t>N (w zakresie akapitu 2)</w:t>
            </w:r>
          </w:p>
        </w:tc>
        <w:tc>
          <w:tcPr>
            <w:tcW w:w="910" w:type="dxa"/>
          </w:tcPr>
          <w:p w14:paraId="21E8E801" w14:textId="61FAE466" w:rsidR="001E1112" w:rsidRPr="00317ABF" w:rsidRDefault="001E1112" w:rsidP="00DB3BEC">
            <w:pPr>
              <w:pStyle w:val="Tekstpodstawowy"/>
              <w:rPr>
                <w:b/>
                <w:noProof/>
                <w:sz w:val="22"/>
                <w:szCs w:val="22"/>
              </w:rPr>
            </w:pPr>
            <w:r w:rsidRPr="00317ABF">
              <w:rPr>
                <w:b/>
                <w:noProof/>
                <w:sz w:val="22"/>
                <w:szCs w:val="22"/>
              </w:rPr>
              <w:t xml:space="preserve">Art. </w:t>
            </w:r>
            <w:r w:rsidR="00B804BD" w:rsidRPr="00317ABF">
              <w:rPr>
                <w:b/>
                <w:noProof/>
                <w:sz w:val="22"/>
                <w:szCs w:val="22"/>
              </w:rPr>
              <w:t>407</w:t>
            </w:r>
            <w:r w:rsidRPr="00317ABF">
              <w:rPr>
                <w:b/>
                <w:noProof/>
                <w:sz w:val="22"/>
                <w:szCs w:val="22"/>
              </w:rPr>
              <w:t xml:space="preserve"> ust. 2</w:t>
            </w:r>
          </w:p>
        </w:tc>
        <w:tc>
          <w:tcPr>
            <w:tcW w:w="6814" w:type="dxa"/>
            <w:gridSpan w:val="2"/>
          </w:tcPr>
          <w:p w14:paraId="47713AD5" w14:textId="77777777" w:rsidR="00B804BD" w:rsidRPr="00317ABF" w:rsidRDefault="00B804BD" w:rsidP="00B804BD">
            <w:pPr>
              <w:spacing w:before="120"/>
              <w:jc w:val="both"/>
              <w:rPr>
                <w:b/>
                <w:sz w:val="22"/>
                <w:szCs w:val="22"/>
              </w:rPr>
            </w:pPr>
            <w:bookmarkStart w:id="137" w:name="mip52137275"/>
            <w:bookmarkEnd w:id="137"/>
            <w:r w:rsidRPr="00317ABF">
              <w:rPr>
                <w:b/>
                <w:sz w:val="22"/>
                <w:szCs w:val="22"/>
              </w:rPr>
              <w:t>Art. 407</w:t>
            </w:r>
          </w:p>
          <w:p w14:paraId="3CB44B02" w14:textId="77777777" w:rsidR="001E1112" w:rsidRPr="00317ABF" w:rsidRDefault="001E1112" w:rsidP="00DB3BEC">
            <w:pPr>
              <w:spacing w:before="120"/>
              <w:jc w:val="both"/>
              <w:rPr>
                <w:sz w:val="22"/>
                <w:szCs w:val="22"/>
              </w:rPr>
            </w:pPr>
            <w:r w:rsidRPr="00317ABF">
              <w:rPr>
                <w:sz w:val="22"/>
                <w:szCs w:val="22"/>
              </w:rPr>
              <w:t>2. Organy właściwe w sprawach telekomunikacji prowadzą politykę regulacyjną, mając na celu w szczególności:</w:t>
            </w:r>
          </w:p>
          <w:p w14:paraId="1CDEEEC1" w14:textId="77777777" w:rsidR="00B804BD" w:rsidRPr="00317ABF" w:rsidRDefault="00B804BD" w:rsidP="00B804BD">
            <w:pPr>
              <w:spacing w:before="120"/>
              <w:jc w:val="both"/>
              <w:rPr>
                <w:sz w:val="22"/>
                <w:szCs w:val="22"/>
              </w:rPr>
            </w:pPr>
            <w:r w:rsidRPr="00317ABF">
              <w:rPr>
                <w:sz w:val="22"/>
                <w:szCs w:val="22"/>
              </w:rPr>
              <w:t>1)</w:t>
            </w:r>
            <w:r w:rsidRPr="00317ABF">
              <w:rPr>
                <w:sz w:val="22"/>
                <w:szCs w:val="22"/>
              </w:rPr>
              <w:tab/>
              <w:t>wspieranie konkurencji, w tym konkurencji opartej na infrastrukturze, w zakresie świadczenia usług komunikacji elektronicznej, dostarczania sieci telekomunikacyjnych oraz powiązanych zasobów, w tym:</w:t>
            </w:r>
          </w:p>
          <w:p w14:paraId="2F7A15E4" w14:textId="77777777" w:rsidR="00B804BD" w:rsidRPr="00317ABF" w:rsidRDefault="00B804BD" w:rsidP="00B804BD">
            <w:pPr>
              <w:spacing w:before="120"/>
              <w:jc w:val="both"/>
              <w:rPr>
                <w:sz w:val="22"/>
                <w:szCs w:val="22"/>
              </w:rPr>
            </w:pPr>
            <w:r w:rsidRPr="00317ABF">
              <w:rPr>
                <w:sz w:val="22"/>
                <w:szCs w:val="22"/>
              </w:rPr>
              <w:t>a)</w:t>
            </w:r>
            <w:r w:rsidRPr="00317ABF">
              <w:rPr>
                <w:sz w:val="22"/>
                <w:szCs w:val="22"/>
              </w:rPr>
              <w:tab/>
              <w:t xml:space="preserve">zapewnienie użytkownikom, w tym użytkownikom końcowym z niepełnosprawnościami, osiągania maksymalnych korzyści w zakresie cen </w:t>
            </w:r>
            <w:r w:rsidRPr="00317ABF">
              <w:rPr>
                <w:sz w:val="22"/>
                <w:szCs w:val="22"/>
              </w:rPr>
              <w:lastRenderedPageBreak/>
              <w:t>oraz różnorodności i jakości usług, niezależnie od lokalizacji użytkownika końcowego lub dostawcy usług,</w:t>
            </w:r>
          </w:p>
          <w:p w14:paraId="79A69302" w14:textId="77777777" w:rsidR="00B804BD" w:rsidRPr="00317ABF" w:rsidRDefault="00B804BD" w:rsidP="00B804BD">
            <w:pPr>
              <w:spacing w:before="120"/>
              <w:jc w:val="both"/>
              <w:rPr>
                <w:sz w:val="22"/>
                <w:szCs w:val="22"/>
              </w:rPr>
            </w:pPr>
            <w:r w:rsidRPr="00317ABF">
              <w:rPr>
                <w:sz w:val="22"/>
                <w:szCs w:val="22"/>
              </w:rPr>
              <w:t>b)</w:t>
            </w:r>
            <w:r w:rsidRPr="00317ABF">
              <w:rPr>
                <w:sz w:val="22"/>
                <w:szCs w:val="22"/>
              </w:rPr>
              <w:tab/>
              <w:t>zapobieganie zniekształcaniu lub ograniczaniu konkurencji na rynku komunikacji elektronicznej, w tym poprzez nakładanie obowiązków regulacyjnych tylko w zakresie koniecznym do zagwarantowania skutecznej i równoważnej konkurencji w interesie użytkowników końcowych oraz zmianę lub uchylenie nałożonych obowiązków regulacyjnych w sytuacji gdy warunek ten jest spełniony,</w:t>
            </w:r>
          </w:p>
          <w:p w14:paraId="0662A300" w14:textId="77777777" w:rsidR="00B804BD" w:rsidRPr="00317ABF" w:rsidRDefault="00B804BD" w:rsidP="00B804BD">
            <w:pPr>
              <w:spacing w:before="120"/>
              <w:jc w:val="both"/>
              <w:rPr>
                <w:sz w:val="22"/>
                <w:szCs w:val="22"/>
              </w:rPr>
            </w:pPr>
            <w:r w:rsidRPr="00317ABF">
              <w:rPr>
                <w:sz w:val="22"/>
                <w:szCs w:val="22"/>
              </w:rPr>
              <w:t>c)</w:t>
            </w:r>
            <w:r w:rsidRPr="00317ABF">
              <w:rPr>
                <w:sz w:val="22"/>
                <w:szCs w:val="22"/>
              </w:rPr>
              <w:tab/>
              <w:t>efektywne inwestowanie w dziedzinie infrastruktury oraz promocję technologii innowacyjnych,</w:t>
            </w:r>
          </w:p>
          <w:p w14:paraId="1113E070" w14:textId="77777777" w:rsidR="00B804BD" w:rsidRPr="00317ABF" w:rsidRDefault="00B804BD" w:rsidP="00B804BD">
            <w:pPr>
              <w:spacing w:before="120"/>
              <w:jc w:val="both"/>
              <w:rPr>
                <w:sz w:val="22"/>
                <w:szCs w:val="22"/>
              </w:rPr>
            </w:pPr>
            <w:r w:rsidRPr="00317ABF">
              <w:rPr>
                <w:sz w:val="22"/>
                <w:szCs w:val="22"/>
              </w:rPr>
              <w:t>d)</w:t>
            </w:r>
            <w:r w:rsidRPr="00317ABF">
              <w:rPr>
                <w:sz w:val="22"/>
                <w:szCs w:val="22"/>
              </w:rPr>
              <w:tab/>
              <w:t>zapewnienie przewidywalności regulacyjnej,</w:t>
            </w:r>
          </w:p>
          <w:p w14:paraId="4295ED52" w14:textId="77777777" w:rsidR="00B804BD" w:rsidRPr="00317ABF" w:rsidRDefault="00B804BD" w:rsidP="00B804BD">
            <w:pPr>
              <w:spacing w:before="120"/>
              <w:jc w:val="both"/>
              <w:rPr>
                <w:sz w:val="22"/>
                <w:szCs w:val="22"/>
              </w:rPr>
            </w:pPr>
            <w:r w:rsidRPr="00317ABF">
              <w:rPr>
                <w:sz w:val="22"/>
                <w:szCs w:val="22"/>
              </w:rPr>
              <w:t>e)</w:t>
            </w:r>
            <w:r w:rsidRPr="00317ABF">
              <w:rPr>
                <w:sz w:val="22"/>
                <w:szCs w:val="22"/>
              </w:rPr>
              <w:tab/>
              <w:t>uwzględnienie ryzyka inwestycyjnego;</w:t>
            </w:r>
          </w:p>
          <w:p w14:paraId="0CBE4B51" w14:textId="77777777" w:rsidR="00B804BD" w:rsidRPr="00317ABF" w:rsidRDefault="00B804BD" w:rsidP="00B804BD">
            <w:pPr>
              <w:spacing w:before="120"/>
              <w:jc w:val="both"/>
              <w:rPr>
                <w:sz w:val="22"/>
                <w:szCs w:val="22"/>
              </w:rPr>
            </w:pPr>
            <w:r w:rsidRPr="00317ABF">
              <w:rPr>
                <w:sz w:val="22"/>
                <w:szCs w:val="22"/>
              </w:rPr>
              <w:t>2)</w:t>
            </w:r>
            <w:r w:rsidRPr="00317ABF">
              <w:rPr>
                <w:sz w:val="22"/>
                <w:szCs w:val="22"/>
              </w:rPr>
              <w:tab/>
              <w:t>wspieranie rozwoju rynku wewnętrznego, w tym:</w:t>
            </w:r>
          </w:p>
          <w:p w14:paraId="7B5C24CF" w14:textId="77777777" w:rsidR="00B804BD" w:rsidRPr="00317ABF" w:rsidRDefault="00B804BD" w:rsidP="00B804BD">
            <w:pPr>
              <w:spacing w:before="120"/>
              <w:jc w:val="both"/>
              <w:rPr>
                <w:sz w:val="22"/>
                <w:szCs w:val="22"/>
              </w:rPr>
            </w:pPr>
            <w:r w:rsidRPr="00317ABF">
              <w:rPr>
                <w:sz w:val="22"/>
                <w:szCs w:val="22"/>
              </w:rPr>
              <w:t>a)</w:t>
            </w:r>
            <w:r w:rsidRPr="00317ABF">
              <w:rPr>
                <w:sz w:val="22"/>
                <w:szCs w:val="22"/>
              </w:rPr>
              <w:tab/>
              <w:t>usuwanie istniejących barier na rynku komunikacji elektronicznej,</w:t>
            </w:r>
          </w:p>
          <w:p w14:paraId="18FD16DB" w14:textId="77777777" w:rsidR="00B804BD" w:rsidRPr="00317ABF" w:rsidRDefault="00B804BD" w:rsidP="00B804BD">
            <w:pPr>
              <w:spacing w:before="120"/>
              <w:jc w:val="both"/>
              <w:rPr>
                <w:sz w:val="22"/>
                <w:szCs w:val="22"/>
              </w:rPr>
            </w:pPr>
            <w:r w:rsidRPr="00317ABF">
              <w:rPr>
                <w:sz w:val="22"/>
                <w:szCs w:val="22"/>
              </w:rPr>
              <w:t>b)</w:t>
            </w:r>
            <w:r w:rsidRPr="00317ABF">
              <w:rPr>
                <w:sz w:val="22"/>
                <w:szCs w:val="22"/>
              </w:rPr>
              <w:tab/>
              <w:t>wspieranie tworzenia i rozwoju transeuropejskich sieci oraz interoperacyjności usług ogólnoeuropejskich,</w:t>
            </w:r>
          </w:p>
          <w:p w14:paraId="40629A90" w14:textId="77777777" w:rsidR="00B804BD" w:rsidRPr="00317ABF" w:rsidRDefault="00B804BD" w:rsidP="00B804BD">
            <w:pPr>
              <w:spacing w:before="120"/>
              <w:jc w:val="both"/>
              <w:rPr>
                <w:sz w:val="22"/>
                <w:szCs w:val="22"/>
              </w:rPr>
            </w:pPr>
            <w:r w:rsidRPr="00317ABF">
              <w:rPr>
                <w:sz w:val="22"/>
                <w:szCs w:val="22"/>
              </w:rPr>
              <w:t>c)</w:t>
            </w:r>
            <w:r w:rsidRPr="00317ABF">
              <w:rPr>
                <w:sz w:val="22"/>
                <w:szCs w:val="22"/>
              </w:rPr>
              <w:tab/>
              <w:t>zapewnienie równego traktowania (niedyskryminacji w traktowaniu) przedsiębiorców komunikacji elektronicznej,</w:t>
            </w:r>
          </w:p>
          <w:p w14:paraId="21D05956" w14:textId="77777777" w:rsidR="00B804BD" w:rsidRPr="00317ABF" w:rsidRDefault="00B804BD" w:rsidP="00B804BD">
            <w:pPr>
              <w:spacing w:before="120"/>
              <w:jc w:val="both"/>
              <w:rPr>
                <w:sz w:val="22"/>
                <w:szCs w:val="22"/>
              </w:rPr>
            </w:pPr>
            <w:r w:rsidRPr="00317ABF">
              <w:rPr>
                <w:sz w:val="22"/>
                <w:szCs w:val="22"/>
              </w:rPr>
              <w:t>d)</w:t>
            </w:r>
            <w:r w:rsidRPr="00317ABF">
              <w:rPr>
                <w:sz w:val="22"/>
                <w:szCs w:val="22"/>
              </w:rPr>
              <w:tab/>
              <w:t>współpracę z innymi organami regulacyjnymi państw członkowskich, BEREC i Komisją Europejską, w celu spójnego wdrażania i stosowania przepisów,</w:t>
            </w:r>
          </w:p>
          <w:p w14:paraId="50FFF59C" w14:textId="77777777" w:rsidR="00B804BD" w:rsidRPr="00317ABF" w:rsidRDefault="00B804BD" w:rsidP="00B804BD">
            <w:pPr>
              <w:spacing w:before="120"/>
              <w:jc w:val="both"/>
              <w:rPr>
                <w:sz w:val="22"/>
                <w:szCs w:val="22"/>
              </w:rPr>
            </w:pPr>
            <w:r w:rsidRPr="00317ABF">
              <w:rPr>
                <w:sz w:val="22"/>
                <w:szCs w:val="22"/>
              </w:rPr>
              <w:t>e)</w:t>
            </w:r>
            <w:r w:rsidRPr="00317ABF">
              <w:rPr>
                <w:sz w:val="22"/>
                <w:szCs w:val="22"/>
              </w:rPr>
              <w:tab/>
              <w:t>współpracę z innymi organami regulacyjnymi państw członkowskich i Komisją Europejską, w tym w ramach RSPG, a na ich wniosek także z Parlamentem Europejskim i Radą w zakresie:</w:t>
            </w:r>
          </w:p>
          <w:p w14:paraId="067E3273" w14:textId="77777777" w:rsidR="00B804BD" w:rsidRPr="00317ABF" w:rsidRDefault="00B804BD" w:rsidP="00B804BD">
            <w:pPr>
              <w:spacing w:before="120"/>
              <w:jc w:val="both"/>
              <w:rPr>
                <w:sz w:val="22"/>
                <w:szCs w:val="22"/>
              </w:rPr>
            </w:pPr>
            <w:r w:rsidRPr="00317ABF">
              <w:rPr>
                <w:sz w:val="22"/>
                <w:szCs w:val="22"/>
              </w:rPr>
              <w:t>–</w:t>
            </w:r>
            <w:r w:rsidRPr="00317ABF">
              <w:rPr>
                <w:sz w:val="22"/>
                <w:szCs w:val="22"/>
              </w:rPr>
              <w:tab/>
              <w:t>planowania strategicznego, koordynacji i harmonizacji wykorzystania częstotliwości w Unii Europejskiej, mając na celu optymalizację wykorzystania częstotliwości oraz unikanie szkodliwych zakłóceń oraz</w:t>
            </w:r>
          </w:p>
          <w:p w14:paraId="326211E9" w14:textId="77777777" w:rsidR="00B804BD" w:rsidRPr="00317ABF" w:rsidRDefault="00B804BD" w:rsidP="00B804BD">
            <w:pPr>
              <w:spacing w:before="120"/>
              <w:jc w:val="both"/>
              <w:rPr>
                <w:sz w:val="22"/>
                <w:szCs w:val="22"/>
              </w:rPr>
            </w:pPr>
            <w:r w:rsidRPr="00317ABF">
              <w:rPr>
                <w:sz w:val="22"/>
                <w:szCs w:val="22"/>
              </w:rPr>
              <w:t>–</w:t>
            </w:r>
            <w:r w:rsidRPr="00317ABF">
              <w:rPr>
                <w:sz w:val="22"/>
                <w:szCs w:val="22"/>
              </w:rPr>
              <w:tab/>
              <w:t>promowania koordynacji polityki w zakresie częstotliwości w Unii Europejskiej, a także zharmonizowanych warunków w odniesieniu do dostępności i efektywnego wykorzystania częstotliwości, koniecznego do ustanowienia i funkcjonowania rynku wewnętrznego usług komunikacji elektronicznej;</w:t>
            </w:r>
          </w:p>
          <w:p w14:paraId="7755F0F5" w14:textId="77777777" w:rsidR="00B804BD" w:rsidRPr="00317ABF" w:rsidRDefault="00B804BD" w:rsidP="00B804BD">
            <w:pPr>
              <w:spacing w:before="120"/>
              <w:jc w:val="both"/>
              <w:rPr>
                <w:sz w:val="22"/>
                <w:szCs w:val="22"/>
              </w:rPr>
            </w:pPr>
            <w:r w:rsidRPr="00317ABF">
              <w:rPr>
                <w:sz w:val="22"/>
                <w:szCs w:val="22"/>
              </w:rPr>
              <w:lastRenderedPageBreak/>
              <w:t>3)</w:t>
            </w:r>
            <w:r w:rsidRPr="00317ABF">
              <w:rPr>
                <w:sz w:val="22"/>
                <w:szCs w:val="22"/>
              </w:rPr>
              <w:tab/>
              <w:t>wspieranie efektywnego wykorzystania oraz zarządzania częstotliwościami, w tym:</w:t>
            </w:r>
          </w:p>
          <w:p w14:paraId="3709D4A0" w14:textId="77777777" w:rsidR="00B804BD" w:rsidRPr="00317ABF" w:rsidRDefault="00B804BD" w:rsidP="00B804BD">
            <w:pPr>
              <w:spacing w:before="120"/>
              <w:jc w:val="both"/>
              <w:rPr>
                <w:sz w:val="22"/>
                <w:szCs w:val="22"/>
              </w:rPr>
            </w:pPr>
            <w:r w:rsidRPr="00317ABF">
              <w:rPr>
                <w:sz w:val="22"/>
                <w:szCs w:val="22"/>
              </w:rPr>
              <w:t>a)</w:t>
            </w:r>
            <w:r w:rsidRPr="00317ABF">
              <w:rPr>
                <w:sz w:val="22"/>
                <w:szCs w:val="22"/>
              </w:rPr>
              <w:tab/>
              <w:t>dążenie do zapewnienia pokrycia terytorium Rzeczypospolitej Polskiej zasięgiem bezprzewodowej komunikacji szerokopasmowej o wysokiej jakości, w tym wysokiej prędkości transmisji danych, a także objęcia nią głównych szlaków transportowych,</w:t>
            </w:r>
          </w:p>
          <w:p w14:paraId="0F2ECE14" w14:textId="77777777" w:rsidR="00B804BD" w:rsidRPr="00317ABF" w:rsidRDefault="00B804BD" w:rsidP="00B804BD">
            <w:pPr>
              <w:spacing w:before="120"/>
              <w:jc w:val="both"/>
              <w:rPr>
                <w:sz w:val="22"/>
                <w:szCs w:val="22"/>
              </w:rPr>
            </w:pPr>
            <w:r w:rsidRPr="00317ABF">
              <w:rPr>
                <w:sz w:val="22"/>
                <w:szCs w:val="22"/>
              </w:rPr>
              <w:t>b)</w:t>
            </w:r>
            <w:r w:rsidRPr="00317ABF">
              <w:rPr>
                <w:sz w:val="22"/>
                <w:szCs w:val="22"/>
              </w:rPr>
              <w:tab/>
              <w:t>ułatwianie szybkiego rozwoju nowych technologii komunikacji bezprzewodowej i jej zastosowań,</w:t>
            </w:r>
          </w:p>
          <w:p w14:paraId="11A4817A" w14:textId="77777777" w:rsidR="00B804BD" w:rsidRPr="00317ABF" w:rsidRDefault="00B804BD" w:rsidP="00B804BD">
            <w:pPr>
              <w:spacing w:before="120"/>
              <w:jc w:val="both"/>
              <w:rPr>
                <w:sz w:val="22"/>
                <w:szCs w:val="22"/>
              </w:rPr>
            </w:pPr>
            <w:r w:rsidRPr="00317ABF">
              <w:rPr>
                <w:sz w:val="22"/>
                <w:szCs w:val="22"/>
              </w:rPr>
              <w:t>c)</w:t>
            </w:r>
            <w:r w:rsidRPr="00317ABF">
              <w:rPr>
                <w:sz w:val="22"/>
                <w:szCs w:val="22"/>
              </w:rPr>
              <w:tab/>
              <w:t>promowanie długoterminowych inwestycji przez zapewnienie przewidywalności i spójności podczas dokonywania, zmiany lub cofnięcia rezerwacji częstotliwości, dokonywania rezerwacji częstotliwości na kolejny okres lub ograniczenia sposobu wykorzystywania częstotliwości objętych rezerwacją,</w:t>
            </w:r>
          </w:p>
          <w:p w14:paraId="6F07DF3D" w14:textId="77777777" w:rsidR="00B804BD" w:rsidRPr="00317ABF" w:rsidRDefault="00B804BD" w:rsidP="00B804BD">
            <w:pPr>
              <w:spacing w:before="120"/>
              <w:jc w:val="both"/>
              <w:rPr>
                <w:sz w:val="22"/>
                <w:szCs w:val="22"/>
              </w:rPr>
            </w:pPr>
            <w:r w:rsidRPr="00317ABF">
              <w:rPr>
                <w:sz w:val="22"/>
                <w:szCs w:val="22"/>
              </w:rPr>
              <w:t>d)</w:t>
            </w:r>
            <w:r w:rsidRPr="00317ABF">
              <w:rPr>
                <w:sz w:val="22"/>
                <w:szCs w:val="22"/>
              </w:rPr>
              <w:tab/>
              <w:t>promowanie współużytkowania częstotliwości do podobnych lub różnych zastosowań częstotliwości zgodnie z przepisami prawa konkurencji,</w:t>
            </w:r>
          </w:p>
          <w:p w14:paraId="1C0C10A9" w14:textId="77777777" w:rsidR="00B804BD" w:rsidRPr="00317ABF" w:rsidRDefault="00B804BD" w:rsidP="00B804BD">
            <w:pPr>
              <w:spacing w:before="120"/>
              <w:jc w:val="both"/>
              <w:rPr>
                <w:sz w:val="22"/>
                <w:szCs w:val="22"/>
              </w:rPr>
            </w:pPr>
            <w:r w:rsidRPr="00317ABF">
              <w:rPr>
                <w:sz w:val="22"/>
                <w:szCs w:val="22"/>
              </w:rPr>
              <w:t>e)</w:t>
            </w:r>
            <w:r w:rsidRPr="00317ABF">
              <w:rPr>
                <w:sz w:val="22"/>
                <w:szCs w:val="22"/>
              </w:rPr>
              <w:tab/>
              <w:t>dążenie do spójności i przewidywalności w Unii Europejskiej, w zakresie dokonywania rezerwacji częstotliwości w kontekście ochrony zdrowia publicznego przy uwzględnieniu zalecenia Rady 1999/519/WE z dnia 12 lipca 1999 r. w sprawie ograniczenia narażenia ludności na pola elektromagnetyczne (od 0 Hz do 300 GHz),</w:t>
            </w:r>
          </w:p>
          <w:p w14:paraId="15E7F3A5" w14:textId="77777777" w:rsidR="00B804BD" w:rsidRPr="00317ABF" w:rsidRDefault="00B804BD" w:rsidP="00B804BD">
            <w:pPr>
              <w:spacing w:before="120"/>
              <w:jc w:val="both"/>
              <w:rPr>
                <w:sz w:val="22"/>
                <w:szCs w:val="22"/>
              </w:rPr>
            </w:pPr>
            <w:r w:rsidRPr="00317ABF">
              <w:rPr>
                <w:sz w:val="22"/>
                <w:szCs w:val="22"/>
              </w:rPr>
              <w:t>f)</w:t>
            </w:r>
            <w:r w:rsidRPr="00317ABF">
              <w:rPr>
                <w:sz w:val="22"/>
                <w:szCs w:val="22"/>
              </w:rPr>
              <w:tab/>
              <w:t>kierowanie się zasadą neutralności technologicznej przy gospodarowaniu częstotliwościami;</w:t>
            </w:r>
          </w:p>
          <w:p w14:paraId="7E7AC905" w14:textId="77777777" w:rsidR="00B804BD" w:rsidRPr="00317ABF" w:rsidRDefault="00B804BD" w:rsidP="00B804BD">
            <w:pPr>
              <w:spacing w:before="120"/>
              <w:jc w:val="both"/>
              <w:rPr>
                <w:sz w:val="22"/>
                <w:szCs w:val="22"/>
              </w:rPr>
            </w:pPr>
            <w:r w:rsidRPr="00317ABF">
              <w:rPr>
                <w:sz w:val="22"/>
                <w:szCs w:val="22"/>
              </w:rPr>
              <w:t>4)</w:t>
            </w:r>
            <w:r w:rsidRPr="00317ABF">
              <w:rPr>
                <w:sz w:val="22"/>
                <w:szCs w:val="22"/>
              </w:rPr>
              <w:tab/>
              <w:t>zachęcanie do inwestowania w sieci o bardzo dużej przepustowości oraz korzystania z tych sieci;</w:t>
            </w:r>
          </w:p>
          <w:p w14:paraId="477EBAFA" w14:textId="77777777" w:rsidR="00B804BD" w:rsidRPr="00317ABF" w:rsidRDefault="00B804BD" w:rsidP="00B804BD">
            <w:pPr>
              <w:spacing w:before="120"/>
              <w:jc w:val="both"/>
              <w:rPr>
                <w:sz w:val="22"/>
                <w:szCs w:val="22"/>
              </w:rPr>
            </w:pPr>
            <w:r w:rsidRPr="00317ABF">
              <w:rPr>
                <w:sz w:val="22"/>
                <w:szCs w:val="22"/>
              </w:rPr>
              <w:t>5)</w:t>
            </w:r>
            <w:r w:rsidRPr="00317ABF">
              <w:rPr>
                <w:sz w:val="22"/>
                <w:szCs w:val="22"/>
              </w:rPr>
              <w:tab/>
              <w:t>promocję interesów obywateli Unii Europejskiej, w tym:</w:t>
            </w:r>
          </w:p>
          <w:p w14:paraId="63D7F3E4" w14:textId="77777777" w:rsidR="00B804BD" w:rsidRPr="00317ABF" w:rsidRDefault="00B804BD" w:rsidP="00B804BD">
            <w:pPr>
              <w:spacing w:before="120"/>
              <w:jc w:val="both"/>
              <w:rPr>
                <w:sz w:val="22"/>
                <w:szCs w:val="22"/>
              </w:rPr>
            </w:pPr>
            <w:r w:rsidRPr="00317ABF">
              <w:rPr>
                <w:sz w:val="22"/>
                <w:szCs w:val="22"/>
              </w:rPr>
              <w:t>a)</w:t>
            </w:r>
            <w:r w:rsidRPr="00317ABF">
              <w:rPr>
                <w:sz w:val="22"/>
                <w:szCs w:val="22"/>
              </w:rPr>
              <w:tab/>
              <w:t>zapewnienie wszystkim obywatelom dostępu do usługi powszechnej,</w:t>
            </w:r>
          </w:p>
          <w:p w14:paraId="6EB46152" w14:textId="77777777" w:rsidR="00B804BD" w:rsidRPr="00317ABF" w:rsidRDefault="00B804BD" w:rsidP="00B804BD">
            <w:pPr>
              <w:spacing w:before="120"/>
              <w:jc w:val="both"/>
              <w:rPr>
                <w:sz w:val="22"/>
                <w:szCs w:val="22"/>
              </w:rPr>
            </w:pPr>
            <w:r w:rsidRPr="00317ABF">
              <w:rPr>
                <w:sz w:val="22"/>
                <w:szCs w:val="22"/>
              </w:rPr>
              <w:t>b)</w:t>
            </w:r>
            <w:r w:rsidRPr="00317ABF">
              <w:rPr>
                <w:sz w:val="22"/>
                <w:szCs w:val="22"/>
              </w:rPr>
              <w:tab/>
              <w:t>zapewnienie ochrony konsumenta w jego relacjach z przedsiębiorcą komunikacji elektronicznej, w szczególności ustanawiając proste i niedrogie procedury rozwiązywania sporów przed organem niezależnym od stron występujących w danym sporze,</w:t>
            </w:r>
          </w:p>
          <w:p w14:paraId="19066B6C" w14:textId="77777777" w:rsidR="00B804BD" w:rsidRPr="00317ABF" w:rsidRDefault="00B804BD" w:rsidP="00B804BD">
            <w:pPr>
              <w:spacing w:before="120"/>
              <w:jc w:val="both"/>
              <w:rPr>
                <w:sz w:val="22"/>
                <w:szCs w:val="22"/>
              </w:rPr>
            </w:pPr>
            <w:r w:rsidRPr="00317ABF">
              <w:rPr>
                <w:sz w:val="22"/>
                <w:szCs w:val="22"/>
              </w:rPr>
              <w:t>c)</w:t>
            </w:r>
            <w:r w:rsidRPr="00317ABF">
              <w:rPr>
                <w:sz w:val="22"/>
                <w:szCs w:val="22"/>
              </w:rPr>
              <w:tab/>
              <w:t>przyczynianie się do zapewnienia wysokiego poziomu ochrony danych osobowych,</w:t>
            </w:r>
          </w:p>
          <w:p w14:paraId="2653BF9D" w14:textId="77777777" w:rsidR="00B804BD" w:rsidRPr="00317ABF" w:rsidRDefault="00B804BD" w:rsidP="00B804BD">
            <w:pPr>
              <w:spacing w:before="120"/>
              <w:jc w:val="both"/>
              <w:rPr>
                <w:sz w:val="22"/>
                <w:szCs w:val="22"/>
              </w:rPr>
            </w:pPr>
            <w:r w:rsidRPr="00317ABF">
              <w:rPr>
                <w:sz w:val="22"/>
                <w:szCs w:val="22"/>
              </w:rPr>
              <w:lastRenderedPageBreak/>
              <w:t>d)</w:t>
            </w:r>
            <w:r w:rsidRPr="00317ABF">
              <w:rPr>
                <w:sz w:val="22"/>
                <w:szCs w:val="22"/>
              </w:rPr>
              <w:tab/>
              <w:t>udostępnianie informacji dotyczących ustanawiania cen i warunków świadczenia publicznie dostępnych usług komunikacji elektronicznej,</w:t>
            </w:r>
          </w:p>
          <w:p w14:paraId="75EAB868" w14:textId="77777777" w:rsidR="00B804BD" w:rsidRPr="00317ABF" w:rsidRDefault="00B804BD" w:rsidP="00B804BD">
            <w:pPr>
              <w:spacing w:before="120"/>
              <w:jc w:val="both"/>
              <w:rPr>
                <w:sz w:val="22"/>
                <w:szCs w:val="22"/>
              </w:rPr>
            </w:pPr>
            <w:r w:rsidRPr="00317ABF">
              <w:rPr>
                <w:sz w:val="22"/>
                <w:szCs w:val="22"/>
              </w:rPr>
              <w:t>e)</w:t>
            </w:r>
            <w:r w:rsidRPr="00317ABF">
              <w:rPr>
                <w:sz w:val="22"/>
                <w:szCs w:val="22"/>
              </w:rPr>
              <w:tab/>
              <w:t>identyfikację potrzeb określonych grup społecznych, w szczególności użytkowników końcowych z niepełnosprawnościami oraz ze szczególnymi potrzebami społecznymi,</w:t>
            </w:r>
          </w:p>
          <w:p w14:paraId="48B16DD5" w14:textId="77777777" w:rsidR="00B804BD" w:rsidRPr="00317ABF" w:rsidRDefault="00B804BD" w:rsidP="00B804BD">
            <w:pPr>
              <w:spacing w:before="120"/>
              <w:jc w:val="both"/>
              <w:rPr>
                <w:sz w:val="22"/>
                <w:szCs w:val="22"/>
              </w:rPr>
            </w:pPr>
            <w:r w:rsidRPr="00317ABF">
              <w:rPr>
                <w:sz w:val="22"/>
                <w:szCs w:val="22"/>
              </w:rPr>
              <w:t>f)</w:t>
            </w:r>
            <w:r w:rsidRPr="00317ABF">
              <w:rPr>
                <w:sz w:val="22"/>
                <w:szCs w:val="22"/>
              </w:rPr>
              <w:tab/>
              <w:t>zapewnienie bezpieczeństwa publicznej sieci telekomunikacyjnej,</w:t>
            </w:r>
          </w:p>
          <w:p w14:paraId="59CF6E8D" w14:textId="77777777" w:rsidR="00B804BD" w:rsidRPr="00317ABF" w:rsidRDefault="00B804BD" w:rsidP="00B804BD">
            <w:pPr>
              <w:spacing w:before="120"/>
              <w:jc w:val="both"/>
              <w:rPr>
                <w:sz w:val="22"/>
                <w:szCs w:val="22"/>
              </w:rPr>
            </w:pPr>
            <w:r w:rsidRPr="00317ABF">
              <w:rPr>
                <w:sz w:val="22"/>
                <w:szCs w:val="22"/>
              </w:rPr>
              <w:t>g)</w:t>
            </w:r>
            <w:r w:rsidRPr="00317ABF">
              <w:rPr>
                <w:sz w:val="22"/>
                <w:szCs w:val="22"/>
              </w:rPr>
              <w:tab/>
              <w:t>wspieranie procesu harmonizacji określonych numerów lub zakresów numeracji w obrębie Unii Europejskiej oraz zapewnienie informacji o istnieniu europejskiego numeru alarmowego 112 i innych europejskich numerów zharmonizowanych, skierowanej do obywateli, w szczególności podróżujących między państwami członkowskimi,</w:t>
            </w:r>
          </w:p>
          <w:p w14:paraId="05D0FFD4" w14:textId="77777777" w:rsidR="00B804BD" w:rsidRPr="00317ABF" w:rsidRDefault="00B804BD" w:rsidP="00B804BD">
            <w:pPr>
              <w:spacing w:before="120"/>
              <w:jc w:val="both"/>
              <w:rPr>
                <w:sz w:val="22"/>
                <w:szCs w:val="22"/>
              </w:rPr>
            </w:pPr>
            <w:r w:rsidRPr="00317ABF">
              <w:rPr>
                <w:sz w:val="22"/>
                <w:szCs w:val="22"/>
              </w:rPr>
              <w:t>h)</w:t>
            </w:r>
            <w:r w:rsidRPr="00317ABF">
              <w:rPr>
                <w:sz w:val="22"/>
                <w:szCs w:val="22"/>
              </w:rPr>
              <w:tab/>
              <w:t>wspieranie pełnego korzystania przez użytkowników końcowych z informacji oraz możliwości ich rozpowszechniania oraz korzystania z dowolnych aplikacji i usług;</w:t>
            </w:r>
          </w:p>
          <w:p w14:paraId="3DF30B02" w14:textId="77777777" w:rsidR="00B804BD" w:rsidRPr="00317ABF" w:rsidRDefault="00B804BD" w:rsidP="00B804BD">
            <w:pPr>
              <w:spacing w:before="120"/>
              <w:jc w:val="both"/>
              <w:rPr>
                <w:sz w:val="22"/>
                <w:szCs w:val="22"/>
              </w:rPr>
            </w:pPr>
            <w:r w:rsidRPr="00317ABF">
              <w:rPr>
                <w:sz w:val="22"/>
                <w:szCs w:val="22"/>
              </w:rPr>
              <w:t>6)</w:t>
            </w:r>
            <w:r w:rsidRPr="00317ABF">
              <w:rPr>
                <w:sz w:val="22"/>
                <w:szCs w:val="22"/>
              </w:rPr>
              <w:tab/>
              <w:t>realizację polityki w zakresie wolności wypowiedzi i informacji, promowania różnorodności kulturowej i językowej, jak również pluralizmu mediów;</w:t>
            </w:r>
          </w:p>
          <w:p w14:paraId="7645C1E0" w14:textId="2FFA1EE6" w:rsidR="001E1112" w:rsidRPr="00317ABF" w:rsidRDefault="001E1112" w:rsidP="00DB3BEC">
            <w:pPr>
              <w:pStyle w:val="Tekstpodstawowy"/>
              <w:rPr>
                <w:sz w:val="22"/>
                <w:szCs w:val="22"/>
              </w:rPr>
            </w:pPr>
            <w:r w:rsidRPr="00317ABF">
              <w:rPr>
                <w:sz w:val="22"/>
                <w:szCs w:val="22"/>
              </w:rPr>
              <w:t>7)</w:t>
            </w:r>
            <w:r w:rsidR="00B804BD" w:rsidRPr="00317ABF">
              <w:rPr>
                <w:sz w:val="22"/>
                <w:szCs w:val="22"/>
              </w:rPr>
              <w:tab/>
            </w:r>
            <w:r w:rsidRPr="00317ABF">
              <w:rPr>
                <w:sz w:val="22"/>
                <w:szCs w:val="22"/>
              </w:rPr>
              <w:t>zagwarantowanie neutralności technologicznej.</w:t>
            </w:r>
          </w:p>
        </w:tc>
      </w:tr>
      <w:tr w:rsidR="001E1112" w:rsidRPr="00317ABF" w14:paraId="1998C559" w14:textId="77777777" w:rsidTr="7753F98D">
        <w:trPr>
          <w:gridAfter w:val="2"/>
          <w:wAfter w:w="175" w:type="dxa"/>
        </w:trPr>
        <w:tc>
          <w:tcPr>
            <w:tcW w:w="704" w:type="dxa"/>
          </w:tcPr>
          <w:p w14:paraId="2C5A57DC" w14:textId="77777777" w:rsidR="001E1112" w:rsidRPr="00317ABF" w:rsidRDefault="001E1112" w:rsidP="00DB3BEC">
            <w:pPr>
              <w:jc w:val="both"/>
              <w:rPr>
                <w:sz w:val="22"/>
                <w:szCs w:val="22"/>
              </w:rPr>
            </w:pPr>
            <w:r w:rsidRPr="00317ABF">
              <w:rPr>
                <w:sz w:val="22"/>
                <w:szCs w:val="22"/>
              </w:rPr>
              <w:lastRenderedPageBreak/>
              <w:t>Art. 61 ust. 2</w:t>
            </w:r>
          </w:p>
        </w:tc>
        <w:tc>
          <w:tcPr>
            <w:tcW w:w="4308" w:type="dxa"/>
          </w:tcPr>
          <w:p w14:paraId="152B4C9A" w14:textId="77777777" w:rsidR="001E1112" w:rsidRPr="00317ABF" w:rsidRDefault="001E1112" w:rsidP="00DB3BEC">
            <w:pPr>
              <w:spacing w:before="120"/>
              <w:jc w:val="both"/>
              <w:rPr>
                <w:sz w:val="22"/>
                <w:szCs w:val="22"/>
              </w:rPr>
            </w:pPr>
            <w:r w:rsidRPr="00317ABF">
              <w:rPr>
                <w:sz w:val="22"/>
                <w:szCs w:val="22"/>
              </w:rPr>
              <w:t>2.   W szczególności i bez uszczerbku dla środków, które mogłyby zostać podjęte w stosunku do przedsiębiorstw wyznaczonych jako posiadających znaczącą pozycję rynkową zgodnie z art. 68, krajowe organy regulacyjne lub inne właściwe organy mogą w przypadku lit. b) i c) niniejszego akapitu nakładać:</w:t>
            </w:r>
          </w:p>
          <w:tbl>
            <w:tblPr>
              <w:tblW w:w="5000" w:type="pct"/>
              <w:tblCellSpacing w:w="0" w:type="dxa"/>
              <w:tblLayout w:type="fixed"/>
              <w:tblCellMar>
                <w:left w:w="0" w:type="dxa"/>
                <w:right w:w="0" w:type="dxa"/>
              </w:tblCellMar>
              <w:tblLook w:val="04A0" w:firstRow="1" w:lastRow="0" w:firstColumn="1" w:lastColumn="0" w:noHBand="0" w:noVBand="1"/>
            </w:tblPr>
            <w:tblGrid>
              <w:gridCol w:w="20"/>
              <w:gridCol w:w="4148"/>
            </w:tblGrid>
            <w:tr w:rsidR="001E1112" w:rsidRPr="00317ABF" w14:paraId="22CB2488" w14:textId="77777777" w:rsidTr="001D28BB">
              <w:trPr>
                <w:tblCellSpacing w:w="0" w:type="dxa"/>
              </w:trPr>
              <w:tc>
                <w:tcPr>
                  <w:tcW w:w="6" w:type="dxa"/>
                  <w:hideMark/>
                </w:tcPr>
                <w:p w14:paraId="5B46B099" w14:textId="77777777" w:rsidR="001E1112" w:rsidRPr="00317ABF" w:rsidRDefault="001E1112" w:rsidP="00EE0AC3">
                  <w:pPr>
                    <w:framePr w:hSpace="141" w:wrap="around" w:vAnchor="text" w:hAnchor="text" w:xAlign="right" w:y="1"/>
                    <w:spacing w:before="120"/>
                    <w:suppressOverlap/>
                    <w:jc w:val="both"/>
                    <w:rPr>
                      <w:sz w:val="22"/>
                      <w:szCs w:val="22"/>
                    </w:rPr>
                  </w:pPr>
                </w:p>
              </w:tc>
              <w:tc>
                <w:tcPr>
                  <w:tcW w:w="9066" w:type="dxa"/>
                  <w:hideMark/>
                </w:tcPr>
                <w:p w14:paraId="5453ABA0" w14:textId="77777777" w:rsidR="001E1112" w:rsidRPr="00317ABF" w:rsidRDefault="001E1112" w:rsidP="00EE0AC3">
                  <w:pPr>
                    <w:framePr w:hSpace="141" w:wrap="around" w:vAnchor="text" w:hAnchor="text" w:xAlign="right" w:y="1"/>
                    <w:numPr>
                      <w:ilvl w:val="0"/>
                      <w:numId w:val="54"/>
                    </w:numPr>
                    <w:spacing w:before="120"/>
                    <w:suppressOverlap/>
                    <w:jc w:val="both"/>
                    <w:rPr>
                      <w:sz w:val="22"/>
                      <w:szCs w:val="22"/>
                    </w:rPr>
                  </w:pPr>
                  <w:r w:rsidRPr="00317ABF">
                    <w:rPr>
                      <w:sz w:val="22"/>
                      <w:szCs w:val="22"/>
                    </w:rPr>
                    <w:t xml:space="preserve">w granicach tego, co niezbędne dla zapewnienia możliwości połączenia typu koniec–koniec, obowiązki na przedsiębiorstwa, które podlegają ogólnemu zezwoleniu i które kontrolują dostęp do użytkowników końcowych, w tym, w uzasadnionym przypadku, obowiązek wzajemnych połączeń ich </w:t>
                  </w:r>
                  <w:r w:rsidRPr="00317ABF">
                    <w:rPr>
                      <w:sz w:val="22"/>
                      <w:szCs w:val="22"/>
                    </w:rPr>
                    <w:lastRenderedPageBreak/>
                    <w:t>sieci w sytuacji, kiedy nie zostało to jeszcze zrealizowane;</w:t>
                  </w:r>
                </w:p>
              </w:tc>
            </w:tr>
          </w:tbl>
          <w:p w14:paraId="79487046" w14:textId="77777777" w:rsidR="001E1112" w:rsidRPr="00317ABF" w:rsidRDefault="001E1112" w:rsidP="00DB3BEC">
            <w:pPr>
              <w:jc w:val="both"/>
              <w:rPr>
                <w:vanish/>
                <w:sz w:val="22"/>
                <w:szCs w:val="22"/>
              </w:rPr>
            </w:pPr>
          </w:p>
          <w:tbl>
            <w:tblPr>
              <w:tblW w:w="5000" w:type="pct"/>
              <w:tblCellSpacing w:w="0" w:type="dxa"/>
              <w:tblLayout w:type="fixed"/>
              <w:tblCellMar>
                <w:left w:w="0" w:type="dxa"/>
                <w:right w:w="0" w:type="dxa"/>
              </w:tblCellMar>
              <w:tblLook w:val="04A0" w:firstRow="1" w:lastRow="0" w:firstColumn="1" w:lastColumn="0" w:noHBand="0" w:noVBand="1"/>
            </w:tblPr>
            <w:tblGrid>
              <w:gridCol w:w="20"/>
              <w:gridCol w:w="4148"/>
            </w:tblGrid>
            <w:tr w:rsidR="001E1112" w:rsidRPr="00317ABF" w14:paraId="18F4073E" w14:textId="77777777" w:rsidTr="001D28BB">
              <w:trPr>
                <w:tblCellSpacing w:w="0" w:type="dxa"/>
              </w:trPr>
              <w:tc>
                <w:tcPr>
                  <w:tcW w:w="6" w:type="dxa"/>
                  <w:hideMark/>
                </w:tcPr>
                <w:p w14:paraId="7D7129CB" w14:textId="77777777" w:rsidR="001E1112" w:rsidRPr="00317ABF" w:rsidRDefault="001E1112" w:rsidP="00EE0AC3">
                  <w:pPr>
                    <w:framePr w:hSpace="141" w:wrap="around" w:vAnchor="text" w:hAnchor="text" w:xAlign="right" w:y="1"/>
                    <w:spacing w:before="120"/>
                    <w:suppressOverlap/>
                    <w:jc w:val="both"/>
                    <w:rPr>
                      <w:sz w:val="22"/>
                      <w:szCs w:val="22"/>
                    </w:rPr>
                  </w:pPr>
                </w:p>
              </w:tc>
              <w:tc>
                <w:tcPr>
                  <w:tcW w:w="9066" w:type="dxa"/>
                  <w:hideMark/>
                </w:tcPr>
                <w:p w14:paraId="5D63B645" w14:textId="77777777" w:rsidR="001E1112" w:rsidRPr="00317ABF" w:rsidRDefault="001E1112" w:rsidP="00EE0AC3">
                  <w:pPr>
                    <w:framePr w:hSpace="141" w:wrap="around" w:vAnchor="text" w:hAnchor="text" w:xAlign="right" w:y="1"/>
                    <w:numPr>
                      <w:ilvl w:val="0"/>
                      <w:numId w:val="54"/>
                    </w:numPr>
                    <w:spacing w:before="120"/>
                    <w:suppressOverlap/>
                    <w:jc w:val="both"/>
                    <w:rPr>
                      <w:sz w:val="22"/>
                      <w:szCs w:val="22"/>
                    </w:rPr>
                  </w:pPr>
                  <w:r w:rsidRPr="00317ABF">
                    <w:rPr>
                      <w:sz w:val="22"/>
                      <w:szCs w:val="22"/>
                    </w:rPr>
                    <w:t>w uzasadnionych przypadkach i w niezbędnym zakresie na przedsiębiorstwa podlegające ogólnemu zezwoleniu i kontrolujące dostęp do użytkowników końcowych – obowiązek zapewnienia interoperacyjności swoich usług;</w:t>
                  </w:r>
                </w:p>
              </w:tc>
            </w:tr>
          </w:tbl>
          <w:p w14:paraId="01BF4FEE" w14:textId="77777777" w:rsidR="001E1112" w:rsidRPr="00317ABF" w:rsidRDefault="001E1112" w:rsidP="00DB3BEC">
            <w:pPr>
              <w:jc w:val="both"/>
              <w:rPr>
                <w:vanish/>
                <w:sz w:val="22"/>
                <w:szCs w:val="22"/>
              </w:rPr>
            </w:pPr>
          </w:p>
          <w:tbl>
            <w:tblPr>
              <w:tblW w:w="5000" w:type="pct"/>
              <w:tblCellSpacing w:w="0" w:type="dxa"/>
              <w:tblLayout w:type="fixed"/>
              <w:tblCellMar>
                <w:left w:w="0" w:type="dxa"/>
                <w:right w:w="0" w:type="dxa"/>
              </w:tblCellMar>
              <w:tblLook w:val="04A0" w:firstRow="1" w:lastRow="0" w:firstColumn="1" w:lastColumn="0" w:noHBand="0" w:noVBand="1"/>
            </w:tblPr>
            <w:tblGrid>
              <w:gridCol w:w="20"/>
              <w:gridCol w:w="4148"/>
            </w:tblGrid>
            <w:tr w:rsidR="001E1112" w:rsidRPr="00317ABF" w14:paraId="6F0123CB" w14:textId="77777777" w:rsidTr="001D28BB">
              <w:trPr>
                <w:tblCellSpacing w:w="0" w:type="dxa"/>
              </w:trPr>
              <w:tc>
                <w:tcPr>
                  <w:tcW w:w="6" w:type="dxa"/>
                  <w:hideMark/>
                </w:tcPr>
                <w:p w14:paraId="7E12B317" w14:textId="77777777" w:rsidR="001E1112" w:rsidRPr="00317ABF" w:rsidRDefault="001E1112" w:rsidP="00EE0AC3">
                  <w:pPr>
                    <w:framePr w:hSpace="141" w:wrap="around" w:vAnchor="text" w:hAnchor="text" w:xAlign="right" w:y="1"/>
                    <w:spacing w:before="120"/>
                    <w:suppressOverlap/>
                    <w:jc w:val="both"/>
                    <w:rPr>
                      <w:sz w:val="22"/>
                      <w:szCs w:val="22"/>
                    </w:rPr>
                  </w:pPr>
                </w:p>
              </w:tc>
              <w:tc>
                <w:tcPr>
                  <w:tcW w:w="9066" w:type="dxa"/>
                  <w:hideMark/>
                </w:tcPr>
                <w:p w14:paraId="1A61DC83" w14:textId="77777777" w:rsidR="001E1112" w:rsidRPr="00317ABF" w:rsidRDefault="001E1112" w:rsidP="00EE0AC3">
                  <w:pPr>
                    <w:framePr w:hSpace="141" w:wrap="around" w:vAnchor="text" w:hAnchor="text" w:xAlign="right" w:y="1"/>
                    <w:numPr>
                      <w:ilvl w:val="0"/>
                      <w:numId w:val="54"/>
                    </w:numPr>
                    <w:spacing w:before="120"/>
                    <w:suppressOverlap/>
                    <w:jc w:val="both"/>
                    <w:rPr>
                      <w:sz w:val="22"/>
                      <w:szCs w:val="22"/>
                    </w:rPr>
                  </w:pPr>
                  <w:r w:rsidRPr="00317ABF">
                    <w:rPr>
                      <w:sz w:val="22"/>
                      <w:szCs w:val="22"/>
                    </w:rPr>
                    <w:t>w uzasadnionych przypadkach gdy łączność typu koniec–koniec między użytkownikami końcowymi jest zagrożona ze względu na brak interoperacyjności między usługami łączności interpersonalnej i w zakresie, w jakim jest to niezbędne do zapewnienia łączności typu koniec–koniec między użytkownikami końcowymi – obowiązki na odpowiednich dostawców usług łączności interpersonalnej niewykorzystujące numerów, które osiągnęły znaczny poziom zasięgu i upowszechnienie wśród użytkowników, tak aby zapewniły interoperacyjność swoich usług;</w:t>
                  </w:r>
                </w:p>
              </w:tc>
            </w:tr>
          </w:tbl>
          <w:p w14:paraId="2FEA2677" w14:textId="77777777" w:rsidR="001E1112" w:rsidRPr="00317ABF" w:rsidRDefault="001E1112" w:rsidP="00DB3BEC">
            <w:pPr>
              <w:jc w:val="both"/>
              <w:rPr>
                <w:vanish/>
                <w:sz w:val="22"/>
                <w:szCs w:val="22"/>
              </w:rPr>
            </w:pPr>
          </w:p>
          <w:tbl>
            <w:tblPr>
              <w:tblW w:w="5000" w:type="pct"/>
              <w:tblCellSpacing w:w="0" w:type="dxa"/>
              <w:tblLayout w:type="fixed"/>
              <w:tblCellMar>
                <w:left w:w="0" w:type="dxa"/>
                <w:right w:w="0" w:type="dxa"/>
              </w:tblCellMar>
              <w:tblLook w:val="04A0" w:firstRow="1" w:lastRow="0" w:firstColumn="1" w:lastColumn="0" w:noHBand="0" w:noVBand="1"/>
            </w:tblPr>
            <w:tblGrid>
              <w:gridCol w:w="20"/>
              <w:gridCol w:w="4148"/>
            </w:tblGrid>
            <w:tr w:rsidR="001E1112" w:rsidRPr="00317ABF" w14:paraId="15EB71E5" w14:textId="77777777" w:rsidTr="001D28BB">
              <w:trPr>
                <w:tblCellSpacing w:w="0" w:type="dxa"/>
              </w:trPr>
              <w:tc>
                <w:tcPr>
                  <w:tcW w:w="6" w:type="dxa"/>
                  <w:hideMark/>
                </w:tcPr>
                <w:p w14:paraId="2F9D9EC5" w14:textId="77777777" w:rsidR="001E1112" w:rsidRPr="00317ABF" w:rsidRDefault="001E1112" w:rsidP="00EE0AC3">
                  <w:pPr>
                    <w:framePr w:hSpace="141" w:wrap="around" w:vAnchor="text" w:hAnchor="text" w:xAlign="right" w:y="1"/>
                    <w:spacing w:before="120"/>
                    <w:suppressOverlap/>
                    <w:jc w:val="both"/>
                    <w:rPr>
                      <w:sz w:val="22"/>
                      <w:szCs w:val="22"/>
                    </w:rPr>
                  </w:pPr>
                </w:p>
              </w:tc>
              <w:tc>
                <w:tcPr>
                  <w:tcW w:w="9066" w:type="dxa"/>
                  <w:hideMark/>
                </w:tcPr>
                <w:p w14:paraId="19E07DEF" w14:textId="77777777" w:rsidR="001E1112" w:rsidRPr="00317ABF" w:rsidRDefault="001E1112" w:rsidP="00EE0AC3">
                  <w:pPr>
                    <w:framePr w:hSpace="141" w:wrap="around" w:vAnchor="text" w:hAnchor="text" w:xAlign="right" w:y="1"/>
                    <w:numPr>
                      <w:ilvl w:val="0"/>
                      <w:numId w:val="54"/>
                    </w:numPr>
                    <w:spacing w:before="120"/>
                    <w:suppressOverlap/>
                    <w:jc w:val="both"/>
                    <w:rPr>
                      <w:sz w:val="22"/>
                      <w:szCs w:val="22"/>
                    </w:rPr>
                  </w:pPr>
                  <w:r w:rsidRPr="00317ABF">
                    <w:rPr>
                      <w:sz w:val="22"/>
                      <w:szCs w:val="22"/>
                    </w:rPr>
                    <w:t xml:space="preserve">na operatorów, w granicach tego, co jest niezbędne do zapewnienia użytkownikom końcowym dostępu do cyfrowych usług radiowych i telewizyjnych i powiązanych usług uzupełniających, określonych przez państwa członkowskie – obowiązek zapewnienia dostępu do innych </w:t>
                  </w:r>
                  <w:r w:rsidRPr="00317ABF">
                    <w:rPr>
                      <w:sz w:val="22"/>
                      <w:szCs w:val="22"/>
                    </w:rPr>
                    <w:lastRenderedPageBreak/>
                    <w:t>urządzeń, o których mowa w załączniku II część II, na sprawiedliwych, rozsądnych i niedyskryminujących warunkach.</w:t>
                  </w:r>
                </w:p>
              </w:tc>
            </w:tr>
          </w:tbl>
          <w:p w14:paraId="61506CA4" w14:textId="77777777" w:rsidR="001E1112" w:rsidRPr="00317ABF" w:rsidRDefault="001E1112" w:rsidP="00DB3BEC">
            <w:pPr>
              <w:spacing w:before="120"/>
              <w:jc w:val="both"/>
              <w:rPr>
                <w:sz w:val="22"/>
                <w:szCs w:val="22"/>
              </w:rPr>
            </w:pPr>
            <w:r w:rsidRPr="00317ABF">
              <w:rPr>
                <w:sz w:val="22"/>
                <w:szCs w:val="22"/>
              </w:rPr>
              <w:lastRenderedPageBreak/>
              <w:t>Obowiązki, o których mowa w akapicie pierwszym lit. c), mogą zostać wyłącznie nałożone:</w:t>
            </w:r>
          </w:p>
          <w:tbl>
            <w:tblPr>
              <w:tblW w:w="5000" w:type="pct"/>
              <w:tblCellSpacing w:w="0" w:type="dxa"/>
              <w:tblLayout w:type="fixed"/>
              <w:tblCellMar>
                <w:left w:w="0" w:type="dxa"/>
                <w:right w:w="0" w:type="dxa"/>
              </w:tblCellMar>
              <w:tblLook w:val="04A0" w:firstRow="1" w:lastRow="0" w:firstColumn="1" w:lastColumn="0" w:noHBand="0" w:noVBand="1"/>
            </w:tblPr>
            <w:tblGrid>
              <w:gridCol w:w="20"/>
              <w:gridCol w:w="4148"/>
            </w:tblGrid>
            <w:tr w:rsidR="001E1112" w:rsidRPr="00317ABF" w14:paraId="1EF866A1" w14:textId="77777777" w:rsidTr="001D28BB">
              <w:trPr>
                <w:tblCellSpacing w:w="0" w:type="dxa"/>
              </w:trPr>
              <w:tc>
                <w:tcPr>
                  <w:tcW w:w="6" w:type="dxa"/>
                  <w:hideMark/>
                </w:tcPr>
                <w:p w14:paraId="27A13E15" w14:textId="77777777" w:rsidR="001E1112" w:rsidRPr="00317ABF" w:rsidRDefault="001E1112" w:rsidP="00EE0AC3">
                  <w:pPr>
                    <w:framePr w:hSpace="141" w:wrap="around" w:vAnchor="text" w:hAnchor="text" w:xAlign="right" w:y="1"/>
                    <w:spacing w:before="120"/>
                    <w:suppressOverlap/>
                    <w:jc w:val="both"/>
                    <w:rPr>
                      <w:sz w:val="22"/>
                      <w:szCs w:val="22"/>
                    </w:rPr>
                  </w:pPr>
                </w:p>
              </w:tc>
              <w:tc>
                <w:tcPr>
                  <w:tcW w:w="9066" w:type="dxa"/>
                  <w:hideMark/>
                </w:tcPr>
                <w:p w14:paraId="36234591" w14:textId="77777777" w:rsidR="001E1112" w:rsidRPr="00317ABF" w:rsidRDefault="001E1112" w:rsidP="00EE0AC3">
                  <w:pPr>
                    <w:framePr w:hSpace="141" w:wrap="around" w:vAnchor="text" w:hAnchor="text" w:xAlign="right" w:y="1"/>
                    <w:numPr>
                      <w:ilvl w:val="0"/>
                      <w:numId w:val="55"/>
                    </w:numPr>
                    <w:spacing w:before="120"/>
                    <w:suppressOverlap/>
                    <w:jc w:val="both"/>
                    <w:rPr>
                      <w:sz w:val="22"/>
                      <w:szCs w:val="22"/>
                    </w:rPr>
                  </w:pPr>
                  <w:r w:rsidRPr="00317ABF">
                    <w:rPr>
                      <w:sz w:val="22"/>
                      <w:szCs w:val="22"/>
                    </w:rPr>
                    <w:t>w zakresie koniecznym do zapewnienia interoperacyjności usług łączności interpersonalnej i mogą obejmować proporcjonalne obowiązki nałożone na dostawców tych usług dotyczących publikowania i zezwalania na wykorzystanie, modyfikowanie i redystrybucję istotnych informacji przez organy i innych dostawców lub obowiązek stosowania lub wdrożenia norm lub specyfikacji wymienionych w art. 39 ust. 1 lub wszelkich innych odnośnych norm europejskich lub międzynarodowych,</w:t>
                  </w:r>
                </w:p>
              </w:tc>
            </w:tr>
          </w:tbl>
          <w:p w14:paraId="05E24249" w14:textId="77777777" w:rsidR="001E1112" w:rsidRPr="00317ABF" w:rsidRDefault="001E1112" w:rsidP="00DB3BEC">
            <w:pPr>
              <w:jc w:val="both"/>
              <w:rPr>
                <w:vanish/>
                <w:sz w:val="22"/>
                <w:szCs w:val="22"/>
              </w:rPr>
            </w:pPr>
          </w:p>
          <w:tbl>
            <w:tblPr>
              <w:tblW w:w="5000" w:type="pct"/>
              <w:tblCellSpacing w:w="0" w:type="dxa"/>
              <w:tblLayout w:type="fixed"/>
              <w:tblCellMar>
                <w:left w:w="0" w:type="dxa"/>
                <w:right w:w="0" w:type="dxa"/>
              </w:tblCellMar>
              <w:tblLook w:val="04A0" w:firstRow="1" w:lastRow="0" w:firstColumn="1" w:lastColumn="0" w:noHBand="0" w:noVBand="1"/>
            </w:tblPr>
            <w:tblGrid>
              <w:gridCol w:w="20"/>
              <w:gridCol w:w="4148"/>
            </w:tblGrid>
            <w:tr w:rsidR="001E1112" w:rsidRPr="00317ABF" w14:paraId="46B3C0A7" w14:textId="77777777" w:rsidTr="001D28BB">
              <w:trPr>
                <w:tblCellSpacing w:w="0" w:type="dxa"/>
              </w:trPr>
              <w:tc>
                <w:tcPr>
                  <w:tcW w:w="6" w:type="dxa"/>
                  <w:hideMark/>
                </w:tcPr>
                <w:p w14:paraId="5B9C5B62" w14:textId="77777777" w:rsidR="001E1112" w:rsidRPr="00317ABF" w:rsidRDefault="001E1112" w:rsidP="00EE0AC3">
                  <w:pPr>
                    <w:framePr w:hSpace="141" w:wrap="around" w:vAnchor="text" w:hAnchor="text" w:xAlign="right" w:y="1"/>
                    <w:spacing w:before="120"/>
                    <w:suppressOverlap/>
                    <w:jc w:val="both"/>
                    <w:rPr>
                      <w:sz w:val="22"/>
                      <w:szCs w:val="22"/>
                    </w:rPr>
                  </w:pPr>
                </w:p>
              </w:tc>
              <w:tc>
                <w:tcPr>
                  <w:tcW w:w="9066" w:type="dxa"/>
                  <w:hideMark/>
                </w:tcPr>
                <w:p w14:paraId="7BDB9565" w14:textId="77777777" w:rsidR="001E1112" w:rsidRPr="00317ABF" w:rsidRDefault="001E1112" w:rsidP="00EE0AC3">
                  <w:pPr>
                    <w:framePr w:hSpace="141" w:wrap="around" w:vAnchor="text" w:hAnchor="text" w:xAlign="right" w:y="1"/>
                    <w:numPr>
                      <w:ilvl w:val="0"/>
                      <w:numId w:val="55"/>
                    </w:numPr>
                    <w:spacing w:before="120"/>
                    <w:suppressOverlap/>
                    <w:jc w:val="both"/>
                    <w:rPr>
                      <w:sz w:val="22"/>
                      <w:szCs w:val="22"/>
                    </w:rPr>
                  </w:pPr>
                  <w:r w:rsidRPr="00317ABF">
                    <w:rPr>
                      <w:sz w:val="22"/>
                      <w:szCs w:val="22"/>
                    </w:rPr>
                    <w:t xml:space="preserve">w przypadku gdy Komisja – po konsultacji z BEREC i należytym uwzględnieniu jego opinii – stwierdziła istnienie znacznego zagrożenia dla łączności typu koniec–koniec między użytkownikami końcowymi na terenie całej Unii lub co najmniej trzech państw członkowskich oraz przyjęła środki wykonawcze określające charakter i zakres </w:t>
                  </w:r>
                  <w:r w:rsidRPr="00317ABF">
                    <w:rPr>
                      <w:sz w:val="22"/>
                      <w:szCs w:val="22"/>
                    </w:rPr>
                    <w:lastRenderedPageBreak/>
                    <w:t>obowiązków, które mogą zostać nałożone.</w:t>
                  </w:r>
                </w:p>
              </w:tc>
            </w:tr>
          </w:tbl>
          <w:p w14:paraId="309DBE4F" w14:textId="77777777" w:rsidR="001E1112" w:rsidRPr="00317ABF" w:rsidRDefault="001E1112" w:rsidP="00DB3BEC">
            <w:pPr>
              <w:spacing w:before="120"/>
              <w:jc w:val="both"/>
              <w:rPr>
                <w:sz w:val="22"/>
                <w:szCs w:val="22"/>
              </w:rPr>
            </w:pPr>
            <w:r w:rsidRPr="00317ABF">
              <w:rPr>
                <w:sz w:val="22"/>
                <w:szCs w:val="22"/>
              </w:rPr>
              <w:lastRenderedPageBreak/>
              <w:t>Akty wykonawcze, o których mowa akapicie drugim ppkt (ii) należy przyjąć zgodnie z procedurą sprawdzającą, o której mowa w art. 118 ust. 4.</w:t>
            </w:r>
          </w:p>
        </w:tc>
        <w:tc>
          <w:tcPr>
            <w:tcW w:w="986" w:type="dxa"/>
          </w:tcPr>
          <w:p w14:paraId="107AB52D" w14:textId="33AC17A5" w:rsidR="001E1112" w:rsidRPr="00317ABF" w:rsidRDefault="001E1112" w:rsidP="00DB3BEC">
            <w:pPr>
              <w:jc w:val="both"/>
              <w:rPr>
                <w:b/>
                <w:sz w:val="22"/>
                <w:szCs w:val="22"/>
              </w:rPr>
            </w:pPr>
            <w:r w:rsidRPr="00317ABF">
              <w:rPr>
                <w:b/>
                <w:sz w:val="22"/>
                <w:szCs w:val="22"/>
              </w:rPr>
              <w:lastRenderedPageBreak/>
              <w:t>T</w:t>
            </w:r>
          </w:p>
        </w:tc>
        <w:tc>
          <w:tcPr>
            <w:tcW w:w="910" w:type="dxa"/>
          </w:tcPr>
          <w:p w14:paraId="1A3F5045" w14:textId="2D22AB8E" w:rsidR="001E1112" w:rsidRPr="00317ABF" w:rsidRDefault="00664389" w:rsidP="00DB3BEC">
            <w:pPr>
              <w:pStyle w:val="Tekstpodstawowy"/>
              <w:rPr>
                <w:b/>
                <w:noProof/>
                <w:sz w:val="22"/>
                <w:szCs w:val="22"/>
              </w:rPr>
            </w:pPr>
            <w:r w:rsidRPr="00317ABF">
              <w:rPr>
                <w:b/>
                <w:noProof/>
                <w:sz w:val="22"/>
                <w:szCs w:val="22"/>
              </w:rPr>
              <w:t>Art. 179</w:t>
            </w:r>
            <w:r w:rsidR="001E1112" w:rsidRPr="00317ABF">
              <w:rPr>
                <w:b/>
                <w:noProof/>
                <w:sz w:val="22"/>
                <w:szCs w:val="22"/>
              </w:rPr>
              <w:t>;</w:t>
            </w:r>
          </w:p>
          <w:p w14:paraId="7A36B41D" w14:textId="6A761B71" w:rsidR="001E1112" w:rsidRPr="00317ABF" w:rsidRDefault="001E1112" w:rsidP="00DB3BEC">
            <w:pPr>
              <w:pStyle w:val="Tekstpodstawowy"/>
              <w:rPr>
                <w:b/>
                <w:noProof/>
                <w:sz w:val="22"/>
                <w:szCs w:val="22"/>
              </w:rPr>
            </w:pPr>
            <w:r w:rsidRPr="00317ABF">
              <w:rPr>
                <w:b/>
                <w:sz w:val="22"/>
                <w:szCs w:val="22"/>
              </w:rPr>
              <w:t xml:space="preserve">art. 2 pkt </w:t>
            </w:r>
            <w:r w:rsidR="00B0523F" w:rsidRPr="00317ABF">
              <w:rPr>
                <w:b/>
                <w:noProof/>
                <w:sz w:val="22"/>
                <w:szCs w:val="22"/>
              </w:rPr>
              <w:t>9</w:t>
            </w:r>
            <w:r w:rsidR="008453E1" w:rsidRPr="00317ABF">
              <w:rPr>
                <w:b/>
                <w:noProof/>
                <w:sz w:val="22"/>
                <w:szCs w:val="22"/>
              </w:rPr>
              <w:t xml:space="preserve"> i 16</w:t>
            </w:r>
          </w:p>
        </w:tc>
        <w:tc>
          <w:tcPr>
            <w:tcW w:w="6814" w:type="dxa"/>
            <w:gridSpan w:val="2"/>
          </w:tcPr>
          <w:p w14:paraId="773C2DF6" w14:textId="77777777" w:rsidR="00664389" w:rsidRPr="00317ABF" w:rsidRDefault="00664389" w:rsidP="00664389">
            <w:pPr>
              <w:pStyle w:val="ARTartustawynprozporzdzenia"/>
              <w:keepNext/>
              <w:spacing w:line="240" w:lineRule="auto"/>
              <w:ind w:firstLine="0"/>
              <w:rPr>
                <w:rFonts w:ascii="Times New Roman" w:hAnsi="Times New Roman" w:cs="Times New Roman"/>
                <w:szCs w:val="24"/>
              </w:rPr>
            </w:pPr>
            <w:r w:rsidRPr="00317ABF">
              <w:rPr>
                <w:rStyle w:val="Ppogrubienie"/>
                <w:rFonts w:ascii="Times New Roman" w:hAnsi="Times New Roman"/>
                <w:szCs w:val="24"/>
              </w:rPr>
              <w:t>Art. 179.</w:t>
            </w:r>
            <w:r w:rsidRPr="00317ABF">
              <w:rPr>
                <w:rFonts w:ascii="Times New Roman" w:hAnsi="Times New Roman" w:cs="Times New Roman"/>
                <w:szCs w:val="24"/>
              </w:rPr>
              <w:t xml:space="preserve"> 1. Prezes UKE może, w drodze decyzji, nałożyć na:</w:t>
            </w:r>
          </w:p>
          <w:p w14:paraId="5ABC3FB6" w14:textId="77777777" w:rsidR="00664389" w:rsidRPr="00317ABF" w:rsidRDefault="00664389" w:rsidP="00664389">
            <w:pPr>
              <w:pStyle w:val="PKTpunkt0"/>
              <w:keepNext/>
              <w:spacing w:line="240" w:lineRule="auto"/>
              <w:rPr>
                <w:rFonts w:ascii="Times New Roman" w:hAnsi="Times New Roman" w:cs="Times New Roman"/>
                <w:szCs w:val="24"/>
              </w:rPr>
            </w:pPr>
            <w:r w:rsidRPr="00317ABF">
              <w:rPr>
                <w:rFonts w:ascii="Times New Roman" w:hAnsi="Times New Roman" w:cs="Times New Roman"/>
                <w:szCs w:val="24"/>
              </w:rPr>
              <w:t>1)</w:t>
            </w:r>
            <w:r w:rsidRPr="00317ABF">
              <w:rPr>
                <w:rFonts w:ascii="Times New Roman" w:hAnsi="Times New Roman" w:cs="Times New Roman"/>
                <w:szCs w:val="24"/>
              </w:rPr>
              <w:tab/>
              <w:t>przedsiębiorcę telekomunikacyjnego - obowiązki niezbędne dla zapewnienia łączności z użytkownikiem końcowym, w tym:</w:t>
            </w:r>
          </w:p>
          <w:p w14:paraId="02E50103" w14:textId="77777777" w:rsidR="00664389" w:rsidRPr="00317ABF" w:rsidRDefault="00664389" w:rsidP="00664389">
            <w:pPr>
              <w:pStyle w:val="LITlitera"/>
              <w:spacing w:line="240" w:lineRule="auto"/>
              <w:rPr>
                <w:rFonts w:ascii="Times New Roman" w:hAnsi="Times New Roman" w:cs="Times New Roman"/>
                <w:szCs w:val="24"/>
              </w:rPr>
            </w:pPr>
            <w:r w:rsidRPr="00317ABF">
              <w:rPr>
                <w:rFonts w:ascii="Times New Roman" w:hAnsi="Times New Roman" w:cs="Times New Roman"/>
                <w:szCs w:val="24"/>
              </w:rPr>
              <w:t xml:space="preserve">a) </w:t>
            </w:r>
            <w:r w:rsidRPr="00317ABF">
              <w:rPr>
                <w:rFonts w:ascii="Times New Roman" w:hAnsi="Times New Roman" w:cs="Times New Roman"/>
                <w:szCs w:val="24"/>
              </w:rPr>
              <w:tab/>
              <w:t>obowiązek połączenia sieci, jeżeli takie połączenie nie zostało jeszcze zrealizowane, oraz</w:t>
            </w:r>
          </w:p>
          <w:p w14:paraId="2664860A" w14:textId="77777777" w:rsidR="00664389" w:rsidRPr="00317ABF" w:rsidRDefault="00664389" w:rsidP="00664389">
            <w:pPr>
              <w:pStyle w:val="LITlitera"/>
              <w:spacing w:line="240" w:lineRule="auto"/>
              <w:rPr>
                <w:rFonts w:ascii="Times New Roman" w:hAnsi="Times New Roman" w:cs="Times New Roman"/>
                <w:szCs w:val="24"/>
              </w:rPr>
            </w:pPr>
            <w:r w:rsidRPr="00317ABF">
              <w:rPr>
                <w:rFonts w:ascii="Times New Roman" w:hAnsi="Times New Roman" w:cs="Times New Roman"/>
                <w:szCs w:val="24"/>
              </w:rPr>
              <w:t xml:space="preserve">b) </w:t>
            </w:r>
            <w:r w:rsidRPr="00317ABF">
              <w:rPr>
                <w:rFonts w:ascii="Times New Roman" w:hAnsi="Times New Roman" w:cs="Times New Roman"/>
                <w:szCs w:val="24"/>
              </w:rPr>
              <w:tab/>
              <w:t>obowiązek zapewnienia interoperacyjności usług;</w:t>
            </w:r>
          </w:p>
          <w:p w14:paraId="7976FF14" w14:textId="77777777" w:rsidR="00664389" w:rsidRPr="00317ABF" w:rsidRDefault="00664389" w:rsidP="00664389">
            <w:pPr>
              <w:pStyle w:val="PKTpunkt0"/>
              <w:spacing w:line="240" w:lineRule="auto"/>
              <w:rPr>
                <w:rFonts w:ascii="Times New Roman" w:hAnsi="Times New Roman" w:cs="Times New Roman"/>
                <w:szCs w:val="24"/>
              </w:rPr>
            </w:pPr>
            <w:r w:rsidRPr="00317ABF">
              <w:rPr>
                <w:rFonts w:ascii="Times New Roman" w:hAnsi="Times New Roman" w:cs="Times New Roman"/>
                <w:szCs w:val="24"/>
              </w:rPr>
              <w:t>2)</w:t>
            </w:r>
            <w:r w:rsidRPr="00317ABF">
              <w:rPr>
                <w:rFonts w:ascii="Times New Roman" w:hAnsi="Times New Roman" w:cs="Times New Roman"/>
                <w:szCs w:val="24"/>
              </w:rPr>
              <w:tab/>
              <w:t>operatora - obowiązki zapewnienia dostępu do: interfejsu programistycznego aplikacji oraz elektronicznego przewodnika po programach, o ile jest to niezbędne dla korzystania przez użytkowników końcowych z cyfrowych usług radiowych i telewizyjnych oraz związanych z tymi usługami udogodnień, które służą zapewnieniu możliwości zapoznania się z treścią przez osoby z niepełnosprawnościami.</w:t>
            </w:r>
          </w:p>
          <w:p w14:paraId="6524A41D" w14:textId="77777777" w:rsidR="00664389" w:rsidRPr="00317ABF" w:rsidRDefault="00664389" w:rsidP="00664389">
            <w:pPr>
              <w:pStyle w:val="USTustnpkodeksu"/>
              <w:spacing w:line="240" w:lineRule="auto"/>
              <w:rPr>
                <w:rFonts w:ascii="Times New Roman" w:hAnsi="Times New Roman" w:cs="Times New Roman"/>
                <w:szCs w:val="24"/>
              </w:rPr>
            </w:pPr>
            <w:r w:rsidRPr="00317ABF">
              <w:rPr>
                <w:rFonts w:ascii="Times New Roman" w:hAnsi="Times New Roman" w:cs="Times New Roman"/>
                <w:szCs w:val="24"/>
              </w:rPr>
              <w:t xml:space="preserve">2. Prezes UKE może nałożyć obowiązek, o którym mowa w ust. 1 pkt 1 lit. b, na podmiot świadczący usługi komunikacji interpersonalnej niewykorzystującej numerów, które osiągnęły </w:t>
            </w:r>
            <w:r w:rsidRPr="00317ABF">
              <w:rPr>
                <w:rFonts w:ascii="Times New Roman" w:hAnsi="Times New Roman" w:cs="Times New Roman"/>
                <w:szCs w:val="24"/>
              </w:rPr>
              <w:lastRenderedPageBreak/>
              <w:t>znaczny poziom zasięgu i upowszechnienia wśród użytkowników, wyłącznie w sytuacji, gdy możliwość komunikowania się między użytkownikami końcowymi jest zagrożona ze względu na brak interoperacyjności między usługami komunikacji interpersonalnej oraz takie zagrożenie zostało stwierdzone przez Komisję Europejską.</w:t>
            </w:r>
          </w:p>
          <w:p w14:paraId="49B8E47F" w14:textId="77777777" w:rsidR="00664389" w:rsidRPr="00317ABF" w:rsidRDefault="00664389" w:rsidP="00664389">
            <w:pPr>
              <w:pStyle w:val="USTustnpkodeksu"/>
              <w:spacing w:line="240" w:lineRule="auto"/>
              <w:rPr>
                <w:rFonts w:ascii="Times New Roman" w:hAnsi="Times New Roman" w:cs="Times New Roman"/>
                <w:szCs w:val="24"/>
              </w:rPr>
            </w:pPr>
            <w:r w:rsidRPr="00317ABF">
              <w:rPr>
                <w:rFonts w:ascii="Times New Roman" w:hAnsi="Times New Roman" w:cs="Times New Roman"/>
                <w:szCs w:val="24"/>
              </w:rPr>
              <w:t>3. W przypadku, o którym mowa w ust. 2, charakter i zakres obowiązku, który może zostać nałożony, wynika ze środków wykonawczych Komisji Europejskiej, przyjętych na podstawie art. 61 ust. 2 ppkt (ii) EKŁE.</w:t>
            </w:r>
          </w:p>
          <w:p w14:paraId="5522AE8F" w14:textId="77777777" w:rsidR="00664389" w:rsidRPr="00317ABF" w:rsidRDefault="00664389" w:rsidP="00664389">
            <w:pPr>
              <w:pStyle w:val="USTustnpkodeksu"/>
              <w:spacing w:line="240" w:lineRule="auto"/>
              <w:rPr>
                <w:rFonts w:ascii="Times New Roman" w:hAnsi="Times New Roman" w:cs="Times New Roman"/>
                <w:szCs w:val="24"/>
              </w:rPr>
            </w:pPr>
            <w:r w:rsidRPr="00317ABF">
              <w:rPr>
                <w:rFonts w:ascii="Times New Roman" w:hAnsi="Times New Roman" w:cs="Times New Roman"/>
                <w:szCs w:val="24"/>
              </w:rPr>
              <w:t>4. Udogodnienia, o których mowa w ust. 1 pkt 2, stanowią w szczególności:</w:t>
            </w:r>
          </w:p>
          <w:p w14:paraId="2E8F764C" w14:textId="77777777" w:rsidR="00664389" w:rsidRPr="00317ABF" w:rsidRDefault="00664389" w:rsidP="00664389">
            <w:pPr>
              <w:pStyle w:val="PKTpunkt0"/>
              <w:spacing w:line="240" w:lineRule="auto"/>
              <w:rPr>
                <w:rFonts w:ascii="Times New Roman" w:hAnsi="Times New Roman" w:cs="Times New Roman"/>
                <w:szCs w:val="24"/>
              </w:rPr>
            </w:pPr>
            <w:r w:rsidRPr="00317ABF">
              <w:rPr>
                <w:rFonts w:ascii="Times New Roman" w:hAnsi="Times New Roman" w:cs="Times New Roman"/>
                <w:szCs w:val="24"/>
              </w:rPr>
              <w:t xml:space="preserve">1) </w:t>
            </w:r>
            <w:r w:rsidRPr="00317ABF">
              <w:rPr>
                <w:rFonts w:ascii="Times New Roman" w:hAnsi="Times New Roman" w:cs="Times New Roman"/>
                <w:szCs w:val="24"/>
              </w:rPr>
              <w:tab/>
              <w:t>napisy dla niesłyszących,</w:t>
            </w:r>
          </w:p>
          <w:p w14:paraId="50BA0CFD" w14:textId="77777777" w:rsidR="00664389" w:rsidRPr="00317ABF" w:rsidRDefault="00664389" w:rsidP="00664389">
            <w:pPr>
              <w:pStyle w:val="PKTpunkt0"/>
              <w:spacing w:line="240" w:lineRule="auto"/>
              <w:rPr>
                <w:rFonts w:ascii="Times New Roman" w:hAnsi="Times New Roman" w:cs="Times New Roman"/>
                <w:szCs w:val="24"/>
              </w:rPr>
            </w:pPr>
            <w:r w:rsidRPr="00317ABF">
              <w:rPr>
                <w:rFonts w:ascii="Times New Roman" w:hAnsi="Times New Roman" w:cs="Times New Roman"/>
                <w:szCs w:val="24"/>
              </w:rPr>
              <w:t xml:space="preserve">2) </w:t>
            </w:r>
            <w:r w:rsidRPr="00317ABF">
              <w:rPr>
                <w:rFonts w:ascii="Times New Roman" w:hAnsi="Times New Roman" w:cs="Times New Roman"/>
                <w:szCs w:val="24"/>
              </w:rPr>
              <w:tab/>
              <w:t>audiodeskrypcja,</w:t>
            </w:r>
          </w:p>
          <w:p w14:paraId="0C91156A" w14:textId="77777777" w:rsidR="00664389" w:rsidRPr="00317ABF" w:rsidRDefault="00664389" w:rsidP="00664389">
            <w:pPr>
              <w:pStyle w:val="PKTpunkt0"/>
              <w:spacing w:line="240" w:lineRule="auto"/>
              <w:rPr>
                <w:rFonts w:ascii="Times New Roman" w:hAnsi="Times New Roman" w:cs="Times New Roman"/>
                <w:szCs w:val="24"/>
              </w:rPr>
            </w:pPr>
            <w:r w:rsidRPr="00317ABF">
              <w:rPr>
                <w:rFonts w:ascii="Times New Roman" w:hAnsi="Times New Roman" w:cs="Times New Roman"/>
                <w:szCs w:val="24"/>
              </w:rPr>
              <w:t xml:space="preserve">3) </w:t>
            </w:r>
            <w:r w:rsidRPr="00317ABF">
              <w:rPr>
                <w:rFonts w:ascii="Times New Roman" w:hAnsi="Times New Roman" w:cs="Times New Roman"/>
                <w:szCs w:val="24"/>
              </w:rPr>
              <w:tab/>
              <w:t>tłumaczenie na język migowy.</w:t>
            </w:r>
          </w:p>
          <w:p w14:paraId="653D562E" w14:textId="377E3090" w:rsidR="001E1112" w:rsidRPr="00317ABF" w:rsidRDefault="001E1112" w:rsidP="00DB3BEC">
            <w:pPr>
              <w:jc w:val="both"/>
              <w:rPr>
                <w:sz w:val="22"/>
                <w:szCs w:val="22"/>
              </w:rPr>
            </w:pPr>
          </w:p>
          <w:p w14:paraId="61CEE64A" w14:textId="2D9A8F31" w:rsidR="001E1112" w:rsidRPr="00317ABF" w:rsidRDefault="001E1112" w:rsidP="008453E1">
            <w:pPr>
              <w:pStyle w:val="PKTpunkt0"/>
              <w:spacing w:line="240" w:lineRule="auto"/>
              <w:rPr>
                <w:rFonts w:ascii="Times New Roman" w:hAnsi="Times New Roman" w:cs="Times New Roman"/>
                <w:b/>
                <w:szCs w:val="24"/>
              </w:rPr>
            </w:pPr>
            <w:r w:rsidRPr="00317ABF">
              <w:rPr>
                <w:rFonts w:ascii="Times New Roman" w:hAnsi="Times New Roman" w:cs="Times New Roman"/>
                <w:b/>
                <w:szCs w:val="24"/>
              </w:rPr>
              <w:t>Art. 2</w:t>
            </w:r>
          </w:p>
          <w:p w14:paraId="5007A706" w14:textId="77777777" w:rsidR="001E1112" w:rsidRPr="00317ABF" w:rsidRDefault="00664389" w:rsidP="008453E1">
            <w:pPr>
              <w:pStyle w:val="PKTpunkt0"/>
              <w:spacing w:line="240" w:lineRule="auto"/>
              <w:rPr>
                <w:rFonts w:ascii="Times New Roman" w:hAnsi="Times New Roman" w:cs="Times New Roman"/>
                <w:szCs w:val="24"/>
              </w:rPr>
            </w:pPr>
            <w:r w:rsidRPr="00317ABF">
              <w:rPr>
                <w:rFonts w:ascii="Times New Roman" w:hAnsi="Times New Roman" w:cs="Times New Roman"/>
                <w:szCs w:val="24"/>
              </w:rPr>
              <w:t xml:space="preserve">9) </w:t>
            </w:r>
            <w:r w:rsidR="001E1112" w:rsidRPr="00317ABF">
              <w:rPr>
                <w:rFonts w:ascii="Times New Roman" w:hAnsi="Times New Roman" w:cs="Times New Roman"/>
                <w:szCs w:val="24"/>
              </w:rPr>
              <w:t xml:space="preserve">elektroniczny przewodnik po programach </w:t>
            </w:r>
            <w:r w:rsidR="001E1112" w:rsidRPr="00317ABF">
              <w:rPr>
                <w:rFonts w:ascii="Times New Roman" w:hAnsi="Times New Roman" w:cs="Times New Roman"/>
                <w:szCs w:val="24"/>
              </w:rPr>
              <w:softHyphen/>
              <w:t>– środek lub rozwiązanie techniczne umożliwiające wybór programów, stosowane w systemach telewizji cyfrowej, zawierające dodatkowe dane opisujące programy występujące w cyfrowym sygnale telewizyjnym;</w:t>
            </w:r>
          </w:p>
          <w:p w14:paraId="50209C03" w14:textId="77777777" w:rsidR="008453E1" w:rsidRPr="00317ABF" w:rsidRDefault="008453E1" w:rsidP="008453E1">
            <w:pPr>
              <w:pStyle w:val="PKTpunkt0"/>
              <w:spacing w:line="240" w:lineRule="auto"/>
              <w:rPr>
                <w:rFonts w:ascii="Times New Roman" w:hAnsi="Times New Roman" w:cs="Times New Roman"/>
                <w:szCs w:val="24"/>
              </w:rPr>
            </w:pPr>
          </w:p>
          <w:p w14:paraId="4E8AFDFA" w14:textId="77777777" w:rsidR="008453E1" w:rsidRPr="00317ABF" w:rsidRDefault="008453E1" w:rsidP="008453E1">
            <w:pPr>
              <w:pStyle w:val="PKTpunkt0"/>
              <w:spacing w:line="240" w:lineRule="auto"/>
              <w:rPr>
                <w:rFonts w:ascii="Times New Roman" w:hAnsi="Times New Roman" w:cs="Times New Roman"/>
                <w:szCs w:val="24"/>
              </w:rPr>
            </w:pPr>
            <w:r w:rsidRPr="00317ABF">
              <w:rPr>
                <w:rFonts w:ascii="Times New Roman" w:hAnsi="Times New Roman" w:cs="Times New Roman"/>
                <w:szCs w:val="24"/>
              </w:rPr>
              <w:t>16)</w:t>
            </w:r>
            <w:r w:rsidRPr="00317ABF">
              <w:rPr>
                <w:rFonts w:ascii="Times New Roman" w:hAnsi="Times New Roman" w:cs="Times New Roman"/>
                <w:szCs w:val="24"/>
              </w:rPr>
              <w:tab/>
              <w:t>interoperacyjność usług – zdolność sieci telekomunikacyjnych oraz odbiorników sygnału telewizyjnego i odbiorników radiofonii cyfrowej, a także aplikacji do efektywnej współpracy w celu zapewnienia wzajemnego dostępu użytkowników do usług za ich pomocą świadczonych;</w:t>
            </w:r>
          </w:p>
          <w:p w14:paraId="7F19D049" w14:textId="5297AA28" w:rsidR="008453E1" w:rsidRPr="00317ABF" w:rsidRDefault="008453E1" w:rsidP="00DB3BEC">
            <w:pPr>
              <w:jc w:val="both"/>
              <w:rPr>
                <w:sz w:val="22"/>
                <w:szCs w:val="22"/>
              </w:rPr>
            </w:pPr>
          </w:p>
        </w:tc>
      </w:tr>
      <w:tr w:rsidR="001E1112" w:rsidRPr="00317ABF" w14:paraId="35A74DBF" w14:textId="77777777" w:rsidTr="7753F98D">
        <w:trPr>
          <w:gridAfter w:val="2"/>
          <w:wAfter w:w="175" w:type="dxa"/>
        </w:trPr>
        <w:tc>
          <w:tcPr>
            <w:tcW w:w="704" w:type="dxa"/>
          </w:tcPr>
          <w:p w14:paraId="6D8EEB1F" w14:textId="77777777" w:rsidR="001E1112" w:rsidRPr="00317ABF" w:rsidRDefault="001E1112" w:rsidP="00DB3BEC">
            <w:pPr>
              <w:jc w:val="both"/>
              <w:rPr>
                <w:sz w:val="22"/>
                <w:szCs w:val="22"/>
              </w:rPr>
            </w:pPr>
            <w:r w:rsidRPr="00317ABF">
              <w:rPr>
                <w:sz w:val="22"/>
                <w:szCs w:val="22"/>
              </w:rPr>
              <w:lastRenderedPageBreak/>
              <w:t>Art. 61 ust. 3</w:t>
            </w:r>
          </w:p>
        </w:tc>
        <w:tc>
          <w:tcPr>
            <w:tcW w:w="4308" w:type="dxa"/>
          </w:tcPr>
          <w:p w14:paraId="2F538279" w14:textId="77777777" w:rsidR="001E1112" w:rsidRPr="00317ABF" w:rsidRDefault="001E1112" w:rsidP="00DB3BEC">
            <w:pPr>
              <w:spacing w:before="120"/>
              <w:jc w:val="both"/>
              <w:rPr>
                <w:sz w:val="22"/>
                <w:szCs w:val="22"/>
              </w:rPr>
            </w:pPr>
            <w:r w:rsidRPr="00317ABF">
              <w:rPr>
                <w:sz w:val="22"/>
                <w:szCs w:val="22"/>
              </w:rPr>
              <w:t>3.   W szczególności i bez uszczerbku dla ust. 1 i ust. 2 krajowe organy regulacyjne mogą – na uzasadniony wniosek – nakładać obowiązki udzielenia dostępu do okablowania i przewodów oraz urządzeń towarzyszących wewnątrz budynków lub na odcinku do pierwszego punktu koncentracji lub dystrybucji określonego przez krajowy organ regulacyjny, jeżeli punkt ten znajduje się poza budynkiem. Jeżeli powielenie takich elementów sieci byłoby ekonomicznie nieefektywne lub fizycznie niewykonalne, obowiązki w tym zakresie mogą zostać nałożone na dostawców sieci łączności elektronicznej lub na właścicieli takiego okablowania i przewodów oraz urządzeń towarzyszących, którzy nie są dostawcami sieci łączności elektronicznej. Nałożone warunki dostępu mogą obejmować szczegółowe zasady dotyczące dostępu do takich elementów sieci oraz do urządzeń towarzyszących i usług towarzyszących, przejrzystości i niedyskryminacji oraz zasady podziału kosztów dostępu, które w odpowiednich przypadkach powinny uwzględniać czynniki ryzyka.</w:t>
            </w:r>
          </w:p>
          <w:p w14:paraId="4BA9416E" w14:textId="77777777" w:rsidR="001E1112" w:rsidRPr="00317ABF" w:rsidRDefault="001E1112" w:rsidP="00DB3BEC">
            <w:pPr>
              <w:spacing w:before="120"/>
              <w:jc w:val="both"/>
              <w:rPr>
                <w:sz w:val="22"/>
                <w:szCs w:val="22"/>
              </w:rPr>
            </w:pPr>
            <w:r w:rsidRPr="00317ABF">
              <w:rPr>
                <w:sz w:val="22"/>
                <w:szCs w:val="22"/>
              </w:rPr>
              <w:t xml:space="preserve">W przypadku gdy krajowy organ regulacyjny stwierdzi, po uwzględnieniu, w stosownych przypadkach, obowiązków wynikających z jakiejkolwiek analizy rynku właściwego, że obowiązki nałożone zgodnie z akapitem </w:t>
            </w:r>
            <w:r w:rsidRPr="00317ABF">
              <w:rPr>
                <w:sz w:val="22"/>
                <w:szCs w:val="22"/>
              </w:rPr>
              <w:lastRenderedPageBreak/>
              <w:t>pierwszym w niewystarczającym stopniu przyczynią się do usunięcia wysokich i stałych ekonomicznych lub fizycznych barier dla powielenia, które leżą u podstaw istniejącej lub rozwijającej się na rynku sytuacji ograniczającej korzyści wynikające z konkurencji dla użytkowników końcowych, to może – na uczciwych i rozsądnych warunkach – rozszerzyć obowiązek zapewnienia dostępu o elementy sieci poza pierwszym punktem koncentracji lub dystrybucji, ale wyłącznie do punktu, który uzna za najbliższy użytkowników końcowych i jednocześnie umożliwiający obsługę takiej liczby zakończeń sieci, aby dla efektywnego wnioskodawcy ubieganie się o dostęp było ekonomicznie uzasadnione. Określając zakres rozszerzenia poza pierwszy punkt koncentracji lub dystrybucji, krajowy organ regulacyjny w jak największym stopniu uwzględnia odpowiednie wytyczne BEREC. Jeżeli jest to uzasadnione ze względów technicznych lub ekonomicznych, krajowe organy regulacyjne mogą nałożyć obowiązki dotyczące aktywnego lub wirtualnego dostępu.</w:t>
            </w:r>
          </w:p>
          <w:p w14:paraId="46569BEF" w14:textId="77777777" w:rsidR="001E1112" w:rsidRPr="00317ABF" w:rsidRDefault="001E1112" w:rsidP="00DB3BEC">
            <w:pPr>
              <w:spacing w:before="120"/>
              <w:jc w:val="both"/>
              <w:rPr>
                <w:sz w:val="22"/>
                <w:szCs w:val="22"/>
              </w:rPr>
            </w:pPr>
            <w:r w:rsidRPr="00317ABF">
              <w:rPr>
                <w:sz w:val="22"/>
                <w:szCs w:val="22"/>
              </w:rPr>
              <w:t>Krajowe organy regulacyjne nie nakładają na dostawców sieci łączności elektronicznej obowiązków zgodnie z akapitem drugim, w przypadku gdy stwierdzą, że:</w:t>
            </w:r>
          </w:p>
          <w:tbl>
            <w:tblPr>
              <w:tblW w:w="5000" w:type="pct"/>
              <w:tblCellSpacing w:w="0" w:type="dxa"/>
              <w:tblLayout w:type="fixed"/>
              <w:tblCellMar>
                <w:left w:w="0" w:type="dxa"/>
                <w:right w:w="0" w:type="dxa"/>
              </w:tblCellMar>
              <w:tblLook w:val="04A0" w:firstRow="1" w:lastRow="0" w:firstColumn="1" w:lastColumn="0" w:noHBand="0" w:noVBand="1"/>
            </w:tblPr>
            <w:tblGrid>
              <w:gridCol w:w="20"/>
              <w:gridCol w:w="4148"/>
            </w:tblGrid>
            <w:tr w:rsidR="001E1112" w:rsidRPr="00317ABF" w14:paraId="67F1463A" w14:textId="77777777" w:rsidTr="001D28BB">
              <w:trPr>
                <w:tblCellSpacing w:w="0" w:type="dxa"/>
              </w:trPr>
              <w:tc>
                <w:tcPr>
                  <w:tcW w:w="6" w:type="dxa"/>
                  <w:hideMark/>
                </w:tcPr>
                <w:p w14:paraId="1C8D4B1A" w14:textId="77777777" w:rsidR="001E1112" w:rsidRPr="00317ABF" w:rsidRDefault="001E1112" w:rsidP="00EE0AC3">
                  <w:pPr>
                    <w:framePr w:hSpace="141" w:wrap="around" w:vAnchor="text" w:hAnchor="text" w:xAlign="right" w:y="1"/>
                    <w:spacing w:before="120"/>
                    <w:suppressOverlap/>
                    <w:jc w:val="both"/>
                    <w:rPr>
                      <w:sz w:val="22"/>
                      <w:szCs w:val="22"/>
                    </w:rPr>
                  </w:pPr>
                </w:p>
              </w:tc>
              <w:tc>
                <w:tcPr>
                  <w:tcW w:w="9066" w:type="dxa"/>
                  <w:hideMark/>
                </w:tcPr>
                <w:p w14:paraId="2486B11F" w14:textId="77777777" w:rsidR="001E1112" w:rsidRPr="00317ABF" w:rsidRDefault="001E1112" w:rsidP="00EE0AC3">
                  <w:pPr>
                    <w:framePr w:hSpace="141" w:wrap="around" w:vAnchor="text" w:hAnchor="text" w:xAlign="right" w:y="1"/>
                    <w:numPr>
                      <w:ilvl w:val="0"/>
                      <w:numId w:val="52"/>
                    </w:numPr>
                    <w:spacing w:before="120"/>
                    <w:suppressOverlap/>
                    <w:jc w:val="both"/>
                    <w:rPr>
                      <w:sz w:val="22"/>
                      <w:szCs w:val="22"/>
                    </w:rPr>
                  </w:pPr>
                  <w:r w:rsidRPr="00317ABF">
                    <w:rPr>
                      <w:sz w:val="22"/>
                      <w:szCs w:val="22"/>
                    </w:rPr>
                    <w:t xml:space="preserve">dostawca spełnia kryteria wymienione w art. 80 ust. 1 oraz zapewnia na uczciwych, niedyskryminacyjnych i rozsądnych warunkach realny i podobny alternatywny sposób docierania do użytkowników końcowych poprzez świadczenie dostępu do sieci o bardzo dużej przepustowości, każdemu </w:t>
                  </w:r>
                  <w:r w:rsidRPr="00317ABF">
                    <w:rPr>
                      <w:sz w:val="22"/>
                      <w:szCs w:val="22"/>
                    </w:rPr>
                    <w:lastRenderedPageBreak/>
                    <w:t>przedsiębiorcy, na uczciwych, niedyskryminujących i rozsądnych warunkach. Krajowe organy regulacyjne mogą rozszerzyć zakres tego wyłączenia na innych dostawców oferujących dostęp do sieci o bardzo dużej przepustowości na uczciwych, niedyskryminacyjnych i racjonalnych warunkach; lub</w:t>
                  </w:r>
                </w:p>
              </w:tc>
            </w:tr>
          </w:tbl>
          <w:p w14:paraId="61A8D000" w14:textId="77777777" w:rsidR="001E1112" w:rsidRPr="00317ABF" w:rsidRDefault="001E1112" w:rsidP="00DB3BEC">
            <w:pPr>
              <w:jc w:val="both"/>
              <w:rPr>
                <w:vanish/>
                <w:sz w:val="22"/>
                <w:szCs w:val="22"/>
              </w:rPr>
            </w:pPr>
          </w:p>
          <w:tbl>
            <w:tblPr>
              <w:tblW w:w="5000" w:type="pct"/>
              <w:tblCellSpacing w:w="0" w:type="dxa"/>
              <w:tblLayout w:type="fixed"/>
              <w:tblCellMar>
                <w:left w:w="0" w:type="dxa"/>
                <w:right w:w="0" w:type="dxa"/>
              </w:tblCellMar>
              <w:tblLook w:val="04A0" w:firstRow="1" w:lastRow="0" w:firstColumn="1" w:lastColumn="0" w:noHBand="0" w:noVBand="1"/>
            </w:tblPr>
            <w:tblGrid>
              <w:gridCol w:w="20"/>
              <w:gridCol w:w="4148"/>
            </w:tblGrid>
            <w:tr w:rsidR="001E1112" w:rsidRPr="00317ABF" w14:paraId="3B3858F9" w14:textId="77777777" w:rsidTr="001D28BB">
              <w:trPr>
                <w:tblCellSpacing w:w="0" w:type="dxa"/>
              </w:trPr>
              <w:tc>
                <w:tcPr>
                  <w:tcW w:w="6" w:type="dxa"/>
                  <w:hideMark/>
                </w:tcPr>
                <w:p w14:paraId="0D49AEF8" w14:textId="77777777" w:rsidR="001E1112" w:rsidRPr="00317ABF" w:rsidRDefault="001E1112" w:rsidP="00EE0AC3">
                  <w:pPr>
                    <w:framePr w:hSpace="141" w:wrap="around" w:vAnchor="text" w:hAnchor="text" w:xAlign="right" w:y="1"/>
                    <w:spacing w:before="120"/>
                    <w:suppressOverlap/>
                    <w:jc w:val="both"/>
                    <w:rPr>
                      <w:sz w:val="22"/>
                      <w:szCs w:val="22"/>
                    </w:rPr>
                  </w:pPr>
                </w:p>
              </w:tc>
              <w:tc>
                <w:tcPr>
                  <w:tcW w:w="9066" w:type="dxa"/>
                  <w:hideMark/>
                </w:tcPr>
                <w:p w14:paraId="332D6DA9" w14:textId="77777777" w:rsidR="001E1112" w:rsidRPr="00317ABF" w:rsidRDefault="001E1112" w:rsidP="00EE0AC3">
                  <w:pPr>
                    <w:framePr w:hSpace="141" w:wrap="around" w:vAnchor="text" w:hAnchor="text" w:xAlign="right" w:y="1"/>
                    <w:numPr>
                      <w:ilvl w:val="0"/>
                      <w:numId w:val="52"/>
                    </w:numPr>
                    <w:spacing w:before="120"/>
                    <w:suppressOverlap/>
                    <w:jc w:val="both"/>
                    <w:rPr>
                      <w:sz w:val="22"/>
                      <w:szCs w:val="22"/>
                    </w:rPr>
                  </w:pPr>
                  <w:r w:rsidRPr="00317ABF">
                    <w:rPr>
                      <w:sz w:val="22"/>
                      <w:szCs w:val="22"/>
                    </w:rPr>
                    <w:t>nałożenie obowiązków podważyłoby zasadność realizacji nowej sieci z ekonomicznego lub finansowego punktu widzenia, w szczególności przez mniejsze lokalne projekty.</w:t>
                  </w:r>
                </w:p>
              </w:tc>
            </w:tr>
          </w:tbl>
          <w:p w14:paraId="7F7DED58" w14:textId="77777777" w:rsidR="001E1112" w:rsidRPr="00317ABF" w:rsidRDefault="001E1112" w:rsidP="00DB3BEC">
            <w:pPr>
              <w:spacing w:before="120"/>
              <w:jc w:val="both"/>
              <w:rPr>
                <w:sz w:val="22"/>
                <w:szCs w:val="22"/>
              </w:rPr>
            </w:pPr>
            <w:r w:rsidRPr="00317ABF">
              <w:rPr>
                <w:sz w:val="22"/>
                <w:szCs w:val="22"/>
              </w:rPr>
              <w:t>Na zasadzie odstępstwa od lit. a) akapitu trzeciego krajowe organy regulacyjne mogą nakładać obowiązki na dostawców sieci łączności elektronicznej spełniające kryteria określone w lit. a), w przypadku gdy dana sieć jest finansowana ze środków publicznych.</w:t>
            </w:r>
          </w:p>
          <w:p w14:paraId="5CBB4833" w14:textId="77777777" w:rsidR="001E1112" w:rsidRPr="00317ABF" w:rsidRDefault="001E1112" w:rsidP="00DB3BEC">
            <w:pPr>
              <w:spacing w:before="120"/>
              <w:jc w:val="both"/>
              <w:rPr>
                <w:sz w:val="22"/>
                <w:szCs w:val="22"/>
              </w:rPr>
            </w:pPr>
            <w:r w:rsidRPr="00317ABF">
              <w:rPr>
                <w:sz w:val="22"/>
                <w:szCs w:val="22"/>
              </w:rPr>
              <w:t>Do dnia 21 grudnia 2020 r. BEREC publikuje wytyczne w celu wspierania spójnego stosowania niniejszego ustępu, określając odpowiednie kryteria służące określeniu:</w:t>
            </w:r>
          </w:p>
          <w:tbl>
            <w:tblPr>
              <w:tblW w:w="5000" w:type="pct"/>
              <w:tblCellSpacing w:w="0" w:type="dxa"/>
              <w:tblLayout w:type="fixed"/>
              <w:tblCellMar>
                <w:left w:w="0" w:type="dxa"/>
                <w:right w:w="0" w:type="dxa"/>
              </w:tblCellMar>
              <w:tblLook w:val="04A0" w:firstRow="1" w:lastRow="0" w:firstColumn="1" w:lastColumn="0" w:noHBand="0" w:noVBand="1"/>
            </w:tblPr>
            <w:tblGrid>
              <w:gridCol w:w="20"/>
              <w:gridCol w:w="4148"/>
            </w:tblGrid>
            <w:tr w:rsidR="001E1112" w:rsidRPr="00317ABF" w14:paraId="3D68E304" w14:textId="77777777" w:rsidTr="001D28BB">
              <w:trPr>
                <w:tblCellSpacing w:w="0" w:type="dxa"/>
              </w:trPr>
              <w:tc>
                <w:tcPr>
                  <w:tcW w:w="12" w:type="dxa"/>
                  <w:hideMark/>
                </w:tcPr>
                <w:p w14:paraId="321EA2F1" w14:textId="77777777" w:rsidR="001E1112" w:rsidRPr="00317ABF" w:rsidRDefault="001E1112" w:rsidP="00EE0AC3">
                  <w:pPr>
                    <w:framePr w:hSpace="141" w:wrap="around" w:vAnchor="text" w:hAnchor="text" w:xAlign="right" w:y="1"/>
                    <w:spacing w:before="120"/>
                    <w:suppressOverlap/>
                    <w:jc w:val="both"/>
                    <w:rPr>
                      <w:sz w:val="22"/>
                      <w:szCs w:val="22"/>
                    </w:rPr>
                  </w:pPr>
                </w:p>
              </w:tc>
              <w:tc>
                <w:tcPr>
                  <w:tcW w:w="9060" w:type="dxa"/>
                  <w:hideMark/>
                </w:tcPr>
                <w:p w14:paraId="408AA340" w14:textId="77777777" w:rsidR="001E1112" w:rsidRPr="00317ABF" w:rsidRDefault="001E1112" w:rsidP="00EE0AC3">
                  <w:pPr>
                    <w:framePr w:hSpace="141" w:wrap="around" w:vAnchor="text" w:hAnchor="text" w:xAlign="right" w:y="1"/>
                    <w:numPr>
                      <w:ilvl w:val="0"/>
                      <w:numId w:val="53"/>
                    </w:numPr>
                    <w:spacing w:before="120"/>
                    <w:suppressOverlap/>
                    <w:jc w:val="both"/>
                    <w:rPr>
                      <w:sz w:val="22"/>
                      <w:szCs w:val="22"/>
                    </w:rPr>
                  </w:pPr>
                  <w:r w:rsidRPr="00317ABF">
                    <w:rPr>
                      <w:sz w:val="22"/>
                      <w:szCs w:val="22"/>
                    </w:rPr>
                    <w:t>pierwszego punktu koncentracji lub dystrybucji;</w:t>
                  </w:r>
                </w:p>
              </w:tc>
            </w:tr>
          </w:tbl>
          <w:p w14:paraId="57BB3396" w14:textId="77777777" w:rsidR="001E1112" w:rsidRPr="00317ABF" w:rsidRDefault="001E1112" w:rsidP="00DB3BEC">
            <w:pPr>
              <w:jc w:val="both"/>
              <w:rPr>
                <w:vanish/>
                <w:sz w:val="22"/>
                <w:szCs w:val="22"/>
              </w:rPr>
            </w:pPr>
          </w:p>
          <w:tbl>
            <w:tblPr>
              <w:tblW w:w="5000" w:type="pct"/>
              <w:tblCellSpacing w:w="0" w:type="dxa"/>
              <w:tblLayout w:type="fixed"/>
              <w:tblCellMar>
                <w:left w:w="0" w:type="dxa"/>
                <w:right w:w="0" w:type="dxa"/>
              </w:tblCellMar>
              <w:tblLook w:val="04A0" w:firstRow="1" w:lastRow="0" w:firstColumn="1" w:lastColumn="0" w:noHBand="0" w:noVBand="1"/>
            </w:tblPr>
            <w:tblGrid>
              <w:gridCol w:w="20"/>
              <w:gridCol w:w="4148"/>
            </w:tblGrid>
            <w:tr w:rsidR="001E1112" w:rsidRPr="00317ABF" w14:paraId="1366D3CE" w14:textId="77777777" w:rsidTr="001D28BB">
              <w:trPr>
                <w:tblCellSpacing w:w="0" w:type="dxa"/>
              </w:trPr>
              <w:tc>
                <w:tcPr>
                  <w:tcW w:w="6" w:type="dxa"/>
                  <w:hideMark/>
                </w:tcPr>
                <w:p w14:paraId="4D79247C" w14:textId="77777777" w:rsidR="001E1112" w:rsidRPr="00317ABF" w:rsidRDefault="001E1112" w:rsidP="00EE0AC3">
                  <w:pPr>
                    <w:framePr w:hSpace="141" w:wrap="around" w:vAnchor="text" w:hAnchor="text" w:xAlign="right" w:y="1"/>
                    <w:spacing w:before="120"/>
                    <w:suppressOverlap/>
                    <w:jc w:val="both"/>
                    <w:rPr>
                      <w:sz w:val="22"/>
                      <w:szCs w:val="22"/>
                    </w:rPr>
                  </w:pPr>
                </w:p>
              </w:tc>
              <w:tc>
                <w:tcPr>
                  <w:tcW w:w="9066" w:type="dxa"/>
                  <w:hideMark/>
                </w:tcPr>
                <w:p w14:paraId="7397AE9A" w14:textId="77777777" w:rsidR="001E1112" w:rsidRPr="00317ABF" w:rsidRDefault="001E1112" w:rsidP="00EE0AC3">
                  <w:pPr>
                    <w:framePr w:hSpace="141" w:wrap="around" w:vAnchor="text" w:hAnchor="text" w:xAlign="right" w:y="1"/>
                    <w:numPr>
                      <w:ilvl w:val="0"/>
                      <w:numId w:val="53"/>
                    </w:numPr>
                    <w:spacing w:before="120"/>
                    <w:suppressOverlap/>
                    <w:jc w:val="both"/>
                    <w:rPr>
                      <w:sz w:val="22"/>
                      <w:szCs w:val="22"/>
                    </w:rPr>
                  </w:pPr>
                  <w:r w:rsidRPr="00317ABF">
                    <w:rPr>
                      <w:sz w:val="22"/>
                      <w:szCs w:val="22"/>
                    </w:rPr>
                    <w:t>punktu, poza pierwszym punktem koncentracji lub dystrybucji, który jest zdolny do zapewnienia obsługi takiej liczby użytkowników końcowych, która umożliwi efektywnemu przedsiębiorstwu pokonanie stwierdzonych istotnych barier dla powielenia;</w:t>
                  </w:r>
                </w:p>
              </w:tc>
            </w:tr>
          </w:tbl>
          <w:p w14:paraId="3D32011C" w14:textId="77777777" w:rsidR="001E1112" w:rsidRPr="00317ABF" w:rsidRDefault="001E1112" w:rsidP="00DB3BEC">
            <w:pPr>
              <w:jc w:val="both"/>
              <w:rPr>
                <w:vanish/>
                <w:sz w:val="22"/>
                <w:szCs w:val="22"/>
              </w:rPr>
            </w:pPr>
          </w:p>
          <w:tbl>
            <w:tblPr>
              <w:tblW w:w="5000" w:type="pct"/>
              <w:tblCellSpacing w:w="0" w:type="dxa"/>
              <w:tblLayout w:type="fixed"/>
              <w:tblCellMar>
                <w:left w:w="0" w:type="dxa"/>
                <w:right w:w="0" w:type="dxa"/>
              </w:tblCellMar>
              <w:tblLook w:val="04A0" w:firstRow="1" w:lastRow="0" w:firstColumn="1" w:lastColumn="0" w:noHBand="0" w:noVBand="1"/>
            </w:tblPr>
            <w:tblGrid>
              <w:gridCol w:w="20"/>
              <w:gridCol w:w="4148"/>
            </w:tblGrid>
            <w:tr w:rsidR="001E1112" w:rsidRPr="00317ABF" w14:paraId="3055ABB7" w14:textId="77777777" w:rsidTr="001D28BB">
              <w:trPr>
                <w:tblCellSpacing w:w="0" w:type="dxa"/>
              </w:trPr>
              <w:tc>
                <w:tcPr>
                  <w:tcW w:w="12" w:type="dxa"/>
                  <w:hideMark/>
                </w:tcPr>
                <w:p w14:paraId="75169F20" w14:textId="77777777" w:rsidR="001E1112" w:rsidRPr="00317ABF" w:rsidRDefault="001E1112" w:rsidP="00EE0AC3">
                  <w:pPr>
                    <w:framePr w:hSpace="141" w:wrap="around" w:vAnchor="text" w:hAnchor="text" w:xAlign="right" w:y="1"/>
                    <w:spacing w:before="120"/>
                    <w:suppressOverlap/>
                    <w:jc w:val="both"/>
                    <w:rPr>
                      <w:sz w:val="22"/>
                      <w:szCs w:val="22"/>
                    </w:rPr>
                  </w:pPr>
                </w:p>
              </w:tc>
              <w:tc>
                <w:tcPr>
                  <w:tcW w:w="9060" w:type="dxa"/>
                  <w:hideMark/>
                </w:tcPr>
                <w:p w14:paraId="4526EABA" w14:textId="77777777" w:rsidR="001E1112" w:rsidRPr="00317ABF" w:rsidRDefault="001E1112" w:rsidP="00EE0AC3">
                  <w:pPr>
                    <w:framePr w:hSpace="141" w:wrap="around" w:vAnchor="text" w:hAnchor="text" w:xAlign="right" w:y="1"/>
                    <w:numPr>
                      <w:ilvl w:val="0"/>
                      <w:numId w:val="53"/>
                    </w:numPr>
                    <w:spacing w:before="120"/>
                    <w:suppressOverlap/>
                    <w:jc w:val="both"/>
                    <w:rPr>
                      <w:sz w:val="22"/>
                      <w:szCs w:val="22"/>
                    </w:rPr>
                  </w:pPr>
                  <w:r w:rsidRPr="00317ABF">
                    <w:rPr>
                      <w:sz w:val="22"/>
                      <w:szCs w:val="22"/>
                    </w:rPr>
                    <w:t>które realizowane sieci można uznać za nowe;</w:t>
                  </w:r>
                </w:p>
              </w:tc>
            </w:tr>
          </w:tbl>
          <w:p w14:paraId="0A88C98F" w14:textId="77777777" w:rsidR="001E1112" w:rsidRPr="00317ABF" w:rsidRDefault="001E1112" w:rsidP="00DB3BEC">
            <w:pPr>
              <w:jc w:val="both"/>
              <w:rPr>
                <w:vanish/>
                <w:sz w:val="22"/>
                <w:szCs w:val="22"/>
              </w:rPr>
            </w:pPr>
          </w:p>
          <w:tbl>
            <w:tblPr>
              <w:tblW w:w="5000" w:type="pct"/>
              <w:tblCellSpacing w:w="0" w:type="dxa"/>
              <w:tblLayout w:type="fixed"/>
              <w:tblCellMar>
                <w:left w:w="0" w:type="dxa"/>
                <w:right w:w="0" w:type="dxa"/>
              </w:tblCellMar>
              <w:tblLook w:val="04A0" w:firstRow="1" w:lastRow="0" w:firstColumn="1" w:lastColumn="0" w:noHBand="0" w:noVBand="1"/>
            </w:tblPr>
            <w:tblGrid>
              <w:gridCol w:w="20"/>
              <w:gridCol w:w="4148"/>
            </w:tblGrid>
            <w:tr w:rsidR="001E1112" w:rsidRPr="00317ABF" w14:paraId="44DD7F49" w14:textId="77777777" w:rsidTr="001D28BB">
              <w:trPr>
                <w:tblCellSpacing w:w="0" w:type="dxa"/>
              </w:trPr>
              <w:tc>
                <w:tcPr>
                  <w:tcW w:w="14" w:type="dxa"/>
                  <w:hideMark/>
                </w:tcPr>
                <w:p w14:paraId="2CB49F63" w14:textId="77777777" w:rsidR="001E1112" w:rsidRPr="00317ABF" w:rsidRDefault="001E1112" w:rsidP="00EE0AC3">
                  <w:pPr>
                    <w:framePr w:hSpace="141" w:wrap="around" w:vAnchor="text" w:hAnchor="text" w:xAlign="right" w:y="1"/>
                    <w:spacing w:before="120"/>
                    <w:suppressOverlap/>
                    <w:jc w:val="both"/>
                    <w:rPr>
                      <w:sz w:val="22"/>
                      <w:szCs w:val="22"/>
                    </w:rPr>
                  </w:pPr>
                </w:p>
              </w:tc>
              <w:tc>
                <w:tcPr>
                  <w:tcW w:w="9058" w:type="dxa"/>
                  <w:hideMark/>
                </w:tcPr>
                <w:p w14:paraId="275C3C63" w14:textId="77777777" w:rsidR="001E1112" w:rsidRPr="00317ABF" w:rsidRDefault="001E1112" w:rsidP="00EE0AC3">
                  <w:pPr>
                    <w:framePr w:hSpace="141" w:wrap="around" w:vAnchor="text" w:hAnchor="text" w:xAlign="right" w:y="1"/>
                    <w:numPr>
                      <w:ilvl w:val="0"/>
                      <w:numId w:val="53"/>
                    </w:numPr>
                    <w:spacing w:before="120"/>
                    <w:suppressOverlap/>
                    <w:jc w:val="both"/>
                    <w:rPr>
                      <w:sz w:val="22"/>
                      <w:szCs w:val="22"/>
                    </w:rPr>
                  </w:pPr>
                  <w:r w:rsidRPr="00317ABF">
                    <w:rPr>
                      <w:sz w:val="22"/>
                      <w:szCs w:val="22"/>
                    </w:rPr>
                    <w:t>które projekty można uznać za małe; oraz</w:t>
                  </w:r>
                </w:p>
              </w:tc>
            </w:tr>
          </w:tbl>
          <w:p w14:paraId="2A588897" w14:textId="77777777" w:rsidR="001E1112" w:rsidRPr="00317ABF" w:rsidRDefault="001E1112" w:rsidP="00DB3BEC">
            <w:pPr>
              <w:jc w:val="both"/>
              <w:rPr>
                <w:vanish/>
                <w:sz w:val="22"/>
                <w:szCs w:val="22"/>
              </w:rPr>
            </w:pPr>
          </w:p>
          <w:tbl>
            <w:tblPr>
              <w:tblW w:w="5000" w:type="pct"/>
              <w:tblCellSpacing w:w="0" w:type="dxa"/>
              <w:tblLayout w:type="fixed"/>
              <w:tblCellMar>
                <w:left w:w="0" w:type="dxa"/>
                <w:right w:w="0" w:type="dxa"/>
              </w:tblCellMar>
              <w:tblLook w:val="04A0" w:firstRow="1" w:lastRow="0" w:firstColumn="1" w:lastColumn="0" w:noHBand="0" w:noVBand="1"/>
            </w:tblPr>
            <w:tblGrid>
              <w:gridCol w:w="20"/>
              <w:gridCol w:w="4148"/>
            </w:tblGrid>
            <w:tr w:rsidR="001E1112" w:rsidRPr="00317ABF" w14:paraId="42DA4A63" w14:textId="77777777" w:rsidTr="001D28BB">
              <w:trPr>
                <w:tblCellSpacing w:w="0" w:type="dxa"/>
              </w:trPr>
              <w:tc>
                <w:tcPr>
                  <w:tcW w:w="7" w:type="dxa"/>
                  <w:hideMark/>
                </w:tcPr>
                <w:p w14:paraId="1B5826E2" w14:textId="77777777" w:rsidR="001E1112" w:rsidRPr="00317ABF" w:rsidRDefault="001E1112" w:rsidP="00EE0AC3">
                  <w:pPr>
                    <w:framePr w:hSpace="141" w:wrap="around" w:vAnchor="text" w:hAnchor="text" w:xAlign="right" w:y="1"/>
                    <w:spacing w:before="120"/>
                    <w:suppressOverlap/>
                    <w:jc w:val="both"/>
                    <w:rPr>
                      <w:sz w:val="22"/>
                      <w:szCs w:val="22"/>
                    </w:rPr>
                  </w:pPr>
                </w:p>
              </w:tc>
              <w:tc>
                <w:tcPr>
                  <w:tcW w:w="9065" w:type="dxa"/>
                  <w:hideMark/>
                </w:tcPr>
                <w:p w14:paraId="74B7E94F" w14:textId="77777777" w:rsidR="001E1112" w:rsidRPr="00317ABF" w:rsidRDefault="001E1112" w:rsidP="00EE0AC3">
                  <w:pPr>
                    <w:framePr w:hSpace="141" w:wrap="around" w:vAnchor="text" w:hAnchor="text" w:xAlign="right" w:y="1"/>
                    <w:numPr>
                      <w:ilvl w:val="0"/>
                      <w:numId w:val="53"/>
                    </w:numPr>
                    <w:spacing w:before="120"/>
                    <w:suppressOverlap/>
                    <w:jc w:val="both"/>
                    <w:rPr>
                      <w:sz w:val="22"/>
                      <w:szCs w:val="22"/>
                    </w:rPr>
                  </w:pPr>
                  <w:r w:rsidRPr="00317ABF">
                    <w:rPr>
                      <w:sz w:val="22"/>
                      <w:szCs w:val="22"/>
                    </w:rPr>
                    <w:t>które ekonomiczne lub fizyczne przeszkody dla powielania są wysokie i stałe.</w:t>
                  </w:r>
                </w:p>
              </w:tc>
            </w:tr>
          </w:tbl>
          <w:p w14:paraId="64203D4C" w14:textId="77777777" w:rsidR="001E1112" w:rsidRPr="00317ABF" w:rsidRDefault="001E1112" w:rsidP="00DB3BEC">
            <w:pPr>
              <w:spacing w:before="120"/>
              <w:jc w:val="both"/>
              <w:rPr>
                <w:sz w:val="22"/>
                <w:szCs w:val="22"/>
              </w:rPr>
            </w:pPr>
          </w:p>
        </w:tc>
        <w:tc>
          <w:tcPr>
            <w:tcW w:w="986" w:type="dxa"/>
          </w:tcPr>
          <w:p w14:paraId="13FE7391" w14:textId="72AB223C" w:rsidR="001E1112" w:rsidRPr="00317ABF" w:rsidRDefault="001E1112" w:rsidP="00DB3BEC">
            <w:pPr>
              <w:jc w:val="both"/>
              <w:rPr>
                <w:b/>
                <w:sz w:val="22"/>
                <w:szCs w:val="22"/>
              </w:rPr>
            </w:pPr>
            <w:r w:rsidRPr="00317ABF">
              <w:rPr>
                <w:b/>
                <w:sz w:val="22"/>
                <w:szCs w:val="22"/>
              </w:rPr>
              <w:lastRenderedPageBreak/>
              <w:t xml:space="preserve">T </w:t>
            </w:r>
            <w:r w:rsidRPr="00317ABF">
              <w:rPr>
                <w:b/>
                <w:sz w:val="22"/>
                <w:szCs w:val="22"/>
              </w:rPr>
              <w:br/>
              <w:t>(w zakresie akapitów 1-3)</w:t>
            </w:r>
          </w:p>
          <w:p w14:paraId="285C6EBC" w14:textId="77777777" w:rsidR="001E1112" w:rsidRPr="00317ABF" w:rsidRDefault="001E1112" w:rsidP="00DB3BEC">
            <w:pPr>
              <w:jc w:val="both"/>
              <w:rPr>
                <w:b/>
                <w:sz w:val="22"/>
                <w:szCs w:val="22"/>
              </w:rPr>
            </w:pPr>
          </w:p>
          <w:p w14:paraId="207DD8D4" w14:textId="23DEF5D5" w:rsidR="001E1112" w:rsidRPr="00317ABF" w:rsidRDefault="001E1112" w:rsidP="00DB3BEC">
            <w:pPr>
              <w:jc w:val="both"/>
              <w:rPr>
                <w:b/>
                <w:sz w:val="22"/>
                <w:szCs w:val="22"/>
              </w:rPr>
            </w:pPr>
            <w:r w:rsidRPr="00317ABF">
              <w:rPr>
                <w:b/>
                <w:sz w:val="22"/>
                <w:szCs w:val="22"/>
              </w:rPr>
              <w:t>N (w zakresie akapitu 4)</w:t>
            </w:r>
          </w:p>
        </w:tc>
        <w:tc>
          <w:tcPr>
            <w:tcW w:w="910" w:type="dxa"/>
          </w:tcPr>
          <w:p w14:paraId="56DB3B76" w14:textId="16CA9F73" w:rsidR="001E1112" w:rsidRPr="00317ABF" w:rsidRDefault="00DE35FE" w:rsidP="00DB3BEC">
            <w:pPr>
              <w:pStyle w:val="Tekstpodstawowy"/>
              <w:rPr>
                <w:b/>
                <w:noProof/>
                <w:sz w:val="22"/>
                <w:szCs w:val="22"/>
              </w:rPr>
            </w:pPr>
            <w:r w:rsidRPr="00317ABF">
              <w:rPr>
                <w:b/>
                <w:noProof/>
                <w:sz w:val="22"/>
                <w:szCs w:val="22"/>
              </w:rPr>
              <w:t>Art. 174</w:t>
            </w:r>
            <w:r w:rsidR="001E1112" w:rsidRPr="00317ABF">
              <w:rPr>
                <w:b/>
                <w:noProof/>
                <w:sz w:val="22"/>
                <w:szCs w:val="22"/>
              </w:rPr>
              <w:t xml:space="preserve"> ust. 1</w:t>
            </w:r>
            <w:r w:rsidRPr="00317ABF">
              <w:rPr>
                <w:b/>
                <w:noProof/>
                <w:sz w:val="22"/>
                <w:szCs w:val="22"/>
              </w:rPr>
              <w:t>-5; art. 178; art. 2 pkt 49</w:t>
            </w:r>
          </w:p>
        </w:tc>
        <w:tc>
          <w:tcPr>
            <w:tcW w:w="6814" w:type="dxa"/>
            <w:gridSpan w:val="2"/>
          </w:tcPr>
          <w:p w14:paraId="5A2A8FCF" w14:textId="6BBE0D9A" w:rsidR="00DE35FE" w:rsidRPr="00317ABF" w:rsidRDefault="00DE35FE" w:rsidP="00DE35FE">
            <w:pPr>
              <w:pStyle w:val="ARTartustawynprozporzdzenia"/>
              <w:spacing w:line="240" w:lineRule="auto"/>
              <w:rPr>
                <w:rFonts w:ascii="Times New Roman" w:hAnsi="Times New Roman" w:cs="Times New Roman"/>
                <w:szCs w:val="24"/>
              </w:rPr>
            </w:pPr>
            <w:r w:rsidRPr="00317ABF">
              <w:rPr>
                <w:rStyle w:val="Ppogrubienie"/>
                <w:rFonts w:ascii="Times New Roman" w:hAnsi="Times New Roman"/>
                <w:szCs w:val="24"/>
              </w:rPr>
              <w:t>Art. 174.</w:t>
            </w:r>
            <w:r w:rsidRPr="00317ABF">
              <w:rPr>
                <w:rFonts w:ascii="Times New Roman" w:hAnsi="Times New Roman" w:cs="Times New Roman"/>
                <w:szCs w:val="24"/>
              </w:rPr>
              <w:t xml:space="preserve"> 1. Przedsiębiorca telekomunikacyjny, a także podmiot niebędący przedsiębiorcą telekomunikacyjnym, o ile jest właścicielem okablowania pomiędzy zakończeniami sieci w obiekcie budowlanym, a najbliższym punktem dystrybucji, na wniosek przedsiębiorcy telekomunikacyjnego, obowiązany jest zapewnić dostęp do tego okablowania wraz z powiązanymi zasobami, jeżeli powielenie tego okablowania byłoby ekonomicznie nieefektywne lub technicznie niewykonalne.</w:t>
            </w:r>
          </w:p>
          <w:p w14:paraId="2DDBE7FE" w14:textId="77777777" w:rsidR="00DE35FE" w:rsidRPr="00317ABF" w:rsidRDefault="00DE35FE" w:rsidP="00DE35FE">
            <w:pPr>
              <w:pStyle w:val="USTustnpkodeksu"/>
              <w:spacing w:line="240" w:lineRule="auto"/>
              <w:rPr>
                <w:rFonts w:ascii="Times New Roman" w:hAnsi="Times New Roman" w:cs="Times New Roman"/>
                <w:szCs w:val="24"/>
              </w:rPr>
            </w:pPr>
            <w:r w:rsidRPr="00317ABF">
              <w:rPr>
                <w:rFonts w:ascii="Times New Roman" w:hAnsi="Times New Roman" w:cs="Times New Roman"/>
                <w:szCs w:val="24"/>
              </w:rPr>
              <w:t>2. Jeżeli okablowanie wraz z powiązanymi zasobami, o których mowa w ust. 1, stanowi części składowe nieruchomości, do zapewnienia dostępu obowiązany jest właściciel, użytkownik wieczysty lub zarządca nieruchomości.</w:t>
            </w:r>
          </w:p>
          <w:p w14:paraId="685FD569" w14:textId="720F2746" w:rsidR="00DE35FE" w:rsidRPr="00317ABF" w:rsidRDefault="00DE35FE" w:rsidP="00DE35FE">
            <w:pPr>
              <w:pStyle w:val="USTustnpkodeksu"/>
              <w:spacing w:line="240" w:lineRule="auto"/>
              <w:rPr>
                <w:rFonts w:ascii="Times New Roman" w:hAnsi="Times New Roman" w:cs="Times New Roman"/>
                <w:szCs w:val="24"/>
              </w:rPr>
            </w:pPr>
            <w:r w:rsidRPr="00317ABF">
              <w:rPr>
                <w:rFonts w:ascii="Times New Roman" w:hAnsi="Times New Roman" w:cs="Times New Roman"/>
                <w:szCs w:val="24"/>
              </w:rPr>
              <w:t>3. W przypadku, o którym mowa w ust. 2, stosuje się odpowiednio art. 30 ust. 4, ust. 5 pkt 5 i ust. 5d ustawy z dnia 7 maja 2010 r. o wspieraniu rozwoju usług i sieci telekomunikacyjnych.</w:t>
            </w:r>
          </w:p>
          <w:p w14:paraId="3F8B0AB1" w14:textId="03B26279" w:rsidR="00DE35FE" w:rsidRPr="00317ABF" w:rsidRDefault="00DE35FE" w:rsidP="00DE35FE">
            <w:pPr>
              <w:pStyle w:val="USTustnpkodeksu"/>
              <w:spacing w:line="240" w:lineRule="auto"/>
              <w:rPr>
                <w:rFonts w:ascii="Times New Roman" w:hAnsi="Times New Roman" w:cs="Times New Roman"/>
                <w:szCs w:val="24"/>
              </w:rPr>
            </w:pPr>
            <w:r w:rsidRPr="00317ABF">
              <w:rPr>
                <w:rFonts w:ascii="Times New Roman" w:hAnsi="Times New Roman" w:cs="Times New Roman"/>
                <w:szCs w:val="24"/>
              </w:rPr>
              <w:t>4. W przypadku zmiany właściciela, użytkownika wieczystego lub zarządcy nieruchomości po wystąpieniu z wnioskiem o zawarcie umowy o dostępie, o którym mowa w ust. 1, a przed złożeniem wniosku w sprawie rozstrzygnięcia sporu przez Prezesa UKE, przepisy art. 30 ust. 5 pkt 5 ustawy z dnia 7 maja 2010 r. o wspieraniu rozwoju usług i sieci telekomunikacyjnych oraz art. 30 § 4 ustawy z dnia 14 czerwca 1960 r. – Kodeks postępowania administracyjnego stosuje się odpowiednio.</w:t>
            </w:r>
          </w:p>
          <w:p w14:paraId="5425F135" w14:textId="487B1678" w:rsidR="00DE35FE" w:rsidRPr="00317ABF" w:rsidRDefault="00DE35FE" w:rsidP="00DE35FE">
            <w:pPr>
              <w:pStyle w:val="USTustnpkodeksu"/>
              <w:spacing w:line="240" w:lineRule="auto"/>
              <w:rPr>
                <w:rFonts w:ascii="Times New Roman" w:hAnsi="Times New Roman" w:cs="Times New Roman"/>
                <w:szCs w:val="24"/>
              </w:rPr>
            </w:pPr>
            <w:r w:rsidRPr="00317ABF">
              <w:rPr>
                <w:rFonts w:ascii="Times New Roman" w:hAnsi="Times New Roman" w:cs="Times New Roman"/>
                <w:szCs w:val="24"/>
              </w:rPr>
              <w:t>5. Termin zawarcia umowy o dostępie, o którym mowa w ust. 1, wynosi 30 dni od dnia wystąpienia przez przedsiębiorcę telekomunikacyjnego z wnioskiem o jej zawarcie.</w:t>
            </w:r>
          </w:p>
          <w:p w14:paraId="3AE73D2A" w14:textId="373E1CCA" w:rsidR="00DE35FE" w:rsidRPr="00317ABF" w:rsidRDefault="00DE35FE" w:rsidP="00DE35FE">
            <w:pPr>
              <w:pStyle w:val="ARTartustawynprozporzdzenia"/>
              <w:spacing w:line="240" w:lineRule="auto"/>
              <w:rPr>
                <w:rFonts w:ascii="Times New Roman" w:hAnsi="Times New Roman" w:cs="Times New Roman"/>
                <w:szCs w:val="24"/>
              </w:rPr>
            </w:pPr>
            <w:r w:rsidRPr="00317ABF">
              <w:rPr>
                <w:rStyle w:val="Ppogrubienie"/>
                <w:rFonts w:ascii="Times New Roman" w:hAnsi="Times New Roman"/>
                <w:szCs w:val="24"/>
              </w:rPr>
              <w:t>Art. 178.</w:t>
            </w:r>
            <w:r w:rsidRPr="00317ABF">
              <w:rPr>
                <w:rFonts w:ascii="Times New Roman" w:hAnsi="Times New Roman" w:cs="Times New Roman"/>
                <w:szCs w:val="24"/>
              </w:rPr>
              <w:t xml:space="preserve"> 1. Prezes UKE może, w drodze decyzji, określić obszar geograficzny, na którym obowiązek zapewnienia dostępu, o którym mowa w art. 174 ust. 1, przez:</w:t>
            </w:r>
          </w:p>
          <w:p w14:paraId="54223C6A" w14:textId="77777777" w:rsidR="00DE35FE" w:rsidRPr="00317ABF" w:rsidRDefault="00DE35FE" w:rsidP="00DE35FE">
            <w:pPr>
              <w:pStyle w:val="ARTartustawynprozporzdzenia"/>
              <w:spacing w:line="240" w:lineRule="auto"/>
              <w:ind w:left="510" w:firstLine="0"/>
              <w:rPr>
                <w:rFonts w:ascii="Times New Roman" w:hAnsi="Times New Roman" w:cs="Times New Roman"/>
                <w:szCs w:val="24"/>
              </w:rPr>
            </w:pPr>
            <w:r w:rsidRPr="00317ABF">
              <w:rPr>
                <w:rFonts w:ascii="Times New Roman" w:hAnsi="Times New Roman" w:cs="Times New Roman"/>
                <w:szCs w:val="24"/>
              </w:rPr>
              <w:lastRenderedPageBreak/>
              <w:t xml:space="preserve">1) przedsiębiorcę telekomunikacyjnego, lub </w:t>
            </w:r>
          </w:p>
          <w:p w14:paraId="40748546" w14:textId="33324D98" w:rsidR="00DE35FE" w:rsidRPr="00317ABF" w:rsidRDefault="00DE35FE" w:rsidP="00DE35FE">
            <w:pPr>
              <w:pStyle w:val="ARTartustawynprozporzdzenia"/>
              <w:spacing w:line="240" w:lineRule="auto"/>
              <w:ind w:left="510" w:firstLine="0"/>
              <w:rPr>
                <w:rFonts w:ascii="Times New Roman" w:hAnsi="Times New Roman" w:cs="Times New Roman"/>
                <w:szCs w:val="24"/>
              </w:rPr>
            </w:pPr>
            <w:r w:rsidRPr="00317ABF">
              <w:rPr>
                <w:rFonts w:ascii="Times New Roman" w:hAnsi="Times New Roman" w:cs="Times New Roman"/>
                <w:szCs w:val="24"/>
              </w:rPr>
              <w:t xml:space="preserve">2) podmiot, o którym mowa w art. 27 ust. 1 ustawy z dnia 7 maja 2010 r. o wspieraniu rozwoju usług i sieci telekomunikacyjnych, </w:t>
            </w:r>
          </w:p>
          <w:p w14:paraId="5129B54E" w14:textId="77777777" w:rsidR="00DE35FE" w:rsidRPr="00317ABF" w:rsidRDefault="00DE35FE" w:rsidP="00DE35FE">
            <w:pPr>
              <w:pStyle w:val="ARTartustawynprozporzdzenia"/>
              <w:spacing w:line="240" w:lineRule="auto"/>
              <w:ind w:firstLine="0"/>
              <w:rPr>
                <w:rFonts w:ascii="Times New Roman" w:hAnsi="Times New Roman" w:cs="Times New Roman"/>
                <w:szCs w:val="24"/>
              </w:rPr>
            </w:pPr>
            <w:r w:rsidRPr="00317ABF">
              <w:rPr>
                <w:rFonts w:ascii="Times New Roman" w:hAnsi="Times New Roman" w:cs="Times New Roman"/>
                <w:szCs w:val="24"/>
              </w:rPr>
              <w:t>- rozszerzony jest o elementy sieci telekomunikacyjnej wraz z powiązanymi zasobami, wykraczające poza punkty dystrybucji znajdujące się najbliżej zakończeń sieci w obiektach budowlanych, ale nie dalej niż do pierwszego punktu dystrybucji, w którym liczba obsługiwanych zakończeń sieci uzasadnia ubieganie się o dostęp przez efektywnie działającego przedsiębiorcę telekomunikacyjnego.</w:t>
            </w:r>
          </w:p>
          <w:p w14:paraId="481D5A3C" w14:textId="6CB8B652" w:rsidR="00DE35FE" w:rsidRPr="00317ABF" w:rsidRDefault="00DE35FE" w:rsidP="00DE35FE">
            <w:pPr>
              <w:pStyle w:val="USTustnpkodeksu"/>
              <w:spacing w:line="240" w:lineRule="auto"/>
              <w:rPr>
                <w:rFonts w:ascii="Times New Roman" w:hAnsi="Times New Roman" w:cs="Times New Roman"/>
                <w:szCs w:val="24"/>
              </w:rPr>
            </w:pPr>
            <w:r w:rsidRPr="00317ABF">
              <w:rPr>
                <w:rFonts w:ascii="Times New Roman" w:hAnsi="Times New Roman" w:cs="Times New Roman"/>
                <w:szCs w:val="24"/>
              </w:rPr>
              <w:t>2. Decyzja, o której mowa w ust. 1, może dotyczyć tylko obszaru geograficznego, na którym obowiązek zapewnienia dostępu, o którym mowa w art. 174 ust. 1, nie przyczynia się do wyeliminowania trwałych i wysokich barier inwestycyjnych zagrażających ograniczeniem lub ograniczających korzyści użytkowników końcowych wynikających z konkurencji. Prezes UKE bierze pod uwagę nałożone obowiązki regulacyjne.</w:t>
            </w:r>
          </w:p>
          <w:p w14:paraId="291B9507" w14:textId="77777777" w:rsidR="00DE35FE" w:rsidRPr="00317ABF" w:rsidRDefault="00DE35FE" w:rsidP="00DE35FE">
            <w:pPr>
              <w:pStyle w:val="USTustnpkodeksu"/>
              <w:keepNext/>
              <w:spacing w:line="240" w:lineRule="auto"/>
              <w:rPr>
                <w:rFonts w:ascii="Times New Roman" w:hAnsi="Times New Roman" w:cs="Times New Roman"/>
                <w:szCs w:val="24"/>
              </w:rPr>
            </w:pPr>
            <w:r w:rsidRPr="00317ABF">
              <w:rPr>
                <w:rFonts w:ascii="Times New Roman" w:hAnsi="Times New Roman" w:cs="Times New Roman"/>
                <w:szCs w:val="24"/>
              </w:rPr>
              <w:t>3. Decyzja, o której mowa w ust. 1, nie dotyczy:</w:t>
            </w:r>
          </w:p>
          <w:p w14:paraId="2230F03B" w14:textId="19B15FB3" w:rsidR="00DE35FE" w:rsidRPr="00317ABF" w:rsidRDefault="00DE35FE" w:rsidP="00DE35FE">
            <w:pPr>
              <w:pStyle w:val="PKTpunkt0"/>
              <w:spacing w:line="240" w:lineRule="auto"/>
              <w:rPr>
                <w:rFonts w:ascii="Times New Roman" w:hAnsi="Times New Roman" w:cs="Times New Roman"/>
                <w:szCs w:val="24"/>
              </w:rPr>
            </w:pPr>
            <w:r w:rsidRPr="00317ABF">
              <w:rPr>
                <w:rFonts w:ascii="Times New Roman" w:hAnsi="Times New Roman" w:cs="Times New Roman"/>
                <w:szCs w:val="24"/>
              </w:rPr>
              <w:t>1)</w:t>
            </w:r>
            <w:r w:rsidRPr="00317ABF">
              <w:rPr>
                <w:rFonts w:ascii="Times New Roman" w:eastAsia="Times" w:hAnsi="Times New Roman" w:cs="Times New Roman"/>
                <w:color w:val="000000" w:themeColor="text1"/>
                <w:szCs w:val="24"/>
              </w:rPr>
              <w:t xml:space="preserve"> przedsiębiorcy </w:t>
            </w:r>
            <w:r w:rsidRPr="00317ABF">
              <w:rPr>
                <w:rFonts w:ascii="Times New Roman" w:hAnsi="Times New Roman" w:cs="Times New Roman"/>
                <w:szCs w:val="24"/>
              </w:rPr>
              <w:tab/>
              <w:t>komunikacji elektronicznej, o którym mowa w art. 204 ust. 1, umożliwiającego świadczenie każdemu przedsiębiorcy telekomunikacyjnemu usług komunikacji elektronicznej użytkownikom końcowym, przez dostęp do sieci o bardzo dużej przepustowości na niedyskryminujących i rozsądnych warunkach;</w:t>
            </w:r>
          </w:p>
          <w:p w14:paraId="4A7CD43C" w14:textId="77777777" w:rsidR="00DE35FE" w:rsidRPr="00317ABF" w:rsidRDefault="00DE35FE" w:rsidP="00DE35FE">
            <w:pPr>
              <w:pStyle w:val="PKTpunkt0"/>
              <w:spacing w:line="240" w:lineRule="auto"/>
              <w:rPr>
                <w:rFonts w:ascii="Times New Roman" w:hAnsi="Times New Roman" w:cs="Times New Roman"/>
                <w:szCs w:val="24"/>
              </w:rPr>
            </w:pPr>
            <w:r w:rsidRPr="00317ABF">
              <w:rPr>
                <w:rFonts w:ascii="Times New Roman" w:hAnsi="Times New Roman" w:cs="Times New Roman"/>
                <w:szCs w:val="24"/>
              </w:rPr>
              <w:t xml:space="preserve">2) </w:t>
            </w:r>
            <w:r w:rsidRPr="00317ABF">
              <w:rPr>
                <w:rFonts w:ascii="Times New Roman" w:eastAsia="Times" w:hAnsi="Times New Roman" w:cs="Times New Roman"/>
                <w:bCs w:val="0"/>
                <w:color w:val="000000" w:themeColor="text1"/>
                <w:szCs w:val="24"/>
              </w:rPr>
              <w:t>przedsiębiorcy telekomunikacyjnego,</w:t>
            </w:r>
            <w:r w:rsidRPr="00317ABF">
              <w:rPr>
                <w:rFonts w:ascii="Times New Roman" w:hAnsi="Times New Roman" w:cs="Times New Roman"/>
                <w:szCs w:val="24"/>
              </w:rPr>
              <w:t xml:space="preserve"> </w:t>
            </w:r>
            <w:r w:rsidRPr="00317ABF">
              <w:rPr>
                <w:rFonts w:ascii="Times New Roman" w:hAnsi="Times New Roman" w:cs="Times New Roman"/>
                <w:szCs w:val="24"/>
              </w:rPr>
              <w:tab/>
              <w:t>którego skala prowadzonej działalności nie uzasadnia realizacji nowych sieci o bardzo dużej przepustowości, ze względów ekonomicznych lub finansowych.</w:t>
            </w:r>
          </w:p>
          <w:p w14:paraId="39A4E6C5" w14:textId="77777777" w:rsidR="00DE35FE" w:rsidRPr="00317ABF" w:rsidRDefault="00DE35FE" w:rsidP="00DE35FE">
            <w:pPr>
              <w:pStyle w:val="PKTpunkt0"/>
              <w:spacing w:line="240" w:lineRule="auto"/>
              <w:rPr>
                <w:rFonts w:ascii="Times New Roman" w:hAnsi="Times New Roman" w:cs="Times New Roman"/>
                <w:szCs w:val="24"/>
              </w:rPr>
            </w:pPr>
          </w:p>
          <w:p w14:paraId="0635DA3A" w14:textId="1A870697" w:rsidR="00DE35FE" w:rsidRPr="00317ABF" w:rsidRDefault="00DE35FE" w:rsidP="00DE35FE">
            <w:pPr>
              <w:pStyle w:val="PKTpunkt0"/>
              <w:spacing w:line="240" w:lineRule="auto"/>
              <w:rPr>
                <w:rFonts w:ascii="Times New Roman" w:hAnsi="Times New Roman" w:cs="Times New Roman"/>
                <w:b/>
                <w:szCs w:val="24"/>
              </w:rPr>
            </w:pPr>
            <w:r w:rsidRPr="00317ABF">
              <w:rPr>
                <w:rFonts w:ascii="Times New Roman" w:hAnsi="Times New Roman" w:cs="Times New Roman"/>
                <w:b/>
                <w:szCs w:val="24"/>
              </w:rPr>
              <w:t>Art. 2 pkt 49</w:t>
            </w:r>
          </w:p>
          <w:p w14:paraId="491486C0" w14:textId="44B10A41" w:rsidR="00DE35FE" w:rsidRPr="00317ABF" w:rsidRDefault="00DE35FE" w:rsidP="00DE35FE">
            <w:pPr>
              <w:pStyle w:val="PKTpunkt0"/>
              <w:spacing w:line="240" w:lineRule="auto"/>
              <w:ind w:left="0" w:firstLine="0"/>
              <w:rPr>
                <w:rFonts w:ascii="Times New Roman" w:eastAsia="Times" w:hAnsi="Times New Roman" w:cs="Times New Roman"/>
                <w:szCs w:val="24"/>
              </w:rPr>
            </w:pPr>
            <w:r w:rsidRPr="00317ABF">
              <w:rPr>
                <w:rFonts w:ascii="Times New Roman" w:hAnsi="Times New Roman" w:cs="Times New Roman"/>
                <w:szCs w:val="24"/>
              </w:rPr>
              <w:t xml:space="preserve">49) punkt dystrybucji – fizyczny punkt, w którym możliwe jest zapewnienie dostępu telekomunikacyjnego wymagającego połączenia elementów sieci telekomunikacyjnej przedsiębiorcy telekomunikacyjnego z elementami sieci telekomunikacyjnej lub </w:t>
            </w:r>
            <w:r w:rsidRPr="00317ABF">
              <w:rPr>
                <w:rFonts w:ascii="Times New Roman" w:hAnsi="Times New Roman" w:cs="Times New Roman"/>
                <w:szCs w:val="24"/>
              </w:rPr>
              <w:lastRenderedPageBreak/>
              <w:t>powiązanymi zasobami znajdującymi się pomiędzy tym punktem a zakończeniami sieci;</w:t>
            </w:r>
          </w:p>
          <w:p w14:paraId="31E6E29B" w14:textId="77777777" w:rsidR="00DE35FE" w:rsidRPr="00317ABF" w:rsidRDefault="00DE35FE" w:rsidP="00DE35FE">
            <w:pPr>
              <w:pStyle w:val="PKTpunkt0"/>
              <w:spacing w:line="240" w:lineRule="auto"/>
              <w:rPr>
                <w:rFonts w:ascii="Times New Roman" w:hAnsi="Times New Roman" w:cs="Times New Roman"/>
                <w:szCs w:val="24"/>
              </w:rPr>
            </w:pPr>
          </w:p>
          <w:p w14:paraId="019021DD" w14:textId="77777777" w:rsidR="00DE35FE" w:rsidRPr="00317ABF" w:rsidRDefault="00DE35FE" w:rsidP="00DE35FE">
            <w:pPr>
              <w:pStyle w:val="PKTpunkt0"/>
              <w:spacing w:line="240" w:lineRule="auto"/>
              <w:rPr>
                <w:rFonts w:ascii="Times New Roman" w:hAnsi="Times New Roman" w:cs="Times New Roman"/>
                <w:szCs w:val="24"/>
              </w:rPr>
            </w:pPr>
          </w:p>
          <w:p w14:paraId="287C6D55" w14:textId="77777777" w:rsidR="00DE35FE" w:rsidRPr="00317ABF" w:rsidRDefault="00DE35FE" w:rsidP="00DE35FE">
            <w:pPr>
              <w:pStyle w:val="USTustnpkodeksu"/>
              <w:spacing w:line="240" w:lineRule="auto"/>
              <w:rPr>
                <w:rFonts w:ascii="Times New Roman" w:hAnsi="Times New Roman" w:cs="Times New Roman"/>
                <w:szCs w:val="24"/>
              </w:rPr>
            </w:pPr>
          </w:p>
          <w:p w14:paraId="6A21D320" w14:textId="77777777" w:rsidR="001E1112" w:rsidRPr="00317ABF" w:rsidRDefault="001E1112" w:rsidP="00DE35FE">
            <w:pPr>
              <w:shd w:val="clear" w:color="auto" w:fill="FFFFFF" w:themeFill="background1"/>
              <w:ind w:firstLine="567"/>
              <w:jc w:val="both"/>
              <w:rPr>
                <w:sz w:val="22"/>
                <w:szCs w:val="22"/>
              </w:rPr>
            </w:pPr>
          </w:p>
        </w:tc>
      </w:tr>
      <w:tr w:rsidR="001E1112" w:rsidRPr="00317ABF" w14:paraId="7341782E" w14:textId="77777777" w:rsidTr="7753F98D">
        <w:trPr>
          <w:gridAfter w:val="2"/>
          <w:wAfter w:w="175" w:type="dxa"/>
        </w:trPr>
        <w:tc>
          <w:tcPr>
            <w:tcW w:w="704" w:type="dxa"/>
          </w:tcPr>
          <w:p w14:paraId="52A84B26" w14:textId="77777777" w:rsidR="001E1112" w:rsidRPr="00317ABF" w:rsidRDefault="001E1112" w:rsidP="00DB3BEC">
            <w:pPr>
              <w:jc w:val="both"/>
              <w:rPr>
                <w:sz w:val="22"/>
                <w:szCs w:val="22"/>
              </w:rPr>
            </w:pPr>
            <w:r w:rsidRPr="00317ABF">
              <w:rPr>
                <w:sz w:val="22"/>
                <w:szCs w:val="22"/>
              </w:rPr>
              <w:lastRenderedPageBreak/>
              <w:t>Art. 61 ust. 4</w:t>
            </w:r>
          </w:p>
        </w:tc>
        <w:tc>
          <w:tcPr>
            <w:tcW w:w="4308" w:type="dxa"/>
          </w:tcPr>
          <w:p w14:paraId="2BD3C807" w14:textId="77777777" w:rsidR="001E1112" w:rsidRPr="00317ABF" w:rsidRDefault="001E1112" w:rsidP="00DB3BEC">
            <w:pPr>
              <w:spacing w:before="120"/>
              <w:jc w:val="both"/>
              <w:rPr>
                <w:sz w:val="22"/>
                <w:szCs w:val="22"/>
              </w:rPr>
            </w:pPr>
            <w:r w:rsidRPr="00317ABF">
              <w:rPr>
                <w:sz w:val="22"/>
                <w:szCs w:val="22"/>
              </w:rPr>
              <w:t xml:space="preserve">4.   Bez uszczerbku dla ust. 1 i ust. 2 państwa członkowskie zapewniają, aby właściwym organom przysługiwały uprawnienia do nakładania na przedsiębiorstwa, które udostępniają lub otrzymały zezwolenie na dostarczanie sieci łączności elektronicznej, obowiązków w zakresie współdzielenia infrastruktury pasywnej lub obowiązków zawarcia lokalnych umów dostępu do usług roamingu w obu przypadkach, jeżeli jest to bezpośrednio wymagane do lokalnego świadczenia usług, które uzależnione są od wykorzystywania widma radiowego, zgodnie z prawem Unii, i pod warunkiem, że żadnemu przedsiębiorstwu nie zapewniono realnego i podobnego alternatywnego sposobu dostępu do użytkowników końcowych na uczciwych i rozsądnych warunkach. Właściwe organy mogą nakładać takie obowiązki, pod warunkiem że możliwość taka została wyraźnie przewidziana w momencie przyznawania praw do użytkowania widma radiowego i wyłącznie wtedy, gdy jest to uzasadnione ze względu na to, że w dziedzinie podlegającej takim obowiązkom rozmieszczenie na zasadach rynkowych infrastruktury dostarczania sieci lub świadczenia usług, które zależą od </w:t>
            </w:r>
            <w:r w:rsidRPr="00317ABF">
              <w:rPr>
                <w:sz w:val="22"/>
                <w:szCs w:val="22"/>
              </w:rPr>
              <w:lastRenderedPageBreak/>
              <w:t>wykorzystania widma radiowego, napotyka ekonomiczne lub fizyczne przeszkody nie do pokonania, a zatem dostęp użytkowników końcowych do sieci lub usług jest bardzo niewydolny lub kompletnie go brak. W takich okolicznościach, gdy dostęp i współdzielenie infrastruktury pasywnej nie są same w sobie wystarczające do zaradzenia sytuacji, krajowe organy regulacyjne mogą nakładać obowiązki dotyczące współdzielenia infrastruktury aktywnej.</w:t>
            </w:r>
          </w:p>
          <w:p w14:paraId="36274801" w14:textId="77777777" w:rsidR="001E1112" w:rsidRPr="00317ABF" w:rsidRDefault="001E1112" w:rsidP="00DB3BEC">
            <w:pPr>
              <w:spacing w:before="120"/>
              <w:jc w:val="both"/>
              <w:rPr>
                <w:sz w:val="22"/>
                <w:szCs w:val="22"/>
              </w:rPr>
            </w:pPr>
            <w:r w:rsidRPr="00317ABF">
              <w:rPr>
                <w:sz w:val="22"/>
                <w:szCs w:val="22"/>
              </w:rPr>
              <w:t>Właściwe organy uwzględniają:</w:t>
            </w:r>
          </w:p>
          <w:tbl>
            <w:tblPr>
              <w:tblW w:w="5000" w:type="pct"/>
              <w:tblCellSpacing w:w="0" w:type="dxa"/>
              <w:tblLayout w:type="fixed"/>
              <w:tblCellMar>
                <w:left w:w="0" w:type="dxa"/>
                <w:right w:w="0" w:type="dxa"/>
              </w:tblCellMar>
              <w:tblLook w:val="04A0" w:firstRow="1" w:lastRow="0" w:firstColumn="1" w:lastColumn="0" w:noHBand="0" w:noVBand="1"/>
            </w:tblPr>
            <w:tblGrid>
              <w:gridCol w:w="20"/>
              <w:gridCol w:w="4148"/>
            </w:tblGrid>
            <w:tr w:rsidR="001E1112" w:rsidRPr="00317ABF" w14:paraId="0CFE4941" w14:textId="77777777" w:rsidTr="001D28BB">
              <w:trPr>
                <w:tblCellSpacing w:w="0" w:type="dxa"/>
              </w:trPr>
              <w:tc>
                <w:tcPr>
                  <w:tcW w:w="6" w:type="dxa"/>
                  <w:hideMark/>
                </w:tcPr>
                <w:p w14:paraId="354A74E2" w14:textId="77777777" w:rsidR="001E1112" w:rsidRPr="00317ABF" w:rsidRDefault="001E1112" w:rsidP="00EE0AC3">
                  <w:pPr>
                    <w:framePr w:hSpace="141" w:wrap="around" w:vAnchor="text" w:hAnchor="text" w:xAlign="right" w:y="1"/>
                    <w:spacing w:before="120"/>
                    <w:suppressOverlap/>
                    <w:jc w:val="both"/>
                    <w:rPr>
                      <w:sz w:val="22"/>
                      <w:szCs w:val="22"/>
                    </w:rPr>
                  </w:pPr>
                </w:p>
              </w:tc>
              <w:tc>
                <w:tcPr>
                  <w:tcW w:w="9066" w:type="dxa"/>
                  <w:hideMark/>
                </w:tcPr>
                <w:p w14:paraId="430EB6F5" w14:textId="77777777" w:rsidR="001E1112" w:rsidRPr="00317ABF" w:rsidRDefault="001E1112" w:rsidP="00EE0AC3">
                  <w:pPr>
                    <w:framePr w:hSpace="141" w:wrap="around" w:vAnchor="text" w:hAnchor="text" w:xAlign="right" w:y="1"/>
                    <w:numPr>
                      <w:ilvl w:val="0"/>
                      <w:numId w:val="51"/>
                    </w:numPr>
                    <w:spacing w:before="120"/>
                    <w:suppressOverlap/>
                    <w:jc w:val="both"/>
                    <w:rPr>
                      <w:sz w:val="22"/>
                      <w:szCs w:val="22"/>
                    </w:rPr>
                  </w:pPr>
                  <w:r w:rsidRPr="00317ABF">
                    <w:rPr>
                      <w:sz w:val="22"/>
                      <w:szCs w:val="22"/>
                    </w:rPr>
                    <w:t>potrzebę maksymalizacji zasięgu sieci w całej Unii, wzdłuż głównych szlaków transportowych oraz w poszczególnych obszarach geograficznych, a także możliwość znacznego zwiększenia możliwości wyboru oraz podniesienia jakości usług dla użytkowników końcowych;</w:t>
                  </w:r>
                </w:p>
              </w:tc>
            </w:tr>
          </w:tbl>
          <w:p w14:paraId="1886204F" w14:textId="77777777" w:rsidR="001E1112" w:rsidRPr="00317ABF" w:rsidRDefault="001E1112" w:rsidP="00DB3BEC">
            <w:pPr>
              <w:jc w:val="both"/>
              <w:rPr>
                <w:vanish/>
                <w:sz w:val="22"/>
                <w:szCs w:val="22"/>
              </w:rPr>
            </w:pPr>
          </w:p>
          <w:tbl>
            <w:tblPr>
              <w:tblW w:w="5000" w:type="pct"/>
              <w:tblCellSpacing w:w="0" w:type="dxa"/>
              <w:tblLayout w:type="fixed"/>
              <w:tblCellMar>
                <w:left w:w="0" w:type="dxa"/>
                <w:right w:w="0" w:type="dxa"/>
              </w:tblCellMar>
              <w:tblLook w:val="04A0" w:firstRow="1" w:lastRow="0" w:firstColumn="1" w:lastColumn="0" w:noHBand="0" w:noVBand="1"/>
            </w:tblPr>
            <w:tblGrid>
              <w:gridCol w:w="20"/>
              <w:gridCol w:w="4148"/>
            </w:tblGrid>
            <w:tr w:rsidR="001E1112" w:rsidRPr="00317ABF" w14:paraId="7E528D0D" w14:textId="77777777" w:rsidTr="001D28BB">
              <w:trPr>
                <w:tblCellSpacing w:w="0" w:type="dxa"/>
              </w:trPr>
              <w:tc>
                <w:tcPr>
                  <w:tcW w:w="13" w:type="dxa"/>
                  <w:hideMark/>
                </w:tcPr>
                <w:p w14:paraId="1B47C2D3" w14:textId="77777777" w:rsidR="001E1112" w:rsidRPr="00317ABF" w:rsidRDefault="001E1112" w:rsidP="00EE0AC3">
                  <w:pPr>
                    <w:framePr w:hSpace="141" w:wrap="around" w:vAnchor="text" w:hAnchor="text" w:xAlign="right" w:y="1"/>
                    <w:spacing w:before="120"/>
                    <w:suppressOverlap/>
                    <w:jc w:val="both"/>
                    <w:rPr>
                      <w:sz w:val="22"/>
                      <w:szCs w:val="22"/>
                    </w:rPr>
                  </w:pPr>
                </w:p>
              </w:tc>
              <w:tc>
                <w:tcPr>
                  <w:tcW w:w="9059" w:type="dxa"/>
                  <w:hideMark/>
                </w:tcPr>
                <w:p w14:paraId="0A542B39" w14:textId="77777777" w:rsidR="001E1112" w:rsidRPr="00317ABF" w:rsidRDefault="001E1112" w:rsidP="00EE0AC3">
                  <w:pPr>
                    <w:framePr w:hSpace="141" w:wrap="around" w:vAnchor="text" w:hAnchor="text" w:xAlign="right" w:y="1"/>
                    <w:numPr>
                      <w:ilvl w:val="0"/>
                      <w:numId w:val="51"/>
                    </w:numPr>
                    <w:spacing w:before="120"/>
                    <w:suppressOverlap/>
                    <w:jc w:val="both"/>
                    <w:rPr>
                      <w:sz w:val="22"/>
                      <w:szCs w:val="22"/>
                    </w:rPr>
                  </w:pPr>
                  <w:r w:rsidRPr="00317ABF">
                    <w:rPr>
                      <w:sz w:val="22"/>
                      <w:szCs w:val="22"/>
                    </w:rPr>
                    <w:t>wydajne wykorzystanie widma radiowego;</w:t>
                  </w:r>
                </w:p>
              </w:tc>
            </w:tr>
          </w:tbl>
          <w:p w14:paraId="27EA46F9" w14:textId="77777777" w:rsidR="001E1112" w:rsidRPr="00317ABF" w:rsidRDefault="001E1112" w:rsidP="00DB3BEC">
            <w:pPr>
              <w:jc w:val="both"/>
              <w:rPr>
                <w:vanish/>
                <w:sz w:val="22"/>
                <w:szCs w:val="22"/>
              </w:rPr>
            </w:pPr>
          </w:p>
          <w:tbl>
            <w:tblPr>
              <w:tblW w:w="5000" w:type="pct"/>
              <w:tblCellSpacing w:w="0" w:type="dxa"/>
              <w:tblLayout w:type="fixed"/>
              <w:tblCellMar>
                <w:left w:w="0" w:type="dxa"/>
                <w:right w:w="0" w:type="dxa"/>
              </w:tblCellMar>
              <w:tblLook w:val="04A0" w:firstRow="1" w:lastRow="0" w:firstColumn="1" w:lastColumn="0" w:noHBand="0" w:noVBand="1"/>
            </w:tblPr>
            <w:tblGrid>
              <w:gridCol w:w="20"/>
              <w:gridCol w:w="4148"/>
            </w:tblGrid>
            <w:tr w:rsidR="001E1112" w:rsidRPr="00317ABF" w14:paraId="5E897BB6" w14:textId="77777777" w:rsidTr="001D28BB">
              <w:trPr>
                <w:tblCellSpacing w:w="0" w:type="dxa"/>
              </w:trPr>
              <w:tc>
                <w:tcPr>
                  <w:tcW w:w="7" w:type="dxa"/>
                  <w:hideMark/>
                </w:tcPr>
                <w:p w14:paraId="079EDBA1" w14:textId="77777777" w:rsidR="001E1112" w:rsidRPr="00317ABF" w:rsidRDefault="001E1112" w:rsidP="00EE0AC3">
                  <w:pPr>
                    <w:framePr w:hSpace="141" w:wrap="around" w:vAnchor="text" w:hAnchor="text" w:xAlign="right" w:y="1"/>
                    <w:spacing w:before="120"/>
                    <w:suppressOverlap/>
                    <w:jc w:val="both"/>
                    <w:rPr>
                      <w:sz w:val="22"/>
                      <w:szCs w:val="22"/>
                    </w:rPr>
                  </w:pPr>
                </w:p>
              </w:tc>
              <w:tc>
                <w:tcPr>
                  <w:tcW w:w="9065" w:type="dxa"/>
                  <w:hideMark/>
                </w:tcPr>
                <w:p w14:paraId="18EEB547" w14:textId="77777777" w:rsidR="001E1112" w:rsidRPr="00317ABF" w:rsidRDefault="001E1112" w:rsidP="00EE0AC3">
                  <w:pPr>
                    <w:framePr w:hSpace="141" w:wrap="around" w:vAnchor="text" w:hAnchor="text" w:xAlign="right" w:y="1"/>
                    <w:numPr>
                      <w:ilvl w:val="0"/>
                      <w:numId w:val="51"/>
                    </w:numPr>
                    <w:spacing w:before="120"/>
                    <w:suppressOverlap/>
                    <w:jc w:val="both"/>
                    <w:rPr>
                      <w:sz w:val="22"/>
                      <w:szCs w:val="22"/>
                    </w:rPr>
                  </w:pPr>
                  <w:r w:rsidRPr="00317ABF">
                    <w:rPr>
                      <w:sz w:val="22"/>
                      <w:szCs w:val="22"/>
                    </w:rPr>
                    <w:t>techniczną wykonalność współużytkowania lub związanych z tym warunków;</w:t>
                  </w:r>
                </w:p>
              </w:tc>
            </w:tr>
          </w:tbl>
          <w:p w14:paraId="381A66FA" w14:textId="77777777" w:rsidR="001E1112" w:rsidRPr="00317ABF" w:rsidRDefault="001E1112" w:rsidP="00DB3BEC">
            <w:pPr>
              <w:jc w:val="both"/>
              <w:rPr>
                <w:vanish/>
                <w:sz w:val="22"/>
                <w:szCs w:val="22"/>
              </w:rPr>
            </w:pPr>
          </w:p>
          <w:tbl>
            <w:tblPr>
              <w:tblW w:w="5000" w:type="pct"/>
              <w:tblCellSpacing w:w="0" w:type="dxa"/>
              <w:tblLayout w:type="fixed"/>
              <w:tblCellMar>
                <w:left w:w="0" w:type="dxa"/>
                <w:right w:w="0" w:type="dxa"/>
              </w:tblCellMar>
              <w:tblLook w:val="04A0" w:firstRow="1" w:lastRow="0" w:firstColumn="1" w:lastColumn="0" w:noHBand="0" w:noVBand="1"/>
            </w:tblPr>
            <w:tblGrid>
              <w:gridCol w:w="20"/>
              <w:gridCol w:w="4148"/>
            </w:tblGrid>
            <w:tr w:rsidR="001E1112" w:rsidRPr="00317ABF" w14:paraId="5D8DE3F4" w14:textId="77777777" w:rsidTr="001D28BB">
              <w:trPr>
                <w:tblCellSpacing w:w="0" w:type="dxa"/>
              </w:trPr>
              <w:tc>
                <w:tcPr>
                  <w:tcW w:w="11" w:type="dxa"/>
                  <w:hideMark/>
                </w:tcPr>
                <w:p w14:paraId="7749EFAC" w14:textId="77777777" w:rsidR="001E1112" w:rsidRPr="00317ABF" w:rsidRDefault="001E1112" w:rsidP="00EE0AC3">
                  <w:pPr>
                    <w:framePr w:hSpace="141" w:wrap="around" w:vAnchor="text" w:hAnchor="text" w:xAlign="right" w:y="1"/>
                    <w:spacing w:before="120"/>
                    <w:suppressOverlap/>
                    <w:jc w:val="both"/>
                    <w:rPr>
                      <w:sz w:val="22"/>
                      <w:szCs w:val="22"/>
                    </w:rPr>
                  </w:pPr>
                </w:p>
              </w:tc>
              <w:tc>
                <w:tcPr>
                  <w:tcW w:w="9061" w:type="dxa"/>
                  <w:hideMark/>
                </w:tcPr>
                <w:p w14:paraId="54F81E83" w14:textId="77777777" w:rsidR="001E1112" w:rsidRPr="00317ABF" w:rsidRDefault="001E1112" w:rsidP="00EE0AC3">
                  <w:pPr>
                    <w:framePr w:hSpace="141" w:wrap="around" w:vAnchor="text" w:hAnchor="text" w:xAlign="right" w:y="1"/>
                    <w:numPr>
                      <w:ilvl w:val="0"/>
                      <w:numId w:val="51"/>
                    </w:numPr>
                    <w:spacing w:before="120"/>
                    <w:suppressOverlap/>
                    <w:jc w:val="both"/>
                    <w:rPr>
                      <w:sz w:val="22"/>
                      <w:szCs w:val="22"/>
                    </w:rPr>
                  </w:pPr>
                  <w:r w:rsidRPr="00317ABF">
                    <w:rPr>
                      <w:sz w:val="22"/>
                      <w:szCs w:val="22"/>
                    </w:rPr>
                    <w:t>stan konkurencji infrastrukturalnej jak i usługowej;</w:t>
                  </w:r>
                </w:p>
              </w:tc>
            </w:tr>
          </w:tbl>
          <w:p w14:paraId="5BC5D1A2" w14:textId="77777777" w:rsidR="001E1112" w:rsidRPr="00317ABF" w:rsidRDefault="001E1112" w:rsidP="00DB3BEC">
            <w:pPr>
              <w:jc w:val="both"/>
              <w:rPr>
                <w:vanish/>
                <w:sz w:val="22"/>
                <w:szCs w:val="22"/>
              </w:rPr>
            </w:pPr>
          </w:p>
          <w:tbl>
            <w:tblPr>
              <w:tblW w:w="5000" w:type="pct"/>
              <w:tblCellSpacing w:w="0" w:type="dxa"/>
              <w:tblLayout w:type="fixed"/>
              <w:tblCellMar>
                <w:left w:w="0" w:type="dxa"/>
                <w:right w:w="0" w:type="dxa"/>
              </w:tblCellMar>
              <w:tblLook w:val="04A0" w:firstRow="1" w:lastRow="0" w:firstColumn="1" w:lastColumn="0" w:noHBand="0" w:noVBand="1"/>
            </w:tblPr>
            <w:tblGrid>
              <w:gridCol w:w="20"/>
              <w:gridCol w:w="4148"/>
            </w:tblGrid>
            <w:tr w:rsidR="001E1112" w:rsidRPr="00317ABF" w14:paraId="44098DC8" w14:textId="77777777" w:rsidTr="001D28BB">
              <w:trPr>
                <w:tblCellSpacing w:w="0" w:type="dxa"/>
              </w:trPr>
              <w:tc>
                <w:tcPr>
                  <w:tcW w:w="21" w:type="dxa"/>
                  <w:hideMark/>
                </w:tcPr>
                <w:p w14:paraId="17B2F132" w14:textId="77777777" w:rsidR="001E1112" w:rsidRPr="00317ABF" w:rsidRDefault="001E1112" w:rsidP="00EE0AC3">
                  <w:pPr>
                    <w:framePr w:hSpace="141" w:wrap="around" w:vAnchor="text" w:hAnchor="text" w:xAlign="right" w:y="1"/>
                    <w:spacing w:before="120"/>
                    <w:suppressOverlap/>
                    <w:jc w:val="both"/>
                    <w:rPr>
                      <w:sz w:val="22"/>
                      <w:szCs w:val="22"/>
                    </w:rPr>
                  </w:pPr>
                </w:p>
              </w:tc>
              <w:tc>
                <w:tcPr>
                  <w:tcW w:w="9051" w:type="dxa"/>
                  <w:hideMark/>
                </w:tcPr>
                <w:p w14:paraId="1F5E68D6" w14:textId="77777777" w:rsidR="001E1112" w:rsidRPr="00317ABF" w:rsidRDefault="001E1112" w:rsidP="00EE0AC3">
                  <w:pPr>
                    <w:framePr w:hSpace="141" w:wrap="around" w:vAnchor="text" w:hAnchor="text" w:xAlign="right" w:y="1"/>
                    <w:numPr>
                      <w:ilvl w:val="0"/>
                      <w:numId w:val="51"/>
                    </w:numPr>
                    <w:spacing w:before="120"/>
                    <w:suppressOverlap/>
                    <w:jc w:val="both"/>
                    <w:rPr>
                      <w:sz w:val="22"/>
                      <w:szCs w:val="22"/>
                    </w:rPr>
                  </w:pPr>
                  <w:r w:rsidRPr="00317ABF">
                    <w:rPr>
                      <w:sz w:val="22"/>
                      <w:szCs w:val="22"/>
                    </w:rPr>
                    <w:t>innowacje technologiczne;</w:t>
                  </w:r>
                </w:p>
              </w:tc>
            </w:tr>
          </w:tbl>
          <w:p w14:paraId="2E665AD1" w14:textId="77777777" w:rsidR="001E1112" w:rsidRPr="00317ABF" w:rsidRDefault="001E1112" w:rsidP="00DB3BEC">
            <w:pPr>
              <w:jc w:val="both"/>
              <w:rPr>
                <w:vanish/>
                <w:sz w:val="22"/>
                <w:szCs w:val="22"/>
              </w:rPr>
            </w:pPr>
          </w:p>
          <w:tbl>
            <w:tblPr>
              <w:tblW w:w="5000" w:type="pct"/>
              <w:tblCellSpacing w:w="0" w:type="dxa"/>
              <w:tblLayout w:type="fixed"/>
              <w:tblCellMar>
                <w:left w:w="0" w:type="dxa"/>
                <w:right w:w="0" w:type="dxa"/>
              </w:tblCellMar>
              <w:tblLook w:val="04A0" w:firstRow="1" w:lastRow="0" w:firstColumn="1" w:lastColumn="0" w:noHBand="0" w:noVBand="1"/>
            </w:tblPr>
            <w:tblGrid>
              <w:gridCol w:w="20"/>
              <w:gridCol w:w="4148"/>
            </w:tblGrid>
            <w:tr w:rsidR="001E1112" w:rsidRPr="00317ABF" w14:paraId="4D7AAA22" w14:textId="77777777" w:rsidTr="001D28BB">
              <w:trPr>
                <w:tblCellSpacing w:w="0" w:type="dxa"/>
              </w:trPr>
              <w:tc>
                <w:tcPr>
                  <w:tcW w:w="6" w:type="dxa"/>
                  <w:hideMark/>
                </w:tcPr>
                <w:p w14:paraId="045E4F6A" w14:textId="77777777" w:rsidR="001E1112" w:rsidRPr="00317ABF" w:rsidRDefault="001E1112" w:rsidP="00EE0AC3">
                  <w:pPr>
                    <w:framePr w:hSpace="141" w:wrap="around" w:vAnchor="text" w:hAnchor="text" w:xAlign="right" w:y="1"/>
                    <w:spacing w:before="120"/>
                    <w:suppressOverlap/>
                    <w:jc w:val="both"/>
                    <w:rPr>
                      <w:sz w:val="22"/>
                      <w:szCs w:val="22"/>
                    </w:rPr>
                  </w:pPr>
                </w:p>
              </w:tc>
              <w:tc>
                <w:tcPr>
                  <w:tcW w:w="9066" w:type="dxa"/>
                  <w:hideMark/>
                </w:tcPr>
                <w:p w14:paraId="02A67ED5" w14:textId="77777777" w:rsidR="001E1112" w:rsidRPr="00317ABF" w:rsidRDefault="001E1112" w:rsidP="00EE0AC3">
                  <w:pPr>
                    <w:framePr w:hSpace="141" w:wrap="around" w:vAnchor="text" w:hAnchor="text" w:xAlign="right" w:y="1"/>
                    <w:numPr>
                      <w:ilvl w:val="0"/>
                      <w:numId w:val="51"/>
                    </w:numPr>
                    <w:spacing w:before="120"/>
                    <w:suppressOverlap/>
                    <w:jc w:val="both"/>
                    <w:rPr>
                      <w:sz w:val="22"/>
                      <w:szCs w:val="22"/>
                    </w:rPr>
                  </w:pPr>
                  <w:r w:rsidRPr="00317ABF">
                    <w:rPr>
                      <w:sz w:val="22"/>
                      <w:szCs w:val="22"/>
                    </w:rPr>
                    <w:t xml:space="preserve">nadrzędną potrzebę wspierania skierowanych do operatorów na danym </w:t>
                  </w:r>
                  <w:r w:rsidRPr="00317ABF">
                    <w:rPr>
                      <w:sz w:val="22"/>
                      <w:szCs w:val="22"/>
                    </w:rPr>
                    <w:lastRenderedPageBreak/>
                    <w:t>obszarze zachęt do uruchamiania przede wszystkim infrastruktury.</w:t>
                  </w:r>
                </w:p>
              </w:tc>
            </w:tr>
          </w:tbl>
          <w:p w14:paraId="441E748F" w14:textId="77777777" w:rsidR="001E1112" w:rsidRPr="00317ABF" w:rsidRDefault="001E1112" w:rsidP="00DB3BEC">
            <w:pPr>
              <w:spacing w:before="120"/>
              <w:jc w:val="both"/>
              <w:rPr>
                <w:sz w:val="22"/>
                <w:szCs w:val="22"/>
              </w:rPr>
            </w:pPr>
            <w:r w:rsidRPr="00317ABF">
              <w:rPr>
                <w:sz w:val="22"/>
                <w:szCs w:val="22"/>
              </w:rPr>
              <w:lastRenderedPageBreak/>
              <w:t>W przypadku rozstrzygania sporu właściwe organy mogą nałożyć na beneficjenta obowiązek dotyczący współdzielenia lub dostępu, m.in. obowiązek współdzielenia widma radiowego z operatorem infrastruktury na danym obszarze.</w:t>
            </w:r>
          </w:p>
        </w:tc>
        <w:tc>
          <w:tcPr>
            <w:tcW w:w="986" w:type="dxa"/>
          </w:tcPr>
          <w:p w14:paraId="15D1D62D" w14:textId="4E30B957" w:rsidR="001E1112" w:rsidRPr="00317ABF" w:rsidRDefault="001E1112" w:rsidP="00DB3BEC">
            <w:pPr>
              <w:jc w:val="both"/>
              <w:rPr>
                <w:b/>
                <w:sz w:val="22"/>
                <w:szCs w:val="22"/>
              </w:rPr>
            </w:pPr>
            <w:r w:rsidRPr="00317ABF">
              <w:rPr>
                <w:b/>
                <w:sz w:val="22"/>
                <w:szCs w:val="22"/>
              </w:rPr>
              <w:lastRenderedPageBreak/>
              <w:t>T</w:t>
            </w:r>
          </w:p>
        </w:tc>
        <w:tc>
          <w:tcPr>
            <w:tcW w:w="910" w:type="dxa"/>
          </w:tcPr>
          <w:p w14:paraId="577D5438" w14:textId="3897DA7A" w:rsidR="001E1112" w:rsidRPr="00317ABF" w:rsidRDefault="00DE35FE" w:rsidP="00DB3BEC">
            <w:pPr>
              <w:pStyle w:val="Tekstpodstawowy"/>
              <w:rPr>
                <w:b/>
                <w:noProof/>
                <w:sz w:val="22"/>
                <w:szCs w:val="22"/>
              </w:rPr>
            </w:pPr>
            <w:r w:rsidRPr="00317ABF">
              <w:rPr>
                <w:b/>
                <w:noProof/>
                <w:sz w:val="22"/>
                <w:szCs w:val="22"/>
              </w:rPr>
              <w:t>Art. 18</w:t>
            </w:r>
            <w:r w:rsidR="00BB75CB" w:rsidRPr="00317ABF">
              <w:rPr>
                <w:b/>
                <w:noProof/>
                <w:sz w:val="22"/>
                <w:szCs w:val="22"/>
              </w:rPr>
              <w:t>0; art. 186</w:t>
            </w:r>
            <w:r w:rsidR="001E1112" w:rsidRPr="00317ABF">
              <w:rPr>
                <w:b/>
                <w:noProof/>
                <w:sz w:val="22"/>
                <w:szCs w:val="22"/>
              </w:rPr>
              <w:t xml:space="preserve">  </w:t>
            </w:r>
          </w:p>
        </w:tc>
        <w:tc>
          <w:tcPr>
            <w:tcW w:w="6814" w:type="dxa"/>
            <w:gridSpan w:val="2"/>
          </w:tcPr>
          <w:p w14:paraId="392D0FFB" w14:textId="77777777" w:rsidR="00DE35FE" w:rsidRPr="00317ABF" w:rsidRDefault="00DE35FE" w:rsidP="00BB75CB">
            <w:pPr>
              <w:pStyle w:val="ARTartustawynprozporzdzenia"/>
              <w:keepNext/>
              <w:spacing w:line="240" w:lineRule="auto"/>
              <w:rPr>
                <w:rFonts w:ascii="Times New Roman" w:hAnsi="Times New Roman" w:cs="Times New Roman"/>
                <w:szCs w:val="24"/>
              </w:rPr>
            </w:pPr>
            <w:r w:rsidRPr="00317ABF">
              <w:rPr>
                <w:rStyle w:val="Ppogrubienie"/>
                <w:rFonts w:ascii="Times New Roman" w:hAnsi="Times New Roman"/>
                <w:szCs w:val="24"/>
              </w:rPr>
              <w:t>Art. 180.</w:t>
            </w:r>
            <w:r w:rsidRPr="00317ABF">
              <w:rPr>
                <w:rFonts w:ascii="Times New Roman" w:hAnsi="Times New Roman" w:cs="Times New Roman"/>
                <w:szCs w:val="24"/>
              </w:rPr>
              <w:t xml:space="preserve"> 1. Prezes UKE może, jeżeli taka możliwość została określona w rezerwacji częstotliwości, o której mowa w art. 87 ust. 3, w drodze decyzji, nałożyć na przedsiębiorcę telekomunikacyjnego, obowiązek:</w:t>
            </w:r>
          </w:p>
          <w:p w14:paraId="10CAD0DA" w14:textId="77777777" w:rsidR="00DE35FE" w:rsidRPr="00317ABF" w:rsidRDefault="00DE35FE" w:rsidP="00BB75CB">
            <w:pPr>
              <w:pStyle w:val="PKTpunkt0"/>
              <w:spacing w:line="240" w:lineRule="auto"/>
              <w:rPr>
                <w:rFonts w:ascii="Times New Roman" w:hAnsi="Times New Roman" w:cs="Times New Roman"/>
                <w:szCs w:val="24"/>
              </w:rPr>
            </w:pPr>
            <w:r w:rsidRPr="00317ABF">
              <w:rPr>
                <w:rFonts w:ascii="Times New Roman" w:hAnsi="Times New Roman" w:cs="Times New Roman"/>
                <w:szCs w:val="24"/>
              </w:rPr>
              <w:t>1)</w:t>
            </w:r>
            <w:r w:rsidRPr="00317ABF">
              <w:rPr>
                <w:rFonts w:ascii="Times New Roman" w:hAnsi="Times New Roman" w:cs="Times New Roman"/>
                <w:szCs w:val="24"/>
              </w:rPr>
              <w:tab/>
              <w:t xml:space="preserve">zapewnienia dostępu do nieaktywnych elementów sieci telekomunikacyjnej </w:t>
            </w:r>
            <w:r w:rsidRPr="00317ABF">
              <w:rPr>
                <w:rFonts w:ascii="Times New Roman" w:hAnsi="Times New Roman" w:cs="Times New Roman"/>
                <w:szCs w:val="24"/>
              </w:rPr>
              <w:br/>
              <w:t xml:space="preserve">i powiązanych zasobów, </w:t>
            </w:r>
          </w:p>
          <w:p w14:paraId="4FBAE54E" w14:textId="77777777" w:rsidR="00DE35FE" w:rsidRPr="00317ABF" w:rsidRDefault="00DE35FE" w:rsidP="00BB75CB">
            <w:pPr>
              <w:pStyle w:val="PKTpunkt0"/>
              <w:spacing w:line="240" w:lineRule="auto"/>
              <w:rPr>
                <w:rFonts w:ascii="Times New Roman" w:hAnsi="Times New Roman" w:cs="Times New Roman"/>
                <w:szCs w:val="24"/>
              </w:rPr>
            </w:pPr>
            <w:r w:rsidRPr="00317ABF">
              <w:rPr>
                <w:rFonts w:ascii="Times New Roman" w:hAnsi="Times New Roman" w:cs="Times New Roman"/>
                <w:szCs w:val="24"/>
              </w:rPr>
              <w:t>2)</w:t>
            </w:r>
            <w:r w:rsidRPr="00317ABF">
              <w:rPr>
                <w:rFonts w:ascii="Times New Roman" w:hAnsi="Times New Roman" w:cs="Times New Roman"/>
                <w:szCs w:val="24"/>
              </w:rPr>
              <w:tab/>
              <w:t>zapewnienia dostępu do aktywnych elementów sieci telekomunikacyjnych i usług dodatkowych, o ile nałożenie obowiązku, o którym mowa w pkt 1, byłoby niewystarczające w świetle przesłanek, o których mowa w ust. 3, lub</w:t>
            </w:r>
          </w:p>
          <w:p w14:paraId="4FFBBE52" w14:textId="77777777" w:rsidR="00DE35FE" w:rsidRPr="00317ABF" w:rsidRDefault="00DE35FE" w:rsidP="00BB75CB">
            <w:pPr>
              <w:pStyle w:val="PKTpunkt0"/>
              <w:spacing w:line="240" w:lineRule="auto"/>
              <w:rPr>
                <w:rFonts w:ascii="Times New Roman" w:hAnsi="Times New Roman" w:cs="Times New Roman"/>
                <w:szCs w:val="24"/>
              </w:rPr>
            </w:pPr>
            <w:r w:rsidRPr="00317ABF">
              <w:rPr>
                <w:rFonts w:ascii="Times New Roman" w:hAnsi="Times New Roman" w:cs="Times New Roman"/>
                <w:szCs w:val="24"/>
              </w:rPr>
              <w:t>3)</w:t>
            </w:r>
            <w:r w:rsidRPr="00317ABF">
              <w:rPr>
                <w:rFonts w:ascii="Times New Roman" w:hAnsi="Times New Roman" w:cs="Times New Roman"/>
                <w:szCs w:val="24"/>
              </w:rPr>
              <w:tab/>
              <w:t>zapewnienia dostępu na potrzeby roamingu lokalnego, o ile nałożenie obowiązku, o którym mowa w pkt 1, byłoby niewystarczające w świetle przesłanek, o których mowa w ust. 3.</w:t>
            </w:r>
          </w:p>
          <w:p w14:paraId="2B364E0C" w14:textId="77777777" w:rsidR="00DE35FE" w:rsidRPr="00317ABF" w:rsidRDefault="00DE35FE" w:rsidP="00BB75CB">
            <w:pPr>
              <w:pStyle w:val="USTustnpkodeksu"/>
              <w:keepNext/>
              <w:spacing w:line="240" w:lineRule="auto"/>
              <w:rPr>
                <w:rFonts w:ascii="Times New Roman" w:hAnsi="Times New Roman" w:cs="Times New Roman"/>
                <w:szCs w:val="24"/>
              </w:rPr>
            </w:pPr>
            <w:r w:rsidRPr="00317ABF">
              <w:rPr>
                <w:rFonts w:ascii="Times New Roman" w:hAnsi="Times New Roman" w:cs="Times New Roman"/>
                <w:szCs w:val="24"/>
              </w:rPr>
              <w:t>2. Obowiązki, o których mowa w ust. 1, nakłada się, jeżeli:</w:t>
            </w:r>
          </w:p>
          <w:p w14:paraId="1ACB1B9E" w14:textId="77777777" w:rsidR="00DE35FE" w:rsidRPr="00317ABF" w:rsidRDefault="00DE35FE" w:rsidP="00BB75CB">
            <w:pPr>
              <w:pStyle w:val="PKTpunkt0"/>
              <w:spacing w:line="240" w:lineRule="auto"/>
              <w:rPr>
                <w:rFonts w:ascii="Times New Roman" w:hAnsi="Times New Roman" w:cs="Times New Roman"/>
                <w:szCs w:val="24"/>
              </w:rPr>
            </w:pPr>
            <w:r w:rsidRPr="00317ABF">
              <w:rPr>
                <w:rFonts w:ascii="Times New Roman" w:hAnsi="Times New Roman" w:cs="Times New Roman"/>
                <w:szCs w:val="24"/>
              </w:rPr>
              <w:t>1)</w:t>
            </w:r>
            <w:r w:rsidRPr="00317ABF">
              <w:rPr>
                <w:rFonts w:ascii="Times New Roman" w:hAnsi="Times New Roman" w:cs="Times New Roman"/>
                <w:szCs w:val="24"/>
              </w:rPr>
              <w:tab/>
              <w:t>jest to niezbędne do lokalnego świadczenia usług telekomunikacyjnych, które uzależnione są od wykorzystywania częstotliwości;</w:t>
            </w:r>
          </w:p>
          <w:p w14:paraId="7CEF33FE" w14:textId="77777777" w:rsidR="00DE35FE" w:rsidRPr="00317ABF" w:rsidRDefault="00DE35FE" w:rsidP="00BB75CB">
            <w:pPr>
              <w:pStyle w:val="PKTpunkt0"/>
              <w:spacing w:line="240" w:lineRule="auto"/>
              <w:rPr>
                <w:rFonts w:ascii="Times New Roman" w:hAnsi="Times New Roman" w:cs="Times New Roman"/>
                <w:szCs w:val="24"/>
              </w:rPr>
            </w:pPr>
            <w:r w:rsidRPr="00317ABF">
              <w:rPr>
                <w:rFonts w:ascii="Times New Roman" w:hAnsi="Times New Roman" w:cs="Times New Roman"/>
                <w:szCs w:val="24"/>
              </w:rPr>
              <w:t>2)</w:t>
            </w:r>
            <w:r w:rsidRPr="00317ABF">
              <w:rPr>
                <w:rFonts w:ascii="Times New Roman" w:hAnsi="Times New Roman" w:cs="Times New Roman"/>
                <w:szCs w:val="24"/>
              </w:rPr>
              <w:tab/>
              <w:t>przedsiębiorca telekomunikacyjny nie zapewnia podobnego, alternatywnego dostępu, na uczciwych i rozsądnych warunkach, umożliwiającego dotarcie do użytkowników końcowych przez przedsiębiorców telekomunikacyjnych;</w:t>
            </w:r>
          </w:p>
          <w:p w14:paraId="1B2FF804" w14:textId="77777777" w:rsidR="00DE35FE" w:rsidRPr="00317ABF" w:rsidRDefault="00DE35FE" w:rsidP="00BB75CB">
            <w:pPr>
              <w:pStyle w:val="PKTpunkt0"/>
              <w:spacing w:line="240" w:lineRule="auto"/>
              <w:rPr>
                <w:rFonts w:ascii="Times New Roman" w:hAnsi="Times New Roman" w:cs="Times New Roman"/>
                <w:szCs w:val="24"/>
              </w:rPr>
            </w:pPr>
            <w:r w:rsidRPr="00317ABF">
              <w:rPr>
                <w:rFonts w:ascii="Times New Roman" w:hAnsi="Times New Roman" w:cs="Times New Roman"/>
                <w:szCs w:val="24"/>
              </w:rPr>
              <w:lastRenderedPageBreak/>
              <w:t>3)</w:t>
            </w:r>
            <w:r w:rsidRPr="00317ABF">
              <w:rPr>
                <w:rFonts w:ascii="Times New Roman" w:hAnsi="Times New Roman" w:cs="Times New Roman"/>
                <w:szCs w:val="24"/>
              </w:rPr>
              <w:tab/>
              <w:t>dostęp ma być zapewniony na obszarze, na którym trudne do pokonania bariery techniczne lub ekonomiczne ograniczają, ze szkodą dla użytkowników końcowych, możliwość realizacji sieci o bardzo dużej przepustowości lub świadczenie usług telekomunikacyjnych.</w:t>
            </w:r>
          </w:p>
          <w:p w14:paraId="1A4A6289" w14:textId="77777777" w:rsidR="00DE35FE" w:rsidRPr="00317ABF" w:rsidRDefault="00DE35FE" w:rsidP="00BB75CB">
            <w:pPr>
              <w:pStyle w:val="USTustnpkodeksu"/>
              <w:keepNext/>
              <w:spacing w:line="240" w:lineRule="auto"/>
              <w:rPr>
                <w:rFonts w:ascii="Times New Roman" w:hAnsi="Times New Roman" w:cs="Times New Roman"/>
                <w:szCs w:val="24"/>
              </w:rPr>
            </w:pPr>
            <w:r w:rsidRPr="00317ABF">
              <w:rPr>
                <w:rFonts w:ascii="Times New Roman" w:hAnsi="Times New Roman" w:cs="Times New Roman"/>
                <w:szCs w:val="24"/>
              </w:rPr>
              <w:t>3. Wydając decyzję, o której mowa w ust. 1, Prezes UKE bierze pod uwagę przede wszystkim potrzebę wspierania skierowanych do operatorów na danym obszarze zachęt do uruchamiania infrastruktury, a ponadto:</w:t>
            </w:r>
          </w:p>
          <w:p w14:paraId="4F484613" w14:textId="77777777" w:rsidR="00DE35FE" w:rsidRPr="00317ABF" w:rsidRDefault="00DE35FE" w:rsidP="00BB75CB">
            <w:pPr>
              <w:pStyle w:val="PKTpunkt0"/>
              <w:spacing w:line="240" w:lineRule="auto"/>
              <w:rPr>
                <w:rFonts w:ascii="Times New Roman" w:hAnsi="Times New Roman" w:cs="Times New Roman"/>
                <w:szCs w:val="24"/>
              </w:rPr>
            </w:pPr>
            <w:r w:rsidRPr="00317ABF">
              <w:rPr>
                <w:rFonts w:ascii="Times New Roman" w:hAnsi="Times New Roman" w:cs="Times New Roman"/>
                <w:szCs w:val="24"/>
              </w:rPr>
              <w:t>1)</w:t>
            </w:r>
            <w:r w:rsidRPr="00317ABF">
              <w:rPr>
                <w:rFonts w:ascii="Times New Roman" w:hAnsi="Times New Roman" w:cs="Times New Roman"/>
                <w:szCs w:val="24"/>
              </w:rPr>
              <w:tab/>
              <w:t>stan konkurencji infrastrukturalnej i usługowej;</w:t>
            </w:r>
          </w:p>
          <w:p w14:paraId="22B513A2" w14:textId="77777777" w:rsidR="00DE35FE" w:rsidRPr="00317ABF" w:rsidRDefault="00DE35FE" w:rsidP="00BB75CB">
            <w:pPr>
              <w:pStyle w:val="PKTpunkt0"/>
              <w:spacing w:line="240" w:lineRule="auto"/>
              <w:rPr>
                <w:rFonts w:ascii="Times New Roman" w:hAnsi="Times New Roman" w:cs="Times New Roman"/>
                <w:szCs w:val="24"/>
              </w:rPr>
            </w:pPr>
            <w:r w:rsidRPr="00317ABF">
              <w:rPr>
                <w:rFonts w:ascii="Times New Roman" w:hAnsi="Times New Roman" w:cs="Times New Roman"/>
                <w:szCs w:val="24"/>
              </w:rPr>
              <w:t>2)</w:t>
            </w:r>
            <w:r w:rsidRPr="00317ABF">
              <w:rPr>
                <w:rFonts w:ascii="Times New Roman" w:hAnsi="Times New Roman" w:cs="Times New Roman"/>
                <w:szCs w:val="24"/>
              </w:rPr>
              <w:tab/>
              <w:t>efektywne wykorzystanie częstotliwości;</w:t>
            </w:r>
          </w:p>
          <w:p w14:paraId="17BEE155" w14:textId="77777777" w:rsidR="00DE35FE" w:rsidRPr="00317ABF" w:rsidRDefault="00DE35FE" w:rsidP="00BB75CB">
            <w:pPr>
              <w:pStyle w:val="PKTpunkt0"/>
              <w:spacing w:line="240" w:lineRule="auto"/>
              <w:rPr>
                <w:rFonts w:ascii="Times New Roman" w:hAnsi="Times New Roman" w:cs="Times New Roman"/>
                <w:szCs w:val="24"/>
              </w:rPr>
            </w:pPr>
            <w:r w:rsidRPr="00317ABF">
              <w:rPr>
                <w:rFonts w:ascii="Times New Roman" w:hAnsi="Times New Roman" w:cs="Times New Roman"/>
                <w:szCs w:val="24"/>
              </w:rPr>
              <w:t>3)</w:t>
            </w:r>
            <w:r w:rsidRPr="00317ABF">
              <w:rPr>
                <w:rFonts w:ascii="Times New Roman" w:hAnsi="Times New Roman" w:cs="Times New Roman"/>
                <w:szCs w:val="24"/>
              </w:rPr>
              <w:tab/>
              <w:t>innowacje technologiczne;</w:t>
            </w:r>
          </w:p>
          <w:p w14:paraId="10D72531" w14:textId="77777777" w:rsidR="00DE35FE" w:rsidRPr="00317ABF" w:rsidRDefault="00DE35FE" w:rsidP="00BB75CB">
            <w:pPr>
              <w:pStyle w:val="PKTpunkt0"/>
              <w:spacing w:line="240" w:lineRule="auto"/>
              <w:rPr>
                <w:rFonts w:ascii="Times New Roman" w:hAnsi="Times New Roman" w:cs="Times New Roman"/>
                <w:szCs w:val="24"/>
              </w:rPr>
            </w:pPr>
            <w:r w:rsidRPr="00317ABF">
              <w:rPr>
                <w:rFonts w:ascii="Times New Roman" w:hAnsi="Times New Roman" w:cs="Times New Roman"/>
                <w:szCs w:val="24"/>
              </w:rPr>
              <w:t>4)</w:t>
            </w:r>
            <w:r w:rsidRPr="00317ABF">
              <w:rPr>
                <w:rFonts w:ascii="Times New Roman" w:hAnsi="Times New Roman" w:cs="Times New Roman"/>
                <w:szCs w:val="24"/>
              </w:rPr>
              <w:tab/>
              <w:t>techniczną możliwość współużytkowania lub związanych z tym warunków;</w:t>
            </w:r>
          </w:p>
          <w:p w14:paraId="28BA7BD4" w14:textId="77777777" w:rsidR="00DE35FE" w:rsidRPr="00317ABF" w:rsidRDefault="00DE35FE" w:rsidP="00BB75CB">
            <w:pPr>
              <w:pStyle w:val="PKTpunkt0"/>
              <w:spacing w:line="240" w:lineRule="auto"/>
              <w:rPr>
                <w:rFonts w:ascii="Times New Roman" w:hAnsi="Times New Roman" w:cs="Times New Roman"/>
                <w:szCs w:val="24"/>
              </w:rPr>
            </w:pPr>
            <w:r w:rsidRPr="00317ABF">
              <w:rPr>
                <w:rFonts w:ascii="Times New Roman" w:hAnsi="Times New Roman" w:cs="Times New Roman"/>
                <w:szCs w:val="24"/>
              </w:rPr>
              <w:t>5)</w:t>
            </w:r>
            <w:r w:rsidRPr="00317ABF">
              <w:rPr>
                <w:rFonts w:ascii="Times New Roman" w:hAnsi="Times New Roman" w:cs="Times New Roman"/>
                <w:szCs w:val="24"/>
              </w:rPr>
              <w:tab/>
              <w:t>potrzebę poszerzania obszaru, na którym możliwy jest dostęp do sieci o bardzo dużej przepustowości, w szczególności wzdłuż głównych szlaków komunikacyjnych oraz na obszarach o niższej gęstości zaludnienia;</w:t>
            </w:r>
          </w:p>
          <w:p w14:paraId="34A54EB1" w14:textId="77777777" w:rsidR="00BB75CB" w:rsidRPr="00317ABF" w:rsidRDefault="00DE35FE" w:rsidP="00BB75CB">
            <w:pPr>
              <w:pStyle w:val="Tekstpodstawowy"/>
              <w:rPr>
                <w:sz w:val="24"/>
                <w:szCs w:val="24"/>
              </w:rPr>
            </w:pPr>
            <w:r w:rsidRPr="00317ABF">
              <w:rPr>
                <w:sz w:val="24"/>
                <w:szCs w:val="24"/>
              </w:rPr>
              <w:t>6)</w:t>
            </w:r>
            <w:r w:rsidRPr="00317ABF">
              <w:rPr>
                <w:sz w:val="24"/>
                <w:szCs w:val="24"/>
              </w:rPr>
              <w:tab/>
              <w:t>zwiększenie konkurencyjności</w:t>
            </w:r>
            <w:r w:rsidRPr="00317ABF">
              <w:rPr>
                <w:sz w:val="24"/>
                <w:szCs w:val="24"/>
              </w:rPr>
              <w:tab/>
              <w:t xml:space="preserve"> w zakresie jakości i wyboru usług oferowanych użytkownikom końcowym.</w:t>
            </w:r>
          </w:p>
          <w:p w14:paraId="6048B40C" w14:textId="77777777" w:rsidR="00BB75CB" w:rsidRPr="00317ABF" w:rsidRDefault="00BB75CB" w:rsidP="00BB75CB">
            <w:pPr>
              <w:pStyle w:val="Tekstpodstawowy"/>
              <w:rPr>
                <w:sz w:val="24"/>
                <w:szCs w:val="24"/>
              </w:rPr>
            </w:pPr>
          </w:p>
          <w:p w14:paraId="60300999" w14:textId="77777777" w:rsidR="00BB75CB" w:rsidRPr="00317ABF" w:rsidRDefault="00BB75CB" w:rsidP="00BB75CB">
            <w:pPr>
              <w:pStyle w:val="ARTartustawynprozporzdzenia"/>
              <w:spacing w:line="240" w:lineRule="auto"/>
              <w:ind w:firstLine="0"/>
              <w:rPr>
                <w:rFonts w:ascii="Times New Roman" w:hAnsi="Times New Roman" w:cs="Times New Roman"/>
                <w:szCs w:val="24"/>
              </w:rPr>
            </w:pPr>
            <w:r w:rsidRPr="00317ABF">
              <w:rPr>
                <w:rStyle w:val="Ppogrubienie"/>
                <w:rFonts w:ascii="Times New Roman" w:hAnsi="Times New Roman"/>
                <w:szCs w:val="24"/>
              </w:rPr>
              <w:t>Art. 186.</w:t>
            </w:r>
            <w:r w:rsidRPr="00317ABF">
              <w:rPr>
                <w:rFonts w:ascii="Times New Roman" w:hAnsi="Times New Roman" w:cs="Times New Roman"/>
                <w:szCs w:val="24"/>
              </w:rPr>
              <w:t xml:space="preserve"> 1. Prezes UKE, rozstrzygając spór na podstawie art. 183 ust. 1, o dostęp związany z obowiązkiem, o którym mowa w art. 180 ust. 1, może nałożyć na przedsiębiorcę telekomunikacyjnego uprawnionego do tego dostępu, obowiązek współużytkowania częstotliwości z przedsiębiorcą zobowiązanym do zapewnienia dostępu, na określonym obszarze geograficznym i określić inne warunki takiego współużytkowania.</w:t>
            </w:r>
          </w:p>
          <w:p w14:paraId="373B7460" w14:textId="77777777" w:rsidR="00BB75CB" w:rsidRPr="00317ABF" w:rsidRDefault="00BB75CB" w:rsidP="00BB75CB">
            <w:pPr>
              <w:pStyle w:val="USTustnpkodeksu"/>
              <w:spacing w:line="240" w:lineRule="auto"/>
              <w:rPr>
                <w:rFonts w:ascii="Times New Roman" w:hAnsi="Times New Roman" w:cs="Times New Roman"/>
                <w:szCs w:val="24"/>
              </w:rPr>
            </w:pPr>
            <w:r w:rsidRPr="00317ABF">
              <w:rPr>
                <w:rFonts w:ascii="Times New Roman" w:hAnsi="Times New Roman" w:cs="Times New Roman"/>
                <w:szCs w:val="24"/>
              </w:rPr>
              <w:t>2. Prezes UKE nakładając obowiązek współużytkowania częstotliwości, o którym mowa w ust. 1, zapewnia, aby był on obiektywny, przejrzysty, proporcjonalny i niedyskryminacyjny.</w:t>
            </w:r>
          </w:p>
          <w:p w14:paraId="7EEC67E7" w14:textId="77777777" w:rsidR="00BB75CB" w:rsidRPr="00317ABF" w:rsidRDefault="00BB75CB" w:rsidP="00BB75CB">
            <w:pPr>
              <w:pStyle w:val="ARTartustawynprozporzdzenia"/>
              <w:spacing w:line="240" w:lineRule="auto"/>
              <w:rPr>
                <w:rFonts w:ascii="Times New Roman" w:hAnsi="Times New Roman" w:cs="Times New Roman"/>
                <w:szCs w:val="24"/>
              </w:rPr>
            </w:pPr>
            <w:r w:rsidRPr="00317ABF">
              <w:rPr>
                <w:rFonts w:ascii="Times New Roman" w:hAnsi="Times New Roman" w:cs="Times New Roman"/>
                <w:szCs w:val="24"/>
              </w:rPr>
              <w:t>3. Do obowiązku współużytkowania częstotliwości, o którym mowa w ust. 1, art. 182 stosuje się odpowiednio.</w:t>
            </w:r>
          </w:p>
          <w:p w14:paraId="77C5CA77" w14:textId="77777777" w:rsidR="001E1112" w:rsidRPr="00317ABF" w:rsidRDefault="001E1112" w:rsidP="00BB75CB">
            <w:pPr>
              <w:pStyle w:val="Tekstpodstawowy"/>
              <w:rPr>
                <w:sz w:val="22"/>
                <w:szCs w:val="22"/>
              </w:rPr>
            </w:pPr>
          </w:p>
        </w:tc>
      </w:tr>
      <w:tr w:rsidR="001E1112" w:rsidRPr="00317ABF" w14:paraId="780A4C8A" w14:textId="77777777" w:rsidTr="7753F98D">
        <w:trPr>
          <w:gridAfter w:val="2"/>
          <w:wAfter w:w="175" w:type="dxa"/>
        </w:trPr>
        <w:tc>
          <w:tcPr>
            <w:tcW w:w="704" w:type="dxa"/>
          </w:tcPr>
          <w:p w14:paraId="5B8F1034" w14:textId="77777777" w:rsidR="001E1112" w:rsidRPr="00317ABF" w:rsidRDefault="001E1112" w:rsidP="00DB3BEC">
            <w:pPr>
              <w:jc w:val="both"/>
              <w:rPr>
                <w:sz w:val="22"/>
                <w:szCs w:val="22"/>
              </w:rPr>
            </w:pPr>
            <w:r w:rsidRPr="00317ABF">
              <w:rPr>
                <w:sz w:val="22"/>
                <w:szCs w:val="22"/>
              </w:rPr>
              <w:lastRenderedPageBreak/>
              <w:t>Art. 61 ust. 5</w:t>
            </w:r>
          </w:p>
        </w:tc>
        <w:tc>
          <w:tcPr>
            <w:tcW w:w="4308" w:type="dxa"/>
          </w:tcPr>
          <w:p w14:paraId="0CBEAFDA" w14:textId="77777777" w:rsidR="001E1112" w:rsidRPr="00317ABF" w:rsidRDefault="001E1112" w:rsidP="00DB3BEC">
            <w:pPr>
              <w:spacing w:before="120"/>
              <w:jc w:val="both"/>
              <w:rPr>
                <w:sz w:val="22"/>
                <w:szCs w:val="22"/>
              </w:rPr>
            </w:pPr>
            <w:r w:rsidRPr="00317ABF">
              <w:rPr>
                <w:sz w:val="22"/>
                <w:szCs w:val="22"/>
              </w:rPr>
              <w:t>5.   Obowiązki i warunki nałożone zgodnie z ust. 1–4 niniejszego artykułu muszą być obiektywne, przejrzyste, proporcjonalne i niedyskryminacyjne i muszą być wdrażane zgodnie z procedurami, o których mowa w art. 23, 32 i 33. Krajowe organy regulacyjne i inne właściwe organy, które nałożyły takie obowiązki i warunki oceniają wyniki obowiązywania tych obowiązków i warunków w terminie pięciu lat od przyjęcia poprzedniego środka przyjętego w stosunku do tych samych przedsiębiorstw oraz ustalają, czy w świetle zmieniających się warunków należałoby je znieść lub zmienić. Organy te informują o wynikach swojej oceny zgodnie procedurami, o których mowa w art. 23, 32 i 33.</w:t>
            </w:r>
          </w:p>
        </w:tc>
        <w:tc>
          <w:tcPr>
            <w:tcW w:w="986" w:type="dxa"/>
          </w:tcPr>
          <w:p w14:paraId="6900796E" w14:textId="383FCE15" w:rsidR="001E1112" w:rsidRPr="00317ABF" w:rsidRDefault="001E1112" w:rsidP="00DB3BEC">
            <w:pPr>
              <w:jc w:val="both"/>
              <w:rPr>
                <w:b/>
                <w:sz w:val="22"/>
                <w:szCs w:val="22"/>
              </w:rPr>
            </w:pPr>
            <w:r w:rsidRPr="00317ABF">
              <w:rPr>
                <w:b/>
                <w:sz w:val="22"/>
                <w:szCs w:val="22"/>
              </w:rPr>
              <w:t>T</w:t>
            </w:r>
          </w:p>
        </w:tc>
        <w:tc>
          <w:tcPr>
            <w:tcW w:w="910" w:type="dxa"/>
          </w:tcPr>
          <w:p w14:paraId="15BA3315" w14:textId="6274E693" w:rsidR="001E1112" w:rsidRPr="00317ABF" w:rsidRDefault="001E1112" w:rsidP="00BB75CB">
            <w:pPr>
              <w:pStyle w:val="Tekstpodstawowy"/>
              <w:rPr>
                <w:b/>
                <w:noProof/>
                <w:sz w:val="22"/>
                <w:szCs w:val="22"/>
              </w:rPr>
            </w:pPr>
            <w:r w:rsidRPr="00317ABF">
              <w:rPr>
                <w:b/>
                <w:noProof/>
                <w:sz w:val="22"/>
                <w:szCs w:val="22"/>
              </w:rPr>
              <w:t xml:space="preserve">Art. </w:t>
            </w:r>
            <w:r w:rsidR="00BB75CB" w:rsidRPr="00317ABF">
              <w:rPr>
                <w:b/>
                <w:noProof/>
                <w:sz w:val="22"/>
                <w:szCs w:val="22"/>
              </w:rPr>
              <w:t>177; art. 182</w:t>
            </w:r>
            <w:r w:rsidRPr="00317ABF">
              <w:rPr>
                <w:b/>
                <w:noProof/>
                <w:sz w:val="22"/>
                <w:szCs w:val="22"/>
              </w:rPr>
              <w:t xml:space="preserve"> </w:t>
            </w:r>
          </w:p>
        </w:tc>
        <w:tc>
          <w:tcPr>
            <w:tcW w:w="6814" w:type="dxa"/>
            <w:gridSpan w:val="2"/>
          </w:tcPr>
          <w:p w14:paraId="45BEF460" w14:textId="77777777" w:rsidR="00BB75CB" w:rsidRPr="00317ABF" w:rsidRDefault="00BB75CB" w:rsidP="00BB75CB">
            <w:pPr>
              <w:pStyle w:val="ARTartustawynprozporzdzenia"/>
              <w:spacing w:line="240" w:lineRule="auto"/>
              <w:rPr>
                <w:rFonts w:ascii="Times New Roman" w:hAnsi="Times New Roman" w:cs="Times New Roman"/>
                <w:szCs w:val="24"/>
              </w:rPr>
            </w:pPr>
            <w:r w:rsidRPr="00317ABF">
              <w:rPr>
                <w:rStyle w:val="Ppogrubienie"/>
                <w:rFonts w:ascii="Times New Roman" w:hAnsi="Times New Roman"/>
                <w:szCs w:val="24"/>
              </w:rPr>
              <w:t>Art. 177.</w:t>
            </w:r>
            <w:r w:rsidRPr="00317ABF">
              <w:rPr>
                <w:rFonts w:ascii="Times New Roman" w:hAnsi="Times New Roman" w:cs="Times New Roman"/>
                <w:szCs w:val="24"/>
              </w:rPr>
              <w:t xml:space="preserve"> 1. Przez obowiązek dostępowy symetryczny rozumie się obowiązek nakładany przez Prezesa UKE, o którym mowa w art. 178 ust. 1, art. 179 ust. 1, art. 180 oraz art. 181.</w:t>
            </w:r>
          </w:p>
          <w:p w14:paraId="49B1D58D" w14:textId="54C5D31A" w:rsidR="00BB75CB" w:rsidRPr="00317ABF" w:rsidRDefault="00BB75CB" w:rsidP="00BB75CB">
            <w:pPr>
              <w:pStyle w:val="USTustnpkodeksu"/>
              <w:spacing w:line="240" w:lineRule="auto"/>
              <w:rPr>
                <w:rFonts w:ascii="Times New Roman" w:hAnsi="Times New Roman" w:cs="Times New Roman"/>
                <w:szCs w:val="24"/>
              </w:rPr>
            </w:pPr>
            <w:r w:rsidRPr="00317ABF">
              <w:rPr>
                <w:rFonts w:ascii="Times New Roman" w:hAnsi="Times New Roman" w:cs="Times New Roman"/>
                <w:szCs w:val="24"/>
              </w:rPr>
              <w:t>2. Prezes UKE nakładając obowiązek dostępowy symetryczny zapewnia, aby był on obiektywny, przejrzysty, proporcjonalny i niedyskryminacyjny.</w:t>
            </w:r>
          </w:p>
          <w:p w14:paraId="081E2081" w14:textId="77777777" w:rsidR="00BB75CB" w:rsidRPr="00317ABF" w:rsidRDefault="00BB75CB" w:rsidP="00BB75CB">
            <w:pPr>
              <w:pStyle w:val="USTustnpkodeksu"/>
              <w:spacing w:line="240" w:lineRule="auto"/>
              <w:ind w:firstLine="0"/>
              <w:rPr>
                <w:rFonts w:ascii="Times New Roman" w:hAnsi="Times New Roman" w:cs="Times New Roman"/>
                <w:szCs w:val="24"/>
              </w:rPr>
            </w:pPr>
          </w:p>
          <w:p w14:paraId="59EA7215" w14:textId="77777777" w:rsidR="00BB75CB" w:rsidRPr="00317ABF" w:rsidRDefault="00BB75CB" w:rsidP="00BB75CB">
            <w:pPr>
              <w:pStyle w:val="ARTartustawynprozporzdzenia"/>
              <w:spacing w:line="240" w:lineRule="auto"/>
              <w:rPr>
                <w:rFonts w:ascii="Times New Roman" w:hAnsi="Times New Roman" w:cs="Times New Roman"/>
                <w:szCs w:val="24"/>
              </w:rPr>
            </w:pPr>
            <w:r w:rsidRPr="00317ABF">
              <w:rPr>
                <w:rStyle w:val="Ppogrubienie"/>
                <w:rFonts w:ascii="Times New Roman" w:hAnsi="Times New Roman"/>
                <w:szCs w:val="24"/>
              </w:rPr>
              <w:t>Art. 182.</w:t>
            </w:r>
            <w:r w:rsidRPr="00317ABF">
              <w:rPr>
                <w:rFonts w:ascii="Times New Roman" w:hAnsi="Times New Roman" w:cs="Times New Roman"/>
                <w:szCs w:val="24"/>
              </w:rPr>
              <w:t xml:space="preserve"> 1.</w:t>
            </w:r>
            <w:r w:rsidRPr="00317ABF">
              <w:rPr>
                <w:rFonts w:ascii="Times New Roman" w:hAnsi="Times New Roman" w:cs="Times New Roman"/>
                <w:szCs w:val="24"/>
              </w:rPr>
              <w:tab/>
              <w:t>W terminie 5 lat od wydania ostatecznej decyzji nakładającej obowiązek dostępowy symetryczny, z wyłączeniem decyzji, o której mowa w art. 181, Prezes UKE wydaje z urzędu postanowienie o:</w:t>
            </w:r>
          </w:p>
          <w:p w14:paraId="122766A0" w14:textId="77777777" w:rsidR="00BB75CB" w:rsidRPr="00317ABF" w:rsidRDefault="00BB75CB" w:rsidP="00BB75CB">
            <w:pPr>
              <w:pStyle w:val="PKTpunkt0"/>
              <w:spacing w:line="240" w:lineRule="auto"/>
              <w:rPr>
                <w:rFonts w:ascii="Times New Roman" w:hAnsi="Times New Roman" w:cs="Times New Roman"/>
                <w:szCs w:val="24"/>
              </w:rPr>
            </w:pPr>
            <w:r w:rsidRPr="00317ABF">
              <w:rPr>
                <w:rFonts w:ascii="Times New Roman" w:hAnsi="Times New Roman" w:cs="Times New Roman"/>
                <w:szCs w:val="24"/>
              </w:rPr>
              <w:t>1)</w:t>
            </w:r>
            <w:r w:rsidRPr="00317ABF">
              <w:rPr>
                <w:rFonts w:ascii="Times New Roman" w:hAnsi="Times New Roman" w:cs="Times New Roman"/>
                <w:szCs w:val="24"/>
              </w:rPr>
              <w:tab/>
              <w:t>reasumpcji postępowania, albo</w:t>
            </w:r>
          </w:p>
          <w:p w14:paraId="0C98B72F" w14:textId="77777777" w:rsidR="00BB75CB" w:rsidRPr="00317ABF" w:rsidRDefault="00BB75CB" w:rsidP="00BB75CB">
            <w:pPr>
              <w:pStyle w:val="PKTpunkt0"/>
              <w:spacing w:line="240" w:lineRule="auto"/>
              <w:rPr>
                <w:rFonts w:ascii="Times New Roman" w:hAnsi="Times New Roman" w:cs="Times New Roman"/>
                <w:szCs w:val="24"/>
              </w:rPr>
            </w:pPr>
            <w:r w:rsidRPr="00317ABF">
              <w:rPr>
                <w:rFonts w:ascii="Times New Roman" w:hAnsi="Times New Roman" w:cs="Times New Roman"/>
                <w:szCs w:val="24"/>
              </w:rPr>
              <w:t>2)</w:t>
            </w:r>
            <w:r w:rsidRPr="00317ABF">
              <w:rPr>
                <w:rFonts w:ascii="Times New Roman" w:hAnsi="Times New Roman" w:cs="Times New Roman"/>
                <w:szCs w:val="24"/>
              </w:rPr>
              <w:tab/>
              <w:t>braku podstaw do reasumpcji postępowania w sprawie, w której wydano tę decyzję.</w:t>
            </w:r>
          </w:p>
          <w:p w14:paraId="59B83C3F" w14:textId="77777777" w:rsidR="00BB75CB" w:rsidRPr="00317ABF" w:rsidRDefault="00BB75CB" w:rsidP="00BB75CB">
            <w:pPr>
              <w:pStyle w:val="USTustnpkodeksu"/>
              <w:spacing w:line="240" w:lineRule="auto"/>
              <w:rPr>
                <w:rFonts w:ascii="Times New Roman" w:hAnsi="Times New Roman" w:cs="Times New Roman"/>
                <w:szCs w:val="24"/>
              </w:rPr>
            </w:pPr>
            <w:r w:rsidRPr="00317ABF">
              <w:rPr>
                <w:rFonts w:ascii="Times New Roman" w:hAnsi="Times New Roman" w:cs="Times New Roman"/>
                <w:szCs w:val="24"/>
              </w:rPr>
              <w:t>2. Postanowienie o reasumpcji postępowania wydaje się, jeżeli zachodzą poważne wątpliwości co do tego, czy przesłanki nałożenia obowiązku są nadal spełnione albo czy w przypadku uchylenia obowiązku nadal byłyby podstawy do jego nałożenia w takim zakresie, jaki przewidywała decyzja.</w:t>
            </w:r>
          </w:p>
          <w:p w14:paraId="0BEC233E" w14:textId="77777777" w:rsidR="00BB75CB" w:rsidRPr="00317ABF" w:rsidRDefault="00BB75CB" w:rsidP="00BB75CB">
            <w:pPr>
              <w:pStyle w:val="USTustnpkodeksu"/>
              <w:spacing w:line="240" w:lineRule="auto"/>
              <w:rPr>
                <w:rFonts w:ascii="Times New Roman" w:hAnsi="Times New Roman" w:cs="Times New Roman"/>
                <w:szCs w:val="24"/>
              </w:rPr>
            </w:pPr>
            <w:r w:rsidRPr="00317ABF">
              <w:rPr>
                <w:rFonts w:ascii="Times New Roman" w:hAnsi="Times New Roman" w:cs="Times New Roman"/>
                <w:szCs w:val="24"/>
              </w:rPr>
              <w:t>3. W przypadku reasumpcji postępowania Prezes UKE wydaje decyzję o:</w:t>
            </w:r>
          </w:p>
          <w:p w14:paraId="7D10B9A4" w14:textId="77777777" w:rsidR="00BB75CB" w:rsidRPr="00317ABF" w:rsidRDefault="00BB75CB" w:rsidP="00BB75CB">
            <w:pPr>
              <w:pStyle w:val="PKTpunkt0"/>
              <w:spacing w:line="240" w:lineRule="auto"/>
              <w:rPr>
                <w:rFonts w:ascii="Times New Roman" w:hAnsi="Times New Roman" w:cs="Times New Roman"/>
                <w:szCs w:val="24"/>
              </w:rPr>
            </w:pPr>
            <w:r w:rsidRPr="00317ABF">
              <w:rPr>
                <w:rFonts w:ascii="Times New Roman" w:hAnsi="Times New Roman" w:cs="Times New Roman"/>
                <w:szCs w:val="24"/>
              </w:rPr>
              <w:t xml:space="preserve">1) </w:t>
            </w:r>
            <w:r w:rsidRPr="00317ABF">
              <w:rPr>
                <w:rFonts w:ascii="Times New Roman" w:hAnsi="Times New Roman" w:cs="Times New Roman"/>
                <w:szCs w:val="24"/>
              </w:rPr>
              <w:tab/>
              <w:t>braku podstaw do zmiany lub uchylenia decyzji,</w:t>
            </w:r>
          </w:p>
          <w:p w14:paraId="05AECAA8" w14:textId="77777777" w:rsidR="00BB75CB" w:rsidRPr="00317ABF" w:rsidRDefault="00BB75CB" w:rsidP="00BB75CB">
            <w:pPr>
              <w:pStyle w:val="PKTpunkt0"/>
              <w:spacing w:line="240" w:lineRule="auto"/>
              <w:rPr>
                <w:rFonts w:ascii="Times New Roman" w:hAnsi="Times New Roman" w:cs="Times New Roman"/>
                <w:szCs w:val="24"/>
              </w:rPr>
            </w:pPr>
            <w:r w:rsidRPr="00317ABF">
              <w:rPr>
                <w:rFonts w:ascii="Times New Roman" w:hAnsi="Times New Roman" w:cs="Times New Roman"/>
                <w:szCs w:val="24"/>
              </w:rPr>
              <w:t xml:space="preserve">2) </w:t>
            </w:r>
            <w:r w:rsidRPr="00317ABF">
              <w:rPr>
                <w:rFonts w:ascii="Times New Roman" w:hAnsi="Times New Roman" w:cs="Times New Roman"/>
                <w:szCs w:val="24"/>
              </w:rPr>
              <w:tab/>
              <w:t>zmianie decyzji, lub</w:t>
            </w:r>
          </w:p>
          <w:p w14:paraId="3B3DE22E" w14:textId="77777777" w:rsidR="00BB75CB" w:rsidRPr="00317ABF" w:rsidRDefault="00BB75CB" w:rsidP="00BB75CB">
            <w:pPr>
              <w:pStyle w:val="PKTpunkt0"/>
              <w:spacing w:line="240" w:lineRule="auto"/>
              <w:rPr>
                <w:rFonts w:ascii="Times New Roman" w:hAnsi="Times New Roman" w:cs="Times New Roman"/>
                <w:szCs w:val="24"/>
              </w:rPr>
            </w:pPr>
            <w:r w:rsidRPr="00317ABF">
              <w:rPr>
                <w:rFonts w:ascii="Times New Roman" w:hAnsi="Times New Roman" w:cs="Times New Roman"/>
                <w:szCs w:val="24"/>
              </w:rPr>
              <w:t xml:space="preserve">3) </w:t>
            </w:r>
            <w:r w:rsidRPr="00317ABF">
              <w:rPr>
                <w:rFonts w:ascii="Times New Roman" w:hAnsi="Times New Roman" w:cs="Times New Roman"/>
                <w:szCs w:val="24"/>
              </w:rPr>
              <w:tab/>
              <w:t>uchyleniu decyzji.</w:t>
            </w:r>
          </w:p>
          <w:p w14:paraId="501AD33B" w14:textId="07B0F602" w:rsidR="001E1112" w:rsidRPr="00317ABF" w:rsidRDefault="00BB75CB" w:rsidP="00BB75CB">
            <w:pPr>
              <w:pStyle w:val="USTustnpkodeksu"/>
              <w:spacing w:line="240" w:lineRule="auto"/>
              <w:ind w:firstLine="0"/>
              <w:rPr>
                <w:rFonts w:ascii="Times New Roman" w:hAnsi="Times New Roman" w:cs="Times New Roman"/>
                <w:szCs w:val="24"/>
              </w:rPr>
            </w:pPr>
            <w:r w:rsidRPr="00317ABF">
              <w:rPr>
                <w:rFonts w:ascii="Times New Roman" w:hAnsi="Times New Roman" w:cs="Times New Roman"/>
                <w:szCs w:val="24"/>
              </w:rPr>
              <w:t xml:space="preserve">4. W terminie 5 lat od wydania postanowienia, o którym mowa w ust. 1, Prezes UKE jest obowiązany wydać kolejne postanowienie o reasumpcji postępowania albo o braku podstaw do reasumpcji </w:t>
            </w:r>
            <w:r w:rsidRPr="00317ABF">
              <w:rPr>
                <w:rFonts w:ascii="Times New Roman" w:hAnsi="Times New Roman" w:cs="Times New Roman"/>
                <w:szCs w:val="24"/>
              </w:rPr>
              <w:lastRenderedPageBreak/>
              <w:t>postępowania w sprawie, w której obowiązuje decyzja, o której mowa w ust. 1 lub ust. 3 pkt 1 lub 2. Do postanowienia stosuje się ust. 2-3.</w:t>
            </w:r>
          </w:p>
          <w:p w14:paraId="0E9FDC51" w14:textId="77777777" w:rsidR="001E1112" w:rsidRPr="00317ABF" w:rsidRDefault="001E1112" w:rsidP="00DB3BEC">
            <w:pPr>
              <w:pStyle w:val="Tekstpodstawowy"/>
              <w:rPr>
                <w:sz w:val="22"/>
                <w:szCs w:val="22"/>
              </w:rPr>
            </w:pPr>
          </w:p>
        </w:tc>
      </w:tr>
      <w:tr w:rsidR="001E1112" w:rsidRPr="00317ABF" w14:paraId="40F26C9A" w14:textId="77777777" w:rsidTr="7753F98D">
        <w:trPr>
          <w:gridAfter w:val="2"/>
          <w:wAfter w:w="175" w:type="dxa"/>
        </w:trPr>
        <w:tc>
          <w:tcPr>
            <w:tcW w:w="704" w:type="dxa"/>
          </w:tcPr>
          <w:p w14:paraId="1C75A997" w14:textId="77777777" w:rsidR="001E1112" w:rsidRPr="00317ABF" w:rsidRDefault="001E1112" w:rsidP="00DB3BEC">
            <w:pPr>
              <w:jc w:val="both"/>
              <w:rPr>
                <w:sz w:val="22"/>
                <w:szCs w:val="22"/>
              </w:rPr>
            </w:pPr>
            <w:r w:rsidRPr="00317ABF">
              <w:rPr>
                <w:sz w:val="22"/>
                <w:szCs w:val="22"/>
              </w:rPr>
              <w:lastRenderedPageBreak/>
              <w:t>Art. 61 ust. 6</w:t>
            </w:r>
          </w:p>
        </w:tc>
        <w:tc>
          <w:tcPr>
            <w:tcW w:w="4308" w:type="dxa"/>
          </w:tcPr>
          <w:p w14:paraId="7C023C39" w14:textId="77777777" w:rsidR="001E1112" w:rsidRPr="00317ABF" w:rsidRDefault="001E1112" w:rsidP="00DB3BEC">
            <w:pPr>
              <w:spacing w:before="120"/>
              <w:jc w:val="both"/>
              <w:rPr>
                <w:sz w:val="22"/>
                <w:szCs w:val="22"/>
              </w:rPr>
            </w:pPr>
            <w:r w:rsidRPr="00317ABF">
              <w:rPr>
                <w:sz w:val="22"/>
                <w:szCs w:val="22"/>
              </w:rPr>
              <w:t>6.   Na użytek ust. 1 i 2 niniejszego artykułu, państwa członkowskie zapewniają, aby krajowy organ regulacyjny był uprawniony do interweniowania z własnej inicjatywy, w uzasadnionych przypadkach, w celu zapewnienia przestrzegania celów polityki określonych w art. 3, zgodnie z niniejszą dyrektywą oraz procedurami, o których mowa w art. 23 i 32.</w:t>
            </w:r>
          </w:p>
        </w:tc>
        <w:tc>
          <w:tcPr>
            <w:tcW w:w="986" w:type="dxa"/>
          </w:tcPr>
          <w:p w14:paraId="202AA75C" w14:textId="4C99A851" w:rsidR="001E1112" w:rsidRPr="00317ABF" w:rsidRDefault="001E1112" w:rsidP="00DB3BEC">
            <w:pPr>
              <w:jc w:val="both"/>
              <w:rPr>
                <w:b/>
                <w:sz w:val="22"/>
                <w:szCs w:val="22"/>
              </w:rPr>
            </w:pPr>
            <w:r w:rsidRPr="00317ABF">
              <w:rPr>
                <w:b/>
                <w:sz w:val="22"/>
                <w:szCs w:val="22"/>
              </w:rPr>
              <w:t>T</w:t>
            </w:r>
          </w:p>
        </w:tc>
        <w:tc>
          <w:tcPr>
            <w:tcW w:w="910" w:type="dxa"/>
          </w:tcPr>
          <w:p w14:paraId="7351CF04" w14:textId="44846B85" w:rsidR="001E1112" w:rsidRPr="00317ABF" w:rsidRDefault="001E1112" w:rsidP="00BB75CB">
            <w:pPr>
              <w:pStyle w:val="Tekstpodstawowy"/>
              <w:rPr>
                <w:b/>
                <w:noProof/>
                <w:sz w:val="22"/>
                <w:szCs w:val="22"/>
              </w:rPr>
            </w:pPr>
            <w:r w:rsidRPr="00317ABF">
              <w:rPr>
                <w:b/>
                <w:noProof/>
                <w:sz w:val="22"/>
                <w:szCs w:val="22"/>
              </w:rPr>
              <w:t xml:space="preserve">Art. </w:t>
            </w:r>
            <w:r w:rsidR="00BB75CB" w:rsidRPr="00317ABF">
              <w:rPr>
                <w:b/>
                <w:noProof/>
                <w:sz w:val="22"/>
                <w:szCs w:val="22"/>
              </w:rPr>
              <w:t>182</w:t>
            </w:r>
          </w:p>
        </w:tc>
        <w:tc>
          <w:tcPr>
            <w:tcW w:w="6814" w:type="dxa"/>
            <w:gridSpan w:val="2"/>
          </w:tcPr>
          <w:p w14:paraId="187E53C7" w14:textId="77777777" w:rsidR="00BB75CB" w:rsidRPr="00317ABF" w:rsidRDefault="00BB75CB" w:rsidP="00BB75CB">
            <w:pPr>
              <w:pStyle w:val="ARTartustawynprozporzdzenia"/>
              <w:spacing w:line="240" w:lineRule="auto"/>
              <w:rPr>
                <w:rFonts w:ascii="Times New Roman" w:hAnsi="Times New Roman" w:cs="Times New Roman"/>
                <w:szCs w:val="24"/>
              </w:rPr>
            </w:pPr>
            <w:r w:rsidRPr="00317ABF">
              <w:rPr>
                <w:rStyle w:val="Ppogrubienie"/>
                <w:rFonts w:ascii="Times New Roman" w:hAnsi="Times New Roman"/>
                <w:szCs w:val="24"/>
              </w:rPr>
              <w:t>Art. 182.</w:t>
            </w:r>
            <w:r w:rsidRPr="00317ABF">
              <w:rPr>
                <w:rFonts w:ascii="Times New Roman" w:hAnsi="Times New Roman" w:cs="Times New Roman"/>
                <w:szCs w:val="24"/>
              </w:rPr>
              <w:t xml:space="preserve"> 1.</w:t>
            </w:r>
            <w:r w:rsidRPr="00317ABF">
              <w:rPr>
                <w:rFonts w:ascii="Times New Roman" w:hAnsi="Times New Roman" w:cs="Times New Roman"/>
                <w:szCs w:val="24"/>
              </w:rPr>
              <w:tab/>
              <w:t>W terminie 5 lat od wydania ostatecznej decyzji nakładającej obowiązek dostępowy symetryczny, z wyłączeniem decyzji, o której mowa w art. 181, Prezes UKE wydaje z urzędu postanowienie o:</w:t>
            </w:r>
          </w:p>
          <w:p w14:paraId="4160B516" w14:textId="77777777" w:rsidR="00BB75CB" w:rsidRPr="00317ABF" w:rsidRDefault="00BB75CB" w:rsidP="00BB75CB">
            <w:pPr>
              <w:pStyle w:val="PKTpunkt0"/>
              <w:spacing w:line="240" w:lineRule="auto"/>
              <w:rPr>
                <w:rFonts w:ascii="Times New Roman" w:hAnsi="Times New Roman" w:cs="Times New Roman"/>
                <w:szCs w:val="24"/>
              </w:rPr>
            </w:pPr>
            <w:r w:rsidRPr="00317ABF">
              <w:rPr>
                <w:rFonts w:ascii="Times New Roman" w:hAnsi="Times New Roman" w:cs="Times New Roman"/>
                <w:szCs w:val="24"/>
              </w:rPr>
              <w:t>1)</w:t>
            </w:r>
            <w:r w:rsidRPr="00317ABF">
              <w:rPr>
                <w:rFonts w:ascii="Times New Roman" w:hAnsi="Times New Roman" w:cs="Times New Roman"/>
                <w:szCs w:val="24"/>
              </w:rPr>
              <w:tab/>
              <w:t>reasumpcji postępowania, albo</w:t>
            </w:r>
          </w:p>
          <w:p w14:paraId="360FE4E2" w14:textId="77777777" w:rsidR="00BB75CB" w:rsidRPr="00317ABF" w:rsidRDefault="00BB75CB" w:rsidP="00BB75CB">
            <w:pPr>
              <w:pStyle w:val="PKTpunkt0"/>
              <w:spacing w:line="240" w:lineRule="auto"/>
              <w:rPr>
                <w:rFonts w:ascii="Times New Roman" w:hAnsi="Times New Roman" w:cs="Times New Roman"/>
                <w:szCs w:val="24"/>
              </w:rPr>
            </w:pPr>
            <w:r w:rsidRPr="00317ABF">
              <w:rPr>
                <w:rFonts w:ascii="Times New Roman" w:hAnsi="Times New Roman" w:cs="Times New Roman"/>
                <w:szCs w:val="24"/>
              </w:rPr>
              <w:t>2)</w:t>
            </w:r>
            <w:r w:rsidRPr="00317ABF">
              <w:rPr>
                <w:rFonts w:ascii="Times New Roman" w:hAnsi="Times New Roman" w:cs="Times New Roman"/>
                <w:szCs w:val="24"/>
              </w:rPr>
              <w:tab/>
              <w:t>braku podstaw do reasumpcji postępowania w sprawie, w której wydano tę decyzję.</w:t>
            </w:r>
          </w:p>
          <w:p w14:paraId="1ACC8E6A" w14:textId="77777777" w:rsidR="00BB75CB" w:rsidRPr="00317ABF" w:rsidRDefault="00BB75CB" w:rsidP="00BB75CB">
            <w:pPr>
              <w:pStyle w:val="USTustnpkodeksu"/>
              <w:spacing w:line="240" w:lineRule="auto"/>
              <w:rPr>
                <w:rFonts w:ascii="Times New Roman" w:hAnsi="Times New Roman" w:cs="Times New Roman"/>
                <w:szCs w:val="24"/>
              </w:rPr>
            </w:pPr>
            <w:r w:rsidRPr="00317ABF">
              <w:rPr>
                <w:rFonts w:ascii="Times New Roman" w:hAnsi="Times New Roman" w:cs="Times New Roman"/>
                <w:szCs w:val="24"/>
              </w:rPr>
              <w:t>2. Postanowienie o reasumpcji postępowania wydaje się, jeżeli zachodzą poważne wątpliwości co do tego, czy przesłanki nałożenia obowiązku są nadal spełnione albo czy w przypadku uchylenia obowiązku nadal byłyby podstawy do jego nałożenia w takim zakresie, jaki przewidywała decyzja.</w:t>
            </w:r>
          </w:p>
          <w:p w14:paraId="348049F5" w14:textId="77777777" w:rsidR="00BB75CB" w:rsidRPr="00317ABF" w:rsidRDefault="00BB75CB" w:rsidP="00BB75CB">
            <w:pPr>
              <w:pStyle w:val="USTustnpkodeksu"/>
              <w:spacing w:line="240" w:lineRule="auto"/>
              <w:rPr>
                <w:rFonts w:ascii="Times New Roman" w:hAnsi="Times New Roman" w:cs="Times New Roman"/>
                <w:szCs w:val="24"/>
              </w:rPr>
            </w:pPr>
            <w:r w:rsidRPr="00317ABF">
              <w:rPr>
                <w:rFonts w:ascii="Times New Roman" w:hAnsi="Times New Roman" w:cs="Times New Roman"/>
                <w:szCs w:val="24"/>
              </w:rPr>
              <w:t>3. W przypadku reasumpcji postępowania Prezes UKE wydaje decyzję o:</w:t>
            </w:r>
          </w:p>
          <w:p w14:paraId="38A2007D" w14:textId="77777777" w:rsidR="00BB75CB" w:rsidRPr="00317ABF" w:rsidRDefault="00BB75CB" w:rsidP="00BB75CB">
            <w:pPr>
              <w:pStyle w:val="PKTpunkt0"/>
              <w:spacing w:line="240" w:lineRule="auto"/>
              <w:rPr>
                <w:rFonts w:ascii="Times New Roman" w:hAnsi="Times New Roman" w:cs="Times New Roman"/>
                <w:szCs w:val="24"/>
              </w:rPr>
            </w:pPr>
            <w:r w:rsidRPr="00317ABF">
              <w:rPr>
                <w:rFonts w:ascii="Times New Roman" w:hAnsi="Times New Roman" w:cs="Times New Roman"/>
                <w:szCs w:val="24"/>
              </w:rPr>
              <w:t xml:space="preserve">1) </w:t>
            </w:r>
            <w:r w:rsidRPr="00317ABF">
              <w:rPr>
                <w:rFonts w:ascii="Times New Roman" w:hAnsi="Times New Roman" w:cs="Times New Roman"/>
                <w:szCs w:val="24"/>
              </w:rPr>
              <w:tab/>
              <w:t>braku podstaw do zmiany lub uchylenia decyzji,</w:t>
            </w:r>
          </w:p>
          <w:p w14:paraId="39F99600" w14:textId="77777777" w:rsidR="00BB75CB" w:rsidRPr="00317ABF" w:rsidRDefault="00BB75CB" w:rsidP="00BB75CB">
            <w:pPr>
              <w:pStyle w:val="PKTpunkt0"/>
              <w:spacing w:line="240" w:lineRule="auto"/>
              <w:rPr>
                <w:rFonts w:ascii="Times New Roman" w:hAnsi="Times New Roman" w:cs="Times New Roman"/>
                <w:szCs w:val="24"/>
              </w:rPr>
            </w:pPr>
            <w:r w:rsidRPr="00317ABF">
              <w:rPr>
                <w:rFonts w:ascii="Times New Roman" w:hAnsi="Times New Roman" w:cs="Times New Roman"/>
                <w:szCs w:val="24"/>
              </w:rPr>
              <w:t xml:space="preserve">2) </w:t>
            </w:r>
            <w:r w:rsidRPr="00317ABF">
              <w:rPr>
                <w:rFonts w:ascii="Times New Roman" w:hAnsi="Times New Roman" w:cs="Times New Roman"/>
                <w:szCs w:val="24"/>
              </w:rPr>
              <w:tab/>
              <w:t>zmianie decyzji, lub</w:t>
            </w:r>
          </w:p>
          <w:p w14:paraId="36FC48A1" w14:textId="77777777" w:rsidR="00BB75CB" w:rsidRPr="00317ABF" w:rsidRDefault="00BB75CB" w:rsidP="00BB75CB">
            <w:pPr>
              <w:pStyle w:val="PKTpunkt0"/>
              <w:spacing w:line="240" w:lineRule="auto"/>
              <w:rPr>
                <w:rFonts w:ascii="Times New Roman" w:hAnsi="Times New Roman" w:cs="Times New Roman"/>
                <w:szCs w:val="24"/>
              </w:rPr>
            </w:pPr>
            <w:r w:rsidRPr="00317ABF">
              <w:rPr>
                <w:rFonts w:ascii="Times New Roman" w:hAnsi="Times New Roman" w:cs="Times New Roman"/>
                <w:szCs w:val="24"/>
              </w:rPr>
              <w:t xml:space="preserve">3) </w:t>
            </w:r>
            <w:r w:rsidRPr="00317ABF">
              <w:rPr>
                <w:rFonts w:ascii="Times New Roman" w:hAnsi="Times New Roman" w:cs="Times New Roman"/>
                <w:szCs w:val="24"/>
              </w:rPr>
              <w:tab/>
              <w:t>uchyleniu decyzji.</w:t>
            </w:r>
          </w:p>
          <w:p w14:paraId="3DA79342" w14:textId="202CCF47" w:rsidR="001E1112" w:rsidRPr="00317ABF" w:rsidRDefault="00BB75CB" w:rsidP="00BB75CB">
            <w:pPr>
              <w:pStyle w:val="USTustnpkodeksu"/>
              <w:spacing w:line="240" w:lineRule="auto"/>
              <w:ind w:firstLine="0"/>
              <w:rPr>
                <w:rFonts w:ascii="Times New Roman" w:hAnsi="Times New Roman" w:cs="Times New Roman"/>
                <w:szCs w:val="24"/>
              </w:rPr>
            </w:pPr>
            <w:r w:rsidRPr="00317ABF">
              <w:rPr>
                <w:rFonts w:ascii="Times New Roman" w:hAnsi="Times New Roman" w:cs="Times New Roman"/>
                <w:szCs w:val="24"/>
              </w:rPr>
              <w:t>4. W terminie 5 lat od wydania postanowienia, o którym mowa w ust. 1, Prezes UKE jest obowiązany wydać kolejne postanowienie o reasumpcji postępowania albo o braku podstaw do reasumpcji postępowania w sprawie, w której obowiązuje decyzja, o której mowa w ust. 1 lub ust. 3 pkt 1 lub 2. Do postanowienia stosuje się ust. 2-3</w:t>
            </w:r>
          </w:p>
        </w:tc>
      </w:tr>
      <w:tr w:rsidR="001E1112" w:rsidRPr="00317ABF" w14:paraId="4734DE58" w14:textId="77777777" w:rsidTr="7753F98D">
        <w:trPr>
          <w:gridAfter w:val="2"/>
          <w:wAfter w:w="175" w:type="dxa"/>
        </w:trPr>
        <w:tc>
          <w:tcPr>
            <w:tcW w:w="704" w:type="dxa"/>
          </w:tcPr>
          <w:p w14:paraId="3489A519" w14:textId="77777777" w:rsidR="001E1112" w:rsidRPr="00317ABF" w:rsidRDefault="001E1112" w:rsidP="00DB3BEC">
            <w:pPr>
              <w:jc w:val="both"/>
              <w:rPr>
                <w:sz w:val="22"/>
                <w:szCs w:val="22"/>
              </w:rPr>
            </w:pPr>
            <w:r w:rsidRPr="00317ABF">
              <w:rPr>
                <w:sz w:val="22"/>
                <w:szCs w:val="22"/>
              </w:rPr>
              <w:t>Art. 61 ust. 7</w:t>
            </w:r>
          </w:p>
        </w:tc>
        <w:tc>
          <w:tcPr>
            <w:tcW w:w="4308" w:type="dxa"/>
          </w:tcPr>
          <w:p w14:paraId="4D6503EA" w14:textId="77777777" w:rsidR="001E1112" w:rsidRPr="00317ABF" w:rsidRDefault="001E1112" w:rsidP="00DB3BEC">
            <w:pPr>
              <w:spacing w:before="120"/>
              <w:jc w:val="both"/>
              <w:rPr>
                <w:sz w:val="22"/>
                <w:szCs w:val="22"/>
              </w:rPr>
            </w:pPr>
            <w:r w:rsidRPr="00317ABF">
              <w:rPr>
                <w:sz w:val="22"/>
                <w:szCs w:val="22"/>
              </w:rPr>
              <w:t xml:space="preserve">7.   Do dnia 21 czerwca 2020 r., aby przyczynić się do spójnego określania przez krajowe organy regulacyjne lokalizacji punktów zakończenia sieci, BEREC, po odbyciu konsultacji z zainteresowanymi stronami oraz w ścisłej współpracy z Komisją, przyjmie wytyczne w sprawie wspólnych podejść do określania punktu zakończenia sieci w różnych topologiach sieci. Krajowe organy regulacyjne w jak największym stopniu uwzględniają te </w:t>
            </w:r>
            <w:r w:rsidRPr="00317ABF">
              <w:rPr>
                <w:sz w:val="22"/>
                <w:szCs w:val="22"/>
              </w:rPr>
              <w:lastRenderedPageBreak/>
              <w:t>wytyczne przy określaniu lokalizacji punktów zakończenia sieci.</w:t>
            </w:r>
          </w:p>
        </w:tc>
        <w:tc>
          <w:tcPr>
            <w:tcW w:w="986" w:type="dxa"/>
          </w:tcPr>
          <w:p w14:paraId="7ED4CF92" w14:textId="2EC26F13" w:rsidR="001E1112" w:rsidRPr="00317ABF" w:rsidRDefault="001E1112" w:rsidP="00DB3BEC">
            <w:pPr>
              <w:jc w:val="both"/>
              <w:rPr>
                <w:b/>
                <w:sz w:val="22"/>
                <w:szCs w:val="22"/>
              </w:rPr>
            </w:pPr>
            <w:r w:rsidRPr="00317ABF">
              <w:rPr>
                <w:b/>
                <w:sz w:val="22"/>
                <w:szCs w:val="22"/>
              </w:rPr>
              <w:lastRenderedPageBreak/>
              <w:t>N (z wyjątkiem zdania ostatniego)</w:t>
            </w:r>
            <w:r w:rsidRPr="00317ABF">
              <w:rPr>
                <w:b/>
                <w:sz w:val="22"/>
                <w:szCs w:val="22"/>
              </w:rPr>
              <w:br/>
            </w:r>
            <w:r w:rsidRPr="00317ABF">
              <w:rPr>
                <w:b/>
                <w:sz w:val="22"/>
                <w:szCs w:val="22"/>
              </w:rPr>
              <w:br/>
              <w:t xml:space="preserve">T (w zakresie zdania </w:t>
            </w:r>
            <w:r w:rsidRPr="00317ABF">
              <w:rPr>
                <w:b/>
                <w:sz w:val="22"/>
                <w:szCs w:val="22"/>
              </w:rPr>
              <w:lastRenderedPageBreak/>
              <w:t>ostatniego)</w:t>
            </w:r>
          </w:p>
        </w:tc>
        <w:tc>
          <w:tcPr>
            <w:tcW w:w="910" w:type="dxa"/>
          </w:tcPr>
          <w:p w14:paraId="4671AF1F" w14:textId="776D4128" w:rsidR="001E1112" w:rsidRPr="00317ABF" w:rsidRDefault="001E1112" w:rsidP="00DB3BEC">
            <w:pPr>
              <w:pStyle w:val="Tekstpodstawowy"/>
              <w:rPr>
                <w:b/>
                <w:noProof/>
                <w:sz w:val="22"/>
                <w:szCs w:val="22"/>
              </w:rPr>
            </w:pPr>
            <w:r w:rsidRPr="00317ABF">
              <w:rPr>
                <w:b/>
                <w:noProof/>
                <w:sz w:val="22"/>
                <w:szCs w:val="22"/>
              </w:rPr>
              <w:lastRenderedPageBreak/>
              <w:t xml:space="preserve">Art. 4 ust. 3 </w:t>
            </w:r>
          </w:p>
        </w:tc>
        <w:tc>
          <w:tcPr>
            <w:tcW w:w="6814" w:type="dxa"/>
            <w:gridSpan w:val="2"/>
          </w:tcPr>
          <w:p w14:paraId="62E8D409" w14:textId="77777777" w:rsidR="00DF5471" w:rsidRPr="00317ABF" w:rsidRDefault="001E1112" w:rsidP="00DF5471">
            <w:pPr>
              <w:spacing w:before="120"/>
              <w:jc w:val="both"/>
            </w:pPr>
            <w:r w:rsidRPr="00317ABF">
              <w:rPr>
                <w:b/>
                <w:sz w:val="22"/>
                <w:szCs w:val="22"/>
              </w:rPr>
              <w:t>Art. 4.</w:t>
            </w:r>
            <w:r w:rsidR="00BB75CB" w:rsidRPr="00317ABF">
              <w:rPr>
                <w:b/>
                <w:sz w:val="22"/>
                <w:szCs w:val="22"/>
              </w:rPr>
              <w:t xml:space="preserve"> ust. </w:t>
            </w:r>
            <w:r w:rsidR="00BB75CB" w:rsidRPr="00317ABF">
              <w:rPr>
                <w:b/>
              </w:rPr>
              <w:t>3</w:t>
            </w:r>
            <w:r w:rsidR="00BB75CB" w:rsidRPr="00317ABF">
              <w:t xml:space="preserve">. </w:t>
            </w:r>
          </w:p>
          <w:p w14:paraId="115197E8" w14:textId="191B45A6" w:rsidR="00BB75CB" w:rsidRPr="00317ABF" w:rsidRDefault="00BB75CB" w:rsidP="00DF5471">
            <w:pPr>
              <w:spacing w:before="120"/>
              <w:jc w:val="both"/>
              <w:rPr>
                <w:sz w:val="22"/>
                <w:szCs w:val="22"/>
              </w:rPr>
            </w:pPr>
            <w:r w:rsidRPr="00317ABF">
              <w:t>Prezes UKE uwzględnia przy stosowaniu ustawy w największym możliwie stopniu wytyczne, opinie, zalecenia, wspólne stanowiska, najlepsze praktyki i metodologie przyjmowane przez Organ Europejskich Regulatorów Łączności Elektronicznej, zwany dalej „BEREC”, w ich aktualnym brzmieniu.</w:t>
            </w:r>
          </w:p>
          <w:p w14:paraId="048F7877" w14:textId="77777777" w:rsidR="00BB75CB" w:rsidRPr="00317ABF" w:rsidRDefault="00BB75CB" w:rsidP="00BB75CB">
            <w:pPr>
              <w:spacing w:before="120"/>
              <w:ind w:left="360"/>
              <w:jc w:val="both"/>
              <w:rPr>
                <w:sz w:val="22"/>
                <w:szCs w:val="22"/>
              </w:rPr>
            </w:pPr>
          </w:p>
          <w:p w14:paraId="33CFBC03" w14:textId="3523293A" w:rsidR="001E1112" w:rsidRPr="00317ABF" w:rsidRDefault="001E1112" w:rsidP="00DB3BEC">
            <w:pPr>
              <w:spacing w:before="120"/>
              <w:ind w:left="360"/>
              <w:jc w:val="both"/>
              <w:rPr>
                <w:sz w:val="22"/>
                <w:szCs w:val="22"/>
              </w:rPr>
            </w:pPr>
            <w:r w:rsidRPr="00317ABF">
              <w:rPr>
                <w:sz w:val="22"/>
                <w:szCs w:val="22"/>
              </w:rPr>
              <w:t xml:space="preserve">. </w:t>
            </w:r>
          </w:p>
          <w:p w14:paraId="4549F8B5" w14:textId="7693E75B" w:rsidR="001E1112" w:rsidRPr="00317ABF" w:rsidRDefault="001E1112" w:rsidP="00DB3BEC">
            <w:pPr>
              <w:spacing w:before="120"/>
              <w:ind w:left="360"/>
              <w:jc w:val="both"/>
              <w:rPr>
                <w:sz w:val="22"/>
                <w:szCs w:val="22"/>
              </w:rPr>
            </w:pPr>
          </w:p>
        </w:tc>
      </w:tr>
      <w:tr w:rsidR="001E1112" w:rsidRPr="00317ABF" w14:paraId="7C2EB093" w14:textId="77777777" w:rsidTr="7753F98D">
        <w:trPr>
          <w:gridAfter w:val="2"/>
          <w:wAfter w:w="175" w:type="dxa"/>
        </w:trPr>
        <w:tc>
          <w:tcPr>
            <w:tcW w:w="704" w:type="dxa"/>
          </w:tcPr>
          <w:p w14:paraId="4E9124E6" w14:textId="77777777" w:rsidR="001E1112" w:rsidRPr="00317ABF" w:rsidRDefault="001E1112" w:rsidP="00DB3BEC">
            <w:pPr>
              <w:jc w:val="both"/>
              <w:rPr>
                <w:b/>
                <w:sz w:val="22"/>
                <w:szCs w:val="22"/>
              </w:rPr>
            </w:pPr>
            <w:r w:rsidRPr="00317ABF">
              <w:rPr>
                <w:b/>
                <w:sz w:val="22"/>
                <w:szCs w:val="22"/>
              </w:rPr>
              <w:lastRenderedPageBreak/>
              <w:t>Art. 62</w:t>
            </w:r>
          </w:p>
        </w:tc>
        <w:tc>
          <w:tcPr>
            <w:tcW w:w="4308" w:type="dxa"/>
          </w:tcPr>
          <w:p w14:paraId="0A712071" w14:textId="77777777" w:rsidR="001E1112" w:rsidRPr="00317ABF" w:rsidRDefault="001E1112" w:rsidP="00DB3BEC">
            <w:pPr>
              <w:spacing w:before="60" w:after="120"/>
              <w:jc w:val="both"/>
              <w:rPr>
                <w:b/>
                <w:bCs/>
                <w:sz w:val="22"/>
                <w:szCs w:val="22"/>
              </w:rPr>
            </w:pPr>
            <w:r w:rsidRPr="00317ABF">
              <w:rPr>
                <w:b/>
                <w:bCs/>
                <w:sz w:val="22"/>
                <w:szCs w:val="22"/>
              </w:rPr>
              <w:t>Systemy dostępu warunkowego oraz inne urządzenia</w:t>
            </w:r>
          </w:p>
        </w:tc>
        <w:tc>
          <w:tcPr>
            <w:tcW w:w="986" w:type="dxa"/>
          </w:tcPr>
          <w:p w14:paraId="7F7AADCC" w14:textId="77777777" w:rsidR="001E1112" w:rsidRPr="00317ABF" w:rsidRDefault="001E1112" w:rsidP="00DB3BEC">
            <w:pPr>
              <w:jc w:val="both"/>
              <w:rPr>
                <w:sz w:val="22"/>
                <w:szCs w:val="22"/>
              </w:rPr>
            </w:pPr>
          </w:p>
        </w:tc>
        <w:tc>
          <w:tcPr>
            <w:tcW w:w="910" w:type="dxa"/>
          </w:tcPr>
          <w:p w14:paraId="7DB604B1" w14:textId="77777777" w:rsidR="001E1112" w:rsidRPr="00317ABF" w:rsidRDefault="001E1112" w:rsidP="00DB3BEC">
            <w:pPr>
              <w:pStyle w:val="Tekstpodstawowy"/>
              <w:rPr>
                <w:b/>
                <w:noProof/>
                <w:sz w:val="22"/>
                <w:szCs w:val="22"/>
              </w:rPr>
            </w:pPr>
          </w:p>
        </w:tc>
        <w:tc>
          <w:tcPr>
            <w:tcW w:w="6814" w:type="dxa"/>
            <w:gridSpan w:val="2"/>
          </w:tcPr>
          <w:p w14:paraId="227D7A43" w14:textId="77777777" w:rsidR="001E1112" w:rsidRPr="00317ABF" w:rsidRDefault="001E1112" w:rsidP="00DB3BEC">
            <w:pPr>
              <w:pStyle w:val="Tekstpodstawowy"/>
              <w:rPr>
                <w:sz w:val="22"/>
                <w:szCs w:val="22"/>
              </w:rPr>
            </w:pPr>
          </w:p>
        </w:tc>
      </w:tr>
      <w:tr w:rsidR="001E1112" w:rsidRPr="00317ABF" w14:paraId="1F013944" w14:textId="77777777" w:rsidTr="7753F98D">
        <w:trPr>
          <w:gridAfter w:val="2"/>
          <w:wAfter w:w="175" w:type="dxa"/>
        </w:trPr>
        <w:tc>
          <w:tcPr>
            <w:tcW w:w="704" w:type="dxa"/>
          </w:tcPr>
          <w:p w14:paraId="1090974D" w14:textId="77777777" w:rsidR="001E1112" w:rsidRPr="00317ABF" w:rsidRDefault="001E1112" w:rsidP="00DB3BEC">
            <w:pPr>
              <w:jc w:val="both"/>
              <w:rPr>
                <w:sz w:val="22"/>
                <w:szCs w:val="22"/>
              </w:rPr>
            </w:pPr>
            <w:r w:rsidRPr="00317ABF">
              <w:rPr>
                <w:sz w:val="22"/>
                <w:szCs w:val="22"/>
              </w:rPr>
              <w:t>Art. 62 ust. 1</w:t>
            </w:r>
          </w:p>
        </w:tc>
        <w:tc>
          <w:tcPr>
            <w:tcW w:w="4308" w:type="dxa"/>
          </w:tcPr>
          <w:p w14:paraId="5547D60E" w14:textId="77777777" w:rsidR="001E1112" w:rsidRPr="00317ABF" w:rsidRDefault="001E1112" w:rsidP="00DB3BEC">
            <w:pPr>
              <w:spacing w:before="120"/>
              <w:jc w:val="both"/>
              <w:rPr>
                <w:sz w:val="22"/>
                <w:szCs w:val="22"/>
              </w:rPr>
            </w:pPr>
            <w:r w:rsidRPr="00317ABF">
              <w:rPr>
                <w:sz w:val="22"/>
                <w:szCs w:val="22"/>
              </w:rPr>
              <w:t>1.   Państwa członkowskie zapewniają, by warunki określone w załączniku II część I miały zastosowanie w odniesieniu do dostępu warunkowego telewidzów i radiosłuchaczy w Unii do cyfrowych usług telewizyjnych i radiowych, niezależnie od sposobu transmisji.</w:t>
            </w:r>
          </w:p>
        </w:tc>
        <w:tc>
          <w:tcPr>
            <w:tcW w:w="986" w:type="dxa"/>
          </w:tcPr>
          <w:p w14:paraId="0AC2E156" w14:textId="3AEE4EEA" w:rsidR="001E1112" w:rsidRPr="00317ABF" w:rsidRDefault="001E1112" w:rsidP="00DB3BEC">
            <w:pPr>
              <w:jc w:val="both"/>
              <w:rPr>
                <w:b/>
                <w:sz w:val="22"/>
                <w:szCs w:val="22"/>
              </w:rPr>
            </w:pPr>
            <w:r w:rsidRPr="00317ABF">
              <w:rPr>
                <w:b/>
                <w:sz w:val="22"/>
                <w:szCs w:val="22"/>
              </w:rPr>
              <w:t>T</w:t>
            </w:r>
          </w:p>
        </w:tc>
        <w:tc>
          <w:tcPr>
            <w:tcW w:w="910" w:type="dxa"/>
          </w:tcPr>
          <w:p w14:paraId="2F807A44" w14:textId="7991E29E" w:rsidR="001E1112" w:rsidRPr="00317ABF" w:rsidRDefault="001E1112" w:rsidP="00433B77">
            <w:pPr>
              <w:pStyle w:val="Tekstpodstawowy"/>
              <w:rPr>
                <w:b/>
                <w:noProof/>
                <w:sz w:val="22"/>
                <w:szCs w:val="22"/>
              </w:rPr>
            </w:pPr>
            <w:r w:rsidRPr="00317ABF">
              <w:rPr>
                <w:b/>
                <w:noProof/>
                <w:sz w:val="22"/>
                <w:szCs w:val="22"/>
              </w:rPr>
              <w:t xml:space="preserve">Art. </w:t>
            </w:r>
            <w:r w:rsidR="00433B77" w:rsidRPr="00317ABF">
              <w:rPr>
                <w:b/>
                <w:noProof/>
                <w:sz w:val="22"/>
                <w:szCs w:val="22"/>
              </w:rPr>
              <w:t>402</w:t>
            </w:r>
            <w:r w:rsidRPr="00317ABF">
              <w:rPr>
                <w:b/>
                <w:noProof/>
                <w:sz w:val="22"/>
                <w:szCs w:val="22"/>
              </w:rPr>
              <w:t xml:space="preserve"> ust. 1 i art. </w:t>
            </w:r>
            <w:r w:rsidR="00433B77" w:rsidRPr="00317ABF">
              <w:rPr>
                <w:b/>
                <w:noProof/>
                <w:sz w:val="22"/>
                <w:szCs w:val="22"/>
              </w:rPr>
              <w:t>404</w:t>
            </w:r>
            <w:r w:rsidRPr="00317ABF">
              <w:rPr>
                <w:b/>
                <w:noProof/>
                <w:sz w:val="22"/>
                <w:szCs w:val="22"/>
              </w:rPr>
              <w:t xml:space="preserve"> ust. 1</w:t>
            </w:r>
            <w:r w:rsidR="00433B77" w:rsidRPr="00317ABF">
              <w:rPr>
                <w:b/>
                <w:noProof/>
                <w:sz w:val="22"/>
                <w:szCs w:val="22"/>
              </w:rPr>
              <w:t>, 2 i 3</w:t>
            </w:r>
          </w:p>
        </w:tc>
        <w:tc>
          <w:tcPr>
            <w:tcW w:w="6814" w:type="dxa"/>
            <w:gridSpan w:val="2"/>
          </w:tcPr>
          <w:p w14:paraId="339F77A6" w14:textId="54EBD785" w:rsidR="001E1112" w:rsidRPr="00317ABF" w:rsidRDefault="001E1112" w:rsidP="00DB3BEC">
            <w:pPr>
              <w:pStyle w:val="Tekstpodstawowy"/>
              <w:rPr>
                <w:sz w:val="22"/>
                <w:szCs w:val="22"/>
              </w:rPr>
            </w:pPr>
            <w:r w:rsidRPr="00317ABF">
              <w:rPr>
                <w:sz w:val="22"/>
                <w:szCs w:val="22"/>
              </w:rPr>
              <w:t xml:space="preserve">Art. </w:t>
            </w:r>
            <w:r w:rsidR="00433B77" w:rsidRPr="00317ABF">
              <w:rPr>
                <w:sz w:val="22"/>
                <w:szCs w:val="22"/>
              </w:rPr>
              <w:t>402</w:t>
            </w:r>
            <w:r w:rsidRPr="00317ABF">
              <w:rPr>
                <w:sz w:val="22"/>
                <w:szCs w:val="22"/>
              </w:rPr>
              <w:t>. 1. Przedsiębiorca telekomunikacyjny dostarczający system dostępu warunkowego powinien oferować nadawcom na równych i niedyskryminujących warunkach usługi techniczne umożliwiające odbiór cyfrowych transmisji radiofonicznych i telewizyjnych za pomocą dekoderów zainstalowanych w sieciach lub u abonentów.</w:t>
            </w:r>
          </w:p>
          <w:p w14:paraId="2FB89CB2" w14:textId="4B9A4D3C" w:rsidR="001E1112" w:rsidRPr="00317ABF" w:rsidRDefault="001E1112" w:rsidP="00DB3BEC">
            <w:pPr>
              <w:pStyle w:val="Tekstpodstawowy"/>
              <w:rPr>
                <w:sz w:val="22"/>
                <w:szCs w:val="22"/>
              </w:rPr>
            </w:pPr>
            <w:r w:rsidRPr="00317ABF">
              <w:rPr>
                <w:sz w:val="22"/>
                <w:szCs w:val="22"/>
              </w:rPr>
              <w:t xml:space="preserve">Art. </w:t>
            </w:r>
            <w:r w:rsidR="00433B77" w:rsidRPr="00317ABF">
              <w:rPr>
                <w:sz w:val="22"/>
                <w:szCs w:val="22"/>
              </w:rPr>
              <w:t>404</w:t>
            </w:r>
            <w:r w:rsidRPr="00317ABF">
              <w:rPr>
                <w:sz w:val="22"/>
                <w:szCs w:val="22"/>
              </w:rPr>
              <w:t>. 1. Posiadacze praw własności przemysłowej obejmujących systemy dostępu warunkowego oraz usługi świadczone za ich pomocą są obowiązani do zawierania umów licencyjnych z producentami odbiorników sygnału telewizyjnego i odbiorników radiofonii cyfrowej na równych i niedyskryminujących warunkach.</w:t>
            </w:r>
          </w:p>
          <w:p w14:paraId="5860362C" w14:textId="77777777" w:rsidR="001E1112" w:rsidRPr="00317ABF" w:rsidRDefault="001E1112" w:rsidP="00DB3BEC">
            <w:pPr>
              <w:pStyle w:val="Tekstpodstawowy"/>
              <w:rPr>
                <w:sz w:val="22"/>
                <w:szCs w:val="22"/>
              </w:rPr>
            </w:pPr>
            <w:r w:rsidRPr="00317ABF">
              <w:rPr>
                <w:sz w:val="22"/>
                <w:szCs w:val="22"/>
              </w:rPr>
              <w:t>2. Postanowienia umów licencyjnych, o których mowa w ust. 1, nie powinny zabraniać, ograniczać lub zniechęcać do umieszczenia w urządzeniach, o których mowa w ust. 1:</w:t>
            </w:r>
          </w:p>
          <w:p w14:paraId="7E0B2A32" w14:textId="77777777" w:rsidR="001E1112" w:rsidRPr="00317ABF" w:rsidRDefault="001E1112" w:rsidP="00DB3BEC">
            <w:pPr>
              <w:pStyle w:val="Tekstpodstawowy"/>
              <w:rPr>
                <w:sz w:val="22"/>
                <w:szCs w:val="22"/>
              </w:rPr>
            </w:pPr>
            <w:r w:rsidRPr="00317ABF">
              <w:rPr>
                <w:sz w:val="22"/>
                <w:szCs w:val="22"/>
              </w:rPr>
              <w:t>1)</w:t>
            </w:r>
            <w:r w:rsidRPr="00317ABF">
              <w:rPr>
                <w:sz w:val="22"/>
                <w:szCs w:val="22"/>
              </w:rPr>
              <w:tab/>
              <w:t>wspólnego interfejsu pozwalającego na połączenie z innymi systemami dostępu warunkowego,</w:t>
            </w:r>
          </w:p>
          <w:p w14:paraId="0D5EB5CE" w14:textId="77777777" w:rsidR="001E1112" w:rsidRPr="00317ABF" w:rsidRDefault="001E1112" w:rsidP="00DB3BEC">
            <w:pPr>
              <w:pStyle w:val="Tekstpodstawowy"/>
              <w:rPr>
                <w:sz w:val="22"/>
                <w:szCs w:val="22"/>
              </w:rPr>
            </w:pPr>
            <w:r w:rsidRPr="00317ABF">
              <w:rPr>
                <w:sz w:val="22"/>
                <w:szCs w:val="22"/>
              </w:rPr>
              <w:t>2)</w:t>
            </w:r>
            <w:r w:rsidRPr="00317ABF">
              <w:rPr>
                <w:sz w:val="22"/>
                <w:szCs w:val="22"/>
              </w:rPr>
              <w:tab/>
              <w:t>elementów właściwych dla innych systemów dostępu warunkowego, jeżeli licencjobiorca przestrzega warunków gwarantujących bezpieczeństwo transakcji dokonywanych przez operatorów systemów dostępu warunkowego</w:t>
            </w:r>
          </w:p>
          <w:p w14:paraId="05715A35" w14:textId="77777777" w:rsidR="001E1112" w:rsidRPr="00317ABF" w:rsidRDefault="001E1112" w:rsidP="00DB3BEC">
            <w:pPr>
              <w:pStyle w:val="Tekstpodstawowy"/>
              <w:rPr>
                <w:sz w:val="22"/>
                <w:szCs w:val="22"/>
              </w:rPr>
            </w:pPr>
            <w:r w:rsidRPr="00317ABF">
              <w:rPr>
                <w:sz w:val="22"/>
                <w:szCs w:val="22"/>
              </w:rPr>
              <w:t>- z uwzględnieniem czynników technicznych i ekonomicznych.</w:t>
            </w:r>
          </w:p>
          <w:p w14:paraId="1599A875" w14:textId="689E69D6" w:rsidR="001E1112" w:rsidRPr="00317ABF" w:rsidRDefault="001E1112" w:rsidP="00DB3BEC">
            <w:pPr>
              <w:pStyle w:val="Tekstpodstawowy"/>
              <w:rPr>
                <w:sz w:val="22"/>
                <w:szCs w:val="22"/>
              </w:rPr>
            </w:pPr>
            <w:r w:rsidRPr="00317ABF">
              <w:rPr>
                <w:sz w:val="22"/>
                <w:szCs w:val="22"/>
              </w:rPr>
              <w:t>3. W zakresie nieuregulowanym w ust. 1 i 2 do umów licencyjnych stosuje się przepisy ustawy z dnia 30 czerwca 2000 r. - Prawo własności przemysłowej (Dz. U. z 2020 r. poz. 286, 2309, 1086 i 288 ).</w:t>
            </w:r>
          </w:p>
        </w:tc>
      </w:tr>
      <w:tr w:rsidR="001E1112" w:rsidRPr="00317ABF" w14:paraId="6FFFBABB" w14:textId="77777777" w:rsidTr="7753F98D">
        <w:trPr>
          <w:gridAfter w:val="2"/>
          <w:wAfter w:w="175" w:type="dxa"/>
        </w:trPr>
        <w:tc>
          <w:tcPr>
            <w:tcW w:w="704" w:type="dxa"/>
          </w:tcPr>
          <w:p w14:paraId="0E8B3723" w14:textId="77777777" w:rsidR="001E1112" w:rsidRPr="00317ABF" w:rsidRDefault="001E1112" w:rsidP="00DB3BEC">
            <w:pPr>
              <w:jc w:val="both"/>
              <w:rPr>
                <w:sz w:val="22"/>
                <w:szCs w:val="22"/>
              </w:rPr>
            </w:pPr>
            <w:r w:rsidRPr="00317ABF">
              <w:rPr>
                <w:sz w:val="22"/>
                <w:szCs w:val="22"/>
              </w:rPr>
              <w:t>Art. 62 ust. 2</w:t>
            </w:r>
          </w:p>
        </w:tc>
        <w:tc>
          <w:tcPr>
            <w:tcW w:w="4308" w:type="dxa"/>
          </w:tcPr>
          <w:p w14:paraId="79EE7625" w14:textId="77777777" w:rsidR="001E1112" w:rsidRPr="00317ABF" w:rsidRDefault="001E1112" w:rsidP="00DB3BEC">
            <w:pPr>
              <w:spacing w:before="120"/>
              <w:jc w:val="both"/>
              <w:rPr>
                <w:sz w:val="22"/>
                <w:szCs w:val="22"/>
              </w:rPr>
            </w:pPr>
            <w:r w:rsidRPr="00317ABF">
              <w:rPr>
                <w:sz w:val="22"/>
                <w:szCs w:val="22"/>
              </w:rPr>
              <w:t>2.   Jeżeli w wyniku dokonanej analizy rynku, przeprowadzonej zgodnie z art. 67 ust. 1 krajowy organ regulacyjny ustali, że jedno lub kilka przedsiębiorstw nie posiada znaczącej pozycji rynkowej na rynku właściwym, może zmienić albo znieść warunki w odniesieniu do tych przedsiębiorstw, zgodnie z procedurami, o których mowa w art. 23 oraz 32, jednakże wyłącznie w zakresie:</w:t>
            </w:r>
          </w:p>
          <w:tbl>
            <w:tblPr>
              <w:tblW w:w="5000" w:type="pct"/>
              <w:tblCellSpacing w:w="0" w:type="dxa"/>
              <w:tblLayout w:type="fixed"/>
              <w:tblCellMar>
                <w:left w:w="0" w:type="dxa"/>
                <w:right w:w="0" w:type="dxa"/>
              </w:tblCellMar>
              <w:tblLook w:val="04A0" w:firstRow="1" w:lastRow="0" w:firstColumn="1" w:lastColumn="0" w:noHBand="0" w:noVBand="1"/>
            </w:tblPr>
            <w:tblGrid>
              <w:gridCol w:w="20"/>
              <w:gridCol w:w="4148"/>
            </w:tblGrid>
            <w:tr w:rsidR="001E1112" w:rsidRPr="00317ABF" w14:paraId="38E18FC4" w14:textId="77777777" w:rsidTr="001D28BB">
              <w:trPr>
                <w:tblCellSpacing w:w="0" w:type="dxa"/>
              </w:trPr>
              <w:tc>
                <w:tcPr>
                  <w:tcW w:w="6" w:type="dxa"/>
                  <w:hideMark/>
                </w:tcPr>
                <w:p w14:paraId="28134476" w14:textId="77777777" w:rsidR="001E1112" w:rsidRPr="00317ABF" w:rsidRDefault="001E1112" w:rsidP="00EE0AC3">
                  <w:pPr>
                    <w:framePr w:hSpace="141" w:wrap="around" w:vAnchor="text" w:hAnchor="text" w:xAlign="right" w:y="1"/>
                    <w:spacing w:before="120"/>
                    <w:suppressOverlap/>
                    <w:jc w:val="both"/>
                    <w:rPr>
                      <w:sz w:val="22"/>
                      <w:szCs w:val="22"/>
                    </w:rPr>
                  </w:pPr>
                </w:p>
              </w:tc>
              <w:tc>
                <w:tcPr>
                  <w:tcW w:w="9066" w:type="dxa"/>
                  <w:hideMark/>
                </w:tcPr>
                <w:p w14:paraId="6D2516F4" w14:textId="77777777" w:rsidR="001E1112" w:rsidRPr="00317ABF" w:rsidRDefault="001E1112" w:rsidP="00EE0AC3">
                  <w:pPr>
                    <w:framePr w:hSpace="141" w:wrap="around" w:vAnchor="text" w:hAnchor="text" w:xAlign="right" w:y="1"/>
                    <w:numPr>
                      <w:ilvl w:val="0"/>
                      <w:numId w:val="49"/>
                    </w:numPr>
                    <w:spacing w:before="120"/>
                    <w:suppressOverlap/>
                    <w:jc w:val="both"/>
                    <w:rPr>
                      <w:sz w:val="22"/>
                      <w:szCs w:val="22"/>
                    </w:rPr>
                  </w:pPr>
                  <w:r w:rsidRPr="00317ABF">
                    <w:rPr>
                      <w:sz w:val="22"/>
                      <w:szCs w:val="22"/>
                    </w:rPr>
                    <w:t>w jakim taka zmiana lub zniesienie nie naruszyłyby dostępu użytkowników końcowych do programów, kanałów oraz usług radiowych i telewizyjnych określonych zgodnie z art. 114; oraz</w:t>
                  </w:r>
                </w:p>
              </w:tc>
            </w:tr>
          </w:tbl>
          <w:p w14:paraId="4CDB6EAC" w14:textId="77777777" w:rsidR="001E1112" w:rsidRPr="00317ABF" w:rsidRDefault="001E1112" w:rsidP="00DB3BEC">
            <w:pPr>
              <w:jc w:val="both"/>
              <w:rPr>
                <w:vanish/>
                <w:sz w:val="22"/>
                <w:szCs w:val="22"/>
              </w:rPr>
            </w:pPr>
          </w:p>
          <w:tbl>
            <w:tblPr>
              <w:tblW w:w="5000" w:type="pct"/>
              <w:tblCellSpacing w:w="0" w:type="dxa"/>
              <w:tblLayout w:type="fixed"/>
              <w:tblCellMar>
                <w:left w:w="0" w:type="dxa"/>
                <w:right w:w="0" w:type="dxa"/>
              </w:tblCellMar>
              <w:tblLook w:val="04A0" w:firstRow="1" w:lastRow="0" w:firstColumn="1" w:lastColumn="0" w:noHBand="0" w:noVBand="1"/>
            </w:tblPr>
            <w:tblGrid>
              <w:gridCol w:w="20"/>
              <w:gridCol w:w="4148"/>
            </w:tblGrid>
            <w:tr w:rsidR="001E1112" w:rsidRPr="00317ABF" w14:paraId="08439F95" w14:textId="77777777" w:rsidTr="001D28BB">
              <w:trPr>
                <w:tblCellSpacing w:w="0" w:type="dxa"/>
              </w:trPr>
              <w:tc>
                <w:tcPr>
                  <w:tcW w:w="6" w:type="dxa"/>
                  <w:hideMark/>
                </w:tcPr>
                <w:p w14:paraId="78C59919" w14:textId="77777777" w:rsidR="001E1112" w:rsidRPr="00317ABF" w:rsidRDefault="001E1112" w:rsidP="00EE0AC3">
                  <w:pPr>
                    <w:framePr w:hSpace="141" w:wrap="around" w:vAnchor="text" w:hAnchor="text" w:xAlign="right" w:y="1"/>
                    <w:spacing w:before="120"/>
                    <w:suppressOverlap/>
                    <w:jc w:val="both"/>
                    <w:rPr>
                      <w:sz w:val="22"/>
                      <w:szCs w:val="22"/>
                    </w:rPr>
                  </w:pPr>
                </w:p>
              </w:tc>
              <w:tc>
                <w:tcPr>
                  <w:tcW w:w="9066" w:type="dxa"/>
                  <w:hideMark/>
                </w:tcPr>
                <w:p w14:paraId="1FCE5B92" w14:textId="77777777" w:rsidR="001E1112" w:rsidRPr="00317ABF" w:rsidRDefault="001E1112" w:rsidP="00EE0AC3">
                  <w:pPr>
                    <w:framePr w:hSpace="141" w:wrap="around" w:vAnchor="text" w:hAnchor="text" w:xAlign="right" w:y="1"/>
                    <w:numPr>
                      <w:ilvl w:val="0"/>
                      <w:numId w:val="49"/>
                    </w:numPr>
                    <w:spacing w:before="120"/>
                    <w:suppressOverlap/>
                    <w:jc w:val="both"/>
                    <w:rPr>
                      <w:sz w:val="22"/>
                      <w:szCs w:val="22"/>
                    </w:rPr>
                  </w:pPr>
                  <w:r w:rsidRPr="00317ABF">
                    <w:rPr>
                      <w:sz w:val="22"/>
                      <w:szCs w:val="22"/>
                    </w:rPr>
                    <w:t>w jakim taka zmiana lub zniesienie nie naruszyłyby perspektyw efektywnej konkurencji na rynkach dla:</w:t>
                  </w:r>
                </w:p>
                <w:tbl>
                  <w:tblPr>
                    <w:tblW w:w="5000" w:type="pct"/>
                    <w:tblCellSpacing w:w="0" w:type="dxa"/>
                    <w:tblLayout w:type="fixed"/>
                    <w:tblCellMar>
                      <w:left w:w="0" w:type="dxa"/>
                      <w:right w:w="0" w:type="dxa"/>
                    </w:tblCellMar>
                    <w:tblLook w:val="04A0" w:firstRow="1" w:lastRow="0" w:firstColumn="1" w:lastColumn="0" w:noHBand="0" w:noVBand="1"/>
                  </w:tblPr>
                  <w:tblGrid>
                    <w:gridCol w:w="20"/>
                    <w:gridCol w:w="4128"/>
                  </w:tblGrid>
                  <w:tr w:rsidR="001E1112" w:rsidRPr="00317ABF" w14:paraId="33D0E702" w14:textId="77777777" w:rsidTr="001D28BB">
                    <w:trPr>
                      <w:tblCellSpacing w:w="0" w:type="dxa"/>
                    </w:trPr>
                    <w:tc>
                      <w:tcPr>
                        <w:tcW w:w="9" w:type="dxa"/>
                        <w:hideMark/>
                      </w:tcPr>
                      <w:p w14:paraId="281EC7BA" w14:textId="77777777" w:rsidR="001E1112" w:rsidRPr="00317ABF" w:rsidRDefault="001E1112" w:rsidP="00EE0AC3">
                        <w:pPr>
                          <w:framePr w:hSpace="141" w:wrap="around" w:vAnchor="text" w:hAnchor="text" w:xAlign="right" w:y="1"/>
                          <w:spacing w:before="120"/>
                          <w:suppressOverlap/>
                          <w:jc w:val="both"/>
                          <w:rPr>
                            <w:sz w:val="22"/>
                            <w:szCs w:val="22"/>
                          </w:rPr>
                        </w:pPr>
                      </w:p>
                    </w:tc>
                    <w:tc>
                      <w:tcPr>
                        <w:tcW w:w="9057" w:type="dxa"/>
                        <w:hideMark/>
                      </w:tcPr>
                      <w:p w14:paraId="469614E2" w14:textId="77777777" w:rsidR="001E1112" w:rsidRPr="00317ABF" w:rsidRDefault="001E1112" w:rsidP="00EE0AC3">
                        <w:pPr>
                          <w:framePr w:hSpace="141" w:wrap="around" w:vAnchor="text" w:hAnchor="text" w:xAlign="right" w:y="1"/>
                          <w:numPr>
                            <w:ilvl w:val="0"/>
                            <w:numId w:val="50"/>
                          </w:numPr>
                          <w:spacing w:before="120"/>
                          <w:suppressOverlap/>
                          <w:jc w:val="both"/>
                          <w:rPr>
                            <w:sz w:val="22"/>
                            <w:szCs w:val="22"/>
                          </w:rPr>
                        </w:pPr>
                        <w:r w:rsidRPr="00317ABF">
                          <w:rPr>
                            <w:sz w:val="22"/>
                            <w:szCs w:val="22"/>
                          </w:rPr>
                          <w:t>detalicznych cyfrowych usług radiowych i telewizyjnych; oraz</w:t>
                        </w:r>
                      </w:p>
                    </w:tc>
                  </w:tr>
                </w:tbl>
                <w:p w14:paraId="3488DA39" w14:textId="77777777" w:rsidR="001E1112" w:rsidRPr="00317ABF" w:rsidRDefault="001E1112" w:rsidP="00EE0AC3">
                  <w:pPr>
                    <w:framePr w:hSpace="141" w:wrap="around" w:vAnchor="text" w:hAnchor="text" w:xAlign="right" w:y="1"/>
                    <w:suppressOverlap/>
                    <w:jc w:val="both"/>
                    <w:rPr>
                      <w:vanish/>
                      <w:sz w:val="22"/>
                      <w:szCs w:val="22"/>
                    </w:rPr>
                  </w:pPr>
                </w:p>
                <w:tbl>
                  <w:tblPr>
                    <w:tblW w:w="5000" w:type="pct"/>
                    <w:tblCellSpacing w:w="0" w:type="dxa"/>
                    <w:tblLayout w:type="fixed"/>
                    <w:tblCellMar>
                      <w:left w:w="0" w:type="dxa"/>
                      <w:right w:w="0" w:type="dxa"/>
                    </w:tblCellMar>
                    <w:tblLook w:val="04A0" w:firstRow="1" w:lastRow="0" w:firstColumn="1" w:lastColumn="0" w:noHBand="0" w:noVBand="1"/>
                  </w:tblPr>
                  <w:tblGrid>
                    <w:gridCol w:w="20"/>
                    <w:gridCol w:w="4128"/>
                  </w:tblGrid>
                  <w:tr w:rsidR="001E1112" w:rsidRPr="00317ABF" w14:paraId="7FF2F28E" w14:textId="77777777" w:rsidTr="001D28BB">
                    <w:trPr>
                      <w:tblCellSpacing w:w="0" w:type="dxa"/>
                    </w:trPr>
                    <w:tc>
                      <w:tcPr>
                        <w:tcW w:w="8" w:type="dxa"/>
                        <w:hideMark/>
                      </w:tcPr>
                      <w:p w14:paraId="3FE6EC5B" w14:textId="77777777" w:rsidR="001E1112" w:rsidRPr="00317ABF" w:rsidRDefault="001E1112" w:rsidP="00EE0AC3">
                        <w:pPr>
                          <w:framePr w:hSpace="141" w:wrap="around" w:vAnchor="text" w:hAnchor="text" w:xAlign="right" w:y="1"/>
                          <w:spacing w:before="120"/>
                          <w:suppressOverlap/>
                          <w:jc w:val="both"/>
                          <w:rPr>
                            <w:sz w:val="22"/>
                            <w:szCs w:val="22"/>
                          </w:rPr>
                        </w:pPr>
                      </w:p>
                    </w:tc>
                    <w:tc>
                      <w:tcPr>
                        <w:tcW w:w="9058" w:type="dxa"/>
                        <w:hideMark/>
                      </w:tcPr>
                      <w:p w14:paraId="7ED9050C" w14:textId="77777777" w:rsidR="001E1112" w:rsidRPr="00317ABF" w:rsidRDefault="001E1112" w:rsidP="00EE0AC3">
                        <w:pPr>
                          <w:framePr w:hSpace="141" w:wrap="around" w:vAnchor="text" w:hAnchor="text" w:xAlign="right" w:y="1"/>
                          <w:numPr>
                            <w:ilvl w:val="0"/>
                            <w:numId w:val="50"/>
                          </w:numPr>
                          <w:spacing w:before="120"/>
                          <w:suppressOverlap/>
                          <w:jc w:val="both"/>
                          <w:rPr>
                            <w:sz w:val="22"/>
                            <w:szCs w:val="22"/>
                          </w:rPr>
                        </w:pPr>
                        <w:r w:rsidRPr="00317ABF">
                          <w:rPr>
                            <w:sz w:val="22"/>
                            <w:szCs w:val="22"/>
                          </w:rPr>
                          <w:t>systemów dostępu warunkowego i innych urządzeń towarzyszących.</w:t>
                        </w:r>
                      </w:p>
                    </w:tc>
                  </w:tr>
                </w:tbl>
                <w:p w14:paraId="517836EA" w14:textId="77777777" w:rsidR="001E1112" w:rsidRPr="00317ABF" w:rsidRDefault="001E1112" w:rsidP="00EE0AC3">
                  <w:pPr>
                    <w:framePr w:hSpace="141" w:wrap="around" w:vAnchor="text" w:hAnchor="text" w:xAlign="right" w:y="1"/>
                    <w:suppressOverlap/>
                    <w:jc w:val="both"/>
                    <w:rPr>
                      <w:sz w:val="22"/>
                      <w:szCs w:val="22"/>
                    </w:rPr>
                  </w:pPr>
                </w:p>
              </w:tc>
            </w:tr>
          </w:tbl>
          <w:p w14:paraId="176FEA95" w14:textId="77777777" w:rsidR="001E1112" w:rsidRPr="00317ABF" w:rsidRDefault="001E1112" w:rsidP="00DB3BEC">
            <w:pPr>
              <w:jc w:val="both"/>
              <w:rPr>
                <w:sz w:val="22"/>
                <w:szCs w:val="22"/>
              </w:rPr>
            </w:pPr>
            <w:r w:rsidRPr="00317ABF">
              <w:rPr>
                <w:sz w:val="22"/>
                <w:szCs w:val="22"/>
              </w:rPr>
              <w:t>Strony, których dotyczy zmiana lub zniesienie danych warunków, powiadamia się o tym z odpowiednim wyprzedzeniem.</w:t>
            </w:r>
          </w:p>
        </w:tc>
        <w:tc>
          <w:tcPr>
            <w:tcW w:w="986" w:type="dxa"/>
          </w:tcPr>
          <w:p w14:paraId="35FB8F6F" w14:textId="68276336" w:rsidR="001E1112" w:rsidRPr="00317ABF" w:rsidRDefault="001E1112" w:rsidP="00DB3BEC">
            <w:pPr>
              <w:jc w:val="both"/>
              <w:rPr>
                <w:b/>
                <w:sz w:val="22"/>
                <w:szCs w:val="22"/>
              </w:rPr>
            </w:pPr>
            <w:r w:rsidRPr="00317ABF">
              <w:rPr>
                <w:b/>
                <w:sz w:val="22"/>
                <w:szCs w:val="22"/>
              </w:rPr>
              <w:lastRenderedPageBreak/>
              <w:t>T</w:t>
            </w:r>
          </w:p>
        </w:tc>
        <w:tc>
          <w:tcPr>
            <w:tcW w:w="910" w:type="dxa"/>
          </w:tcPr>
          <w:p w14:paraId="2ADAAD6C" w14:textId="38E69782" w:rsidR="001E1112" w:rsidRPr="00317ABF" w:rsidRDefault="001E1112" w:rsidP="00433B77">
            <w:pPr>
              <w:pStyle w:val="Tekstpodstawowy"/>
              <w:rPr>
                <w:b/>
                <w:noProof/>
                <w:sz w:val="22"/>
                <w:szCs w:val="22"/>
              </w:rPr>
            </w:pPr>
            <w:r w:rsidRPr="00317ABF">
              <w:rPr>
                <w:b/>
                <w:noProof/>
                <w:sz w:val="22"/>
                <w:szCs w:val="22"/>
              </w:rPr>
              <w:t xml:space="preserve">Art. </w:t>
            </w:r>
            <w:r w:rsidR="00433B77" w:rsidRPr="00317ABF">
              <w:rPr>
                <w:b/>
                <w:noProof/>
                <w:sz w:val="22"/>
                <w:szCs w:val="22"/>
              </w:rPr>
              <w:t>403</w:t>
            </w:r>
          </w:p>
        </w:tc>
        <w:tc>
          <w:tcPr>
            <w:tcW w:w="6814" w:type="dxa"/>
            <w:gridSpan w:val="2"/>
          </w:tcPr>
          <w:p w14:paraId="46164314" w14:textId="461AB5A1" w:rsidR="001E1112" w:rsidRPr="00317ABF" w:rsidRDefault="001E1112" w:rsidP="00DB3BEC">
            <w:pPr>
              <w:pStyle w:val="Tekstpodstawowy"/>
              <w:rPr>
                <w:sz w:val="22"/>
                <w:szCs w:val="22"/>
              </w:rPr>
            </w:pPr>
            <w:r w:rsidRPr="00317ABF">
              <w:rPr>
                <w:sz w:val="22"/>
                <w:szCs w:val="22"/>
              </w:rPr>
              <w:t>Art. 370. Po przeprowadzeniu analizy rynku zgodnie z art. 1</w:t>
            </w:r>
            <w:r w:rsidR="00433B77" w:rsidRPr="00317ABF">
              <w:rPr>
                <w:sz w:val="22"/>
                <w:szCs w:val="22"/>
              </w:rPr>
              <w:t>97</w:t>
            </w:r>
            <w:r w:rsidRPr="00317ABF">
              <w:rPr>
                <w:sz w:val="22"/>
                <w:szCs w:val="22"/>
              </w:rPr>
              <w:t>, Prezes UKE może, w drodze decyzji, znieść w stosunku do przedsiębiorcy telekomunikacyjnego nieposiadającego znaczącej pozycji na rynku dostarczania systemów dostępu warunkowego obowiązek, o którym mowa w art. 369 ust. 1, po przeprowadzeniu postępowania konsultacyjnego i konsolidacyjnego, o ile uchylenie tego obowiązku nie naruszy:</w:t>
            </w:r>
          </w:p>
          <w:p w14:paraId="5F183858" w14:textId="77777777" w:rsidR="001E1112" w:rsidRPr="00317ABF" w:rsidRDefault="001E1112" w:rsidP="00DB3BEC">
            <w:pPr>
              <w:pStyle w:val="Tekstpodstawowy"/>
              <w:rPr>
                <w:sz w:val="22"/>
                <w:szCs w:val="22"/>
              </w:rPr>
            </w:pPr>
            <w:r w:rsidRPr="00317ABF">
              <w:rPr>
                <w:sz w:val="22"/>
                <w:szCs w:val="22"/>
              </w:rPr>
              <w:t>1)</w:t>
            </w:r>
            <w:r w:rsidRPr="00317ABF">
              <w:rPr>
                <w:sz w:val="22"/>
                <w:szCs w:val="22"/>
              </w:rPr>
              <w:tab/>
              <w:t>dostępu użytkowników końcowych do programów radiofonicznych i telewizyjnych, wynikającego z nałożonego obowiązku transmisji obowiązkowej;</w:t>
            </w:r>
          </w:p>
          <w:p w14:paraId="7C4805C8" w14:textId="3F367F41" w:rsidR="001E1112" w:rsidRPr="00317ABF" w:rsidRDefault="001E1112" w:rsidP="00DB3BEC">
            <w:pPr>
              <w:pStyle w:val="Tekstpodstawowy"/>
              <w:rPr>
                <w:sz w:val="22"/>
                <w:szCs w:val="22"/>
              </w:rPr>
            </w:pPr>
            <w:r w:rsidRPr="00317ABF">
              <w:rPr>
                <w:sz w:val="22"/>
                <w:szCs w:val="22"/>
              </w:rPr>
              <w:t>2)</w:t>
            </w:r>
            <w:r w:rsidRPr="00317ABF">
              <w:rPr>
                <w:sz w:val="22"/>
                <w:szCs w:val="22"/>
              </w:rPr>
              <w:tab/>
              <w:t xml:space="preserve">skutecznej konkurencji na rynku detalicznych usług telewizji cyfrowej i na rynku detalicznych usług radiofonii cyfrowej oraz na rynku </w:t>
            </w:r>
            <w:r w:rsidRPr="00317ABF">
              <w:rPr>
                <w:sz w:val="22"/>
                <w:szCs w:val="22"/>
              </w:rPr>
              <w:lastRenderedPageBreak/>
              <w:t>dostarczania systemów dostępu warunkowego i rynku powiązanych zasobów.</w:t>
            </w:r>
          </w:p>
        </w:tc>
      </w:tr>
      <w:tr w:rsidR="001E1112" w:rsidRPr="00317ABF" w14:paraId="234EACBC" w14:textId="77777777" w:rsidTr="7753F98D">
        <w:trPr>
          <w:gridAfter w:val="2"/>
          <w:wAfter w:w="175" w:type="dxa"/>
        </w:trPr>
        <w:tc>
          <w:tcPr>
            <w:tcW w:w="704" w:type="dxa"/>
          </w:tcPr>
          <w:p w14:paraId="41D96D1C" w14:textId="77777777" w:rsidR="001E1112" w:rsidRPr="00317ABF" w:rsidRDefault="001E1112" w:rsidP="00DB3BEC">
            <w:pPr>
              <w:jc w:val="both"/>
              <w:rPr>
                <w:sz w:val="22"/>
                <w:szCs w:val="22"/>
              </w:rPr>
            </w:pPr>
            <w:r w:rsidRPr="00317ABF">
              <w:rPr>
                <w:sz w:val="22"/>
                <w:szCs w:val="22"/>
              </w:rPr>
              <w:lastRenderedPageBreak/>
              <w:t>Art. 62 ust. 3</w:t>
            </w:r>
          </w:p>
        </w:tc>
        <w:tc>
          <w:tcPr>
            <w:tcW w:w="4308" w:type="dxa"/>
          </w:tcPr>
          <w:p w14:paraId="3C44A1ED" w14:textId="77777777" w:rsidR="001E1112" w:rsidRPr="00317ABF" w:rsidRDefault="001E1112" w:rsidP="00DB3BEC">
            <w:pPr>
              <w:spacing w:before="120"/>
              <w:jc w:val="both"/>
              <w:rPr>
                <w:sz w:val="22"/>
                <w:szCs w:val="22"/>
              </w:rPr>
            </w:pPr>
            <w:r w:rsidRPr="00317ABF">
              <w:rPr>
                <w:sz w:val="22"/>
                <w:szCs w:val="22"/>
              </w:rPr>
              <w:t>3.   Warunki stosowane zgodnie z niniejszym artykułem pozostają bez uszczerbku dla przysługujących państwom członkowskim uprawnień w zakresie nakładania obowiązków w związku z aspektami prezentacyjnymi elektronicznych przewodników po programach oraz podobnych środków prezentacji i nawigacji.</w:t>
            </w:r>
          </w:p>
        </w:tc>
        <w:tc>
          <w:tcPr>
            <w:tcW w:w="986" w:type="dxa"/>
          </w:tcPr>
          <w:p w14:paraId="0A0076F1" w14:textId="0CB84544" w:rsidR="001E1112" w:rsidRPr="00317ABF" w:rsidRDefault="001E1112" w:rsidP="00DB3BEC">
            <w:pPr>
              <w:jc w:val="both"/>
              <w:rPr>
                <w:b/>
                <w:sz w:val="22"/>
                <w:szCs w:val="22"/>
              </w:rPr>
            </w:pPr>
            <w:r w:rsidRPr="00317ABF">
              <w:rPr>
                <w:b/>
                <w:sz w:val="22"/>
                <w:szCs w:val="22"/>
              </w:rPr>
              <w:t>N</w:t>
            </w:r>
          </w:p>
        </w:tc>
        <w:tc>
          <w:tcPr>
            <w:tcW w:w="910" w:type="dxa"/>
          </w:tcPr>
          <w:p w14:paraId="7F35D852" w14:textId="77777777" w:rsidR="001E1112" w:rsidRPr="00317ABF" w:rsidRDefault="001E1112" w:rsidP="00DB3BEC">
            <w:pPr>
              <w:pStyle w:val="Tekstpodstawowy"/>
              <w:rPr>
                <w:b/>
                <w:noProof/>
                <w:sz w:val="22"/>
                <w:szCs w:val="22"/>
              </w:rPr>
            </w:pPr>
          </w:p>
        </w:tc>
        <w:tc>
          <w:tcPr>
            <w:tcW w:w="6814" w:type="dxa"/>
            <w:gridSpan w:val="2"/>
          </w:tcPr>
          <w:p w14:paraId="3763309F" w14:textId="77777777" w:rsidR="001E1112" w:rsidRPr="00317ABF" w:rsidRDefault="001E1112" w:rsidP="00DB3BEC">
            <w:pPr>
              <w:pStyle w:val="Tekstpodstawowy"/>
              <w:rPr>
                <w:sz w:val="22"/>
                <w:szCs w:val="22"/>
              </w:rPr>
            </w:pPr>
          </w:p>
        </w:tc>
      </w:tr>
      <w:tr w:rsidR="001E1112" w:rsidRPr="00317ABF" w14:paraId="125C6C93" w14:textId="77777777" w:rsidTr="7753F98D">
        <w:trPr>
          <w:gridAfter w:val="2"/>
          <w:wAfter w:w="175" w:type="dxa"/>
        </w:trPr>
        <w:tc>
          <w:tcPr>
            <w:tcW w:w="704" w:type="dxa"/>
          </w:tcPr>
          <w:p w14:paraId="5F3AD53B" w14:textId="77777777" w:rsidR="001E1112" w:rsidRPr="00317ABF" w:rsidRDefault="001E1112" w:rsidP="00DB3BEC">
            <w:pPr>
              <w:jc w:val="both"/>
              <w:rPr>
                <w:sz w:val="22"/>
                <w:szCs w:val="22"/>
              </w:rPr>
            </w:pPr>
            <w:r w:rsidRPr="00317ABF">
              <w:rPr>
                <w:sz w:val="22"/>
                <w:szCs w:val="22"/>
              </w:rPr>
              <w:t>Art. 62 ust. 4</w:t>
            </w:r>
          </w:p>
        </w:tc>
        <w:tc>
          <w:tcPr>
            <w:tcW w:w="4308" w:type="dxa"/>
          </w:tcPr>
          <w:p w14:paraId="0556DCDB" w14:textId="77777777" w:rsidR="001E1112" w:rsidRPr="00317ABF" w:rsidRDefault="001E1112" w:rsidP="00DB3BEC">
            <w:pPr>
              <w:spacing w:before="120"/>
              <w:jc w:val="both"/>
              <w:rPr>
                <w:sz w:val="22"/>
                <w:szCs w:val="22"/>
              </w:rPr>
            </w:pPr>
            <w:r w:rsidRPr="00317ABF">
              <w:rPr>
                <w:sz w:val="22"/>
                <w:szCs w:val="22"/>
              </w:rPr>
              <w:t>4.   Niezależnie od ust. 1 niniejszego artykułu państwa członkowskie mogą zezwolić swoim krajowym organom regulacyjnym, możliwie najszybciej po dniu 20 grudnia 2018 r., a następnie regularnie w określonych odstępach czasu, zezwolić na dokonanie przeglądu warunków stosowanych zgodnie z niniejszym artykułem, poprzez przeprowadzenie analizy rynku zgodnie z art. 67 ust. 1 celem określenia, czy należy utrzymać w mocy, zmienić albo znieść stosowane warunki.</w:t>
            </w:r>
          </w:p>
        </w:tc>
        <w:tc>
          <w:tcPr>
            <w:tcW w:w="986" w:type="dxa"/>
          </w:tcPr>
          <w:p w14:paraId="075F7487" w14:textId="15AF7901" w:rsidR="001E1112" w:rsidRPr="00317ABF" w:rsidRDefault="001E1112" w:rsidP="00DB3BEC">
            <w:pPr>
              <w:jc w:val="both"/>
              <w:rPr>
                <w:sz w:val="22"/>
                <w:szCs w:val="22"/>
              </w:rPr>
            </w:pPr>
            <w:r w:rsidRPr="00317ABF">
              <w:rPr>
                <w:b/>
                <w:sz w:val="22"/>
                <w:szCs w:val="22"/>
              </w:rPr>
              <w:t>N</w:t>
            </w:r>
          </w:p>
        </w:tc>
        <w:tc>
          <w:tcPr>
            <w:tcW w:w="910" w:type="dxa"/>
          </w:tcPr>
          <w:p w14:paraId="02E1E8A3" w14:textId="77777777" w:rsidR="001E1112" w:rsidRPr="00317ABF" w:rsidRDefault="001E1112" w:rsidP="00DB3BEC">
            <w:pPr>
              <w:pStyle w:val="Tekstpodstawowy"/>
              <w:rPr>
                <w:b/>
                <w:noProof/>
                <w:sz w:val="22"/>
                <w:szCs w:val="22"/>
              </w:rPr>
            </w:pPr>
          </w:p>
        </w:tc>
        <w:tc>
          <w:tcPr>
            <w:tcW w:w="6814" w:type="dxa"/>
            <w:gridSpan w:val="2"/>
          </w:tcPr>
          <w:p w14:paraId="59D6FC3B" w14:textId="77777777" w:rsidR="001E1112" w:rsidRPr="00317ABF" w:rsidRDefault="001E1112" w:rsidP="00DB3BEC">
            <w:pPr>
              <w:pStyle w:val="Tekstpodstawowy"/>
              <w:rPr>
                <w:sz w:val="22"/>
                <w:szCs w:val="22"/>
              </w:rPr>
            </w:pPr>
          </w:p>
        </w:tc>
      </w:tr>
      <w:tr w:rsidR="001E1112" w:rsidRPr="00317ABF" w14:paraId="2F1A4ACB" w14:textId="77777777" w:rsidTr="7753F98D">
        <w:trPr>
          <w:gridAfter w:val="2"/>
          <w:wAfter w:w="175" w:type="dxa"/>
        </w:trPr>
        <w:tc>
          <w:tcPr>
            <w:tcW w:w="704" w:type="dxa"/>
          </w:tcPr>
          <w:p w14:paraId="38381D10" w14:textId="77777777" w:rsidR="001E1112" w:rsidRPr="00317ABF" w:rsidRDefault="001E1112" w:rsidP="00DB3BEC">
            <w:pPr>
              <w:jc w:val="both"/>
              <w:rPr>
                <w:b/>
                <w:sz w:val="22"/>
                <w:szCs w:val="22"/>
              </w:rPr>
            </w:pPr>
            <w:r w:rsidRPr="00317ABF">
              <w:rPr>
                <w:b/>
                <w:sz w:val="22"/>
                <w:szCs w:val="22"/>
              </w:rPr>
              <w:lastRenderedPageBreak/>
              <w:t>Art. 63</w:t>
            </w:r>
          </w:p>
        </w:tc>
        <w:tc>
          <w:tcPr>
            <w:tcW w:w="4308" w:type="dxa"/>
          </w:tcPr>
          <w:p w14:paraId="714A9EA2" w14:textId="77777777" w:rsidR="001E1112" w:rsidRPr="00317ABF" w:rsidRDefault="001E1112" w:rsidP="00DB3BEC">
            <w:pPr>
              <w:spacing w:before="60" w:after="120"/>
              <w:jc w:val="both"/>
              <w:rPr>
                <w:b/>
                <w:bCs/>
                <w:sz w:val="22"/>
                <w:szCs w:val="22"/>
              </w:rPr>
            </w:pPr>
            <w:r w:rsidRPr="00317ABF">
              <w:rPr>
                <w:b/>
                <w:bCs/>
                <w:sz w:val="22"/>
                <w:szCs w:val="22"/>
              </w:rPr>
              <w:t>Przedsiębiorstwa posiadające znaczącą pozycję rynkową</w:t>
            </w:r>
          </w:p>
        </w:tc>
        <w:tc>
          <w:tcPr>
            <w:tcW w:w="986" w:type="dxa"/>
          </w:tcPr>
          <w:p w14:paraId="579E86A9" w14:textId="77777777" w:rsidR="001E1112" w:rsidRPr="00317ABF" w:rsidRDefault="001E1112" w:rsidP="00DB3BEC">
            <w:pPr>
              <w:jc w:val="both"/>
              <w:rPr>
                <w:sz w:val="22"/>
                <w:szCs w:val="22"/>
              </w:rPr>
            </w:pPr>
          </w:p>
        </w:tc>
        <w:tc>
          <w:tcPr>
            <w:tcW w:w="910" w:type="dxa"/>
          </w:tcPr>
          <w:p w14:paraId="5AB1DA55" w14:textId="77777777" w:rsidR="001E1112" w:rsidRPr="00317ABF" w:rsidRDefault="001E1112" w:rsidP="00DB3BEC">
            <w:pPr>
              <w:pStyle w:val="Tekstpodstawowy"/>
              <w:rPr>
                <w:b/>
                <w:noProof/>
                <w:sz w:val="22"/>
                <w:szCs w:val="22"/>
              </w:rPr>
            </w:pPr>
          </w:p>
        </w:tc>
        <w:tc>
          <w:tcPr>
            <w:tcW w:w="6814" w:type="dxa"/>
            <w:gridSpan w:val="2"/>
          </w:tcPr>
          <w:p w14:paraId="3E48B971" w14:textId="77777777" w:rsidR="001E1112" w:rsidRPr="00317ABF" w:rsidRDefault="001E1112" w:rsidP="00DB3BEC">
            <w:pPr>
              <w:pStyle w:val="Tekstpodstawowy"/>
              <w:rPr>
                <w:sz w:val="22"/>
                <w:szCs w:val="22"/>
              </w:rPr>
            </w:pPr>
          </w:p>
        </w:tc>
      </w:tr>
      <w:tr w:rsidR="001E1112" w:rsidRPr="00317ABF" w14:paraId="1F119683" w14:textId="77777777" w:rsidTr="7753F98D">
        <w:trPr>
          <w:gridAfter w:val="2"/>
          <w:wAfter w:w="175" w:type="dxa"/>
        </w:trPr>
        <w:tc>
          <w:tcPr>
            <w:tcW w:w="704" w:type="dxa"/>
          </w:tcPr>
          <w:p w14:paraId="6C08F9EE" w14:textId="77777777" w:rsidR="001E1112" w:rsidRPr="00317ABF" w:rsidRDefault="001E1112" w:rsidP="00DB3BEC">
            <w:pPr>
              <w:jc w:val="both"/>
              <w:rPr>
                <w:sz w:val="22"/>
                <w:szCs w:val="22"/>
              </w:rPr>
            </w:pPr>
            <w:r w:rsidRPr="00317ABF">
              <w:rPr>
                <w:sz w:val="22"/>
                <w:szCs w:val="22"/>
              </w:rPr>
              <w:t>Art. 63 ust. 1</w:t>
            </w:r>
          </w:p>
        </w:tc>
        <w:tc>
          <w:tcPr>
            <w:tcW w:w="4308" w:type="dxa"/>
          </w:tcPr>
          <w:p w14:paraId="7BC64396" w14:textId="77777777" w:rsidR="001E1112" w:rsidRPr="00317ABF" w:rsidRDefault="001E1112" w:rsidP="00DB3BEC">
            <w:pPr>
              <w:spacing w:before="120"/>
              <w:jc w:val="both"/>
              <w:rPr>
                <w:sz w:val="22"/>
                <w:szCs w:val="22"/>
              </w:rPr>
            </w:pPr>
            <w:r w:rsidRPr="00317ABF">
              <w:rPr>
                <w:sz w:val="22"/>
                <w:szCs w:val="22"/>
              </w:rPr>
              <w:t>1.   Jeżeli przepisy niniejszej dyrektywy nakładają na krajowe organy regulacyjne obowiązek ustalenia, czy przedsiębiorstwa posiadają znaczącą pozycję rynkową, zgodnie z procedurą określoną w art. 67, stosuje się przepisy ust. 2 niniejszego artykułu.</w:t>
            </w:r>
          </w:p>
        </w:tc>
        <w:tc>
          <w:tcPr>
            <w:tcW w:w="986" w:type="dxa"/>
          </w:tcPr>
          <w:p w14:paraId="276A10F0" w14:textId="77777777" w:rsidR="001E1112" w:rsidRPr="00317ABF" w:rsidRDefault="001E1112" w:rsidP="00DB3BEC">
            <w:pPr>
              <w:jc w:val="both"/>
              <w:rPr>
                <w:sz w:val="22"/>
                <w:szCs w:val="22"/>
              </w:rPr>
            </w:pPr>
            <w:r w:rsidRPr="00317ABF">
              <w:rPr>
                <w:sz w:val="22"/>
                <w:szCs w:val="22"/>
              </w:rPr>
              <w:t>N</w:t>
            </w:r>
          </w:p>
        </w:tc>
        <w:tc>
          <w:tcPr>
            <w:tcW w:w="910" w:type="dxa"/>
          </w:tcPr>
          <w:p w14:paraId="3C6EC9A6" w14:textId="77777777" w:rsidR="001E1112" w:rsidRPr="00317ABF" w:rsidRDefault="001E1112" w:rsidP="00DB3BEC">
            <w:pPr>
              <w:pStyle w:val="Tekstpodstawowy"/>
              <w:rPr>
                <w:b/>
                <w:noProof/>
                <w:sz w:val="22"/>
                <w:szCs w:val="22"/>
              </w:rPr>
            </w:pPr>
          </w:p>
        </w:tc>
        <w:tc>
          <w:tcPr>
            <w:tcW w:w="6814" w:type="dxa"/>
            <w:gridSpan w:val="2"/>
          </w:tcPr>
          <w:p w14:paraId="74FE5898" w14:textId="77777777" w:rsidR="001E1112" w:rsidRPr="00317ABF" w:rsidRDefault="001E1112" w:rsidP="00DB3BEC">
            <w:pPr>
              <w:pStyle w:val="Tekstpodstawowy"/>
              <w:rPr>
                <w:sz w:val="22"/>
                <w:szCs w:val="22"/>
              </w:rPr>
            </w:pPr>
          </w:p>
        </w:tc>
      </w:tr>
      <w:tr w:rsidR="001E1112" w:rsidRPr="00317ABF" w14:paraId="6E702AD8" w14:textId="77777777" w:rsidTr="7753F98D">
        <w:trPr>
          <w:gridAfter w:val="2"/>
          <w:wAfter w:w="175" w:type="dxa"/>
        </w:trPr>
        <w:tc>
          <w:tcPr>
            <w:tcW w:w="704" w:type="dxa"/>
          </w:tcPr>
          <w:p w14:paraId="0DED6A6D" w14:textId="77777777" w:rsidR="001E1112" w:rsidRPr="00317ABF" w:rsidRDefault="001E1112" w:rsidP="00DB3BEC">
            <w:pPr>
              <w:jc w:val="both"/>
              <w:rPr>
                <w:sz w:val="22"/>
                <w:szCs w:val="22"/>
              </w:rPr>
            </w:pPr>
            <w:r w:rsidRPr="00317ABF">
              <w:rPr>
                <w:sz w:val="22"/>
                <w:szCs w:val="22"/>
              </w:rPr>
              <w:t>Art. 63 ust. 2</w:t>
            </w:r>
          </w:p>
        </w:tc>
        <w:tc>
          <w:tcPr>
            <w:tcW w:w="4308" w:type="dxa"/>
          </w:tcPr>
          <w:p w14:paraId="56A1CF79" w14:textId="77777777" w:rsidR="001E1112" w:rsidRPr="00317ABF" w:rsidRDefault="001E1112" w:rsidP="00DB3BEC">
            <w:pPr>
              <w:spacing w:before="120"/>
              <w:jc w:val="both"/>
              <w:rPr>
                <w:sz w:val="22"/>
                <w:szCs w:val="22"/>
              </w:rPr>
            </w:pPr>
            <w:r w:rsidRPr="00317ABF">
              <w:rPr>
                <w:sz w:val="22"/>
                <w:szCs w:val="22"/>
              </w:rPr>
              <w:t>2.   Uznaje się, że przedsiębiorstwo posiada znaczącą pozycję rynkową, jeżeli samodzielnie lub wspólnie z innymi ma pozycję równoważną pozycji dominującej, mianowicie tak silną pozycję ekonomiczną, że zapewnia mu ona możliwość postępowania według swojego uznania, nie bacząc na innych konkurentów, klientów i, ostatecznie, konsumentów.</w:t>
            </w:r>
          </w:p>
          <w:p w14:paraId="3574DAC6" w14:textId="77777777" w:rsidR="001E1112" w:rsidRPr="00317ABF" w:rsidRDefault="001E1112" w:rsidP="00DB3BEC">
            <w:pPr>
              <w:spacing w:before="120"/>
              <w:jc w:val="both"/>
              <w:rPr>
                <w:sz w:val="22"/>
                <w:szCs w:val="22"/>
              </w:rPr>
            </w:pPr>
            <w:r w:rsidRPr="00317ABF">
              <w:rPr>
                <w:sz w:val="22"/>
                <w:szCs w:val="22"/>
              </w:rPr>
              <w:t>Oceniając, czy co najmniej dwa przedsiębiorstwa posiadają dominującą pozycję na rynku, krajowe organy regulacyjne w szczególności postępują zgodnie z przepisami prawa Unii i uwzględniają w jak największym stopniu wytyczne dotyczące analizy rynku i oceny znaczącej pozycji rynkowej, publikowane przez Komisję zgodnie z art. 64.</w:t>
            </w:r>
          </w:p>
        </w:tc>
        <w:tc>
          <w:tcPr>
            <w:tcW w:w="986" w:type="dxa"/>
          </w:tcPr>
          <w:p w14:paraId="4D167257" w14:textId="73A9570D" w:rsidR="001E1112" w:rsidRPr="00317ABF" w:rsidRDefault="001E1112" w:rsidP="00DB3BEC">
            <w:pPr>
              <w:jc w:val="both"/>
              <w:rPr>
                <w:sz w:val="22"/>
                <w:szCs w:val="22"/>
              </w:rPr>
            </w:pPr>
            <w:r w:rsidRPr="00317ABF">
              <w:rPr>
                <w:sz w:val="22"/>
                <w:szCs w:val="22"/>
              </w:rPr>
              <w:t>T</w:t>
            </w:r>
          </w:p>
        </w:tc>
        <w:tc>
          <w:tcPr>
            <w:tcW w:w="910" w:type="dxa"/>
          </w:tcPr>
          <w:p w14:paraId="55F11FDA" w14:textId="0D6D5A69" w:rsidR="001E1112" w:rsidRPr="00317ABF" w:rsidRDefault="001E1112" w:rsidP="00DB3BEC">
            <w:pPr>
              <w:pStyle w:val="Tekstpodstawowy"/>
              <w:rPr>
                <w:b/>
                <w:noProof/>
                <w:sz w:val="22"/>
                <w:szCs w:val="22"/>
              </w:rPr>
            </w:pPr>
            <w:r w:rsidRPr="00317ABF">
              <w:rPr>
                <w:b/>
                <w:bCs/>
                <w:noProof/>
                <w:sz w:val="22"/>
                <w:szCs w:val="22"/>
              </w:rPr>
              <w:t xml:space="preserve">Art. </w:t>
            </w:r>
            <w:r w:rsidR="00B804BD" w:rsidRPr="00317ABF">
              <w:rPr>
                <w:b/>
                <w:bCs/>
                <w:noProof/>
                <w:sz w:val="22"/>
                <w:szCs w:val="22"/>
              </w:rPr>
              <w:t>206</w:t>
            </w:r>
            <w:r w:rsidRPr="00317ABF">
              <w:rPr>
                <w:b/>
                <w:bCs/>
                <w:noProof/>
                <w:sz w:val="22"/>
                <w:szCs w:val="22"/>
              </w:rPr>
              <w:t xml:space="preserve">, art. </w:t>
            </w:r>
            <w:r w:rsidR="00B804BD" w:rsidRPr="00317ABF">
              <w:rPr>
                <w:b/>
                <w:bCs/>
                <w:noProof/>
                <w:sz w:val="22"/>
                <w:szCs w:val="22"/>
              </w:rPr>
              <w:t>199</w:t>
            </w:r>
            <w:r w:rsidRPr="00317ABF">
              <w:rPr>
                <w:b/>
                <w:bCs/>
                <w:noProof/>
                <w:sz w:val="22"/>
                <w:szCs w:val="22"/>
              </w:rPr>
              <w:t xml:space="preserve"> ust. 1 pkt 2, art. 4 ust. 1-2</w:t>
            </w:r>
          </w:p>
        </w:tc>
        <w:tc>
          <w:tcPr>
            <w:tcW w:w="6814" w:type="dxa"/>
            <w:gridSpan w:val="2"/>
          </w:tcPr>
          <w:p w14:paraId="6469B152" w14:textId="77777777" w:rsidR="001E1112" w:rsidRPr="00317ABF" w:rsidRDefault="001E1112" w:rsidP="00DB3BEC">
            <w:pPr>
              <w:ind w:firstLine="510"/>
              <w:jc w:val="both"/>
              <w:rPr>
                <w:sz w:val="22"/>
                <w:szCs w:val="22"/>
              </w:rPr>
            </w:pPr>
            <w:r w:rsidRPr="00317ABF">
              <w:rPr>
                <w:b/>
                <w:sz w:val="22"/>
                <w:szCs w:val="22"/>
              </w:rPr>
              <w:t xml:space="preserve">Art. </w:t>
            </w:r>
            <w:r w:rsidR="00B804BD" w:rsidRPr="00317ABF">
              <w:rPr>
                <w:b/>
                <w:sz w:val="22"/>
                <w:szCs w:val="22"/>
              </w:rPr>
              <w:t>206</w:t>
            </w:r>
            <w:r w:rsidRPr="00317ABF">
              <w:rPr>
                <w:b/>
                <w:sz w:val="22"/>
                <w:szCs w:val="22"/>
              </w:rPr>
              <w:t>.</w:t>
            </w:r>
            <w:r w:rsidRPr="00317ABF">
              <w:rPr>
                <w:sz w:val="22"/>
                <w:szCs w:val="22"/>
              </w:rPr>
              <w:t xml:space="preserve"> 1. Przedsiębiorca komunikacji elektronicznej zajmuje znaczącą pozycję rynkową, jeżeli na rynku właściwym samodzielnie posiada pozycję ekonomiczną odpowiadającą dominacji w rozumieniu przepisów prawa Unii Europejskiej.</w:t>
            </w:r>
          </w:p>
          <w:p w14:paraId="157FE7D9" w14:textId="32F9C6A8" w:rsidR="001E1112" w:rsidRPr="00317ABF" w:rsidRDefault="001E1112" w:rsidP="00DB3BEC">
            <w:pPr>
              <w:jc w:val="both"/>
              <w:rPr>
                <w:sz w:val="22"/>
                <w:szCs w:val="22"/>
              </w:rPr>
            </w:pPr>
            <w:r w:rsidRPr="00317ABF">
              <w:rPr>
                <w:sz w:val="22"/>
                <w:szCs w:val="22"/>
              </w:rPr>
              <w:t>2. Dwóch lub więcej przedsiębiorców komunikacji elektronicznej zajmuje kolektywną pozycję znaczącą, jeżeli nawet przy braku powiązań organizacyjnych lub innych związków między nimi posiadają na rynku właściwym pozycję ekonomiczną odpowiadającą dominacji w rozumieniu przepisów prawa Unii Europejskiej.</w:t>
            </w:r>
          </w:p>
          <w:p w14:paraId="360D3011" w14:textId="77777777" w:rsidR="00B804BD" w:rsidRPr="00317ABF" w:rsidRDefault="00B804BD" w:rsidP="00B804BD">
            <w:pPr>
              <w:jc w:val="both"/>
              <w:rPr>
                <w:sz w:val="22"/>
                <w:szCs w:val="22"/>
              </w:rPr>
            </w:pPr>
          </w:p>
          <w:p w14:paraId="6F3514D8" w14:textId="0380EA02" w:rsidR="001E1112" w:rsidRPr="00317ABF" w:rsidRDefault="001E1112" w:rsidP="00DB3BEC">
            <w:pPr>
              <w:ind w:firstLine="510"/>
              <w:jc w:val="both"/>
              <w:rPr>
                <w:sz w:val="22"/>
                <w:szCs w:val="22"/>
              </w:rPr>
            </w:pPr>
            <w:r w:rsidRPr="00317ABF">
              <w:rPr>
                <w:b/>
                <w:sz w:val="22"/>
                <w:szCs w:val="22"/>
              </w:rPr>
              <w:t xml:space="preserve">Art. </w:t>
            </w:r>
            <w:r w:rsidR="00B804BD" w:rsidRPr="00317ABF">
              <w:rPr>
                <w:b/>
                <w:sz w:val="22"/>
                <w:szCs w:val="22"/>
              </w:rPr>
              <w:t>199</w:t>
            </w:r>
            <w:r w:rsidRPr="00317ABF">
              <w:rPr>
                <w:sz w:val="22"/>
                <w:szCs w:val="22"/>
              </w:rPr>
              <w:t xml:space="preserve">. 1. Po przeprowadzeniu analizy, o której mowa w art. </w:t>
            </w:r>
            <w:r w:rsidR="00B804BD" w:rsidRPr="00317ABF">
              <w:rPr>
                <w:sz w:val="22"/>
                <w:szCs w:val="22"/>
              </w:rPr>
              <w:t>197</w:t>
            </w:r>
            <w:r w:rsidRPr="00317ABF">
              <w:rPr>
                <w:sz w:val="22"/>
                <w:szCs w:val="22"/>
              </w:rPr>
              <w:t xml:space="preserve"> ust. 1, Prezes UKE przeprowadza postępowanie w celu</w:t>
            </w:r>
            <w:r w:rsidR="00B804BD" w:rsidRPr="00317ABF">
              <w:rPr>
                <w:sz w:val="22"/>
                <w:szCs w:val="22"/>
              </w:rPr>
              <w:t xml:space="preserve"> </w:t>
            </w:r>
            <w:r w:rsidRPr="00317ABF">
              <w:rPr>
                <w:sz w:val="22"/>
                <w:szCs w:val="22"/>
              </w:rPr>
              <w:t>:</w:t>
            </w:r>
          </w:p>
          <w:p w14:paraId="0FBF4DD3" w14:textId="42728FE1" w:rsidR="001E1112" w:rsidRPr="00317ABF" w:rsidRDefault="001E1112" w:rsidP="00DB3BEC">
            <w:pPr>
              <w:jc w:val="both"/>
              <w:rPr>
                <w:sz w:val="22"/>
                <w:szCs w:val="22"/>
              </w:rPr>
            </w:pPr>
          </w:p>
          <w:p w14:paraId="2D86B06A" w14:textId="05F47580" w:rsidR="001E1112" w:rsidRPr="00317ABF" w:rsidRDefault="001E1112" w:rsidP="00DB3BEC">
            <w:pPr>
              <w:jc w:val="both"/>
              <w:rPr>
                <w:sz w:val="22"/>
                <w:szCs w:val="22"/>
              </w:rPr>
            </w:pPr>
            <w:r w:rsidRPr="00317ABF">
              <w:rPr>
                <w:sz w:val="22"/>
                <w:szCs w:val="22"/>
              </w:rPr>
              <w:t>(...)</w:t>
            </w:r>
          </w:p>
          <w:p w14:paraId="46C78D44" w14:textId="2FE83790" w:rsidR="001E1112" w:rsidRPr="00317ABF" w:rsidRDefault="001E1112" w:rsidP="00DB3BEC">
            <w:pPr>
              <w:ind w:left="510" w:hanging="510"/>
              <w:jc w:val="both"/>
              <w:rPr>
                <w:sz w:val="22"/>
                <w:szCs w:val="22"/>
              </w:rPr>
            </w:pPr>
            <w:r w:rsidRPr="00317ABF">
              <w:rPr>
                <w:sz w:val="22"/>
                <w:szCs w:val="22"/>
              </w:rPr>
              <w:t xml:space="preserve">2)  </w:t>
            </w:r>
            <w:r w:rsidRPr="00317ABF">
              <w:t xml:space="preserve"> </w:t>
            </w:r>
            <w:r w:rsidRPr="00317ABF">
              <w:rPr>
                <w:sz w:val="22"/>
                <w:szCs w:val="22"/>
              </w:rPr>
              <w:t>ustalenia, czy na rynku właściwym występuje przedsiębiorca komunikacji elektronicznej o znaczącej pozycji rynkowej lub przedsiębiorcy komunikacji elektronicznej zajmujący kolektywną pozycję znaczącą;</w:t>
            </w:r>
          </w:p>
          <w:p w14:paraId="394E6E64" w14:textId="30C0D624" w:rsidR="001E1112" w:rsidRPr="00317ABF" w:rsidRDefault="001E1112" w:rsidP="00DB3BEC">
            <w:pPr>
              <w:jc w:val="both"/>
              <w:rPr>
                <w:sz w:val="22"/>
                <w:szCs w:val="22"/>
              </w:rPr>
            </w:pPr>
          </w:p>
          <w:p w14:paraId="49A03429" w14:textId="6BABF857" w:rsidR="00B804BD" w:rsidRPr="00317ABF" w:rsidRDefault="001E1112" w:rsidP="00B804BD">
            <w:pPr>
              <w:ind w:firstLine="510"/>
              <w:jc w:val="both"/>
              <w:rPr>
                <w:sz w:val="22"/>
                <w:szCs w:val="22"/>
              </w:rPr>
            </w:pPr>
            <w:r w:rsidRPr="00317ABF">
              <w:rPr>
                <w:b/>
                <w:sz w:val="22"/>
                <w:szCs w:val="22"/>
              </w:rPr>
              <w:t>Art. 4.</w:t>
            </w:r>
            <w:r w:rsidRPr="00317ABF">
              <w:rPr>
                <w:sz w:val="22"/>
                <w:szCs w:val="22"/>
              </w:rPr>
              <w:t xml:space="preserve"> </w:t>
            </w:r>
            <w:r w:rsidR="00B804BD" w:rsidRPr="00317ABF">
              <w:t xml:space="preserve"> </w:t>
            </w:r>
            <w:r w:rsidR="00B804BD" w:rsidRPr="00317ABF">
              <w:rPr>
                <w:sz w:val="22"/>
                <w:szCs w:val="22"/>
              </w:rPr>
              <w:t>1. Prezes Urzędu Komunikacji Elektronicznej, zwany dalej „Prezesem UKE”, uwzględnia przy stosowaniu ustawy w największym możliwie stopniu wytyczne i zalecenia Komisji Europejskiej w ich aktualnym brzmieniu.</w:t>
            </w:r>
          </w:p>
          <w:p w14:paraId="565D180E" w14:textId="21FDE86E" w:rsidR="001E1112" w:rsidRPr="00317ABF" w:rsidRDefault="001E1112" w:rsidP="00DB3BEC">
            <w:pPr>
              <w:jc w:val="both"/>
              <w:rPr>
                <w:sz w:val="22"/>
                <w:szCs w:val="22"/>
              </w:rPr>
            </w:pPr>
            <w:r w:rsidRPr="00317ABF">
              <w:rPr>
                <w:sz w:val="22"/>
                <w:szCs w:val="22"/>
              </w:rPr>
              <w:t xml:space="preserve">2. W przypadku zaleceń Komisji Europejskiej, które mają na celu zapewnienie zharmonizowanego stosowania dyrektywy Parlamentu Europejskiego i Rady (UE) 2018/1972 z dnia 11 grudnia 2018 r. ustanawiającą europejski kodeks łączności elektronicznej (Dz. Urz. WE L 321/36 z 17.12.2018), zwanej dalej „EKŁE”, Prezes UKE może odstąpić od </w:t>
            </w:r>
            <w:r w:rsidRPr="00317ABF">
              <w:rPr>
                <w:sz w:val="22"/>
                <w:szCs w:val="22"/>
              </w:rPr>
              <w:lastRenderedPageBreak/>
              <w:t>stosowania tych zaleceń, powiadamiając o tym Komisję Europejską i uzasadniając swoje stanowisko.</w:t>
            </w:r>
          </w:p>
        </w:tc>
      </w:tr>
      <w:tr w:rsidR="001E1112" w:rsidRPr="00317ABF" w14:paraId="2BDEB0DF" w14:textId="77777777" w:rsidTr="7753F98D">
        <w:trPr>
          <w:gridAfter w:val="2"/>
          <w:wAfter w:w="175" w:type="dxa"/>
        </w:trPr>
        <w:tc>
          <w:tcPr>
            <w:tcW w:w="704" w:type="dxa"/>
          </w:tcPr>
          <w:p w14:paraId="1E671AC4" w14:textId="77777777" w:rsidR="001E1112" w:rsidRPr="00317ABF" w:rsidRDefault="001E1112" w:rsidP="00DB3BEC">
            <w:pPr>
              <w:jc w:val="both"/>
              <w:rPr>
                <w:sz w:val="22"/>
                <w:szCs w:val="22"/>
              </w:rPr>
            </w:pPr>
            <w:r w:rsidRPr="00317ABF">
              <w:rPr>
                <w:sz w:val="22"/>
                <w:szCs w:val="22"/>
              </w:rPr>
              <w:lastRenderedPageBreak/>
              <w:t>Art. 63 ust. 3</w:t>
            </w:r>
          </w:p>
        </w:tc>
        <w:tc>
          <w:tcPr>
            <w:tcW w:w="4308" w:type="dxa"/>
          </w:tcPr>
          <w:p w14:paraId="1153E633" w14:textId="77777777" w:rsidR="001E1112" w:rsidRPr="00317ABF" w:rsidRDefault="001E1112" w:rsidP="00DB3BEC">
            <w:pPr>
              <w:spacing w:before="120"/>
              <w:jc w:val="both"/>
              <w:rPr>
                <w:sz w:val="22"/>
                <w:szCs w:val="22"/>
              </w:rPr>
            </w:pPr>
            <w:r w:rsidRPr="00317ABF">
              <w:rPr>
                <w:sz w:val="22"/>
                <w:szCs w:val="22"/>
              </w:rPr>
              <w:t>3.   Jeżeli przedsiębiorstwo ma znaczącą pozycję na określonym rynku, może także być ono wyznaczone jako posiadające znaczącą pozycję rynkową na rynku blisko z tym rynkiem związanym, w przypadku gdy powiązania między obydwoma rynkami pozwalają na przeniesienie pozycji rynkowej z określonego rynku na ściśle powiązany rynek, tym samym zwiększając pozycję rynkową danego przedsiębiorstwa. Dlatego też na podstawie art. 69, 70, 71 i 74 na ściśle powiązanym rynku można zastosować środki naprawcze, które mają na celu uniemożliwienie takiego przeniesienia.</w:t>
            </w:r>
          </w:p>
        </w:tc>
        <w:tc>
          <w:tcPr>
            <w:tcW w:w="986" w:type="dxa"/>
          </w:tcPr>
          <w:p w14:paraId="1B10305E" w14:textId="280F117E" w:rsidR="001E1112" w:rsidRPr="00317ABF" w:rsidRDefault="001E1112" w:rsidP="00DB3BEC">
            <w:pPr>
              <w:jc w:val="both"/>
              <w:rPr>
                <w:sz w:val="22"/>
                <w:szCs w:val="22"/>
              </w:rPr>
            </w:pPr>
            <w:r w:rsidRPr="00317ABF">
              <w:rPr>
                <w:sz w:val="22"/>
                <w:szCs w:val="22"/>
              </w:rPr>
              <w:t>T</w:t>
            </w:r>
          </w:p>
        </w:tc>
        <w:tc>
          <w:tcPr>
            <w:tcW w:w="910" w:type="dxa"/>
          </w:tcPr>
          <w:p w14:paraId="01F7AB23" w14:textId="538978FF" w:rsidR="001E1112" w:rsidRPr="00317ABF" w:rsidRDefault="001E1112" w:rsidP="00DB3BEC">
            <w:pPr>
              <w:pStyle w:val="Tekstpodstawowy"/>
              <w:rPr>
                <w:b/>
                <w:noProof/>
                <w:sz w:val="22"/>
                <w:szCs w:val="22"/>
              </w:rPr>
            </w:pPr>
            <w:r w:rsidRPr="00317ABF">
              <w:rPr>
                <w:b/>
                <w:bCs/>
                <w:noProof/>
                <w:sz w:val="22"/>
                <w:szCs w:val="22"/>
              </w:rPr>
              <w:t xml:space="preserve">Art. </w:t>
            </w:r>
            <w:r w:rsidR="00ED1430" w:rsidRPr="00317ABF">
              <w:rPr>
                <w:b/>
                <w:bCs/>
                <w:noProof/>
                <w:sz w:val="22"/>
                <w:szCs w:val="22"/>
              </w:rPr>
              <w:t>207</w:t>
            </w:r>
          </w:p>
        </w:tc>
        <w:tc>
          <w:tcPr>
            <w:tcW w:w="6814" w:type="dxa"/>
            <w:gridSpan w:val="2"/>
          </w:tcPr>
          <w:p w14:paraId="5B0A2F63" w14:textId="77777777" w:rsidR="001E1112" w:rsidRPr="00317ABF" w:rsidRDefault="001E1112" w:rsidP="00DB3BEC">
            <w:pPr>
              <w:ind w:firstLine="510"/>
              <w:jc w:val="both"/>
              <w:rPr>
                <w:sz w:val="22"/>
                <w:szCs w:val="22"/>
              </w:rPr>
            </w:pPr>
            <w:r w:rsidRPr="00317ABF">
              <w:rPr>
                <w:b/>
                <w:sz w:val="22"/>
                <w:szCs w:val="22"/>
              </w:rPr>
              <w:t xml:space="preserve">Art. </w:t>
            </w:r>
            <w:r w:rsidR="00ED1430" w:rsidRPr="00317ABF">
              <w:rPr>
                <w:b/>
                <w:sz w:val="22"/>
                <w:szCs w:val="22"/>
              </w:rPr>
              <w:t>207</w:t>
            </w:r>
            <w:r w:rsidRPr="00317ABF">
              <w:rPr>
                <w:sz w:val="22"/>
                <w:szCs w:val="22"/>
              </w:rPr>
              <w:t>. 1. Przedsiębiorcę komunikacji elektronicznej zajmującego znaczącą pozycję na rynku właściwym można uznać za zajmującego znaczącą pozycję na innym rynku właściwym, jeżeli powiązania pomiędzy tymi rynkami są tego rodzaju, że umożliwiają przeniesienie siły rynkowej przedsiębiorcy z rynku właściwego na drugi rynek właściwy (rynek powiązany), wzmacniając pozycję tego przedsiębiorcy.</w:t>
            </w:r>
          </w:p>
          <w:p w14:paraId="095B25FB" w14:textId="56B1AFC1" w:rsidR="001E1112" w:rsidRPr="00317ABF" w:rsidRDefault="001E1112" w:rsidP="00DB3BEC">
            <w:pPr>
              <w:ind w:firstLine="510"/>
              <w:jc w:val="both"/>
              <w:rPr>
                <w:sz w:val="22"/>
                <w:szCs w:val="22"/>
              </w:rPr>
            </w:pPr>
            <w:r w:rsidRPr="00317ABF">
              <w:rPr>
                <w:sz w:val="22"/>
                <w:szCs w:val="22"/>
              </w:rPr>
              <w:t xml:space="preserve">2. W celu uniemożliwienia przeniesienia znaczącej pozycji z rynku właściwego na rynek powiązany, Prezes UKE, po przeprowadzeniu analizy, o której mowa w art. </w:t>
            </w:r>
            <w:r w:rsidR="00ED1430" w:rsidRPr="00317ABF">
              <w:rPr>
                <w:sz w:val="22"/>
                <w:szCs w:val="22"/>
              </w:rPr>
              <w:t>197</w:t>
            </w:r>
            <w:r w:rsidRPr="00317ABF">
              <w:rPr>
                <w:sz w:val="22"/>
                <w:szCs w:val="22"/>
              </w:rPr>
              <w:t xml:space="preserve"> ust. 1, może nałożyć na rynku powiązanym na przedsiębiorcę, o którym mowa w ust. 1, obowiązki, o których mowa w art. </w:t>
            </w:r>
            <w:r w:rsidR="00ED1430" w:rsidRPr="00317ABF">
              <w:rPr>
                <w:sz w:val="22"/>
                <w:szCs w:val="22"/>
              </w:rPr>
              <w:t>213- 215, art. 216 ust. 1</w:t>
            </w:r>
            <w:r w:rsidRPr="00317ABF">
              <w:rPr>
                <w:sz w:val="22"/>
                <w:szCs w:val="22"/>
              </w:rPr>
              <w:t xml:space="preserve"> oraz w art. </w:t>
            </w:r>
            <w:r w:rsidR="00ED1430" w:rsidRPr="00317ABF">
              <w:rPr>
                <w:sz w:val="22"/>
                <w:szCs w:val="22"/>
              </w:rPr>
              <w:t>220</w:t>
            </w:r>
            <w:r w:rsidRPr="00317ABF">
              <w:rPr>
                <w:sz w:val="22"/>
                <w:szCs w:val="22"/>
              </w:rPr>
              <w:t>.</w:t>
            </w:r>
          </w:p>
        </w:tc>
      </w:tr>
      <w:tr w:rsidR="001E1112" w:rsidRPr="00317ABF" w14:paraId="2E3DE9B3" w14:textId="77777777" w:rsidTr="7753F98D">
        <w:trPr>
          <w:gridAfter w:val="2"/>
          <w:wAfter w:w="175" w:type="dxa"/>
        </w:trPr>
        <w:tc>
          <w:tcPr>
            <w:tcW w:w="704" w:type="dxa"/>
          </w:tcPr>
          <w:p w14:paraId="068D3631" w14:textId="77777777" w:rsidR="001E1112" w:rsidRPr="00317ABF" w:rsidRDefault="001E1112" w:rsidP="00DB3BEC">
            <w:pPr>
              <w:jc w:val="both"/>
              <w:rPr>
                <w:b/>
                <w:sz w:val="22"/>
                <w:szCs w:val="22"/>
              </w:rPr>
            </w:pPr>
            <w:r w:rsidRPr="00317ABF">
              <w:rPr>
                <w:b/>
                <w:sz w:val="22"/>
                <w:szCs w:val="22"/>
              </w:rPr>
              <w:t>Art. 64</w:t>
            </w:r>
          </w:p>
        </w:tc>
        <w:tc>
          <w:tcPr>
            <w:tcW w:w="4308" w:type="dxa"/>
          </w:tcPr>
          <w:p w14:paraId="584594FD" w14:textId="77777777" w:rsidR="001E1112" w:rsidRPr="00317ABF" w:rsidRDefault="001E1112" w:rsidP="00DB3BEC">
            <w:pPr>
              <w:spacing w:before="120"/>
              <w:jc w:val="both"/>
              <w:rPr>
                <w:sz w:val="22"/>
                <w:szCs w:val="22"/>
              </w:rPr>
            </w:pPr>
            <w:r w:rsidRPr="00317ABF">
              <w:rPr>
                <w:b/>
                <w:bCs/>
                <w:sz w:val="22"/>
                <w:szCs w:val="22"/>
              </w:rPr>
              <w:t>Procedura określania i definiowania rynków</w:t>
            </w:r>
          </w:p>
        </w:tc>
        <w:tc>
          <w:tcPr>
            <w:tcW w:w="986" w:type="dxa"/>
          </w:tcPr>
          <w:p w14:paraId="3165F6E2" w14:textId="77777777" w:rsidR="001E1112" w:rsidRPr="00317ABF" w:rsidRDefault="001E1112" w:rsidP="00DB3BEC">
            <w:pPr>
              <w:jc w:val="both"/>
              <w:rPr>
                <w:sz w:val="22"/>
                <w:szCs w:val="22"/>
              </w:rPr>
            </w:pPr>
          </w:p>
        </w:tc>
        <w:tc>
          <w:tcPr>
            <w:tcW w:w="910" w:type="dxa"/>
          </w:tcPr>
          <w:p w14:paraId="19DECF03" w14:textId="77777777" w:rsidR="001E1112" w:rsidRPr="00317ABF" w:rsidRDefault="001E1112" w:rsidP="00DB3BEC">
            <w:pPr>
              <w:pStyle w:val="Tekstpodstawowy"/>
              <w:rPr>
                <w:b/>
                <w:noProof/>
                <w:sz w:val="22"/>
                <w:szCs w:val="22"/>
              </w:rPr>
            </w:pPr>
          </w:p>
        </w:tc>
        <w:tc>
          <w:tcPr>
            <w:tcW w:w="6814" w:type="dxa"/>
            <w:gridSpan w:val="2"/>
          </w:tcPr>
          <w:p w14:paraId="2CCB82BF" w14:textId="77777777" w:rsidR="001E1112" w:rsidRPr="00317ABF" w:rsidRDefault="001E1112" w:rsidP="00DB3BEC">
            <w:pPr>
              <w:pStyle w:val="Tekstpodstawowy"/>
              <w:rPr>
                <w:sz w:val="22"/>
                <w:szCs w:val="22"/>
              </w:rPr>
            </w:pPr>
          </w:p>
        </w:tc>
      </w:tr>
      <w:tr w:rsidR="001E1112" w:rsidRPr="00317ABF" w14:paraId="5FC3191F" w14:textId="77777777" w:rsidTr="7753F98D">
        <w:trPr>
          <w:gridAfter w:val="2"/>
          <w:wAfter w:w="175" w:type="dxa"/>
        </w:trPr>
        <w:tc>
          <w:tcPr>
            <w:tcW w:w="704" w:type="dxa"/>
          </w:tcPr>
          <w:p w14:paraId="557A077B" w14:textId="77777777" w:rsidR="001E1112" w:rsidRPr="00317ABF" w:rsidRDefault="001E1112" w:rsidP="00DB3BEC">
            <w:pPr>
              <w:jc w:val="both"/>
              <w:rPr>
                <w:sz w:val="22"/>
                <w:szCs w:val="22"/>
              </w:rPr>
            </w:pPr>
            <w:r w:rsidRPr="00317ABF">
              <w:rPr>
                <w:sz w:val="22"/>
                <w:szCs w:val="22"/>
              </w:rPr>
              <w:t>Art. 64 ust. 1</w:t>
            </w:r>
          </w:p>
        </w:tc>
        <w:tc>
          <w:tcPr>
            <w:tcW w:w="4308" w:type="dxa"/>
          </w:tcPr>
          <w:p w14:paraId="7FDFF373" w14:textId="77777777" w:rsidR="001E1112" w:rsidRPr="00317ABF" w:rsidRDefault="001E1112" w:rsidP="00DB3BEC">
            <w:pPr>
              <w:spacing w:before="120"/>
              <w:jc w:val="both"/>
              <w:rPr>
                <w:sz w:val="22"/>
                <w:szCs w:val="22"/>
              </w:rPr>
            </w:pPr>
            <w:r w:rsidRPr="00317ABF">
              <w:rPr>
                <w:sz w:val="22"/>
                <w:szCs w:val="22"/>
              </w:rPr>
              <w:t>1.   Po przeprowadzeniu konsultacji publicznych, w tym konsultacji z krajowymi organami regulacyjnymi, a także po uwzględnieniu w jak największym stopniu opinii BEREC, Komisja przyjmuje zalecenie w sprawie właściwych rynków produktów i usług („zalecenie”). Zalecenie określa te rynki produktów i usług sektora łączności elektronicznej, których cechy mogą uzasadnić nałożenie wymogów regulacyjnych określonych w niniejszej dyrektywie, bez uszczerbku dla rynków, które mogą zostać zdefiniowane w szczególnych przypadkach na podstawie przepisów prawa konkurencji. Komisja definiuje rynki zgodnie z zasadami prawa konkurencji.</w:t>
            </w:r>
          </w:p>
          <w:p w14:paraId="195CEAD0" w14:textId="77777777" w:rsidR="001E1112" w:rsidRPr="00317ABF" w:rsidRDefault="001E1112" w:rsidP="00DB3BEC">
            <w:pPr>
              <w:spacing w:before="120"/>
              <w:jc w:val="both"/>
              <w:rPr>
                <w:sz w:val="22"/>
                <w:szCs w:val="22"/>
              </w:rPr>
            </w:pPr>
            <w:r w:rsidRPr="00317ABF">
              <w:rPr>
                <w:sz w:val="22"/>
                <w:szCs w:val="22"/>
              </w:rPr>
              <w:t xml:space="preserve">Komisja uwzględnia rynki produktów i usług w zaleceniu, jeżeli – w wyniku obserwacji ogólnych tendencji w Unii – stwierdzi, że każde </w:t>
            </w:r>
            <w:r w:rsidRPr="00317ABF">
              <w:rPr>
                <w:sz w:val="22"/>
                <w:szCs w:val="22"/>
              </w:rPr>
              <w:lastRenderedPageBreak/>
              <w:t>z trzech kryteriów wymienionych w art. 67 ust. 1 jest spełnione.</w:t>
            </w:r>
          </w:p>
          <w:p w14:paraId="74DCDF37" w14:textId="77777777" w:rsidR="001E1112" w:rsidRPr="00317ABF" w:rsidRDefault="001E1112" w:rsidP="00DB3BEC">
            <w:pPr>
              <w:spacing w:before="120"/>
              <w:jc w:val="both"/>
              <w:rPr>
                <w:sz w:val="22"/>
                <w:szCs w:val="22"/>
              </w:rPr>
            </w:pPr>
            <w:r w:rsidRPr="00317ABF">
              <w:rPr>
                <w:sz w:val="22"/>
                <w:szCs w:val="22"/>
              </w:rPr>
              <w:t>Komisja dokonuje przeglądu zalecenia do dnia 21 grudnia 2020 r. i następnie regularnie po tym dniu.</w:t>
            </w:r>
          </w:p>
        </w:tc>
        <w:tc>
          <w:tcPr>
            <w:tcW w:w="986" w:type="dxa"/>
          </w:tcPr>
          <w:p w14:paraId="17C12D97" w14:textId="7ED23364" w:rsidR="001E1112" w:rsidRPr="00317ABF" w:rsidRDefault="001E1112" w:rsidP="00DB3BEC">
            <w:pPr>
              <w:jc w:val="both"/>
              <w:rPr>
                <w:sz w:val="22"/>
                <w:szCs w:val="22"/>
              </w:rPr>
            </w:pPr>
            <w:r w:rsidRPr="00317ABF">
              <w:rPr>
                <w:sz w:val="22"/>
                <w:szCs w:val="22"/>
              </w:rPr>
              <w:lastRenderedPageBreak/>
              <w:t>N</w:t>
            </w:r>
          </w:p>
        </w:tc>
        <w:tc>
          <w:tcPr>
            <w:tcW w:w="910" w:type="dxa"/>
          </w:tcPr>
          <w:p w14:paraId="5A325083" w14:textId="77777777" w:rsidR="001E1112" w:rsidRPr="00317ABF" w:rsidRDefault="001E1112" w:rsidP="00DB3BEC">
            <w:pPr>
              <w:pStyle w:val="Tekstpodstawowy"/>
              <w:rPr>
                <w:b/>
                <w:noProof/>
                <w:sz w:val="22"/>
                <w:szCs w:val="22"/>
              </w:rPr>
            </w:pPr>
          </w:p>
        </w:tc>
        <w:tc>
          <w:tcPr>
            <w:tcW w:w="6814" w:type="dxa"/>
            <w:gridSpan w:val="2"/>
          </w:tcPr>
          <w:p w14:paraId="7203BB18" w14:textId="77777777" w:rsidR="001E1112" w:rsidRPr="00317ABF" w:rsidRDefault="001E1112" w:rsidP="00DB3BEC">
            <w:pPr>
              <w:pStyle w:val="Tekstpodstawowy"/>
              <w:rPr>
                <w:sz w:val="22"/>
                <w:szCs w:val="22"/>
              </w:rPr>
            </w:pPr>
          </w:p>
        </w:tc>
      </w:tr>
      <w:tr w:rsidR="001E1112" w:rsidRPr="00317ABF" w14:paraId="02A0AFD1" w14:textId="77777777" w:rsidTr="7753F98D">
        <w:trPr>
          <w:gridAfter w:val="2"/>
          <w:wAfter w:w="175" w:type="dxa"/>
        </w:trPr>
        <w:tc>
          <w:tcPr>
            <w:tcW w:w="704" w:type="dxa"/>
          </w:tcPr>
          <w:p w14:paraId="53EE9626" w14:textId="77777777" w:rsidR="001E1112" w:rsidRPr="00317ABF" w:rsidRDefault="001E1112" w:rsidP="00DB3BEC">
            <w:pPr>
              <w:jc w:val="both"/>
              <w:rPr>
                <w:sz w:val="22"/>
                <w:szCs w:val="22"/>
              </w:rPr>
            </w:pPr>
            <w:r w:rsidRPr="00317ABF">
              <w:rPr>
                <w:sz w:val="22"/>
                <w:szCs w:val="22"/>
              </w:rPr>
              <w:lastRenderedPageBreak/>
              <w:t>Art. 64 ust. 2</w:t>
            </w:r>
          </w:p>
        </w:tc>
        <w:tc>
          <w:tcPr>
            <w:tcW w:w="4308" w:type="dxa"/>
          </w:tcPr>
          <w:p w14:paraId="0D8B8CCF" w14:textId="77777777" w:rsidR="001E1112" w:rsidRPr="00317ABF" w:rsidRDefault="001E1112" w:rsidP="00DB3BEC">
            <w:pPr>
              <w:spacing w:before="120"/>
              <w:jc w:val="both"/>
              <w:rPr>
                <w:sz w:val="22"/>
                <w:szCs w:val="22"/>
              </w:rPr>
            </w:pPr>
            <w:r w:rsidRPr="00317ABF">
              <w:rPr>
                <w:sz w:val="22"/>
                <w:szCs w:val="22"/>
              </w:rPr>
              <w:t>2.   Po przeprowadzeniu konsultacji z BEREC Komisja publikuje wytyczne dotyczące analizy rynku i oceny znaczącej pozycji rynkowej (zwane dalej „wytycznymi w sprawie znaczącej pozycji rynkowej”), które muszą być zgodne z odpowiednimi przepisami prawa konkurencji. Wytyczne w sprawie znaczącej pozycji rynkowej zawierają wskazówki dla krajowych organów regulacyjnych dotyczące zastosowania koncepcji znaczącej pozycji rynkowej w konkretnym kontekście regulacji ex ante rynków łączności elektronicznej przy uwzględnieniu trzech kryteriów wymienionych w art. 67 ust. 1.</w:t>
            </w:r>
          </w:p>
        </w:tc>
        <w:tc>
          <w:tcPr>
            <w:tcW w:w="986" w:type="dxa"/>
          </w:tcPr>
          <w:p w14:paraId="3A8C3515" w14:textId="77777777" w:rsidR="001E1112" w:rsidRPr="00317ABF" w:rsidRDefault="001E1112" w:rsidP="00DB3BEC">
            <w:pPr>
              <w:jc w:val="both"/>
              <w:rPr>
                <w:sz w:val="22"/>
                <w:szCs w:val="22"/>
              </w:rPr>
            </w:pPr>
            <w:r w:rsidRPr="00317ABF">
              <w:rPr>
                <w:sz w:val="22"/>
                <w:szCs w:val="22"/>
              </w:rPr>
              <w:t>N</w:t>
            </w:r>
          </w:p>
        </w:tc>
        <w:tc>
          <w:tcPr>
            <w:tcW w:w="910" w:type="dxa"/>
          </w:tcPr>
          <w:p w14:paraId="315D615E" w14:textId="77777777" w:rsidR="001E1112" w:rsidRPr="00317ABF" w:rsidRDefault="001E1112" w:rsidP="00DB3BEC">
            <w:pPr>
              <w:pStyle w:val="Tekstpodstawowy"/>
              <w:rPr>
                <w:b/>
                <w:noProof/>
                <w:sz w:val="22"/>
                <w:szCs w:val="22"/>
              </w:rPr>
            </w:pPr>
          </w:p>
        </w:tc>
        <w:tc>
          <w:tcPr>
            <w:tcW w:w="6814" w:type="dxa"/>
            <w:gridSpan w:val="2"/>
          </w:tcPr>
          <w:p w14:paraId="339BE7B3" w14:textId="77777777" w:rsidR="001E1112" w:rsidRPr="00317ABF" w:rsidRDefault="001E1112" w:rsidP="00DB3BEC">
            <w:pPr>
              <w:pStyle w:val="Tekstpodstawowy"/>
              <w:rPr>
                <w:sz w:val="22"/>
                <w:szCs w:val="22"/>
              </w:rPr>
            </w:pPr>
          </w:p>
        </w:tc>
      </w:tr>
      <w:tr w:rsidR="001E1112" w:rsidRPr="00317ABF" w14:paraId="77997BF5" w14:textId="77777777" w:rsidTr="7753F98D">
        <w:trPr>
          <w:gridAfter w:val="2"/>
          <w:wAfter w:w="175" w:type="dxa"/>
        </w:trPr>
        <w:tc>
          <w:tcPr>
            <w:tcW w:w="704" w:type="dxa"/>
          </w:tcPr>
          <w:p w14:paraId="03FC1FEC" w14:textId="77777777" w:rsidR="001E1112" w:rsidRPr="00317ABF" w:rsidRDefault="001E1112" w:rsidP="00DB3BEC">
            <w:pPr>
              <w:jc w:val="both"/>
              <w:rPr>
                <w:sz w:val="22"/>
                <w:szCs w:val="22"/>
              </w:rPr>
            </w:pPr>
            <w:r w:rsidRPr="00317ABF">
              <w:rPr>
                <w:sz w:val="22"/>
                <w:szCs w:val="22"/>
              </w:rPr>
              <w:t>Art. 64 ust. 3</w:t>
            </w:r>
          </w:p>
        </w:tc>
        <w:tc>
          <w:tcPr>
            <w:tcW w:w="4308" w:type="dxa"/>
          </w:tcPr>
          <w:p w14:paraId="0367F0E0" w14:textId="77777777" w:rsidR="001E1112" w:rsidRPr="00317ABF" w:rsidRDefault="001E1112" w:rsidP="00DB3BEC">
            <w:pPr>
              <w:spacing w:before="120"/>
              <w:jc w:val="both"/>
              <w:rPr>
                <w:sz w:val="22"/>
                <w:szCs w:val="22"/>
              </w:rPr>
            </w:pPr>
            <w:r w:rsidRPr="00317ABF">
              <w:rPr>
                <w:sz w:val="22"/>
                <w:szCs w:val="22"/>
              </w:rPr>
              <w:t>3.   Uwzględniając w jak największym stopniu treść zalecenia oraz wytycznych w sprawie znaczącej pozycji rynkowej, krajowe organy regulacyjne definiują – zgodnie z zasadami prawa konkurencji – rynki właściwe stosownie do okoliczności krajowych, a w szczególności właściwe rynki geograficzne na swoim terytorium, przy uwzględnieniu między innymi stopnia konkurencji w zakresie infrastruktury na tych obszarach. W stosownych przypadkach krajowe organy regulacyjne uwzględniają również wyniki analizy geograficznej przeprowadzonej zgodnie z art. 22 ust. 1. Organy te postępują zgodnie z procedurami, o których mowa w art. 23 i 32, zanim zdefiniują rynki różne od tych, które zdefiniowano w zaleceniu.</w:t>
            </w:r>
          </w:p>
        </w:tc>
        <w:tc>
          <w:tcPr>
            <w:tcW w:w="986" w:type="dxa"/>
          </w:tcPr>
          <w:p w14:paraId="1D99066B" w14:textId="6EAC15DD" w:rsidR="001E1112" w:rsidRPr="00317ABF" w:rsidRDefault="001E1112" w:rsidP="00DB3BEC">
            <w:pPr>
              <w:jc w:val="both"/>
              <w:rPr>
                <w:sz w:val="22"/>
                <w:szCs w:val="22"/>
              </w:rPr>
            </w:pPr>
            <w:r w:rsidRPr="00317ABF">
              <w:rPr>
                <w:sz w:val="22"/>
                <w:szCs w:val="22"/>
              </w:rPr>
              <w:t>T</w:t>
            </w:r>
          </w:p>
        </w:tc>
        <w:tc>
          <w:tcPr>
            <w:tcW w:w="910" w:type="dxa"/>
          </w:tcPr>
          <w:p w14:paraId="6DEDFA65" w14:textId="6BB94584" w:rsidR="001E1112" w:rsidRPr="00317ABF" w:rsidRDefault="001E1112" w:rsidP="00DB3BEC">
            <w:pPr>
              <w:pStyle w:val="Tekstpodstawowy"/>
              <w:rPr>
                <w:b/>
                <w:noProof/>
                <w:sz w:val="22"/>
                <w:szCs w:val="22"/>
              </w:rPr>
            </w:pPr>
            <w:r w:rsidRPr="00317ABF">
              <w:rPr>
                <w:b/>
                <w:bCs/>
                <w:noProof/>
                <w:sz w:val="22"/>
                <w:szCs w:val="22"/>
              </w:rPr>
              <w:t>Art. 1</w:t>
            </w:r>
            <w:r w:rsidR="004A0911" w:rsidRPr="00317ABF">
              <w:rPr>
                <w:b/>
                <w:bCs/>
                <w:noProof/>
                <w:sz w:val="22"/>
                <w:szCs w:val="22"/>
              </w:rPr>
              <w:t>99</w:t>
            </w:r>
            <w:r w:rsidRPr="00317ABF">
              <w:rPr>
                <w:b/>
                <w:bCs/>
                <w:noProof/>
                <w:sz w:val="22"/>
                <w:szCs w:val="22"/>
              </w:rPr>
              <w:t xml:space="preserve"> ust. 1 pkt 1,  art. 4 ust. 1-2, art. 30 pkt </w:t>
            </w:r>
            <w:r w:rsidR="004A0911" w:rsidRPr="00317ABF">
              <w:rPr>
                <w:b/>
                <w:bCs/>
                <w:noProof/>
                <w:sz w:val="22"/>
                <w:szCs w:val="22"/>
              </w:rPr>
              <w:t>7</w:t>
            </w:r>
            <w:r w:rsidRPr="00317ABF">
              <w:rPr>
                <w:b/>
                <w:bCs/>
                <w:noProof/>
                <w:sz w:val="22"/>
                <w:szCs w:val="22"/>
              </w:rPr>
              <w:t>, art. 35</w:t>
            </w:r>
          </w:p>
        </w:tc>
        <w:tc>
          <w:tcPr>
            <w:tcW w:w="6814" w:type="dxa"/>
            <w:gridSpan w:val="2"/>
          </w:tcPr>
          <w:p w14:paraId="6793E532" w14:textId="77777777" w:rsidR="004A0911" w:rsidRPr="00317ABF" w:rsidRDefault="004A0911" w:rsidP="004A0911">
            <w:pPr>
              <w:ind w:firstLine="510"/>
              <w:jc w:val="both"/>
              <w:rPr>
                <w:sz w:val="22"/>
                <w:szCs w:val="22"/>
              </w:rPr>
            </w:pPr>
            <w:r w:rsidRPr="00317ABF">
              <w:rPr>
                <w:b/>
                <w:sz w:val="22"/>
                <w:szCs w:val="22"/>
              </w:rPr>
              <w:t>Art. 199</w:t>
            </w:r>
            <w:r w:rsidRPr="00317ABF">
              <w:rPr>
                <w:sz w:val="22"/>
                <w:szCs w:val="22"/>
              </w:rPr>
              <w:t>. 1. Po przeprowadzeniu analizy, o której mowa w art. 197 ust. 1, Prezes UKE przeprowadza postępowanie w celu:</w:t>
            </w:r>
          </w:p>
          <w:p w14:paraId="293F210A" w14:textId="2CCE17D2" w:rsidR="001E1112" w:rsidRPr="00317ABF" w:rsidRDefault="001E1112" w:rsidP="004A0911">
            <w:pPr>
              <w:pStyle w:val="Akapitzlist"/>
              <w:numPr>
                <w:ilvl w:val="0"/>
                <w:numId w:val="94"/>
              </w:numPr>
              <w:jc w:val="both"/>
              <w:rPr>
                <w:sz w:val="22"/>
                <w:szCs w:val="22"/>
              </w:rPr>
            </w:pPr>
            <w:r w:rsidRPr="00317ABF">
              <w:rPr>
                <w:sz w:val="22"/>
                <w:szCs w:val="22"/>
              </w:rPr>
              <w:t>określenia rynku właściwego, zgodnie z prawem konkurencji, uwzględniając uwarunkowania krajowe, konkurencję w zakresie infrastruktury telekomunikacyjnej na danym obszarze i wyniki inwentaryzacji, o których mowa w ustawie z dnia 7 maja 2010 r. o wspieraniu rozwoju usług i sieci telekomunikacyjnych, w zakresie produktów i usług komunikacji elektronicznej, zwanego dalej „rynkiem właściwym”;</w:t>
            </w:r>
          </w:p>
          <w:p w14:paraId="39695A58" w14:textId="77777777" w:rsidR="004A0911" w:rsidRPr="00317ABF" w:rsidRDefault="004A0911" w:rsidP="004A0911">
            <w:pPr>
              <w:jc w:val="both"/>
              <w:rPr>
                <w:sz w:val="22"/>
                <w:szCs w:val="22"/>
              </w:rPr>
            </w:pPr>
          </w:p>
          <w:p w14:paraId="75A2113A" w14:textId="777CD81E" w:rsidR="001E1112" w:rsidRPr="00317ABF" w:rsidRDefault="001E1112" w:rsidP="00DB3BEC">
            <w:pPr>
              <w:ind w:firstLine="510"/>
              <w:jc w:val="both"/>
              <w:rPr>
                <w:sz w:val="22"/>
                <w:szCs w:val="22"/>
              </w:rPr>
            </w:pPr>
            <w:r w:rsidRPr="00317ABF">
              <w:rPr>
                <w:b/>
                <w:sz w:val="22"/>
                <w:szCs w:val="22"/>
              </w:rPr>
              <w:t>Art. 30.</w:t>
            </w:r>
            <w:r w:rsidRPr="00317ABF">
              <w:rPr>
                <w:sz w:val="22"/>
                <w:szCs w:val="22"/>
              </w:rPr>
              <w:t xml:space="preserve"> Prezes UKE przed podjęciem rozstrzygnięcia w sprawach:</w:t>
            </w:r>
          </w:p>
          <w:p w14:paraId="505BF73E" w14:textId="4B447259" w:rsidR="004A0911" w:rsidRPr="00317ABF" w:rsidRDefault="004A0911" w:rsidP="004A0911">
            <w:pPr>
              <w:jc w:val="both"/>
              <w:rPr>
                <w:sz w:val="22"/>
                <w:szCs w:val="22"/>
              </w:rPr>
            </w:pPr>
            <w:r w:rsidRPr="00317ABF">
              <w:rPr>
                <w:sz w:val="22"/>
                <w:szCs w:val="22"/>
              </w:rPr>
              <w:t>(…)</w:t>
            </w:r>
          </w:p>
          <w:p w14:paraId="4458A38C" w14:textId="7328DBB0" w:rsidR="004A0911" w:rsidRPr="00317ABF" w:rsidRDefault="004A0911" w:rsidP="004A0911">
            <w:pPr>
              <w:ind w:firstLine="510"/>
              <w:jc w:val="both"/>
              <w:rPr>
                <w:sz w:val="22"/>
                <w:szCs w:val="22"/>
              </w:rPr>
            </w:pPr>
            <w:r w:rsidRPr="00317ABF">
              <w:rPr>
                <w:sz w:val="22"/>
                <w:szCs w:val="22"/>
              </w:rPr>
              <w:t>7) określenia rynku właściwego, o którym mowa w art. 199 ust. 1 pkt 1, a także jego analizy i wyznaczenia przedsiębiorcy komunikacji elektronicznej o znaczącej pozycji rynkowej lub przedsiębiorców komunikacji elektronicznej zajmujących kolektywną pozycję znaczącą, lub uchylenia decyzji w tej sprawie,</w:t>
            </w:r>
          </w:p>
          <w:p w14:paraId="5FBA4BBB" w14:textId="0578933B" w:rsidR="004A0911" w:rsidRPr="00317ABF" w:rsidRDefault="004A0911" w:rsidP="004A0911">
            <w:pPr>
              <w:ind w:left="510" w:hanging="510"/>
              <w:jc w:val="both"/>
              <w:rPr>
                <w:sz w:val="22"/>
                <w:szCs w:val="22"/>
              </w:rPr>
            </w:pPr>
            <w:r w:rsidRPr="00317ABF">
              <w:rPr>
                <w:sz w:val="22"/>
                <w:szCs w:val="22"/>
              </w:rPr>
              <w:t>(…)</w:t>
            </w:r>
          </w:p>
          <w:p w14:paraId="259115D1" w14:textId="08F8316F" w:rsidR="001E1112" w:rsidRPr="00317ABF" w:rsidRDefault="001E1112" w:rsidP="00DB3BEC">
            <w:pPr>
              <w:ind w:left="510" w:hanging="510"/>
              <w:jc w:val="both"/>
              <w:rPr>
                <w:sz w:val="22"/>
                <w:szCs w:val="22"/>
              </w:rPr>
            </w:pPr>
            <w:r w:rsidRPr="00317ABF">
              <w:rPr>
                <w:sz w:val="22"/>
                <w:szCs w:val="22"/>
              </w:rPr>
              <w:lastRenderedPageBreak/>
              <w:t>- przeprowadza postępowanie</w:t>
            </w:r>
            <w:r w:rsidR="004A0911" w:rsidRPr="00317ABF">
              <w:rPr>
                <w:sz w:val="22"/>
                <w:szCs w:val="22"/>
              </w:rPr>
              <w:t>, w ramach którego umożliwia</w:t>
            </w:r>
            <w:r w:rsidRPr="00317ABF">
              <w:rPr>
                <w:sz w:val="22"/>
                <w:szCs w:val="22"/>
              </w:rPr>
              <w:t xml:space="preserve"> zainteresowanym podmiotom wyrażenie w określonym terminie stanowiska do projektu rozstrzygnięcia</w:t>
            </w:r>
            <w:r w:rsidR="004A0911" w:rsidRPr="00317ABF">
              <w:rPr>
                <w:sz w:val="22"/>
                <w:szCs w:val="22"/>
              </w:rPr>
              <w:t>, zwane dalej „postępowaniem konsultacyjnym”.</w:t>
            </w:r>
          </w:p>
          <w:p w14:paraId="5EDC8EDB" w14:textId="394FB22F" w:rsidR="001E1112" w:rsidRPr="00317ABF" w:rsidRDefault="001E1112" w:rsidP="00DB3BEC">
            <w:pPr>
              <w:ind w:left="510" w:hanging="510"/>
              <w:jc w:val="both"/>
              <w:rPr>
                <w:sz w:val="22"/>
                <w:szCs w:val="22"/>
              </w:rPr>
            </w:pPr>
          </w:p>
          <w:p w14:paraId="5F717664" w14:textId="378855F1" w:rsidR="001E1112" w:rsidRPr="00317ABF" w:rsidRDefault="001E1112" w:rsidP="00DB3BEC">
            <w:pPr>
              <w:jc w:val="both"/>
              <w:rPr>
                <w:sz w:val="22"/>
                <w:szCs w:val="22"/>
              </w:rPr>
            </w:pPr>
            <w:r w:rsidRPr="00317ABF">
              <w:rPr>
                <w:b/>
                <w:sz w:val="22"/>
                <w:szCs w:val="22"/>
              </w:rPr>
              <w:t>Art. 35.</w:t>
            </w:r>
            <w:r w:rsidRPr="00317ABF">
              <w:rPr>
                <w:sz w:val="22"/>
                <w:szCs w:val="22"/>
              </w:rPr>
              <w:t xml:space="preserve"> 1. Jeżeli rozstrzygnięcia, o których mowa w art. </w:t>
            </w:r>
            <w:r w:rsidR="004A0911" w:rsidRPr="00317ABF">
              <w:rPr>
                <w:sz w:val="22"/>
                <w:szCs w:val="22"/>
              </w:rPr>
              <w:t>30 pkt 1-13</w:t>
            </w:r>
            <w:r w:rsidRPr="00317ABF">
              <w:rPr>
                <w:sz w:val="22"/>
                <w:szCs w:val="22"/>
              </w:rPr>
              <w:t>, mogą mieć wpływ na stosunki handlowe między państwami członkowskimi, Prezes UKE, niezwłocznie po zakończeniu postępowania konsultacyjnego i rozpatrzeniu stanowisk uczestników tego postępowania, rozpoczyna postępowanie konsolidacyjne, przesyłając Komisji Europejskiej, BEREC, i organom regulacyjnym innych państw członkowskich projekty rozstrzygnięć wraz z ich uzasadnieniem.</w:t>
            </w:r>
          </w:p>
          <w:p w14:paraId="04F69EB7" w14:textId="77777777" w:rsidR="004A0911" w:rsidRPr="00317ABF" w:rsidRDefault="004A0911" w:rsidP="00DB3BEC">
            <w:pPr>
              <w:jc w:val="both"/>
              <w:rPr>
                <w:sz w:val="22"/>
                <w:szCs w:val="22"/>
              </w:rPr>
            </w:pPr>
          </w:p>
          <w:p w14:paraId="4F639CCC" w14:textId="77777777" w:rsidR="004A0911" w:rsidRPr="00317ABF" w:rsidRDefault="004A0911" w:rsidP="00DB3BEC">
            <w:pPr>
              <w:jc w:val="both"/>
              <w:rPr>
                <w:sz w:val="22"/>
                <w:szCs w:val="22"/>
              </w:rPr>
            </w:pPr>
          </w:p>
          <w:p w14:paraId="3C01D6A3" w14:textId="77777777" w:rsidR="004A0911" w:rsidRPr="00317ABF" w:rsidRDefault="004A0911" w:rsidP="004A0911">
            <w:pPr>
              <w:ind w:firstLine="510"/>
              <w:jc w:val="both"/>
              <w:rPr>
                <w:sz w:val="22"/>
                <w:szCs w:val="22"/>
              </w:rPr>
            </w:pPr>
            <w:r w:rsidRPr="00317ABF">
              <w:rPr>
                <w:b/>
                <w:sz w:val="22"/>
                <w:szCs w:val="22"/>
              </w:rPr>
              <w:t>Art. 4</w:t>
            </w:r>
            <w:r w:rsidRPr="00317ABF">
              <w:rPr>
                <w:sz w:val="22"/>
                <w:szCs w:val="22"/>
              </w:rPr>
              <w:t>. 1. Prezes Urzędu Komunikacji Elektronicznej, zwany dalej „Prezesem UKE”, uwzględnia przy stosowaniu ustawy w największym możliwie stopniu wytyczne i zalecenia Komisji Europejskiej w ich aktualnym brzmieniu.</w:t>
            </w:r>
          </w:p>
          <w:p w14:paraId="10FD4DBD" w14:textId="2D93EC7B" w:rsidR="001E1112" w:rsidRPr="00317ABF" w:rsidRDefault="001E1112" w:rsidP="00DB3BEC">
            <w:pPr>
              <w:jc w:val="both"/>
              <w:rPr>
                <w:sz w:val="22"/>
                <w:szCs w:val="22"/>
              </w:rPr>
            </w:pPr>
            <w:r w:rsidRPr="00317ABF">
              <w:rPr>
                <w:sz w:val="22"/>
                <w:szCs w:val="22"/>
              </w:rPr>
              <w:t>2. W przypadku zaleceń Komisji Europejskiej, które mają na celu zapewnienie zharmonizowanego stosowania dyrektywy Parlamentu Europejskiego i Rady (UE) 2018/1972 z dnia 11 grudnia 2018 r. ustanawiającą europejski kodeks łączności elektronicznej (Dz. Urz. WE L 321/36 z 17.12.2018), zwanej dalej „EKŁE”, Prezes UKE może odstąpić od stosowania tych zaleceń, powiadamiając o tym Komisję Europejską i uzasadniając swoje stanowisko.</w:t>
            </w:r>
          </w:p>
        </w:tc>
      </w:tr>
      <w:tr w:rsidR="001E1112" w:rsidRPr="00317ABF" w14:paraId="16D1FFF2" w14:textId="77777777" w:rsidTr="7753F98D">
        <w:trPr>
          <w:gridAfter w:val="2"/>
          <w:wAfter w:w="175" w:type="dxa"/>
        </w:trPr>
        <w:tc>
          <w:tcPr>
            <w:tcW w:w="704" w:type="dxa"/>
          </w:tcPr>
          <w:p w14:paraId="499EB566" w14:textId="77777777" w:rsidR="001E1112" w:rsidRPr="00317ABF" w:rsidRDefault="001E1112" w:rsidP="00DB3BEC">
            <w:pPr>
              <w:jc w:val="both"/>
              <w:rPr>
                <w:b/>
                <w:sz w:val="22"/>
                <w:szCs w:val="22"/>
              </w:rPr>
            </w:pPr>
            <w:r w:rsidRPr="00317ABF">
              <w:rPr>
                <w:b/>
                <w:sz w:val="22"/>
                <w:szCs w:val="22"/>
              </w:rPr>
              <w:lastRenderedPageBreak/>
              <w:t>Art. 65</w:t>
            </w:r>
          </w:p>
        </w:tc>
        <w:tc>
          <w:tcPr>
            <w:tcW w:w="4308" w:type="dxa"/>
          </w:tcPr>
          <w:p w14:paraId="4F1007EE" w14:textId="77777777" w:rsidR="001E1112" w:rsidRPr="00317ABF" w:rsidRDefault="001E1112" w:rsidP="00DB3BEC">
            <w:pPr>
              <w:spacing w:before="120"/>
              <w:jc w:val="both"/>
              <w:rPr>
                <w:sz w:val="22"/>
                <w:szCs w:val="22"/>
              </w:rPr>
            </w:pPr>
            <w:r w:rsidRPr="00317ABF">
              <w:rPr>
                <w:b/>
                <w:bCs/>
                <w:sz w:val="22"/>
                <w:szCs w:val="22"/>
              </w:rPr>
              <w:t>Procedura określania rynków ponadnarodowych</w:t>
            </w:r>
          </w:p>
        </w:tc>
        <w:tc>
          <w:tcPr>
            <w:tcW w:w="986" w:type="dxa"/>
          </w:tcPr>
          <w:p w14:paraId="0C934B6A" w14:textId="77777777" w:rsidR="001E1112" w:rsidRPr="00317ABF" w:rsidRDefault="001E1112" w:rsidP="00DB3BEC">
            <w:pPr>
              <w:jc w:val="both"/>
              <w:rPr>
                <w:sz w:val="22"/>
                <w:szCs w:val="22"/>
              </w:rPr>
            </w:pPr>
          </w:p>
        </w:tc>
        <w:tc>
          <w:tcPr>
            <w:tcW w:w="910" w:type="dxa"/>
          </w:tcPr>
          <w:p w14:paraId="5B11012F" w14:textId="77777777" w:rsidR="001E1112" w:rsidRPr="00317ABF" w:rsidRDefault="001E1112" w:rsidP="00DB3BEC">
            <w:pPr>
              <w:pStyle w:val="Tekstpodstawowy"/>
              <w:rPr>
                <w:b/>
                <w:noProof/>
                <w:sz w:val="22"/>
                <w:szCs w:val="22"/>
              </w:rPr>
            </w:pPr>
          </w:p>
        </w:tc>
        <w:tc>
          <w:tcPr>
            <w:tcW w:w="6814" w:type="dxa"/>
            <w:gridSpan w:val="2"/>
          </w:tcPr>
          <w:p w14:paraId="19F9E104" w14:textId="77777777" w:rsidR="001E1112" w:rsidRPr="00317ABF" w:rsidRDefault="001E1112" w:rsidP="00DB3BEC">
            <w:pPr>
              <w:pStyle w:val="Tekstpodstawowy"/>
              <w:rPr>
                <w:sz w:val="22"/>
                <w:szCs w:val="22"/>
              </w:rPr>
            </w:pPr>
          </w:p>
        </w:tc>
      </w:tr>
      <w:tr w:rsidR="001E1112" w:rsidRPr="00317ABF" w14:paraId="260A4307" w14:textId="77777777" w:rsidTr="7753F98D">
        <w:trPr>
          <w:gridAfter w:val="2"/>
          <w:wAfter w:w="175" w:type="dxa"/>
        </w:trPr>
        <w:tc>
          <w:tcPr>
            <w:tcW w:w="704" w:type="dxa"/>
          </w:tcPr>
          <w:p w14:paraId="502C813A" w14:textId="77777777" w:rsidR="001E1112" w:rsidRPr="00317ABF" w:rsidRDefault="001E1112" w:rsidP="00DB3BEC">
            <w:pPr>
              <w:jc w:val="both"/>
              <w:rPr>
                <w:sz w:val="22"/>
                <w:szCs w:val="22"/>
              </w:rPr>
            </w:pPr>
            <w:r w:rsidRPr="00317ABF">
              <w:rPr>
                <w:sz w:val="22"/>
                <w:szCs w:val="22"/>
              </w:rPr>
              <w:t>Art. 65 ust. 1</w:t>
            </w:r>
          </w:p>
        </w:tc>
        <w:tc>
          <w:tcPr>
            <w:tcW w:w="4308" w:type="dxa"/>
          </w:tcPr>
          <w:p w14:paraId="238C6102" w14:textId="77777777" w:rsidR="001E1112" w:rsidRPr="00317ABF" w:rsidRDefault="001E1112" w:rsidP="00DB3BEC">
            <w:pPr>
              <w:spacing w:before="120"/>
              <w:jc w:val="both"/>
              <w:rPr>
                <w:sz w:val="22"/>
                <w:szCs w:val="22"/>
              </w:rPr>
            </w:pPr>
            <w:r w:rsidRPr="00317ABF">
              <w:rPr>
                <w:sz w:val="22"/>
                <w:szCs w:val="22"/>
              </w:rPr>
              <w:t xml:space="preserve">1.   Jeżeli Komisja lub przynajmniej dwa krajowe organy regulacyjne wystąpią z uzasadnionym wnioskiem zawierającym stosowne dowody, BEREC przeprowadza analizę potencjalnego rynku ponadnarodowego. Po przeprowadzeniu konsultacji i uwzględnieniu w jak największym stopniu analizy przeprowadzonej przez BEREC, Komisja może przyjąć decyzje określające rynki ponadnarodowe zgodnie z zasadami prawa konkurencji oraz </w:t>
            </w:r>
            <w:r w:rsidRPr="00317ABF">
              <w:rPr>
                <w:sz w:val="22"/>
                <w:szCs w:val="22"/>
              </w:rPr>
              <w:lastRenderedPageBreak/>
              <w:t>z uwzględnieniem w jak największym stopniu zalecenia i wytycznych w sprawie znaczącej pozycji rynkowej przyjętych zgodnie z art. 64.</w:t>
            </w:r>
          </w:p>
        </w:tc>
        <w:tc>
          <w:tcPr>
            <w:tcW w:w="986" w:type="dxa"/>
          </w:tcPr>
          <w:p w14:paraId="76765D55" w14:textId="0998AA17" w:rsidR="001E1112" w:rsidRPr="00317ABF" w:rsidRDefault="001E1112" w:rsidP="00DB3BEC">
            <w:pPr>
              <w:jc w:val="both"/>
              <w:rPr>
                <w:sz w:val="22"/>
                <w:szCs w:val="22"/>
              </w:rPr>
            </w:pPr>
            <w:r w:rsidRPr="00317ABF">
              <w:rPr>
                <w:sz w:val="22"/>
                <w:szCs w:val="22"/>
              </w:rPr>
              <w:lastRenderedPageBreak/>
              <w:t>T (w zakresie uprawnienia krajowego organu regulacyjnego)</w:t>
            </w:r>
          </w:p>
        </w:tc>
        <w:tc>
          <w:tcPr>
            <w:tcW w:w="910" w:type="dxa"/>
          </w:tcPr>
          <w:p w14:paraId="708D2E40" w14:textId="53CA3EBC" w:rsidR="001E1112" w:rsidRPr="00317ABF" w:rsidRDefault="001E1112" w:rsidP="00DB3BEC">
            <w:pPr>
              <w:pStyle w:val="Tekstpodstawowy"/>
              <w:rPr>
                <w:b/>
                <w:noProof/>
                <w:sz w:val="22"/>
                <w:szCs w:val="22"/>
              </w:rPr>
            </w:pPr>
            <w:r w:rsidRPr="00317ABF">
              <w:rPr>
                <w:b/>
                <w:bCs/>
                <w:noProof/>
                <w:sz w:val="22"/>
                <w:szCs w:val="22"/>
              </w:rPr>
              <w:t xml:space="preserve">art. </w:t>
            </w:r>
            <w:r w:rsidR="00A702BA" w:rsidRPr="00317ABF">
              <w:rPr>
                <w:b/>
                <w:bCs/>
                <w:noProof/>
                <w:sz w:val="22"/>
                <w:szCs w:val="22"/>
              </w:rPr>
              <w:t>198</w:t>
            </w:r>
            <w:r w:rsidRPr="00317ABF">
              <w:rPr>
                <w:b/>
                <w:bCs/>
                <w:noProof/>
                <w:sz w:val="22"/>
                <w:szCs w:val="22"/>
              </w:rPr>
              <w:t xml:space="preserve"> ust. 1</w:t>
            </w:r>
          </w:p>
        </w:tc>
        <w:tc>
          <w:tcPr>
            <w:tcW w:w="6814" w:type="dxa"/>
            <w:gridSpan w:val="2"/>
          </w:tcPr>
          <w:p w14:paraId="1FE2B5F7" w14:textId="3319356F" w:rsidR="001E1112" w:rsidRPr="00317ABF" w:rsidRDefault="001E1112" w:rsidP="00DB3BEC">
            <w:pPr>
              <w:jc w:val="both"/>
              <w:rPr>
                <w:b/>
                <w:sz w:val="22"/>
                <w:szCs w:val="22"/>
              </w:rPr>
            </w:pPr>
            <w:r w:rsidRPr="00317ABF">
              <w:rPr>
                <w:b/>
                <w:sz w:val="22"/>
                <w:szCs w:val="22"/>
              </w:rPr>
              <w:t xml:space="preserve">Art. </w:t>
            </w:r>
            <w:r w:rsidR="00A702BA" w:rsidRPr="00317ABF">
              <w:rPr>
                <w:b/>
                <w:sz w:val="22"/>
                <w:szCs w:val="22"/>
              </w:rPr>
              <w:t>198</w:t>
            </w:r>
            <w:r w:rsidRPr="00317ABF">
              <w:rPr>
                <w:b/>
                <w:sz w:val="22"/>
                <w:szCs w:val="22"/>
              </w:rPr>
              <w:t xml:space="preserve"> ust. 1</w:t>
            </w:r>
          </w:p>
          <w:p w14:paraId="642780CF" w14:textId="05C5EBB5" w:rsidR="001E1112" w:rsidRPr="00317ABF" w:rsidRDefault="001E1112" w:rsidP="00DB3BEC">
            <w:pPr>
              <w:jc w:val="both"/>
              <w:rPr>
                <w:sz w:val="22"/>
                <w:szCs w:val="22"/>
              </w:rPr>
            </w:pPr>
          </w:p>
          <w:p w14:paraId="6C812024" w14:textId="348B0CD3" w:rsidR="001E1112" w:rsidRPr="00317ABF" w:rsidRDefault="001E1112" w:rsidP="00DB3BEC">
            <w:pPr>
              <w:jc w:val="both"/>
              <w:rPr>
                <w:sz w:val="22"/>
                <w:szCs w:val="22"/>
              </w:rPr>
            </w:pPr>
            <w:r w:rsidRPr="00317ABF">
              <w:rPr>
                <w:sz w:val="22"/>
                <w:szCs w:val="22"/>
              </w:rPr>
              <w:t xml:space="preserve">Art. </w:t>
            </w:r>
            <w:r w:rsidR="00A702BA" w:rsidRPr="00317ABF">
              <w:rPr>
                <w:sz w:val="22"/>
                <w:szCs w:val="22"/>
              </w:rPr>
              <w:t>198</w:t>
            </w:r>
            <w:r w:rsidRPr="00317ABF">
              <w:rPr>
                <w:sz w:val="22"/>
                <w:szCs w:val="22"/>
              </w:rPr>
              <w:t xml:space="preserve">. 1. Prezes UKE może wraz z </w:t>
            </w:r>
            <w:r w:rsidR="00A702BA" w:rsidRPr="00317ABF">
              <w:rPr>
                <w:sz w:val="22"/>
                <w:szCs w:val="22"/>
              </w:rPr>
              <w:t>co najmniej</w:t>
            </w:r>
            <w:r w:rsidRPr="00317ABF">
              <w:rPr>
                <w:sz w:val="22"/>
                <w:szCs w:val="22"/>
              </w:rPr>
              <w:t xml:space="preserve"> jednym organem regulacyjnym innego państwa członkowskiego wystąpić do BEREC z uzasadnionym wnioskiem o przeprowadzenie analizy potencjalnego rynku ponadnarodowego.</w:t>
            </w:r>
          </w:p>
        </w:tc>
      </w:tr>
      <w:tr w:rsidR="001E1112" w:rsidRPr="00317ABF" w14:paraId="496EB876" w14:textId="77777777" w:rsidTr="7753F98D">
        <w:trPr>
          <w:gridAfter w:val="2"/>
          <w:wAfter w:w="175" w:type="dxa"/>
        </w:trPr>
        <w:tc>
          <w:tcPr>
            <w:tcW w:w="704" w:type="dxa"/>
          </w:tcPr>
          <w:p w14:paraId="2DDDD9A1" w14:textId="77777777" w:rsidR="001E1112" w:rsidRPr="00317ABF" w:rsidRDefault="001E1112" w:rsidP="00DB3BEC">
            <w:pPr>
              <w:jc w:val="both"/>
              <w:rPr>
                <w:sz w:val="22"/>
                <w:szCs w:val="22"/>
              </w:rPr>
            </w:pPr>
            <w:r w:rsidRPr="00317ABF">
              <w:rPr>
                <w:sz w:val="22"/>
                <w:szCs w:val="22"/>
              </w:rPr>
              <w:lastRenderedPageBreak/>
              <w:t>Art. 65 ust. 2</w:t>
            </w:r>
          </w:p>
        </w:tc>
        <w:tc>
          <w:tcPr>
            <w:tcW w:w="4308" w:type="dxa"/>
          </w:tcPr>
          <w:p w14:paraId="60E937FC" w14:textId="77777777" w:rsidR="001E1112" w:rsidRPr="00317ABF" w:rsidRDefault="001E1112" w:rsidP="00DB3BEC">
            <w:pPr>
              <w:spacing w:before="120"/>
              <w:jc w:val="both"/>
              <w:rPr>
                <w:sz w:val="22"/>
                <w:szCs w:val="22"/>
              </w:rPr>
            </w:pPr>
            <w:r w:rsidRPr="00317ABF">
              <w:rPr>
                <w:sz w:val="22"/>
                <w:szCs w:val="22"/>
              </w:rPr>
              <w:t>2.   W przypadku rynków ponadnarodowych określonych zgodnie z ust. 1 niniejszego artykułu dane krajowe organy regulacyjne wspólnie przeprowadzają analizę rynku, mając przede wszystkim na uwadze treść wytycznych w sprawie znaczącej pozycji rynkowej, a następnie, działając wspólnie, podejmują decyzję dotyczącą nałożenia, utrzymania, zmiany lub uchylenia obowiązków regulacyjnych, o których mowa w art. 67 ust. 4. Zainteresowane krajowe organy regulacyjne wspólnie zgłaszają Komisji swoje planowane środki dotyczące analizy rynku oraz wszelkich obowiązków regulacyjnych na podstawie art. 32 i 33.</w:t>
            </w:r>
          </w:p>
          <w:p w14:paraId="29BFEE6F" w14:textId="77777777" w:rsidR="001E1112" w:rsidRPr="00317ABF" w:rsidRDefault="001E1112" w:rsidP="00DB3BEC">
            <w:pPr>
              <w:spacing w:before="120"/>
              <w:jc w:val="both"/>
              <w:rPr>
                <w:sz w:val="22"/>
                <w:szCs w:val="22"/>
              </w:rPr>
            </w:pPr>
            <w:r w:rsidRPr="00317ABF">
              <w:rPr>
                <w:sz w:val="22"/>
                <w:szCs w:val="22"/>
              </w:rPr>
              <w:t>Co najmniej dwa krajowe organy regulacyjne mogą również wspólnie zgłosić swoje planowane środki dotyczące analizy rynku i wszelkich obowiązków regulacyjnych w przypadku niewystępowania rynków ponadnarodowych, jeżeli uznają, że warunki rynkowe w ich jurysdykcjach są wystarczająco jednorodne.</w:t>
            </w:r>
          </w:p>
        </w:tc>
        <w:tc>
          <w:tcPr>
            <w:tcW w:w="986" w:type="dxa"/>
          </w:tcPr>
          <w:p w14:paraId="070B1A92" w14:textId="69F6B245" w:rsidR="001E1112" w:rsidRPr="00317ABF" w:rsidRDefault="001E1112" w:rsidP="00DB3BEC">
            <w:pPr>
              <w:jc w:val="both"/>
              <w:rPr>
                <w:sz w:val="22"/>
                <w:szCs w:val="22"/>
              </w:rPr>
            </w:pPr>
            <w:r w:rsidRPr="00317ABF">
              <w:rPr>
                <w:sz w:val="22"/>
                <w:szCs w:val="22"/>
              </w:rPr>
              <w:t>T</w:t>
            </w:r>
          </w:p>
        </w:tc>
        <w:tc>
          <w:tcPr>
            <w:tcW w:w="910" w:type="dxa"/>
          </w:tcPr>
          <w:p w14:paraId="75639869" w14:textId="555B2119" w:rsidR="001E1112" w:rsidRPr="00317ABF" w:rsidRDefault="001E1112" w:rsidP="00DB3BEC">
            <w:pPr>
              <w:pStyle w:val="Tekstpodstawowy"/>
              <w:rPr>
                <w:b/>
                <w:noProof/>
                <w:sz w:val="22"/>
                <w:szCs w:val="22"/>
              </w:rPr>
            </w:pPr>
            <w:r w:rsidRPr="00317ABF">
              <w:rPr>
                <w:b/>
                <w:bCs/>
                <w:noProof/>
                <w:sz w:val="22"/>
                <w:szCs w:val="22"/>
              </w:rPr>
              <w:t>Art. 1</w:t>
            </w:r>
            <w:r w:rsidR="00A702BA" w:rsidRPr="00317ABF">
              <w:rPr>
                <w:b/>
                <w:bCs/>
                <w:noProof/>
                <w:sz w:val="22"/>
                <w:szCs w:val="22"/>
              </w:rPr>
              <w:t>98</w:t>
            </w:r>
            <w:r w:rsidRPr="00317ABF">
              <w:rPr>
                <w:b/>
                <w:bCs/>
                <w:noProof/>
                <w:sz w:val="22"/>
                <w:szCs w:val="22"/>
              </w:rPr>
              <w:t xml:space="preserve"> ust. 2-4</w:t>
            </w:r>
          </w:p>
        </w:tc>
        <w:tc>
          <w:tcPr>
            <w:tcW w:w="6814" w:type="dxa"/>
            <w:gridSpan w:val="2"/>
          </w:tcPr>
          <w:p w14:paraId="350E70E1" w14:textId="28A5B26E" w:rsidR="001E1112" w:rsidRPr="00317ABF" w:rsidRDefault="001E1112" w:rsidP="00DB3BEC">
            <w:pPr>
              <w:jc w:val="both"/>
              <w:rPr>
                <w:sz w:val="22"/>
                <w:szCs w:val="22"/>
              </w:rPr>
            </w:pPr>
            <w:r w:rsidRPr="00317ABF">
              <w:rPr>
                <w:sz w:val="22"/>
                <w:szCs w:val="22"/>
              </w:rPr>
              <w:t>Art. 1</w:t>
            </w:r>
            <w:r w:rsidR="00A702BA" w:rsidRPr="00317ABF">
              <w:rPr>
                <w:sz w:val="22"/>
                <w:szCs w:val="22"/>
              </w:rPr>
              <w:t>98</w:t>
            </w:r>
            <w:r w:rsidRPr="00317ABF">
              <w:rPr>
                <w:sz w:val="22"/>
                <w:szCs w:val="22"/>
              </w:rPr>
              <w:t xml:space="preserve"> ust. 2-4</w:t>
            </w:r>
          </w:p>
          <w:p w14:paraId="70CA8595" w14:textId="0AF8289C" w:rsidR="001E1112" w:rsidRPr="00317ABF" w:rsidRDefault="001E1112" w:rsidP="00DB3BEC">
            <w:pPr>
              <w:jc w:val="both"/>
              <w:rPr>
                <w:sz w:val="22"/>
                <w:szCs w:val="22"/>
              </w:rPr>
            </w:pPr>
          </w:p>
          <w:p w14:paraId="562BA37C" w14:textId="0C15F815" w:rsidR="001E1112" w:rsidRPr="00317ABF" w:rsidRDefault="001E1112" w:rsidP="00DB3BEC">
            <w:pPr>
              <w:ind w:firstLine="510"/>
              <w:jc w:val="both"/>
              <w:rPr>
                <w:sz w:val="22"/>
                <w:szCs w:val="22"/>
              </w:rPr>
            </w:pPr>
            <w:r w:rsidRPr="00317ABF">
              <w:rPr>
                <w:sz w:val="22"/>
                <w:szCs w:val="22"/>
              </w:rPr>
              <w:t>2. W przypadku rynku właściwego określonego w decyzji Komisji Europejskiej jako rynek ponadnarodowy Prezes UKE przeprowadza wraz z organem regulacyjnym innego państwa członkowskiego, o którym mowa w ust. 1, jego analizę.</w:t>
            </w:r>
          </w:p>
          <w:p w14:paraId="38662E64" w14:textId="77777777" w:rsidR="001E1112" w:rsidRPr="00317ABF" w:rsidRDefault="001E1112" w:rsidP="00DB3BEC">
            <w:pPr>
              <w:ind w:firstLine="510"/>
              <w:jc w:val="both"/>
              <w:rPr>
                <w:sz w:val="22"/>
                <w:szCs w:val="22"/>
              </w:rPr>
            </w:pPr>
            <w:r w:rsidRPr="00317ABF">
              <w:rPr>
                <w:sz w:val="22"/>
                <w:szCs w:val="22"/>
              </w:rPr>
              <w:t xml:space="preserve">3. Prezes UKE wraz z organem regulacyjnym innego państwa członkowskiego, o którym mowa w ust. 1, zgłasza Komisji Europejskiej projekty rozstrzygnięć kończących postępowanie, o którym mowa w art. </w:t>
            </w:r>
            <w:r w:rsidR="00A702BA" w:rsidRPr="00317ABF">
              <w:rPr>
                <w:sz w:val="22"/>
                <w:szCs w:val="22"/>
              </w:rPr>
              <w:t>199</w:t>
            </w:r>
            <w:r w:rsidRPr="00317ABF">
              <w:rPr>
                <w:sz w:val="22"/>
                <w:szCs w:val="22"/>
              </w:rPr>
              <w:t xml:space="preserve"> ust. 1.</w:t>
            </w:r>
          </w:p>
          <w:p w14:paraId="2BA1FF8E" w14:textId="2BE2CBE6" w:rsidR="001E1112" w:rsidRPr="00317ABF" w:rsidRDefault="001E1112" w:rsidP="00DB3BEC">
            <w:pPr>
              <w:ind w:firstLine="510"/>
              <w:jc w:val="both"/>
              <w:rPr>
                <w:sz w:val="22"/>
                <w:szCs w:val="22"/>
              </w:rPr>
            </w:pPr>
            <w:r w:rsidRPr="00317ABF">
              <w:rPr>
                <w:sz w:val="22"/>
                <w:szCs w:val="22"/>
              </w:rPr>
              <w:t xml:space="preserve">4. W przypadku rynku właściwego </w:t>
            </w:r>
            <w:r w:rsidR="00A702BA" w:rsidRPr="00317ABF">
              <w:rPr>
                <w:sz w:val="22"/>
                <w:szCs w:val="22"/>
              </w:rPr>
              <w:t>niebędącego</w:t>
            </w:r>
            <w:r w:rsidRPr="00317ABF">
              <w:rPr>
                <w:sz w:val="22"/>
                <w:szCs w:val="22"/>
              </w:rPr>
              <w:t xml:space="preserve"> rynkiem ponadnarodowym, Prezes UKE </w:t>
            </w:r>
            <w:r w:rsidR="00A702BA" w:rsidRPr="00317ABF">
              <w:rPr>
                <w:sz w:val="22"/>
                <w:szCs w:val="22"/>
              </w:rPr>
              <w:t xml:space="preserve">może </w:t>
            </w:r>
            <w:r w:rsidRPr="00317ABF">
              <w:rPr>
                <w:sz w:val="22"/>
                <w:szCs w:val="22"/>
              </w:rPr>
              <w:t xml:space="preserve">wraz z organem regulacyjnym innego państwa członkowskiego, o którym mowa w ust. 1, zgłosić Komisji Europejskiej projekty rozstrzygnięć kończących postępowanie, o którym mowa w art. </w:t>
            </w:r>
            <w:r w:rsidR="00A702BA" w:rsidRPr="00317ABF">
              <w:rPr>
                <w:sz w:val="22"/>
                <w:szCs w:val="22"/>
              </w:rPr>
              <w:t>199</w:t>
            </w:r>
            <w:r w:rsidRPr="00317ABF">
              <w:rPr>
                <w:sz w:val="22"/>
                <w:szCs w:val="22"/>
              </w:rPr>
              <w:t xml:space="preserve"> ust. 1, o ile </w:t>
            </w:r>
            <w:r w:rsidR="00A702BA" w:rsidRPr="00317ABF">
              <w:rPr>
                <w:sz w:val="22"/>
                <w:szCs w:val="22"/>
              </w:rPr>
              <w:t>uzna wraz z organem regulacyjnym innego państwa członkowskiego, o którym mowa w ust. 1</w:t>
            </w:r>
            <w:r w:rsidRPr="00317ABF">
              <w:rPr>
                <w:sz w:val="22"/>
                <w:szCs w:val="22"/>
              </w:rPr>
              <w:t>, że warunki rynkowe występujące na obszarze tych państw są wystarczająco jednorodne.</w:t>
            </w:r>
          </w:p>
        </w:tc>
      </w:tr>
      <w:tr w:rsidR="001E1112" w:rsidRPr="00317ABF" w14:paraId="4F0BD8F6" w14:textId="77777777" w:rsidTr="7753F98D">
        <w:trPr>
          <w:gridAfter w:val="2"/>
          <w:wAfter w:w="175" w:type="dxa"/>
        </w:trPr>
        <w:tc>
          <w:tcPr>
            <w:tcW w:w="704" w:type="dxa"/>
          </w:tcPr>
          <w:p w14:paraId="3237F681" w14:textId="77777777" w:rsidR="001E1112" w:rsidRPr="00317ABF" w:rsidRDefault="001E1112" w:rsidP="00DB3BEC">
            <w:pPr>
              <w:jc w:val="both"/>
              <w:rPr>
                <w:b/>
                <w:sz w:val="22"/>
                <w:szCs w:val="22"/>
              </w:rPr>
            </w:pPr>
            <w:r w:rsidRPr="00317ABF">
              <w:rPr>
                <w:b/>
                <w:sz w:val="22"/>
                <w:szCs w:val="22"/>
              </w:rPr>
              <w:t>Art. 66</w:t>
            </w:r>
          </w:p>
        </w:tc>
        <w:tc>
          <w:tcPr>
            <w:tcW w:w="4308" w:type="dxa"/>
          </w:tcPr>
          <w:p w14:paraId="3ED5A737" w14:textId="77777777" w:rsidR="001E1112" w:rsidRPr="00317ABF" w:rsidRDefault="001E1112" w:rsidP="00DB3BEC">
            <w:pPr>
              <w:spacing w:before="120"/>
              <w:jc w:val="both"/>
              <w:rPr>
                <w:sz w:val="22"/>
                <w:szCs w:val="22"/>
              </w:rPr>
            </w:pPr>
            <w:r w:rsidRPr="00317ABF">
              <w:rPr>
                <w:b/>
                <w:bCs/>
                <w:sz w:val="22"/>
                <w:szCs w:val="22"/>
              </w:rPr>
              <w:t>Procedura identyfikacji popytu ponadnarodowego</w:t>
            </w:r>
          </w:p>
        </w:tc>
        <w:tc>
          <w:tcPr>
            <w:tcW w:w="986" w:type="dxa"/>
          </w:tcPr>
          <w:p w14:paraId="69943D69" w14:textId="77777777" w:rsidR="001E1112" w:rsidRPr="00317ABF" w:rsidRDefault="001E1112" w:rsidP="00DB3BEC">
            <w:pPr>
              <w:jc w:val="both"/>
              <w:rPr>
                <w:sz w:val="22"/>
                <w:szCs w:val="22"/>
              </w:rPr>
            </w:pPr>
          </w:p>
        </w:tc>
        <w:tc>
          <w:tcPr>
            <w:tcW w:w="910" w:type="dxa"/>
          </w:tcPr>
          <w:p w14:paraId="5C064BBA" w14:textId="77777777" w:rsidR="001E1112" w:rsidRPr="00317ABF" w:rsidRDefault="001E1112" w:rsidP="00DB3BEC">
            <w:pPr>
              <w:pStyle w:val="Tekstpodstawowy"/>
              <w:rPr>
                <w:b/>
                <w:noProof/>
                <w:sz w:val="22"/>
                <w:szCs w:val="22"/>
              </w:rPr>
            </w:pPr>
          </w:p>
        </w:tc>
        <w:tc>
          <w:tcPr>
            <w:tcW w:w="6814" w:type="dxa"/>
            <w:gridSpan w:val="2"/>
          </w:tcPr>
          <w:p w14:paraId="47C8D039" w14:textId="77777777" w:rsidR="001E1112" w:rsidRPr="00317ABF" w:rsidRDefault="001E1112" w:rsidP="00DB3BEC">
            <w:pPr>
              <w:pStyle w:val="Tekstpodstawowy"/>
              <w:rPr>
                <w:sz w:val="22"/>
                <w:szCs w:val="22"/>
              </w:rPr>
            </w:pPr>
          </w:p>
        </w:tc>
      </w:tr>
      <w:tr w:rsidR="001E1112" w:rsidRPr="00317ABF" w14:paraId="2099275F" w14:textId="77777777" w:rsidTr="7753F98D">
        <w:trPr>
          <w:gridAfter w:val="2"/>
          <w:wAfter w:w="175" w:type="dxa"/>
        </w:trPr>
        <w:tc>
          <w:tcPr>
            <w:tcW w:w="704" w:type="dxa"/>
          </w:tcPr>
          <w:p w14:paraId="0898330B" w14:textId="77777777" w:rsidR="001E1112" w:rsidRPr="00317ABF" w:rsidRDefault="001E1112" w:rsidP="00DB3BEC">
            <w:pPr>
              <w:jc w:val="both"/>
              <w:rPr>
                <w:sz w:val="22"/>
                <w:szCs w:val="22"/>
              </w:rPr>
            </w:pPr>
            <w:r w:rsidRPr="00317ABF">
              <w:rPr>
                <w:sz w:val="22"/>
                <w:szCs w:val="22"/>
              </w:rPr>
              <w:t>Art. 66 ust. 1</w:t>
            </w:r>
          </w:p>
        </w:tc>
        <w:tc>
          <w:tcPr>
            <w:tcW w:w="4308" w:type="dxa"/>
          </w:tcPr>
          <w:p w14:paraId="19B2705A" w14:textId="1AABD1B0" w:rsidR="001E1112" w:rsidRPr="00317ABF" w:rsidRDefault="001E1112" w:rsidP="00DB3BEC">
            <w:pPr>
              <w:spacing w:before="120"/>
              <w:jc w:val="both"/>
              <w:rPr>
                <w:sz w:val="22"/>
                <w:szCs w:val="22"/>
              </w:rPr>
            </w:pPr>
            <w:r w:rsidRPr="00317ABF">
              <w:rPr>
                <w:sz w:val="22"/>
                <w:szCs w:val="22"/>
              </w:rPr>
              <w:t xml:space="preserve">1.   BEREC przeprowadza analizę popytu ponadnarodowego wśród użytkowników końcowych na produkty i usługi, które są oferowane na terenie Unii na rynku lub rynkach wymienionych w zaleceniu, jeżeli wpłynie do niego od Komisji </w:t>
            </w:r>
            <w:r w:rsidRPr="00317ABF">
              <w:rPr>
                <w:b/>
                <w:sz w:val="22"/>
                <w:szCs w:val="22"/>
              </w:rPr>
              <w:t>lub od przynajmniej dwóch zainteresowanych krajowych organów regulacyjnych uzasadniony wniosek</w:t>
            </w:r>
            <w:r w:rsidRPr="00317ABF">
              <w:rPr>
                <w:sz w:val="22"/>
                <w:szCs w:val="22"/>
              </w:rPr>
              <w:t xml:space="preserve"> zawierający stosowne dowody wskazujące na </w:t>
            </w:r>
            <w:r w:rsidRPr="00317ABF">
              <w:rPr>
                <w:sz w:val="22"/>
                <w:szCs w:val="22"/>
              </w:rPr>
              <w:lastRenderedPageBreak/>
              <w:t>konieczność rozwiązania poważnego problemu związanego z popytem. BEREC może również przeprowadzić taką analizę, jeżeli wpłynie do niego od uczestnika rynku uzasadniony wniosek zawierający stosowne dowody i BEREC uzna, że istnieje konieczność rozwiązania poważnego problemu związanego z popytem. Analiza BEREC pozostaje bez uszczerbku dla wszelkich ustaleń stwierdzających istnienie rynków ponadnarodowych zgodnie z art. 65 ust. 1 oraz wszelkich ustaleń stwierdzających istnienie krajowych lub regionalnych rynków geograficznych, dokonanych przez krajowe organy regulacyjne zgodnie z art. 64 ust. 3.</w:t>
            </w:r>
          </w:p>
          <w:p w14:paraId="4CD97F28" w14:textId="77777777" w:rsidR="001E1112" w:rsidRPr="00317ABF" w:rsidRDefault="001E1112" w:rsidP="00DB3BEC">
            <w:pPr>
              <w:spacing w:before="120"/>
              <w:jc w:val="both"/>
              <w:rPr>
                <w:sz w:val="22"/>
                <w:szCs w:val="22"/>
              </w:rPr>
            </w:pPr>
            <w:r w:rsidRPr="00317ABF">
              <w:rPr>
                <w:sz w:val="22"/>
                <w:szCs w:val="22"/>
              </w:rPr>
              <w:t>Ta analiza popytu ponadnarodowego wśród użytkowników końcowych może obejmować produkty i usługi, które są oferowane na rynkach produktów lub usług, które krajowy organ regulacyjny lub większa liczba tych organów – uwzględniając uwarunkowania krajowe – określiły w różny sposób, pod warunkiem że tymi produktami i usługami można zastąpić produkty i usługi oferowane na jednym z rynków wymienionych w zaleceniu.</w:t>
            </w:r>
          </w:p>
        </w:tc>
        <w:tc>
          <w:tcPr>
            <w:tcW w:w="986" w:type="dxa"/>
          </w:tcPr>
          <w:p w14:paraId="3AF142C6" w14:textId="42F72E0F" w:rsidR="001E1112" w:rsidRPr="00317ABF" w:rsidRDefault="001E1112" w:rsidP="00DB3BEC">
            <w:pPr>
              <w:jc w:val="both"/>
              <w:rPr>
                <w:sz w:val="22"/>
                <w:szCs w:val="22"/>
              </w:rPr>
            </w:pPr>
            <w:r w:rsidRPr="00317ABF">
              <w:rPr>
                <w:sz w:val="22"/>
                <w:szCs w:val="22"/>
              </w:rPr>
              <w:lastRenderedPageBreak/>
              <w:t xml:space="preserve">T (w zakresie uprawnienia krajowego organu regulacyjnego do </w:t>
            </w:r>
            <w:r w:rsidRPr="00317ABF">
              <w:rPr>
                <w:sz w:val="22"/>
                <w:szCs w:val="22"/>
              </w:rPr>
              <w:lastRenderedPageBreak/>
              <w:t>złożenia wniosku)</w:t>
            </w:r>
          </w:p>
        </w:tc>
        <w:tc>
          <w:tcPr>
            <w:tcW w:w="910" w:type="dxa"/>
          </w:tcPr>
          <w:p w14:paraId="12F32960" w14:textId="7C5A37BB" w:rsidR="001E1112" w:rsidRPr="00317ABF" w:rsidRDefault="001E1112" w:rsidP="00DB3BEC">
            <w:pPr>
              <w:pStyle w:val="Tekstpodstawowy"/>
              <w:rPr>
                <w:b/>
                <w:noProof/>
                <w:sz w:val="22"/>
                <w:szCs w:val="22"/>
              </w:rPr>
            </w:pPr>
            <w:r w:rsidRPr="00317ABF">
              <w:rPr>
                <w:b/>
                <w:bCs/>
                <w:noProof/>
                <w:sz w:val="22"/>
                <w:szCs w:val="22"/>
              </w:rPr>
              <w:lastRenderedPageBreak/>
              <w:t>Art. 1</w:t>
            </w:r>
            <w:r w:rsidR="00A702BA" w:rsidRPr="00317ABF">
              <w:rPr>
                <w:b/>
                <w:bCs/>
                <w:noProof/>
                <w:sz w:val="22"/>
                <w:szCs w:val="22"/>
              </w:rPr>
              <w:t>98</w:t>
            </w:r>
            <w:r w:rsidRPr="00317ABF">
              <w:rPr>
                <w:b/>
                <w:bCs/>
                <w:noProof/>
                <w:sz w:val="22"/>
                <w:szCs w:val="22"/>
              </w:rPr>
              <w:t xml:space="preserve"> ust. 5</w:t>
            </w:r>
          </w:p>
        </w:tc>
        <w:tc>
          <w:tcPr>
            <w:tcW w:w="6814" w:type="dxa"/>
            <w:gridSpan w:val="2"/>
          </w:tcPr>
          <w:p w14:paraId="4D5DA671" w14:textId="706999FD" w:rsidR="001E1112" w:rsidRPr="00317ABF" w:rsidRDefault="001E1112" w:rsidP="00DB3BEC">
            <w:pPr>
              <w:jc w:val="both"/>
              <w:rPr>
                <w:sz w:val="22"/>
                <w:szCs w:val="22"/>
              </w:rPr>
            </w:pPr>
            <w:r w:rsidRPr="00317ABF">
              <w:rPr>
                <w:sz w:val="22"/>
                <w:szCs w:val="22"/>
              </w:rPr>
              <w:t>Art. 1</w:t>
            </w:r>
            <w:r w:rsidR="00A702BA" w:rsidRPr="00317ABF">
              <w:rPr>
                <w:sz w:val="22"/>
                <w:szCs w:val="22"/>
              </w:rPr>
              <w:t>98</w:t>
            </w:r>
            <w:r w:rsidRPr="00317ABF">
              <w:rPr>
                <w:sz w:val="22"/>
                <w:szCs w:val="22"/>
              </w:rPr>
              <w:t xml:space="preserve"> ust. 5</w:t>
            </w:r>
          </w:p>
          <w:p w14:paraId="44223E92" w14:textId="4FF03458" w:rsidR="001E1112" w:rsidRPr="00317ABF" w:rsidRDefault="001E1112" w:rsidP="00DB3BEC">
            <w:pPr>
              <w:jc w:val="both"/>
              <w:rPr>
                <w:sz w:val="22"/>
                <w:szCs w:val="22"/>
              </w:rPr>
            </w:pPr>
          </w:p>
          <w:p w14:paraId="4B107D01" w14:textId="4E998BAA" w:rsidR="001E1112" w:rsidRPr="00317ABF" w:rsidRDefault="001E1112" w:rsidP="00DB3BEC">
            <w:pPr>
              <w:jc w:val="both"/>
              <w:rPr>
                <w:sz w:val="22"/>
                <w:szCs w:val="22"/>
              </w:rPr>
            </w:pPr>
            <w:r w:rsidRPr="00317ABF">
              <w:rPr>
                <w:sz w:val="22"/>
                <w:szCs w:val="22"/>
              </w:rPr>
              <w:t xml:space="preserve">5. W przypadku konieczności rozwiązania poważnego problemu związanego z popytem na produkty lub usługi komunikacji elektronicznej Prezes UKE </w:t>
            </w:r>
            <w:r w:rsidR="00A702BA" w:rsidRPr="00317ABF">
              <w:rPr>
                <w:sz w:val="22"/>
                <w:szCs w:val="22"/>
              </w:rPr>
              <w:t>może wraz z co najmniej</w:t>
            </w:r>
            <w:r w:rsidRPr="00317ABF">
              <w:rPr>
                <w:sz w:val="22"/>
                <w:szCs w:val="22"/>
              </w:rPr>
              <w:t xml:space="preserve"> jednym organem regulacyjnym innego państwa członkowskiego  złożyć </w:t>
            </w:r>
            <w:r w:rsidR="00A702BA" w:rsidRPr="00317ABF">
              <w:rPr>
                <w:sz w:val="22"/>
                <w:szCs w:val="22"/>
              </w:rPr>
              <w:t xml:space="preserve">do BEREC </w:t>
            </w:r>
            <w:r w:rsidRPr="00317ABF">
              <w:rPr>
                <w:sz w:val="22"/>
                <w:szCs w:val="22"/>
              </w:rPr>
              <w:t>uzasadniony wniosek o przeprowadzenie analizy popytu ponadnarodowego na te produkty lub usługi wśród użytkowników końcowych.</w:t>
            </w:r>
          </w:p>
        </w:tc>
      </w:tr>
      <w:tr w:rsidR="001E1112" w:rsidRPr="00317ABF" w14:paraId="2DAF0348" w14:textId="77777777" w:rsidTr="7753F98D">
        <w:trPr>
          <w:gridAfter w:val="2"/>
          <w:wAfter w:w="175" w:type="dxa"/>
        </w:trPr>
        <w:tc>
          <w:tcPr>
            <w:tcW w:w="704" w:type="dxa"/>
          </w:tcPr>
          <w:p w14:paraId="6730DBC1" w14:textId="77777777" w:rsidR="001E1112" w:rsidRPr="00317ABF" w:rsidRDefault="001E1112" w:rsidP="00DB3BEC">
            <w:pPr>
              <w:jc w:val="both"/>
              <w:rPr>
                <w:sz w:val="22"/>
                <w:szCs w:val="22"/>
              </w:rPr>
            </w:pPr>
            <w:r w:rsidRPr="00317ABF">
              <w:rPr>
                <w:sz w:val="22"/>
                <w:szCs w:val="22"/>
              </w:rPr>
              <w:lastRenderedPageBreak/>
              <w:t>Art. 66 ust. 2</w:t>
            </w:r>
          </w:p>
        </w:tc>
        <w:tc>
          <w:tcPr>
            <w:tcW w:w="4308" w:type="dxa"/>
          </w:tcPr>
          <w:p w14:paraId="3A96D897" w14:textId="77777777" w:rsidR="001E1112" w:rsidRPr="00317ABF" w:rsidRDefault="001E1112" w:rsidP="00DB3BEC">
            <w:pPr>
              <w:spacing w:before="120"/>
              <w:jc w:val="both"/>
              <w:rPr>
                <w:sz w:val="22"/>
                <w:szCs w:val="22"/>
              </w:rPr>
            </w:pPr>
            <w:r w:rsidRPr="00317ABF">
              <w:rPr>
                <w:sz w:val="22"/>
                <w:szCs w:val="22"/>
              </w:rPr>
              <w:t xml:space="preserve">2.   Jeżeli BEREC stwierdzi, że popyt ponadnarodowy wśród użytkowników końcowych istnieje, jest znaczny i nie jest w wystarczającym stopniu zaspokajany przez produkty dostarczane lub usługi świadczone na zasadach komercyjnych lub w trybie regulowanym, BEREC, po przeprowadzeniu konsultacji z zainteresowanymi stronami oraz w ścisłej współpracy z Komisją, wydaje wytyczne dotyczące wspólnych podejść, które krajowe organy regulacyjne powinny stosować, aby zaspokoić stwierdzony popyt ponadnarodowy, w tym, w stosownych </w:t>
            </w:r>
            <w:r w:rsidRPr="00317ABF">
              <w:rPr>
                <w:sz w:val="22"/>
                <w:szCs w:val="22"/>
              </w:rPr>
              <w:lastRenderedPageBreak/>
              <w:t>przypadkach, przy wprowadzaniu przez nie środków naprawczych zgodnie z art. 68. Krajowe organy regulacyjne uwzględniają w jak największym stopniu te wytyczne przy wykonywaniu swoich zadań regulacyjnych w swojej jurysdykcji. Wytyczne te mogą stanowić podstawę interoperacyjności produktów hurtowego dostępu w całej Unii i mogą zawierać wskazówki dotyczące harmonizacji specyfikacji technicznych produktów hurtowego dostępu zdolnych zaspokoić ten stwierdzony popyt ponadnarodowy.</w:t>
            </w:r>
          </w:p>
        </w:tc>
        <w:tc>
          <w:tcPr>
            <w:tcW w:w="986" w:type="dxa"/>
          </w:tcPr>
          <w:p w14:paraId="3D2C98C1" w14:textId="2AA42A82" w:rsidR="001E1112" w:rsidRPr="00317ABF" w:rsidRDefault="001E1112" w:rsidP="00DB3BEC">
            <w:pPr>
              <w:jc w:val="both"/>
              <w:rPr>
                <w:sz w:val="22"/>
                <w:szCs w:val="22"/>
              </w:rPr>
            </w:pPr>
            <w:r w:rsidRPr="00317ABF">
              <w:rPr>
                <w:sz w:val="22"/>
                <w:szCs w:val="22"/>
              </w:rPr>
              <w:lastRenderedPageBreak/>
              <w:t>N</w:t>
            </w:r>
          </w:p>
          <w:p w14:paraId="7FC3EAE3" w14:textId="0023D5AC" w:rsidR="001E1112" w:rsidRPr="00317ABF" w:rsidRDefault="001E1112" w:rsidP="00DB3BEC">
            <w:pPr>
              <w:jc w:val="both"/>
              <w:rPr>
                <w:sz w:val="22"/>
                <w:szCs w:val="22"/>
              </w:rPr>
            </w:pPr>
          </w:p>
          <w:p w14:paraId="5A5169A9" w14:textId="5B254B82" w:rsidR="001E1112" w:rsidRPr="00317ABF" w:rsidRDefault="001E1112" w:rsidP="00DB3BEC">
            <w:pPr>
              <w:jc w:val="both"/>
              <w:rPr>
                <w:sz w:val="22"/>
                <w:szCs w:val="22"/>
              </w:rPr>
            </w:pPr>
            <w:r w:rsidRPr="00317ABF">
              <w:rPr>
                <w:sz w:val="22"/>
                <w:szCs w:val="22"/>
              </w:rPr>
              <w:t>(T - w zakresie uwzględnianiaprzez krajowe organy regulacyjne wytyczn</w:t>
            </w:r>
            <w:r w:rsidRPr="00317ABF">
              <w:rPr>
                <w:sz w:val="22"/>
                <w:szCs w:val="22"/>
              </w:rPr>
              <w:lastRenderedPageBreak/>
              <w:t xml:space="preserve">ych BEREC) </w:t>
            </w:r>
          </w:p>
        </w:tc>
        <w:tc>
          <w:tcPr>
            <w:tcW w:w="910" w:type="dxa"/>
          </w:tcPr>
          <w:p w14:paraId="1462B0CE" w14:textId="441E3BD5" w:rsidR="001E1112" w:rsidRPr="00317ABF" w:rsidRDefault="001E1112" w:rsidP="00DB3BEC">
            <w:pPr>
              <w:pStyle w:val="Tekstpodstawowy"/>
              <w:rPr>
                <w:b/>
                <w:bCs/>
                <w:noProof/>
                <w:sz w:val="22"/>
                <w:szCs w:val="22"/>
              </w:rPr>
            </w:pPr>
            <w:r w:rsidRPr="00317ABF">
              <w:rPr>
                <w:b/>
                <w:bCs/>
                <w:noProof/>
                <w:sz w:val="22"/>
                <w:szCs w:val="22"/>
              </w:rPr>
              <w:lastRenderedPageBreak/>
              <w:t>Art. 4 ust. 3</w:t>
            </w:r>
          </w:p>
        </w:tc>
        <w:tc>
          <w:tcPr>
            <w:tcW w:w="6814" w:type="dxa"/>
            <w:gridSpan w:val="2"/>
          </w:tcPr>
          <w:p w14:paraId="6DA56532" w14:textId="6812F9EA" w:rsidR="001E1112" w:rsidRPr="00317ABF" w:rsidRDefault="001E1112" w:rsidP="00DB3BEC">
            <w:pPr>
              <w:ind w:firstLine="510"/>
              <w:jc w:val="both"/>
              <w:rPr>
                <w:sz w:val="22"/>
                <w:szCs w:val="22"/>
              </w:rPr>
            </w:pPr>
            <w:r w:rsidRPr="00317ABF">
              <w:rPr>
                <w:sz w:val="22"/>
                <w:szCs w:val="22"/>
              </w:rPr>
              <w:t>Art. 4 ust. 3</w:t>
            </w:r>
          </w:p>
          <w:p w14:paraId="2B73EAA6" w14:textId="77777777" w:rsidR="00611202" w:rsidRPr="00317ABF" w:rsidRDefault="00611202" w:rsidP="00DB3BEC">
            <w:pPr>
              <w:ind w:firstLine="510"/>
              <w:jc w:val="both"/>
              <w:rPr>
                <w:sz w:val="22"/>
                <w:szCs w:val="22"/>
              </w:rPr>
            </w:pPr>
          </w:p>
          <w:p w14:paraId="356FB0A1" w14:textId="77777777" w:rsidR="00611202" w:rsidRPr="00317ABF" w:rsidRDefault="00611202" w:rsidP="00DB3BEC">
            <w:pPr>
              <w:jc w:val="both"/>
              <w:rPr>
                <w:sz w:val="22"/>
                <w:szCs w:val="22"/>
              </w:rPr>
            </w:pPr>
            <w:r w:rsidRPr="00317ABF">
              <w:rPr>
                <w:sz w:val="22"/>
                <w:szCs w:val="22"/>
              </w:rPr>
              <w:t>3. Prezes UKE uwzględnia przy stosowaniu ustawy w największym możliwie stopniu wytyczne, opinie, zalecenia, wspólne stanowiska, najlepsze praktyki i metodologie przyjmowane przez Organ Europejskich Regulatorów Łączności Elektronicznej, zwany dalej „BEREC”, w ich aktualnym brzmieniu.</w:t>
            </w:r>
          </w:p>
          <w:p w14:paraId="13D042DC" w14:textId="28C6F3AC" w:rsidR="001E1112" w:rsidRPr="00317ABF" w:rsidRDefault="001E1112" w:rsidP="00DB3BEC">
            <w:pPr>
              <w:jc w:val="both"/>
              <w:rPr>
                <w:sz w:val="22"/>
                <w:szCs w:val="22"/>
              </w:rPr>
            </w:pPr>
            <w:r w:rsidRPr="00317ABF">
              <w:rPr>
                <w:sz w:val="22"/>
                <w:szCs w:val="22"/>
              </w:rPr>
              <w:br/>
            </w:r>
          </w:p>
        </w:tc>
      </w:tr>
      <w:tr w:rsidR="001E1112" w:rsidRPr="00317ABF" w14:paraId="1EA9F18D" w14:textId="77777777" w:rsidTr="7753F98D">
        <w:trPr>
          <w:gridAfter w:val="2"/>
          <w:wAfter w:w="175" w:type="dxa"/>
        </w:trPr>
        <w:tc>
          <w:tcPr>
            <w:tcW w:w="704" w:type="dxa"/>
          </w:tcPr>
          <w:p w14:paraId="3A288308" w14:textId="77777777" w:rsidR="001E1112" w:rsidRPr="00317ABF" w:rsidRDefault="001E1112" w:rsidP="00DB3BEC">
            <w:pPr>
              <w:jc w:val="both"/>
              <w:rPr>
                <w:b/>
                <w:sz w:val="22"/>
                <w:szCs w:val="22"/>
              </w:rPr>
            </w:pPr>
            <w:r w:rsidRPr="00317ABF">
              <w:rPr>
                <w:b/>
                <w:sz w:val="22"/>
                <w:szCs w:val="22"/>
              </w:rPr>
              <w:lastRenderedPageBreak/>
              <w:t>Art. 67</w:t>
            </w:r>
          </w:p>
        </w:tc>
        <w:tc>
          <w:tcPr>
            <w:tcW w:w="4308" w:type="dxa"/>
          </w:tcPr>
          <w:p w14:paraId="35DA6830" w14:textId="77777777" w:rsidR="001E1112" w:rsidRPr="00317ABF" w:rsidRDefault="001E1112" w:rsidP="00DB3BEC">
            <w:pPr>
              <w:spacing w:before="120"/>
              <w:jc w:val="both"/>
              <w:rPr>
                <w:sz w:val="22"/>
                <w:szCs w:val="22"/>
              </w:rPr>
            </w:pPr>
            <w:r w:rsidRPr="00317ABF">
              <w:rPr>
                <w:b/>
                <w:bCs/>
                <w:sz w:val="22"/>
                <w:szCs w:val="22"/>
              </w:rPr>
              <w:t>Procedura analizy rynku</w:t>
            </w:r>
          </w:p>
        </w:tc>
        <w:tc>
          <w:tcPr>
            <w:tcW w:w="986" w:type="dxa"/>
          </w:tcPr>
          <w:p w14:paraId="004EB044" w14:textId="77777777" w:rsidR="001E1112" w:rsidRPr="00317ABF" w:rsidRDefault="001E1112" w:rsidP="00DB3BEC">
            <w:pPr>
              <w:jc w:val="both"/>
              <w:rPr>
                <w:sz w:val="22"/>
                <w:szCs w:val="22"/>
              </w:rPr>
            </w:pPr>
          </w:p>
        </w:tc>
        <w:tc>
          <w:tcPr>
            <w:tcW w:w="910" w:type="dxa"/>
          </w:tcPr>
          <w:p w14:paraId="12AC4A8A" w14:textId="77777777" w:rsidR="001E1112" w:rsidRPr="00317ABF" w:rsidRDefault="001E1112" w:rsidP="00DB3BEC">
            <w:pPr>
              <w:pStyle w:val="Tekstpodstawowy"/>
              <w:rPr>
                <w:b/>
                <w:noProof/>
                <w:sz w:val="22"/>
                <w:szCs w:val="22"/>
              </w:rPr>
            </w:pPr>
          </w:p>
        </w:tc>
        <w:tc>
          <w:tcPr>
            <w:tcW w:w="6814" w:type="dxa"/>
            <w:gridSpan w:val="2"/>
          </w:tcPr>
          <w:p w14:paraId="4D2E0A3E" w14:textId="77777777" w:rsidR="001E1112" w:rsidRPr="00317ABF" w:rsidRDefault="001E1112" w:rsidP="00DB3BEC">
            <w:pPr>
              <w:pStyle w:val="Tekstpodstawowy"/>
              <w:rPr>
                <w:sz w:val="22"/>
                <w:szCs w:val="22"/>
              </w:rPr>
            </w:pPr>
          </w:p>
        </w:tc>
      </w:tr>
      <w:tr w:rsidR="001E1112" w:rsidRPr="00317ABF" w14:paraId="342DF7A9" w14:textId="77777777" w:rsidTr="7753F98D">
        <w:trPr>
          <w:gridAfter w:val="2"/>
          <w:wAfter w:w="175" w:type="dxa"/>
        </w:trPr>
        <w:tc>
          <w:tcPr>
            <w:tcW w:w="704" w:type="dxa"/>
          </w:tcPr>
          <w:p w14:paraId="5366E0B6" w14:textId="77777777" w:rsidR="001E1112" w:rsidRPr="00317ABF" w:rsidRDefault="001E1112" w:rsidP="00DB3BEC">
            <w:pPr>
              <w:jc w:val="both"/>
              <w:rPr>
                <w:sz w:val="22"/>
                <w:szCs w:val="22"/>
              </w:rPr>
            </w:pPr>
            <w:r w:rsidRPr="00317ABF">
              <w:rPr>
                <w:sz w:val="22"/>
                <w:szCs w:val="22"/>
              </w:rPr>
              <w:t>Art. 67 ust. 1</w:t>
            </w:r>
          </w:p>
        </w:tc>
        <w:tc>
          <w:tcPr>
            <w:tcW w:w="4308" w:type="dxa"/>
          </w:tcPr>
          <w:p w14:paraId="52E38550" w14:textId="77777777" w:rsidR="001E1112" w:rsidRPr="00317ABF" w:rsidRDefault="001E1112" w:rsidP="00DB3BEC">
            <w:pPr>
              <w:spacing w:before="120"/>
              <w:jc w:val="both"/>
              <w:rPr>
                <w:sz w:val="22"/>
                <w:szCs w:val="22"/>
              </w:rPr>
            </w:pPr>
            <w:r w:rsidRPr="00317ABF">
              <w:rPr>
                <w:sz w:val="22"/>
                <w:szCs w:val="22"/>
              </w:rPr>
              <w:t>1.   Krajowe organy regulacyjne ustalają, czy rynek właściwy określony zgodnie z art. 64 ust. 3 jest tego rodzaju, że uzasadnia nałożenie obowiązków regulacyjnych określonych w niniejszej dyrektywie. Państwa członkowskie zapewniają, aby analizę przeprowadzano w stosownych przypadkach we współpracy z krajowymi organami ds. konkurencji. Krajowe organy regulacyjne uwzględniają w jak największym stopniu wytyczne w sprawie znaczącej pozycji rynkowej oraz, przeprowadzając taką analizę, postępują zgodnie z procedurami, o których mowa w art. 23 i 32.</w:t>
            </w:r>
          </w:p>
          <w:p w14:paraId="6168E543" w14:textId="1E08A397" w:rsidR="001E1112" w:rsidRPr="00317ABF" w:rsidRDefault="001E1112" w:rsidP="00DB3BEC">
            <w:pPr>
              <w:spacing w:before="120"/>
              <w:jc w:val="both"/>
              <w:rPr>
                <w:sz w:val="22"/>
                <w:szCs w:val="22"/>
              </w:rPr>
            </w:pPr>
          </w:p>
          <w:p w14:paraId="1E0F3C31" w14:textId="4130B60C" w:rsidR="001E1112" w:rsidRPr="00317ABF" w:rsidRDefault="001E1112" w:rsidP="00DB3BEC">
            <w:pPr>
              <w:spacing w:before="120"/>
              <w:jc w:val="both"/>
              <w:rPr>
                <w:sz w:val="22"/>
                <w:szCs w:val="22"/>
              </w:rPr>
            </w:pPr>
          </w:p>
          <w:p w14:paraId="11F3744F" w14:textId="0E365B3F" w:rsidR="001E1112" w:rsidRPr="00317ABF" w:rsidRDefault="001E1112" w:rsidP="00DB3BEC">
            <w:pPr>
              <w:spacing w:before="120"/>
              <w:jc w:val="both"/>
              <w:rPr>
                <w:sz w:val="22"/>
                <w:szCs w:val="22"/>
              </w:rPr>
            </w:pPr>
          </w:p>
          <w:p w14:paraId="55601134" w14:textId="6A15C3CB" w:rsidR="001E1112" w:rsidRPr="00317ABF" w:rsidRDefault="001E1112" w:rsidP="00DB3BEC">
            <w:pPr>
              <w:spacing w:before="120"/>
              <w:jc w:val="both"/>
              <w:rPr>
                <w:sz w:val="22"/>
                <w:szCs w:val="22"/>
              </w:rPr>
            </w:pPr>
          </w:p>
          <w:p w14:paraId="736C0B52" w14:textId="676C615D" w:rsidR="001E1112" w:rsidRPr="00317ABF" w:rsidRDefault="001E1112" w:rsidP="00DB3BEC">
            <w:pPr>
              <w:spacing w:before="120"/>
              <w:jc w:val="both"/>
              <w:rPr>
                <w:sz w:val="22"/>
                <w:szCs w:val="22"/>
              </w:rPr>
            </w:pPr>
          </w:p>
          <w:p w14:paraId="29D92144" w14:textId="4182BFF7" w:rsidR="001E1112" w:rsidRPr="00317ABF" w:rsidRDefault="001E1112" w:rsidP="00DB3BEC">
            <w:pPr>
              <w:spacing w:before="120"/>
              <w:jc w:val="both"/>
              <w:rPr>
                <w:sz w:val="22"/>
                <w:szCs w:val="22"/>
              </w:rPr>
            </w:pPr>
          </w:p>
          <w:p w14:paraId="5D49CCB2" w14:textId="322FE544" w:rsidR="001E1112" w:rsidRPr="00317ABF" w:rsidRDefault="001E1112" w:rsidP="00DB3BEC">
            <w:pPr>
              <w:spacing w:before="120"/>
              <w:jc w:val="both"/>
              <w:rPr>
                <w:sz w:val="22"/>
                <w:szCs w:val="22"/>
              </w:rPr>
            </w:pPr>
          </w:p>
          <w:p w14:paraId="169E5242" w14:textId="029D7ED3" w:rsidR="001E1112" w:rsidRPr="00317ABF" w:rsidRDefault="001E1112" w:rsidP="00DB3BEC">
            <w:pPr>
              <w:spacing w:before="120"/>
              <w:jc w:val="both"/>
              <w:rPr>
                <w:sz w:val="22"/>
                <w:szCs w:val="22"/>
              </w:rPr>
            </w:pPr>
          </w:p>
          <w:p w14:paraId="2150DD13" w14:textId="506063DE" w:rsidR="001E1112" w:rsidRPr="00317ABF" w:rsidRDefault="001E1112" w:rsidP="00DB3BEC">
            <w:pPr>
              <w:spacing w:before="120"/>
              <w:jc w:val="both"/>
              <w:rPr>
                <w:sz w:val="22"/>
                <w:szCs w:val="22"/>
              </w:rPr>
            </w:pPr>
          </w:p>
          <w:p w14:paraId="36F00DB5" w14:textId="42D62EC6" w:rsidR="001E1112" w:rsidRPr="00317ABF" w:rsidRDefault="001E1112" w:rsidP="00DB3BEC">
            <w:pPr>
              <w:spacing w:before="120"/>
              <w:jc w:val="both"/>
              <w:rPr>
                <w:sz w:val="22"/>
                <w:szCs w:val="22"/>
              </w:rPr>
            </w:pPr>
          </w:p>
          <w:p w14:paraId="07709DF3" w14:textId="308CCAAC" w:rsidR="001E1112" w:rsidRPr="00317ABF" w:rsidRDefault="001E1112" w:rsidP="00DB3BEC">
            <w:pPr>
              <w:spacing w:before="120"/>
              <w:jc w:val="both"/>
              <w:rPr>
                <w:sz w:val="22"/>
                <w:szCs w:val="22"/>
              </w:rPr>
            </w:pPr>
          </w:p>
          <w:p w14:paraId="7325A65D" w14:textId="3A7B844E" w:rsidR="001E1112" w:rsidRPr="00317ABF" w:rsidRDefault="001E1112" w:rsidP="00DB3BEC">
            <w:pPr>
              <w:spacing w:before="120"/>
              <w:jc w:val="both"/>
              <w:rPr>
                <w:sz w:val="22"/>
                <w:szCs w:val="22"/>
              </w:rPr>
            </w:pPr>
          </w:p>
          <w:p w14:paraId="6CD4A401" w14:textId="43409CA5" w:rsidR="001E1112" w:rsidRPr="00317ABF" w:rsidRDefault="001E1112" w:rsidP="00DB3BEC">
            <w:pPr>
              <w:spacing w:before="120"/>
              <w:jc w:val="both"/>
              <w:rPr>
                <w:sz w:val="22"/>
                <w:szCs w:val="22"/>
              </w:rPr>
            </w:pPr>
          </w:p>
          <w:p w14:paraId="6692DD13" w14:textId="260FA0FA" w:rsidR="001E1112" w:rsidRPr="00317ABF" w:rsidRDefault="001E1112" w:rsidP="00DB3BEC">
            <w:pPr>
              <w:spacing w:before="120"/>
              <w:jc w:val="both"/>
              <w:rPr>
                <w:sz w:val="22"/>
                <w:szCs w:val="22"/>
              </w:rPr>
            </w:pPr>
          </w:p>
          <w:p w14:paraId="00B7D53B" w14:textId="21A139D5" w:rsidR="001E1112" w:rsidRPr="00317ABF" w:rsidRDefault="001E1112" w:rsidP="00DB3BEC">
            <w:pPr>
              <w:spacing w:before="120"/>
              <w:jc w:val="both"/>
              <w:rPr>
                <w:sz w:val="22"/>
                <w:szCs w:val="22"/>
              </w:rPr>
            </w:pPr>
          </w:p>
          <w:p w14:paraId="1C28E10B" w14:textId="7A48AE5C" w:rsidR="001E1112" w:rsidRPr="00317ABF" w:rsidRDefault="001E1112" w:rsidP="00DB3BEC">
            <w:pPr>
              <w:spacing w:before="120"/>
              <w:jc w:val="both"/>
              <w:rPr>
                <w:sz w:val="22"/>
                <w:szCs w:val="22"/>
              </w:rPr>
            </w:pPr>
          </w:p>
          <w:p w14:paraId="4CEF2186" w14:textId="375F7739" w:rsidR="001E1112" w:rsidRPr="00317ABF" w:rsidRDefault="001E1112" w:rsidP="00DB3BEC">
            <w:pPr>
              <w:spacing w:before="120"/>
              <w:jc w:val="both"/>
              <w:rPr>
                <w:sz w:val="22"/>
                <w:szCs w:val="22"/>
              </w:rPr>
            </w:pPr>
          </w:p>
          <w:p w14:paraId="0BB65B7B" w14:textId="61A20797" w:rsidR="001E1112" w:rsidRPr="00317ABF" w:rsidRDefault="001E1112" w:rsidP="00DB3BEC">
            <w:pPr>
              <w:spacing w:before="120"/>
              <w:jc w:val="both"/>
              <w:rPr>
                <w:sz w:val="22"/>
                <w:szCs w:val="22"/>
              </w:rPr>
            </w:pPr>
          </w:p>
          <w:p w14:paraId="09559EE3" w14:textId="6984E1AA" w:rsidR="001E1112" w:rsidRPr="00317ABF" w:rsidRDefault="001E1112" w:rsidP="00DB3BEC">
            <w:pPr>
              <w:spacing w:before="120"/>
              <w:jc w:val="both"/>
              <w:rPr>
                <w:sz w:val="22"/>
                <w:szCs w:val="22"/>
              </w:rPr>
            </w:pPr>
          </w:p>
          <w:p w14:paraId="22B22DBA" w14:textId="6789D0CA" w:rsidR="001E1112" w:rsidRPr="00317ABF" w:rsidRDefault="001E1112" w:rsidP="00DB3BEC">
            <w:pPr>
              <w:spacing w:before="120"/>
              <w:jc w:val="both"/>
              <w:rPr>
                <w:sz w:val="22"/>
                <w:szCs w:val="22"/>
              </w:rPr>
            </w:pPr>
          </w:p>
          <w:p w14:paraId="55AF4FC5" w14:textId="608DA6AB" w:rsidR="001E1112" w:rsidRPr="00317ABF" w:rsidRDefault="001E1112" w:rsidP="00DB3BEC">
            <w:pPr>
              <w:spacing w:before="120"/>
              <w:jc w:val="both"/>
              <w:rPr>
                <w:sz w:val="22"/>
                <w:szCs w:val="22"/>
              </w:rPr>
            </w:pPr>
          </w:p>
          <w:p w14:paraId="2139D92B" w14:textId="6EFEDE84" w:rsidR="001E1112" w:rsidRPr="00317ABF" w:rsidRDefault="001E1112" w:rsidP="00DB3BEC">
            <w:pPr>
              <w:spacing w:before="120"/>
              <w:jc w:val="both"/>
              <w:rPr>
                <w:sz w:val="22"/>
                <w:szCs w:val="22"/>
              </w:rPr>
            </w:pPr>
          </w:p>
          <w:p w14:paraId="59E0AD1D" w14:textId="77835738" w:rsidR="001E1112" w:rsidRPr="00317ABF" w:rsidRDefault="001E1112" w:rsidP="00DB3BEC">
            <w:pPr>
              <w:spacing w:before="120"/>
              <w:jc w:val="both"/>
              <w:rPr>
                <w:sz w:val="22"/>
                <w:szCs w:val="22"/>
              </w:rPr>
            </w:pPr>
          </w:p>
          <w:p w14:paraId="1D93A8D9" w14:textId="64CA9ED2" w:rsidR="001E1112" w:rsidRPr="00317ABF" w:rsidRDefault="001E1112" w:rsidP="00DB3BEC">
            <w:pPr>
              <w:spacing w:before="120"/>
              <w:jc w:val="both"/>
              <w:rPr>
                <w:sz w:val="22"/>
                <w:szCs w:val="22"/>
              </w:rPr>
            </w:pPr>
          </w:p>
          <w:p w14:paraId="71785533" w14:textId="6E379A44" w:rsidR="001E1112" w:rsidRPr="00317ABF" w:rsidRDefault="001E1112" w:rsidP="00DB3BEC">
            <w:pPr>
              <w:spacing w:before="120"/>
              <w:jc w:val="both"/>
              <w:rPr>
                <w:sz w:val="22"/>
                <w:szCs w:val="22"/>
              </w:rPr>
            </w:pPr>
          </w:p>
          <w:p w14:paraId="33B5BFE0" w14:textId="5AEF8F50" w:rsidR="001E1112" w:rsidRPr="00317ABF" w:rsidRDefault="001E1112" w:rsidP="00DB3BEC">
            <w:pPr>
              <w:spacing w:before="120"/>
              <w:jc w:val="both"/>
              <w:rPr>
                <w:sz w:val="22"/>
                <w:szCs w:val="22"/>
              </w:rPr>
            </w:pPr>
          </w:p>
          <w:p w14:paraId="5BBAD229" w14:textId="625B1457" w:rsidR="001E1112" w:rsidRPr="00317ABF" w:rsidRDefault="001E1112" w:rsidP="00DB3BEC">
            <w:pPr>
              <w:spacing w:before="120"/>
              <w:jc w:val="both"/>
              <w:rPr>
                <w:sz w:val="22"/>
                <w:szCs w:val="22"/>
              </w:rPr>
            </w:pPr>
          </w:p>
          <w:p w14:paraId="0959513F" w14:textId="2BAE5495" w:rsidR="001E1112" w:rsidRPr="00317ABF" w:rsidRDefault="001E1112" w:rsidP="00DB3BEC">
            <w:pPr>
              <w:spacing w:before="120"/>
              <w:jc w:val="both"/>
              <w:rPr>
                <w:sz w:val="22"/>
                <w:szCs w:val="22"/>
              </w:rPr>
            </w:pPr>
          </w:p>
          <w:p w14:paraId="2878C014" w14:textId="3935952B" w:rsidR="001E1112" w:rsidRPr="00317ABF" w:rsidRDefault="001E1112" w:rsidP="00DB3BEC">
            <w:pPr>
              <w:spacing w:before="120"/>
              <w:jc w:val="both"/>
              <w:rPr>
                <w:sz w:val="22"/>
                <w:szCs w:val="22"/>
              </w:rPr>
            </w:pPr>
          </w:p>
          <w:p w14:paraId="2CBE3E94" w14:textId="3D9865F2" w:rsidR="001E1112" w:rsidRPr="00317ABF" w:rsidRDefault="001E1112" w:rsidP="00DB3BEC">
            <w:pPr>
              <w:spacing w:before="120"/>
              <w:jc w:val="both"/>
              <w:rPr>
                <w:sz w:val="22"/>
                <w:szCs w:val="22"/>
              </w:rPr>
            </w:pPr>
          </w:p>
          <w:p w14:paraId="69E03675" w14:textId="7DD33BD7" w:rsidR="001E1112" w:rsidRPr="00317ABF" w:rsidRDefault="001E1112" w:rsidP="00DB3BEC">
            <w:pPr>
              <w:spacing w:before="120"/>
              <w:jc w:val="both"/>
              <w:rPr>
                <w:sz w:val="22"/>
                <w:szCs w:val="22"/>
              </w:rPr>
            </w:pPr>
          </w:p>
          <w:p w14:paraId="600FF5D7" w14:textId="5F9FE6EB" w:rsidR="001E1112" w:rsidRPr="00317ABF" w:rsidRDefault="001E1112" w:rsidP="00DB3BEC">
            <w:pPr>
              <w:spacing w:before="120"/>
              <w:jc w:val="both"/>
              <w:rPr>
                <w:sz w:val="22"/>
                <w:szCs w:val="22"/>
              </w:rPr>
            </w:pPr>
          </w:p>
          <w:p w14:paraId="09B9856F" w14:textId="08800AC7" w:rsidR="001E1112" w:rsidRPr="00317ABF" w:rsidRDefault="001E1112" w:rsidP="00DB3BEC">
            <w:pPr>
              <w:spacing w:before="120"/>
              <w:jc w:val="both"/>
              <w:rPr>
                <w:sz w:val="22"/>
                <w:szCs w:val="22"/>
              </w:rPr>
            </w:pPr>
          </w:p>
          <w:p w14:paraId="32918CD4" w14:textId="2B05F744" w:rsidR="001E1112" w:rsidRPr="00317ABF" w:rsidRDefault="001E1112" w:rsidP="00DB3BEC">
            <w:pPr>
              <w:spacing w:before="120"/>
              <w:jc w:val="both"/>
              <w:rPr>
                <w:sz w:val="22"/>
                <w:szCs w:val="22"/>
              </w:rPr>
            </w:pPr>
          </w:p>
          <w:p w14:paraId="4BAE9BD3" w14:textId="0CEDC39C" w:rsidR="001E1112" w:rsidRPr="00317ABF" w:rsidRDefault="001E1112" w:rsidP="00DB3BEC">
            <w:pPr>
              <w:spacing w:before="120"/>
              <w:jc w:val="both"/>
              <w:rPr>
                <w:sz w:val="22"/>
                <w:szCs w:val="22"/>
              </w:rPr>
            </w:pPr>
          </w:p>
          <w:p w14:paraId="681EA464" w14:textId="3852A0EC" w:rsidR="001E1112" w:rsidRPr="00317ABF" w:rsidRDefault="001E1112" w:rsidP="00DB3BEC">
            <w:pPr>
              <w:spacing w:before="120"/>
              <w:jc w:val="both"/>
              <w:rPr>
                <w:sz w:val="22"/>
                <w:szCs w:val="22"/>
              </w:rPr>
            </w:pPr>
          </w:p>
          <w:p w14:paraId="1DFDB393" w14:textId="6073B3FC" w:rsidR="001E1112" w:rsidRPr="00317ABF" w:rsidRDefault="001E1112" w:rsidP="00DB3BEC">
            <w:pPr>
              <w:spacing w:before="120"/>
              <w:jc w:val="both"/>
              <w:rPr>
                <w:sz w:val="22"/>
                <w:szCs w:val="22"/>
              </w:rPr>
            </w:pPr>
          </w:p>
          <w:p w14:paraId="139E43CC" w14:textId="5432518C" w:rsidR="001E1112" w:rsidRPr="00317ABF" w:rsidRDefault="001E1112" w:rsidP="00DB3BEC">
            <w:pPr>
              <w:spacing w:before="120"/>
              <w:jc w:val="both"/>
              <w:rPr>
                <w:sz w:val="22"/>
                <w:szCs w:val="22"/>
              </w:rPr>
            </w:pPr>
          </w:p>
          <w:p w14:paraId="38D4CC0A" w14:textId="5C17B29F" w:rsidR="001E1112" w:rsidRPr="00317ABF" w:rsidRDefault="001E1112" w:rsidP="00DB3BEC">
            <w:pPr>
              <w:spacing w:before="120"/>
              <w:jc w:val="both"/>
              <w:rPr>
                <w:sz w:val="22"/>
                <w:szCs w:val="22"/>
              </w:rPr>
            </w:pPr>
          </w:p>
          <w:p w14:paraId="1BA53F2C" w14:textId="218F9F98" w:rsidR="001E1112" w:rsidRPr="00317ABF" w:rsidRDefault="001E1112" w:rsidP="00DB3BEC">
            <w:pPr>
              <w:spacing w:before="120"/>
              <w:jc w:val="both"/>
              <w:rPr>
                <w:sz w:val="22"/>
                <w:szCs w:val="22"/>
              </w:rPr>
            </w:pPr>
          </w:p>
          <w:p w14:paraId="1D3841A0" w14:textId="6D932D72" w:rsidR="001E1112" w:rsidRPr="00317ABF" w:rsidRDefault="001E1112" w:rsidP="00DB3BEC">
            <w:pPr>
              <w:spacing w:before="120"/>
              <w:jc w:val="both"/>
              <w:rPr>
                <w:sz w:val="22"/>
                <w:szCs w:val="22"/>
              </w:rPr>
            </w:pPr>
          </w:p>
          <w:p w14:paraId="0CC8A455" w14:textId="1C3DF2D1" w:rsidR="001E1112" w:rsidRPr="00317ABF" w:rsidRDefault="001E1112" w:rsidP="00DB3BEC">
            <w:pPr>
              <w:spacing w:before="120"/>
              <w:jc w:val="both"/>
              <w:rPr>
                <w:sz w:val="22"/>
                <w:szCs w:val="22"/>
              </w:rPr>
            </w:pPr>
          </w:p>
          <w:p w14:paraId="1A95FF48" w14:textId="0CDCEAC6" w:rsidR="001E1112" w:rsidRPr="00317ABF" w:rsidRDefault="001E1112" w:rsidP="00DB3BEC">
            <w:pPr>
              <w:spacing w:before="120"/>
              <w:jc w:val="both"/>
              <w:rPr>
                <w:sz w:val="22"/>
                <w:szCs w:val="22"/>
              </w:rPr>
            </w:pPr>
          </w:p>
          <w:p w14:paraId="236C3A56" w14:textId="0AED8C11" w:rsidR="001E1112" w:rsidRPr="00317ABF" w:rsidRDefault="001E1112" w:rsidP="00DB3BEC">
            <w:pPr>
              <w:spacing w:before="120"/>
              <w:jc w:val="both"/>
              <w:rPr>
                <w:sz w:val="22"/>
                <w:szCs w:val="22"/>
              </w:rPr>
            </w:pPr>
          </w:p>
          <w:p w14:paraId="1EFB3624" w14:textId="370E1073" w:rsidR="001E1112" w:rsidRPr="00317ABF" w:rsidRDefault="001E1112" w:rsidP="00DB3BEC">
            <w:pPr>
              <w:spacing w:before="120"/>
              <w:jc w:val="both"/>
              <w:rPr>
                <w:sz w:val="22"/>
                <w:szCs w:val="22"/>
              </w:rPr>
            </w:pPr>
          </w:p>
          <w:p w14:paraId="1A387808" w14:textId="663EB6A2" w:rsidR="001E1112" w:rsidRPr="00317ABF" w:rsidRDefault="001E1112" w:rsidP="00DB3BEC">
            <w:pPr>
              <w:spacing w:before="120"/>
              <w:jc w:val="both"/>
              <w:rPr>
                <w:sz w:val="22"/>
                <w:szCs w:val="22"/>
              </w:rPr>
            </w:pPr>
          </w:p>
          <w:p w14:paraId="6A4823E8" w14:textId="77777777" w:rsidR="001E1112" w:rsidRPr="00317ABF" w:rsidRDefault="001E1112" w:rsidP="00DB3BEC">
            <w:pPr>
              <w:spacing w:before="120"/>
              <w:jc w:val="both"/>
              <w:rPr>
                <w:sz w:val="22"/>
                <w:szCs w:val="22"/>
              </w:rPr>
            </w:pPr>
            <w:r w:rsidRPr="00317ABF">
              <w:rPr>
                <w:sz w:val="22"/>
                <w:szCs w:val="22"/>
              </w:rPr>
              <w:t>Rynek może być tego rodzaju, że uzasadnia nałożenie obowiązków regulacyjnych określonych w niniejszej dyrektywie, jeżeli spełnione są wszystkie następujące trzy kryteria:</w:t>
            </w:r>
          </w:p>
          <w:tbl>
            <w:tblPr>
              <w:tblW w:w="5000" w:type="pct"/>
              <w:tblCellSpacing w:w="0" w:type="dxa"/>
              <w:tblLayout w:type="fixed"/>
              <w:tblCellMar>
                <w:left w:w="0" w:type="dxa"/>
                <w:right w:w="0" w:type="dxa"/>
              </w:tblCellMar>
              <w:tblLook w:val="04A0" w:firstRow="1" w:lastRow="0" w:firstColumn="1" w:lastColumn="0" w:noHBand="0" w:noVBand="1"/>
            </w:tblPr>
            <w:tblGrid>
              <w:gridCol w:w="20"/>
              <w:gridCol w:w="4148"/>
            </w:tblGrid>
            <w:tr w:rsidR="001E1112" w:rsidRPr="00317ABF" w14:paraId="7DFB38A7" w14:textId="77777777" w:rsidTr="001D28BB">
              <w:trPr>
                <w:tblCellSpacing w:w="0" w:type="dxa"/>
              </w:trPr>
              <w:tc>
                <w:tcPr>
                  <w:tcW w:w="6" w:type="dxa"/>
                  <w:hideMark/>
                </w:tcPr>
                <w:p w14:paraId="465B5B37" w14:textId="77777777" w:rsidR="001E1112" w:rsidRPr="00317ABF" w:rsidRDefault="001E1112" w:rsidP="00EE0AC3">
                  <w:pPr>
                    <w:framePr w:hSpace="141" w:wrap="around" w:vAnchor="text" w:hAnchor="text" w:xAlign="right" w:y="1"/>
                    <w:spacing w:before="120"/>
                    <w:suppressOverlap/>
                    <w:jc w:val="both"/>
                    <w:rPr>
                      <w:sz w:val="22"/>
                      <w:szCs w:val="22"/>
                    </w:rPr>
                  </w:pPr>
                </w:p>
              </w:tc>
              <w:tc>
                <w:tcPr>
                  <w:tcW w:w="9066" w:type="dxa"/>
                  <w:hideMark/>
                </w:tcPr>
                <w:p w14:paraId="52A2C2A8" w14:textId="77777777" w:rsidR="001E1112" w:rsidRPr="00317ABF" w:rsidRDefault="001E1112" w:rsidP="00EE0AC3">
                  <w:pPr>
                    <w:framePr w:hSpace="141" w:wrap="around" w:vAnchor="text" w:hAnchor="text" w:xAlign="right" w:y="1"/>
                    <w:numPr>
                      <w:ilvl w:val="0"/>
                      <w:numId w:val="58"/>
                    </w:numPr>
                    <w:spacing w:before="120"/>
                    <w:suppressOverlap/>
                    <w:jc w:val="both"/>
                    <w:rPr>
                      <w:sz w:val="22"/>
                      <w:szCs w:val="22"/>
                    </w:rPr>
                  </w:pPr>
                  <w:r w:rsidRPr="00317ABF">
                    <w:rPr>
                      <w:sz w:val="22"/>
                      <w:szCs w:val="22"/>
                    </w:rPr>
                    <w:t>występują trudne do przezwyciężenia i niemające przejściowego charakteru bariery strukturalne lub prawno-regulacyjne w dostępie do rynku;</w:t>
                  </w:r>
                </w:p>
              </w:tc>
            </w:tr>
          </w:tbl>
          <w:p w14:paraId="5CF7733B" w14:textId="77777777" w:rsidR="001E1112" w:rsidRPr="00317ABF" w:rsidRDefault="001E1112" w:rsidP="00DB3BEC">
            <w:pPr>
              <w:jc w:val="both"/>
              <w:rPr>
                <w:vanish/>
                <w:sz w:val="22"/>
                <w:szCs w:val="22"/>
              </w:rPr>
            </w:pPr>
          </w:p>
          <w:tbl>
            <w:tblPr>
              <w:tblW w:w="5000" w:type="pct"/>
              <w:tblCellSpacing w:w="0" w:type="dxa"/>
              <w:tblLayout w:type="fixed"/>
              <w:tblCellMar>
                <w:left w:w="0" w:type="dxa"/>
                <w:right w:w="0" w:type="dxa"/>
              </w:tblCellMar>
              <w:tblLook w:val="04A0" w:firstRow="1" w:lastRow="0" w:firstColumn="1" w:lastColumn="0" w:noHBand="0" w:noVBand="1"/>
            </w:tblPr>
            <w:tblGrid>
              <w:gridCol w:w="20"/>
              <w:gridCol w:w="4148"/>
            </w:tblGrid>
            <w:tr w:rsidR="001E1112" w:rsidRPr="00317ABF" w14:paraId="16F43149" w14:textId="77777777" w:rsidTr="001D28BB">
              <w:trPr>
                <w:tblCellSpacing w:w="0" w:type="dxa"/>
              </w:trPr>
              <w:tc>
                <w:tcPr>
                  <w:tcW w:w="6" w:type="dxa"/>
                  <w:hideMark/>
                </w:tcPr>
                <w:p w14:paraId="3CDEA588" w14:textId="77777777" w:rsidR="001E1112" w:rsidRPr="00317ABF" w:rsidRDefault="001E1112" w:rsidP="00EE0AC3">
                  <w:pPr>
                    <w:framePr w:hSpace="141" w:wrap="around" w:vAnchor="text" w:hAnchor="text" w:xAlign="right" w:y="1"/>
                    <w:spacing w:before="120"/>
                    <w:suppressOverlap/>
                    <w:jc w:val="both"/>
                    <w:rPr>
                      <w:sz w:val="22"/>
                      <w:szCs w:val="22"/>
                    </w:rPr>
                  </w:pPr>
                </w:p>
              </w:tc>
              <w:tc>
                <w:tcPr>
                  <w:tcW w:w="9066" w:type="dxa"/>
                  <w:hideMark/>
                </w:tcPr>
                <w:p w14:paraId="6371E025" w14:textId="77777777" w:rsidR="001E1112" w:rsidRPr="00317ABF" w:rsidRDefault="001E1112" w:rsidP="00EE0AC3">
                  <w:pPr>
                    <w:framePr w:hSpace="141" w:wrap="around" w:vAnchor="text" w:hAnchor="text" w:xAlign="right" w:y="1"/>
                    <w:numPr>
                      <w:ilvl w:val="0"/>
                      <w:numId w:val="58"/>
                    </w:numPr>
                    <w:spacing w:before="120"/>
                    <w:suppressOverlap/>
                    <w:jc w:val="both"/>
                    <w:rPr>
                      <w:sz w:val="22"/>
                      <w:szCs w:val="22"/>
                    </w:rPr>
                  </w:pPr>
                  <w:r w:rsidRPr="00317ABF">
                    <w:rPr>
                      <w:sz w:val="22"/>
                      <w:szCs w:val="22"/>
                    </w:rPr>
                    <w:t xml:space="preserve">struktura rynku nie sprzyja osiągnięciu efektywnej konkurencji w odpowiednim horyzoncie czasowym, przy uwzględnieniu stanu konkurencji opartej na infrastrukturze i innych źródeł konkurencji </w:t>
                  </w:r>
                  <w:r w:rsidRPr="00317ABF">
                    <w:rPr>
                      <w:sz w:val="22"/>
                      <w:szCs w:val="22"/>
                    </w:rPr>
                    <w:lastRenderedPageBreak/>
                    <w:t>stanowiących przyczynę istnienia barier w dostępie do rynku;</w:t>
                  </w:r>
                </w:p>
              </w:tc>
            </w:tr>
          </w:tbl>
          <w:p w14:paraId="5B17330B" w14:textId="77777777" w:rsidR="001E1112" w:rsidRPr="00317ABF" w:rsidRDefault="001E1112" w:rsidP="00DB3BEC">
            <w:pPr>
              <w:jc w:val="both"/>
              <w:rPr>
                <w:vanish/>
                <w:sz w:val="22"/>
                <w:szCs w:val="22"/>
              </w:rPr>
            </w:pPr>
          </w:p>
          <w:tbl>
            <w:tblPr>
              <w:tblW w:w="5000" w:type="pct"/>
              <w:tblCellSpacing w:w="0" w:type="dxa"/>
              <w:tblLayout w:type="fixed"/>
              <w:tblCellMar>
                <w:left w:w="0" w:type="dxa"/>
                <w:right w:w="0" w:type="dxa"/>
              </w:tblCellMar>
              <w:tblLook w:val="04A0" w:firstRow="1" w:lastRow="0" w:firstColumn="1" w:lastColumn="0" w:noHBand="0" w:noVBand="1"/>
            </w:tblPr>
            <w:tblGrid>
              <w:gridCol w:w="20"/>
              <w:gridCol w:w="4148"/>
            </w:tblGrid>
            <w:tr w:rsidR="001E1112" w:rsidRPr="00317ABF" w14:paraId="7A85283C" w14:textId="77777777" w:rsidTr="001D28BB">
              <w:trPr>
                <w:tblCellSpacing w:w="0" w:type="dxa"/>
              </w:trPr>
              <w:tc>
                <w:tcPr>
                  <w:tcW w:w="6" w:type="dxa"/>
                  <w:hideMark/>
                </w:tcPr>
                <w:p w14:paraId="630A26CE" w14:textId="77777777" w:rsidR="001E1112" w:rsidRPr="00317ABF" w:rsidRDefault="001E1112" w:rsidP="00EE0AC3">
                  <w:pPr>
                    <w:framePr w:hSpace="141" w:wrap="around" w:vAnchor="text" w:hAnchor="text" w:xAlign="right" w:y="1"/>
                    <w:spacing w:before="120"/>
                    <w:suppressOverlap/>
                    <w:jc w:val="both"/>
                    <w:rPr>
                      <w:sz w:val="22"/>
                      <w:szCs w:val="22"/>
                    </w:rPr>
                  </w:pPr>
                </w:p>
              </w:tc>
              <w:tc>
                <w:tcPr>
                  <w:tcW w:w="9066" w:type="dxa"/>
                  <w:hideMark/>
                </w:tcPr>
                <w:p w14:paraId="2C8EE816" w14:textId="77777777" w:rsidR="001E1112" w:rsidRPr="00317ABF" w:rsidRDefault="001E1112" w:rsidP="00EE0AC3">
                  <w:pPr>
                    <w:framePr w:hSpace="141" w:wrap="around" w:vAnchor="text" w:hAnchor="text" w:xAlign="right" w:y="1"/>
                    <w:numPr>
                      <w:ilvl w:val="0"/>
                      <w:numId w:val="58"/>
                    </w:numPr>
                    <w:spacing w:before="120"/>
                    <w:suppressOverlap/>
                    <w:jc w:val="both"/>
                    <w:rPr>
                      <w:sz w:val="22"/>
                      <w:szCs w:val="22"/>
                    </w:rPr>
                  </w:pPr>
                  <w:r w:rsidRPr="00317ABF">
                    <w:rPr>
                      <w:sz w:val="22"/>
                      <w:szCs w:val="22"/>
                    </w:rPr>
                    <w:t>same przepisy prawa konkurencji są niewystarczające, aby odpowiednio zaradzić stwierdzonym nieprawidłowościom w funkcjonowaniu rynku.</w:t>
                  </w:r>
                </w:p>
              </w:tc>
            </w:tr>
          </w:tbl>
          <w:p w14:paraId="3918E38B" w14:textId="77777777" w:rsidR="001E1112" w:rsidRPr="00317ABF" w:rsidRDefault="001E1112" w:rsidP="00DB3BEC">
            <w:pPr>
              <w:spacing w:before="120"/>
              <w:jc w:val="both"/>
              <w:rPr>
                <w:sz w:val="22"/>
                <w:szCs w:val="22"/>
              </w:rPr>
            </w:pPr>
            <w:r w:rsidRPr="00317ABF">
              <w:rPr>
                <w:sz w:val="22"/>
                <w:szCs w:val="22"/>
              </w:rPr>
              <w:t>W przypadku gdy krajowy organ regulacyjny przeprowadza analizę rynku, który uwzględniono w zaleceniu, kryteria określone w akapicie drugim lit. a), b) i c) uznaje za spełnione, chyba że ten krajowy organ regulacyjny stwierdzi, że jedno lub kilka spośród tych kryteriów nie jest spełnionych w konkretnych okolicznościach krajowych.</w:t>
            </w:r>
          </w:p>
        </w:tc>
        <w:tc>
          <w:tcPr>
            <w:tcW w:w="986" w:type="dxa"/>
          </w:tcPr>
          <w:p w14:paraId="19AE651F" w14:textId="3363228E" w:rsidR="001E1112" w:rsidRPr="00317ABF" w:rsidRDefault="001E1112" w:rsidP="00DB3BEC">
            <w:pPr>
              <w:jc w:val="both"/>
              <w:rPr>
                <w:sz w:val="22"/>
                <w:szCs w:val="22"/>
              </w:rPr>
            </w:pPr>
            <w:r w:rsidRPr="00317ABF">
              <w:rPr>
                <w:sz w:val="22"/>
                <w:szCs w:val="22"/>
              </w:rPr>
              <w:lastRenderedPageBreak/>
              <w:t>T</w:t>
            </w:r>
          </w:p>
          <w:p w14:paraId="417D1226" w14:textId="1D64DC07" w:rsidR="001E1112" w:rsidRPr="00317ABF" w:rsidRDefault="001E1112" w:rsidP="00DB3BEC">
            <w:pPr>
              <w:jc w:val="both"/>
              <w:rPr>
                <w:sz w:val="22"/>
                <w:szCs w:val="22"/>
              </w:rPr>
            </w:pPr>
          </w:p>
          <w:p w14:paraId="34757105" w14:textId="1FD7339E" w:rsidR="001E1112" w:rsidRPr="00317ABF" w:rsidRDefault="001E1112" w:rsidP="00DB3BEC">
            <w:pPr>
              <w:jc w:val="both"/>
              <w:rPr>
                <w:sz w:val="22"/>
                <w:szCs w:val="22"/>
              </w:rPr>
            </w:pPr>
          </w:p>
          <w:p w14:paraId="1D861975" w14:textId="3CD80AF6" w:rsidR="001E1112" w:rsidRPr="00317ABF" w:rsidRDefault="001E1112" w:rsidP="00DB3BEC">
            <w:pPr>
              <w:jc w:val="both"/>
              <w:rPr>
                <w:sz w:val="22"/>
                <w:szCs w:val="22"/>
              </w:rPr>
            </w:pPr>
          </w:p>
          <w:p w14:paraId="259922B4" w14:textId="271E0709" w:rsidR="001E1112" w:rsidRPr="00317ABF" w:rsidRDefault="001E1112" w:rsidP="00DB3BEC">
            <w:pPr>
              <w:jc w:val="both"/>
              <w:rPr>
                <w:sz w:val="22"/>
                <w:szCs w:val="22"/>
              </w:rPr>
            </w:pPr>
          </w:p>
          <w:p w14:paraId="52F90911" w14:textId="76AD22ED" w:rsidR="001E1112" w:rsidRPr="00317ABF" w:rsidRDefault="001E1112" w:rsidP="00DB3BEC">
            <w:pPr>
              <w:jc w:val="both"/>
              <w:rPr>
                <w:sz w:val="22"/>
                <w:szCs w:val="22"/>
              </w:rPr>
            </w:pPr>
          </w:p>
          <w:p w14:paraId="1FAF4975" w14:textId="334584F5" w:rsidR="001E1112" w:rsidRPr="00317ABF" w:rsidRDefault="001E1112" w:rsidP="00DB3BEC">
            <w:pPr>
              <w:jc w:val="both"/>
              <w:rPr>
                <w:sz w:val="22"/>
                <w:szCs w:val="22"/>
              </w:rPr>
            </w:pPr>
          </w:p>
          <w:p w14:paraId="0FE5B358" w14:textId="06EDFA1E" w:rsidR="001E1112" w:rsidRPr="00317ABF" w:rsidRDefault="001E1112" w:rsidP="00DB3BEC">
            <w:pPr>
              <w:jc w:val="both"/>
              <w:rPr>
                <w:sz w:val="22"/>
                <w:szCs w:val="22"/>
              </w:rPr>
            </w:pPr>
          </w:p>
          <w:p w14:paraId="37F5F7AD" w14:textId="13DC8648" w:rsidR="001E1112" w:rsidRPr="00317ABF" w:rsidRDefault="001E1112" w:rsidP="00DB3BEC">
            <w:pPr>
              <w:jc w:val="both"/>
              <w:rPr>
                <w:sz w:val="22"/>
                <w:szCs w:val="22"/>
              </w:rPr>
            </w:pPr>
          </w:p>
          <w:p w14:paraId="723D1950" w14:textId="30B0ED6F" w:rsidR="001E1112" w:rsidRPr="00317ABF" w:rsidRDefault="001E1112" w:rsidP="00DB3BEC">
            <w:pPr>
              <w:jc w:val="both"/>
              <w:rPr>
                <w:sz w:val="22"/>
                <w:szCs w:val="22"/>
              </w:rPr>
            </w:pPr>
          </w:p>
          <w:p w14:paraId="7BE1EA38" w14:textId="53EE8E41" w:rsidR="001E1112" w:rsidRPr="00317ABF" w:rsidRDefault="001E1112" w:rsidP="00DB3BEC">
            <w:pPr>
              <w:jc w:val="both"/>
              <w:rPr>
                <w:sz w:val="22"/>
                <w:szCs w:val="22"/>
              </w:rPr>
            </w:pPr>
          </w:p>
          <w:p w14:paraId="05CE5945" w14:textId="6FDD65A6" w:rsidR="001E1112" w:rsidRPr="00317ABF" w:rsidRDefault="001E1112" w:rsidP="00DB3BEC">
            <w:pPr>
              <w:jc w:val="both"/>
              <w:rPr>
                <w:sz w:val="22"/>
                <w:szCs w:val="22"/>
              </w:rPr>
            </w:pPr>
          </w:p>
          <w:p w14:paraId="1A5DB1AE" w14:textId="263669E7" w:rsidR="001E1112" w:rsidRPr="00317ABF" w:rsidRDefault="001E1112" w:rsidP="00DB3BEC">
            <w:pPr>
              <w:jc w:val="both"/>
              <w:rPr>
                <w:sz w:val="22"/>
                <w:szCs w:val="22"/>
              </w:rPr>
            </w:pPr>
          </w:p>
          <w:p w14:paraId="26BCA79C" w14:textId="3DA6DC50" w:rsidR="001E1112" w:rsidRPr="00317ABF" w:rsidRDefault="001E1112" w:rsidP="00DB3BEC">
            <w:pPr>
              <w:jc w:val="both"/>
              <w:rPr>
                <w:sz w:val="22"/>
                <w:szCs w:val="22"/>
              </w:rPr>
            </w:pPr>
          </w:p>
          <w:p w14:paraId="1EC1C669" w14:textId="1A066EBC" w:rsidR="001E1112" w:rsidRPr="00317ABF" w:rsidRDefault="001E1112" w:rsidP="00DB3BEC">
            <w:pPr>
              <w:jc w:val="both"/>
              <w:rPr>
                <w:sz w:val="22"/>
                <w:szCs w:val="22"/>
              </w:rPr>
            </w:pPr>
          </w:p>
          <w:p w14:paraId="0C6B3F12" w14:textId="4C2779FA" w:rsidR="001E1112" w:rsidRPr="00317ABF" w:rsidRDefault="001E1112" w:rsidP="00DB3BEC">
            <w:pPr>
              <w:jc w:val="both"/>
              <w:rPr>
                <w:sz w:val="22"/>
                <w:szCs w:val="22"/>
              </w:rPr>
            </w:pPr>
          </w:p>
          <w:p w14:paraId="31BB6E05" w14:textId="57FDE876" w:rsidR="001E1112" w:rsidRPr="00317ABF" w:rsidRDefault="001E1112" w:rsidP="00DB3BEC">
            <w:pPr>
              <w:jc w:val="both"/>
              <w:rPr>
                <w:sz w:val="22"/>
                <w:szCs w:val="22"/>
              </w:rPr>
            </w:pPr>
          </w:p>
          <w:p w14:paraId="7A7C6AC3" w14:textId="39FE9B20" w:rsidR="001E1112" w:rsidRPr="00317ABF" w:rsidRDefault="001E1112" w:rsidP="00DB3BEC">
            <w:pPr>
              <w:jc w:val="both"/>
              <w:rPr>
                <w:sz w:val="22"/>
                <w:szCs w:val="22"/>
              </w:rPr>
            </w:pPr>
          </w:p>
          <w:p w14:paraId="231205EE" w14:textId="2B7168D4" w:rsidR="001E1112" w:rsidRPr="00317ABF" w:rsidRDefault="001E1112" w:rsidP="00DB3BEC">
            <w:pPr>
              <w:jc w:val="both"/>
              <w:rPr>
                <w:sz w:val="22"/>
                <w:szCs w:val="22"/>
              </w:rPr>
            </w:pPr>
          </w:p>
          <w:p w14:paraId="48958615" w14:textId="7C89E119" w:rsidR="001E1112" w:rsidRPr="00317ABF" w:rsidRDefault="001E1112" w:rsidP="00DB3BEC">
            <w:pPr>
              <w:jc w:val="both"/>
              <w:rPr>
                <w:sz w:val="22"/>
                <w:szCs w:val="22"/>
              </w:rPr>
            </w:pPr>
          </w:p>
          <w:p w14:paraId="7E7E6188" w14:textId="52C3C11D" w:rsidR="001E1112" w:rsidRPr="00317ABF" w:rsidRDefault="001E1112" w:rsidP="00DB3BEC">
            <w:pPr>
              <w:jc w:val="both"/>
              <w:rPr>
                <w:sz w:val="22"/>
                <w:szCs w:val="22"/>
              </w:rPr>
            </w:pPr>
          </w:p>
          <w:p w14:paraId="0DE09B49" w14:textId="28A11A14" w:rsidR="001E1112" w:rsidRPr="00317ABF" w:rsidRDefault="001E1112" w:rsidP="00DB3BEC">
            <w:pPr>
              <w:jc w:val="both"/>
              <w:rPr>
                <w:sz w:val="22"/>
                <w:szCs w:val="22"/>
              </w:rPr>
            </w:pPr>
          </w:p>
          <w:p w14:paraId="43BE7DEC" w14:textId="3197E791" w:rsidR="001E1112" w:rsidRPr="00317ABF" w:rsidRDefault="001E1112" w:rsidP="00DB3BEC">
            <w:pPr>
              <w:jc w:val="both"/>
              <w:rPr>
                <w:sz w:val="22"/>
                <w:szCs w:val="22"/>
              </w:rPr>
            </w:pPr>
          </w:p>
          <w:p w14:paraId="4D75C921" w14:textId="680B630D" w:rsidR="001E1112" w:rsidRPr="00317ABF" w:rsidRDefault="001E1112" w:rsidP="00DB3BEC">
            <w:pPr>
              <w:jc w:val="both"/>
              <w:rPr>
                <w:sz w:val="22"/>
                <w:szCs w:val="22"/>
              </w:rPr>
            </w:pPr>
          </w:p>
          <w:p w14:paraId="6BB42C9A" w14:textId="1363A60B" w:rsidR="001E1112" w:rsidRPr="00317ABF" w:rsidRDefault="001E1112" w:rsidP="00DB3BEC">
            <w:pPr>
              <w:jc w:val="both"/>
              <w:rPr>
                <w:sz w:val="22"/>
                <w:szCs w:val="22"/>
              </w:rPr>
            </w:pPr>
          </w:p>
          <w:p w14:paraId="12713B88" w14:textId="46F159DF" w:rsidR="001E1112" w:rsidRPr="00317ABF" w:rsidRDefault="001E1112" w:rsidP="00DB3BEC">
            <w:pPr>
              <w:jc w:val="both"/>
              <w:rPr>
                <w:sz w:val="22"/>
                <w:szCs w:val="22"/>
              </w:rPr>
            </w:pPr>
          </w:p>
          <w:p w14:paraId="6046E8E7" w14:textId="30A56D0A" w:rsidR="001E1112" w:rsidRPr="00317ABF" w:rsidRDefault="001E1112" w:rsidP="00DB3BEC">
            <w:pPr>
              <w:jc w:val="both"/>
              <w:rPr>
                <w:sz w:val="22"/>
                <w:szCs w:val="22"/>
              </w:rPr>
            </w:pPr>
          </w:p>
          <w:p w14:paraId="0ED099DF" w14:textId="1E140273" w:rsidR="001E1112" w:rsidRPr="00317ABF" w:rsidRDefault="001E1112" w:rsidP="00DB3BEC">
            <w:pPr>
              <w:jc w:val="both"/>
              <w:rPr>
                <w:sz w:val="22"/>
                <w:szCs w:val="22"/>
              </w:rPr>
            </w:pPr>
          </w:p>
          <w:p w14:paraId="3B6A3754" w14:textId="4244696C" w:rsidR="001E1112" w:rsidRPr="00317ABF" w:rsidRDefault="001E1112" w:rsidP="00DB3BEC">
            <w:pPr>
              <w:jc w:val="both"/>
              <w:rPr>
                <w:sz w:val="22"/>
                <w:szCs w:val="22"/>
              </w:rPr>
            </w:pPr>
          </w:p>
          <w:p w14:paraId="1A597AC1" w14:textId="0154DE3F" w:rsidR="001E1112" w:rsidRPr="00317ABF" w:rsidRDefault="001E1112" w:rsidP="00DB3BEC">
            <w:pPr>
              <w:jc w:val="both"/>
              <w:rPr>
                <w:sz w:val="22"/>
                <w:szCs w:val="22"/>
              </w:rPr>
            </w:pPr>
          </w:p>
          <w:p w14:paraId="3CEA5623" w14:textId="56A495D7" w:rsidR="001E1112" w:rsidRPr="00317ABF" w:rsidRDefault="001E1112" w:rsidP="00DB3BEC">
            <w:pPr>
              <w:jc w:val="both"/>
              <w:rPr>
                <w:sz w:val="22"/>
                <w:szCs w:val="22"/>
              </w:rPr>
            </w:pPr>
          </w:p>
          <w:p w14:paraId="7EAF769E" w14:textId="654E4A0A" w:rsidR="001E1112" w:rsidRPr="00317ABF" w:rsidRDefault="001E1112" w:rsidP="00DB3BEC">
            <w:pPr>
              <w:jc w:val="both"/>
              <w:rPr>
                <w:sz w:val="22"/>
                <w:szCs w:val="22"/>
              </w:rPr>
            </w:pPr>
          </w:p>
          <w:p w14:paraId="131814C1" w14:textId="45B20C9E" w:rsidR="001E1112" w:rsidRPr="00317ABF" w:rsidRDefault="001E1112" w:rsidP="00DB3BEC">
            <w:pPr>
              <w:jc w:val="both"/>
              <w:rPr>
                <w:sz w:val="22"/>
                <w:szCs w:val="22"/>
              </w:rPr>
            </w:pPr>
          </w:p>
          <w:p w14:paraId="0E0ED2EE" w14:textId="45356146" w:rsidR="001E1112" w:rsidRPr="00317ABF" w:rsidRDefault="001E1112" w:rsidP="00DB3BEC">
            <w:pPr>
              <w:jc w:val="both"/>
              <w:rPr>
                <w:sz w:val="22"/>
                <w:szCs w:val="22"/>
              </w:rPr>
            </w:pPr>
          </w:p>
          <w:p w14:paraId="4AE75A2C" w14:textId="734E7022" w:rsidR="001E1112" w:rsidRPr="00317ABF" w:rsidRDefault="001E1112" w:rsidP="00DB3BEC">
            <w:pPr>
              <w:jc w:val="both"/>
              <w:rPr>
                <w:sz w:val="22"/>
                <w:szCs w:val="22"/>
              </w:rPr>
            </w:pPr>
          </w:p>
          <w:p w14:paraId="5FA2CB2F" w14:textId="3E540377" w:rsidR="001E1112" w:rsidRPr="00317ABF" w:rsidRDefault="001E1112" w:rsidP="00DB3BEC">
            <w:pPr>
              <w:jc w:val="both"/>
              <w:rPr>
                <w:sz w:val="22"/>
                <w:szCs w:val="22"/>
              </w:rPr>
            </w:pPr>
          </w:p>
          <w:p w14:paraId="17998184" w14:textId="0A915F74" w:rsidR="001E1112" w:rsidRPr="00317ABF" w:rsidRDefault="001E1112" w:rsidP="00DB3BEC">
            <w:pPr>
              <w:jc w:val="both"/>
              <w:rPr>
                <w:sz w:val="22"/>
                <w:szCs w:val="22"/>
              </w:rPr>
            </w:pPr>
          </w:p>
          <w:p w14:paraId="14248604" w14:textId="6B540D62" w:rsidR="001E1112" w:rsidRPr="00317ABF" w:rsidRDefault="001E1112" w:rsidP="00DB3BEC">
            <w:pPr>
              <w:jc w:val="both"/>
              <w:rPr>
                <w:sz w:val="22"/>
                <w:szCs w:val="22"/>
              </w:rPr>
            </w:pPr>
          </w:p>
          <w:p w14:paraId="133A03EB" w14:textId="509F7DB1" w:rsidR="001E1112" w:rsidRPr="00317ABF" w:rsidRDefault="001E1112" w:rsidP="00DB3BEC">
            <w:pPr>
              <w:jc w:val="both"/>
              <w:rPr>
                <w:sz w:val="22"/>
                <w:szCs w:val="22"/>
              </w:rPr>
            </w:pPr>
          </w:p>
          <w:p w14:paraId="5AC9F81A" w14:textId="12E83B38" w:rsidR="001E1112" w:rsidRPr="00317ABF" w:rsidRDefault="001E1112" w:rsidP="00DB3BEC">
            <w:pPr>
              <w:jc w:val="both"/>
              <w:rPr>
                <w:sz w:val="22"/>
                <w:szCs w:val="22"/>
              </w:rPr>
            </w:pPr>
          </w:p>
          <w:p w14:paraId="4BC76E25" w14:textId="1018C3A5" w:rsidR="001E1112" w:rsidRPr="00317ABF" w:rsidRDefault="001E1112" w:rsidP="00DB3BEC">
            <w:pPr>
              <w:jc w:val="both"/>
              <w:rPr>
                <w:sz w:val="22"/>
                <w:szCs w:val="22"/>
              </w:rPr>
            </w:pPr>
          </w:p>
          <w:p w14:paraId="0DECB9E3" w14:textId="360F0AC0" w:rsidR="001E1112" w:rsidRPr="00317ABF" w:rsidRDefault="001E1112" w:rsidP="00DB3BEC">
            <w:pPr>
              <w:jc w:val="both"/>
              <w:rPr>
                <w:sz w:val="22"/>
                <w:szCs w:val="22"/>
              </w:rPr>
            </w:pPr>
          </w:p>
          <w:p w14:paraId="0B47FDD1" w14:textId="31632287" w:rsidR="001E1112" w:rsidRPr="00317ABF" w:rsidRDefault="001E1112" w:rsidP="00DB3BEC">
            <w:pPr>
              <w:jc w:val="both"/>
              <w:rPr>
                <w:sz w:val="22"/>
                <w:szCs w:val="22"/>
              </w:rPr>
            </w:pPr>
          </w:p>
          <w:p w14:paraId="1AA3BA29" w14:textId="3EC9799D" w:rsidR="001E1112" w:rsidRPr="00317ABF" w:rsidRDefault="001E1112" w:rsidP="00DB3BEC">
            <w:pPr>
              <w:jc w:val="both"/>
              <w:rPr>
                <w:sz w:val="22"/>
                <w:szCs w:val="22"/>
              </w:rPr>
            </w:pPr>
          </w:p>
          <w:p w14:paraId="247BF09E" w14:textId="4D260102" w:rsidR="001E1112" w:rsidRPr="00317ABF" w:rsidRDefault="001E1112" w:rsidP="00DB3BEC">
            <w:pPr>
              <w:jc w:val="both"/>
              <w:rPr>
                <w:sz w:val="22"/>
                <w:szCs w:val="22"/>
              </w:rPr>
            </w:pPr>
          </w:p>
          <w:p w14:paraId="7DFFECAF" w14:textId="5B9F6456" w:rsidR="001E1112" w:rsidRPr="00317ABF" w:rsidRDefault="001E1112" w:rsidP="00DB3BEC">
            <w:pPr>
              <w:jc w:val="both"/>
              <w:rPr>
                <w:sz w:val="22"/>
                <w:szCs w:val="22"/>
              </w:rPr>
            </w:pPr>
          </w:p>
          <w:p w14:paraId="57270D02" w14:textId="4804F442" w:rsidR="001E1112" w:rsidRPr="00317ABF" w:rsidRDefault="001E1112" w:rsidP="00DB3BEC">
            <w:pPr>
              <w:jc w:val="both"/>
              <w:rPr>
                <w:sz w:val="22"/>
                <w:szCs w:val="22"/>
              </w:rPr>
            </w:pPr>
          </w:p>
          <w:p w14:paraId="45BC1E2E" w14:textId="22F7044A" w:rsidR="001E1112" w:rsidRPr="00317ABF" w:rsidRDefault="001E1112" w:rsidP="00DB3BEC">
            <w:pPr>
              <w:jc w:val="both"/>
              <w:rPr>
                <w:sz w:val="22"/>
                <w:szCs w:val="22"/>
              </w:rPr>
            </w:pPr>
          </w:p>
          <w:p w14:paraId="5A8680CD" w14:textId="7229CF2B" w:rsidR="001E1112" w:rsidRPr="00317ABF" w:rsidRDefault="001E1112" w:rsidP="00DB3BEC">
            <w:pPr>
              <w:jc w:val="both"/>
              <w:rPr>
                <w:sz w:val="22"/>
                <w:szCs w:val="22"/>
              </w:rPr>
            </w:pPr>
          </w:p>
          <w:p w14:paraId="4235FBA3" w14:textId="6E50A2AE" w:rsidR="001E1112" w:rsidRPr="00317ABF" w:rsidRDefault="001E1112" w:rsidP="00DB3BEC">
            <w:pPr>
              <w:jc w:val="both"/>
              <w:rPr>
                <w:sz w:val="22"/>
                <w:szCs w:val="22"/>
              </w:rPr>
            </w:pPr>
          </w:p>
          <w:p w14:paraId="5EFF7EFB" w14:textId="291F0D27" w:rsidR="001E1112" w:rsidRPr="00317ABF" w:rsidRDefault="001E1112" w:rsidP="00DB3BEC">
            <w:pPr>
              <w:jc w:val="both"/>
              <w:rPr>
                <w:sz w:val="22"/>
                <w:szCs w:val="22"/>
              </w:rPr>
            </w:pPr>
          </w:p>
          <w:p w14:paraId="338FBB5F" w14:textId="59BC6AD8" w:rsidR="001E1112" w:rsidRPr="00317ABF" w:rsidRDefault="001E1112" w:rsidP="00DB3BEC">
            <w:pPr>
              <w:jc w:val="both"/>
              <w:rPr>
                <w:sz w:val="22"/>
                <w:szCs w:val="22"/>
              </w:rPr>
            </w:pPr>
          </w:p>
          <w:p w14:paraId="6F2F457F" w14:textId="42317C9B" w:rsidR="001E1112" w:rsidRPr="00317ABF" w:rsidRDefault="001E1112" w:rsidP="00DB3BEC">
            <w:pPr>
              <w:jc w:val="both"/>
              <w:rPr>
                <w:sz w:val="22"/>
                <w:szCs w:val="22"/>
              </w:rPr>
            </w:pPr>
          </w:p>
          <w:p w14:paraId="0E88B254" w14:textId="2E71E156" w:rsidR="001E1112" w:rsidRPr="00317ABF" w:rsidRDefault="001E1112" w:rsidP="00DB3BEC">
            <w:pPr>
              <w:jc w:val="both"/>
              <w:rPr>
                <w:sz w:val="22"/>
                <w:szCs w:val="22"/>
              </w:rPr>
            </w:pPr>
          </w:p>
          <w:p w14:paraId="316CB8D8" w14:textId="0AF3C7F7" w:rsidR="001E1112" w:rsidRPr="00317ABF" w:rsidRDefault="001E1112" w:rsidP="00DB3BEC">
            <w:pPr>
              <w:jc w:val="both"/>
              <w:rPr>
                <w:sz w:val="22"/>
                <w:szCs w:val="22"/>
              </w:rPr>
            </w:pPr>
          </w:p>
          <w:p w14:paraId="4BF94038" w14:textId="6A82FAC9" w:rsidR="001E1112" w:rsidRPr="00317ABF" w:rsidRDefault="001E1112" w:rsidP="00DB3BEC">
            <w:pPr>
              <w:jc w:val="both"/>
              <w:rPr>
                <w:sz w:val="22"/>
                <w:szCs w:val="22"/>
              </w:rPr>
            </w:pPr>
          </w:p>
          <w:p w14:paraId="3E9EE4D6" w14:textId="747179AD" w:rsidR="001E1112" w:rsidRPr="00317ABF" w:rsidRDefault="001E1112" w:rsidP="00DB3BEC">
            <w:pPr>
              <w:jc w:val="both"/>
              <w:rPr>
                <w:sz w:val="22"/>
                <w:szCs w:val="22"/>
              </w:rPr>
            </w:pPr>
          </w:p>
          <w:p w14:paraId="7A58A957" w14:textId="1829958E" w:rsidR="001E1112" w:rsidRPr="00317ABF" w:rsidRDefault="001E1112" w:rsidP="00DB3BEC">
            <w:pPr>
              <w:jc w:val="both"/>
              <w:rPr>
                <w:sz w:val="22"/>
                <w:szCs w:val="22"/>
              </w:rPr>
            </w:pPr>
          </w:p>
          <w:p w14:paraId="410287B1" w14:textId="53283C51" w:rsidR="001E1112" w:rsidRPr="00317ABF" w:rsidRDefault="001E1112" w:rsidP="00DB3BEC">
            <w:pPr>
              <w:jc w:val="both"/>
              <w:rPr>
                <w:sz w:val="22"/>
                <w:szCs w:val="22"/>
              </w:rPr>
            </w:pPr>
          </w:p>
          <w:p w14:paraId="03492298" w14:textId="2EF3FD1F" w:rsidR="001E1112" w:rsidRPr="00317ABF" w:rsidRDefault="001E1112" w:rsidP="00DB3BEC">
            <w:pPr>
              <w:jc w:val="both"/>
              <w:rPr>
                <w:sz w:val="22"/>
                <w:szCs w:val="22"/>
              </w:rPr>
            </w:pPr>
          </w:p>
          <w:p w14:paraId="6C03AD7D" w14:textId="5B011428" w:rsidR="001E1112" w:rsidRPr="00317ABF" w:rsidRDefault="001E1112" w:rsidP="00DB3BEC">
            <w:pPr>
              <w:jc w:val="both"/>
              <w:rPr>
                <w:sz w:val="22"/>
                <w:szCs w:val="22"/>
              </w:rPr>
            </w:pPr>
          </w:p>
          <w:p w14:paraId="44DEA8E9" w14:textId="7D1564AC" w:rsidR="001E1112" w:rsidRPr="00317ABF" w:rsidRDefault="001E1112" w:rsidP="00DB3BEC">
            <w:pPr>
              <w:jc w:val="both"/>
              <w:rPr>
                <w:sz w:val="22"/>
                <w:szCs w:val="22"/>
              </w:rPr>
            </w:pPr>
          </w:p>
          <w:p w14:paraId="57256EAD" w14:textId="45F04199" w:rsidR="001E1112" w:rsidRPr="00317ABF" w:rsidRDefault="001E1112" w:rsidP="00DB3BEC">
            <w:pPr>
              <w:jc w:val="both"/>
              <w:rPr>
                <w:sz w:val="22"/>
                <w:szCs w:val="22"/>
              </w:rPr>
            </w:pPr>
          </w:p>
          <w:p w14:paraId="03D26358" w14:textId="64BDF7CE" w:rsidR="001E1112" w:rsidRPr="00317ABF" w:rsidRDefault="001E1112" w:rsidP="00DB3BEC">
            <w:pPr>
              <w:jc w:val="both"/>
              <w:rPr>
                <w:sz w:val="22"/>
                <w:szCs w:val="22"/>
              </w:rPr>
            </w:pPr>
          </w:p>
          <w:p w14:paraId="59227A19" w14:textId="5EB6ECDD" w:rsidR="001E1112" w:rsidRPr="00317ABF" w:rsidRDefault="001E1112" w:rsidP="00DB3BEC">
            <w:pPr>
              <w:jc w:val="both"/>
              <w:rPr>
                <w:sz w:val="22"/>
                <w:szCs w:val="22"/>
              </w:rPr>
            </w:pPr>
          </w:p>
          <w:p w14:paraId="1A3EF457" w14:textId="12FDF264" w:rsidR="001E1112" w:rsidRPr="00317ABF" w:rsidRDefault="001E1112" w:rsidP="00DB3BEC">
            <w:pPr>
              <w:jc w:val="both"/>
              <w:rPr>
                <w:sz w:val="22"/>
                <w:szCs w:val="22"/>
              </w:rPr>
            </w:pPr>
          </w:p>
          <w:p w14:paraId="2A6BADE8" w14:textId="58D73503" w:rsidR="001E1112" w:rsidRPr="00317ABF" w:rsidRDefault="001E1112" w:rsidP="00DB3BEC">
            <w:pPr>
              <w:jc w:val="both"/>
              <w:rPr>
                <w:sz w:val="22"/>
                <w:szCs w:val="22"/>
              </w:rPr>
            </w:pPr>
          </w:p>
          <w:p w14:paraId="14622034" w14:textId="29F5FAB7" w:rsidR="001E1112" w:rsidRPr="00317ABF" w:rsidRDefault="001E1112" w:rsidP="00DB3BEC">
            <w:pPr>
              <w:jc w:val="both"/>
              <w:rPr>
                <w:sz w:val="22"/>
                <w:szCs w:val="22"/>
              </w:rPr>
            </w:pPr>
          </w:p>
          <w:p w14:paraId="72585091" w14:textId="0340A0BC" w:rsidR="001E1112" w:rsidRPr="00317ABF" w:rsidRDefault="001E1112" w:rsidP="00DB3BEC">
            <w:pPr>
              <w:jc w:val="both"/>
              <w:rPr>
                <w:sz w:val="22"/>
                <w:szCs w:val="22"/>
              </w:rPr>
            </w:pPr>
          </w:p>
          <w:p w14:paraId="2FDBAAE3" w14:textId="4B09B589" w:rsidR="001E1112" w:rsidRPr="00317ABF" w:rsidRDefault="001E1112" w:rsidP="00DB3BEC">
            <w:pPr>
              <w:jc w:val="both"/>
              <w:rPr>
                <w:sz w:val="22"/>
                <w:szCs w:val="22"/>
              </w:rPr>
            </w:pPr>
          </w:p>
          <w:p w14:paraId="175543E0" w14:textId="5E4904FA" w:rsidR="001E1112" w:rsidRPr="00317ABF" w:rsidRDefault="001E1112" w:rsidP="00DB3BEC">
            <w:pPr>
              <w:jc w:val="both"/>
              <w:rPr>
                <w:sz w:val="22"/>
                <w:szCs w:val="22"/>
              </w:rPr>
            </w:pPr>
          </w:p>
          <w:p w14:paraId="0FC2346E" w14:textId="3B929884" w:rsidR="001E1112" w:rsidRPr="00317ABF" w:rsidRDefault="001E1112" w:rsidP="00DB3BEC">
            <w:pPr>
              <w:jc w:val="both"/>
              <w:rPr>
                <w:sz w:val="22"/>
                <w:szCs w:val="22"/>
              </w:rPr>
            </w:pPr>
          </w:p>
          <w:p w14:paraId="6AE2E4DC" w14:textId="735DF992" w:rsidR="001E1112" w:rsidRPr="00317ABF" w:rsidRDefault="001E1112" w:rsidP="00DB3BEC">
            <w:pPr>
              <w:jc w:val="both"/>
              <w:rPr>
                <w:sz w:val="22"/>
                <w:szCs w:val="22"/>
              </w:rPr>
            </w:pPr>
          </w:p>
          <w:p w14:paraId="3911134F" w14:textId="2FE8B0E4" w:rsidR="001E1112" w:rsidRPr="00317ABF" w:rsidRDefault="001E1112" w:rsidP="00DB3BEC">
            <w:pPr>
              <w:jc w:val="both"/>
              <w:rPr>
                <w:sz w:val="22"/>
                <w:szCs w:val="22"/>
              </w:rPr>
            </w:pPr>
          </w:p>
          <w:p w14:paraId="4174F592" w14:textId="457F0AF2" w:rsidR="001E1112" w:rsidRPr="00317ABF" w:rsidRDefault="001E1112" w:rsidP="00DB3BEC">
            <w:pPr>
              <w:jc w:val="both"/>
              <w:rPr>
                <w:sz w:val="22"/>
                <w:szCs w:val="22"/>
              </w:rPr>
            </w:pPr>
          </w:p>
          <w:p w14:paraId="6D9A132F" w14:textId="296C10BE" w:rsidR="001E1112" w:rsidRPr="00317ABF" w:rsidRDefault="001E1112" w:rsidP="00DB3BEC">
            <w:pPr>
              <w:jc w:val="both"/>
              <w:rPr>
                <w:sz w:val="22"/>
                <w:szCs w:val="22"/>
              </w:rPr>
            </w:pPr>
          </w:p>
          <w:p w14:paraId="5F4E8C28" w14:textId="05DC9569" w:rsidR="001E1112" w:rsidRPr="00317ABF" w:rsidRDefault="001E1112" w:rsidP="00DB3BEC">
            <w:pPr>
              <w:jc w:val="both"/>
              <w:rPr>
                <w:sz w:val="22"/>
                <w:szCs w:val="22"/>
              </w:rPr>
            </w:pPr>
          </w:p>
          <w:p w14:paraId="5C28BD67" w14:textId="4BC29F2D" w:rsidR="001E1112" w:rsidRPr="00317ABF" w:rsidRDefault="001E1112" w:rsidP="00DB3BEC">
            <w:pPr>
              <w:jc w:val="both"/>
              <w:rPr>
                <w:sz w:val="22"/>
                <w:szCs w:val="22"/>
              </w:rPr>
            </w:pPr>
          </w:p>
          <w:p w14:paraId="20383228" w14:textId="38241E30" w:rsidR="001E1112" w:rsidRPr="00317ABF" w:rsidRDefault="001E1112" w:rsidP="00DB3BEC">
            <w:pPr>
              <w:jc w:val="both"/>
              <w:rPr>
                <w:sz w:val="22"/>
                <w:szCs w:val="22"/>
              </w:rPr>
            </w:pPr>
          </w:p>
          <w:p w14:paraId="2959C5EF" w14:textId="6CA7BD16" w:rsidR="001E1112" w:rsidRPr="00317ABF" w:rsidRDefault="001E1112" w:rsidP="00DB3BEC">
            <w:pPr>
              <w:jc w:val="both"/>
              <w:rPr>
                <w:sz w:val="22"/>
                <w:szCs w:val="22"/>
              </w:rPr>
            </w:pPr>
          </w:p>
          <w:p w14:paraId="46705408" w14:textId="067A5EFF" w:rsidR="001E1112" w:rsidRPr="00317ABF" w:rsidRDefault="001E1112" w:rsidP="00DB3BEC">
            <w:pPr>
              <w:jc w:val="both"/>
              <w:rPr>
                <w:sz w:val="22"/>
                <w:szCs w:val="22"/>
              </w:rPr>
            </w:pPr>
          </w:p>
          <w:p w14:paraId="4FCB5DB8" w14:textId="1B0A8022" w:rsidR="001E1112" w:rsidRPr="00317ABF" w:rsidRDefault="001E1112" w:rsidP="00DB3BEC">
            <w:pPr>
              <w:jc w:val="both"/>
              <w:rPr>
                <w:sz w:val="22"/>
                <w:szCs w:val="22"/>
              </w:rPr>
            </w:pPr>
          </w:p>
          <w:p w14:paraId="1E7DE7DA" w14:textId="3EB24C67" w:rsidR="001E1112" w:rsidRPr="00317ABF" w:rsidRDefault="001E1112" w:rsidP="00DB3BEC">
            <w:pPr>
              <w:jc w:val="both"/>
              <w:rPr>
                <w:sz w:val="22"/>
                <w:szCs w:val="22"/>
              </w:rPr>
            </w:pPr>
          </w:p>
          <w:p w14:paraId="766F9691" w14:textId="5EA5E753" w:rsidR="001E1112" w:rsidRPr="00317ABF" w:rsidRDefault="001E1112" w:rsidP="00DB3BEC">
            <w:pPr>
              <w:jc w:val="both"/>
              <w:rPr>
                <w:sz w:val="22"/>
                <w:szCs w:val="22"/>
              </w:rPr>
            </w:pPr>
          </w:p>
          <w:p w14:paraId="58AB6466" w14:textId="79B3C861" w:rsidR="001E1112" w:rsidRPr="00317ABF" w:rsidRDefault="001E1112" w:rsidP="00DB3BEC">
            <w:pPr>
              <w:jc w:val="both"/>
              <w:rPr>
                <w:sz w:val="22"/>
                <w:szCs w:val="22"/>
              </w:rPr>
            </w:pPr>
            <w:r w:rsidRPr="00317ABF">
              <w:rPr>
                <w:sz w:val="22"/>
                <w:szCs w:val="22"/>
              </w:rPr>
              <w:t>T</w:t>
            </w:r>
          </w:p>
        </w:tc>
        <w:tc>
          <w:tcPr>
            <w:tcW w:w="910" w:type="dxa"/>
          </w:tcPr>
          <w:p w14:paraId="3EFD7315" w14:textId="77777777" w:rsidR="00536D84" w:rsidRPr="00317ABF" w:rsidRDefault="001E1112" w:rsidP="00DB3BEC">
            <w:pPr>
              <w:pStyle w:val="Tekstpodstawowy"/>
              <w:rPr>
                <w:b/>
                <w:bCs/>
                <w:noProof/>
                <w:sz w:val="22"/>
                <w:szCs w:val="22"/>
              </w:rPr>
            </w:pPr>
            <w:r w:rsidRPr="00317ABF">
              <w:rPr>
                <w:b/>
                <w:bCs/>
                <w:noProof/>
                <w:sz w:val="22"/>
                <w:szCs w:val="22"/>
              </w:rPr>
              <w:lastRenderedPageBreak/>
              <w:t>Art. 4 ust. 1 i 2, art. 30</w:t>
            </w:r>
            <w:r w:rsidR="00611202" w:rsidRPr="00317ABF">
              <w:rPr>
                <w:b/>
                <w:bCs/>
                <w:noProof/>
                <w:sz w:val="22"/>
                <w:szCs w:val="22"/>
              </w:rPr>
              <w:t xml:space="preserve"> pkt 7 i 8</w:t>
            </w:r>
            <w:r w:rsidRPr="00317ABF">
              <w:rPr>
                <w:b/>
                <w:bCs/>
                <w:noProof/>
                <w:sz w:val="22"/>
                <w:szCs w:val="22"/>
              </w:rPr>
              <w:t>,</w:t>
            </w:r>
            <w:r w:rsidR="00611202" w:rsidRPr="00317ABF">
              <w:rPr>
                <w:b/>
                <w:bCs/>
                <w:noProof/>
                <w:sz w:val="22"/>
                <w:szCs w:val="22"/>
              </w:rPr>
              <w:t xml:space="preserve"> art. 31 ust. 2, art. 35</w:t>
            </w:r>
            <w:r w:rsidR="00536D84" w:rsidRPr="00317ABF">
              <w:rPr>
                <w:b/>
                <w:bCs/>
                <w:noProof/>
                <w:sz w:val="22"/>
                <w:szCs w:val="22"/>
              </w:rPr>
              <w:t>,</w:t>
            </w:r>
            <w:r w:rsidRPr="00317ABF">
              <w:rPr>
                <w:b/>
                <w:bCs/>
                <w:noProof/>
                <w:sz w:val="22"/>
                <w:szCs w:val="22"/>
              </w:rPr>
              <w:t xml:space="preserve"> art.</w:t>
            </w:r>
            <w:r w:rsidR="00536D84" w:rsidRPr="00317ABF">
              <w:rPr>
                <w:b/>
                <w:bCs/>
                <w:noProof/>
                <w:sz w:val="22"/>
                <w:szCs w:val="22"/>
              </w:rPr>
              <w:t xml:space="preserve"> 414 ust. 1 pkt 15, art. 199 ust. 1</w:t>
            </w:r>
          </w:p>
          <w:p w14:paraId="2FFC57C6" w14:textId="77777777" w:rsidR="00536D84" w:rsidRPr="00317ABF" w:rsidRDefault="00536D84" w:rsidP="00DB3BEC">
            <w:pPr>
              <w:pStyle w:val="Tekstpodstawowy"/>
              <w:rPr>
                <w:b/>
                <w:bCs/>
                <w:noProof/>
                <w:sz w:val="22"/>
                <w:szCs w:val="22"/>
              </w:rPr>
            </w:pPr>
          </w:p>
          <w:p w14:paraId="7EC02423" w14:textId="77777777" w:rsidR="00536D84" w:rsidRPr="00317ABF" w:rsidRDefault="00536D84" w:rsidP="00DB3BEC">
            <w:pPr>
              <w:pStyle w:val="Tekstpodstawowy"/>
              <w:rPr>
                <w:b/>
                <w:bCs/>
                <w:noProof/>
                <w:sz w:val="22"/>
                <w:szCs w:val="22"/>
              </w:rPr>
            </w:pPr>
          </w:p>
          <w:p w14:paraId="2C37516C" w14:textId="77777777" w:rsidR="00536D84" w:rsidRPr="00317ABF" w:rsidRDefault="00536D84" w:rsidP="00DB3BEC">
            <w:pPr>
              <w:pStyle w:val="Tekstpodstawowy"/>
              <w:rPr>
                <w:b/>
                <w:bCs/>
                <w:noProof/>
                <w:sz w:val="22"/>
                <w:szCs w:val="22"/>
              </w:rPr>
            </w:pPr>
          </w:p>
          <w:p w14:paraId="4524356E" w14:textId="186C83AE" w:rsidR="001E1112" w:rsidRPr="00317ABF" w:rsidRDefault="001E1112" w:rsidP="00DB3BEC">
            <w:pPr>
              <w:pStyle w:val="Tekstpodstawowy"/>
              <w:rPr>
                <w:b/>
                <w:bCs/>
                <w:noProof/>
                <w:sz w:val="22"/>
                <w:szCs w:val="22"/>
              </w:rPr>
            </w:pPr>
          </w:p>
          <w:p w14:paraId="6DCA3520" w14:textId="0BA88054" w:rsidR="001E1112" w:rsidRPr="00317ABF" w:rsidRDefault="001E1112" w:rsidP="00DB3BEC">
            <w:pPr>
              <w:pStyle w:val="Tekstpodstawowy"/>
              <w:rPr>
                <w:b/>
                <w:bCs/>
                <w:noProof/>
                <w:sz w:val="22"/>
                <w:szCs w:val="22"/>
              </w:rPr>
            </w:pPr>
          </w:p>
          <w:p w14:paraId="2EA29CC2" w14:textId="12F4BA6A" w:rsidR="001E1112" w:rsidRPr="00317ABF" w:rsidRDefault="001E1112" w:rsidP="00DB3BEC">
            <w:pPr>
              <w:pStyle w:val="Tekstpodstawowy"/>
              <w:rPr>
                <w:b/>
                <w:bCs/>
                <w:noProof/>
                <w:sz w:val="22"/>
                <w:szCs w:val="22"/>
              </w:rPr>
            </w:pPr>
          </w:p>
          <w:p w14:paraId="6BCC76F4" w14:textId="60E4C67D" w:rsidR="001E1112" w:rsidRPr="00317ABF" w:rsidRDefault="001E1112" w:rsidP="00DB3BEC">
            <w:pPr>
              <w:pStyle w:val="Tekstpodstawowy"/>
              <w:rPr>
                <w:b/>
                <w:bCs/>
                <w:noProof/>
                <w:sz w:val="22"/>
                <w:szCs w:val="22"/>
              </w:rPr>
            </w:pPr>
          </w:p>
          <w:p w14:paraId="2A80F204" w14:textId="54F85F6E" w:rsidR="001E1112" w:rsidRPr="00317ABF" w:rsidRDefault="001E1112" w:rsidP="00DB3BEC">
            <w:pPr>
              <w:pStyle w:val="Tekstpodstawowy"/>
              <w:rPr>
                <w:b/>
                <w:bCs/>
                <w:noProof/>
                <w:sz w:val="22"/>
                <w:szCs w:val="22"/>
              </w:rPr>
            </w:pPr>
          </w:p>
          <w:p w14:paraId="637CF92C" w14:textId="2D72D90B" w:rsidR="001E1112" w:rsidRPr="00317ABF" w:rsidRDefault="001E1112" w:rsidP="00DB3BEC">
            <w:pPr>
              <w:pStyle w:val="Tekstpodstawowy"/>
              <w:rPr>
                <w:b/>
                <w:bCs/>
                <w:noProof/>
                <w:sz w:val="22"/>
                <w:szCs w:val="22"/>
              </w:rPr>
            </w:pPr>
          </w:p>
          <w:p w14:paraId="2EC925E3" w14:textId="50BBC8B0" w:rsidR="001E1112" w:rsidRPr="00317ABF" w:rsidRDefault="001E1112" w:rsidP="00DB3BEC">
            <w:pPr>
              <w:pStyle w:val="Tekstpodstawowy"/>
              <w:rPr>
                <w:b/>
                <w:bCs/>
                <w:noProof/>
                <w:sz w:val="22"/>
                <w:szCs w:val="22"/>
              </w:rPr>
            </w:pPr>
          </w:p>
          <w:p w14:paraId="271917FB" w14:textId="78B646BA" w:rsidR="001E1112" w:rsidRPr="00317ABF" w:rsidRDefault="001E1112" w:rsidP="00DB3BEC">
            <w:pPr>
              <w:pStyle w:val="Tekstpodstawowy"/>
              <w:rPr>
                <w:b/>
                <w:bCs/>
                <w:noProof/>
                <w:sz w:val="22"/>
                <w:szCs w:val="22"/>
              </w:rPr>
            </w:pPr>
          </w:p>
          <w:p w14:paraId="4FC160EB" w14:textId="7B15F797" w:rsidR="001E1112" w:rsidRPr="00317ABF" w:rsidRDefault="001E1112" w:rsidP="00DB3BEC">
            <w:pPr>
              <w:pStyle w:val="Tekstpodstawowy"/>
              <w:rPr>
                <w:b/>
                <w:bCs/>
                <w:noProof/>
                <w:sz w:val="22"/>
                <w:szCs w:val="22"/>
              </w:rPr>
            </w:pPr>
          </w:p>
          <w:p w14:paraId="016AD131" w14:textId="4839C7DA" w:rsidR="001E1112" w:rsidRPr="00317ABF" w:rsidRDefault="001E1112" w:rsidP="00DB3BEC">
            <w:pPr>
              <w:pStyle w:val="Tekstpodstawowy"/>
              <w:rPr>
                <w:b/>
                <w:bCs/>
                <w:noProof/>
                <w:sz w:val="22"/>
                <w:szCs w:val="22"/>
              </w:rPr>
            </w:pPr>
          </w:p>
          <w:p w14:paraId="7F45100C" w14:textId="4A7B6E2E" w:rsidR="001E1112" w:rsidRPr="00317ABF" w:rsidRDefault="001E1112" w:rsidP="00DB3BEC">
            <w:pPr>
              <w:pStyle w:val="Tekstpodstawowy"/>
              <w:rPr>
                <w:b/>
                <w:bCs/>
                <w:noProof/>
                <w:sz w:val="22"/>
                <w:szCs w:val="22"/>
              </w:rPr>
            </w:pPr>
          </w:p>
          <w:p w14:paraId="464159C3" w14:textId="412B6058" w:rsidR="001E1112" w:rsidRPr="00317ABF" w:rsidRDefault="001E1112" w:rsidP="00DB3BEC">
            <w:pPr>
              <w:pStyle w:val="Tekstpodstawowy"/>
              <w:rPr>
                <w:b/>
                <w:bCs/>
                <w:noProof/>
                <w:sz w:val="22"/>
                <w:szCs w:val="22"/>
              </w:rPr>
            </w:pPr>
          </w:p>
          <w:p w14:paraId="6BD889A4" w14:textId="16A50FF5" w:rsidR="001E1112" w:rsidRPr="00317ABF" w:rsidRDefault="001E1112" w:rsidP="00DB3BEC">
            <w:pPr>
              <w:pStyle w:val="Tekstpodstawowy"/>
              <w:rPr>
                <w:b/>
                <w:bCs/>
                <w:noProof/>
                <w:sz w:val="22"/>
                <w:szCs w:val="22"/>
              </w:rPr>
            </w:pPr>
          </w:p>
          <w:p w14:paraId="5367CF35" w14:textId="6D38203B" w:rsidR="001E1112" w:rsidRPr="00317ABF" w:rsidRDefault="001E1112" w:rsidP="00DB3BEC">
            <w:pPr>
              <w:pStyle w:val="Tekstpodstawowy"/>
              <w:rPr>
                <w:b/>
                <w:bCs/>
                <w:noProof/>
                <w:sz w:val="22"/>
                <w:szCs w:val="22"/>
              </w:rPr>
            </w:pPr>
          </w:p>
          <w:p w14:paraId="5E10DCF6" w14:textId="337E2B23" w:rsidR="001E1112" w:rsidRPr="00317ABF" w:rsidRDefault="001E1112" w:rsidP="00DB3BEC">
            <w:pPr>
              <w:pStyle w:val="Tekstpodstawowy"/>
              <w:rPr>
                <w:b/>
                <w:bCs/>
                <w:noProof/>
                <w:sz w:val="22"/>
                <w:szCs w:val="22"/>
              </w:rPr>
            </w:pPr>
          </w:p>
          <w:p w14:paraId="1E1498CA" w14:textId="1E9F629E" w:rsidR="001E1112" w:rsidRPr="00317ABF" w:rsidRDefault="001E1112" w:rsidP="00DB3BEC">
            <w:pPr>
              <w:pStyle w:val="Tekstpodstawowy"/>
              <w:rPr>
                <w:b/>
                <w:bCs/>
                <w:noProof/>
                <w:sz w:val="22"/>
                <w:szCs w:val="22"/>
              </w:rPr>
            </w:pPr>
          </w:p>
          <w:p w14:paraId="5943B081" w14:textId="33479425" w:rsidR="001E1112" w:rsidRPr="00317ABF" w:rsidRDefault="001E1112" w:rsidP="00DB3BEC">
            <w:pPr>
              <w:pStyle w:val="Tekstpodstawowy"/>
              <w:rPr>
                <w:b/>
                <w:bCs/>
                <w:noProof/>
                <w:sz w:val="22"/>
                <w:szCs w:val="22"/>
              </w:rPr>
            </w:pPr>
          </w:p>
          <w:p w14:paraId="30133115" w14:textId="1CF3393D" w:rsidR="001E1112" w:rsidRPr="00317ABF" w:rsidRDefault="001E1112" w:rsidP="00DB3BEC">
            <w:pPr>
              <w:pStyle w:val="Tekstpodstawowy"/>
              <w:rPr>
                <w:b/>
                <w:bCs/>
                <w:noProof/>
                <w:sz w:val="22"/>
                <w:szCs w:val="22"/>
              </w:rPr>
            </w:pPr>
          </w:p>
          <w:p w14:paraId="7FCC19C8" w14:textId="430A448E" w:rsidR="001E1112" w:rsidRPr="00317ABF" w:rsidRDefault="001E1112" w:rsidP="00DB3BEC">
            <w:pPr>
              <w:pStyle w:val="Tekstpodstawowy"/>
              <w:rPr>
                <w:b/>
                <w:bCs/>
                <w:noProof/>
                <w:sz w:val="22"/>
                <w:szCs w:val="22"/>
              </w:rPr>
            </w:pPr>
          </w:p>
          <w:p w14:paraId="05E46291" w14:textId="38FFF370" w:rsidR="001E1112" w:rsidRPr="00317ABF" w:rsidRDefault="001E1112" w:rsidP="00DB3BEC">
            <w:pPr>
              <w:pStyle w:val="Tekstpodstawowy"/>
              <w:rPr>
                <w:b/>
                <w:bCs/>
                <w:noProof/>
                <w:sz w:val="22"/>
                <w:szCs w:val="22"/>
              </w:rPr>
            </w:pPr>
          </w:p>
          <w:p w14:paraId="604197F0" w14:textId="1DA3A572" w:rsidR="001E1112" w:rsidRPr="00317ABF" w:rsidRDefault="001E1112" w:rsidP="00DB3BEC">
            <w:pPr>
              <w:pStyle w:val="Tekstpodstawowy"/>
              <w:rPr>
                <w:b/>
                <w:bCs/>
                <w:noProof/>
                <w:sz w:val="22"/>
                <w:szCs w:val="22"/>
              </w:rPr>
            </w:pPr>
          </w:p>
          <w:p w14:paraId="7A2B3DD6" w14:textId="34774789" w:rsidR="001E1112" w:rsidRPr="00317ABF" w:rsidRDefault="001E1112" w:rsidP="00DB3BEC">
            <w:pPr>
              <w:pStyle w:val="Tekstpodstawowy"/>
              <w:rPr>
                <w:b/>
                <w:bCs/>
                <w:noProof/>
                <w:sz w:val="22"/>
                <w:szCs w:val="22"/>
              </w:rPr>
            </w:pPr>
          </w:p>
          <w:p w14:paraId="707C352B" w14:textId="46600FCF" w:rsidR="001E1112" w:rsidRPr="00317ABF" w:rsidRDefault="001E1112" w:rsidP="00DB3BEC">
            <w:pPr>
              <w:pStyle w:val="Tekstpodstawowy"/>
              <w:rPr>
                <w:b/>
                <w:bCs/>
                <w:noProof/>
                <w:sz w:val="22"/>
                <w:szCs w:val="22"/>
              </w:rPr>
            </w:pPr>
          </w:p>
          <w:p w14:paraId="1769082C" w14:textId="722EFFF8" w:rsidR="001E1112" w:rsidRPr="00317ABF" w:rsidRDefault="001E1112" w:rsidP="00DB3BEC">
            <w:pPr>
              <w:pStyle w:val="Tekstpodstawowy"/>
              <w:rPr>
                <w:b/>
                <w:bCs/>
                <w:noProof/>
                <w:sz w:val="22"/>
                <w:szCs w:val="22"/>
              </w:rPr>
            </w:pPr>
          </w:p>
          <w:p w14:paraId="472009D6" w14:textId="25A61319" w:rsidR="001E1112" w:rsidRPr="00317ABF" w:rsidRDefault="001E1112" w:rsidP="00DB3BEC">
            <w:pPr>
              <w:pStyle w:val="Tekstpodstawowy"/>
              <w:rPr>
                <w:b/>
                <w:bCs/>
                <w:noProof/>
                <w:sz w:val="22"/>
                <w:szCs w:val="22"/>
              </w:rPr>
            </w:pPr>
          </w:p>
          <w:p w14:paraId="06F44F8C" w14:textId="2A9F264E" w:rsidR="001E1112" w:rsidRPr="00317ABF" w:rsidRDefault="001E1112" w:rsidP="00DB3BEC">
            <w:pPr>
              <w:pStyle w:val="Tekstpodstawowy"/>
              <w:rPr>
                <w:b/>
                <w:bCs/>
                <w:noProof/>
                <w:sz w:val="22"/>
                <w:szCs w:val="22"/>
              </w:rPr>
            </w:pPr>
          </w:p>
          <w:p w14:paraId="5970F5C2" w14:textId="11706284" w:rsidR="001E1112" w:rsidRPr="00317ABF" w:rsidRDefault="001E1112" w:rsidP="00DB3BEC">
            <w:pPr>
              <w:pStyle w:val="Tekstpodstawowy"/>
              <w:rPr>
                <w:b/>
                <w:bCs/>
                <w:noProof/>
                <w:sz w:val="22"/>
                <w:szCs w:val="22"/>
              </w:rPr>
            </w:pPr>
          </w:p>
          <w:p w14:paraId="53E30AD8" w14:textId="1A7B987B" w:rsidR="001E1112" w:rsidRPr="00317ABF" w:rsidRDefault="001E1112" w:rsidP="00DB3BEC">
            <w:pPr>
              <w:pStyle w:val="Tekstpodstawowy"/>
              <w:rPr>
                <w:b/>
                <w:bCs/>
                <w:noProof/>
                <w:sz w:val="22"/>
                <w:szCs w:val="22"/>
              </w:rPr>
            </w:pPr>
          </w:p>
          <w:p w14:paraId="7E85C422" w14:textId="47FECE0F" w:rsidR="001E1112" w:rsidRPr="00317ABF" w:rsidRDefault="001E1112" w:rsidP="00DB3BEC">
            <w:pPr>
              <w:pStyle w:val="Tekstpodstawowy"/>
              <w:rPr>
                <w:b/>
                <w:bCs/>
                <w:noProof/>
                <w:sz w:val="22"/>
                <w:szCs w:val="22"/>
              </w:rPr>
            </w:pPr>
          </w:p>
          <w:p w14:paraId="4018AB42" w14:textId="0F6860C0" w:rsidR="001E1112" w:rsidRPr="00317ABF" w:rsidRDefault="001E1112" w:rsidP="00DB3BEC">
            <w:pPr>
              <w:pStyle w:val="Tekstpodstawowy"/>
              <w:rPr>
                <w:b/>
                <w:bCs/>
                <w:noProof/>
                <w:sz w:val="22"/>
                <w:szCs w:val="22"/>
              </w:rPr>
            </w:pPr>
          </w:p>
          <w:p w14:paraId="338AB06A" w14:textId="155AE7DE" w:rsidR="001E1112" w:rsidRPr="00317ABF" w:rsidRDefault="001E1112" w:rsidP="00DB3BEC">
            <w:pPr>
              <w:pStyle w:val="Tekstpodstawowy"/>
              <w:rPr>
                <w:b/>
                <w:bCs/>
                <w:noProof/>
                <w:sz w:val="22"/>
                <w:szCs w:val="22"/>
              </w:rPr>
            </w:pPr>
          </w:p>
          <w:p w14:paraId="6786C49B" w14:textId="13D83869" w:rsidR="001E1112" w:rsidRPr="00317ABF" w:rsidRDefault="001E1112" w:rsidP="00DB3BEC">
            <w:pPr>
              <w:pStyle w:val="Tekstpodstawowy"/>
              <w:rPr>
                <w:b/>
                <w:bCs/>
                <w:noProof/>
                <w:sz w:val="22"/>
                <w:szCs w:val="22"/>
              </w:rPr>
            </w:pPr>
          </w:p>
          <w:p w14:paraId="52AAFFA0" w14:textId="3B6D58E7" w:rsidR="001E1112" w:rsidRPr="00317ABF" w:rsidRDefault="001E1112" w:rsidP="00DB3BEC">
            <w:pPr>
              <w:pStyle w:val="Tekstpodstawowy"/>
              <w:rPr>
                <w:b/>
                <w:bCs/>
                <w:noProof/>
                <w:sz w:val="22"/>
                <w:szCs w:val="22"/>
              </w:rPr>
            </w:pPr>
          </w:p>
          <w:p w14:paraId="1E41564C" w14:textId="7D43856C" w:rsidR="001E1112" w:rsidRPr="00317ABF" w:rsidRDefault="001E1112" w:rsidP="00DB3BEC">
            <w:pPr>
              <w:pStyle w:val="Tekstpodstawowy"/>
              <w:rPr>
                <w:b/>
                <w:bCs/>
                <w:noProof/>
                <w:sz w:val="22"/>
                <w:szCs w:val="22"/>
              </w:rPr>
            </w:pPr>
          </w:p>
          <w:p w14:paraId="1E917976" w14:textId="60E75FED" w:rsidR="001E1112" w:rsidRPr="00317ABF" w:rsidRDefault="001E1112" w:rsidP="00DB3BEC">
            <w:pPr>
              <w:pStyle w:val="Tekstpodstawowy"/>
              <w:rPr>
                <w:b/>
                <w:bCs/>
                <w:noProof/>
                <w:sz w:val="22"/>
                <w:szCs w:val="22"/>
              </w:rPr>
            </w:pPr>
          </w:p>
          <w:p w14:paraId="07E574A3" w14:textId="3C77308A" w:rsidR="001E1112" w:rsidRPr="00317ABF" w:rsidRDefault="001E1112" w:rsidP="00DB3BEC">
            <w:pPr>
              <w:pStyle w:val="Tekstpodstawowy"/>
              <w:rPr>
                <w:b/>
                <w:bCs/>
                <w:noProof/>
                <w:sz w:val="22"/>
                <w:szCs w:val="22"/>
              </w:rPr>
            </w:pPr>
          </w:p>
          <w:p w14:paraId="051C3E52" w14:textId="06BD470A" w:rsidR="001E1112" w:rsidRPr="00317ABF" w:rsidRDefault="001E1112" w:rsidP="00DB3BEC">
            <w:pPr>
              <w:pStyle w:val="Tekstpodstawowy"/>
              <w:rPr>
                <w:b/>
                <w:bCs/>
                <w:noProof/>
                <w:sz w:val="22"/>
                <w:szCs w:val="22"/>
              </w:rPr>
            </w:pPr>
          </w:p>
          <w:p w14:paraId="34E52720" w14:textId="58AE5A71" w:rsidR="001E1112" w:rsidRPr="00317ABF" w:rsidRDefault="001E1112" w:rsidP="00DB3BEC">
            <w:pPr>
              <w:pStyle w:val="Tekstpodstawowy"/>
              <w:rPr>
                <w:b/>
                <w:bCs/>
                <w:noProof/>
                <w:sz w:val="22"/>
                <w:szCs w:val="22"/>
              </w:rPr>
            </w:pPr>
          </w:p>
          <w:p w14:paraId="643C3767" w14:textId="4892FFAA" w:rsidR="001E1112" w:rsidRPr="00317ABF" w:rsidRDefault="001E1112" w:rsidP="00DB3BEC">
            <w:pPr>
              <w:pStyle w:val="Tekstpodstawowy"/>
              <w:rPr>
                <w:b/>
                <w:bCs/>
                <w:noProof/>
                <w:sz w:val="22"/>
                <w:szCs w:val="22"/>
              </w:rPr>
            </w:pPr>
          </w:p>
          <w:p w14:paraId="686F3027" w14:textId="63FCABB2" w:rsidR="001E1112" w:rsidRPr="00317ABF" w:rsidRDefault="001E1112" w:rsidP="00DB3BEC">
            <w:pPr>
              <w:pStyle w:val="Tekstpodstawowy"/>
              <w:rPr>
                <w:b/>
                <w:bCs/>
                <w:noProof/>
                <w:sz w:val="22"/>
                <w:szCs w:val="22"/>
              </w:rPr>
            </w:pPr>
          </w:p>
          <w:p w14:paraId="6A099072" w14:textId="5DAC3EE9" w:rsidR="001E1112" w:rsidRPr="00317ABF" w:rsidRDefault="001E1112" w:rsidP="00DB3BEC">
            <w:pPr>
              <w:pStyle w:val="Tekstpodstawowy"/>
              <w:rPr>
                <w:b/>
                <w:bCs/>
                <w:noProof/>
                <w:sz w:val="22"/>
                <w:szCs w:val="22"/>
              </w:rPr>
            </w:pPr>
          </w:p>
          <w:p w14:paraId="7F694CE6" w14:textId="5ACB2AE2" w:rsidR="001E1112" w:rsidRPr="00317ABF" w:rsidRDefault="001E1112" w:rsidP="00DB3BEC">
            <w:pPr>
              <w:pStyle w:val="Tekstpodstawowy"/>
              <w:rPr>
                <w:b/>
                <w:bCs/>
                <w:noProof/>
                <w:sz w:val="22"/>
                <w:szCs w:val="22"/>
              </w:rPr>
            </w:pPr>
          </w:p>
          <w:p w14:paraId="5A3C3872" w14:textId="29750DBD" w:rsidR="001E1112" w:rsidRPr="00317ABF" w:rsidRDefault="001E1112" w:rsidP="00DB3BEC">
            <w:pPr>
              <w:pStyle w:val="Tekstpodstawowy"/>
              <w:rPr>
                <w:b/>
                <w:bCs/>
                <w:noProof/>
                <w:sz w:val="22"/>
                <w:szCs w:val="22"/>
              </w:rPr>
            </w:pPr>
          </w:p>
          <w:p w14:paraId="60E25D30" w14:textId="23DDFE90" w:rsidR="001E1112" w:rsidRPr="00317ABF" w:rsidRDefault="001E1112" w:rsidP="00DB3BEC">
            <w:pPr>
              <w:pStyle w:val="Tekstpodstawowy"/>
              <w:rPr>
                <w:b/>
                <w:bCs/>
                <w:noProof/>
                <w:sz w:val="22"/>
                <w:szCs w:val="22"/>
              </w:rPr>
            </w:pPr>
          </w:p>
          <w:p w14:paraId="6DE8EC73" w14:textId="07C3D5CF" w:rsidR="001E1112" w:rsidRPr="00317ABF" w:rsidRDefault="001E1112" w:rsidP="00DB3BEC">
            <w:pPr>
              <w:pStyle w:val="Tekstpodstawowy"/>
              <w:rPr>
                <w:b/>
                <w:bCs/>
                <w:noProof/>
                <w:sz w:val="22"/>
                <w:szCs w:val="22"/>
              </w:rPr>
            </w:pPr>
          </w:p>
          <w:p w14:paraId="5115AB22" w14:textId="12DF7780" w:rsidR="001E1112" w:rsidRPr="00317ABF" w:rsidRDefault="001E1112" w:rsidP="00DB3BEC">
            <w:pPr>
              <w:pStyle w:val="Tekstpodstawowy"/>
              <w:rPr>
                <w:b/>
                <w:bCs/>
                <w:noProof/>
                <w:sz w:val="22"/>
                <w:szCs w:val="22"/>
              </w:rPr>
            </w:pPr>
          </w:p>
          <w:p w14:paraId="6CAB6571" w14:textId="352BEB57" w:rsidR="001E1112" w:rsidRPr="00317ABF" w:rsidRDefault="001E1112" w:rsidP="00DB3BEC">
            <w:pPr>
              <w:pStyle w:val="Tekstpodstawowy"/>
              <w:rPr>
                <w:b/>
                <w:bCs/>
                <w:noProof/>
                <w:sz w:val="22"/>
                <w:szCs w:val="22"/>
              </w:rPr>
            </w:pPr>
          </w:p>
          <w:p w14:paraId="2648F652" w14:textId="73934058" w:rsidR="001E1112" w:rsidRPr="00317ABF" w:rsidRDefault="001E1112" w:rsidP="00DB3BEC">
            <w:pPr>
              <w:pStyle w:val="Tekstpodstawowy"/>
              <w:rPr>
                <w:b/>
                <w:bCs/>
                <w:noProof/>
                <w:sz w:val="22"/>
                <w:szCs w:val="22"/>
              </w:rPr>
            </w:pPr>
          </w:p>
          <w:p w14:paraId="643B3F39" w14:textId="79F5D55C" w:rsidR="001E1112" w:rsidRPr="00317ABF" w:rsidRDefault="001E1112" w:rsidP="00DB3BEC">
            <w:pPr>
              <w:pStyle w:val="Tekstpodstawowy"/>
              <w:rPr>
                <w:b/>
                <w:bCs/>
                <w:noProof/>
                <w:sz w:val="22"/>
                <w:szCs w:val="22"/>
              </w:rPr>
            </w:pPr>
          </w:p>
          <w:p w14:paraId="724F0591" w14:textId="72C1C541" w:rsidR="001E1112" w:rsidRPr="00317ABF" w:rsidRDefault="001E1112" w:rsidP="00DB3BEC">
            <w:pPr>
              <w:pStyle w:val="Tekstpodstawowy"/>
              <w:rPr>
                <w:b/>
                <w:bCs/>
                <w:noProof/>
                <w:sz w:val="22"/>
                <w:szCs w:val="22"/>
              </w:rPr>
            </w:pPr>
          </w:p>
          <w:p w14:paraId="4C7B4F0D" w14:textId="7A6F0881" w:rsidR="001E1112" w:rsidRPr="00317ABF" w:rsidRDefault="001E1112" w:rsidP="00DB3BEC">
            <w:pPr>
              <w:pStyle w:val="Tekstpodstawowy"/>
              <w:rPr>
                <w:b/>
                <w:bCs/>
                <w:noProof/>
                <w:sz w:val="22"/>
                <w:szCs w:val="22"/>
              </w:rPr>
            </w:pPr>
          </w:p>
          <w:p w14:paraId="6B84CD45" w14:textId="33FD3917" w:rsidR="001E1112" w:rsidRPr="00317ABF" w:rsidRDefault="001E1112" w:rsidP="00DB3BEC">
            <w:pPr>
              <w:pStyle w:val="Tekstpodstawowy"/>
              <w:rPr>
                <w:b/>
                <w:bCs/>
                <w:noProof/>
                <w:sz w:val="22"/>
                <w:szCs w:val="22"/>
              </w:rPr>
            </w:pPr>
          </w:p>
          <w:p w14:paraId="7D3FB8AC" w14:textId="52856537" w:rsidR="001E1112" w:rsidRPr="00317ABF" w:rsidRDefault="001E1112" w:rsidP="00DB3BEC">
            <w:pPr>
              <w:pStyle w:val="Tekstpodstawowy"/>
              <w:rPr>
                <w:b/>
                <w:bCs/>
                <w:noProof/>
                <w:sz w:val="22"/>
                <w:szCs w:val="22"/>
              </w:rPr>
            </w:pPr>
          </w:p>
          <w:p w14:paraId="6B42132E" w14:textId="757611D9" w:rsidR="001E1112" w:rsidRPr="00317ABF" w:rsidRDefault="001E1112" w:rsidP="00DB3BEC">
            <w:pPr>
              <w:pStyle w:val="Tekstpodstawowy"/>
              <w:rPr>
                <w:b/>
                <w:bCs/>
                <w:noProof/>
                <w:sz w:val="22"/>
                <w:szCs w:val="22"/>
              </w:rPr>
            </w:pPr>
          </w:p>
          <w:p w14:paraId="398A3A35" w14:textId="5396E016" w:rsidR="001E1112" w:rsidRPr="00317ABF" w:rsidRDefault="001E1112" w:rsidP="00DB3BEC">
            <w:pPr>
              <w:pStyle w:val="Tekstpodstawowy"/>
              <w:rPr>
                <w:b/>
                <w:bCs/>
                <w:noProof/>
                <w:sz w:val="22"/>
                <w:szCs w:val="22"/>
              </w:rPr>
            </w:pPr>
          </w:p>
          <w:p w14:paraId="16F3D701" w14:textId="04B6E8B5" w:rsidR="001E1112" w:rsidRPr="00317ABF" w:rsidRDefault="001E1112" w:rsidP="00DB3BEC">
            <w:pPr>
              <w:pStyle w:val="Tekstpodstawowy"/>
              <w:rPr>
                <w:b/>
                <w:bCs/>
                <w:noProof/>
                <w:sz w:val="22"/>
                <w:szCs w:val="22"/>
              </w:rPr>
            </w:pPr>
          </w:p>
          <w:p w14:paraId="6D3841A3" w14:textId="7B5DF0CE" w:rsidR="001E1112" w:rsidRPr="00317ABF" w:rsidRDefault="001E1112" w:rsidP="00DB3BEC">
            <w:pPr>
              <w:pStyle w:val="Tekstpodstawowy"/>
              <w:rPr>
                <w:b/>
                <w:bCs/>
                <w:noProof/>
                <w:sz w:val="22"/>
                <w:szCs w:val="22"/>
              </w:rPr>
            </w:pPr>
          </w:p>
          <w:p w14:paraId="7FD59AD6" w14:textId="4E709C85" w:rsidR="001E1112" w:rsidRPr="00317ABF" w:rsidRDefault="001E1112" w:rsidP="00DB3BEC">
            <w:pPr>
              <w:pStyle w:val="Tekstpodstawowy"/>
              <w:rPr>
                <w:b/>
                <w:bCs/>
                <w:noProof/>
                <w:sz w:val="22"/>
                <w:szCs w:val="22"/>
              </w:rPr>
            </w:pPr>
          </w:p>
          <w:p w14:paraId="3660C82C" w14:textId="73236AD4" w:rsidR="001E1112" w:rsidRPr="00317ABF" w:rsidRDefault="001E1112" w:rsidP="00DB3BEC">
            <w:pPr>
              <w:pStyle w:val="Tekstpodstawowy"/>
              <w:rPr>
                <w:b/>
                <w:bCs/>
                <w:noProof/>
                <w:sz w:val="22"/>
                <w:szCs w:val="22"/>
              </w:rPr>
            </w:pPr>
          </w:p>
          <w:p w14:paraId="0BEBD6E2" w14:textId="63CA1792" w:rsidR="001E1112" w:rsidRPr="00317ABF" w:rsidRDefault="001E1112" w:rsidP="00DB3BEC">
            <w:pPr>
              <w:pStyle w:val="Tekstpodstawowy"/>
              <w:rPr>
                <w:b/>
                <w:bCs/>
                <w:noProof/>
                <w:sz w:val="22"/>
                <w:szCs w:val="22"/>
              </w:rPr>
            </w:pPr>
          </w:p>
          <w:p w14:paraId="6FD2E83C" w14:textId="2F6FC51A" w:rsidR="001E1112" w:rsidRPr="00317ABF" w:rsidRDefault="001E1112" w:rsidP="00DB3BEC">
            <w:pPr>
              <w:pStyle w:val="Tekstpodstawowy"/>
              <w:rPr>
                <w:b/>
                <w:bCs/>
                <w:noProof/>
                <w:sz w:val="22"/>
                <w:szCs w:val="22"/>
              </w:rPr>
            </w:pPr>
          </w:p>
          <w:p w14:paraId="4382F70E" w14:textId="7E54BD3B" w:rsidR="001E1112" w:rsidRPr="00317ABF" w:rsidRDefault="001E1112" w:rsidP="00DB3BEC">
            <w:pPr>
              <w:pStyle w:val="Tekstpodstawowy"/>
              <w:rPr>
                <w:b/>
                <w:bCs/>
                <w:noProof/>
                <w:sz w:val="22"/>
                <w:szCs w:val="22"/>
              </w:rPr>
            </w:pPr>
          </w:p>
          <w:p w14:paraId="70EF6AAF" w14:textId="54A72560" w:rsidR="001E1112" w:rsidRPr="00317ABF" w:rsidRDefault="001E1112" w:rsidP="00DB3BEC">
            <w:pPr>
              <w:pStyle w:val="Tekstpodstawowy"/>
              <w:rPr>
                <w:b/>
                <w:bCs/>
                <w:noProof/>
                <w:sz w:val="22"/>
                <w:szCs w:val="22"/>
              </w:rPr>
            </w:pPr>
          </w:p>
          <w:p w14:paraId="7237B2EC" w14:textId="56254680" w:rsidR="001E1112" w:rsidRPr="00317ABF" w:rsidRDefault="001E1112" w:rsidP="00DB3BEC">
            <w:pPr>
              <w:pStyle w:val="Tekstpodstawowy"/>
              <w:rPr>
                <w:b/>
                <w:bCs/>
                <w:noProof/>
                <w:sz w:val="22"/>
                <w:szCs w:val="22"/>
              </w:rPr>
            </w:pPr>
          </w:p>
          <w:p w14:paraId="46B5095F" w14:textId="6BDF5CD2" w:rsidR="001E1112" w:rsidRPr="00317ABF" w:rsidRDefault="001E1112" w:rsidP="00DB3BEC">
            <w:pPr>
              <w:pStyle w:val="Tekstpodstawowy"/>
              <w:rPr>
                <w:b/>
                <w:bCs/>
                <w:noProof/>
                <w:sz w:val="22"/>
                <w:szCs w:val="22"/>
              </w:rPr>
            </w:pPr>
          </w:p>
          <w:p w14:paraId="77127C45" w14:textId="6EDA938E" w:rsidR="001E1112" w:rsidRPr="00317ABF" w:rsidRDefault="001E1112" w:rsidP="00DB3BEC">
            <w:pPr>
              <w:pStyle w:val="Tekstpodstawowy"/>
              <w:rPr>
                <w:b/>
                <w:bCs/>
                <w:noProof/>
                <w:sz w:val="22"/>
                <w:szCs w:val="22"/>
              </w:rPr>
            </w:pPr>
          </w:p>
          <w:p w14:paraId="5D5E8550" w14:textId="4358D88B" w:rsidR="001E1112" w:rsidRPr="00317ABF" w:rsidRDefault="001E1112" w:rsidP="00DB3BEC">
            <w:pPr>
              <w:pStyle w:val="Tekstpodstawowy"/>
              <w:rPr>
                <w:b/>
                <w:bCs/>
                <w:noProof/>
                <w:sz w:val="22"/>
                <w:szCs w:val="22"/>
              </w:rPr>
            </w:pPr>
            <w:r w:rsidRPr="00317ABF">
              <w:rPr>
                <w:b/>
                <w:bCs/>
                <w:noProof/>
                <w:sz w:val="22"/>
                <w:szCs w:val="22"/>
              </w:rPr>
              <w:t>Art. 1</w:t>
            </w:r>
            <w:r w:rsidR="00536D84" w:rsidRPr="00317ABF">
              <w:rPr>
                <w:b/>
                <w:bCs/>
                <w:noProof/>
                <w:sz w:val="22"/>
                <w:szCs w:val="22"/>
              </w:rPr>
              <w:t>99</w:t>
            </w:r>
            <w:r w:rsidRPr="00317ABF">
              <w:rPr>
                <w:b/>
                <w:bCs/>
                <w:noProof/>
                <w:sz w:val="22"/>
                <w:szCs w:val="22"/>
              </w:rPr>
              <w:t xml:space="preserve">  ust. 2  i 3</w:t>
            </w:r>
          </w:p>
        </w:tc>
        <w:tc>
          <w:tcPr>
            <w:tcW w:w="6814" w:type="dxa"/>
            <w:gridSpan w:val="2"/>
          </w:tcPr>
          <w:p w14:paraId="15EA3C3A" w14:textId="18394633" w:rsidR="001E1112" w:rsidRPr="00317ABF" w:rsidRDefault="001E1112" w:rsidP="00DB3BEC">
            <w:pPr>
              <w:jc w:val="both"/>
              <w:rPr>
                <w:sz w:val="22"/>
                <w:szCs w:val="22"/>
              </w:rPr>
            </w:pPr>
            <w:r w:rsidRPr="00317ABF">
              <w:rPr>
                <w:b/>
                <w:sz w:val="22"/>
                <w:szCs w:val="22"/>
              </w:rPr>
              <w:lastRenderedPageBreak/>
              <w:t>Art. 1</w:t>
            </w:r>
            <w:r w:rsidR="00611202" w:rsidRPr="00317ABF">
              <w:rPr>
                <w:b/>
                <w:sz w:val="22"/>
                <w:szCs w:val="22"/>
              </w:rPr>
              <w:t>97</w:t>
            </w:r>
            <w:r w:rsidRPr="00317ABF">
              <w:rPr>
                <w:sz w:val="22"/>
                <w:szCs w:val="22"/>
              </w:rPr>
              <w:t>. 1. Prezes UKE przeprowadza analizę rynku w zakresie produktów lub usług komunikacji elektronicznej.</w:t>
            </w:r>
          </w:p>
          <w:p w14:paraId="3896765C" w14:textId="7187D67B" w:rsidR="001E1112" w:rsidRPr="00317ABF" w:rsidRDefault="001E1112" w:rsidP="00DB3BEC">
            <w:pPr>
              <w:jc w:val="both"/>
              <w:rPr>
                <w:sz w:val="22"/>
                <w:szCs w:val="22"/>
              </w:rPr>
            </w:pPr>
          </w:p>
          <w:p w14:paraId="2006CFDC" w14:textId="77777777" w:rsidR="00611202" w:rsidRPr="00317ABF" w:rsidRDefault="00611202" w:rsidP="00536D84">
            <w:pPr>
              <w:jc w:val="both"/>
              <w:rPr>
                <w:sz w:val="22"/>
                <w:szCs w:val="22"/>
              </w:rPr>
            </w:pPr>
            <w:r w:rsidRPr="00317ABF">
              <w:rPr>
                <w:b/>
                <w:sz w:val="22"/>
                <w:szCs w:val="22"/>
              </w:rPr>
              <w:t>Art. 199</w:t>
            </w:r>
            <w:r w:rsidRPr="00317ABF">
              <w:rPr>
                <w:sz w:val="22"/>
                <w:szCs w:val="22"/>
              </w:rPr>
              <w:t>. 1. Po przeprowadzeniu analizy, o której mowa w art. 197 ust. 1, Prezes UKE przeprowadza postępowanie w celu:</w:t>
            </w:r>
          </w:p>
          <w:p w14:paraId="4060F5A0" w14:textId="77777777" w:rsidR="00611202" w:rsidRPr="00317ABF" w:rsidRDefault="00611202" w:rsidP="00536D84">
            <w:pPr>
              <w:ind w:firstLine="510"/>
              <w:jc w:val="both"/>
              <w:rPr>
                <w:sz w:val="22"/>
                <w:szCs w:val="22"/>
              </w:rPr>
            </w:pPr>
            <w:r w:rsidRPr="00317ABF">
              <w:rPr>
                <w:sz w:val="22"/>
                <w:szCs w:val="22"/>
              </w:rPr>
              <w:t>1)</w:t>
            </w:r>
            <w:r w:rsidRPr="00317ABF">
              <w:rPr>
                <w:sz w:val="22"/>
                <w:szCs w:val="22"/>
              </w:rPr>
              <w:tab/>
              <w:t>określenia rynku właściwego, zgodnie z prawem konkurencji, uwzględniając uwarunkowania krajowe, konkurencję w zakresie infrastruktury telekomunikacyjnej na danym obszarze i wyniki inwentaryzacji, o których mowa w ustawie z dnia 7 maja 2010 r. o wspieraniu rozwoju usług i sieci telekomunikacyjnych, w zakresie produktów i usług komunikacji elektronicznej, zwanego dalej „rynkiem właściwym”;</w:t>
            </w:r>
          </w:p>
          <w:p w14:paraId="62BBD8A2" w14:textId="77777777" w:rsidR="00611202" w:rsidRPr="00317ABF" w:rsidRDefault="00611202" w:rsidP="00536D84">
            <w:pPr>
              <w:ind w:firstLine="510"/>
              <w:jc w:val="both"/>
              <w:rPr>
                <w:sz w:val="22"/>
                <w:szCs w:val="22"/>
              </w:rPr>
            </w:pPr>
            <w:r w:rsidRPr="00317ABF">
              <w:rPr>
                <w:sz w:val="22"/>
                <w:szCs w:val="22"/>
              </w:rPr>
              <w:t>2)</w:t>
            </w:r>
            <w:r w:rsidRPr="00317ABF">
              <w:rPr>
                <w:sz w:val="22"/>
                <w:szCs w:val="22"/>
              </w:rPr>
              <w:tab/>
              <w:t>ustalenia, czy na rynku właściwym występuje przedsiębiorca komunikacji elektronicznej o znaczącej pozycji rynkowej lub przedsiębiorcy komunikacji elektronicznej zajmujący kolektywną pozycję znaczącą;</w:t>
            </w:r>
          </w:p>
          <w:p w14:paraId="5B72B310" w14:textId="77777777" w:rsidR="00611202" w:rsidRPr="00317ABF" w:rsidRDefault="00611202" w:rsidP="00536D84">
            <w:pPr>
              <w:ind w:firstLine="510"/>
              <w:jc w:val="both"/>
              <w:rPr>
                <w:sz w:val="22"/>
                <w:szCs w:val="22"/>
              </w:rPr>
            </w:pPr>
            <w:r w:rsidRPr="00317ABF">
              <w:rPr>
                <w:sz w:val="22"/>
                <w:szCs w:val="22"/>
              </w:rPr>
              <w:t>3)</w:t>
            </w:r>
            <w:r w:rsidRPr="00317ABF">
              <w:rPr>
                <w:sz w:val="22"/>
                <w:szCs w:val="22"/>
              </w:rPr>
              <w:tab/>
              <w:t>wyznaczenia przedsiębiorcy komunikacji elektronicznej o znaczącej pozycji rynkowej lub przedsiębiorców komunikacji elektronicznej zajmujących kolektywną pozycję znaczącą, w przypadku stwierdzenia, że na rynku właściwym nie występuje skuteczna konkurencja oraz nałożenia na tego przedsiębiorcę lub przedsiębiorców komunikacji elektronicznej zajmujących kolektywną pozycję znaczącą obowiązków regulacyjnych;</w:t>
            </w:r>
          </w:p>
          <w:p w14:paraId="2C3A48EC" w14:textId="17A5E5E6" w:rsidR="001E1112" w:rsidRPr="00317ABF" w:rsidRDefault="001E1112" w:rsidP="00DB3BEC">
            <w:pPr>
              <w:jc w:val="both"/>
              <w:rPr>
                <w:sz w:val="22"/>
                <w:szCs w:val="22"/>
              </w:rPr>
            </w:pPr>
            <w:r w:rsidRPr="00317ABF">
              <w:rPr>
                <w:sz w:val="22"/>
                <w:szCs w:val="22"/>
              </w:rPr>
              <w:t>4)</w:t>
            </w:r>
            <w:r w:rsidR="00611202" w:rsidRPr="00317ABF">
              <w:rPr>
                <w:sz w:val="22"/>
                <w:szCs w:val="22"/>
              </w:rPr>
              <w:tab/>
            </w:r>
            <w:r w:rsidRPr="00317ABF">
              <w:rPr>
                <w:sz w:val="22"/>
                <w:szCs w:val="22"/>
              </w:rPr>
              <w:t xml:space="preserve">utrzymania, zmiany albo uchylenia obowiązków regulacyjnych nałożonych na przedsiębiorcę komunikacji elektronicznej o znaczącej pozycji rynkowej lub przedsiębiorców komunikacji elektronicznej </w:t>
            </w:r>
            <w:r w:rsidRPr="00317ABF">
              <w:rPr>
                <w:sz w:val="22"/>
                <w:szCs w:val="22"/>
              </w:rPr>
              <w:lastRenderedPageBreak/>
              <w:t>zajmujących kolektywną pozycję znaczącą przed przeprowadzeniem analizy rynku.</w:t>
            </w:r>
          </w:p>
          <w:p w14:paraId="04C2C1A6" w14:textId="77777777" w:rsidR="001E1112" w:rsidRPr="00317ABF" w:rsidRDefault="001E1112" w:rsidP="00536D84">
            <w:pPr>
              <w:jc w:val="both"/>
              <w:rPr>
                <w:sz w:val="22"/>
                <w:szCs w:val="22"/>
              </w:rPr>
            </w:pPr>
          </w:p>
          <w:p w14:paraId="20A0B566" w14:textId="2556168E" w:rsidR="001E1112" w:rsidRPr="00317ABF" w:rsidRDefault="001E1112" w:rsidP="00DB3BEC">
            <w:pPr>
              <w:jc w:val="both"/>
              <w:rPr>
                <w:sz w:val="22"/>
                <w:szCs w:val="22"/>
              </w:rPr>
            </w:pPr>
          </w:p>
          <w:p w14:paraId="2E101DEA" w14:textId="6356266C" w:rsidR="001E1112" w:rsidRPr="00317ABF" w:rsidRDefault="001E1112" w:rsidP="00DB3BEC">
            <w:pPr>
              <w:ind w:firstLine="510"/>
              <w:jc w:val="both"/>
              <w:rPr>
                <w:sz w:val="22"/>
                <w:szCs w:val="22"/>
              </w:rPr>
            </w:pPr>
            <w:r w:rsidRPr="00317ABF">
              <w:rPr>
                <w:b/>
                <w:sz w:val="22"/>
                <w:szCs w:val="22"/>
              </w:rPr>
              <w:t>Art. 30.</w:t>
            </w:r>
            <w:r w:rsidRPr="00317ABF">
              <w:rPr>
                <w:sz w:val="22"/>
                <w:szCs w:val="22"/>
              </w:rPr>
              <w:t xml:space="preserve"> Prezes UKE przed podjęciem rozstrzygnięcia w sprawach:</w:t>
            </w:r>
          </w:p>
          <w:p w14:paraId="1361A199" w14:textId="4FEC094F" w:rsidR="00611202" w:rsidRPr="00317ABF" w:rsidRDefault="00611202" w:rsidP="00536D84">
            <w:pPr>
              <w:jc w:val="both"/>
              <w:rPr>
                <w:sz w:val="22"/>
                <w:szCs w:val="22"/>
              </w:rPr>
            </w:pPr>
            <w:r w:rsidRPr="00317ABF">
              <w:rPr>
                <w:sz w:val="22"/>
                <w:szCs w:val="22"/>
              </w:rPr>
              <w:t>(…)</w:t>
            </w:r>
          </w:p>
          <w:p w14:paraId="34AE631A" w14:textId="23813224" w:rsidR="00611202" w:rsidRPr="00317ABF" w:rsidRDefault="00611202" w:rsidP="00536D84">
            <w:pPr>
              <w:ind w:firstLine="510"/>
              <w:jc w:val="both"/>
              <w:rPr>
                <w:sz w:val="22"/>
                <w:szCs w:val="22"/>
              </w:rPr>
            </w:pPr>
            <w:r w:rsidRPr="00317ABF">
              <w:rPr>
                <w:sz w:val="22"/>
                <w:szCs w:val="22"/>
              </w:rPr>
              <w:t>7) określenia rynku właściwego, o którym mowa w art. 199 ust. 1 pkt 1, a także jego analizy i wyznaczenia przedsiębiorcy komunikacji elektronicznej o znaczącej pozycji rynkowej lub przedsiębiorców komunikacji elektronicznej zajmujących kolektywną pozycję znaczącą, lub uchylenia decyzji w tej sprawie,</w:t>
            </w:r>
          </w:p>
          <w:p w14:paraId="06D80F92" w14:textId="77777777" w:rsidR="001E1112" w:rsidRPr="00317ABF" w:rsidRDefault="00611202" w:rsidP="00536D84">
            <w:pPr>
              <w:ind w:firstLine="510"/>
              <w:jc w:val="both"/>
              <w:rPr>
                <w:sz w:val="22"/>
                <w:szCs w:val="22"/>
              </w:rPr>
            </w:pPr>
            <w:r w:rsidRPr="00317ABF">
              <w:rPr>
                <w:sz w:val="22"/>
                <w:szCs w:val="22"/>
              </w:rPr>
              <w:t>8)</w:t>
            </w:r>
            <w:r w:rsidR="001E1112" w:rsidRPr="00317ABF">
              <w:rPr>
                <w:sz w:val="22"/>
                <w:szCs w:val="22"/>
              </w:rPr>
              <w:t xml:space="preserve"> nałożenia, uchylenia, utrzymania lub zmiany obowiązków regulacyjnych w stosunku do przedsiębiorcy komunikacji elektronicznej o znaczącej pozycji rynkowej lub nieposiadającego takiej pozycji,</w:t>
            </w:r>
          </w:p>
          <w:p w14:paraId="0E8A95D0" w14:textId="39D8B9F1" w:rsidR="001E1112" w:rsidRPr="00317ABF" w:rsidRDefault="001E1112" w:rsidP="00536D84">
            <w:pPr>
              <w:jc w:val="both"/>
              <w:rPr>
                <w:sz w:val="22"/>
                <w:szCs w:val="22"/>
              </w:rPr>
            </w:pPr>
            <w:r w:rsidRPr="00317ABF">
              <w:rPr>
                <w:sz w:val="22"/>
                <w:szCs w:val="22"/>
              </w:rPr>
              <w:t>(…)</w:t>
            </w:r>
          </w:p>
          <w:p w14:paraId="013C2075" w14:textId="1F32662B" w:rsidR="001E1112" w:rsidRPr="00317ABF" w:rsidRDefault="001E1112" w:rsidP="00DB3BEC">
            <w:pPr>
              <w:jc w:val="both"/>
              <w:rPr>
                <w:sz w:val="22"/>
                <w:szCs w:val="22"/>
              </w:rPr>
            </w:pPr>
            <w:r w:rsidRPr="00317ABF">
              <w:rPr>
                <w:sz w:val="22"/>
                <w:szCs w:val="22"/>
              </w:rPr>
              <w:t>- przeprowadza postępowanie</w:t>
            </w:r>
            <w:r w:rsidR="00611202" w:rsidRPr="00317ABF">
              <w:rPr>
                <w:sz w:val="22"/>
                <w:szCs w:val="22"/>
              </w:rPr>
              <w:t>, w ramach którego umożliwia</w:t>
            </w:r>
            <w:r w:rsidRPr="00317ABF">
              <w:rPr>
                <w:sz w:val="22"/>
                <w:szCs w:val="22"/>
              </w:rPr>
              <w:t xml:space="preserve"> zainteresowanym podmiotom wyrażenie w określonym terminie stanowiska do projektu rozstrzygnięcia</w:t>
            </w:r>
            <w:r w:rsidR="00611202" w:rsidRPr="00317ABF">
              <w:rPr>
                <w:sz w:val="22"/>
                <w:szCs w:val="22"/>
              </w:rPr>
              <w:t>, zwane dalej „postępowaniem konsultacyjnym”.</w:t>
            </w:r>
          </w:p>
          <w:p w14:paraId="2C7F0011" w14:textId="77777777" w:rsidR="00611202" w:rsidRPr="00317ABF" w:rsidRDefault="00611202" w:rsidP="00536D84">
            <w:pPr>
              <w:jc w:val="both"/>
              <w:rPr>
                <w:sz w:val="22"/>
                <w:szCs w:val="22"/>
              </w:rPr>
            </w:pPr>
          </w:p>
          <w:p w14:paraId="69CC7BC4" w14:textId="717234AC" w:rsidR="00611202" w:rsidRPr="00317ABF" w:rsidRDefault="00611202" w:rsidP="00536D84">
            <w:pPr>
              <w:jc w:val="both"/>
              <w:rPr>
                <w:b/>
                <w:sz w:val="22"/>
                <w:szCs w:val="22"/>
              </w:rPr>
            </w:pPr>
            <w:r w:rsidRPr="00317ABF">
              <w:rPr>
                <w:b/>
                <w:sz w:val="22"/>
                <w:szCs w:val="22"/>
              </w:rPr>
              <w:t>Art. 31 ust. 2</w:t>
            </w:r>
          </w:p>
          <w:p w14:paraId="455B9FAC" w14:textId="755AC0C7" w:rsidR="00611202" w:rsidRPr="00317ABF" w:rsidRDefault="00611202" w:rsidP="00536D84">
            <w:pPr>
              <w:jc w:val="both"/>
              <w:rPr>
                <w:sz w:val="22"/>
                <w:szCs w:val="22"/>
              </w:rPr>
            </w:pPr>
            <w:r w:rsidRPr="00317ABF">
              <w:rPr>
                <w:sz w:val="22"/>
                <w:szCs w:val="22"/>
              </w:rPr>
              <w:t>2. Prezes UKE informuje o wszczęciu postępowania konsultacyjnego Prezesa Urzędu Ochrony Konkurencji i Konsumentów, zwanego dalej „Prezesem UOKiK”. W sprawach dotyczących rynków transmisji radiofonicznych i telewizyjnych Prezes UKE informuje o wszczęciu postępowania konsultacyjnego również Przewodniczącego Krajowej Rady Radiofonii i Telewizji, zwanego dalej „Przewodniczącym KRRiT”.</w:t>
            </w:r>
          </w:p>
          <w:p w14:paraId="0F49C293" w14:textId="77777777" w:rsidR="00611202" w:rsidRPr="00317ABF" w:rsidRDefault="00611202" w:rsidP="00536D84">
            <w:pPr>
              <w:jc w:val="both"/>
              <w:rPr>
                <w:sz w:val="22"/>
                <w:szCs w:val="22"/>
              </w:rPr>
            </w:pPr>
          </w:p>
          <w:p w14:paraId="08EDC9D0" w14:textId="39C17357" w:rsidR="001E1112" w:rsidRPr="00317ABF" w:rsidRDefault="00611202" w:rsidP="00DB3BEC">
            <w:pPr>
              <w:jc w:val="both"/>
              <w:rPr>
                <w:sz w:val="22"/>
                <w:szCs w:val="22"/>
              </w:rPr>
            </w:pPr>
            <w:r w:rsidRPr="00317ABF">
              <w:rPr>
                <w:b/>
                <w:sz w:val="22"/>
                <w:szCs w:val="22"/>
              </w:rPr>
              <w:t>Art. 35</w:t>
            </w:r>
            <w:r w:rsidRPr="00317ABF">
              <w:rPr>
                <w:sz w:val="22"/>
                <w:szCs w:val="22"/>
              </w:rPr>
              <w:t>. 1. Jeżeli rozstrzygnięcia, o których mowa w art. 30 pkt 1-13, mogą mieć wpływ na stosunki handlowe między państwami członkowskimi, Prezes UKE, niezwłocznie po zakończeniu postępowania konsultacyjnego i rozpatrzeniu stanowisk uczestników tego postępowania, rozpoczyna postępowanie konsolidacyjne, przesyłając Komisji Europejskiej, BEREC, i organom regulacyjnym innych państw członkowskich projekty rozstrzygnięć wraz z ich uzasadnieniem.</w:t>
            </w:r>
          </w:p>
          <w:p w14:paraId="228969DF" w14:textId="77777777" w:rsidR="00611202" w:rsidRPr="00317ABF" w:rsidRDefault="00611202" w:rsidP="00536D84">
            <w:pPr>
              <w:jc w:val="both"/>
              <w:rPr>
                <w:b/>
                <w:sz w:val="22"/>
                <w:szCs w:val="22"/>
              </w:rPr>
            </w:pPr>
          </w:p>
          <w:p w14:paraId="18434AB0" w14:textId="0CAF656F" w:rsidR="00611202" w:rsidRPr="00317ABF" w:rsidRDefault="00611202" w:rsidP="00536D84">
            <w:pPr>
              <w:jc w:val="both"/>
              <w:rPr>
                <w:sz w:val="22"/>
                <w:szCs w:val="22"/>
              </w:rPr>
            </w:pPr>
            <w:r w:rsidRPr="00317ABF">
              <w:rPr>
                <w:b/>
                <w:sz w:val="22"/>
                <w:szCs w:val="22"/>
              </w:rPr>
              <w:t>Art. 4.</w:t>
            </w:r>
            <w:r w:rsidRPr="00317ABF">
              <w:rPr>
                <w:sz w:val="22"/>
                <w:szCs w:val="22"/>
              </w:rPr>
              <w:t xml:space="preserve"> 1. Prezes Urzędu Komunikacji Elektronicznej, zwany dalej „Prezesem UKE”, uwzględnia przy stosowaniu ustawy w największym możliwie stopniu wytyczne i zalecenia Komisji Europejskiej w ich aktualnym brzmieniu.</w:t>
            </w:r>
          </w:p>
          <w:p w14:paraId="464CDD43" w14:textId="734CE484" w:rsidR="001E1112" w:rsidRPr="00317ABF" w:rsidRDefault="001E1112" w:rsidP="00DB3BEC">
            <w:pPr>
              <w:jc w:val="both"/>
              <w:rPr>
                <w:sz w:val="22"/>
                <w:szCs w:val="22"/>
              </w:rPr>
            </w:pPr>
            <w:r w:rsidRPr="00317ABF">
              <w:rPr>
                <w:sz w:val="22"/>
                <w:szCs w:val="22"/>
              </w:rPr>
              <w:lastRenderedPageBreak/>
              <w:t>2. W przypadku zaleceń Komisji Europejskiej, które mają na celu zapewnienie zharmonizowanego stosowania dyrektywy Parlamentu Europejskiego i Rady (UE) 2018/1972 z dnia 11 grudnia 2018 r. ustanawiającą europejski kodeks łączności elektronicznej (Dz. Urz. WE L 321/36 z 17.12.2018), zwanej dalej „EKŁE”, Prezes UKE może odstąpić od stosowania tych zaleceń, powiadamiając o tym Komisję Europejską i uzasadniając swoje stanowisko.</w:t>
            </w:r>
          </w:p>
          <w:p w14:paraId="49739CA3" w14:textId="77777777" w:rsidR="00611202" w:rsidRPr="00317ABF" w:rsidRDefault="00611202" w:rsidP="00536D84">
            <w:pPr>
              <w:jc w:val="both"/>
              <w:rPr>
                <w:sz w:val="22"/>
                <w:szCs w:val="22"/>
              </w:rPr>
            </w:pPr>
          </w:p>
          <w:p w14:paraId="1554D560" w14:textId="77777777" w:rsidR="00536D84" w:rsidRPr="00317ABF" w:rsidRDefault="00536D84" w:rsidP="00536D84">
            <w:pPr>
              <w:pStyle w:val="ARTartustawynprozporzdzenia"/>
              <w:keepNext/>
              <w:spacing w:line="240" w:lineRule="auto"/>
              <w:rPr>
                <w:rFonts w:ascii="Times New Roman" w:hAnsi="Times New Roman" w:cs="Times New Roman"/>
                <w:sz w:val="22"/>
                <w:szCs w:val="22"/>
              </w:rPr>
            </w:pPr>
            <w:r w:rsidRPr="00317ABF">
              <w:rPr>
                <w:rStyle w:val="Ppogrubienie"/>
                <w:rFonts w:ascii="Times New Roman" w:hAnsi="Times New Roman"/>
                <w:sz w:val="22"/>
                <w:szCs w:val="22"/>
              </w:rPr>
              <w:t>Art. 414.</w:t>
            </w:r>
            <w:r w:rsidRPr="00317ABF">
              <w:rPr>
                <w:rFonts w:ascii="Times New Roman" w:hAnsi="Times New Roman" w:cs="Times New Roman"/>
                <w:sz w:val="22"/>
                <w:szCs w:val="22"/>
              </w:rPr>
              <w:t xml:space="preserve"> 1. Do zakresu działania Prezesa UKE należy w szczególności:</w:t>
            </w:r>
          </w:p>
          <w:p w14:paraId="6ACE298A" w14:textId="77777777" w:rsidR="00611202" w:rsidRPr="00317ABF" w:rsidRDefault="00611202" w:rsidP="00536D84">
            <w:pPr>
              <w:jc w:val="both"/>
              <w:rPr>
                <w:sz w:val="22"/>
                <w:szCs w:val="22"/>
              </w:rPr>
            </w:pPr>
          </w:p>
          <w:p w14:paraId="0966CB50" w14:textId="77777777" w:rsidR="00536D84" w:rsidRPr="00317ABF" w:rsidRDefault="00536D84" w:rsidP="00536D84">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15)</w:t>
            </w:r>
            <w:r w:rsidRPr="00317ABF">
              <w:rPr>
                <w:rFonts w:ascii="Times New Roman" w:hAnsi="Times New Roman" w:cs="Times New Roman"/>
                <w:sz w:val="22"/>
                <w:szCs w:val="22"/>
              </w:rPr>
              <w:tab/>
              <w:t>współpraca z Prezesem UOKiK w sprawach dotyczących przestrzegania praw podmiotów korzystających z usług komunikacji elektronicznej, przeciwdziałania praktykom ograniczającym konkurencję oraz antykonkurencyjnym koncentracjom przedsiębiorców komunikacji elektronicznej i ich związków;</w:t>
            </w:r>
          </w:p>
          <w:p w14:paraId="6C875AA6" w14:textId="77777777" w:rsidR="00536D84" w:rsidRPr="00317ABF" w:rsidRDefault="00536D84" w:rsidP="00611202">
            <w:pPr>
              <w:jc w:val="both"/>
              <w:rPr>
                <w:sz w:val="22"/>
                <w:szCs w:val="22"/>
              </w:rPr>
            </w:pPr>
          </w:p>
          <w:p w14:paraId="161F10EA" w14:textId="77777777" w:rsidR="00536D84" w:rsidRPr="00317ABF" w:rsidRDefault="00536D84" w:rsidP="00611202">
            <w:pPr>
              <w:jc w:val="both"/>
              <w:rPr>
                <w:sz w:val="22"/>
                <w:szCs w:val="22"/>
              </w:rPr>
            </w:pPr>
          </w:p>
          <w:p w14:paraId="3798543F" w14:textId="77777777" w:rsidR="00536D84" w:rsidRPr="00317ABF" w:rsidRDefault="00536D84" w:rsidP="00611202">
            <w:pPr>
              <w:jc w:val="both"/>
              <w:rPr>
                <w:sz w:val="22"/>
                <w:szCs w:val="22"/>
              </w:rPr>
            </w:pPr>
          </w:p>
          <w:p w14:paraId="36C0D3AF" w14:textId="528FEB2C" w:rsidR="001E1112" w:rsidRPr="00317ABF" w:rsidRDefault="00536D84" w:rsidP="00DB3BEC">
            <w:pPr>
              <w:jc w:val="both"/>
              <w:rPr>
                <w:b/>
                <w:sz w:val="22"/>
                <w:szCs w:val="22"/>
              </w:rPr>
            </w:pPr>
            <w:r w:rsidRPr="00317ABF">
              <w:rPr>
                <w:b/>
                <w:sz w:val="22"/>
                <w:szCs w:val="22"/>
              </w:rPr>
              <w:t>Art. 199</w:t>
            </w:r>
          </w:p>
          <w:p w14:paraId="3F05724F" w14:textId="77777777" w:rsidR="00536D84" w:rsidRPr="00317ABF" w:rsidRDefault="00536D84" w:rsidP="00536D84">
            <w:pPr>
              <w:jc w:val="both"/>
              <w:rPr>
                <w:sz w:val="22"/>
                <w:szCs w:val="22"/>
              </w:rPr>
            </w:pPr>
            <w:r w:rsidRPr="00317ABF">
              <w:rPr>
                <w:sz w:val="22"/>
                <w:szCs w:val="22"/>
              </w:rPr>
              <w:t>2. Rynek właściwy może podlegać regulacji, gdy spełnione są łącznie następujące kryteria:</w:t>
            </w:r>
          </w:p>
          <w:p w14:paraId="4EFF05A2" w14:textId="77777777" w:rsidR="00536D84" w:rsidRPr="00317ABF" w:rsidRDefault="00536D84" w:rsidP="00536D84">
            <w:pPr>
              <w:jc w:val="both"/>
              <w:rPr>
                <w:sz w:val="22"/>
                <w:szCs w:val="22"/>
              </w:rPr>
            </w:pPr>
            <w:r w:rsidRPr="00317ABF">
              <w:rPr>
                <w:sz w:val="22"/>
                <w:szCs w:val="22"/>
              </w:rPr>
              <w:t>1)</w:t>
            </w:r>
            <w:r w:rsidRPr="00317ABF">
              <w:rPr>
                <w:sz w:val="22"/>
                <w:szCs w:val="22"/>
              </w:rPr>
              <w:tab/>
              <w:t>występują trudne do przezwyciężenia i niemające przejściowego charakteru prawne lub ekonomiczne bariery w dostępie do rynku;</w:t>
            </w:r>
          </w:p>
          <w:p w14:paraId="2887F5E3" w14:textId="77777777" w:rsidR="00536D84" w:rsidRPr="00317ABF" w:rsidRDefault="00536D84" w:rsidP="00536D84">
            <w:pPr>
              <w:jc w:val="both"/>
              <w:rPr>
                <w:sz w:val="22"/>
                <w:szCs w:val="22"/>
              </w:rPr>
            </w:pPr>
            <w:r w:rsidRPr="00317ABF">
              <w:rPr>
                <w:sz w:val="22"/>
                <w:szCs w:val="22"/>
              </w:rPr>
              <w:t>2)</w:t>
            </w:r>
            <w:r w:rsidRPr="00317ABF">
              <w:rPr>
                <w:sz w:val="22"/>
                <w:szCs w:val="22"/>
              </w:rPr>
              <w:tab/>
              <w:t>struktura rynku nie sprzyja osiągnięciu efektywnej konkurencji w odpowiednim horyzoncie czasowym, mając na uwadze stan konkurencji, w tym w zakresie infrastruktury telekomunikacyjnej;</w:t>
            </w:r>
          </w:p>
          <w:p w14:paraId="27B38A89" w14:textId="77777777" w:rsidR="001E1112" w:rsidRPr="00317ABF" w:rsidRDefault="001E1112" w:rsidP="00536D84">
            <w:pPr>
              <w:jc w:val="both"/>
              <w:rPr>
                <w:sz w:val="22"/>
                <w:szCs w:val="22"/>
              </w:rPr>
            </w:pPr>
            <w:r w:rsidRPr="00317ABF">
              <w:rPr>
                <w:sz w:val="22"/>
                <w:szCs w:val="22"/>
              </w:rPr>
              <w:t>3)</w:t>
            </w:r>
            <w:r w:rsidR="00536D84" w:rsidRPr="00317ABF">
              <w:rPr>
                <w:sz w:val="22"/>
                <w:szCs w:val="22"/>
              </w:rPr>
              <w:tab/>
            </w:r>
            <w:r w:rsidRPr="00317ABF">
              <w:rPr>
                <w:sz w:val="22"/>
                <w:szCs w:val="22"/>
              </w:rPr>
              <w:t>przepisy prawa konkurencji są niewystarczające, aby odpowiednio przeciwdziałać stwierdzonym nieprawidłowościom w funkcjonowaniu rynku.</w:t>
            </w:r>
          </w:p>
          <w:p w14:paraId="37E1A244" w14:textId="6D7727B9" w:rsidR="001E1112" w:rsidRPr="00317ABF" w:rsidRDefault="001E1112" w:rsidP="00DB3BEC">
            <w:pPr>
              <w:jc w:val="both"/>
              <w:rPr>
                <w:sz w:val="22"/>
                <w:szCs w:val="22"/>
              </w:rPr>
            </w:pPr>
            <w:r w:rsidRPr="00317ABF">
              <w:rPr>
                <w:sz w:val="22"/>
                <w:szCs w:val="22"/>
              </w:rPr>
              <w:t xml:space="preserve">3. Kryteria, o których mowa w ust. 2, uznaje się za spełnione w przypadku rynku właściwego wskazanego w zaleceniu Komisji Europejskiej. Prezes UKE może jednak w decyzji, o której mowa w art. </w:t>
            </w:r>
            <w:r w:rsidR="00536D84" w:rsidRPr="00317ABF">
              <w:rPr>
                <w:sz w:val="22"/>
                <w:szCs w:val="22"/>
              </w:rPr>
              <w:t>201</w:t>
            </w:r>
            <w:r w:rsidRPr="00317ABF">
              <w:rPr>
                <w:sz w:val="22"/>
                <w:szCs w:val="22"/>
              </w:rPr>
              <w:t>, stwierdzić, że co najmniej jedno kryterium wskazane w ust. 2 nie jest spełnione.</w:t>
            </w:r>
          </w:p>
        </w:tc>
      </w:tr>
      <w:tr w:rsidR="001E1112" w:rsidRPr="00317ABF" w14:paraId="5B94A973" w14:textId="77777777" w:rsidTr="7753F98D">
        <w:trPr>
          <w:gridAfter w:val="2"/>
          <w:wAfter w:w="175" w:type="dxa"/>
        </w:trPr>
        <w:tc>
          <w:tcPr>
            <w:tcW w:w="704" w:type="dxa"/>
          </w:tcPr>
          <w:p w14:paraId="3DA9079B" w14:textId="77777777" w:rsidR="001E1112" w:rsidRPr="00317ABF" w:rsidRDefault="001E1112" w:rsidP="00DB3BEC">
            <w:pPr>
              <w:jc w:val="both"/>
              <w:rPr>
                <w:sz w:val="22"/>
                <w:szCs w:val="22"/>
              </w:rPr>
            </w:pPr>
            <w:r w:rsidRPr="00317ABF">
              <w:rPr>
                <w:sz w:val="22"/>
                <w:szCs w:val="22"/>
              </w:rPr>
              <w:lastRenderedPageBreak/>
              <w:t>Art. 67 ust. 2</w:t>
            </w:r>
          </w:p>
        </w:tc>
        <w:tc>
          <w:tcPr>
            <w:tcW w:w="4308" w:type="dxa"/>
          </w:tcPr>
          <w:p w14:paraId="167BBFA4" w14:textId="77777777" w:rsidR="001E1112" w:rsidRPr="00317ABF" w:rsidRDefault="001E1112" w:rsidP="00DB3BEC">
            <w:pPr>
              <w:spacing w:before="120"/>
              <w:jc w:val="both"/>
              <w:rPr>
                <w:sz w:val="22"/>
                <w:szCs w:val="22"/>
              </w:rPr>
            </w:pPr>
            <w:r w:rsidRPr="00317ABF">
              <w:rPr>
                <w:sz w:val="22"/>
                <w:szCs w:val="22"/>
              </w:rPr>
              <w:t>2.   Przeprowadzając analizę wymaganą na podstawie ust. 1, krajowy organ regulacyjny analizuje rozwój sytuacji rynkowej w ujęciu perspektywicznym, przy założeniu braku regulacji wprowadzonej na podstawie niniejszego artykułu na rynku właściwym, z uwzględnieniem wszystkich następujących elementów:</w:t>
            </w:r>
          </w:p>
          <w:tbl>
            <w:tblPr>
              <w:tblW w:w="5000" w:type="pct"/>
              <w:tblCellSpacing w:w="0" w:type="dxa"/>
              <w:tblLayout w:type="fixed"/>
              <w:tblCellMar>
                <w:left w:w="0" w:type="dxa"/>
                <w:right w:w="0" w:type="dxa"/>
              </w:tblCellMar>
              <w:tblLook w:val="04A0" w:firstRow="1" w:lastRow="0" w:firstColumn="1" w:lastColumn="0" w:noHBand="0" w:noVBand="1"/>
            </w:tblPr>
            <w:tblGrid>
              <w:gridCol w:w="20"/>
              <w:gridCol w:w="4148"/>
            </w:tblGrid>
            <w:tr w:rsidR="001E1112" w:rsidRPr="00317ABF" w14:paraId="469B8612" w14:textId="77777777" w:rsidTr="001D28BB">
              <w:trPr>
                <w:tblCellSpacing w:w="0" w:type="dxa"/>
              </w:trPr>
              <w:tc>
                <w:tcPr>
                  <w:tcW w:w="6" w:type="dxa"/>
                  <w:hideMark/>
                </w:tcPr>
                <w:p w14:paraId="4CCFD793" w14:textId="77777777" w:rsidR="001E1112" w:rsidRPr="00317ABF" w:rsidRDefault="001E1112" w:rsidP="00EE0AC3">
                  <w:pPr>
                    <w:framePr w:hSpace="141" w:wrap="around" w:vAnchor="text" w:hAnchor="text" w:xAlign="right" w:y="1"/>
                    <w:spacing w:before="120"/>
                    <w:suppressOverlap/>
                    <w:jc w:val="both"/>
                    <w:rPr>
                      <w:sz w:val="22"/>
                      <w:szCs w:val="22"/>
                    </w:rPr>
                  </w:pPr>
                </w:p>
              </w:tc>
              <w:tc>
                <w:tcPr>
                  <w:tcW w:w="9066" w:type="dxa"/>
                  <w:hideMark/>
                </w:tcPr>
                <w:p w14:paraId="097AB0CD" w14:textId="77777777" w:rsidR="001E1112" w:rsidRPr="00317ABF" w:rsidRDefault="001E1112" w:rsidP="00EE0AC3">
                  <w:pPr>
                    <w:framePr w:hSpace="141" w:wrap="around" w:vAnchor="text" w:hAnchor="text" w:xAlign="right" w:y="1"/>
                    <w:numPr>
                      <w:ilvl w:val="0"/>
                      <w:numId w:val="57"/>
                    </w:numPr>
                    <w:spacing w:before="120"/>
                    <w:suppressOverlap/>
                    <w:jc w:val="both"/>
                    <w:rPr>
                      <w:sz w:val="22"/>
                      <w:szCs w:val="22"/>
                    </w:rPr>
                  </w:pPr>
                  <w:r w:rsidRPr="00317ABF">
                    <w:rPr>
                      <w:sz w:val="22"/>
                      <w:szCs w:val="22"/>
                    </w:rPr>
                    <w:t>zmian sytuacji rynkowej mających wpływ na prawdopodobieństwo tego, że sytuacja na rynku właściwym będzie zmierzać w kierunku efektywnej konkurencji;</w:t>
                  </w:r>
                </w:p>
              </w:tc>
            </w:tr>
          </w:tbl>
          <w:p w14:paraId="078FBDF2" w14:textId="77777777" w:rsidR="001E1112" w:rsidRPr="00317ABF" w:rsidRDefault="001E1112" w:rsidP="00DB3BEC">
            <w:pPr>
              <w:jc w:val="both"/>
              <w:rPr>
                <w:vanish/>
                <w:sz w:val="22"/>
                <w:szCs w:val="22"/>
              </w:rPr>
            </w:pPr>
          </w:p>
          <w:tbl>
            <w:tblPr>
              <w:tblW w:w="5000" w:type="pct"/>
              <w:tblCellSpacing w:w="0" w:type="dxa"/>
              <w:tblLayout w:type="fixed"/>
              <w:tblCellMar>
                <w:left w:w="0" w:type="dxa"/>
                <w:right w:w="0" w:type="dxa"/>
              </w:tblCellMar>
              <w:tblLook w:val="04A0" w:firstRow="1" w:lastRow="0" w:firstColumn="1" w:lastColumn="0" w:noHBand="0" w:noVBand="1"/>
            </w:tblPr>
            <w:tblGrid>
              <w:gridCol w:w="20"/>
              <w:gridCol w:w="4148"/>
            </w:tblGrid>
            <w:tr w:rsidR="001E1112" w:rsidRPr="00317ABF" w14:paraId="29CE2BCB" w14:textId="77777777" w:rsidTr="001D28BB">
              <w:trPr>
                <w:tblCellSpacing w:w="0" w:type="dxa"/>
              </w:trPr>
              <w:tc>
                <w:tcPr>
                  <w:tcW w:w="6" w:type="dxa"/>
                  <w:hideMark/>
                </w:tcPr>
                <w:p w14:paraId="5613F765" w14:textId="77777777" w:rsidR="001E1112" w:rsidRPr="00317ABF" w:rsidRDefault="001E1112" w:rsidP="00EE0AC3">
                  <w:pPr>
                    <w:framePr w:hSpace="141" w:wrap="around" w:vAnchor="text" w:hAnchor="text" w:xAlign="right" w:y="1"/>
                    <w:spacing w:before="120"/>
                    <w:suppressOverlap/>
                    <w:jc w:val="both"/>
                    <w:rPr>
                      <w:sz w:val="22"/>
                      <w:szCs w:val="22"/>
                    </w:rPr>
                  </w:pPr>
                </w:p>
              </w:tc>
              <w:tc>
                <w:tcPr>
                  <w:tcW w:w="9066" w:type="dxa"/>
                  <w:hideMark/>
                </w:tcPr>
                <w:p w14:paraId="4B7CE28A" w14:textId="77777777" w:rsidR="001E1112" w:rsidRPr="00317ABF" w:rsidRDefault="001E1112" w:rsidP="00EE0AC3">
                  <w:pPr>
                    <w:framePr w:hSpace="141" w:wrap="around" w:vAnchor="text" w:hAnchor="text" w:xAlign="right" w:y="1"/>
                    <w:numPr>
                      <w:ilvl w:val="0"/>
                      <w:numId w:val="57"/>
                    </w:numPr>
                    <w:spacing w:before="120"/>
                    <w:suppressOverlap/>
                    <w:jc w:val="both"/>
                    <w:rPr>
                      <w:sz w:val="22"/>
                      <w:szCs w:val="22"/>
                    </w:rPr>
                  </w:pPr>
                  <w:r w:rsidRPr="00317ABF">
                    <w:rPr>
                      <w:sz w:val="22"/>
                      <w:szCs w:val="22"/>
                    </w:rPr>
                    <w:t xml:space="preserve">wszelkich istotnych źródeł presji konkurencji, na poziomie hurtowym i detalicznym, niezależnie od tego, czy za źródło tej presji uznaje się sieci łączności elektronicznej, usługi łączności elektronicznej czy też inne </w:t>
                  </w:r>
                  <w:r w:rsidRPr="00317ABF">
                    <w:rPr>
                      <w:sz w:val="22"/>
                      <w:szCs w:val="22"/>
                    </w:rPr>
                    <w:lastRenderedPageBreak/>
                    <w:t>rodzaje usług lub rozwiązań, które są porównywalne z perspektywy użytkownika końcowego, i niezależnie od tego, czy tego rodzaju presja stanowi element rynku właściwego;</w:t>
                  </w:r>
                </w:p>
              </w:tc>
            </w:tr>
          </w:tbl>
          <w:p w14:paraId="3E918739" w14:textId="77777777" w:rsidR="001E1112" w:rsidRPr="00317ABF" w:rsidRDefault="001E1112" w:rsidP="00DB3BEC">
            <w:pPr>
              <w:jc w:val="both"/>
              <w:rPr>
                <w:vanish/>
                <w:sz w:val="22"/>
                <w:szCs w:val="22"/>
              </w:rPr>
            </w:pPr>
          </w:p>
          <w:tbl>
            <w:tblPr>
              <w:tblW w:w="5000" w:type="pct"/>
              <w:tblCellSpacing w:w="0" w:type="dxa"/>
              <w:tblLayout w:type="fixed"/>
              <w:tblCellMar>
                <w:left w:w="0" w:type="dxa"/>
                <w:right w:w="0" w:type="dxa"/>
              </w:tblCellMar>
              <w:tblLook w:val="04A0" w:firstRow="1" w:lastRow="0" w:firstColumn="1" w:lastColumn="0" w:noHBand="0" w:noVBand="1"/>
            </w:tblPr>
            <w:tblGrid>
              <w:gridCol w:w="20"/>
              <w:gridCol w:w="4148"/>
            </w:tblGrid>
            <w:tr w:rsidR="001E1112" w:rsidRPr="00317ABF" w14:paraId="03A90D58" w14:textId="77777777" w:rsidTr="001D28BB">
              <w:trPr>
                <w:tblCellSpacing w:w="0" w:type="dxa"/>
              </w:trPr>
              <w:tc>
                <w:tcPr>
                  <w:tcW w:w="6" w:type="dxa"/>
                  <w:hideMark/>
                </w:tcPr>
                <w:p w14:paraId="3E044A93" w14:textId="77777777" w:rsidR="001E1112" w:rsidRPr="00317ABF" w:rsidRDefault="001E1112" w:rsidP="00EE0AC3">
                  <w:pPr>
                    <w:framePr w:hSpace="141" w:wrap="around" w:vAnchor="text" w:hAnchor="text" w:xAlign="right" w:y="1"/>
                    <w:spacing w:before="120"/>
                    <w:suppressOverlap/>
                    <w:jc w:val="both"/>
                    <w:rPr>
                      <w:sz w:val="22"/>
                      <w:szCs w:val="22"/>
                    </w:rPr>
                  </w:pPr>
                </w:p>
              </w:tc>
              <w:tc>
                <w:tcPr>
                  <w:tcW w:w="9066" w:type="dxa"/>
                  <w:hideMark/>
                </w:tcPr>
                <w:p w14:paraId="05A50015" w14:textId="77777777" w:rsidR="001E1112" w:rsidRPr="00317ABF" w:rsidRDefault="001E1112" w:rsidP="00EE0AC3">
                  <w:pPr>
                    <w:framePr w:hSpace="141" w:wrap="around" w:vAnchor="text" w:hAnchor="text" w:xAlign="right" w:y="1"/>
                    <w:numPr>
                      <w:ilvl w:val="0"/>
                      <w:numId w:val="57"/>
                    </w:numPr>
                    <w:spacing w:before="120"/>
                    <w:suppressOverlap/>
                    <w:jc w:val="both"/>
                    <w:rPr>
                      <w:sz w:val="22"/>
                      <w:szCs w:val="22"/>
                    </w:rPr>
                  </w:pPr>
                  <w:r w:rsidRPr="00317ABF">
                    <w:rPr>
                      <w:sz w:val="22"/>
                      <w:szCs w:val="22"/>
                    </w:rPr>
                    <w:t>innych rodzajów regulacji i środków wprowadzonych i wpływających na rynek właściwy lub powiązany rynek detaliczny (powiązane rynki detaliczne) w danym okresie, w tym m.in. obowiązków nałożonych zgodnie z art. 44, 60 i 61;</w:t>
                  </w:r>
                </w:p>
              </w:tc>
            </w:tr>
          </w:tbl>
          <w:p w14:paraId="7D74551D" w14:textId="77777777" w:rsidR="001E1112" w:rsidRPr="00317ABF" w:rsidRDefault="001E1112" w:rsidP="00DB3BEC">
            <w:pPr>
              <w:jc w:val="both"/>
              <w:rPr>
                <w:vanish/>
                <w:sz w:val="22"/>
                <w:szCs w:val="22"/>
              </w:rPr>
            </w:pPr>
          </w:p>
          <w:tbl>
            <w:tblPr>
              <w:tblW w:w="5000" w:type="pct"/>
              <w:tblCellSpacing w:w="0" w:type="dxa"/>
              <w:tblLayout w:type="fixed"/>
              <w:tblCellMar>
                <w:left w:w="0" w:type="dxa"/>
                <w:right w:w="0" w:type="dxa"/>
              </w:tblCellMar>
              <w:tblLook w:val="04A0" w:firstRow="1" w:lastRow="0" w:firstColumn="1" w:lastColumn="0" w:noHBand="0" w:noVBand="1"/>
            </w:tblPr>
            <w:tblGrid>
              <w:gridCol w:w="20"/>
              <w:gridCol w:w="4148"/>
            </w:tblGrid>
            <w:tr w:rsidR="001E1112" w:rsidRPr="00317ABF" w14:paraId="65E3651E" w14:textId="77777777" w:rsidTr="001D28BB">
              <w:trPr>
                <w:tblCellSpacing w:w="0" w:type="dxa"/>
              </w:trPr>
              <w:tc>
                <w:tcPr>
                  <w:tcW w:w="7" w:type="dxa"/>
                  <w:hideMark/>
                </w:tcPr>
                <w:p w14:paraId="46C5CB7E" w14:textId="77777777" w:rsidR="001E1112" w:rsidRPr="00317ABF" w:rsidRDefault="001E1112" w:rsidP="00EE0AC3">
                  <w:pPr>
                    <w:framePr w:hSpace="141" w:wrap="around" w:vAnchor="text" w:hAnchor="text" w:xAlign="right" w:y="1"/>
                    <w:spacing w:before="120"/>
                    <w:suppressOverlap/>
                    <w:jc w:val="both"/>
                    <w:rPr>
                      <w:sz w:val="22"/>
                      <w:szCs w:val="22"/>
                    </w:rPr>
                  </w:pPr>
                </w:p>
              </w:tc>
              <w:tc>
                <w:tcPr>
                  <w:tcW w:w="9065" w:type="dxa"/>
                  <w:hideMark/>
                </w:tcPr>
                <w:p w14:paraId="086A02AE" w14:textId="77777777" w:rsidR="001E1112" w:rsidRPr="00317ABF" w:rsidRDefault="001E1112" w:rsidP="00EE0AC3">
                  <w:pPr>
                    <w:framePr w:hSpace="141" w:wrap="around" w:vAnchor="text" w:hAnchor="text" w:xAlign="right" w:y="1"/>
                    <w:numPr>
                      <w:ilvl w:val="0"/>
                      <w:numId w:val="57"/>
                    </w:numPr>
                    <w:spacing w:before="120"/>
                    <w:suppressOverlap/>
                    <w:jc w:val="both"/>
                    <w:rPr>
                      <w:sz w:val="22"/>
                      <w:szCs w:val="22"/>
                    </w:rPr>
                  </w:pPr>
                  <w:r w:rsidRPr="00317ABF">
                    <w:rPr>
                      <w:sz w:val="22"/>
                      <w:szCs w:val="22"/>
                    </w:rPr>
                    <w:t>obowiązki nałożone na innych rynkach właściwych na podstawie niniejszego artykułu.</w:t>
                  </w:r>
                </w:p>
              </w:tc>
            </w:tr>
          </w:tbl>
          <w:p w14:paraId="6BBD1561" w14:textId="77777777" w:rsidR="001E1112" w:rsidRPr="00317ABF" w:rsidRDefault="001E1112" w:rsidP="00DB3BEC">
            <w:pPr>
              <w:spacing w:before="120"/>
              <w:jc w:val="both"/>
              <w:rPr>
                <w:sz w:val="22"/>
                <w:szCs w:val="22"/>
              </w:rPr>
            </w:pPr>
          </w:p>
        </w:tc>
        <w:tc>
          <w:tcPr>
            <w:tcW w:w="986" w:type="dxa"/>
          </w:tcPr>
          <w:p w14:paraId="72D49680" w14:textId="08607B43" w:rsidR="001E1112" w:rsidRPr="00317ABF" w:rsidRDefault="001E1112" w:rsidP="00DB3BEC">
            <w:pPr>
              <w:jc w:val="both"/>
              <w:rPr>
                <w:sz w:val="22"/>
                <w:szCs w:val="22"/>
              </w:rPr>
            </w:pPr>
            <w:r w:rsidRPr="00317ABF">
              <w:rPr>
                <w:sz w:val="22"/>
                <w:szCs w:val="22"/>
              </w:rPr>
              <w:lastRenderedPageBreak/>
              <w:t>T</w:t>
            </w:r>
          </w:p>
        </w:tc>
        <w:tc>
          <w:tcPr>
            <w:tcW w:w="910" w:type="dxa"/>
          </w:tcPr>
          <w:p w14:paraId="02CFD307" w14:textId="182FB644" w:rsidR="001E1112" w:rsidRPr="00317ABF" w:rsidRDefault="001E1112" w:rsidP="00DB3BEC">
            <w:pPr>
              <w:pStyle w:val="Tekstpodstawowy"/>
              <w:rPr>
                <w:b/>
                <w:bCs/>
                <w:noProof/>
                <w:sz w:val="22"/>
                <w:szCs w:val="22"/>
              </w:rPr>
            </w:pPr>
            <w:r w:rsidRPr="00317ABF">
              <w:rPr>
                <w:b/>
                <w:bCs/>
                <w:noProof/>
                <w:sz w:val="22"/>
                <w:szCs w:val="22"/>
              </w:rPr>
              <w:t xml:space="preserve">Art. </w:t>
            </w:r>
            <w:r w:rsidR="007059B5" w:rsidRPr="00317ABF">
              <w:rPr>
                <w:b/>
                <w:bCs/>
                <w:noProof/>
                <w:sz w:val="22"/>
                <w:szCs w:val="22"/>
              </w:rPr>
              <w:t>200</w:t>
            </w:r>
          </w:p>
        </w:tc>
        <w:tc>
          <w:tcPr>
            <w:tcW w:w="6814" w:type="dxa"/>
            <w:gridSpan w:val="2"/>
          </w:tcPr>
          <w:p w14:paraId="32D6072E" w14:textId="77777777" w:rsidR="007059B5" w:rsidRPr="00317ABF" w:rsidRDefault="007059B5" w:rsidP="007059B5">
            <w:pPr>
              <w:ind w:firstLine="510"/>
              <w:jc w:val="both"/>
              <w:rPr>
                <w:sz w:val="22"/>
                <w:szCs w:val="22"/>
              </w:rPr>
            </w:pPr>
            <w:r w:rsidRPr="00317ABF">
              <w:rPr>
                <w:sz w:val="22"/>
                <w:szCs w:val="22"/>
              </w:rPr>
              <w:t>Art. 200.  Przeprowadzając analizę, o której mowa w art. 197 ust. 1, Prezes UKE bada rozwój sytuacji rynkowej w ujęciu perspektywicznym, przy założeniu braku nałożonych obowiązków regulacyjnych na rynku właściwym, z uwzględnieniem wszystkich następujących elementów:</w:t>
            </w:r>
          </w:p>
          <w:p w14:paraId="57DE3D7C" w14:textId="77777777" w:rsidR="007059B5" w:rsidRPr="00317ABF" w:rsidRDefault="007059B5" w:rsidP="007059B5">
            <w:pPr>
              <w:ind w:firstLine="510"/>
              <w:jc w:val="both"/>
              <w:rPr>
                <w:sz w:val="22"/>
                <w:szCs w:val="22"/>
              </w:rPr>
            </w:pPr>
            <w:r w:rsidRPr="00317ABF">
              <w:rPr>
                <w:sz w:val="22"/>
                <w:szCs w:val="22"/>
              </w:rPr>
              <w:t>1)</w:t>
            </w:r>
            <w:r w:rsidRPr="00317ABF">
              <w:rPr>
                <w:sz w:val="22"/>
                <w:szCs w:val="22"/>
              </w:rPr>
              <w:tab/>
              <w:t>zmian sytuacji rynkowej mających wpływ na prawdopodobieństwo tego, że sytuacja na rynku właściwym będzie zmierzać w kierunku efektywnej konkurencji;</w:t>
            </w:r>
          </w:p>
          <w:p w14:paraId="03E9ACB8" w14:textId="77777777" w:rsidR="007059B5" w:rsidRPr="00317ABF" w:rsidRDefault="007059B5" w:rsidP="007059B5">
            <w:pPr>
              <w:ind w:firstLine="510"/>
              <w:jc w:val="both"/>
              <w:rPr>
                <w:sz w:val="22"/>
                <w:szCs w:val="22"/>
              </w:rPr>
            </w:pPr>
            <w:r w:rsidRPr="00317ABF">
              <w:rPr>
                <w:sz w:val="22"/>
                <w:szCs w:val="22"/>
              </w:rPr>
              <w:t>2)</w:t>
            </w:r>
            <w:r w:rsidRPr="00317ABF">
              <w:rPr>
                <w:sz w:val="22"/>
                <w:szCs w:val="22"/>
              </w:rPr>
              <w:tab/>
              <w:t>wszelkich istotnych źródeł presji konkurencji, na poziomie hurtowym i detalicznym, niezależnie od tego, czy za źródło tej presji uznaje się sieci telekomunikacyjne, usługi komunikacji elektronicznej czy też inne rodzaje usług lub rozwiązań, które są porównywalne z perspektywy użytkownika końcowego, i niezależnie od tego, czy tego rodzaju presja stanowi element rynku właściwego;</w:t>
            </w:r>
          </w:p>
          <w:p w14:paraId="3693CD2F" w14:textId="77777777" w:rsidR="007059B5" w:rsidRPr="00317ABF" w:rsidRDefault="007059B5" w:rsidP="007059B5">
            <w:pPr>
              <w:ind w:firstLine="510"/>
              <w:jc w:val="both"/>
              <w:rPr>
                <w:sz w:val="22"/>
                <w:szCs w:val="22"/>
              </w:rPr>
            </w:pPr>
            <w:r w:rsidRPr="00317ABF">
              <w:rPr>
                <w:sz w:val="22"/>
                <w:szCs w:val="22"/>
              </w:rPr>
              <w:t>3)</w:t>
            </w:r>
            <w:r w:rsidRPr="00317ABF">
              <w:rPr>
                <w:sz w:val="22"/>
                <w:szCs w:val="22"/>
              </w:rPr>
              <w:tab/>
              <w:t>innych rodzajów regulacji i środków wprowadzonych i wpływających na rynek właściwy lub powiązany rynek detaliczny (powiązane rynki detaliczne) w danym okresie, w tym obowiązków, o których mowa w art. 169 ust. 1, art. 174 ust. 1, art. 175 ust. 1,  art. 178 ust. 1, art. 179 ust. 1, art. 180 ust. 1 i art. 181 ust. 1;</w:t>
            </w:r>
          </w:p>
          <w:p w14:paraId="53C063DA" w14:textId="5F3362B5" w:rsidR="001E1112" w:rsidRPr="00317ABF" w:rsidRDefault="001E1112" w:rsidP="00DB3BEC">
            <w:pPr>
              <w:jc w:val="both"/>
              <w:rPr>
                <w:sz w:val="22"/>
                <w:szCs w:val="22"/>
              </w:rPr>
            </w:pPr>
            <w:r w:rsidRPr="00317ABF">
              <w:rPr>
                <w:sz w:val="22"/>
                <w:szCs w:val="22"/>
              </w:rPr>
              <w:t>4)</w:t>
            </w:r>
            <w:r w:rsidR="007059B5" w:rsidRPr="00317ABF">
              <w:rPr>
                <w:sz w:val="22"/>
                <w:szCs w:val="22"/>
              </w:rPr>
              <w:tab/>
            </w:r>
            <w:r w:rsidRPr="00317ABF">
              <w:rPr>
                <w:sz w:val="22"/>
                <w:szCs w:val="22"/>
              </w:rPr>
              <w:t>obowiązków regulacyjnych nałożonych na innych rynkach właściwych.</w:t>
            </w:r>
          </w:p>
        </w:tc>
      </w:tr>
      <w:tr w:rsidR="001E1112" w:rsidRPr="00317ABF" w14:paraId="1B72DFC5" w14:textId="77777777" w:rsidTr="7753F98D">
        <w:trPr>
          <w:gridAfter w:val="2"/>
          <w:wAfter w:w="175" w:type="dxa"/>
        </w:trPr>
        <w:tc>
          <w:tcPr>
            <w:tcW w:w="704" w:type="dxa"/>
          </w:tcPr>
          <w:p w14:paraId="75CC9A9C" w14:textId="77777777" w:rsidR="001E1112" w:rsidRPr="00317ABF" w:rsidRDefault="001E1112" w:rsidP="00DB3BEC">
            <w:pPr>
              <w:jc w:val="both"/>
              <w:rPr>
                <w:sz w:val="22"/>
                <w:szCs w:val="22"/>
              </w:rPr>
            </w:pPr>
            <w:r w:rsidRPr="00317ABF">
              <w:rPr>
                <w:sz w:val="22"/>
                <w:szCs w:val="22"/>
              </w:rPr>
              <w:lastRenderedPageBreak/>
              <w:t>Art. 67 ust. 3</w:t>
            </w:r>
          </w:p>
        </w:tc>
        <w:tc>
          <w:tcPr>
            <w:tcW w:w="4308" w:type="dxa"/>
          </w:tcPr>
          <w:p w14:paraId="64250F4F" w14:textId="77777777" w:rsidR="001E1112" w:rsidRPr="00317ABF" w:rsidRDefault="001E1112" w:rsidP="00DB3BEC">
            <w:pPr>
              <w:spacing w:before="120"/>
              <w:jc w:val="both"/>
              <w:rPr>
                <w:sz w:val="22"/>
                <w:szCs w:val="22"/>
              </w:rPr>
            </w:pPr>
            <w:r w:rsidRPr="00317ABF">
              <w:rPr>
                <w:sz w:val="22"/>
                <w:szCs w:val="22"/>
              </w:rPr>
              <w:t>3.   Jeżeli krajowy organ regulacyjny ustali, że rynek właściwy nie jest takiego rodzaju, że uzasadnia nałożenie obowiązków regulacyjnych zgodnie z procedurą przewidzianą w ust. 1 i 2 niniejszego artykułu, lub w przypadku niespełnienia warunków określonych w ust. 4 niniejszego artykułu, nie nakłada ani nie utrzymuje żadnych szczegółowych obowiązków regulacyjnych zgodnie z art. 68. W przypadku gdy istnieją już sektorowe obowiązki regulacyjne nałożone zgodnie z art. 68, krajowy organ regulacyjny uchyla te obowiązki nałożone na przedsiębiorstwa na tym rynku właściwym.</w:t>
            </w:r>
          </w:p>
          <w:p w14:paraId="0F38971E" w14:textId="77777777" w:rsidR="001E1112" w:rsidRPr="00317ABF" w:rsidRDefault="001E1112" w:rsidP="00DB3BEC">
            <w:pPr>
              <w:spacing w:before="120"/>
              <w:jc w:val="both"/>
              <w:rPr>
                <w:sz w:val="22"/>
                <w:szCs w:val="22"/>
              </w:rPr>
            </w:pPr>
            <w:r w:rsidRPr="00317ABF">
              <w:rPr>
                <w:sz w:val="22"/>
                <w:szCs w:val="22"/>
              </w:rPr>
              <w:t xml:space="preserve">Krajowe organy regulacyjne zapewniają, aby stronom, na które takie uchylenie obowiązków będzie miało wpływ, zapewniono odpowiedni okres uchylenia, określony na podstawie wyważenia konieczności zapewnienia stabilnego procesu transformacji beneficjentom </w:t>
            </w:r>
            <w:r w:rsidRPr="00317ABF">
              <w:rPr>
                <w:sz w:val="22"/>
                <w:szCs w:val="22"/>
              </w:rPr>
              <w:lastRenderedPageBreak/>
              <w:t>tych obowiązków i użytkownikom końcowym oraz możliwości wyboru dla użytkowników końcowych, oraz aby regulacja nie trwała dłużej, niż jest to konieczne. Określając taki okres uchylenia, krajowe organy regulacyjne mogą ustalić specjalne warunki i okresy uchylenia w odniesieniu do istniejących umów w sprawie dostępu.</w:t>
            </w:r>
          </w:p>
        </w:tc>
        <w:tc>
          <w:tcPr>
            <w:tcW w:w="986" w:type="dxa"/>
          </w:tcPr>
          <w:p w14:paraId="62B8CEF2" w14:textId="1E6324DB" w:rsidR="001E1112" w:rsidRPr="00317ABF" w:rsidRDefault="001E1112" w:rsidP="00DB3BEC">
            <w:pPr>
              <w:jc w:val="both"/>
              <w:rPr>
                <w:sz w:val="22"/>
                <w:szCs w:val="22"/>
              </w:rPr>
            </w:pPr>
            <w:r w:rsidRPr="00317ABF">
              <w:rPr>
                <w:sz w:val="22"/>
                <w:szCs w:val="22"/>
              </w:rPr>
              <w:lastRenderedPageBreak/>
              <w:t>T</w:t>
            </w:r>
          </w:p>
        </w:tc>
        <w:tc>
          <w:tcPr>
            <w:tcW w:w="910" w:type="dxa"/>
          </w:tcPr>
          <w:p w14:paraId="6EB6819B" w14:textId="4FA523C2" w:rsidR="001E1112" w:rsidRPr="00317ABF" w:rsidRDefault="001E1112" w:rsidP="00DB3BEC">
            <w:pPr>
              <w:pStyle w:val="Tekstpodstawowy"/>
              <w:rPr>
                <w:b/>
                <w:bCs/>
                <w:noProof/>
                <w:sz w:val="22"/>
                <w:szCs w:val="22"/>
              </w:rPr>
            </w:pPr>
            <w:r w:rsidRPr="00317ABF">
              <w:rPr>
                <w:b/>
                <w:bCs/>
                <w:noProof/>
                <w:sz w:val="22"/>
                <w:szCs w:val="22"/>
              </w:rPr>
              <w:t xml:space="preserve">Art. </w:t>
            </w:r>
            <w:r w:rsidR="007059B5" w:rsidRPr="00317ABF">
              <w:rPr>
                <w:b/>
                <w:bCs/>
                <w:noProof/>
                <w:sz w:val="22"/>
                <w:szCs w:val="22"/>
              </w:rPr>
              <w:t>201</w:t>
            </w:r>
            <w:r w:rsidRPr="00317ABF">
              <w:rPr>
                <w:b/>
                <w:bCs/>
                <w:noProof/>
                <w:sz w:val="22"/>
                <w:szCs w:val="22"/>
              </w:rPr>
              <w:t xml:space="preserve">, art. </w:t>
            </w:r>
            <w:r w:rsidR="007059B5" w:rsidRPr="00317ABF">
              <w:rPr>
                <w:b/>
                <w:bCs/>
                <w:noProof/>
                <w:sz w:val="22"/>
                <w:szCs w:val="22"/>
              </w:rPr>
              <w:t>205</w:t>
            </w:r>
          </w:p>
        </w:tc>
        <w:tc>
          <w:tcPr>
            <w:tcW w:w="6814" w:type="dxa"/>
            <w:gridSpan w:val="2"/>
          </w:tcPr>
          <w:p w14:paraId="4B79DF2E" w14:textId="77777777" w:rsidR="007059B5" w:rsidRPr="00317ABF" w:rsidRDefault="007059B5" w:rsidP="007059B5">
            <w:pPr>
              <w:ind w:firstLine="510"/>
              <w:jc w:val="both"/>
              <w:rPr>
                <w:sz w:val="22"/>
                <w:szCs w:val="22"/>
              </w:rPr>
            </w:pPr>
            <w:r w:rsidRPr="00317ABF">
              <w:rPr>
                <w:b/>
                <w:sz w:val="22"/>
                <w:szCs w:val="22"/>
              </w:rPr>
              <w:t>Art. 201</w:t>
            </w:r>
            <w:r w:rsidRPr="00317ABF">
              <w:rPr>
                <w:sz w:val="22"/>
                <w:szCs w:val="22"/>
              </w:rPr>
              <w:t>. 1. Po przeprowadzeniu postępowania, o którym mowa w art. 199 ust. 1, Prezes UKE, w przypadku ustalenia, że na rynku właściwym nie występuje przedsiębiorca komunikacji elektronicznej o znaczącej pozycji rynkowej lub przedsiębiorcy komunikacji elektronicznej zajmujący kolektywną pozycję znaczącą wydaje decyzję, w której:</w:t>
            </w:r>
          </w:p>
          <w:p w14:paraId="1D73C90C" w14:textId="77777777" w:rsidR="007059B5" w:rsidRPr="00317ABF" w:rsidRDefault="007059B5" w:rsidP="007059B5">
            <w:pPr>
              <w:ind w:firstLine="510"/>
              <w:jc w:val="both"/>
              <w:rPr>
                <w:sz w:val="22"/>
                <w:szCs w:val="22"/>
              </w:rPr>
            </w:pPr>
            <w:r w:rsidRPr="00317ABF">
              <w:rPr>
                <w:sz w:val="22"/>
                <w:szCs w:val="22"/>
              </w:rPr>
              <w:t>1)</w:t>
            </w:r>
            <w:r w:rsidRPr="00317ABF">
              <w:rPr>
                <w:sz w:val="22"/>
                <w:szCs w:val="22"/>
              </w:rPr>
              <w:tab/>
              <w:t>określa rynek właściwy w sposób określony w art. 199 ust. 1 pkt 1,</w:t>
            </w:r>
          </w:p>
          <w:p w14:paraId="7DF482F5" w14:textId="77777777" w:rsidR="007059B5" w:rsidRPr="00317ABF" w:rsidRDefault="007059B5" w:rsidP="007059B5">
            <w:pPr>
              <w:ind w:firstLine="510"/>
              <w:jc w:val="both"/>
              <w:rPr>
                <w:sz w:val="22"/>
                <w:szCs w:val="22"/>
              </w:rPr>
            </w:pPr>
            <w:r w:rsidRPr="00317ABF">
              <w:rPr>
                <w:sz w:val="22"/>
                <w:szCs w:val="22"/>
              </w:rPr>
              <w:t>2)</w:t>
            </w:r>
            <w:r w:rsidRPr="00317ABF">
              <w:rPr>
                <w:sz w:val="22"/>
                <w:szCs w:val="22"/>
              </w:rPr>
              <w:tab/>
              <w:t>stwierdza, że na tym rynku właściwym występuje skuteczna konkurencja,</w:t>
            </w:r>
          </w:p>
          <w:p w14:paraId="2850FAA6" w14:textId="77777777" w:rsidR="007059B5" w:rsidRPr="00317ABF" w:rsidRDefault="007059B5" w:rsidP="007059B5">
            <w:pPr>
              <w:ind w:firstLine="510"/>
              <w:jc w:val="both"/>
              <w:rPr>
                <w:sz w:val="22"/>
                <w:szCs w:val="22"/>
              </w:rPr>
            </w:pPr>
            <w:r w:rsidRPr="00317ABF">
              <w:rPr>
                <w:sz w:val="22"/>
                <w:szCs w:val="22"/>
              </w:rPr>
              <w:t>3)</w:t>
            </w:r>
            <w:r w:rsidRPr="00317ABF">
              <w:rPr>
                <w:sz w:val="22"/>
                <w:szCs w:val="22"/>
              </w:rPr>
              <w:tab/>
              <w:t>uchyla nałożone obowiązki regulacyjne, jeżeli na tym rynku właściwym występował przedsiębiorca komunikacji elektronicznej o znaczącej pozycji rynkowej lub przedsiębiorcy komunikacji elektronicznej zajmujący kolektywną pozycję znaczącą, którzy utracili tę pozycję.</w:t>
            </w:r>
          </w:p>
          <w:p w14:paraId="36EF6FFD" w14:textId="45AC7FB5" w:rsidR="001E1112" w:rsidRPr="00317ABF" w:rsidRDefault="001E1112" w:rsidP="00DB3BEC">
            <w:pPr>
              <w:ind w:firstLine="510"/>
              <w:jc w:val="both"/>
              <w:rPr>
                <w:sz w:val="22"/>
                <w:szCs w:val="22"/>
              </w:rPr>
            </w:pPr>
            <w:r w:rsidRPr="00317ABF">
              <w:rPr>
                <w:sz w:val="22"/>
                <w:szCs w:val="22"/>
              </w:rPr>
              <w:t>2. Prezes UKE w decyzji, o której mowa w ust. 1, określa odpowiedni termin uchylenia obowiązków regulacyjnych, uwzględniający sytuację działających na rynku przedsiębiorców komunikacji elektronicznej oraz użytkowników końcowych, a także zapewniając tym użytkownikom możliwość wyboru usług. Prezes UKE może w decyzji, o której mowa w ust. 1, określić szczegółowe warunki i termin uchylenia obowiązków regulacyjnych w odniesieniu do obowiązujących umów o dostępie.4. Decyzję, o której mowa w ust. 1, udostępnia się na stronie podmiotowej BIP UKE.</w:t>
            </w:r>
          </w:p>
          <w:p w14:paraId="031EBE1A" w14:textId="083DDE5D" w:rsidR="001E1112" w:rsidRPr="00317ABF" w:rsidRDefault="001E1112" w:rsidP="00DB3BEC">
            <w:pPr>
              <w:jc w:val="both"/>
              <w:rPr>
                <w:sz w:val="22"/>
                <w:szCs w:val="22"/>
              </w:rPr>
            </w:pPr>
          </w:p>
          <w:p w14:paraId="6C119C8D" w14:textId="77777777" w:rsidR="007059B5" w:rsidRPr="00317ABF" w:rsidRDefault="007059B5" w:rsidP="007059B5">
            <w:pPr>
              <w:jc w:val="both"/>
              <w:rPr>
                <w:sz w:val="22"/>
                <w:szCs w:val="22"/>
              </w:rPr>
            </w:pPr>
            <w:r w:rsidRPr="00317ABF">
              <w:rPr>
                <w:b/>
                <w:sz w:val="22"/>
                <w:szCs w:val="22"/>
              </w:rPr>
              <w:t>Art. 205.</w:t>
            </w:r>
            <w:r w:rsidRPr="00317ABF">
              <w:rPr>
                <w:sz w:val="22"/>
                <w:szCs w:val="22"/>
              </w:rPr>
              <w:t xml:space="preserve"> 1. Jeżeli przed wydaniem decyzji, o której mowa w art. 202, na tym samym rynku właściwym występował przedsiębiorca komunikacji elektronicznej o znaczącej pozycji rynkowej lub przedsiębiorcy komunikacji elektronicznej zajmujący kolektywną pozycję znaczącą, którzy utracili tę pozycję, Prezes UKE, w drodze decyzji, określa termin uchylenia obowiązków regulacyjnych, uwzględniając sytuację działających na rynku przedsiębiorców komunikacji elektronicznej oraz użytkowników końcowych, a także zapewniając tym użytkownikom możliwość wyboru usług.</w:t>
            </w:r>
          </w:p>
          <w:p w14:paraId="52E75599" w14:textId="7685F5E4" w:rsidR="001E1112" w:rsidRPr="00317ABF" w:rsidRDefault="001E1112" w:rsidP="007059B5">
            <w:pPr>
              <w:jc w:val="both"/>
              <w:rPr>
                <w:sz w:val="22"/>
                <w:szCs w:val="22"/>
              </w:rPr>
            </w:pPr>
            <w:r w:rsidRPr="00317ABF">
              <w:rPr>
                <w:sz w:val="22"/>
                <w:szCs w:val="22"/>
              </w:rPr>
              <w:t>2. Prezes UKE może w decyzji, o której mowa w ust. 1, określić szczegółowe warunki i termin uchylenia obowiązków regulacyjnych w odniesieniu do obowiązujących umów o dostępie.</w:t>
            </w:r>
          </w:p>
          <w:p w14:paraId="7867F1E3" w14:textId="3D87CE85" w:rsidR="001E1112" w:rsidRPr="00317ABF" w:rsidRDefault="001E1112" w:rsidP="00DB3BEC">
            <w:pPr>
              <w:ind w:firstLine="510"/>
              <w:jc w:val="both"/>
              <w:rPr>
                <w:sz w:val="22"/>
                <w:szCs w:val="22"/>
              </w:rPr>
            </w:pPr>
            <w:r w:rsidRPr="00317ABF">
              <w:rPr>
                <w:sz w:val="22"/>
                <w:szCs w:val="22"/>
              </w:rPr>
              <w:t>3. Decyzję, o której mowa w ust. 1, udostępnia się na stronie podmiotowej BIP UKE.</w:t>
            </w:r>
          </w:p>
        </w:tc>
      </w:tr>
      <w:tr w:rsidR="001E1112" w:rsidRPr="00317ABF" w14:paraId="44E06AF1" w14:textId="77777777" w:rsidTr="7753F98D">
        <w:trPr>
          <w:gridAfter w:val="2"/>
          <w:wAfter w:w="175" w:type="dxa"/>
        </w:trPr>
        <w:tc>
          <w:tcPr>
            <w:tcW w:w="704" w:type="dxa"/>
          </w:tcPr>
          <w:p w14:paraId="73D6E7D6" w14:textId="77777777" w:rsidR="001E1112" w:rsidRPr="00317ABF" w:rsidRDefault="001E1112" w:rsidP="00DB3BEC">
            <w:pPr>
              <w:jc w:val="both"/>
              <w:rPr>
                <w:sz w:val="22"/>
                <w:szCs w:val="22"/>
              </w:rPr>
            </w:pPr>
            <w:r w:rsidRPr="00317ABF">
              <w:rPr>
                <w:sz w:val="22"/>
                <w:szCs w:val="22"/>
              </w:rPr>
              <w:lastRenderedPageBreak/>
              <w:t>Art. 67 ust. 4</w:t>
            </w:r>
          </w:p>
        </w:tc>
        <w:tc>
          <w:tcPr>
            <w:tcW w:w="4308" w:type="dxa"/>
          </w:tcPr>
          <w:p w14:paraId="5BCD4911" w14:textId="77777777" w:rsidR="001E1112" w:rsidRPr="00317ABF" w:rsidRDefault="001E1112" w:rsidP="00DB3BEC">
            <w:pPr>
              <w:spacing w:before="120"/>
              <w:jc w:val="both"/>
              <w:rPr>
                <w:sz w:val="22"/>
                <w:szCs w:val="22"/>
              </w:rPr>
            </w:pPr>
            <w:r w:rsidRPr="00317ABF">
              <w:rPr>
                <w:sz w:val="22"/>
                <w:szCs w:val="22"/>
              </w:rPr>
              <w:t>4.   W przypadku gdy krajowy organ regulacyjny ustali, że na rynku właściwym uzasadnione jest nałożenie obowiązków regulacyjnych zgodnie z ust. 1 i 2 niniejszego artykułu, wskazuje on przedsiębiorstwa, które samodzielnie lub wspólnie z innymi posiadają znaczącą pozycję na tym właściwym rynku, zgodnie z art. 63. Krajowy organ regulacyjny nakłada na takie przedsiębiorstwa odpowiednie szczególne obowiązki regulacyjne zgodnie z art. 68 lub utrzymuje lub zmienia już istniejące obowiązki, jeżeli uzna, że w przypadku braku tych obowiązków rezultatem dla użytkowników końcowych nie byłaby skuteczna konkurencja.</w:t>
            </w:r>
          </w:p>
        </w:tc>
        <w:tc>
          <w:tcPr>
            <w:tcW w:w="986" w:type="dxa"/>
          </w:tcPr>
          <w:p w14:paraId="286A78DC" w14:textId="604B6462" w:rsidR="001E1112" w:rsidRPr="00317ABF" w:rsidRDefault="001E1112" w:rsidP="00DB3BEC">
            <w:pPr>
              <w:jc w:val="both"/>
              <w:rPr>
                <w:sz w:val="22"/>
                <w:szCs w:val="22"/>
              </w:rPr>
            </w:pPr>
            <w:r w:rsidRPr="00317ABF">
              <w:rPr>
                <w:sz w:val="22"/>
                <w:szCs w:val="22"/>
              </w:rPr>
              <w:t>T</w:t>
            </w:r>
          </w:p>
        </w:tc>
        <w:tc>
          <w:tcPr>
            <w:tcW w:w="910" w:type="dxa"/>
          </w:tcPr>
          <w:p w14:paraId="750E2CAE" w14:textId="30020AFB" w:rsidR="001E1112" w:rsidRPr="00317ABF" w:rsidRDefault="001E1112" w:rsidP="00DB3BEC">
            <w:pPr>
              <w:pStyle w:val="Tekstpodstawowy"/>
              <w:rPr>
                <w:b/>
                <w:bCs/>
                <w:noProof/>
                <w:sz w:val="22"/>
                <w:szCs w:val="22"/>
              </w:rPr>
            </w:pPr>
            <w:r w:rsidRPr="00317ABF">
              <w:rPr>
                <w:b/>
                <w:bCs/>
                <w:noProof/>
                <w:sz w:val="22"/>
                <w:szCs w:val="22"/>
              </w:rPr>
              <w:t xml:space="preserve">Art. </w:t>
            </w:r>
            <w:r w:rsidR="00826B56" w:rsidRPr="00317ABF">
              <w:rPr>
                <w:b/>
                <w:bCs/>
                <w:noProof/>
                <w:sz w:val="22"/>
                <w:szCs w:val="22"/>
              </w:rPr>
              <w:t>202</w:t>
            </w:r>
          </w:p>
        </w:tc>
        <w:tc>
          <w:tcPr>
            <w:tcW w:w="6814" w:type="dxa"/>
            <w:gridSpan w:val="2"/>
          </w:tcPr>
          <w:p w14:paraId="6C617008" w14:textId="77777777" w:rsidR="00826B56" w:rsidRPr="00317ABF" w:rsidRDefault="00826B56" w:rsidP="00826B56">
            <w:pPr>
              <w:ind w:firstLine="510"/>
              <w:jc w:val="both"/>
              <w:rPr>
                <w:sz w:val="22"/>
                <w:szCs w:val="22"/>
              </w:rPr>
            </w:pPr>
            <w:r w:rsidRPr="00317ABF">
              <w:rPr>
                <w:sz w:val="22"/>
                <w:szCs w:val="22"/>
              </w:rPr>
              <w:t>Art. 202. Po przeprowadzeniu postępowania, o którym mowa w art. 199 ust. 1, Prezes UKE, w przypadku ustalenia, że na rynku właściwym występuje przedsiębiorca komunikacji elektronicznej o znaczącej pozycji rynkowej lub przedsiębiorcy komunikacji elektronicznej zajmujący kolektywną pozycję znaczącą, wydaje decyzję, w której:</w:t>
            </w:r>
          </w:p>
          <w:p w14:paraId="7113C4AF" w14:textId="77777777" w:rsidR="00826B56" w:rsidRPr="00317ABF" w:rsidRDefault="00826B56" w:rsidP="00826B56">
            <w:pPr>
              <w:ind w:firstLine="510"/>
              <w:jc w:val="both"/>
              <w:rPr>
                <w:sz w:val="22"/>
                <w:szCs w:val="22"/>
              </w:rPr>
            </w:pPr>
            <w:r w:rsidRPr="00317ABF">
              <w:rPr>
                <w:sz w:val="22"/>
                <w:szCs w:val="22"/>
              </w:rPr>
              <w:t>1)</w:t>
            </w:r>
            <w:r w:rsidRPr="00317ABF">
              <w:rPr>
                <w:sz w:val="22"/>
                <w:szCs w:val="22"/>
              </w:rPr>
              <w:tab/>
              <w:t>określa rynek właściwy w sposób określony w art. 199 ust. 1 pkt 1;</w:t>
            </w:r>
          </w:p>
          <w:p w14:paraId="1E6D6F6D" w14:textId="77777777" w:rsidR="00826B56" w:rsidRPr="00317ABF" w:rsidRDefault="00826B56" w:rsidP="00826B56">
            <w:pPr>
              <w:ind w:firstLine="510"/>
              <w:jc w:val="both"/>
              <w:rPr>
                <w:sz w:val="22"/>
                <w:szCs w:val="22"/>
              </w:rPr>
            </w:pPr>
            <w:r w:rsidRPr="00317ABF">
              <w:rPr>
                <w:sz w:val="22"/>
                <w:szCs w:val="22"/>
              </w:rPr>
              <w:t>2)</w:t>
            </w:r>
            <w:r w:rsidRPr="00317ABF">
              <w:rPr>
                <w:sz w:val="22"/>
                <w:szCs w:val="22"/>
              </w:rPr>
              <w:tab/>
              <w:t>wyznacza przedsiębiorcę komunikacji elektronicznej o znaczącej pozycji rynkowej lub przedsiębiorców komunikacji elektronicznej zajmujących kolektywną pozycję znaczącą oraz:</w:t>
            </w:r>
          </w:p>
          <w:p w14:paraId="67587A31" w14:textId="77777777" w:rsidR="00826B56" w:rsidRPr="00317ABF" w:rsidRDefault="00826B56" w:rsidP="00826B56">
            <w:pPr>
              <w:ind w:firstLine="510"/>
              <w:jc w:val="both"/>
              <w:rPr>
                <w:sz w:val="22"/>
                <w:szCs w:val="22"/>
              </w:rPr>
            </w:pPr>
            <w:r w:rsidRPr="00317ABF">
              <w:rPr>
                <w:sz w:val="22"/>
                <w:szCs w:val="22"/>
              </w:rPr>
              <w:t>a)</w:t>
            </w:r>
            <w:r w:rsidRPr="00317ABF">
              <w:rPr>
                <w:sz w:val="22"/>
                <w:szCs w:val="22"/>
              </w:rPr>
              <w:tab/>
              <w:t>nakłada, utrzymuje lub zmienia obowiązki regulacyjne, biorąc pod uwagę adekwatność i proporcjonalność danego obowiązku do problemów rynkowych, których rozwiązanie służy realizacji celów określonych w art.  407 ust. 2, lub</w:t>
            </w:r>
          </w:p>
          <w:p w14:paraId="5460F3D3" w14:textId="4854A296" w:rsidR="001E1112" w:rsidRPr="00317ABF" w:rsidRDefault="001E1112" w:rsidP="00DB3BEC">
            <w:pPr>
              <w:jc w:val="both"/>
              <w:rPr>
                <w:sz w:val="22"/>
                <w:szCs w:val="22"/>
              </w:rPr>
            </w:pPr>
            <w:r w:rsidRPr="00317ABF">
              <w:rPr>
                <w:sz w:val="22"/>
                <w:szCs w:val="22"/>
              </w:rPr>
              <w:t>b)</w:t>
            </w:r>
            <w:r w:rsidR="00826B56" w:rsidRPr="00317ABF">
              <w:rPr>
                <w:sz w:val="22"/>
                <w:szCs w:val="22"/>
              </w:rPr>
              <w:tab/>
            </w:r>
            <w:r w:rsidRPr="00317ABF">
              <w:rPr>
                <w:sz w:val="22"/>
                <w:szCs w:val="22"/>
              </w:rPr>
              <w:t>uchyla nałożone obowiązki regulacyjne, jeżeli przedsiębiorca komunikacji elektronicznej lub przedsiębiorcy komunikacji elektronicznej nie utracili tej pozycji, ale warunki na rynku właściwym uzasadniają uchylenie tych obowiązków.</w:t>
            </w:r>
          </w:p>
        </w:tc>
      </w:tr>
      <w:tr w:rsidR="001E1112" w:rsidRPr="00317ABF" w14:paraId="7B9A1E7C" w14:textId="77777777" w:rsidTr="7753F98D">
        <w:trPr>
          <w:gridAfter w:val="2"/>
          <w:wAfter w:w="175" w:type="dxa"/>
        </w:trPr>
        <w:tc>
          <w:tcPr>
            <w:tcW w:w="704" w:type="dxa"/>
          </w:tcPr>
          <w:p w14:paraId="15537FC9" w14:textId="77777777" w:rsidR="001E1112" w:rsidRPr="00317ABF" w:rsidRDefault="001E1112" w:rsidP="00DB3BEC">
            <w:pPr>
              <w:jc w:val="both"/>
              <w:rPr>
                <w:sz w:val="22"/>
                <w:szCs w:val="22"/>
              </w:rPr>
            </w:pPr>
            <w:r w:rsidRPr="00317ABF">
              <w:rPr>
                <w:sz w:val="22"/>
                <w:szCs w:val="22"/>
              </w:rPr>
              <w:t>Art. 67 ust. 5</w:t>
            </w:r>
          </w:p>
        </w:tc>
        <w:tc>
          <w:tcPr>
            <w:tcW w:w="4308" w:type="dxa"/>
          </w:tcPr>
          <w:p w14:paraId="66A0E7F8" w14:textId="77777777" w:rsidR="001E1112" w:rsidRPr="00317ABF" w:rsidRDefault="001E1112" w:rsidP="00DB3BEC">
            <w:pPr>
              <w:spacing w:before="120"/>
              <w:jc w:val="both"/>
              <w:rPr>
                <w:sz w:val="22"/>
                <w:szCs w:val="22"/>
              </w:rPr>
            </w:pPr>
            <w:r w:rsidRPr="00317ABF">
              <w:rPr>
                <w:sz w:val="22"/>
                <w:szCs w:val="22"/>
              </w:rPr>
              <w:t>5.   Środki podjęte zgodnie z ust. 3 i 4 niniejszego artykułu podlegają procedurom, o których mowa w art. 23 i 32. Krajowe organy regulacyjne przeprowadzają analizę rynku właściwego i powiadamiają o odpowiednim planowanym środku zgodnie z art. 32:</w:t>
            </w:r>
          </w:p>
          <w:tbl>
            <w:tblPr>
              <w:tblW w:w="5000" w:type="pct"/>
              <w:tblCellSpacing w:w="0" w:type="dxa"/>
              <w:tblLayout w:type="fixed"/>
              <w:tblCellMar>
                <w:left w:w="0" w:type="dxa"/>
                <w:right w:w="0" w:type="dxa"/>
              </w:tblCellMar>
              <w:tblLook w:val="04A0" w:firstRow="1" w:lastRow="0" w:firstColumn="1" w:lastColumn="0" w:noHBand="0" w:noVBand="1"/>
            </w:tblPr>
            <w:tblGrid>
              <w:gridCol w:w="20"/>
              <w:gridCol w:w="4148"/>
            </w:tblGrid>
            <w:tr w:rsidR="001E1112" w:rsidRPr="00317ABF" w14:paraId="61FEAC24" w14:textId="77777777" w:rsidTr="001D28BB">
              <w:trPr>
                <w:tblCellSpacing w:w="0" w:type="dxa"/>
              </w:trPr>
              <w:tc>
                <w:tcPr>
                  <w:tcW w:w="6" w:type="dxa"/>
                  <w:hideMark/>
                </w:tcPr>
                <w:p w14:paraId="3349A8C7" w14:textId="77777777" w:rsidR="001E1112" w:rsidRPr="00317ABF" w:rsidRDefault="001E1112" w:rsidP="00EE0AC3">
                  <w:pPr>
                    <w:framePr w:hSpace="141" w:wrap="around" w:vAnchor="text" w:hAnchor="text" w:xAlign="right" w:y="1"/>
                    <w:spacing w:before="120"/>
                    <w:suppressOverlap/>
                    <w:jc w:val="both"/>
                    <w:rPr>
                      <w:sz w:val="22"/>
                      <w:szCs w:val="22"/>
                    </w:rPr>
                  </w:pPr>
                </w:p>
              </w:tc>
              <w:tc>
                <w:tcPr>
                  <w:tcW w:w="9066" w:type="dxa"/>
                  <w:hideMark/>
                </w:tcPr>
                <w:p w14:paraId="42637717" w14:textId="77777777" w:rsidR="001E1112" w:rsidRPr="00317ABF" w:rsidRDefault="001E1112" w:rsidP="00EE0AC3">
                  <w:pPr>
                    <w:framePr w:hSpace="141" w:wrap="around" w:vAnchor="text" w:hAnchor="text" w:xAlign="right" w:y="1"/>
                    <w:numPr>
                      <w:ilvl w:val="0"/>
                      <w:numId w:val="56"/>
                    </w:numPr>
                    <w:spacing w:before="120"/>
                    <w:suppressOverlap/>
                    <w:jc w:val="both"/>
                    <w:rPr>
                      <w:sz w:val="22"/>
                      <w:szCs w:val="22"/>
                    </w:rPr>
                  </w:pPr>
                  <w:r w:rsidRPr="00317ABF">
                    <w:rPr>
                      <w:sz w:val="22"/>
                      <w:szCs w:val="22"/>
                    </w:rPr>
                    <w:t>w terminie pięciu lat od przyjęcia poprzedniego środka, jeżeli krajowy organ regulacyjny określił rynek właściwy i ustalił, które przedsiębiorstwa mają znaczącą pozycję rynkową; ten pięcioletni termin może być wydłużony w drodze wyjątku maksymalnie o rok, w przypadku gdy krajowy organ regulacyjny powiadomił Komisję o planowanym wydłużeniu tego terminu, wraz z uzasadnieniem, nie później niż na cztery miesiące przed upływem tego pięcioletniego terminu, a Komisja w ciągu jednego miesiąca od otrzymania powiadomienia nie wyraziła sprzeciwu;</w:t>
                  </w:r>
                </w:p>
              </w:tc>
            </w:tr>
          </w:tbl>
          <w:p w14:paraId="40F25CBB" w14:textId="77777777" w:rsidR="001E1112" w:rsidRPr="00317ABF" w:rsidRDefault="001E1112" w:rsidP="00DB3BEC">
            <w:pPr>
              <w:jc w:val="both"/>
              <w:rPr>
                <w:vanish/>
                <w:sz w:val="22"/>
                <w:szCs w:val="22"/>
              </w:rPr>
            </w:pPr>
          </w:p>
          <w:tbl>
            <w:tblPr>
              <w:tblW w:w="5000" w:type="pct"/>
              <w:tblCellSpacing w:w="0" w:type="dxa"/>
              <w:tblLayout w:type="fixed"/>
              <w:tblCellMar>
                <w:left w:w="0" w:type="dxa"/>
                <w:right w:w="0" w:type="dxa"/>
              </w:tblCellMar>
              <w:tblLook w:val="04A0" w:firstRow="1" w:lastRow="0" w:firstColumn="1" w:lastColumn="0" w:noHBand="0" w:noVBand="1"/>
            </w:tblPr>
            <w:tblGrid>
              <w:gridCol w:w="20"/>
              <w:gridCol w:w="4148"/>
            </w:tblGrid>
            <w:tr w:rsidR="001E1112" w:rsidRPr="00317ABF" w14:paraId="2140AF08" w14:textId="77777777" w:rsidTr="001D28BB">
              <w:trPr>
                <w:tblCellSpacing w:w="0" w:type="dxa"/>
              </w:trPr>
              <w:tc>
                <w:tcPr>
                  <w:tcW w:w="6" w:type="dxa"/>
                  <w:hideMark/>
                </w:tcPr>
                <w:p w14:paraId="12E9D786" w14:textId="77777777" w:rsidR="001E1112" w:rsidRPr="00317ABF" w:rsidRDefault="001E1112" w:rsidP="00EE0AC3">
                  <w:pPr>
                    <w:framePr w:hSpace="141" w:wrap="around" w:vAnchor="text" w:hAnchor="text" w:xAlign="right" w:y="1"/>
                    <w:spacing w:before="120"/>
                    <w:suppressOverlap/>
                    <w:jc w:val="both"/>
                    <w:rPr>
                      <w:sz w:val="22"/>
                      <w:szCs w:val="22"/>
                    </w:rPr>
                  </w:pPr>
                </w:p>
              </w:tc>
              <w:tc>
                <w:tcPr>
                  <w:tcW w:w="9066" w:type="dxa"/>
                  <w:hideMark/>
                </w:tcPr>
                <w:p w14:paraId="1105DE13" w14:textId="77777777" w:rsidR="001E1112" w:rsidRPr="00317ABF" w:rsidRDefault="001E1112" w:rsidP="00EE0AC3">
                  <w:pPr>
                    <w:framePr w:hSpace="141" w:wrap="around" w:vAnchor="text" w:hAnchor="text" w:xAlign="right" w:y="1"/>
                    <w:numPr>
                      <w:ilvl w:val="0"/>
                      <w:numId w:val="56"/>
                    </w:numPr>
                    <w:spacing w:before="120"/>
                    <w:suppressOverlap/>
                    <w:jc w:val="both"/>
                    <w:rPr>
                      <w:sz w:val="22"/>
                      <w:szCs w:val="22"/>
                    </w:rPr>
                  </w:pPr>
                  <w:r w:rsidRPr="00317ABF">
                    <w:rPr>
                      <w:sz w:val="22"/>
                      <w:szCs w:val="22"/>
                    </w:rPr>
                    <w:t>w przypadku rynków niezgłoszonych uprzednio Komisji – w terminie trzech lat od przyjęcia zmienionego zalecenia w sprawie rynków właściwych; lub</w:t>
                  </w:r>
                </w:p>
              </w:tc>
            </w:tr>
          </w:tbl>
          <w:p w14:paraId="0C6C9684" w14:textId="77777777" w:rsidR="001E1112" w:rsidRPr="00317ABF" w:rsidRDefault="001E1112" w:rsidP="00DB3BEC">
            <w:pPr>
              <w:jc w:val="both"/>
              <w:rPr>
                <w:vanish/>
                <w:sz w:val="22"/>
                <w:szCs w:val="22"/>
              </w:rPr>
            </w:pPr>
          </w:p>
          <w:tbl>
            <w:tblPr>
              <w:tblW w:w="5000" w:type="pct"/>
              <w:tblCellSpacing w:w="0" w:type="dxa"/>
              <w:tblLayout w:type="fixed"/>
              <w:tblCellMar>
                <w:left w:w="0" w:type="dxa"/>
                <w:right w:w="0" w:type="dxa"/>
              </w:tblCellMar>
              <w:tblLook w:val="04A0" w:firstRow="1" w:lastRow="0" w:firstColumn="1" w:lastColumn="0" w:noHBand="0" w:noVBand="1"/>
            </w:tblPr>
            <w:tblGrid>
              <w:gridCol w:w="20"/>
              <w:gridCol w:w="4148"/>
            </w:tblGrid>
            <w:tr w:rsidR="001E1112" w:rsidRPr="00317ABF" w14:paraId="1FE9369F" w14:textId="77777777" w:rsidTr="001D28BB">
              <w:trPr>
                <w:tblCellSpacing w:w="0" w:type="dxa"/>
              </w:trPr>
              <w:tc>
                <w:tcPr>
                  <w:tcW w:w="6" w:type="dxa"/>
                  <w:hideMark/>
                </w:tcPr>
                <w:p w14:paraId="67A8F284" w14:textId="77777777" w:rsidR="001E1112" w:rsidRPr="00317ABF" w:rsidRDefault="001E1112" w:rsidP="00EE0AC3">
                  <w:pPr>
                    <w:framePr w:hSpace="141" w:wrap="around" w:vAnchor="text" w:hAnchor="text" w:xAlign="right" w:y="1"/>
                    <w:spacing w:before="120"/>
                    <w:suppressOverlap/>
                    <w:jc w:val="both"/>
                    <w:rPr>
                      <w:sz w:val="22"/>
                      <w:szCs w:val="22"/>
                    </w:rPr>
                  </w:pPr>
                </w:p>
              </w:tc>
              <w:tc>
                <w:tcPr>
                  <w:tcW w:w="9066" w:type="dxa"/>
                  <w:hideMark/>
                </w:tcPr>
                <w:p w14:paraId="66E76310" w14:textId="77777777" w:rsidR="001E1112" w:rsidRPr="00317ABF" w:rsidRDefault="001E1112" w:rsidP="00EE0AC3">
                  <w:pPr>
                    <w:framePr w:hSpace="141" w:wrap="around" w:vAnchor="text" w:hAnchor="text" w:xAlign="right" w:y="1"/>
                    <w:numPr>
                      <w:ilvl w:val="0"/>
                      <w:numId w:val="56"/>
                    </w:numPr>
                    <w:spacing w:before="120"/>
                    <w:suppressOverlap/>
                    <w:jc w:val="both"/>
                    <w:rPr>
                      <w:sz w:val="22"/>
                      <w:szCs w:val="22"/>
                    </w:rPr>
                  </w:pPr>
                  <w:r w:rsidRPr="00317ABF">
                    <w:rPr>
                      <w:sz w:val="22"/>
                      <w:szCs w:val="22"/>
                    </w:rPr>
                    <w:t>w przypadku państw członkowskich, które niedawno przystąpiły do Unii – w terminie trzech lat od ich przystąpienia.</w:t>
                  </w:r>
                </w:p>
              </w:tc>
            </w:tr>
          </w:tbl>
          <w:p w14:paraId="50F457A9" w14:textId="77777777" w:rsidR="001E1112" w:rsidRPr="00317ABF" w:rsidRDefault="001E1112" w:rsidP="00DB3BEC">
            <w:pPr>
              <w:spacing w:before="120"/>
              <w:jc w:val="both"/>
              <w:rPr>
                <w:sz w:val="22"/>
                <w:szCs w:val="22"/>
              </w:rPr>
            </w:pPr>
          </w:p>
        </w:tc>
        <w:tc>
          <w:tcPr>
            <w:tcW w:w="986" w:type="dxa"/>
          </w:tcPr>
          <w:p w14:paraId="24C21CA0" w14:textId="680F846D" w:rsidR="001E1112" w:rsidRPr="00317ABF" w:rsidRDefault="001E1112" w:rsidP="00DB3BEC">
            <w:pPr>
              <w:jc w:val="both"/>
              <w:rPr>
                <w:sz w:val="22"/>
                <w:szCs w:val="22"/>
              </w:rPr>
            </w:pPr>
            <w:r w:rsidRPr="00317ABF">
              <w:rPr>
                <w:sz w:val="22"/>
                <w:szCs w:val="22"/>
              </w:rPr>
              <w:lastRenderedPageBreak/>
              <w:t>T</w:t>
            </w:r>
          </w:p>
        </w:tc>
        <w:tc>
          <w:tcPr>
            <w:tcW w:w="910" w:type="dxa"/>
          </w:tcPr>
          <w:p w14:paraId="52C76297" w14:textId="63444164" w:rsidR="001E1112" w:rsidRPr="00317ABF" w:rsidRDefault="001E1112" w:rsidP="00DB3BEC">
            <w:pPr>
              <w:pStyle w:val="Tekstpodstawowy"/>
              <w:rPr>
                <w:b/>
                <w:noProof/>
                <w:sz w:val="22"/>
                <w:szCs w:val="22"/>
              </w:rPr>
            </w:pPr>
            <w:r w:rsidRPr="00317ABF">
              <w:rPr>
                <w:b/>
                <w:bCs/>
                <w:noProof/>
                <w:sz w:val="22"/>
                <w:szCs w:val="22"/>
              </w:rPr>
              <w:t>Art. 1</w:t>
            </w:r>
            <w:r w:rsidR="00826B56" w:rsidRPr="00317ABF">
              <w:rPr>
                <w:b/>
                <w:bCs/>
                <w:noProof/>
                <w:sz w:val="22"/>
                <w:szCs w:val="22"/>
              </w:rPr>
              <w:t>97</w:t>
            </w:r>
            <w:r w:rsidRPr="00317ABF">
              <w:rPr>
                <w:b/>
                <w:bCs/>
                <w:noProof/>
                <w:sz w:val="22"/>
                <w:szCs w:val="22"/>
              </w:rPr>
              <w:t xml:space="preserve"> ust. 2-4</w:t>
            </w:r>
          </w:p>
        </w:tc>
        <w:tc>
          <w:tcPr>
            <w:tcW w:w="6814" w:type="dxa"/>
            <w:gridSpan w:val="2"/>
          </w:tcPr>
          <w:p w14:paraId="5512933F" w14:textId="2B5EAB4B" w:rsidR="001E1112" w:rsidRPr="00317ABF" w:rsidRDefault="001E1112" w:rsidP="00DB3BEC">
            <w:pPr>
              <w:ind w:firstLine="510"/>
              <w:jc w:val="both"/>
              <w:rPr>
                <w:sz w:val="22"/>
                <w:szCs w:val="22"/>
              </w:rPr>
            </w:pPr>
            <w:r w:rsidRPr="00317ABF">
              <w:rPr>
                <w:sz w:val="22"/>
                <w:szCs w:val="22"/>
              </w:rPr>
              <w:t xml:space="preserve">Art. </w:t>
            </w:r>
            <w:r w:rsidR="00826B56" w:rsidRPr="00317ABF">
              <w:rPr>
                <w:sz w:val="22"/>
                <w:szCs w:val="22"/>
              </w:rPr>
              <w:t>197</w:t>
            </w:r>
            <w:r w:rsidRPr="00317ABF">
              <w:rPr>
                <w:sz w:val="22"/>
                <w:szCs w:val="22"/>
              </w:rPr>
              <w:t xml:space="preserve"> ust. 2-4</w:t>
            </w:r>
          </w:p>
          <w:p w14:paraId="3146A021" w14:textId="2F31C15D" w:rsidR="001E1112" w:rsidRPr="00317ABF" w:rsidRDefault="001E1112" w:rsidP="00DB3BEC">
            <w:pPr>
              <w:ind w:firstLine="510"/>
              <w:jc w:val="both"/>
              <w:rPr>
                <w:sz w:val="22"/>
                <w:szCs w:val="22"/>
              </w:rPr>
            </w:pPr>
          </w:p>
          <w:p w14:paraId="4011F2A9" w14:textId="77777777" w:rsidR="001E1112" w:rsidRPr="00317ABF" w:rsidRDefault="001E1112" w:rsidP="00DB3BEC">
            <w:pPr>
              <w:ind w:firstLine="510"/>
              <w:jc w:val="both"/>
              <w:rPr>
                <w:sz w:val="22"/>
                <w:szCs w:val="22"/>
              </w:rPr>
            </w:pPr>
            <w:r w:rsidRPr="00317ABF">
              <w:rPr>
                <w:sz w:val="22"/>
                <w:szCs w:val="22"/>
              </w:rPr>
              <w:t xml:space="preserve">2. Prezes UKE, nie później niż w terminie 5 lat od podjęcia poprzedniego rozstrzygnięcia, o którym mowa w art. </w:t>
            </w:r>
            <w:r w:rsidR="00826B56" w:rsidRPr="00317ABF">
              <w:rPr>
                <w:sz w:val="22"/>
                <w:szCs w:val="22"/>
              </w:rPr>
              <w:t>199</w:t>
            </w:r>
            <w:r w:rsidRPr="00317ABF">
              <w:rPr>
                <w:sz w:val="22"/>
                <w:szCs w:val="22"/>
              </w:rPr>
              <w:t xml:space="preserve"> ust. 1 pkt 3 lub 4 dotyczącego danego rynku właściwego, notyfikuje Komisji Europejskiej projekt rozstrzygnięcia kończącego postępowanie, o którym mowa w art. </w:t>
            </w:r>
            <w:r w:rsidR="00826B56" w:rsidRPr="00317ABF">
              <w:rPr>
                <w:sz w:val="22"/>
                <w:szCs w:val="22"/>
              </w:rPr>
              <w:t>199</w:t>
            </w:r>
            <w:r w:rsidRPr="00317ABF">
              <w:rPr>
                <w:sz w:val="22"/>
                <w:szCs w:val="22"/>
              </w:rPr>
              <w:t xml:space="preserve"> ust. 1.</w:t>
            </w:r>
          </w:p>
          <w:p w14:paraId="199FFC35" w14:textId="77777777" w:rsidR="001E1112" w:rsidRPr="00317ABF" w:rsidRDefault="001E1112" w:rsidP="00DB3BEC">
            <w:pPr>
              <w:ind w:firstLine="510"/>
              <w:jc w:val="both"/>
              <w:rPr>
                <w:sz w:val="22"/>
                <w:szCs w:val="22"/>
              </w:rPr>
            </w:pPr>
            <w:r w:rsidRPr="00317ABF">
              <w:rPr>
                <w:sz w:val="22"/>
                <w:szCs w:val="22"/>
              </w:rPr>
              <w:lastRenderedPageBreak/>
              <w:t xml:space="preserve">3. Prezes UKE w przypadku rynków niezgłoszonych wcześniej Komisji Europejskiej, nie później niż w terminie 3 lat od przyjęcia zmienionego zalecenia Komisji Europejskiej, notyfikuje Komisji Europejskiej projekt rozstrzygnięcia kończącego postępowanie, o którym mowa w art. </w:t>
            </w:r>
            <w:r w:rsidR="00826B56" w:rsidRPr="00317ABF">
              <w:rPr>
                <w:sz w:val="22"/>
                <w:szCs w:val="22"/>
              </w:rPr>
              <w:t>199</w:t>
            </w:r>
            <w:r w:rsidRPr="00317ABF">
              <w:rPr>
                <w:sz w:val="22"/>
                <w:szCs w:val="22"/>
              </w:rPr>
              <w:t xml:space="preserve"> ust. 1.</w:t>
            </w:r>
          </w:p>
          <w:p w14:paraId="0BD02F36" w14:textId="16068EF7" w:rsidR="001E1112" w:rsidRPr="00317ABF" w:rsidRDefault="001E1112" w:rsidP="00DB3BEC">
            <w:pPr>
              <w:jc w:val="both"/>
              <w:rPr>
                <w:sz w:val="22"/>
                <w:szCs w:val="22"/>
              </w:rPr>
            </w:pPr>
            <w:r w:rsidRPr="00317ABF">
              <w:rPr>
                <w:sz w:val="22"/>
                <w:szCs w:val="22"/>
              </w:rPr>
              <w:t xml:space="preserve">4. Prezes UKE w uzasadnionych przypadkach może zwrócić się do Komisji Europejskiej, nie później niż na 4 miesiące przed </w:t>
            </w:r>
            <w:r w:rsidR="00826B56" w:rsidRPr="00317ABF">
              <w:rPr>
                <w:sz w:val="22"/>
                <w:szCs w:val="22"/>
              </w:rPr>
              <w:t>upływem</w:t>
            </w:r>
            <w:r w:rsidRPr="00317ABF">
              <w:rPr>
                <w:sz w:val="22"/>
                <w:szCs w:val="22"/>
              </w:rPr>
              <w:t xml:space="preserve"> terminu, o którym mowa w ust. 2, z wnioskiem o przedłużenie tego terminu, o maksymalnie 1 rok. W przypadku niezgłoszenia przez Komisję Europejską sprzeciwu w ciągu jednego miesiąca od wystąpienia z wnioskiem przez Prezesa UKE, termin ulega przedłużeniu zgodnie z wnioskiem.</w:t>
            </w:r>
          </w:p>
        </w:tc>
      </w:tr>
      <w:tr w:rsidR="001E1112" w:rsidRPr="00317ABF" w14:paraId="54C1C688" w14:textId="77777777" w:rsidTr="7753F98D">
        <w:trPr>
          <w:gridAfter w:val="2"/>
          <w:wAfter w:w="175" w:type="dxa"/>
        </w:trPr>
        <w:tc>
          <w:tcPr>
            <w:tcW w:w="704" w:type="dxa"/>
          </w:tcPr>
          <w:p w14:paraId="5E2A6DAE" w14:textId="77777777" w:rsidR="001E1112" w:rsidRPr="00317ABF" w:rsidRDefault="001E1112" w:rsidP="00DB3BEC">
            <w:pPr>
              <w:jc w:val="both"/>
              <w:rPr>
                <w:sz w:val="22"/>
                <w:szCs w:val="22"/>
              </w:rPr>
            </w:pPr>
            <w:r w:rsidRPr="00317ABF">
              <w:rPr>
                <w:sz w:val="22"/>
                <w:szCs w:val="22"/>
              </w:rPr>
              <w:lastRenderedPageBreak/>
              <w:t>Art. 67 ust. 6</w:t>
            </w:r>
          </w:p>
        </w:tc>
        <w:tc>
          <w:tcPr>
            <w:tcW w:w="4308" w:type="dxa"/>
          </w:tcPr>
          <w:p w14:paraId="222C53DD" w14:textId="77777777" w:rsidR="001E1112" w:rsidRPr="00317ABF" w:rsidRDefault="001E1112" w:rsidP="00DB3BEC">
            <w:pPr>
              <w:spacing w:before="120"/>
              <w:jc w:val="both"/>
              <w:rPr>
                <w:sz w:val="22"/>
                <w:szCs w:val="22"/>
              </w:rPr>
            </w:pPr>
            <w:r w:rsidRPr="00317ABF">
              <w:rPr>
                <w:sz w:val="22"/>
                <w:szCs w:val="22"/>
              </w:rPr>
              <w:t xml:space="preserve">6.   W przypadku gdy krajowy organ regulacyjny w terminie określonym w ust. 5 niniejszego artykułu stwierdzi, że nie może ukończyć lub że nie zakończył analizy rynku właściwego określonego w zaleceniu, BEREC pomaga mu, na wniosek, zakończyć analizę konkretnego rynku i szczególnych obowiązków, które mają zostać nałożone. Po uzyskaniu takiej pomocy krajowy organ regulacyjny, którego to dotyczy, powiadamia </w:t>
            </w:r>
            <w:r w:rsidRPr="00317ABF">
              <w:rPr>
                <w:sz w:val="22"/>
                <w:szCs w:val="22"/>
              </w:rPr>
              <w:lastRenderedPageBreak/>
              <w:t>Komisję o planowanym środku zgodnie z art. 32 w ciągu sześciu miesięcy od upływu terminu określonego w ust. 5 niniejszego artykułu.</w:t>
            </w:r>
          </w:p>
        </w:tc>
        <w:tc>
          <w:tcPr>
            <w:tcW w:w="986" w:type="dxa"/>
          </w:tcPr>
          <w:p w14:paraId="7F3C4B8E" w14:textId="2D663727" w:rsidR="001E1112" w:rsidRPr="00317ABF" w:rsidRDefault="001E1112" w:rsidP="00DB3BEC">
            <w:pPr>
              <w:jc w:val="both"/>
              <w:rPr>
                <w:sz w:val="22"/>
                <w:szCs w:val="22"/>
              </w:rPr>
            </w:pPr>
            <w:r w:rsidRPr="00317ABF">
              <w:rPr>
                <w:sz w:val="22"/>
                <w:szCs w:val="22"/>
              </w:rPr>
              <w:lastRenderedPageBreak/>
              <w:t>T</w:t>
            </w:r>
          </w:p>
        </w:tc>
        <w:tc>
          <w:tcPr>
            <w:tcW w:w="910" w:type="dxa"/>
          </w:tcPr>
          <w:p w14:paraId="16FE0342" w14:textId="3D1EDEC0" w:rsidR="001E1112" w:rsidRPr="00317ABF" w:rsidRDefault="001E1112" w:rsidP="00DB3BEC">
            <w:pPr>
              <w:pStyle w:val="Tekstpodstawowy"/>
              <w:rPr>
                <w:b/>
                <w:bCs/>
                <w:noProof/>
                <w:sz w:val="22"/>
                <w:szCs w:val="22"/>
              </w:rPr>
            </w:pPr>
            <w:r w:rsidRPr="00317ABF">
              <w:rPr>
                <w:b/>
                <w:bCs/>
                <w:noProof/>
                <w:sz w:val="22"/>
                <w:szCs w:val="22"/>
              </w:rPr>
              <w:t xml:space="preserve">Art. </w:t>
            </w:r>
            <w:r w:rsidR="00957D51" w:rsidRPr="00317ABF">
              <w:rPr>
                <w:b/>
                <w:bCs/>
                <w:noProof/>
                <w:sz w:val="22"/>
                <w:szCs w:val="22"/>
              </w:rPr>
              <w:t>208</w:t>
            </w:r>
          </w:p>
        </w:tc>
        <w:tc>
          <w:tcPr>
            <w:tcW w:w="6814" w:type="dxa"/>
            <w:gridSpan w:val="2"/>
          </w:tcPr>
          <w:p w14:paraId="4CF27ACE" w14:textId="77777777" w:rsidR="00957D51" w:rsidRPr="00317ABF" w:rsidRDefault="00957D51" w:rsidP="00957D51">
            <w:pPr>
              <w:ind w:firstLine="510"/>
              <w:jc w:val="both"/>
              <w:rPr>
                <w:sz w:val="22"/>
                <w:szCs w:val="22"/>
              </w:rPr>
            </w:pPr>
            <w:r w:rsidRPr="00317ABF">
              <w:rPr>
                <w:b/>
                <w:sz w:val="22"/>
                <w:szCs w:val="22"/>
              </w:rPr>
              <w:t>Art. 208.</w:t>
            </w:r>
            <w:r w:rsidRPr="00317ABF">
              <w:rPr>
                <w:sz w:val="22"/>
                <w:szCs w:val="22"/>
              </w:rPr>
              <w:t xml:space="preserve"> 1. Prezes UKE, w przypadku niedotrzymania terminów, o których mowa w art. 197 ust. 2-4, może wystąpić do BEREC z wnioskiem o konsultację w sprawie analizy wskazanego rynku i utrzymania, zmiany albo uchylenia obowiązków regulacyjnych nałożonych na przedsiębiorcę komunikacji elektronicznej o znaczącej pozycji rynkowej lub przedsiębiorców komunikacji elektronicznej zajmujących kolektywną pozycję znaczącą przed przeprowadzeniem analizy rynku.</w:t>
            </w:r>
          </w:p>
          <w:p w14:paraId="64545300" w14:textId="77777777" w:rsidR="00957D51" w:rsidRPr="00317ABF" w:rsidRDefault="00957D51" w:rsidP="00957D51">
            <w:pPr>
              <w:ind w:firstLine="510"/>
              <w:jc w:val="both"/>
              <w:rPr>
                <w:sz w:val="22"/>
                <w:szCs w:val="22"/>
              </w:rPr>
            </w:pPr>
          </w:p>
          <w:p w14:paraId="44045ECA" w14:textId="0D5E0B81" w:rsidR="001E1112" w:rsidRPr="00317ABF" w:rsidRDefault="001E1112" w:rsidP="00DB3BEC">
            <w:pPr>
              <w:jc w:val="both"/>
              <w:rPr>
                <w:sz w:val="22"/>
                <w:szCs w:val="22"/>
              </w:rPr>
            </w:pPr>
            <w:r w:rsidRPr="00317ABF">
              <w:rPr>
                <w:sz w:val="22"/>
                <w:szCs w:val="22"/>
              </w:rPr>
              <w:t>2. W ciągu 6 miesięcy od uzyskania wyniku konsultacji od BEREC, Prezes UKE powiadamia Komisję Europejską o projektowanym rozstrzygnięciu.</w:t>
            </w:r>
          </w:p>
        </w:tc>
      </w:tr>
      <w:tr w:rsidR="001E1112" w:rsidRPr="00317ABF" w14:paraId="7DAE1A14" w14:textId="77777777" w:rsidTr="7753F98D">
        <w:trPr>
          <w:gridAfter w:val="2"/>
          <w:wAfter w:w="175" w:type="dxa"/>
        </w:trPr>
        <w:tc>
          <w:tcPr>
            <w:tcW w:w="704" w:type="dxa"/>
          </w:tcPr>
          <w:p w14:paraId="3B2BB046" w14:textId="77777777" w:rsidR="001E1112" w:rsidRPr="00317ABF" w:rsidRDefault="001E1112" w:rsidP="00DB3BEC">
            <w:pPr>
              <w:jc w:val="both"/>
              <w:rPr>
                <w:b/>
                <w:sz w:val="22"/>
                <w:szCs w:val="22"/>
              </w:rPr>
            </w:pPr>
            <w:r w:rsidRPr="00317ABF">
              <w:rPr>
                <w:b/>
                <w:sz w:val="22"/>
                <w:szCs w:val="22"/>
              </w:rPr>
              <w:lastRenderedPageBreak/>
              <w:t>Art. 68</w:t>
            </w:r>
          </w:p>
        </w:tc>
        <w:tc>
          <w:tcPr>
            <w:tcW w:w="4308" w:type="dxa"/>
          </w:tcPr>
          <w:p w14:paraId="1094B149" w14:textId="77777777" w:rsidR="001E1112" w:rsidRPr="00317ABF" w:rsidRDefault="001E1112" w:rsidP="00DB3BEC">
            <w:pPr>
              <w:spacing w:before="120"/>
              <w:jc w:val="both"/>
              <w:rPr>
                <w:sz w:val="22"/>
                <w:szCs w:val="22"/>
              </w:rPr>
            </w:pPr>
            <w:r w:rsidRPr="00317ABF">
              <w:rPr>
                <w:b/>
                <w:bCs/>
                <w:sz w:val="22"/>
                <w:szCs w:val="22"/>
              </w:rPr>
              <w:t>Nakładanie, zmiana albo uchylenie obowiązków</w:t>
            </w:r>
          </w:p>
        </w:tc>
        <w:tc>
          <w:tcPr>
            <w:tcW w:w="986" w:type="dxa"/>
          </w:tcPr>
          <w:p w14:paraId="2E21531C" w14:textId="77777777" w:rsidR="001E1112" w:rsidRPr="00317ABF" w:rsidRDefault="001E1112" w:rsidP="00DB3BEC">
            <w:pPr>
              <w:jc w:val="both"/>
              <w:rPr>
                <w:sz w:val="22"/>
                <w:szCs w:val="22"/>
              </w:rPr>
            </w:pPr>
          </w:p>
        </w:tc>
        <w:tc>
          <w:tcPr>
            <w:tcW w:w="910" w:type="dxa"/>
          </w:tcPr>
          <w:p w14:paraId="28E22A7F" w14:textId="77777777" w:rsidR="001E1112" w:rsidRPr="00317ABF" w:rsidRDefault="001E1112" w:rsidP="00DB3BEC">
            <w:pPr>
              <w:pStyle w:val="Tekstpodstawowy"/>
              <w:rPr>
                <w:b/>
                <w:noProof/>
                <w:sz w:val="22"/>
                <w:szCs w:val="22"/>
              </w:rPr>
            </w:pPr>
          </w:p>
        </w:tc>
        <w:tc>
          <w:tcPr>
            <w:tcW w:w="6814" w:type="dxa"/>
            <w:gridSpan w:val="2"/>
          </w:tcPr>
          <w:p w14:paraId="7313C128" w14:textId="77777777" w:rsidR="001E1112" w:rsidRPr="00317ABF" w:rsidRDefault="001E1112" w:rsidP="00DB3BEC">
            <w:pPr>
              <w:pStyle w:val="Tekstpodstawowy"/>
              <w:rPr>
                <w:sz w:val="22"/>
                <w:szCs w:val="22"/>
              </w:rPr>
            </w:pPr>
          </w:p>
        </w:tc>
      </w:tr>
      <w:tr w:rsidR="001E1112" w:rsidRPr="00317ABF" w14:paraId="6409D5CC" w14:textId="77777777" w:rsidTr="7753F98D">
        <w:trPr>
          <w:gridAfter w:val="2"/>
          <w:wAfter w:w="175" w:type="dxa"/>
        </w:trPr>
        <w:tc>
          <w:tcPr>
            <w:tcW w:w="704" w:type="dxa"/>
          </w:tcPr>
          <w:p w14:paraId="21BA70B6" w14:textId="77777777" w:rsidR="001E1112" w:rsidRPr="00317ABF" w:rsidRDefault="001E1112" w:rsidP="00DB3BEC">
            <w:pPr>
              <w:jc w:val="both"/>
              <w:rPr>
                <w:sz w:val="22"/>
                <w:szCs w:val="22"/>
              </w:rPr>
            </w:pPr>
            <w:r w:rsidRPr="00317ABF">
              <w:rPr>
                <w:sz w:val="22"/>
                <w:szCs w:val="22"/>
              </w:rPr>
              <w:t>Art. 68 ust. 1</w:t>
            </w:r>
          </w:p>
        </w:tc>
        <w:tc>
          <w:tcPr>
            <w:tcW w:w="4308" w:type="dxa"/>
          </w:tcPr>
          <w:p w14:paraId="71820E77" w14:textId="77777777" w:rsidR="001E1112" w:rsidRPr="00317ABF" w:rsidRDefault="001E1112" w:rsidP="00DB3BEC">
            <w:pPr>
              <w:spacing w:before="120"/>
              <w:jc w:val="both"/>
              <w:rPr>
                <w:sz w:val="22"/>
                <w:szCs w:val="22"/>
              </w:rPr>
            </w:pPr>
            <w:r w:rsidRPr="00317ABF">
              <w:rPr>
                <w:sz w:val="22"/>
                <w:szCs w:val="22"/>
              </w:rPr>
              <w:t>1.   Państwa członkowskie zapewniają, by krajowe organy regulacyjne były upoważnione do nakładania obowiązków, określonych w art. 69–74 oraz 76–81.</w:t>
            </w:r>
          </w:p>
        </w:tc>
        <w:tc>
          <w:tcPr>
            <w:tcW w:w="986" w:type="dxa"/>
          </w:tcPr>
          <w:p w14:paraId="3F58006F" w14:textId="3A666F89" w:rsidR="001E1112" w:rsidRPr="00317ABF" w:rsidRDefault="001E1112" w:rsidP="00DB3BEC">
            <w:pPr>
              <w:jc w:val="both"/>
              <w:rPr>
                <w:sz w:val="22"/>
                <w:szCs w:val="22"/>
              </w:rPr>
            </w:pPr>
            <w:r w:rsidRPr="00317ABF">
              <w:rPr>
                <w:sz w:val="22"/>
                <w:szCs w:val="22"/>
              </w:rPr>
              <w:t>T</w:t>
            </w:r>
          </w:p>
        </w:tc>
        <w:tc>
          <w:tcPr>
            <w:tcW w:w="910" w:type="dxa"/>
          </w:tcPr>
          <w:p w14:paraId="66129EE6" w14:textId="4BAF74A6" w:rsidR="006B2DB9" w:rsidRPr="00317ABF" w:rsidRDefault="006B2DB9" w:rsidP="006B2DB9">
            <w:pPr>
              <w:pStyle w:val="Tekstpodstawowy"/>
              <w:rPr>
                <w:b/>
                <w:bCs/>
                <w:noProof/>
                <w:sz w:val="22"/>
                <w:szCs w:val="22"/>
              </w:rPr>
            </w:pPr>
            <w:r w:rsidRPr="00317ABF">
              <w:rPr>
                <w:b/>
                <w:bCs/>
                <w:noProof/>
                <w:sz w:val="22"/>
                <w:szCs w:val="22"/>
              </w:rPr>
              <w:t>Dział IV, rozdział I Analiza rynków, nakładanie obowiązków regulacyjnych,</w:t>
            </w:r>
          </w:p>
          <w:p w14:paraId="17A9EFAF" w14:textId="6D855C25" w:rsidR="00210142" w:rsidRPr="00317ABF" w:rsidRDefault="006B2DB9" w:rsidP="006B2DB9">
            <w:pPr>
              <w:pStyle w:val="Tekstpodstawowy"/>
              <w:rPr>
                <w:b/>
                <w:sz w:val="22"/>
                <w:szCs w:val="22"/>
                <w:lang w:val="en-US"/>
              </w:rPr>
            </w:pPr>
            <w:r w:rsidRPr="00317ABF">
              <w:rPr>
                <w:b/>
                <w:sz w:val="22"/>
                <w:szCs w:val="22"/>
                <w:lang w:val="en-US"/>
              </w:rPr>
              <w:t>a</w:t>
            </w:r>
            <w:r w:rsidR="001E1112" w:rsidRPr="00317ABF">
              <w:rPr>
                <w:b/>
                <w:sz w:val="22"/>
                <w:szCs w:val="22"/>
                <w:lang w:val="en-US"/>
              </w:rPr>
              <w:t xml:space="preserve">rt. </w:t>
            </w:r>
            <w:r w:rsidRPr="00317ABF">
              <w:rPr>
                <w:b/>
                <w:sz w:val="22"/>
                <w:szCs w:val="22"/>
                <w:lang w:val="en-US"/>
              </w:rPr>
              <w:t>199</w:t>
            </w:r>
            <w:r w:rsidR="001E1112" w:rsidRPr="00317ABF">
              <w:rPr>
                <w:b/>
                <w:sz w:val="22"/>
                <w:szCs w:val="22"/>
                <w:lang w:val="en-US"/>
              </w:rPr>
              <w:t xml:space="preserve"> ust. 4, art.  </w:t>
            </w:r>
            <w:r w:rsidR="00954E42" w:rsidRPr="00317ABF">
              <w:rPr>
                <w:b/>
                <w:sz w:val="22"/>
                <w:szCs w:val="22"/>
                <w:lang w:val="en-US"/>
              </w:rPr>
              <w:t xml:space="preserve">202, art. </w:t>
            </w:r>
            <w:r w:rsidR="00210142" w:rsidRPr="00317ABF">
              <w:rPr>
                <w:b/>
                <w:sz w:val="22"/>
                <w:szCs w:val="22"/>
                <w:lang w:val="en-US"/>
              </w:rPr>
              <w:t xml:space="preserve">210, 211, </w:t>
            </w:r>
            <w:r w:rsidR="00954E42" w:rsidRPr="00317ABF">
              <w:rPr>
                <w:b/>
                <w:sz w:val="22"/>
                <w:szCs w:val="22"/>
                <w:lang w:val="en-US"/>
              </w:rPr>
              <w:t>art. 213-215, art. 216, art. 219, art. 220, art. 224, art. 230</w:t>
            </w:r>
          </w:p>
          <w:p w14:paraId="1C430D3F" w14:textId="77777777" w:rsidR="00210142" w:rsidRPr="00317ABF" w:rsidRDefault="00210142" w:rsidP="006B2DB9">
            <w:pPr>
              <w:pStyle w:val="Tekstpodstawowy"/>
              <w:rPr>
                <w:b/>
                <w:sz w:val="22"/>
                <w:szCs w:val="22"/>
                <w:lang w:val="en-US"/>
              </w:rPr>
            </w:pPr>
          </w:p>
          <w:p w14:paraId="5BF459B2" w14:textId="0BE4C62F" w:rsidR="001E1112" w:rsidRPr="00317ABF" w:rsidRDefault="001E1112" w:rsidP="00DB3BEC">
            <w:pPr>
              <w:pStyle w:val="Tekstpodstawowy"/>
              <w:rPr>
                <w:b/>
                <w:sz w:val="22"/>
                <w:szCs w:val="22"/>
                <w:lang w:val="en-US"/>
              </w:rPr>
            </w:pPr>
          </w:p>
        </w:tc>
        <w:tc>
          <w:tcPr>
            <w:tcW w:w="6814" w:type="dxa"/>
            <w:gridSpan w:val="2"/>
          </w:tcPr>
          <w:p w14:paraId="0F3A79DE" w14:textId="0FB9F67D" w:rsidR="006B2DB9" w:rsidRPr="00317ABF" w:rsidRDefault="006B2DB9" w:rsidP="006B2DB9">
            <w:pPr>
              <w:pStyle w:val="TYTDZOZNoznaczenietytuulubdziau"/>
              <w:spacing w:line="240" w:lineRule="auto"/>
              <w:jc w:val="left"/>
              <w:rPr>
                <w:rFonts w:ascii="Times New Roman" w:hAnsi="Times New Roman" w:cs="Times New Roman"/>
                <w:sz w:val="22"/>
                <w:szCs w:val="22"/>
              </w:rPr>
            </w:pPr>
            <w:r w:rsidRPr="00317ABF">
              <w:rPr>
                <w:rFonts w:ascii="Times New Roman" w:hAnsi="Times New Roman" w:cs="Times New Roman"/>
                <w:sz w:val="22"/>
                <w:szCs w:val="22"/>
              </w:rPr>
              <w:t>DZIAŁ IV.  Regulowanie rynku komunikacji elektronicznej</w:t>
            </w:r>
          </w:p>
          <w:p w14:paraId="3B2AC5E9" w14:textId="4E4309FD" w:rsidR="006B2DB9" w:rsidRPr="00317ABF" w:rsidRDefault="006B2DB9" w:rsidP="006B2DB9">
            <w:pPr>
              <w:pStyle w:val="ROZDZODDZOZNoznaczenierozdziauluboddziau"/>
              <w:spacing w:line="240" w:lineRule="auto"/>
              <w:jc w:val="left"/>
              <w:rPr>
                <w:rFonts w:ascii="Times New Roman" w:hAnsi="Times New Roman" w:cs="Times New Roman"/>
                <w:sz w:val="22"/>
                <w:szCs w:val="22"/>
              </w:rPr>
            </w:pPr>
            <w:r w:rsidRPr="00317ABF">
              <w:rPr>
                <w:rFonts w:ascii="Times New Roman" w:hAnsi="Times New Roman" w:cs="Times New Roman"/>
                <w:sz w:val="22"/>
                <w:szCs w:val="22"/>
              </w:rPr>
              <w:t>ROZDZIAŁ 1</w:t>
            </w:r>
          </w:p>
          <w:p w14:paraId="72F760A5" w14:textId="77777777" w:rsidR="006B2DB9" w:rsidRPr="00317ABF" w:rsidRDefault="006B2DB9" w:rsidP="006B2DB9">
            <w:pPr>
              <w:pStyle w:val="ROZDZODDZPRZEDMprzedmiotregulacjirozdziauluboddziau"/>
              <w:spacing w:line="240" w:lineRule="auto"/>
              <w:jc w:val="left"/>
              <w:rPr>
                <w:rFonts w:ascii="Times New Roman" w:hAnsi="Times New Roman"/>
                <w:b w:val="0"/>
                <w:sz w:val="22"/>
                <w:szCs w:val="22"/>
              </w:rPr>
            </w:pPr>
            <w:r w:rsidRPr="00317ABF">
              <w:rPr>
                <w:rFonts w:ascii="Times New Roman" w:hAnsi="Times New Roman"/>
                <w:b w:val="0"/>
                <w:sz w:val="22"/>
                <w:szCs w:val="22"/>
              </w:rPr>
              <w:t>Analiza rynków, nakładanie obowiązków regulacyjnych</w:t>
            </w:r>
          </w:p>
          <w:p w14:paraId="2D10F9D6" w14:textId="77777777" w:rsidR="006B2DB9" w:rsidRPr="00317ABF" w:rsidRDefault="006B2DB9" w:rsidP="00DB3BEC">
            <w:pPr>
              <w:ind w:firstLine="510"/>
              <w:jc w:val="both"/>
              <w:rPr>
                <w:sz w:val="22"/>
                <w:szCs w:val="22"/>
              </w:rPr>
            </w:pPr>
          </w:p>
          <w:p w14:paraId="53854812" w14:textId="77777777" w:rsidR="006B2DB9" w:rsidRPr="00317ABF" w:rsidRDefault="006B2DB9" w:rsidP="00DB3BEC">
            <w:pPr>
              <w:ind w:firstLine="510"/>
              <w:jc w:val="both"/>
              <w:rPr>
                <w:sz w:val="22"/>
                <w:szCs w:val="22"/>
              </w:rPr>
            </w:pPr>
          </w:p>
          <w:p w14:paraId="7790607E" w14:textId="7F4D4CB9" w:rsidR="001E1112" w:rsidRPr="00317ABF" w:rsidRDefault="001E1112" w:rsidP="00210142">
            <w:pPr>
              <w:jc w:val="both"/>
              <w:rPr>
                <w:b/>
                <w:sz w:val="22"/>
                <w:szCs w:val="22"/>
              </w:rPr>
            </w:pPr>
            <w:r w:rsidRPr="00317ABF">
              <w:rPr>
                <w:b/>
                <w:sz w:val="22"/>
                <w:szCs w:val="22"/>
              </w:rPr>
              <w:t xml:space="preserve">Art. </w:t>
            </w:r>
            <w:r w:rsidR="006B2DB9" w:rsidRPr="00317ABF">
              <w:rPr>
                <w:b/>
                <w:sz w:val="22"/>
                <w:szCs w:val="22"/>
              </w:rPr>
              <w:t>199</w:t>
            </w:r>
            <w:r w:rsidRPr="00317ABF">
              <w:rPr>
                <w:b/>
                <w:sz w:val="22"/>
                <w:szCs w:val="22"/>
              </w:rPr>
              <w:t xml:space="preserve"> ust. 4</w:t>
            </w:r>
          </w:p>
          <w:p w14:paraId="276525AC" w14:textId="297AE3F7" w:rsidR="006B2DB9" w:rsidRPr="00317ABF" w:rsidRDefault="001E1112" w:rsidP="00210142">
            <w:pPr>
              <w:pStyle w:val="USTustnpkodeksu"/>
              <w:spacing w:line="240" w:lineRule="auto"/>
              <w:ind w:firstLine="0"/>
              <w:rPr>
                <w:rFonts w:ascii="Times New Roman" w:hAnsi="Times New Roman" w:cs="Times New Roman"/>
                <w:sz w:val="22"/>
                <w:szCs w:val="22"/>
              </w:rPr>
            </w:pPr>
            <w:r w:rsidRPr="00317ABF">
              <w:rPr>
                <w:rFonts w:ascii="Times New Roman" w:hAnsi="Times New Roman" w:cs="Times New Roman"/>
                <w:sz w:val="22"/>
                <w:szCs w:val="22"/>
              </w:rPr>
              <w:t xml:space="preserve">4. </w:t>
            </w:r>
            <w:r w:rsidR="006B2DB9" w:rsidRPr="00317ABF">
              <w:rPr>
                <w:rFonts w:ascii="Times New Roman" w:hAnsi="Times New Roman" w:cs="Times New Roman"/>
                <w:sz w:val="22"/>
                <w:szCs w:val="22"/>
              </w:rPr>
              <w:t xml:space="preserve">Przez obowiązek regulacyjny rozumie się obowiązek, o którym mowa w art. 210, art. 211, art. 213-215, art. 216 ust. 1, art. 219 ust. 2, art. 220, art. 222, art. 224 lub art. 231. </w:t>
            </w:r>
          </w:p>
          <w:p w14:paraId="0DDA9754" w14:textId="36B32E3D" w:rsidR="00954E42" w:rsidRPr="00317ABF" w:rsidRDefault="00954E42" w:rsidP="00210142">
            <w:pPr>
              <w:pStyle w:val="USTustnpkodeksu"/>
              <w:spacing w:line="240" w:lineRule="auto"/>
              <w:ind w:firstLine="0"/>
              <w:rPr>
                <w:rFonts w:ascii="Times New Roman" w:hAnsi="Times New Roman" w:cs="Times New Roman"/>
                <w:sz w:val="22"/>
                <w:szCs w:val="22"/>
              </w:rPr>
            </w:pPr>
          </w:p>
          <w:p w14:paraId="0F74A427" w14:textId="77777777" w:rsidR="00954E42" w:rsidRPr="00317ABF" w:rsidRDefault="00954E42" w:rsidP="00954E42">
            <w:pPr>
              <w:jc w:val="both"/>
              <w:rPr>
                <w:sz w:val="22"/>
                <w:szCs w:val="22"/>
              </w:rPr>
            </w:pPr>
            <w:r w:rsidRPr="00317ABF">
              <w:rPr>
                <w:b/>
                <w:sz w:val="22"/>
                <w:szCs w:val="22"/>
              </w:rPr>
              <w:t>Art. 202.</w:t>
            </w:r>
            <w:r w:rsidRPr="00317ABF">
              <w:rPr>
                <w:sz w:val="22"/>
                <w:szCs w:val="22"/>
              </w:rPr>
              <w:t xml:space="preserve"> Po przeprowadzeniu postępowania, o którym mowa w art. 199 ust. 1, Prezes UKE, w przypadku ustalenia, że na rynku właściwym występuje przedsiębiorca komunikacji elektronicznej o znaczącej pozycji rynkowej lub przedsiębiorcy komunikacji elektronicznej zajmujący kolektywną pozycję znaczącą, wydaje decyzję, w której:</w:t>
            </w:r>
          </w:p>
          <w:p w14:paraId="08CA12E9" w14:textId="77777777" w:rsidR="00954E42" w:rsidRPr="00317ABF" w:rsidRDefault="00954E42" w:rsidP="00954E42">
            <w:pPr>
              <w:ind w:firstLine="510"/>
              <w:jc w:val="both"/>
              <w:rPr>
                <w:sz w:val="22"/>
                <w:szCs w:val="22"/>
              </w:rPr>
            </w:pPr>
            <w:r w:rsidRPr="00317ABF">
              <w:rPr>
                <w:sz w:val="22"/>
                <w:szCs w:val="22"/>
              </w:rPr>
              <w:t>1)</w:t>
            </w:r>
            <w:r w:rsidRPr="00317ABF">
              <w:rPr>
                <w:sz w:val="22"/>
                <w:szCs w:val="22"/>
              </w:rPr>
              <w:tab/>
              <w:t>określa rynek właściwy w sposób określony w art. 199 ust. 1 pkt 1;</w:t>
            </w:r>
          </w:p>
          <w:p w14:paraId="4B442499" w14:textId="77777777" w:rsidR="00954E42" w:rsidRPr="00317ABF" w:rsidRDefault="00954E42" w:rsidP="00954E42">
            <w:pPr>
              <w:ind w:firstLine="510"/>
              <w:jc w:val="both"/>
              <w:rPr>
                <w:sz w:val="22"/>
                <w:szCs w:val="22"/>
              </w:rPr>
            </w:pPr>
            <w:r w:rsidRPr="00317ABF">
              <w:rPr>
                <w:sz w:val="22"/>
                <w:szCs w:val="22"/>
              </w:rPr>
              <w:t>2)</w:t>
            </w:r>
            <w:r w:rsidRPr="00317ABF">
              <w:rPr>
                <w:sz w:val="22"/>
                <w:szCs w:val="22"/>
              </w:rPr>
              <w:tab/>
              <w:t>wyznacza przedsiębiorcę komunikacji elektronicznej o znaczącej pozycji rynkowej lub przedsiębiorców komunikacji elektronicznej zajmujących kolektywną pozycję znaczącą oraz:</w:t>
            </w:r>
          </w:p>
          <w:p w14:paraId="103CE504" w14:textId="77777777" w:rsidR="00954E42" w:rsidRPr="00317ABF" w:rsidRDefault="00954E42" w:rsidP="00954E42">
            <w:pPr>
              <w:ind w:firstLine="510"/>
              <w:jc w:val="both"/>
              <w:rPr>
                <w:sz w:val="22"/>
                <w:szCs w:val="22"/>
              </w:rPr>
            </w:pPr>
            <w:r w:rsidRPr="00317ABF">
              <w:rPr>
                <w:sz w:val="22"/>
                <w:szCs w:val="22"/>
              </w:rPr>
              <w:t>a)</w:t>
            </w:r>
            <w:r w:rsidRPr="00317ABF">
              <w:rPr>
                <w:sz w:val="22"/>
                <w:szCs w:val="22"/>
              </w:rPr>
              <w:tab/>
              <w:t>nakłada, utrzymuje lub zmienia obowiązki regulacyjne, biorąc pod uwagę adekwatność i proporcjonalność danego obowiązku do problemów rynkowych, których rozwiązanie służy realizacji celów określonych w art.  407 ust. 2, lub</w:t>
            </w:r>
          </w:p>
          <w:p w14:paraId="29FDD203" w14:textId="0B2A7F5B" w:rsidR="001E1112" w:rsidRPr="00317ABF" w:rsidRDefault="00954E42" w:rsidP="00DB3BEC">
            <w:pPr>
              <w:ind w:firstLine="510"/>
              <w:jc w:val="both"/>
              <w:rPr>
                <w:sz w:val="22"/>
                <w:szCs w:val="22"/>
              </w:rPr>
            </w:pPr>
            <w:r w:rsidRPr="00317ABF">
              <w:rPr>
                <w:sz w:val="22"/>
                <w:szCs w:val="22"/>
              </w:rPr>
              <w:t>b)</w:t>
            </w:r>
            <w:r w:rsidRPr="00317ABF">
              <w:rPr>
                <w:sz w:val="22"/>
                <w:szCs w:val="22"/>
              </w:rPr>
              <w:tab/>
              <w:t>uchyla nałożone obowiązki regulacyjne, jeżeli przedsiębiorca komunikacji elektronicznej lub przedsiębiorcy komunikacji elektronicznej nie utracili tej pozycji, ale warunki na rynku właściwym uzasadniają uchylenie tych obowiązków.</w:t>
            </w:r>
          </w:p>
          <w:p w14:paraId="6FEA8A58" w14:textId="77777777" w:rsidR="00954E42" w:rsidRPr="00317ABF" w:rsidRDefault="00954E42" w:rsidP="00DB3BEC">
            <w:pPr>
              <w:ind w:firstLine="510"/>
              <w:jc w:val="both"/>
              <w:rPr>
                <w:sz w:val="22"/>
                <w:szCs w:val="22"/>
              </w:rPr>
            </w:pPr>
          </w:p>
          <w:p w14:paraId="4BB3E9D8" w14:textId="641EC5E1" w:rsidR="00210142" w:rsidRPr="00317ABF" w:rsidRDefault="00210142" w:rsidP="00210142">
            <w:pPr>
              <w:jc w:val="both"/>
              <w:rPr>
                <w:sz w:val="22"/>
                <w:szCs w:val="22"/>
              </w:rPr>
            </w:pPr>
            <w:r w:rsidRPr="00317ABF">
              <w:rPr>
                <w:b/>
                <w:sz w:val="22"/>
                <w:szCs w:val="22"/>
              </w:rPr>
              <w:t>Art. 210</w:t>
            </w:r>
            <w:r w:rsidRPr="00317ABF">
              <w:rPr>
                <w:sz w:val="22"/>
                <w:szCs w:val="22"/>
              </w:rPr>
              <w:t xml:space="preserve">. Prezes UKE, może, zgodnie z przesłankami, o których mowa w art. 202 pkt 2 lit. a, w drodze decyzji, nałożyć na przedsiębiorcę komunikacji </w:t>
            </w:r>
            <w:r w:rsidRPr="00317ABF">
              <w:rPr>
                <w:sz w:val="22"/>
                <w:szCs w:val="22"/>
              </w:rPr>
              <w:lastRenderedPageBreak/>
              <w:t>elektronicznej o znaczącej pozycji rynkowej obowiązek uwzględniania uzasadnionych wniosków przedsiębiorców komunikacji elektronicznej o zapewnienie im dostępu do infrastruktury technicznej, okablowania pomiędzy zakończeniami sieci w obiekcie budowlanym a najbliższym punktem dystrybucji lub anteny, w tym również niezwiązanych z danym rynkiem właściwym, biorąc pod uwagę to, że odmowa zapewnienia tego dostępu uniemożliwiłaby powstanie trwale konkurencyjnego rynku i naruszałaby interes użytkowników końcowych.</w:t>
            </w:r>
          </w:p>
          <w:p w14:paraId="635199E7" w14:textId="77777777" w:rsidR="00210142" w:rsidRPr="00317ABF" w:rsidRDefault="00210142" w:rsidP="00210142">
            <w:pPr>
              <w:jc w:val="both"/>
              <w:rPr>
                <w:sz w:val="22"/>
                <w:szCs w:val="22"/>
              </w:rPr>
            </w:pPr>
          </w:p>
          <w:p w14:paraId="2A6E1A4C" w14:textId="501ECFAC" w:rsidR="00210142" w:rsidRPr="00317ABF" w:rsidRDefault="00210142" w:rsidP="00210142">
            <w:pPr>
              <w:jc w:val="both"/>
              <w:rPr>
                <w:sz w:val="22"/>
                <w:szCs w:val="22"/>
              </w:rPr>
            </w:pPr>
            <w:r w:rsidRPr="00317ABF">
              <w:rPr>
                <w:b/>
                <w:sz w:val="22"/>
                <w:szCs w:val="22"/>
              </w:rPr>
              <w:t>Art. 211</w:t>
            </w:r>
            <w:r w:rsidRPr="00317ABF">
              <w:rPr>
                <w:sz w:val="22"/>
                <w:szCs w:val="22"/>
              </w:rPr>
              <w:t>. 1. Prezes UKE, może, w drodze decyzji, nałożyć na przedsiębiorcę komunikacji elektronicznej o znaczącej pozycji rynkowej obowiązek uwzględniania uzasadnionych wniosków przedsiębiorców komunikacji elektronicznej o zapewnienie im dostępu telekomunikacyjnego, w tym użytkowania elementów sieci oraz powiązanych zasobów, w szczególności biorąc pod uwagę poziom konkurencyjności rynku detalicznego i interes użytkowników końcowych.</w:t>
            </w:r>
          </w:p>
          <w:p w14:paraId="6ECD4F2A" w14:textId="031CDF98" w:rsidR="00954E42" w:rsidRPr="00317ABF" w:rsidRDefault="00954E42" w:rsidP="00954E42">
            <w:pPr>
              <w:jc w:val="both"/>
              <w:rPr>
                <w:sz w:val="22"/>
                <w:szCs w:val="22"/>
              </w:rPr>
            </w:pPr>
            <w:r w:rsidRPr="00317ABF">
              <w:t xml:space="preserve"> </w:t>
            </w:r>
            <w:r w:rsidRPr="00317ABF">
              <w:rPr>
                <w:b/>
                <w:sz w:val="22"/>
                <w:szCs w:val="22"/>
              </w:rPr>
              <w:t>Art. 213</w:t>
            </w:r>
            <w:r w:rsidRPr="00317ABF">
              <w:rPr>
                <w:sz w:val="22"/>
                <w:szCs w:val="22"/>
              </w:rPr>
              <w:t>. 1. Prezes UKE może, zgodnie z przesłankami, o których mowa w art. 202 pkt 2 lit. a, w drodze decyzji, nałożyć na  przedsiębiorcę komunikacji elektronicznej o znaczącej pozycji rynkowej obowiązek równego traktowania przedsiębiorców komunikacji elektronicznej w zakresie dostępu telekomunikacyjnego, w szczególności przez oferowanie jednakowych warunków w porównywalnych okolicznościach, przeprowadzania testów ekonomicznej odtwarzalności, a także oferowanie usług oraz udostępnianie informacji na warunkach nie gorszych od stosowanych w ramach własnego przedsiębiorstwa, lub w stosunkach z podmiotami zależnymi lub innymi podmiotami, z którymi współpracuje.</w:t>
            </w:r>
          </w:p>
          <w:p w14:paraId="5562E73B" w14:textId="77777777" w:rsidR="00954E42" w:rsidRPr="00317ABF" w:rsidRDefault="00954E42" w:rsidP="00954E42">
            <w:pPr>
              <w:jc w:val="both"/>
              <w:rPr>
                <w:sz w:val="22"/>
                <w:szCs w:val="22"/>
              </w:rPr>
            </w:pPr>
            <w:r w:rsidRPr="00317ABF">
              <w:rPr>
                <w:sz w:val="22"/>
                <w:szCs w:val="22"/>
              </w:rPr>
              <w:t>2. Prezes UKE nakładając obowiązek, o którym mowa w ust. 1, może w celu zapewnienia równego traktowania przedsiębiorców komunikacji elektronicznej w zakresie dostępu telekomunikacyjnego nałożyć obowiązek takiego samego traktowania tych przedsiębiorców w zakresie dostępu, w szczególności przez oferowanie jednakowych warunków, umożliwiając konkurencję na rynku detalicznym, a także oferowanie usług oraz udostępnianie informacji na takich samych warunkach, w tym samym czasie, takiej samej jakości, jak stosowanych w ramach własnego przedsiębiorstwa.</w:t>
            </w:r>
          </w:p>
          <w:p w14:paraId="047EF7CD" w14:textId="77777777" w:rsidR="00954E42" w:rsidRPr="00317ABF" w:rsidRDefault="00954E42" w:rsidP="00954E42">
            <w:pPr>
              <w:jc w:val="both"/>
              <w:rPr>
                <w:sz w:val="22"/>
                <w:szCs w:val="22"/>
              </w:rPr>
            </w:pPr>
          </w:p>
          <w:p w14:paraId="4E4DAEB4" w14:textId="77777777" w:rsidR="00954E42" w:rsidRPr="00317ABF" w:rsidRDefault="00954E42" w:rsidP="00954E42">
            <w:pPr>
              <w:jc w:val="both"/>
              <w:rPr>
                <w:sz w:val="22"/>
                <w:szCs w:val="22"/>
              </w:rPr>
            </w:pPr>
            <w:r w:rsidRPr="00317ABF">
              <w:rPr>
                <w:b/>
                <w:sz w:val="22"/>
                <w:szCs w:val="22"/>
              </w:rPr>
              <w:t>Art. 214.</w:t>
            </w:r>
            <w:r w:rsidRPr="00317ABF">
              <w:rPr>
                <w:sz w:val="22"/>
                <w:szCs w:val="22"/>
              </w:rPr>
              <w:t xml:space="preserve"> 1. Prezes UKE może, zgodnie z przesłankami, o których mowa w art. 202 pkt 2 lit. a, w drodze decyzji, nałożyć na przedsiębiorcę komunikacji elektronicznej o znaczącej pozycji rynkowej obowiązek ogłaszania lub </w:t>
            </w:r>
            <w:r w:rsidRPr="00317ABF">
              <w:rPr>
                <w:sz w:val="22"/>
                <w:szCs w:val="22"/>
              </w:rPr>
              <w:lastRenderedPageBreak/>
              <w:t>udostępniania informacji w sprawach zapewnienia dostępu telekomunikacyjnego, w szczególności dotyczących informacji księgowych, specyfikacji technicznych sieci i urządzeń telekomunikacyjnych, charakterystyki sieci, zasad i warunków świadczenia usług oraz korzystania z sieci, a także opłat.</w:t>
            </w:r>
          </w:p>
          <w:p w14:paraId="15341B4A" w14:textId="77777777" w:rsidR="00954E42" w:rsidRPr="00317ABF" w:rsidRDefault="00954E42" w:rsidP="00954E42">
            <w:pPr>
              <w:jc w:val="both"/>
              <w:rPr>
                <w:sz w:val="22"/>
                <w:szCs w:val="22"/>
              </w:rPr>
            </w:pPr>
            <w:r w:rsidRPr="00317ABF">
              <w:rPr>
                <w:sz w:val="22"/>
                <w:szCs w:val="22"/>
              </w:rPr>
              <w:t>2. Prezes UKE określa w decyzji, o której mowa w ust. 1, stopień uszczegółowienia informacji oraz formę, miejsce i terminy ogłaszania lub udostępniania tych informacji.</w:t>
            </w:r>
          </w:p>
          <w:p w14:paraId="0B07AEF1" w14:textId="77777777" w:rsidR="00954E42" w:rsidRPr="00317ABF" w:rsidRDefault="00954E42" w:rsidP="00954E42">
            <w:pPr>
              <w:jc w:val="both"/>
              <w:rPr>
                <w:sz w:val="22"/>
                <w:szCs w:val="22"/>
              </w:rPr>
            </w:pPr>
            <w:r w:rsidRPr="00317ABF">
              <w:rPr>
                <w:sz w:val="22"/>
                <w:szCs w:val="22"/>
              </w:rPr>
              <w:t>3. Prezes UKE może żądać od przedsiębiorcy komunikacji elektronicznej o znaczącej pozycji rynkowej dostarczania dokumentów oraz udzielania informacji w celu weryfikacji realizowania obowiązków, o których mowa w ust. 1, w art. 213 i art. 220.</w:t>
            </w:r>
          </w:p>
          <w:p w14:paraId="40CF0AD9" w14:textId="77777777" w:rsidR="00954E42" w:rsidRPr="00317ABF" w:rsidRDefault="00954E42" w:rsidP="00954E42">
            <w:pPr>
              <w:jc w:val="both"/>
              <w:rPr>
                <w:sz w:val="22"/>
                <w:szCs w:val="22"/>
              </w:rPr>
            </w:pPr>
            <w:r w:rsidRPr="00317ABF">
              <w:rPr>
                <w:sz w:val="22"/>
                <w:szCs w:val="22"/>
              </w:rPr>
              <w:t>4. Informacje, o których mowa w ust. 3, są udostępniane na stronie podmiotowej BIP UKE.</w:t>
            </w:r>
          </w:p>
          <w:p w14:paraId="15F52EBE" w14:textId="77777777" w:rsidR="00954E42" w:rsidRPr="00317ABF" w:rsidRDefault="00954E42" w:rsidP="00954E42">
            <w:pPr>
              <w:jc w:val="both"/>
              <w:rPr>
                <w:sz w:val="22"/>
                <w:szCs w:val="22"/>
              </w:rPr>
            </w:pPr>
          </w:p>
          <w:p w14:paraId="61E0029E" w14:textId="77777777" w:rsidR="00954E42" w:rsidRPr="00317ABF" w:rsidRDefault="00954E42" w:rsidP="00954E42">
            <w:pPr>
              <w:jc w:val="both"/>
              <w:rPr>
                <w:sz w:val="22"/>
                <w:szCs w:val="22"/>
              </w:rPr>
            </w:pPr>
            <w:r w:rsidRPr="00317ABF">
              <w:rPr>
                <w:b/>
                <w:sz w:val="22"/>
                <w:szCs w:val="22"/>
              </w:rPr>
              <w:t>Art. 215</w:t>
            </w:r>
            <w:r w:rsidRPr="00317ABF">
              <w:rPr>
                <w:sz w:val="22"/>
                <w:szCs w:val="22"/>
              </w:rPr>
              <w:t>. 1. Prezes UKE może, zgodnie z przesłankami, o których mowa w art. 202 pkt 2 lit. a, w drodze decyzji, nałożyć na przedsiębiorcę komunikacji elektronicznej o znaczącej pozycji rynkowej obowiązek prowadzenia rachunkowości regulacyjnej w sposób umożliwiający identyfikację przepływów transferów wewnętrznych związanych z działalnością w zakresie dostępu telekomunikacyjnego, zgodnie z przepisami art. 253-258.</w:t>
            </w:r>
          </w:p>
          <w:p w14:paraId="69D154CB" w14:textId="77777777" w:rsidR="00954E42" w:rsidRPr="00317ABF" w:rsidRDefault="00954E42" w:rsidP="00954E42">
            <w:pPr>
              <w:jc w:val="both"/>
              <w:rPr>
                <w:sz w:val="22"/>
                <w:szCs w:val="22"/>
              </w:rPr>
            </w:pPr>
            <w:r w:rsidRPr="00317ABF">
              <w:rPr>
                <w:sz w:val="22"/>
                <w:szCs w:val="22"/>
              </w:rPr>
              <w:t>2. Przedsiębiorca komunikacji elektronicznej prowadzi rachunkowość regulacyjną zgodnie z zatwierdzoną przez Prezesa UKE instrukcją.</w:t>
            </w:r>
          </w:p>
          <w:p w14:paraId="7A0EFC7F" w14:textId="77777777" w:rsidR="00954E42" w:rsidRPr="00317ABF" w:rsidRDefault="00954E42" w:rsidP="00954E42">
            <w:pPr>
              <w:jc w:val="both"/>
              <w:rPr>
                <w:sz w:val="22"/>
                <w:szCs w:val="22"/>
              </w:rPr>
            </w:pPr>
          </w:p>
          <w:p w14:paraId="1EAED115" w14:textId="77777777" w:rsidR="00954E42" w:rsidRPr="00317ABF" w:rsidRDefault="00954E42" w:rsidP="00954E42">
            <w:pPr>
              <w:jc w:val="both"/>
              <w:rPr>
                <w:sz w:val="22"/>
                <w:szCs w:val="22"/>
              </w:rPr>
            </w:pPr>
            <w:r w:rsidRPr="00317ABF">
              <w:rPr>
                <w:b/>
                <w:sz w:val="22"/>
                <w:szCs w:val="22"/>
              </w:rPr>
              <w:t>Art. 216.</w:t>
            </w:r>
            <w:r w:rsidRPr="00317ABF">
              <w:rPr>
                <w:sz w:val="22"/>
                <w:szCs w:val="22"/>
              </w:rPr>
              <w:t xml:space="preserve"> 1. Prezes UKE uwzględniając potrzebę promowania konkurencji oraz długofalowe interesy użytkowników końcowych związane z rozwojem sieci składającej się z elementów światłowodowych, a zwłaszcza sieci o bardzo dużej przepustowości, może, w szczególności w sytuacji, gdy analiza rynku wykazała, że przedsiębiorca komunikacji elektronicznej o znaczącej pozycji rynkowej może utrzymywać opłaty na nadmiernie wysokim lub niskim poziomie ze szkodą dla użytkowników końcowych, zgodnie z przesłankami, o których mowa w art. 202 pkt 2 lit a oraz biorąc pod uwagę korzyści związane z istnieniem przewidywalnych i stabilnych opłat, inwestycje dokonane przez przedsiębiorcę komunikacji elektronicznej o znaczącej pozycji rynkowej oraz promocję realizacji nowych inwestycji, w tym w sieci o bardzo dużej przepustowości, w drodze decyzji, nałożyć na przedsiębiorcę komunikacji elektronicznej o znaczącej pozycji rynkowej obowiązek:</w:t>
            </w:r>
          </w:p>
          <w:p w14:paraId="3397C43C" w14:textId="77777777" w:rsidR="00954E42" w:rsidRPr="00317ABF" w:rsidRDefault="00954E42" w:rsidP="00954E42">
            <w:pPr>
              <w:jc w:val="both"/>
              <w:rPr>
                <w:sz w:val="22"/>
                <w:szCs w:val="22"/>
              </w:rPr>
            </w:pPr>
            <w:r w:rsidRPr="00317ABF">
              <w:rPr>
                <w:sz w:val="22"/>
                <w:szCs w:val="22"/>
              </w:rPr>
              <w:lastRenderedPageBreak/>
              <w:t>1)</w:t>
            </w:r>
            <w:r w:rsidRPr="00317ABF">
              <w:rPr>
                <w:sz w:val="22"/>
                <w:szCs w:val="22"/>
              </w:rPr>
              <w:tab/>
              <w:t>kalkulacji uzasadnionych kosztów świadczenia dostępu telekomunikacyjnego, wskazując sposoby kalkulacji kosztów, jakie przedsiębiorca komunikacji elektronicznej powinien stosować na podstawie przepisów wykonawczych wydanych na podstawie art. 255, zgodnie z zatwierdzonym przez Prezesa UKE opisem kalkulacji kosztów oraz stosowania, w oparciu o tę kalkulację, opłat z tytułu dostępu telekomunikacyjnego, uwzględniających zwrot uzasadnionych kosztów, które ponosi przedsiębiorca komunikacji elektronicznej,</w:t>
            </w:r>
          </w:p>
          <w:p w14:paraId="604FEEB6" w14:textId="77777777" w:rsidR="00954E42" w:rsidRPr="00317ABF" w:rsidRDefault="00954E42" w:rsidP="00954E42">
            <w:pPr>
              <w:jc w:val="both"/>
              <w:rPr>
                <w:sz w:val="22"/>
                <w:szCs w:val="22"/>
              </w:rPr>
            </w:pPr>
            <w:r w:rsidRPr="00317ABF">
              <w:rPr>
                <w:sz w:val="22"/>
                <w:szCs w:val="22"/>
              </w:rPr>
              <w:t>2)</w:t>
            </w:r>
            <w:r w:rsidRPr="00317ABF">
              <w:rPr>
                <w:sz w:val="22"/>
                <w:szCs w:val="22"/>
              </w:rPr>
              <w:tab/>
              <w:t>stosowania opłat z tytułu dostępu telekomunikacyjnego, w oparciu o koszty, które ponosi przedsiębiorca komunikacji elektronicznej albo</w:t>
            </w:r>
          </w:p>
          <w:p w14:paraId="7585AFCE" w14:textId="77777777" w:rsidR="00954E42" w:rsidRPr="00317ABF" w:rsidRDefault="00954E42" w:rsidP="00954E42">
            <w:pPr>
              <w:jc w:val="both"/>
              <w:rPr>
                <w:sz w:val="22"/>
                <w:szCs w:val="22"/>
              </w:rPr>
            </w:pPr>
            <w:r w:rsidRPr="00317ABF">
              <w:rPr>
                <w:sz w:val="22"/>
                <w:szCs w:val="22"/>
              </w:rPr>
              <w:t>3)</w:t>
            </w:r>
            <w:r w:rsidRPr="00317ABF">
              <w:rPr>
                <w:sz w:val="22"/>
                <w:szCs w:val="22"/>
              </w:rPr>
              <w:tab/>
              <w:t>stosowania opłat z tytułu dostępu telekomunikacyjnego w wysokości określonej przez Prezesa UKE</w:t>
            </w:r>
          </w:p>
          <w:p w14:paraId="007663D8" w14:textId="24B65D0F" w:rsidR="00954E42" w:rsidRPr="00317ABF" w:rsidRDefault="00954E42" w:rsidP="00954E42">
            <w:pPr>
              <w:jc w:val="both"/>
              <w:rPr>
                <w:sz w:val="22"/>
                <w:szCs w:val="22"/>
              </w:rPr>
            </w:pPr>
            <w:r w:rsidRPr="00317ABF">
              <w:rPr>
                <w:sz w:val="22"/>
                <w:szCs w:val="22"/>
              </w:rPr>
              <w:t>- przy czym nakładając powyższe obowiązki, Prezes UKE umożliwi uzyskanie przedsiębiorcy komunikacji elektronicznej o znaczącej pozycji rynkowej rozsądnej stopy zwrotu z zaangażowanego kapitału, uwzględniając ryzyko typowe dla danego nowego przedsięwzięcia inwestycyjnego.</w:t>
            </w:r>
          </w:p>
          <w:p w14:paraId="36914078" w14:textId="78D27DCD" w:rsidR="001E1112" w:rsidRPr="00317ABF" w:rsidRDefault="001E1112" w:rsidP="00954E42">
            <w:pPr>
              <w:jc w:val="both"/>
              <w:rPr>
                <w:sz w:val="22"/>
                <w:szCs w:val="22"/>
              </w:rPr>
            </w:pPr>
          </w:p>
          <w:p w14:paraId="3DE71021" w14:textId="77777777" w:rsidR="00954E42" w:rsidRPr="00317ABF" w:rsidRDefault="00954E42" w:rsidP="00954E42">
            <w:pPr>
              <w:jc w:val="both"/>
              <w:rPr>
                <w:b/>
                <w:sz w:val="22"/>
                <w:szCs w:val="22"/>
              </w:rPr>
            </w:pPr>
            <w:r w:rsidRPr="00317ABF">
              <w:rPr>
                <w:b/>
                <w:sz w:val="22"/>
                <w:szCs w:val="22"/>
              </w:rPr>
              <w:t>Art. 219.</w:t>
            </w:r>
          </w:p>
          <w:p w14:paraId="6C1DF961" w14:textId="77777777" w:rsidR="00954E42" w:rsidRPr="00317ABF" w:rsidRDefault="00954E42" w:rsidP="00954E42">
            <w:pPr>
              <w:pStyle w:val="USTustnpkodeksu"/>
              <w:spacing w:line="240" w:lineRule="auto"/>
              <w:rPr>
                <w:rFonts w:ascii="Times New Roman" w:hAnsi="Times New Roman" w:cs="Times New Roman"/>
                <w:szCs w:val="24"/>
              </w:rPr>
            </w:pPr>
            <w:r w:rsidRPr="00317ABF">
              <w:rPr>
                <w:rFonts w:ascii="Times New Roman" w:hAnsi="Times New Roman" w:cs="Times New Roman"/>
                <w:szCs w:val="24"/>
              </w:rPr>
              <w:t>2. W przypadku niewydania aktu delegowanego na podstawie art. 75 ust. 1 EKŁE, Prezes UKE może, w drodze decyzji, nałożyć zgodnie z przesłankami, o których mowa w art. 202 pkt 2 lit. a, na przedsiębiorcę komunikacji elektronicznej o znaczącej pozycji rynkowej obowiązek stosowania opłaty za zakańczanie połączeń głosowych w określonej wysokości.</w:t>
            </w:r>
          </w:p>
          <w:p w14:paraId="1698DF67" w14:textId="77777777" w:rsidR="00954E42" w:rsidRPr="00317ABF" w:rsidRDefault="00954E42" w:rsidP="00954E42">
            <w:pPr>
              <w:pStyle w:val="USTustnpkodeksu"/>
              <w:spacing w:line="240" w:lineRule="auto"/>
              <w:rPr>
                <w:rFonts w:ascii="Times New Roman" w:hAnsi="Times New Roman" w:cs="Times New Roman"/>
                <w:szCs w:val="24"/>
              </w:rPr>
            </w:pPr>
          </w:p>
          <w:p w14:paraId="01BF4225" w14:textId="791D5C23" w:rsidR="00954E42" w:rsidRPr="00317ABF" w:rsidRDefault="00954E42" w:rsidP="00954E42">
            <w:pPr>
              <w:pStyle w:val="USTustnpkodeksu"/>
              <w:spacing w:line="240" w:lineRule="auto"/>
              <w:ind w:firstLine="0"/>
              <w:rPr>
                <w:rFonts w:ascii="Times New Roman" w:hAnsi="Times New Roman" w:cs="Times New Roman"/>
                <w:szCs w:val="24"/>
              </w:rPr>
            </w:pPr>
            <w:r w:rsidRPr="00317ABF">
              <w:rPr>
                <w:rFonts w:ascii="Times New Roman" w:hAnsi="Times New Roman" w:cs="Times New Roman"/>
                <w:b/>
                <w:szCs w:val="24"/>
              </w:rPr>
              <w:t>Art. 220.</w:t>
            </w:r>
            <w:r w:rsidRPr="00317ABF">
              <w:rPr>
                <w:rFonts w:ascii="Times New Roman" w:hAnsi="Times New Roman" w:cs="Times New Roman"/>
                <w:szCs w:val="24"/>
              </w:rPr>
              <w:t xml:space="preserve"> 1. Prezes UKE może nałożyć, zgodnie z przesłankami, o których mowa w art. 202 pkt 2 lit. a, w drodze decyzji, na przedsiębiorcę komunikacji elektronicznej o znaczącej pozycji rynkowej, na którego został nałożony obowiązek równego traktowania zgodnie z art. 213, lub wraz z tym obowiązkiem, obowiązek przygotowania i przedstawienia w określonym terminie projektu oferty ramowej o dostępie telekomunikacyjnym, której zakres, stopień szczegółowości oraz sposób udostępnienia określi w decyzji.</w:t>
            </w:r>
          </w:p>
          <w:p w14:paraId="7664A778" w14:textId="77777777" w:rsidR="00954E42" w:rsidRPr="00317ABF" w:rsidRDefault="00954E42" w:rsidP="00954E42">
            <w:pPr>
              <w:pStyle w:val="USTustnpkodeksu"/>
              <w:spacing w:line="240" w:lineRule="auto"/>
              <w:ind w:firstLine="0"/>
              <w:rPr>
                <w:rFonts w:ascii="Times New Roman" w:hAnsi="Times New Roman" w:cs="Times New Roman"/>
                <w:szCs w:val="24"/>
              </w:rPr>
            </w:pPr>
          </w:p>
          <w:p w14:paraId="4459E670" w14:textId="77777777" w:rsidR="00954E42" w:rsidRPr="00317ABF" w:rsidRDefault="00954E42" w:rsidP="00954E42">
            <w:pPr>
              <w:pStyle w:val="ARTartustawynprozporzdzenia"/>
              <w:spacing w:line="240" w:lineRule="auto"/>
              <w:ind w:firstLine="0"/>
              <w:rPr>
                <w:rFonts w:ascii="Times New Roman" w:hAnsi="Times New Roman" w:cs="Times New Roman"/>
                <w:szCs w:val="24"/>
              </w:rPr>
            </w:pPr>
            <w:r w:rsidRPr="00317ABF">
              <w:rPr>
                <w:rStyle w:val="Ppogrubienie"/>
                <w:rFonts w:ascii="Times New Roman" w:hAnsi="Times New Roman"/>
                <w:szCs w:val="24"/>
              </w:rPr>
              <w:lastRenderedPageBreak/>
              <w:t>Art. 224.</w:t>
            </w:r>
            <w:r w:rsidRPr="00317ABF">
              <w:rPr>
                <w:rFonts w:ascii="Times New Roman" w:hAnsi="Times New Roman" w:cs="Times New Roman"/>
                <w:szCs w:val="24"/>
              </w:rPr>
              <w:t xml:space="preserve"> 1. Jeżeli nałożone uprzednio obowiązki regulacyjne w zakresie dostępu telekomunikacyjnego, o których mowa w art. 210, art. 211, art. 213-215, art. 216 ust. 1 i art. 220, nie zapewniły na rynku hurtowym lub rynkach hurtowych skutecznej konkurencji oraz istnieją na tym rynku lub rynkach trwałe i wysokie bariery konkurencyjne lub rynkowe, Prezes UKE może, po przeprowadzeniu analizy, o której mowa w art. 197 ust. 1, w zakresie tego rynku hurtowego lub rynków hurtowych, nałożyć na przedsiębiorcę komunikacji elektronicznej świadczącego usługi na rynku lub rynkach hurtowych oraz na odpowiadającym mu rynku detalicznym lub rynkach detalicznych, zwanego dalej „przedsiębiorcą zintegrowanym pionowo”, obowiązek rozdziału funkcjonalnego, polegający na wykonywaniu działalności związanej ze świadczeniem usług hurtowego dostępu telekomunikacyjnego przez wyodrębnioną, działającą niezależnie jednostkę organizacyjną, zwaną dalej „wydzieloną jednostką organizacyjną”, lub przez kilka wydzielonych jednostek organizacyjnych.</w:t>
            </w:r>
          </w:p>
          <w:p w14:paraId="0E799112" w14:textId="77777777" w:rsidR="00954E42" w:rsidRPr="00317ABF" w:rsidRDefault="00954E42" w:rsidP="00954E42">
            <w:pPr>
              <w:pStyle w:val="USTustnpkodeksu"/>
              <w:spacing w:line="240" w:lineRule="auto"/>
              <w:ind w:firstLine="0"/>
              <w:rPr>
                <w:rFonts w:ascii="Times New Roman" w:hAnsi="Times New Roman" w:cs="Times New Roman"/>
                <w:szCs w:val="24"/>
              </w:rPr>
            </w:pPr>
          </w:p>
          <w:p w14:paraId="41B49D33" w14:textId="77777777" w:rsidR="00954E42" w:rsidRPr="00317ABF" w:rsidRDefault="00954E42" w:rsidP="00954E42">
            <w:pPr>
              <w:jc w:val="both"/>
              <w:rPr>
                <w:sz w:val="22"/>
                <w:szCs w:val="22"/>
              </w:rPr>
            </w:pPr>
            <w:r w:rsidRPr="00317ABF">
              <w:rPr>
                <w:b/>
                <w:sz w:val="22"/>
                <w:szCs w:val="22"/>
              </w:rPr>
              <w:t>Art. 230.</w:t>
            </w:r>
            <w:r w:rsidRPr="00317ABF">
              <w:rPr>
                <w:sz w:val="22"/>
                <w:szCs w:val="22"/>
              </w:rPr>
              <w:t xml:space="preserve"> 1. Przedsiębiorca komunikacji elektronicznej o znaczącej pozycji rynkowej, przedstawia Prezesowi UKE powiadomienie o zamiarze migracji z infrastruktury, w tym dotychczasowej infrastruktury niezbędnej do eksploatacji sieci miedzianej, które objęte są obowiązkami regulacyjnymi, polegającej na:</w:t>
            </w:r>
          </w:p>
          <w:p w14:paraId="48FF7635" w14:textId="77777777" w:rsidR="00954E42" w:rsidRPr="00317ABF" w:rsidRDefault="00954E42" w:rsidP="00954E42">
            <w:pPr>
              <w:ind w:firstLine="510"/>
              <w:jc w:val="both"/>
              <w:rPr>
                <w:sz w:val="22"/>
                <w:szCs w:val="22"/>
              </w:rPr>
            </w:pPr>
            <w:r w:rsidRPr="00317ABF">
              <w:rPr>
                <w:sz w:val="22"/>
                <w:szCs w:val="22"/>
              </w:rPr>
              <w:t>1)</w:t>
            </w:r>
            <w:r w:rsidRPr="00317ABF">
              <w:rPr>
                <w:sz w:val="22"/>
                <w:szCs w:val="22"/>
              </w:rPr>
              <w:tab/>
              <w:t>trwałym wycofaniu z eksploatacji sieci miedzianej,</w:t>
            </w:r>
          </w:p>
          <w:p w14:paraId="0B66B070" w14:textId="77777777" w:rsidR="00954E42" w:rsidRPr="00317ABF" w:rsidRDefault="00954E42" w:rsidP="00954E42">
            <w:pPr>
              <w:ind w:firstLine="510"/>
              <w:jc w:val="both"/>
              <w:rPr>
                <w:sz w:val="22"/>
                <w:szCs w:val="22"/>
              </w:rPr>
            </w:pPr>
            <w:r w:rsidRPr="00317ABF">
              <w:rPr>
                <w:sz w:val="22"/>
                <w:szCs w:val="22"/>
              </w:rPr>
              <w:t>2)</w:t>
            </w:r>
            <w:r w:rsidRPr="00317ABF">
              <w:rPr>
                <w:sz w:val="22"/>
                <w:szCs w:val="22"/>
              </w:rPr>
              <w:tab/>
              <w:t>zastąpieniu części sieci miedzianej nowymi elementami umożliwiającymi świadczenie usług o wyższych parametrach jakościowych,</w:t>
            </w:r>
          </w:p>
          <w:p w14:paraId="7D8B82B7" w14:textId="77777777" w:rsidR="00954E42" w:rsidRPr="00317ABF" w:rsidRDefault="00954E42" w:rsidP="00954E42">
            <w:pPr>
              <w:ind w:firstLine="510"/>
              <w:jc w:val="both"/>
              <w:rPr>
                <w:sz w:val="22"/>
                <w:szCs w:val="22"/>
              </w:rPr>
            </w:pPr>
            <w:r w:rsidRPr="00317ABF">
              <w:rPr>
                <w:sz w:val="22"/>
                <w:szCs w:val="22"/>
              </w:rPr>
              <w:t>3)</w:t>
            </w:r>
            <w:r w:rsidRPr="00317ABF">
              <w:rPr>
                <w:sz w:val="22"/>
                <w:szCs w:val="22"/>
              </w:rPr>
              <w:tab/>
              <w:t>trwałym wycofaniu lub zastąpieniu infrastruktury niezbędnej do eksploatacji sieci miedzianej</w:t>
            </w:r>
          </w:p>
          <w:p w14:paraId="6C229200" w14:textId="77777777" w:rsidR="00954E42" w:rsidRPr="00317ABF" w:rsidRDefault="00954E42" w:rsidP="00954E42">
            <w:pPr>
              <w:ind w:firstLine="510"/>
              <w:jc w:val="both"/>
              <w:rPr>
                <w:sz w:val="22"/>
                <w:szCs w:val="22"/>
              </w:rPr>
            </w:pPr>
            <w:r w:rsidRPr="00317ABF">
              <w:rPr>
                <w:sz w:val="22"/>
                <w:szCs w:val="22"/>
              </w:rPr>
              <w:t xml:space="preserve">- nie później niż w terminie 8 miesięcy przed planowanym terminem rozpoczęcia migracji.2. Do powiadomienia, o którym mowa w ust. 1, przedsiębiorca komunikacji elektronicznej,  załącza przejrzysty harmonogram i warunki migracji z infrastruktury, o której mowa w ust. 1, które, jeżeli jest to konieczne, w celu ochrony konkurencji i praw użytkowników końcowych, określają w szczególności: </w:t>
            </w:r>
          </w:p>
          <w:p w14:paraId="0547FD05" w14:textId="77777777" w:rsidR="00954E42" w:rsidRPr="00317ABF" w:rsidRDefault="00954E42" w:rsidP="00954E42">
            <w:pPr>
              <w:ind w:firstLine="510"/>
              <w:jc w:val="both"/>
              <w:rPr>
                <w:sz w:val="22"/>
                <w:szCs w:val="22"/>
              </w:rPr>
            </w:pPr>
            <w:r w:rsidRPr="00317ABF">
              <w:rPr>
                <w:sz w:val="22"/>
                <w:szCs w:val="22"/>
              </w:rPr>
              <w:t>1)</w:t>
            </w:r>
            <w:r w:rsidRPr="00317ABF">
              <w:rPr>
                <w:sz w:val="22"/>
                <w:szCs w:val="22"/>
              </w:rPr>
              <w:tab/>
              <w:t xml:space="preserve">terminy powiadamiania o migracji podmiotów korzystających z tej infrastruktury oraz </w:t>
            </w:r>
          </w:p>
          <w:p w14:paraId="35C25566" w14:textId="77777777" w:rsidR="00954E42" w:rsidRPr="00317ABF" w:rsidRDefault="00954E42" w:rsidP="00954E42">
            <w:pPr>
              <w:ind w:firstLine="510"/>
              <w:jc w:val="both"/>
              <w:rPr>
                <w:sz w:val="22"/>
                <w:szCs w:val="22"/>
              </w:rPr>
            </w:pPr>
            <w:r w:rsidRPr="00317ABF">
              <w:rPr>
                <w:sz w:val="22"/>
                <w:szCs w:val="22"/>
              </w:rPr>
              <w:lastRenderedPageBreak/>
              <w:t>2)</w:t>
            </w:r>
            <w:r w:rsidRPr="00317ABF">
              <w:rPr>
                <w:sz w:val="22"/>
                <w:szCs w:val="22"/>
              </w:rPr>
              <w:tab/>
              <w:t>alternatywne sposoby zapewnienia dostępu telekomunikacyjnego umożliwiające świadczenie usług o co najmniej porównywalnej jakości dotychczasowym użytkownikom końcowym.</w:t>
            </w:r>
          </w:p>
          <w:p w14:paraId="7B5306D0" w14:textId="77777777" w:rsidR="00954E42" w:rsidRPr="00317ABF" w:rsidRDefault="00954E42" w:rsidP="00954E42">
            <w:pPr>
              <w:ind w:firstLine="510"/>
              <w:jc w:val="both"/>
              <w:rPr>
                <w:sz w:val="22"/>
                <w:szCs w:val="22"/>
              </w:rPr>
            </w:pPr>
            <w:r w:rsidRPr="00317ABF">
              <w:rPr>
                <w:sz w:val="22"/>
                <w:szCs w:val="22"/>
              </w:rPr>
              <w:t xml:space="preserve">3. Prezes UKE, w drodze decyzji, zatwierdza albo odmawia zatwierdzenia powiadomienia, jeżeli nie spełnia ono warunków określonych w ust. 2. W decyzji, o odmowie zatwierdzenia powiadomienia, Prezes UKE zobowiązuje przedsiębiorcę komunikacji elektronicznej do przedstawienia poprawionego powiadomienia. </w:t>
            </w:r>
          </w:p>
          <w:p w14:paraId="3B3954D2" w14:textId="77777777" w:rsidR="00954E42" w:rsidRPr="00317ABF" w:rsidRDefault="00954E42" w:rsidP="00954E42">
            <w:pPr>
              <w:ind w:firstLine="510"/>
              <w:jc w:val="both"/>
              <w:rPr>
                <w:sz w:val="22"/>
                <w:szCs w:val="22"/>
              </w:rPr>
            </w:pPr>
            <w:r w:rsidRPr="00317ABF">
              <w:rPr>
                <w:sz w:val="22"/>
                <w:szCs w:val="22"/>
              </w:rPr>
              <w:t>4. W przypadku wydania decyzji o zatwierdzeniu powiadomienia, o której mowa w ust. 3, Prezes UKE może, w drodze decyzji, uchylić obowiązki regulacyjne w zakresie dostępu telekomunikacyjnego do sieci miedzianej lub infrastruktury niezbędnej do eksploatacji sieci miedzianej objętej migracją.</w:t>
            </w:r>
          </w:p>
          <w:p w14:paraId="2177CE7D" w14:textId="77777777" w:rsidR="00954E42" w:rsidRPr="00317ABF" w:rsidRDefault="00954E42" w:rsidP="00954E42">
            <w:pPr>
              <w:ind w:firstLine="510"/>
              <w:jc w:val="both"/>
              <w:rPr>
                <w:sz w:val="22"/>
                <w:szCs w:val="22"/>
              </w:rPr>
            </w:pPr>
            <w:r w:rsidRPr="00317ABF">
              <w:rPr>
                <w:sz w:val="22"/>
                <w:szCs w:val="22"/>
              </w:rPr>
              <w:t xml:space="preserve">5. Jeżeli powiadomienie, o którym mowa w ust. 1, dotyczy infrastruktury, za pomocąktórej nie są już świadczone usługi komunikacji elektronicznej użytkownikom końcowym, termin na jego przedstawienie wynosi 3 miesiące przed planowanym terminem rozpoczęcia migracji. </w:t>
            </w:r>
          </w:p>
          <w:p w14:paraId="36D5614B" w14:textId="0C394EDB" w:rsidR="001E1112" w:rsidRPr="00317ABF" w:rsidRDefault="00954E42" w:rsidP="00DB3BEC">
            <w:pPr>
              <w:jc w:val="both"/>
              <w:rPr>
                <w:sz w:val="22"/>
                <w:szCs w:val="22"/>
              </w:rPr>
            </w:pPr>
            <w:r w:rsidRPr="00317ABF">
              <w:rPr>
                <w:sz w:val="22"/>
                <w:szCs w:val="22"/>
              </w:rPr>
              <w:t>6. Jeżeli alternatywny sposób zapewnienia dostępu telekomunikacyjnego, o którym mowa w ust. 2 pkt 2, został zapewniony z wykorzystaniem wyłącznie stacjonarnej sieci telekomunikacyjnej spełniającej wymagania, o których mowa w art. 2 pkt 58 lit. a ustawy, termin na przedstawienie powiadomienia, o którym mowa w ust. 1, wynosi 2 miesiące przed planowanym rozpoczęciem migracji.</w:t>
            </w:r>
          </w:p>
        </w:tc>
      </w:tr>
      <w:tr w:rsidR="001E1112" w:rsidRPr="00317ABF" w14:paraId="3CC6DE99" w14:textId="77777777" w:rsidTr="7753F98D">
        <w:trPr>
          <w:gridAfter w:val="2"/>
          <w:wAfter w:w="175" w:type="dxa"/>
        </w:trPr>
        <w:tc>
          <w:tcPr>
            <w:tcW w:w="704" w:type="dxa"/>
          </w:tcPr>
          <w:p w14:paraId="0C4A6ED9" w14:textId="77777777" w:rsidR="001E1112" w:rsidRPr="00317ABF" w:rsidRDefault="001E1112" w:rsidP="00DB3BEC">
            <w:pPr>
              <w:jc w:val="both"/>
              <w:rPr>
                <w:sz w:val="22"/>
                <w:szCs w:val="22"/>
              </w:rPr>
            </w:pPr>
            <w:r w:rsidRPr="00317ABF">
              <w:rPr>
                <w:sz w:val="22"/>
                <w:szCs w:val="22"/>
              </w:rPr>
              <w:lastRenderedPageBreak/>
              <w:t>Art. 68 ust. 2</w:t>
            </w:r>
          </w:p>
        </w:tc>
        <w:tc>
          <w:tcPr>
            <w:tcW w:w="4308" w:type="dxa"/>
          </w:tcPr>
          <w:p w14:paraId="3BF62900" w14:textId="77777777" w:rsidR="001E1112" w:rsidRPr="00317ABF" w:rsidRDefault="001E1112" w:rsidP="00DB3BEC">
            <w:pPr>
              <w:spacing w:before="120"/>
              <w:jc w:val="both"/>
              <w:rPr>
                <w:sz w:val="22"/>
                <w:szCs w:val="22"/>
              </w:rPr>
            </w:pPr>
            <w:r w:rsidRPr="00317ABF">
              <w:rPr>
                <w:sz w:val="22"/>
                <w:szCs w:val="22"/>
              </w:rPr>
              <w:t>2.   Jeżeli w wyniku analizy rynku przeprowadzonej zgodnie z art. 67 dane przedsiębiorstwo zostało wyznaczone jako posiadające znaczącą pozycję rynkową na danym rynku, krajowe organy regulacyjne nakładają, stosownie do przypadku dowolne spośród obowiązków wymienionych w art. 69–74 i art. 76 i 80. Zgodnie z zasadą proporcjonalności krajowy organ regulacyjny wybiera najmniej interwencyjny sposób podejścia do problemów zidentyfikowanych w analizie rynku.</w:t>
            </w:r>
          </w:p>
        </w:tc>
        <w:tc>
          <w:tcPr>
            <w:tcW w:w="986" w:type="dxa"/>
          </w:tcPr>
          <w:p w14:paraId="13727FAD" w14:textId="7D6822F9" w:rsidR="001E1112" w:rsidRPr="00317ABF" w:rsidRDefault="001E1112" w:rsidP="00DB3BEC">
            <w:pPr>
              <w:jc w:val="both"/>
              <w:rPr>
                <w:sz w:val="22"/>
                <w:szCs w:val="22"/>
              </w:rPr>
            </w:pPr>
            <w:r w:rsidRPr="00317ABF">
              <w:rPr>
                <w:sz w:val="22"/>
                <w:szCs w:val="22"/>
              </w:rPr>
              <w:t>T</w:t>
            </w:r>
          </w:p>
        </w:tc>
        <w:tc>
          <w:tcPr>
            <w:tcW w:w="910" w:type="dxa"/>
          </w:tcPr>
          <w:p w14:paraId="3C097B56" w14:textId="3FA3E685" w:rsidR="001E1112" w:rsidRPr="00317ABF" w:rsidRDefault="001E1112" w:rsidP="00DB3BEC">
            <w:pPr>
              <w:pStyle w:val="Tekstpodstawowy"/>
              <w:rPr>
                <w:b/>
                <w:bCs/>
                <w:noProof/>
                <w:sz w:val="22"/>
                <w:szCs w:val="22"/>
              </w:rPr>
            </w:pPr>
            <w:r w:rsidRPr="00317ABF">
              <w:rPr>
                <w:b/>
                <w:bCs/>
                <w:noProof/>
                <w:sz w:val="22"/>
                <w:szCs w:val="22"/>
              </w:rPr>
              <w:t>Art. 1</w:t>
            </w:r>
            <w:r w:rsidR="008B5401" w:rsidRPr="00317ABF">
              <w:rPr>
                <w:b/>
                <w:bCs/>
                <w:noProof/>
                <w:sz w:val="22"/>
                <w:szCs w:val="22"/>
              </w:rPr>
              <w:t>99</w:t>
            </w:r>
            <w:r w:rsidRPr="00317ABF">
              <w:rPr>
                <w:b/>
                <w:bCs/>
                <w:noProof/>
                <w:sz w:val="22"/>
                <w:szCs w:val="22"/>
              </w:rPr>
              <w:t xml:space="preserve"> ust. 4, art. </w:t>
            </w:r>
            <w:r w:rsidR="008B5401" w:rsidRPr="00317ABF">
              <w:rPr>
                <w:b/>
                <w:bCs/>
                <w:noProof/>
                <w:sz w:val="22"/>
                <w:szCs w:val="22"/>
              </w:rPr>
              <w:t>202</w:t>
            </w:r>
          </w:p>
        </w:tc>
        <w:tc>
          <w:tcPr>
            <w:tcW w:w="6814" w:type="dxa"/>
            <w:gridSpan w:val="2"/>
          </w:tcPr>
          <w:p w14:paraId="44659DB2" w14:textId="62382DB4" w:rsidR="001E1112" w:rsidRPr="00317ABF" w:rsidRDefault="001E1112" w:rsidP="008B5401">
            <w:pPr>
              <w:jc w:val="both"/>
              <w:rPr>
                <w:b/>
                <w:sz w:val="22"/>
                <w:szCs w:val="22"/>
              </w:rPr>
            </w:pPr>
            <w:r w:rsidRPr="00317ABF">
              <w:rPr>
                <w:b/>
                <w:sz w:val="22"/>
                <w:szCs w:val="22"/>
              </w:rPr>
              <w:t>Art. 1</w:t>
            </w:r>
            <w:r w:rsidR="008B5401" w:rsidRPr="00317ABF">
              <w:rPr>
                <w:b/>
                <w:sz w:val="22"/>
                <w:szCs w:val="22"/>
              </w:rPr>
              <w:t>99</w:t>
            </w:r>
            <w:r w:rsidRPr="00317ABF">
              <w:rPr>
                <w:b/>
                <w:sz w:val="22"/>
                <w:szCs w:val="22"/>
              </w:rPr>
              <w:t xml:space="preserve"> ust. 4</w:t>
            </w:r>
          </w:p>
          <w:p w14:paraId="5E619FB1" w14:textId="77777777" w:rsidR="008B5401" w:rsidRPr="00317ABF" w:rsidRDefault="008B5401" w:rsidP="008B5401">
            <w:pPr>
              <w:jc w:val="both"/>
              <w:rPr>
                <w:sz w:val="22"/>
                <w:szCs w:val="22"/>
              </w:rPr>
            </w:pPr>
          </w:p>
          <w:p w14:paraId="1CD7739B" w14:textId="33750561" w:rsidR="001E1112" w:rsidRPr="00317ABF" w:rsidRDefault="001E1112" w:rsidP="008B5401">
            <w:pPr>
              <w:jc w:val="both"/>
              <w:rPr>
                <w:sz w:val="22"/>
                <w:szCs w:val="22"/>
              </w:rPr>
            </w:pPr>
            <w:r w:rsidRPr="00317ABF">
              <w:rPr>
                <w:sz w:val="22"/>
                <w:szCs w:val="22"/>
              </w:rPr>
              <w:t xml:space="preserve">4. Przez obowiązek regulacyjny rozumie się obowiązek, o którym mowa w art. </w:t>
            </w:r>
            <w:r w:rsidR="008B5401" w:rsidRPr="00317ABF">
              <w:rPr>
                <w:sz w:val="22"/>
                <w:szCs w:val="22"/>
              </w:rPr>
              <w:t>210</w:t>
            </w:r>
            <w:r w:rsidRPr="00317ABF">
              <w:rPr>
                <w:sz w:val="22"/>
                <w:szCs w:val="22"/>
              </w:rPr>
              <w:t xml:space="preserve">, art. </w:t>
            </w:r>
            <w:r w:rsidR="008B5401" w:rsidRPr="00317ABF">
              <w:rPr>
                <w:sz w:val="22"/>
                <w:szCs w:val="22"/>
              </w:rPr>
              <w:t>211</w:t>
            </w:r>
            <w:r w:rsidRPr="00317ABF">
              <w:rPr>
                <w:sz w:val="22"/>
                <w:szCs w:val="22"/>
              </w:rPr>
              <w:t xml:space="preserve">, art. </w:t>
            </w:r>
            <w:r w:rsidR="008B5401" w:rsidRPr="00317ABF">
              <w:rPr>
                <w:sz w:val="22"/>
                <w:szCs w:val="22"/>
              </w:rPr>
              <w:t>213-215</w:t>
            </w:r>
            <w:r w:rsidRPr="00317ABF">
              <w:rPr>
                <w:sz w:val="22"/>
                <w:szCs w:val="22"/>
              </w:rPr>
              <w:t xml:space="preserve">, art. </w:t>
            </w:r>
            <w:r w:rsidR="008B5401" w:rsidRPr="00317ABF">
              <w:rPr>
                <w:sz w:val="22"/>
                <w:szCs w:val="22"/>
              </w:rPr>
              <w:t>216</w:t>
            </w:r>
            <w:r w:rsidRPr="00317ABF">
              <w:rPr>
                <w:sz w:val="22"/>
                <w:szCs w:val="22"/>
              </w:rPr>
              <w:t xml:space="preserve"> ust. 1, art. </w:t>
            </w:r>
            <w:r w:rsidR="008B5401" w:rsidRPr="00317ABF">
              <w:rPr>
                <w:sz w:val="22"/>
                <w:szCs w:val="22"/>
              </w:rPr>
              <w:t>219</w:t>
            </w:r>
            <w:r w:rsidRPr="00317ABF">
              <w:rPr>
                <w:sz w:val="22"/>
                <w:szCs w:val="22"/>
              </w:rPr>
              <w:t xml:space="preserve"> ust. 2, art. </w:t>
            </w:r>
            <w:r w:rsidR="008B5401" w:rsidRPr="00317ABF">
              <w:rPr>
                <w:sz w:val="22"/>
                <w:szCs w:val="22"/>
              </w:rPr>
              <w:t>220</w:t>
            </w:r>
            <w:r w:rsidRPr="00317ABF">
              <w:rPr>
                <w:sz w:val="22"/>
                <w:szCs w:val="22"/>
              </w:rPr>
              <w:t xml:space="preserve">, art. </w:t>
            </w:r>
            <w:r w:rsidR="008B5401" w:rsidRPr="00317ABF">
              <w:rPr>
                <w:sz w:val="22"/>
                <w:szCs w:val="22"/>
              </w:rPr>
              <w:t>222</w:t>
            </w:r>
            <w:r w:rsidRPr="00317ABF">
              <w:rPr>
                <w:sz w:val="22"/>
                <w:szCs w:val="22"/>
              </w:rPr>
              <w:t xml:space="preserve">, art. </w:t>
            </w:r>
            <w:r w:rsidR="008B5401" w:rsidRPr="00317ABF">
              <w:rPr>
                <w:sz w:val="22"/>
                <w:szCs w:val="22"/>
              </w:rPr>
              <w:t>224</w:t>
            </w:r>
            <w:r w:rsidRPr="00317ABF">
              <w:rPr>
                <w:sz w:val="22"/>
                <w:szCs w:val="22"/>
              </w:rPr>
              <w:t xml:space="preserve"> lub art. </w:t>
            </w:r>
            <w:r w:rsidR="008B5401" w:rsidRPr="00317ABF">
              <w:rPr>
                <w:sz w:val="22"/>
                <w:szCs w:val="22"/>
              </w:rPr>
              <w:t xml:space="preserve">231. </w:t>
            </w:r>
          </w:p>
          <w:p w14:paraId="2A7A8220" w14:textId="78D27DCD" w:rsidR="001E1112" w:rsidRPr="00317ABF" w:rsidRDefault="001E1112" w:rsidP="00DB3BEC">
            <w:pPr>
              <w:ind w:firstLine="510"/>
              <w:jc w:val="both"/>
              <w:rPr>
                <w:sz w:val="22"/>
                <w:szCs w:val="22"/>
              </w:rPr>
            </w:pPr>
          </w:p>
          <w:p w14:paraId="7AEAFDD5" w14:textId="77777777" w:rsidR="008B5401" w:rsidRPr="00317ABF" w:rsidRDefault="008B5401" w:rsidP="008B5401">
            <w:pPr>
              <w:jc w:val="both"/>
              <w:rPr>
                <w:sz w:val="22"/>
                <w:szCs w:val="22"/>
              </w:rPr>
            </w:pPr>
            <w:r w:rsidRPr="00317ABF">
              <w:rPr>
                <w:b/>
                <w:sz w:val="22"/>
                <w:szCs w:val="22"/>
              </w:rPr>
              <w:t>Art. 202</w:t>
            </w:r>
            <w:r w:rsidRPr="00317ABF">
              <w:rPr>
                <w:sz w:val="22"/>
                <w:szCs w:val="22"/>
              </w:rPr>
              <w:t>. Po przeprowadzeniu postępowania, o którym mowa w art. 199 ust. 1, Prezes UKE, w przypadku ustalenia, że na rynku właściwym występuje przedsiębiorca komunikacji elektronicznej o znaczącej pozycji rynkowej lub przedsiębiorcy komunikacji elektronicznej zajmujący kolektywną pozycję znaczącą, wydaje decyzję, w której:</w:t>
            </w:r>
          </w:p>
          <w:p w14:paraId="2418C692" w14:textId="77777777" w:rsidR="008B5401" w:rsidRPr="00317ABF" w:rsidRDefault="008B5401" w:rsidP="008B5401">
            <w:pPr>
              <w:ind w:firstLine="510"/>
              <w:jc w:val="both"/>
              <w:rPr>
                <w:sz w:val="22"/>
                <w:szCs w:val="22"/>
              </w:rPr>
            </w:pPr>
            <w:r w:rsidRPr="00317ABF">
              <w:rPr>
                <w:sz w:val="22"/>
                <w:szCs w:val="22"/>
              </w:rPr>
              <w:t>1)</w:t>
            </w:r>
            <w:r w:rsidRPr="00317ABF">
              <w:rPr>
                <w:sz w:val="22"/>
                <w:szCs w:val="22"/>
              </w:rPr>
              <w:tab/>
              <w:t>określa rynek właściwy w sposób określony w art. 199 ust. 1 pkt 1;</w:t>
            </w:r>
          </w:p>
          <w:p w14:paraId="6586A1FC" w14:textId="77777777" w:rsidR="008B5401" w:rsidRPr="00317ABF" w:rsidRDefault="008B5401" w:rsidP="008B5401">
            <w:pPr>
              <w:ind w:firstLine="510"/>
              <w:jc w:val="both"/>
              <w:rPr>
                <w:sz w:val="22"/>
                <w:szCs w:val="22"/>
              </w:rPr>
            </w:pPr>
            <w:r w:rsidRPr="00317ABF">
              <w:rPr>
                <w:sz w:val="22"/>
                <w:szCs w:val="22"/>
              </w:rPr>
              <w:t>2)</w:t>
            </w:r>
            <w:r w:rsidRPr="00317ABF">
              <w:rPr>
                <w:sz w:val="22"/>
                <w:szCs w:val="22"/>
              </w:rPr>
              <w:tab/>
              <w:t>wyznacza przedsiębiorcę komunikacji elektronicznej o znaczącej pozycji rynkowej lub przedsiębiorców komunikacji elektronicznej zajmujących kolektywną pozycję znaczącą oraz:</w:t>
            </w:r>
          </w:p>
          <w:p w14:paraId="79011D4E" w14:textId="77777777" w:rsidR="008B5401" w:rsidRPr="00317ABF" w:rsidRDefault="008B5401" w:rsidP="008B5401">
            <w:pPr>
              <w:ind w:firstLine="510"/>
              <w:jc w:val="both"/>
              <w:rPr>
                <w:sz w:val="22"/>
                <w:szCs w:val="22"/>
              </w:rPr>
            </w:pPr>
            <w:r w:rsidRPr="00317ABF">
              <w:rPr>
                <w:sz w:val="22"/>
                <w:szCs w:val="22"/>
              </w:rPr>
              <w:lastRenderedPageBreak/>
              <w:t>a)</w:t>
            </w:r>
            <w:r w:rsidRPr="00317ABF">
              <w:rPr>
                <w:sz w:val="22"/>
                <w:szCs w:val="22"/>
              </w:rPr>
              <w:tab/>
              <w:t>nakłada, utrzymuje lub zmienia obowiązki regulacyjne, biorąc pod uwagę adekwatność i proporcjonalność danego obowiązku do problemów rynkowych, których rozwiązanie służy realizacji celów określonych w art.  407 ust. 2, lub</w:t>
            </w:r>
          </w:p>
          <w:p w14:paraId="32DC1653" w14:textId="3ACE3498" w:rsidR="001E1112" w:rsidRPr="00317ABF" w:rsidRDefault="001E1112" w:rsidP="00DB3BEC">
            <w:pPr>
              <w:jc w:val="both"/>
              <w:rPr>
                <w:sz w:val="22"/>
                <w:szCs w:val="22"/>
              </w:rPr>
            </w:pPr>
            <w:r w:rsidRPr="00317ABF">
              <w:rPr>
                <w:sz w:val="22"/>
                <w:szCs w:val="22"/>
              </w:rPr>
              <w:t>b)</w:t>
            </w:r>
            <w:r w:rsidR="008B5401" w:rsidRPr="00317ABF">
              <w:rPr>
                <w:sz w:val="22"/>
                <w:szCs w:val="22"/>
              </w:rPr>
              <w:tab/>
            </w:r>
            <w:r w:rsidRPr="00317ABF">
              <w:rPr>
                <w:sz w:val="22"/>
                <w:szCs w:val="22"/>
              </w:rPr>
              <w:t>uchyla nałożone obowiązki regulacyjne, jeżeli przedsiębiorca komunikacji elektronicznej lub przedsiębiorcy komunikacji elektronicznej nie utracili tej pozycji, ale warunki na rynku właściwym uzasadniają uchylenie tych obowiązków.</w:t>
            </w:r>
          </w:p>
        </w:tc>
      </w:tr>
      <w:tr w:rsidR="001E1112" w:rsidRPr="00317ABF" w14:paraId="6733C8EE" w14:textId="77777777" w:rsidTr="7753F98D">
        <w:trPr>
          <w:gridAfter w:val="2"/>
          <w:wAfter w:w="175" w:type="dxa"/>
        </w:trPr>
        <w:tc>
          <w:tcPr>
            <w:tcW w:w="704" w:type="dxa"/>
          </w:tcPr>
          <w:p w14:paraId="5A04D821" w14:textId="77777777" w:rsidR="001E1112" w:rsidRPr="00317ABF" w:rsidRDefault="001E1112" w:rsidP="00DB3BEC">
            <w:pPr>
              <w:jc w:val="both"/>
              <w:rPr>
                <w:sz w:val="22"/>
                <w:szCs w:val="22"/>
              </w:rPr>
            </w:pPr>
            <w:r w:rsidRPr="00317ABF">
              <w:rPr>
                <w:sz w:val="22"/>
                <w:szCs w:val="22"/>
              </w:rPr>
              <w:lastRenderedPageBreak/>
              <w:t>Art. 68 ust. 3</w:t>
            </w:r>
          </w:p>
        </w:tc>
        <w:tc>
          <w:tcPr>
            <w:tcW w:w="4308" w:type="dxa"/>
          </w:tcPr>
          <w:p w14:paraId="3882FA86" w14:textId="77777777" w:rsidR="001E1112" w:rsidRPr="00317ABF" w:rsidRDefault="001E1112" w:rsidP="00DB3BEC">
            <w:pPr>
              <w:spacing w:before="120"/>
              <w:jc w:val="both"/>
              <w:rPr>
                <w:sz w:val="22"/>
                <w:szCs w:val="22"/>
              </w:rPr>
            </w:pPr>
            <w:r w:rsidRPr="00317ABF">
              <w:rPr>
                <w:sz w:val="22"/>
                <w:szCs w:val="22"/>
              </w:rPr>
              <w:t>3.   Krajowe organy regulacyjne nakładają obowiązki określone w art. 69–74 i art. 76, i 80 wyłącznie na przedsiębiorstwa, które zostały wyznaczone jako posiadające znaczącą pozycję rynkową zgodnie z ust. 2 niniejszego artykułu. Bez uszczerbku dla:</w:t>
            </w:r>
          </w:p>
          <w:tbl>
            <w:tblPr>
              <w:tblW w:w="5000" w:type="pct"/>
              <w:tblCellSpacing w:w="0" w:type="dxa"/>
              <w:tblLayout w:type="fixed"/>
              <w:tblCellMar>
                <w:left w:w="0" w:type="dxa"/>
                <w:right w:w="0" w:type="dxa"/>
              </w:tblCellMar>
              <w:tblLook w:val="04A0" w:firstRow="1" w:lastRow="0" w:firstColumn="1" w:lastColumn="0" w:noHBand="0" w:noVBand="1"/>
            </w:tblPr>
            <w:tblGrid>
              <w:gridCol w:w="33"/>
              <w:gridCol w:w="4135"/>
            </w:tblGrid>
            <w:tr w:rsidR="001E1112" w:rsidRPr="00317ABF" w14:paraId="15771ACB" w14:textId="77777777" w:rsidTr="001D28BB">
              <w:trPr>
                <w:tblCellSpacing w:w="0" w:type="dxa"/>
              </w:trPr>
              <w:tc>
                <w:tcPr>
                  <w:tcW w:w="49" w:type="dxa"/>
                  <w:hideMark/>
                </w:tcPr>
                <w:p w14:paraId="27238899" w14:textId="77777777" w:rsidR="001E1112" w:rsidRPr="00317ABF" w:rsidRDefault="001E1112" w:rsidP="00EE0AC3">
                  <w:pPr>
                    <w:framePr w:hSpace="141" w:wrap="around" w:vAnchor="text" w:hAnchor="text" w:xAlign="right" w:y="1"/>
                    <w:spacing w:before="120"/>
                    <w:suppressOverlap/>
                    <w:jc w:val="both"/>
                    <w:rPr>
                      <w:sz w:val="22"/>
                      <w:szCs w:val="22"/>
                    </w:rPr>
                  </w:pPr>
                </w:p>
              </w:tc>
              <w:tc>
                <w:tcPr>
                  <w:tcW w:w="9023" w:type="dxa"/>
                  <w:hideMark/>
                </w:tcPr>
                <w:p w14:paraId="360C0F02" w14:textId="77777777" w:rsidR="001E1112" w:rsidRPr="00317ABF" w:rsidRDefault="001E1112" w:rsidP="00EE0AC3">
                  <w:pPr>
                    <w:framePr w:hSpace="141" w:wrap="around" w:vAnchor="text" w:hAnchor="text" w:xAlign="right" w:y="1"/>
                    <w:numPr>
                      <w:ilvl w:val="0"/>
                      <w:numId w:val="59"/>
                    </w:numPr>
                    <w:spacing w:before="120"/>
                    <w:suppressOverlap/>
                    <w:jc w:val="both"/>
                    <w:rPr>
                      <w:sz w:val="22"/>
                      <w:szCs w:val="22"/>
                    </w:rPr>
                  </w:pPr>
                  <w:r w:rsidRPr="00317ABF">
                    <w:rPr>
                      <w:sz w:val="22"/>
                      <w:szCs w:val="22"/>
                    </w:rPr>
                    <w:t>art. 61 i 62;</w:t>
                  </w:r>
                </w:p>
              </w:tc>
            </w:tr>
          </w:tbl>
          <w:p w14:paraId="1F8D698D" w14:textId="77777777" w:rsidR="001E1112" w:rsidRPr="00317ABF" w:rsidRDefault="001E1112" w:rsidP="00DB3BEC">
            <w:pPr>
              <w:jc w:val="both"/>
              <w:rPr>
                <w:vanish/>
                <w:sz w:val="22"/>
                <w:szCs w:val="22"/>
              </w:rPr>
            </w:pPr>
          </w:p>
          <w:tbl>
            <w:tblPr>
              <w:tblW w:w="5000" w:type="pct"/>
              <w:tblCellSpacing w:w="0" w:type="dxa"/>
              <w:tblLayout w:type="fixed"/>
              <w:tblCellMar>
                <w:left w:w="0" w:type="dxa"/>
                <w:right w:w="0" w:type="dxa"/>
              </w:tblCellMar>
              <w:tblLook w:val="04A0" w:firstRow="1" w:lastRow="0" w:firstColumn="1" w:lastColumn="0" w:noHBand="0" w:noVBand="1"/>
            </w:tblPr>
            <w:tblGrid>
              <w:gridCol w:w="20"/>
              <w:gridCol w:w="4148"/>
            </w:tblGrid>
            <w:tr w:rsidR="001E1112" w:rsidRPr="00317ABF" w14:paraId="5106660F" w14:textId="77777777" w:rsidTr="001D28BB">
              <w:trPr>
                <w:tblCellSpacing w:w="0" w:type="dxa"/>
              </w:trPr>
              <w:tc>
                <w:tcPr>
                  <w:tcW w:w="6" w:type="dxa"/>
                  <w:hideMark/>
                </w:tcPr>
                <w:p w14:paraId="74D326C0" w14:textId="77777777" w:rsidR="001E1112" w:rsidRPr="00317ABF" w:rsidRDefault="001E1112" w:rsidP="00EE0AC3">
                  <w:pPr>
                    <w:framePr w:hSpace="141" w:wrap="around" w:vAnchor="text" w:hAnchor="text" w:xAlign="right" w:y="1"/>
                    <w:spacing w:before="120"/>
                    <w:suppressOverlap/>
                    <w:jc w:val="both"/>
                    <w:rPr>
                      <w:sz w:val="22"/>
                      <w:szCs w:val="22"/>
                    </w:rPr>
                  </w:pPr>
                </w:p>
              </w:tc>
              <w:tc>
                <w:tcPr>
                  <w:tcW w:w="9066" w:type="dxa"/>
                  <w:hideMark/>
                </w:tcPr>
                <w:p w14:paraId="6FDA3D0C" w14:textId="77777777" w:rsidR="001E1112" w:rsidRPr="00317ABF" w:rsidRDefault="001E1112" w:rsidP="00EE0AC3">
                  <w:pPr>
                    <w:framePr w:hSpace="141" w:wrap="around" w:vAnchor="text" w:hAnchor="text" w:xAlign="right" w:y="1"/>
                    <w:numPr>
                      <w:ilvl w:val="0"/>
                      <w:numId w:val="59"/>
                    </w:numPr>
                    <w:spacing w:before="120"/>
                    <w:suppressOverlap/>
                    <w:jc w:val="both"/>
                    <w:rPr>
                      <w:sz w:val="22"/>
                      <w:szCs w:val="22"/>
                    </w:rPr>
                  </w:pPr>
                  <w:r w:rsidRPr="00317ABF">
                    <w:rPr>
                      <w:sz w:val="22"/>
                      <w:szCs w:val="22"/>
                    </w:rPr>
                    <w:t>art. 44 oraz 17 niniejszej dyrektywy, warunku nr 7 w części D załącznika I, stosowanego na mocy art. 13 ust. 1 niniejszej dyrektywy, oraz art. 97 i 106 niniejszej dyrektywy, a także stosownych przepisów dyrektywy 2002/58/WE, które nakładają obowiązki na przedsiębiorstwa inne niż te, które zostały wyznaczone jako posiadające znaczącą pozycję rynkową; lub</w:t>
                  </w:r>
                </w:p>
              </w:tc>
            </w:tr>
          </w:tbl>
          <w:p w14:paraId="6DBF71D0" w14:textId="77777777" w:rsidR="001E1112" w:rsidRPr="00317ABF" w:rsidRDefault="001E1112" w:rsidP="00DB3BEC">
            <w:pPr>
              <w:jc w:val="both"/>
              <w:rPr>
                <w:vanish/>
                <w:sz w:val="22"/>
                <w:szCs w:val="22"/>
              </w:rPr>
            </w:pPr>
          </w:p>
          <w:tbl>
            <w:tblPr>
              <w:tblW w:w="5000" w:type="pct"/>
              <w:tblCellSpacing w:w="0" w:type="dxa"/>
              <w:tblLayout w:type="fixed"/>
              <w:tblCellMar>
                <w:left w:w="0" w:type="dxa"/>
                <w:right w:w="0" w:type="dxa"/>
              </w:tblCellMar>
              <w:tblLook w:val="04A0" w:firstRow="1" w:lastRow="0" w:firstColumn="1" w:lastColumn="0" w:noHBand="0" w:noVBand="1"/>
            </w:tblPr>
            <w:tblGrid>
              <w:gridCol w:w="20"/>
              <w:gridCol w:w="4148"/>
            </w:tblGrid>
            <w:tr w:rsidR="001E1112" w:rsidRPr="00317ABF" w14:paraId="07B0339E" w14:textId="77777777" w:rsidTr="001D28BB">
              <w:trPr>
                <w:tblCellSpacing w:w="0" w:type="dxa"/>
              </w:trPr>
              <w:tc>
                <w:tcPr>
                  <w:tcW w:w="10" w:type="dxa"/>
                  <w:hideMark/>
                </w:tcPr>
                <w:p w14:paraId="2E8878AA" w14:textId="77777777" w:rsidR="001E1112" w:rsidRPr="00317ABF" w:rsidRDefault="001E1112" w:rsidP="00EE0AC3">
                  <w:pPr>
                    <w:framePr w:hSpace="141" w:wrap="around" w:vAnchor="text" w:hAnchor="text" w:xAlign="right" w:y="1"/>
                    <w:spacing w:before="120"/>
                    <w:suppressOverlap/>
                    <w:jc w:val="both"/>
                    <w:rPr>
                      <w:sz w:val="22"/>
                      <w:szCs w:val="22"/>
                    </w:rPr>
                  </w:pPr>
                </w:p>
              </w:tc>
              <w:tc>
                <w:tcPr>
                  <w:tcW w:w="9062" w:type="dxa"/>
                  <w:hideMark/>
                </w:tcPr>
                <w:p w14:paraId="048BF7A1" w14:textId="77777777" w:rsidR="001E1112" w:rsidRPr="00317ABF" w:rsidRDefault="001E1112" w:rsidP="00EE0AC3">
                  <w:pPr>
                    <w:framePr w:hSpace="141" w:wrap="around" w:vAnchor="text" w:hAnchor="text" w:xAlign="right" w:y="1"/>
                    <w:numPr>
                      <w:ilvl w:val="0"/>
                      <w:numId w:val="59"/>
                    </w:numPr>
                    <w:spacing w:before="120"/>
                    <w:suppressOverlap/>
                    <w:jc w:val="both"/>
                    <w:rPr>
                      <w:sz w:val="22"/>
                      <w:szCs w:val="22"/>
                    </w:rPr>
                  </w:pPr>
                  <w:r w:rsidRPr="00317ABF">
                    <w:rPr>
                      <w:sz w:val="22"/>
                      <w:szCs w:val="22"/>
                    </w:rPr>
                    <w:t>zobowiązań wynikających z prawa międzynarodowego,</w:t>
                  </w:r>
                </w:p>
              </w:tc>
            </w:tr>
          </w:tbl>
          <w:p w14:paraId="7EDB6DFB" w14:textId="77777777" w:rsidR="001E1112" w:rsidRPr="00317ABF" w:rsidRDefault="001E1112" w:rsidP="00DB3BEC">
            <w:pPr>
              <w:spacing w:before="120"/>
              <w:jc w:val="both"/>
              <w:rPr>
                <w:sz w:val="22"/>
                <w:szCs w:val="22"/>
              </w:rPr>
            </w:pPr>
            <w:r w:rsidRPr="00317ABF">
              <w:rPr>
                <w:sz w:val="22"/>
                <w:szCs w:val="22"/>
              </w:rPr>
              <w:t xml:space="preserve">W wyjątkowych okolicznościach, w przypadku gdy krajowy organ regulacyjny zamierza nałożyć na przedsiębiorstwa wyznaczone jako posiadające znaczącą pozycję rynkową obowiązki w odniesieniu do dostępu lub wzajemnych połączeń inne niż ustanowione </w:t>
            </w:r>
            <w:r w:rsidRPr="00317ABF">
              <w:rPr>
                <w:sz w:val="22"/>
                <w:szCs w:val="22"/>
              </w:rPr>
              <w:lastRenderedPageBreak/>
              <w:t>w art. 69–74 i art. 76 i 80, przedstawia on odpowiedni wniosek Komisji.</w:t>
            </w:r>
          </w:p>
          <w:p w14:paraId="35978F4D" w14:textId="77777777" w:rsidR="001E1112" w:rsidRPr="00317ABF" w:rsidRDefault="001E1112" w:rsidP="00DB3BEC">
            <w:pPr>
              <w:spacing w:before="120"/>
              <w:jc w:val="both"/>
              <w:rPr>
                <w:sz w:val="22"/>
                <w:szCs w:val="22"/>
              </w:rPr>
            </w:pPr>
            <w:r w:rsidRPr="00317ABF">
              <w:rPr>
                <w:sz w:val="22"/>
                <w:szCs w:val="22"/>
              </w:rPr>
              <w:t>Komisja w jak największym stopniu uwzględniając opinię BEREC, podejmuje decyzję zezwalającą krajowemu organowi regulacyjnemu na podjęcie takich środków lub uniemożliwiającą mu ich podjęcie.</w:t>
            </w:r>
          </w:p>
          <w:p w14:paraId="3633E495" w14:textId="77777777" w:rsidR="001E1112" w:rsidRPr="00317ABF" w:rsidRDefault="001E1112" w:rsidP="00DB3BEC">
            <w:pPr>
              <w:spacing w:before="120"/>
              <w:jc w:val="both"/>
              <w:rPr>
                <w:sz w:val="22"/>
                <w:szCs w:val="22"/>
              </w:rPr>
            </w:pPr>
            <w:r w:rsidRPr="00317ABF">
              <w:rPr>
                <w:sz w:val="22"/>
                <w:szCs w:val="22"/>
              </w:rPr>
              <w:t>Te akty wykonawcze przyjmuje się zgodnie z procedurą doradczą, o której mowa w art. 118 ust. 3.</w:t>
            </w:r>
          </w:p>
        </w:tc>
        <w:tc>
          <w:tcPr>
            <w:tcW w:w="986" w:type="dxa"/>
          </w:tcPr>
          <w:p w14:paraId="3F0C977C" w14:textId="57FF3905" w:rsidR="001E1112" w:rsidRPr="00317ABF" w:rsidRDefault="001E1112" w:rsidP="00DB3BEC">
            <w:pPr>
              <w:jc w:val="both"/>
              <w:rPr>
                <w:sz w:val="22"/>
                <w:szCs w:val="22"/>
              </w:rPr>
            </w:pPr>
            <w:r w:rsidRPr="00317ABF">
              <w:rPr>
                <w:sz w:val="22"/>
                <w:szCs w:val="22"/>
              </w:rPr>
              <w:lastRenderedPageBreak/>
              <w:t>T</w:t>
            </w:r>
          </w:p>
        </w:tc>
        <w:tc>
          <w:tcPr>
            <w:tcW w:w="910" w:type="dxa"/>
          </w:tcPr>
          <w:p w14:paraId="2FF92CA3" w14:textId="012D91DE" w:rsidR="001E1112" w:rsidRPr="00317ABF" w:rsidRDefault="001E1112" w:rsidP="00DB3BEC">
            <w:pPr>
              <w:pStyle w:val="Tekstpodstawowy"/>
              <w:rPr>
                <w:b/>
                <w:bCs/>
                <w:noProof/>
                <w:sz w:val="22"/>
                <w:szCs w:val="22"/>
              </w:rPr>
            </w:pPr>
            <w:r w:rsidRPr="00317ABF">
              <w:rPr>
                <w:b/>
                <w:bCs/>
                <w:noProof/>
                <w:sz w:val="22"/>
                <w:szCs w:val="22"/>
              </w:rPr>
              <w:t xml:space="preserve">Art. </w:t>
            </w:r>
            <w:r w:rsidR="00012B2F" w:rsidRPr="00317ABF">
              <w:rPr>
                <w:b/>
                <w:bCs/>
                <w:noProof/>
                <w:sz w:val="22"/>
                <w:szCs w:val="22"/>
              </w:rPr>
              <w:t>202</w:t>
            </w:r>
            <w:r w:rsidRPr="00317ABF">
              <w:rPr>
                <w:b/>
                <w:bCs/>
                <w:noProof/>
                <w:sz w:val="22"/>
                <w:szCs w:val="22"/>
              </w:rPr>
              <w:t xml:space="preserve"> ust. 1, art. </w:t>
            </w:r>
            <w:r w:rsidR="00012B2F" w:rsidRPr="00317ABF">
              <w:rPr>
                <w:b/>
                <w:bCs/>
                <w:noProof/>
                <w:sz w:val="22"/>
                <w:szCs w:val="22"/>
              </w:rPr>
              <w:t>222</w:t>
            </w:r>
            <w:r w:rsidRPr="00317ABF">
              <w:rPr>
                <w:b/>
                <w:bCs/>
                <w:noProof/>
                <w:sz w:val="22"/>
                <w:szCs w:val="22"/>
              </w:rPr>
              <w:t xml:space="preserve">, art. </w:t>
            </w:r>
            <w:r w:rsidR="00012B2F" w:rsidRPr="00317ABF">
              <w:rPr>
                <w:b/>
                <w:bCs/>
                <w:noProof/>
                <w:sz w:val="22"/>
                <w:szCs w:val="22"/>
              </w:rPr>
              <w:t>223</w:t>
            </w:r>
          </w:p>
        </w:tc>
        <w:tc>
          <w:tcPr>
            <w:tcW w:w="6814" w:type="dxa"/>
            <w:gridSpan w:val="2"/>
          </w:tcPr>
          <w:p w14:paraId="55763F2C" w14:textId="77777777" w:rsidR="00012B2F" w:rsidRPr="00317ABF" w:rsidRDefault="00012B2F" w:rsidP="00012B2F">
            <w:pPr>
              <w:ind w:firstLine="510"/>
              <w:jc w:val="both"/>
              <w:rPr>
                <w:sz w:val="22"/>
                <w:szCs w:val="22"/>
              </w:rPr>
            </w:pPr>
            <w:r w:rsidRPr="00317ABF">
              <w:rPr>
                <w:b/>
                <w:sz w:val="22"/>
                <w:szCs w:val="22"/>
              </w:rPr>
              <w:t>Art. 202.</w:t>
            </w:r>
            <w:r w:rsidRPr="00317ABF">
              <w:rPr>
                <w:sz w:val="22"/>
                <w:szCs w:val="22"/>
              </w:rPr>
              <w:t xml:space="preserve"> Po przeprowadzeniu postępowania, o którym mowa w art. 199 ust. 1, Prezes UKE, w przypadku ustalenia, że na rynku właściwym występuje przedsiębiorca komunikacji elektronicznej o znaczącej pozycji rynkowej lub przedsiębiorcy komunikacji elektronicznej zajmujący kolektywną pozycję znaczącą, wydaje decyzję, w której:</w:t>
            </w:r>
          </w:p>
          <w:p w14:paraId="34626815" w14:textId="77777777" w:rsidR="00012B2F" w:rsidRPr="00317ABF" w:rsidRDefault="00012B2F" w:rsidP="00012B2F">
            <w:pPr>
              <w:ind w:firstLine="510"/>
              <w:jc w:val="both"/>
              <w:rPr>
                <w:sz w:val="22"/>
                <w:szCs w:val="22"/>
              </w:rPr>
            </w:pPr>
            <w:r w:rsidRPr="00317ABF">
              <w:rPr>
                <w:sz w:val="22"/>
                <w:szCs w:val="22"/>
              </w:rPr>
              <w:t>1)</w:t>
            </w:r>
            <w:r w:rsidRPr="00317ABF">
              <w:rPr>
                <w:sz w:val="22"/>
                <w:szCs w:val="22"/>
              </w:rPr>
              <w:tab/>
              <w:t>określa rynek właściwy w sposób określony w art. 199 ust. 1 pkt 1;</w:t>
            </w:r>
          </w:p>
          <w:p w14:paraId="3E3FB316" w14:textId="77777777" w:rsidR="00012B2F" w:rsidRPr="00317ABF" w:rsidRDefault="00012B2F" w:rsidP="00012B2F">
            <w:pPr>
              <w:ind w:firstLine="510"/>
              <w:jc w:val="both"/>
              <w:rPr>
                <w:sz w:val="22"/>
                <w:szCs w:val="22"/>
              </w:rPr>
            </w:pPr>
            <w:r w:rsidRPr="00317ABF">
              <w:rPr>
                <w:sz w:val="22"/>
                <w:szCs w:val="22"/>
              </w:rPr>
              <w:t>2)</w:t>
            </w:r>
            <w:r w:rsidRPr="00317ABF">
              <w:rPr>
                <w:sz w:val="22"/>
                <w:szCs w:val="22"/>
              </w:rPr>
              <w:tab/>
              <w:t>wyznacza przedsiębiorcę komunikacji elektronicznej o znaczącej pozycji rynkowej lub przedsiębiorców komunikacji elektronicznej zajmujących kolektywną pozycję znaczącą oraz:</w:t>
            </w:r>
          </w:p>
          <w:p w14:paraId="2CC63B72" w14:textId="77777777" w:rsidR="00012B2F" w:rsidRPr="00317ABF" w:rsidRDefault="00012B2F" w:rsidP="00012B2F">
            <w:pPr>
              <w:ind w:firstLine="510"/>
              <w:jc w:val="both"/>
              <w:rPr>
                <w:sz w:val="22"/>
                <w:szCs w:val="22"/>
              </w:rPr>
            </w:pPr>
            <w:r w:rsidRPr="00317ABF">
              <w:rPr>
                <w:sz w:val="22"/>
                <w:szCs w:val="22"/>
              </w:rPr>
              <w:t>a)</w:t>
            </w:r>
            <w:r w:rsidRPr="00317ABF">
              <w:rPr>
                <w:sz w:val="22"/>
                <w:szCs w:val="22"/>
              </w:rPr>
              <w:tab/>
              <w:t>nakłada, utrzymuje lub zmienia obowiązki regulacyjne, biorąc pod uwagę adekwatność i proporcjonalność danego obowiązku do problemów rynkowych, których rozwiązanie służy realizacji celów określonych w art.  407 ust. 2, lub</w:t>
            </w:r>
          </w:p>
          <w:p w14:paraId="4E4D2167" w14:textId="6C4AE49B" w:rsidR="001E1112" w:rsidRPr="00317ABF" w:rsidRDefault="001E1112" w:rsidP="00DB3BEC">
            <w:pPr>
              <w:ind w:left="476" w:hanging="476"/>
              <w:jc w:val="both"/>
              <w:rPr>
                <w:sz w:val="22"/>
                <w:szCs w:val="22"/>
              </w:rPr>
            </w:pPr>
            <w:r w:rsidRPr="00317ABF">
              <w:rPr>
                <w:sz w:val="22"/>
                <w:szCs w:val="22"/>
              </w:rPr>
              <w:t>b)</w:t>
            </w:r>
            <w:r w:rsidR="00012B2F" w:rsidRPr="00317ABF">
              <w:rPr>
                <w:sz w:val="22"/>
                <w:szCs w:val="22"/>
              </w:rPr>
              <w:tab/>
            </w:r>
            <w:r w:rsidRPr="00317ABF">
              <w:rPr>
                <w:sz w:val="22"/>
                <w:szCs w:val="22"/>
              </w:rPr>
              <w:t>uchyla nałożone obowiązki regulacyjne, jeżeli przedsiębiorca komunikacji elektronicznej lub przedsiębiorcy komunikacji elektronicznej nie utracili tej pozycji, ale warunki na rynku właściwym uzasadniają uchylenie tych obowiązków.</w:t>
            </w:r>
          </w:p>
          <w:p w14:paraId="09B47DCD" w14:textId="77777777" w:rsidR="00012B2F" w:rsidRPr="00317ABF" w:rsidRDefault="00012B2F" w:rsidP="00012B2F">
            <w:pPr>
              <w:ind w:left="476" w:hanging="476"/>
              <w:jc w:val="both"/>
              <w:rPr>
                <w:sz w:val="22"/>
                <w:szCs w:val="22"/>
              </w:rPr>
            </w:pPr>
          </w:p>
          <w:p w14:paraId="5C902C18" w14:textId="77777777" w:rsidR="00012B2F" w:rsidRPr="00317ABF" w:rsidRDefault="00012B2F" w:rsidP="00DB3BEC">
            <w:pPr>
              <w:ind w:firstLine="510"/>
              <w:jc w:val="both"/>
              <w:rPr>
                <w:sz w:val="22"/>
                <w:szCs w:val="22"/>
              </w:rPr>
            </w:pPr>
            <w:r w:rsidRPr="00317ABF">
              <w:rPr>
                <w:b/>
                <w:sz w:val="22"/>
                <w:szCs w:val="22"/>
              </w:rPr>
              <w:t>Art. 222</w:t>
            </w:r>
            <w:r w:rsidRPr="00317ABF">
              <w:rPr>
                <w:sz w:val="22"/>
                <w:szCs w:val="22"/>
              </w:rPr>
              <w:t>. W szczególnych przypadkach Prezes UKE może, w drodze decyzji, nałożyć na przedsiębiorcę komunikacji elektronicznej o znaczącej pozycji rynkowej inne obowiązki w zakresie dostępu telekomunikacyjnego niż wymienione w art. 210, art. 211, art. 213-215, art. 216 ust. 1 i art. 220.</w:t>
            </w:r>
          </w:p>
          <w:p w14:paraId="54F7FBA0" w14:textId="77777777" w:rsidR="00012B2F" w:rsidRPr="00317ABF" w:rsidRDefault="00012B2F" w:rsidP="00DB3BEC">
            <w:pPr>
              <w:ind w:firstLine="510"/>
              <w:jc w:val="both"/>
              <w:rPr>
                <w:sz w:val="22"/>
                <w:szCs w:val="22"/>
              </w:rPr>
            </w:pPr>
          </w:p>
          <w:p w14:paraId="47D08EB4" w14:textId="77777777" w:rsidR="001E1112" w:rsidRPr="00317ABF" w:rsidRDefault="001E1112" w:rsidP="00DB3BEC">
            <w:pPr>
              <w:ind w:firstLine="510"/>
              <w:jc w:val="both"/>
              <w:rPr>
                <w:sz w:val="22"/>
                <w:szCs w:val="22"/>
              </w:rPr>
            </w:pPr>
            <w:r w:rsidRPr="00317ABF">
              <w:rPr>
                <w:b/>
                <w:sz w:val="22"/>
                <w:szCs w:val="22"/>
              </w:rPr>
              <w:t xml:space="preserve">Art. </w:t>
            </w:r>
            <w:r w:rsidR="00012B2F" w:rsidRPr="00317ABF">
              <w:rPr>
                <w:b/>
                <w:sz w:val="22"/>
                <w:szCs w:val="22"/>
              </w:rPr>
              <w:t>223</w:t>
            </w:r>
            <w:r w:rsidRPr="00317ABF">
              <w:rPr>
                <w:b/>
                <w:sz w:val="22"/>
                <w:szCs w:val="22"/>
              </w:rPr>
              <w:t>.</w:t>
            </w:r>
            <w:r w:rsidRPr="00317ABF">
              <w:rPr>
                <w:sz w:val="22"/>
                <w:szCs w:val="22"/>
              </w:rPr>
              <w:t xml:space="preserve"> 1. Niezwłocznie po zakończeniu postępowania konsultacyjnego dotyczącego nałożenia obowiązków, o których mowa w art. </w:t>
            </w:r>
            <w:r w:rsidR="00012B2F" w:rsidRPr="00317ABF">
              <w:rPr>
                <w:sz w:val="22"/>
                <w:szCs w:val="22"/>
              </w:rPr>
              <w:t>222</w:t>
            </w:r>
            <w:r w:rsidRPr="00317ABF">
              <w:rPr>
                <w:sz w:val="22"/>
                <w:szCs w:val="22"/>
              </w:rPr>
              <w:t xml:space="preserve">, innych niż przewidziane w art. </w:t>
            </w:r>
            <w:r w:rsidR="00012B2F" w:rsidRPr="00317ABF">
              <w:rPr>
                <w:sz w:val="22"/>
                <w:szCs w:val="22"/>
              </w:rPr>
              <w:t>219</w:t>
            </w:r>
            <w:r w:rsidRPr="00317ABF">
              <w:rPr>
                <w:sz w:val="22"/>
                <w:szCs w:val="22"/>
              </w:rPr>
              <w:t xml:space="preserve"> ust. </w:t>
            </w:r>
            <w:r w:rsidR="00012B2F" w:rsidRPr="00317ABF">
              <w:rPr>
                <w:sz w:val="22"/>
                <w:szCs w:val="22"/>
              </w:rPr>
              <w:t>2 lub art. 224</w:t>
            </w:r>
            <w:r w:rsidRPr="00317ABF">
              <w:rPr>
                <w:sz w:val="22"/>
                <w:szCs w:val="22"/>
              </w:rPr>
              <w:t>, Prezes UKE występuje do Komisji Europejskiej z wnioskiem o uzyskanie zgody na nałożenie tych obowiązków. Do wniosku Prezes UKE dołącza projekty rozstrzygnięć wraz z uzasadnieniem.</w:t>
            </w:r>
          </w:p>
          <w:p w14:paraId="7E4506C1" w14:textId="598F237F" w:rsidR="001E1112" w:rsidRPr="00317ABF" w:rsidRDefault="001E1112" w:rsidP="00DB3BEC">
            <w:pPr>
              <w:ind w:left="476" w:hanging="476"/>
              <w:jc w:val="both"/>
              <w:rPr>
                <w:sz w:val="22"/>
                <w:szCs w:val="22"/>
              </w:rPr>
            </w:pPr>
            <w:r w:rsidRPr="00317ABF">
              <w:rPr>
                <w:sz w:val="22"/>
                <w:szCs w:val="22"/>
              </w:rPr>
              <w:lastRenderedPageBreak/>
              <w:t xml:space="preserve">2. W przypadku pozytywnego rozpatrzenia przez Komisję Europejską wniosku, o którym mowa w ust. 1, Prezes UKE, w drodze decyzji, nakłada obowiązki, o których mowa w art. </w:t>
            </w:r>
            <w:r w:rsidR="00012B2F" w:rsidRPr="00317ABF">
              <w:rPr>
                <w:sz w:val="22"/>
                <w:szCs w:val="22"/>
              </w:rPr>
              <w:t>222.</w:t>
            </w:r>
          </w:p>
          <w:p w14:paraId="6078D7EB" w14:textId="74122144" w:rsidR="001E1112" w:rsidRPr="00317ABF" w:rsidRDefault="001E1112" w:rsidP="00DB3BEC">
            <w:pPr>
              <w:jc w:val="both"/>
              <w:rPr>
                <w:sz w:val="22"/>
                <w:szCs w:val="22"/>
              </w:rPr>
            </w:pPr>
            <w:r w:rsidRPr="00317ABF">
              <w:rPr>
                <w:sz w:val="22"/>
                <w:szCs w:val="22"/>
              </w:rPr>
              <w:br/>
            </w:r>
          </w:p>
          <w:p w14:paraId="1579FC3E" w14:textId="3B086D6C" w:rsidR="001E1112" w:rsidRPr="00317ABF" w:rsidRDefault="001E1112" w:rsidP="00DB3BEC">
            <w:pPr>
              <w:jc w:val="both"/>
              <w:rPr>
                <w:sz w:val="22"/>
                <w:szCs w:val="22"/>
              </w:rPr>
            </w:pPr>
          </w:p>
        </w:tc>
      </w:tr>
      <w:tr w:rsidR="001E1112" w:rsidRPr="00317ABF" w14:paraId="5724F991" w14:textId="77777777" w:rsidTr="7753F98D">
        <w:trPr>
          <w:gridAfter w:val="2"/>
          <w:wAfter w:w="175" w:type="dxa"/>
        </w:trPr>
        <w:tc>
          <w:tcPr>
            <w:tcW w:w="704" w:type="dxa"/>
          </w:tcPr>
          <w:p w14:paraId="7203BC7C" w14:textId="77777777" w:rsidR="001E1112" w:rsidRPr="00317ABF" w:rsidRDefault="001E1112" w:rsidP="00DB3BEC">
            <w:pPr>
              <w:jc w:val="both"/>
              <w:rPr>
                <w:sz w:val="22"/>
                <w:szCs w:val="22"/>
              </w:rPr>
            </w:pPr>
            <w:r w:rsidRPr="00317ABF">
              <w:rPr>
                <w:sz w:val="22"/>
                <w:szCs w:val="22"/>
              </w:rPr>
              <w:lastRenderedPageBreak/>
              <w:t>Art. 68 ust. 4</w:t>
            </w:r>
          </w:p>
        </w:tc>
        <w:tc>
          <w:tcPr>
            <w:tcW w:w="4308" w:type="dxa"/>
          </w:tcPr>
          <w:p w14:paraId="2DBAD221" w14:textId="77777777" w:rsidR="001E1112" w:rsidRPr="00317ABF" w:rsidRDefault="001E1112" w:rsidP="00DB3BEC">
            <w:pPr>
              <w:spacing w:before="120"/>
              <w:jc w:val="both"/>
              <w:rPr>
                <w:sz w:val="22"/>
                <w:szCs w:val="22"/>
              </w:rPr>
            </w:pPr>
            <w:r w:rsidRPr="00317ABF">
              <w:rPr>
                <w:sz w:val="22"/>
                <w:szCs w:val="22"/>
              </w:rPr>
              <w:t>4.   Obowiązki nałożone zgodnie z niniejszym artykułem muszą:</w:t>
            </w:r>
          </w:p>
          <w:tbl>
            <w:tblPr>
              <w:tblW w:w="5000" w:type="pct"/>
              <w:tblCellSpacing w:w="0" w:type="dxa"/>
              <w:tblLayout w:type="fixed"/>
              <w:tblCellMar>
                <w:left w:w="0" w:type="dxa"/>
                <w:right w:w="0" w:type="dxa"/>
              </w:tblCellMar>
              <w:tblLook w:val="04A0" w:firstRow="1" w:lastRow="0" w:firstColumn="1" w:lastColumn="0" w:noHBand="0" w:noVBand="1"/>
            </w:tblPr>
            <w:tblGrid>
              <w:gridCol w:w="20"/>
              <w:gridCol w:w="4148"/>
            </w:tblGrid>
            <w:tr w:rsidR="001E1112" w:rsidRPr="00317ABF" w14:paraId="7F6C8C29" w14:textId="77777777" w:rsidTr="37EB7589">
              <w:trPr>
                <w:tblCellSpacing w:w="0" w:type="dxa"/>
              </w:trPr>
              <w:tc>
                <w:tcPr>
                  <w:tcW w:w="6" w:type="dxa"/>
                  <w:hideMark/>
                </w:tcPr>
                <w:p w14:paraId="71823F69" w14:textId="77777777" w:rsidR="001E1112" w:rsidRPr="00317ABF" w:rsidRDefault="001E1112" w:rsidP="00EE0AC3">
                  <w:pPr>
                    <w:framePr w:hSpace="141" w:wrap="around" w:vAnchor="text" w:hAnchor="text" w:xAlign="right" w:y="1"/>
                    <w:spacing w:before="120"/>
                    <w:suppressOverlap/>
                    <w:jc w:val="both"/>
                    <w:rPr>
                      <w:sz w:val="22"/>
                      <w:szCs w:val="22"/>
                    </w:rPr>
                  </w:pPr>
                </w:p>
              </w:tc>
              <w:tc>
                <w:tcPr>
                  <w:tcW w:w="9066" w:type="dxa"/>
                  <w:hideMark/>
                </w:tcPr>
                <w:p w14:paraId="233C891D" w14:textId="77777777" w:rsidR="001E1112" w:rsidRPr="00317ABF" w:rsidRDefault="001E1112" w:rsidP="00EE0AC3">
                  <w:pPr>
                    <w:framePr w:hSpace="141" w:wrap="around" w:vAnchor="text" w:hAnchor="text" w:xAlign="right" w:y="1"/>
                    <w:numPr>
                      <w:ilvl w:val="0"/>
                      <w:numId w:val="60"/>
                    </w:numPr>
                    <w:spacing w:before="120"/>
                    <w:suppressOverlap/>
                    <w:jc w:val="both"/>
                    <w:rPr>
                      <w:sz w:val="22"/>
                      <w:szCs w:val="22"/>
                    </w:rPr>
                  </w:pPr>
                  <w:r w:rsidRPr="00317ABF">
                    <w:rPr>
                      <w:sz w:val="22"/>
                      <w:szCs w:val="22"/>
                    </w:rPr>
                    <w:t>opierać się na charakterze problemu stwierdzonego przez krajowy organ regulacyjny w jego analizie rynku, w stosownych przypadkach uwzględniając identyfikację popytu ponadnarodowego na podstawie art. 66;</w:t>
                  </w:r>
                </w:p>
              </w:tc>
            </w:tr>
          </w:tbl>
          <w:p w14:paraId="3C2017A3" w14:textId="77777777" w:rsidR="001E1112" w:rsidRPr="00317ABF" w:rsidRDefault="001E1112" w:rsidP="00DB3BEC">
            <w:pPr>
              <w:jc w:val="both"/>
              <w:rPr>
                <w:vanish/>
                <w:sz w:val="22"/>
                <w:szCs w:val="22"/>
              </w:rPr>
            </w:pPr>
          </w:p>
          <w:tbl>
            <w:tblPr>
              <w:tblW w:w="5000" w:type="pct"/>
              <w:tblCellSpacing w:w="0" w:type="dxa"/>
              <w:tblLayout w:type="fixed"/>
              <w:tblCellMar>
                <w:left w:w="0" w:type="dxa"/>
                <w:right w:w="0" w:type="dxa"/>
              </w:tblCellMar>
              <w:tblLook w:val="04A0" w:firstRow="1" w:lastRow="0" w:firstColumn="1" w:lastColumn="0" w:noHBand="0" w:noVBand="1"/>
            </w:tblPr>
            <w:tblGrid>
              <w:gridCol w:w="20"/>
              <w:gridCol w:w="4148"/>
            </w:tblGrid>
            <w:tr w:rsidR="001E1112" w:rsidRPr="00317ABF" w14:paraId="35CEEF52" w14:textId="77777777" w:rsidTr="37EB7589">
              <w:trPr>
                <w:tblCellSpacing w:w="0" w:type="dxa"/>
              </w:trPr>
              <w:tc>
                <w:tcPr>
                  <w:tcW w:w="7" w:type="dxa"/>
                  <w:hideMark/>
                </w:tcPr>
                <w:p w14:paraId="6098812D" w14:textId="77777777" w:rsidR="001E1112" w:rsidRPr="00317ABF" w:rsidRDefault="001E1112" w:rsidP="00EE0AC3">
                  <w:pPr>
                    <w:framePr w:hSpace="141" w:wrap="around" w:vAnchor="text" w:hAnchor="text" w:xAlign="right" w:y="1"/>
                    <w:spacing w:before="120"/>
                    <w:suppressOverlap/>
                    <w:jc w:val="both"/>
                    <w:rPr>
                      <w:sz w:val="22"/>
                      <w:szCs w:val="22"/>
                    </w:rPr>
                  </w:pPr>
                </w:p>
              </w:tc>
              <w:tc>
                <w:tcPr>
                  <w:tcW w:w="9065" w:type="dxa"/>
                  <w:hideMark/>
                </w:tcPr>
                <w:p w14:paraId="435ED0D1" w14:textId="77777777" w:rsidR="001E1112" w:rsidRPr="00317ABF" w:rsidRDefault="001E1112" w:rsidP="00EE0AC3">
                  <w:pPr>
                    <w:framePr w:hSpace="141" w:wrap="around" w:vAnchor="text" w:hAnchor="text" w:xAlign="right" w:y="1"/>
                    <w:numPr>
                      <w:ilvl w:val="0"/>
                      <w:numId w:val="60"/>
                    </w:numPr>
                    <w:spacing w:before="120"/>
                    <w:suppressOverlap/>
                    <w:jc w:val="both"/>
                    <w:rPr>
                      <w:sz w:val="22"/>
                      <w:szCs w:val="22"/>
                    </w:rPr>
                  </w:pPr>
                  <w:r w:rsidRPr="00317ABF">
                    <w:rPr>
                      <w:sz w:val="22"/>
                      <w:szCs w:val="22"/>
                    </w:rPr>
                    <w:t>być proporcjonalne z uwzględnieniem, w miarę możliwości, kosztów i korzyści;</w:t>
                  </w:r>
                </w:p>
              </w:tc>
            </w:tr>
          </w:tbl>
          <w:p w14:paraId="2FFD5B6E" w14:textId="77777777" w:rsidR="001E1112" w:rsidRPr="00317ABF" w:rsidRDefault="001E1112" w:rsidP="00DB3BEC">
            <w:pPr>
              <w:jc w:val="both"/>
              <w:rPr>
                <w:vanish/>
                <w:sz w:val="22"/>
                <w:szCs w:val="22"/>
              </w:rPr>
            </w:pPr>
          </w:p>
          <w:tbl>
            <w:tblPr>
              <w:tblW w:w="5000" w:type="pct"/>
              <w:tblCellSpacing w:w="0" w:type="dxa"/>
              <w:tblLayout w:type="fixed"/>
              <w:tblCellMar>
                <w:left w:w="0" w:type="dxa"/>
                <w:right w:w="0" w:type="dxa"/>
              </w:tblCellMar>
              <w:tblLook w:val="04A0" w:firstRow="1" w:lastRow="0" w:firstColumn="1" w:lastColumn="0" w:noHBand="0" w:noVBand="1"/>
            </w:tblPr>
            <w:tblGrid>
              <w:gridCol w:w="20"/>
              <w:gridCol w:w="4148"/>
            </w:tblGrid>
            <w:tr w:rsidR="001E1112" w:rsidRPr="00317ABF" w14:paraId="4E43E1B4" w14:textId="77777777" w:rsidTr="001D28BB">
              <w:trPr>
                <w:tblCellSpacing w:w="0" w:type="dxa"/>
              </w:trPr>
              <w:tc>
                <w:tcPr>
                  <w:tcW w:w="9" w:type="dxa"/>
                  <w:hideMark/>
                </w:tcPr>
                <w:p w14:paraId="4F24A910" w14:textId="77777777" w:rsidR="001E1112" w:rsidRPr="00317ABF" w:rsidRDefault="001E1112" w:rsidP="00EE0AC3">
                  <w:pPr>
                    <w:framePr w:hSpace="141" w:wrap="around" w:vAnchor="text" w:hAnchor="text" w:xAlign="right" w:y="1"/>
                    <w:spacing w:before="120"/>
                    <w:suppressOverlap/>
                    <w:jc w:val="both"/>
                    <w:rPr>
                      <w:sz w:val="22"/>
                      <w:szCs w:val="22"/>
                    </w:rPr>
                  </w:pPr>
                </w:p>
              </w:tc>
              <w:tc>
                <w:tcPr>
                  <w:tcW w:w="9063" w:type="dxa"/>
                  <w:hideMark/>
                </w:tcPr>
                <w:p w14:paraId="06F514FD" w14:textId="77777777" w:rsidR="001E1112" w:rsidRPr="00317ABF" w:rsidRDefault="001E1112" w:rsidP="00EE0AC3">
                  <w:pPr>
                    <w:framePr w:hSpace="141" w:wrap="around" w:vAnchor="text" w:hAnchor="text" w:xAlign="right" w:y="1"/>
                    <w:numPr>
                      <w:ilvl w:val="0"/>
                      <w:numId w:val="60"/>
                    </w:numPr>
                    <w:spacing w:before="120"/>
                    <w:suppressOverlap/>
                    <w:jc w:val="both"/>
                    <w:rPr>
                      <w:sz w:val="22"/>
                      <w:szCs w:val="22"/>
                    </w:rPr>
                  </w:pPr>
                  <w:r w:rsidRPr="00317ABF">
                    <w:rPr>
                      <w:sz w:val="22"/>
                      <w:szCs w:val="22"/>
                    </w:rPr>
                    <w:t>być uzasadnione w świetle celów określonych w art. 3; oraz</w:t>
                  </w:r>
                </w:p>
              </w:tc>
            </w:tr>
          </w:tbl>
          <w:p w14:paraId="12112BDB" w14:textId="77777777" w:rsidR="001E1112" w:rsidRPr="00317ABF" w:rsidRDefault="001E1112" w:rsidP="00DB3BEC">
            <w:pPr>
              <w:jc w:val="both"/>
              <w:rPr>
                <w:vanish/>
                <w:sz w:val="22"/>
                <w:szCs w:val="22"/>
              </w:rPr>
            </w:pPr>
          </w:p>
          <w:tbl>
            <w:tblPr>
              <w:tblW w:w="5000" w:type="pct"/>
              <w:tblCellSpacing w:w="0" w:type="dxa"/>
              <w:tblLayout w:type="fixed"/>
              <w:tblCellMar>
                <w:left w:w="0" w:type="dxa"/>
                <w:right w:w="0" w:type="dxa"/>
              </w:tblCellMar>
              <w:tblLook w:val="04A0" w:firstRow="1" w:lastRow="0" w:firstColumn="1" w:lastColumn="0" w:noHBand="0" w:noVBand="1"/>
            </w:tblPr>
            <w:tblGrid>
              <w:gridCol w:w="20"/>
              <w:gridCol w:w="4148"/>
            </w:tblGrid>
            <w:tr w:rsidR="001E1112" w:rsidRPr="00317ABF" w14:paraId="3E4C24D8" w14:textId="77777777" w:rsidTr="001D28BB">
              <w:trPr>
                <w:tblCellSpacing w:w="0" w:type="dxa"/>
              </w:trPr>
              <w:tc>
                <w:tcPr>
                  <w:tcW w:w="8" w:type="dxa"/>
                  <w:hideMark/>
                </w:tcPr>
                <w:p w14:paraId="2848D46B" w14:textId="77777777" w:rsidR="001E1112" w:rsidRPr="00317ABF" w:rsidRDefault="001E1112" w:rsidP="00EE0AC3">
                  <w:pPr>
                    <w:framePr w:hSpace="141" w:wrap="around" w:vAnchor="text" w:hAnchor="text" w:xAlign="right" w:y="1"/>
                    <w:spacing w:before="120"/>
                    <w:suppressOverlap/>
                    <w:jc w:val="both"/>
                    <w:rPr>
                      <w:sz w:val="22"/>
                      <w:szCs w:val="22"/>
                    </w:rPr>
                  </w:pPr>
                </w:p>
              </w:tc>
              <w:tc>
                <w:tcPr>
                  <w:tcW w:w="9064" w:type="dxa"/>
                  <w:hideMark/>
                </w:tcPr>
                <w:p w14:paraId="0E49D004" w14:textId="77777777" w:rsidR="001E1112" w:rsidRPr="00317ABF" w:rsidRDefault="001E1112" w:rsidP="00EE0AC3">
                  <w:pPr>
                    <w:framePr w:hSpace="141" w:wrap="around" w:vAnchor="text" w:hAnchor="text" w:xAlign="right" w:y="1"/>
                    <w:numPr>
                      <w:ilvl w:val="0"/>
                      <w:numId w:val="60"/>
                    </w:numPr>
                    <w:spacing w:before="120"/>
                    <w:suppressOverlap/>
                    <w:jc w:val="both"/>
                    <w:rPr>
                      <w:sz w:val="22"/>
                      <w:szCs w:val="22"/>
                    </w:rPr>
                  </w:pPr>
                  <w:r w:rsidRPr="00317ABF">
                    <w:rPr>
                      <w:sz w:val="22"/>
                      <w:szCs w:val="22"/>
                    </w:rPr>
                    <w:t>zostać nałożone po przeprowadzeniu konsultacji zgodnie z art. 23 i 32.</w:t>
                  </w:r>
                </w:p>
              </w:tc>
            </w:tr>
          </w:tbl>
          <w:p w14:paraId="2B0FF903" w14:textId="77777777" w:rsidR="001E1112" w:rsidRPr="00317ABF" w:rsidRDefault="001E1112" w:rsidP="00DB3BEC">
            <w:pPr>
              <w:spacing w:before="120"/>
              <w:jc w:val="both"/>
              <w:rPr>
                <w:sz w:val="22"/>
                <w:szCs w:val="22"/>
              </w:rPr>
            </w:pPr>
          </w:p>
        </w:tc>
        <w:tc>
          <w:tcPr>
            <w:tcW w:w="986" w:type="dxa"/>
          </w:tcPr>
          <w:p w14:paraId="10EA3BF4" w14:textId="280833AC" w:rsidR="001E1112" w:rsidRPr="00317ABF" w:rsidRDefault="001E1112" w:rsidP="00DB3BEC">
            <w:pPr>
              <w:jc w:val="both"/>
              <w:rPr>
                <w:sz w:val="22"/>
                <w:szCs w:val="22"/>
              </w:rPr>
            </w:pPr>
            <w:r w:rsidRPr="00317ABF">
              <w:rPr>
                <w:sz w:val="22"/>
                <w:szCs w:val="22"/>
              </w:rPr>
              <w:t>T</w:t>
            </w:r>
          </w:p>
        </w:tc>
        <w:tc>
          <w:tcPr>
            <w:tcW w:w="910" w:type="dxa"/>
          </w:tcPr>
          <w:p w14:paraId="07B060FF" w14:textId="497125F1" w:rsidR="001E1112" w:rsidRPr="00317ABF" w:rsidRDefault="001E1112" w:rsidP="00DB3BEC">
            <w:pPr>
              <w:pStyle w:val="Tekstpodstawowy"/>
              <w:rPr>
                <w:b/>
                <w:bCs/>
                <w:noProof/>
                <w:sz w:val="22"/>
                <w:szCs w:val="22"/>
              </w:rPr>
            </w:pPr>
            <w:r w:rsidRPr="00317ABF">
              <w:rPr>
                <w:b/>
                <w:bCs/>
                <w:noProof/>
                <w:sz w:val="22"/>
                <w:szCs w:val="22"/>
              </w:rPr>
              <w:t xml:space="preserve">Art. 30, art. 35, art. </w:t>
            </w:r>
            <w:r w:rsidR="00A82C0C" w:rsidRPr="00317ABF">
              <w:rPr>
                <w:b/>
                <w:bCs/>
                <w:noProof/>
                <w:sz w:val="22"/>
                <w:szCs w:val="22"/>
              </w:rPr>
              <w:t>202, art. 223</w:t>
            </w:r>
          </w:p>
        </w:tc>
        <w:tc>
          <w:tcPr>
            <w:tcW w:w="6814" w:type="dxa"/>
            <w:gridSpan w:val="2"/>
          </w:tcPr>
          <w:p w14:paraId="1D92ADEA" w14:textId="77777777" w:rsidR="00A82C0C" w:rsidRPr="00317ABF" w:rsidRDefault="00A82C0C" w:rsidP="00A82C0C">
            <w:pPr>
              <w:ind w:firstLine="510"/>
              <w:jc w:val="both"/>
              <w:rPr>
                <w:sz w:val="22"/>
                <w:szCs w:val="22"/>
              </w:rPr>
            </w:pPr>
            <w:r w:rsidRPr="00317ABF">
              <w:rPr>
                <w:b/>
                <w:sz w:val="22"/>
                <w:szCs w:val="22"/>
              </w:rPr>
              <w:t>Art. 202.</w:t>
            </w:r>
            <w:r w:rsidRPr="00317ABF">
              <w:rPr>
                <w:sz w:val="22"/>
                <w:szCs w:val="22"/>
              </w:rPr>
              <w:t xml:space="preserve"> Po przeprowadzeniu postępowania, o którym mowa w art. 199 ust. 1, Prezes UKE, w przypadku ustalenia, że na rynku właściwym występuje przedsiębiorca komunikacji elektronicznej o znaczącej pozycji rynkowej lub przedsiębiorcy komunikacji elektronicznej zajmujący kolektywną pozycję znaczącą, wydaje decyzję, w której:</w:t>
            </w:r>
          </w:p>
          <w:p w14:paraId="1F26B1F1" w14:textId="77777777" w:rsidR="00A82C0C" w:rsidRPr="00317ABF" w:rsidRDefault="00A82C0C" w:rsidP="00A82C0C">
            <w:pPr>
              <w:ind w:firstLine="510"/>
              <w:jc w:val="both"/>
              <w:rPr>
                <w:sz w:val="22"/>
                <w:szCs w:val="22"/>
              </w:rPr>
            </w:pPr>
            <w:r w:rsidRPr="00317ABF">
              <w:rPr>
                <w:sz w:val="22"/>
                <w:szCs w:val="22"/>
              </w:rPr>
              <w:t>1)</w:t>
            </w:r>
            <w:r w:rsidRPr="00317ABF">
              <w:rPr>
                <w:sz w:val="22"/>
                <w:szCs w:val="22"/>
              </w:rPr>
              <w:tab/>
              <w:t>określa rynek właściwy w sposób określony w art. 199 ust. 1 pkt 1;</w:t>
            </w:r>
          </w:p>
          <w:p w14:paraId="2A852C6A" w14:textId="77777777" w:rsidR="00A82C0C" w:rsidRPr="00317ABF" w:rsidRDefault="00A82C0C" w:rsidP="00A82C0C">
            <w:pPr>
              <w:ind w:firstLine="510"/>
              <w:jc w:val="both"/>
              <w:rPr>
                <w:sz w:val="22"/>
                <w:szCs w:val="22"/>
              </w:rPr>
            </w:pPr>
            <w:r w:rsidRPr="00317ABF">
              <w:rPr>
                <w:sz w:val="22"/>
                <w:szCs w:val="22"/>
              </w:rPr>
              <w:t>2)</w:t>
            </w:r>
            <w:r w:rsidRPr="00317ABF">
              <w:rPr>
                <w:sz w:val="22"/>
                <w:szCs w:val="22"/>
              </w:rPr>
              <w:tab/>
              <w:t>wyznacza przedsiębiorcę komunikacji elektronicznej o znaczącej pozycji rynkowej lub przedsiębiorców komunikacji elektronicznej zajmujących kolektywną pozycję znaczącą oraz:</w:t>
            </w:r>
          </w:p>
          <w:p w14:paraId="5205AB62" w14:textId="77777777" w:rsidR="00A82C0C" w:rsidRPr="00317ABF" w:rsidRDefault="00A82C0C" w:rsidP="00A82C0C">
            <w:pPr>
              <w:ind w:firstLine="510"/>
              <w:jc w:val="both"/>
              <w:rPr>
                <w:sz w:val="22"/>
                <w:szCs w:val="22"/>
              </w:rPr>
            </w:pPr>
            <w:r w:rsidRPr="00317ABF">
              <w:rPr>
                <w:sz w:val="22"/>
                <w:szCs w:val="22"/>
              </w:rPr>
              <w:t>a)</w:t>
            </w:r>
            <w:r w:rsidRPr="00317ABF">
              <w:rPr>
                <w:sz w:val="22"/>
                <w:szCs w:val="22"/>
              </w:rPr>
              <w:tab/>
              <w:t>nakłada, utrzymuje lub zmienia obowiązki regulacyjne, biorąc pod uwagę adekwatność i proporcjonalność danego obowiązku do problemów rynkowych, których rozwiązanie służy realizacji celów określonych w art.  407 ust. 2, lub</w:t>
            </w:r>
          </w:p>
          <w:p w14:paraId="2A659DE6" w14:textId="77777777" w:rsidR="00A82C0C" w:rsidRPr="00317ABF" w:rsidRDefault="00A82C0C" w:rsidP="00A82C0C">
            <w:pPr>
              <w:jc w:val="both"/>
              <w:rPr>
                <w:sz w:val="22"/>
                <w:szCs w:val="22"/>
              </w:rPr>
            </w:pPr>
            <w:r w:rsidRPr="00317ABF">
              <w:rPr>
                <w:sz w:val="22"/>
                <w:szCs w:val="22"/>
              </w:rPr>
              <w:t>b)</w:t>
            </w:r>
            <w:r w:rsidRPr="00317ABF">
              <w:rPr>
                <w:sz w:val="22"/>
                <w:szCs w:val="22"/>
              </w:rPr>
              <w:tab/>
              <w:t>uchyla nałożone obowiązki regulacyjne, jeżeli przedsiębiorca komunikacji elektronicznej lub przedsiębiorcy komunikacji elektronicznej nie utracili tej pozycji, ale warunki na rynku właściwym uzasadniają uchylenie tych obowiązków.</w:t>
            </w:r>
          </w:p>
          <w:p w14:paraId="77364E45" w14:textId="48758738" w:rsidR="001E1112" w:rsidRPr="00317ABF" w:rsidRDefault="001E1112" w:rsidP="00DB3BEC">
            <w:pPr>
              <w:jc w:val="both"/>
              <w:rPr>
                <w:sz w:val="22"/>
                <w:szCs w:val="22"/>
              </w:rPr>
            </w:pPr>
            <w:r w:rsidRPr="00317ABF">
              <w:rPr>
                <w:sz w:val="22"/>
                <w:szCs w:val="22"/>
              </w:rPr>
              <w:br/>
            </w:r>
          </w:p>
          <w:p w14:paraId="2A69FFA0" w14:textId="77777777" w:rsidR="00A82C0C" w:rsidRPr="00317ABF" w:rsidRDefault="00A82C0C" w:rsidP="00A82C0C">
            <w:pPr>
              <w:ind w:firstLine="510"/>
              <w:jc w:val="both"/>
              <w:rPr>
                <w:sz w:val="22"/>
                <w:szCs w:val="22"/>
              </w:rPr>
            </w:pPr>
            <w:r w:rsidRPr="00317ABF">
              <w:rPr>
                <w:b/>
                <w:sz w:val="22"/>
                <w:szCs w:val="22"/>
              </w:rPr>
              <w:t>Art. 30</w:t>
            </w:r>
            <w:r w:rsidRPr="00317ABF">
              <w:rPr>
                <w:sz w:val="22"/>
                <w:szCs w:val="22"/>
              </w:rPr>
              <w:t>. Prezes UKE przed podjęciem rozstrzygnięcia w sprawach:</w:t>
            </w:r>
          </w:p>
          <w:p w14:paraId="3F805519" w14:textId="77777777" w:rsidR="00A82C0C" w:rsidRPr="00317ABF" w:rsidRDefault="00A82C0C" w:rsidP="00A82C0C">
            <w:pPr>
              <w:ind w:firstLine="510"/>
              <w:jc w:val="both"/>
              <w:rPr>
                <w:sz w:val="22"/>
                <w:szCs w:val="22"/>
              </w:rPr>
            </w:pPr>
            <w:r w:rsidRPr="00317ABF">
              <w:rPr>
                <w:sz w:val="22"/>
                <w:szCs w:val="22"/>
              </w:rPr>
              <w:t>1) decyzji wydawanej na podstawie art. 175 ust. 1,</w:t>
            </w:r>
            <w:r w:rsidRPr="00317ABF">
              <w:rPr>
                <w:sz w:val="22"/>
                <w:szCs w:val="22"/>
              </w:rPr>
              <w:tab/>
              <w:t xml:space="preserve"> </w:t>
            </w:r>
          </w:p>
          <w:p w14:paraId="394D6DDC" w14:textId="77777777" w:rsidR="00A82C0C" w:rsidRPr="00317ABF" w:rsidRDefault="00A82C0C" w:rsidP="00A82C0C">
            <w:pPr>
              <w:ind w:firstLine="510"/>
              <w:jc w:val="both"/>
              <w:rPr>
                <w:sz w:val="22"/>
                <w:szCs w:val="22"/>
              </w:rPr>
            </w:pPr>
            <w:r w:rsidRPr="00317ABF">
              <w:rPr>
                <w:sz w:val="22"/>
                <w:szCs w:val="22"/>
              </w:rPr>
              <w:t>2)</w:t>
            </w:r>
            <w:r w:rsidRPr="00317ABF">
              <w:rPr>
                <w:sz w:val="22"/>
                <w:szCs w:val="22"/>
              </w:rPr>
              <w:tab/>
              <w:t xml:space="preserve"> nałożenia, uchylenia, zmiany lub utrzymania obowiązków dostępowych symetrycznych,</w:t>
            </w:r>
          </w:p>
          <w:p w14:paraId="6A7C593A" w14:textId="77777777" w:rsidR="00A82C0C" w:rsidRPr="00317ABF" w:rsidRDefault="00A82C0C" w:rsidP="00A82C0C">
            <w:pPr>
              <w:ind w:firstLine="510"/>
              <w:jc w:val="both"/>
              <w:rPr>
                <w:sz w:val="22"/>
                <w:szCs w:val="22"/>
              </w:rPr>
            </w:pPr>
            <w:r w:rsidRPr="00317ABF">
              <w:rPr>
                <w:sz w:val="22"/>
                <w:szCs w:val="22"/>
              </w:rPr>
              <w:t>3)</w:t>
            </w:r>
            <w:r w:rsidRPr="00317ABF">
              <w:rPr>
                <w:sz w:val="22"/>
                <w:szCs w:val="22"/>
              </w:rPr>
              <w:tab/>
              <w:t>postanowień wydawanych na podstawie art. 182 ust. 1 i ust. 4 oraz decyzji wydawanej na podstawie art. 182 ust. 3,</w:t>
            </w:r>
          </w:p>
          <w:p w14:paraId="3F77EAC6" w14:textId="77777777" w:rsidR="00A82C0C" w:rsidRPr="00317ABF" w:rsidRDefault="00A82C0C" w:rsidP="00A82C0C">
            <w:pPr>
              <w:ind w:firstLine="510"/>
              <w:jc w:val="both"/>
              <w:rPr>
                <w:sz w:val="22"/>
                <w:szCs w:val="22"/>
              </w:rPr>
            </w:pPr>
            <w:r w:rsidRPr="00317ABF">
              <w:rPr>
                <w:sz w:val="22"/>
                <w:szCs w:val="22"/>
              </w:rPr>
              <w:t>4)</w:t>
            </w:r>
            <w:r w:rsidRPr="00317ABF">
              <w:rPr>
                <w:sz w:val="22"/>
                <w:szCs w:val="22"/>
              </w:rPr>
              <w:tab/>
              <w:t xml:space="preserve">decyzji wydawanej na podstawie art. 183 ust. 1, </w:t>
            </w:r>
          </w:p>
          <w:p w14:paraId="76768C90" w14:textId="77777777" w:rsidR="00A82C0C" w:rsidRPr="00317ABF" w:rsidRDefault="00A82C0C" w:rsidP="00A82C0C">
            <w:pPr>
              <w:ind w:firstLine="510"/>
              <w:jc w:val="both"/>
              <w:rPr>
                <w:sz w:val="22"/>
                <w:szCs w:val="22"/>
              </w:rPr>
            </w:pPr>
            <w:r w:rsidRPr="00317ABF">
              <w:rPr>
                <w:sz w:val="22"/>
                <w:szCs w:val="22"/>
              </w:rPr>
              <w:t>5)</w:t>
            </w:r>
            <w:r w:rsidRPr="00317ABF">
              <w:rPr>
                <w:sz w:val="22"/>
                <w:szCs w:val="22"/>
              </w:rPr>
              <w:tab/>
              <w:t>decyzji wydawanej na podstawie art. 187,</w:t>
            </w:r>
          </w:p>
          <w:p w14:paraId="3CFB59F6" w14:textId="77777777" w:rsidR="00A82C0C" w:rsidRPr="00317ABF" w:rsidRDefault="00A82C0C" w:rsidP="00A82C0C">
            <w:pPr>
              <w:ind w:firstLine="510"/>
              <w:jc w:val="both"/>
              <w:rPr>
                <w:sz w:val="22"/>
                <w:szCs w:val="22"/>
              </w:rPr>
            </w:pPr>
            <w:r w:rsidRPr="00317ABF">
              <w:rPr>
                <w:sz w:val="22"/>
                <w:szCs w:val="22"/>
              </w:rPr>
              <w:t xml:space="preserve">6) </w:t>
            </w:r>
            <w:r w:rsidRPr="00317ABF">
              <w:rPr>
                <w:sz w:val="22"/>
                <w:szCs w:val="22"/>
              </w:rPr>
              <w:tab/>
              <w:t>załatwianych w drodze decyzji obszarowej,</w:t>
            </w:r>
          </w:p>
          <w:p w14:paraId="11B710B4" w14:textId="77777777" w:rsidR="00A82C0C" w:rsidRPr="00317ABF" w:rsidRDefault="00A82C0C" w:rsidP="00A82C0C">
            <w:pPr>
              <w:ind w:firstLine="510"/>
              <w:jc w:val="both"/>
              <w:rPr>
                <w:sz w:val="22"/>
                <w:szCs w:val="22"/>
              </w:rPr>
            </w:pPr>
            <w:r w:rsidRPr="00317ABF">
              <w:rPr>
                <w:sz w:val="22"/>
                <w:szCs w:val="22"/>
              </w:rPr>
              <w:lastRenderedPageBreak/>
              <w:t>7) określenia rynku właściwego, o którym mowa w art. 199 ust. 1 pkt 1, a także jego analizy i wyznaczenia przedsiębiorcy komunikacji elektronicznej o znaczącej pozycji rynkowej lub przedsiębiorców komunikacji elektronicznej zajmujących kolektywną pozycję znaczącą, lub uchylenia decyzji w tej sprawie,</w:t>
            </w:r>
          </w:p>
          <w:p w14:paraId="3708972B" w14:textId="77777777" w:rsidR="00A82C0C" w:rsidRPr="00317ABF" w:rsidRDefault="00A82C0C" w:rsidP="00A82C0C">
            <w:pPr>
              <w:ind w:firstLine="510"/>
              <w:jc w:val="both"/>
              <w:rPr>
                <w:sz w:val="22"/>
                <w:szCs w:val="22"/>
              </w:rPr>
            </w:pPr>
            <w:r w:rsidRPr="00317ABF">
              <w:rPr>
                <w:sz w:val="22"/>
                <w:szCs w:val="22"/>
              </w:rPr>
              <w:t>8) nałożenia, uchylenia, utrzymania lub zmiany obowiązków regulacyjnych w stosunku do przedsiębiorcy komunikacji elektronicznej o znaczącej pozycji rynkowej lub nieposiadającego takiej pozycji,</w:t>
            </w:r>
          </w:p>
          <w:p w14:paraId="5F9C14ED" w14:textId="77777777" w:rsidR="00A82C0C" w:rsidRPr="00317ABF" w:rsidRDefault="00A82C0C" w:rsidP="00A82C0C">
            <w:pPr>
              <w:ind w:firstLine="510"/>
              <w:jc w:val="both"/>
              <w:rPr>
                <w:sz w:val="22"/>
                <w:szCs w:val="22"/>
              </w:rPr>
            </w:pPr>
            <w:r w:rsidRPr="00317ABF">
              <w:rPr>
                <w:sz w:val="22"/>
                <w:szCs w:val="22"/>
              </w:rPr>
              <w:t xml:space="preserve">9) </w:t>
            </w:r>
            <w:r w:rsidRPr="00317ABF">
              <w:rPr>
                <w:sz w:val="22"/>
                <w:szCs w:val="22"/>
              </w:rPr>
              <w:tab/>
              <w:t>decyzji wydawanych na podstawie art. 217 ust. 3 i ust. 5,</w:t>
            </w:r>
          </w:p>
          <w:p w14:paraId="01DBACCE" w14:textId="77777777" w:rsidR="00A82C0C" w:rsidRPr="00317ABF" w:rsidRDefault="00A82C0C" w:rsidP="00A82C0C">
            <w:pPr>
              <w:ind w:firstLine="510"/>
              <w:jc w:val="both"/>
              <w:rPr>
                <w:sz w:val="22"/>
                <w:szCs w:val="22"/>
              </w:rPr>
            </w:pPr>
            <w:r w:rsidRPr="00317ABF">
              <w:rPr>
                <w:sz w:val="22"/>
                <w:szCs w:val="22"/>
              </w:rPr>
              <w:t xml:space="preserve">10) </w:t>
            </w:r>
            <w:r w:rsidRPr="00317ABF">
              <w:rPr>
                <w:sz w:val="22"/>
                <w:szCs w:val="22"/>
              </w:rPr>
              <w:tab/>
              <w:t>decyzji wydawanej na podstawie art. 221 ust. 1,</w:t>
            </w:r>
          </w:p>
          <w:p w14:paraId="6381131B" w14:textId="77777777" w:rsidR="00A82C0C" w:rsidRPr="00317ABF" w:rsidRDefault="00A82C0C" w:rsidP="00A82C0C">
            <w:pPr>
              <w:ind w:firstLine="510"/>
              <w:jc w:val="both"/>
              <w:rPr>
                <w:sz w:val="22"/>
                <w:szCs w:val="22"/>
              </w:rPr>
            </w:pPr>
            <w:r w:rsidRPr="00317ABF">
              <w:rPr>
                <w:sz w:val="22"/>
                <w:szCs w:val="22"/>
              </w:rPr>
              <w:t>11) decyzji wydawanej na podstawie art. 230 ust. 4,</w:t>
            </w:r>
          </w:p>
          <w:p w14:paraId="69C6DC75" w14:textId="77777777" w:rsidR="00A82C0C" w:rsidRPr="00317ABF" w:rsidRDefault="00A82C0C" w:rsidP="00A82C0C">
            <w:pPr>
              <w:ind w:firstLine="510"/>
              <w:jc w:val="both"/>
              <w:rPr>
                <w:sz w:val="22"/>
                <w:szCs w:val="22"/>
              </w:rPr>
            </w:pPr>
            <w:r w:rsidRPr="00317ABF">
              <w:rPr>
                <w:sz w:val="22"/>
                <w:szCs w:val="22"/>
              </w:rPr>
              <w:t xml:space="preserve">12) </w:t>
            </w:r>
            <w:r w:rsidRPr="00317ABF">
              <w:rPr>
                <w:sz w:val="22"/>
                <w:szCs w:val="22"/>
              </w:rPr>
              <w:tab/>
              <w:t>decyzji wydawanej na podstawie art. 235,</w:t>
            </w:r>
          </w:p>
          <w:p w14:paraId="0D0469B2" w14:textId="77777777" w:rsidR="00A82C0C" w:rsidRPr="00317ABF" w:rsidRDefault="00A82C0C" w:rsidP="00A82C0C">
            <w:pPr>
              <w:ind w:firstLine="510"/>
              <w:jc w:val="both"/>
              <w:rPr>
                <w:sz w:val="22"/>
                <w:szCs w:val="22"/>
              </w:rPr>
            </w:pPr>
            <w:r w:rsidRPr="00317ABF">
              <w:rPr>
                <w:sz w:val="22"/>
                <w:szCs w:val="22"/>
              </w:rPr>
              <w:t>13)</w:t>
            </w:r>
            <w:r w:rsidRPr="00317ABF">
              <w:rPr>
                <w:sz w:val="22"/>
                <w:szCs w:val="22"/>
              </w:rPr>
              <w:tab/>
              <w:t>innych wskazanych w ustawie z dnia 7 maja 2010 r. o wspieraniu rozwoju usług i sieci telekomunikacyjnych,</w:t>
            </w:r>
          </w:p>
          <w:p w14:paraId="7D57886F" w14:textId="77777777" w:rsidR="00A82C0C" w:rsidRPr="00317ABF" w:rsidRDefault="00A82C0C" w:rsidP="00A82C0C">
            <w:pPr>
              <w:ind w:firstLine="510"/>
              <w:jc w:val="both"/>
              <w:rPr>
                <w:sz w:val="22"/>
                <w:szCs w:val="22"/>
              </w:rPr>
            </w:pPr>
            <w:r w:rsidRPr="00317ABF">
              <w:rPr>
                <w:sz w:val="22"/>
                <w:szCs w:val="22"/>
              </w:rPr>
              <w:t>14) innych wskazanych w ustawie,</w:t>
            </w:r>
          </w:p>
          <w:p w14:paraId="2FE3112F" w14:textId="1AF09894" w:rsidR="001E1112" w:rsidRPr="00317ABF" w:rsidRDefault="001E1112" w:rsidP="00DB3BEC">
            <w:pPr>
              <w:jc w:val="both"/>
              <w:rPr>
                <w:sz w:val="22"/>
                <w:szCs w:val="22"/>
              </w:rPr>
            </w:pPr>
            <w:r w:rsidRPr="00317ABF">
              <w:rPr>
                <w:sz w:val="22"/>
                <w:szCs w:val="22"/>
              </w:rPr>
              <w:t>- przeprowadza postępowanie</w:t>
            </w:r>
            <w:r w:rsidR="00A82C0C" w:rsidRPr="00317ABF">
              <w:rPr>
                <w:sz w:val="22"/>
                <w:szCs w:val="22"/>
              </w:rPr>
              <w:t>, w ramach którego umożliwia</w:t>
            </w:r>
            <w:r w:rsidRPr="00317ABF">
              <w:rPr>
                <w:sz w:val="22"/>
                <w:szCs w:val="22"/>
              </w:rPr>
              <w:t xml:space="preserve"> zainteresowanym podmiotom wyrażenie w określonym terminie stanowiska do projektu rozstrzygnięcia</w:t>
            </w:r>
            <w:r w:rsidR="00A82C0C" w:rsidRPr="00317ABF">
              <w:rPr>
                <w:sz w:val="22"/>
                <w:szCs w:val="22"/>
              </w:rPr>
              <w:t>, zwane dalej „postępowaniem konsultacyjnym”.</w:t>
            </w:r>
          </w:p>
          <w:p w14:paraId="4FE4E34B" w14:textId="77777777" w:rsidR="00A82C0C" w:rsidRPr="00317ABF" w:rsidRDefault="00A82C0C" w:rsidP="00A82C0C">
            <w:pPr>
              <w:jc w:val="both"/>
              <w:rPr>
                <w:sz w:val="22"/>
                <w:szCs w:val="22"/>
              </w:rPr>
            </w:pPr>
          </w:p>
          <w:p w14:paraId="6598F051" w14:textId="77777777" w:rsidR="00A82C0C" w:rsidRPr="00317ABF" w:rsidRDefault="00A82C0C" w:rsidP="00A82C0C">
            <w:pPr>
              <w:jc w:val="both"/>
              <w:rPr>
                <w:sz w:val="22"/>
                <w:szCs w:val="22"/>
              </w:rPr>
            </w:pPr>
          </w:p>
          <w:p w14:paraId="0F6513E7" w14:textId="7CDE3D87" w:rsidR="001E1112" w:rsidRPr="00317ABF" w:rsidRDefault="001E1112" w:rsidP="00DB3BEC">
            <w:pPr>
              <w:jc w:val="both"/>
              <w:rPr>
                <w:sz w:val="22"/>
                <w:szCs w:val="22"/>
              </w:rPr>
            </w:pPr>
            <w:r w:rsidRPr="00317ABF">
              <w:rPr>
                <w:b/>
                <w:sz w:val="22"/>
                <w:szCs w:val="22"/>
              </w:rPr>
              <w:t>Art. 35</w:t>
            </w:r>
            <w:r w:rsidRPr="00317ABF">
              <w:rPr>
                <w:sz w:val="22"/>
                <w:szCs w:val="22"/>
              </w:rPr>
              <w:t xml:space="preserve">. 1. Jeżeli rozstrzygnięcia, o których mowa w art. </w:t>
            </w:r>
            <w:r w:rsidR="00A82C0C" w:rsidRPr="00317ABF">
              <w:rPr>
                <w:sz w:val="22"/>
                <w:szCs w:val="22"/>
              </w:rPr>
              <w:t>30 pkt 1-13</w:t>
            </w:r>
            <w:r w:rsidRPr="00317ABF">
              <w:rPr>
                <w:sz w:val="22"/>
                <w:szCs w:val="22"/>
              </w:rPr>
              <w:t>, mogą mieć wpływ na stosunki handlowe między państwami członkowskimi, Prezes UKE, niezwłocznie po zakończeniu postępowania konsultacyjnego i rozpatrzeniu stanowisk uczestników tego postępowania, rozpoczyna postępowanie konsolidacyjne, przesyłając Komisji Europejskiej, BEREC, i organom regulacyjnym innych państw członkowskich projekty rozstrzygnięć wraz z ich uzasadnieniem</w:t>
            </w:r>
            <w:r w:rsidR="00A82C0C" w:rsidRPr="00317ABF">
              <w:rPr>
                <w:sz w:val="22"/>
                <w:szCs w:val="22"/>
              </w:rPr>
              <w:t>.</w:t>
            </w:r>
          </w:p>
          <w:p w14:paraId="6329F680" w14:textId="77777777" w:rsidR="001E1112" w:rsidRPr="00317ABF" w:rsidRDefault="001E1112" w:rsidP="00A82C0C">
            <w:pPr>
              <w:ind w:firstLine="510"/>
              <w:jc w:val="both"/>
              <w:rPr>
                <w:sz w:val="22"/>
                <w:szCs w:val="22"/>
              </w:rPr>
            </w:pPr>
          </w:p>
          <w:p w14:paraId="0DF8D60E" w14:textId="5B7DF020" w:rsidR="00A82C0C" w:rsidRPr="00317ABF" w:rsidRDefault="00A82C0C" w:rsidP="00A82C0C">
            <w:pPr>
              <w:jc w:val="both"/>
              <w:rPr>
                <w:sz w:val="22"/>
                <w:szCs w:val="22"/>
              </w:rPr>
            </w:pPr>
            <w:r w:rsidRPr="00317ABF">
              <w:rPr>
                <w:b/>
                <w:sz w:val="22"/>
                <w:szCs w:val="22"/>
              </w:rPr>
              <w:t>Art. 223.</w:t>
            </w:r>
            <w:r w:rsidRPr="00317ABF">
              <w:rPr>
                <w:sz w:val="22"/>
                <w:szCs w:val="22"/>
              </w:rPr>
              <w:t xml:space="preserve"> 1. Niezwłocznie po zakończeniu postępowania konsultacyjnego dotyczącego nałożenia obowiązków, o których mowa w art. 222, innych niż przewidziane w art. 219 ust. 2 lub art. 224, Prezes UKE występuje do Komisji Europejskiej z wnioskiem o uzyskanie zgody na nałożenie tych obowiązków. Do wniosku Prezes UKE dołącza projekty rozstrzygnięć wraz z uzasadnieniem.</w:t>
            </w:r>
          </w:p>
          <w:p w14:paraId="556C3A27" w14:textId="1E3889BD" w:rsidR="001E1112" w:rsidRPr="00317ABF" w:rsidRDefault="00A82C0C" w:rsidP="00DB3BEC">
            <w:pPr>
              <w:jc w:val="both"/>
              <w:rPr>
                <w:sz w:val="22"/>
                <w:szCs w:val="22"/>
              </w:rPr>
            </w:pPr>
            <w:r w:rsidRPr="00317ABF">
              <w:rPr>
                <w:sz w:val="22"/>
                <w:szCs w:val="22"/>
              </w:rPr>
              <w:t>2. W przypadku pozytywnego rozpatrzenia przez Komisję Europejską wniosku, o którym mowa w ust. 1, Prezes UKE, w drodze decyzji, nakłada obowiązki, o których mowa w art. 222.</w:t>
            </w:r>
          </w:p>
        </w:tc>
      </w:tr>
      <w:tr w:rsidR="001E1112" w:rsidRPr="00317ABF" w14:paraId="5C78C43E" w14:textId="77777777" w:rsidTr="7753F98D">
        <w:trPr>
          <w:gridAfter w:val="2"/>
          <w:wAfter w:w="175" w:type="dxa"/>
        </w:trPr>
        <w:tc>
          <w:tcPr>
            <w:tcW w:w="704" w:type="dxa"/>
          </w:tcPr>
          <w:p w14:paraId="422B8EF5" w14:textId="77777777" w:rsidR="001E1112" w:rsidRPr="00317ABF" w:rsidRDefault="001E1112" w:rsidP="00DB3BEC">
            <w:pPr>
              <w:jc w:val="both"/>
              <w:rPr>
                <w:sz w:val="22"/>
                <w:szCs w:val="22"/>
              </w:rPr>
            </w:pPr>
            <w:r w:rsidRPr="00317ABF">
              <w:rPr>
                <w:sz w:val="22"/>
                <w:szCs w:val="22"/>
              </w:rPr>
              <w:lastRenderedPageBreak/>
              <w:t>Art. 68 ust. 5</w:t>
            </w:r>
          </w:p>
        </w:tc>
        <w:tc>
          <w:tcPr>
            <w:tcW w:w="4308" w:type="dxa"/>
          </w:tcPr>
          <w:p w14:paraId="7BB73D3D" w14:textId="77777777" w:rsidR="001E1112" w:rsidRPr="00317ABF" w:rsidRDefault="001E1112" w:rsidP="00DB3BEC">
            <w:pPr>
              <w:spacing w:before="120"/>
              <w:jc w:val="both"/>
              <w:rPr>
                <w:sz w:val="22"/>
                <w:szCs w:val="22"/>
              </w:rPr>
            </w:pPr>
            <w:r w:rsidRPr="00317ABF">
              <w:rPr>
                <w:sz w:val="22"/>
                <w:szCs w:val="22"/>
              </w:rPr>
              <w:t>5.   W związku z koniecznością przestrzegania zobowiązań międzynarodowych, o których mowa w ust. 3 akapit pierwszy tiret trzecie niniejszego artykułu krajowe organy regulacyjne zawiadamiają Komisję o podjętych przez nie decyzjach w kwestii nakładania, zmiany lub uchylenia obowiązków dotyczących przedsiębiorstw, zgodnie z procedurą, o której mowa w art. 32.</w:t>
            </w:r>
          </w:p>
        </w:tc>
        <w:tc>
          <w:tcPr>
            <w:tcW w:w="986" w:type="dxa"/>
          </w:tcPr>
          <w:p w14:paraId="4B8FAAF7" w14:textId="3B2D113F" w:rsidR="001E1112" w:rsidRPr="00317ABF" w:rsidRDefault="001E1112" w:rsidP="00DB3BEC">
            <w:pPr>
              <w:jc w:val="both"/>
              <w:rPr>
                <w:sz w:val="22"/>
                <w:szCs w:val="22"/>
              </w:rPr>
            </w:pPr>
            <w:r w:rsidRPr="00317ABF">
              <w:rPr>
                <w:sz w:val="22"/>
                <w:szCs w:val="22"/>
              </w:rPr>
              <w:t>T</w:t>
            </w:r>
          </w:p>
        </w:tc>
        <w:tc>
          <w:tcPr>
            <w:tcW w:w="910" w:type="dxa"/>
          </w:tcPr>
          <w:p w14:paraId="424905C4" w14:textId="6F11E090" w:rsidR="001E1112" w:rsidRPr="00317ABF" w:rsidRDefault="001E1112" w:rsidP="00DB3BEC">
            <w:pPr>
              <w:pStyle w:val="Tekstpodstawowy"/>
              <w:rPr>
                <w:b/>
                <w:bCs/>
                <w:noProof/>
                <w:sz w:val="22"/>
                <w:szCs w:val="22"/>
              </w:rPr>
            </w:pPr>
            <w:r w:rsidRPr="00317ABF">
              <w:rPr>
                <w:b/>
                <w:bCs/>
                <w:noProof/>
                <w:sz w:val="22"/>
                <w:szCs w:val="22"/>
              </w:rPr>
              <w:t>Art. 30, art. 35</w:t>
            </w:r>
          </w:p>
        </w:tc>
        <w:tc>
          <w:tcPr>
            <w:tcW w:w="6814" w:type="dxa"/>
            <w:gridSpan w:val="2"/>
          </w:tcPr>
          <w:p w14:paraId="33AB1E4F" w14:textId="77777777" w:rsidR="00A82C0C" w:rsidRPr="00317ABF" w:rsidRDefault="00A82C0C" w:rsidP="00A82C0C">
            <w:pPr>
              <w:jc w:val="both"/>
              <w:rPr>
                <w:sz w:val="22"/>
                <w:szCs w:val="22"/>
              </w:rPr>
            </w:pPr>
            <w:r w:rsidRPr="00317ABF">
              <w:rPr>
                <w:b/>
                <w:sz w:val="22"/>
                <w:szCs w:val="22"/>
              </w:rPr>
              <w:t>Art. 30.</w:t>
            </w:r>
            <w:r w:rsidRPr="00317ABF">
              <w:rPr>
                <w:sz w:val="22"/>
                <w:szCs w:val="22"/>
              </w:rPr>
              <w:t xml:space="preserve"> Prezes UKE przed podjęciem rozstrzygnięcia w sprawach:</w:t>
            </w:r>
          </w:p>
          <w:p w14:paraId="46B69471" w14:textId="77777777" w:rsidR="00A82C0C" w:rsidRPr="00317ABF" w:rsidRDefault="00A82C0C" w:rsidP="00A82C0C">
            <w:pPr>
              <w:ind w:firstLine="510"/>
              <w:jc w:val="both"/>
              <w:rPr>
                <w:sz w:val="22"/>
                <w:szCs w:val="22"/>
              </w:rPr>
            </w:pPr>
            <w:r w:rsidRPr="00317ABF">
              <w:rPr>
                <w:sz w:val="22"/>
                <w:szCs w:val="22"/>
              </w:rPr>
              <w:t>1) decyzji wydawanej na podstawie art. 175 ust. 1,</w:t>
            </w:r>
            <w:r w:rsidRPr="00317ABF">
              <w:rPr>
                <w:sz w:val="22"/>
                <w:szCs w:val="22"/>
              </w:rPr>
              <w:tab/>
              <w:t xml:space="preserve"> </w:t>
            </w:r>
          </w:p>
          <w:p w14:paraId="6569816C" w14:textId="77777777" w:rsidR="00A82C0C" w:rsidRPr="00317ABF" w:rsidRDefault="00A82C0C" w:rsidP="00A82C0C">
            <w:pPr>
              <w:ind w:firstLine="510"/>
              <w:jc w:val="both"/>
              <w:rPr>
                <w:sz w:val="22"/>
                <w:szCs w:val="22"/>
              </w:rPr>
            </w:pPr>
            <w:r w:rsidRPr="00317ABF">
              <w:rPr>
                <w:sz w:val="22"/>
                <w:szCs w:val="22"/>
              </w:rPr>
              <w:t>2)</w:t>
            </w:r>
            <w:r w:rsidRPr="00317ABF">
              <w:rPr>
                <w:sz w:val="22"/>
                <w:szCs w:val="22"/>
              </w:rPr>
              <w:tab/>
              <w:t xml:space="preserve"> nałożenia, uchylenia, zmiany lub utrzymania obowiązków dostępowych symetrycznych,</w:t>
            </w:r>
          </w:p>
          <w:p w14:paraId="1B970C4A" w14:textId="77777777" w:rsidR="00A82C0C" w:rsidRPr="00317ABF" w:rsidRDefault="00A82C0C" w:rsidP="00A82C0C">
            <w:pPr>
              <w:ind w:firstLine="510"/>
              <w:jc w:val="both"/>
              <w:rPr>
                <w:sz w:val="22"/>
                <w:szCs w:val="22"/>
              </w:rPr>
            </w:pPr>
            <w:r w:rsidRPr="00317ABF">
              <w:rPr>
                <w:sz w:val="22"/>
                <w:szCs w:val="22"/>
              </w:rPr>
              <w:t>3)</w:t>
            </w:r>
            <w:r w:rsidRPr="00317ABF">
              <w:rPr>
                <w:sz w:val="22"/>
                <w:szCs w:val="22"/>
              </w:rPr>
              <w:tab/>
              <w:t>postanowień wydawanych na podstawie art. 182 ust. 1 i ust. 4 oraz decyzji wydawanej na podstawie art. 182 ust. 3,</w:t>
            </w:r>
          </w:p>
          <w:p w14:paraId="0CBF369F" w14:textId="77777777" w:rsidR="00A82C0C" w:rsidRPr="00317ABF" w:rsidRDefault="00A82C0C" w:rsidP="00A82C0C">
            <w:pPr>
              <w:ind w:firstLine="510"/>
              <w:jc w:val="both"/>
              <w:rPr>
                <w:sz w:val="22"/>
                <w:szCs w:val="22"/>
              </w:rPr>
            </w:pPr>
            <w:r w:rsidRPr="00317ABF">
              <w:rPr>
                <w:sz w:val="22"/>
                <w:szCs w:val="22"/>
              </w:rPr>
              <w:t>4)</w:t>
            </w:r>
            <w:r w:rsidRPr="00317ABF">
              <w:rPr>
                <w:sz w:val="22"/>
                <w:szCs w:val="22"/>
              </w:rPr>
              <w:tab/>
              <w:t xml:space="preserve">decyzji wydawanej na podstawie art. 183 ust. 1, </w:t>
            </w:r>
          </w:p>
          <w:p w14:paraId="1E9F2D08" w14:textId="77777777" w:rsidR="00A82C0C" w:rsidRPr="00317ABF" w:rsidRDefault="00A82C0C" w:rsidP="00A82C0C">
            <w:pPr>
              <w:ind w:firstLine="510"/>
              <w:jc w:val="both"/>
              <w:rPr>
                <w:sz w:val="22"/>
                <w:szCs w:val="22"/>
              </w:rPr>
            </w:pPr>
            <w:r w:rsidRPr="00317ABF">
              <w:rPr>
                <w:sz w:val="22"/>
                <w:szCs w:val="22"/>
              </w:rPr>
              <w:t>5)</w:t>
            </w:r>
            <w:r w:rsidRPr="00317ABF">
              <w:rPr>
                <w:sz w:val="22"/>
                <w:szCs w:val="22"/>
              </w:rPr>
              <w:tab/>
              <w:t>decyzji wydawanej na podstawie art. 187,</w:t>
            </w:r>
          </w:p>
          <w:p w14:paraId="5B8F5961" w14:textId="77777777" w:rsidR="00A82C0C" w:rsidRPr="00317ABF" w:rsidRDefault="00A82C0C" w:rsidP="00A82C0C">
            <w:pPr>
              <w:ind w:firstLine="510"/>
              <w:jc w:val="both"/>
              <w:rPr>
                <w:sz w:val="22"/>
                <w:szCs w:val="22"/>
              </w:rPr>
            </w:pPr>
            <w:r w:rsidRPr="00317ABF">
              <w:rPr>
                <w:sz w:val="22"/>
                <w:szCs w:val="22"/>
              </w:rPr>
              <w:t xml:space="preserve">6) </w:t>
            </w:r>
            <w:r w:rsidRPr="00317ABF">
              <w:rPr>
                <w:sz w:val="22"/>
                <w:szCs w:val="22"/>
              </w:rPr>
              <w:tab/>
              <w:t>załatwianych w drodze decyzji obszarowej,</w:t>
            </w:r>
          </w:p>
          <w:p w14:paraId="2564D766" w14:textId="77777777" w:rsidR="00A82C0C" w:rsidRPr="00317ABF" w:rsidRDefault="00A82C0C" w:rsidP="00A82C0C">
            <w:pPr>
              <w:ind w:firstLine="510"/>
              <w:jc w:val="both"/>
              <w:rPr>
                <w:sz w:val="22"/>
                <w:szCs w:val="22"/>
              </w:rPr>
            </w:pPr>
            <w:r w:rsidRPr="00317ABF">
              <w:rPr>
                <w:sz w:val="22"/>
                <w:szCs w:val="22"/>
              </w:rPr>
              <w:t>7) określenia rynku właściwego, o którym mowa w art. 199 ust. 1 pkt 1, a także jego analizy i wyznaczenia przedsiębiorcy komunikacji elektronicznej o znaczącej pozycji rynkowej lub przedsiębiorców komunikacji elektronicznej zajmujących kolektywną pozycję znaczącą, lub uchylenia decyzji w tej sprawie,</w:t>
            </w:r>
          </w:p>
          <w:p w14:paraId="28A832E2" w14:textId="77777777" w:rsidR="00A82C0C" w:rsidRPr="00317ABF" w:rsidRDefault="00A82C0C" w:rsidP="00A82C0C">
            <w:pPr>
              <w:ind w:firstLine="510"/>
              <w:jc w:val="both"/>
              <w:rPr>
                <w:sz w:val="22"/>
                <w:szCs w:val="22"/>
              </w:rPr>
            </w:pPr>
            <w:r w:rsidRPr="00317ABF">
              <w:rPr>
                <w:sz w:val="22"/>
                <w:szCs w:val="22"/>
              </w:rPr>
              <w:t>8) nałożenia, uchylenia, utrzymania lub zmiany obowiązków regulacyjnych w stosunku do przedsiębiorcy komunikacji elektronicznej o znaczącej pozycji rynkowej lub nieposiadającego takiej pozycji,</w:t>
            </w:r>
          </w:p>
          <w:p w14:paraId="57B4BEDF" w14:textId="77777777" w:rsidR="00A82C0C" w:rsidRPr="00317ABF" w:rsidRDefault="00A82C0C" w:rsidP="00A82C0C">
            <w:pPr>
              <w:ind w:firstLine="510"/>
              <w:jc w:val="both"/>
              <w:rPr>
                <w:sz w:val="22"/>
                <w:szCs w:val="22"/>
              </w:rPr>
            </w:pPr>
            <w:r w:rsidRPr="00317ABF">
              <w:rPr>
                <w:sz w:val="22"/>
                <w:szCs w:val="22"/>
              </w:rPr>
              <w:t xml:space="preserve">9) </w:t>
            </w:r>
            <w:r w:rsidRPr="00317ABF">
              <w:rPr>
                <w:sz w:val="22"/>
                <w:szCs w:val="22"/>
              </w:rPr>
              <w:tab/>
              <w:t>decyzji wydawanych na podstawie art. 217 ust. 3 i ust. 5,</w:t>
            </w:r>
          </w:p>
          <w:p w14:paraId="4C0B68BF" w14:textId="77777777" w:rsidR="00A82C0C" w:rsidRPr="00317ABF" w:rsidRDefault="00A82C0C" w:rsidP="00A82C0C">
            <w:pPr>
              <w:ind w:firstLine="510"/>
              <w:jc w:val="both"/>
              <w:rPr>
                <w:sz w:val="22"/>
                <w:szCs w:val="22"/>
              </w:rPr>
            </w:pPr>
            <w:r w:rsidRPr="00317ABF">
              <w:rPr>
                <w:sz w:val="22"/>
                <w:szCs w:val="22"/>
              </w:rPr>
              <w:t xml:space="preserve">10) </w:t>
            </w:r>
            <w:r w:rsidRPr="00317ABF">
              <w:rPr>
                <w:sz w:val="22"/>
                <w:szCs w:val="22"/>
              </w:rPr>
              <w:tab/>
              <w:t>decyzji wydawanej na podstawie art. 221 ust. 1,</w:t>
            </w:r>
          </w:p>
          <w:p w14:paraId="6CBE4B44" w14:textId="77777777" w:rsidR="00A82C0C" w:rsidRPr="00317ABF" w:rsidRDefault="00A82C0C" w:rsidP="00A82C0C">
            <w:pPr>
              <w:ind w:firstLine="510"/>
              <w:jc w:val="both"/>
              <w:rPr>
                <w:sz w:val="22"/>
                <w:szCs w:val="22"/>
              </w:rPr>
            </w:pPr>
            <w:r w:rsidRPr="00317ABF">
              <w:rPr>
                <w:sz w:val="22"/>
                <w:szCs w:val="22"/>
              </w:rPr>
              <w:t>11) decyzji wydawanej na podstawie art. 230 ust. 4,</w:t>
            </w:r>
          </w:p>
          <w:p w14:paraId="5B5A4E69" w14:textId="77777777" w:rsidR="00A82C0C" w:rsidRPr="00317ABF" w:rsidRDefault="00A82C0C" w:rsidP="00A82C0C">
            <w:pPr>
              <w:ind w:firstLine="510"/>
              <w:jc w:val="both"/>
              <w:rPr>
                <w:sz w:val="22"/>
                <w:szCs w:val="22"/>
              </w:rPr>
            </w:pPr>
            <w:r w:rsidRPr="00317ABF">
              <w:rPr>
                <w:sz w:val="22"/>
                <w:szCs w:val="22"/>
              </w:rPr>
              <w:t xml:space="preserve">12) </w:t>
            </w:r>
            <w:r w:rsidRPr="00317ABF">
              <w:rPr>
                <w:sz w:val="22"/>
                <w:szCs w:val="22"/>
              </w:rPr>
              <w:tab/>
              <w:t>decyzji wydawanej na podstawie art. 235,</w:t>
            </w:r>
          </w:p>
          <w:p w14:paraId="327F02C3" w14:textId="77777777" w:rsidR="00A82C0C" w:rsidRPr="00317ABF" w:rsidRDefault="00A82C0C" w:rsidP="00A82C0C">
            <w:pPr>
              <w:ind w:firstLine="510"/>
              <w:jc w:val="both"/>
              <w:rPr>
                <w:sz w:val="22"/>
                <w:szCs w:val="22"/>
              </w:rPr>
            </w:pPr>
            <w:r w:rsidRPr="00317ABF">
              <w:rPr>
                <w:sz w:val="22"/>
                <w:szCs w:val="22"/>
              </w:rPr>
              <w:t>13)</w:t>
            </w:r>
            <w:r w:rsidRPr="00317ABF">
              <w:rPr>
                <w:sz w:val="22"/>
                <w:szCs w:val="22"/>
              </w:rPr>
              <w:tab/>
              <w:t>innych wskazanych w ustawie z dnia 7 maja 2010 r. o wspieraniu rozwoju usług i sieci telekomunikacyjnych,</w:t>
            </w:r>
          </w:p>
          <w:p w14:paraId="4D99CCE7" w14:textId="77777777" w:rsidR="00A82C0C" w:rsidRPr="00317ABF" w:rsidRDefault="00A82C0C" w:rsidP="00A82C0C">
            <w:pPr>
              <w:ind w:firstLine="510"/>
              <w:jc w:val="both"/>
              <w:rPr>
                <w:sz w:val="22"/>
                <w:szCs w:val="22"/>
              </w:rPr>
            </w:pPr>
            <w:r w:rsidRPr="00317ABF">
              <w:rPr>
                <w:sz w:val="22"/>
                <w:szCs w:val="22"/>
              </w:rPr>
              <w:t>14) innych wskazanych w ustawie,</w:t>
            </w:r>
          </w:p>
          <w:p w14:paraId="2056A07F" w14:textId="77777777" w:rsidR="00A82C0C" w:rsidRPr="00317ABF" w:rsidRDefault="00A82C0C" w:rsidP="00A82C0C">
            <w:pPr>
              <w:ind w:firstLine="510"/>
              <w:jc w:val="both"/>
              <w:rPr>
                <w:sz w:val="22"/>
                <w:szCs w:val="22"/>
              </w:rPr>
            </w:pPr>
            <w:r w:rsidRPr="00317ABF">
              <w:rPr>
                <w:sz w:val="22"/>
                <w:szCs w:val="22"/>
              </w:rPr>
              <w:t>- przeprowadza postępowanie, w ramach którego umożliwia zainteresowanym podmiotom wyrażenie w określonym terminie stanowiska do projektu rozstrzygnięcia, zwane dalej „postępowaniem konsultacyjnym”.</w:t>
            </w:r>
          </w:p>
          <w:p w14:paraId="3DFF279C" w14:textId="27432D51" w:rsidR="001E1112" w:rsidRPr="00317ABF" w:rsidRDefault="001E1112" w:rsidP="00DB3BEC">
            <w:pPr>
              <w:ind w:firstLine="510"/>
              <w:jc w:val="both"/>
              <w:rPr>
                <w:sz w:val="22"/>
                <w:szCs w:val="22"/>
              </w:rPr>
            </w:pPr>
          </w:p>
          <w:p w14:paraId="6A2D3DD6" w14:textId="1C6B51C4" w:rsidR="001E1112" w:rsidRPr="00317ABF" w:rsidRDefault="001E1112" w:rsidP="00DB3BEC">
            <w:pPr>
              <w:ind w:firstLine="510"/>
              <w:jc w:val="both"/>
              <w:rPr>
                <w:sz w:val="22"/>
                <w:szCs w:val="22"/>
              </w:rPr>
            </w:pPr>
          </w:p>
          <w:p w14:paraId="64CB1BFF" w14:textId="58FE1B70" w:rsidR="001E1112" w:rsidRPr="00317ABF" w:rsidRDefault="001E1112" w:rsidP="00DB3BEC">
            <w:pPr>
              <w:jc w:val="both"/>
              <w:rPr>
                <w:sz w:val="22"/>
                <w:szCs w:val="22"/>
              </w:rPr>
            </w:pPr>
            <w:r w:rsidRPr="00317ABF">
              <w:rPr>
                <w:b/>
                <w:sz w:val="22"/>
                <w:szCs w:val="22"/>
              </w:rPr>
              <w:t>Art. 35.</w:t>
            </w:r>
            <w:r w:rsidRPr="00317ABF">
              <w:rPr>
                <w:rFonts w:eastAsia="Times"/>
                <w:sz w:val="22"/>
                <w:szCs w:val="22"/>
              </w:rPr>
              <w:t xml:space="preserve"> </w:t>
            </w:r>
            <w:r w:rsidRPr="00317ABF">
              <w:rPr>
                <w:sz w:val="22"/>
                <w:szCs w:val="22"/>
              </w:rPr>
              <w:t xml:space="preserve">1. Jeżeli rozstrzygnięcia, o których mowa w art. </w:t>
            </w:r>
            <w:r w:rsidR="00A82C0C" w:rsidRPr="00317ABF">
              <w:rPr>
                <w:sz w:val="22"/>
                <w:szCs w:val="22"/>
              </w:rPr>
              <w:t>30 pkt 1-13</w:t>
            </w:r>
            <w:r w:rsidRPr="00317ABF">
              <w:rPr>
                <w:sz w:val="22"/>
                <w:szCs w:val="22"/>
              </w:rPr>
              <w:t>, mogą mieć wpływ na stosunki handlowe między państwami członkowskimi, Prezes UKE, niezwłocznie po zakończeniu postępowania konsultacyjnego i rozpatrzeniu stanowisk uczestników tego postępowania, rozpoczyna postępowanie konsolidacyjne, przesyłając Komisji Europejskiej, BEREC, i organom regulacyjnym innych państw członkowskich projekty rozstrzygnięć wraz z ich uzasadnieniem.</w:t>
            </w:r>
            <w:r w:rsidR="00A82C0C" w:rsidRPr="00317ABF">
              <w:rPr>
                <w:sz w:val="22"/>
                <w:szCs w:val="22"/>
              </w:rPr>
              <w:t xml:space="preserve"> </w:t>
            </w:r>
            <w:r w:rsidRPr="00317ABF">
              <w:rPr>
                <w:sz w:val="22"/>
                <w:szCs w:val="22"/>
              </w:rPr>
              <w:br/>
              <w:t xml:space="preserve">2. Jednocześnie z czynnościami, o których mowa w ust. 1, Prezes UKE udostępnia na stronie podmiotowej BIP UKE dokumenty przekazane Komisji Europejskiej </w:t>
            </w:r>
            <w:r w:rsidR="00A82C0C" w:rsidRPr="00317ABF">
              <w:rPr>
                <w:sz w:val="22"/>
                <w:szCs w:val="22"/>
              </w:rPr>
              <w:t>a następnie udostępnia</w:t>
            </w:r>
            <w:r w:rsidRPr="00317ABF">
              <w:rPr>
                <w:sz w:val="22"/>
                <w:szCs w:val="22"/>
              </w:rPr>
              <w:t xml:space="preserve"> otrzymane w tej sprawie opinie </w:t>
            </w:r>
            <w:r w:rsidRPr="00317ABF">
              <w:rPr>
                <w:sz w:val="22"/>
                <w:szCs w:val="22"/>
              </w:rPr>
              <w:lastRenderedPageBreak/>
              <w:t>i decyzje</w:t>
            </w:r>
            <w:r w:rsidR="00A82C0C" w:rsidRPr="00317ABF">
              <w:rPr>
                <w:sz w:val="22"/>
                <w:szCs w:val="22"/>
              </w:rPr>
              <w:t xml:space="preserve"> Komisji Europejskiej. Udostępnieniu nie podlegają informacje stanowiące tajemnice prawnie chronione.</w:t>
            </w:r>
          </w:p>
          <w:p w14:paraId="11AB8908" w14:textId="017C5189" w:rsidR="001E1112" w:rsidRPr="00317ABF" w:rsidRDefault="001E1112" w:rsidP="00DB3BEC">
            <w:pPr>
              <w:jc w:val="both"/>
              <w:rPr>
                <w:sz w:val="22"/>
                <w:szCs w:val="22"/>
              </w:rPr>
            </w:pPr>
          </w:p>
        </w:tc>
      </w:tr>
      <w:tr w:rsidR="001E1112" w:rsidRPr="00317ABF" w14:paraId="17545DEE" w14:textId="77777777" w:rsidTr="7753F98D">
        <w:trPr>
          <w:gridAfter w:val="2"/>
          <w:wAfter w:w="175" w:type="dxa"/>
        </w:trPr>
        <w:tc>
          <w:tcPr>
            <w:tcW w:w="704" w:type="dxa"/>
          </w:tcPr>
          <w:p w14:paraId="6C690878" w14:textId="77777777" w:rsidR="001E1112" w:rsidRPr="00317ABF" w:rsidRDefault="001E1112" w:rsidP="00DB3BEC">
            <w:pPr>
              <w:jc w:val="both"/>
              <w:rPr>
                <w:sz w:val="22"/>
                <w:szCs w:val="22"/>
              </w:rPr>
            </w:pPr>
            <w:r w:rsidRPr="00317ABF">
              <w:rPr>
                <w:sz w:val="22"/>
                <w:szCs w:val="22"/>
              </w:rPr>
              <w:lastRenderedPageBreak/>
              <w:t>Art. 68 ust. 6</w:t>
            </w:r>
          </w:p>
        </w:tc>
        <w:tc>
          <w:tcPr>
            <w:tcW w:w="4308" w:type="dxa"/>
          </w:tcPr>
          <w:p w14:paraId="06636D98" w14:textId="77777777" w:rsidR="001E1112" w:rsidRPr="00317ABF" w:rsidRDefault="001E1112" w:rsidP="00DB3BEC">
            <w:pPr>
              <w:spacing w:before="120"/>
              <w:jc w:val="both"/>
              <w:rPr>
                <w:sz w:val="22"/>
                <w:szCs w:val="22"/>
              </w:rPr>
            </w:pPr>
            <w:r w:rsidRPr="00317ABF">
              <w:rPr>
                <w:sz w:val="22"/>
                <w:szCs w:val="22"/>
              </w:rPr>
              <w:t>6.   Krajowe organy regulacyjne uwzględniają wpływ najnowszych zmian sytuacji rynkowej, dotyczących m.in. umów handlowych, w tym umów współinwestycji, mających wpływ na dynamikę konkurencji.</w:t>
            </w:r>
          </w:p>
          <w:p w14:paraId="2FC97467" w14:textId="77777777" w:rsidR="001E1112" w:rsidRPr="00317ABF" w:rsidRDefault="001E1112" w:rsidP="00DB3BEC">
            <w:pPr>
              <w:spacing w:before="120"/>
              <w:jc w:val="both"/>
              <w:rPr>
                <w:sz w:val="22"/>
                <w:szCs w:val="22"/>
              </w:rPr>
            </w:pPr>
            <w:r w:rsidRPr="00317ABF">
              <w:rPr>
                <w:sz w:val="22"/>
                <w:szCs w:val="22"/>
              </w:rPr>
              <w:t>Jeżeli te zmiany nie są na tyle istotne, aby wymagały nowej analizy rynku zgodnie z art. 67, krajowy organ regulacyjny ocenia bezzwłocznie, czy należy dokonać przeglądu obowiązków nałożonych na przedsiębiorstwa uznane za posiadające znaczącą pozycję rynkową i zmienić poprzednią decyzję, w tym przez uchylenie obowiązków lub nałożenie nowych obowiązków, aby zapewnić, by te obowiązki nadal spełniały warunki określone w ust. 4 niniejszego artykułu. Tak zmienione obowiązki mogą zostać nałożone tylko po przeprowadzeniu konsultacji zgodnie z art. 23 i 32.</w:t>
            </w:r>
          </w:p>
        </w:tc>
        <w:tc>
          <w:tcPr>
            <w:tcW w:w="986" w:type="dxa"/>
          </w:tcPr>
          <w:p w14:paraId="1B3B514F" w14:textId="2960B275" w:rsidR="001E1112" w:rsidRPr="00317ABF" w:rsidRDefault="001E1112" w:rsidP="00DB3BEC">
            <w:pPr>
              <w:jc w:val="both"/>
              <w:rPr>
                <w:sz w:val="22"/>
                <w:szCs w:val="22"/>
              </w:rPr>
            </w:pPr>
            <w:r w:rsidRPr="00317ABF">
              <w:rPr>
                <w:sz w:val="22"/>
                <w:szCs w:val="22"/>
              </w:rPr>
              <w:t>T</w:t>
            </w:r>
          </w:p>
        </w:tc>
        <w:tc>
          <w:tcPr>
            <w:tcW w:w="910" w:type="dxa"/>
          </w:tcPr>
          <w:p w14:paraId="6BE791E5" w14:textId="62649603" w:rsidR="001E1112" w:rsidRPr="00317ABF" w:rsidRDefault="001E1112" w:rsidP="00DB3BEC">
            <w:pPr>
              <w:pStyle w:val="Tekstpodstawowy"/>
              <w:rPr>
                <w:b/>
                <w:bCs/>
                <w:noProof/>
                <w:sz w:val="22"/>
                <w:szCs w:val="22"/>
              </w:rPr>
            </w:pPr>
            <w:r w:rsidRPr="00317ABF">
              <w:rPr>
                <w:b/>
                <w:bCs/>
                <w:noProof/>
                <w:sz w:val="22"/>
                <w:szCs w:val="22"/>
              </w:rPr>
              <w:t xml:space="preserve">Art. 30, art. 35, art. </w:t>
            </w:r>
            <w:r w:rsidR="00C51BC9" w:rsidRPr="00317ABF">
              <w:rPr>
                <w:b/>
                <w:bCs/>
                <w:noProof/>
                <w:sz w:val="22"/>
                <w:szCs w:val="22"/>
              </w:rPr>
              <w:t>209</w:t>
            </w:r>
          </w:p>
        </w:tc>
        <w:tc>
          <w:tcPr>
            <w:tcW w:w="6814" w:type="dxa"/>
            <w:gridSpan w:val="2"/>
          </w:tcPr>
          <w:p w14:paraId="6A6C6B8B" w14:textId="77777777" w:rsidR="001E1112" w:rsidRPr="00317ABF" w:rsidRDefault="001E1112" w:rsidP="00DB3BEC">
            <w:pPr>
              <w:ind w:firstLine="510"/>
              <w:jc w:val="both"/>
              <w:rPr>
                <w:sz w:val="22"/>
                <w:szCs w:val="22"/>
              </w:rPr>
            </w:pPr>
            <w:r w:rsidRPr="00317ABF">
              <w:rPr>
                <w:b/>
                <w:sz w:val="22"/>
                <w:szCs w:val="22"/>
              </w:rPr>
              <w:t xml:space="preserve">Art. </w:t>
            </w:r>
            <w:r w:rsidR="00C51BC9" w:rsidRPr="00317ABF">
              <w:rPr>
                <w:b/>
                <w:sz w:val="22"/>
                <w:szCs w:val="22"/>
              </w:rPr>
              <w:t>209</w:t>
            </w:r>
            <w:r w:rsidRPr="00317ABF">
              <w:rPr>
                <w:b/>
                <w:sz w:val="22"/>
                <w:szCs w:val="22"/>
              </w:rPr>
              <w:t>.</w:t>
            </w:r>
            <w:r w:rsidRPr="00317ABF">
              <w:rPr>
                <w:sz w:val="22"/>
                <w:szCs w:val="22"/>
              </w:rPr>
              <w:t xml:space="preserve"> 1. W przypadku zmiany sytuacji rynkowej związanej w szczególności z zawarciem lub rozwiązaniem umów handlowych, w tym umów w zakresie współinwestowania, mających wpływ na konkurencję na rynku telekomunikacyjnym, nieuzasadniającej przeprowadzenia nowej analizy rynku, o której mowa w art. </w:t>
            </w:r>
            <w:r w:rsidR="00C51BC9" w:rsidRPr="00317ABF">
              <w:rPr>
                <w:sz w:val="22"/>
                <w:szCs w:val="22"/>
              </w:rPr>
              <w:t>197</w:t>
            </w:r>
            <w:r w:rsidRPr="00317ABF">
              <w:rPr>
                <w:sz w:val="22"/>
                <w:szCs w:val="22"/>
              </w:rPr>
              <w:t xml:space="preserve"> ust. 1, Prezes UKE niezwłocznie dokonuje oceny w zakresie konieczności dokonania przeglądu nałożonych obowiązków regulacyjnych.</w:t>
            </w:r>
          </w:p>
          <w:p w14:paraId="63B2E4C8" w14:textId="77777777" w:rsidR="001E1112" w:rsidRPr="00317ABF" w:rsidRDefault="001E1112" w:rsidP="00DB3BEC">
            <w:pPr>
              <w:ind w:firstLine="510"/>
              <w:jc w:val="both"/>
              <w:rPr>
                <w:sz w:val="22"/>
                <w:szCs w:val="22"/>
              </w:rPr>
            </w:pPr>
            <w:r w:rsidRPr="00317ABF">
              <w:rPr>
                <w:sz w:val="22"/>
                <w:szCs w:val="22"/>
              </w:rPr>
              <w:t xml:space="preserve">2. Prezes UKE, po przeprowadzeniu oceny, o której mowa w ust. 1, może zmienić decyzję, o której mowa w art. </w:t>
            </w:r>
            <w:r w:rsidR="00C51BC9" w:rsidRPr="00317ABF">
              <w:rPr>
                <w:sz w:val="22"/>
                <w:szCs w:val="22"/>
              </w:rPr>
              <w:t>202</w:t>
            </w:r>
            <w:r w:rsidRPr="00317ABF">
              <w:rPr>
                <w:sz w:val="22"/>
                <w:szCs w:val="22"/>
              </w:rPr>
              <w:t>, poprzez:</w:t>
            </w:r>
          </w:p>
          <w:p w14:paraId="188C0DDE" w14:textId="77777777" w:rsidR="00C51BC9" w:rsidRPr="00317ABF" w:rsidRDefault="00C51BC9" w:rsidP="00C51BC9">
            <w:pPr>
              <w:ind w:firstLine="510"/>
              <w:jc w:val="both"/>
              <w:rPr>
                <w:sz w:val="22"/>
                <w:szCs w:val="22"/>
              </w:rPr>
            </w:pPr>
            <w:r w:rsidRPr="00317ABF">
              <w:rPr>
                <w:sz w:val="22"/>
                <w:szCs w:val="22"/>
              </w:rPr>
              <w:t>1)</w:t>
            </w:r>
            <w:r w:rsidRPr="00317ABF">
              <w:rPr>
                <w:sz w:val="22"/>
                <w:szCs w:val="22"/>
              </w:rPr>
              <w:tab/>
              <w:t>nałożenie lub zmianę obowiązków regulacyjnych, biorąc pod uwagę adekwatność i proporcjonalność danego obowiązku do problemów rynkowych, których rozwiązanie służy realizacji celów określonych w art. 407 ust. 2, lub</w:t>
            </w:r>
          </w:p>
          <w:p w14:paraId="2E7AFCEB" w14:textId="4FFCCC3F" w:rsidR="001E1112" w:rsidRPr="00317ABF" w:rsidRDefault="001E1112" w:rsidP="00DB3BEC">
            <w:pPr>
              <w:ind w:firstLine="510"/>
              <w:jc w:val="both"/>
              <w:rPr>
                <w:sz w:val="22"/>
                <w:szCs w:val="22"/>
              </w:rPr>
            </w:pPr>
            <w:r w:rsidRPr="00317ABF">
              <w:rPr>
                <w:sz w:val="22"/>
                <w:szCs w:val="22"/>
              </w:rPr>
              <w:t>2)</w:t>
            </w:r>
            <w:r w:rsidR="00C51BC9" w:rsidRPr="00317ABF">
              <w:rPr>
                <w:sz w:val="22"/>
                <w:szCs w:val="22"/>
              </w:rPr>
              <w:tab/>
            </w:r>
            <w:r w:rsidRPr="00317ABF">
              <w:rPr>
                <w:sz w:val="22"/>
                <w:szCs w:val="22"/>
              </w:rPr>
              <w:t>uchylenie nałożonych obowiązków regulacyjnych, jeżeli warunki na rynku właściwym uzasadniają uchylenie tych obowiązków.</w:t>
            </w:r>
          </w:p>
          <w:p w14:paraId="29C4AB89" w14:textId="39DAB9CF" w:rsidR="001E1112" w:rsidRPr="00317ABF" w:rsidRDefault="001E1112" w:rsidP="00DB3BEC">
            <w:pPr>
              <w:ind w:firstLine="510"/>
              <w:jc w:val="both"/>
              <w:rPr>
                <w:sz w:val="22"/>
                <w:szCs w:val="22"/>
              </w:rPr>
            </w:pPr>
          </w:p>
          <w:p w14:paraId="362D043C" w14:textId="77777777" w:rsidR="00C51BC9" w:rsidRPr="00317ABF" w:rsidRDefault="00C51BC9" w:rsidP="00C51BC9">
            <w:pPr>
              <w:ind w:firstLine="510"/>
              <w:jc w:val="both"/>
              <w:rPr>
                <w:sz w:val="22"/>
                <w:szCs w:val="22"/>
              </w:rPr>
            </w:pPr>
            <w:r w:rsidRPr="00317ABF">
              <w:rPr>
                <w:b/>
                <w:sz w:val="22"/>
                <w:szCs w:val="22"/>
              </w:rPr>
              <w:t>Art. 30</w:t>
            </w:r>
            <w:r w:rsidRPr="00317ABF">
              <w:rPr>
                <w:sz w:val="22"/>
                <w:szCs w:val="22"/>
              </w:rPr>
              <w:t>. Prezes UKE przed podjęciem rozstrzygnięcia w sprawach:</w:t>
            </w:r>
          </w:p>
          <w:p w14:paraId="780834A1" w14:textId="77777777" w:rsidR="00C51BC9" w:rsidRPr="00317ABF" w:rsidRDefault="00C51BC9" w:rsidP="00C51BC9">
            <w:pPr>
              <w:ind w:firstLine="510"/>
              <w:jc w:val="both"/>
              <w:rPr>
                <w:sz w:val="22"/>
                <w:szCs w:val="22"/>
              </w:rPr>
            </w:pPr>
            <w:r w:rsidRPr="00317ABF">
              <w:rPr>
                <w:sz w:val="22"/>
                <w:szCs w:val="22"/>
              </w:rPr>
              <w:t>1) decyzji wydawanej na podstawie art. 175 ust. 1,</w:t>
            </w:r>
            <w:r w:rsidRPr="00317ABF">
              <w:rPr>
                <w:sz w:val="22"/>
                <w:szCs w:val="22"/>
              </w:rPr>
              <w:tab/>
              <w:t xml:space="preserve"> </w:t>
            </w:r>
          </w:p>
          <w:p w14:paraId="6DD80596" w14:textId="77777777" w:rsidR="00C51BC9" w:rsidRPr="00317ABF" w:rsidRDefault="00C51BC9" w:rsidP="00C51BC9">
            <w:pPr>
              <w:ind w:firstLine="510"/>
              <w:jc w:val="both"/>
              <w:rPr>
                <w:sz w:val="22"/>
                <w:szCs w:val="22"/>
              </w:rPr>
            </w:pPr>
            <w:r w:rsidRPr="00317ABF">
              <w:rPr>
                <w:sz w:val="22"/>
                <w:szCs w:val="22"/>
              </w:rPr>
              <w:t>2)</w:t>
            </w:r>
            <w:r w:rsidRPr="00317ABF">
              <w:rPr>
                <w:sz w:val="22"/>
                <w:szCs w:val="22"/>
              </w:rPr>
              <w:tab/>
              <w:t xml:space="preserve"> nałożenia, uchylenia, zmiany lub utrzymania obowiązków dostępowych symetrycznych,</w:t>
            </w:r>
          </w:p>
          <w:p w14:paraId="135B4A80" w14:textId="77777777" w:rsidR="00C51BC9" w:rsidRPr="00317ABF" w:rsidRDefault="00C51BC9" w:rsidP="00C51BC9">
            <w:pPr>
              <w:ind w:firstLine="510"/>
              <w:jc w:val="both"/>
              <w:rPr>
                <w:sz w:val="22"/>
                <w:szCs w:val="22"/>
              </w:rPr>
            </w:pPr>
            <w:r w:rsidRPr="00317ABF">
              <w:rPr>
                <w:sz w:val="22"/>
                <w:szCs w:val="22"/>
              </w:rPr>
              <w:t>3)</w:t>
            </w:r>
            <w:r w:rsidRPr="00317ABF">
              <w:rPr>
                <w:sz w:val="22"/>
                <w:szCs w:val="22"/>
              </w:rPr>
              <w:tab/>
              <w:t>postanowień wydawanych na podstawie art. 182 ust. 1 i ust. 4 oraz decyzji wydawanej na podstawie art. 182 ust. 3,</w:t>
            </w:r>
          </w:p>
          <w:p w14:paraId="3045BF7B" w14:textId="77777777" w:rsidR="00C51BC9" w:rsidRPr="00317ABF" w:rsidRDefault="00C51BC9" w:rsidP="00C51BC9">
            <w:pPr>
              <w:ind w:firstLine="510"/>
              <w:jc w:val="both"/>
              <w:rPr>
                <w:sz w:val="22"/>
                <w:szCs w:val="22"/>
              </w:rPr>
            </w:pPr>
            <w:r w:rsidRPr="00317ABF">
              <w:rPr>
                <w:sz w:val="22"/>
                <w:szCs w:val="22"/>
              </w:rPr>
              <w:t>4)</w:t>
            </w:r>
            <w:r w:rsidRPr="00317ABF">
              <w:rPr>
                <w:sz w:val="22"/>
                <w:szCs w:val="22"/>
              </w:rPr>
              <w:tab/>
              <w:t xml:space="preserve">decyzji wydawanej na podstawie art. 183 ust. 1, </w:t>
            </w:r>
          </w:p>
          <w:p w14:paraId="7ECFA740" w14:textId="77777777" w:rsidR="00C51BC9" w:rsidRPr="00317ABF" w:rsidRDefault="00C51BC9" w:rsidP="00C51BC9">
            <w:pPr>
              <w:ind w:firstLine="510"/>
              <w:jc w:val="both"/>
              <w:rPr>
                <w:sz w:val="22"/>
                <w:szCs w:val="22"/>
              </w:rPr>
            </w:pPr>
            <w:r w:rsidRPr="00317ABF">
              <w:rPr>
                <w:sz w:val="22"/>
                <w:szCs w:val="22"/>
              </w:rPr>
              <w:t>5)</w:t>
            </w:r>
            <w:r w:rsidRPr="00317ABF">
              <w:rPr>
                <w:sz w:val="22"/>
                <w:szCs w:val="22"/>
              </w:rPr>
              <w:tab/>
              <w:t>decyzji wydawanej na podstawie art. 187,</w:t>
            </w:r>
          </w:p>
          <w:p w14:paraId="7F502CB8" w14:textId="77777777" w:rsidR="00C51BC9" w:rsidRPr="00317ABF" w:rsidRDefault="00C51BC9" w:rsidP="00C51BC9">
            <w:pPr>
              <w:ind w:firstLine="510"/>
              <w:jc w:val="both"/>
              <w:rPr>
                <w:sz w:val="22"/>
                <w:szCs w:val="22"/>
              </w:rPr>
            </w:pPr>
            <w:r w:rsidRPr="00317ABF">
              <w:rPr>
                <w:sz w:val="22"/>
                <w:szCs w:val="22"/>
              </w:rPr>
              <w:t xml:space="preserve">6) </w:t>
            </w:r>
            <w:r w:rsidRPr="00317ABF">
              <w:rPr>
                <w:sz w:val="22"/>
                <w:szCs w:val="22"/>
              </w:rPr>
              <w:tab/>
              <w:t>załatwianych w drodze decyzji obszarowej,</w:t>
            </w:r>
          </w:p>
          <w:p w14:paraId="41D09364" w14:textId="77777777" w:rsidR="00C51BC9" w:rsidRPr="00317ABF" w:rsidRDefault="00C51BC9" w:rsidP="00C51BC9">
            <w:pPr>
              <w:ind w:firstLine="510"/>
              <w:jc w:val="both"/>
              <w:rPr>
                <w:sz w:val="22"/>
                <w:szCs w:val="22"/>
              </w:rPr>
            </w:pPr>
            <w:r w:rsidRPr="00317ABF">
              <w:rPr>
                <w:sz w:val="22"/>
                <w:szCs w:val="22"/>
              </w:rPr>
              <w:t>7) określenia rynku właściwego, o którym mowa w art. 199 ust. 1 pkt 1, a także jego analizy i wyznaczenia przedsiębiorcy komunikacji elektronicznej o znaczącej pozycji rynkowej lub przedsiębiorców komunikacji elektronicznej zajmujących kolektywną pozycję znaczącą, lub uchylenia decyzji w tej sprawie,</w:t>
            </w:r>
          </w:p>
          <w:p w14:paraId="79B3499A" w14:textId="77777777" w:rsidR="00C51BC9" w:rsidRPr="00317ABF" w:rsidRDefault="00C51BC9" w:rsidP="00C51BC9">
            <w:pPr>
              <w:ind w:firstLine="510"/>
              <w:jc w:val="both"/>
              <w:rPr>
                <w:sz w:val="22"/>
                <w:szCs w:val="22"/>
              </w:rPr>
            </w:pPr>
            <w:r w:rsidRPr="00317ABF">
              <w:rPr>
                <w:sz w:val="22"/>
                <w:szCs w:val="22"/>
              </w:rPr>
              <w:t>8) nałożenia, uchylenia, utrzymania lub zmiany obowiązków regulacyjnych w stosunku do przedsiębiorcy komunikacji elektronicznej o znaczącej pozycji rynkowej lub nieposiadającego takiej pozycji,</w:t>
            </w:r>
          </w:p>
          <w:p w14:paraId="6E1B96D3" w14:textId="77777777" w:rsidR="00C51BC9" w:rsidRPr="00317ABF" w:rsidRDefault="00C51BC9" w:rsidP="00C51BC9">
            <w:pPr>
              <w:ind w:firstLine="510"/>
              <w:jc w:val="both"/>
              <w:rPr>
                <w:sz w:val="22"/>
                <w:szCs w:val="22"/>
              </w:rPr>
            </w:pPr>
            <w:r w:rsidRPr="00317ABF">
              <w:rPr>
                <w:sz w:val="22"/>
                <w:szCs w:val="22"/>
              </w:rPr>
              <w:t xml:space="preserve">9) </w:t>
            </w:r>
            <w:r w:rsidRPr="00317ABF">
              <w:rPr>
                <w:sz w:val="22"/>
                <w:szCs w:val="22"/>
              </w:rPr>
              <w:tab/>
              <w:t>decyzji wydawanych na podstawie art. 217 ust. 3 i ust. 5,</w:t>
            </w:r>
          </w:p>
          <w:p w14:paraId="3375FC7D" w14:textId="77777777" w:rsidR="00C51BC9" w:rsidRPr="00317ABF" w:rsidRDefault="00C51BC9" w:rsidP="00C51BC9">
            <w:pPr>
              <w:ind w:firstLine="510"/>
              <w:jc w:val="both"/>
              <w:rPr>
                <w:sz w:val="22"/>
                <w:szCs w:val="22"/>
              </w:rPr>
            </w:pPr>
            <w:r w:rsidRPr="00317ABF">
              <w:rPr>
                <w:sz w:val="22"/>
                <w:szCs w:val="22"/>
              </w:rPr>
              <w:t xml:space="preserve">10) </w:t>
            </w:r>
            <w:r w:rsidRPr="00317ABF">
              <w:rPr>
                <w:sz w:val="22"/>
                <w:szCs w:val="22"/>
              </w:rPr>
              <w:tab/>
              <w:t>decyzji wydawanej na podstawie art. 221 ust. 1,</w:t>
            </w:r>
          </w:p>
          <w:p w14:paraId="5064072C" w14:textId="77777777" w:rsidR="00C51BC9" w:rsidRPr="00317ABF" w:rsidRDefault="00C51BC9" w:rsidP="00C51BC9">
            <w:pPr>
              <w:ind w:firstLine="510"/>
              <w:jc w:val="both"/>
              <w:rPr>
                <w:sz w:val="22"/>
                <w:szCs w:val="22"/>
              </w:rPr>
            </w:pPr>
            <w:r w:rsidRPr="00317ABF">
              <w:rPr>
                <w:sz w:val="22"/>
                <w:szCs w:val="22"/>
              </w:rPr>
              <w:t>11) decyzji wydawanej na podstawie art. 230 ust. 4,</w:t>
            </w:r>
          </w:p>
          <w:p w14:paraId="287412EE" w14:textId="77777777" w:rsidR="00C51BC9" w:rsidRPr="00317ABF" w:rsidRDefault="00C51BC9" w:rsidP="00C51BC9">
            <w:pPr>
              <w:ind w:firstLine="510"/>
              <w:jc w:val="both"/>
              <w:rPr>
                <w:sz w:val="22"/>
                <w:szCs w:val="22"/>
              </w:rPr>
            </w:pPr>
            <w:r w:rsidRPr="00317ABF">
              <w:rPr>
                <w:sz w:val="22"/>
                <w:szCs w:val="22"/>
              </w:rPr>
              <w:lastRenderedPageBreak/>
              <w:t xml:space="preserve">12) </w:t>
            </w:r>
            <w:r w:rsidRPr="00317ABF">
              <w:rPr>
                <w:sz w:val="22"/>
                <w:szCs w:val="22"/>
              </w:rPr>
              <w:tab/>
              <w:t>decyzji wydawanej na podstawie art. 235,</w:t>
            </w:r>
          </w:p>
          <w:p w14:paraId="0806F62D" w14:textId="77777777" w:rsidR="00C51BC9" w:rsidRPr="00317ABF" w:rsidRDefault="00C51BC9" w:rsidP="00C51BC9">
            <w:pPr>
              <w:ind w:firstLine="510"/>
              <w:jc w:val="both"/>
              <w:rPr>
                <w:sz w:val="22"/>
                <w:szCs w:val="22"/>
              </w:rPr>
            </w:pPr>
            <w:r w:rsidRPr="00317ABF">
              <w:rPr>
                <w:sz w:val="22"/>
                <w:szCs w:val="22"/>
              </w:rPr>
              <w:t>13)</w:t>
            </w:r>
            <w:r w:rsidRPr="00317ABF">
              <w:rPr>
                <w:sz w:val="22"/>
                <w:szCs w:val="22"/>
              </w:rPr>
              <w:tab/>
              <w:t>innych wskazanych w ustawie z dnia 7 maja 2010 r. o wspieraniu rozwoju usług i sieci telekomunikacyjnych,</w:t>
            </w:r>
          </w:p>
          <w:p w14:paraId="0E1EDB4A" w14:textId="77777777" w:rsidR="00C51BC9" w:rsidRPr="00317ABF" w:rsidRDefault="00C51BC9" w:rsidP="00C51BC9">
            <w:pPr>
              <w:ind w:firstLine="510"/>
              <w:jc w:val="both"/>
              <w:rPr>
                <w:sz w:val="22"/>
                <w:szCs w:val="22"/>
              </w:rPr>
            </w:pPr>
            <w:r w:rsidRPr="00317ABF">
              <w:rPr>
                <w:sz w:val="22"/>
                <w:szCs w:val="22"/>
              </w:rPr>
              <w:t>14) innych wskazanych w ustawie,</w:t>
            </w:r>
          </w:p>
          <w:p w14:paraId="50CF6F89" w14:textId="77777777" w:rsidR="00C51BC9" w:rsidRPr="00317ABF" w:rsidRDefault="00C51BC9" w:rsidP="00C51BC9">
            <w:pPr>
              <w:ind w:firstLine="510"/>
              <w:jc w:val="both"/>
              <w:rPr>
                <w:sz w:val="22"/>
                <w:szCs w:val="22"/>
              </w:rPr>
            </w:pPr>
            <w:r w:rsidRPr="00317ABF">
              <w:rPr>
                <w:sz w:val="22"/>
                <w:szCs w:val="22"/>
              </w:rPr>
              <w:t>- przeprowadza postępowanie, w ramach którego umożliwia zainteresowanym podmiotom wyrażenie w określonym terminie stanowiska do projektu rozstrzygnięcia, zwane dalej „postępowaniem konsultacyjnym”.</w:t>
            </w:r>
          </w:p>
          <w:p w14:paraId="40F6C9D0" w14:textId="77777777" w:rsidR="00C51BC9" w:rsidRPr="00317ABF" w:rsidRDefault="00C51BC9" w:rsidP="00C51BC9">
            <w:pPr>
              <w:ind w:firstLine="510"/>
              <w:jc w:val="both"/>
              <w:rPr>
                <w:sz w:val="22"/>
                <w:szCs w:val="22"/>
              </w:rPr>
            </w:pPr>
          </w:p>
          <w:p w14:paraId="56A911BE" w14:textId="77777777" w:rsidR="00C51BC9" w:rsidRPr="00317ABF" w:rsidRDefault="00C51BC9" w:rsidP="00C51BC9">
            <w:pPr>
              <w:ind w:firstLine="510"/>
              <w:jc w:val="both"/>
              <w:rPr>
                <w:sz w:val="22"/>
                <w:szCs w:val="22"/>
              </w:rPr>
            </w:pPr>
          </w:p>
          <w:p w14:paraId="2F1A966B" w14:textId="77777777" w:rsidR="00C51BC9" w:rsidRPr="00317ABF" w:rsidRDefault="00C51BC9" w:rsidP="00C51BC9">
            <w:pPr>
              <w:ind w:firstLine="510"/>
              <w:jc w:val="both"/>
              <w:rPr>
                <w:sz w:val="22"/>
                <w:szCs w:val="22"/>
              </w:rPr>
            </w:pPr>
            <w:r w:rsidRPr="00317ABF">
              <w:rPr>
                <w:b/>
                <w:sz w:val="22"/>
                <w:szCs w:val="22"/>
              </w:rPr>
              <w:t>Art. 35</w:t>
            </w:r>
            <w:r w:rsidRPr="00317ABF">
              <w:rPr>
                <w:sz w:val="22"/>
                <w:szCs w:val="22"/>
              </w:rPr>
              <w:t xml:space="preserve">. 1. Jeżeli rozstrzygnięcia, o których mowa w art. 30 pkt 1-13, mogą mieć wpływ na stosunki handlowe między państwami członkowskimi, Prezes UKE, niezwłocznie po zakończeniu postępowania konsultacyjnego i rozpatrzeniu stanowisk uczestników tego postępowania, rozpoczyna postępowanie konsolidacyjne, przesyłając Komisji Europejskiej, BEREC, i organom regulacyjnym innych państw członkowskich projekty rozstrzygnięć wraz z ich uzasadnieniem. </w:t>
            </w:r>
          </w:p>
          <w:p w14:paraId="71A8BB79" w14:textId="2A094C08" w:rsidR="001E1112" w:rsidRPr="00317ABF" w:rsidRDefault="00C51BC9" w:rsidP="00DB3BEC">
            <w:pPr>
              <w:jc w:val="both"/>
              <w:rPr>
                <w:sz w:val="22"/>
                <w:szCs w:val="22"/>
              </w:rPr>
            </w:pPr>
            <w:r w:rsidRPr="00317ABF">
              <w:rPr>
                <w:sz w:val="22"/>
                <w:szCs w:val="22"/>
              </w:rPr>
              <w:t>2. Jednocześnie z czynnościami, o których mowa w ust. 1, Prezes UKE udostępnia na stronie podmiotowej BIP UKE dokumenty przekazane Komisji Europejskiej a następnie udostępnia otrzymane w tej sprawie opinie i decyzje Komisji Europejskiej. Udostępnieniu nie podlegają informacje stanowiące tajemnice prawnie chronione.</w:t>
            </w:r>
          </w:p>
          <w:p w14:paraId="0960C424" w14:textId="6DB0E397" w:rsidR="001E1112" w:rsidRPr="00317ABF" w:rsidRDefault="001E1112" w:rsidP="00DB3BEC">
            <w:pPr>
              <w:jc w:val="both"/>
              <w:rPr>
                <w:sz w:val="22"/>
                <w:szCs w:val="22"/>
              </w:rPr>
            </w:pPr>
          </w:p>
        </w:tc>
      </w:tr>
      <w:tr w:rsidR="001E1112" w:rsidRPr="00317ABF" w14:paraId="2253051B" w14:textId="77777777" w:rsidTr="7753F98D">
        <w:trPr>
          <w:gridAfter w:val="2"/>
          <w:wAfter w:w="175" w:type="dxa"/>
        </w:trPr>
        <w:tc>
          <w:tcPr>
            <w:tcW w:w="704" w:type="dxa"/>
          </w:tcPr>
          <w:p w14:paraId="334EA499" w14:textId="77777777" w:rsidR="001E1112" w:rsidRPr="00317ABF" w:rsidRDefault="001E1112" w:rsidP="00DB3BEC">
            <w:pPr>
              <w:jc w:val="both"/>
              <w:rPr>
                <w:b/>
                <w:sz w:val="22"/>
                <w:szCs w:val="22"/>
              </w:rPr>
            </w:pPr>
            <w:r w:rsidRPr="00317ABF">
              <w:rPr>
                <w:b/>
                <w:sz w:val="22"/>
                <w:szCs w:val="22"/>
              </w:rPr>
              <w:lastRenderedPageBreak/>
              <w:t>Art. 69</w:t>
            </w:r>
          </w:p>
        </w:tc>
        <w:tc>
          <w:tcPr>
            <w:tcW w:w="4308" w:type="dxa"/>
          </w:tcPr>
          <w:p w14:paraId="496FF663" w14:textId="77777777" w:rsidR="001E1112" w:rsidRPr="00317ABF" w:rsidRDefault="001E1112" w:rsidP="00DB3BEC">
            <w:pPr>
              <w:spacing w:before="120"/>
              <w:jc w:val="both"/>
              <w:rPr>
                <w:sz w:val="22"/>
                <w:szCs w:val="22"/>
              </w:rPr>
            </w:pPr>
            <w:r w:rsidRPr="00317ABF">
              <w:rPr>
                <w:b/>
                <w:bCs/>
                <w:sz w:val="22"/>
                <w:szCs w:val="22"/>
              </w:rPr>
              <w:t>Obowiązek przejrzystości</w:t>
            </w:r>
          </w:p>
        </w:tc>
        <w:tc>
          <w:tcPr>
            <w:tcW w:w="986" w:type="dxa"/>
          </w:tcPr>
          <w:p w14:paraId="6F65D975" w14:textId="77777777" w:rsidR="001E1112" w:rsidRPr="00317ABF" w:rsidRDefault="001E1112" w:rsidP="00DB3BEC">
            <w:pPr>
              <w:jc w:val="both"/>
              <w:rPr>
                <w:sz w:val="22"/>
                <w:szCs w:val="22"/>
              </w:rPr>
            </w:pPr>
          </w:p>
        </w:tc>
        <w:tc>
          <w:tcPr>
            <w:tcW w:w="910" w:type="dxa"/>
          </w:tcPr>
          <w:p w14:paraId="68722257" w14:textId="77777777" w:rsidR="001E1112" w:rsidRPr="00317ABF" w:rsidRDefault="001E1112" w:rsidP="00DB3BEC">
            <w:pPr>
              <w:pStyle w:val="Tekstpodstawowy"/>
              <w:rPr>
                <w:b/>
                <w:noProof/>
                <w:sz w:val="22"/>
                <w:szCs w:val="22"/>
              </w:rPr>
            </w:pPr>
          </w:p>
        </w:tc>
        <w:tc>
          <w:tcPr>
            <w:tcW w:w="6814" w:type="dxa"/>
            <w:gridSpan w:val="2"/>
          </w:tcPr>
          <w:p w14:paraId="2A57222C" w14:textId="77777777" w:rsidR="001E1112" w:rsidRPr="00317ABF" w:rsidRDefault="001E1112" w:rsidP="00DB3BEC">
            <w:pPr>
              <w:pStyle w:val="Tekstpodstawowy"/>
              <w:rPr>
                <w:sz w:val="22"/>
                <w:szCs w:val="22"/>
              </w:rPr>
            </w:pPr>
          </w:p>
        </w:tc>
      </w:tr>
      <w:tr w:rsidR="001E1112" w:rsidRPr="00317ABF" w14:paraId="30C4DB06" w14:textId="77777777" w:rsidTr="7753F98D">
        <w:trPr>
          <w:gridAfter w:val="2"/>
          <w:wAfter w:w="175" w:type="dxa"/>
        </w:trPr>
        <w:tc>
          <w:tcPr>
            <w:tcW w:w="704" w:type="dxa"/>
          </w:tcPr>
          <w:p w14:paraId="4C1233D4" w14:textId="77777777" w:rsidR="001E1112" w:rsidRPr="00317ABF" w:rsidRDefault="001E1112" w:rsidP="00DB3BEC">
            <w:pPr>
              <w:jc w:val="both"/>
              <w:rPr>
                <w:sz w:val="22"/>
                <w:szCs w:val="22"/>
              </w:rPr>
            </w:pPr>
            <w:r w:rsidRPr="00317ABF">
              <w:rPr>
                <w:sz w:val="22"/>
                <w:szCs w:val="22"/>
              </w:rPr>
              <w:t>Art. 69 ust. 1</w:t>
            </w:r>
          </w:p>
        </w:tc>
        <w:tc>
          <w:tcPr>
            <w:tcW w:w="4308" w:type="dxa"/>
          </w:tcPr>
          <w:p w14:paraId="48D2EBE1" w14:textId="77777777" w:rsidR="001E1112" w:rsidRPr="00317ABF" w:rsidRDefault="001E1112" w:rsidP="00DB3BEC">
            <w:pPr>
              <w:spacing w:before="120"/>
              <w:jc w:val="both"/>
              <w:rPr>
                <w:sz w:val="22"/>
                <w:szCs w:val="22"/>
              </w:rPr>
            </w:pPr>
            <w:r w:rsidRPr="00317ABF">
              <w:rPr>
                <w:sz w:val="22"/>
                <w:szCs w:val="22"/>
              </w:rPr>
              <w:t xml:space="preserve">1.   Krajowe organy regulacyjne mogą, zgodnie z art. 68, nałożyć obowiązek przejrzystości w odniesieniu do wzajemnych połączeń lub dostępu, wymagając od przedsiębiorstw podania do publicznej wiadomości określonych informacji, na przykład informacji księgowych, cen, specyfikacji technicznych, danych o sieci i ich spodziewanych zmian a także warunków dostępu i użytkowania, w tym również wszelkich warunków zmieniających dostęp do usług i aplikacji lub korzystanie z nich, w szczególności w odniesieniu do odejścia od dotychczasowej infrastruktury, jeżeli </w:t>
            </w:r>
            <w:r w:rsidRPr="00317ABF">
              <w:rPr>
                <w:sz w:val="22"/>
                <w:szCs w:val="22"/>
              </w:rPr>
              <w:lastRenderedPageBreak/>
              <w:t>państwa członkowskie dopuszczają takie warunki zgodnie z prawem Unii.</w:t>
            </w:r>
          </w:p>
        </w:tc>
        <w:tc>
          <w:tcPr>
            <w:tcW w:w="986" w:type="dxa"/>
          </w:tcPr>
          <w:p w14:paraId="098AEA28" w14:textId="03DC0F00" w:rsidR="001E1112" w:rsidRPr="00317ABF" w:rsidRDefault="001E1112" w:rsidP="00DB3BEC">
            <w:pPr>
              <w:jc w:val="both"/>
              <w:rPr>
                <w:sz w:val="22"/>
                <w:szCs w:val="22"/>
              </w:rPr>
            </w:pPr>
            <w:r w:rsidRPr="00317ABF">
              <w:rPr>
                <w:sz w:val="22"/>
                <w:szCs w:val="22"/>
              </w:rPr>
              <w:lastRenderedPageBreak/>
              <w:t>T</w:t>
            </w:r>
          </w:p>
        </w:tc>
        <w:tc>
          <w:tcPr>
            <w:tcW w:w="910" w:type="dxa"/>
          </w:tcPr>
          <w:p w14:paraId="38A9EBA9" w14:textId="40FA25D3" w:rsidR="001E1112" w:rsidRPr="00317ABF" w:rsidRDefault="001E1112" w:rsidP="00DB3BEC">
            <w:pPr>
              <w:pStyle w:val="Tekstpodstawowy"/>
              <w:rPr>
                <w:b/>
                <w:bCs/>
                <w:noProof/>
                <w:sz w:val="22"/>
                <w:szCs w:val="22"/>
              </w:rPr>
            </w:pPr>
            <w:r w:rsidRPr="00317ABF">
              <w:rPr>
                <w:b/>
                <w:bCs/>
                <w:noProof/>
                <w:sz w:val="22"/>
                <w:szCs w:val="22"/>
              </w:rPr>
              <w:t xml:space="preserve">Art. </w:t>
            </w:r>
            <w:r w:rsidR="007420D4" w:rsidRPr="00317ABF">
              <w:rPr>
                <w:b/>
                <w:bCs/>
                <w:noProof/>
                <w:sz w:val="22"/>
                <w:szCs w:val="22"/>
              </w:rPr>
              <w:t>214</w:t>
            </w:r>
          </w:p>
        </w:tc>
        <w:tc>
          <w:tcPr>
            <w:tcW w:w="6814" w:type="dxa"/>
            <w:gridSpan w:val="2"/>
          </w:tcPr>
          <w:p w14:paraId="6C828B54" w14:textId="77777777" w:rsidR="001E1112" w:rsidRPr="00317ABF" w:rsidRDefault="001E1112" w:rsidP="00DB3BEC">
            <w:pPr>
              <w:ind w:firstLine="510"/>
              <w:jc w:val="both"/>
              <w:rPr>
                <w:sz w:val="22"/>
                <w:szCs w:val="22"/>
              </w:rPr>
            </w:pPr>
            <w:r w:rsidRPr="00317ABF">
              <w:rPr>
                <w:b/>
                <w:sz w:val="22"/>
                <w:szCs w:val="22"/>
              </w:rPr>
              <w:t xml:space="preserve">Art. </w:t>
            </w:r>
            <w:r w:rsidR="007420D4" w:rsidRPr="00317ABF">
              <w:rPr>
                <w:b/>
                <w:sz w:val="22"/>
                <w:szCs w:val="22"/>
              </w:rPr>
              <w:t>214</w:t>
            </w:r>
            <w:r w:rsidRPr="00317ABF">
              <w:rPr>
                <w:sz w:val="22"/>
                <w:szCs w:val="22"/>
              </w:rPr>
              <w:t xml:space="preserve">. 1. Prezes UKE może, zgodnie z przesłankami, o których mowa w art. </w:t>
            </w:r>
            <w:r w:rsidR="007420D4" w:rsidRPr="00317ABF">
              <w:rPr>
                <w:sz w:val="22"/>
                <w:szCs w:val="22"/>
              </w:rPr>
              <w:t>202</w:t>
            </w:r>
            <w:r w:rsidRPr="00317ABF">
              <w:rPr>
                <w:sz w:val="22"/>
                <w:szCs w:val="22"/>
              </w:rPr>
              <w:t xml:space="preserve"> pkt 2 lit. a, w drodze decyzji, nałożyć na przedsiębiorcę komunikacji elektronicznej o znaczącej pozycji rynkowej obowiązek ogłaszania lub udostępniania informacji w sprawach zapewnienia dostępu</w:t>
            </w:r>
            <w:r w:rsidR="007420D4" w:rsidRPr="00317ABF">
              <w:rPr>
                <w:sz w:val="22"/>
                <w:szCs w:val="22"/>
              </w:rPr>
              <w:t xml:space="preserve"> telekomunikacyjnego</w:t>
            </w:r>
            <w:r w:rsidRPr="00317ABF">
              <w:rPr>
                <w:sz w:val="22"/>
                <w:szCs w:val="22"/>
              </w:rPr>
              <w:t>, w szczególności dotyczących informacji księgowych, specyfikacji technicznych sieci i urządzeń telekomunikacyjnych, charakterystyki sieci, zasad i warunków świadczenia usług oraz korzystania z sieci, a także opłat.</w:t>
            </w:r>
          </w:p>
          <w:p w14:paraId="6FC56585" w14:textId="1F070463" w:rsidR="001E1112" w:rsidRPr="00317ABF" w:rsidRDefault="001E1112" w:rsidP="00DB3BEC">
            <w:pPr>
              <w:ind w:firstLine="510"/>
              <w:jc w:val="both"/>
              <w:rPr>
                <w:sz w:val="22"/>
                <w:szCs w:val="22"/>
              </w:rPr>
            </w:pPr>
            <w:r w:rsidRPr="00317ABF">
              <w:rPr>
                <w:sz w:val="22"/>
                <w:szCs w:val="22"/>
              </w:rPr>
              <w:t>2. Prezes UKE określa w decyzji, o której mowa w ust. 1, stopień uszczegółowienia informacji oraz formę, miejsce i terminy ogłaszania lub udostępniania tych informacji.</w:t>
            </w:r>
          </w:p>
          <w:p w14:paraId="0B113A43" w14:textId="77777777" w:rsidR="001E1112" w:rsidRPr="00317ABF" w:rsidRDefault="001E1112" w:rsidP="00DB3BEC">
            <w:pPr>
              <w:ind w:firstLine="510"/>
              <w:jc w:val="both"/>
              <w:rPr>
                <w:sz w:val="22"/>
                <w:szCs w:val="22"/>
              </w:rPr>
            </w:pPr>
            <w:r w:rsidRPr="00317ABF">
              <w:rPr>
                <w:sz w:val="22"/>
                <w:szCs w:val="22"/>
              </w:rPr>
              <w:t xml:space="preserve">3. Prezes UKE może żądać od przedsiębiorcy komunikacji elektronicznej o znaczącej pozycji rynkowej dostarczania dokumentów oraz udzielania informacji w celu weryfikacji realizowania obowiązków, o których mowa w ust. 1, w art. </w:t>
            </w:r>
            <w:r w:rsidR="007420D4" w:rsidRPr="00317ABF">
              <w:rPr>
                <w:sz w:val="22"/>
                <w:szCs w:val="22"/>
              </w:rPr>
              <w:t>213</w:t>
            </w:r>
            <w:r w:rsidRPr="00317ABF">
              <w:rPr>
                <w:sz w:val="22"/>
                <w:szCs w:val="22"/>
              </w:rPr>
              <w:t xml:space="preserve"> i art. </w:t>
            </w:r>
            <w:r w:rsidR="007420D4" w:rsidRPr="00317ABF">
              <w:rPr>
                <w:sz w:val="22"/>
                <w:szCs w:val="22"/>
              </w:rPr>
              <w:t>220</w:t>
            </w:r>
            <w:r w:rsidRPr="00317ABF">
              <w:rPr>
                <w:sz w:val="22"/>
                <w:szCs w:val="22"/>
              </w:rPr>
              <w:t>.</w:t>
            </w:r>
          </w:p>
          <w:p w14:paraId="12E63A3E" w14:textId="49C8115E" w:rsidR="001E1112" w:rsidRPr="00317ABF" w:rsidRDefault="001E1112" w:rsidP="00DB3BEC">
            <w:pPr>
              <w:jc w:val="both"/>
              <w:rPr>
                <w:sz w:val="22"/>
                <w:szCs w:val="22"/>
              </w:rPr>
            </w:pPr>
            <w:r w:rsidRPr="00317ABF">
              <w:rPr>
                <w:sz w:val="22"/>
                <w:szCs w:val="22"/>
              </w:rPr>
              <w:lastRenderedPageBreak/>
              <w:t>4. Informacje, o których mowa w ust. 3, są udostępniane na stronie podmiotowej BIP UKE.</w:t>
            </w:r>
          </w:p>
        </w:tc>
      </w:tr>
      <w:tr w:rsidR="001E1112" w:rsidRPr="00317ABF" w14:paraId="2CCC92AE" w14:textId="77777777" w:rsidTr="7753F98D">
        <w:trPr>
          <w:gridAfter w:val="2"/>
          <w:wAfter w:w="175" w:type="dxa"/>
        </w:trPr>
        <w:tc>
          <w:tcPr>
            <w:tcW w:w="704" w:type="dxa"/>
          </w:tcPr>
          <w:p w14:paraId="26009C9E" w14:textId="77777777" w:rsidR="001E1112" w:rsidRPr="00317ABF" w:rsidRDefault="001E1112" w:rsidP="00DB3BEC">
            <w:pPr>
              <w:jc w:val="both"/>
              <w:rPr>
                <w:sz w:val="22"/>
                <w:szCs w:val="22"/>
              </w:rPr>
            </w:pPr>
            <w:r w:rsidRPr="00317ABF">
              <w:rPr>
                <w:sz w:val="22"/>
                <w:szCs w:val="22"/>
              </w:rPr>
              <w:lastRenderedPageBreak/>
              <w:t>Art. 69 ust. 2</w:t>
            </w:r>
          </w:p>
        </w:tc>
        <w:tc>
          <w:tcPr>
            <w:tcW w:w="4308" w:type="dxa"/>
          </w:tcPr>
          <w:p w14:paraId="3CA0393C" w14:textId="77777777" w:rsidR="001E1112" w:rsidRPr="00317ABF" w:rsidRDefault="001E1112" w:rsidP="00DB3BEC">
            <w:pPr>
              <w:spacing w:before="120"/>
              <w:jc w:val="both"/>
              <w:rPr>
                <w:sz w:val="22"/>
                <w:szCs w:val="22"/>
              </w:rPr>
            </w:pPr>
            <w:r w:rsidRPr="00317ABF">
              <w:rPr>
                <w:sz w:val="22"/>
                <w:szCs w:val="22"/>
              </w:rPr>
              <w:t>2.   W szczególności, jeżeli dane przedsiębiorstwo podlega obowiązkom niedyskryminacji, krajowe organy regulacyjne mogą zobowiązać to przedsiębiorstwo do opublikowania oferty ramowej, która będzie wystarczająco szczegółowa, aby zapewnić, by przedsiębiorstwa nie były zmuszane do płacenia za urządzenia, które nie są niezbędne dla świadczenia danej usługi. Oferta ta musi zawierać opis istotnych ofert podzielonych na różne elementy w zależności od potrzeb rynku oraz warunki, w tym te dotyczące cen. Krajowe organy regulacyjne są uprawnione między innymi do wprowadzenia zmian do oferty ramowej celem realizacji obowiązków nałożonych na mocy niniejszej dyrektywy.</w:t>
            </w:r>
          </w:p>
        </w:tc>
        <w:tc>
          <w:tcPr>
            <w:tcW w:w="986" w:type="dxa"/>
          </w:tcPr>
          <w:p w14:paraId="1027E06D" w14:textId="1D343A5B" w:rsidR="001E1112" w:rsidRPr="00317ABF" w:rsidRDefault="001E1112" w:rsidP="00DB3BEC">
            <w:pPr>
              <w:jc w:val="both"/>
              <w:rPr>
                <w:sz w:val="22"/>
                <w:szCs w:val="22"/>
              </w:rPr>
            </w:pPr>
            <w:r w:rsidRPr="00317ABF">
              <w:rPr>
                <w:sz w:val="22"/>
                <w:szCs w:val="22"/>
              </w:rPr>
              <w:t>T</w:t>
            </w:r>
          </w:p>
        </w:tc>
        <w:tc>
          <w:tcPr>
            <w:tcW w:w="910" w:type="dxa"/>
          </w:tcPr>
          <w:p w14:paraId="26C57FB9" w14:textId="41EA6929" w:rsidR="001E1112" w:rsidRPr="00317ABF" w:rsidRDefault="001E1112" w:rsidP="00DB3BEC">
            <w:pPr>
              <w:pStyle w:val="Tekstpodstawowy"/>
              <w:rPr>
                <w:b/>
                <w:bCs/>
                <w:noProof/>
                <w:sz w:val="22"/>
                <w:szCs w:val="22"/>
              </w:rPr>
            </w:pPr>
            <w:r w:rsidRPr="00317ABF">
              <w:rPr>
                <w:b/>
                <w:bCs/>
                <w:noProof/>
                <w:sz w:val="22"/>
                <w:szCs w:val="22"/>
              </w:rPr>
              <w:t xml:space="preserve">Art. </w:t>
            </w:r>
            <w:r w:rsidR="008619AE" w:rsidRPr="00317ABF">
              <w:rPr>
                <w:b/>
                <w:bCs/>
                <w:noProof/>
                <w:sz w:val="22"/>
                <w:szCs w:val="22"/>
              </w:rPr>
              <w:t>220</w:t>
            </w:r>
            <w:r w:rsidRPr="00317ABF">
              <w:rPr>
                <w:b/>
                <w:bCs/>
                <w:noProof/>
                <w:sz w:val="22"/>
                <w:szCs w:val="22"/>
              </w:rPr>
              <w:t xml:space="preserve">, art. </w:t>
            </w:r>
            <w:r w:rsidR="008619AE" w:rsidRPr="00317ABF">
              <w:rPr>
                <w:b/>
                <w:bCs/>
                <w:noProof/>
                <w:sz w:val="22"/>
                <w:szCs w:val="22"/>
              </w:rPr>
              <w:t>201</w:t>
            </w:r>
          </w:p>
        </w:tc>
        <w:tc>
          <w:tcPr>
            <w:tcW w:w="6814" w:type="dxa"/>
            <w:gridSpan w:val="2"/>
          </w:tcPr>
          <w:p w14:paraId="6DA4DE9B" w14:textId="77777777" w:rsidR="007420D4" w:rsidRPr="00317ABF" w:rsidRDefault="007420D4" w:rsidP="007420D4">
            <w:pPr>
              <w:ind w:firstLine="510"/>
              <w:jc w:val="both"/>
              <w:rPr>
                <w:sz w:val="22"/>
                <w:szCs w:val="22"/>
              </w:rPr>
            </w:pPr>
            <w:r w:rsidRPr="00317ABF">
              <w:rPr>
                <w:b/>
                <w:sz w:val="22"/>
                <w:szCs w:val="22"/>
              </w:rPr>
              <w:t>Art. 220</w:t>
            </w:r>
            <w:r w:rsidRPr="00317ABF">
              <w:rPr>
                <w:sz w:val="22"/>
                <w:szCs w:val="22"/>
              </w:rPr>
              <w:t>. 1. Prezes UKE może nałożyć, zgodnie z przesłankami, o których mowa w art. 202 pkt 2 lit. a, w drodze decyzji, na przedsiębiorcę komunikacji elektronicznej o znaczącej pozycji rynkowej, na którego został nałożony obowiązek równego traktowania zgodnie z art. 213, lub wraz z tym obowiązkiem, obowiązek przygotowania i przedstawienia w określonym terminie projektu oferty ramowej o dostępie telekomunikacyjnym, której zakres, stopień szczegółowości oraz sposób udostępnienia określi w decyzji.</w:t>
            </w:r>
          </w:p>
          <w:p w14:paraId="68FCE2AF" w14:textId="77777777" w:rsidR="007420D4" w:rsidRPr="00317ABF" w:rsidRDefault="007420D4" w:rsidP="007420D4">
            <w:pPr>
              <w:ind w:firstLine="510"/>
              <w:jc w:val="both"/>
              <w:rPr>
                <w:sz w:val="22"/>
                <w:szCs w:val="22"/>
              </w:rPr>
            </w:pPr>
            <w:r w:rsidRPr="00317ABF">
              <w:rPr>
                <w:sz w:val="22"/>
                <w:szCs w:val="22"/>
              </w:rPr>
              <w:t>2. Oferta ramowa o dostępie telekomunikacyjnym powinna określać warunki i zasady współpracy z przedsiębiorcą komunikacji elektronicznej, o którym mowa w ust. 1, oraz opłaty za usługi w zakresie dostępu telekomunikacyjnego w taki sposób, aby przedsiębiorca korzystający z dostępu telekomunikacyjnego nie był zobowiązany do korzystania z zasobów, które nie są konieczne do korzystania z tego dostępu.</w:t>
            </w:r>
          </w:p>
          <w:p w14:paraId="76886A84" w14:textId="48912F83" w:rsidR="001E1112" w:rsidRPr="00317ABF" w:rsidRDefault="001E1112" w:rsidP="00DB3BEC">
            <w:pPr>
              <w:ind w:firstLine="510"/>
              <w:jc w:val="both"/>
              <w:rPr>
                <w:sz w:val="22"/>
                <w:szCs w:val="22"/>
              </w:rPr>
            </w:pPr>
            <w:r w:rsidRPr="00317ABF">
              <w:rPr>
                <w:sz w:val="22"/>
                <w:szCs w:val="22"/>
              </w:rPr>
              <w:t xml:space="preserve">3. Oferta ramowa o dostępie </w:t>
            </w:r>
            <w:r w:rsidR="007420D4" w:rsidRPr="00317ABF">
              <w:rPr>
                <w:sz w:val="22"/>
                <w:szCs w:val="22"/>
              </w:rPr>
              <w:t xml:space="preserve">telekomunikacyjnym </w:t>
            </w:r>
            <w:r w:rsidRPr="00317ABF">
              <w:rPr>
                <w:sz w:val="22"/>
                <w:szCs w:val="22"/>
              </w:rPr>
              <w:t>powinna składać się z wyodrębnionych pakietów, które będą zawierać odpowiednie, ze względu na wykonywaną przez przedsiębiorców telekomunikacyjnych działalność telekomunikacyjną, elementy dostępu.</w:t>
            </w:r>
          </w:p>
          <w:p w14:paraId="58D11D83" w14:textId="77777777" w:rsidR="008619AE" w:rsidRPr="00317ABF" w:rsidRDefault="008619AE" w:rsidP="007420D4">
            <w:pPr>
              <w:ind w:firstLine="510"/>
              <w:jc w:val="both"/>
              <w:rPr>
                <w:sz w:val="22"/>
                <w:szCs w:val="22"/>
              </w:rPr>
            </w:pPr>
          </w:p>
          <w:p w14:paraId="438ACEE4" w14:textId="77777777" w:rsidR="008619AE" w:rsidRPr="00317ABF" w:rsidRDefault="008619AE" w:rsidP="008619AE">
            <w:pPr>
              <w:ind w:firstLine="510"/>
              <w:jc w:val="both"/>
              <w:rPr>
                <w:sz w:val="22"/>
                <w:szCs w:val="22"/>
              </w:rPr>
            </w:pPr>
            <w:r w:rsidRPr="00317ABF">
              <w:rPr>
                <w:b/>
                <w:sz w:val="22"/>
                <w:szCs w:val="22"/>
              </w:rPr>
              <w:t>Art. 221</w:t>
            </w:r>
            <w:r w:rsidRPr="00317ABF">
              <w:rPr>
                <w:sz w:val="22"/>
                <w:szCs w:val="22"/>
              </w:rPr>
              <w:t xml:space="preserve">. 1. Prezes UKE zatwierdza, w drodze decyzji, projekt oferty ramowej lub jej zmiany, jeżeli odpowiada on przepisom prawa i potrzebom rynku wskazanym w decyzji nakładającej obowiązek przedłożenia oferty ramowej albo odmawia zatwierdzenia zmiany albo zmienia przedłożony projekt oferty ramowej lub jej zmiany i go zatwierdza, a w przypadku nieprzedstawienia projektu oferty ramowej lub jej zmiany w terminie - samodzielnie ustala ofertę ramową lub jej zmianę w całości lub w części. </w:t>
            </w:r>
          </w:p>
          <w:p w14:paraId="3F2FCE4E" w14:textId="77777777" w:rsidR="008619AE" w:rsidRPr="00317ABF" w:rsidRDefault="008619AE" w:rsidP="008619AE">
            <w:pPr>
              <w:ind w:firstLine="510"/>
              <w:jc w:val="both"/>
              <w:rPr>
                <w:sz w:val="22"/>
                <w:szCs w:val="22"/>
              </w:rPr>
            </w:pPr>
            <w:r w:rsidRPr="00317ABF">
              <w:rPr>
                <w:sz w:val="22"/>
                <w:szCs w:val="22"/>
              </w:rPr>
              <w:t xml:space="preserve">2. W przypadku zmiany zapotrzebowania na usługi lub zmiany warunków rynkowych Prezes UKE może, z urzędu lub na uzasadniony wniosek przedsiębiorcy komunikacji elektronicznej uprawnionego do dostępu telekomunikacyjnego, zobowiązać przedsiębiorcę komunikacji elektronicznej do przygotowania zmiany oferty ramowej w całości lub w części. </w:t>
            </w:r>
          </w:p>
          <w:p w14:paraId="1D4498F5" w14:textId="04B7ED63" w:rsidR="001E1112" w:rsidRPr="00317ABF" w:rsidRDefault="001E1112" w:rsidP="00DB3BEC">
            <w:pPr>
              <w:ind w:firstLine="510"/>
              <w:jc w:val="both"/>
              <w:rPr>
                <w:sz w:val="22"/>
                <w:szCs w:val="22"/>
              </w:rPr>
            </w:pPr>
            <w:r w:rsidRPr="00317ABF">
              <w:rPr>
                <w:sz w:val="22"/>
                <w:szCs w:val="22"/>
              </w:rPr>
              <w:t>3. W przypadku zmiany zapotrzebowania na usługi lub zmiany warunków rynkowych przedsiębiorca komunikacji elektronicznej zobowiązany do przedłożenia oferty ramowej może przedłożyć Prezesowi UKE projekt zmiany takiej oferty w celu jej zatwierdzenia.</w:t>
            </w:r>
          </w:p>
          <w:p w14:paraId="492F2D62" w14:textId="77777777" w:rsidR="001E1112" w:rsidRPr="00317ABF" w:rsidRDefault="001E1112" w:rsidP="00DB3BEC">
            <w:pPr>
              <w:ind w:firstLine="510"/>
              <w:jc w:val="both"/>
              <w:rPr>
                <w:sz w:val="22"/>
                <w:szCs w:val="22"/>
              </w:rPr>
            </w:pPr>
            <w:r w:rsidRPr="00317ABF">
              <w:rPr>
                <w:sz w:val="22"/>
                <w:szCs w:val="22"/>
              </w:rPr>
              <w:t xml:space="preserve">4. </w:t>
            </w:r>
            <w:r w:rsidR="008619AE" w:rsidRPr="00317ABF">
              <w:rPr>
                <w:sz w:val="22"/>
                <w:szCs w:val="22"/>
              </w:rPr>
              <w:t>Wraz z przedstawieniem do zatwierdzenia</w:t>
            </w:r>
            <w:r w:rsidRPr="00317ABF">
              <w:rPr>
                <w:sz w:val="22"/>
                <w:szCs w:val="22"/>
              </w:rPr>
              <w:t xml:space="preserve"> projektu oferty ramowej lub jej zmiany</w:t>
            </w:r>
            <w:r w:rsidR="008619AE" w:rsidRPr="00317ABF">
              <w:rPr>
                <w:sz w:val="22"/>
                <w:szCs w:val="22"/>
              </w:rPr>
              <w:t>, przedsiębiorca komunikacji elektronicznej przekazuje</w:t>
            </w:r>
            <w:r w:rsidRPr="00317ABF">
              <w:rPr>
                <w:sz w:val="22"/>
                <w:szCs w:val="22"/>
              </w:rPr>
              <w:t xml:space="preserve"> </w:t>
            </w:r>
            <w:r w:rsidRPr="00317ABF">
              <w:rPr>
                <w:sz w:val="22"/>
                <w:szCs w:val="22"/>
              </w:rPr>
              <w:lastRenderedPageBreak/>
              <w:t>informacje i dokumenty wykazujące zgodność oferty ramowej z wymogami prawa i obowiązkami regulacyjnymi.</w:t>
            </w:r>
          </w:p>
          <w:p w14:paraId="13B3677D" w14:textId="77777777" w:rsidR="008619AE" w:rsidRPr="00317ABF" w:rsidRDefault="008619AE" w:rsidP="008619AE">
            <w:pPr>
              <w:ind w:firstLine="510"/>
              <w:jc w:val="both"/>
              <w:rPr>
                <w:sz w:val="22"/>
                <w:szCs w:val="22"/>
              </w:rPr>
            </w:pPr>
            <w:r w:rsidRPr="00317ABF">
              <w:rPr>
                <w:sz w:val="22"/>
                <w:szCs w:val="22"/>
              </w:rPr>
              <w:t>5. Prezes UKE niezwłocznie udostępnia zatwierdzoną ofertę ramową lub jej zmianę wraz z ujednoliconym tekstem oferty ramowej na stronie podmiotowej BIP UKE.</w:t>
            </w:r>
          </w:p>
          <w:p w14:paraId="63E2C042" w14:textId="221876F6" w:rsidR="001E1112" w:rsidRPr="00317ABF" w:rsidRDefault="001E1112" w:rsidP="00DB3BEC">
            <w:pPr>
              <w:ind w:firstLine="510"/>
              <w:jc w:val="both"/>
              <w:rPr>
                <w:sz w:val="22"/>
                <w:szCs w:val="22"/>
              </w:rPr>
            </w:pPr>
            <w:r w:rsidRPr="00317ABF">
              <w:rPr>
                <w:sz w:val="22"/>
                <w:szCs w:val="22"/>
              </w:rPr>
              <w:t>6. W przypadku uchylenia obowiązku stosowania oferty ramowej, umowy zawarte na podstawie oferty ramowej na czas nieokreślony mogą być rozwiązane lub zmienione nie wcześniej niż po upływie 90 dni od dnia, w którym zniesiono ten obowiązek, jeżeli inny termin nie został określony przez Prezesa UKE w decyzji uchylającej ten obowiązek.</w:t>
            </w:r>
          </w:p>
          <w:p w14:paraId="06D37A0D" w14:textId="628FD9C0" w:rsidR="001E1112" w:rsidRPr="00317ABF" w:rsidRDefault="001E1112" w:rsidP="00DB3BEC">
            <w:pPr>
              <w:ind w:firstLine="510"/>
              <w:jc w:val="both"/>
              <w:rPr>
                <w:sz w:val="22"/>
                <w:szCs w:val="22"/>
              </w:rPr>
            </w:pPr>
            <w:r w:rsidRPr="00317ABF">
              <w:rPr>
                <w:sz w:val="22"/>
                <w:szCs w:val="22"/>
              </w:rPr>
              <w:t xml:space="preserve">7. Przedsiębiorca komunikacji elektronicznej, na którego został nałożony obowiązek, o którym mowa w art. </w:t>
            </w:r>
            <w:r w:rsidR="008619AE" w:rsidRPr="00317ABF">
              <w:rPr>
                <w:sz w:val="22"/>
                <w:szCs w:val="22"/>
              </w:rPr>
              <w:t>220</w:t>
            </w:r>
            <w:r w:rsidRPr="00317ABF">
              <w:rPr>
                <w:sz w:val="22"/>
                <w:szCs w:val="22"/>
              </w:rPr>
              <w:t xml:space="preserve"> ust. 1, jest obowiązany do zawierania umów o dostępie na warunkach nie gorszych, dla pozostałych stron umowy, niż określone w zatwierdzonej ofercie, o której mowa w ust. 1, lub ustalonej decyzją Prezesa UKE.</w:t>
            </w:r>
          </w:p>
          <w:p w14:paraId="3EF4A509" w14:textId="0652A7D1" w:rsidR="001E1112" w:rsidRPr="00317ABF" w:rsidRDefault="001E1112" w:rsidP="00DB3BEC">
            <w:pPr>
              <w:jc w:val="both"/>
              <w:rPr>
                <w:sz w:val="22"/>
                <w:szCs w:val="22"/>
              </w:rPr>
            </w:pPr>
          </w:p>
        </w:tc>
      </w:tr>
      <w:tr w:rsidR="001E1112" w:rsidRPr="00317ABF" w14:paraId="24B619A5" w14:textId="77777777" w:rsidTr="7753F98D">
        <w:trPr>
          <w:gridAfter w:val="2"/>
          <w:wAfter w:w="175" w:type="dxa"/>
        </w:trPr>
        <w:tc>
          <w:tcPr>
            <w:tcW w:w="704" w:type="dxa"/>
          </w:tcPr>
          <w:p w14:paraId="3284D10F" w14:textId="77777777" w:rsidR="001E1112" w:rsidRPr="00317ABF" w:rsidRDefault="001E1112" w:rsidP="00DB3BEC">
            <w:pPr>
              <w:jc w:val="both"/>
              <w:rPr>
                <w:sz w:val="22"/>
                <w:szCs w:val="22"/>
              </w:rPr>
            </w:pPr>
            <w:r w:rsidRPr="00317ABF">
              <w:rPr>
                <w:sz w:val="22"/>
                <w:szCs w:val="22"/>
              </w:rPr>
              <w:lastRenderedPageBreak/>
              <w:t>Art. 69 ust. 3</w:t>
            </w:r>
          </w:p>
        </w:tc>
        <w:tc>
          <w:tcPr>
            <w:tcW w:w="4308" w:type="dxa"/>
          </w:tcPr>
          <w:p w14:paraId="0942888B" w14:textId="77777777" w:rsidR="001E1112" w:rsidRPr="00317ABF" w:rsidRDefault="001E1112" w:rsidP="00DB3BEC">
            <w:pPr>
              <w:spacing w:before="120"/>
              <w:jc w:val="both"/>
              <w:rPr>
                <w:sz w:val="22"/>
                <w:szCs w:val="22"/>
              </w:rPr>
            </w:pPr>
            <w:r w:rsidRPr="00317ABF">
              <w:rPr>
                <w:sz w:val="22"/>
                <w:szCs w:val="22"/>
              </w:rPr>
              <w:t>3.   Krajowe organy regulacyjne mogą szczegółowo określić, jakie informacje powinny być dostarczone, w jakim stopniu szczegółowości, oraz określić sposób ich publikacji.</w:t>
            </w:r>
          </w:p>
        </w:tc>
        <w:tc>
          <w:tcPr>
            <w:tcW w:w="986" w:type="dxa"/>
          </w:tcPr>
          <w:p w14:paraId="2BE397DB" w14:textId="54DD08D7" w:rsidR="001E1112" w:rsidRPr="00317ABF" w:rsidRDefault="001E1112" w:rsidP="00DB3BEC">
            <w:pPr>
              <w:jc w:val="both"/>
              <w:rPr>
                <w:sz w:val="22"/>
                <w:szCs w:val="22"/>
              </w:rPr>
            </w:pPr>
            <w:r w:rsidRPr="00317ABF">
              <w:rPr>
                <w:sz w:val="22"/>
                <w:szCs w:val="22"/>
              </w:rPr>
              <w:t>T</w:t>
            </w:r>
          </w:p>
        </w:tc>
        <w:tc>
          <w:tcPr>
            <w:tcW w:w="910" w:type="dxa"/>
          </w:tcPr>
          <w:p w14:paraId="086EB911" w14:textId="7AA0EDA0" w:rsidR="001E1112" w:rsidRPr="00317ABF" w:rsidRDefault="001E1112" w:rsidP="00DB3BEC">
            <w:pPr>
              <w:pStyle w:val="Tekstpodstawowy"/>
              <w:rPr>
                <w:b/>
                <w:bCs/>
                <w:noProof/>
                <w:sz w:val="22"/>
                <w:szCs w:val="22"/>
              </w:rPr>
            </w:pPr>
            <w:r w:rsidRPr="00317ABF">
              <w:rPr>
                <w:b/>
                <w:bCs/>
                <w:noProof/>
                <w:sz w:val="22"/>
                <w:szCs w:val="22"/>
              </w:rPr>
              <w:t xml:space="preserve">Art. </w:t>
            </w:r>
            <w:r w:rsidR="008619AE" w:rsidRPr="00317ABF">
              <w:rPr>
                <w:b/>
                <w:bCs/>
                <w:noProof/>
                <w:sz w:val="22"/>
                <w:szCs w:val="22"/>
              </w:rPr>
              <w:t>220</w:t>
            </w:r>
            <w:r w:rsidRPr="00317ABF">
              <w:rPr>
                <w:b/>
                <w:bCs/>
                <w:noProof/>
                <w:sz w:val="22"/>
                <w:szCs w:val="22"/>
              </w:rPr>
              <w:t xml:space="preserve"> ust. 1</w:t>
            </w:r>
          </w:p>
        </w:tc>
        <w:tc>
          <w:tcPr>
            <w:tcW w:w="6814" w:type="dxa"/>
            <w:gridSpan w:val="2"/>
          </w:tcPr>
          <w:p w14:paraId="5DD04D78" w14:textId="519E9725" w:rsidR="001E1112" w:rsidRPr="00317ABF" w:rsidRDefault="001E1112" w:rsidP="00DB3BEC">
            <w:pPr>
              <w:jc w:val="both"/>
              <w:rPr>
                <w:sz w:val="22"/>
                <w:szCs w:val="22"/>
              </w:rPr>
            </w:pPr>
            <w:r w:rsidRPr="00317ABF">
              <w:rPr>
                <w:b/>
                <w:sz w:val="22"/>
                <w:szCs w:val="22"/>
              </w:rPr>
              <w:t xml:space="preserve">Art. </w:t>
            </w:r>
            <w:r w:rsidR="008619AE" w:rsidRPr="00317ABF">
              <w:rPr>
                <w:b/>
                <w:sz w:val="22"/>
                <w:szCs w:val="22"/>
              </w:rPr>
              <w:t>220</w:t>
            </w:r>
            <w:r w:rsidRPr="00317ABF">
              <w:rPr>
                <w:b/>
                <w:sz w:val="22"/>
                <w:szCs w:val="22"/>
              </w:rPr>
              <w:t>.</w:t>
            </w:r>
            <w:r w:rsidRPr="00317ABF">
              <w:rPr>
                <w:sz w:val="22"/>
                <w:szCs w:val="22"/>
              </w:rPr>
              <w:t xml:space="preserve"> 1. Prezes UKE może nałożyć, zgodnie z przesłankami, o których mowa w art. </w:t>
            </w:r>
            <w:r w:rsidR="008619AE" w:rsidRPr="00317ABF">
              <w:rPr>
                <w:sz w:val="22"/>
                <w:szCs w:val="22"/>
              </w:rPr>
              <w:t>202</w:t>
            </w:r>
            <w:r w:rsidRPr="00317ABF">
              <w:rPr>
                <w:sz w:val="22"/>
                <w:szCs w:val="22"/>
              </w:rPr>
              <w:t xml:space="preserve"> pkt 2 lit. a, w drodze decyzji, na przedsiębiorcę komunikacji elektronicznej o znaczącej pozycji rynkowej, na którego został nałożony obowiązek równego traktowania zgodnie z art. </w:t>
            </w:r>
            <w:r w:rsidR="008619AE" w:rsidRPr="00317ABF">
              <w:rPr>
                <w:sz w:val="22"/>
                <w:szCs w:val="22"/>
              </w:rPr>
              <w:t>213</w:t>
            </w:r>
            <w:r w:rsidRPr="00317ABF">
              <w:rPr>
                <w:sz w:val="22"/>
                <w:szCs w:val="22"/>
              </w:rPr>
              <w:t>, lub wraz z tym obowiązkiem, obowiązek przygotowania i przedstawienia w określonym terminie projektu oferty ramowej o dostępie</w:t>
            </w:r>
            <w:r w:rsidR="008619AE" w:rsidRPr="00317ABF">
              <w:rPr>
                <w:sz w:val="22"/>
                <w:szCs w:val="22"/>
              </w:rPr>
              <w:t xml:space="preserve"> telekomunikacyjnym</w:t>
            </w:r>
            <w:r w:rsidRPr="00317ABF">
              <w:rPr>
                <w:sz w:val="22"/>
                <w:szCs w:val="22"/>
              </w:rPr>
              <w:t>, której zakres, stopień szczegółowości oraz sposób udostępnienia określi w decyzji.</w:t>
            </w:r>
          </w:p>
        </w:tc>
      </w:tr>
      <w:tr w:rsidR="001E1112" w:rsidRPr="00317ABF" w14:paraId="200413C8" w14:textId="77777777" w:rsidTr="7753F98D">
        <w:trPr>
          <w:gridAfter w:val="2"/>
          <w:wAfter w:w="175" w:type="dxa"/>
        </w:trPr>
        <w:tc>
          <w:tcPr>
            <w:tcW w:w="704" w:type="dxa"/>
          </w:tcPr>
          <w:p w14:paraId="008F0703" w14:textId="77777777" w:rsidR="001E1112" w:rsidRPr="00317ABF" w:rsidRDefault="001E1112" w:rsidP="00DB3BEC">
            <w:pPr>
              <w:jc w:val="both"/>
              <w:rPr>
                <w:sz w:val="22"/>
                <w:szCs w:val="22"/>
              </w:rPr>
            </w:pPr>
            <w:r w:rsidRPr="00317ABF">
              <w:rPr>
                <w:sz w:val="22"/>
                <w:szCs w:val="22"/>
              </w:rPr>
              <w:t>Art. 69 ust. 4</w:t>
            </w:r>
          </w:p>
        </w:tc>
        <w:tc>
          <w:tcPr>
            <w:tcW w:w="4308" w:type="dxa"/>
          </w:tcPr>
          <w:p w14:paraId="2257B88B" w14:textId="77777777" w:rsidR="001E1112" w:rsidRPr="00317ABF" w:rsidRDefault="001E1112" w:rsidP="00DB3BEC">
            <w:pPr>
              <w:spacing w:before="120"/>
              <w:jc w:val="both"/>
              <w:rPr>
                <w:sz w:val="22"/>
                <w:szCs w:val="22"/>
              </w:rPr>
            </w:pPr>
            <w:r w:rsidRPr="00317ABF">
              <w:rPr>
                <w:sz w:val="22"/>
                <w:szCs w:val="22"/>
              </w:rPr>
              <w:t xml:space="preserve">4.   Do dnia 21 grudnia 2019 r., aby przyczynić się do spójnego stosowania przejrzystych obowiązków, BEREC, po przeprowadzeniu konsultacji z zainteresowanymi stronami oraz w ścisłej współpracy z Komisją, wydaje wytyczne w sprawie minimalnych kryteriów dotyczących oferty ramowej i w razie konieczności dokonuje ich przeglądu, aby dostosować je do zmian sytuacji rynkowej i postępu technologicznego. Określając te minimalne kryteria, BEREC realizuje cele określone w art. 3 i uwzględnia potrzeby beneficjentów obowiązków zapewnienia dostępu oraz użytkowników końcowych aktywnych w więcej niż jednym państwie </w:t>
            </w:r>
            <w:r w:rsidRPr="00317ABF">
              <w:rPr>
                <w:sz w:val="22"/>
                <w:szCs w:val="22"/>
              </w:rPr>
              <w:lastRenderedPageBreak/>
              <w:t>członkowskim oraz wszelkie wytyczne BEREC stwierdzające istnienie popytu ponadnarodowego zgodnie z art. 66 oraz wszelkie odnośne decyzje Komisji.</w:t>
            </w:r>
          </w:p>
          <w:p w14:paraId="53B1F03C" w14:textId="77777777" w:rsidR="001E1112" w:rsidRPr="00317ABF" w:rsidRDefault="001E1112" w:rsidP="00DB3BEC">
            <w:pPr>
              <w:spacing w:before="120"/>
              <w:jc w:val="both"/>
              <w:rPr>
                <w:sz w:val="22"/>
                <w:szCs w:val="22"/>
              </w:rPr>
            </w:pPr>
            <w:r w:rsidRPr="00317ABF">
              <w:rPr>
                <w:sz w:val="22"/>
                <w:szCs w:val="22"/>
              </w:rPr>
              <w:t>Niezależnie od ust. 3 niniejszego artykułu, w przypadku gdy przedsiębiorstwo na mocy art. 72 lub 73 obarczone jest obowiązkami w zakresie hurtowego dostępu do infrastruktury sieciowej, krajowe organy regulacyjne zapewniają opublikowanie oferty ramowej, uwzględniając w jak największym stopniu wytyczne BEREC w sprawie minimalnych kryteriów dotyczących oferty ramowej, zapewniają, aby określone zostały kluczowe wskaźniki efektywności, w stosownym przypadku, i odnośne poziomy usług, oraz ściśle monitorują je i zapewniają zgodność z nimi. Ponadto krajowe organy regulacyjne mogą w razie konieczności określić wcześniej odnośne sankcje finansowe zgodnie z prawem unijnym i krajowym.</w:t>
            </w:r>
          </w:p>
        </w:tc>
        <w:tc>
          <w:tcPr>
            <w:tcW w:w="986" w:type="dxa"/>
          </w:tcPr>
          <w:p w14:paraId="2A021468" w14:textId="76B1309E" w:rsidR="001E1112" w:rsidRPr="00317ABF" w:rsidRDefault="001E1112" w:rsidP="00DB3BEC">
            <w:pPr>
              <w:jc w:val="both"/>
              <w:rPr>
                <w:sz w:val="22"/>
                <w:szCs w:val="22"/>
              </w:rPr>
            </w:pPr>
            <w:r w:rsidRPr="00317ABF">
              <w:rPr>
                <w:sz w:val="22"/>
                <w:szCs w:val="22"/>
              </w:rPr>
              <w:lastRenderedPageBreak/>
              <w:t>N</w:t>
            </w:r>
          </w:p>
          <w:p w14:paraId="627D0BA9" w14:textId="5946476A" w:rsidR="001E1112" w:rsidRPr="00317ABF" w:rsidRDefault="001E1112" w:rsidP="00DB3BEC">
            <w:pPr>
              <w:jc w:val="both"/>
              <w:rPr>
                <w:sz w:val="22"/>
                <w:szCs w:val="22"/>
              </w:rPr>
            </w:pPr>
          </w:p>
          <w:p w14:paraId="1B2B91A2" w14:textId="08F07231" w:rsidR="001E1112" w:rsidRPr="00317ABF" w:rsidRDefault="001E1112" w:rsidP="00DB3BEC">
            <w:pPr>
              <w:jc w:val="both"/>
              <w:rPr>
                <w:sz w:val="22"/>
                <w:szCs w:val="22"/>
              </w:rPr>
            </w:pPr>
          </w:p>
          <w:p w14:paraId="3B030608" w14:textId="689F4413" w:rsidR="001E1112" w:rsidRPr="00317ABF" w:rsidRDefault="001E1112" w:rsidP="00DB3BEC">
            <w:pPr>
              <w:jc w:val="both"/>
              <w:rPr>
                <w:sz w:val="22"/>
                <w:szCs w:val="22"/>
              </w:rPr>
            </w:pPr>
          </w:p>
          <w:p w14:paraId="10655F16" w14:textId="5DA2C052" w:rsidR="001E1112" w:rsidRPr="00317ABF" w:rsidRDefault="001E1112" w:rsidP="00DB3BEC">
            <w:pPr>
              <w:jc w:val="both"/>
              <w:rPr>
                <w:sz w:val="22"/>
                <w:szCs w:val="22"/>
              </w:rPr>
            </w:pPr>
          </w:p>
          <w:p w14:paraId="5E26FC9A" w14:textId="3BBF5A14" w:rsidR="001E1112" w:rsidRPr="00317ABF" w:rsidRDefault="001E1112" w:rsidP="00DB3BEC">
            <w:pPr>
              <w:jc w:val="both"/>
              <w:rPr>
                <w:sz w:val="22"/>
                <w:szCs w:val="22"/>
              </w:rPr>
            </w:pPr>
          </w:p>
          <w:p w14:paraId="1EE4A6CE" w14:textId="1685E304" w:rsidR="001E1112" w:rsidRPr="00317ABF" w:rsidRDefault="001E1112" w:rsidP="00DB3BEC">
            <w:pPr>
              <w:jc w:val="both"/>
              <w:rPr>
                <w:sz w:val="22"/>
                <w:szCs w:val="22"/>
              </w:rPr>
            </w:pPr>
          </w:p>
          <w:p w14:paraId="20E38D0A" w14:textId="54AA8411" w:rsidR="001E1112" w:rsidRPr="00317ABF" w:rsidRDefault="001E1112" w:rsidP="00DB3BEC">
            <w:pPr>
              <w:jc w:val="both"/>
              <w:rPr>
                <w:sz w:val="22"/>
                <w:szCs w:val="22"/>
              </w:rPr>
            </w:pPr>
          </w:p>
          <w:p w14:paraId="17F31618" w14:textId="28263DDE" w:rsidR="001E1112" w:rsidRPr="00317ABF" w:rsidRDefault="001E1112" w:rsidP="00DB3BEC">
            <w:pPr>
              <w:jc w:val="both"/>
              <w:rPr>
                <w:sz w:val="22"/>
                <w:szCs w:val="22"/>
              </w:rPr>
            </w:pPr>
          </w:p>
          <w:p w14:paraId="6A1F8B0F" w14:textId="5FE0FC4F" w:rsidR="001E1112" w:rsidRPr="00317ABF" w:rsidRDefault="001E1112" w:rsidP="00DB3BEC">
            <w:pPr>
              <w:jc w:val="both"/>
              <w:rPr>
                <w:sz w:val="22"/>
                <w:szCs w:val="22"/>
              </w:rPr>
            </w:pPr>
          </w:p>
          <w:p w14:paraId="27EFB31D" w14:textId="6E303CF7" w:rsidR="001E1112" w:rsidRPr="00317ABF" w:rsidRDefault="001E1112" w:rsidP="00DB3BEC">
            <w:pPr>
              <w:jc w:val="both"/>
              <w:rPr>
                <w:sz w:val="22"/>
                <w:szCs w:val="22"/>
              </w:rPr>
            </w:pPr>
          </w:p>
          <w:p w14:paraId="10C7412A" w14:textId="5DE26418" w:rsidR="001E1112" w:rsidRPr="00317ABF" w:rsidRDefault="001E1112" w:rsidP="00DB3BEC">
            <w:pPr>
              <w:jc w:val="both"/>
              <w:rPr>
                <w:sz w:val="22"/>
                <w:szCs w:val="22"/>
              </w:rPr>
            </w:pPr>
          </w:p>
          <w:p w14:paraId="0C627102" w14:textId="740C873C" w:rsidR="001E1112" w:rsidRPr="00317ABF" w:rsidRDefault="001E1112" w:rsidP="00DB3BEC">
            <w:pPr>
              <w:jc w:val="both"/>
              <w:rPr>
                <w:sz w:val="22"/>
                <w:szCs w:val="22"/>
              </w:rPr>
            </w:pPr>
          </w:p>
          <w:p w14:paraId="56FA7D29" w14:textId="464CC6D0" w:rsidR="001E1112" w:rsidRPr="00317ABF" w:rsidRDefault="001E1112" w:rsidP="00DB3BEC">
            <w:pPr>
              <w:jc w:val="both"/>
              <w:rPr>
                <w:sz w:val="22"/>
                <w:szCs w:val="22"/>
              </w:rPr>
            </w:pPr>
          </w:p>
          <w:p w14:paraId="764BF556" w14:textId="326BF6DB" w:rsidR="001E1112" w:rsidRPr="00317ABF" w:rsidRDefault="001E1112" w:rsidP="00DB3BEC">
            <w:pPr>
              <w:jc w:val="both"/>
              <w:rPr>
                <w:sz w:val="22"/>
                <w:szCs w:val="22"/>
              </w:rPr>
            </w:pPr>
          </w:p>
          <w:p w14:paraId="38A821E7" w14:textId="41AD0529" w:rsidR="001E1112" w:rsidRPr="00317ABF" w:rsidRDefault="001E1112" w:rsidP="00DB3BEC">
            <w:pPr>
              <w:jc w:val="both"/>
              <w:rPr>
                <w:sz w:val="22"/>
                <w:szCs w:val="22"/>
              </w:rPr>
            </w:pPr>
          </w:p>
          <w:p w14:paraId="4AB2B3A3" w14:textId="4215486D" w:rsidR="001E1112" w:rsidRPr="00317ABF" w:rsidRDefault="001E1112" w:rsidP="00DB3BEC">
            <w:pPr>
              <w:jc w:val="both"/>
              <w:rPr>
                <w:sz w:val="22"/>
                <w:szCs w:val="22"/>
              </w:rPr>
            </w:pPr>
          </w:p>
          <w:p w14:paraId="3D26F4DF" w14:textId="4C74E140" w:rsidR="001E1112" w:rsidRPr="00317ABF" w:rsidRDefault="001E1112" w:rsidP="00DB3BEC">
            <w:pPr>
              <w:jc w:val="both"/>
              <w:rPr>
                <w:sz w:val="22"/>
                <w:szCs w:val="22"/>
              </w:rPr>
            </w:pPr>
          </w:p>
          <w:p w14:paraId="4C7CA8C5" w14:textId="51A69C9D" w:rsidR="001E1112" w:rsidRPr="00317ABF" w:rsidRDefault="001E1112" w:rsidP="00DB3BEC">
            <w:pPr>
              <w:jc w:val="both"/>
              <w:rPr>
                <w:sz w:val="22"/>
                <w:szCs w:val="22"/>
              </w:rPr>
            </w:pPr>
          </w:p>
          <w:p w14:paraId="2665082A" w14:textId="51F0F14D" w:rsidR="001E1112" w:rsidRPr="00317ABF" w:rsidRDefault="001E1112" w:rsidP="00DB3BEC">
            <w:pPr>
              <w:jc w:val="both"/>
              <w:rPr>
                <w:sz w:val="22"/>
                <w:szCs w:val="22"/>
              </w:rPr>
            </w:pPr>
          </w:p>
          <w:p w14:paraId="520D3E6F" w14:textId="6E5423BB" w:rsidR="001E1112" w:rsidRPr="00317ABF" w:rsidRDefault="001E1112" w:rsidP="00DB3BEC">
            <w:pPr>
              <w:jc w:val="both"/>
              <w:rPr>
                <w:sz w:val="22"/>
                <w:szCs w:val="22"/>
              </w:rPr>
            </w:pPr>
          </w:p>
          <w:p w14:paraId="78AB8C52" w14:textId="1EAA6095" w:rsidR="001E1112" w:rsidRPr="00317ABF" w:rsidRDefault="001E1112" w:rsidP="00DB3BEC">
            <w:pPr>
              <w:jc w:val="both"/>
              <w:rPr>
                <w:sz w:val="22"/>
                <w:szCs w:val="22"/>
              </w:rPr>
            </w:pPr>
            <w:r w:rsidRPr="00317ABF">
              <w:rPr>
                <w:sz w:val="22"/>
                <w:szCs w:val="22"/>
              </w:rPr>
              <w:t>T</w:t>
            </w:r>
          </w:p>
        </w:tc>
        <w:tc>
          <w:tcPr>
            <w:tcW w:w="910" w:type="dxa"/>
          </w:tcPr>
          <w:p w14:paraId="3A4D7361" w14:textId="08221085" w:rsidR="001E1112" w:rsidRPr="00317ABF" w:rsidRDefault="001E1112" w:rsidP="00DB3BEC">
            <w:pPr>
              <w:pStyle w:val="Tekstpodstawowy"/>
              <w:rPr>
                <w:b/>
                <w:bCs/>
                <w:noProof/>
                <w:sz w:val="22"/>
                <w:szCs w:val="22"/>
              </w:rPr>
            </w:pPr>
          </w:p>
          <w:p w14:paraId="7A66E14F" w14:textId="76042D55" w:rsidR="001E1112" w:rsidRPr="00317ABF" w:rsidRDefault="001E1112" w:rsidP="00DB3BEC">
            <w:pPr>
              <w:pStyle w:val="Tekstpodstawowy"/>
              <w:rPr>
                <w:b/>
                <w:bCs/>
                <w:noProof/>
                <w:sz w:val="22"/>
                <w:szCs w:val="22"/>
              </w:rPr>
            </w:pPr>
          </w:p>
          <w:p w14:paraId="6D9DCAF5" w14:textId="72B5C328" w:rsidR="001E1112" w:rsidRPr="00317ABF" w:rsidRDefault="001E1112" w:rsidP="00DB3BEC">
            <w:pPr>
              <w:pStyle w:val="Tekstpodstawowy"/>
              <w:rPr>
                <w:b/>
                <w:bCs/>
                <w:noProof/>
                <w:sz w:val="22"/>
                <w:szCs w:val="22"/>
              </w:rPr>
            </w:pPr>
          </w:p>
          <w:p w14:paraId="474925D5" w14:textId="4357AF5E" w:rsidR="001E1112" w:rsidRPr="00317ABF" w:rsidRDefault="001E1112" w:rsidP="00DB3BEC">
            <w:pPr>
              <w:pStyle w:val="Tekstpodstawowy"/>
              <w:rPr>
                <w:b/>
                <w:bCs/>
                <w:noProof/>
                <w:sz w:val="22"/>
                <w:szCs w:val="22"/>
              </w:rPr>
            </w:pPr>
          </w:p>
          <w:p w14:paraId="4FB44708" w14:textId="3516AD28" w:rsidR="001E1112" w:rsidRPr="00317ABF" w:rsidRDefault="001E1112" w:rsidP="00DB3BEC">
            <w:pPr>
              <w:pStyle w:val="Tekstpodstawowy"/>
              <w:rPr>
                <w:b/>
                <w:bCs/>
                <w:noProof/>
                <w:sz w:val="22"/>
                <w:szCs w:val="22"/>
              </w:rPr>
            </w:pPr>
          </w:p>
          <w:p w14:paraId="49D98104" w14:textId="2612EBEF" w:rsidR="001E1112" w:rsidRPr="00317ABF" w:rsidRDefault="001E1112" w:rsidP="00DB3BEC">
            <w:pPr>
              <w:pStyle w:val="Tekstpodstawowy"/>
              <w:rPr>
                <w:b/>
                <w:bCs/>
                <w:noProof/>
                <w:sz w:val="22"/>
                <w:szCs w:val="22"/>
              </w:rPr>
            </w:pPr>
          </w:p>
          <w:p w14:paraId="6BE4EFFD" w14:textId="4499BF21" w:rsidR="001E1112" w:rsidRPr="00317ABF" w:rsidRDefault="001E1112" w:rsidP="00DB3BEC">
            <w:pPr>
              <w:pStyle w:val="Tekstpodstawowy"/>
              <w:rPr>
                <w:b/>
                <w:bCs/>
                <w:noProof/>
                <w:sz w:val="22"/>
                <w:szCs w:val="22"/>
              </w:rPr>
            </w:pPr>
          </w:p>
          <w:p w14:paraId="4FED6FE9" w14:textId="5E7E0162" w:rsidR="001E1112" w:rsidRPr="00317ABF" w:rsidRDefault="001E1112" w:rsidP="00DB3BEC">
            <w:pPr>
              <w:pStyle w:val="Tekstpodstawowy"/>
              <w:rPr>
                <w:b/>
                <w:bCs/>
                <w:noProof/>
                <w:sz w:val="22"/>
                <w:szCs w:val="22"/>
              </w:rPr>
            </w:pPr>
          </w:p>
          <w:p w14:paraId="775DB732" w14:textId="1A2E295E" w:rsidR="001E1112" w:rsidRPr="00317ABF" w:rsidRDefault="001E1112" w:rsidP="00DB3BEC">
            <w:pPr>
              <w:pStyle w:val="Tekstpodstawowy"/>
              <w:rPr>
                <w:b/>
                <w:bCs/>
                <w:noProof/>
                <w:sz w:val="22"/>
                <w:szCs w:val="22"/>
              </w:rPr>
            </w:pPr>
          </w:p>
          <w:p w14:paraId="265EA2E8" w14:textId="18FACA0E" w:rsidR="001E1112" w:rsidRPr="00317ABF" w:rsidRDefault="001E1112" w:rsidP="00DB3BEC">
            <w:pPr>
              <w:pStyle w:val="Tekstpodstawowy"/>
              <w:rPr>
                <w:b/>
                <w:bCs/>
                <w:noProof/>
                <w:sz w:val="22"/>
                <w:szCs w:val="22"/>
              </w:rPr>
            </w:pPr>
          </w:p>
          <w:p w14:paraId="03938EAD" w14:textId="5F86A4EB" w:rsidR="001E1112" w:rsidRPr="00317ABF" w:rsidRDefault="001E1112" w:rsidP="00DB3BEC">
            <w:pPr>
              <w:pStyle w:val="Tekstpodstawowy"/>
              <w:rPr>
                <w:b/>
                <w:bCs/>
                <w:noProof/>
                <w:sz w:val="22"/>
                <w:szCs w:val="22"/>
              </w:rPr>
            </w:pPr>
          </w:p>
          <w:p w14:paraId="65872472" w14:textId="1345DB93" w:rsidR="001E1112" w:rsidRPr="00317ABF" w:rsidRDefault="001E1112" w:rsidP="00DB3BEC">
            <w:pPr>
              <w:pStyle w:val="Tekstpodstawowy"/>
              <w:rPr>
                <w:b/>
                <w:bCs/>
                <w:noProof/>
                <w:sz w:val="22"/>
                <w:szCs w:val="22"/>
              </w:rPr>
            </w:pPr>
          </w:p>
          <w:p w14:paraId="2B1CE811" w14:textId="401AF865" w:rsidR="001E1112" w:rsidRPr="00317ABF" w:rsidRDefault="001E1112" w:rsidP="00DB3BEC">
            <w:pPr>
              <w:pStyle w:val="Tekstpodstawowy"/>
              <w:rPr>
                <w:b/>
                <w:bCs/>
                <w:noProof/>
                <w:sz w:val="22"/>
                <w:szCs w:val="22"/>
              </w:rPr>
            </w:pPr>
          </w:p>
          <w:p w14:paraId="4F1F182D" w14:textId="7C7976BF" w:rsidR="001E1112" w:rsidRPr="00317ABF" w:rsidRDefault="001E1112" w:rsidP="00DB3BEC">
            <w:pPr>
              <w:pStyle w:val="Tekstpodstawowy"/>
              <w:rPr>
                <w:b/>
                <w:bCs/>
                <w:noProof/>
                <w:sz w:val="22"/>
                <w:szCs w:val="22"/>
              </w:rPr>
            </w:pPr>
          </w:p>
          <w:p w14:paraId="75920A20" w14:textId="59D77C3C" w:rsidR="001E1112" w:rsidRPr="00317ABF" w:rsidRDefault="001E1112" w:rsidP="00DB3BEC">
            <w:pPr>
              <w:pStyle w:val="Tekstpodstawowy"/>
              <w:rPr>
                <w:b/>
                <w:bCs/>
                <w:noProof/>
                <w:sz w:val="22"/>
                <w:szCs w:val="22"/>
              </w:rPr>
            </w:pPr>
          </w:p>
          <w:p w14:paraId="5207F393" w14:textId="1B767E62" w:rsidR="001E1112" w:rsidRPr="00317ABF" w:rsidRDefault="001E1112" w:rsidP="00DB3BEC">
            <w:pPr>
              <w:pStyle w:val="Tekstpodstawowy"/>
              <w:rPr>
                <w:b/>
                <w:bCs/>
                <w:noProof/>
                <w:sz w:val="22"/>
                <w:szCs w:val="22"/>
              </w:rPr>
            </w:pPr>
          </w:p>
          <w:p w14:paraId="55BE3992" w14:textId="75049657" w:rsidR="001E1112" w:rsidRPr="00317ABF" w:rsidRDefault="001E1112" w:rsidP="00DB3BEC">
            <w:pPr>
              <w:pStyle w:val="Tekstpodstawowy"/>
              <w:rPr>
                <w:b/>
                <w:bCs/>
                <w:noProof/>
                <w:sz w:val="22"/>
                <w:szCs w:val="22"/>
              </w:rPr>
            </w:pPr>
          </w:p>
          <w:p w14:paraId="19B1160A" w14:textId="0A82882F" w:rsidR="001E1112" w:rsidRPr="00317ABF" w:rsidRDefault="001E1112" w:rsidP="00DB3BEC">
            <w:pPr>
              <w:pStyle w:val="Tekstpodstawowy"/>
              <w:rPr>
                <w:b/>
                <w:bCs/>
                <w:noProof/>
                <w:sz w:val="22"/>
                <w:szCs w:val="22"/>
              </w:rPr>
            </w:pPr>
          </w:p>
          <w:p w14:paraId="06EBD851" w14:textId="52D13A0E" w:rsidR="001E1112" w:rsidRPr="00317ABF" w:rsidRDefault="001E1112" w:rsidP="00DB3BEC">
            <w:pPr>
              <w:pStyle w:val="Tekstpodstawowy"/>
              <w:rPr>
                <w:b/>
                <w:bCs/>
                <w:noProof/>
                <w:sz w:val="22"/>
                <w:szCs w:val="22"/>
              </w:rPr>
            </w:pPr>
          </w:p>
          <w:p w14:paraId="58551A65" w14:textId="0CE75FFB" w:rsidR="001E1112" w:rsidRPr="00317ABF" w:rsidRDefault="001E1112" w:rsidP="00DB3BEC">
            <w:pPr>
              <w:pStyle w:val="Tekstpodstawowy"/>
              <w:rPr>
                <w:b/>
                <w:bCs/>
                <w:noProof/>
                <w:sz w:val="22"/>
                <w:szCs w:val="22"/>
              </w:rPr>
            </w:pPr>
          </w:p>
          <w:p w14:paraId="57B681F0" w14:textId="71D71E0B" w:rsidR="001E1112" w:rsidRPr="00317ABF" w:rsidRDefault="001E1112" w:rsidP="00DB3BEC">
            <w:pPr>
              <w:pStyle w:val="Tekstpodstawowy"/>
              <w:rPr>
                <w:b/>
                <w:bCs/>
                <w:noProof/>
                <w:sz w:val="22"/>
                <w:szCs w:val="22"/>
              </w:rPr>
            </w:pPr>
            <w:r w:rsidRPr="00317ABF">
              <w:rPr>
                <w:b/>
                <w:bCs/>
                <w:noProof/>
                <w:sz w:val="22"/>
                <w:szCs w:val="22"/>
              </w:rPr>
              <w:t xml:space="preserve">Art. 4 ust. 3, art. </w:t>
            </w:r>
            <w:r w:rsidR="002473C2" w:rsidRPr="00317ABF">
              <w:rPr>
                <w:b/>
                <w:bCs/>
                <w:noProof/>
                <w:sz w:val="22"/>
                <w:szCs w:val="22"/>
              </w:rPr>
              <w:t>221</w:t>
            </w:r>
            <w:r w:rsidRPr="00317ABF">
              <w:rPr>
                <w:b/>
                <w:bCs/>
                <w:noProof/>
                <w:sz w:val="22"/>
                <w:szCs w:val="22"/>
              </w:rPr>
              <w:t xml:space="preserve"> ust. 5, art. </w:t>
            </w:r>
            <w:r w:rsidR="002473C2" w:rsidRPr="00317ABF">
              <w:rPr>
                <w:b/>
                <w:bCs/>
                <w:noProof/>
                <w:sz w:val="22"/>
                <w:szCs w:val="22"/>
              </w:rPr>
              <w:t>416</w:t>
            </w:r>
            <w:r w:rsidRPr="00317ABF">
              <w:rPr>
                <w:b/>
                <w:bCs/>
                <w:noProof/>
                <w:sz w:val="22"/>
                <w:szCs w:val="22"/>
              </w:rPr>
              <w:t xml:space="preserve"> ust. 1, art. </w:t>
            </w:r>
            <w:r w:rsidR="002473C2" w:rsidRPr="00317ABF">
              <w:rPr>
                <w:b/>
                <w:bCs/>
                <w:noProof/>
                <w:sz w:val="22"/>
                <w:szCs w:val="22"/>
              </w:rPr>
              <w:t>441</w:t>
            </w:r>
            <w:r w:rsidRPr="00317ABF">
              <w:rPr>
                <w:b/>
                <w:bCs/>
                <w:noProof/>
                <w:sz w:val="22"/>
                <w:szCs w:val="22"/>
              </w:rPr>
              <w:t xml:space="preserve"> ust. 1 pkt 2</w:t>
            </w:r>
            <w:r w:rsidR="002473C2" w:rsidRPr="00317ABF">
              <w:rPr>
                <w:b/>
                <w:bCs/>
                <w:noProof/>
                <w:sz w:val="22"/>
                <w:szCs w:val="22"/>
              </w:rPr>
              <w:t>7</w:t>
            </w:r>
          </w:p>
        </w:tc>
        <w:tc>
          <w:tcPr>
            <w:tcW w:w="6814" w:type="dxa"/>
            <w:gridSpan w:val="2"/>
          </w:tcPr>
          <w:p w14:paraId="214F6B4C" w14:textId="0B5DF5A7" w:rsidR="001E1112" w:rsidRPr="00317ABF" w:rsidRDefault="001E1112" w:rsidP="00DB3BEC">
            <w:pPr>
              <w:pStyle w:val="Tekstpodstawowy"/>
              <w:rPr>
                <w:sz w:val="22"/>
                <w:szCs w:val="22"/>
              </w:rPr>
            </w:pPr>
          </w:p>
          <w:p w14:paraId="3B6E9779" w14:textId="24194639" w:rsidR="001E1112" w:rsidRPr="00317ABF" w:rsidRDefault="001E1112" w:rsidP="00DB3BEC">
            <w:pPr>
              <w:jc w:val="both"/>
              <w:rPr>
                <w:sz w:val="22"/>
                <w:szCs w:val="22"/>
              </w:rPr>
            </w:pPr>
          </w:p>
          <w:p w14:paraId="0DDBD7E1" w14:textId="5CE4E7A3" w:rsidR="001E1112" w:rsidRPr="00317ABF" w:rsidRDefault="001E1112" w:rsidP="00DB3BEC">
            <w:pPr>
              <w:jc w:val="both"/>
              <w:rPr>
                <w:sz w:val="22"/>
                <w:szCs w:val="22"/>
              </w:rPr>
            </w:pPr>
          </w:p>
          <w:p w14:paraId="1B650115" w14:textId="7914F851" w:rsidR="001E1112" w:rsidRPr="00317ABF" w:rsidRDefault="001E1112" w:rsidP="00DB3BEC">
            <w:pPr>
              <w:jc w:val="both"/>
              <w:rPr>
                <w:sz w:val="22"/>
                <w:szCs w:val="22"/>
              </w:rPr>
            </w:pPr>
          </w:p>
          <w:p w14:paraId="2E501E4F" w14:textId="5384B57F" w:rsidR="001E1112" w:rsidRPr="00317ABF" w:rsidRDefault="001E1112" w:rsidP="00DB3BEC">
            <w:pPr>
              <w:jc w:val="both"/>
              <w:rPr>
                <w:sz w:val="22"/>
                <w:szCs w:val="22"/>
              </w:rPr>
            </w:pPr>
          </w:p>
          <w:p w14:paraId="26B128D8" w14:textId="5F21DF13" w:rsidR="001E1112" w:rsidRPr="00317ABF" w:rsidRDefault="001E1112" w:rsidP="00DB3BEC">
            <w:pPr>
              <w:jc w:val="both"/>
              <w:rPr>
                <w:sz w:val="22"/>
                <w:szCs w:val="22"/>
              </w:rPr>
            </w:pPr>
          </w:p>
          <w:p w14:paraId="2E9E17EA" w14:textId="5B5F98AE" w:rsidR="001E1112" w:rsidRPr="00317ABF" w:rsidRDefault="001E1112" w:rsidP="00DB3BEC">
            <w:pPr>
              <w:jc w:val="both"/>
              <w:rPr>
                <w:sz w:val="22"/>
                <w:szCs w:val="22"/>
              </w:rPr>
            </w:pPr>
          </w:p>
          <w:p w14:paraId="71576C24" w14:textId="24E59407" w:rsidR="001E1112" w:rsidRPr="00317ABF" w:rsidRDefault="001E1112" w:rsidP="00DB3BEC">
            <w:pPr>
              <w:jc w:val="both"/>
              <w:rPr>
                <w:sz w:val="22"/>
                <w:szCs w:val="22"/>
              </w:rPr>
            </w:pPr>
          </w:p>
          <w:p w14:paraId="6368EED5" w14:textId="1E4EB374" w:rsidR="001E1112" w:rsidRPr="00317ABF" w:rsidRDefault="001E1112" w:rsidP="00DB3BEC">
            <w:pPr>
              <w:jc w:val="both"/>
              <w:rPr>
                <w:sz w:val="22"/>
                <w:szCs w:val="22"/>
              </w:rPr>
            </w:pPr>
          </w:p>
          <w:p w14:paraId="63F27A5B" w14:textId="09D9661E" w:rsidR="001E1112" w:rsidRPr="00317ABF" w:rsidRDefault="001E1112" w:rsidP="00DB3BEC">
            <w:pPr>
              <w:jc w:val="both"/>
              <w:rPr>
                <w:sz w:val="22"/>
                <w:szCs w:val="22"/>
              </w:rPr>
            </w:pPr>
          </w:p>
          <w:p w14:paraId="450682C5" w14:textId="0A84C485" w:rsidR="001E1112" w:rsidRPr="00317ABF" w:rsidRDefault="001E1112" w:rsidP="00DB3BEC">
            <w:pPr>
              <w:jc w:val="both"/>
              <w:rPr>
                <w:sz w:val="22"/>
                <w:szCs w:val="22"/>
              </w:rPr>
            </w:pPr>
          </w:p>
          <w:p w14:paraId="55B11A76" w14:textId="0D553A16" w:rsidR="001E1112" w:rsidRPr="00317ABF" w:rsidRDefault="001E1112" w:rsidP="00DB3BEC">
            <w:pPr>
              <w:jc w:val="both"/>
              <w:rPr>
                <w:sz w:val="22"/>
                <w:szCs w:val="22"/>
              </w:rPr>
            </w:pPr>
          </w:p>
          <w:p w14:paraId="0C3E5F73" w14:textId="63D6DA51" w:rsidR="001E1112" w:rsidRPr="00317ABF" w:rsidRDefault="001E1112" w:rsidP="00DB3BEC">
            <w:pPr>
              <w:jc w:val="both"/>
              <w:rPr>
                <w:sz w:val="22"/>
                <w:szCs w:val="22"/>
              </w:rPr>
            </w:pPr>
          </w:p>
          <w:p w14:paraId="41EEE573" w14:textId="75991DA7" w:rsidR="001E1112" w:rsidRPr="00317ABF" w:rsidRDefault="001E1112" w:rsidP="00DB3BEC">
            <w:pPr>
              <w:jc w:val="both"/>
              <w:rPr>
                <w:sz w:val="22"/>
                <w:szCs w:val="22"/>
              </w:rPr>
            </w:pPr>
          </w:p>
          <w:p w14:paraId="2FACCBC7" w14:textId="3AE9916E" w:rsidR="001E1112" w:rsidRPr="00317ABF" w:rsidRDefault="001E1112" w:rsidP="00DB3BEC">
            <w:pPr>
              <w:jc w:val="both"/>
              <w:rPr>
                <w:sz w:val="22"/>
                <w:szCs w:val="22"/>
              </w:rPr>
            </w:pPr>
          </w:p>
          <w:p w14:paraId="16D6E652" w14:textId="043FD176" w:rsidR="001E1112" w:rsidRPr="00317ABF" w:rsidRDefault="001E1112" w:rsidP="00DB3BEC">
            <w:pPr>
              <w:jc w:val="both"/>
              <w:rPr>
                <w:sz w:val="22"/>
                <w:szCs w:val="22"/>
              </w:rPr>
            </w:pPr>
          </w:p>
          <w:p w14:paraId="7071E2FD" w14:textId="5CC74EEF" w:rsidR="001E1112" w:rsidRPr="00317ABF" w:rsidRDefault="001E1112" w:rsidP="00DB3BEC">
            <w:pPr>
              <w:jc w:val="both"/>
              <w:rPr>
                <w:sz w:val="22"/>
                <w:szCs w:val="22"/>
              </w:rPr>
            </w:pPr>
          </w:p>
          <w:p w14:paraId="5A4E6695" w14:textId="01649374" w:rsidR="001E1112" w:rsidRPr="00317ABF" w:rsidRDefault="001E1112" w:rsidP="00DB3BEC">
            <w:pPr>
              <w:jc w:val="both"/>
              <w:rPr>
                <w:sz w:val="22"/>
                <w:szCs w:val="22"/>
              </w:rPr>
            </w:pPr>
          </w:p>
          <w:p w14:paraId="6CE2A602" w14:textId="1846C93B" w:rsidR="001E1112" w:rsidRPr="00317ABF" w:rsidRDefault="001E1112" w:rsidP="00DB3BEC">
            <w:pPr>
              <w:jc w:val="both"/>
              <w:rPr>
                <w:sz w:val="22"/>
                <w:szCs w:val="22"/>
              </w:rPr>
            </w:pPr>
          </w:p>
          <w:p w14:paraId="648C41E0" w14:textId="0FD999E1" w:rsidR="001E1112" w:rsidRPr="00317ABF" w:rsidRDefault="001E1112" w:rsidP="00DB3BEC">
            <w:pPr>
              <w:ind w:firstLine="510"/>
              <w:jc w:val="both"/>
              <w:rPr>
                <w:b/>
                <w:sz w:val="22"/>
                <w:szCs w:val="22"/>
              </w:rPr>
            </w:pPr>
            <w:r w:rsidRPr="00317ABF">
              <w:rPr>
                <w:b/>
                <w:sz w:val="22"/>
                <w:szCs w:val="22"/>
              </w:rPr>
              <w:t>Art. 4 ust. 3</w:t>
            </w:r>
          </w:p>
          <w:p w14:paraId="4B09E9E7" w14:textId="5B5D16CE" w:rsidR="001E1112" w:rsidRPr="00317ABF" w:rsidRDefault="001E1112" w:rsidP="00DB3BEC">
            <w:pPr>
              <w:ind w:firstLine="510"/>
              <w:jc w:val="both"/>
              <w:rPr>
                <w:sz w:val="22"/>
                <w:szCs w:val="22"/>
              </w:rPr>
            </w:pPr>
            <w:r w:rsidRPr="00317ABF">
              <w:rPr>
                <w:sz w:val="22"/>
                <w:szCs w:val="22"/>
              </w:rPr>
              <w:t>3. Prezes UKE uwzględnia przy stosowaniu ustawy w największym możliwie stopniu wytyczne, opinie, zalecenia, wspólne stanowiska, najlepsze praktyki i metodologie przyjmowane przez Organ Europejskich Regulatorów Łączności Elektronicznej, zwany dalej „BEREC”, w ich aktualnym brzmieniu.</w:t>
            </w:r>
          </w:p>
          <w:p w14:paraId="13E06372" w14:textId="6F3CA8B2" w:rsidR="001E1112" w:rsidRPr="00317ABF" w:rsidRDefault="001E1112" w:rsidP="00DB3BEC">
            <w:pPr>
              <w:ind w:firstLine="510"/>
              <w:jc w:val="both"/>
              <w:rPr>
                <w:sz w:val="22"/>
                <w:szCs w:val="22"/>
              </w:rPr>
            </w:pPr>
          </w:p>
          <w:p w14:paraId="23176F5C" w14:textId="6ADD6E50" w:rsidR="001E1112" w:rsidRPr="00317ABF" w:rsidRDefault="001E1112" w:rsidP="00DB3BEC">
            <w:pPr>
              <w:ind w:firstLine="510"/>
              <w:jc w:val="both"/>
              <w:rPr>
                <w:b/>
                <w:sz w:val="22"/>
                <w:szCs w:val="22"/>
              </w:rPr>
            </w:pPr>
            <w:r w:rsidRPr="00317ABF">
              <w:rPr>
                <w:b/>
                <w:sz w:val="22"/>
                <w:szCs w:val="22"/>
              </w:rPr>
              <w:t xml:space="preserve">Art. </w:t>
            </w:r>
            <w:r w:rsidR="002473C2" w:rsidRPr="00317ABF">
              <w:rPr>
                <w:b/>
                <w:sz w:val="22"/>
                <w:szCs w:val="22"/>
              </w:rPr>
              <w:t>221 ust. 5</w:t>
            </w:r>
          </w:p>
          <w:p w14:paraId="44530F97" w14:textId="6DD6DFD3" w:rsidR="001E1112" w:rsidRPr="00317ABF" w:rsidRDefault="001E1112" w:rsidP="002473C2">
            <w:pPr>
              <w:jc w:val="both"/>
              <w:rPr>
                <w:sz w:val="22"/>
                <w:szCs w:val="22"/>
              </w:rPr>
            </w:pPr>
            <w:r w:rsidRPr="00317ABF">
              <w:rPr>
                <w:sz w:val="22"/>
                <w:szCs w:val="22"/>
              </w:rPr>
              <w:t xml:space="preserve">5. Prezes UKE niezwłocznie udostępnia </w:t>
            </w:r>
            <w:r w:rsidR="002473C2" w:rsidRPr="00317ABF">
              <w:rPr>
                <w:sz w:val="22"/>
                <w:szCs w:val="22"/>
              </w:rPr>
              <w:t>zatwierdzoną ofertę ramową lub jej zmianę wraz z ujednoliconym tekstem oferty ramowej na stronie podmiotowej BIP UKE.</w:t>
            </w:r>
          </w:p>
          <w:p w14:paraId="6FC4D972" w14:textId="77777777" w:rsidR="002473C2" w:rsidRPr="00317ABF" w:rsidRDefault="002473C2" w:rsidP="002473C2">
            <w:pPr>
              <w:jc w:val="both"/>
              <w:rPr>
                <w:sz w:val="22"/>
                <w:szCs w:val="22"/>
              </w:rPr>
            </w:pPr>
          </w:p>
          <w:p w14:paraId="1E230EAF" w14:textId="77777777" w:rsidR="002473C2" w:rsidRPr="00317ABF" w:rsidRDefault="002473C2" w:rsidP="002473C2">
            <w:pPr>
              <w:ind w:firstLine="510"/>
              <w:jc w:val="both"/>
              <w:rPr>
                <w:sz w:val="22"/>
                <w:szCs w:val="22"/>
              </w:rPr>
            </w:pPr>
            <w:r w:rsidRPr="00317ABF">
              <w:rPr>
                <w:b/>
                <w:sz w:val="22"/>
                <w:szCs w:val="22"/>
              </w:rPr>
              <w:t>Art. 416</w:t>
            </w:r>
            <w:r w:rsidRPr="00317ABF">
              <w:rPr>
                <w:sz w:val="22"/>
                <w:szCs w:val="22"/>
              </w:rPr>
              <w:t>. 1. Prezes UKE jest uprawniony do weryfikacji przestrzegania przepisów, decyzji oraz postanowień z zakresu komunikacji elektronicznej lub spełniania wymagań dotyczących kompatybilności elektromagnetycznej.</w:t>
            </w:r>
          </w:p>
          <w:p w14:paraId="74D0A988" w14:textId="0C2F4AF3" w:rsidR="001E1112" w:rsidRPr="00317ABF" w:rsidRDefault="001E1112" w:rsidP="00DB3BEC">
            <w:pPr>
              <w:ind w:firstLine="510"/>
              <w:jc w:val="both"/>
              <w:rPr>
                <w:sz w:val="22"/>
                <w:szCs w:val="22"/>
              </w:rPr>
            </w:pPr>
          </w:p>
          <w:p w14:paraId="2A40DC78" w14:textId="77777777" w:rsidR="002473C2" w:rsidRPr="00317ABF" w:rsidRDefault="002473C2" w:rsidP="002473C2">
            <w:pPr>
              <w:ind w:firstLine="510"/>
              <w:jc w:val="both"/>
              <w:rPr>
                <w:sz w:val="22"/>
                <w:szCs w:val="22"/>
              </w:rPr>
            </w:pPr>
          </w:p>
          <w:p w14:paraId="6CA3CB52" w14:textId="728F9C9D" w:rsidR="001E1112" w:rsidRPr="00317ABF" w:rsidRDefault="001E1112" w:rsidP="00DB3BEC">
            <w:pPr>
              <w:ind w:firstLine="510"/>
              <w:jc w:val="both"/>
              <w:rPr>
                <w:b/>
                <w:sz w:val="22"/>
                <w:szCs w:val="22"/>
              </w:rPr>
            </w:pPr>
            <w:r w:rsidRPr="00317ABF">
              <w:rPr>
                <w:b/>
                <w:sz w:val="22"/>
                <w:szCs w:val="22"/>
              </w:rPr>
              <w:t xml:space="preserve">Art. </w:t>
            </w:r>
            <w:r w:rsidR="002473C2" w:rsidRPr="00317ABF">
              <w:rPr>
                <w:b/>
                <w:sz w:val="22"/>
                <w:szCs w:val="22"/>
              </w:rPr>
              <w:t>441</w:t>
            </w:r>
            <w:r w:rsidRPr="00317ABF">
              <w:rPr>
                <w:b/>
                <w:sz w:val="22"/>
                <w:szCs w:val="22"/>
              </w:rPr>
              <w:t xml:space="preserve"> ust. 1 pkt 2</w:t>
            </w:r>
            <w:r w:rsidR="002473C2" w:rsidRPr="00317ABF">
              <w:rPr>
                <w:b/>
                <w:sz w:val="22"/>
                <w:szCs w:val="22"/>
              </w:rPr>
              <w:t>7</w:t>
            </w:r>
          </w:p>
          <w:p w14:paraId="63EA1DA9" w14:textId="1B5988BA" w:rsidR="001E1112" w:rsidRPr="00317ABF" w:rsidRDefault="001E1112" w:rsidP="00DB3BEC">
            <w:pPr>
              <w:ind w:firstLine="510"/>
              <w:jc w:val="both"/>
              <w:rPr>
                <w:sz w:val="22"/>
                <w:szCs w:val="22"/>
              </w:rPr>
            </w:pPr>
          </w:p>
          <w:p w14:paraId="70487A91" w14:textId="0FFC5DC2" w:rsidR="001E1112" w:rsidRPr="00317ABF" w:rsidRDefault="001E1112" w:rsidP="00DB3BEC">
            <w:pPr>
              <w:pStyle w:val="Akapitzlist"/>
              <w:numPr>
                <w:ilvl w:val="0"/>
                <w:numId w:val="2"/>
              </w:numPr>
              <w:jc w:val="both"/>
              <w:rPr>
                <w:sz w:val="22"/>
                <w:szCs w:val="22"/>
              </w:rPr>
            </w:pPr>
            <w:r w:rsidRPr="00317ABF">
              <w:rPr>
                <w:sz w:val="22"/>
                <w:szCs w:val="22"/>
              </w:rPr>
              <w:t>Kto:</w:t>
            </w:r>
          </w:p>
          <w:p w14:paraId="7E8E31D7" w14:textId="6BE5E2B4" w:rsidR="001E1112" w:rsidRPr="00317ABF" w:rsidRDefault="001E1112" w:rsidP="00DB3BEC">
            <w:pPr>
              <w:jc w:val="both"/>
              <w:rPr>
                <w:sz w:val="22"/>
                <w:szCs w:val="22"/>
              </w:rPr>
            </w:pPr>
            <w:r w:rsidRPr="00317ABF">
              <w:rPr>
                <w:sz w:val="22"/>
                <w:szCs w:val="22"/>
              </w:rPr>
              <w:t>(...)</w:t>
            </w:r>
          </w:p>
          <w:p w14:paraId="52430C52" w14:textId="540C4E3C" w:rsidR="001E1112" w:rsidRPr="00317ABF" w:rsidRDefault="002473C2" w:rsidP="00DB3BEC">
            <w:pPr>
              <w:jc w:val="both"/>
              <w:rPr>
                <w:sz w:val="22"/>
                <w:szCs w:val="22"/>
              </w:rPr>
            </w:pPr>
            <w:r w:rsidRPr="00317ABF">
              <w:rPr>
                <w:sz w:val="22"/>
                <w:szCs w:val="22"/>
              </w:rPr>
              <w:t>27)</w:t>
            </w:r>
            <w:r w:rsidRPr="00317ABF">
              <w:rPr>
                <w:sz w:val="22"/>
                <w:szCs w:val="22"/>
              </w:rPr>
              <w:tab/>
            </w:r>
            <w:r w:rsidR="001E1112" w:rsidRPr="00317ABF">
              <w:rPr>
                <w:sz w:val="22"/>
                <w:szCs w:val="22"/>
              </w:rPr>
              <w:t>nie wypełnia lub nienależycie wypełnia obowiązki opracowania i przedłożenia do zatwierdzenia przez Prezesa UKE oraz stosowania oferty ramowej o dostępie telekomunikacyjnym,</w:t>
            </w:r>
          </w:p>
          <w:p w14:paraId="49AA5E31" w14:textId="4218B9A6" w:rsidR="001E1112" w:rsidRPr="00317ABF" w:rsidRDefault="001E1112" w:rsidP="00DB3BEC">
            <w:pPr>
              <w:jc w:val="both"/>
              <w:rPr>
                <w:sz w:val="22"/>
                <w:szCs w:val="22"/>
              </w:rPr>
            </w:pPr>
          </w:p>
        </w:tc>
      </w:tr>
      <w:tr w:rsidR="001E1112" w:rsidRPr="00317ABF" w14:paraId="119022D3" w14:textId="77777777" w:rsidTr="7753F98D">
        <w:trPr>
          <w:gridAfter w:val="2"/>
          <w:wAfter w:w="175" w:type="dxa"/>
        </w:trPr>
        <w:tc>
          <w:tcPr>
            <w:tcW w:w="704" w:type="dxa"/>
          </w:tcPr>
          <w:p w14:paraId="214BA69E" w14:textId="77777777" w:rsidR="001E1112" w:rsidRPr="00317ABF" w:rsidRDefault="001E1112" w:rsidP="00DB3BEC">
            <w:pPr>
              <w:jc w:val="both"/>
              <w:rPr>
                <w:b/>
                <w:sz w:val="22"/>
                <w:szCs w:val="22"/>
              </w:rPr>
            </w:pPr>
            <w:r w:rsidRPr="00317ABF">
              <w:rPr>
                <w:b/>
                <w:sz w:val="22"/>
                <w:szCs w:val="22"/>
              </w:rPr>
              <w:lastRenderedPageBreak/>
              <w:t>Art. 70</w:t>
            </w:r>
          </w:p>
        </w:tc>
        <w:tc>
          <w:tcPr>
            <w:tcW w:w="4308" w:type="dxa"/>
          </w:tcPr>
          <w:p w14:paraId="5A0C2209" w14:textId="77777777" w:rsidR="001E1112" w:rsidRPr="00317ABF" w:rsidRDefault="001E1112" w:rsidP="00DB3BEC">
            <w:pPr>
              <w:spacing w:before="120"/>
              <w:jc w:val="both"/>
              <w:rPr>
                <w:sz w:val="22"/>
                <w:szCs w:val="22"/>
              </w:rPr>
            </w:pPr>
            <w:r w:rsidRPr="00317ABF">
              <w:rPr>
                <w:b/>
                <w:bCs/>
                <w:sz w:val="22"/>
                <w:szCs w:val="22"/>
              </w:rPr>
              <w:t>Obowiązek niedyskryminacji</w:t>
            </w:r>
          </w:p>
        </w:tc>
        <w:tc>
          <w:tcPr>
            <w:tcW w:w="986" w:type="dxa"/>
          </w:tcPr>
          <w:p w14:paraId="0B1F4DC5" w14:textId="77777777" w:rsidR="001E1112" w:rsidRPr="00317ABF" w:rsidRDefault="001E1112" w:rsidP="00DB3BEC">
            <w:pPr>
              <w:jc w:val="both"/>
              <w:rPr>
                <w:sz w:val="22"/>
                <w:szCs w:val="22"/>
              </w:rPr>
            </w:pPr>
          </w:p>
        </w:tc>
        <w:tc>
          <w:tcPr>
            <w:tcW w:w="910" w:type="dxa"/>
          </w:tcPr>
          <w:p w14:paraId="363DF581" w14:textId="77777777" w:rsidR="001E1112" w:rsidRPr="00317ABF" w:rsidRDefault="001E1112" w:rsidP="00DB3BEC">
            <w:pPr>
              <w:pStyle w:val="Tekstpodstawowy"/>
              <w:rPr>
                <w:b/>
                <w:noProof/>
                <w:sz w:val="22"/>
                <w:szCs w:val="22"/>
              </w:rPr>
            </w:pPr>
          </w:p>
        </w:tc>
        <w:tc>
          <w:tcPr>
            <w:tcW w:w="6814" w:type="dxa"/>
            <w:gridSpan w:val="2"/>
          </w:tcPr>
          <w:p w14:paraId="503F8C12" w14:textId="77777777" w:rsidR="001E1112" w:rsidRPr="00317ABF" w:rsidRDefault="001E1112" w:rsidP="00DB3BEC">
            <w:pPr>
              <w:pStyle w:val="Tekstpodstawowy"/>
              <w:rPr>
                <w:sz w:val="22"/>
                <w:szCs w:val="22"/>
              </w:rPr>
            </w:pPr>
          </w:p>
        </w:tc>
      </w:tr>
      <w:tr w:rsidR="001E1112" w:rsidRPr="00317ABF" w14:paraId="5F26998E" w14:textId="77777777" w:rsidTr="7753F98D">
        <w:trPr>
          <w:gridAfter w:val="2"/>
          <w:wAfter w:w="175" w:type="dxa"/>
        </w:trPr>
        <w:tc>
          <w:tcPr>
            <w:tcW w:w="704" w:type="dxa"/>
          </w:tcPr>
          <w:p w14:paraId="13CAAB47" w14:textId="77777777" w:rsidR="001E1112" w:rsidRPr="00317ABF" w:rsidRDefault="001E1112" w:rsidP="00DB3BEC">
            <w:pPr>
              <w:jc w:val="both"/>
              <w:rPr>
                <w:sz w:val="22"/>
                <w:szCs w:val="22"/>
              </w:rPr>
            </w:pPr>
            <w:r w:rsidRPr="00317ABF">
              <w:rPr>
                <w:sz w:val="22"/>
                <w:szCs w:val="22"/>
              </w:rPr>
              <w:t>Art. 70 ust. 1</w:t>
            </w:r>
          </w:p>
        </w:tc>
        <w:tc>
          <w:tcPr>
            <w:tcW w:w="4308" w:type="dxa"/>
          </w:tcPr>
          <w:p w14:paraId="46879F17" w14:textId="77777777" w:rsidR="001E1112" w:rsidRPr="00317ABF" w:rsidRDefault="001E1112" w:rsidP="00DB3BEC">
            <w:pPr>
              <w:spacing w:before="120"/>
              <w:jc w:val="both"/>
              <w:rPr>
                <w:sz w:val="22"/>
                <w:szCs w:val="22"/>
              </w:rPr>
            </w:pPr>
            <w:r w:rsidRPr="00317ABF">
              <w:rPr>
                <w:sz w:val="22"/>
                <w:szCs w:val="22"/>
              </w:rPr>
              <w:t>1.   W odniesieniu do wzajemnych połączeń lub dostępu krajowy organ regulacyjny może nałożyć, zgodnie z art. 68, obowiązek niedyskryminacji.</w:t>
            </w:r>
          </w:p>
        </w:tc>
        <w:tc>
          <w:tcPr>
            <w:tcW w:w="986" w:type="dxa"/>
          </w:tcPr>
          <w:p w14:paraId="5F6DDEEA" w14:textId="584C7186" w:rsidR="001E1112" w:rsidRPr="00317ABF" w:rsidRDefault="001E1112" w:rsidP="00DB3BEC">
            <w:pPr>
              <w:jc w:val="both"/>
              <w:rPr>
                <w:sz w:val="22"/>
                <w:szCs w:val="22"/>
              </w:rPr>
            </w:pPr>
            <w:r w:rsidRPr="00317ABF">
              <w:rPr>
                <w:sz w:val="22"/>
                <w:szCs w:val="22"/>
              </w:rPr>
              <w:t>T</w:t>
            </w:r>
          </w:p>
        </w:tc>
        <w:tc>
          <w:tcPr>
            <w:tcW w:w="910" w:type="dxa"/>
          </w:tcPr>
          <w:p w14:paraId="41058B71" w14:textId="1D7E90CD" w:rsidR="001E1112" w:rsidRPr="00317ABF" w:rsidRDefault="001E1112" w:rsidP="00DB3BEC">
            <w:pPr>
              <w:pStyle w:val="Tekstpodstawowy"/>
              <w:rPr>
                <w:b/>
                <w:bCs/>
                <w:noProof/>
                <w:sz w:val="22"/>
                <w:szCs w:val="22"/>
              </w:rPr>
            </w:pPr>
            <w:r w:rsidRPr="00317ABF">
              <w:rPr>
                <w:b/>
                <w:bCs/>
                <w:noProof/>
                <w:sz w:val="22"/>
                <w:szCs w:val="22"/>
              </w:rPr>
              <w:t xml:space="preserve">Art. </w:t>
            </w:r>
            <w:r w:rsidR="002473C2" w:rsidRPr="00317ABF">
              <w:rPr>
                <w:b/>
                <w:bCs/>
                <w:noProof/>
                <w:sz w:val="22"/>
                <w:szCs w:val="22"/>
              </w:rPr>
              <w:t>213</w:t>
            </w:r>
          </w:p>
        </w:tc>
        <w:tc>
          <w:tcPr>
            <w:tcW w:w="6814" w:type="dxa"/>
            <w:gridSpan w:val="2"/>
          </w:tcPr>
          <w:p w14:paraId="1A02444C" w14:textId="77777777" w:rsidR="001E1112" w:rsidRPr="00317ABF" w:rsidRDefault="001E1112" w:rsidP="00DB3BEC">
            <w:pPr>
              <w:ind w:firstLine="510"/>
              <w:jc w:val="both"/>
              <w:rPr>
                <w:sz w:val="22"/>
                <w:szCs w:val="22"/>
              </w:rPr>
            </w:pPr>
            <w:r w:rsidRPr="00317ABF">
              <w:rPr>
                <w:b/>
                <w:sz w:val="22"/>
                <w:szCs w:val="22"/>
              </w:rPr>
              <w:t xml:space="preserve">Art. </w:t>
            </w:r>
            <w:r w:rsidR="002473C2" w:rsidRPr="00317ABF">
              <w:rPr>
                <w:b/>
                <w:sz w:val="22"/>
                <w:szCs w:val="22"/>
              </w:rPr>
              <w:t>213.</w:t>
            </w:r>
            <w:r w:rsidRPr="00317ABF">
              <w:rPr>
                <w:sz w:val="22"/>
                <w:szCs w:val="22"/>
              </w:rPr>
              <w:t xml:space="preserve"> 1. Prezes UKE może, zgodnie z przesłankami, o których mowa w art. </w:t>
            </w:r>
            <w:r w:rsidR="002473C2" w:rsidRPr="00317ABF">
              <w:rPr>
                <w:sz w:val="22"/>
                <w:szCs w:val="22"/>
              </w:rPr>
              <w:t>202</w:t>
            </w:r>
            <w:r w:rsidRPr="00317ABF">
              <w:rPr>
                <w:sz w:val="22"/>
                <w:szCs w:val="22"/>
              </w:rPr>
              <w:t xml:space="preserve"> pkt 2 lit. a, w drodze decyzji, nałożyć na  przedsiębiorcę komunikacji elektronicznej o znaczącej pozycji rynkowej obowiązek równego traktowania przedsiębiorców komunikacji elektronicznej w zakresie dostępu</w:t>
            </w:r>
            <w:r w:rsidR="002473C2" w:rsidRPr="00317ABF">
              <w:rPr>
                <w:sz w:val="22"/>
                <w:szCs w:val="22"/>
              </w:rPr>
              <w:t xml:space="preserve"> telekomunikacyjnego</w:t>
            </w:r>
            <w:r w:rsidRPr="00317ABF">
              <w:rPr>
                <w:sz w:val="22"/>
                <w:szCs w:val="22"/>
              </w:rPr>
              <w:t xml:space="preserve">, w szczególności przez oferowanie jednakowych warunków w porównywalnych okolicznościach, przeprowadzania testów ekonomicznej odtwarzalności, a także oferowanie usług oraz udostępnianie informacji na warunkach nie gorszych od </w:t>
            </w:r>
            <w:r w:rsidRPr="00317ABF">
              <w:rPr>
                <w:sz w:val="22"/>
                <w:szCs w:val="22"/>
              </w:rPr>
              <w:lastRenderedPageBreak/>
              <w:t>stosowanych w ramach własnego przedsiębiorstwa, lub w stosunkach z podmiotami zależnymi lub innymi podmiotami, z którymi współpracuje.</w:t>
            </w:r>
          </w:p>
          <w:p w14:paraId="0B41F3D5" w14:textId="57CEC15B" w:rsidR="001E1112" w:rsidRPr="00317ABF" w:rsidRDefault="001E1112" w:rsidP="00DB3BEC">
            <w:pPr>
              <w:jc w:val="both"/>
              <w:rPr>
                <w:sz w:val="22"/>
                <w:szCs w:val="22"/>
              </w:rPr>
            </w:pPr>
            <w:r w:rsidRPr="00317ABF">
              <w:rPr>
                <w:sz w:val="22"/>
                <w:szCs w:val="22"/>
              </w:rPr>
              <w:t>2. Prezes UKE nakładając obowiązek, o którym mowa w ust. 1</w:t>
            </w:r>
            <w:r w:rsidR="002473C2" w:rsidRPr="00317ABF">
              <w:rPr>
                <w:sz w:val="22"/>
                <w:szCs w:val="22"/>
              </w:rPr>
              <w:t>,</w:t>
            </w:r>
            <w:r w:rsidRPr="00317ABF">
              <w:rPr>
                <w:sz w:val="22"/>
                <w:szCs w:val="22"/>
              </w:rPr>
              <w:t xml:space="preserve"> może </w:t>
            </w:r>
            <w:r w:rsidR="002473C2" w:rsidRPr="00317ABF">
              <w:rPr>
                <w:sz w:val="22"/>
                <w:szCs w:val="22"/>
              </w:rPr>
              <w:t xml:space="preserve">w celu zapewnienia </w:t>
            </w:r>
            <w:r w:rsidRPr="00317ABF">
              <w:rPr>
                <w:sz w:val="22"/>
                <w:szCs w:val="22"/>
              </w:rPr>
              <w:t>równego traktowania przedsiębiorców komunikacji elektronicznej w zakresie dostępu</w:t>
            </w:r>
            <w:r w:rsidR="002473C2" w:rsidRPr="00317ABF">
              <w:rPr>
                <w:sz w:val="22"/>
                <w:szCs w:val="22"/>
              </w:rPr>
              <w:t xml:space="preserve"> telekomunikacyjnego nałożyć obowiązek takiego samego traktowania tych przedsiębiorców w zakresie dostępu</w:t>
            </w:r>
            <w:r w:rsidRPr="00317ABF">
              <w:rPr>
                <w:sz w:val="22"/>
                <w:szCs w:val="22"/>
              </w:rPr>
              <w:t>, w szczególności przez oferowanie jednakowych warunków, umożliwiając konkurencję na rynku detalicznym, a także oferowanie usług oraz udostępnianie informacji na takich samych warunkach, w tym samym czasie, takiej samej jakości, jak stosowanych w ramach własnego przedsiębiorstwa.</w:t>
            </w:r>
          </w:p>
        </w:tc>
      </w:tr>
      <w:tr w:rsidR="001E1112" w:rsidRPr="00317ABF" w14:paraId="1832EBB1" w14:textId="77777777" w:rsidTr="7753F98D">
        <w:trPr>
          <w:gridAfter w:val="2"/>
          <w:wAfter w:w="175" w:type="dxa"/>
        </w:trPr>
        <w:tc>
          <w:tcPr>
            <w:tcW w:w="704" w:type="dxa"/>
          </w:tcPr>
          <w:p w14:paraId="23579FC4" w14:textId="77777777" w:rsidR="001E1112" w:rsidRPr="00317ABF" w:rsidRDefault="001E1112" w:rsidP="00DB3BEC">
            <w:pPr>
              <w:jc w:val="both"/>
              <w:rPr>
                <w:sz w:val="22"/>
                <w:szCs w:val="22"/>
              </w:rPr>
            </w:pPr>
            <w:r w:rsidRPr="00317ABF">
              <w:rPr>
                <w:sz w:val="22"/>
                <w:szCs w:val="22"/>
              </w:rPr>
              <w:lastRenderedPageBreak/>
              <w:t>Art. 70 ust. 2</w:t>
            </w:r>
          </w:p>
        </w:tc>
        <w:tc>
          <w:tcPr>
            <w:tcW w:w="4308" w:type="dxa"/>
          </w:tcPr>
          <w:p w14:paraId="7D2A8942" w14:textId="77777777" w:rsidR="001E1112" w:rsidRPr="00317ABF" w:rsidRDefault="001E1112" w:rsidP="00DB3BEC">
            <w:pPr>
              <w:spacing w:before="120"/>
              <w:jc w:val="both"/>
              <w:rPr>
                <w:sz w:val="22"/>
                <w:szCs w:val="22"/>
              </w:rPr>
            </w:pPr>
            <w:r w:rsidRPr="00317ABF">
              <w:rPr>
                <w:sz w:val="22"/>
                <w:szCs w:val="22"/>
              </w:rPr>
              <w:t>2.   Obowiązek niedyskryminacji zapewnia w szczególności, aby przedsiębiorstwa stosowały podobne wymogi w podobnych okolicznościach w stosunku do innych podmiotów świadczących podobne usługi oraz świadczyły tym innym przedsiębiorstwom usługi i udostępniały informacje na takich samych warunkach i o tej samej jakości jak te, które zapewniają na potrzeby własnych usług lub usług świadczonych przez swoje jednostki zależne lub partnerów. Krajowe organy regulacyjne – aby zapewnić równorzędność dostępu – mogą na to przedsiębiorstwo nałożyć obowiązek dostarczenia produktów i usług dostępu wszystkim przedsiębiorstwom, w tym samemu sobie, według tego samego harmonogramu, na tych samych warunkach, w tym dotyczących ceny i poziomów usług, oraz za pomocą tych samych systemów i procesów.</w:t>
            </w:r>
          </w:p>
        </w:tc>
        <w:tc>
          <w:tcPr>
            <w:tcW w:w="986" w:type="dxa"/>
          </w:tcPr>
          <w:p w14:paraId="1D1EDC3E" w14:textId="5562C3E0" w:rsidR="001E1112" w:rsidRPr="00317ABF" w:rsidRDefault="001E1112" w:rsidP="00DB3BEC">
            <w:pPr>
              <w:jc w:val="both"/>
              <w:rPr>
                <w:sz w:val="22"/>
                <w:szCs w:val="22"/>
              </w:rPr>
            </w:pPr>
            <w:r w:rsidRPr="00317ABF">
              <w:rPr>
                <w:sz w:val="22"/>
                <w:szCs w:val="22"/>
              </w:rPr>
              <w:t>T</w:t>
            </w:r>
          </w:p>
        </w:tc>
        <w:tc>
          <w:tcPr>
            <w:tcW w:w="910" w:type="dxa"/>
          </w:tcPr>
          <w:p w14:paraId="66C7F3A5" w14:textId="60F439E7" w:rsidR="001E1112" w:rsidRPr="00317ABF" w:rsidRDefault="001E1112" w:rsidP="00DB3BEC">
            <w:pPr>
              <w:pStyle w:val="Tekstpodstawowy"/>
              <w:rPr>
                <w:b/>
                <w:bCs/>
                <w:noProof/>
                <w:sz w:val="22"/>
                <w:szCs w:val="22"/>
              </w:rPr>
            </w:pPr>
            <w:r w:rsidRPr="00317ABF">
              <w:rPr>
                <w:b/>
                <w:bCs/>
                <w:noProof/>
                <w:sz w:val="22"/>
                <w:szCs w:val="22"/>
              </w:rPr>
              <w:t xml:space="preserve">Art. </w:t>
            </w:r>
            <w:r w:rsidR="00D2360D" w:rsidRPr="00317ABF">
              <w:rPr>
                <w:b/>
                <w:bCs/>
                <w:noProof/>
                <w:sz w:val="22"/>
                <w:szCs w:val="22"/>
              </w:rPr>
              <w:t>213</w:t>
            </w:r>
          </w:p>
        </w:tc>
        <w:tc>
          <w:tcPr>
            <w:tcW w:w="6814" w:type="dxa"/>
            <w:gridSpan w:val="2"/>
          </w:tcPr>
          <w:p w14:paraId="0BD7B531" w14:textId="77777777" w:rsidR="001E1112" w:rsidRPr="00317ABF" w:rsidRDefault="001E1112" w:rsidP="00DB3BEC">
            <w:pPr>
              <w:ind w:firstLine="510"/>
              <w:jc w:val="both"/>
              <w:rPr>
                <w:sz w:val="22"/>
                <w:szCs w:val="22"/>
              </w:rPr>
            </w:pPr>
            <w:r w:rsidRPr="00317ABF">
              <w:rPr>
                <w:b/>
                <w:sz w:val="22"/>
                <w:szCs w:val="22"/>
              </w:rPr>
              <w:t xml:space="preserve">Art. </w:t>
            </w:r>
            <w:r w:rsidR="00D2360D" w:rsidRPr="00317ABF">
              <w:rPr>
                <w:b/>
                <w:sz w:val="22"/>
                <w:szCs w:val="22"/>
              </w:rPr>
              <w:t>213</w:t>
            </w:r>
            <w:r w:rsidR="00D2360D" w:rsidRPr="00317ABF">
              <w:rPr>
                <w:sz w:val="22"/>
                <w:szCs w:val="22"/>
              </w:rPr>
              <w:t>.</w:t>
            </w:r>
            <w:r w:rsidRPr="00317ABF">
              <w:rPr>
                <w:sz w:val="22"/>
                <w:szCs w:val="22"/>
              </w:rPr>
              <w:t xml:space="preserve"> 1. Prezes UKE może, zgodnie z przesłankami, o których mowa w art. </w:t>
            </w:r>
            <w:r w:rsidR="00D2360D" w:rsidRPr="00317ABF">
              <w:rPr>
                <w:sz w:val="22"/>
                <w:szCs w:val="22"/>
              </w:rPr>
              <w:t>202</w:t>
            </w:r>
            <w:r w:rsidRPr="00317ABF">
              <w:rPr>
                <w:sz w:val="22"/>
                <w:szCs w:val="22"/>
              </w:rPr>
              <w:t xml:space="preserve"> pkt 2 lit. a, w drodze decyzji, nałożyć na  przedsiębiorcę komunikacji elektronicznej o znaczącej pozycji rynkowej obowiązek równego traktowania przedsiębiorców komunikacji elektronicznej w zakresie dostępu</w:t>
            </w:r>
            <w:r w:rsidR="00D2360D" w:rsidRPr="00317ABF">
              <w:rPr>
                <w:sz w:val="22"/>
                <w:szCs w:val="22"/>
              </w:rPr>
              <w:t xml:space="preserve"> telekomunikacyjnego</w:t>
            </w:r>
            <w:r w:rsidRPr="00317ABF">
              <w:rPr>
                <w:sz w:val="22"/>
                <w:szCs w:val="22"/>
              </w:rPr>
              <w:t>, w szczególności przez oferowanie jednakowych warunków w porównywalnych okolicznościach, przeprowadzania testów ekonomicznej odtwarzalności, a także oferowanie usług oraz udostępnianie informacji na warunkach nie gorszych od stosowanych w ramach własnego przedsiębiorstwa, lub w stosunkach z podmiotami zależnymi lub innymi podmiotami, z którymi współpracuje.</w:t>
            </w:r>
          </w:p>
          <w:p w14:paraId="2FF55401" w14:textId="20BB9781" w:rsidR="001E1112" w:rsidRPr="00317ABF" w:rsidRDefault="001E1112" w:rsidP="00DB3BEC">
            <w:pPr>
              <w:jc w:val="both"/>
              <w:rPr>
                <w:sz w:val="22"/>
                <w:szCs w:val="22"/>
              </w:rPr>
            </w:pPr>
            <w:r w:rsidRPr="00317ABF">
              <w:rPr>
                <w:sz w:val="22"/>
                <w:szCs w:val="22"/>
              </w:rPr>
              <w:t>2. Prezes UKE nakładając obowiązek, o którym mowa w ust. 1</w:t>
            </w:r>
            <w:r w:rsidR="00D2360D" w:rsidRPr="00317ABF">
              <w:rPr>
                <w:sz w:val="22"/>
                <w:szCs w:val="22"/>
              </w:rPr>
              <w:t>,</w:t>
            </w:r>
            <w:r w:rsidRPr="00317ABF">
              <w:rPr>
                <w:sz w:val="22"/>
                <w:szCs w:val="22"/>
              </w:rPr>
              <w:t xml:space="preserve"> może </w:t>
            </w:r>
            <w:r w:rsidR="00D2360D" w:rsidRPr="00317ABF">
              <w:rPr>
                <w:sz w:val="22"/>
                <w:szCs w:val="22"/>
              </w:rPr>
              <w:t xml:space="preserve">w celu zapewnienia </w:t>
            </w:r>
            <w:r w:rsidRPr="00317ABF">
              <w:rPr>
                <w:sz w:val="22"/>
                <w:szCs w:val="22"/>
              </w:rPr>
              <w:t>równego traktowania przedsiębiorców komunikacji elektronicznej w zakresie dostępu</w:t>
            </w:r>
            <w:r w:rsidR="00D2360D" w:rsidRPr="00317ABF">
              <w:rPr>
                <w:sz w:val="22"/>
                <w:szCs w:val="22"/>
              </w:rPr>
              <w:t xml:space="preserve"> telekomunikacyjnego nałożyć obowiązek takiego samego traktowania tych przedsiębiorców w zakresie dostępu</w:t>
            </w:r>
            <w:r w:rsidRPr="00317ABF">
              <w:rPr>
                <w:sz w:val="22"/>
                <w:szCs w:val="22"/>
              </w:rPr>
              <w:t>, w szczególności przez oferowanie jednakowych warunków, umożliwiając konkurencję na rynku detalicznym, a także oferowanie usług oraz udostępnianie informacji na takich samych warunkach, w tym samym czasie, takiej samej jakości, jak stosowanych w ramach własnego przedsiębiorstwa.</w:t>
            </w:r>
          </w:p>
        </w:tc>
      </w:tr>
      <w:tr w:rsidR="001E1112" w:rsidRPr="00317ABF" w14:paraId="3361F148" w14:textId="77777777" w:rsidTr="7753F98D">
        <w:trPr>
          <w:gridAfter w:val="2"/>
          <w:wAfter w:w="175" w:type="dxa"/>
        </w:trPr>
        <w:tc>
          <w:tcPr>
            <w:tcW w:w="704" w:type="dxa"/>
          </w:tcPr>
          <w:p w14:paraId="09DD2A05" w14:textId="77777777" w:rsidR="001E1112" w:rsidRPr="00317ABF" w:rsidRDefault="001E1112" w:rsidP="00DB3BEC">
            <w:pPr>
              <w:jc w:val="both"/>
              <w:rPr>
                <w:b/>
                <w:sz w:val="22"/>
                <w:szCs w:val="22"/>
              </w:rPr>
            </w:pPr>
            <w:r w:rsidRPr="00317ABF">
              <w:rPr>
                <w:b/>
                <w:sz w:val="22"/>
                <w:szCs w:val="22"/>
              </w:rPr>
              <w:t>Art. 71</w:t>
            </w:r>
          </w:p>
        </w:tc>
        <w:tc>
          <w:tcPr>
            <w:tcW w:w="4308" w:type="dxa"/>
          </w:tcPr>
          <w:p w14:paraId="27AFA23F" w14:textId="77777777" w:rsidR="001E1112" w:rsidRPr="00317ABF" w:rsidRDefault="001E1112" w:rsidP="00DB3BEC">
            <w:pPr>
              <w:spacing w:before="120"/>
              <w:jc w:val="both"/>
              <w:rPr>
                <w:sz w:val="22"/>
                <w:szCs w:val="22"/>
              </w:rPr>
            </w:pPr>
            <w:r w:rsidRPr="00317ABF">
              <w:rPr>
                <w:b/>
                <w:bCs/>
                <w:sz w:val="22"/>
                <w:szCs w:val="22"/>
              </w:rPr>
              <w:t>Obowiązki związane z rozdzielnością księgową</w:t>
            </w:r>
          </w:p>
        </w:tc>
        <w:tc>
          <w:tcPr>
            <w:tcW w:w="986" w:type="dxa"/>
          </w:tcPr>
          <w:p w14:paraId="7F7F498B" w14:textId="77777777" w:rsidR="001E1112" w:rsidRPr="00317ABF" w:rsidRDefault="001E1112" w:rsidP="00DB3BEC">
            <w:pPr>
              <w:jc w:val="both"/>
              <w:rPr>
                <w:sz w:val="22"/>
                <w:szCs w:val="22"/>
              </w:rPr>
            </w:pPr>
          </w:p>
        </w:tc>
        <w:tc>
          <w:tcPr>
            <w:tcW w:w="910" w:type="dxa"/>
          </w:tcPr>
          <w:p w14:paraId="60AEEDF2" w14:textId="77777777" w:rsidR="001E1112" w:rsidRPr="00317ABF" w:rsidRDefault="001E1112" w:rsidP="00DB3BEC">
            <w:pPr>
              <w:pStyle w:val="Tekstpodstawowy"/>
              <w:rPr>
                <w:b/>
                <w:noProof/>
                <w:sz w:val="22"/>
                <w:szCs w:val="22"/>
              </w:rPr>
            </w:pPr>
          </w:p>
        </w:tc>
        <w:tc>
          <w:tcPr>
            <w:tcW w:w="6814" w:type="dxa"/>
            <w:gridSpan w:val="2"/>
          </w:tcPr>
          <w:p w14:paraId="70B20239" w14:textId="77777777" w:rsidR="001E1112" w:rsidRPr="00317ABF" w:rsidRDefault="001E1112" w:rsidP="00DB3BEC">
            <w:pPr>
              <w:pStyle w:val="Tekstpodstawowy"/>
              <w:rPr>
                <w:sz w:val="22"/>
                <w:szCs w:val="22"/>
              </w:rPr>
            </w:pPr>
          </w:p>
        </w:tc>
      </w:tr>
      <w:tr w:rsidR="001E1112" w:rsidRPr="00317ABF" w14:paraId="491C760E" w14:textId="77777777" w:rsidTr="7753F98D">
        <w:trPr>
          <w:gridAfter w:val="2"/>
          <w:wAfter w:w="175" w:type="dxa"/>
        </w:trPr>
        <w:tc>
          <w:tcPr>
            <w:tcW w:w="704" w:type="dxa"/>
          </w:tcPr>
          <w:p w14:paraId="77EA6BED" w14:textId="77777777" w:rsidR="001E1112" w:rsidRPr="00317ABF" w:rsidRDefault="001E1112" w:rsidP="00DB3BEC">
            <w:pPr>
              <w:jc w:val="both"/>
              <w:rPr>
                <w:sz w:val="22"/>
                <w:szCs w:val="22"/>
              </w:rPr>
            </w:pPr>
            <w:r w:rsidRPr="00317ABF">
              <w:rPr>
                <w:sz w:val="22"/>
                <w:szCs w:val="22"/>
              </w:rPr>
              <w:t>Art. 71 ust. 1</w:t>
            </w:r>
          </w:p>
        </w:tc>
        <w:tc>
          <w:tcPr>
            <w:tcW w:w="4308" w:type="dxa"/>
          </w:tcPr>
          <w:p w14:paraId="05AC51B1" w14:textId="77777777" w:rsidR="001E1112" w:rsidRPr="00317ABF" w:rsidRDefault="001E1112" w:rsidP="00DB3BEC">
            <w:pPr>
              <w:spacing w:before="120"/>
              <w:jc w:val="both"/>
              <w:rPr>
                <w:sz w:val="22"/>
                <w:szCs w:val="22"/>
              </w:rPr>
            </w:pPr>
            <w:r w:rsidRPr="00317ABF">
              <w:rPr>
                <w:sz w:val="22"/>
                <w:szCs w:val="22"/>
              </w:rPr>
              <w:t xml:space="preserve">1.   Krajowy organ regulacyjny może, zgodnie z art. 68, nałożyć w odniesieniu do niektórych rodzajów działalności związanej z wzajemnymi </w:t>
            </w:r>
            <w:r w:rsidRPr="00317ABF">
              <w:rPr>
                <w:sz w:val="22"/>
                <w:szCs w:val="22"/>
              </w:rPr>
              <w:lastRenderedPageBreak/>
              <w:t>połączeniami lub dostępem obowiązek rozdzielności księgowej.</w:t>
            </w:r>
          </w:p>
          <w:p w14:paraId="6B3265B6" w14:textId="77777777" w:rsidR="001E1112" w:rsidRPr="00317ABF" w:rsidRDefault="001E1112" w:rsidP="00DB3BEC">
            <w:pPr>
              <w:spacing w:before="120"/>
              <w:jc w:val="both"/>
              <w:rPr>
                <w:sz w:val="22"/>
                <w:szCs w:val="22"/>
              </w:rPr>
            </w:pPr>
            <w:r w:rsidRPr="00317ABF">
              <w:rPr>
                <w:sz w:val="22"/>
                <w:szCs w:val="22"/>
              </w:rPr>
              <w:t>W szczególności krajowy organ regulacyjny może zobowiązać przedsiębiorstwo zintegrowane wertykalnie do ujawnienia hurtowych cen swoich usług oraz swoich wewnętrznych cen transferowych między innymi po to, aby zapewnić wykonanie obowiązku niedyskryminacji przewidzianego w art. 70 lub, w razie potrzeby, aby zapobiec nieuczciwemu subsydiowaniu skrośnemu. Krajowe organy regulacyjne mogą określić format oraz metodologię księgową, jakie mają być stosowane.</w:t>
            </w:r>
          </w:p>
        </w:tc>
        <w:tc>
          <w:tcPr>
            <w:tcW w:w="986" w:type="dxa"/>
          </w:tcPr>
          <w:p w14:paraId="7669CDDC" w14:textId="77777777" w:rsidR="001E1112" w:rsidRPr="00317ABF" w:rsidRDefault="001E1112" w:rsidP="00DB3BEC">
            <w:pPr>
              <w:jc w:val="both"/>
              <w:rPr>
                <w:sz w:val="22"/>
                <w:szCs w:val="22"/>
              </w:rPr>
            </w:pPr>
          </w:p>
        </w:tc>
        <w:tc>
          <w:tcPr>
            <w:tcW w:w="910" w:type="dxa"/>
          </w:tcPr>
          <w:p w14:paraId="68840E6D" w14:textId="10EF7C02" w:rsidR="001E1112" w:rsidRPr="00317ABF" w:rsidRDefault="001E1112" w:rsidP="00DB3BEC">
            <w:pPr>
              <w:pStyle w:val="Tekstpodstawowy"/>
              <w:rPr>
                <w:b/>
                <w:sz w:val="22"/>
                <w:szCs w:val="22"/>
              </w:rPr>
            </w:pPr>
            <w:r w:rsidRPr="00317ABF">
              <w:rPr>
                <w:b/>
                <w:sz w:val="22"/>
                <w:szCs w:val="22"/>
              </w:rPr>
              <w:t xml:space="preserve">Art.2 </w:t>
            </w:r>
            <w:r w:rsidR="00DB3BEC" w:rsidRPr="00317ABF">
              <w:rPr>
                <w:b/>
                <w:sz w:val="22"/>
                <w:szCs w:val="22"/>
              </w:rPr>
              <w:t xml:space="preserve">pkt </w:t>
            </w:r>
            <w:r w:rsidRPr="00317ABF">
              <w:rPr>
                <w:b/>
                <w:sz w:val="22"/>
                <w:szCs w:val="22"/>
              </w:rPr>
              <w:t xml:space="preserve"> 1</w:t>
            </w:r>
            <w:r w:rsidR="009C77E3" w:rsidRPr="00317ABF">
              <w:rPr>
                <w:b/>
                <w:sz w:val="22"/>
                <w:szCs w:val="22"/>
              </w:rPr>
              <w:t>3</w:t>
            </w:r>
            <w:r w:rsidRPr="00317ABF">
              <w:rPr>
                <w:b/>
                <w:sz w:val="22"/>
                <w:szCs w:val="22"/>
              </w:rPr>
              <w:t xml:space="preserve"> i </w:t>
            </w:r>
            <w:r w:rsidR="00DB3BEC" w:rsidRPr="00317ABF">
              <w:rPr>
                <w:b/>
                <w:sz w:val="22"/>
                <w:szCs w:val="22"/>
              </w:rPr>
              <w:t xml:space="preserve">pkt </w:t>
            </w:r>
            <w:r w:rsidRPr="00317ABF">
              <w:rPr>
                <w:b/>
                <w:sz w:val="22"/>
                <w:szCs w:val="22"/>
              </w:rPr>
              <w:t xml:space="preserve"> 51,</w:t>
            </w:r>
          </w:p>
          <w:p w14:paraId="6D17D42F" w14:textId="1455025A" w:rsidR="001E1112" w:rsidRPr="00317ABF" w:rsidRDefault="001E1112" w:rsidP="00DB3BEC">
            <w:pPr>
              <w:pStyle w:val="Tekstpodstawowy"/>
              <w:rPr>
                <w:b/>
                <w:sz w:val="22"/>
                <w:szCs w:val="22"/>
              </w:rPr>
            </w:pPr>
            <w:r w:rsidRPr="00317ABF">
              <w:rPr>
                <w:b/>
                <w:sz w:val="22"/>
                <w:szCs w:val="22"/>
              </w:rPr>
              <w:t xml:space="preserve">Art. </w:t>
            </w:r>
            <w:r w:rsidR="008A6DEF" w:rsidRPr="00317ABF">
              <w:rPr>
                <w:b/>
                <w:sz w:val="22"/>
                <w:szCs w:val="22"/>
              </w:rPr>
              <w:t>215</w:t>
            </w:r>
          </w:p>
          <w:p w14:paraId="3932874A" w14:textId="59352300" w:rsidR="001E1112" w:rsidRPr="00317ABF" w:rsidRDefault="001E1112" w:rsidP="00DB3BEC">
            <w:pPr>
              <w:pStyle w:val="Tekstpodstawowy"/>
              <w:rPr>
                <w:b/>
                <w:sz w:val="22"/>
                <w:szCs w:val="22"/>
                <w:lang w:val="en-US"/>
              </w:rPr>
            </w:pPr>
            <w:r w:rsidRPr="00317ABF">
              <w:rPr>
                <w:b/>
                <w:sz w:val="22"/>
                <w:szCs w:val="22"/>
                <w:lang w:val="en-US"/>
              </w:rPr>
              <w:t xml:space="preserve">Art. </w:t>
            </w:r>
            <w:r w:rsidR="008A6DEF" w:rsidRPr="00317ABF">
              <w:rPr>
                <w:b/>
                <w:sz w:val="22"/>
                <w:szCs w:val="22"/>
                <w:lang w:val="en-US"/>
              </w:rPr>
              <w:t>253</w:t>
            </w:r>
          </w:p>
          <w:p w14:paraId="5DAABDFA" w14:textId="621314DE" w:rsidR="001E1112" w:rsidRPr="00317ABF" w:rsidRDefault="001E1112" w:rsidP="00DB3BEC">
            <w:pPr>
              <w:pStyle w:val="Tekstpodstawowy"/>
              <w:rPr>
                <w:b/>
                <w:sz w:val="22"/>
                <w:szCs w:val="22"/>
                <w:lang w:val="en-US"/>
              </w:rPr>
            </w:pPr>
            <w:r w:rsidRPr="00317ABF">
              <w:rPr>
                <w:b/>
                <w:sz w:val="22"/>
                <w:szCs w:val="22"/>
                <w:lang w:val="en-US"/>
              </w:rPr>
              <w:lastRenderedPageBreak/>
              <w:t xml:space="preserve">Art. </w:t>
            </w:r>
            <w:r w:rsidR="008A6DEF" w:rsidRPr="00317ABF">
              <w:rPr>
                <w:b/>
                <w:sz w:val="22"/>
                <w:szCs w:val="22"/>
                <w:lang w:val="en-US"/>
              </w:rPr>
              <w:t>254</w:t>
            </w:r>
            <w:r w:rsidRPr="00317ABF">
              <w:rPr>
                <w:b/>
                <w:sz w:val="22"/>
                <w:szCs w:val="22"/>
                <w:lang w:val="en-US"/>
              </w:rPr>
              <w:t xml:space="preserve"> ust. 1</w:t>
            </w:r>
          </w:p>
          <w:p w14:paraId="569E1C2D" w14:textId="097E4181" w:rsidR="001E1112" w:rsidRPr="00317ABF" w:rsidRDefault="001E1112" w:rsidP="00DB3BEC">
            <w:pPr>
              <w:pStyle w:val="Tekstpodstawowy"/>
              <w:rPr>
                <w:b/>
                <w:sz w:val="22"/>
                <w:szCs w:val="22"/>
                <w:lang w:val="en-US"/>
              </w:rPr>
            </w:pPr>
            <w:r w:rsidRPr="00317ABF">
              <w:rPr>
                <w:b/>
                <w:sz w:val="22"/>
                <w:szCs w:val="22"/>
                <w:lang w:val="en-US"/>
              </w:rPr>
              <w:t>Art. 2</w:t>
            </w:r>
            <w:r w:rsidR="008A6DEF" w:rsidRPr="00317ABF">
              <w:rPr>
                <w:b/>
                <w:sz w:val="22"/>
                <w:szCs w:val="22"/>
                <w:lang w:val="en-US"/>
              </w:rPr>
              <w:t>55</w:t>
            </w:r>
          </w:p>
        </w:tc>
        <w:tc>
          <w:tcPr>
            <w:tcW w:w="6814" w:type="dxa"/>
            <w:gridSpan w:val="2"/>
          </w:tcPr>
          <w:p w14:paraId="52B74D48" w14:textId="59A2EDAB" w:rsidR="001E1112" w:rsidRPr="00317ABF" w:rsidRDefault="001E1112" w:rsidP="00DB3BEC">
            <w:pPr>
              <w:jc w:val="both"/>
              <w:rPr>
                <w:rFonts w:eastAsiaTheme="minorEastAsia"/>
                <w:sz w:val="22"/>
                <w:szCs w:val="22"/>
              </w:rPr>
            </w:pPr>
            <w:r w:rsidRPr="00317ABF">
              <w:rPr>
                <w:rFonts w:eastAsiaTheme="minorEastAsia"/>
                <w:sz w:val="22"/>
                <w:szCs w:val="22"/>
              </w:rPr>
              <w:lastRenderedPageBreak/>
              <w:t>Art. 2</w:t>
            </w:r>
          </w:p>
          <w:p w14:paraId="0C68FE58" w14:textId="0D77DFBF" w:rsidR="009C77E3" w:rsidRPr="00317ABF" w:rsidRDefault="009C77E3" w:rsidP="00DB3BEC">
            <w:pPr>
              <w:jc w:val="both"/>
              <w:rPr>
                <w:sz w:val="22"/>
                <w:szCs w:val="22"/>
              </w:rPr>
            </w:pPr>
            <w:r w:rsidRPr="00317ABF">
              <w:rPr>
                <w:sz w:val="22"/>
                <w:szCs w:val="22"/>
              </w:rPr>
              <w:t xml:space="preserve">13) instrukcja – opracowaną przez przedsiębiorcę komunikacji elektronicznej szczegółową instrukcję w zakresie prowadzonej przez niego rachunkowości regulacyjnej, zawierającą opis przyjętych w jego przedsiębiorstwie sposobów wyodrębnienia aktywów i pasywów, </w:t>
            </w:r>
            <w:r w:rsidRPr="00317ABF">
              <w:rPr>
                <w:sz w:val="22"/>
                <w:szCs w:val="22"/>
              </w:rPr>
              <w:lastRenderedPageBreak/>
              <w:t>przychodów i kosztów na działalności w zakresie dostępu telekomunikacyjnego lub usług na rynku detalicznym;</w:t>
            </w:r>
          </w:p>
          <w:p w14:paraId="6D3F5333" w14:textId="3E7BC164" w:rsidR="001E1112" w:rsidRPr="00317ABF" w:rsidRDefault="001E1112" w:rsidP="00DB3BEC">
            <w:pPr>
              <w:jc w:val="both"/>
              <w:rPr>
                <w:sz w:val="22"/>
                <w:szCs w:val="22"/>
              </w:rPr>
            </w:pPr>
            <w:r w:rsidRPr="00317ABF">
              <w:rPr>
                <w:sz w:val="22"/>
                <w:szCs w:val="22"/>
              </w:rPr>
              <w:t xml:space="preserve">51) rachunkowość regulacyjna – </w:t>
            </w:r>
            <w:r w:rsidR="008A6DEF" w:rsidRPr="00317ABF">
              <w:t xml:space="preserve"> </w:t>
            </w:r>
            <w:r w:rsidRPr="00317ABF">
              <w:rPr>
                <w:sz w:val="22"/>
                <w:szCs w:val="22"/>
              </w:rPr>
              <w:t xml:space="preserve">szczególny, w stosunku do rachunkowości prowadzonej na podstawie przepisów ustawy z dnia 29 września 1994 r. o rachunkowości (Dz. U. z 2019 r. poz. 351, 1495, 1571, 1655 i 1680 oraz z 2020 r. poz. 568), rodzaj rachunkowości prowadzonej przez przedsiębiorcę komunikacji elektronicznej w odniesieniu do jego działalności w zakresie świadczenia dostępu </w:t>
            </w:r>
            <w:r w:rsidR="008A6DEF" w:rsidRPr="00317ABF">
              <w:rPr>
                <w:sz w:val="22"/>
                <w:szCs w:val="22"/>
              </w:rPr>
              <w:t xml:space="preserve">telekomunikacyjnego </w:t>
            </w:r>
            <w:r w:rsidRPr="00317ABF">
              <w:rPr>
                <w:sz w:val="22"/>
                <w:szCs w:val="22"/>
              </w:rPr>
              <w:t xml:space="preserve">lub usług na rynku detalicznym, zgodnie z zatwierdzoną na dany rok obrotowy przez Prezesa </w:t>
            </w:r>
            <w:r w:rsidR="008A6DEF" w:rsidRPr="00317ABF">
              <w:rPr>
                <w:sz w:val="22"/>
                <w:szCs w:val="22"/>
              </w:rPr>
              <w:t>Urzędu Komunikacji Elektronicznej</w:t>
            </w:r>
            <w:r w:rsidRPr="00317ABF">
              <w:rPr>
                <w:sz w:val="22"/>
                <w:szCs w:val="22"/>
              </w:rPr>
              <w:t xml:space="preserve"> instrukcją;</w:t>
            </w:r>
          </w:p>
          <w:p w14:paraId="232A44D7" w14:textId="77777777" w:rsidR="001E1112" w:rsidRPr="00317ABF" w:rsidRDefault="001E1112" w:rsidP="00DB3BEC">
            <w:pPr>
              <w:jc w:val="both"/>
              <w:rPr>
                <w:rFonts w:eastAsiaTheme="minorEastAsia"/>
                <w:b/>
                <w:sz w:val="22"/>
                <w:szCs w:val="22"/>
              </w:rPr>
            </w:pPr>
          </w:p>
          <w:p w14:paraId="5E65CDA7" w14:textId="6CE73923" w:rsidR="008A6DEF" w:rsidRPr="00317ABF" w:rsidRDefault="001E1112" w:rsidP="008A6DEF">
            <w:pPr>
              <w:pStyle w:val="ARTartustawynprozporzdzenia"/>
              <w:spacing w:before="0" w:line="240" w:lineRule="auto"/>
              <w:rPr>
                <w:rFonts w:eastAsiaTheme="minorEastAsia"/>
                <w:sz w:val="22"/>
                <w:szCs w:val="22"/>
              </w:rPr>
            </w:pPr>
            <w:r w:rsidRPr="00317ABF">
              <w:rPr>
                <w:rFonts w:eastAsiaTheme="minorEastAsia"/>
                <w:sz w:val="22"/>
                <w:szCs w:val="22"/>
              </w:rPr>
              <w:t>Art.</w:t>
            </w:r>
            <w:r w:rsidR="009F4009" w:rsidRPr="00317ABF">
              <w:rPr>
                <w:rFonts w:eastAsiaTheme="minorEastAsia"/>
                <w:sz w:val="22"/>
                <w:szCs w:val="22"/>
              </w:rPr>
              <w:t xml:space="preserve"> </w:t>
            </w:r>
            <w:r w:rsidR="008A6DEF" w:rsidRPr="00317ABF">
              <w:rPr>
                <w:rFonts w:eastAsiaTheme="minorEastAsia"/>
                <w:sz w:val="22"/>
                <w:szCs w:val="22"/>
              </w:rPr>
              <w:t>215</w:t>
            </w:r>
            <w:r w:rsidRPr="00317ABF">
              <w:rPr>
                <w:rFonts w:eastAsiaTheme="minorEastAsia"/>
                <w:sz w:val="22"/>
                <w:szCs w:val="22"/>
              </w:rPr>
              <w:t xml:space="preserve">. 1. </w:t>
            </w:r>
            <w:r w:rsidR="008A6DEF" w:rsidRPr="00317ABF">
              <w:rPr>
                <w:rFonts w:ascii="Times New Roman" w:hAnsi="Times New Roman" w:cs="Times New Roman"/>
                <w:sz w:val="22"/>
                <w:szCs w:val="22"/>
              </w:rPr>
              <w:t xml:space="preserve"> Prezes UKE może, zgodnie z przesłankami, o których mowa w art. 202 pkt 2 lit. a, w drodze decyzji, nałożyć na przedsiębiorcę komunikacji elektronicznej o znaczącej pozycji rynkowej obowiązek prowadzenia rachunkowości regulacyjnej w sposób umożliwiający identyfikację przepływów transferów wewnętrznych związanych z działalnością w zakresie dostępu telekomunikacyjnego, zgodnie z przepisami art. 253-258.</w:t>
            </w:r>
          </w:p>
          <w:p w14:paraId="028F5CF5" w14:textId="77777777" w:rsidR="008A6DEF" w:rsidRPr="00317ABF" w:rsidRDefault="008A6DEF" w:rsidP="008A6DEF">
            <w:pPr>
              <w:pStyle w:val="USTustnpkodeksu"/>
              <w:spacing w:line="240" w:lineRule="auto"/>
              <w:rPr>
                <w:rFonts w:ascii="Times New Roman" w:hAnsi="Times New Roman" w:cs="Times New Roman"/>
                <w:szCs w:val="24"/>
              </w:rPr>
            </w:pPr>
            <w:r w:rsidRPr="00317ABF">
              <w:rPr>
                <w:rFonts w:ascii="Times New Roman" w:hAnsi="Times New Roman" w:cs="Times New Roman"/>
                <w:sz w:val="22"/>
                <w:szCs w:val="22"/>
              </w:rPr>
              <w:t>2. Przedsiębiorca komunikacji elektronicznej prowadzi rachunkowość regulacyjną zgodnie z zatwierdzoną przez Prezesa UKE instrukcją</w:t>
            </w:r>
            <w:r w:rsidRPr="00317ABF">
              <w:rPr>
                <w:rFonts w:ascii="Times New Roman" w:hAnsi="Times New Roman" w:cs="Times New Roman"/>
                <w:szCs w:val="24"/>
              </w:rPr>
              <w:t>.</w:t>
            </w:r>
          </w:p>
          <w:p w14:paraId="2CDB31DA" w14:textId="77777777" w:rsidR="001E1112" w:rsidRPr="00317ABF" w:rsidRDefault="001E1112" w:rsidP="00DB3BEC">
            <w:pPr>
              <w:suppressAutoHyphens/>
              <w:autoSpaceDE w:val="0"/>
              <w:autoSpaceDN w:val="0"/>
              <w:adjustRightInd w:val="0"/>
              <w:ind w:firstLine="510"/>
              <w:jc w:val="both"/>
              <w:rPr>
                <w:rFonts w:eastAsiaTheme="minorEastAsia"/>
                <w:bCs/>
                <w:sz w:val="22"/>
                <w:szCs w:val="22"/>
              </w:rPr>
            </w:pPr>
          </w:p>
          <w:p w14:paraId="3EA7E465" w14:textId="597B359D" w:rsidR="001E1112" w:rsidRPr="00317ABF" w:rsidRDefault="001E1112" w:rsidP="008A6DEF">
            <w:pPr>
              <w:pStyle w:val="ARTartustawynprozporzdzenia"/>
              <w:spacing w:before="0" w:line="240" w:lineRule="auto"/>
              <w:rPr>
                <w:rFonts w:ascii="Times New Roman" w:hAnsi="Times New Roman" w:cs="Times New Roman"/>
                <w:sz w:val="22"/>
                <w:szCs w:val="22"/>
              </w:rPr>
            </w:pPr>
            <w:r w:rsidRPr="00317ABF">
              <w:rPr>
                <w:rFonts w:ascii="Times New Roman" w:hAnsi="Times New Roman" w:cs="Times New Roman"/>
                <w:sz w:val="22"/>
                <w:szCs w:val="22"/>
              </w:rPr>
              <w:t xml:space="preserve">Art. </w:t>
            </w:r>
            <w:r w:rsidR="008A6DEF" w:rsidRPr="00317ABF">
              <w:rPr>
                <w:rFonts w:ascii="Times New Roman" w:hAnsi="Times New Roman" w:cs="Times New Roman"/>
                <w:sz w:val="22"/>
                <w:szCs w:val="22"/>
              </w:rPr>
              <w:t>253.</w:t>
            </w:r>
            <w:r w:rsidRPr="00317ABF">
              <w:rPr>
                <w:rFonts w:ascii="Times New Roman" w:hAnsi="Times New Roman" w:cs="Times New Roman"/>
                <w:sz w:val="22"/>
                <w:szCs w:val="22"/>
              </w:rPr>
              <w:t xml:space="preserve">1. Celem rachunkowości regulacyjnej jest wyodrębnienie i przypisanie aktywów, pasywów, przychodów i kosztów przedsiębiorcy komunikacji elektronicznej do działalności w zakresie dostępu </w:t>
            </w:r>
            <w:r w:rsidR="008A6DEF" w:rsidRPr="00317ABF">
              <w:rPr>
                <w:rFonts w:ascii="Times New Roman" w:hAnsi="Times New Roman" w:cs="Times New Roman"/>
                <w:sz w:val="22"/>
                <w:szCs w:val="22"/>
              </w:rPr>
              <w:t xml:space="preserve">telekomunikacyjnego </w:t>
            </w:r>
            <w:r w:rsidRPr="00317ABF">
              <w:rPr>
                <w:rFonts w:ascii="Times New Roman" w:hAnsi="Times New Roman" w:cs="Times New Roman"/>
                <w:sz w:val="22"/>
                <w:szCs w:val="22"/>
              </w:rPr>
              <w:t>lub działalności w zakresie usług na rynku detalicznym, tak jakby każdy rodzaj działalności był świadczony przez innego przedsiębiorcę komunikacji elektronicznej, a także ustalenie przychodów i związanych z nimi kosztów odrębnie dla każdej z usług objętych kalkulacją kosztów.</w:t>
            </w:r>
          </w:p>
          <w:p w14:paraId="0F73EF2F" w14:textId="70721F00" w:rsidR="001E1112" w:rsidRPr="00317ABF" w:rsidRDefault="001E1112" w:rsidP="00DB3BEC">
            <w:pPr>
              <w:ind w:firstLine="510"/>
              <w:jc w:val="both"/>
              <w:rPr>
                <w:sz w:val="22"/>
                <w:szCs w:val="22"/>
              </w:rPr>
            </w:pPr>
            <w:r w:rsidRPr="00317ABF">
              <w:rPr>
                <w:sz w:val="22"/>
                <w:szCs w:val="22"/>
              </w:rPr>
              <w:t>2. Rachunkowość regulacyjną prowadzi się w sposób umożliwiający identyfikację przepływów transferów wewnętrznych pomiędzy poszczególnymi rodzajami działalności, o których mowa w ust. 1.</w:t>
            </w:r>
          </w:p>
          <w:p w14:paraId="5EC9E53C" w14:textId="77777777" w:rsidR="001E1112" w:rsidRPr="00317ABF" w:rsidRDefault="001E1112" w:rsidP="00DB3BEC">
            <w:pPr>
              <w:ind w:firstLine="510"/>
              <w:jc w:val="both"/>
              <w:rPr>
                <w:sz w:val="22"/>
                <w:szCs w:val="22"/>
              </w:rPr>
            </w:pPr>
          </w:p>
          <w:p w14:paraId="131734EC" w14:textId="7B63852E" w:rsidR="001E1112" w:rsidRPr="00317ABF" w:rsidRDefault="001E1112" w:rsidP="00DB3BEC">
            <w:pPr>
              <w:ind w:firstLine="510"/>
              <w:jc w:val="both"/>
              <w:rPr>
                <w:sz w:val="22"/>
                <w:szCs w:val="22"/>
              </w:rPr>
            </w:pPr>
            <w:r w:rsidRPr="00317ABF">
              <w:rPr>
                <w:sz w:val="22"/>
                <w:szCs w:val="22"/>
              </w:rPr>
              <w:t xml:space="preserve">Art. </w:t>
            </w:r>
            <w:r w:rsidR="008A6DEF" w:rsidRPr="00317ABF">
              <w:rPr>
                <w:sz w:val="22"/>
                <w:szCs w:val="22"/>
              </w:rPr>
              <w:t>254</w:t>
            </w:r>
            <w:r w:rsidRPr="00317ABF">
              <w:rPr>
                <w:sz w:val="22"/>
                <w:szCs w:val="22"/>
              </w:rPr>
              <w:t xml:space="preserve"> ust. 1</w:t>
            </w:r>
          </w:p>
          <w:p w14:paraId="0AF928F8" w14:textId="5438CB1C" w:rsidR="001E1112" w:rsidRPr="00317ABF" w:rsidRDefault="001E1112" w:rsidP="00DB3BEC">
            <w:pPr>
              <w:ind w:firstLine="510"/>
              <w:jc w:val="both"/>
              <w:rPr>
                <w:sz w:val="22"/>
                <w:szCs w:val="22"/>
              </w:rPr>
            </w:pPr>
            <w:r w:rsidRPr="00317ABF">
              <w:rPr>
                <w:sz w:val="22"/>
                <w:szCs w:val="22"/>
              </w:rPr>
              <w:t xml:space="preserve">1. Rachunkowość regulacyjną prowadzi przedsiębiorca komunikacji elektronicznej, na którego nałożono ten obowiązek na podstawie art. </w:t>
            </w:r>
            <w:r w:rsidR="008A6DEF" w:rsidRPr="00317ABF">
              <w:rPr>
                <w:sz w:val="22"/>
                <w:szCs w:val="22"/>
              </w:rPr>
              <w:t>215</w:t>
            </w:r>
            <w:r w:rsidRPr="00317ABF">
              <w:rPr>
                <w:sz w:val="22"/>
                <w:szCs w:val="22"/>
              </w:rPr>
              <w:t xml:space="preserve"> lub art. 2</w:t>
            </w:r>
            <w:r w:rsidR="008A6DEF" w:rsidRPr="00317ABF">
              <w:rPr>
                <w:sz w:val="22"/>
                <w:szCs w:val="22"/>
              </w:rPr>
              <w:t>31</w:t>
            </w:r>
            <w:r w:rsidRPr="00317ABF">
              <w:rPr>
                <w:sz w:val="22"/>
                <w:szCs w:val="22"/>
              </w:rPr>
              <w:t xml:space="preserve"> ust. 3 pkt 3 lit. a.</w:t>
            </w:r>
          </w:p>
          <w:p w14:paraId="0A3F5830" w14:textId="77777777" w:rsidR="001E1112" w:rsidRPr="00317ABF" w:rsidRDefault="001E1112" w:rsidP="00DB3BEC">
            <w:pPr>
              <w:ind w:firstLine="510"/>
              <w:jc w:val="both"/>
              <w:rPr>
                <w:sz w:val="22"/>
                <w:szCs w:val="22"/>
              </w:rPr>
            </w:pPr>
          </w:p>
          <w:p w14:paraId="0965CC08" w14:textId="77777777" w:rsidR="009F4009" w:rsidRPr="00317ABF" w:rsidRDefault="001E1112" w:rsidP="009F4009">
            <w:pPr>
              <w:pStyle w:val="ARTartustawynprozporzdzenia"/>
              <w:keepNext/>
              <w:spacing w:before="0" w:line="240" w:lineRule="auto"/>
              <w:rPr>
                <w:rFonts w:ascii="Times New Roman" w:hAnsi="Times New Roman" w:cs="Times New Roman"/>
                <w:sz w:val="22"/>
                <w:szCs w:val="22"/>
              </w:rPr>
            </w:pPr>
            <w:r w:rsidRPr="00317ABF">
              <w:rPr>
                <w:rStyle w:val="Ppogrubienie"/>
                <w:rFonts w:ascii="Times New Roman" w:hAnsi="Times New Roman"/>
                <w:b w:val="0"/>
                <w:sz w:val="22"/>
                <w:szCs w:val="22"/>
              </w:rPr>
              <w:t xml:space="preserve">Art. </w:t>
            </w:r>
            <w:r w:rsidR="008A6DEF" w:rsidRPr="00317ABF">
              <w:rPr>
                <w:rStyle w:val="Ppogrubienie"/>
                <w:rFonts w:ascii="Times New Roman" w:hAnsi="Times New Roman"/>
                <w:b w:val="0"/>
                <w:sz w:val="22"/>
                <w:szCs w:val="22"/>
              </w:rPr>
              <w:t>255</w:t>
            </w:r>
            <w:r w:rsidRPr="00317ABF">
              <w:rPr>
                <w:rStyle w:val="Ppogrubienie"/>
                <w:rFonts w:ascii="Times New Roman" w:hAnsi="Times New Roman"/>
                <w:b w:val="0"/>
                <w:sz w:val="22"/>
                <w:szCs w:val="22"/>
              </w:rPr>
              <w:t>.</w:t>
            </w:r>
            <w:r w:rsidRPr="00317ABF">
              <w:rPr>
                <w:rFonts w:ascii="Times New Roman" w:hAnsi="Times New Roman" w:cs="Times New Roman"/>
                <w:sz w:val="22"/>
                <w:szCs w:val="22"/>
              </w:rPr>
              <w:t xml:space="preserve"> </w:t>
            </w:r>
          </w:p>
          <w:p w14:paraId="2FDE01C1" w14:textId="5A3DA167" w:rsidR="001E1112" w:rsidRPr="00317ABF" w:rsidRDefault="001E1112" w:rsidP="00DB3BEC">
            <w:pPr>
              <w:pStyle w:val="ARTartustawynprozporzdzenia"/>
              <w:keepNext/>
              <w:spacing w:before="0" w:line="240" w:lineRule="auto"/>
              <w:rPr>
                <w:rFonts w:ascii="Times New Roman" w:hAnsi="Times New Roman" w:cs="Times New Roman"/>
                <w:sz w:val="22"/>
                <w:szCs w:val="22"/>
              </w:rPr>
            </w:pPr>
            <w:r w:rsidRPr="00317ABF">
              <w:rPr>
                <w:sz w:val="22"/>
                <w:szCs w:val="22"/>
              </w:rPr>
              <w:lastRenderedPageBreak/>
              <w:t xml:space="preserve"> </w:t>
            </w:r>
            <w:r w:rsidRPr="00317ABF">
              <w:rPr>
                <w:rFonts w:ascii="Times New Roman" w:hAnsi="Times New Roman" w:cs="Times New Roman"/>
                <w:sz w:val="22"/>
                <w:szCs w:val="22"/>
              </w:rPr>
              <w:t>Minister właściwy do spraw informatyzacji w porozumieniu z ministrem właściwym do spraw finansów publicznych określi, w drodze rozporządzenia:</w:t>
            </w:r>
          </w:p>
          <w:p w14:paraId="72F60667" w14:textId="77777777" w:rsidR="001E1112" w:rsidRPr="00317ABF" w:rsidRDefault="001E1112" w:rsidP="00DB3BEC">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1)</w:t>
            </w:r>
            <w:r w:rsidRPr="00317ABF">
              <w:rPr>
                <w:rFonts w:ascii="Times New Roman" w:hAnsi="Times New Roman" w:cs="Times New Roman"/>
                <w:sz w:val="22"/>
                <w:szCs w:val="22"/>
              </w:rPr>
              <w:tab/>
              <w:t>sposoby przypisania aktywów i pasywów, przychodów i kosztów do działalności lub usług, o których mowa w art. 228 ust. 1,</w:t>
            </w:r>
          </w:p>
          <w:p w14:paraId="018FDB59" w14:textId="77777777" w:rsidR="009F4009" w:rsidRPr="00317ABF" w:rsidRDefault="009F4009" w:rsidP="009F4009">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2)</w:t>
            </w:r>
            <w:r w:rsidRPr="00317ABF">
              <w:rPr>
                <w:rFonts w:ascii="Times New Roman" w:hAnsi="Times New Roman" w:cs="Times New Roman"/>
                <w:sz w:val="22"/>
                <w:szCs w:val="22"/>
              </w:rPr>
              <w:tab/>
              <w:t>sposób i terminy dokonywania aktualizacji wyceny określonych rodzajów środków trwałych, wartości niematerialnych i prawnych oraz dokonanych od tych środków i wartości odpisów amortyzacyjnych,</w:t>
            </w:r>
          </w:p>
          <w:p w14:paraId="06DE9178" w14:textId="77777777" w:rsidR="009F4009" w:rsidRPr="00317ABF" w:rsidRDefault="009F4009" w:rsidP="009F4009">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3)</w:t>
            </w:r>
            <w:r w:rsidRPr="00317ABF">
              <w:rPr>
                <w:rFonts w:ascii="Times New Roman" w:hAnsi="Times New Roman" w:cs="Times New Roman"/>
                <w:sz w:val="22"/>
                <w:szCs w:val="22"/>
              </w:rPr>
              <w:tab/>
              <w:t>sposoby kalkulacji kosztów usług w zakresie dostępu telekomunikacyjnego lub usług na rynku detalicznym,</w:t>
            </w:r>
          </w:p>
          <w:p w14:paraId="237F5B8C" w14:textId="77777777" w:rsidR="009F4009" w:rsidRPr="00317ABF" w:rsidRDefault="009F4009" w:rsidP="009F4009">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4)</w:t>
            </w:r>
            <w:r w:rsidRPr="00317ABF">
              <w:rPr>
                <w:rFonts w:ascii="Times New Roman" w:hAnsi="Times New Roman" w:cs="Times New Roman"/>
                <w:sz w:val="22"/>
                <w:szCs w:val="22"/>
              </w:rPr>
              <w:tab/>
              <w:t>tryb i terminy uzgadniania i zatwierdzania przez Prezesa UKE opracowanego przez przedsiębiorcę komunikacji elektronicznej projektu instrukcji oraz projektu opisu kalkulacji kosztów,</w:t>
            </w:r>
          </w:p>
          <w:p w14:paraId="67E7DC9E" w14:textId="77777777" w:rsidR="009F4009" w:rsidRPr="00317ABF" w:rsidRDefault="009F4009" w:rsidP="009F4009">
            <w:pPr>
              <w:pStyle w:val="PKTpunkt0"/>
              <w:keepNext/>
              <w:spacing w:line="240" w:lineRule="auto"/>
              <w:rPr>
                <w:rFonts w:ascii="Times New Roman" w:hAnsi="Times New Roman" w:cs="Times New Roman"/>
                <w:sz w:val="22"/>
                <w:szCs w:val="22"/>
              </w:rPr>
            </w:pPr>
            <w:r w:rsidRPr="00317ABF">
              <w:rPr>
                <w:rFonts w:ascii="Times New Roman" w:hAnsi="Times New Roman" w:cs="Times New Roman"/>
                <w:sz w:val="22"/>
                <w:szCs w:val="22"/>
              </w:rPr>
              <w:t>5)</w:t>
            </w:r>
            <w:r w:rsidRPr="00317ABF">
              <w:rPr>
                <w:rFonts w:ascii="Times New Roman" w:hAnsi="Times New Roman" w:cs="Times New Roman"/>
                <w:sz w:val="22"/>
                <w:szCs w:val="22"/>
              </w:rPr>
              <w:tab/>
              <w:t>zakres przekazywanych Prezesowi UKE:</w:t>
            </w:r>
          </w:p>
          <w:p w14:paraId="05D83DBF" w14:textId="77777777" w:rsidR="001E1112" w:rsidRPr="00317ABF" w:rsidRDefault="001E1112" w:rsidP="00DB3BEC">
            <w:pPr>
              <w:pStyle w:val="LITlitera"/>
              <w:spacing w:line="240" w:lineRule="auto"/>
              <w:rPr>
                <w:rFonts w:ascii="Times New Roman" w:hAnsi="Times New Roman" w:cs="Times New Roman"/>
                <w:sz w:val="22"/>
                <w:szCs w:val="22"/>
              </w:rPr>
            </w:pPr>
            <w:r w:rsidRPr="00317ABF">
              <w:rPr>
                <w:rFonts w:ascii="Times New Roman" w:hAnsi="Times New Roman" w:cs="Times New Roman"/>
                <w:sz w:val="22"/>
                <w:szCs w:val="22"/>
              </w:rPr>
              <w:t>a)</w:t>
            </w:r>
            <w:r w:rsidRPr="00317ABF">
              <w:rPr>
                <w:rFonts w:ascii="Times New Roman" w:hAnsi="Times New Roman" w:cs="Times New Roman"/>
                <w:sz w:val="22"/>
                <w:szCs w:val="22"/>
              </w:rPr>
              <w:tab/>
              <w:t>sprawozdań z prowadzonej rachunkowości regulacyjnej, przyjmując zasadę, że dane zawarte w sprawozdaniach są sprawdzalne w rozumieniu ustawy z dnia 29 września 1994 r. o rachunkowości,</w:t>
            </w:r>
          </w:p>
          <w:p w14:paraId="53C58E98" w14:textId="77777777" w:rsidR="001E1112" w:rsidRPr="00317ABF" w:rsidRDefault="001E1112" w:rsidP="00DB3BEC">
            <w:pPr>
              <w:pStyle w:val="LITlitera"/>
              <w:keepNext/>
              <w:spacing w:line="240" w:lineRule="auto"/>
              <w:rPr>
                <w:rFonts w:ascii="Times New Roman" w:hAnsi="Times New Roman" w:cs="Times New Roman"/>
                <w:sz w:val="22"/>
                <w:szCs w:val="22"/>
              </w:rPr>
            </w:pPr>
            <w:r w:rsidRPr="00317ABF">
              <w:rPr>
                <w:rFonts w:ascii="Times New Roman" w:hAnsi="Times New Roman" w:cs="Times New Roman"/>
                <w:sz w:val="22"/>
                <w:szCs w:val="22"/>
              </w:rPr>
              <w:t>b)</w:t>
            </w:r>
            <w:r w:rsidRPr="00317ABF">
              <w:rPr>
                <w:rFonts w:ascii="Times New Roman" w:hAnsi="Times New Roman" w:cs="Times New Roman"/>
                <w:sz w:val="22"/>
                <w:szCs w:val="22"/>
              </w:rPr>
              <w:tab/>
              <w:t>wyników kalkulacji kosztów</w:t>
            </w:r>
          </w:p>
          <w:p w14:paraId="0B10E7D2" w14:textId="5B297207" w:rsidR="001E1112" w:rsidRPr="00317ABF" w:rsidRDefault="001E1112" w:rsidP="009F4009">
            <w:pPr>
              <w:pStyle w:val="CZWSPLITczwsplnaliter"/>
              <w:spacing w:line="240" w:lineRule="auto"/>
              <w:rPr>
                <w:rFonts w:ascii="Times New Roman" w:hAnsi="Times New Roman" w:cs="Times New Roman"/>
              </w:rPr>
            </w:pPr>
            <w:r w:rsidRPr="00317ABF">
              <w:rPr>
                <w:rFonts w:ascii="Times New Roman" w:hAnsi="Times New Roman" w:cs="Times New Roman"/>
                <w:sz w:val="22"/>
                <w:szCs w:val="22"/>
              </w:rPr>
              <w:t>- mając na celu promocję efektywności, zrównoważonej konkurencji oraz zapewnienia maksymalnej korzyści dla użytkowników końcowych, w tym związanych z rozwojem sieci o bardzo dużej przepustowości, a także uwzględniając konieczność ochrony konsumentów i konkurentów przed nadużywaniem przez przedsiębiorców komunikacji elektronicznej, na których nałożono obowiązek prowadzenia rachunkowości regulacyjnej lub kalkulacji kosztów, ich pozycji rynkowej, konieczność stymulowania rozwoju rynku  komunikacji elektronicznej, promocję realizacji nowych inwestycji, w tym w sieci o bardzo dużej przepustowości oraz konieczność umożliwienia działalności kontrolnej Prezesowi UKE wobec działalności wykonywanej przez tych przedsiębiorców.</w:t>
            </w:r>
          </w:p>
        </w:tc>
      </w:tr>
      <w:tr w:rsidR="001E1112" w:rsidRPr="00317ABF" w14:paraId="1A05E0BE" w14:textId="77777777" w:rsidTr="7753F98D">
        <w:trPr>
          <w:gridAfter w:val="2"/>
          <w:wAfter w:w="175" w:type="dxa"/>
        </w:trPr>
        <w:tc>
          <w:tcPr>
            <w:tcW w:w="704" w:type="dxa"/>
          </w:tcPr>
          <w:p w14:paraId="0CC06D78" w14:textId="7C55FFB2" w:rsidR="001E1112" w:rsidRPr="00317ABF" w:rsidRDefault="001E1112" w:rsidP="00DB3BEC">
            <w:pPr>
              <w:jc w:val="both"/>
              <w:rPr>
                <w:sz w:val="22"/>
                <w:szCs w:val="22"/>
              </w:rPr>
            </w:pPr>
            <w:r w:rsidRPr="00317ABF">
              <w:rPr>
                <w:sz w:val="22"/>
                <w:szCs w:val="22"/>
              </w:rPr>
              <w:lastRenderedPageBreak/>
              <w:t>Art. 71 ust. 2</w:t>
            </w:r>
          </w:p>
        </w:tc>
        <w:tc>
          <w:tcPr>
            <w:tcW w:w="4308" w:type="dxa"/>
          </w:tcPr>
          <w:p w14:paraId="3BD8E846" w14:textId="77777777" w:rsidR="001E1112" w:rsidRPr="00317ABF" w:rsidRDefault="001E1112" w:rsidP="00DB3BEC">
            <w:pPr>
              <w:spacing w:before="120"/>
              <w:jc w:val="both"/>
              <w:rPr>
                <w:sz w:val="22"/>
                <w:szCs w:val="22"/>
              </w:rPr>
            </w:pPr>
            <w:r w:rsidRPr="00317ABF">
              <w:rPr>
                <w:sz w:val="22"/>
                <w:szCs w:val="22"/>
              </w:rPr>
              <w:t xml:space="preserve">2.   Nie naruszając art. 20, krajowe organy regulacyjne mogą, celem ułatwienia weryfikacji wykonywania obowiązku przejrzystości i niedyskryminacji, zobowiązać przedsiębiorstwa do dostarczenia im na ich żądanie dokumentów księgowych, w tym danych dotyczących przychodów </w:t>
            </w:r>
            <w:r w:rsidRPr="00317ABF">
              <w:rPr>
                <w:sz w:val="22"/>
                <w:szCs w:val="22"/>
              </w:rPr>
              <w:lastRenderedPageBreak/>
              <w:t>uzyskiwanych od osób trzecich. Krajowe organy regulacyjne mogą publikować te informacje w takim zakresie, w jakim przyczynia się to do ustanowienia otwartego i konkurencyjnego rynku, mając na uwadze przestrzeganie przepisów prawa unijnego i krajowego w zakresie tajemnicy handlowej.</w:t>
            </w:r>
          </w:p>
        </w:tc>
        <w:tc>
          <w:tcPr>
            <w:tcW w:w="986" w:type="dxa"/>
          </w:tcPr>
          <w:p w14:paraId="1FDE3A3A" w14:textId="77777777" w:rsidR="001E1112" w:rsidRPr="00317ABF" w:rsidRDefault="001E1112" w:rsidP="00DB3BEC">
            <w:pPr>
              <w:jc w:val="both"/>
              <w:rPr>
                <w:sz w:val="22"/>
                <w:szCs w:val="22"/>
              </w:rPr>
            </w:pPr>
          </w:p>
        </w:tc>
        <w:tc>
          <w:tcPr>
            <w:tcW w:w="910" w:type="dxa"/>
          </w:tcPr>
          <w:p w14:paraId="0FEC44FA" w14:textId="2A64A992" w:rsidR="001E1112" w:rsidRPr="00317ABF" w:rsidRDefault="001E1112" w:rsidP="00DB3BEC">
            <w:pPr>
              <w:pStyle w:val="Tekstpodstawowy"/>
              <w:rPr>
                <w:b/>
                <w:bCs/>
                <w:noProof/>
                <w:sz w:val="22"/>
                <w:szCs w:val="22"/>
              </w:rPr>
            </w:pPr>
            <w:r w:rsidRPr="00317ABF">
              <w:rPr>
                <w:b/>
                <w:bCs/>
                <w:noProof/>
                <w:sz w:val="22"/>
                <w:szCs w:val="22"/>
              </w:rPr>
              <w:t xml:space="preserve">Art. </w:t>
            </w:r>
            <w:r w:rsidR="009F4009" w:rsidRPr="00317ABF">
              <w:rPr>
                <w:b/>
                <w:bCs/>
                <w:noProof/>
                <w:sz w:val="22"/>
                <w:szCs w:val="22"/>
              </w:rPr>
              <w:t>255</w:t>
            </w:r>
          </w:p>
          <w:p w14:paraId="74A87856" w14:textId="320A4D91" w:rsidR="001E1112" w:rsidRPr="00317ABF" w:rsidRDefault="001E1112" w:rsidP="00DB3BEC">
            <w:pPr>
              <w:pStyle w:val="Tekstpodstawowy"/>
              <w:rPr>
                <w:b/>
                <w:bCs/>
                <w:noProof/>
                <w:sz w:val="22"/>
                <w:szCs w:val="22"/>
              </w:rPr>
            </w:pPr>
            <w:r w:rsidRPr="00317ABF">
              <w:rPr>
                <w:b/>
                <w:bCs/>
                <w:noProof/>
                <w:sz w:val="22"/>
                <w:szCs w:val="22"/>
              </w:rPr>
              <w:t>Art. 2</w:t>
            </w:r>
            <w:r w:rsidR="009F4009" w:rsidRPr="00317ABF">
              <w:rPr>
                <w:b/>
                <w:bCs/>
                <w:noProof/>
                <w:sz w:val="22"/>
                <w:szCs w:val="22"/>
              </w:rPr>
              <w:t>56</w:t>
            </w:r>
          </w:p>
          <w:p w14:paraId="41D2FAEB" w14:textId="26D99684" w:rsidR="001E1112" w:rsidRPr="00317ABF" w:rsidRDefault="001E1112" w:rsidP="00DB3BEC">
            <w:pPr>
              <w:pStyle w:val="Tekstpodstawowy"/>
              <w:rPr>
                <w:b/>
                <w:bCs/>
                <w:noProof/>
                <w:sz w:val="22"/>
                <w:szCs w:val="22"/>
              </w:rPr>
            </w:pPr>
            <w:r w:rsidRPr="00317ABF">
              <w:rPr>
                <w:b/>
                <w:bCs/>
                <w:noProof/>
                <w:sz w:val="22"/>
                <w:szCs w:val="22"/>
              </w:rPr>
              <w:t xml:space="preserve">Art. </w:t>
            </w:r>
            <w:r w:rsidR="009F4009" w:rsidRPr="00317ABF">
              <w:rPr>
                <w:b/>
                <w:bCs/>
                <w:noProof/>
                <w:sz w:val="22"/>
                <w:szCs w:val="22"/>
              </w:rPr>
              <w:t>257</w:t>
            </w:r>
            <w:r w:rsidRPr="00317ABF">
              <w:rPr>
                <w:b/>
                <w:bCs/>
                <w:noProof/>
                <w:sz w:val="22"/>
                <w:szCs w:val="22"/>
              </w:rPr>
              <w:t xml:space="preserve"> ust. 2 - </w:t>
            </w:r>
            <w:r w:rsidR="009F4009" w:rsidRPr="00317ABF">
              <w:rPr>
                <w:b/>
                <w:bCs/>
                <w:noProof/>
                <w:sz w:val="22"/>
                <w:szCs w:val="22"/>
              </w:rPr>
              <w:t>10</w:t>
            </w:r>
          </w:p>
          <w:p w14:paraId="21D359C8" w14:textId="2F65B2A3" w:rsidR="001E1112" w:rsidRPr="00317ABF" w:rsidRDefault="001E1112" w:rsidP="00DB3BEC">
            <w:pPr>
              <w:pStyle w:val="Tekstpodstawowy"/>
              <w:rPr>
                <w:b/>
                <w:bCs/>
                <w:noProof/>
                <w:sz w:val="22"/>
                <w:szCs w:val="22"/>
              </w:rPr>
            </w:pPr>
            <w:r w:rsidRPr="00317ABF">
              <w:rPr>
                <w:b/>
                <w:bCs/>
                <w:noProof/>
                <w:sz w:val="22"/>
                <w:szCs w:val="22"/>
              </w:rPr>
              <w:t xml:space="preserve">Art. </w:t>
            </w:r>
            <w:r w:rsidR="009F4009" w:rsidRPr="00317ABF">
              <w:rPr>
                <w:b/>
                <w:bCs/>
                <w:noProof/>
                <w:sz w:val="22"/>
                <w:szCs w:val="22"/>
              </w:rPr>
              <w:t>258</w:t>
            </w:r>
            <w:r w:rsidRPr="00317ABF">
              <w:rPr>
                <w:b/>
                <w:bCs/>
                <w:noProof/>
                <w:sz w:val="22"/>
                <w:szCs w:val="22"/>
              </w:rPr>
              <w:t xml:space="preserve"> ust. 1</w:t>
            </w:r>
          </w:p>
        </w:tc>
        <w:tc>
          <w:tcPr>
            <w:tcW w:w="6814" w:type="dxa"/>
            <w:gridSpan w:val="2"/>
          </w:tcPr>
          <w:p w14:paraId="47E50CFB" w14:textId="77777777" w:rsidR="009F4009" w:rsidRPr="00317ABF" w:rsidRDefault="001E1112" w:rsidP="009F4009">
            <w:pPr>
              <w:spacing w:line="360" w:lineRule="auto"/>
              <w:jc w:val="both"/>
              <w:rPr>
                <w:sz w:val="22"/>
                <w:szCs w:val="22"/>
              </w:rPr>
            </w:pPr>
            <w:r w:rsidRPr="00317ABF">
              <w:rPr>
                <w:sz w:val="22"/>
                <w:szCs w:val="22"/>
              </w:rPr>
              <w:t>Art. 2</w:t>
            </w:r>
            <w:r w:rsidR="009F4009" w:rsidRPr="00317ABF">
              <w:rPr>
                <w:sz w:val="22"/>
                <w:szCs w:val="22"/>
              </w:rPr>
              <w:t>55</w:t>
            </w:r>
          </w:p>
          <w:p w14:paraId="1077E586" w14:textId="392FD233" w:rsidR="001E1112" w:rsidRPr="00317ABF" w:rsidRDefault="001E1112" w:rsidP="009F4009">
            <w:pPr>
              <w:jc w:val="both"/>
              <w:rPr>
                <w:sz w:val="22"/>
                <w:szCs w:val="22"/>
              </w:rPr>
            </w:pPr>
            <w:r w:rsidRPr="00317ABF">
              <w:rPr>
                <w:sz w:val="22"/>
                <w:szCs w:val="22"/>
              </w:rPr>
              <w:t>Minister właściwy do spraw informatyzacji w porozumieniu z ministrem właściwym do spraw finansów publicznych określi, w drodze rozporządzenia:</w:t>
            </w:r>
          </w:p>
          <w:p w14:paraId="62AD09DD" w14:textId="77777777" w:rsidR="001E1112" w:rsidRPr="00317ABF" w:rsidRDefault="001E1112" w:rsidP="00DB3BEC">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1)</w:t>
            </w:r>
            <w:r w:rsidRPr="00317ABF">
              <w:rPr>
                <w:rFonts w:ascii="Times New Roman" w:hAnsi="Times New Roman" w:cs="Times New Roman"/>
                <w:sz w:val="22"/>
                <w:szCs w:val="22"/>
              </w:rPr>
              <w:tab/>
              <w:t>sposoby przypisania aktywów i pasywów, przychodów i kosztów do działalności lub usług, o których mowa w art. 228 ust. 1,</w:t>
            </w:r>
          </w:p>
          <w:p w14:paraId="45378F72" w14:textId="77777777" w:rsidR="009F4009" w:rsidRPr="00317ABF" w:rsidRDefault="009F4009" w:rsidP="009F4009">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lastRenderedPageBreak/>
              <w:t>2)</w:t>
            </w:r>
            <w:r w:rsidRPr="00317ABF">
              <w:rPr>
                <w:rFonts w:ascii="Times New Roman" w:hAnsi="Times New Roman" w:cs="Times New Roman"/>
                <w:sz w:val="22"/>
                <w:szCs w:val="22"/>
              </w:rPr>
              <w:tab/>
              <w:t>sposób i terminy dokonywania aktualizacji wyceny określonych rodzajów środków trwałych, wartości niematerialnych i prawnych oraz dokonanych od tych środków i wartości odpisów amortyzacyjnych,</w:t>
            </w:r>
          </w:p>
          <w:p w14:paraId="7F86E7F2" w14:textId="77777777" w:rsidR="009F4009" w:rsidRPr="00317ABF" w:rsidRDefault="009F4009" w:rsidP="009F4009">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3)</w:t>
            </w:r>
            <w:r w:rsidRPr="00317ABF">
              <w:rPr>
                <w:rFonts w:ascii="Times New Roman" w:hAnsi="Times New Roman" w:cs="Times New Roman"/>
                <w:sz w:val="22"/>
                <w:szCs w:val="22"/>
              </w:rPr>
              <w:tab/>
              <w:t>sposoby kalkulacji kosztów usług w zakresie dostępu telekomunikacyjnego lub usług na rynku detalicznym,</w:t>
            </w:r>
          </w:p>
          <w:p w14:paraId="757D2AEB" w14:textId="77777777" w:rsidR="009F4009" w:rsidRPr="00317ABF" w:rsidRDefault="009F4009" w:rsidP="009F4009">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4)</w:t>
            </w:r>
            <w:r w:rsidRPr="00317ABF">
              <w:rPr>
                <w:rFonts w:ascii="Times New Roman" w:hAnsi="Times New Roman" w:cs="Times New Roman"/>
                <w:sz w:val="22"/>
                <w:szCs w:val="22"/>
              </w:rPr>
              <w:tab/>
              <w:t>tryb i terminy uzgadniania i zatwierdzania przez Prezesa UKE opracowanego przez przedsiębiorcę komunikacji elektronicznej projektu instrukcji oraz projektu opisu kalkulacji kosztów,</w:t>
            </w:r>
          </w:p>
          <w:p w14:paraId="5DE46AE3" w14:textId="77777777" w:rsidR="009F4009" w:rsidRPr="00317ABF" w:rsidRDefault="009F4009" w:rsidP="009F4009">
            <w:pPr>
              <w:pStyle w:val="PKTpunkt0"/>
              <w:keepNext/>
              <w:spacing w:line="240" w:lineRule="auto"/>
              <w:rPr>
                <w:rFonts w:ascii="Times New Roman" w:hAnsi="Times New Roman" w:cs="Times New Roman"/>
                <w:sz w:val="22"/>
                <w:szCs w:val="22"/>
              </w:rPr>
            </w:pPr>
            <w:r w:rsidRPr="00317ABF">
              <w:rPr>
                <w:rFonts w:ascii="Times New Roman" w:hAnsi="Times New Roman" w:cs="Times New Roman"/>
                <w:sz w:val="22"/>
                <w:szCs w:val="22"/>
              </w:rPr>
              <w:t>5)</w:t>
            </w:r>
            <w:r w:rsidRPr="00317ABF">
              <w:rPr>
                <w:rFonts w:ascii="Times New Roman" w:hAnsi="Times New Roman" w:cs="Times New Roman"/>
                <w:sz w:val="22"/>
                <w:szCs w:val="22"/>
              </w:rPr>
              <w:tab/>
              <w:t>zakres przekazywanych Prezesowi UKE:</w:t>
            </w:r>
          </w:p>
          <w:p w14:paraId="50BC472C" w14:textId="77777777" w:rsidR="001E1112" w:rsidRPr="00317ABF" w:rsidRDefault="001E1112" w:rsidP="00DB3BEC">
            <w:pPr>
              <w:pStyle w:val="LITlitera"/>
              <w:spacing w:line="240" w:lineRule="auto"/>
              <w:rPr>
                <w:rFonts w:ascii="Times New Roman" w:hAnsi="Times New Roman" w:cs="Times New Roman"/>
                <w:sz w:val="22"/>
                <w:szCs w:val="22"/>
              </w:rPr>
            </w:pPr>
            <w:r w:rsidRPr="00317ABF">
              <w:rPr>
                <w:rFonts w:ascii="Times New Roman" w:hAnsi="Times New Roman" w:cs="Times New Roman"/>
                <w:sz w:val="22"/>
                <w:szCs w:val="22"/>
              </w:rPr>
              <w:t>a)</w:t>
            </w:r>
            <w:r w:rsidRPr="00317ABF">
              <w:rPr>
                <w:rFonts w:ascii="Times New Roman" w:hAnsi="Times New Roman" w:cs="Times New Roman"/>
                <w:sz w:val="22"/>
                <w:szCs w:val="22"/>
              </w:rPr>
              <w:tab/>
              <w:t>sprawozdań z prowadzonej rachunkowości regulacyjnej, przyjmując zasadę, że dane zawarte w sprawozdaniach są sprawdzalne w rozumieniu ustawy z dnia 29 września 1994 r. o rachunkowości,</w:t>
            </w:r>
          </w:p>
          <w:p w14:paraId="62034B18" w14:textId="77777777" w:rsidR="001E1112" w:rsidRPr="00317ABF" w:rsidRDefault="001E1112" w:rsidP="00DB3BEC">
            <w:pPr>
              <w:pStyle w:val="LITlitera"/>
              <w:keepNext/>
              <w:spacing w:line="240" w:lineRule="auto"/>
              <w:rPr>
                <w:rFonts w:ascii="Times New Roman" w:hAnsi="Times New Roman" w:cs="Times New Roman"/>
                <w:sz w:val="22"/>
                <w:szCs w:val="22"/>
              </w:rPr>
            </w:pPr>
            <w:r w:rsidRPr="00317ABF">
              <w:rPr>
                <w:rFonts w:ascii="Times New Roman" w:hAnsi="Times New Roman" w:cs="Times New Roman"/>
                <w:sz w:val="22"/>
                <w:szCs w:val="22"/>
              </w:rPr>
              <w:t>b)</w:t>
            </w:r>
            <w:r w:rsidRPr="00317ABF">
              <w:rPr>
                <w:rFonts w:ascii="Times New Roman" w:hAnsi="Times New Roman" w:cs="Times New Roman"/>
                <w:sz w:val="22"/>
                <w:szCs w:val="22"/>
              </w:rPr>
              <w:tab/>
              <w:t>wyników kalkulacji kosztów</w:t>
            </w:r>
          </w:p>
          <w:p w14:paraId="3364D3A7" w14:textId="77777777" w:rsidR="001E1112" w:rsidRPr="00317ABF" w:rsidRDefault="001E1112" w:rsidP="00DB3BEC">
            <w:pPr>
              <w:pStyle w:val="CZWSPLITczwsplnaliter"/>
              <w:spacing w:line="240" w:lineRule="auto"/>
              <w:rPr>
                <w:rFonts w:ascii="Times New Roman" w:hAnsi="Times New Roman" w:cs="Times New Roman"/>
                <w:sz w:val="22"/>
                <w:szCs w:val="22"/>
              </w:rPr>
            </w:pPr>
            <w:r w:rsidRPr="00317ABF">
              <w:rPr>
                <w:rFonts w:ascii="Times New Roman" w:hAnsi="Times New Roman" w:cs="Times New Roman"/>
                <w:sz w:val="22"/>
                <w:szCs w:val="22"/>
              </w:rPr>
              <w:t>- mając na celu promocję efektywności, zrównoważonej konkurencji oraz zapewnienia maksymalnej korzyści dla użytkowników końcowych, w tym związanych z rozwojem sieci o bardzo dużej przepustowości, a także uwzględniając konieczność ochrony konsumentów i konkurentów przed nadużywaniem przez przedsiębiorców komunikacji elektronicznej, na których nałożono obowiązek prowadzenia rachunkowości regulacyjnej lub kalkulacji kosztów, ich pozycji rynkowej, konieczność stymulowania rozwoju rynku  komunikacji elektronicznej, promocję realizacji nowych inwestycji, w tym w sieci o bardzo dużej przepustowości oraz konieczność umożliwienia działalności kontrolnej Prezesowi UKE wobec działalności wykonywanej przez tych przedsiębiorców.</w:t>
            </w:r>
          </w:p>
          <w:p w14:paraId="3046DF72" w14:textId="77777777" w:rsidR="001E1112" w:rsidRPr="00317ABF" w:rsidRDefault="001E1112" w:rsidP="00DB3BEC">
            <w:pPr>
              <w:pStyle w:val="USTustnpkodeksu"/>
              <w:rPr>
                <w:rFonts w:ascii="Times New Roman" w:hAnsi="Times New Roman" w:cs="Times New Roman"/>
                <w:sz w:val="22"/>
                <w:szCs w:val="22"/>
              </w:rPr>
            </w:pPr>
          </w:p>
          <w:p w14:paraId="7F9825BD" w14:textId="1D0C1393" w:rsidR="001E1112" w:rsidRPr="00317ABF" w:rsidRDefault="001E1112" w:rsidP="00DB3BEC">
            <w:pPr>
              <w:pStyle w:val="ARTartustawynprozporzdzenia"/>
              <w:spacing w:before="0" w:line="240" w:lineRule="auto"/>
              <w:ind w:firstLine="0"/>
              <w:rPr>
                <w:rFonts w:ascii="Times New Roman" w:hAnsi="Times New Roman" w:cs="Times New Roman"/>
                <w:sz w:val="22"/>
                <w:szCs w:val="22"/>
              </w:rPr>
            </w:pPr>
            <w:r w:rsidRPr="00317ABF">
              <w:rPr>
                <w:rStyle w:val="Ppogrubienie"/>
                <w:rFonts w:ascii="Times New Roman" w:hAnsi="Times New Roman"/>
                <w:b w:val="0"/>
                <w:sz w:val="22"/>
                <w:szCs w:val="22"/>
              </w:rPr>
              <w:t>Art. 2</w:t>
            </w:r>
            <w:r w:rsidR="009F4009" w:rsidRPr="00317ABF">
              <w:rPr>
                <w:rStyle w:val="Ppogrubienie"/>
                <w:rFonts w:ascii="Times New Roman" w:hAnsi="Times New Roman"/>
                <w:b w:val="0"/>
                <w:sz w:val="22"/>
                <w:szCs w:val="22"/>
              </w:rPr>
              <w:t>56</w:t>
            </w:r>
            <w:r w:rsidRPr="00317ABF">
              <w:rPr>
                <w:rStyle w:val="Ppogrubienie"/>
                <w:rFonts w:ascii="Times New Roman" w:hAnsi="Times New Roman"/>
                <w:b w:val="0"/>
                <w:sz w:val="22"/>
                <w:szCs w:val="22"/>
              </w:rPr>
              <w:t>.</w:t>
            </w:r>
            <w:r w:rsidRPr="00317ABF">
              <w:rPr>
                <w:rFonts w:ascii="Times New Roman" w:hAnsi="Times New Roman" w:cs="Times New Roman"/>
                <w:sz w:val="22"/>
                <w:szCs w:val="22"/>
              </w:rPr>
              <w:t xml:space="preserve"> Przedsiębiorca komunikacji elektronicznej przechowuje dokumentację związaną z prowadzeniem rachunkowości regulacyjnej lub kalkulacji kosztów, stosując odpowiednio przepisy rozdziału 8 ustawy z dnia 29 września 1994 r. o rachunkowości.</w:t>
            </w:r>
          </w:p>
          <w:p w14:paraId="3F83AAA6" w14:textId="77777777" w:rsidR="001E1112" w:rsidRPr="00317ABF" w:rsidRDefault="001E1112" w:rsidP="00DB3BEC">
            <w:pPr>
              <w:jc w:val="both"/>
              <w:rPr>
                <w:sz w:val="22"/>
                <w:szCs w:val="22"/>
              </w:rPr>
            </w:pPr>
          </w:p>
          <w:p w14:paraId="54F10F25" w14:textId="5939A5D7" w:rsidR="001E1112" w:rsidRPr="00317ABF" w:rsidRDefault="001E1112" w:rsidP="00DB3BEC">
            <w:pPr>
              <w:jc w:val="both"/>
              <w:rPr>
                <w:sz w:val="22"/>
                <w:szCs w:val="22"/>
              </w:rPr>
            </w:pPr>
            <w:r w:rsidRPr="00317ABF">
              <w:rPr>
                <w:sz w:val="22"/>
                <w:szCs w:val="22"/>
              </w:rPr>
              <w:t>Art. 2</w:t>
            </w:r>
            <w:r w:rsidR="009F4009" w:rsidRPr="00317ABF">
              <w:rPr>
                <w:sz w:val="22"/>
                <w:szCs w:val="22"/>
              </w:rPr>
              <w:t>57</w:t>
            </w:r>
            <w:r w:rsidRPr="00317ABF">
              <w:rPr>
                <w:sz w:val="22"/>
                <w:szCs w:val="22"/>
              </w:rPr>
              <w:t xml:space="preserve"> ust. 2 - </w:t>
            </w:r>
            <w:r w:rsidR="009F4009" w:rsidRPr="00317ABF">
              <w:rPr>
                <w:sz w:val="22"/>
                <w:szCs w:val="22"/>
              </w:rPr>
              <w:t>10</w:t>
            </w:r>
          </w:p>
          <w:p w14:paraId="188E34C3" w14:textId="77777777" w:rsidR="009F4009" w:rsidRPr="00317ABF" w:rsidRDefault="009F4009" w:rsidP="009F4009">
            <w:pPr>
              <w:pStyle w:val="ARTartustawynprozporzdzenia"/>
              <w:spacing w:before="0" w:line="240" w:lineRule="auto"/>
              <w:rPr>
                <w:rFonts w:ascii="Times New Roman" w:hAnsi="Times New Roman" w:cs="Times New Roman"/>
                <w:sz w:val="22"/>
                <w:szCs w:val="22"/>
              </w:rPr>
            </w:pPr>
            <w:r w:rsidRPr="00317ABF">
              <w:rPr>
                <w:rFonts w:ascii="Times New Roman" w:hAnsi="Times New Roman" w:cs="Times New Roman"/>
                <w:sz w:val="22"/>
                <w:szCs w:val="22"/>
              </w:rPr>
              <w:t xml:space="preserve">2. Prezes UKE uzgadnia projekt instrukcji i projekt opisu kalkulacji kosztów w terminie do 150 dni od dnia przedłożenia przez przedsiębiorcę komunikacji elektronicznej projektu Prezesowi UKE. </w:t>
            </w:r>
          </w:p>
          <w:p w14:paraId="228AD171" w14:textId="77777777" w:rsidR="009F4009" w:rsidRPr="00317ABF" w:rsidRDefault="009F4009" w:rsidP="009F4009">
            <w:pPr>
              <w:pStyle w:val="USTustnpkodeksu"/>
              <w:spacing w:line="240" w:lineRule="auto"/>
              <w:rPr>
                <w:rFonts w:ascii="Times New Roman" w:hAnsi="Times New Roman" w:cs="Times New Roman"/>
                <w:sz w:val="22"/>
                <w:szCs w:val="22"/>
              </w:rPr>
            </w:pPr>
            <w:bookmarkStart w:id="138" w:name="mip11497420"/>
            <w:bookmarkEnd w:id="138"/>
            <w:r w:rsidRPr="00317ABF">
              <w:rPr>
                <w:rFonts w:ascii="Times New Roman" w:hAnsi="Times New Roman" w:cs="Times New Roman"/>
                <w:sz w:val="22"/>
                <w:szCs w:val="22"/>
              </w:rPr>
              <w:lastRenderedPageBreak/>
              <w:t>3. Prezes UKE, w drodze decyzji, zatwierdza projekt instrukcji i projekt opisu kalkulacji kosztów w terminie do 90 dni od dnia zakończenia uzgodnień, o których mowa w ust. 2..</w:t>
            </w:r>
          </w:p>
          <w:p w14:paraId="4291A328" w14:textId="77777777" w:rsidR="009F4009" w:rsidRPr="00317ABF" w:rsidRDefault="009F4009" w:rsidP="009F4009">
            <w:pPr>
              <w:pStyle w:val="USTustnpkodeksu"/>
              <w:spacing w:line="240" w:lineRule="auto"/>
              <w:rPr>
                <w:rFonts w:ascii="Times New Roman" w:hAnsi="Times New Roman" w:cs="Times New Roman"/>
                <w:sz w:val="22"/>
                <w:szCs w:val="22"/>
              </w:rPr>
            </w:pPr>
            <w:r w:rsidRPr="00317ABF">
              <w:rPr>
                <w:rFonts w:ascii="Times New Roman" w:hAnsi="Times New Roman" w:cs="Times New Roman"/>
                <w:sz w:val="22"/>
                <w:szCs w:val="22"/>
              </w:rPr>
              <w:t>4. Prezes UKE, w ramach procedury uzgadniania i zatwierdzania projektu instrukcji i projektu opisu kalkulacji kosztów, może wzywać przedsiębiorcę komunikacji elektronicznej do dokonania zmian, uzupełnienia informacji zawartych w projekcie instrukcji lub projekcie opisu kalkulacji kosztów lub do przedłożenia wyjaśnień. Przedsiębiorca dokonuje zmian, uzupełnień lub przedkłada wyjaśnienia w terminie 14 dni od dnia otrzymania wezwania.</w:t>
            </w:r>
          </w:p>
          <w:p w14:paraId="682D1DD4" w14:textId="77777777" w:rsidR="009F4009" w:rsidRPr="00317ABF" w:rsidRDefault="009F4009" w:rsidP="009F4009">
            <w:pPr>
              <w:pStyle w:val="USTustnpkodeksu"/>
              <w:spacing w:line="240" w:lineRule="auto"/>
              <w:rPr>
                <w:rFonts w:ascii="Times New Roman" w:hAnsi="Times New Roman" w:cs="Times New Roman"/>
                <w:sz w:val="22"/>
                <w:szCs w:val="22"/>
              </w:rPr>
            </w:pPr>
            <w:r w:rsidRPr="00317ABF">
              <w:rPr>
                <w:rFonts w:ascii="Times New Roman" w:hAnsi="Times New Roman" w:cs="Times New Roman"/>
                <w:sz w:val="22"/>
                <w:szCs w:val="22"/>
              </w:rPr>
              <w:t xml:space="preserve">5. Prezes UKE w decyzji, o której mowa w ust. 3, może dokonać zmian w przedłożonych przez przedsiębiorcę komunikacji elektronicznej do zatwierdzenia projekcie instrukcji lub projekcie opisu kalkulacji kosztów, jeżeli zmian tych nie dokona przedsiębiorca komunikacji elektronicznej na wezwanie Prezesa UKE w terminie, o którym mowa w ust. 4. </w:t>
            </w:r>
          </w:p>
          <w:p w14:paraId="25DE483A" w14:textId="77777777" w:rsidR="009F4009" w:rsidRPr="00317ABF" w:rsidRDefault="009F4009" w:rsidP="009F4009">
            <w:pPr>
              <w:pStyle w:val="USTustnpkodeksu"/>
              <w:spacing w:line="240" w:lineRule="auto"/>
              <w:rPr>
                <w:rFonts w:ascii="Times New Roman" w:hAnsi="Times New Roman" w:cs="Times New Roman"/>
                <w:sz w:val="22"/>
                <w:szCs w:val="22"/>
              </w:rPr>
            </w:pPr>
            <w:r w:rsidRPr="00317ABF">
              <w:rPr>
                <w:rFonts w:ascii="Times New Roman" w:hAnsi="Times New Roman" w:cs="Times New Roman"/>
                <w:sz w:val="22"/>
                <w:szCs w:val="22"/>
              </w:rPr>
              <w:t>6. Prezes UKE może zasięgać opinii niezależnych biegłych rewidentów lub ekspertów w przypadku wątpliwości dotyczących opracowanego przez przedsiębiorcę komunikacji elektronicznej projektu instrukcji i projektu opisu kalkulacji kosztów oraz rzetelności i wiarygodności danych zawartych w sprawozdaniach z prowadzonej rachunkowości regulacyjnej i wynikach kalkulacji kosztów.</w:t>
            </w:r>
          </w:p>
          <w:p w14:paraId="5B85965C" w14:textId="77777777" w:rsidR="009F4009" w:rsidRPr="00317ABF" w:rsidRDefault="009F4009" w:rsidP="009F4009">
            <w:pPr>
              <w:pStyle w:val="USTustnpkodeksu"/>
              <w:spacing w:line="240" w:lineRule="auto"/>
              <w:rPr>
                <w:rFonts w:ascii="Times New Roman" w:hAnsi="Times New Roman" w:cs="Times New Roman"/>
                <w:sz w:val="22"/>
                <w:szCs w:val="22"/>
              </w:rPr>
            </w:pPr>
            <w:r w:rsidRPr="00317ABF">
              <w:rPr>
                <w:rFonts w:ascii="Times New Roman" w:hAnsi="Times New Roman" w:cs="Times New Roman"/>
                <w:sz w:val="22"/>
                <w:szCs w:val="22"/>
              </w:rPr>
              <w:t>7. Sprawozdania z prowadzonej rachunkowości regulacyjnej oraz wyniki kalkulacji kosztów podlegają weryfikacji pod kątem zgodności z przepisami prawa oraz zatwierdzonymi przez Prezesa UKE instrukcją i opisem kalkulacji kosztów, na koszt przedsiębiorcy komunikacji elektronicznej, w terminie 6 miesięcy od zakończenia roku obrotowego, przez niezależnego od przedsiębiorcy komunikacji elektronicznej biegłego rewidenta.</w:t>
            </w:r>
          </w:p>
          <w:p w14:paraId="2EE63797" w14:textId="77777777" w:rsidR="009F4009" w:rsidRPr="00317ABF" w:rsidRDefault="009F4009" w:rsidP="009F4009">
            <w:pPr>
              <w:pStyle w:val="USTustnpkodeksu"/>
              <w:spacing w:line="240" w:lineRule="auto"/>
              <w:rPr>
                <w:rFonts w:ascii="Times New Roman" w:hAnsi="Times New Roman" w:cs="Times New Roman"/>
                <w:sz w:val="22"/>
                <w:szCs w:val="22"/>
              </w:rPr>
            </w:pPr>
            <w:r w:rsidRPr="00317ABF">
              <w:rPr>
                <w:rFonts w:ascii="Times New Roman" w:hAnsi="Times New Roman" w:cs="Times New Roman"/>
                <w:sz w:val="22"/>
                <w:szCs w:val="22"/>
              </w:rPr>
              <w:t>8. Prezes UKE powołuje biegłego rewidenta do przeprowadzenia weryfikacji, o której mowa w ust. 7.</w:t>
            </w:r>
          </w:p>
          <w:p w14:paraId="50EF7279" w14:textId="77777777" w:rsidR="009F4009" w:rsidRPr="00317ABF" w:rsidRDefault="009F4009" w:rsidP="009F4009">
            <w:pPr>
              <w:pStyle w:val="USTustnpkodeksu"/>
              <w:spacing w:line="240" w:lineRule="auto"/>
              <w:rPr>
                <w:rFonts w:ascii="Times New Roman" w:hAnsi="Times New Roman" w:cs="Times New Roman"/>
                <w:sz w:val="22"/>
                <w:szCs w:val="22"/>
              </w:rPr>
            </w:pPr>
            <w:r w:rsidRPr="00317ABF">
              <w:rPr>
                <w:rFonts w:ascii="Times New Roman" w:hAnsi="Times New Roman" w:cs="Times New Roman"/>
                <w:sz w:val="22"/>
                <w:szCs w:val="22"/>
              </w:rPr>
              <w:t>9. Przedsiębiorca komunikacji elektronicznej przekazuje Prezesowi UKE sprawozdania z prowadzonej rachunkowości regulacyjnej lub wyniki kalkulacji kosztów, wraz ze sprawozdaniem biegłego rewidenta z weryfikacji, o której mowa w ust. 7, niezwłocznie po zakończeniu tej weryfikacji i przedłożeniu przez biegłego rewidenta sprawozdania z niej.</w:t>
            </w:r>
          </w:p>
          <w:p w14:paraId="0D0764E6" w14:textId="77777777" w:rsidR="009F4009" w:rsidRPr="00317ABF" w:rsidRDefault="009F4009" w:rsidP="009F4009">
            <w:pPr>
              <w:pStyle w:val="USTustnpkodeksu"/>
              <w:spacing w:line="240" w:lineRule="auto"/>
              <w:rPr>
                <w:rFonts w:ascii="Times New Roman" w:hAnsi="Times New Roman" w:cs="Times New Roman"/>
                <w:sz w:val="22"/>
                <w:szCs w:val="22"/>
              </w:rPr>
            </w:pPr>
            <w:r w:rsidRPr="00317ABF">
              <w:rPr>
                <w:rFonts w:ascii="Times New Roman" w:hAnsi="Times New Roman" w:cs="Times New Roman"/>
                <w:sz w:val="22"/>
                <w:szCs w:val="22"/>
              </w:rPr>
              <w:t>10. Prezes UKE udostępnia na stronie podmiotowej BIP UKE sprawozdania z prowadzonej rachunkowości regulacyjnej, wyniki kalkulacji kosztów oraz sprawozdanie biegłego rewidenta z weryfikacji, o której mowa w ust. 7, w terminie 8 miesięcy od zakończenia roku obrotowego.</w:t>
            </w:r>
          </w:p>
          <w:p w14:paraId="6FD30D8D" w14:textId="77777777" w:rsidR="001E1112" w:rsidRPr="00317ABF" w:rsidRDefault="001E1112" w:rsidP="00DB3BEC">
            <w:pPr>
              <w:pStyle w:val="ARTartustawynprozporzdzenia"/>
              <w:spacing w:before="0" w:line="240" w:lineRule="auto"/>
              <w:rPr>
                <w:rStyle w:val="Ppogrubienie"/>
                <w:rFonts w:ascii="Times New Roman" w:hAnsi="Times New Roman"/>
                <w:sz w:val="22"/>
                <w:szCs w:val="22"/>
              </w:rPr>
            </w:pPr>
          </w:p>
          <w:p w14:paraId="4DED0B80" w14:textId="1421B8A1" w:rsidR="001E1112" w:rsidRPr="00317ABF" w:rsidRDefault="001E1112" w:rsidP="00DB3BEC">
            <w:pPr>
              <w:pStyle w:val="ARTartustawynprozporzdzenia"/>
              <w:spacing w:before="0" w:line="240" w:lineRule="auto"/>
              <w:ind w:firstLine="0"/>
              <w:rPr>
                <w:rStyle w:val="Ppogrubienie"/>
                <w:rFonts w:ascii="Times New Roman" w:hAnsi="Times New Roman"/>
                <w:b w:val="0"/>
                <w:sz w:val="22"/>
                <w:szCs w:val="22"/>
              </w:rPr>
            </w:pPr>
            <w:r w:rsidRPr="00317ABF">
              <w:rPr>
                <w:rStyle w:val="Ppogrubienie"/>
                <w:rFonts w:ascii="Times New Roman" w:hAnsi="Times New Roman"/>
                <w:b w:val="0"/>
                <w:sz w:val="22"/>
                <w:szCs w:val="22"/>
              </w:rPr>
              <w:t>Art.2</w:t>
            </w:r>
            <w:r w:rsidR="009F4009" w:rsidRPr="00317ABF">
              <w:rPr>
                <w:rStyle w:val="Ppogrubienie"/>
                <w:rFonts w:ascii="Times New Roman" w:hAnsi="Times New Roman"/>
                <w:b w:val="0"/>
                <w:sz w:val="22"/>
                <w:szCs w:val="22"/>
              </w:rPr>
              <w:t>58</w:t>
            </w:r>
            <w:r w:rsidRPr="00317ABF">
              <w:rPr>
                <w:rStyle w:val="Ppogrubienie"/>
                <w:rFonts w:ascii="Times New Roman" w:hAnsi="Times New Roman"/>
                <w:b w:val="0"/>
                <w:sz w:val="22"/>
                <w:szCs w:val="22"/>
              </w:rPr>
              <w:t xml:space="preserve"> ust.1</w:t>
            </w:r>
          </w:p>
          <w:p w14:paraId="67B38DEE" w14:textId="614E5543" w:rsidR="001E1112" w:rsidRPr="00317ABF" w:rsidRDefault="001E1112" w:rsidP="009F4009">
            <w:pPr>
              <w:pStyle w:val="ARTartustawynprozporzdzenia"/>
              <w:spacing w:before="0" w:line="240" w:lineRule="auto"/>
              <w:ind w:firstLine="0"/>
              <w:rPr>
                <w:rFonts w:ascii="Times New Roman" w:hAnsi="Times New Roman" w:cs="Times New Roman"/>
                <w:sz w:val="22"/>
                <w:szCs w:val="22"/>
              </w:rPr>
            </w:pPr>
            <w:r w:rsidRPr="00317ABF">
              <w:rPr>
                <w:rFonts w:ascii="Times New Roman" w:hAnsi="Times New Roman" w:cs="Times New Roman"/>
                <w:sz w:val="22"/>
                <w:szCs w:val="22"/>
              </w:rPr>
              <w:t>1. Prezes UKE udostępnia na stronie podmiotowej BIP UKE zatwierdzoną instrukcję, tak aby zapewniona była prezentacja sposobów wyodrębniania i przypisywania aktywów i pasywów, przychodów i kosztów.</w:t>
            </w:r>
          </w:p>
        </w:tc>
      </w:tr>
      <w:tr w:rsidR="001E1112" w:rsidRPr="00317ABF" w14:paraId="7CE2FC9B" w14:textId="77777777" w:rsidTr="7753F98D">
        <w:trPr>
          <w:gridAfter w:val="2"/>
          <w:wAfter w:w="175" w:type="dxa"/>
        </w:trPr>
        <w:tc>
          <w:tcPr>
            <w:tcW w:w="704" w:type="dxa"/>
          </w:tcPr>
          <w:p w14:paraId="2803AB07" w14:textId="77777777" w:rsidR="001E1112" w:rsidRPr="00317ABF" w:rsidRDefault="001E1112" w:rsidP="00DB3BEC">
            <w:pPr>
              <w:jc w:val="both"/>
              <w:rPr>
                <w:b/>
                <w:sz w:val="22"/>
                <w:szCs w:val="22"/>
              </w:rPr>
            </w:pPr>
            <w:r w:rsidRPr="00317ABF">
              <w:rPr>
                <w:b/>
                <w:sz w:val="22"/>
                <w:szCs w:val="22"/>
              </w:rPr>
              <w:lastRenderedPageBreak/>
              <w:t>Art. 72</w:t>
            </w:r>
          </w:p>
        </w:tc>
        <w:tc>
          <w:tcPr>
            <w:tcW w:w="4308" w:type="dxa"/>
          </w:tcPr>
          <w:p w14:paraId="75D0E992" w14:textId="77777777" w:rsidR="001E1112" w:rsidRPr="00317ABF" w:rsidRDefault="001E1112" w:rsidP="00DB3BEC">
            <w:pPr>
              <w:spacing w:before="120"/>
              <w:jc w:val="both"/>
              <w:rPr>
                <w:sz w:val="22"/>
                <w:szCs w:val="22"/>
              </w:rPr>
            </w:pPr>
            <w:r w:rsidRPr="00317ABF">
              <w:rPr>
                <w:b/>
                <w:bCs/>
                <w:sz w:val="22"/>
                <w:szCs w:val="22"/>
              </w:rPr>
              <w:t>Dostęp do obiektów inżynierii lądowej i wodnej</w:t>
            </w:r>
          </w:p>
        </w:tc>
        <w:tc>
          <w:tcPr>
            <w:tcW w:w="986" w:type="dxa"/>
          </w:tcPr>
          <w:p w14:paraId="6184ADE9" w14:textId="77777777" w:rsidR="001E1112" w:rsidRPr="00317ABF" w:rsidRDefault="001E1112" w:rsidP="00DB3BEC">
            <w:pPr>
              <w:jc w:val="both"/>
              <w:rPr>
                <w:sz w:val="22"/>
                <w:szCs w:val="22"/>
              </w:rPr>
            </w:pPr>
          </w:p>
        </w:tc>
        <w:tc>
          <w:tcPr>
            <w:tcW w:w="910" w:type="dxa"/>
          </w:tcPr>
          <w:p w14:paraId="4511BF39" w14:textId="77777777" w:rsidR="001E1112" w:rsidRPr="00317ABF" w:rsidRDefault="001E1112" w:rsidP="00DB3BEC">
            <w:pPr>
              <w:pStyle w:val="Tekstpodstawowy"/>
              <w:rPr>
                <w:b/>
                <w:noProof/>
                <w:sz w:val="22"/>
                <w:szCs w:val="22"/>
              </w:rPr>
            </w:pPr>
          </w:p>
        </w:tc>
        <w:tc>
          <w:tcPr>
            <w:tcW w:w="6814" w:type="dxa"/>
            <w:gridSpan w:val="2"/>
          </w:tcPr>
          <w:p w14:paraId="4840CF35" w14:textId="77777777" w:rsidR="001E1112" w:rsidRPr="00317ABF" w:rsidRDefault="001E1112" w:rsidP="00DB3BEC">
            <w:pPr>
              <w:pStyle w:val="Tekstpodstawowy"/>
              <w:rPr>
                <w:sz w:val="22"/>
                <w:szCs w:val="22"/>
              </w:rPr>
            </w:pPr>
          </w:p>
        </w:tc>
      </w:tr>
      <w:tr w:rsidR="001E1112" w:rsidRPr="00317ABF" w14:paraId="6030D047" w14:textId="77777777" w:rsidTr="7753F98D">
        <w:trPr>
          <w:gridAfter w:val="2"/>
          <w:wAfter w:w="175" w:type="dxa"/>
        </w:trPr>
        <w:tc>
          <w:tcPr>
            <w:tcW w:w="704" w:type="dxa"/>
          </w:tcPr>
          <w:p w14:paraId="6C83F53E" w14:textId="77777777" w:rsidR="001E1112" w:rsidRPr="00317ABF" w:rsidRDefault="001E1112" w:rsidP="00DB3BEC">
            <w:pPr>
              <w:jc w:val="both"/>
              <w:rPr>
                <w:sz w:val="22"/>
                <w:szCs w:val="22"/>
              </w:rPr>
            </w:pPr>
            <w:r w:rsidRPr="00317ABF">
              <w:rPr>
                <w:sz w:val="22"/>
                <w:szCs w:val="22"/>
              </w:rPr>
              <w:t>Art. 72 ust. 1</w:t>
            </w:r>
          </w:p>
        </w:tc>
        <w:tc>
          <w:tcPr>
            <w:tcW w:w="4308" w:type="dxa"/>
          </w:tcPr>
          <w:p w14:paraId="0E067630" w14:textId="77777777" w:rsidR="001E1112" w:rsidRPr="00317ABF" w:rsidRDefault="001E1112" w:rsidP="00DB3BEC">
            <w:pPr>
              <w:spacing w:before="120"/>
              <w:jc w:val="both"/>
              <w:rPr>
                <w:sz w:val="22"/>
                <w:szCs w:val="22"/>
              </w:rPr>
            </w:pPr>
            <w:r w:rsidRPr="00317ABF">
              <w:rPr>
                <w:sz w:val="22"/>
                <w:szCs w:val="22"/>
              </w:rPr>
              <w:t>1.   Krajowe organy regulacyjne mogą nałożyć na przedsiębiorstwa, zgodnie z art. 68, obowiązek uwzględnienia uzasadnionych wniosków o dostęp i użytkowanie obiektów inżynierii lądowej i wodnej, w tym, ale nie tylko, budynków, wejść do budynków, okablowania budynków, anten, wież i innych konstrukcji nośnych, słupów, masztów, kanałów kablowych, przewodów, studzienek rewizyjnych, studzienek włazowych i szafek ulicznych, jeżeli po rozważeniu analizy rynku krajowy organ regulacyjny uzna, że odmowa przyznania dostępu lub ustanowienie nieracjonalnych warunków mających podobny skutek uniemożliwiłyby powstanie trwale konkurencyjnego rynku i nie leżałyby w interesie użytkowników końcowych.</w:t>
            </w:r>
          </w:p>
        </w:tc>
        <w:tc>
          <w:tcPr>
            <w:tcW w:w="986" w:type="dxa"/>
          </w:tcPr>
          <w:p w14:paraId="6DFB1443" w14:textId="6F6265C7" w:rsidR="001E1112" w:rsidRPr="00317ABF" w:rsidRDefault="001E1112" w:rsidP="00DB3BEC">
            <w:pPr>
              <w:jc w:val="both"/>
              <w:rPr>
                <w:sz w:val="22"/>
                <w:szCs w:val="22"/>
              </w:rPr>
            </w:pPr>
            <w:r w:rsidRPr="00317ABF">
              <w:rPr>
                <w:sz w:val="22"/>
                <w:szCs w:val="22"/>
              </w:rPr>
              <w:t>T</w:t>
            </w:r>
          </w:p>
        </w:tc>
        <w:tc>
          <w:tcPr>
            <w:tcW w:w="910" w:type="dxa"/>
          </w:tcPr>
          <w:p w14:paraId="1A30BBDC" w14:textId="1E8B6FCF" w:rsidR="001E1112" w:rsidRPr="00317ABF" w:rsidRDefault="001E1112" w:rsidP="00DB3BEC">
            <w:pPr>
              <w:pStyle w:val="Tekstpodstawowy"/>
              <w:rPr>
                <w:b/>
                <w:noProof/>
                <w:sz w:val="22"/>
                <w:szCs w:val="22"/>
              </w:rPr>
            </w:pPr>
            <w:r w:rsidRPr="00317ABF">
              <w:rPr>
                <w:b/>
                <w:noProof/>
                <w:sz w:val="22"/>
                <w:szCs w:val="22"/>
              </w:rPr>
              <w:t xml:space="preserve">Art. </w:t>
            </w:r>
            <w:r w:rsidR="00D2360D" w:rsidRPr="00317ABF">
              <w:rPr>
                <w:b/>
                <w:noProof/>
                <w:sz w:val="22"/>
                <w:szCs w:val="22"/>
              </w:rPr>
              <w:t>210</w:t>
            </w:r>
          </w:p>
        </w:tc>
        <w:tc>
          <w:tcPr>
            <w:tcW w:w="6814" w:type="dxa"/>
            <w:gridSpan w:val="2"/>
          </w:tcPr>
          <w:p w14:paraId="49EE1A5B" w14:textId="0169F466" w:rsidR="001E1112" w:rsidRPr="00317ABF" w:rsidRDefault="001E1112" w:rsidP="00DB3BEC">
            <w:pPr>
              <w:jc w:val="both"/>
              <w:rPr>
                <w:sz w:val="22"/>
                <w:szCs w:val="22"/>
              </w:rPr>
            </w:pPr>
            <w:r w:rsidRPr="00317ABF">
              <w:rPr>
                <w:b/>
                <w:sz w:val="22"/>
                <w:szCs w:val="22"/>
              </w:rPr>
              <w:t xml:space="preserve">Art. </w:t>
            </w:r>
            <w:r w:rsidR="00D2360D" w:rsidRPr="00317ABF">
              <w:rPr>
                <w:b/>
                <w:sz w:val="22"/>
                <w:szCs w:val="22"/>
              </w:rPr>
              <w:t>210</w:t>
            </w:r>
            <w:r w:rsidRPr="00317ABF">
              <w:rPr>
                <w:sz w:val="22"/>
                <w:szCs w:val="22"/>
              </w:rPr>
              <w:t xml:space="preserve">. Prezes UKE, może, zgodnie z przesłankami, o których mowa w art. </w:t>
            </w:r>
            <w:r w:rsidR="00D2360D" w:rsidRPr="00317ABF">
              <w:rPr>
                <w:sz w:val="22"/>
                <w:szCs w:val="22"/>
              </w:rPr>
              <w:t>202</w:t>
            </w:r>
            <w:r w:rsidRPr="00317ABF">
              <w:rPr>
                <w:sz w:val="22"/>
                <w:szCs w:val="22"/>
              </w:rPr>
              <w:t xml:space="preserve"> pkt 2 lit. a</w:t>
            </w:r>
            <w:r w:rsidR="00D2360D" w:rsidRPr="00317ABF">
              <w:rPr>
                <w:sz w:val="22"/>
                <w:szCs w:val="22"/>
              </w:rPr>
              <w:t>,</w:t>
            </w:r>
            <w:r w:rsidRPr="00317ABF">
              <w:rPr>
                <w:sz w:val="22"/>
                <w:szCs w:val="22"/>
              </w:rPr>
              <w:t xml:space="preserve"> w drodze decyzji, nałożyć na przedsiębiorcę komunikacji elektronicznej o znaczącej pozycji rynkowej obowiązek uwzględniania uzasadnionych wniosków przedsiębiorców komunikacji elektronicznej o zapewnienie im dostępu do infrastruktury technicznej</w:t>
            </w:r>
            <w:r w:rsidR="00D2360D" w:rsidRPr="00317ABF">
              <w:rPr>
                <w:sz w:val="22"/>
                <w:szCs w:val="22"/>
              </w:rPr>
              <w:t>, okablowania pomiędzy zakończeniami sieci w obiekcie budowlanym a najbliższym punktem dystrybucji</w:t>
            </w:r>
            <w:r w:rsidRPr="00317ABF">
              <w:rPr>
                <w:sz w:val="22"/>
                <w:szCs w:val="22"/>
              </w:rPr>
              <w:t xml:space="preserve"> lub </w:t>
            </w:r>
            <w:r w:rsidR="00D2360D" w:rsidRPr="00317ABF">
              <w:rPr>
                <w:sz w:val="22"/>
                <w:szCs w:val="22"/>
              </w:rPr>
              <w:t>anteny</w:t>
            </w:r>
            <w:r w:rsidRPr="00317ABF">
              <w:rPr>
                <w:sz w:val="22"/>
                <w:szCs w:val="22"/>
              </w:rPr>
              <w:t xml:space="preserve">, w tym również niezwiązanych z danym rynkiem właściwym, biorąc pod uwagę to, że odmowa zapewnienia </w:t>
            </w:r>
            <w:r w:rsidR="00D2360D" w:rsidRPr="00317ABF">
              <w:rPr>
                <w:sz w:val="22"/>
                <w:szCs w:val="22"/>
              </w:rPr>
              <w:t xml:space="preserve">tego </w:t>
            </w:r>
            <w:r w:rsidRPr="00317ABF">
              <w:rPr>
                <w:sz w:val="22"/>
                <w:szCs w:val="22"/>
              </w:rPr>
              <w:t>dostępu uniemożliwiłaby powstanie trwale konkurencyjnego rynku i naruszałaby interes użytkowników końcowych.</w:t>
            </w:r>
          </w:p>
        </w:tc>
      </w:tr>
      <w:tr w:rsidR="001E1112" w:rsidRPr="00317ABF" w14:paraId="5BE3AC21" w14:textId="77777777" w:rsidTr="7753F98D">
        <w:trPr>
          <w:gridAfter w:val="2"/>
          <w:wAfter w:w="175" w:type="dxa"/>
        </w:trPr>
        <w:tc>
          <w:tcPr>
            <w:tcW w:w="704" w:type="dxa"/>
          </w:tcPr>
          <w:p w14:paraId="477BE7FE" w14:textId="77777777" w:rsidR="001E1112" w:rsidRPr="00317ABF" w:rsidRDefault="001E1112" w:rsidP="00DB3BEC">
            <w:pPr>
              <w:jc w:val="both"/>
              <w:rPr>
                <w:sz w:val="22"/>
                <w:szCs w:val="22"/>
              </w:rPr>
            </w:pPr>
            <w:r w:rsidRPr="00317ABF">
              <w:rPr>
                <w:sz w:val="22"/>
                <w:szCs w:val="22"/>
              </w:rPr>
              <w:t>Art. 72 ust. 2</w:t>
            </w:r>
          </w:p>
        </w:tc>
        <w:tc>
          <w:tcPr>
            <w:tcW w:w="4308" w:type="dxa"/>
          </w:tcPr>
          <w:p w14:paraId="0DD288D9" w14:textId="77777777" w:rsidR="001E1112" w:rsidRPr="00317ABF" w:rsidRDefault="001E1112" w:rsidP="00DB3BEC">
            <w:pPr>
              <w:spacing w:before="120"/>
              <w:jc w:val="both"/>
              <w:rPr>
                <w:sz w:val="22"/>
                <w:szCs w:val="22"/>
              </w:rPr>
            </w:pPr>
            <w:r w:rsidRPr="00317ABF">
              <w:rPr>
                <w:sz w:val="22"/>
                <w:szCs w:val="22"/>
              </w:rPr>
              <w:t>2.   Krajowe organy regulacyjne mogą nałożyć na przedsiębiorstwa obowiązek zapewnienia dostępu zgodnie z niniejszym artykułem, niezależnie od tego, czy według analizy rynku składniki aktywów, których dotyczy ten obowiązek, stanowią element rynku właściwego, jednak pod warunkiem że obowiązek ten jest proporcjonalny i konieczny, aby osiągnąć cele określone w art. 3.</w:t>
            </w:r>
          </w:p>
        </w:tc>
        <w:tc>
          <w:tcPr>
            <w:tcW w:w="986" w:type="dxa"/>
          </w:tcPr>
          <w:p w14:paraId="34FD2529" w14:textId="7637FF82" w:rsidR="001E1112" w:rsidRPr="00317ABF" w:rsidRDefault="001E1112" w:rsidP="00DB3BEC">
            <w:pPr>
              <w:jc w:val="both"/>
              <w:rPr>
                <w:sz w:val="22"/>
                <w:szCs w:val="22"/>
              </w:rPr>
            </w:pPr>
            <w:r w:rsidRPr="00317ABF">
              <w:rPr>
                <w:sz w:val="22"/>
                <w:szCs w:val="22"/>
              </w:rPr>
              <w:t>T</w:t>
            </w:r>
          </w:p>
        </w:tc>
        <w:tc>
          <w:tcPr>
            <w:tcW w:w="910" w:type="dxa"/>
          </w:tcPr>
          <w:p w14:paraId="3599F414" w14:textId="57BC8475" w:rsidR="001E1112" w:rsidRPr="00317ABF" w:rsidRDefault="001E1112" w:rsidP="00DB3BEC">
            <w:pPr>
              <w:pStyle w:val="Tekstpodstawowy"/>
              <w:rPr>
                <w:b/>
                <w:noProof/>
                <w:sz w:val="22"/>
                <w:szCs w:val="22"/>
              </w:rPr>
            </w:pPr>
            <w:r w:rsidRPr="00317ABF">
              <w:rPr>
                <w:b/>
                <w:noProof/>
                <w:sz w:val="22"/>
                <w:szCs w:val="22"/>
              </w:rPr>
              <w:t xml:space="preserve">Art. </w:t>
            </w:r>
            <w:r w:rsidR="00D2360D" w:rsidRPr="00317ABF">
              <w:rPr>
                <w:b/>
                <w:noProof/>
                <w:sz w:val="22"/>
                <w:szCs w:val="22"/>
              </w:rPr>
              <w:t>210</w:t>
            </w:r>
            <w:r w:rsidRPr="00317ABF">
              <w:rPr>
                <w:b/>
                <w:noProof/>
                <w:sz w:val="22"/>
                <w:szCs w:val="22"/>
              </w:rPr>
              <w:t xml:space="preserve"> </w:t>
            </w:r>
          </w:p>
        </w:tc>
        <w:tc>
          <w:tcPr>
            <w:tcW w:w="6814" w:type="dxa"/>
            <w:gridSpan w:val="2"/>
          </w:tcPr>
          <w:p w14:paraId="713ED568" w14:textId="25729073" w:rsidR="001E1112" w:rsidRPr="00317ABF" w:rsidRDefault="001E1112" w:rsidP="00DB3BEC">
            <w:pPr>
              <w:jc w:val="both"/>
              <w:rPr>
                <w:sz w:val="22"/>
                <w:szCs w:val="22"/>
              </w:rPr>
            </w:pPr>
            <w:r w:rsidRPr="00317ABF">
              <w:rPr>
                <w:b/>
                <w:sz w:val="22"/>
                <w:szCs w:val="22"/>
              </w:rPr>
              <w:t xml:space="preserve">Art. </w:t>
            </w:r>
            <w:r w:rsidR="00D2360D" w:rsidRPr="00317ABF">
              <w:rPr>
                <w:b/>
                <w:sz w:val="22"/>
                <w:szCs w:val="22"/>
              </w:rPr>
              <w:t>210</w:t>
            </w:r>
            <w:r w:rsidRPr="00317ABF">
              <w:rPr>
                <w:sz w:val="22"/>
                <w:szCs w:val="22"/>
              </w:rPr>
              <w:t xml:space="preserve">. Prezes UKE, może, zgodnie z przesłankami, o których mowa w art. </w:t>
            </w:r>
            <w:r w:rsidR="00D2360D" w:rsidRPr="00317ABF">
              <w:rPr>
                <w:sz w:val="22"/>
                <w:szCs w:val="22"/>
              </w:rPr>
              <w:t>202</w:t>
            </w:r>
            <w:r w:rsidRPr="00317ABF">
              <w:rPr>
                <w:sz w:val="22"/>
                <w:szCs w:val="22"/>
              </w:rPr>
              <w:t xml:space="preserve"> pkt 2 lit. a</w:t>
            </w:r>
            <w:r w:rsidR="00D2360D" w:rsidRPr="00317ABF">
              <w:rPr>
                <w:sz w:val="22"/>
                <w:szCs w:val="22"/>
              </w:rPr>
              <w:t>,</w:t>
            </w:r>
            <w:r w:rsidRPr="00317ABF">
              <w:rPr>
                <w:sz w:val="22"/>
                <w:szCs w:val="22"/>
              </w:rPr>
              <w:t xml:space="preserve"> w drodze decyzji, nałożyć na przedsiębiorcę komunikacji elektronicznej o znaczącej pozycji rynkowej obowiązek uwzględniania uzasadnionych wniosków przedsiębiorców komunikacji elektronicznej o zapewnienie im dostępu do infrastruktury technicznej</w:t>
            </w:r>
            <w:r w:rsidR="00D2360D" w:rsidRPr="00317ABF">
              <w:rPr>
                <w:sz w:val="22"/>
                <w:szCs w:val="22"/>
              </w:rPr>
              <w:t>, okablowania pomiędzy zakończeniami sieci w obiekcie budowlanym a najbliższym punktem dystrybucji</w:t>
            </w:r>
            <w:r w:rsidRPr="00317ABF">
              <w:rPr>
                <w:sz w:val="22"/>
                <w:szCs w:val="22"/>
              </w:rPr>
              <w:t xml:space="preserve"> lub </w:t>
            </w:r>
            <w:r w:rsidR="00D2360D" w:rsidRPr="00317ABF">
              <w:rPr>
                <w:sz w:val="22"/>
                <w:szCs w:val="22"/>
              </w:rPr>
              <w:t>anteny</w:t>
            </w:r>
            <w:r w:rsidRPr="00317ABF">
              <w:rPr>
                <w:sz w:val="22"/>
                <w:szCs w:val="22"/>
              </w:rPr>
              <w:t xml:space="preserve">, w tym również niezwiązanych z danym rynkiem właściwym, biorąc pod uwagę to, że odmowa zapewnienia </w:t>
            </w:r>
            <w:r w:rsidR="00D2360D" w:rsidRPr="00317ABF">
              <w:rPr>
                <w:sz w:val="22"/>
                <w:szCs w:val="22"/>
              </w:rPr>
              <w:t xml:space="preserve">tego </w:t>
            </w:r>
            <w:r w:rsidRPr="00317ABF">
              <w:rPr>
                <w:sz w:val="22"/>
                <w:szCs w:val="22"/>
              </w:rPr>
              <w:t>dostępu uniemożliwiłaby powstanie trwale konkurencyjnego rynku i naruszałaby interes użytkowników końcowych.</w:t>
            </w:r>
          </w:p>
        </w:tc>
      </w:tr>
      <w:tr w:rsidR="001E1112" w:rsidRPr="00317ABF" w14:paraId="16A04A9A" w14:textId="77777777" w:rsidTr="7753F98D">
        <w:trPr>
          <w:gridAfter w:val="2"/>
          <w:wAfter w:w="175" w:type="dxa"/>
        </w:trPr>
        <w:tc>
          <w:tcPr>
            <w:tcW w:w="704" w:type="dxa"/>
          </w:tcPr>
          <w:p w14:paraId="16356F1F" w14:textId="77777777" w:rsidR="001E1112" w:rsidRPr="00317ABF" w:rsidRDefault="001E1112" w:rsidP="00DB3BEC">
            <w:pPr>
              <w:jc w:val="both"/>
              <w:rPr>
                <w:b/>
                <w:sz w:val="22"/>
                <w:szCs w:val="22"/>
              </w:rPr>
            </w:pPr>
            <w:r w:rsidRPr="00317ABF">
              <w:rPr>
                <w:b/>
                <w:sz w:val="22"/>
                <w:szCs w:val="22"/>
              </w:rPr>
              <w:t>Art. 73</w:t>
            </w:r>
          </w:p>
        </w:tc>
        <w:tc>
          <w:tcPr>
            <w:tcW w:w="4308" w:type="dxa"/>
          </w:tcPr>
          <w:p w14:paraId="41AD78CE" w14:textId="77777777" w:rsidR="001E1112" w:rsidRPr="00317ABF" w:rsidRDefault="001E1112" w:rsidP="00DB3BEC">
            <w:pPr>
              <w:spacing w:before="60" w:after="120"/>
              <w:jc w:val="both"/>
              <w:rPr>
                <w:b/>
                <w:bCs/>
                <w:sz w:val="22"/>
                <w:szCs w:val="22"/>
              </w:rPr>
            </w:pPr>
            <w:r w:rsidRPr="00317ABF">
              <w:rPr>
                <w:b/>
                <w:bCs/>
                <w:sz w:val="22"/>
                <w:szCs w:val="22"/>
              </w:rPr>
              <w:t>Obowiązki związane z dostępem i użytkowaniem specyficznych elementów sieci i urządzeń towarzyszących</w:t>
            </w:r>
          </w:p>
        </w:tc>
        <w:tc>
          <w:tcPr>
            <w:tcW w:w="986" w:type="dxa"/>
          </w:tcPr>
          <w:p w14:paraId="23C2E858" w14:textId="77777777" w:rsidR="001E1112" w:rsidRPr="00317ABF" w:rsidRDefault="001E1112" w:rsidP="00DB3BEC">
            <w:pPr>
              <w:jc w:val="both"/>
              <w:rPr>
                <w:sz w:val="22"/>
                <w:szCs w:val="22"/>
              </w:rPr>
            </w:pPr>
          </w:p>
        </w:tc>
        <w:tc>
          <w:tcPr>
            <w:tcW w:w="910" w:type="dxa"/>
          </w:tcPr>
          <w:p w14:paraId="03CC4E43" w14:textId="77777777" w:rsidR="001E1112" w:rsidRPr="00317ABF" w:rsidRDefault="001E1112" w:rsidP="00DB3BEC">
            <w:pPr>
              <w:pStyle w:val="Tekstpodstawowy"/>
              <w:rPr>
                <w:b/>
                <w:noProof/>
                <w:sz w:val="22"/>
                <w:szCs w:val="22"/>
              </w:rPr>
            </w:pPr>
          </w:p>
        </w:tc>
        <w:tc>
          <w:tcPr>
            <w:tcW w:w="6814" w:type="dxa"/>
            <w:gridSpan w:val="2"/>
          </w:tcPr>
          <w:p w14:paraId="586833A2" w14:textId="77777777" w:rsidR="001E1112" w:rsidRPr="00317ABF" w:rsidRDefault="001E1112" w:rsidP="00DB3BEC">
            <w:pPr>
              <w:pStyle w:val="Tekstpodstawowy"/>
              <w:rPr>
                <w:sz w:val="22"/>
                <w:szCs w:val="22"/>
              </w:rPr>
            </w:pPr>
          </w:p>
        </w:tc>
      </w:tr>
      <w:tr w:rsidR="001E1112" w:rsidRPr="00317ABF" w14:paraId="2AF88A8D" w14:textId="77777777" w:rsidTr="7753F98D">
        <w:trPr>
          <w:gridAfter w:val="2"/>
          <w:wAfter w:w="175" w:type="dxa"/>
        </w:trPr>
        <w:tc>
          <w:tcPr>
            <w:tcW w:w="704" w:type="dxa"/>
          </w:tcPr>
          <w:p w14:paraId="47798FA5" w14:textId="77777777" w:rsidR="001E1112" w:rsidRPr="00317ABF" w:rsidRDefault="001E1112" w:rsidP="00DB3BEC">
            <w:pPr>
              <w:jc w:val="both"/>
              <w:rPr>
                <w:sz w:val="22"/>
                <w:szCs w:val="22"/>
              </w:rPr>
            </w:pPr>
            <w:r w:rsidRPr="00317ABF">
              <w:rPr>
                <w:sz w:val="22"/>
                <w:szCs w:val="22"/>
              </w:rPr>
              <w:lastRenderedPageBreak/>
              <w:t>Art. 73 ust. 1</w:t>
            </w:r>
          </w:p>
        </w:tc>
        <w:tc>
          <w:tcPr>
            <w:tcW w:w="4308" w:type="dxa"/>
          </w:tcPr>
          <w:p w14:paraId="71563B9B" w14:textId="77777777" w:rsidR="001E1112" w:rsidRPr="00317ABF" w:rsidRDefault="001E1112" w:rsidP="00DB3BEC">
            <w:pPr>
              <w:spacing w:before="120"/>
              <w:jc w:val="both"/>
              <w:rPr>
                <w:sz w:val="22"/>
                <w:szCs w:val="22"/>
              </w:rPr>
            </w:pPr>
            <w:r w:rsidRPr="00317ABF">
              <w:rPr>
                <w:sz w:val="22"/>
                <w:szCs w:val="22"/>
              </w:rPr>
              <w:t>1.   Krajowy organ regulacyjny może nałożyć na przedsiębiorstwa, zgodnie z art. 68, obowiązek uwzględnienia uzasadnionych wniosków o dostęp i użytkowanie specyficznych elementów sieci oraz do urządzeń towarzyszących, w szczególności jeżeli krajowe organy regulacyjne uznają, że odmowa przyznania dostępu lub ustanowienie nierozsądnych zasad i warunków mających podobny skutek uniemożliwiłyby powstanie trwale konkurencyjnego rynku detalicznego i nie leżałyby w interesie użytkowników końcowych.</w:t>
            </w:r>
          </w:p>
          <w:p w14:paraId="69537F27" w14:textId="77777777" w:rsidR="001E1112" w:rsidRPr="00317ABF" w:rsidRDefault="001E1112" w:rsidP="00DB3BEC">
            <w:pPr>
              <w:spacing w:before="120"/>
              <w:jc w:val="both"/>
              <w:rPr>
                <w:sz w:val="22"/>
                <w:szCs w:val="22"/>
              </w:rPr>
            </w:pPr>
            <w:r w:rsidRPr="00317ABF">
              <w:rPr>
                <w:sz w:val="22"/>
                <w:szCs w:val="22"/>
              </w:rPr>
              <w:t>Krajowe organy regulacyjne mogą wymagać od przedsiębiorstw między innymi:</w:t>
            </w:r>
          </w:p>
          <w:tbl>
            <w:tblPr>
              <w:tblW w:w="5000" w:type="pct"/>
              <w:tblCellSpacing w:w="0" w:type="dxa"/>
              <w:tblLayout w:type="fixed"/>
              <w:tblCellMar>
                <w:left w:w="0" w:type="dxa"/>
                <w:right w:w="0" w:type="dxa"/>
              </w:tblCellMar>
              <w:tblLook w:val="04A0" w:firstRow="1" w:lastRow="0" w:firstColumn="1" w:lastColumn="0" w:noHBand="0" w:noVBand="1"/>
            </w:tblPr>
            <w:tblGrid>
              <w:gridCol w:w="20"/>
              <w:gridCol w:w="4148"/>
            </w:tblGrid>
            <w:tr w:rsidR="001E1112" w:rsidRPr="00317ABF" w14:paraId="50CF3595" w14:textId="77777777" w:rsidTr="007B5338">
              <w:trPr>
                <w:tblCellSpacing w:w="0" w:type="dxa"/>
              </w:trPr>
              <w:tc>
                <w:tcPr>
                  <w:tcW w:w="6" w:type="dxa"/>
                  <w:hideMark/>
                </w:tcPr>
                <w:p w14:paraId="49B2559F" w14:textId="77777777" w:rsidR="001E1112" w:rsidRPr="00317ABF" w:rsidRDefault="001E1112" w:rsidP="00EE0AC3">
                  <w:pPr>
                    <w:framePr w:hSpace="141" w:wrap="around" w:vAnchor="text" w:hAnchor="text" w:xAlign="right" w:y="1"/>
                    <w:spacing w:before="120"/>
                    <w:suppressOverlap/>
                    <w:jc w:val="both"/>
                    <w:rPr>
                      <w:sz w:val="22"/>
                      <w:szCs w:val="22"/>
                    </w:rPr>
                  </w:pPr>
                </w:p>
              </w:tc>
              <w:tc>
                <w:tcPr>
                  <w:tcW w:w="9066" w:type="dxa"/>
                  <w:hideMark/>
                </w:tcPr>
                <w:p w14:paraId="7628F464" w14:textId="77777777" w:rsidR="001E1112" w:rsidRPr="00317ABF" w:rsidRDefault="001E1112" w:rsidP="00EE0AC3">
                  <w:pPr>
                    <w:framePr w:hSpace="141" w:wrap="around" w:vAnchor="text" w:hAnchor="text" w:xAlign="right" w:y="1"/>
                    <w:numPr>
                      <w:ilvl w:val="0"/>
                      <w:numId w:val="61"/>
                    </w:numPr>
                    <w:spacing w:before="120"/>
                    <w:suppressOverlap/>
                    <w:jc w:val="both"/>
                    <w:rPr>
                      <w:sz w:val="22"/>
                      <w:szCs w:val="22"/>
                    </w:rPr>
                  </w:pPr>
                  <w:r w:rsidRPr="00317ABF">
                    <w:rPr>
                      <w:sz w:val="22"/>
                      <w:szCs w:val="22"/>
                    </w:rPr>
                    <w:t>przyznawania osobom trzecim dostępu do i użytkowania konkretnych fizycznych elementów sieci i urządzeń towarzyszących, w stosownych przypadkach, w tym uwolnionego dostępu do pętli i podpętli lokalnej;</w:t>
                  </w:r>
                </w:p>
              </w:tc>
            </w:tr>
          </w:tbl>
          <w:p w14:paraId="770E4F5D" w14:textId="77777777" w:rsidR="001E1112" w:rsidRPr="00317ABF" w:rsidRDefault="001E1112" w:rsidP="00DB3BEC">
            <w:pPr>
              <w:jc w:val="both"/>
              <w:rPr>
                <w:vanish/>
                <w:sz w:val="22"/>
                <w:szCs w:val="22"/>
              </w:rPr>
            </w:pPr>
          </w:p>
          <w:tbl>
            <w:tblPr>
              <w:tblW w:w="5000" w:type="pct"/>
              <w:tblCellSpacing w:w="0" w:type="dxa"/>
              <w:tblLayout w:type="fixed"/>
              <w:tblCellMar>
                <w:left w:w="0" w:type="dxa"/>
                <w:right w:w="0" w:type="dxa"/>
              </w:tblCellMar>
              <w:tblLook w:val="04A0" w:firstRow="1" w:lastRow="0" w:firstColumn="1" w:lastColumn="0" w:noHBand="0" w:noVBand="1"/>
            </w:tblPr>
            <w:tblGrid>
              <w:gridCol w:w="20"/>
              <w:gridCol w:w="4148"/>
            </w:tblGrid>
            <w:tr w:rsidR="001E1112" w:rsidRPr="00317ABF" w14:paraId="68BD265C" w14:textId="77777777" w:rsidTr="007B5338">
              <w:trPr>
                <w:tblCellSpacing w:w="0" w:type="dxa"/>
              </w:trPr>
              <w:tc>
                <w:tcPr>
                  <w:tcW w:w="6" w:type="dxa"/>
                  <w:hideMark/>
                </w:tcPr>
                <w:p w14:paraId="6EF607CF" w14:textId="77777777" w:rsidR="001E1112" w:rsidRPr="00317ABF" w:rsidRDefault="001E1112" w:rsidP="00EE0AC3">
                  <w:pPr>
                    <w:framePr w:hSpace="141" w:wrap="around" w:vAnchor="text" w:hAnchor="text" w:xAlign="right" w:y="1"/>
                    <w:spacing w:before="120"/>
                    <w:suppressOverlap/>
                    <w:jc w:val="both"/>
                    <w:rPr>
                      <w:sz w:val="22"/>
                      <w:szCs w:val="22"/>
                    </w:rPr>
                  </w:pPr>
                </w:p>
              </w:tc>
              <w:tc>
                <w:tcPr>
                  <w:tcW w:w="9066" w:type="dxa"/>
                  <w:hideMark/>
                </w:tcPr>
                <w:p w14:paraId="5A7F760B" w14:textId="77777777" w:rsidR="001E1112" w:rsidRPr="00317ABF" w:rsidRDefault="001E1112" w:rsidP="00EE0AC3">
                  <w:pPr>
                    <w:framePr w:hSpace="141" w:wrap="around" w:vAnchor="text" w:hAnchor="text" w:xAlign="right" w:y="1"/>
                    <w:numPr>
                      <w:ilvl w:val="0"/>
                      <w:numId w:val="61"/>
                    </w:numPr>
                    <w:spacing w:before="120"/>
                    <w:suppressOverlap/>
                    <w:jc w:val="both"/>
                    <w:rPr>
                      <w:sz w:val="22"/>
                      <w:szCs w:val="22"/>
                    </w:rPr>
                  </w:pPr>
                  <w:r w:rsidRPr="00317ABF">
                    <w:rPr>
                      <w:sz w:val="22"/>
                      <w:szCs w:val="22"/>
                    </w:rPr>
                    <w:t>przyznawania osobom trzecim dostępu do określonych aktywnych lub wirtualnych elementów lub usług sieciowych;</w:t>
                  </w:r>
                </w:p>
              </w:tc>
            </w:tr>
          </w:tbl>
          <w:p w14:paraId="6F53DE05" w14:textId="77777777" w:rsidR="001E1112" w:rsidRPr="00317ABF" w:rsidRDefault="001E1112" w:rsidP="00DB3BEC">
            <w:pPr>
              <w:jc w:val="both"/>
              <w:rPr>
                <w:vanish/>
                <w:sz w:val="22"/>
                <w:szCs w:val="22"/>
              </w:rPr>
            </w:pPr>
          </w:p>
          <w:tbl>
            <w:tblPr>
              <w:tblW w:w="5000" w:type="pct"/>
              <w:tblCellSpacing w:w="0" w:type="dxa"/>
              <w:tblLayout w:type="fixed"/>
              <w:tblCellMar>
                <w:left w:w="0" w:type="dxa"/>
                <w:right w:w="0" w:type="dxa"/>
              </w:tblCellMar>
              <w:tblLook w:val="04A0" w:firstRow="1" w:lastRow="0" w:firstColumn="1" w:lastColumn="0" w:noHBand="0" w:noVBand="1"/>
            </w:tblPr>
            <w:tblGrid>
              <w:gridCol w:w="20"/>
              <w:gridCol w:w="4148"/>
            </w:tblGrid>
            <w:tr w:rsidR="001E1112" w:rsidRPr="00317ABF" w14:paraId="4CA5B177" w14:textId="77777777" w:rsidTr="007B5338">
              <w:trPr>
                <w:tblCellSpacing w:w="0" w:type="dxa"/>
              </w:trPr>
              <w:tc>
                <w:tcPr>
                  <w:tcW w:w="7" w:type="dxa"/>
                  <w:hideMark/>
                </w:tcPr>
                <w:p w14:paraId="45D25B16" w14:textId="77777777" w:rsidR="001E1112" w:rsidRPr="00317ABF" w:rsidRDefault="001E1112" w:rsidP="00EE0AC3">
                  <w:pPr>
                    <w:framePr w:hSpace="141" w:wrap="around" w:vAnchor="text" w:hAnchor="text" w:xAlign="right" w:y="1"/>
                    <w:spacing w:before="120"/>
                    <w:suppressOverlap/>
                    <w:jc w:val="both"/>
                    <w:rPr>
                      <w:sz w:val="22"/>
                      <w:szCs w:val="22"/>
                    </w:rPr>
                  </w:pPr>
                </w:p>
              </w:tc>
              <w:tc>
                <w:tcPr>
                  <w:tcW w:w="9065" w:type="dxa"/>
                  <w:hideMark/>
                </w:tcPr>
                <w:p w14:paraId="3271C0E8" w14:textId="77777777" w:rsidR="001E1112" w:rsidRPr="00317ABF" w:rsidRDefault="001E1112" w:rsidP="00EE0AC3">
                  <w:pPr>
                    <w:framePr w:hSpace="141" w:wrap="around" w:vAnchor="text" w:hAnchor="text" w:xAlign="right" w:y="1"/>
                    <w:numPr>
                      <w:ilvl w:val="0"/>
                      <w:numId w:val="61"/>
                    </w:numPr>
                    <w:spacing w:before="120"/>
                    <w:suppressOverlap/>
                    <w:jc w:val="both"/>
                    <w:rPr>
                      <w:sz w:val="22"/>
                      <w:szCs w:val="22"/>
                    </w:rPr>
                  </w:pPr>
                  <w:r w:rsidRPr="00317ABF">
                    <w:rPr>
                      <w:sz w:val="22"/>
                      <w:szCs w:val="22"/>
                    </w:rPr>
                    <w:t>negocjowania w dobrej wierze z przedsiębiorstwami ubiegającymi się o dostęp;</w:t>
                  </w:r>
                </w:p>
              </w:tc>
            </w:tr>
          </w:tbl>
          <w:p w14:paraId="6434836E" w14:textId="77777777" w:rsidR="001E1112" w:rsidRPr="00317ABF" w:rsidRDefault="001E1112" w:rsidP="00DB3BEC">
            <w:pPr>
              <w:jc w:val="both"/>
              <w:rPr>
                <w:vanish/>
                <w:sz w:val="22"/>
                <w:szCs w:val="22"/>
              </w:rPr>
            </w:pPr>
          </w:p>
          <w:tbl>
            <w:tblPr>
              <w:tblW w:w="5000" w:type="pct"/>
              <w:tblCellSpacing w:w="0" w:type="dxa"/>
              <w:tblLayout w:type="fixed"/>
              <w:tblCellMar>
                <w:left w:w="0" w:type="dxa"/>
                <w:right w:w="0" w:type="dxa"/>
              </w:tblCellMar>
              <w:tblLook w:val="04A0" w:firstRow="1" w:lastRow="0" w:firstColumn="1" w:lastColumn="0" w:noHBand="0" w:noVBand="1"/>
            </w:tblPr>
            <w:tblGrid>
              <w:gridCol w:w="20"/>
              <w:gridCol w:w="4148"/>
            </w:tblGrid>
            <w:tr w:rsidR="001E1112" w:rsidRPr="00317ABF" w14:paraId="2B78698F" w14:textId="77777777" w:rsidTr="007B5338">
              <w:trPr>
                <w:tblCellSpacing w:w="0" w:type="dxa"/>
              </w:trPr>
              <w:tc>
                <w:tcPr>
                  <w:tcW w:w="7" w:type="dxa"/>
                  <w:hideMark/>
                </w:tcPr>
                <w:p w14:paraId="79067890" w14:textId="77777777" w:rsidR="001E1112" w:rsidRPr="00317ABF" w:rsidRDefault="001E1112" w:rsidP="00EE0AC3">
                  <w:pPr>
                    <w:framePr w:hSpace="141" w:wrap="around" w:vAnchor="text" w:hAnchor="text" w:xAlign="right" w:y="1"/>
                    <w:spacing w:before="120"/>
                    <w:suppressOverlap/>
                    <w:jc w:val="both"/>
                    <w:rPr>
                      <w:sz w:val="22"/>
                      <w:szCs w:val="22"/>
                    </w:rPr>
                  </w:pPr>
                </w:p>
              </w:tc>
              <w:tc>
                <w:tcPr>
                  <w:tcW w:w="9065" w:type="dxa"/>
                  <w:hideMark/>
                </w:tcPr>
                <w:p w14:paraId="6CC3C325" w14:textId="77777777" w:rsidR="001E1112" w:rsidRPr="00317ABF" w:rsidRDefault="001E1112" w:rsidP="00EE0AC3">
                  <w:pPr>
                    <w:framePr w:hSpace="141" w:wrap="around" w:vAnchor="text" w:hAnchor="text" w:xAlign="right" w:y="1"/>
                    <w:numPr>
                      <w:ilvl w:val="0"/>
                      <w:numId w:val="61"/>
                    </w:numPr>
                    <w:spacing w:before="120"/>
                    <w:suppressOverlap/>
                    <w:jc w:val="both"/>
                    <w:rPr>
                      <w:sz w:val="22"/>
                      <w:szCs w:val="22"/>
                    </w:rPr>
                  </w:pPr>
                  <w:r w:rsidRPr="00317ABF">
                    <w:rPr>
                      <w:sz w:val="22"/>
                      <w:szCs w:val="22"/>
                    </w:rPr>
                    <w:t>niewycofywania dostępu do urządzeń, jeżeli taki dostęp został już przyznany;</w:t>
                  </w:r>
                </w:p>
              </w:tc>
            </w:tr>
          </w:tbl>
          <w:p w14:paraId="3F40A433" w14:textId="77777777" w:rsidR="001E1112" w:rsidRPr="00317ABF" w:rsidRDefault="001E1112" w:rsidP="00DB3BEC">
            <w:pPr>
              <w:jc w:val="both"/>
              <w:rPr>
                <w:vanish/>
                <w:sz w:val="22"/>
                <w:szCs w:val="22"/>
              </w:rPr>
            </w:pPr>
          </w:p>
          <w:tbl>
            <w:tblPr>
              <w:tblW w:w="5000" w:type="pct"/>
              <w:tblCellSpacing w:w="0" w:type="dxa"/>
              <w:tblLayout w:type="fixed"/>
              <w:tblCellMar>
                <w:left w:w="0" w:type="dxa"/>
                <w:right w:w="0" w:type="dxa"/>
              </w:tblCellMar>
              <w:tblLook w:val="04A0" w:firstRow="1" w:lastRow="0" w:firstColumn="1" w:lastColumn="0" w:noHBand="0" w:noVBand="1"/>
            </w:tblPr>
            <w:tblGrid>
              <w:gridCol w:w="20"/>
              <w:gridCol w:w="4148"/>
            </w:tblGrid>
            <w:tr w:rsidR="001E1112" w:rsidRPr="00317ABF" w14:paraId="4C3FEC3C" w14:textId="77777777" w:rsidTr="007B5338">
              <w:trPr>
                <w:tblCellSpacing w:w="0" w:type="dxa"/>
              </w:trPr>
              <w:tc>
                <w:tcPr>
                  <w:tcW w:w="7" w:type="dxa"/>
                  <w:hideMark/>
                </w:tcPr>
                <w:p w14:paraId="64914E31" w14:textId="77777777" w:rsidR="001E1112" w:rsidRPr="00317ABF" w:rsidRDefault="001E1112" w:rsidP="00EE0AC3">
                  <w:pPr>
                    <w:framePr w:hSpace="141" w:wrap="around" w:vAnchor="text" w:hAnchor="text" w:xAlign="right" w:y="1"/>
                    <w:spacing w:before="120"/>
                    <w:suppressOverlap/>
                    <w:jc w:val="both"/>
                    <w:rPr>
                      <w:sz w:val="22"/>
                      <w:szCs w:val="22"/>
                    </w:rPr>
                  </w:pPr>
                </w:p>
              </w:tc>
              <w:tc>
                <w:tcPr>
                  <w:tcW w:w="9065" w:type="dxa"/>
                  <w:hideMark/>
                </w:tcPr>
                <w:p w14:paraId="77696827" w14:textId="77777777" w:rsidR="001E1112" w:rsidRPr="00317ABF" w:rsidRDefault="001E1112" w:rsidP="00EE0AC3">
                  <w:pPr>
                    <w:framePr w:hSpace="141" w:wrap="around" w:vAnchor="text" w:hAnchor="text" w:xAlign="right" w:y="1"/>
                    <w:numPr>
                      <w:ilvl w:val="0"/>
                      <w:numId w:val="61"/>
                    </w:numPr>
                    <w:spacing w:before="120"/>
                    <w:suppressOverlap/>
                    <w:jc w:val="both"/>
                    <w:rPr>
                      <w:sz w:val="22"/>
                      <w:szCs w:val="22"/>
                    </w:rPr>
                  </w:pPr>
                  <w:r w:rsidRPr="00317ABF">
                    <w:rPr>
                      <w:sz w:val="22"/>
                      <w:szCs w:val="22"/>
                    </w:rPr>
                    <w:t>oferowania określonych usług hurtowo celem ich odsprzedaży osobom trzecim;</w:t>
                  </w:r>
                </w:p>
              </w:tc>
            </w:tr>
          </w:tbl>
          <w:p w14:paraId="7D470512" w14:textId="77777777" w:rsidR="001E1112" w:rsidRPr="00317ABF" w:rsidRDefault="001E1112" w:rsidP="00DB3BEC">
            <w:pPr>
              <w:jc w:val="both"/>
              <w:rPr>
                <w:vanish/>
                <w:sz w:val="22"/>
                <w:szCs w:val="22"/>
              </w:rPr>
            </w:pPr>
          </w:p>
          <w:tbl>
            <w:tblPr>
              <w:tblW w:w="5000" w:type="pct"/>
              <w:tblCellSpacing w:w="0" w:type="dxa"/>
              <w:tblLayout w:type="fixed"/>
              <w:tblCellMar>
                <w:left w:w="0" w:type="dxa"/>
                <w:right w:w="0" w:type="dxa"/>
              </w:tblCellMar>
              <w:tblLook w:val="04A0" w:firstRow="1" w:lastRow="0" w:firstColumn="1" w:lastColumn="0" w:noHBand="0" w:noVBand="1"/>
            </w:tblPr>
            <w:tblGrid>
              <w:gridCol w:w="20"/>
              <w:gridCol w:w="4148"/>
            </w:tblGrid>
            <w:tr w:rsidR="001E1112" w:rsidRPr="00317ABF" w14:paraId="127DC3A8" w14:textId="77777777" w:rsidTr="007B5338">
              <w:trPr>
                <w:tblCellSpacing w:w="0" w:type="dxa"/>
              </w:trPr>
              <w:tc>
                <w:tcPr>
                  <w:tcW w:w="6" w:type="dxa"/>
                  <w:hideMark/>
                </w:tcPr>
                <w:p w14:paraId="20B3493E" w14:textId="77777777" w:rsidR="001E1112" w:rsidRPr="00317ABF" w:rsidRDefault="001E1112" w:rsidP="00EE0AC3">
                  <w:pPr>
                    <w:framePr w:hSpace="141" w:wrap="around" w:vAnchor="text" w:hAnchor="text" w:xAlign="right" w:y="1"/>
                    <w:spacing w:before="120"/>
                    <w:suppressOverlap/>
                    <w:jc w:val="both"/>
                    <w:rPr>
                      <w:sz w:val="22"/>
                      <w:szCs w:val="22"/>
                    </w:rPr>
                  </w:pPr>
                </w:p>
              </w:tc>
              <w:tc>
                <w:tcPr>
                  <w:tcW w:w="9066" w:type="dxa"/>
                  <w:hideMark/>
                </w:tcPr>
                <w:p w14:paraId="19006F6A" w14:textId="77777777" w:rsidR="001E1112" w:rsidRPr="00317ABF" w:rsidRDefault="001E1112" w:rsidP="00EE0AC3">
                  <w:pPr>
                    <w:framePr w:hSpace="141" w:wrap="around" w:vAnchor="text" w:hAnchor="text" w:xAlign="right" w:y="1"/>
                    <w:numPr>
                      <w:ilvl w:val="0"/>
                      <w:numId w:val="61"/>
                    </w:numPr>
                    <w:spacing w:before="120"/>
                    <w:suppressOverlap/>
                    <w:jc w:val="both"/>
                    <w:rPr>
                      <w:sz w:val="22"/>
                      <w:szCs w:val="22"/>
                    </w:rPr>
                  </w:pPr>
                  <w:r w:rsidRPr="00317ABF">
                    <w:rPr>
                      <w:sz w:val="22"/>
                      <w:szCs w:val="22"/>
                    </w:rPr>
                    <w:t>przyznania otwartego dostępu do technicznych interfejsów, protokołów albo innych kluczowych technologii niezbędnych do zapewnienia interoperacyjności usług albo wirtualnych usług sieciowych;</w:t>
                  </w:r>
                </w:p>
              </w:tc>
            </w:tr>
          </w:tbl>
          <w:p w14:paraId="6DB5966B" w14:textId="77777777" w:rsidR="001E1112" w:rsidRPr="00317ABF" w:rsidRDefault="001E1112" w:rsidP="00DB3BEC">
            <w:pPr>
              <w:jc w:val="both"/>
              <w:rPr>
                <w:vanish/>
                <w:sz w:val="22"/>
                <w:szCs w:val="22"/>
              </w:rPr>
            </w:pPr>
          </w:p>
          <w:tbl>
            <w:tblPr>
              <w:tblW w:w="5000" w:type="pct"/>
              <w:tblCellSpacing w:w="0" w:type="dxa"/>
              <w:tblLayout w:type="fixed"/>
              <w:tblCellMar>
                <w:left w:w="0" w:type="dxa"/>
                <w:right w:w="0" w:type="dxa"/>
              </w:tblCellMar>
              <w:tblLook w:val="04A0" w:firstRow="1" w:lastRow="0" w:firstColumn="1" w:lastColumn="0" w:noHBand="0" w:noVBand="1"/>
            </w:tblPr>
            <w:tblGrid>
              <w:gridCol w:w="20"/>
              <w:gridCol w:w="4148"/>
            </w:tblGrid>
            <w:tr w:rsidR="001E1112" w:rsidRPr="00317ABF" w14:paraId="1354323F" w14:textId="77777777" w:rsidTr="007B5338">
              <w:trPr>
                <w:tblCellSpacing w:w="0" w:type="dxa"/>
              </w:trPr>
              <w:tc>
                <w:tcPr>
                  <w:tcW w:w="7" w:type="dxa"/>
                  <w:hideMark/>
                </w:tcPr>
                <w:p w14:paraId="6A9076A3" w14:textId="77777777" w:rsidR="001E1112" w:rsidRPr="00317ABF" w:rsidRDefault="001E1112" w:rsidP="00EE0AC3">
                  <w:pPr>
                    <w:framePr w:hSpace="141" w:wrap="around" w:vAnchor="text" w:hAnchor="text" w:xAlign="right" w:y="1"/>
                    <w:spacing w:before="120"/>
                    <w:suppressOverlap/>
                    <w:jc w:val="both"/>
                    <w:rPr>
                      <w:sz w:val="22"/>
                      <w:szCs w:val="22"/>
                    </w:rPr>
                  </w:pPr>
                </w:p>
              </w:tc>
              <w:tc>
                <w:tcPr>
                  <w:tcW w:w="9065" w:type="dxa"/>
                  <w:hideMark/>
                </w:tcPr>
                <w:p w14:paraId="65F34E9C" w14:textId="77777777" w:rsidR="001E1112" w:rsidRPr="00317ABF" w:rsidRDefault="001E1112" w:rsidP="00EE0AC3">
                  <w:pPr>
                    <w:framePr w:hSpace="141" w:wrap="around" w:vAnchor="text" w:hAnchor="text" w:xAlign="right" w:y="1"/>
                    <w:numPr>
                      <w:ilvl w:val="0"/>
                      <w:numId w:val="61"/>
                    </w:numPr>
                    <w:spacing w:before="120"/>
                    <w:suppressOverlap/>
                    <w:jc w:val="both"/>
                    <w:rPr>
                      <w:sz w:val="22"/>
                      <w:szCs w:val="22"/>
                    </w:rPr>
                  </w:pPr>
                  <w:r w:rsidRPr="00317ABF">
                    <w:rPr>
                      <w:sz w:val="22"/>
                      <w:szCs w:val="22"/>
                    </w:rPr>
                    <w:t>zapewnienia kolokacji lub innych form współużytkowania urządzeń towarzyszących;</w:t>
                  </w:r>
                </w:p>
              </w:tc>
            </w:tr>
          </w:tbl>
          <w:p w14:paraId="603AD8EC" w14:textId="77777777" w:rsidR="001E1112" w:rsidRPr="00317ABF" w:rsidRDefault="001E1112" w:rsidP="00DB3BEC">
            <w:pPr>
              <w:jc w:val="both"/>
              <w:rPr>
                <w:vanish/>
                <w:sz w:val="22"/>
                <w:szCs w:val="22"/>
              </w:rPr>
            </w:pPr>
          </w:p>
          <w:tbl>
            <w:tblPr>
              <w:tblW w:w="5000" w:type="pct"/>
              <w:tblCellSpacing w:w="0" w:type="dxa"/>
              <w:tblLayout w:type="fixed"/>
              <w:tblCellMar>
                <w:left w:w="0" w:type="dxa"/>
                <w:right w:w="0" w:type="dxa"/>
              </w:tblCellMar>
              <w:tblLook w:val="04A0" w:firstRow="1" w:lastRow="0" w:firstColumn="1" w:lastColumn="0" w:noHBand="0" w:noVBand="1"/>
            </w:tblPr>
            <w:tblGrid>
              <w:gridCol w:w="20"/>
              <w:gridCol w:w="4148"/>
            </w:tblGrid>
            <w:tr w:rsidR="001E1112" w:rsidRPr="00317ABF" w14:paraId="28C52885" w14:textId="77777777" w:rsidTr="007B5338">
              <w:trPr>
                <w:tblCellSpacing w:w="0" w:type="dxa"/>
              </w:trPr>
              <w:tc>
                <w:tcPr>
                  <w:tcW w:w="6" w:type="dxa"/>
                  <w:hideMark/>
                </w:tcPr>
                <w:p w14:paraId="37DD3456" w14:textId="77777777" w:rsidR="001E1112" w:rsidRPr="00317ABF" w:rsidRDefault="001E1112" w:rsidP="00EE0AC3">
                  <w:pPr>
                    <w:framePr w:hSpace="141" w:wrap="around" w:vAnchor="text" w:hAnchor="text" w:xAlign="right" w:y="1"/>
                    <w:spacing w:before="120"/>
                    <w:suppressOverlap/>
                    <w:jc w:val="both"/>
                    <w:rPr>
                      <w:sz w:val="22"/>
                      <w:szCs w:val="22"/>
                    </w:rPr>
                  </w:pPr>
                </w:p>
              </w:tc>
              <w:tc>
                <w:tcPr>
                  <w:tcW w:w="9066" w:type="dxa"/>
                  <w:hideMark/>
                </w:tcPr>
                <w:p w14:paraId="7E7D4AD1" w14:textId="77777777" w:rsidR="001E1112" w:rsidRPr="00317ABF" w:rsidRDefault="001E1112" w:rsidP="00EE0AC3">
                  <w:pPr>
                    <w:framePr w:hSpace="141" w:wrap="around" w:vAnchor="text" w:hAnchor="text" w:xAlign="right" w:y="1"/>
                    <w:numPr>
                      <w:ilvl w:val="0"/>
                      <w:numId w:val="61"/>
                    </w:numPr>
                    <w:spacing w:before="120"/>
                    <w:suppressOverlap/>
                    <w:jc w:val="both"/>
                    <w:rPr>
                      <w:sz w:val="22"/>
                      <w:szCs w:val="22"/>
                    </w:rPr>
                  </w:pPr>
                  <w:r w:rsidRPr="00317ABF">
                    <w:rPr>
                      <w:sz w:val="22"/>
                      <w:szCs w:val="22"/>
                    </w:rPr>
                    <w:t>świadczenia szczególnych usług niezbędnych dla zapewnienia użytkownikom interoperacyjności usług typu koniec–koniec lub usług roamingu w sieciach ruchomych;</w:t>
                  </w:r>
                </w:p>
              </w:tc>
            </w:tr>
          </w:tbl>
          <w:p w14:paraId="4042E201" w14:textId="77777777" w:rsidR="001E1112" w:rsidRPr="00317ABF" w:rsidRDefault="001E1112" w:rsidP="00DB3BEC">
            <w:pPr>
              <w:jc w:val="both"/>
              <w:rPr>
                <w:vanish/>
                <w:sz w:val="22"/>
                <w:szCs w:val="22"/>
              </w:rPr>
            </w:pPr>
          </w:p>
          <w:tbl>
            <w:tblPr>
              <w:tblW w:w="5000" w:type="pct"/>
              <w:tblCellSpacing w:w="0" w:type="dxa"/>
              <w:tblLayout w:type="fixed"/>
              <w:tblCellMar>
                <w:left w:w="0" w:type="dxa"/>
                <w:right w:w="0" w:type="dxa"/>
              </w:tblCellMar>
              <w:tblLook w:val="04A0" w:firstRow="1" w:lastRow="0" w:firstColumn="1" w:lastColumn="0" w:noHBand="0" w:noVBand="1"/>
            </w:tblPr>
            <w:tblGrid>
              <w:gridCol w:w="20"/>
              <w:gridCol w:w="4148"/>
            </w:tblGrid>
            <w:tr w:rsidR="001E1112" w:rsidRPr="00317ABF" w14:paraId="77071A75" w14:textId="77777777" w:rsidTr="007B5338">
              <w:trPr>
                <w:tblCellSpacing w:w="0" w:type="dxa"/>
              </w:trPr>
              <w:tc>
                <w:tcPr>
                  <w:tcW w:w="6" w:type="dxa"/>
                  <w:hideMark/>
                </w:tcPr>
                <w:p w14:paraId="7DB5D440" w14:textId="77777777" w:rsidR="001E1112" w:rsidRPr="00317ABF" w:rsidRDefault="001E1112" w:rsidP="00EE0AC3">
                  <w:pPr>
                    <w:framePr w:hSpace="141" w:wrap="around" w:vAnchor="text" w:hAnchor="text" w:xAlign="right" w:y="1"/>
                    <w:spacing w:before="120"/>
                    <w:suppressOverlap/>
                    <w:jc w:val="both"/>
                    <w:rPr>
                      <w:sz w:val="22"/>
                      <w:szCs w:val="22"/>
                    </w:rPr>
                  </w:pPr>
                </w:p>
              </w:tc>
              <w:tc>
                <w:tcPr>
                  <w:tcW w:w="9066" w:type="dxa"/>
                  <w:hideMark/>
                </w:tcPr>
                <w:p w14:paraId="1961A6D2" w14:textId="77777777" w:rsidR="001E1112" w:rsidRPr="00317ABF" w:rsidRDefault="001E1112" w:rsidP="00EE0AC3">
                  <w:pPr>
                    <w:framePr w:hSpace="141" w:wrap="around" w:vAnchor="text" w:hAnchor="text" w:xAlign="right" w:y="1"/>
                    <w:numPr>
                      <w:ilvl w:val="0"/>
                      <w:numId w:val="61"/>
                    </w:numPr>
                    <w:spacing w:before="120"/>
                    <w:suppressOverlap/>
                    <w:jc w:val="both"/>
                    <w:rPr>
                      <w:sz w:val="22"/>
                      <w:szCs w:val="22"/>
                    </w:rPr>
                  </w:pPr>
                  <w:r w:rsidRPr="00317ABF">
                    <w:rPr>
                      <w:sz w:val="22"/>
                      <w:szCs w:val="22"/>
                    </w:rPr>
                    <w:t>zapewnienia dostępu do systemów wsparcia operacyjnego albo podobnych systemów programowych niezbędnych dla zapewnienia uczciwej konkurencji przy świadczeniu usług;</w:t>
                  </w:r>
                </w:p>
              </w:tc>
            </w:tr>
          </w:tbl>
          <w:p w14:paraId="50FF6E03" w14:textId="77777777" w:rsidR="001E1112" w:rsidRPr="00317ABF" w:rsidRDefault="001E1112" w:rsidP="00DB3BEC">
            <w:pPr>
              <w:jc w:val="both"/>
              <w:rPr>
                <w:vanish/>
                <w:sz w:val="22"/>
                <w:szCs w:val="22"/>
              </w:rPr>
            </w:pPr>
          </w:p>
          <w:tbl>
            <w:tblPr>
              <w:tblW w:w="5000" w:type="pct"/>
              <w:tblCellSpacing w:w="0" w:type="dxa"/>
              <w:tblLayout w:type="fixed"/>
              <w:tblCellMar>
                <w:left w:w="0" w:type="dxa"/>
                <w:right w:w="0" w:type="dxa"/>
              </w:tblCellMar>
              <w:tblLook w:val="04A0" w:firstRow="1" w:lastRow="0" w:firstColumn="1" w:lastColumn="0" w:noHBand="0" w:noVBand="1"/>
            </w:tblPr>
            <w:tblGrid>
              <w:gridCol w:w="20"/>
              <w:gridCol w:w="4148"/>
            </w:tblGrid>
            <w:tr w:rsidR="001E1112" w:rsidRPr="00317ABF" w14:paraId="1890B1ED" w14:textId="77777777" w:rsidTr="007B5338">
              <w:trPr>
                <w:tblCellSpacing w:w="0" w:type="dxa"/>
              </w:trPr>
              <w:tc>
                <w:tcPr>
                  <w:tcW w:w="7" w:type="dxa"/>
                  <w:hideMark/>
                </w:tcPr>
                <w:p w14:paraId="30E9772E" w14:textId="77777777" w:rsidR="001E1112" w:rsidRPr="00317ABF" w:rsidRDefault="001E1112" w:rsidP="00EE0AC3">
                  <w:pPr>
                    <w:framePr w:hSpace="141" w:wrap="around" w:vAnchor="text" w:hAnchor="text" w:xAlign="right" w:y="1"/>
                    <w:spacing w:before="120"/>
                    <w:suppressOverlap/>
                    <w:jc w:val="both"/>
                    <w:rPr>
                      <w:sz w:val="22"/>
                      <w:szCs w:val="22"/>
                    </w:rPr>
                  </w:pPr>
                </w:p>
              </w:tc>
              <w:tc>
                <w:tcPr>
                  <w:tcW w:w="9065" w:type="dxa"/>
                  <w:hideMark/>
                </w:tcPr>
                <w:p w14:paraId="07FD85E6" w14:textId="77777777" w:rsidR="001E1112" w:rsidRPr="00317ABF" w:rsidRDefault="001E1112" w:rsidP="00EE0AC3">
                  <w:pPr>
                    <w:framePr w:hSpace="141" w:wrap="around" w:vAnchor="text" w:hAnchor="text" w:xAlign="right" w:y="1"/>
                    <w:numPr>
                      <w:ilvl w:val="0"/>
                      <w:numId w:val="61"/>
                    </w:numPr>
                    <w:spacing w:before="120"/>
                    <w:suppressOverlap/>
                    <w:jc w:val="both"/>
                    <w:rPr>
                      <w:sz w:val="22"/>
                      <w:szCs w:val="22"/>
                    </w:rPr>
                  </w:pPr>
                  <w:r w:rsidRPr="00317ABF">
                    <w:rPr>
                      <w:sz w:val="22"/>
                      <w:szCs w:val="22"/>
                    </w:rPr>
                    <w:t>zapewnienia wzajemnych połączeń pomiędzy sieciami albo urządzeniami sieciowymi;</w:t>
                  </w:r>
                </w:p>
              </w:tc>
            </w:tr>
          </w:tbl>
          <w:p w14:paraId="7A3D2831" w14:textId="77777777" w:rsidR="001E1112" w:rsidRPr="00317ABF" w:rsidRDefault="001E1112" w:rsidP="00DB3BEC">
            <w:pPr>
              <w:jc w:val="both"/>
              <w:rPr>
                <w:vanish/>
                <w:sz w:val="22"/>
                <w:szCs w:val="22"/>
              </w:rPr>
            </w:pPr>
          </w:p>
          <w:tbl>
            <w:tblPr>
              <w:tblW w:w="5000" w:type="pct"/>
              <w:tblCellSpacing w:w="0" w:type="dxa"/>
              <w:tblLayout w:type="fixed"/>
              <w:tblCellMar>
                <w:left w:w="0" w:type="dxa"/>
                <w:right w:w="0" w:type="dxa"/>
              </w:tblCellMar>
              <w:tblLook w:val="04A0" w:firstRow="1" w:lastRow="0" w:firstColumn="1" w:lastColumn="0" w:noHBand="0" w:noVBand="1"/>
            </w:tblPr>
            <w:tblGrid>
              <w:gridCol w:w="20"/>
              <w:gridCol w:w="4148"/>
            </w:tblGrid>
            <w:tr w:rsidR="001E1112" w:rsidRPr="00317ABF" w14:paraId="797C543A" w14:textId="77777777" w:rsidTr="007B5338">
              <w:trPr>
                <w:tblCellSpacing w:w="0" w:type="dxa"/>
              </w:trPr>
              <w:tc>
                <w:tcPr>
                  <w:tcW w:w="6" w:type="dxa"/>
                  <w:hideMark/>
                </w:tcPr>
                <w:p w14:paraId="07F159E0" w14:textId="77777777" w:rsidR="001E1112" w:rsidRPr="00317ABF" w:rsidRDefault="001E1112" w:rsidP="00EE0AC3">
                  <w:pPr>
                    <w:framePr w:hSpace="141" w:wrap="around" w:vAnchor="text" w:hAnchor="text" w:xAlign="right" w:y="1"/>
                    <w:spacing w:before="120"/>
                    <w:suppressOverlap/>
                    <w:jc w:val="both"/>
                    <w:rPr>
                      <w:sz w:val="22"/>
                      <w:szCs w:val="22"/>
                    </w:rPr>
                  </w:pPr>
                </w:p>
              </w:tc>
              <w:tc>
                <w:tcPr>
                  <w:tcW w:w="9066" w:type="dxa"/>
                  <w:hideMark/>
                </w:tcPr>
                <w:p w14:paraId="3BFDCB38" w14:textId="77777777" w:rsidR="001E1112" w:rsidRPr="00317ABF" w:rsidRDefault="001E1112" w:rsidP="00EE0AC3">
                  <w:pPr>
                    <w:framePr w:hSpace="141" w:wrap="around" w:vAnchor="text" w:hAnchor="text" w:xAlign="right" w:y="1"/>
                    <w:numPr>
                      <w:ilvl w:val="0"/>
                      <w:numId w:val="61"/>
                    </w:numPr>
                    <w:spacing w:before="120"/>
                    <w:suppressOverlap/>
                    <w:jc w:val="both"/>
                    <w:rPr>
                      <w:sz w:val="22"/>
                      <w:szCs w:val="22"/>
                    </w:rPr>
                  </w:pPr>
                  <w:r w:rsidRPr="00317ABF">
                    <w:rPr>
                      <w:sz w:val="22"/>
                      <w:szCs w:val="22"/>
                    </w:rPr>
                    <w:t>zapewnienia dostępu do usług towarzyszących, takich jak usługi identyfikacji, lokalizacji i sygnalizowania obecności.</w:t>
                  </w:r>
                </w:p>
              </w:tc>
            </w:tr>
          </w:tbl>
          <w:p w14:paraId="169113F0" w14:textId="77777777" w:rsidR="001E1112" w:rsidRPr="00317ABF" w:rsidRDefault="001E1112" w:rsidP="00DB3BEC">
            <w:pPr>
              <w:spacing w:before="120"/>
              <w:jc w:val="both"/>
              <w:rPr>
                <w:sz w:val="22"/>
                <w:szCs w:val="22"/>
              </w:rPr>
            </w:pPr>
            <w:r w:rsidRPr="00317ABF">
              <w:rPr>
                <w:sz w:val="22"/>
                <w:szCs w:val="22"/>
              </w:rPr>
              <w:lastRenderedPageBreak/>
              <w:t>Krajowe organy regulacyjne mogą obwarować powyższe obowiązki warunkami dotyczącymi uczciwości, zasadności i terminowości.</w:t>
            </w:r>
          </w:p>
        </w:tc>
        <w:tc>
          <w:tcPr>
            <w:tcW w:w="986" w:type="dxa"/>
          </w:tcPr>
          <w:p w14:paraId="007D8C1A" w14:textId="4ED7B3E7" w:rsidR="001E1112" w:rsidRPr="00317ABF" w:rsidRDefault="001E1112" w:rsidP="00DB3BEC">
            <w:pPr>
              <w:jc w:val="both"/>
              <w:rPr>
                <w:sz w:val="22"/>
                <w:szCs w:val="22"/>
              </w:rPr>
            </w:pPr>
            <w:r w:rsidRPr="00317ABF">
              <w:rPr>
                <w:sz w:val="22"/>
                <w:szCs w:val="22"/>
              </w:rPr>
              <w:lastRenderedPageBreak/>
              <w:t>T</w:t>
            </w:r>
          </w:p>
        </w:tc>
        <w:tc>
          <w:tcPr>
            <w:tcW w:w="910" w:type="dxa"/>
          </w:tcPr>
          <w:p w14:paraId="6EB3BC2E" w14:textId="11114FB3" w:rsidR="001E1112" w:rsidRPr="00317ABF" w:rsidRDefault="001E1112" w:rsidP="00DB3BEC">
            <w:pPr>
              <w:pStyle w:val="Tekstpodstawowy"/>
              <w:rPr>
                <w:b/>
                <w:noProof/>
                <w:sz w:val="22"/>
                <w:szCs w:val="22"/>
              </w:rPr>
            </w:pPr>
            <w:r w:rsidRPr="00317ABF">
              <w:rPr>
                <w:b/>
                <w:noProof/>
                <w:sz w:val="22"/>
                <w:szCs w:val="22"/>
              </w:rPr>
              <w:t xml:space="preserve">Art. </w:t>
            </w:r>
            <w:r w:rsidR="001B6A71" w:rsidRPr="00317ABF">
              <w:rPr>
                <w:b/>
                <w:noProof/>
                <w:sz w:val="22"/>
                <w:szCs w:val="22"/>
              </w:rPr>
              <w:t>211</w:t>
            </w:r>
          </w:p>
        </w:tc>
        <w:tc>
          <w:tcPr>
            <w:tcW w:w="6814" w:type="dxa"/>
            <w:gridSpan w:val="2"/>
          </w:tcPr>
          <w:p w14:paraId="7E772063" w14:textId="77777777" w:rsidR="001B6A71" w:rsidRPr="00317ABF" w:rsidRDefault="001B6A71" w:rsidP="001B6A71">
            <w:pPr>
              <w:pStyle w:val="ARTartustawynprozporzdzenia"/>
              <w:spacing w:line="240" w:lineRule="auto"/>
              <w:rPr>
                <w:rFonts w:ascii="Times New Roman" w:hAnsi="Times New Roman" w:cs="Times New Roman"/>
                <w:sz w:val="22"/>
                <w:szCs w:val="22"/>
              </w:rPr>
            </w:pPr>
            <w:r w:rsidRPr="00317ABF">
              <w:rPr>
                <w:rFonts w:ascii="Times New Roman" w:hAnsi="Times New Roman" w:cs="Times New Roman"/>
                <w:b/>
                <w:sz w:val="22"/>
                <w:szCs w:val="22"/>
              </w:rPr>
              <w:t>Art. 211</w:t>
            </w:r>
            <w:r w:rsidRPr="00317ABF">
              <w:rPr>
                <w:rFonts w:ascii="Times New Roman" w:hAnsi="Times New Roman" w:cs="Times New Roman"/>
                <w:sz w:val="22"/>
                <w:szCs w:val="22"/>
              </w:rPr>
              <w:t>. 1. Prezes UKE, może, w drodze decyzji, nałożyć na przedsiębiorcę komunikacji elektronicznej o znaczącej pozycji rynkowej obowiązek uwzględniania uzasadnionych wniosków przedsiębiorców komunikacji elektronicznej o zapewnienie im dostępu telekomunikacyjnego, w tym użytkowania elementów sieci oraz powiązanych zasobów, w szczególności biorąc pod uwagę poziom konkurencyjności rynku detalicznego i interes użytkowników końcowych.</w:t>
            </w:r>
          </w:p>
          <w:p w14:paraId="3B226E27" w14:textId="77777777" w:rsidR="001B6A71" w:rsidRPr="00317ABF" w:rsidRDefault="001B6A71" w:rsidP="001B6A71">
            <w:pPr>
              <w:pStyle w:val="ARTartustawynprozporzdzenia"/>
              <w:spacing w:line="240" w:lineRule="auto"/>
              <w:rPr>
                <w:rFonts w:ascii="Times New Roman" w:hAnsi="Times New Roman" w:cs="Times New Roman"/>
                <w:sz w:val="22"/>
                <w:szCs w:val="22"/>
              </w:rPr>
            </w:pPr>
            <w:r w:rsidRPr="00317ABF">
              <w:rPr>
                <w:rFonts w:ascii="Times New Roman" w:hAnsi="Times New Roman" w:cs="Times New Roman"/>
                <w:sz w:val="22"/>
                <w:szCs w:val="22"/>
              </w:rPr>
              <w:t>2. Prezes UKE nakłada obowiązek, o którym mowa w ust. 1, zgodnie z przesłankami, o których mowa w art. 202  pkt 2 lit. a, biorąc pod uwagę czy inne, w tym planowane, formy dostępu do produktów hurtowych na tym samym lub powiązanym rynku lub obowiązek nałożony zgodnie z art. 210, są wystarczające do rozwiązania problemów rynkowych.</w:t>
            </w:r>
          </w:p>
          <w:p w14:paraId="32E88F22" w14:textId="77777777" w:rsidR="001E1112" w:rsidRPr="00317ABF" w:rsidRDefault="001E1112" w:rsidP="001B6A71">
            <w:pPr>
              <w:pStyle w:val="ARTartustawynprozporzdzenia"/>
              <w:spacing w:line="240" w:lineRule="auto"/>
              <w:rPr>
                <w:rFonts w:ascii="Times New Roman" w:hAnsi="Times New Roman" w:cs="Times New Roman"/>
                <w:sz w:val="22"/>
                <w:szCs w:val="22"/>
              </w:rPr>
            </w:pPr>
            <w:r w:rsidRPr="00317ABF">
              <w:rPr>
                <w:rFonts w:ascii="Times New Roman" w:hAnsi="Times New Roman" w:cs="Times New Roman"/>
                <w:sz w:val="22"/>
                <w:szCs w:val="22"/>
              </w:rPr>
              <w:t>3. Obowiązek, o którym mowa w ust. 1, może w szczególności polegać na:</w:t>
            </w:r>
          </w:p>
          <w:p w14:paraId="1EC7D156" w14:textId="77777777" w:rsidR="001B6A71" w:rsidRPr="00317ABF" w:rsidRDefault="001B6A71" w:rsidP="001B6A71">
            <w:pPr>
              <w:pStyle w:val="ARTartustawynprozporzdzenia"/>
              <w:spacing w:line="240" w:lineRule="auto"/>
              <w:rPr>
                <w:rFonts w:ascii="Times New Roman" w:hAnsi="Times New Roman" w:cs="Times New Roman"/>
                <w:sz w:val="22"/>
                <w:szCs w:val="22"/>
              </w:rPr>
            </w:pPr>
            <w:r w:rsidRPr="00317ABF">
              <w:rPr>
                <w:rFonts w:ascii="Times New Roman" w:hAnsi="Times New Roman" w:cs="Times New Roman"/>
                <w:sz w:val="22"/>
                <w:szCs w:val="22"/>
              </w:rPr>
              <w:t>1)</w:t>
            </w:r>
            <w:r w:rsidRPr="00317ABF">
              <w:rPr>
                <w:rFonts w:ascii="Times New Roman" w:hAnsi="Times New Roman" w:cs="Times New Roman"/>
                <w:sz w:val="22"/>
                <w:szCs w:val="22"/>
              </w:rPr>
              <w:tab/>
              <w:t>zapewnieniu możliwości zarządzania obsługą użytkownika końcowego przez uprawnionego przedsiębiorcę komunikacji elektronicznej i podejmowania rozstrzygnięć dotyczących wykonywania usług na jego rzecz;</w:t>
            </w:r>
          </w:p>
          <w:p w14:paraId="72B69CBE" w14:textId="77777777" w:rsidR="001B6A71" w:rsidRPr="00317ABF" w:rsidRDefault="001B6A71" w:rsidP="001B6A71">
            <w:pPr>
              <w:pStyle w:val="ARTartustawynprozporzdzenia"/>
              <w:spacing w:line="240" w:lineRule="auto"/>
              <w:rPr>
                <w:rFonts w:ascii="Times New Roman" w:hAnsi="Times New Roman" w:cs="Times New Roman"/>
                <w:sz w:val="22"/>
                <w:szCs w:val="22"/>
              </w:rPr>
            </w:pPr>
            <w:r w:rsidRPr="00317ABF">
              <w:rPr>
                <w:rFonts w:ascii="Times New Roman" w:hAnsi="Times New Roman" w:cs="Times New Roman"/>
                <w:sz w:val="22"/>
                <w:szCs w:val="22"/>
              </w:rPr>
              <w:t>2)</w:t>
            </w:r>
            <w:r w:rsidRPr="00317ABF">
              <w:rPr>
                <w:rFonts w:ascii="Times New Roman" w:hAnsi="Times New Roman" w:cs="Times New Roman"/>
                <w:sz w:val="22"/>
                <w:szCs w:val="22"/>
              </w:rPr>
              <w:tab/>
              <w:t>zapewnieniu określonych elementów sieci telekomunikacyjnej, powiązanych zasobów lub lokalnych pętli abonenckich, w tym pętli lub podpętli;</w:t>
            </w:r>
          </w:p>
          <w:p w14:paraId="62A81052" w14:textId="77777777" w:rsidR="001B6A71" w:rsidRPr="00317ABF" w:rsidRDefault="001B6A71" w:rsidP="001B6A71">
            <w:pPr>
              <w:pStyle w:val="ARTartustawynprozporzdzenia"/>
              <w:spacing w:line="240" w:lineRule="auto"/>
              <w:rPr>
                <w:rFonts w:ascii="Times New Roman" w:hAnsi="Times New Roman" w:cs="Times New Roman"/>
                <w:sz w:val="22"/>
                <w:szCs w:val="22"/>
              </w:rPr>
            </w:pPr>
            <w:r w:rsidRPr="00317ABF">
              <w:rPr>
                <w:rFonts w:ascii="Times New Roman" w:hAnsi="Times New Roman" w:cs="Times New Roman"/>
                <w:sz w:val="22"/>
                <w:szCs w:val="22"/>
              </w:rPr>
              <w:t>3)</w:t>
            </w:r>
            <w:r w:rsidRPr="00317ABF">
              <w:rPr>
                <w:rFonts w:ascii="Times New Roman" w:hAnsi="Times New Roman" w:cs="Times New Roman"/>
                <w:sz w:val="22"/>
                <w:szCs w:val="22"/>
              </w:rPr>
              <w:tab/>
              <w:t>zapewnieniu dostępu do aktywnych lub wirtualnych elementów sieci telekomunikacyjnej i związanych z nimi usług;</w:t>
            </w:r>
          </w:p>
          <w:p w14:paraId="6486F7D2" w14:textId="77777777" w:rsidR="001B6A71" w:rsidRPr="00317ABF" w:rsidRDefault="001B6A71" w:rsidP="001B6A71">
            <w:pPr>
              <w:pStyle w:val="ARTartustawynprozporzdzenia"/>
              <w:spacing w:line="240" w:lineRule="auto"/>
              <w:rPr>
                <w:rFonts w:ascii="Times New Roman" w:hAnsi="Times New Roman" w:cs="Times New Roman"/>
                <w:sz w:val="22"/>
                <w:szCs w:val="22"/>
              </w:rPr>
            </w:pPr>
            <w:r w:rsidRPr="00317ABF">
              <w:rPr>
                <w:rFonts w:ascii="Times New Roman" w:hAnsi="Times New Roman" w:cs="Times New Roman"/>
                <w:sz w:val="22"/>
                <w:szCs w:val="22"/>
              </w:rPr>
              <w:t>4)</w:t>
            </w:r>
            <w:r w:rsidRPr="00317ABF">
              <w:rPr>
                <w:rFonts w:ascii="Times New Roman" w:hAnsi="Times New Roman" w:cs="Times New Roman"/>
                <w:sz w:val="22"/>
                <w:szCs w:val="22"/>
              </w:rPr>
              <w:tab/>
              <w:t>oferowaniu usług na warunkach hurtowych w celu ich dalszej sprzedaży przez innego przedsiębiorcę;</w:t>
            </w:r>
          </w:p>
          <w:p w14:paraId="28DE31EB" w14:textId="77777777" w:rsidR="001B6A71" w:rsidRPr="00317ABF" w:rsidRDefault="001B6A71" w:rsidP="001B6A71">
            <w:pPr>
              <w:pStyle w:val="ARTartustawynprozporzdzenia"/>
              <w:spacing w:line="240" w:lineRule="auto"/>
              <w:rPr>
                <w:rFonts w:ascii="Times New Roman" w:hAnsi="Times New Roman" w:cs="Times New Roman"/>
                <w:sz w:val="22"/>
                <w:szCs w:val="22"/>
              </w:rPr>
            </w:pPr>
            <w:r w:rsidRPr="00317ABF">
              <w:rPr>
                <w:rFonts w:ascii="Times New Roman" w:hAnsi="Times New Roman" w:cs="Times New Roman"/>
                <w:sz w:val="22"/>
                <w:szCs w:val="22"/>
              </w:rPr>
              <w:t>5)</w:t>
            </w:r>
            <w:r w:rsidRPr="00317ABF">
              <w:rPr>
                <w:rFonts w:ascii="Times New Roman" w:hAnsi="Times New Roman" w:cs="Times New Roman"/>
                <w:sz w:val="22"/>
                <w:szCs w:val="22"/>
              </w:rPr>
              <w:tab/>
              <w:t>przyznawaniu dostępu do interfejsów, protokołów lub innych kluczowych technologii niezbędnych dla interoperacyjności usług, w tym usług sieci wirtualnych;</w:t>
            </w:r>
          </w:p>
          <w:p w14:paraId="6F2DDD29" w14:textId="77777777" w:rsidR="001B6A71" w:rsidRPr="00317ABF" w:rsidRDefault="001B6A71" w:rsidP="001B6A71">
            <w:pPr>
              <w:pStyle w:val="ARTartustawynprozporzdzenia"/>
              <w:spacing w:line="240" w:lineRule="auto"/>
              <w:rPr>
                <w:rFonts w:ascii="Times New Roman" w:hAnsi="Times New Roman" w:cs="Times New Roman"/>
                <w:sz w:val="22"/>
                <w:szCs w:val="22"/>
              </w:rPr>
            </w:pPr>
            <w:r w:rsidRPr="00317ABF">
              <w:rPr>
                <w:rFonts w:ascii="Times New Roman" w:hAnsi="Times New Roman" w:cs="Times New Roman"/>
                <w:sz w:val="22"/>
                <w:szCs w:val="22"/>
              </w:rPr>
              <w:t>6)</w:t>
            </w:r>
            <w:r w:rsidRPr="00317ABF">
              <w:rPr>
                <w:rFonts w:ascii="Times New Roman" w:hAnsi="Times New Roman" w:cs="Times New Roman"/>
                <w:sz w:val="22"/>
                <w:szCs w:val="22"/>
              </w:rPr>
              <w:tab/>
              <w:t>zapewnieniu kolokacji lub innych form wspólnego korzystania z powiązanych zasobów;</w:t>
            </w:r>
          </w:p>
          <w:p w14:paraId="4D8A5119" w14:textId="77777777" w:rsidR="001B6A71" w:rsidRPr="00317ABF" w:rsidRDefault="001B6A71" w:rsidP="001B6A71">
            <w:pPr>
              <w:pStyle w:val="ARTartustawynprozporzdzenia"/>
              <w:spacing w:line="240" w:lineRule="auto"/>
              <w:rPr>
                <w:rFonts w:ascii="Times New Roman" w:hAnsi="Times New Roman" w:cs="Times New Roman"/>
                <w:sz w:val="22"/>
                <w:szCs w:val="22"/>
              </w:rPr>
            </w:pPr>
            <w:r w:rsidRPr="00317ABF">
              <w:rPr>
                <w:rFonts w:ascii="Times New Roman" w:hAnsi="Times New Roman" w:cs="Times New Roman"/>
                <w:sz w:val="22"/>
                <w:szCs w:val="22"/>
              </w:rPr>
              <w:t>7)</w:t>
            </w:r>
            <w:r w:rsidRPr="00317ABF">
              <w:rPr>
                <w:rFonts w:ascii="Times New Roman" w:hAnsi="Times New Roman" w:cs="Times New Roman"/>
                <w:sz w:val="22"/>
                <w:szCs w:val="22"/>
              </w:rPr>
              <w:tab/>
              <w:t>zapewnieniu funkcji sieci niezbędnych do zapewnienia pełnej interoperacyjności usług;</w:t>
            </w:r>
          </w:p>
          <w:p w14:paraId="4E5618CD" w14:textId="77777777" w:rsidR="001B6A71" w:rsidRPr="00317ABF" w:rsidRDefault="001B6A71" w:rsidP="001B6A71">
            <w:pPr>
              <w:pStyle w:val="ARTartustawynprozporzdzenia"/>
              <w:spacing w:line="240" w:lineRule="auto"/>
              <w:rPr>
                <w:rFonts w:ascii="Times New Roman" w:hAnsi="Times New Roman" w:cs="Times New Roman"/>
                <w:sz w:val="22"/>
                <w:szCs w:val="22"/>
              </w:rPr>
            </w:pPr>
            <w:r w:rsidRPr="00317ABF">
              <w:rPr>
                <w:rFonts w:ascii="Times New Roman" w:hAnsi="Times New Roman" w:cs="Times New Roman"/>
                <w:sz w:val="22"/>
                <w:szCs w:val="22"/>
              </w:rPr>
              <w:t>8)</w:t>
            </w:r>
            <w:r w:rsidRPr="00317ABF">
              <w:rPr>
                <w:rFonts w:ascii="Times New Roman" w:hAnsi="Times New Roman" w:cs="Times New Roman"/>
                <w:sz w:val="22"/>
                <w:szCs w:val="22"/>
              </w:rPr>
              <w:tab/>
              <w:t>zapewnieniu usług roamingu lokalnego w sieciach ruchomych;</w:t>
            </w:r>
          </w:p>
          <w:p w14:paraId="58025FD1" w14:textId="77777777" w:rsidR="001B6A71" w:rsidRPr="00317ABF" w:rsidRDefault="001B6A71" w:rsidP="001B6A71">
            <w:pPr>
              <w:pStyle w:val="ARTartustawynprozporzdzenia"/>
              <w:spacing w:line="240" w:lineRule="auto"/>
              <w:rPr>
                <w:rFonts w:ascii="Times New Roman" w:hAnsi="Times New Roman" w:cs="Times New Roman"/>
                <w:sz w:val="22"/>
                <w:szCs w:val="22"/>
              </w:rPr>
            </w:pPr>
            <w:r w:rsidRPr="00317ABF">
              <w:rPr>
                <w:rFonts w:ascii="Times New Roman" w:hAnsi="Times New Roman" w:cs="Times New Roman"/>
                <w:sz w:val="22"/>
                <w:szCs w:val="22"/>
              </w:rPr>
              <w:lastRenderedPageBreak/>
              <w:t>9)</w:t>
            </w:r>
            <w:r w:rsidRPr="00317ABF">
              <w:rPr>
                <w:rFonts w:ascii="Times New Roman" w:hAnsi="Times New Roman" w:cs="Times New Roman"/>
                <w:sz w:val="22"/>
                <w:szCs w:val="22"/>
              </w:rPr>
              <w:tab/>
              <w:t>zapewnieniu systemów wspierania działalności operacyjnej lub innych systemów oprogramowania niezbędnych dla skutecznej konkurencji, w tym systemów taryfowych, systemów wystawiania faktur i pobierania należności;</w:t>
            </w:r>
          </w:p>
          <w:p w14:paraId="6E22AB9E" w14:textId="77777777" w:rsidR="001B6A71" w:rsidRPr="00317ABF" w:rsidRDefault="001B6A71" w:rsidP="001B6A71">
            <w:pPr>
              <w:pStyle w:val="ARTartustawynprozporzdzenia"/>
              <w:spacing w:line="240" w:lineRule="auto"/>
              <w:rPr>
                <w:rFonts w:ascii="Times New Roman" w:hAnsi="Times New Roman" w:cs="Times New Roman"/>
                <w:sz w:val="22"/>
                <w:szCs w:val="22"/>
              </w:rPr>
            </w:pPr>
            <w:r w:rsidRPr="00317ABF">
              <w:rPr>
                <w:rFonts w:ascii="Times New Roman" w:hAnsi="Times New Roman" w:cs="Times New Roman"/>
                <w:sz w:val="22"/>
                <w:szCs w:val="22"/>
              </w:rPr>
              <w:t>10)</w:t>
            </w:r>
            <w:r w:rsidRPr="00317ABF">
              <w:rPr>
                <w:rFonts w:ascii="Times New Roman" w:hAnsi="Times New Roman" w:cs="Times New Roman"/>
                <w:sz w:val="22"/>
                <w:szCs w:val="22"/>
              </w:rPr>
              <w:tab/>
              <w:t>zapewnieniu powiązanych usług w dziedzinie transmisji radiofonicznych lub telewizyjnych;</w:t>
            </w:r>
          </w:p>
          <w:p w14:paraId="431EAC4F" w14:textId="77777777" w:rsidR="001B6A71" w:rsidRPr="00317ABF" w:rsidRDefault="001B6A71" w:rsidP="001B6A71">
            <w:pPr>
              <w:pStyle w:val="ARTartustawynprozporzdzenia"/>
              <w:spacing w:line="240" w:lineRule="auto"/>
              <w:rPr>
                <w:rFonts w:ascii="Times New Roman" w:hAnsi="Times New Roman" w:cs="Times New Roman"/>
                <w:sz w:val="22"/>
                <w:szCs w:val="22"/>
              </w:rPr>
            </w:pPr>
            <w:r w:rsidRPr="00317ABF">
              <w:rPr>
                <w:rFonts w:ascii="Times New Roman" w:hAnsi="Times New Roman" w:cs="Times New Roman"/>
                <w:sz w:val="22"/>
                <w:szCs w:val="22"/>
              </w:rPr>
              <w:t>11)</w:t>
            </w:r>
            <w:r w:rsidRPr="00317ABF">
              <w:rPr>
                <w:rFonts w:ascii="Times New Roman" w:hAnsi="Times New Roman" w:cs="Times New Roman"/>
                <w:sz w:val="22"/>
                <w:szCs w:val="22"/>
              </w:rPr>
              <w:tab/>
              <w:t>zapewnieniu połączenia sieci lub urządzeń telekomunikacyjnych;</w:t>
            </w:r>
          </w:p>
          <w:p w14:paraId="0AC5195C" w14:textId="77777777" w:rsidR="001B6A71" w:rsidRPr="00317ABF" w:rsidRDefault="001B6A71" w:rsidP="001B6A71">
            <w:pPr>
              <w:pStyle w:val="ARTartustawynprozporzdzenia"/>
              <w:spacing w:line="240" w:lineRule="auto"/>
              <w:rPr>
                <w:rFonts w:ascii="Times New Roman" w:hAnsi="Times New Roman" w:cs="Times New Roman"/>
                <w:sz w:val="22"/>
                <w:szCs w:val="22"/>
              </w:rPr>
            </w:pPr>
            <w:r w:rsidRPr="00317ABF">
              <w:rPr>
                <w:rFonts w:ascii="Times New Roman" w:hAnsi="Times New Roman" w:cs="Times New Roman"/>
                <w:sz w:val="22"/>
                <w:szCs w:val="22"/>
              </w:rPr>
              <w:t>12)</w:t>
            </w:r>
            <w:r w:rsidRPr="00317ABF">
              <w:rPr>
                <w:rFonts w:ascii="Times New Roman" w:hAnsi="Times New Roman" w:cs="Times New Roman"/>
                <w:sz w:val="22"/>
                <w:szCs w:val="22"/>
              </w:rPr>
              <w:tab/>
              <w:t>prowadzeniu negocjacji w sprawie dostępu w dobrej wierze lub utrzymywaniu uprzednio ustanowionego dostępu do określonych sieci telekomunikacyjnych, urządzeń lub powiązanych zasobów;</w:t>
            </w:r>
          </w:p>
          <w:p w14:paraId="466A9CE9" w14:textId="77777777" w:rsidR="001E1112" w:rsidRPr="00317ABF" w:rsidRDefault="001E1112" w:rsidP="001B6A71">
            <w:pPr>
              <w:pStyle w:val="ARTartustawynprozporzdzenia"/>
              <w:spacing w:line="240" w:lineRule="auto"/>
              <w:rPr>
                <w:rFonts w:ascii="Times New Roman" w:hAnsi="Times New Roman" w:cs="Times New Roman"/>
                <w:sz w:val="22"/>
                <w:szCs w:val="22"/>
              </w:rPr>
            </w:pPr>
            <w:r w:rsidRPr="00317ABF">
              <w:rPr>
                <w:rFonts w:ascii="Times New Roman" w:hAnsi="Times New Roman" w:cs="Times New Roman"/>
                <w:sz w:val="22"/>
                <w:szCs w:val="22"/>
              </w:rPr>
              <w:t>13)</w:t>
            </w:r>
            <w:r w:rsidR="001B6A71" w:rsidRPr="00317ABF">
              <w:rPr>
                <w:rFonts w:ascii="Times New Roman" w:hAnsi="Times New Roman" w:cs="Times New Roman"/>
                <w:sz w:val="22"/>
                <w:szCs w:val="22"/>
              </w:rPr>
              <w:tab/>
            </w:r>
            <w:r w:rsidRPr="00317ABF">
              <w:rPr>
                <w:rFonts w:ascii="Times New Roman" w:hAnsi="Times New Roman" w:cs="Times New Roman"/>
                <w:sz w:val="22"/>
                <w:szCs w:val="22"/>
              </w:rPr>
              <w:t>zapewnieniu dostępu do powiązanych usług, w tym usług identyfikacji, lokalizacji i sygnalizowania obecności.</w:t>
            </w:r>
          </w:p>
          <w:p w14:paraId="03128338" w14:textId="77777777" w:rsidR="001E1112" w:rsidRPr="00317ABF" w:rsidRDefault="001E1112" w:rsidP="001B6A71">
            <w:pPr>
              <w:pStyle w:val="ARTartustawynprozporzdzenia"/>
              <w:spacing w:line="240" w:lineRule="auto"/>
              <w:rPr>
                <w:rFonts w:ascii="Times New Roman" w:hAnsi="Times New Roman" w:cs="Times New Roman"/>
                <w:sz w:val="22"/>
                <w:szCs w:val="22"/>
              </w:rPr>
            </w:pPr>
            <w:r w:rsidRPr="00317ABF">
              <w:rPr>
                <w:rFonts w:ascii="Times New Roman" w:hAnsi="Times New Roman" w:cs="Times New Roman"/>
                <w:sz w:val="22"/>
                <w:szCs w:val="22"/>
              </w:rPr>
              <w:t xml:space="preserve">4. Prezes UKE może w decyzji, o której mowa w ust. 1, określić dodatkowe warunki związane z realizacją obowiązków wskazanych w ust. </w:t>
            </w:r>
            <w:r w:rsidR="001B6A71" w:rsidRPr="00317ABF">
              <w:rPr>
                <w:rFonts w:ascii="Times New Roman" w:hAnsi="Times New Roman" w:cs="Times New Roman"/>
                <w:sz w:val="22"/>
                <w:szCs w:val="22"/>
              </w:rPr>
              <w:t>1, w celu zapobiegania nadużyciom telekomunikacyjnym i zapewnienia uczciwego korzystania z dostępu telekomunikacyjnego.</w:t>
            </w:r>
          </w:p>
          <w:p w14:paraId="7EA5A6D0" w14:textId="7840B662" w:rsidR="001E1112" w:rsidRPr="00317ABF" w:rsidRDefault="001E1112" w:rsidP="00DB3BEC">
            <w:pPr>
              <w:jc w:val="both"/>
              <w:rPr>
                <w:sz w:val="22"/>
                <w:szCs w:val="22"/>
              </w:rPr>
            </w:pPr>
            <w:r w:rsidRPr="00317ABF">
              <w:rPr>
                <w:sz w:val="22"/>
                <w:szCs w:val="22"/>
              </w:rPr>
              <w:t xml:space="preserve">5. Wniosek przedsiębiorcy komunikacji elektronicznej o zapewnienie mu dostępu </w:t>
            </w:r>
            <w:r w:rsidR="001B6A71" w:rsidRPr="00317ABF">
              <w:rPr>
                <w:sz w:val="22"/>
                <w:szCs w:val="22"/>
              </w:rPr>
              <w:t xml:space="preserve">telekomunikacyjnego </w:t>
            </w:r>
            <w:r w:rsidRPr="00317ABF">
              <w:rPr>
                <w:sz w:val="22"/>
                <w:szCs w:val="22"/>
              </w:rPr>
              <w:t xml:space="preserve">uważa się za uzasadniony, jeżeli uwzględnia on zakres obowiązku ustalonego w decyzji, o której mowa w ust. 1, oraz warunki, o których mowa w art. </w:t>
            </w:r>
            <w:r w:rsidR="001B6A71" w:rsidRPr="00317ABF">
              <w:rPr>
                <w:sz w:val="22"/>
                <w:szCs w:val="22"/>
              </w:rPr>
              <w:t>212</w:t>
            </w:r>
            <w:r w:rsidRPr="00317ABF">
              <w:rPr>
                <w:sz w:val="22"/>
                <w:szCs w:val="22"/>
              </w:rPr>
              <w:t xml:space="preserve"> ust. 1.</w:t>
            </w:r>
          </w:p>
        </w:tc>
      </w:tr>
      <w:tr w:rsidR="001E1112" w:rsidRPr="00317ABF" w14:paraId="29C9FEB5" w14:textId="77777777" w:rsidTr="7753F98D">
        <w:trPr>
          <w:gridAfter w:val="2"/>
          <w:wAfter w:w="175" w:type="dxa"/>
        </w:trPr>
        <w:tc>
          <w:tcPr>
            <w:tcW w:w="704" w:type="dxa"/>
          </w:tcPr>
          <w:p w14:paraId="10A14EE8" w14:textId="77777777" w:rsidR="001E1112" w:rsidRPr="00317ABF" w:rsidRDefault="001E1112" w:rsidP="00DB3BEC">
            <w:pPr>
              <w:jc w:val="both"/>
              <w:rPr>
                <w:sz w:val="22"/>
                <w:szCs w:val="22"/>
              </w:rPr>
            </w:pPr>
            <w:r w:rsidRPr="00317ABF">
              <w:rPr>
                <w:sz w:val="22"/>
                <w:szCs w:val="22"/>
              </w:rPr>
              <w:lastRenderedPageBreak/>
              <w:t>Art. 73 ust. 2</w:t>
            </w:r>
          </w:p>
        </w:tc>
        <w:tc>
          <w:tcPr>
            <w:tcW w:w="4308" w:type="dxa"/>
          </w:tcPr>
          <w:p w14:paraId="196BB9B0" w14:textId="77777777" w:rsidR="001E1112" w:rsidRPr="00317ABF" w:rsidRDefault="001E1112" w:rsidP="00DB3BEC">
            <w:pPr>
              <w:spacing w:before="120"/>
              <w:jc w:val="both"/>
              <w:rPr>
                <w:sz w:val="22"/>
                <w:szCs w:val="22"/>
              </w:rPr>
            </w:pPr>
            <w:r w:rsidRPr="00317ABF">
              <w:rPr>
                <w:sz w:val="22"/>
                <w:szCs w:val="22"/>
              </w:rPr>
              <w:t>2.   Rozważając stosowność nałożenia dowolnego z ewentualnych szczegółowych obowiązków, o których mowa w ust. 1 niniejszego artykułu, a zwłaszcza oceniając – zgodnie z zasadą proporcjonalności – czy i w jaki sposób należy nałożyć te obowiązki, krajowe organy regulacyjne analizują, czy inne formy dostępu do produktów hurtowych na tym samym lub powiązanym rynku hurtowym nie wystarczyłyby, aby w interesie użytkowników końcowych zaradzić stwierdzonemu problemowi. Ocena ta obejmuje komercyjne oferty dostępu, dostęp regulowany na podstawie art. 61 lub istniejący lub planowany dostęp regulowany do innych produktów hurtowych na podstawie niniejszego artykułu. Krajowe organy regulacyjne biorą pod uwagę w szczególności następujące elementy:</w:t>
            </w:r>
          </w:p>
          <w:tbl>
            <w:tblPr>
              <w:tblW w:w="5000" w:type="pct"/>
              <w:tblCellSpacing w:w="0" w:type="dxa"/>
              <w:tblLayout w:type="fixed"/>
              <w:tblCellMar>
                <w:left w:w="0" w:type="dxa"/>
                <w:right w:w="0" w:type="dxa"/>
              </w:tblCellMar>
              <w:tblLook w:val="04A0" w:firstRow="1" w:lastRow="0" w:firstColumn="1" w:lastColumn="0" w:noHBand="0" w:noVBand="1"/>
            </w:tblPr>
            <w:tblGrid>
              <w:gridCol w:w="20"/>
              <w:gridCol w:w="4148"/>
            </w:tblGrid>
            <w:tr w:rsidR="001E1112" w:rsidRPr="00317ABF" w14:paraId="3F26B163" w14:textId="77777777" w:rsidTr="007B5338">
              <w:trPr>
                <w:tblCellSpacing w:w="0" w:type="dxa"/>
              </w:trPr>
              <w:tc>
                <w:tcPr>
                  <w:tcW w:w="6" w:type="dxa"/>
                  <w:hideMark/>
                </w:tcPr>
                <w:p w14:paraId="393029AD" w14:textId="77777777" w:rsidR="001E1112" w:rsidRPr="00317ABF" w:rsidRDefault="001E1112" w:rsidP="00EE0AC3">
                  <w:pPr>
                    <w:framePr w:hSpace="141" w:wrap="around" w:vAnchor="text" w:hAnchor="text" w:xAlign="right" w:y="1"/>
                    <w:spacing w:before="120"/>
                    <w:suppressOverlap/>
                    <w:jc w:val="both"/>
                    <w:rPr>
                      <w:sz w:val="22"/>
                      <w:szCs w:val="22"/>
                    </w:rPr>
                  </w:pPr>
                </w:p>
              </w:tc>
              <w:tc>
                <w:tcPr>
                  <w:tcW w:w="9066" w:type="dxa"/>
                  <w:hideMark/>
                </w:tcPr>
                <w:p w14:paraId="2A04845A" w14:textId="77777777" w:rsidR="001E1112" w:rsidRPr="00317ABF" w:rsidRDefault="001E1112" w:rsidP="00EE0AC3">
                  <w:pPr>
                    <w:framePr w:hSpace="141" w:wrap="around" w:vAnchor="text" w:hAnchor="text" w:xAlign="right" w:y="1"/>
                    <w:numPr>
                      <w:ilvl w:val="0"/>
                      <w:numId w:val="62"/>
                    </w:numPr>
                    <w:spacing w:before="120"/>
                    <w:suppressOverlap/>
                    <w:jc w:val="both"/>
                    <w:rPr>
                      <w:sz w:val="22"/>
                      <w:szCs w:val="22"/>
                    </w:rPr>
                  </w:pPr>
                  <w:r w:rsidRPr="00317ABF">
                    <w:rPr>
                      <w:sz w:val="22"/>
                      <w:szCs w:val="22"/>
                    </w:rPr>
                    <w:t>techniczną i ekonomiczną opłacalność użytkowania lub instalacji konkurencyjnych urządzeń, mając na uwadze tempo rozwoju rynku oraz rodzaj danych wzajemnych połączeń lub dostępu, w tym możliwość zastosowania innych rozwiązań dotyczących dostępu do sieci, takich jak dostęp do kanałów;</w:t>
                  </w:r>
                </w:p>
              </w:tc>
            </w:tr>
          </w:tbl>
          <w:p w14:paraId="59D5D060" w14:textId="77777777" w:rsidR="001E1112" w:rsidRPr="00317ABF" w:rsidRDefault="001E1112" w:rsidP="00DB3BEC">
            <w:pPr>
              <w:jc w:val="both"/>
              <w:rPr>
                <w:vanish/>
                <w:sz w:val="22"/>
                <w:szCs w:val="22"/>
              </w:rPr>
            </w:pPr>
          </w:p>
          <w:tbl>
            <w:tblPr>
              <w:tblW w:w="5000" w:type="pct"/>
              <w:tblCellSpacing w:w="0" w:type="dxa"/>
              <w:tblLayout w:type="fixed"/>
              <w:tblCellMar>
                <w:left w:w="0" w:type="dxa"/>
                <w:right w:w="0" w:type="dxa"/>
              </w:tblCellMar>
              <w:tblLook w:val="04A0" w:firstRow="1" w:lastRow="0" w:firstColumn="1" w:lastColumn="0" w:noHBand="0" w:noVBand="1"/>
            </w:tblPr>
            <w:tblGrid>
              <w:gridCol w:w="20"/>
              <w:gridCol w:w="4148"/>
            </w:tblGrid>
            <w:tr w:rsidR="001E1112" w:rsidRPr="00317ABF" w14:paraId="0B87FAC1" w14:textId="77777777" w:rsidTr="007B5338">
              <w:trPr>
                <w:tblCellSpacing w:w="0" w:type="dxa"/>
              </w:trPr>
              <w:tc>
                <w:tcPr>
                  <w:tcW w:w="6" w:type="dxa"/>
                  <w:hideMark/>
                </w:tcPr>
                <w:p w14:paraId="1D4E041F" w14:textId="77777777" w:rsidR="001E1112" w:rsidRPr="00317ABF" w:rsidRDefault="001E1112" w:rsidP="00EE0AC3">
                  <w:pPr>
                    <w:framePr w:hSpace="141" w:wrap="around" w:vAnchor="text" w:hAnchor="text" w:xAlign="right" w:y="1"/>
                    <w:spacing w:before="120"/>
                    <w:suppressOverlap/>
                    <w:jc w:val="both"/>
                    <w:rPr>
                      <w:sz w:val="22"/>
                      <w:szCs w:val="22"/>
                    </w:rPr>
                  </w:pPr>
                </w:p>
              </w:tc>
              <w:tc>
                <w:tcPr>
                  <w:tcW w:w="9066" w:type="dxa"/>
                  <w:hideMark/>
                </w:tcPr>
                <w:p w14:paraId="4EB11925" w14:textId="77777777" w:rsidR="001E1112" w:rsidRPr="00317ABF" w:rsidRDefault="001E1112" w:rsidP="00EE0AC3">
                  <w:pPr>
                    <w:framePr w:hSpace="141" w:wrap="around" w:vAnchor="text" w:hAnchor="text" w:xAlign="right" w:y="1"/>
                    <w:numPr>
                      <w:ilvl w:val="0"/>
                      <w:numId w:val="62"/>
                    </w:numPr>
                    <w:spacing w:before="120"/>
                    <w:suppressOverlap/>
                    <w:jc w:val="both"/>
                    <w:rPr>
                      <w:sz w:val="22"/>
                      <w:szCs w:val="22"/>
                    </w:rPr>
                  </w:pPr>
                  <w:r w:rsidRPr="00317ABF">
                    <w:rPr>
                      <w:sz w:val="22"/>
                      <w:szCs w:val="22"/>
                    </w:rPr>
                    <w:t>oczekiwany rozwój technologiczny mający wpływ na projektowanie sieci i zarządzanie nimi;</w:t>
                  </w:r>
                </w:p>
              </w:tc>
            </w:tr>
          </w:tbl>
          <w:p w14:paraId="514F18A6" w14:textId="77777777" w:rsidR="001E1112" w:rsidRPr="00317ABF" w:rsidRDefault="001E1112" w:rsidP="00DB3BEC">
            <w:pPr>
              <w:jc w:val="both"/>
              <w:rPr>
                <w:vanish/>
                <w:sz w:val="22"/>
                <w:szCs w:val="22"/>
              </w:rPr>
            </w:pPr>
          </w:p>
          <w:tbl>
            <w:tblPr>
              <w:tblW w:w="5000" w:type="pct"/>
              <w:tblCellSpacing w:w="0" w:type="dxa"/>
              <w:tblLayout w:type="fixed"/>
              <w:tblCellMar>
                <w:left w:w="0" w:type="dxa"/>
                <w:right w:w="0" w:type="dxa"/>
              </w:tblCellMar>
              <w:tblLook w:val="04A0" w:firstRow="1" w:lastRow="0" w:firstColumn="1" w:lastColumn="0" w:noHBand="0" w:noVBand="1"/>
            </w:tblPr>
            <w:tblGrid>
              <w:gridCol w:w="20"/>
              <w:gridCol w:w="4148"/>
            </w:tblGrid>
            <w:tr w:rsidR="001E1112" w:rsidRPr="00317ABF" w14:paraId="5641CD0F" w14:textId="77777777" w:rsidTr="007B5338">
              <w:trPr>
                <w:tblCellSpacing w:w="0" w:type="dxa"/>
              </w:trPr>
              <w:tc>
                <w:tcPr>
                  <w:tcW w:w="6" w:type="dxa"/>
                  <w:hideMark/>
                </w:tcPr>
                <w:p w14:paraId="25D42499" w14:textId="77777777" w:rsidR="001E1112" w:rsidRPr="00317ABF" w:rsidRDefault="001E1112" w:rsidP="00EE0AC3">
                  <w:pPr>
                    <w:framePr w:hSpace="141" w:wrap="around" w:vAnchor="text" w:hAnchor="text" w:xAlign="right" w:y="1"/>
                    <w:spacing w:before="120"/>
                    <w:suppressOverlap/>
                    <w:jc w:val="both"/>
                    <w:rPr>
                      <w:sz w:val="22"/>
                      <w:szCs w:val="22"/>
                    </w:rPr>
                  </w:pPr>
                </w:p>
              </w:tc>
              <w:tc>
                <w:tcPr>
                  <w:tcW w:w="9066" w:type="dxa"/>
                  <w:hideMark/>
                </w:tcPr>
                <w:p w14:paraId="1F26E102" w14:textId="77777777" w:rsidR="001E1112" w:rsidRPr="00317ABF" w:rsidRDefault="001E1112" w:rsidP="00EE0AC3">
                  <w:pPr>
                    <w:framePr w:hSpace="141" w:wrap="around" w:vAnchor="text" w:hAnchor="text" w:xAlign="right" w:y="1"/>
                    <w:numPr>
                      <w:ilvl w:val="0"/>
                      <w:numId w:val="62"/>
                    </w:numPr>
                    <w:spacing w:before="120"/>
                    <w:suppressOverlap/>
                    <w:jc w:val="both"/>
                    <w:rPr>
                      <w:sz w:val="22"/>
                      <w:szCs w:val="22"/>
                    </w:rPr>
                  </w:pPr>
                  <w:r w:rsidRPr="00317ABF">
                    <w:rPr>
                      <w:sz w:val="22"/>
                      <w:szCs w:val="22"/>
                    </w:rPr>
                    <w:t>potrzebę zapewnienia neutralności technologicznej umożliwiającej zainteresowanym stronom projektowanie ich własnych sieci i zarządzanie nimi;</w:t>
                  </w:r>
                </w:p>
              </w:tc>
            </w:tr>
          </w:tbl>
          <w:p w14:paraId="004FFE0F" w14:textId="77777777" w:rsidR="001E1112" w:rsidRPr="00317ABF" w:rsidRDefault="001E1112" w:rsidP="00DB3BEC">
            <w:pPr>
              <w:jc w:val="both"/>
              <w:rPr>
                <w:vanish/>
                <w:sz w:val="22"/>
                <w:szCs w:val="22"/>
              </w:rPr>
            </w:pPr>
          </w:p>
          <w:tbl>
            <w:tblPr>
              <w:tblW w:w="5000" w:type="pct"/>
              <w:tblCellSpacing w:w="0" w:type="dxa"/>
              <w:tblLayout w:type="fixed"/>
              <w:tblCellMar>
                <w:left w:w="0" w:type="dxa"/>
                <w:right w:w="0" w:type="dxa"/>
              </w:tblCellMar>
              <w:tblLook w:val="04A0" w:firstRow="1" w:lastRow="0" w:firstColumn="1" w:lastColumn="0" w:noHBand="0" w:noVBand="1"/>
            </w:tblPr>
            <w:tblGrid>
              <w:gridCol w:w="20"/>
              <w:gridCol w:w="4148"/>
            </w:tblGrid>
            <w:tr w:rsidR="001E1112" w:rsidRPr="00317ABF" w14:paraId="2E98794E" w14:textId="77777777" w:rsidTr="007B5338">
              <w:trPr>
                <w:tblCellSpacing w:w="0" w:type="dxa"/>
              </w:trPr>
              <w:tc>
                <w:tcPr>
                  <w:tcW w:w="6" w:type="dxa"/>
                  <w:hideMark/>
                </w:tcPr>
                <w:p w14:paraId="6E7746E0" w14:textId="77777777" w:rsidR="001E1112" w:rsidRPr="00317ABF" w:rsidRDefault="001E1112" w:rsidP="00EE0AC3">
                  <w:pPr>
                    <w:framePr w:hSpace="141" w:wrap="around" w:vAnchor="text" w:hAnchor="text" w:xAlign="right" w:y="1"/>
                    <w:spacing w:before="120"/>
                    <w:suppressOverlap/>
                    <w:jc w:val="both"/>
                    <w:rPr>
                      <w:sz w:val="22"/>
                      <w:szCs w:val="22"/>
                    </w:rPr>
                  </w:pPr>
                </w:p>
              </w:tc>
              <w:tc>
                <w:tcPr>
                  <w:tcW w:w="9066" w:type="dxa"/>
                  <w:hideMark/>
                </w:tcPr>
                <w:p w14:paraId="3E287046" w14:textId="77777777" w:rsidR="001E1112" w:rsidRPr="00317ABF" w:rsidRDefault="001E1112" w:rsidP="00EE0AC3">
                  <w:pPr>
                    <w:framePr w:hSpace="141" w:wrap="around" w:vAnchor="text" w:hAnchor="text" w:xAlign="right" w:y="1"/>
                    <w:numPr>
                      <w:ilvl w:val="0"/>
                      <w:numId w:val="62"/>
                    </w:numPr>
                    <w:spacing w:before="120"/>
                    <w:suppressOverlap/>
                    <w:jc w:val="both"/>
                    <w:rPr>
                      <w:sz w:val="22"/>
                      <w:szCs w:val="22"/>
                    </w:rPr>
                  </w:pPr>
                  <w:r w:rsidRPr="00317ABF">
                    <w:rPr>
                      <w:sz w:val="22"/>
                      <w:szCs w:val="22"/>
                    </w:rPr>
                    <w:t>możliwość zapewnienia oferowanego dostępu, mając na uwadze dostępną przepustowość;</w:t>
                  </w:r>
                </w:p>
              </w:tc>
            </w:tr>
          </w:tbl>
          <w:p w14:paraId="24B29659" w14:textId="77777777" w:rsidR="001E1112" w:rsidRPr="00317ABF" w:rsidRDefault="001E1112" w:rsidP="00DB3BEC">
            <w:pPr>
              <w:jc w:val="both"/>
              <w:rPr>
                <w:vanish/>
                <w:sz w:val="22"/>
                <w:szCs w:val="22"/>
              </w:rPr>
            </w:pPr>
          </w:p>
          <w:tbl>
            <w:tblPr>
              <w:tblW w:w="5000" w:type="pct"/>
              <w:tblCellSpacing w:w="0" w:type="dxa"/>
              <w:tblLayout w:type="fixed"/>
              <w:tblCellMar>
                <w:left w:w="0" w:type="dxa"/>
                <w:right w:w="0" w:type="dxa"/>
              </w:tblCellMar>
              <w:tblLook w:val="04A0" w:firstRow="1" w:lastRow="0" w:firstColumn="1" w:lastColumn="0" w:noHBand="0" w:noVBand="1"/>
            </w:tblPr>
            <w:tblGrid>
              <w:gridCol w:w="20"/>
              <w:gridCol w:w="4148"/>
            </w:tblGrid>
            <w:tr w:rsidR="001E1112" w:rsidRPr="00317ABF" w14:paraId="2887DB7F" w14:textId="77777777" w:rsidTr="007B5338">
              <w:trPr>
                <w:tblCellSpacing w:w="0" w:type="dxa"/>
              </w:trPr>
              <w:tc>
                <w:tcPr>
                  <w:tcW w:w="6" w:type="dxa"/>
                  <w:hideMark/>
                </w:tcPr>
                <w:p w14:paraId="03CCF771" w14:textId="77777777" w:rsidR="001E1112" w:rsidRPr="00317ABF" w:rsidRDefault="001E1112" w:rsidP="00EE0AC3">
                  <w:pPr>
                    <w:framePr w:hSpace="141" w:wrap="around" w:vAnchor="text" w:hAnchor="text" w:xAlign="right" w:y="1"/>
                    <w:spacing w:before="120"/>
                    <w:suppressOverlap/>
                    <w:jc w:val="both"/>
                    <w:rPr>
                      <w:sz w:val="22"/>
                      <w:szCs w:val="22"/>
                    </w:rPr>
                  </w:pPr>
                </w:p>
              </w:tc>
              <w:tc>
                <w:tcPr>
                  <w:tcW w:w="9066" w:type="dxa"/>
                  <w:hideMark/>
                </w:tcPr>
                <w:p w14:paraId="6913F470" w14:textId="77777777" w:rsidR="001E1112" w:rsidRPr="00317ABF" w:rsidRDefault="001E1112" w:rsidP="00EE0AC3">
                  <w:pPr>
                    <w:framePr w:hSpace="141" w:wrap="around" w:vAnchor="text" w:hAnchor="text" w:xAlign="right" w:y="1"/>
                    <w:numPr>
                      <w:ilvl w:val="0"/>
                      <w:numId w:val="62"/>
                    </w:numPr>
                    <w:spacing w:before="120"/>
                    <w:suppressOverlap/>
                    <w:jc w:val="both"/>
                    <w:rPr>
                      <w:sz w:val="22"/>
                      <w:szCs w:val="22"/>
                    </w:rPr>
                  </w:pPr>
                  <w:r w:rsidRPr="00317ABF">
                    <w:rPr>
                      <w:sz w:val="22"/>
                      <w:szCs w:val="22"/>
                    </w:rPr>
                    <w:t>wstępną inwestycję właściciela urządzenia, przy uwzględnieniu wszelkich poczynionych inwestycji publicznych i ryzyka związanego z inwestycją, ze szczególnym uwzględnieniem inwestycji w sieci o bardzo dużej przepustowości oraz poziomów ryzyka związanego z tymi sieciami;</w:t>
                  </w:r>
                </w:p>
              </w:tc>
            </w:tr>
          </w:tbl>
          <w:p w14:paraId="0A31A29F" w14:textId="77777777" w:rsidR="001E1112" w:rsidRPr="00317ABF" w:rsidRDefault="001E1112" w:rsidP="00DB3BEC">
            <w:pPr>
              <w:jc w:val="both"/>
              <w:rPr>
                <w:vanish/>
                <w:sz w:val="22"/>
                <w:szCs w:val="22"/>
              </w:rPr>
            </w:pPr>
          </w:p>
          <w:tbl>
            <w:tblPr>
              <w:tblW w:w="5000" w:type="pct"/>
              <w:tblCellSpacing w:w="0" w:type="dxa"/>
              <w:tblLayout w:type="fixed"/>
              <w:tblCellMar>
                <w:left w:w="0" w:type="dxa"/>
                <w:right w:w="0" w:type="dxa"/>
              </w:tblCellMar>
              <w:tblLook w:val="04A0" w:firstRow="1" w:lastRow="0" w:firstColumn="1" w:lastColumn="0" w:noHBand="0" w:noVBand="1"/>
            </w:tblPr>
            <w:tblGrid>
              <w:gridCol w:w="20"/>
              <w:gridCol w:w="4148"/>
            </w:tblGrid>
            <w:tr w:rsidR="001E1112" w:rsidRPr="00317ABF" w14:paraId="1EE84D3C" w14:textId="77777777" w:rsidTr="007B5338">
              <w:trPr>
                <w:tblCellSpacing w:w="0" w:type="dxa"/>
              </w:trPr>
              <w:tc>
                <w:tcPr>
                  <w:tcW w:w="6" w:type="dxa"/>
                  <w:hideMark/>
                </w:tcPr>
                <w:p w14:paraId="4C494B24" w14:textId="77777777" w:rsidR="001E1112" w:rsidRPr="00317ABF" w:rsidRDefault="001E1112" w:rsidP="00EE0AC3">
                  <w:pPr>
                    <w:framePr w:hSpace="141" w:wrap="around" w:vAnchor="text" w:hAnchor="text" w:xAlign="right" w:y="1"/>
                    <w:spacing w:before="120"/>
                    <w:suppressOverlap/>
                    <w:jc w:val="both"/>
                    <w:rPr>
                      <w:sz w:val="22"/>
                      <w:szCs w:val="22"/>
                    </w:rPr>
                  </w:pPr>
                </w:p>
              </w:tc>
              <w:tc>
                <w:tcPr>
                  <w:tcW w:w="9066" w:type="dxa"/>
                  <w:hideMark/>
                </w:tcPr>
                <w:p w14:paraId="294D6E51" w14:textId="77777777" w:rsidR="001E1112" w:rsidRPr="00317ABF" w:rsidRDefault="001E1112" w:rsidP="00EE0AC3">
                  <w:pPr>
                    <w:framePr w:hSpace="141" w:wrap="around" w:vAnchor="text" w:hAnchor="text" w:xAlign="right" w:y="1"/>
                    <w:numPr>
                      <w:ilvl w:val="0"/>
                      <w:numId w:val="62"/>
                    </w:numPr>
                    <w:spacing w:before="120"/>
                    <w:suppressOverlap/>
                    <w:jc w:val="both"/>
                    <w:rPr>
                      <w:sz w:val="22"/>
                      <w:szCs w:val="22"/>
                    </w:rPr>
                  </w:pPr>
                  <w:r w:rsidRPr="00317ABF">
                    <w:rPr>
                      <w:sz w:val="22"/>
                      <w:szCs w:val="22"/>
                    </w:rPr>
                    <w:t>potrzebę ochrony konkurencji w długoterminowej perspektywie, ze szczególnym uwzględnieniem efektywnej ekonomicznie konkurencji opartej na infrastrukturze oraz innowacyjnych modeli biznesowych wspierających zrównoważoną konkurencję, takich jak modele oparte na współinwestycjach w sieci;</w:t>
                  </w:r>
                </w:p>
              </w:tc>
            </w:tr>
          </w:tbl>
          <w:p w14:paraId="038A5A99" w14:textId="77777777" w:rsidR="001E1112" w:rsidRPr="00317ABF" w:rsidRDefault="001E1112" w:rsidP="00DB3BEC">
            <w:pPr>
              <w:jc w:val="both"/>
              <w:rPr>
                <w:vanish/>
                <w:sz w:val="22"/>
                <w:szCs w:val="22"/>
              </w:rPr>
            </w:pPr>
          </w:p>
          <w:tbl>
            <w:tblPr>
              <w:tblW w:w="5000" w:type="pct"/>
              <w:tblCellSpacing w:w="0" w:type="dxa"/>
              <w:tblLayout w:type="fixed"/>
              <w:tblCellMar>
                <w:left w:w="0" w:type="dxa"/>
                <w:right w:w="0" w:type="dxa"/>
              </w:tblCellMar>
              <w:tblLook w:val="04A0" w:firstRow="1" w:lastRow="0" w:firstColumn="1" w:lastColumn="0" w:noHBand="0" w:noVBand="1"/>
            </w:tblPr>
            <w:tblGrid>
              <w:gridCol w:w="20"/>
              <w:gridCol w:w="4148"/>
            </w:tblGrid>
            <w:tr w:rsidR="001E1112" w:rsidRPr="00317ABF" w14:paraId="6391C8C5" w14:textId="77777777" w:rsidTr="007B5338">
              <w:trPr>
                <w:tblCellSpacing w:w="0" w:type="dxa"/>
              </w:trPr>
              <w:tc>
                <w:tcPr>
                  <w:tcW w:w="7" w:type="dxa"/>
                  <w:hideMark/>
                </w:tcPr>
                <w:p w14:paraId="3E28733E" w14:textId="77777777" w:rsidR="001E1112" w:rsidRPr="00317ABF" w:rsidRDefault="001E1112" w:rsidP="00EE0AC3">
                  <w:pPr>
                    <w:framePr w:hSpace="141" w:wrap="around" w:vAnchor="text" w:hAnchor="text" w:xAlign="right" w:y="1"/>
                    <w:spacing w:before="120"/>
                    <w:suppressOverlap/>
                    <w:jc w:val="both"/>
                    <w:rPr>
                      <w:sz w:val="22"/>
                      <w:szCs w:val="22"/>
                    </w:rPr>
                  </w:pPr>
                </w:p>
              </w:tc>
              <w:tc>
                <w:tcPr>
                  <w:tcW w:w="9065" w:type="dxa"/>
                  <w:hideMark/>
                </w:tcPr>
                <w:p w14:paraId="6B4EE1E0" w14:textId="77777777" w:rsidR="001E1112" w:rsidRPr="00317ABF" w:rsidRDefault="001E1112" w:rsidP="00EE0AC3">
                  <w:pPr>
                    <w:framePr w:hSpace="141" w:wrap="around" w:vAnchor="text" w:hAnchor="text" w:xAlign="right" w:y="1"/>
                    <w:numPr>
                      <w:ilvl w:val="0"/>
                      <w:numId w:val="62"/>
                    </w:numPr>
                    <w:spacing w:before="120"/>
                    <w:suppressOverlap/>
                    <w:jc w:val="both"/>
                    <w:rPr>
                      <w:sz w:val="22"/>
                      <w:szCs w:val="22"/>
                    </w:rPr>
                  </w:pPr>
                  <w:r w:rsidRPr="00317ABF">
                    <w:rPr>
                      <w:sz w:val="22"/>
                      <w:szCs w:val="22"/>
                    </w:rPr>
                    <w:t>w zależności od okoliczności ewentualne odpowiednie prawa własności intelektualnej;</w:t>
                  </w:r>
                </w:p>
              </w:tc>
            </w:tr>
          </w:tbl>
          <w:p w14:paraId="6B937D9D" w14:textId="77777777" w:rsidR="001E1112" w:rsidRPr="00317ABF" w:rsidRDefault="001E1112" w:rsidP="00DB3BEC">
            <w:pPr>
              <w:jc w:val="both"/>
              <w:rPr>
                <w:vanish/>
                <w:sz w:val="22"/>
                <w:szCs w:val="22"/>
              </w:rPr>
            </w:pPr>
          </w:p>
          <w:tbl>
            <w:tblPr>
              <w:tblW w:w="5000" w:type="pct"/>
              <w:tblCellSpacing w:w="0" w:type="dxa"/>
              <w:tblLayout w:type="fixed"/>
              <w:tblCellMar>
                <w:left w:w="0" w:type="dxa"/>
                <w:right w:w="0" w:type="dxa"/>
              </w:tblCellMar>
              <w:tblLook w:val="04A0" w:firstRow="1" w:lastRow="0" w:firstColumn="1" w:lastColumn="0" w:noHBand="0" w:noVBand="1"/>
            </w:tblPr>
            <w:tblGrid>
              <w:gridCol w:w="20"/>
              <w:gridCol w:w="4148"/>
            </w:tblGrid>
            <w:tr w:rsidR="001E1112" w:rsidRPr="00317ABF" w14:paraId="5D504E46" w14:textId="77777777" w:rsidTr="007B5338">
              <w:trPr>
                <w:tblCellSpacing w:w="0" w:type="dxa"/>
              </w:trPr>
              <w:tc>
                <w:tcPr>
                  <w:tcW w:w="14" w:type="dxa"/>
                  <w:hideMark/>
                </w:tcPr>
                <w:p w14:paraId="50C7CB7E" w14:textId="77777777" w:rsidR="001E1112" w:rsidRPr="00317ABF" w:rsidRDefault="001E1112" w:rsidP="00EE0AC3">
                  <w:pPr>
                    <w:framePr w:hSpace="141" w:wrap="around" w:vAnchor="text" w:hAnchor="text" w:xAlign="right" w:y="1"/>
                    <w:spacing w:before="120"/>
                    <w:suppressOverlap/>
                    <w:jc w:val="both"/>
                    <w:rPr>
                      <w:sz w:val="22"/>
                      <w:szCs w:val="22"/>
                    </w:rPr>
                  </w:pPr>
                </w:p>
              </w:tc>
              <w:tc>
                <w:tcPr>
                  <w:tcW w:w="9058" w:type="dxa"/>
                  <w:hideMark/>
                </w:tcPr>
                <w:p w14:paraId="625E6908" w14:textId="77777777" w:rsidR="001E1112" w:rsidRPr="00317ABF" w:rsidRDefault="001E1112" w:rsidP="00EE0AC3">
                  <w:pPr>
                    <w:framePr w:hSpace="141" w:wrap="around" w:vAnchor="text" w:hAnchor="text" w:xAlign="right" w:y="1"/>
                    <w:numPr>
                      <w:ilvl w:val="0"/>
                      <w:numId w:val="62"/>
                    </w:numPr>
                    <w:spacing w:before="120"/>
                    <w:suppressOverlap/>
                    <w:jc w:val="both"/>
                    <w:rPr>
                      <w:sz w:val="22"/>
                      <w:szCs w:val="22"/>
                    </w:rPr>
                  </w:pPr>
                  <w:r w:rsidRPr="00317ABF">
                    <w:rPr>
                      <w:sz w:val="22"/>
                      <w:szCs w:val="22"/>
                    </w:rPr>
                    <w:t>świadczenie usług ogólnoeuropejskich.</w:t>
                  </w:r>
                </w:p>
              </w:tc>
            </w:tr>
          </w:tbl>
          <w:p w14:paraId="3F991022" w14:textId="77777777" w:rsidR="001E1112" w:rsidRPr="00317ABF" w:rsidRDefault="001E1112" w:rsidP="00DB3BEC">
            <w:pPr>
              <w:spacing w:before="120"/>
              <w:jc w:val="both"/>
              <w:rPr>
                <w:sz w:val="22"/>
                <w:szCs w:val="22"/>
              </w:rPr>
            </w:pPr>
            <w:r w:rsidRPr="00317ABF">
              <w:rPr>
                <w:sz w:val="22"/>
                <w:szCs w:val="22"/>
              </w:rPr>
              <w:lastRenderedPageBreak/>
              <w:t>W przypadku gdy krajowy organ regulacyjny rozważa, zgodnie z art. 68, nałożenie obowiązków na podstawie art. 72 lub niniejszego artykułu, analizuje on, czy samo nałożenie obowiązków zgodnie z art. 72 byłoby proporcjonalnym środkiem służącym promowaniu konkurencji i interesów użytkownika końcowego.</w:t>
            </w:r>
          </w:p>
        </w:tc>
        <w:tc>
          <w:tcPr>
            <w:tcW w:w="986" w:type="dxa"/>
          </w:tcPr>
          <w:p w14:paraId="577672DC" w14:textId="22B14C19" w:rsidR="001E1112" w:rsidRPr="00317ABF" w:rsidRDefault="001E1112" w:rsidP="00DB3BEC">
            <w:pPr>
              <w:jc w:val="both"/>
              <w:rPr>
                <w:sz w:val="22"/>
                <w:szCs w:val="22"/>
              </w:rPr>
            </w:pPr>
            <w:r w:rsidRPr="00317ABF">
              <w:rPr>
                <w:sz w:val="22"/>
                <w:szCs w:val="22"/>
              </w:rPr>
              <w:lastRenderedPageBreak/>
              <w:t>T</w:t>
            </w:r>
          </w:p>
        </w:tc>
        <w:tc>
          <w:tcPr>
            <w:tcW w:w="910" w:type="dxa"/>
          </w:tcPr>
          <w:p w14:paraId="1ED91378" w14:textId="488B42BA" w:rsidR="001E1112" w:rsidRPr="00317ABF" w:rsidRDefault="001E1112" w:rsidP="00DB3BEC">
            <w:pPr>
              <w:pStyle w:val="Tekstpodstawowy"/>
              <w:rPr>
                <w:b/>
                <w:noProof/>
                <w:sz w:val="22"/>
                <w:szCs w:val="22"/>
              </w:rPr>
            </w:pPr>
            <w:r w:rsidRPr="00317ABF">
              <w:rPr>
                <w:b/>
                <w:noProof/>
                <w:sz w:val="22"/>
                <w:szCs w:val="22"/>
              </w:rPr>
              <w:t xml:space="preserve">Art. </w:t>
            </w:r>
            <w:r w:rsidR="006C0111" w:rsidRPr="00317ABF">
              <w:rPr>
                <w:b/>
                <w:noProof/>
                <w:sz w:val="22"/>
                <w:szCs w:val="22"/>
              </w:rPr>
              <w:t>211</w:t>
            </w:r>
            <w:r w:rsidRPr="00317ABF">
              <w:rPr>
                <w:b/>
                <w:noProof/>
                <w:sz w:val="22"/>
                <w:szCs w:val="22"/>
              </w:rPr>
              <w:t xml:space="preserve"> ust. 2, art. </w:t>
            </w:r>
            <w:r w:rsidR="006C0111" w:rsidRPr="00317ABF">
              <w:rPr>
                <w:b/>
                <w:noProof/>
                <w:sz w:val="22"/>
                <w:szCs w:val="22"/>
              </w:rPr>
              <w:t>212</w:t>
            </w:r>
            <w:r w:rsidRPr="00317ABF">
              <w:rPr>
                <w:b/>
                <w:noProof/>
                <w:sz w:val="22"/>
                <w:szCs w:val="22"/>
              </w:rPr>
              <w:t xml:space="preserve"> ust. 2</w:t>
            </w:r>
          </w:p>
        </w:tc>
        <w:tc>
          <w:tcPr>
            <w:tcW w:w="6814" w:type="dxa"/>
            <w:gridSpan w:val="2"/>
          </w:tcPr>
          <w:p w14:paraId="2871CDD9" w14:textId="7B0F0734" w:rsidR="001E1112" w:rsidRPr="00317ABF" w:rsidRDefault="001E1112" w:rsidP="00DB3BEC">
            <w:pPr>
              <w:pStyle w:val="USTustnpkodeksu"/>
              <w:spacing w:line="240" w:lineRule="auto"/>
              <w:ind w:firstLine="0"/>
              <w:rPr>
                <w:rFonts w:ascii="Times New Roman" w:hAnsi="Times New Roman" w:cs="Times New Roman"/>
                <w:sz w:val="22"/>
                <w:szCs w:val="22"/>
              </w:rPr>
            </w:pPr>
            <w:r w:rsidRPr="00317ABF">
              <w:rPr>
                <w:rFonts w:ascii="Times New Roman" w:hAnsi="Times New Roman" w:cs="Times New Roman"/>
                <w:b/>
                <w:sz w:val="22"/>
                <w:szCs w:val="22"/>
              </w:rPr>
              <w:t xml:space="preserve">Art. </w:t>
            </w:r>
            <w:r w:rsidR="006C0111" w:rsidRPr="00317ABF">
              <w:rPr>
                <w:rFonts w:ascii="Times New Roman" w:hAnsi="Times New Roman" w:cs="Times New Roman"/>
                <w:b/>
                <w:sz w:val="22"/>
                <w:szCs w:val="22"/>
              </w:rPr>
              <w:t>211</w:t>
            </w:r>
            <w:r w:rsidRPr="00317ABF">
              <w:rPr>
                <w:rFonts w:ascii="Times New Roman" w:hAnsi="Times New Roman" w:cs="Times New Roman"/>
                <w:b/>
                <w:sz w:val="22"/>
                <w:szCs w:val="22"/>
              </w:rPr>
              <w:t xml:space="preserve"> ust. 2</w:t>
            </w:r>
            <w:r w:rsidRPr="00317ABF">
              <w:rPr>
                <w:rFonts w:ascii="Times New Roman" w:hAnsi="Times New Roman" w:cs="Times New Roman"/>
                <w:sz w:val="22"/>
                <w:szCs w:val="22"/>
              </w:rPr>
              <w:t>:</w:t>
            </w:r>
          </w:p>
          <w:p w14:paraId="76B78FA8" w14:textId="77777777" w:rsidR="006C0111" w:rsidRPr="00317ABF" w:rsidRDefault="006C0111" w:rsidP="00DB3BEC">
            <w:pPr>
              <w:pStyle w:val="USTustnpkodeksu"/>
              <w:spacing w:line="240" w:lineRule="auto"/>
              <w:ind w:firstLine="0"/>
              <w:rPr>
                <w:rFonts w:ascii="Times New Roman" w:hAnsi="Times New Roman" w:cs="Times New Roman"/>
                <w:sz w:val="22"/>
                <w:szCs w:val="22"/>
              </w:rPr>
            </w:pPr>
          </w:p>
          <w:p w14:paraId="1006FDF6" w14:textId="38CC6F86" w:rsidR="001E1112" w:rsidRPr="00317ABF" w:rsidRDefault="001E1112" w:rsidP="006C0111">
            <w:pPr>
              <w:pStyle w:val="Akapitzlist"/>
              <w:numPr>
                <w:ilvl w:val="0"/>
                <w:numId w:val="2"/>
              </w:numPr>
              <w:jc w:val="both"/>
              <w:rPr>
                <w:sz w:val="22"/>
                <w:szCs w:val="22"/>
              </w:rPr>
            </w:pPr>
            <w:r w:rsidRPr="00317ABF">
              <w:rPr>
                <w:sz w:val="22"/>
                <w:szCs w:val="22"/>
              </w:rPr>
              <w:t xml:space="preserve">Prezes UKE nakłada </w:t>
            </w:r>
            <w:r w:rsidR="006C0111" w:rsidRPr="00317ABF">
              <w:rPr>
                <w:bCs/>
                <w:sz w:val="22"/>
                <w:szCs w:val="22"/>
              </w:rPr>
              <w:t>obowiązek</w:t>
            </w:r>
            <w:r w:rsidRPr="00317ABF">
              <w:rPr>
                <w:sz w:val="22"/>
                <w:szCs w:val="22"/>
              </w:rPr>
              <w:t xml:space="preserve">, o </w:t>
            </w:r>
            <w:r w:rsidR="006C0111" w:rsidRPr="00317ABF">
              <w:rPr>
                <w:bCs/>
                <w:sz w:val="22"/>
                <w:szCs w:val="22"/>
              </w:rPr>
              <w:t>którym</w:t>
            </w:r>
            <w:r w:rsidRPr="00317ABF">
              <w:rPr>
                <w:sz w:val="22"/>
                <w:szCs w:val="22"/>
              </w:rPr>
              <w:t xml:space="preserve"> mowa w ust. 1, zgodnie z przesłankami, o których mowa w art. </w:t>
            </w:r>
            <w:r w:rsidR="006C0111" w:rsidRPr="00317ABF">
              <w:rPr>
                <w:bCs/>
                <w:sz w:val="22"/>
                <w:szCs w:val="22"/>
              </w:rPr>
              <w:t xml:space="preserve">202 </w:t>
            </w:r>
            <w:r w:rsidRPr="00317ABF">
              <w:rPr>
                <w:sz w:val="22"/>
                <w:szCs w:val="22"/>
              </w:rPr>
              <w:t xml:space="preserve"> pkt 2 lit. a, biorąc pod uwagę czy inne, w tym planowane, formy dostępu do produktów hurtowych na tym samym lub powiązanym rynku lub obowiązek nałożony zgodnie z art. </w:t>
            </w:r>
            <w:r w:rsidR="006C0111" w:rsidRPr="00317ABF">
              <w:rPr>
                <w:bCs/>
                <w:sz w:val="22"/>
                <w:szCs w:val="22"/>
              </w:rPr>
              <w:t>210</w:t>
            </w:r>
            <w:r w:rsidRPr="00317ABF">
              <w:rPr>
                <w:sz w:val="22"/>
                <w:szCs w:val="22"/>
              </w:rPr>
              <w:t>, są wystarczające do rozwiązania problemów rynkowych.</w:t>
            </w:r>
          </w:p>
          <w:p w14:paraId="69BEBD89" w14:textId="77777777" w:rsidR="006C0111" w:rsidRPr="00317ABF" w:rsidRDefault="006C0111" w:rsidP="006C0111">
            <w:pPr>
              <w:pStyle w:val="Akapitzlist"/>
              <w:jc w:val="both"/>
              <w:rPr>
                <w:sz w:val="22"/>
                <w:szCs w:val="22"/>
              </w:rPr>
            </w:pPr>
          </w:p>
          <w:p w14:paraId="40024C9F" w14:textId="338A5E97" w:rsidR="001E1112" w:rsidRPr="00317ABF" w:rsidRDefault="001E1112" w:rsidP="00DB3BEC">
            <w:pPr>
              <w:jc w:val="both"/>
              <w:rPr>
                <w:b/>
                <w:sz w:val="22"/>
                <w:szCs w:val="22"/>
              </w:rPr>
            </w:pPr>
            <w:r w:rsidRPr="00317ABF">
              <w:rPr>
                <w:b/>
                <w:sz w:val="22"/>
                <w:szCs w:val="22"/>
              </w:rPr>
              <w:t xml:space="preserve">Art. </w:t>
            </w:r>
            <w:r w:rsidR="006C0111" w:rsidRPr="00317ABF">
              <w:rPr>
                <w:b/>
                <w:sz w:val="22"/>
                <w:szCs w:val="22"/>
              </w:rPr>
              <w:t>212</w:t>
            </w:r>
            <w:r w:rsidRPr="00317ABF">
              <w:rPr>
                <w:b/>
                <w:sz w:val="22"/>
                <w:szCs w:val="22"/>
              </w:rPr>
              <w:t xml:space="preserve"> ust. 2:</w:t>
            </w:r>
          </w:p>
          <w:p w14:paraId="3E2B5DE1" w14:textId="77777777" w:rsidR="001E1112" w:rsidRPr="00317ABF" w:rsidRDefault="001E1112" w:rsidP="00DB3BEC">
            <w:pPr>
              <w:jc w:val="both"/>
              <w:rPr>
                <w:sz w:val="22"/>
                <w:szCs w:val="22"/>
              </w:rPr>
            </w:pPr>
          </w:p>
          <w:p w14:paraId="2166B224" w14:textId="77777777" w:rsidR="006C0111" w:rsidRPr="00317ABF" w:rsidRDefault="006C0111" w:rsidP="006C0111">
            <w:pPr>
              <w:pStyle w:val="USTustnpkodeksu"/>
              <w:spacing w:line="240" w:lineRule="auto"/>
              <w:rPr>
                <w:rFonts w:ascii="Times New Roman" w:hAnsi="Times New Roman" w:cs="Times New Roman"/>
                <w:sz w:val="22"/>
                <w:szCs w:val="22"/>
              </w:rPr>
            </w:pPr>
            <w:r w:rsidRPr="00317ABF">
              <w:rPr>
                <w:rFonts w:ascii="Times New Roman" w:hAnsi="Times New Roman" w:cs="Times New Roman"/>
                <w:sz w:val="22"/>
                <w:szCs w:val="22"/>
              </w:rPr>
              <w:t>2. Przy ustalaniu zakresu obowiązku dostępu telekomunikacyjnego Prezes UKE uwzględnia w szczególności:</w:t>
            </w:r>
          </w:p>
          <w:p w14:paraId="7BCCE551" w14:textId="77777777" w:rsidR="006C0111" w:rsidRPr="00317ABF" w:rsidRDefault="006C0111" w:rsidP="006C0111">
            <w:pPr>
              <w:pStyle w:val="USTustnpkodeksu"/>
              <w:spacing w:line="240" w:lineRule="auto"/>
              <w:rPr>
                <w:rFonts w:ascii="Times New Roman" w:hAnsi="Times New Roman" w:cs="Times New Roman"/>
                <w:sz w:val="22"/>
                <w:szCs w:val="22"/>
              </w:rPr>
            </w:pPr>
            <w:r w:rsidRPr="00317ABF">
              <w:rPr>
                <w:rFonts w:ascii="Times New Roman" w:hAnsi="Times New Roman" w:cs="Times New Roman"/>
                <w:sz w:val="22"/>
                <w:szCs w:val="22"/>
              </w:rPr>
              <w:t>1)</w:t>
            </w:r>
            <w:r w:rsidRPr="00317ABF">
              <w:rPr>
                <w:rFonts w:ascii="Times New Roman" w:hAnsi="Times New Roman" w:cs="Times New Roman"/>
                <w:sz w:val="22"/>
                <w:szCs w:val="22"/>
              </w:rPr>
              <w:tab/>
              <w:t>techniczną i ekonomiczną możliwość korzystania lub instalowania konkurencyjnych urządzeń, mając na uwadze tempo rozwoju rynku oraz rodzaj wzajemnych połączeń sieci lub dostępu telekomunikacyjnego, w tym możliwość zastosowania innych rozwiązań związanych z dostępem telekomunikacyjnym, takich jak dostęp do kanalizacji kablowej;</w:t>
            </w:r>
          </w:p>
          <w:p w14:paraId="7E86573F" w14:textId="77777777" w:rsidR="006C0111" w:rsidRPr="00317ABF" w:rsidRDefault="006C0111" w:rsidP="006C0111">
            <w:pPr>
              <w:pStyle w:val="USTustnpkodeksu"/>
              <w:spacing w:line="240" w:lineRule="auto"/>
              <w:rPr>
                <w:rFonts w:ascii="Times New Roman" w:hAnsi="Times New Roman" w:cs="Times New Roman"/>
                <w:sz w:val="22"/>
                <w:szCs w:val="22"/>
              </w:rPr>
            </w:pPr>
            <w:r w:rsidRPr="00317ABF">
              <w:rPr>
                <w:rFonts w:ascii="Times New Roman" w:hAnsi="Times New Roman" w:cs="Times New Roman"/>
                <w:sz w:val="22"/>
                <w:szCs w:val="22"/>
              </w:rPr>
              <w:t>2)</w:t>
            </w:r>
            <w:r w:rsidRPr="00317ABF">
              <w:rPr>
                <w:rFonts w:ascii="Times New Roman" w:hAnsi="Times New Roman" w:cs="Times New Roman"/>
                <w:sz w:val="22"/>
                <w:szCs w:val="22"/>
              </w:rPr>
              <w:tab/>
              <w:t>możliwość zapewnienia oferowanego dostępu telekomunikacyjnego z uwzględnieniem posiadanej pojemności sieci;</w:t>
            </w:r>
          </w:p>
          <w:p w14:paraId="02CE11CA" w14:textId="77777777" w:rsidR="006C0111" w:rsidRPr="00317ABF" w:rsidRDefault="006C0111" w:rsidP="006C0111">
            <w:pPr>
              <w:pStyle w:val="USTustnpkodeksu"/>
              <w:spacing w:line="240" w:lineRule="auto"/>
              <w:rPr>
                <w:rFonts w:ascii="Times New Roman" w:hAnsi="Times New Roman" w:cs="Times New Roman"/>
                <w:sz w:val="22"/>
                <w:szCs w:val="22"/>
              </w:rPr>
            </w:pPr>
            <w:r w:rsidRPr="00317ABF">
              <w:rPr>
                <w:rFonts w:ascii="Times New Roman" w:hAnsi="Times New Roman" w:cs="Times New Roman"/>
                <w:sz w:val="22"/>
                <w:szCs w:val="22"/>
              </w:rPr>
              <w:t>3)</w:t>
            </w:r>
            <w:r w:rsidRPr="00317ABF">
              <w:rPr>
                <w:rFonts w:ascii="Times New Roman" w:hAnsi="Times New Roman" w:cs="Times New Roman"/>
                <w:sz w:val="22"/>
                <w:szCs w:val="22"/>
              </w:rPr>
              <w:tab/>
              <w:t>wstępne inwestycje dokonane przez właściciela urządzeń lub powiązanych zasobów, mając na uwadze ryzyko inwestycyjne oraz przy uwzględnieniu infrastruktury zrealizowanej w całości lub części ze środków publicznych, z której korzysta przedsiębiorca komunikacji elektronicznej, ze szczególnym uwzględnieniem inwestycji w sieci o bardzo dużej przepustowości oraz poziomów ryzyka związanych z tymi inwestycjami;</w:t>
            </w:r>
          </w:p>
          <w:p w14:paraId="368D1646" w14:textId="77777777" w:rsidR="006C0111" w:rsidRPr="00317ABF" w:rsidRDefault="006C0111" w:rsidP="006C0111">
            <w:pPr>
              <w:pStyle w:val="USTustnpkodeksu"/>
              <w:spacing w:line="240" w:lineRule="auto"/>
              <w:rPr>
                <w:rFonts w:ascii="Times New Roman" w:hAnsi="Times New Roman" w:cs="Times New Roman"/>
                <w:sz w:val="22"/>
                <w:szCs w:val="22"/>
              </w:rPr>
            </w:pPr>
            <w:r w:rsidRPr="00317ABF">
              <w:rPr>
                <w:rFonts w:ascii="Times New Roman" w:hAnsi="Times New Roman" w:cs="Times New Roman"/>
                <w:sz w:val="22"/>
                <w:szCs w:val="22"/>
              </w:rPr>
              <w:t>4)</w:t>
            </w:r>
            <w:r w:rsidRPr="00317ABF">
              <w:rPr>
                <w:rFonts w:ascii="Times New Roman" w:hAnsi="Times New Roman" w:cs="Times New Roman"/>
                <w:sz w:val="22"/>
                <w:szCs w:val="22"/>
              </w:rPr>
              <w:tab/>
              <w:t>konieczność zapewnienia konkurencji w dłuższym okresie, w tym promowanie efektywnego inwestowania w dziedzinie infrastruktury oraz innowacyjnych modeli biznesowych wspierających zrównoważoną konkurencję, w szczególności opartych na współinwestowaniu w sieci;</w:t>
            </w:r>
          </w:p>
          <w:p w14:paraId="5D9C557F" w14:textId="77777777" w:rsidR="006C0111" w:rsidRPr="00317ABF" w:rsidRDefault="006C0111" w:rsidP="006C0111">
            <w:pPr>
              <w:pStyle w:val="USTustnpkodeksu"/>
              <w:spacing w:line="240" w:lineRule="auto"/>
              <w:rPr>
                <w:rFonts w:ascii="Times New Roman" w:hAnsi="Times New Roman" w:cs="Times New Roman"/>
                <w:sz w:val="22"/>
                <w:szCs w:val="22"/>
              </w:rPr>
            </w:pPr>
            <w:r w:rsidRPr="00317ABF">
              <w:rPr>
                <w:rFonts w:ascii="Times New Roman" w:hAnsi="Times New Roman" w:cs="Times New Roman"/>
                <w:sz w:val="22"/>
                <w:szCs w:val="22"/>
              </w:rPr>
              <w:t>5)</w:t>
            </w:r>
            <w:r w:rsidRPr="00317ABF">
              <w:rPr>
                <w:rFonts w:ascii="Times New Roman" w:hAnsi="Times New Roman" w:cs="Times New Roman"/>
                <w:sz w:val="22"/>
                <w:szCs w:val="22"/>
              </w:rPr>
              <w:tab/>
              <w:t>odpowiednie prawa własności intelektualnej;</w:t>
            </w:r>
          </w:p>
          <w:p w14:paraId="5188C05A" w14:textId="77777777" w:rsidR="006C0111" w:rsidRPr="00317ABF" w:rsidRDefault="006C0111" w:rsidP="006C0111">
            <w:pPr>
              <w:pStyle w:val="USTustnpkodeksu"/>
              <w:spacing w:line="240" w:lineRule="auto"/>
              <w:rPr>
                <w:rFonts w:ascii="Times New Roman" w:hAnsi="Times New Roman" w:cs="Times New Roman"/>
                <w:sz w:val="22"/>
                <w:szCs w:val="22"/>
              </w:rPr>
            </w:pPr>
            <w:r w:rsidRPr="00317ABF">
              <w:rPr>
                <w:rFonts w:ascii="Times New Roman" w:hAnsi="Times New Roman" w:cs="Times New Roman"/>
                <w:sz w:val="22"/>
                <w:szCs w:val="22"/>
              </w:rPr>
              <w:t>6)</w:t>
            </w:r>
            <w:r w:rsidRPr="00317ABF">
              <w:rPr>
                <w:rFonts w:ascii="Times New Roman" w:hAnsi="Times New Roman" w:cs="Times New Roman"/>
                <w:sz w:val="22"/>
                <w:szCs w:val="22"/>
              </w:rPr>
              <w:tab/>
              <w:t>świadczenie usług obejmujących swoim zasięgiem kontynent europejski;</w:t>
            </w:r>
          </w:p>
          <w:p w14:paraId="06482706" w14:textId="77777777" w:rsidR="006C0111" w:rsidRPr="00317ABF" w:rsidRDefault="006C0111" w:rsidP="006C0111">
            <w:pPr>
              <w:pStyle w:val="USTustnpkodeksu"/>
              <w:spacing w:line="240" w:lineRule="auto"/>
              <w:rPr>
                <w:rFonts w:ascii="Times New Roman" w:hAnsi="Times New Roman" w:cs="Times New Roman"/>
                <w:sz w:val="22"/>
                <w:szCs w:val="22"/>
              </w:rPr>
            </w:pPr>
            <w:r w:rsidRPr="00317ABF">
              <w:rPr>
                <w:rFonts w:ascii="Times New Roman" w:hAnsi="Times New Roman" w:cs="Times New Roman"/>
                <w:sz w:val="22"/>
                <w:szCs w:val="22"/>
              </w:rPr>
              <w:t>7)</w:t>
            </w:r>
            <w:r w:rsidRPr="00317ABF">
              <w:rPr>
                <w:rFonts w:ascii="Times New Roman" w:hAnsi="Times New Roman" w:cs="Times New Roman"/>
                <w:sz w:val="22"/>
                <w:szCs w:val="22"/>
              </w:rPr>
              <w:tab/>
              <w:t>prognozowany rozwój technologiczny związany z projektowaniem sieci i zarządzaniem nimi;</w:t>
            </w:r>
          </w:p>
          <w:p w14:paraId="33488D18" w14:textId="190DBAFE" w:rsidR="001E1112" w:rsidRPr="00317ABF" w:rsidRDefault="001E1112" w:rsidP="00DB3BEC">
            <w:pPr>
              <w:jc w:val="both"/>
              <w:rPr>
                <w:sz w:val="22"/>
                <w:szCs w:val="22"/>
              </w:rPr>
            </w:pPr>
            <w:r w:rsidRPr="00317ABF">
              <w:rPr>
                <w:sz w:val="22"/>
                <w:szCs w:val="22"/>
              </w:rPr>
              <w:lastRenderedPageBreak/>
              <w:t>8)</w:t>
            </w:r>
            <w:r w:rsidR="006C0111" w:rsidRPr="00317ABF">
              <w:rPr>
                <w:sz w:val="22"/>
                <w:szCs w:val="22"/>
              </w:rPr>
              <w:tab/>
            </w:r>
            <w:r w:rsidRPr="00317ABF">
              <w:rPr>
                <w:sz w:val="22"/>
                <w:szCs w:val="22"/>
              </w:rPr>
              <w:t>potrzebę zapewnienia neutralności technologicznej w zakresie projektowania sieci i zarządzania nimi.</w:t>
            </w:r>
          </w:p>
        </w:tc>
      </w:tr>
      <w:tr w:rsidR="001E1112" w:rsidRPr="00317ABF" w14:paraId="78BCC619" w14:textId="77777777" w:rsidTr="7753F98D">
        <w:trPr>
          <w:gridAfter w:val="2"/>
          <w:wAfter w:w="175" w:type="dxa"/>
        </w:trPr>
        <w:tc>
          <w:tcPr>
            <w:tcW w:w="704" w:type="dxa"/>
          </w:tcPr>
          <w:p w14:paraId="06D22FC8" w14:textId="77777777" w:rsidR="001E1112" w:rsidRPr="00317ABF" w:rsidRDefault="001E1112" w:rsidP="00DB3BEC">
            <w:pPr>
              <w:jc w:val="both"/>
              <w:rPr>
                <w:sz w:val="22"/>
                <w:szCs w:val="22"/>
              </w:rPr>
            </w:pPr>
            <w:r w:rsidRPr="00317ABF">
              <w:rPr>
                <w:sz w:val="22"/>
                <w:szCs w:val="22"/>
              </w:rPr>
              <w:lastRenderedPageBreak/>
              <w:t>Art. 73 ust. 3</w:t>
            </w:r>
          </w:p>
        </w:tc>
        <w:tc>
          <w:tcPr>
            <w:tcW w:w="4308" w:type="dxa"/>
          </w:tcPr>
          <w:p w14:paraId="6B88C0D3" w14:textId="77777777" w:rsidR="001E1112" w:rsidRPr="00317ABF" w:rsidRDefault="001E1112" w:rsidP="00DB3BEC">
            <w:pPr>
              <w:spacing w:before="120"/>
              <w:jc w:val="both"/>
              <w:rPr>
                <w:sz w:val="22"/>
                <w:szCs w:val="22"/>
              </w:rPr>
            </w:pPr>
            <w:r w:rsidRPr="00317ABF">
              <w:rPr>
                <w:sz w:val="22"/>
                <w:szCs w:val="22"/>
              </w:rPr>
              <w:t>3.   Nakładając na przedsiębiorstwa obowiązek zapewnienia dostępu zgodnie z niniejszym artykułem, krajowe organy regulacyjne mogą określić warunki techniczne lub operacyjne, które podmiot zapewniający ten dostęp lub podmioty z niego korzystające będą musiały spełnić, w przypadku gdy jest to niezbędne do zapewnienia prawidłowego funkcjonowania sieci. Obowiązki przestrzegania szczególnych norm lub specyfikacji technicznych muszą być zgodne z normami i specyfikacjami określonymi zgodnie z art. 39</w:t>
            </w:r>
          </w:p>
        </w:tc>
        <w:tc>
          <w:tcPr>
            <w:tcW w:w="986" w:type="dxa"/>
          </w:tcPr>
          <w:p w14:paraId="3C5F8E58" w14:textId="7396F0C7" w:rsidR="001E1112" w:rsidRPr="00317ABF" w:rsidRDefault="001E1112" w:rsidP="00DB3BEC">
            <w:pPr>
              <w:jc w:val="both"/>
              <w:rPr>
                <w:sz w:val="22"/>
                <w:szCs w:val="22"/>
              </w:rPr>
            </w:pPr>
            <w:r w:rsidRPr="00317ABF">
              <w:rPr>
                <w:sz w:val="22"/>
                <w:szCs w:val="22"/>
              </w:rPr>
              <w:t>T</w:t>
            </w:r>
          </w:p>
        </w:tc>
        <w:tc>
          <w:tcPr>
            <w:tcW w:w="910" w:type="dxa"/>
          </w:tcPr>
          <w:p w14:paraId="6C0804E0" w14:textId="49DC76A0" w:rsidR="001E1112" w:rsidRPr="00317ABF" w:rsidRDefault="001E1112" w:rsidP="00DB3BEC">
            <w:pPr>
              <w:pStyle w:val="Tekstpodstawowy"/>
              <w:rPr>
                <w:b/>
                <w:noProof/>
                <w:sz w:val="22"/>
                <w:szCs w:val="22"/>
              </w:rPr>
            </w:pPr>
            <w:r w:rsidRPr="00317ABF">
              <w:rPr>
                <w:b/>
                <w:noProof/>
                <w:sz w:val="22"/>
                <w:szCs w:val="22"/>
              </w:rPr>
              <w:t xml:space="preserve">Art. </w:t>
            </w:r>
            <w:r w:rsidR="002424E5" w:rsidRPr="00317ABF">
              <w:rPr>
                <w:b/>
                <w:noProof/>
                <w:sz w:val="22"/>
                <w:szCs w:val="22"/>
              </w:rPr>
              <w:t>212</w:t>
            </w:r>
            <w:r w:rsidRPr="00317ABF">
              <w:rPr>
                <w:b/>
                <w:noProof/>
                <w:sz w:val="22"/>
                <w:szCs w:val="22"/>
              </w:rPr>
              <w:t xml:space="preserve"> ust. 1</w:t>
            </w:r>
          </w:p>
        </w:tc>
        <w:tc>
          <w:tcPr>
            <w:tcW w:w="6814" w:type="dxa"/>
            <w:gridSpan w:val="2"/>
          </w:tcPr>
          <w:p w14:paraId="4BDE8B5A" w14:textId="558372E3" w:rsidR="001E1112" w:rsidRPr="00317ABF" w:rsidRDefault="001E1112" w:rsidP="00DB3BEC">
            <w:pPr>
              <w:jc w:val="both"/>
              <w:rPr>
                <w:sz w:val="22"/>
                <w:szCs w:val="22"/>
              </w:rPr>
            </w:pPr>
            <w:r w:rsidRPr="00317ABF">
              <w:rPr>
                <w:b/>
                <w:sz w:val="22"/>
                <w:szCs w:val="22"/>
              </w:rPr>
              <w:t xml:space="preserve">Art. </w:t>
            </w:r>
            <w:r w:rsidR="002424E5" w:rsidRPr="00317ABF">
              <w:rPr>
                <w:b/>
                <w:sz w:val="22"/>
                <w:szCs w:val="22"/>
              </w:rPr>
              <w:t>212</w:t>
            </w:r>
            <w:r w:rsidRPr="00317ABF">
              <w:rPr>
                <w:b/>
                <w:sz w:val="22"/>
                <w:szCs w:val="22"/>
              </w:rPr>
              <w:t>.</w:t>
            </w:r>
            <w:r w:rsidRPr="00317ABF">
              <w:rPr>
                <w:sz w:val="22"/>
                <w:szCs w:val="22"/>
              </w:rPr>
              <w:t xml:space="preserve"> 1. Prezes UKE może określić w decyzji, o której mowa w art. </w:t>
            </w:r>
            <w:r w:rsidR="002424E5" w:rsidRPr="00317ABF">
              <w:rPr>
                <w:sz w:val="22"/>
                <w:szCs w:val="22"/>
              </w:rPr>
              <w:t>211</w:t>
            </w:r>
            <w:r w:rsidRPr="00317ABF">
              <w:rPr>
                <w:sz w:val="22"/>
                <w:szCs w:val="22"/>
              </w:rPr>
              <w:t xml:space="preserve"> ust. 1, w zakresie niezbędnym dla zapewnienia prawidłowego funkcjonowania sieci telekomunikacyjnej, techniczne lub eksploatacyjne warunki, jakie przedsiębiorca komunikacji elektronicznej zapewniający dostęp </w:t>
            </w:r>
            <w:r w:rsidR="002424E5" w:rsidRPr="00317ABF">
              <w:rPr>
                <w:sz w:val="22"/>
                <w:szCs w:val="22"/>
              </w:rPr>
              <w:t xml:space="preserve">telekomunikacyjny </w:t>
            </w:r>
            <w:r w:rsidRPr="00317ABF">
              <w:rPr>
                <w:sz w:val="22"/>
                <w:szCs w:val="22"/>
              </w:rPr>
              <w:t>lub przedsiębiorcy komunikacji elektronicznej korzystający z takiego dostępu będą musieli spełnić.</w:t>
            </w:r>
          </w:p>
        </w:tc>
      </w:tr>
      <w:tr w:rsidR="001E1112" w:rsidRPr="00317ABF" w14:paraId="7B2D4B4B" w14:textId="77777777" w:rsidTr="7753F98D">
        <w:trPr>
          <w:gridAfter w:val="2"/>
          <w:wAfter w:w="175" w:type="dxa"/>
        </w:trPr>
        <w:tc>
          <w:tcPr>
            <w:tcW w:w="704" w:type="dxa"/>
          </w:tcPr>
          <w:p w14:paraId="7582A402" w14:textId="77777777" w:rsidR="001E1112" w:rsidRPr="00317ABF" w:rsidRDefault="001E1112" w:rsidP="00DB3BEC">
            <w:pPr>
              <w:jc w:val="both"/>
              <w:rPr>
                <w:b/>
                <w:sz w:val="22"/>
                <w:szCs w:val="22"/>
              </w:rPr>
            </w:pPr>
            <w:r w:rsidRPr="00317ABF">
              <w:rPr>
                <w:b/>
                <w:sz w:val="22"/>
                <w:szCs w:val="22"/>
              </w:rPr>
              <w:t>Art. 74</w:t>
            </w:r>
          </w:p>
        </w:tc>
        <w:tc>
          <w:tcPr>
            <w:tcW w:w="4308" w:type="dxa"/>
          </w:tcPr>
          <w:p w14:paraId="7EEE76C7" w14:textId="77777777" w:rsidR="001E1112" w:rsidRPr="00317ABF" w:rsidRDefault="001E1112" w:rsidP="00DB3BEC">
            <w:pPr>
              <w:spacing w:before="120"/>
              <w:jc w:val="both"/>
              <w:rPr>
                <w:sz w:val="22"/>
                <w:szCs w:val="22"/>
              </w:rPr>
            </w:pPr>
            <w:r w:rsidRPr="00317ABF">
              <w:rPr>
                <w:b/>
                <w:bCs/>
                <w:sz w:val="22"/>
                <w:szCs w:val="22"/>
              </w:rPr>
              <w:t>Kontrola cen i obowiązki związane z systemem księgowania kosztów</w:t>
            </w:r>
          </w:p>
        </w:tc>
        <w:tc>
          <w:tcPr>
            <w:tcW w:w="986" w:type="dxa"/>
          </w:tcPr>
          <w:p w14:paraId="6F6DB702" w14:textId="77777777" w:rsidR="001E1112" w:rsidRPr="00317ABF" w:rsidRDefault="001E1112" w:rsidP="00DB3BEC">
            <w:pPr>
              <w:jc w:val="both"/>
              <w:rPr>
                <w:sz w:val="22"/>
                <w:szCs w:val="22"/>
              </w:rPr>
            </w:pPr>
          </w:p>
        </w:tc>
        <w:tc>
          <w:tcPr>
            <w:tcW w:w="910" w:type="dxa"/>
          </w:tcPr>
          <w:p w14:paraId="2201F085" w14:textId="77777777" w:rsidR="001E1112" w:rsidRPr="00317ABF" w:rsidRDefault="001E1112" w:rsidP="00DB3BEC">
            <w:pPr>
              <w:pStyle w:val="Tekstpodstawowy"/>
              <w:rPr>
                <w:b/>
                <w:noProof/>
                <w:sz w:val="22"/>
                <w:szCs w:val="22"/>
              </w:rPr>
            </w:pPr>
          </w:p>
        </w:tc>
        <w:tc>
          <w:tcPr>
            <w:tcW w:w="6814" w:type="dxa"/>
            <w:gridSpan w:val="2"/>
          </w:tcPr>
          <w:p w14:paraId="724BEFFF" w14:textId="77777777" w:rsidR="001E1112" w:rsidRPr="00317ABF" w:rsidRDefault="001E1112" w:rsidP="00DB3BEC">
            <w:pPr>
              <w:pStyle w:val="Tekstpodstawowy"/>
              <w:rPr>
                <w:sz w:val="22"/>
                <w:szCs w:val="22"/>
              </w:rPr>
            </w:pPr>
          </w:p>
        </w:tc>
      </w:tr>
      <w:tr w:rsidR="001E1112" w:rsidRPr="00317ABF" w14:paraId="30FAEF3B" w14:textId="77777777" w:rsidTr="7753F98D">
        <w:trPr>
          <w:gridAfter w:val="2"/>
          <w:wAfter w:w="175" w:type="dxa"/>
        </w:trPr>
        <w:tc>
          <w:tcPr>
            <w:tcW w:w="704" w:type="dxa"/>
          </w:tcPr>
          <w:p w14:paraId="4A9EF7AF" w14:textId="77777777" w:rsidR="001E1112" w:rsidRPr="00317ABF" w:rsidRDefault="001E1112" w:rsidP="00DB3BEC">
            <w:pPr>
              <w:jc w:val="both"/>
              <w:rPr>
                <w:sz w:val="22"/>
                <w:szCs w:val="22"/>
              </w:rPr>
            </w:pPr>
            <w:r w:rsidRPr="00317ABF">
              <w:rPr>
                <w:sz w:val="22"/>
                <w:szCs w:val="22"/>
              </w:rPr>
              <w:t>Art. 74 ust. 1</w:t>
            </w:r>
          </w:p>
        </w:tc>
        <w:tc>
          <w:tcPr>
            <w:tcW w:w="4308" w:type="dxa"/>
          </w:tcPr>
          <w:p w14:paraId="32F85F79" w14:textId="77777777" w:rsidR="001E1112" w:rsidRPr="00317ABF" w:rsidRDefault="001E1112" w:rsidP="00DB3BEC">
            <w:pPr>
              <w:spacing w:before="120"/>
              <w:jc w:val="both"/>
              <w:rPr>
                <w:sz w:val="22"/>
                <w:szCs w:val="22"/>
              </w:rPr>
            </w:pPr>
            <w:r w:rsidRPr="00317ABF">
              <w:rPr>
                <w:sz w:val="22"/>
                <w:szCs w:val="22"/>
              </w:rPr>
              <w:t>1.   Krajowe organy regulacyjne mogą nałożyć na przedsiębiorstwa, zgodnie z art. 68, obowiązki związane ze zwrotem kosztów oraz kontrolą cen, w tym obowiązki związane z oparciem cen o koszty oraz obowiązki dotyczące systemów księgowania kosztów, w odniesieniu do udostępniania szczególnych rodzajów wzajemnych połączeń lub dostępu, w sytuacjach gdy analiza rynku wskazuje, że brak skutecznej konkurencji oznacza, że dane przedsiębiorstwo może utrzymywać ceny na nadmiernie wysokim poziomie lub stosować zaniżanie cen ze szkodą dla użytkowników końcowych.</w:t>
            </w:r>
          </w:p>
          <w:p w14:paraId="3821ADB9" w14:textId="77777777" w:rsidR="001E1112" w:rsidRPr="00317ABF" w:rsidRDefault="001E1112" w:rsidP="00DB3BEC">
            <w:pPr>
              <w:spacing w:before="120"/>
              <w:jc w:val="both"/>
              <w:rPr>
                <w:sz w:val="22"/>
                <w:szCs w:val="22"/>
              </w:rPr>
            </w:pPr>
            <w:r w:rsidRPr="00317ABF">
              <w:rPr>
                <w:sz w:val="22"/>
                <w:szCs w:val="22"/>
              </w:rPr>
              <w:lastRenderedPageBreak/>
              <w:t>Przy ustalaniu, czy obowiązki dotyczące kontroli cen byłyby właściwe czy też nie, krajowe organy regulacyjne uwzględniają potrzebę promowania konkurencji oraz długofalowe interesy użytkowników końcowych związane z realizacją i rozpowszechnieniem sieci nowej generacji, a zwłaszcza sieci o bardzo dużej przepustowości. W szczególności w celu zachęcenia przedsiębiorstw do inwestowania, w tym również w sieci nowej generacji, krajowe organy regulacyjne biorą pod uwagę dokonane przez przedsiębiorstwo inwestycje. Jeżeli krajowe organy regulacyjne uznają obowiązek kontroli cen za właściwe rozwiązanie, umożliwiają przedsiębiorstwu uzyskanie zwrotu stosownej części zainwestowanego kapitału, uwzględniając wszelkie ryzyko typowe dla konkretnego nowego przedsięwzięcia inwestycyjnego.</w:t>
            </w:r>
          </w:p>
          <w:p w14:paraId="677C9EF1" w14:textId="77777777" w:rsidR="001E1112" w:rsidRPr="00317ABF" w:rsidRDefault="001E1112" w:rsidP="00DB3BEC">
            <w:pPr>
              <w:spacing w:before="120"/>
              <w:jc w:val="both"/>
              <w:rPr>
                <w:sz w:val="22"/>
                <w:szCs w:val="22"/>
              </w:rPr>
            </w:pPr>
            <w:r w:rsidRPr="00317ABF">
              <w:rPr>
                <w:sz w:val="22"/>
                <w:szCs w:val="22"/>
              </w:rPr>
              <w:t>Krajowe organy regulacyjne rozważają nienakładanie ani nieutrzymywanie obowiązków na podstawie niniejszego artykułu, jeżeli stwierdzą, że obecna jest wyraźna presja cenowa oraz że zapewniony jest skuteczny i niedyskryminujący dostęp zgodnie z art. 69–73, w tym w szczególności z wynikami testu ekonomicznej odtwarzalności wprowadzonego zgodnie z art. 70.</w:t>
            </w:r>
          </w:p>
          <w:p w14:paraId="5C23468A" w14:textId="77777777" w:rsidR="001E1112" w:rsidRPr="00317ABF" w:rsidRDefault="001E1112" w:rsidP="00DB3BEC">
            <w:pPr>
              <w:spacing w:before="120"/>
              <w:jc w:val="both"/>
              <w:rPr>
                <w:sz w:val="22"/>
                <w:szCs w:val="22"/>
              </w:rPr>
            </w:pPr>
            <w:r w:rsidRPr="00317ABF">
              <w:rPr>
                <w:sz w:val="22"/>
                <w:szCs w:val="22"/>
              </w:rPr>
              <w:t xml:space="preserve">Jeżeli krajowe organy regulacyjne za właściwe uznają wprowadzenie obowiązków kontroli cen w odniesieniu do dostępu do istniejących elementów sieci, biorą również pod uwagę korzyści związane z istnieniem przewidywalnych i stabilnych cen hurtowych dla zapewnienia skutecznego wejścia na rynek oraz wystarczających zachęt dla wszystkich </w:t>
            </w:r>
            <w:r w:rsidRPr="00317ABF">
              <w:rPr>
                <w:sz w:val="22"/>
                <w:szCs w:val="22"/>
              </w:rPr>
              <w:lastRenderedPageBreak/>
              <w:t>przedsiębiorstw do realizacji nowych i bardziej zaawansowanych sieci.</w:t>
            </w:r>
          </w:p>
        </w:tc>
        <w:tc>
          <w:tcPr>
            <w:tcW w:w="986" w:type="dxa"/>
          </w:tcPr>
          <w:p w14:paraId="7016E6A7" w14:textId="77777777" w:rsidR="001E1112" w:rsidRPr="00317ABF" w:rsidRDefault="001E1112" w:rsidP="00DB3BEC">
            <w:pPr>
              <w:jc w:val="both"/>
              <w:rPr>
                <w:sz w:val="22"/>
                <w:szCs w:val="22"/>
              </w:rPr>
            </w:pPr>
          </w:p>
        </w:tc>
        <w:tc>
          <w:tcPr>
            <w:tcW w:w="910" w:type="dxa"/>
          </w:tcPr>
          <w:p w14:paraId="784797B8" w14:textId="0BB5B5B2" w:rsidR="001E1112" w:rsidRPr="00317ABF" w:rsidRDefault="001E1112" w:rsidP="00DB3BEC">
            <w:pPr>
              <w:pStyle w:val="Tekstpodstawowy"/>
              <w:rPr>
                <w:b/>
                <w:bCs/>
                <w:noProof/>
                <w:sz w:val="22"/>
                <w:szCs w:val="22"/>
              </w:rPr>
            </w:pPr>
            <w:r w:rsidRPr="00317ABF">
              <w:rPr>
                <w:b/>
                <w:bCs/>
                <w:noProof/>
                <w:sz w:val="22"/>
                <w:szCs w:val="22"/>
              </w:rPr>
              <w:t>Art. 2 pkt 1</w:t>
            </w:r>
            <w:r w:rsidR="009C77E3" w:rsidRPr="00317ABF">
              <w:rPr>
                <w:b/>
                <w:bCs/>
                <w:noProof/>
                <w:sz w:val="22"/>
                <w:szCs w:val="22"/>
              </w:rPr>
              <w:t>7</w:t>
            </w:r>
            <w:r w:rsidRPr="00317ABF">
              <w:rPr>
                <w:b/>
                <w:bCs/>
                <w:noProof/>
                <w:sz w:val="22"/>
                <w:szCs w:val="22"/>
              </w:rPr>
              <w:t>)</w:t>
            </w:r>
          </w:p>
          <w:p w14:paraId="3E6BAEF4" w14:textId="14DB5AF8" w:rsidR="001E1112" w:rsidRPr="00317ABF" w:rsidRDefault="001E1112" w:rsidP="00DB3BEC">
            <w:pPr>
              <w:pStyle w:val="Tekstpodstawowy"/>
              <w:rPr>
                <w:b/>
                <w:bCs/>
                <w:noProof/>
                <w:sz w:val="22"/>
                <w:szCs w:val="22"/>
              </w:rPr>
            </w:pPr>
            <w:r w:rsidRPr="00317ABF">
              <w:rPr>
                <w:b/>
                <w:bCs/>
                <w:noProof/>
                <w:sz w:val="22"/>
                <w:szCs w:val="22"/>
              </w:rPr>
              <w:t xml:space="preserve">Art. </w:t>
            </w:r>
            <w:r w:rsidR="00C54058" w:rsidRPr="00317ABF">
              <w:rPr>
                <w:b/>
                <w:bCs/>
                <w:noProof/>
                <w:sz w:val="22"/>
                <w:szCs w:val="22"/>
              </w:rPr>
              <w:t>216</w:t>
            </w:r>
            <w:r w:rsidRPr="00317ABF">
              <w:rPr>
                <w:b/>
                <w:bCs/>
                <w:noProof/>
                <w:sz w:val="22"/>
                <w:szCs w:val="22"/>
              </w:rPr>
              <w:t xml:space="preserve"> ust. 1 i  ust. 7</w:t>
            </w:r>
          </w:p>
          <w:p w14:paraId="0D810288" w14:textId="4CE149A3" w:rsidR="001E1112" w:rsidRPr="00317ABF" w:rsidRDefault="001E1112" w:rsidP="00DB3BEC">
            <w:pPr>
              <w:pStyle w:val="Tekstpodstawowy"/>
              <w:rPr>
                <w:b/>
                <w:bCs/>
                <w:noProof/>
                <w:sz w:val="22"/>
                <w:szCs w:val="22"/>
              </w:rPr>
            </w:pPr>
            <w:r w:rsidRPr="00317ABF">
              <w:rPr>
                <w:b/>
                <w:bCs/>
                <w:noProof/>
                <w:sz w:val="22"/>
                <w:szCs w:val="22"/>
              </w:rPr>
              <w:t xml:space="preserve">Art. </w:t>
            </w:r>
            <w:r w:rsidR="00C54058" w:rsidRPr="00317ABF">
              <w:rPr>
                <w:b/>
                <w:bCs/>
                <w:noProof/>
                <w:sz w:val="22"/>
                <w:szCs w:val="22"/>
              </w:rPr>
              <w:t>217</w:t>
            </w:r>
            <w:r w:rsidRPr="00317ABF">
              <w:rPr>
                <w:b/>
                <w:bCs/>
                <w:noProof/>
                <w:sz w:val="22"/>
                <w:szCs w:val="22"/>
              </w:rPr>
              <w:t xml:space="preserve"> ust. </w:t>
            </w:r>
            <w:r w:rsidR="00C54058" w:rsidRPr="00317ABF">
              <w:rPr>
                <w:b/>
                <w:bCs/>
                <w:noProof/>
                <w:sz w:val="22"/>
                <w:szCs w:val="22"/>
              </w:rPr>
              <w:t>7</w:t>
            </w:r>
          </w:p>
          <w:p w14:paraId="711C9EE1" w14:textId="1116723B" w:rsidR="001E1112" w:rsidRPr="00317ABF" w:rsidRDefault="001E1112" w:rsidP="00DB3BEC">
            <w:pPr>
              <w:pStyle w:val="Tekstpodstawowy"/>
              <w:rPr>
                <w:b/>
                <w:bCs/>
                <w:noProof/>
                <w:sz w:val="22"/>
                <w:szCs w:val="22"/>
              </w:rPr>
            </w:pPr>
            <w:r w:rsidRPr="00317ABF">
              <w:rPr>
                <w:b/>
                <w:bCs/>
                <w:noProof/>
                <w:sz w:val="22"/>
                <w:szCs w:val="22"/>
              </w:rPr>
              <w:t>Art. 2</w:t>
            </w:r>
            <w:r w:rsidR="00C54058" w:rsidRPr="00317ABF">
              <w:rPr>
                <w:b/>
                <w:bCs/>
                <w:noProof/>
                <w:sz w:val="22"/>
                <w:szCs w:val="22"/>
              </w:rPr>
              <w:t>54</w:t>
            </w:r>
            <w:r w:rsidRPr="00317ABF">
              <w:rPr>
                <w:b/>
                <w:bCs/>
                <w:noProof/>
                <w:sz w:val="22"/>
                <w:szCs w:val="22"/>
              </w:rPr>
              <w:t xml:space="preserve"> ust. 2</w:t>
            </w:r>
          </w:p>
          <w:p w14:paraId="5EDC6BAC" w14:textId="1B9BBD1A" w:rsidR="001E1112" w:rsidRPr="00317ABF" w:rsidRDefault="001E1112" w:rsidP="00DB3BEC">
            <w:pPr>
              <w:pStyle w:val="Tekstpodstawowy"/>
              <w:rPr>
                <w:b/>
                <w:bCs/>
                <w:noProof/>
                <w:sz w:val="22"/>
                <w:szCs w:val="22"/>
              </w:rPr>
            </w:pPr>
            <w:r w:rsidRPr="00317ABF">
              <w:rPr>
                <w:b/>
                <w:bCs/>
                <w:noProof/>
                <w:sz w:val="22"/>
                <w:szCs w:val="22"/>
              </w:rPr>
              <w:t>Art. 2</w:t>
            </w:r>
            <w:r w:rsidR="00C54058" w:rsidRPr="00317ABF">
              <w:rPr>
                <w:b/>
                <w:bCs/>
                <w:noProof/>
                <w:sz w:val="22"/>
                <w:szCs w:val="22"/>
              </w:rPr>
              <w:t>57</w:t>
            </w:r>
            <w:r w:rsidRPr="00317ABF">
              <w:rPr>
                <w:b/>
                <w:bCs/>
                <w:noProof/>
                <w:sz w:val="22"/>
                <w:szCs w:val="22"/>
              </w:rPr>
              <w:t xml:space="preserve"> ust.1 </w:t>
            </w:r>
          </w:p>
        </w:tc>
        <w:tc>
          <w:tcPr>
            <w:tcW w:w="6814" w:type="dxa"/>
            <w:gridSpan w:val="2"/>
          </w:tcPr>
          <w:p w14:paraId="40C5E22C" w14:textId="39CA5774" w:rsidR="001E1112" w:rsidRPr="00317ABF" w:rsidRDefault="001E1112" w:rsidP="00DB3BEC">
            <w:pPr>
              <w:pStyle w:val="PKTpunkt0"/>
              <w:rPr>
                <w:rFonts w:ascii="Times New Roman" w:eastAsia="Times" w:hAnsi="Times New Roman" w:cs="Times New Roman"/>
                <w:sz w:val="22"/>
                <w:szCs w:val="22"/>
              </w:rPr>
            </w:pPr>
            <w:r w:rsidRPr="00317ABF">
              <w:rPr>
                <w:rFonts w:ascii="Times New Roman" w:eastAsia="Times" w:hAnsi="Times New Roman" w:cs="Times New Roman"/>
                <w:sz w:val="22"/>
                <w:szCs w:val="22"/>
              </w:rPr>
              <w:t>Art. 2 pkt 1</w:t>
            </w:r>
            <w:r w:rsidR="00EE1D7A" w:rsidRPr="00317ABF">
              <w:rPr>
                <w:rFonts w:ascii="Times New Roman" w:eastAsia="Times" w:hAnsi="Times New Roman" w:cs="Times New Roman"/>
                <w:sz w:val="22"/>
                <w:szCs w:val="22"/>
              </w:rPr>
              <w:t>7</w:t>
            </w:r>
            <w:r w:rsidRPr="00317ABF">
              <w:rPr>
                <w:rFonts w:ascii="Times New Roman" w:eastAsia="Times" w:hAnsi="Times New Roman" w:cs="Times New Roman"/>
                <w:sz w:val="22"/>
                <w:szCs w:val="22"/>
              </w:rPr>
              <w:t>)</w:t>
            </w:r>
          </w:p>
          <w:p w14:paraId="0ADFA2A9" w14:textId="0C3B9D30" w:rsidR="001E1112" w:rsidRPr="00317ABF" w:rsidRDefault="001E1112" w:rsidP="00DB3BEC">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ab/>
              <w:t>kalkulacja kosztów – wyliczanie przez przedsiębiorcę komunikacji elektronicznej kosztów związanych ze świadczeniem usług, odrębnie dla każdej z usług, dla której przedsiębiorca jest obowiązany prowadzić kalkulację kosztów, zgodnie z zatwierdzonym na dany rok obrotowy przez Prezesa Urzędu Komunikacji Elektronicznej opisem kalkulacji kosztów;</w:t>
            </w:r>
          </w:p>
          <w:p w14:paraId="1448E4BD" w14:textId="7619E55D" w:rsidR="001E1112" w:rsidRPr="00317ABF" w:rsidRDefault="001E1112" w:rsidP="00DB3BEC">
            <w:pPr>
              <w:ind w:firstLine="510"/>
              <w:jc w:val="both"/>
              <w:rPr>
                <w:rFonts w:eastAsia="Times"/>
                <w:sz w:val="22"/>
                <w:szCs w:val="22"/>
              </w:rPr>
            </w:pPr>
          </w:p>
          <w:p w14:paraId="183B4582" w14:textId="49BA3866" w:rsidR="001E1112" w:rsidRPr="00317ABF" w:rsidRDefault="001E1112" w:rsidP="00DB3BEC">
            <w:pPr>
              <w:ind w:firstLine="510"/>
              <w:jc w:val="both"/>
              <w:rPr>
                <w:rFonts w:eastAsia="Times"/>
                <w:sz w:val="22"/>
                <w:szCs w:val="22"/>
              </w:rPr>
            </w:pPr>
            <w:r w:rsidRPr="00317ABF">
              <w:rPr>
                <w:rFonts w:eastAsia="Times"/>
                <w:sz w:val="22"/>
                <w:szCs w:val="22"/>
              </w:rPr>
              <w:t xml:space="preserve">Art. </w:t>
            </w:r>
            <w:r w:rsidR="00C54058" w:rsidRPr="00317ABF">
              <w:rPr>
                <w:rFonts w:eastAsia="Times"/>
                <w:sz w:val="22"/>
                <w:szCs w:val="22"/>
              </w:rPr>
              <w:t>216</w:t>
            </w:r>
            <w:r w:rsidRPr="00317ABF">
              <w:rPr>
                <w:rFonts w:eastAsia="Times"/>
                <w:sz w:val="22"/>
                <w:szCs w:val="22"/>
              </w:rPr>
              <w:t xml:space="preserve"> ust. 1 i ust. 7</w:t>
            </w:r>
          </w:p>
          <w:p w14:paraId="009C8DB5" w14:textId="18EBF6C6" w:rsidR="00C54058" w:rsidRPr="00317ABF" w:rsidRDefault="00C54058" w:rsidP="00C54058">
            <w:pPr>
              <w:pStyle w:val="ARTartustawynprozporzdzenia"/>
              <w:keepNext/>
              <w:spacing w:before="0" w:line="240" w:lineRule="auto"/>
              <w:rPr>
                <w:rFonts w:ascii="Times New Roman" w:hAnsi="Times New Roman" w:cs="Times New Roman"/>
                <w:sz w:val="22"/>
                <w:szCs w:val="22"/>
              </w:rPr>
            </w:pPr>
            <w:r w:rsidRPr="00317ABF">
              <w:rPr>
                <w:rFonts w:ascii="Times New Roman" w:hAnsi="Times New Roman" w:cs="Times New Roman"/>
                <w:sz w:val="22"/>
                <w:szCs w:val="22"/>
              </w:rPr>
              <w:t xml:space="preserve">1. Prezes UKE uwzględniając potrzebę promowania konkurencji oraz długofalowe interesy użytkowników końcowych związane z rozwojem sieci składającej się z elementów światłowodowych, a zwłaszcza sieci o bardzo dużej przepustowości, może, w szczególności w sytuacji, gdy analiza rynku wykazała, że przedsiębiorca komunikacji elektronicznej o znaczącej pozycji rynkowej może utrzymywać opłaty na nadmiernie wysokim lub niskim </w:t>
            </w:r>
            <w:r w:rsidRPr="00317ABF">
              <w:rPr>
                <w:rFonts w:ascii="Times New Roman" w:hAnsi="Times New Roman" w:cs="Times New Roman"/>
                <w:sz w:val="22"/>
                <w:szCs w:val="22"/>
              </w:rPr>
              <w:lastRenderedPageBreak/>
              <w:t>poziomie ze szkodą dla użytkowników końcowych, zgodnie z przesłankami, o których mowa w art. 202 pkt 2 lit a oraz biorąc pod uwagę korzyści związane z istnieniem przewidywalnych i stabilnych opłat, inwestycje dokonane przez przedsiębiorcę komunikacji elektronicznej o znaczącej pozycji rynkowej oraz promocję realizacji nowych inwestycji, w tym w sieci o bardzo dużej przepustowości, w drodze decyzji, nałożyć na przedsiębiorcę komunikacji elektronicznej o znaczącej pozycji rynkowej obowiązek:</w:t>
            </w:r>
          </w:p>
          <w:p w14:paraId="10F4FBC0" w14:textId="77777777" w:rsidR="00C54058" w:rsidRPr="00317ABF" w:rsidRDefault="00C54058" w:rsidP="00C54058">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1)</w:t>
            </w:r>
            <w:r w:rsidRPr="00317ABF">
              <w:rPr>
                <w:rFonts w:ascii="Times New Roman" w:hAnsi="Times New Roman" w:cs="Times New Roman"/>
                <w:sz w:val="22"/>
                <w:szCs w:val="22"/>
              </w:rPr>
              <w:tab/>
              <w:t xml:space="preserve">kalkulacji uzasadnionych kosztów świadczenia dostępu telekomunikacyjnego, wskazując sposoby kalkulacji kosztów, jakie przedsiębiorca komunikacji elektronicznej powinien stosować na podstawie przepisów wykonawczych wydanych na podstawie </w:t>
            </w:r>
            <w:hyperlink r:id="rId35">
              <w:r w:rsidR="001E1112" w:rsidRPr="00317ABF">
                <w:rPr>
                  <w:rFonts w:ascii="Times New Roman" w:eastAsia="Times" w:hAnsi="Times New Roman" w:cs="Times New Roman"/>
                  <w:sz w:val="22"/>
                  <w:szCs w:val="22"/>
                </w:rPr>
                <w:t xml:space="preserve">art. </w:t>
              </w:r>
            </w:hyperlink>
            <w:r w:rsidRPr="00317ABF">
              <w:rPr>
                <w:rFonts w:ascii="Times New Roman" w:hAnsi="Times New Roman" w:cs="Times New Roman"/>
                <w:sz w:val="22"/>
                <w:szCs w:val="22"/>
              </w:rPr>
              <w:t>255, zgodnie z zatwierdzonym przez Prezesa UKE opisem kalkulacji kosztów oraz stosowania, w oparciu o tę kalkulację, opłat z tytułu dostępu telekomunikacyjnego, uwzględniających zwrot uzasadnionych kosztów, które ponosi przedsiębiorca komunikacji elektronicznej,</w:t>
            </w:r>
          </w:p>
          <w:p w14:paraId="216AA18F" w14:textId="77777777" w:rsidR="00C54058" w:rsidRPr="00317ABF" w:rsidRDefault="00C54058" w:rsidP="00C54058">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2)</w:t>
            </w:r>
            <w:r w:rsidRPr="00317ABF">
              <w:rPr>
                <w:rFonts w:ascii="Times New Roman" w:hAnsi="Times New Roman" w:cs="Times New Roman"/>
                <w:sz w:val="22"/>
                <w:szCs w:val="22"/>
              </w:rPr>
              <w:tab/>
              <w:t>stosowania opłat z tytułu dostępu telekomunikacyjnego, w oparciu o koszty, które ponosi przedsiębiorca komunikacji elektronicznej albo</w:t>
            </w:r>
          </w:p>
          <w:p w14:paraId="12C4C1C2" w14:textId="77777777" w:rsidR="00C54058" w:rsidRPr="00317ABF" w:rsidRDefault="00C54058" w:rsidP="00C54058">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3)</w:t>
            </w:r>
            <w:r w:rsidRPr="00317ABF">
              <w:rPr>
                <w:rFonts w:ascii="Times New Roman" w:hAnsi="Times New Roman" w:cs="Times New Roman"/>
                <w:sz w:val="22"/>
                <w:szCs w:val="22"/>
              </w:rPr>
              <w:tab/>
              <w:t>stosowania opłat z tytułu dostępu telekomunikacyjnego w wysokości określonej przez Prezesa UKE</w:t>
            </w:r>
          </w:p>
          <w:p w14:paraId="2149E04B" w14:textId="77777777" w:rsidR="00C54058" w:rsidRPr="00317ABF" w:rsidRDefault="00C54058" w:rsidP="00C54058">
            <w:pPr>
              <w:pStyle w:val="CZWSPPKTczwsplnapunktw"/>
              <w:spacing w:line="240" w:lineRule="auto"/>
              <w:rPr>
                <w:rFonts w:ascii="Times New Roman" w:hAnsi="Times New Roman" w:cs="Times New Roman"/>
                <w:sz w:val="22"/>
                <w:szCs w:val="22"/>
              </w:rPr>
            </w:pPr>
            <w:r w:rsidRPr="00317ABF">
              <w:rPr>
                <w:rFonts w:ascii="Times New Roman" w:hAnsi="Times New Roman" w:cs="Times New Roman"/>
                <w:sz w:val="22"/>
                <w:szCs w:val="22"/>
              </w:rPr>
              <w:t>- przy czym nakładając powyższe obowiązki, Prezes UKE umożliwi uzyskanie przedsiębiorcy komunikacji elektronicznej o znaczącej pozycji rynkowej rozsądnej stopy zwrotu z zaangażowanego kapitału, uwzględniając ryzyko typowe dla danego nowego przedsięwzięcia inwestycyjnego.</w:t>
            </w:r>
          </w:p>
          <w:p w14:paraId="64D7C8D7" w14:textId="174A630B" w:rsidR="001E1112" w:rsidRPr="00317ABF" w:rsidRDefault="001E1112" w:rsidP="00DB3BEC">
            <w:pPr>
              <w:jc w:val="both"/>
              <w:rPr>
                <w:sz w:val="22"/>
                <w:szCs w:val="22"/>
              </w:rPr>
            </w:pPr>
            <w:r w:rsidRPr="00317ABF">
              <w:rPr>
                <w:sz w:val="22"/>
                <w:szCs w:val="22"/>
              </w:rPr>
              <w:t>(…)</w:t>
            </w:r>
          </w:p>
          <w:p w14:paraId="5225E06A" w14:textId="27523AAF" w:rsidR="001E1112" w:rsidRPr="00317ABF" w:rsidRDefault="001E1112" w:rsidP="00DB3BEC">
            <w:pPr>
              <w:jc w:val="both"/>
              <w:rPr>
                <w:rFonts w:eastAsia="Times"/>
                <w:sz w:val="22"/>
                <w:szCs w:val="22"/>
              </w:rPr>
            </w:pPr>
            <w:r w:rsidRPr="00317ABF">
              <w:rPr>
                <w:rFonts w:eastAsia="Times"/>
                <w:sz w:val="22"/>
                <w:szCs w:val="22"/>
              </w:rPr>
              <w:t>7. W przypadku, gdy przedsiębiorca komunikacji elektronicznej dokonał inwestycji w budowę sieci składającej się z elementów światłowodowych, w szczególności sieci o bardzo dużej przepustowości i zapewnił skuteczny i niedyskryminujący dostęp do takiej sieci na warunkach konkurencyjnych, w tym dotyczących stosowanych opłat, Prezes UKE może podjąć decyzję o nienakładaniu i nieutrzymywaniu obowiązków regulacyjnych w zakresie kontroli opłat.</w:t>
            </w:r>
          </w:p>
          <w:p w14:paraId="2E957BFB" w14:textId="77777777" w:rsidR="001E1112" w:rsidRPr="00317ABF" w:rsidRDefault="001E1112" w:rsidP="00DB3BEC">
            <w:pPr>
              <w:jc w:val="both"/>
              <w:rPr>
                <w:sz w:val="22"/>
                <w:szCs w:val="22"/>
              </w:rPr>
            </w:pPr>
          </w:p>
          <w:p w14:paraId="19E3DCA8" w14:textId="50FD9C6F" w:rsidR="001E1112" w:rsidRPr="00317ABF" w:rsidRDefault="001E1112" w:rsidP="00DB3BEC">
            <w:pPr>
              <w:pStyle w:val="Tekstpodstawowy"/>
              <w:rPr>
                <w:sz w:val="22"/>
                <w:szCs w:val="22"/>
              </w:rPr>
            </w:pPr>
            <w:r w:rsidRPr="00317ABF">
              <w:rPr>
                <w:sz w:val="22"/>
                <w:szCs w:val="22"/>
              </w:rPr>
              <w:t xml:space="preserve">Art. </w:t>
            </w:r>
            <w:r w:rsidR="00C54058" w:rsidRPr="00317ABF">
              <w:rPr>
                <w:sz w:val="22"/>
                <w:szCs w:val="22"/>
              </w:rPr>
              <w:t>217</w:t>
            </w:r>
            <w:r w:rsidRPr="00317ABF">
              <w:rPr>
                <w:sz w:val="22"/>
                <w:szCs w:val="22"/>
              </w:rPr>
              <w:t xml:space="preserve"> ust. </w:t>
            </w:r>
            <w:r w:rsidR="00C54058" w:rsidRPr="00317ABF">
              <w:rPr>
                <w:sz w:val="22"/>
                <w:szCs w:val="22"/>
              </w:rPr>
              <w:t>7</w:t>
            </w:r>
          </w:p>
          <w:p w14:paraId="1A6AE1D8" w14:textId="1EADCE65" w:rsidR="00C54058" w:rsidRPr="00317ABF" w:rsidRDefault="00C54058" w:rsidP="00C54058">
            <w:pPr>
              <w:pStyle w:val="USTustnpkodeksu"/>
              <w:spacing w:line="240" w:lineRule="auto"/>
              <w:ind w:firstLine="0"/>
              <w:rPr>
                <w:rFonts w:ascii="Times New Roman" w:hAnsi="Times New Roman" w:cs="Times New Roman"/>
                <w:sz w:val="22"/>
                <w:szCs w:val="22"/>
              </w:rPr>
            </w:pPr>
            <w:r w:rsidRPr="00317ABF">
              <w:rPr>
                <w:rFonts w:ascii="Times New Roman" w:hAnsi="Times New Roman" w:cs="Times New Roman"/>
                <w:sz w:val="22"/>
                <w:szCs w:val="22"/>
              </w:rPr>
              <w:t xml:space="preserve">7. W przypadku, gdy przedsiębiorca komunikacji elektronicznej poniósł wydatki na nowe przedsięwzięcie inwestycyjne, w tym budowę sieci składającej się z elementów światłowodowych, w tym sieci o bardzo dużej przepustowości, Prezes UKE, ustalając opłaty z tytułu dostępu </w:t>
            </w:r>
            <w:r w:rsidRPr="00317ABF">
              <w:rPr>
                <w:rFonts w:ascii="Times New Roman" w:hAnsi="Times New Roman" w:cs="Times New Roman"/>
                <w:sz w:val="22"/>
                <w:szCs w:val="22"/>
              </w:rPr>
              <w:lastRenderedPageBreak/>
              <w:t>telekomunikacyjnego, bierze pod uwagę wykonane przez przedsiębiorcę komunikacji elektronicznej inwestycje oraz umożliwia temu przedsiębiorcy komunikacji elektronicznej uzyskanie rozsądnej stopy zwrotu z zaangażowanego w nowe przedsięwzięcie inwestycyjne kapitału, uwzględniając ryzyko typowe dla danego nowego przedsięwzięcia inwestycyjnego.</w:t>
            </w:r>
          </w:p>
          <w:p w14:paraId="283A3702" w14:textId="06A225F2" w:rsidR="001E1112" w:rsidRPr="00317ABF" w:rsidRDefault="001E1112" w:rsidP="00DB3BEC">
            <w:pPr>
              <w:suppressAutoHyphens/>
              <w:autoSpaceDE w:val="0"/>
              <w:autoSpaceDN w:val="0"/>
              <w:adjustRightInd w:val="0"/>
              <w:jc w:val="both"/>
              <w:rPr>
                <w:rFonts w:eastAsiaTheme="minorEastAsia"/>
                <w:bCs/>
                <w:sz w:val="22"/>
                <w:szCs w:val="22"/>
              </w:rPr>
            </w:pPr>
          </w:p>
          <w:p w14:paraId="54D19085" w14:textId="2E42CC16" w:rsidR="001E1112" w:rsidRPr="00317ABF" w:rsidRDefault="001E1112" w:rsidP="00DB3BEC">
            <w:pPr>
              <w:suppressAutoHyphens/>
              <w:autoSpaceDE w:val="0"/>
              <w:autoSpaceDN w:val="0"/>
              <w:adjustRightInd w:val="0"/>
              <w:jc w:val="both"/>
              <w:rPr>
                <w:rFonts w:eastAsiaTheme="minorEastAsia"/>
                <w:bCs/>
                <w:sz w:val="22"/>
                <w:szCs w:val="22"/>
              </w:rPr>
            </w:pPr>
            <w:r w:rsidRPr="00317ABF">
              <w:rPr>
                <w:rFonts w:eastAsiaTheme="minorEastAsia"/>
                <w:bCs/>
                <w:sz w:val="22"/>
                <w:szCs w:val="22"/>
              </w:rPr>
              <w:t>Art. 2</w:t>
            </w:r>
            <w:r w:rsidR="00C54058" w:rsidRPr="00317ABF">
              <w:rPr>
                <w:rFonts w:eastAsiaTheme="minorEastAsia"/>
                <w:bCs/>
                <w:sz w:val="22"/>
                <w:szCs w:val="22"/>
              </w:rPr>
              <w:t>54</w:t>
            </w:r>
            <w:r w:rsidRPr="00317ABF">
              <w:rPr>
                <w:rFonts w:eastAsiaTheme="minorEastAsia"/>
                <w:bCs/>
                <w:sz w:val="22"/>
                <w:szCs w:val="22"/>
              </w:rPr>
              <w:t xml:space="preserve"> ust. 2</w:t>
            </w:r>
          </w:p>
          <w:p w14:paraId="5664AF04" w14:textId="4D236180" w:rsidR="001E1112" w:rsidRPr="00317ABF" w:rsidRDefault="001E1112" w:rsidP="00DB3BEC">
            <w:pPr>
              <w:pStyle w:val="USTustnpkodeksu"/>
              <w:spacing w:line="240" w:lineRule="auto"/>
              <w:ind w:firstLine="0"/>
              <w:rPr>
                <w:rFonts w:ascii="Times New Roman" w:hAnsi="Times New Roman" w:cs="Times New Roman"/>
                <w:sz w:val="22"/>
                <w:szCs w:val="22"/>
              </w:rPr>
            </w:pPr>
            <w:r w:rsidRPr="00317ABF">
              <w:rPr>
                <w:rFonts w:ascii="Times New Roman" w:hAnsi="Times New Roman" w:cs="Times New Roman"/>
                <w:sz w:val="22"/>
                <w:szCs w:val="22"/>
              </w:rPr>
              <w:t xml:space="preserve">2. Kalkulację kosztów prowadzi przedsiębiorca komunikacji elektronicznej, na którego nałożono ten obowiązek na podstawie art. </w:t>
            </w:r>
            <w:r w:rsidR="00C54058" w:rsidRPr="00317ABF">
              <w:rPr>
                <w:rFonts w:ascii="Times New Roman" w:hAnsi="Times New Roman" w:cs="Times New Roman"/>
                <w:sz w:val="22"/>
                <w:szCs w:val="22"/>
              </w:rPr>
              <w:t>216</w:t>
            </w:r>
            <w:r w:rsidRPr="00317ABF">
              <w:rPr>
                <w:rFonts w:ascii="Times New Roman" w:hAnsi="Times New Roman" w:cs="Times New Roman"/>
                <w:sz w:val="22"/>
                <w:szCs w:val="22"/>
              </w:rPr>
              <w:t xml:space="preserve"> ust.1 pkt 1 lub art. 2</w:t>
            </w:r>
            <w:r w:rsidR="00C54058" w:rsidRPr="00317ABF">
              <w:rPr>
                <w:rFonts w:ascii="Times New Roman" w:hAnsi="Times New Roman" w:cs="Times New Roman"/>
                <w:sz w:val="22"/>
                <w:szCs w:val="22"/>
              </w:rPr>
              <w:t>31</w:t>
            </w:r>
            <w:r w:rsidRPr="00317ABF">
              <w:rPr>
                <w:rFonts w:ascii="Times New Roman" w:hAnsi="Times New Roman" w:cs="Times New Roman"/>
                <w:sz w:val="22"/>
                <w:szCs w:val="22"/>
              </w:rPr>
              <w:t xml:space="preserve"> ust. 3 pkt 3 lit. b.</w:t>
            </w:r>
          </w:p>
          <w:p w14:paraId="539C38C4" w14:textId="77777777" w:rsidR="00C54058" w:rsidRPr="00317ABF" w:rsidRDefault="00C54058" w:rsidP="00DB3BEC">
            <w:pPr>
              <w:pStyle w:val="USTustnpkodeksu"/>
              <w:spacing w:line="240" w:lineRule="auto"/>
              <w:ind w:firstLine="0"/>
              <w:rPr>
                <w:rFonts w:ascii="Times New Roman" w:hAnsi="Times New Roman" w:cs="Times New Roman"/>
                <w:sz w:val="22"/>
                <w:szCs w:val="22"/>
              </w:rPr>
            </w:pPr>
          </w:p>
          <w:p w14:paraId="67DE121F" w14:textId="4277C3FB" w:rsidR="001E1112" w:rsidRPr="00317ABF" w:rsidRDefault="001E1112" w:rsidP="00DB3BEC">
            <w:pPr>
              <w:pStyle w:val="ARTartustawynprozporzdzenia"/>
              <w:spacing w:before="0" w:line="240" w:lineRule="auto"/>
              <w:ind w:firstLine="0"/>
              <w:rPr>
                <w:rStyle w:val="Ppogrubienie"/>
                <w:rFonts w:ascii="Times New Roman" w:hAnsi="Times New Roman"/>
                <w:b w:val="0"/>
                <w:sz w:val="22"/>
                <w:szCs w:val="22"/>
              </w:rPr>
            </w:pPr>
            <w:r w:rsidRPr="00317ABF">
              <w:rPr>
                <w:rStyle w:val="Ppogrubienie"/>
                <w:rFonts w:ascii="Times New Roman" w:hAnsi="Times New Roman"/>
                <w:b w:val="0"/>
                <w:sz w:val="22"/>
                <w:szCs w:val="22"/>
              </w:rPr>
              <w:t>Art. 2</w:t>
            </w:r>
            <w:r w:rsidR="00C54058" w:rsidRPr="00317ABF">
              <w:rPr>
                <w:rStyle w:val="Ppogrubienie"/>
                <w:rFonts w:ascii="Times New Roman" w:hAnsi="Times New Roman"/>
                <w:b w:val="0"/>
                <w:sz w:val="22"/>
                <w:szCs w:val="22"/>
              </w:rPr>
              <w:t>57</w:t>
            </w:r>
            <w:r w:rsidRPr="00317ABF">
              <w:rPr>
                <w:rStyle w:val="Ppogrubienie"/>
                <w:rFonts w:ascii="Times New Roman" w:hAnsi="Times New Roman"/>
                <w:b w:val="0"/>
                <w:sz w:val="22"/>
                <w:szCs w:val="22"/>
              </w:rPr>
              <w:t xml:space="preserve"> ust.1.</w:t>
            </w:r>
          </w:p>
          <w:p w14:paraId="0EA0471D" w14:textId="49D516B7" w:rsidR="001E1112" w:rsidRPr="00317ABF" w:rsidRDefault="001E1112" w:rsidP="00DB3BEC">
            <w:pPr>
              <w:pStyle w:val="ARTartustawynprozporzdzenia"/>
              <w:spacing w:before="0" w:line="240" w:lineRule="auto"/>
              <w:ind w:firstLine="0"/>
              <w:rPr>
                <w:rFonts w:ascii="Times New Roman" w:hAnsi="Times New Roman" w:cs="Times New Roman"/>
                <w:sz w:val="22"/>
                <w:szCs w:val="22"/>
              </w:rPr>
            </w:pPr>
            <w:r w:rsidRPr="00317ABF">
              <w:rPr>
                <w:rFonts w:ascii="Times New Roman" w:hAnsi="Times New Roman" w:cs="Times New Roman"/>
                <w:sz w:val="22"/>
                <w:szCs w:val="22"/>
              </w:rPr>
              <w:t>1.  Prezes UKE określi corocznie, w drodze decyzji, dla przedsiębiorcy komunikacji elektronicznej, na którego nałożył obowiązek prowadzenia kalkulacji kosztów, wskaźnik zwrotu kosztu zaangażowanego kapitału, który przedsiębiorca komunikacji elektronicznej stosuje w kalkulacji kosztów, uwzględniając udokumentowane koszty pozyskania kapitału, pozycję przedsiębiorcy na rynku kapitałowym, typowe ryzyko związane z zaangażowaniem kapitału, zwłaszcza dla nowych przedsięwzięć inwestycyjnych, oraz koszty zaangażowania kapitału na porównywalnych rynkach.</w:t>
            </w:r>
          </w:p>
          <w:p w14:paraId="01A77104" w14:textId="77777777" w:rsidR="001E1112" w:rsidRPr="00317ABF" w:rsidRDefault="001E1112" w:rsidP="00DB3BEC">
            <w:pPr>
              <w:suppressAutoHyphens/>
              <w:autoSpaceDE w:val="0"/>
              <w:autoSpaceDN w:val="0"/>
              <w:adjustRightInd w:val="0"/>
              <w:jc w:val="both"/>
              <w:rPr>
                <w:rFonts w:eastAsiaTheme="minorEastAsia"/>
                <w:bCs/>
                <w:sz w:val="22"/>
                <w:szCs w:val="22"/>
              </w:rPr>
            </w:pPr>
          </w:p>
          <w:p w14:paraId="360A4BC9" w14:textId="03C89DCA" w:rsidR="001E1112" w:rsidRPr="00317ABF" w:rsidRDefault="001E1112" w:rsidP="00DB3BEC">
            <w:pPr>
              <w:pStyle w:val="Tekstpodstawowy"/>
              <w:rPr>
                <w:sz w:val="22"/>
                <w:szCs w:val="22"/>
              </w:rPr>
            </w:pPr>
          </w:p>
        </w:tc>
      </w:tr>
      <w:tr w:rsidR="001E1112" w:rsidRPr="00317ABF" w14:paraId="1A165AA7" w14:textId="77777777" w:rsidTr="7753F98D">
        <w:trPr>
          <w:gridAfter w:val="2"/>
          <w:wAfter w:w="175" w:type="dxa"/>
        </w:trPr>
        <w:tc>
          <w:tcPr>
            <w:tcW w:w="704" w:type="dxa"/>
          </w:tcPr>
          <w:p w14:paraId="029CC76F" w14:textId="77777777" w:rsidR="001E1112" w:rsidRPr="00317ABF" w:rsidRDefault="001E1112" w:rsidP="00DB3BEC">
            <w:pPr>
              <w:jc w:val="both"/>
              <w:rPr>
                <w:sz w:val="22"/>
                <w:szCs w:val="22"/>
              </w:rPr>
            </w:pPr>
            <w:r w:rsidRPr="00317ABF">
              <w:rPr>
                <w:sz w:val="22"/>
                <w:szCs w:val="22"/>
              </w:rPr>
              <w:lastRenderedPageBreak/>
              <w:t>Art. 74 ust. 2</w:t>
            </w:r>
          </w:p>
        </w:tc>
        <w:tc>
          <w:tcPr>
            <w:tcW w:w="4308" w:type="dxa"/>
          </w:tcPr>
          <w:p w14:paraId="2ED25B06" w14:textId="77777777" w:rsidR="001E1112" w:rsidRPr="00317ABF" w:rsidRDefault="001E1112" w:rsidP="00DB3BEC">
            <w:pPr>
              <w:spacing w:before="120"/>
              <w:jc w:val="both"/>
              <w:rPr>
                <w:sz w:val="22"/>
                <w:szCs w:val="22"/>
              </w:rPr>
            </w:pPr>
            <w:r w:rsidRPr="00317ABF">
              <w:rPr>
                <w:sz w:val="22"/>
                <w:szCs w:val="22"/>
              </w:rPr>
              <w:t>2.   Krajowe organy regulacyjne zapewniają, by wszelkie mechanizmy uzyskiwania zwrotu kosztów oraz metodologie taryfikacji, jakie mają obowiązywać, służyły promowaniu realizacji nowych i bardziej zaawansowanych sieci, wydajności oraz zrównoważonej konkurencji i maksymalizacji trwałych korzyści dla użytkownika końcowego. W tym względzie krajowe organy regulacyjne mogą także brać pod uwagę ceny obowiązujące na porównywalnych rynkach konkurencyjnych.</w:t>
            </w:r>
          </w:p>
        </w:tc>
        <w:tc>
          <w:tcPr>
            <w:tcW w:w="986" w:type="dxa"/>
          </w:tcPr>
          <w:p w14:paraId="29952033" w14:textId="0A865A42" w:rsidR="001E1112" w:rsidRPr="00317ABF" w:rsidRDefault="001E1112" w:rsidP="00DB3BEC">
            <w:pPr>
              <w:jc w:val="both"/>
              <w:rPr>
                <w:sz w:val="22"/>
                <w:szCs w:val="22"/>
              </w:rPr>
            </w:pPr>
            <w:r w:rsidRPr="00317ABF">
              <w:rPr>
                <w:sz w:val="22"/>
                <w:szCs w:val="22"/>
              </w:rPr>
              <w:t>T</w:t>
            </w:r>
          </w:p>
        </w:tc>
        <w:tc>
          <w:tcPr>
            <w:tcW w:w="910" w:type="dxa"/>
          </w:tcPr>
          <w:p w14:paraId="3C23CEE3" w14:textId="7CDE14BB" w:rsidR="001E1112" w:rsidRPr="00317ABF" w:rsidRDefault="001E1112" w:rsidP="00DB3BEC">
            <w:pPr>
              <w:pStyle w:val="Tekstpodstawowy"/>
              <w:rPr>
                <w:b/>
                <w:bCs/>
                <w:noProof/>
                <w:sz w:val="22"/>
                <w:szCs w:val="22"/>
              </w:rPr>
            </w:pPr>
            <w:r w:rsidRPr="00317ABF">
              <w:rPr>
                <w:b/>
                <w:bCs/>
                <w:noProof/>
                <w:sz w:val="22"/>
                <w:szCs w:val="22"/>
              </w:rPr>
              <w:t xml:space="preserve">Art. </w:t>
            </w:r>
            <w:r w:rsidR="00C54058" w:rsidRPr="00317ABF">
              <w:rPr>
                <w:b/>
                <w:bCs/>
                <w:noProof/>
                <w:sz w:val="22"/>
                <w:szCs w:val="22"/>
              </w:rPr>
              <w:t>216</w:t>
            </w:r>
            <w:r w:rsidRPr="00317ABF">
              <w:rPr>
                <w:b/>
                <w:bCs/>
                <w:noProof/>
                <w:sz w:val="22"/>
                <w:szCs w:val="22"/>
              </w:rPr>
              <w:t xml:space="preserve"> ust. 1-6</w:t>
            </w:r>
          </w:p>
        </w:tc>
        <w:tc>
          <w:tcPr>
            <w:tcW w:w="6814" w:type="dxa"/>
            <w:gridSpan w:val="2"/>
          </w:tcPr>
          <w:p w14:paraId="47DEA237" w14:textId="66AF30CC" w:rsidR="001E1112" w:rsidRPr="00317ABF" w:rsidRDefault="001E1112" w:rsidP="00DB3BEC">
            <w:pPr>
              <w:ind w:firstLine="510"/>
              <w:jc w:val="both"/>
              <w:rPr>
                <w:rFonts w:eastAsia="Times"/>
                <w:sz w:val="22"/>
                <w:szCs w:val="22"/>
              </w:rPr>
            </w:pPr>
            <w:r w:rsidRPr="00317ABF">
              <w:rPr>
                <w:rFonts w:eastAsia="Times"/>
                <w:sz w:val="22"/>
                <w:szCs w:val="22"/>
              </w:rPr>
              <w:t xml:space="preserve">Art. </w:t>
            </w:r>
            <w:r w:rsidR="00435CEE" w:rsidRPr="00317ABF">
              <w:rPr>
                <w:rFonts w:eastAsia="Times"/>
                <w:sz w:val="22"/>
                <w:szCs w:val="22"/>
              </w:rPr>
              <w:t>216</w:t>
            </w:r>
            <w:r w:rsidRPr="00317ABF">
              <w:rPr>
                <w:rFonts w:eastAsia="Times"/>
                <w:sz w:val="22"/>
                <w:szCs w:val="22"/>
              </w:rPr>
              <w:t>, ust. 1-6</w:t>
            </w:r>
          </w:p>
          <w:p w14:paraId="300E3476" w14:textId="4E375DED" w:rsidR="00C54058" w:rsidRPr="00317ABF" w:rsidRDefault="001E1112" w:rsidP="00435CEE">
            <w:pPr>
              <w:pStyle w:val="ARTartustawynprozporzdzenia"/>
              <w:keepNext/>
              <w:spacing w:before="0" w:line="240" w:lineRule="auto"/>
              <w:rPr>
                <w:rFonts w:ascii="Times New Roman" w:hAnsi="Times New Roman" w:cs="Times New Roman"/>
                <w:sz w:val="22"/>
                <w:szCs w:val="22"/>
              </w:rPr>
            </w:pPr>
            <w:r w:rsidRPr="00317ABF">
              <w:rPr>
                <w:rFonts w:ascii="Times New Roman" w:eastAsia="Times" w:hAnsi="Times New Roman" w:cs="Times New Roman"/>
                <w:sz w:val="22"/>
                <w:szCs w:val="22"/>
              </w:rPr>
              <w:t xml:space="preserve">1. </w:t>
            </w:r>
            <w:r w:rsidR="00C54058" w:rsidRPr="00317ABF">
              <w:rPr>
                <w:rFonts w:ascii="Times New Roman" w:hAnsi="Times New Roman" w:cs="Times New Roman"/>
                <w:sz w:val="22"/>
                <w:szCs w:val="22"/>
              </w:rPr>
              <w:t xml:space="preserve"> Prezes UKE uwzględniając potrzebę promowania konkurencji oraz długofalowe interesy użytkowników końcowych związane z rozwojem sieci składającej się z elementów światłowodowych, a zwłaszcza sieci o bardzo dużej przepustowości, może, w szczególności w sytuacji, gdy analiza rynku wykazała, że przedsiębiorca komunikacji elektronicznej o znaczącej pozycji rynkowej może utrzymywać opłaty na nadmiernie wysokim lub niskim poziomie ze szkodą dla użytkowników końcowych, zgodnie z przesłankami, o których mowa w art. 202 pkt 2 lit a oraz biorąc pod uwagę korzyści związane z istnieniem przewidywalnych i stabilnych opłat, inwestycje dokonane przez przedsiębiorcę komunikacji elektronicznej o znaczącej pozycji rynkowej oraz promocję realizacji nowych inwestycji, w tym w sieci o bardzo dużej przepustowości, w drodze decyzji, nałożyć na przedsiębiorcę komunikacji elektronicznej o znaczącej pozycji rynkowej obowiązek:</w:t>
            </w:r>
          </w:p>
          <w:p w14:paraId="2BFF7241" w14:textId="77777777" w:rsidR="00C54058" w:rsidRPr="00317ABF" w:rsidRDefault="00C54058" w:rsidP="00435CEE">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lastRenderedPageBreak/>
              <w:t>1)</w:t>
            </w:r>
            <w:r w:rsidRPr="00317ABF">
              <w:rPr>
                <w:rFonts w:ascii="Times New Roman" w:hAnsi="Times New Roman" w:cs="Times New Roman"/>
                <w:sz w:val="22"/>
                <w:szCs w:val="22"/>
              </w:rPr>
              <w:tab/>
              <w:t xml:space="preserve">kalkulacji uzasadnionych kosztów świadczenia dostępu telekomunikacyjnego, wskazując sposoby kalkulacji kosztów, jakie przedsiębiorca komunikacji elektronicznej powinien stosować na podstawie przepisów wykonawczych wydanych na podstawie </w:t>
            </w:r>
            <w:hyperlink r:id="rId36">
              <w:r w:rsidR="001E1112" w:rsidRPr="00317ABF">
                <w:rPr>
                  <w:rFonts w:ascii="Times New Roman" w:eastAsia="Times" w:hAnsi="Times New Roman" w:cs="Times New Roman"/>
                  <w:sz w:val="22"/>
                  <w:szCs w:val="22"/>
                </w:rPr>
                <w:t xml:space="preserve">art. </w:t>
              </w:r>
            </w:hyperlink>
            <w:r w:rsidRPr="00317ABF">
              <w:rPr>
                <w:rFonts w:ascii="Times New Roman" w:hAnsi="Times New Roman" w:cs="Times New Roman"/>
                <w:sz w:val="22"/>
                <w:szCs w:val="22"/>
              </w:rPr>
              <w:t>255, zgodnie z zatwierdzonym przez Prezesa UKE opisem kalkulacji kosztów oraz stosowania, w oparciu o tę kalkulację, opłat z tytułu dostępu telekomunikacyjnego, uwzględniających zwrot uzasadnionych kosztów, które ponosi przedsiębiorca komunikacji elektronicznej,</w:t>
            </w:r>
          </w:p>
          <w:p w14:paraId="01CEE3DC" w14:textId="77777777" w:rsidR="00C54058" w:rsidRPr="00317ABF" w:rsidRDefault="00C54058" w:rsidP="00435CEE">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2)</w:t>
            </w:r>
            <w:r w:rsidRPr="00317ABF">
              <w:rPr>
                <w:rFonts w:ascii="Times New Roman" w:hAnsi="Times New Roman" w:cs="Times New Roman"/>
                <w:sz w:val="22"/>
                <w:szCs w:val="22"/>
              </w:rPr>
              <w:tab/>
              <w:t>stosowania opłat z tytułu dostępu telekomunikacyjnego, w oparciu o koszty, które ponosi przedsiębiorca komunikacji elektronicznej albo</w:t>
            </w:r>
          </w:p>
          <w:p w14:paraId="790823E5" w14:textId="77777777" w:rsidR="00C54058" w:rsidRPr="00317ABF" w:rsidRDefault="00C54058" w:rsidP="00435CEE">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3)</w:t>
            </w:r>
            <w:r w:rsidRPr="00317ABF">
              <w:rPr>
                <w:rFonts w:ascii="Times New Roman" w:hAnsi="Times New Roman" w:cs="Times New Roman"/>
                <w:sz w:val="22"/>
                <w:szCs w:val="22"/>
              </w:rPr>
              <w:tab/>
              <w:t>stosowania opłat z tytułu dostępu telekomunikacyjnego w wysokości określonej przez Prezesa UKE</w:t>
            </w:r>
          </w:p>
          <w:p w14:paraId="4855F224" w14:textId="77777777" w:rsidR="00C54058" w:rsidRPr="00317ABF" w:rsidRDefault="00C54058" w:rsidP="00435CEE">
            <w:pPr>
              <w:pStyle w:val="CZWSPPKTczwsplnapunktw"/>
              <w:spacing w:line="240" w:lineRule="auto"/>
              <w:rPr>
                <w:rFonts w:ascii="Times New Roman" w:hAnsi="Times New Roman" w:cs="Times New Roman"/>
                <w:sz w:val="22"/>
                <w:szCs w:val="22"/>
              </w:rPr>
            </w:pPr>
            <w:r w:rsidRPr="00317ABF">
              <w:rPr>
                <w:rFonts w:ascii="Times New Roman" w:hAnsi="Times New Roman" w:cs="Times New Roman"/>
                <w:sz w:val="22"/>
                <w:szCs w:val="22"/>
              </w:rPr>
              <w:t>- przy czym nakładając powyższe obowiązki, Prezes UKE umożliwi uzyskanie przedsiębiorcy komunikacji elektronicznej o znaczącej pozycji rynkowej rozsądnej stopy zwrotu z zaangażowanego kapitału, uwzględniając ryzyko typowe dla danego nowego przedsięwzięcia inwestycyjnego.</w:t>
            </w:r>
          </w:p>
          <w:p w14:paraId="376B8FFB" w14:textId="77777777" w:rsidR="001E1112" w:rsidRPr="00317ABF" w:rsidRDefault="001E1112" w:rsidP="00435CEE">
            <w:pPr>
              <w:pStyle w:val="USTustnpkodeksu"/>
              <w:spacing w:line="240" w:lineRule="auto"/>
              <w:rPr>
                <w:rFonts w:ascii="Times New Roman" w:hAnsi="Times New Roman" w:cs="Times New Roman"/>
                <w:sz w:val="22"/>
                <w:szCs w:val="22"/>
              </w:rPr>
            </w:pPr>
            <w:r w:rsidRPr="00317ABF">
              <w:rPr>
                <w:rFonts w:ascii="Times New Roman" w:eastAsia="Times" w:hAnsi="Times New Roman" w:cs="Times New Roman"/>
                <w:sz w:val="22"/>
                <w:szCs w:val="22"/>
              </w:rPr>
              <w:t>2.</w:t>
            </w:r>
            <w:r w:rsidR="00C54058" w:rsidRPr="00317ABF">
              <w:rPr>
                <w:rFonts w:ascii="Times New Roman" w:hAnsi="Times New Roman" w:cs="Times New Roman"/>
                <w:sz w:val="22"/>
                <w:szCs w:val="22"/>
              </w:rPr>
              <w:t> </w:t>
            </w:r>
            <w:r w:rsidRPr="00317ABF">
              <w:rPr>
                <w:rFonts w:ascii="Times New Roman" w:eastAsia="Times" w:hAnsi="Times New Roman" w:cs="Times New Roman"/>
                <w:sz w:val="22"/>
                <w:szCs w:val="22"/>
              </w:rPr>
              <w:t xml:space="preserve">W decyzji dotyczącej obowiązku, o którym mowa w ust. 1 pkt 1, Prezes UKE wskazuje sposoby ustalania opłat, które będzie stosował w przypadkach, o których mowa w art. </w:t>
            </w:r>
            <w:r w:rsidR="00C54058" w:rsidRPr="00317ABF">
              <w:rPr>
                <w:rFonts w:ascii="Times New Roman" w:hAnsi="Times New Roman" w:cs="Times New Roman"/>
                <w:sz w:val="22"/>
                <w:szCs w:val="22"/>
              </w:rPr>
              <w:t>217</w:t>
            </w:r>
            <w:r w:rsidRPr="00317ABF">
              <w:rPr>
                <w:rFonts w:ascii="Times New Roman" w:eastAsia="Times" w:hAnsi="Times New Roman" w:cs="Times New Roman"/>
                <w:sz w:val="22"/>
                <w:szCs w:val="22"/>
              </w:rPr>
              <w:t xml:space="preserve"> ust. 5.</w:t>
            </w:r>
          </w:p>
          <w:p w14:paraId="2654DDCE" w14:textId="7619E55D" w:rsidR="001E1112" w:rsidRPr="00317ABF" w:rsidRDefault="001E1112" w:rsidP="00435CEE">
            <w:pPr>
              <w:pStyle w:val="USTustnpkodeksu"/>
              <w:spacing w:line="240" w:lineRule="auto"/>
              <w:rPr>
                <w:rFonts w:ascii="Times New Roman" w:hAnsi="Times New Roman" w:cs="Times New Roman"/>
                <w:sz w:val="22"/>
                <w:szCs w:val="22"/>
              </w:rPr>
            </w:pPr>
            <w:r w:rsidRPr="00317ABF">
              <w:rPr>
                <w:rFonts w:ascii="Times New Roman" w:eastAsia="Times" w:hAnsi="Times New Roman" w:cs="Times New Roman"/>
                <w:sz w:val="22"/>
                <w:szCs w:val="22"/>
              </w:rPr>
              <w:t>3. W decyzji dotyczącej obowiązku, o którym mowa w ust. 1 pkt 2, Prezes UKE wskazuje sposoby weryfikacji i ustalania opłat.</w:t>
            </w:r>
          </w:p>
          <w:p w14:paraId="1EA261A8" w14:textId="77777777" w:rsidR="001E1112" w:rsidRPr="00317ABF" w:rsidRDefault="001E1112" w:rsidP="00DB3BEC">
            <w:pPr>
              <w:pStyle w:val="USTustnpkodeksu"/>
              <w:keepNext/>
              <w:spacing w:line="240" w:lineRule="auto"/>
              <w:rPr>
                <w:rFonts w:ascii="Times New Roman" w:hAnsi="Times New Roman" w:cs="Times New Roman"/>
                <w:sz w:val="22"/>
                <w:szCs w:val="22"/>
              </w:rPr>
            </w:pPr>
            <w:r w:rsidRPr="00317ABF">
              <w:rPr>
                <w:rFonts w:ascii="Times New Roman" w:hAnsi="Times New Roman" w:cs="Times New Roman"/>
                <w:sz w:val="22"/>
                <w:szCs w:val="22"/>
              </w:rPr>
              <w:t>4.</w:t>
            </w:r>
            <w:r w:rsidR="00C54058" w:rsidRPr="00317ABF">
              <w:rPr>
                <w:rFonts w:ascii="Times New Roman" w:hAnsi="Times New Roman" w:cs="Times New Roman"/>
                <w:sz w:val="22"/>
                <w:szCs w:val="22"/>
              </w:rPr>
              <w:t> </w:t>
            </w:r>
            <w:r w:rsidRPr="00317ABF">
              <w:rPr>
                <w:rFonts w:ascii="Times New Roman" w:hAnsi="Times New Roman" w:cs="Times New Roman"/>
                <w:sz w:val="22"/>
                <w:szCs w:val="22"/>
              </w:rPr>
              <w:t>Prezes UKE może nałożyć obowiązek, o którym mowa w ust. 1 pkt 3, w sytuacji:</w:t>
            </w:r>
          </w:p>
          <w:p w14:paraId="568934D0" w14:textId="77777777" w:rsidR="001E1112" w:rsidRPr="00317ABF" w:rsidRDefault="001E1112" w:rsidP="00DB3BEC">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1)</w:t>
            </w:r>
            <w:r w:rsidRPr="00317ABF">
              <w:rPr>
                <w:rFonts w:ascii="Times New Roman" w:hAnsi="Times New Roman" w:cs="Times New Roman"/>
                <w:sz w:val="22"/>
                <w:szCs w:val="22"/>
              </w:rPr>
              <w:tab/>
              <w:t>gdy na tym samym rynku właściwym lub rynku właściwym obejmującym takie same produkty lub usługi komunikacji elektronicznej, obowiązek, o którym mowa w ust. 1 pkt 3, jest nakładany na więcej niż jednego przedsiębiorcę komunikacji elektronicznej oraz gdy na powyższych rynkach powinny być stosowane symetryczne opłaty z tytułu dostępu</w:t>
            </w:r>
            <w:r w:rsidR="00C54058" w:rsidRPr="00317ABF">
              <w:rPr>
                <w:rFonts w:ascii="Times New Roman" w:hAnsi="Times New Roman" w:cs="Times New Roman"/>
                <w:sz w:val="22"/>
                <w:szCs w:val="22"/>
              </w:rPr>
              <w:t xml:space="preserve"> telekomunikacyjnego</w:t>
            </w:r>
            <w:r w:rsidRPr="00317ABF">
              <w:rPr>
                <w:rFonts w:ascii="Times New Roman" w:hAnsi="Times New Roman" w:cs="Times New Roman"/>
                <w:sz w:val="22"/>
                <w:szCs w:val="22"/>
              </w:rPr>
              <w:t>, lub</w:t>
            </w:r>
          </w:p>
          <w:p w14:paraId="57B444E4" w14:textId="77777777" w:rsidR="00C54058" w:rsidRPr="00317ABF" w:rsidRDefault="00C54058" w:rsidP="00435CEE">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2)</w:t>
            </w:r>
            <w:r w:rsidRPr="00317ABF">
              <w:rPr>
                <w:rFonts w:ascii="Times New Roman" w:hAnsi="Times New Roman" w:cs="Times New Roman"/>
                <w:sz w:val="22"/>
                <w:szCs w:val="22"/>
              </w:rPr>
              <w:tab/>
              <w:t>gdy w wytycznych, wspólnych stanowiskach lub zaleceniach Komisja Europejska lub BEREC wskażą metodę ustalania opłat z tytułu dostępu telekomunikacyjnego, różną od tych, o których mowa w ust. 1 pkt 1─2, jako najbardziej odpowiednią dla rynku właściwego, na którym przedsiębiorca komunikacji elektronicznej, na którego ma być nałożony obowiązek, o którym mowa w ust. 1 pkt 3, zajmuje znaczącą pozycję rynkową.</w:t>
            </w:r>
          </w:p>
          <w:p w14:paraId="0B40CE3E" w14:textId="77777777" w:rsidR="001E1112" w:rsidRPr="00317ABF" w:rsidRDefault="00C54058" w:rsidP="00DB3BEC">
            <w:pPr>
              <w:pStyle w:val="USTustnpkodeksu"/>
              <w:keepNext/>
              <w:spacing w:line="240" w:lineRule="auto"/>
              <w:rPr>
                <w:rFonts w:ascii="Times New Roman" w:hAnsi="Times New Roman" w:cs="Times New Roman"/>
                <w:sz w:val="22"/>
                <w:szCs w:val="22"/>
              </w:rPr>
            </w:pPr>
            <w:r w:rsidRPr="00317ABF">
              <w:rPr>
                <w:rFonts w:ascii="Times New Roman" w:hAnsi="Times New Roman" w:cs="Times New Roman"/>
                <w:sz w:val="22"/>
                <w:szCs w:val="22"/>
              </w:rPr>
              <w:lastRenderedPageBreak/>
              <w:t>5. </w:t>
            </w:r>
            <w:r w:rsidR="001E1112" w:rsidRPr="00317ABF">
              <w:rPr>
                <w:rFonts w:ascii="Times New Roman" w:hAnsi="Times New Roman" w:cs="Times New Roman"/>
                <w:sz w:val="22"/>
                <w:szCs w:val="22"/>
              </w:rPr>
              <w:t>Prezes UKE przy nakładaniu obowiązku, o których mowa w ust. 1 pkt 3, uwzględnia:</w:t>
            </w:r>
          </w:p>
          <w:p w14:paraId="5034CAA2" w14:textId="77777777" w:rsidR="001E1112" w:rsidRPr="00317ABF" w:rsidRDefault="001E1112" w:rsidP="00DB3BEC">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1)</w:t>
            </w:r>
            <w:r w:rsidRPr="00317ABF">
              <w:rPr>
                <w:rFonts w:ascii="Times New Roman" w:hAnsi="Times New Roman" w:cs="Times New Roman"/>
                <w:sz w:val="22"/>
                <w:szCs w:val="22"/>
              </w:rPr>
              <w:tab/>
              <w:t>koszty ponoszone przez efektywnie działającego przedsiębiorcę komunikacji elektronicznej, lub</w:t>
            </w:r>
          </w:p>
          <w:p w14:paraId="144E85D7" w14:textId="77777777" w:rsidR="001E1112" w:rsidRPr="00317ABF" w:rsidRDefault="001E1112" w:rsidP="00DB3BEC">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2)</w:t>
            </w:r>
            <w:r w:rsidRPr="00317ABF">
              <w:rPr>
                <w:rFonts w:ascii="Times New Roman" w:hAnsi="Times New Roman" w:cs="Times New Roman"/>
                <w:sz w:val="22"/>
                <w:szCs w:val="22"/>
              </w:rPr>
              <w:tab/>
              <w:t>koszty ponoszone przez przedsiębiorcę komunikacji elektronicznej, na którego ma być nałożony obowiązek, o którym mowa w ust. 1 pkt 3 oraz koszty innych przedsiębiorców komunikacji elektronicznej działających na tym samym rynku właściwym lub rynku właściwym obejmującym takie same produkty lub usługi komunikacji elektronicznej.</w:t>
            </w:r>
          </w:p>
          <w:p w14:paraId="6B7D2162" w14:textId="77777777" w:rsidR="001E1112" w:rsidRPr="00317ABF" w:rsidRDefault="001E1112" w:rsidP="00DB3BEC">
            <w:pPr>
              <w:pStyle w:val="USTustnpkodeksu"/>
              <w:spacing w:line="240" w:lineRule="auto"/>
              <w:rPr>
                <w:rFonts w:ascii="Times New Roman" w:hAnsi="Times New Roman" w:cs="Times New Roman"/>
                <w:sz w:val="22"/>
                <w:szCs w:val="22"/>
              </w:rPr>
            </w:pPr>
            <w:r w:rsidRPr="00317ABF">
              <w:rPr>
                <w:rFonts w:ascii="Times New Roman" w:hAnsi="Times New Roman" w:cs="Times New Roman"/>
                <w:sz w:val="22"/>
                <w:szCs w:val="22"/>
              </w:rPr>
              <w:t>6.</w:t>
            </w:r>
            <w:r w:rsidR="00C54058" w:rsidRPr="00317ABF">
              <w:rPr>
                <w:rFonts w:ascii="Times New Roman" w:hAnsi="Times New Roman" w:cs="Times New Roman"/>
                <w:sz w:val="22"/>
                <w:szCs w:val="22"/>
              </w:rPr>
              <w:t> </w:t>
            </w:r>
            <w:r w:rsidRPr="00317ABF">
              <w:rPr>
                <w:rFonts w:ascii="Times New Roman" w:hAnsi="Times New Roman" w:cs="Times New Roman"/>
                <w:sz w:val="22"/>
                <w:szCs w:val="22"/>
              </w:rPr>
              <w:t xml:space="preserve">Jeżeli Prezes UKE nie może zastosować ust. 5, przy nakładaniu obowiązku, o którym mowa w ust.1 pkt 3, uwzględnia opłaty z tytułu dostępu </w:t>
            </w:r>
            <w:r w:rsidR="00C54058" w:rsidRPr="00317ABF">
              <w:rPr>
                <w:rFonts w:ascii="Times New Roman" w:hAnsi="Times New Roman" w:cs="Times New Roman"/>
                <w:sz w:val="22"/>
                <w:szCs w:val="22"/>
              </w:rPr>
              <w:t xml:space="preserve">telekomunikacyjnego </w:t>
            </w:r>
            <w:r w:rsidRPr="00317ABF">
              <w:rPr>
                <w:rFonts w:ascii="Times New Roman" w:hAnsi="Times New Roman" w:cs="Times New Roman"/>
                <w:sz w:val="22"/>
                <w:szCs w:val="22"/>
              </w:rPr>
              <w:t>stosowane na porównywalnych rynkach konkurencyjnych lub regulowanych.</w:t>
            </w:r>
          </w:p>
          <w:p w14:paraId="3FC84349" w14:textId="5A71DA9F" w:rsidR="001E1112" w:rsidRPr="00317ABF" w:rsidRDefault="001E1112" w:rsidP="00DB3BEC">
            <w:pPr>
              <w:pStyle w:val="Tekstpodstawowy"/>
              <w:rPr>
                <w:sz w:val="22"/>
                <w:szCs w:val="22"/>
              </w:rPr>
            </w:pPr>
          </w:p>
        </w:tc>
      </w:tr>
      <w:tr w:rsidR="001E1112" w:rsidRPr="00317ABF" w14:paraId="4E352117" w14:textId="77777777" w:rsidTr="7753F98D">
        <w:trPr>
          <w:gridAfter w:val="2"/>
          <w:wAfter w:w="175" w:type="dxa"/>
        </w:trPr>
        <w:tc>
          <w:tcPr>
            <w:tcW w:w="704" w:type="dxa"/>
          </w:tcPr>
          <w:p w14:paraId="22CAB486" w14:textId="77777777" w:rsidR="001E1112" w:rsidRPr="00317ABF" w:rsidRDefault="001E1112" w:rsidP="00DB3BEC">
            <w:pPr>
              <w:jc w:val="both"/>
              <w:rPr>
                <w:sz w:val="22"/>
                <w:szCs w:val="22"/>
              </w:rPr>
            </w:pPr>
            <w:r w:rsidRPr="00317ABF">
              <w:rPr>
                <w:sz w:val="22"/>
                <w:szCs w:val="22"/>
              </w:rPr>
              <w:lastRenderedPageBreak/>
              <w:t>Art. 74 ust. 3</w:t>
            </w:r>
          </w:p>
        </w:tc>
        <w:tc>
          <w:tcPr>
            <w:tcW w:w="4308" w:type="dxa"/>
          </w:tcPr>
          <w:p w14:paraId="4711D860" w14:textId="77777777" w:rsidR="001E1112" w:rsidRPr="00317ABF" w:rsidRDefault="001E1112" w:rsidP="00DB3BEC">
            <w:pPr>
              <w:spacing w:before="120"/>
              <w:jc w:val="both"/>
              <w:rPr>
                <w:sz w:val="22"/>
                <w:szCs w:val="22"/>
              </w:rPr>
            </w:pPr>
            <w:r w:rsidRPr="00317ABF">
              <w:rPr>
                <w:sz w:val="22"/>
                <w:szCs w:val="22"/>
              </w:rPr>
              <w:t>3.   Jeżeli dane przedsiębiorstwo ma obowiązek określania cen w zależności od kosztów, to na nim spoczywa ciężar dowodu, że opłaty są określone w zależności od kosztów, uwzględniając rozsądną stopę zwrotu z inwestycji. W celu obliczenia kosztów skutecznego świadczenia danej usługi krajowe organy regulacyjne mogą zastosować metody księgowania kosztów inne od tych, które stosuje przedsiębiorstwo. Krajowe organy regulacyjne mogą zażądać od danego przedsiębiorstwa całościowego uzasadnienia stosowanych cen, a w razie potrzeby – odpowiedniego dostosowania tych cen.</w:t>
            </w:r>
          </w:p>
        </w:tc>
        <w:tc>
          <w:tcPr>
            <w:tcW w:w="986" w:type="dxa"/>
          </w:tcPr>
          <w:p w14:paraId="3B854250" w14:textId="44DB218A" w:rsidR="001E1112" w:rsidRPr="00317ABF" w:rsidRDefault="001E1112" w:rsidP="00DB3BEC">
            <w:pPr>
              <w:jc w:val="both"/>
              <w:rPr>
                <w:sz w:val="22"/>
                <w:szCs w:val="22"/>
              </w:rPr>
            </w:pPr>
            <w:r w:rsidRPr="00317ABF">
              <w:rPr>
                <w:sz w:val="22"/>
                <w:szCs w:val="22"/>
              </w:rPr>
              <w:t>T</w:t>
            </w:r>
          </w:p>
        </w:tc>
        <w:tc>
          <w:tcPr>
            <w:tcW w:w="910" w:type="dxa"/>
          </w:tcPr>
          <w:p w14:paraId="51FE5184" w14:textId="35E0013D" w:rsidR="001E1112" w:rsidRPr="00317ABF" w:rsidRDefault="001E1112" w:rsidP="00DB3BEC">
            <w:pPr>
              <w:pStyle w:val="Tekstpodstawowy"/>
              <w:rPr>
                <w:b/>
                <w:bCs/>
                <w:noProof/>
                <w:sz w:val="22"/>
                <w:szCs w:val="22"/>
              </w:rPr>
            </w:pPr>
            <w:r w:rsidRPr="00317ABF">
              <w:rPr>
                <w:b/>
                <w:bCs/>
                <w:noProof/>
                <w:sz w:val="22"/>
                <w:szCs w:val="22"/>
              </w:rPr>
              <w:t xml:space="preserve">Art. </w:t>
            </w:r>
            <w:r w:rsidR="00435CEE" w:rsidRPr="00317ABF">
              <w:rPr>
                <w:b/>
                <w:bCs/>
                <w:noProof/>
                <w:sz w:val="22"/>
                <w:szCs w:val="22"/>
              </w:rPr>
              <w:t>217</w:t>
            </w:r>
            <w:r w:rsidRPr="00317ABF">
              <w:rPr>
                <w:b/>
                <w:bCs/>
                <w:noProof/>
                <w:sz w:val="22"/>
                <w:szCs w:val="22"/>
              </w:rPr>
              <w:t xml:space="preserve"> ust. 1-3</w:t>
            </w:r>
          </w:p>
        </w:tc>
        <w:tc>
          <w:tcPr>
            <w:tcW w:w="6814" w:type="dxa"/>
            <w:gridSpan w:val="2"/>
          </w:tcPr>
          <w:p w14:paraId="57DFEE7D" w14:textId="77777777" w:rsidR="00435CEE" w:rsidRPr="00317ABF" w:rsidRDefault="00435CEE" w:rsidP="00435CEE">
            <w:pPr>
              <w:pStyle w:val="USTustnpkodeksu"/>
              <w:spacing w:line="240" w:lineRule="auto"/>
              <w:rPr>
                <w:rFonts w:ascii="Times New Roman" w:eastAsia="Times" w:hAnsi="Times New Roman" w:cs="Times New Roman"/>
                <w:sz w:val="22"/>
                <w:szCs w:val="22"/>
              </w:rPr>
            </w:pPr>
            <w:r w:rsidRPr="00317ABF">
              <w:rPr>
                <w:rFonts w:ascii="Times New Roman" w:eastAsia="Times" w:hAnsi="Times New Roman" w:cs="Times New Roman"/>
                <w:sz w:val="22"/>
                <w:szCs w:val="22"/>
              </w:rPr>
              <w:t>Art. 217</w:t>
            </w:r>
          </w:p>
          <w:p w14:paraId="3EB1EB59" w14:textId="44CD23FA" w:rsidR="00435CEE" w:rsidRPr="00317ABF" w:rsidRDefault="001E1112" w:rsidP="00435CEE">
            <w:pPr>
              <w:pStyle w:val="USTustnpkodeksu"/>
              <w:spacing w:line="240" w:lineRule="auto"/>
              <w:rPr>
                <w:rFonts w:ascii="Times New Roman" w:hAnsi="Times New Roman" w:cs="Times New Roman"/>
                <w:sz w:val="22"/>
                <w:szCs w:val="22"/>
              </w:rPr>
            </w:pPr>
            <w:r w:rsidRPr="00317ABF">
              <w:rPr>
                <w:rFonts w:ascii="Times New Roman" w:eastAsia="Times" w:hAnsi="Times New Roman" w:cs="Times New Roman"/>
                <w:sz w:val="22"/>
                <w:szCs w:val="22"/>
              </w:rPr>
              <w:t xml:space="preserve">1. </w:t>
            </w:r>
            <w:r w:rsidR="00435CEE" w:rsidRPr="00317ABF">
              <w:rPr>
                <w:rFonts w:ascii="Times New Roman" w:hAnsi="Times New Roman" w:cs="Times New Roman"/>
                <w:sz w:val="22"/>
                <w:szCs w:val="22"/>
              </w:rPr>
              <w:t xml:space="preserve"> Przedsiębiorca komunikacji elektronicznej, na którego został nałożony obowiązek, o którym mowa w art. 216 ust. 1 pkt 2, przedstawia Prezesowi UKE, na jego żądanie, szczegółowe uzasadnienie wysokości opłat ustalonych w oparciu o koszty, które ponosi przedsiębiorca. Przedsiębiorca komunikacji elektronicznej może przedstawić uzasadnienie wysokości opłat w oparciu o jeden ze sposobów kalkulacji kosztów, określony w przepisach wykonawczych wydanych na podstawie art. 255.</w:t>
            </w:r>
          </w:p>
          <w:p w14:paraId="059C96C2" w14:textId="77777777" w:rsidR="001E1112" w:rsidRPr="00317ABF" w:rsidRDefault="001E1112" w:rsidP="00435CEE">
            <w:pPr>
              <w:pStyle w:val="USTustnpkodeksu"/>
              <w:spacing w:line="240" w:lineRule="auto"/>
              <w:rPr>
                <w:rFonts w:ascii="Times New Roman" w:hAnsi="Times New Roman" w:cs="Times New Roman"/>
                <w:sz w:val="22"/>
                <w:szCs w:val="22"/>
              </w:rPr>
            </w:pPr>
            <w:r w:rsidRPr="00317ABF">
              <w:rPr>
                <w:rFonts w:ascii="Times New Roman" w:eastAsia="Times" w:hAnsi="Times New Roman" w:cs="Times New Roman"/>
                <w:sz w:val="22"/>
                <w:szCs w:val="22"/>
              </w:rPr>
              <w:t xml:space="preserve">2. W celu oceny prawidłowości wysokości opłat ustalonych przez przedsiębiorcę komunikacji elektronicznej, na którego został nałożony obowiązek, o którym mowa w art. </w:t>
            </w:r>
            <w:r w:rsidR="00435CEE" w:rsidRPr="00317ABF">
              <w:rPr>
                <w:rFonts w:ascii="Times New Roman" w:hAnsi="Times New Roman" w:cs="Times New Roman"/>
                <w:sz w:val="22"/>
                <w:szCs w:val="22"/>
              </w:rPr>
              <w:t>216</w:t>
            </w:r>
            <w:r w:rsidRPr="00317ABF">
              <w:rPr>
                <w:rFonts w:ascii="Times New Roman" w:eastAsia="Times" w:hAnsi="Times New Roman" w:cs="Times New Roman"/>
                <w:sz w:val="22"/>
                <w:szCs w:val="22"/>
              </w:rPr>
              <w:t xml:space="preserve"> ust. 1 pkt 2, Prezes UKE stosuje jeden ze sposobów weryfikacji opłat wskazanych zgodnie z art. </w:t>
            </w:r>
            <w:r w:rsidR="00435CEE" w:rsidRPr="00317ABF">
              <w:rPr>
                <w:rFonts w:ascii="Times New Roman" w:hAnsi="Times New Roman" w:cs="Times New Roman"/>
                <w:sz w:val="22"/>
                <w:szCs w:val="22"/>
              </w:rPr>
              <w:t>216</w:t>
            </w:r>
            <w:r w:rsidRPr="00317ABF">
              <w:rPr>
                <w:rFonts w:ascii="Times New Roman" w:eastAsia="Times" w:hAnsi="Times New Roman" w:cs="Times New Roman"/>
                <w:sz w:val="22"/>
                <w:szCs w:val="22"/>
              </w:rPr>
              <w:t xml:space="preserve"> ust. 3.</w:t>
            </w:r>
          </w:p>
          <w:p w14:paraId="24C0F5E6" w14:textId="77777777" w:rsidR="001E1112" w:rsidRPr="00317ABF" w:rsidRDefault="001E1112" w:rsidP="00435CEE">
            <w:pPr>
              <w:pStyle w:val="USTustnpkodeksu"/>
              <w:spacing w:line="240" w:lineRule="auto"/>
              <w:rPr>
                <w:rFonts w:ascii="Times New Roman" w:hAnsi="Times New Roman" w:cs="Times New Roman"/>
                <w:sz w:val="22"/>
                <w:szCs w:val="22"/>
              </w:rPr>
            </w:pPr>
            <w:r w:rsidRPr="00317ABF">
              <w:rPr>
                <w:rFonts w:ascii="Times New Roman" w:eastAsia="Times" w:hAnsi="Times New Roman" w:cs="Times New Roman"/>
                <w:sz w:val="22"/>
                <w:szCs w:val="22"/>
              </w:rPr>
              <w:t xml:space="preserve">3. W przypadku, gdy według przeprowadzonej oceny, o której mowa w ust. 2, wysokość opłat ustalonych przez przedsiębiorcę komunikacji elektronicznej jest nieprawidłowa, Prezes UKE ustala, w drodze decyzji, wysokość opłat lub ich maksymalny albo minimalny poziom stosując sposoby ustalania opłat wskazane zgodnie z art. </w:t>
            </w:r>
            <w:r w:rsidR="00435CEE" w:rsidRPr="00317ABF">
              <w:rPr>
                <w:rFonts w:ascii="Times New Roman" w:hAnsi="Times New Roman" w:cs="Times New Roman"/>
                <w:sz w:val="22"/>
                <w:szCs w:val="22"/>
              </w:rPr>
              <w:t>216</w:t>
            </w:r>
            <w:r w:rsidRPr="00317ABF">
              <w:rPr>
                <w:rFonts w:ascii="Times New Roman" w:eastAsia="Times" w:hAnsi="Times New Roman" w:cs="Times New Roman"/>
                <w:sz w:val="22"/>
                <w:szCs w:val="22"/>
              </w:rPr>
              <w:t xml:space="preserve"> ust. 3, biorąc pod uwagę promocję realizacji nowych inwestycji, w tym w sieci o bardzo dużej przepustowości, promocję efektywności i zrównoważonej konkurencji oraz zapewnienie maksymalnych korzyści dla użytkowników końcowych oraz umożliwienie przedsiębiorcy komunikacji elektronicznej uzyskanie rozsądnej stopy zwrotu z zaangażowanego kapitału, uwzględniając wszelkie ryzyko typowe dla </w:t>
            </w:r>
            <w:r w:rsidR="00435CEE" w:rsidRPr="00317ABF">
              <w:rPr>
                <w:rFonts w:ascii="Times New Roman" w:hAnsi="Times New Roman" w:cs="Times New Roman"/>
                <w:sz w:val="22"/>
                <w:szCs w:val="22"/>
              </w:rPr>
              <w:t>danego</w:t>
            </w:r>
            <w:r w:rsidRPr="00317ABF">
              <w:rPr>
                <w:rFonts w:ascii="Times New Roman" w:eastAsia="Times" w:hAnsi="Times New Roman" w:cs="Times New Roman"/>
                <w:sz w:val="22"/>
                <w:szCs w:val="22"/>
              </w:rPr>
              <w:t xml:space="preserve"> nowego przedsięwzięcia inwestycyjnego.</w:t>
            </w:r>
          </w:p>
          <w:p w14:paraId="618CF408" w14:textId="0510C193" w:rsidR="001E1112" w:rsidRPr="00317ABF" w:rsidRDefault="001E1112" w:rsidP="00DB3BEC">
            <w:pPr>
              <w:pStyle w:val="Tekstpodstawowy"/>
              <w:rPr>
                <w:sz w:val="22"/>
                <w:szCs w:val="22"/>
              </w:rPr>
            </w:pPr>
          </w:p>
        </w:tc>
      </w:tr>
      <w:tr w:rsidR="001E1112" w:rsidRPr="00317ABF" w14:paraId="0CF7C8A0" w14:textId="77777777" w:rsidTr="7753F98D">
        <w:trPr>
          <w:gridAfter w:val="2"/>
          <w:wAfter w:w="175" w:type="dxa"/>
        </w:trPr>
        <w:tc>
          <w:tcPr>
            <w:tcW w:w="704" w:type="dxa"/>
          </w:tcPr>
          <w:p w14:paraId="48728D15" w14:textId="77777777" w:rsidR="001E1112" w:rsidRPr="00317ABF" w:rsidRDefault="001E1112" w:rsidP="00DB3BEC">
            <w:pPr>
              <w:jc w:val="both"/>
              <w:rPr>
                <w:sz w:val="22"/>
                <w:szCs w:val="22"/>
              </w:rPr>
            </w:pPr>
            <w:r w:rsidRPr="00317ABF">
              <w:rPr>
                <w:sz w:val="22"/>
                <w:szCs w:val="22"/>
              </w:rPr>
              <w:lastRenderedPageBreak/>
              <w:t>Art. 74 ust. 4</w:t>
            </w:r>
          </w:p>
        </w:tc>
        <w:tc>
          <w:tcPr>
            <w:tcW w:w="4308" w:type="dxa"/>
          </w:tcPr>
          <w:p w14:paraId="370926A4" w14:textId="77777777" w:rsidR="001E1112" w:rsidRPr="00317ABF" w:rsidRDefault="001E1112" w:rsidP="00DB3BEC">
            <w:pPr>
              <w:spacing w:before="120"/>
              <w:jc w:val="both"/>
              <w:rPr>
                <w:sz w:val="22"/>
                <w:szCs w:val="22"/>
              </w:rPr>
            </w:pPr>
            <w:r w:rsidRPr="00317ABF">
              <w:rPr>
                <w:sz w:val="22"/>
                <w:szCs w:val="22"/>
              </w:rPr>
              <w:t>4.   Jeżeli wdrożenie danego systemu księgowania kosztów jest obowiązkowe, aby umożliwić kontrolę cen, krajowe organy regulacyjne zapewnią, by został udostępniony publicznie opis danego systemu księgowania kosztów, zawierający co najmniej wskazanie kategorii, do jakich zostały zaliczone odpowiednie koszty, oraz reguł stosowanych w zakresie rozdziału kosztów. Wykwalifikowany niezależny podmiot weryfikuje zgodność z wymogami systemu księgowania kosztów i publikuje co roku oświadczenie o zgodności z obowiązującymi wymogami.</w:t>
            </w:r>
          </w:p>
        </w:tc>
        <w:tc>
          <w:tcPr>
            <w:tcW w:w="986" w:type="dxa"/>
          </w:tcPr>
          <w:p w14:paraId="1310C47D" w14:textId="730A733A" w:rsidR="001E1112" w:rsidRPr="00317ABF" w:rsidRDefault="001E1112" w:rsidP="00DB3BEC">
            <w:pPr>
              <w:jc w:val="both"/>
              <w:rPr>
                <w:sz w:val="22"/>
                <w:szCs w:val="22"/>
              </w:rPr>
            </w:pPr>
            <w:r w:rsidRPr="00317ABF">
              <w:rPr>
                <w:sz w:val="22"/>
                <w:szCs w:val="22"/>
              </w:rPr>
              <w:t>T</w:t>
            </w:r>
          </w:p>
        </w:tc>
        <w:tc>
          <w:tcPr>
            <w:tcW w:w="910" w:type="dxa"/>
          </w:tcPr>
          <w:p w14:paraId="74196A6B" w14:textId="2F20B54F" w:rsidR="001E1112" w:rsidRPr="00317ABF" w:rsidRDefault="001E1112" w:rsidP="00DB3BEC">
            <w:pPr>
              <w:pStyle w:val="Tekstpodstawowy"/>
              <w:rPr>
                <w:b/>
                <w:noProof/>
                <w:sz w:val="22"/>
                <w:szCs w:val="22"/>
              </w:rPr>
            </w:pPr>
            <w:r w:rsidRPr="00317ABF">
              <w:rPr>
                <w:b/>
                <w:noProof/>
                <w:sz w:val="22"/>
                <w:szCs w:val="22"/>
              </w:rPr>
              <w:t xml:space="preserve">Art. </w:t>
            </w:r>
            <w:r w:rsidR="00435CEE" w:rsidRPr="00317ABF">
              <w:rPr>
                <w:b/>
                <w:noProof/>
                <w:sz w:val="22"/>
                <w:szCs w:val="22"/>
              </w:rPr>
              <w:t>217</w:t>
            </w:r>
            <w:r w:rsidRPr="00317ABF">
              <w:rPr>
                <w:b/>
                <w:noProof/>
                <w:sz w:val="22"/>
                <w:szCs w:val="22"/>
              </w:rPr>
              <w:t xml:space="preserve"> ust. 4 – </w:t>
            </w:r>
            <w:r w:rsidR="00435CEE" w:rsidRPr="00317ABF">
              <w:rPr>
                <w:b/>
                <w:noProof/>
                <w:sz w:val="22"/>
                <w:szCs w:val="22"/>
              </w:rPr>
              <w:t>6</w:t>
            </w:r>
          </w:p>
          <w:p w14:paraId="36B86F0D" w14:textId="73D45374" w:rsidR="001E1112" w:rsidRPr="00317ABF" w:rsidRDefault="001E1112" w:rsidP="00DB3BEC">
            <w:pPr>
              <w:pStyle w:val="Tekstpodstawowy"/>
              <w:rPr>
                <w:b/>
                <w:noProof/>
                <w:sz w:val="22"/>
                <w:szCs w:val="22"/>
              </w:rPr>
            </w:pPr>
            <w:r w:rsidRPr="00317ABF">
              <w:rPr>
                <w:b/>
                <w:noProof/>
                <w:sz w:val="22"/>
                <w:szCs w:val="22"/>
              </w:rPr>
              <w:t>Art. 2</w:t>
            </w:r>
            <w:r w:rsidR="00435CEE" w:rsidRPr="00317ABF">
              <w:rPr>
                <w:b/>
                <w:noProof/>
                <w:sz w:val="22"/>
                <w:szCs w:val="22"/>
              </w:rPr>
              <w:t>56</w:t>
            </w:r>
          </w:p>
          <w:p w14:paraId="4BDCD689" w14:textId="7BA66F4C" w:rsidR="001E1112" w:rsidRPr="00317ABF" w:rsidRDefault="001E1112" w:rsidP="00DB3BEC">
            <w:pPr>
              <w:pStyle w:val="Tekstpodstawowy"/>
              <w:rPr>
                <w:b/>
                <w:bCs/>
                <w:noProof/>
                <w:sz w:val="22"/>
                <w:szCs w:val="22"/>
              </w:rPr>
            </w:pPr>
            <w:r w:rsidRPr="00317ABF">
              <w:rPr>
                <w:b/>
                <w:bCs/>
                <w:noProof/>
                <w:sz w:val="22"/>
                <w:szCs w:val="22"/>
              </w:rPr>
              <w:t>Art. 2</w:t>
            </w:r>
            <w:r w:rsidR="00435CEE" w:rsidRPr="00317ABF">
              <w:rPr>
                <w:b/>
                <w:bCs/>
                <w:noProof/>
                <w:sz w:val="22"/>
                <w:szCs w:val="22"/>
              </w:rPr>
              <w:t>57</w:t>
            </w:r>
            <w:r w:rsidRPr="00317ABF">
              <w:rPr>
                <w:b/>
                <w:bCs/>
                <w:noProof/>
                <w:sz w:val="22"/>
                <w:szCs w:val="22"/>
              </w:rPr>
              <w:t xml:space="preserve"> ust. 2-</w:t>
            </w:r>
            <w:r w:rsidR="00435CEE" w:rsidRPr="00317ABF">
              <w:rPr>
                <w:b/>
                <w:bCs/>
                <w:noProof/>
                <w:sz w:val="22"/>
                <w:szCs w:val="22"/>
              </w:rPr>
              <w:t>10</w:t>
            </w:r>
          </w:p>
          <w:p w14:paraId="05C93C3D" w14:textId="092837E6" w:rsidR="001E1112" w:rsidRPr="00317ABF" w:rsidRDefault="001E1112" w:rsidP="00DB3BEC">
            <w:pPr>
              <w:pStyle w:val="Tekstpodstawowy"/>
              <w:rPr>
                <w:b/>
                <w:bCs/>
                <w:noProof/>
                <w:sz w:val="22"/>
                <w:szCs w:val="22"/>
              </w:rPr>
            </w:pPr>
            <w:r w:rsidRPr="00317ABF">
              <w:rPr>
                <w:b/>
                <w:bCs/>
                <w:noProof/>
                <w:sz w:val="22"/>
                <w:szCs w:val="22"/>
              </w:rPr>
              <w:t>Art. 2</w:t>
            </w:r>
            <w:r w:rsidR="00435CEE" w:rsidRPr="00317ABF">
              <w:rPr>
                <w:b/>
                <w:bCs/>
                <w:noProof/>
                <w:sz w:val="22"/>
                <w:szCs w:val="22"/>
              </w:rPr>
              <w:t>58</w:t>
            </w:r>
            <w:r w:rsidRPr="00317ABF">
              <w:rPr>
                <w:b/>
                <w:bCs/>
                <w:noProof/>
                <w:sz w:val="22"/>
                <w:szCs w:val="22"/>
              </w:rPr>
              <w:t xml:space="preserve"> ust. 2</w:t>
            </w:r>
          </w:p>
        </w:tc>
        <w:tc>
          <w:tcPr>
            <w:tcW w:w="6814" w:type="dxa"/>
            <w:gridSpan w:val="2"/>
          </w:tcPr>
          <w:p w14:paraId="2F43AB00" w14:textId="47244AE8" w:rsidR="001E1112" w:rsidRPr="00317ABF" w:rsidRDefault="001E1112" w:rsidP="00DB3BEC">
            <w:pPr>
              <w:ind w:firstLine="510"/>
              <w:jc w:val="both"/>
              <w:rPr>
                <w:rFonts w:eastAsia="Times"/>
                <w:sz w:val="22"/>
                <w:szCs w:val="22"/>
              </w:rPr>
            </w:pPr>
            <w:r w:rsidRPr="00317ABF">
              <w:rPr>
                <w:rFonts w:eastAsia="Times"/>
                <w:sz w:val="22"/>
                <w:szCs w:val="22"/>
              </w:rPr>
              <w:t xml:space="preserve">Art. </w:t>
            </w:r>
            <w:r w:rsidR="00435CEE" w:rsidRPr="00317ABF">
              <w:rPr>
                <w:rFonts w:eastAsia="Times"/>
                <w:sz w:val="22"/>
                <w:szCs w:val="22"/>
              </w:rPr>
              <w:t>217</w:t>
            </w:r>
            <w:r w:rsidRPr="00317ABF">
              <w:rPr>
                <w:rFonts w:eastAsia="Times"/>
                <w:sz w:val="22"/>
                <w:szCs w:val="22"/>
              </w:rPr>
              <w:t xml:space="preserve"> ust. 4 - </w:t>
            </w:r>
            <w:r w:rsidR="00435CEE" w:rsidRPr="00317ABF">
              <w:rPr>
                <w:rFonts w:eastAsia="Times"/>
                <w:sz w:val="22"/>
                <w:szCs w:val="22"/>
              </w:rPr>
              <w:t>6</w:t>
            </w:r>
          </w:p>
          <w:p w14:paraId="3EA6C759" w14:textId="6BB8192A" w:rsidR="001E1112" w:rsidRPr="00317ABF" w:rsidRDefault="001E1112" w:rsidP="00DB3BEC">
            <w:pPr>
              <w:pStyle w:val="USTustnpkodeksu"/>
              <w:spacing w:line="240" w:lineRule="auto"/>
              <w:rPr>
                <w:rFonts w:ascii="Times New Roman" w:hAnsi="Times New Roman" w:cs="Times New Roman"/>
                <w:sz w:val="22"/>
                <w:szCs w:val="22"/>
              </w:rPr>
            </w:pPr>
            <w:r w:rsidRPr="00317ABF">
              <w:rPr>
                <w:rFonts w:ascii="Times New Roman" w:hAnsi="Times New Roman" w:cs="Times New Roman"/>
                <w:sz w:val="22"/>
                <w:szCs w:val="22"/>
              </w:rPr>
              <w:t xml:space="preserve">4. W celu </w:t>
            </w:r>
            <w:r w:rsidR="00435CEE" w:rsidRPr="00317ABF">
              <w:rPr>
                <w:rFonts w:ascii="Times New Roman" w:hAnsi="Times New Roman" w:cs="Times New Roman"/>
                <w:sz w:val="22"/>
                <w:szCs w:val="22"/>
              </w:rPr>
              <w:t>oceny</w:t>
            </w:r>
            <w:r w:rsidRPr="00317ABF">
              <w:rPr>
                <w:rFonts w:ascii="Times New Roman" w:hAnsi="Times New Roman" w:cs="Times New Roman"/>
                <w:sz w:val="22"/>
                <w:szCs w:val="22"/>
              </w:rPr>
              <w:t xml:space="preserve"> wysokości kosztów, o których mowa w art. </w:t>
            </w:r>
            <w:r w:rsidR="00435CEE" w:rsidRPr="00317ABF">
              <w:rPr>
                <w:rFonts w:ascii="Times New Roman" w:hAnsi="Times New Roman" w:cs="Times New Roman"/>
                <w:sz w:val="22"/>
                <w:szCs w:val="22"/>
              </w:rPr>
              <w:t>216</w:t>
            </w:r>
            <w:r w:rsidRPr="00317ABF">
              <w:rPr>
                <w:rFonts w:ascii="Times New Roman" w:hAnsi="Times New Roman" w:cs="Times New Roman"/>
                <w:sz w:val="22"/>
                <w:szCs w:val="22"/>
              </w:rPr>
              <w:t xml:space="preserve"> ust. 1 pkt 1, Prezes UKE przeprowadza </w:t>
            </w:r>
            <w:r w:rsidR="00435CEE" w:rsidRPr="00317ABF">
              <w:rPr>
                <w:rFonts w:ascii="Times New Roman" w:hAnsi="Times New Roman" w:cs="Times New Roman"/>
                <w:sz w:val="22"/>
                <w:szCs w:val="22"/>
              </w:rPr>
              <w:t>weryfikację</w:t>
            </w:r>
            <w:r w:rsidRPr="00317ABF">
              <w:rPr>
                <w:rFonts w:ascii="Times New Roman" w:hAnsi="Times New Roman" w:cs="Times New Roman"/>
                <w:sz w:val="22"/>
                <w:szCs w:val="22"/>
              </w:rPr>
              <w:t xml:space="preserve">, o </w:t>
            </w:r>
            <w:r w:rsidR="00435CEE" w:rsidRPr="00317ABF">
              <w:rPr>
                <w:rFonts w:ascii="Times New Roman" w:hAnsi="Times New Roman" w:cs="Times New Roman"/>
                <w:sz w:val="22"/>
                <w:szCs w:val="22"/>
              </w:rPr>
              <w:t>której</w:t>
            </w:r>
            <w:r w:rsidRPr="00317ABF">
              <w:rPr>
                <w:rFonts w:ascii="Times New Roman" w:hAnsi="Times New Roman" w:cs="Times New Roman"/>
                <w:sz w:val="22"/>
                <w:szCs w:val="22"/>
              </w:rPr>
              <w:t xml:space="preserve"> mowa w art. </w:t>
            </w:r>
            <w:r w:rsidR="00435CEE" w:rsidRPr="00317ABF">
              <w:rPr>
                <w:rFonts w:ascii="Times New Roman" w:hAnsi="Times New Roman" w:cs="Times New Roman"/>
                <w:sz w:val="22"/>
                <w:szCs w:val="22"/>
              </w:rPr>
              <w:t>257</w:t>
            </w:r>
            <w:r w:rsidRPr="00317ABF">
              <w:rPr>
                <w:rFonts w:ascii="Times New Roman" w:hAnsi="Times New Roman" w:cs="Times New Roman"/>
                <w:sz w:val="22"/>
                <w:szCs w:val="22"/>
              </w:rPr>
              <w:t xml:space="preserve"> ust. </w:t>
            </w:r>
            <w:r w:rsidR="00435CEE" w:rsidRPr="00317ABF">
              <w:rPr>
                <w:rFonts w:ascii="Times New Roman" w:hAnsi="Times New Roman" w:cs="Times New Roman"/>
                <w:sz w:val="22"/>
                <w:szCs w:val="22"/>
              </w:rPr>
              <w:t>7</w:t>
            </w:r>
            <w:r w:rsidRPr="00317ABF">
              <w:rPr>
                <w:rFonts w:ascii="Times New Roman" w:hAnsi="Times New Roman" w:cs="Times New Roman"/>
                <w:sz w:val="22"/>
                <w:szCs w:val="22"/>
              </w:rPr>
              <w:t>.</w:t>
            </w:r>
          </w:p>
          <w:p w14:paraId="1F3A7FF8" w14:textId="77777777" w:rsidR="001E1112" w:rsidRPr="00317ABF" w:rsidRDefault="001E1112" w:rsidP="00DB3BEC">
            <w:pPr>
              <w:pStyle w:val="USTustnpkodeksu"/>
              <w:keepNext/>
              <w:spacing w:line="240" w:lineRule="auto"/>
              <w:rPr>
                <w:rFonts w:ascii="Times New Roman" w:hAnsi="Times New Roman" w:cs="Times New Roman"/>
                <w:sz w:val="22"/>
                <w:szCs w:val="22"/>
              </w:rPr>
            </w:pPr>
            <w:r w:rsidRPr="00317ABF">
              <w:rPr>
                <w:rFonts w:ascii="Times New Roman" w:hAnsi="Times New Roman" w:cs="Times New Roman"/>
                <w:sz w:val="22"/>
                <w:szCs w:val="22"/>
              </w:rPr>
              <w:t>5. W przypadku:</w:t>
            </w:r>
          </w:p>
          <w:p w14:paraId="224C1062" w14:textId="38792FD6" w:rsidR="001E1112" w:rsidRPr="00317ABF" w:rsidRDefault="001E1112" w:rsidP="00DB3BEC">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1)</w:t>
            </w:r>
            <w:r w:rsidRPr="00317ABF">
              <w:rPr>
                <w:rFonts w:ascii="Times New Roman" w:hAnsi="Times New Roman" w:cs="Times New Roman"/>
                <w:sz w:val="22"/>
                <w:szCs w:val="22"/>
              </w:rPr>
              <w:tab/>
              <w:t xml:space="preserve">braku możliwości przeprowadzenia </w:t>
            </w:r>
            <w:r w:rsidR="00435CEE" w:rsidRPr="00317ABF">
              <w:rPr>
                <w:rFonts w:ascii="Times New Roman" w:hAnsi="Times New Roman" w:cs="Times New Roman"/>
                <w:sz w:val="22"/>
                <w:szCs w:val="22"/>
              </w:rPr>
              <w:t>weryfikacji</w:t>
            </w:r>
            <w:r w:rsidRPr="00317ABF">
              <w:rPr>
                <w:rFonts w:ascii="Times New Roman" w:hAnsi="Times New Roman" w:cs="Times New Roman"/>
                <w:sz w:val="22"/>
                <w:szCs w:val="22"/>
              </w:rPr>
              <w:t xml:space="preserve">, o </w:t>
            </w:r>
            <w:r w:rsidR="00435CEE" w:rsidRPr="00317ABF">
              <w:rPr>
                <w:rFonts w:ascii="Times New Roman" w:hAnsi="Times New Roman" w:cs="Times New Roman"/>
                <w:sz w:val="22"/>
                <w:szCs w:val="22"/>
              </w:rPr>
              <w:t>której</w:t>
            </w:r>
            <w:r w:rsidRPr="00317ABF">
              <w:rPr>
                <w:rFonts w:ascii="Times New Roman" w:hAnsi="Times New Roman" w:cs="Times New Roman"/>
                <w:sz w:val="22"/>
                <w:szCs w:val="22"/>
              </w:rPr>
              <w:t xml:space="preserve"> mowa w art. </w:t>
            </w:r>
            <w:r w:rsidR="00435CEE" w:rsidRPr="00317ABF">
              <w:rPr>
                <w:rFonts w:ascii="Times New Roman" w:hAnsi="Times New Roman" w:cs="Times New Roman"/>
                <w:sz w:val="22"/>
                <w:szCs w:val="22"/>
              </w:rPr>
              <w:t>257</w:t>
            </w:r>
            <w:r w:rsidRPr="00317ABF">
              <w:rPr>
                <w:rFonts w:ascii="Times New Roman" w:hAnsi="Times New Roman" w:cs="Times New Roman"/>
                <w:sz w:val="22"/>
                <w:szCs w:val="22"/>
              </w:rPr>
              <w:t xml:space="preserve"> ust. </w:t>
            </w:r>
            <w:r w:rsidR="00435CEE" w:rsidRPr="00317ABF">
              <w:rPr>
                <w:rFonts w:ascii="Times New Roman" w:hAnsi="Times New Roman" w:cs="Times New Roman"/>
                <w:sz w:val="22"/>
                <w:szCs w:val="22"/>
              </w:rPr>
              <w:t>7</w:t>
            </w:r>
            <w:r w:rsidRPr="00317ABF">
              <w:rPr>
                <w:rFonts w:ascii="Times New Roman" w:hAnsi="Times New Roman" w:cs="Times New Roman"/>
                <w:sz w:val="22"/>
                <w:szCs w:val="22"/>
              </w:rPr>
              <w:t>, z przyczyn leżących po stronie przedsiębiorcy komunikacji elektronicznej,</w:t>
            </w:r>
          </w:p>
          <w:p w14:paraId="6B8F27DB" w14:textId="77777777" w:rsidR="00435CEE" w:rsidRPr="00317ABF" w:rsidRDefault="00435CEE" w:rsidP="00435CEE">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2)</w:t>
            </w:r>
            <w:r w:rsidRPr="00317ABF">
              <w:rPr>
                <w:rFonts w:ascii="Times New Roman" w:hAnsi="Times New Roman" w:cs="Times New Roman"/>
                <w:sz w:val="22"/>
                <w:szCs w:val="22"/>
              </w:rPr>
              <w:tab/>
              <w:t>odmowy wyrażenia przez biegłego rewidenta opinii po przeprowadzeniu weryfikacji, o której mowa w art. 257 ust. 7, z uwagi na zaistnienie okoliczności uniemożliwiających jej sformułowanie z przyczyn leżących po stronie przedsiębiorcy komunikacji elektronicznej,</w:t>
            </w:r>
          </w:p>
          <w:p w14:paraId="6DF8EBE6" w14:textId="77777777" w:rsidR="00435CEE" w:rsidRPr="00317ABF" w:rsidRDefault="00435CEE" w:rsidP="00435CEE">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3)</w:t>
            </w:r>
            <w:r w:rsidRPr="00317ABF">
              <w:rPr>
                <w:rFonts w:ascii="Times New Roman" w:hAnsi="Times New Roman" w:cs="Times New Roman"/>
                <w:sz w:val="22"/>
                <w:szCs w:val="22"/>
              </w:rPr>
              <w:tab/>
              <w:t>wyrażenia przez biegłego rewidenta opinii negatywnej albo opinii z zastrzeżeniami, po przeprowadzeniu weryfikacji, o której mowa w art. 257 ust. 7, lub</w:t>
            </w:r>
          </w:p>
          <w:p w14:paraId="6A57693C" w14:textId="77777777" w:rsidR="001E1112" w:rsidRPr="00317ABF" w:rsidRDefault="001E1112" w:rsidP="00DB3BEC">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4)</w:t>
            </w:r>
            <w:r w:rsidRPr="00317ABF">
              <w:rPr>
                <w:rFonts w:ascii="Times New Roman" w:hAnsi="Times New Roman" w:cs="Times New Roman"/>
                <w:sz w:val="22"/>
                <w:szCs w:val="22"/>
              </w:rPr>
              <w:tab/>
              <w:t>wystąpienia różnic pomiędzy wysokością opłat ustalonych przez przedsiębiorcę komunikacji elektronicznej a wysokością kosztów zweryfikowanych zgodnie z ust. 4</w:t>
            </w:r>
          </w:p>
          <w:p w14:paraId="798EA765" w14:textId="77777777" w:rsidR="00435CEE" w:rsidRPr="00317ABF" w:rsidRDefault="00435CEE" w:rsidP="00435CEE">
            <w:pPr>
              <w:pStyle w:val="CZWSPPKTczwsplnapunktw"/>
              <w:spacing w:line="240" w:lineRule="auto"/>
              <w:rPr>
                <w:rFonts w:ascii="Times New Roman" w:hAnsi="Times New Roman" w:cs="Times New Roman"/>
                <w:sz w:val="22"/>
                <w:szCs w:val="22"/>
              </w:rPr>
            </w:pPr>
            <w:r w:rsidRPr="00317ABF">
              <w:rPr>
                <w:rFonts w:ascii="Times New Roman" w:hAnsi="Times New Roman" w:cs="Times New Roman"/>
                <w:sz w:val="22"/>
                <w:szCs w:val="22"/>
              </w:rPr>
              <w:t>- Prezes UKE ustala, w drodze decyzji, wysokość opłat z tytułu dostępu telekomunikacyjnego lub ich maksymalny albo minimalny poziom stosując sposoby wskazane zgodnie z art. 216 ust. 2, biorąc pod uwagę promocję realizacji nowych inwestycji, w tym w sieci o bardzo dużej przepustowości, promocję efektywności i zrównoważonej konkurencji oraz zapewnienie maksymalnych korzyści dla użytkowników końcowych, jak również zwrot uzasadnionych kosztów.</w:t>
            </w:r>
          </w:p>
          <w:p w14:paraId="70B8B970" w14:textId="77777777" w:rsidR="00435CEE" w:rsidRPr="00317ABF" w:rsidRDefault="00435CEE" w:rsidP="00435CEE">
            <w:pPr>
              <w:pStyle w:val="USTustnpkodeksu"/>
              <w:spacing w:line="240" w:lineRule="auto"/>
              <w:rPr>
                <w:rFonts w:ascii="Times New Roman" w:hAnsi="Times New Roman" w:cs="Times New Roman"/>
                <w:sz w:val="22"/>
                <w:szCs w:val="22"/>
              </w:rPr>
            </w:pPr>
            <w:r w:rsidRPr="00317ABF">
              <w:rPr>
                <w:rFonts w:ascii="Times New Roman" w:hAnsi="Times New Roman" w:cs="Times New Roman"/>
                <w:sz w:val="22"/>
                <w:szCs w:val="22"/>
              </w:rPr>
              <w:t>6. W przypadku, gdy na przedsiębiorcę komunikacji elektronicznej został nałożony obowiązek, o którym mowa w art. 220 ust. 1, Prezes UKE może ustalić opłaty, o których mowa w ust. 3 i ust. 5 w decyzji, o której mowa w art. 221 ust 1.</w:t>
            </w:r>
          </w:p>
          <w:p w14:paraId="76CFB2EA" w14:textId="7619E55D" w:rsidR="001E1112" w:rsidRPr="00317ABF" w:rsidRDefault="001E1112" w:rsidP="00DB3BEC">
            <w:pPr>
              <w:pStyle w:val="USTustnpkodeksu"/>
              <w:spacing w:line="240" w:lineRule="auto"/>
              <w:rPr>
                <w:rFonts w:ascii="Times New Roman" w:hAnsi="Times New Roman" w:cs="Times New Roman"/>
                <w:sz w:val="22"/>
                <w:szCs w:val="22"/>
              </w:rPr>
            </w:pPr>
          </w:p>
          <w:p w14:paraId="490AE87B" w14:textId="585CB602" w:rsidR="001E1112" w:rsidRPr="00317ABF" w:rsidRDefault="001E1112" w:rsidP="00DB3BEC">
            <w:pPr>
              <w:pStyle w:val="ARTartustawynprozporzdzenia"/>
              <w:spacing w:before="0" w:line="240" w:lineRule="auto"/>
              <w:rPr>
                <w:rFonts w:ascii="Times New Roman" w:hAnsi="Times New Roman" w:cs="Times New Roman"/>
                <w:sz w:val="22"/>
                <w:szCs w:val="22"/>
              </w:rPr>
            </w:pPr>
            <w:r w:rsidRPr="00317ABF">
              <w:rPr>
                <w:rStyle w:val="Ppogrubienie"/>
                <w:rFonts w:ascii="Times New Roman" w:hAnsi="Times New Roman"/>
                <w:b w:val="0"/>
                <w:sz w:val="22"/>
                <w:szCs w:val="22"/>
              </w:rPr>
              <w:t>Art. 2</w:t>
            </w:r>
            <w:r w:rsidR="00435CEE" w:rsidRPr="00317ABF">
              <w:rPr>
                <w:rStyle w:val="Ppogrubienie"/>
                <w:rFonts w:ascii="Times New Roman" w:hAnsi="Times New Roman"/>
                <w:b w:val="0"/>
                <w:sz w:val="22"/>
                <w:szCs w:val="22"/>
              </w:rPr>
              <w:t>56</w:t>
            </w:r>
            <w:r w:rsidRPr="00317ABF">
              <w:rPr>
                <w:rStyle w:val="Ppogrubienie"/>
                <w:rFonts w:ascii="Times New Roman" w:hAnsi="Times New Roman"/>
                <w:sz w:val="22"/>
                <w:szCs w:val="22"/>
              </w:rPr>
              <w:t>.</w:t>
            </w:r>
            <w:r w:rsidRPr="00317ABF">
              <w:rPr>
                <w:rFonts w:ascii="Times New Roman" w:hAnsi="Times New Roman" w:cs="Times New Roman"/>
                <w:sz w:val="22"/>
                <w:szCs w:val="22"/>
              </w:rPr>
              <w:t xml:space="preserve"> Przedsiębiorca komunikacji elektronicznej przechowuje dokumentację związaną z prowadzeniem rachunkowości regulacyjnej lub kalkulacji kosztów, stosując odpowiednio przepisy rozdziału 8 ustawy z dnia 29 września 1994 r. o rachunkowości.</w:t>
            </w:r>
          </w:p>
          <w:p w14:paraId="0C6CB347" w14:textId="77777777" w:rsidR="001E1112" w:rsidRPr="00317ABF" w:rsidRDefault="001E1112" w:rsidP="00DB3BEC">
            <w:pPr>
              <w:jc w:val="both"/>
              <w:rPr>
                <w:rFonts w:eastAsia="Times"/>
                <w:sz w:val="22"/>
                <w:szCs w:val="22"/>
              </w:rPr>
            </w:pPr>
          </w:p>
          <w:p w14:paraId="2DFFEFFB" w14:textId="3E1D9DC5" w:rsidR="001E1112" w:rsidRPr="00317ABF" w:rsidRDefault="001E1112" w:rsidP="00DB3BEC">
            <w:pPr>
              <w:ind w:firstLine="510"/>
              <w:jc w:val="both"/>
              <w:rPr>
                <w:rFonts w:eastAsia="Times"/>
                <w:sz w:val="22"/>
                <w:szCs w:val="22"/>
              </w:rPr>
            </w:pPr>
            <w:r w:rsidRPr="00317ABF">
              <w:rPr>
                <w:rFonts w:eastAsia="Times"/>
                <w:sz w:val="22"/>
                <w:szCs w:val="22"/>
              </w:rPr>
              <w:t>Art. 2</w:t>
            </w:r>
            <w:r w:rsidR="00435CEE" w:rsidRPr="00317ABF">
              <w:rPr>
                <w:rFonts w:eastAsia="Times"/>
                <w:sz w:val="22"/>
                <w:szCs w:val="22"/>
              </w:rPr>
              <w:t>57</w:t>
            </w:r>
            <w:r w:rsidRPr="00317ABF">
              <w:rPr>
                <w:rFonts w:eastAsia="Times"/>
                <w:sz w:val="22"/>
                <w:szCs w:val="22"/>
              </w:rPr>
              <w:t xml:space="preserve"> ust. 2-7</w:t>
            </w:r>
          </w:p>
          <w:p w14:paraId="2513C32C" w14:textId="77777777" w:rsidR="00435CEE" w:rsidRPr="00317ABF" w:rsidRDefault="00435CEE" w:rsidP="00435CEE">
            <w:pPr>
              <w:pStyle w:val="ARTartustawynprozporzdzenia"/>
              <w:spacing w:before="0" w:line="240" w:lineRule="auto"/>
              <w:rPr>
                <w:rFonts w:ascii="Times New Roman" w:hAnsi="Times New Roman" w:cs="Times New Roman"/>
                <w:sz w:val="22"/>
                <w:szCs w:val="22"/>
              </w:rPr>
            </w:pPr>
            <w:r w:rsidRPr="00317ABF">
              <w:rPr>
                <w:rFonts w:ascii="Times New Roman" w:hAnsi="Times New Roman" w:cs="Times New Roman"/>
                <w:sz w:val="22"/>
                <w:szCs w:val="22"/>
              </w:rPr>
              <w:lastRenderedPageBreak/>
              <w:t xml:space="preserve">2. Prezes UKE uzgadnia projekt instrukcji i projekt opisu kalkulacji kosztów w terminie do 150 dni od dnia przedłożenia przez przedsiębiorcę komunikacji elektronicznej projektu Prezesowi UKE. </w:t>
            </w:r>
          </w:p>
          <w:p w14:paraId="023347C7" w14:textId="77777777" w:rsidR="00435CEE" w:rsidRPr="00317ABF" w:rsidRDefault="00435CEE" w:rsidP="00435CEE">
            <w:pPr>
              <w:pStyle w:val="USTustnpkodeksu"/>
              <w:spacing w:line="240" w:lineRule="auto"/>
              <w:rPr>
                <w:rFonts w:ascii="Times New Roman" w:hAnsi="Times New Roman" w:cs="Times New Roman"/>
                <w:sz w:val="22"/>
                <w:szCs w:val="22"/>
              </w:rPr>
            </w:pPr>
            <w:r w:rsidRPr="00317ABF">
              <w:rPr>
                <w:rFonts w:ascii="Times New Roman" w:hAnsi="Times New Roman" w:cs="Times New Roman"/>
                <w:sz w:val="22"/>
                <w:szCs w:val="22"/>
              </w:rPr>
              <w:t>3. Prezes UKE, w drodze decyzji, zatwierdza projekt instrukcji i projekt opisu kalkulacji kosztów w terminie do 90 dni od dnia zakończenia uzgodnień, o których mowa w ust. 2..</w:t>
            </w:r>
          </w:p>
          <w:p w14:paraId="04555A24" w14:textId="77777777" w:rsidR="00435CEE" w:rsidRPr="00317ABF" w:rsidRDefault="00435CEE" w:rsidP="00435CEE">
            <w:pPr>
              <w:pStyle w:val="USTustnpkodeksu"/>
              <w:spacing w:line="240" w:lineRule="auto"/>
              <w:rPr>
                <w:rFonts w:ascii="Times New Roman" w:hAnsi="Times New Roman" w:cs="Times New Roman"/>
                <w:sz w:val="22"/>
                <w:szCs w:val="22"/>
              </w:rPr>
            </w:pPr>
            <w:r w:rsidRPr="00317ABF">
              <w:rPr>
                <w:rFonts w:ascii="Times New Roman" w:hAnsi="Times New Roman" w:cs="Times New Roman"/>
                <w:sz w:val="22"/>
                <w:szCs w:val="22"/>
              </w:rPr>
              <w:t>4. Prezes UKE, w ramach procedury uzgadniania i zatwierdzania projektu instrukcji i projektu opisu kalkulacji kosztów, może wzywać przedsiębiorcę komunikacji elektronicznej do dokonania zmian, uzupełnienia informacji zawartych w projekcie instrukcji lub projekcie opisu kalkulacji kosztów lub do przedłożenia wyjaśnień. Przedsiębiorca dokonuje zmian, uzupełnień lub przedkłada wyjaśnienia w terminie 14 dni od dnia otrzymania wezwania.</w:t>
            </w:r>
          </w:p>
          <w:p w14:paraId="596FB713" w14:textId="77777777" w:rsidR="00435CEE" w:rsidRPr="00317ABF" w:rsidRDefault="00435CEE" w:rsidP="00435CEE">
            <w:pPr>
              <w:pStyle w:val="USTustnpkodeksu"/>
              <w:spacing w:line="240" w:lineRule="auto"/>
              <w:rPr>
                <w:rFonts w:ascii="Times New Roman" w:hAnsi="Times New Roman" w:cs="Times New Roman"/>
                <w:sz w:val="22"/>
                <w:szCs w:val="22"/>
              </w:rPr>
            </w:pPr>
            <w:r w:rsidRPr="00317ABF">
              <w:rPr>
                <w:rFonts w:ascii="Times New Roman" w:hAnsi="Times New Roman" w:cs="Times New Roman"/>
                <w:sz w:val="22"/>
                <w:szCs w:val="22"/>
              </w:rPr>
              <w:t xml:space="preserve">5. Prezes UKE w decyzji, o której mowa w ust. 3, może dokonać zmian w przedłożonych przez przedsiębiorcę komunikacji elektronicznej do zatwierdzenia projekcie instrukcji lub projekcie opisu kalkulacji kosztów, jeżeli zmian tych nie dokona przedsiębiorca komunikacji elektronicznej na wezwanie Prezesa UKE w terminie, o którym mowa w ust. 4. </w:t>
            </w:r>
          </w:p>
          <w:p w14:paraId="2DCF33E1" w14:textId="77777777" w:rsidR="00435CEE" w:rsidRPr="00317ABF" w:rsidRDefault="00435CEE" w:rsidP="00435CEE">
            <w:pPr>
              <w:pStyle w:val="USTustnpkodeksu"/>
              <w:spacing w:line="240" w:lineRule="auto"/>
              <w:rPr>
                <w:rFonts w:ascii="Times New Roman" w:hAnsi="Times New Roman" w:cs="Times New Roman"/>
                <w:sz w:val="22"/>
                <w:szCs w:val="22"/>
              </w:rPr>
            </w:pPr>
            <w:r w:rsidRPr="00317ABF">
              <w:rPr>
                <w:rFonts w:ascii="Times New Roman" w:hAnsi="Times New Roman" w:cs="Times New Roman"/>
                <w:sz w:val="22"/>
                <w:szCs w:val="22"/>
              </w:rPr>
              <w:t>6. Prezes UKE może zasięgać opinii niezależnych biegłych rewidentów lub ekspertów w przypadku wątpliwości dotyczących opracowanego przez przedsiębiorcę komunikacji elektronicznej projektu instrukcji i projektu opisu kalkulacji kosztów oraz rzetelności i wiarygodności danych zawartych w sprawozdaniach z prowadzonej rachunkowości regulacyjnej i wynikach kalkulacji kosztów.</w:t>
            </w:r>
          </w:p>
          <w:p w14:paraId="0105FD15" w14:textId="77777777" w:rsidR="00435CEE" w:rsidRPr="00317ABF" w:rsidRDefault="00435CEE" w:rsidP="00435CEE">
            <w:pPr>
              <w:pStyle w:val="USTustnpkodeksu"/>
              <w:spacing w:line="240" w:lineRule="auto"/>
              <w:rPr>
                <w:rFonts w:ascii="Times New Roman" w:hAnsi="Times New Roman" w:cs="Times New Roman"/>
                <w:sz w:val="22"/>
                <w:szCs w:val="22"/>
              </w:rPr>
            </w:pPr>
            <w:r w:rsidRPr="00317ABF">
              <w:rPr>
                <w:rFonts w:ascii="Times New Roman" w:hAnsi="Times New Roman" w:cs="Times New Roman"/>
                <w:sz w:val="22"/>
                <w:szCs w:val="22"/>
              </w:rPr>
              <w:t>7. Sprawozdania z prowadzonej rachunkowości regulacyjnej oraz wyniki kalkulacji kosztów podlegają weryfikacji pod kątem zgodności z przepisami prawa oraz zatwierdzonymi przez Prezesa UKE instrukcją i opisem kalkulacji kosztów, na koszt przedsiębiorcy komunikacji elektronicznej, w terminie 6 miesięcy od zakończenia roku obrotowego, przez niezależnego od przedsiębiorcy komunikacji elektronicznej biegłego rewidenta.</w:t>
            </w:r>
          </w:p>
          <w:p w14:paraId="5DCAC6E6" w14:textId="77777777" w:rsidR="00435CEE" w:rsidRPr="00317ABF" w:rsidRDefault="00435CEE" w:rsidP="00435CEE">
            <w:pPr>
              <w:pStyle w:val="USTustnpkodeksu"/>
              <w:spacing w:line="240" w:lineRule="auto"/>
              <w:rPr>
                <w:rFonts w:ascii="Times New Roman" w:hAnsi="Times New Roman" w:cs="Times New Roman"/>
                <w:sz w:val="22"/>
                <w:szCs w:val="22"/>
              </w:rPr>
            </w:pPr>
            <w:r w:rsidRPr="00317ABF">
              <w:rPr>
                <w:rFonts w:ascii="Times New Roman" w:hAnsi="Times New Roman" w:cs="Times New Roman"/>
                <w:sz w:val="22"/>
                <w:szCs w:val="22"/>
              </w:rPr>
              <w:t>8. Prezes UKE powołuje biegłego rewidenta do przeprowadzenia weryfikacji, o której mowa w ust. 7.</w:t>
            </w:r>
          </w:p>
          <w:p w14:paraId="473D4F34" w14:textId="77777777" w:rsidR="00435CEE" w:rsidRPr="00317ABF" w:rsidRDefault="00435CEE" w:rsidP="00435CEE">
            <w:pPr>
              <w:pStyle w:val="USTustnpkodeksu"/>
              <w:spacing w:line="240" w:lineRule="auto"/>
              <w:rPr>
                <w:rFonts w:ascii="Times New Roman" w:hAnsi="Times New Roman" w:cs="Times New Roman"/>
                <w:sz w:val="22"/>
                <w:szCs w:val="22"/>
              </w:rPr>
            </w:pPr>
            <w:r w:rsidRPr="00317ABF">
              <w:rPr>
                <w:rFonts w:ascii="Times New Roman" w:hAnsi="Times New Roman" w:cs="Times New Roman"/>
                <w:sz w:val="22"/>
                <w:szCs w:val="22"/>
              </w:rPr>
              <w:t>9. Przedsiębiorca komunikacji elektronicznej przekazuje Prezesowi UKE sprawozdania z prowadzonej rachunkowości regulacyjnej lub wyniki kalkulacji kosztów, wraz ze sprawozdaniem biegłego rewidenta z weryfikacji, o której mowa w ust. 7, niezwłocznie po zakończeniu tej weryfikacji i przedłożeniu przez biegłego rewidenta sprawozdania z niej.</w:t>
            </w:r>
          </w:p>
          <w:p w14:paraId="1614678B" w14:textId="77777777" w:rsidR="00435CEE" w:rsidRPr="00317ABF" w:rsidRDefault="00435CEE" w:rsidP="00435CEE">
            <w:pPr>
              <w:pStyle w:val="USTustnpkodeksu"/>
              <w:spacing w:line="240" w:lineRule="auto"/>
              <w:rPr>
                <w:rFonts w:ascii="Times New Roman" w:hAnsi="Times New Roman" w:cs="Times New Roman"/>
                <w:sz w:val="22"/>
                <w:szCs w:val="22"/>
              </w:rPr>
            </w:pPr>
            <w:r w:rsidRPr="00317ABF">
              <w:rPr>
                <w:rFonts w:ascii="Times New Roman" w:hAnsi="Times New Roman" w:cs="Times New Roman"/>
                <w:sz w:val="22"/>
                <w:szCs w:val="22"/>
              </w:rPr>
              <w:lastRenderedPageBreak/>
              <w:t>10. Prezes UKE udostępnia na stronie podmiotowej BIP UKE sprawozdania z prowadzonej rachunkowości regulacyjnej, wyniki kalkulacji kosztów oraz sprawozdanie biegłego rewidenta z weryfikacji, o której mowa w ust. 7, w terminie 8 miesięcy od zakończenia roku obrotowego.</w:t>
            </w:r>
          </w:p>
          <w:p w14:paraId="08B1819D" w14:textId="77777777" w:rsidR="001E1112" w:rsidRPr="00317ABF" w:rsidRDefault="001E1112" w:rsidP="00DB3BEC">
            <w:pPr>
              <w:pStyle w:val="USTustnpkodeksu"/>
              <w:spacing w:line="240" w:lineRule="auto"/>
              <w:rPr>
                <w:rFonts w:ascii="Times New Roman" w:eastAsia="Times" w:hAnsi="Times New Roman" w:cs="Times New Roman"/>
                <w:sz w:val="22"/>
                <w:szCs w:val="22"/>
              </w:rPr>
            </w:pPr>
          </w:p>
          <w:p w14:paraId="7D78225E" w14:textId="5F89B075" w:rsidR="001E1112" w:rsidRPr="00317ABF" w:rsidRDefault="001E1112" w:rsidP="00DB3BEC">
            <w:pPr>
              <w:ind w:firstLine="510"/>
              <w:jc w:val="both"/>
              <w:rPr>
                <w:sz w:val="22"/>
                <w:szCs w:val="22"/>
              </w:rPr>
            </w:pPr>
            <w:r w:rsidRPr="00317ABF">
              <w:rPr>
                <w:rFonts w:eastAsia="Times"/>
                <w:bCs/>
                <w:sz w:val="22"/>
                <w:szCs w:val="22"/>
              </w:rPr>
              <w:t>Art. 2</w:t>
            </w:r>
            <w:r w:rsidR="00435CEE" w:rsidRPr="00317ABF">
              <w:rPr>
                <w:rFonts w:eastAsia="Times"/>
                <w:bCs/>
                <w:sz w:val="22"/>
                <w:szCs w:val="22"/>
              </w:rPr>
              <w:t>58</w:t>
            </w:r>
            <w:r w:rsidRPr="00317ABF">
              <w:rPr>
                <w:rFonts w:eastAsia="Times"/>
                <w:bCs/>
                <w:sz w:val="22"/>
                <w:szCs w:val="22"/>
              </w:rPr>
              <w:t xml:space="preserve"> ust.2</w:t>
            </w:r>
          </w:p>
          <w:p w14:paraId="235F5112" w14:textId="7E8BA2AE" w:rsidR="001E1112" w:rsidRPr="00317ABF" w:rsidRDefault="001E1112" w:rsidP="00DB3BEC">
            <w:pPr>
              <w:ind w:firstLine="510"/>
              <w:jc w:val="both"/>
              <w:rPr>
                <w:sz w:val="22"/>
                <w:szCs w:val="22"/>
              </w:rPr>
            </w:pPr>
            <w:r w:rsidRPr="00317ABF">
              <w:rPr>
                <w:rFonts w:eastAsia="Times"/>
                <w:sz w:val="22"/>
                <w:szCs w:val="22"/>
              </w:rPr>
              <w:t>2. Prezes UKE udostępnia na stronie podmiotowej BIP UKE zatwierdzony opis kalkulacji kosztów, tak aby zapewniona była prezentacja głównych grup kosztów oraz sposobów ich przypisania na poszczególne rodzaje usług.</w:t>
            </w:r>
          </w:p>
          <w:p w14:paraId="2822740D" w14:textId="53580D8C" w:rsidR="001E1112" w:rsidRPr="00317ABF" w:rsidRDefault="001E1112" w:rsidP="00DB3BEC">
            <w:pPr>
              <w:pStyle w:val="Tekstpodstawowy"/>
              <w:rPr>
                <w:sz w:val="22"/>
                <w:szCs w:val="22"/>
              </w:rPr>
            </w:pPr>
          </w:p>
        </w:tc>
      </w:tr>
      <w:tr w:rsidR="001E1112" w:rsidRPr="00317ABF" w14:paraId="4F189560" w14:textId="77777777" w:rsidTr="7753F98D">
        <w:trPr>
          <w:gridAfter w:val="2"/>
          <w:wAfter w:w="175" w:type="dxa"/>
        </w:trPr>
        <w:tc>
          <w:tcPr>
            <w:tcW w:w="704" w:type="dxa"/>
          </w:tcPr>
          <w:p w14:paraId="2426A259" w14:textId="77777777" w:rsidR="001E1112" w:rsidRPr="00317ABF" w:rsidRDefault="001E1112" w:rsidP="00DB3BEC">
            <w:pPr>
              <w:jc w:val="both"/>
              <w:rPr>
                <w:b/>
                <w:sz w:val="22"/>
                <w:szCs w:val="22"/>
              </w:rPr>
            </w:pPr>
            <w:r w:rsidRPr="00317ABF">
              <w:rPr>
                <w:b/>
                <w:sz w:val="22"/>
                <w:szCs w:val="22"/>
              </w:rPr>
              <w:lastRenderedPageBreak/>
              <w:t>Art. 75</w:t>
            </w:r>
          </w:p>
        </w:tc>
        <w:tc>
          <w:tcPr>
            <w:tcW w:w="4308" w:type="dxa"/>
          </w:tcPr>
          <w:p w14:paraId="6B286B08" w14:textId="77777777" w:rsidR="001E1112" w:rsidRPr="00317ABF" w:rsidRDefault="001E1112" w:rsidP="00DB3BEC">
            <w:pPr>
              <w:spacing w:before="120"/>
              <w:jc w:val="both"/>
              <w:rPr>
                <w:sz w:val="22"/>
                <w:szCs w:val="22"/>
              </w:rPr>
            </w:pPr>
            <w:r w:rsidRPr="00317ABF">
              <w:rPr>
                <w:b/>
                <w:bCs/>
                <w:sz w:val="22"/>
                <w:szCs w:val="22"/>
              </w:rPr>
              <w:t>Stawki za zakańczanie połączeń</w:t>
            </w:r>
          </w:p>
        </w:tc>
        <w:tc>
          <w:tcPr>
            <w:tcW w:w="986" w:type="dxa"/>
          </w:tcPr>
          <w:p w14:paraId="71B66BCC" w14:textId="77777777" w:rsidR="001E1112" w:rsidRPr="00317ABF" w:rsidRDefault="001E1112" w:rsidP="00DB3BEC">
            <w:pPr>
              <w:jc w:val="both"/>
              <w:rPr>
                <w:sz w:val="22"/>
                <w:szCs w:val="22"/>
              </w:rPr>
            </w:pPr>
          </w:p>
        </w:tc>
        <w:tc>
          <w:tcPr>
            <w:tcW w:w="910" w:type="dxa"/>
          </w:tcPr>
          <w:p w14:paraId="3E40B834" w14:textId="77777777" w:rsidR="001E1112" w:rsidRPr="00317ABF" w:rsidRDefault="001E1112" w:rsidP="00DB3BEC">
            <w:pPr>
              <w:pStyle w:val="Tekstpodstawowy"/>
              <w:rPr>
                <w:b/>
                <w:noProof/>
                <w:sz w:val="22"/>
                <w:szCs w:val="22"/>
              </w:rPr>
            </w:pPr>
          </w:p>
        </w:tc>
        <w:tc>
          <w:tcPr>
            <w:tcW w:w="6814" w:type="dxa"/>
            <w:gridSpan w:val="2"/>
          </w:tcPr>
          <w:p w14:paraId="7434DB15" w14:textId="77777777" w:rsidR="001E1112" w:rsidRPr="00317ABF" w:rsidRDefault="001E1112" w:rsidP="00DB3BEC">
            <w:pPr>
              <w:pStyle w:val="Tekstpodstawowy"/>
              <w:rPr>
                <w:sz w:val="22"/>
                <w:szCs w:val="22"/>
              </w:rPr>
            </w:pPr>
          </w:p>
        </w:tc>
      </w:tr>
      <w:tr w:rsidR="001E1112" w:rsidRPr="00317ABF" w14:paraId="65FF50EC" w14:textId="77777777" w:rsidTr="7753F98D">
        <w:trPr>
          <w:gridAfter w:val="2"/>
          <w:wAfter w:w="175" w:type="dxa"/>
        </w:trPr>
        <w:tc>
          <w:tcPr>
            <w:tcW w:w="704" w:type="dxa"/>
          </w:tcPr>
          <w:p w14:paraId="60FB1750" w14:textId="77777777" w:rsidR="001E1112" w:rsidRPr="00317ABF" w:rsidRDefault="001E1112" w:rsidP="00DB3BEC">
            <w:pPr>
              <w:jc w:val="both"/>
              <w:rPr>
                <w:sz w:val="22"/>
                <w:szCs w:val="22"/>
              </w:rPr>
            </w:pPr>
            <w:r w:rsidRPr="00317ABF">
              <w:rPr>
                <w:sz w:val="22"/>
                <w:szCs w:val="22"/>
              </w:rPr>
              <w:t>Art. 75 ust. 1</w:t>
            </w:r>
          </w:p>
        </w:tc>
        <w:tc>
          <w:tcPr>
            <w:tcW w:w="4308" w:type="dxa"/>
          </w:tcPr>
          <w:p w14:paraId="309C0BF6" w14:textId="77777777" w:rsidR="001E1112" w:rsidRPr="00317ABF" w:rsidRDefault="001E1112" w:rsidP="00DB3BEC">
            <w:pPr>
              <w:spacing w:before="120"/>
              <w:jc w:val="both"/>
              <w:rPr>
                <w:sz w:val="22"/>
                <w:szCs w:val="22"/>
              </w:rPr>
            </w:pPr>
            <w:r w:rsidRPr="00317ABF">
              <w:rPr>
                <w:sz w:val="22"/>
                <w:szCs w:val="22"/>
              </w:rPr>
              <w:t>1.   Do dnia 31 grudnia 2020 r. Komisja, uwzględniając w jak największym stopniu opinię BEREC, przyjmuje akt delegowany zgodnie z art. 117 uzupełniający niniejszą dyrektywę określający jednolitą maksymalną ogólnounijną stawkę za zakończenie połączenia głosowego w sieci ruchomej oraz jednolitą maksymalną ogólnounijną stawkę za zakończenie połączenia głosowego w sieci stacjonarnej (zwane łącznie „ogólnounijnymi stawkami za zakańczanie połączenia głosowego”), które są nakładane na każde przedsiębiorstwo działające na rynku usługi zakańczania połączeń głosowych w sieci, odpowiednio, ruchomej i stacjonarnej w jakimkolwiek państwie członkowskim.</w:t>
            </w:r>
          </w:p>
          <w:p w14:paraId="26562FBD" w14:textId="77777777" w:rsidR="001E1112" w:rsidRPr="00317ABF" w:rsidRDefault="001E1112" w:rsidP="00DB3BEC">
            <w:pPr>
              <w:spacing w:before="120"/>
              <w:jc w:val="both"/>
              <w:rPr>
                <w:sz w:val="22"/>
                <w:szCs w:val="22"/>
              </w:rPr>
            </w:pPr>
            <w:r w:rsidRPr="00317ABF">
              <w:rPr>
                <w:sz w:val="22"/>
                <w:szCs w:val="22"/>
              </w:rPr>
              <w:t>W tym celu Komisja:</w:t>
            </w:r>
          </w:p>
          <w:tbl>
            <w:tblPr>
              <w:tblW w:w="5000" w:type="pct"/>
              <w:tblCellSpacing w:w="0" w:type="dxa"/>
              <w:tblLayout w:type="fixed"/>
              <w:tblCellMar>
                <w:left w:w="0" w:type="dxa"/>
                <w:right w:w="0" w:type="dxa"/>
              </w:tblCellMar>
              <w:tblLook w:val="04A0" w:firstRow="1" w:lastRow="0" w:firstColumn="1" w:lastColumn="0" w:noHBand="0" w:noVBand="1"/>
            </w:tblPr>
            <w:tblGrid>
              <w:gridCol w:w="20"/>
              <w:gridCol w:w="4148"/>
            </w:tblGrid>
            <w:tr w:rsidR="001E1112" w:rsidRPr="00317ABF" w14:paraId="20778277" w14:textId="77777777" w:rsidTr="007B5338">
              <w:trPr>
                <w:tblCellSpacing w:w="0" w:type="dxa"/>
              </w:trPr>
              <w:tc>
                <w:tcPr>
                  <w:tcW w:w="7" w:type="dxa"/>
                  <w:hideMark/>
                </w:tcPr>
                <w:p w14:paraId="77E37549" w14:textId="77777777" w:rsidR="001E1112" w:rsidRPr="00317ABF" w:rsidRDefault="001E1112" w:rsidP="00EE0AC3">
                  <w:pPr>
                    <w:framePr w:hSpace="141" w:wrap="around" w:vAnchor="text" w:hAnchor="text" w:xAlign="right" w:y="1"/>
                    <w:spacing w:before="120"/>
                    <w:suppressOverlap/>
                    <w:jc w:val="both"/>
                    <w:rPr>
                      <w:sz w:val="22"/>
                      <w:szCs w:val="22"/>
                    </w:rPr>
                  </w:pPr>
                </w:p>
              </w:tc>
              <w:tc>
                <w:tcPr>
                  <w:tcW w:w="9065" w:type="dxa"/>
                  <w:hideMark/>
                </w:tcPr>
                <w:p w14:paraId="146E9D9A" w14:textId="77777777" w:rsidR="001E1112" w:rsidRPr="00317ABF" w:rsidRDefault="001E1112" w:rsidP="00EE0AC3">
                  <w:pPr>
                    <w:framePr w:hSpace="141" w:wrap="around" w:vAnchor="text" w:hAnchor="text" w:xAlign="right" w:y="1"/>
                    <w:numPr>
                      <w:ilvl w:val="0"/>
                      <w:numId w:val="63"/>
                    </w:numPr>
                    <w:spacing w:before="120"/>
                    <w:suppressOverlap/>
                    <w:jc w:val="both"/>
                    <w:rPr>
                      <w:sz w:val="22"/>
                      <w:szCs w:val="22"/>
                    </w:rPr>
                  </w:pPr>
                  <w:r w:rsidRPr="00317ABF">
                    <w:rPr>
                      <w:sz w:val="22"/>
                      <w:szCs w:val="22"/>
                    </w:rPr>
                    <w:t>stosuje się do zasad, kryteriów i parametrów przewidzianych w załączniku III;</w:t>
                  </w:r>
                </w:p>
              </w:tc>
            </w:tr>
          </w:tbl>
          <w:p w14:paraId="6E1B710E" w14:textId="77777777" w:rsidR="001E1112" w:rsidRPr="00317ABF" w:rsidRDefault="001E1112" w:rsidP="00DB3BEC">
            <w:pPr>
              <w:jc w:val="both"/>
              <w:rPr>
                <w:vanish/>
                <w:sz w:val="22"/>
                <w:szCs w:val="22"/>
              </w:rPr>
            </w:pPr>
          </w:p>
          <w:tbl>
            <w:tblPr>
              <w:tblW w:w="5000" w:type="pct"/>
              <w:tblCellSpacing w:w="0" w:type="dxa"/>
              <w:tblLayout w:type="fixed"/>
              <w:tblCellMar>
                <w:left w:w="0" w:type="dxa"/>
                <w:right w:w="0" w:type="dxa"/>
              </w:tblCellMar>
              <w:tblLook w:val="04A0" w:firstRow="1" w:lastRow="0" w:firstColumn="1" w:lastColumn="0" w:noHBand="0" w:noVBand="1"/>
            </w:tblPr>
            <w:tblGrid>
              <w:gridCol w:w="20"/>
              <w:gridCol w:w="4148"/>
            </w:tblGrid>
            <w:tr w:rsidR="001E1112" w:rsidRPr="00317ABF" w14:paraId="79BB05C4" w14:textId="77777777" w:rsidTr="007B5338">
              <w:trPr>
                <w:tblCellSpacing w:w="0" w:type="dxa"/>
              </w:trPr>
              <w:tc>
                <w:tcPr>
                  <w:tcW w:w="6" w:type="dxa"/>
                  <w:hideMark/>
                </w:tcPr>
                <w:p w14:paraId="6F2B999F" w14:textId="77777777" w:rsidR="001E1112" w:rsidRPr="00317ABF" w:rsidRDefault="001E1112" w:rsidP="00EE0AC3">
                  <w:pPr>
                    <w:framePr w:hSpace="141" w:wrap="around" w:vAnchor="text" w:hAnchor="text" w:xAlign="right" w:y="1"/>
                    <w:spacing w:before="120"/>
                    <w:suppressOverlap/>
                    <w:jc w:val="both"/>
                    <w:rPr>
                      <w:sz w:val="22"/>
                      <w:szCs w:val="22"/>
                    </w:rPr>
                  </w:pPr>
                </w:p>
              </w:tc>
              <w:tc>
                <w:tcPr>
                  <w:tcW w:w="9066" w:type="dxa"/>
                  <w:hideMark/>
                </w:tcPr>
                <w:p w14:paraId="08164EAA" w14:textId="77777777" w:rsidR="001E1112" w:rsidRPr="00317ABF" w:rsidRDefault="001E1112" w:rsidP="00EE0AC3">
                  <w:pPr>
                    <w:framePr w:hSpace="141" w:wrap="around" w:vAnchor="text" w:hAnchor="text" w:xAlign="right" w:y="1"/>
                    <w:numPr>
                      <w:ilvl w:val="0"/>
                      <w:numId w:val="63"/>
                    </w:numPr>
                    <w:spacing w:before="120"/>
                    <w:suppressOverlap/>
                    <w:jc w:val="both"/>
                    <w:rPr>
                      <w:sz w:val="22"/>
                      <w:szCs w:val="22"/>
                    </w:rPr>
                  </w:pPr>
                  <w:r w:rsidRPr="00317ABF">
                    <w:rPr>
                      <w:sz w:val="22"/>
                      <w:szCs w:val="22"/>
                    </w:rPr>
                    <w:t xml:space="preserve">przy ustalaniu po raz pierwszy ogólnounijnych stawek uwzględnia średnią ważoną efektywnych kosztów </w:t>
                  </w:r>
                  <w:r w:rsidRPr="00317ABF">
                    <w:rPr>
                      <w:sz w:val="22"/>
                      <w:szCs w:val="22"/>
                    </w:rPr>
                    <w:lastRenderedPageBreak/>
                    <w:t>w sieciach stacjonarnych i ruchomych ustalonych zgodnie z zasadami określonymi w załączniku III stosowanych w całej Unii. Ogólnounijne stawki w pierwszym akcie delegowanym nie mogą być wyższe od najwyższych stawek, które obowiązywały na sześć miesięcy przed przyjęciem aktu delegowanego we wszystkich państwach członkowskich po dokonaniu wszelkich niezbędnych dostosowań w związku z wyjątkowymi krajowymi okolicznościami;</w:t>
                  </w:r>
                </w:p>
              </w:tc>
            </w:tr>
          </w:tbl>
          <w:p w14:paraId="2DA193D2" w14:textId="77777777" w:rsidR="001E1112" w:rsidRPr="00317ABF" w:rsidRDefault="001E1112" w:rsidP="00DB3BEC">
            <w:pPr>
              <w:jc w:val="both"/>
              <w:rPr>
                <w:vanish/>
                <w:sz w:val="22"/>
                <w:szCs w:val="22"/>
              </w:rPr>
            </w:pPr>
          </w:p>
          <w:tbl>
            <w:tblPr>
              <w:tblW w:w="5000" w:type="pct"/>
              <w:tblCellSpacing w:w="0" w:type="dxa"/>
              <w:tblLayout w:type="fixed"/>
              <w:tblCellMar>
                <w:left w:w="0" w:type="dxa"/>
                <w:right w:w="0" w:type="dxa"/>
              </w:tblCellMar>
              <w:tblLook w:val="04A0" w:firstRow="1" w:lastRow="0" w:firstColumn="1" w:lastColumn="0" w:noHBand="0" w:noVBand="1"/>
            </w:tblPr>
            <w:tblGrid>
              <w:gridCol w:w="20"/>
              <w:gridCol w:w="4148"/>
            </w:tblGrid>
            <w:tr w:rsidR="001E1112" w:rsidRPr="00317ABF" w14:paraId="701860B3" w14:textId="77777777" w:rsidTr="007B5338">
              <w:trPr>
                <w:tblCellSpacing w:w="0" w:type="dxa"/>
              </w:trPr>
              <w:tc>
                <w:tcPr>
                  <w:tcW w:w="6" w:type="dxa"/>
                  <w:hideMark/>
                </w:tcPr>
                <w:p w14:paraId="30D54A25" w14:textId="77777777" w:rsidR="001E1112" w:rsidRPr="00317ABF" w:rsidRDefault="001E1112" w:rsidP="00EE0AC3">
                  <w:pPr>
                    <w:framePr w:hSpace="141" w:wrap="around" w:vAnchor="text" w:hAnchor="text" w:xAlign="right" w:y="1"/>
                    <w:spacing w:before="120"/>
                    <w:suppressOverlap/>
                    <w:jc w:val="both"/>
                    <w:rPr>
                      <w:sz w:val="22"/>
                      <w:szCs w:val="22"/>
                    </w:rPr>
                  </w:pPr>
                </w:p>
              </w:tc>
              <w:tc>
                <w:tcPr>
                  <w:tcW w:w="9066" w:type="dxa"/>
                  <w:hideMark/>
                </w:tcPr>
                <w:p w14:paraId="28D668FD" w14:textId="77777777" w:rsidR="001E1112" w:rsidRPr="00317ABF" w:rsidRDefault="001E1112" w:rsidP="00EE0AC3">
                  <w:pPr>
                    <w:framePr w:hSpace="141" w:wrap="around" w:vAnchor="text" w:hAnchor="text" w:xAlign="right" w:y="1"/>
                    <w:numPr>
                      <w:ilvl w:val="0"/>
                      <w:numId w:val="63"/>
                    </w:numPr>
                    <w:spacing w:before="120"/>
                    <w:suppressOverlap/>
                    <w:jc w:val="both"/>
                    <w:rPr>
                      <w:sz w:val="22"/>
                      <w:szCs w:val="22"/>
                    </w:rPr>
                  </w:pPr>
                  <w:r w:rsidRPr="00317ABF">
                    <w:rPr>
                      <w:sz w:val="22"/>
                      <w:szCs w:val="22"/>
                    </w:rPr>
                    <w:t>ustalając maksymalne stawki za zakańczanie połączeń w Unii, uwzględnia całkowitą liczbę użytkowników końcowych w każdym państwie członkowskim, aby zapewnić odpowiednią wagę poszczególnych maksymalnych stawek za zakańczanie połączeń, a także uwarunkowania krajowe, które prowadzą do znacznych różnic między państwami członkowskimi;</w:t>
                  </w:r>
                </w:p>
              </w:tc>
            </w:tr>
          </w:tbl>
          <w:p w14:paraId="314AC538" w14:textId="77777777" w:rsidR="001E1112" w:rsidRPr="00317ABF" w:rsidRDefault="001E1112" w:rsidP="00DB3BEC">
            <w:pPr>
              <w:jc w:val="both"/>
              <w:rPr>
                <w:vanish/>
                <w:sz w:val="22"/>
                <w:szCs w:val="22"/>
              </w:rPr>
            </w:pPr>
          </w:p>
          <w:tbl>
            <w:tblPr>
              <w:tblW w:w="5000" w:type="pct"/>
              <w:tblCellSpacing w:w="0" w:type="dxa"/>
              <w:tblLayout w:type="fixed"/>
              <w:tblCellMar>
                <w:left w:w="0" w:type="dxa"/>
                <w:right w:w="0" w:type="dxa"/>
              </w:tblCellMar>
              <w:tblLook w:val="04A0" w:firstRow="1" w:lastRow="0" w:firstColumn="1" w:lastColumn="0" w:noHBand="0" w:noVBand="1"/>
            </w:tblPr>
            <w:tblGrid>
              <w:gridCol w:w="20"/>
              <w:gridCol w:w="4148"/>
            </w:tblGrid>
            <w:tr w:rsidR="001E1112" w:rsidRPr="00317ABF" w14:paraId="32D8DAC4" w14:textId="77777777" w:rsidTr="007B5338">
              <w:trPr>
                <w:tblCellSpacing w:w="0" w:type="dxa"/>
              </w:trPr>
              <w:tc>
                <w:tcPr>
                  <w:tcW w:w="6" w:type="dxa"/>
                  <w:hideMark/>
                </w:tcPr>
                <w:p w14:paraId="20A58CF0" w14:textId="77777777" w:rsidR="001E1112" w:rsidRPr="00317ABF" w:rsidRDefault="001E1112" w:rsidP="00EE0AC3">
                  <w:pPr>
                    <w:framePr w:hSpace="141" w:wrap="around" w:vAnchor="text" w:hAnchor="text" w:xAlign="right" w:y="1"/>
                    <w:spacing w:before="120"/>
                    <w:suppressOverlap/>
                    <w:jc w:val="both"/>
                    <w:rPr>
                      <w:sz w:val="22"/>
                      <w:szCs w:val="22"/>
                    </w:rPr>
                  </w:pPr>
                </w:p>
              </w:tc>
              <w:tc>
                <w:tcPr>
                  <w:tcW w:w="9066" w:type="dxa"/>
                  <w:hideMark/>
                </w:tcPr>
                <w:p w14:paraId="78F41732" w14:textId="77777777" w:rsidR="001E1112" w:rsidRPr="00317ABF" w:rsidRDefault="001E1112" w:rsidP="00EE0AC3">
                  <w:pPr>
                    <w:framePr w:hSpace="141" w:wrap="around" w:vAnchor="text" w:hAnchor="text" w:xAlign="right" w:y="1"/>
                    <w:numPr>
                      <w:ilvl w:val="0"/>
                      <w:numId w:val="63"/>
                    </w:numPr>
                    <w:spacing w:before="120"/>
                    <w:suppressOverlap/>
                    <w:jc w:val="both"/>
                    <w:rPr>
                      <w:sz w:val="22"/>
                      <w:szCs w:val="22"/>
                    </w:rPr>
                  </w:pPr>
                  <w:r w:rsidRPr="00317ABF">
                    <w:rPr>
                      <w:sz w:val="22"/>
                      <w:szCs w:val="22"/>
                    </w:rPr>
                    <w:t>uwzględnia informacje na temat rynków przekazane przez BEREC, krajowe organy regulacyjne lub bezpośrednio przez przedsiębiorstwa udostępniające sieci łączności elektronicznej i świadczące usługi łączności elektronicznej; oraz</w:t>
                  </w:r>
                </w:p>
              </w:tc>
            </w:tr>
          </w:tbl>
          <w:p w14:paraId="6B1233DF" w14:textId="77777777" w:rsidR="001E1112" w:rsidRPr="00317ABF" w:rsidRDefault="001E1112" w:rsidP="00DB3BEC">
            <w:pPr>
              <w:jc w:val="both"/>
              <w:rPr>
                <w:vanish/>
                <w:sz w:val="22"/>
                <w:szCs w:val="22"/>
              </w:rPr>
            </w:pPr>
          </w:p>
          <w:tbl>
            <w:tblPr>
              <w:tblW w:w="5000" w:type="pct"/>
              <w:tblCellSpacing w:w="0" w:type="dxa"/>
              <w:tblLayout w:type="fixed"/>
              <w:tblCellMar>
                <w:left w:w="0" w:type="dxa"/>
                <w:right w:w="0" w:type="dxa"/>
              </w:tblCellMar>
              <w:tblLook w:val="04A0" w:firstRow="1" w:lastRow="0" w:firstColumn="1" w:lastColumn="0" w:noHBand="0" w:noVBand="1"/>
            </w:tblPr>
            <w:tblGrid>
              <w:gridCol w:w="20"/>
              <w:gridCol w:w="4148"/>
            </w:tblGrid>
            <w:tr w:rsidR="001E1112" w:rsidRPr="00317ABF" w14:paraId="0C8762DB" w14:textId="77777777" w:rsidTr="007B5338">
              <w:trPr>
                <w:tblCellSpacing w:w="0" w:type="dxa"/>
              </w:trPr>
              <w:tc>
                <w:tcPr>
                  <w:tcW w:w="6" w:type="dxa"/>
                  <w:hideMark/>
                </w:tcPr>
                <w:p w14:paraId="1A30619E" w14:textId="77777777" w:rsidR="001E1112" w:rsidRPr="00317ABF" w:rsidRDefault="001E1112" w:rsidP="00EE0AC3">
                  <w:pPr>
                    <w:framePr w:hSpace="141" w:wrap="around" w:vAnchor="text" w:hAnchor="text" w:xAlign="right" w:y="1"/>
                    <w:spacing w:before="120"/>
                    <w:suppressOverlap/>
                    <w:jc w:val="both"/>
                    <w:rPr>
                      <w:sz w:val="22"/>
                      <w:szCs w:val="22"/>
                    </w:rPr>
                  </w:pPr>
                </w:p>
              </w:tc>
              <w:tc>
                <w:tcPr>
                  <w:tcW w:w="9066" w:type="dxa"/>
                  <w:hideMark/>
                </w:tcPr>
                <w:p w14:paraId="7FF00778" w14:textId="77777777" w:rsidR="001E1112" w:rsidRPr="00317ABF" w:rsidRDefault="001E1112" w:rsidP="00EE0AC3">
                  <w:pPr>
                    <w:framePr w:hSpace="141" w:wrap="around" w:vAnchor="text" w:hAnchor="text" w:xAlign="right" w:y="1"/>
                    <w:numPr>
                      <w:ilvl w:val="0"/>
                      <w:numId w:val="63"/>
                    </w:numPr>
                    <w:spacing w:before="120"/>
                    <w:suppressOverlap/>
                    <w:jc w:val="both"/>
                    <w:rPr>
                      <w:sz w:val="22"/>
                      <w:szCs w:val="22"/>
                    </w:rPr>
                  </w:pPr>
                  <w:r w:rsidRPr="00317ABF">
                    <w:rPr>
                      <w:sz w:val="22"/>
                      <w:szCs w:val="22"/>
                    </w:rPr>
                    <w:t xml:space="preserve">rozważa konieczność wprowadzenia okresu przejściowego </w:t>
                  </w:r>
                  <w:r w:rsidRPr="00317ABF">
                    <w:rPr>
                      <w:sz w:val="22"/>
                      <w:szCs w:val="22"/>
                    </w:rPr>
                    <w:lastRenderedPageBreak/>
                    <w:t>nieprzekraczającego 12 miesięcy, tak aby umożliwić dostosowania w państwach członkowskich, w których jest to konieczne na podstawie uprzednio wprowadzonych stawek.</w:t>
                  </w:r>
                </w:p>
              </w:tc>
            </w:tr>
          </w:tbl>
          <w:p w14:paraId="6364809C" w14:textId="77777777" w:rsidR="001E1112" w:rsidRPr="00317ABF" w:rsidRDefault="001E1112" w:rsidP="00DB3BEC">
            <w:pPr>
              <w:spacing w:before="120"/>
              <w:jc w:val="both"/>
              <w:rPr>
                <w:sz w:val="22"/>
                <w:szCs w:val="22"/>
              </w:rPr>
            </w:pPr>
          </w:p>
        </w:tc>
        <w:tc>
          <w:tcPr>
            <w:tcW w:w="986" w:type="dxa"/>
          </w:tcPr>
          <w:p w14:paraId="2B571CFE" w14:textId="77777777" w:rsidR="001E1112" w:rsidRPr="00317ABF" w:rsidRDefault="001E1112" w:rsidP="00DB3BEC">
            <w:pPr>
              <w:jc w:val="both"/>
              <w:rPr>
                <w:sz w:val="22"/>
                <w:szCs w:val="22"/>
              </w:rPr>
            </w:pPr>
            <w:r w:rsidRPr="00317ABF">
              <w:rPr>
                <w:sz w:val="22"/>
                <w:szCs w:val="22"/>
              </w:rPr>
              <w:lastRenderedPageBreak/>
              <w:t>N</w:t>
            </w:r>
          </w:p>
        </w:tc>
        <w:tc>
          <w:tcPr>
            <w:tcW w:w="910" w:type="dxa"/>
          </w:tcPr>
          <w:p w14:paraId="1346F062" w14:textId="77777777" w:rsidR="001E1112" w:rsidRPr="00317ABF" w:rsidRDefault="001E1112" w:rsidP="00DB3BEC">
            <w:pPr>
              <w:pStyle w:val="Tekstpodstawowy"/>
              <w:rPr>
                <w:b/>
                <w:noProof/>
                <w:sz w:val="22"/>
                <w:szCs w:val="22"/>
              </w:rPr>
            </w:pPr>
          </w:p>
        </w:tc>
        <w:tc>
          <w:tcPr>
            <w:tcW w:w="6814" w:type="dxa"/>
            <w:gridSpan w:val="2"/>
          </w:tcPr>
          <w:p w14:paraId="7DCB64A3" w14:textId="77777777" w:rsidR="001E1112" w:rsidRPr="00317ABF" w:rsidRDefault="001E1112" w:rsidP="00DB3BEC">
            <w:pPr>
              <w:pStyle w:val="ARTartustawynprozporzdzenia"/>
              <w:spacing w:before="0" w:line="240" w:lineRule="auto"/>
              <w:rPr>
                <w:rFonts w:ascii="Times New Roman" w:hAnsi="Times New Roman" w:cs="Times New Roman"/>
                <w:sz w:val="22"/>
                <w:szCs w:val="22"/>
              </w:rPr>
            </w:pPr>
          </w:p>
        </w:tc>
      </w:tr>
      <w:tr w:rsidR="001E1112" w:rsidRPr="00317ABF" w14:paraId="40C52014" w14:textId="77777777" w:rsidTr="7753F98D">
        <w:trPr>
          <w:gridAfter w:val="2"/>
          <w:wAfter w:w="175" w:type="dxa"/>
        </w:trPr>
        <w:tc>
          <w:tcPr>
            <w:tcW w:w="704" w:type="dxa"/>
          </w:tcPr>
          <w:p w14:paraId="5A8ED2C9" w14:textId="77777777" w:rsidR="001E1112" w:rsidRPr="00317ABF" w:rsidRDefault="001E1112" w:rsidP="00DB3BEC">
            <w:pPr>
              <w:jc w:val="both"/>
              <w:rPr>
                <w:sz w:val="22"/>
                <w:szCs w:val="22"/>
              </w:rPr>
            </w:pPr>
            <w:r w:rsidRPr="00317ABF">
              <w:rPr>
                <w:sz w:val="22"/>
                <w:szCs w:val="22"/>
              </w:rPr>
              <w:lastRenderedPageBreak/>
              <w:t>Art. 75 ust. 2</w:t>
            </w:r>
          </w:p>
        </w:tc>
        <w:tc>
          <w:tcPr>
            <w:tcW w:w="4308" w:type="dxa"/>
          </w:tcPr>
          <w:p w14:paraId="6C7E1E84" w14:textId="77777777" w:rsidR="001E1112" w:rsidRPr="00317ABF" w:rsidRDefault="001E1112" w:rsidP="00DB3BEC">
            <w:pPr>
              <w:spacing w:before="120"/>
              <w:jc w:val="both"/>
              <w:rPr>
                <w:sz w:val="22"/>
                <w:szCs w:val="22"/>
              </w:rPr>
            </w:pPr>
            <w:r w:rsidRPr="00317ABF">
              <w:rPr>
                <w:sz w:val="22"/>
                <w:szCs w:val="22"/>
              </w:rPr>
              <w:t>2.   Uwzględniając w jak największym stopniu opinię BEREC, Komisja dokonuje przeglądu aktów delegowanych przyjętych na podstawie niniejszego artykułu co pięć lat i rozważa w każdym takim przypadku, stosując kryteria wymienione w art. 67 ust. 1, czy nadal konieczne jest ustalenie ogólnounijnych stawek za zakańczanie połączeń głosowych. W przypadku gdy zgodnie z niniejszym ustępem Komisja postanowi, po dokonaniu swojego przeglądu, nie wprowadzać maksymalnej stawki za zakańczanie połączeń głosowych w sieci ruchomej lub maksymalnej stawki za zakańczanie połączeń w sieci stacjonarnej lub żadnej z nich, krajowe organy regulacyjne mogą przeprowadzić analizy rynku dotyczące rynku zakańczania połączeń głosowych zgodnie z art. 67, aby ocenić, czy wprowadzenie obowiązków regulacyjnych jest konieczne. Jeżeli w wyniku takiej analizy krajowy organ regulacyjny wprowadza oparte na kosztach stawki za zakańczanie połączeń na danym rynku właściwym, kieruje się zasadami, kryteriami i parametrami ustanowionymi w załączniku III, a jego projekt środka podlega procedurze, o której mowa w art. 23, 32 i 33.</w:t>
            </w:r>
          </w:p>
        </w:tc>
        <w:tc>
          <w:tcPr>
            <w:tcW w:w="986" w:type="dxa"/>
          </w:tcPr>
          <w:p w14:paraId="1403A9CB" w14:textId="6614E84A" w:rsidR="001E1112" w:rsidRPr="00317ABF" w:rsidRDefault="001E1112" w:rsidP="00DB3BEC">
            <w:pPr>
              <w:jc w:val="both"/>
              <w:rPr>
                <w:sz w:val="22"/>
                <w:szCs w:val="22"/>
              </w:rPr>
            </w:pPr>
            <w:r w:rsidRPr="00317ABF">
              <w:rPr>
                <w:sz w:val="22"/>
                <w:szCs w:val="22"/>
              </w:rPr>
              <w:t>T/N</w:t>
            </w:r>
          </w:p>
        </w:tc>
        <w:tc>
          <w:tcPr>
            <w:tcW w:w="910" w:type="dxa"/>
          </w:tcPr>
          <w:p w14:paraId="488BA21A" w14:textId="5EEC2E7F" w:rsidR="001E1112" w:rsidRPr="00317ABF" w:rsidRDefault="001E1112" w:rsidP="00DB3BEC">
            <w:pPr>
              <w:pStyle w:val="Tekstpodstawowy"/>
              <w:rPr>
                <w:b/>
                <w:bCs/>
                <w:noProof/>
                <w:sz w:val="22"/>
                <w:szCs w:val="22"/>
              </w:rPr>
            </w:pPr>
            <w:r w:rsidRPr="00317ABF">
              <w:rPr>
                <w:b/>
                <w:bCs/>
                <w:noProof/>
                <w:sz w:val="22"/>
                <w:szCs w:val="22"/>
              </w:rPr>
              <w:t xml:space="preserve">Art. </w:t>
            </w:r>
            <w:r w:rsidR="00DE0168" w:rsidRPr="00317ABF">
              <w:rPr>
                <w:b/>
                <w:bCs/>
                <w:noProof/>
                <w:sz w:val="22"/>
                <w:szCs w:val="22"/>
              </w:rPr>
              <w:t>219</w:t>
            </w:r>
            <w:r w:rsidRPr="00317ABF">
              <w:rPr>
                <w:b/>
                <w:bCs/>
                <w:noProof/>
                <w:sz w:val="22"/>
                <w:szCs w:val="22"/>
              </w:rPr>
              <w:t xml:space="preserve"> ust. 2-3</w:t>
            </w:r>
          </w:p>
        </w:tc>
        <w:tc>
          <w:tcPr>
            <w:tcW w:w="6814" w:type="dxa"/>
            <w:gridSpan w:val="2"/>
          </w:tcPr>
          <w:p w14:paraId="68F7BEF7" w14:textId="0EBE3FD0" w:rsidR="00DE0168" w:rsidRPr="00317ABF" w:rsidRDefault="00DE0168" w:rsidP="00DE0168">
            <w:pPr>
              <w:pStyle w:val="USTustnpkodeksu"/>
              <w:spacing w:line="240" w:lineRule="auto"/>
              <w:rPr>
                <w:sz w:val="22"/>
                <w:szCs w:val="22"/>
              </w:rPr>
            </w:pPr>
            <w:r w:rsidRPr="00317ABF">
              <w:rPr>
                <w:sz w:val="22"/>
                <w:szCs w:val="22"/>
              </w:rPr>
              <w:t>Art. 219</w:t>
            </w:r>
          </w:p>
          <w:p w14:paraId="2F43F346" w14:textId="31817BC6" w:rsidR="001E1112" w:rsidRPr="00317ABF" w:rsidRDefault="001E1112" w:rsidP="00DE0168">
            <w:pPr>
              <w:pStyle w:val="USTustnpkodeksu"/>
              <w:spacing w:line="240" w:lineRule="auto"/>
              <w:rPr>
                <w:rFonts w:ascii="Times New Roman" w:hAnsi="Times New Roman" w:cs="Times New Roman"/>
                <w:sz w:val="22"/>
                <w:szCs w:val="22"/>
              </w:rPr>
            </w:pPr>
            <w:r w:rsidRPr="00317ABF">
              <w:rPr>
                <w:rFonts w:ascii="Times New Roman" w:hAnsi="Times New Roman" w:cs="Times New Roman"/>
                <w:sz w:val="22"/>
                <w:szCs w:val="22"/>
              </w:rPr>
              <w:t>2. W przypadku niewydania aktu delegowanego na podstawie art. 75 ust. 1 EKŁE, Prezes UKE może</w:t>
            </w:r>
            <w:r w:rsidR="00DE0168" w:rsidRPr="00317ABF">
              <w:rPr>
                <w:rFonts w:ascii="Times New Roman" w:hAnsi="Times New Roman" w:cs="Times New Roman"/>
                <w:sz w:val="22"/>
                <w:szCs w:val="22"/>
              </w:rPr>
              <w:t xml:space="preserve">, w drodze decyzji, </w:t>
            </w:r>
            <w:r w:rsidRPr="00317ABF">
              <w:rPr>
                <w:rFonts w:ascii="Times New Roman" w:hAnsi="Times New Roman" w:cs="Times New Roman"/>
                <w:sz w:val="22"/>
                <w:szCs w:val="22"/>
              </w:rPr>
              <w:t xml:space="preserve">nałożyć zgodnie z przesłankami, o których mowa w art. </w:t>
            </w:r>
            <w:r w:rsidR="00DE0168" w:rsidRPr="00317ABF">
              <w:rPr>
                <w:rFonts w:ascii="Times New Roman" w:hAnsi="Times New Roman" w:cs="Times New Roman"/>
                <w:sz w:val="22"/>
                <w:szCs w:val="22"/>
              </w:rPr>
              <w:t>202</w:t>
            </w:r>
            <w:r w:rsidRPr="00317ABF">
              <w:rPr>
                <w:rFonts w:ascii="Times New Roman" w:hAnsi="Times New Roman" w:cs="Times New Roman"/>
                <w:sz w:val="22"/>
                <w:szCs w:val="22"/>
              </w:rPr>
              <w:t xml:space="preserve"> pkt 2 lit. </w:t>
            </w:r>
            <w:r w:rsidR="00DE0168" w:rsidRPr="00317ABF">
              <w:rPr>
                <w:rFonts w:ascii="Times New Roman" w:hAnsi="Times New Roman" w:cs="Times New Roman"/>
                <w:sz w:val="22"/>
                <w:szCs w:val="22"/>
              </w:rPr>
              <w:t xml:space="preserve">a, </w:t>
            </w:r>
            <w:r w:rsidRPr="00317ABF">
              <w:rPr>
                <w:rFonts w:ascii="Times New Roman" w:hAnsi="Times New Roman" w:cs="Times New Roman"/>
                <w:sz w:val="22"/>
                <w:szCs w:val="22"/>
              </w:rPr>
              <w:t>na przedsiębiorcę komunikacji elektronicznej o znaczącej pozycji rynkowej obowiązek stosowania opłaty za zakańczanie połączeń głosowych w określonej wysokości.</w:t>
            </w:r>
          </w:p>
          <w:p w14:paraId="64C82263" w14:textId="77777777" w:rsidR="001E1112" w:rsidRPr="00317ABF" w:rsidRDefault="001E1112" w:rsidP="00DE0168">
            <w:pPr>
              <w:pStyle w:val="USTustnpkodeksu"/>
              <w:spacing w:line="240" w:lineRule="auto"/>
              <w:rPr>
                <w:rFonts w:ascii="Times New Roman" w:eastAsiaTheme="minorEastAsia" w:hAnsi="Times New Roman" w:cs="Times New Roman"/>
                <w:sz w:val="22"/>
                <w:szCs w:val="22"/>
              </w:rPr>
            </w:pPr>
            <w:r w:rsidRPr="00317ABF">
              <w:rPr>
                <w:rFonts w:ascii="Times New Roman" w:eastAsiaTheme="minorEastAsia" w:hAnsi="Times New Roman" w:cs="Times New Roman"/>
                <w:sz w:val="22"/>
                <w:szCs w:val="22"/>
              </w:rPr>
              <w:t>3. Prezes UKE określając opłaty, o których mowa w ust. 2, uwzględnia:</w:t>
            </w:r>
          </w:p>
          <w:p w14:paraId="6CDC0C46" w14:textId="77777777" w:rsidR="001E1112" w:rsidRPr="00317ABF" w:rsidRDefault="001E1112" w:rsidP="00DE0168">
            <w:pPr>
              <w:pStyle w:val="PKTpunkt0"/>
              <w:spacing w:line="240" w:lineRule="auto"/>
              <w:rPr>
                <w:rFonts w:ascii="Times New Roman" w:eastAsiaTheme="minorEastAsia" w:hAnsi="Times New Roman" w:cs="Times New Roman"/>
                <w:sz w:val="22"/>
                <w:szCs w:val="22"/>
              </w:rPr>
            </w:pPr>
            <w:r w:rsidRPr="00317ABF">
              <w:rPr>
                <w:rFonts w:ascii="Times New Roman" w:eastAsiaTheme="minorEastAsia" w:hAnsi="Times New Roman" w:cs="Times New Roman"/>
                <w:sz w:val="22"/>
                <w:szCs w:val="22"/>
              </w:rPr>
              <w:t>1)</w:t>
            </w:r>
            <w:r w:rsidRPr="00317ABF">
              <w:rPr>
                <w:rFonts w:ascii="Times New Roman" w:eastAsiaTheme="minorEastAsia" w:hAnsi="Times New Roman" w:cs="Times New Roman"/>
                <w:sz w:val="22"/>
                <w:szCs w:val="22"/>
              </w:rPr>
              <w:tab/>
              <w:t>koszty ponoszone przez efektywnie działającego przedsiębiorcę komunikacji elektronicznej ujmowane w wartościach bieżących, jako podstawę wyznaczania opłat z tytułu usług zakańczania połączeń głosowych, przy czym metoda kalkulacji kosztów stosowana do wyliczania kosztów efektywnie działającego przedsiębiorcy komunikacji elektronicznej opiera się na modelowaniu oddolnym (bottom-up) i wykorzystuje długookresowe koszty przyrostowe związane z ruchem sieciowym ponoszone w celu świadczenia na rzecz innych podmiotów hurtowej usługi zakańczania połączeń głosowych;</w:t>
            </w:r>
          </w:p>
          <w:p w14:paraId="50CFD13D" w14:textId="77777777" w:rsidR="001E1112" w:rsidRPr="00317ABF" w:rsidRDefault="001E1112" w:rsidP="00DE0168">
            <w:pPr>
              <w:pStyle w:val="PKTpunkt0"/>
              <w:spacing w:line="240" w:lineRule="auto"/>
              <w:rPr>
                <w:rFonts w:ascii="Times New Roman" w:eastAsiaTheme="minorEastAsia" w:hAnsi="Times New Roman" w:cs="Times New Roman"/>
                <w:sz w:val="22"/>
                <w:szCs w:val="22"/>
              </w:rPr>
            </w:pPr>
            <w:r w:rsidRPr="00317ABF">
              <w:rPr>
                <w:rFonts w:ascii="Times New Roman" w:eastAsiaTheme="minorEastAsia" w:hAnsi="Times New Roman" w:cs="Times New Roman"/>
                <w:sz w:val="22"/>
                <w:szCs w:val="22"/>
              </w:rPr>
              <w:t>2)</w:t>
            </w:r>
            <w:r w:rsidRPr="00317ABF">
              <w:rPr>
                <w:rFonts w:ascii="Times New Roman" w:eastAsiaTheme="minorEastAsia" w:hAnsi="Times New Roman" w:cs="Times New Roman"/>
                <w:sz w:val="22"/>
                <w:szCs w:val="22"/>
              </w:rPr>
              <w:tab/>
              <w:t>długookresowe koszty przyrostowe usługi zakańczania połączeń głosowych ustalone jako różnica między całkowitymi długookresowymi kosztami świadczenia wszystkich usług przez przedsiębiorcę komunikacji elektronicznej, a całkowitymi długookresowymi kosztami tego przedsiębiorcy w przypadku nieświadczenia usługi zakańczania połączeń głosowych na rzecz innych podmiotów;</w:t>
            </w:r>
          </w:p>
          <w:p w14:paraId="4697E178" w14:textId="77777777" w:rsidR="00DE0168" w:rsidRPr="00317ABF" w:rsidRDefault="00DE0168" w:rsidP="00DE0168">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3)</w:t>
            </w:r>
            <w:r w:rsidRPr="00317ABF">
              <w:rPr>
                <w:rFonts w:ascii="Times New Roman" w:hAnsi="Times New Roman" w:cs="Times New Roman"/>
                <w:sz w:val="22"/>
                <w:szCs w:val="22"/>
              </w:rPr>
              <w:tab/>
              <w:t>do kosztów przyrostowych tylko te koszty związane z ruchem sieciowym, których by uniknięto gdyby usługa zakańczania połączeń głosowych na rzecz innych podmiotów nie była świadczona;</w:t>
            </w:r>
          </w:p>
          <w:p w14:paraId="07C59330" w14:textId="77777777" w:rsidR="001E1112" w:rsidRPr="00317ABF" w:rsidRDefault="001E1112" w:rsidP="00DE0168">
            <w:pPr>
              <w:pStyle w:val="PKTpunkt0"/>
              <w:spacing w:line="240" w:lineRule="auto"/>
              <w:rPr>
                <w:rFonts w:ascii="Times New Roman" w:eastAsiaTheme="minorEastAsia" w:hAnsi="Times New Roman" w:cs="Times New Roman"/>
                <w:sz w:val="22"/>
                <w:szCs w:val="22"/>
              </w:rPr>
            </w:pPr>
            <w:r w:rsidRPr="00317ABF">
              <w:rPr>
                <w:rFonts w:ascii="Times New Roman" w:eastAsiaTheme="minorEastAsia" w:hAnsi="Times New Roman" w:cs="Times New Roman"/>
                <w:sz w:val="22"/>
                <w:szCs w:val="22"/>
              </w:rPr>
              <w:t>4)</w:t>
            </w:r>
            <w:r w:rsidRPr="00317ABF">
              <w:rPr>
                <w:rFonts w:ascii="Times New Roman" w:eastAsiaTheme="minorEastAsia" w:hAnsi="Times New Roman" w:cs="Times New Roman"/>
                <w:sz w:val="22"/>
                <w:szCs w:val="22"/>
              </w:rPr>
              <w:tab/>
              <w:t>koszty związane z dodatkową pojemnością sieci tylko w zakresie, w jakim wynikają one z konieczności zwiększenia pojemności sieci w celu obsługi dodatkowego ruchu związanego z zakańczaniem połączeń głosowych na rzecz innych podmiotów;</w:t>
            </w:r>
          </w:p>
          <w:p w14:paraId="41AC5EF2" w14:textId="77777777" w:rsidR="001E1112" w:rsidRPr="00317ABF" w:rsidRDefault="001E1112" w:rsidP="00DE0168">
            <w:pPr>
              <w:pStyle w:val="PKTpunkt0"/>
              <w:spacing w:line="240" w:lineRule="auto"/>
              <w:rPr>
                <w:rFonts w:ascii="Times New Roman" w:eastAsiaTheme="minorEastAsia" w:hAnsi="Times New Roman" w:cs="Times New Roman"/>
                <w:sz w:val="22"/>
                <w:szCs w:val="22"/>
              </w:rPr>
            </w:pPr>
            <w:r w:rsidRPr="00317ABF">
              <w:rPr>
                <w:rFonts w:ascii="Times New Roman" w:eastAsiaTheme="minorEastAsia" w:hAnsi="Times New Roman" w:cs="Times New Roman"/>
                <w:sz w:val="22"/>
                <w:szCs w:val="22"/>
              </w:rPr>
              <w:lastRenderedPageBreak/>
              <w:t>5)</w:t>
            </w:r>
            <w:r w:rsidRPr="00317ABF">
              <w:rPr>
                <w:rFonts w:ascii="Times New Roman" w:eastAsiaTheme="minorEastAsia" w:hAnsi="Times New Roman" w:cs="Times New Roman"/>
                <w:sz w:val="22"/>
                <w:szCs w:val="22"/>
              </w:rPr>
              <w:tab/>
              <w:t>okoliczność, że do kosztów przyrostowych zakańczania połączeń w sieciach ruchomych nie zalicza się opłat, o których mowa w art. 24;</w:t>
            </w:r>
          </w:p>
          <w:p w14:paraId="0CC340D6" w14:textId="77777777" w:rsidR="001E1112" w:rsidRPr="00317ABF" w:rsidRDefault="001E1112" w:rsidP="00DE0168">
            <w:pPr>
              <w:pStyle w:val="PKTpunkt0"/>
              <w:spacing w:line="240" w:lineRule="auto"/>
              <w:rPr>
                <w:rFonts w:ascii="Times New Roman" w:eastAsiaTheme="minorEastAsia" w:hAnsi="Times New Roman" w:cs="Times New Roman"/>
                <w:sz w:val="22"/>
                <w:szCs w:val="22"/>
              </w:rPr>
            </w:pPr>
            <w:r w:rsidRPr="00317ABF">
              <w:rPr>
                <w:rFonts w:ascii="Times New Roman" w:eastAsiaTheme="minorEastAsia" w:hAnsi="Times New Roman" w:cs="Times New Roman"/>
                <w:sz w:val="22"/>
                <w:szCs w:val="22"/>
              </w:rPr>
              <w:t>6)</w:t>
            </w:r>
            <w:r w:rsidRPr="00317ABF">
              <w:rPr>
                <w:rFonts w:ascii="Times New Roman" w:eastAsiaTheme="minorEastAsia" w:hAnsi="Times New Roman" w:cs="Times New Roman"/>
                <w:sz w:val="22"/>
                <w:szCs w:val="22"/>
              </w:rPr>
              <w:tab/>
              <w:t>wyłącznie koszty rozliczeń międzyoperatorskich, koszty związane z zawieraniem umów międzyoperatorskich oraz inne koszty związane bezpośrednio ze świadczeniem usługi zakańczania połączeń na rzecz innych podmiotów;</w:t>
            </w:r>
          </w:p>
          <w:p w14:paraId="399AF9D4" w14:textId="77777777" w:rsidR="001E1112" w:rsidRPr="00317ABF" w:rsidRDefault="001E1112" w:rsidP="00DE0168">
            <w:pPr>
              <w:pStyle w:val="PKTpunkt0"/>
              <w:spacing w:line="240" w:lineRule="auto"/>
              <w:rPr>
                <w:rFonts w:ascii="Times New Roman" w:eastAsiaTheme="minorEastAsia" w:hAnsi="Times New Roman" w:cs="Times New Roman"/>
                <w:sz w:val="22"/>
                <w:szCs w:val="22"/>
              </w:rPr>
            </w:pPr>
            <w:r w:rsidRPr="00317ABF">
              <w:rPr>
                <w:rFonts w:ascii="Times New Roman" w:eastAsiaTheme="minorEastAsia" w:hAnsi="Times New Roman" w:cs="Times New Roman"/>
                <w:sz w:val="22"/>
                <w:szCs w:val="22"/>
              </w:rPr>
              <w:t>7)</w:t>
            </w:r>
            <w:r w:rsidRPr="00317ABF">
              <w:rPr>
                <w:rFonts w:ascii="Times New Roman" w:eastAsiaTheme="minorEastAsia" w:hAnsi="Times New Roman" w:cs="Times New Roman"/>
                <w:sz w:val="22"/>
                <w:szCs w:val="22"/>
              </w:rPr>
              <w:tab/>
              <w:t>domniemanie, że wszyscy przedsiębiorcy komunikacji elektronicznej świadczący usługi zakańczania połączeń głosowych w stacjonarnej publicznej sieci telekomunikacyjnej, bez względu na ich skalę działalności, ponoszą takie same koszty jednostkowe jak efektywnie działający przedsiębiorca komunikacji elektronicznej;</w:t>
            </w:r>
          </w:p>
          <w:p w14:paraId="096F1AAD" w14:textId="77777777" w:rsidR="001E1112" w:rsidRPr="00317ABF" w:rsidRDefault="001E1112" w:rsidP="00DE0168">
            <w:pPr>
              <w:pStyle w:val="PKTpunkt0"/>
              <w:spacing w:line="240" w:lineRule="auto"/>
              <w:rPr>
                <w:rFonts w:ascii="Times New Roman" w:eastAsiaTheme="minorEastAsia" w:hAnsi="Times New Roman" w:cs="Times New Roman"/>
                <w:sz w:val="22"/>
                <w:szCs w:val="22"/>
              </w:rPr>
            </w:pPr>
            <w:r w:rsidRPr="00317ABF">
              <w:rPr>
                <w:rFonts w:ascii="Times New Roman" w:eastAsiaTheme="minorEastAsia" w:hAnsi="Times New Roman" w:cs="Times New Roman"/>
                <w:sz w:val="22"/>
                <w:szCs w:val="22"/>
              </w:rPr>
              <w:t>8)</w:t>
            </w:r>
            <w:r w:rsidRPr="00317ABF">
              <w:rPr>
                <w:rFonts w:ascii="Times New Roman" w:eastAsiaTheme="minorEastAsia" w:hAnsi="Times New Roman" w:cs="Times New Roman"/>
                <w:sz w:val="22"/>
                <w:szCs w:val="22"/>
              </w:rPr>
              <w:tab/>
              <w:t>w przypadku przedsiębiorców komunikacji elektronicznej świadczących usługi telekomunikacyjne w ruchomej publicznej sieci telekomunikacyjnej, minimalną skalę działalności jako udział w rynku na poziomie nie mniejszym niż 20%;</w:t>
            </w:r>
          </w:p>
          <w:p w14:paraId="065F1E77" w14:textId="77777777" w:rsidR="001E1112" w:rsidRPr="00317ABF" w:rsidRDefault="001E1112" w:rsidP="00DE0168">
            <w:pPr>
              <w:pStyle w:val="PKTpunkt0"/>
              <w:spacing w:line="240" w:lineRule="auto"/>
              <w:rPr>
                <w:rFonts w:ascii="Times New Roman" w:eastAsiaTheme="minorEastAsia" w:hAnsi="Times New Roman" w:cs="Times New Roman"/>
                <w:sz w:val="22"/>
                <w:szCs w:val="22"/>
              </w:rPr>
            </w:pPr>
            <w:r w:rsidRPr="00317ABF">
              <w:rPr>
                <w:rFonts w:ascii="Times New Roman" w:eastAsiaTheme="minorEastAsia" w:hAnsi="Times New Roman" w:cs="Times New Roman"/>
                <w:sz w:val="22"/>
                <w:szCs w:val="22"/>
              </w:rPr>
              <w:t>9)</w:t>
            </w:r>
            <w:r w:rsidRPr="00317ABF">
              <w:rPr>
                <w:rFonts w:ascii="Times New Roman" w:eastAsiaTheme="minorEastAsia" w:hAnsi="Times New Roman" w:cs="Times New Roman"/>
                <w:sz w:val="22"/>
                <w:szCs w:val="22"/>
              </w:rPr>
              <w:tab/>
              <w:t>amortyzację ekonomiczną jako właściwą metodą amortyzacji aktywów;</w:t>
            </w:r>
          </w:p>
          <w:p w14:paraId="6547B027" w14:textId="630CB00D" w:rsidR="001E1112" w:rsidRPr="00317ABF" w:rsidRDefault="001E1112" w:rsidP="00DE0168">
            <w:pPr>
              <w:pStyle w:val="PKTpunkt0"/>
              <w:spacing w:line="240" w:lineRule="auto"/>
              <w:rPr>
                <w:rFonts w:ascii="Times New Roman" w:hAnsi="Times New Roman" w:cs="Times New Roman"/>
                <w:szCs w:val="24"/>
              </w:rPr>
            </w:pPr>
            <w:r w:rsidRPr="00317ABF">
              <w:rPr>
                <w:rFonts w:ascii="Times New Roman" w:eastAsiaTheme="minorEastAsia" w:hAnsi="Times New Roman" w:cs="Times New Roman"/>
                <w:sz w:val="22"/>
                <w:szCs w:val="22"/>
              </w:rPr>
              <w:t>10)</w:t>
            </w:r>
            <w:r w:rsidR="00DE0168" w:rsidRPr="00317ABF">
              <w:rPr>
                <w:rFonts w:ascii="Times New Roman" w:hAnsi="Times New Roman" w:cs="Times New Roman"/>
                <w:sz w:val="22"/>
                <w:szCs w:val="22"/>
              </w:rPr>
              <w:t xml:space="preserve"> </w:t>
            </w:r>
            <w:r w:rsidRPr="00317ABF">
              <w:rPr>
                <w:rFonts w:ascii="Times New Roman" w:eastAsiaTheme="minorEastAsia" w:hAnsi="Times New Roman" w:cs="Times New Roman"/>
                <w:sz w:val="22"/>
                <w:szCs w:val="22"/>
              </w:rPr>
              <w:tab/>
              <w:t>koszty usług zakańczania połączeń głosowych odzwierciedlające koszty efektywnie działającego przedsiębiorcy komunikacji elektronicznej stosującego nowoczesne i wydajne technologie oraz sieć szkieletową opartą na protokole IP uwzględniającą technologie, które z dużym prawdopodobieństwem będą wykorzystywane w okresie obowiązywania maksymalnych opłat za usługi zakańczania połączeń głosowych, przy czym w przypadku stacjonarnych publicznych sieci telekomunikacyjnych przyjmuje się, że połączenia opierają się wyłącznie na komutacji pakietów.</w:t>
            </w:r>
          </w:p>
        </w:tc>
      </w:tr>
      <w:tr w:rsidR="001E1112" w:rsidRPr="00317ABF" w14:paraId="773E6566" w14:textId="77777777" w:rsidTr="7753F98D">
        <w:trPr>
          <w:gridAfter w:val="2"/>
          <w:wAfter w:w="175" w:type="dxa"/>
        </w:trPr>
        <w:tc>
          <w:tcPr>
            <w:tcW w:w="704" w:type="dxa"/>
          </w:tcPr>
          <w:p w14:paraId="4A6D5BD9" w14:textId="77777777" w:rsidR="001E1112" w:rsidRPr="00317ABF" w:rsidRDefault="001E1112" w:rsidP="00DB3BEC">
            <w:pPr>
              <w:jc w:val="both"/>
              <w:rPr>
                <w:sz w:val="22"/>
                <w:szCs w:val="22"/>
              </w:rPr>
            </w:pPr>
            <w:r w:rsidRPr="00317ABF">
              <w:rPr>
                <w:sz w:val="22"/>
                <w:szCs w:val="22"/>
              </w:rPr>
              <w:lastRenderedPageBreak/>
              <w:t>Art. 75 ust. 3</w:t>
            </w:r>
          </w:p>
        </w:tc>
        <w:tc>
          <w:tcPr>
            <w:tcW w:w="4308" w:type="dxa"/>
          </w:tcPr>
          <w:p w14:paraId="5AFA3FD8" w14:textId="77777777" w:rsidR="001E1112" w:rsidRPr="00317ABF" w:rsidRDefault="001E1112" w:rsidP="00DB3BEC">
            <w:pPr>
              <w:spacing w:before="120"/>
              <w:jc w:val="both"/>
              <w:rPr>
                <w:sz w:val="22"/>
                <w:szCs w:val="22"/>
              </w:rPr>
            </w:pPr>
            <w:r w:rsidRPr="00317ABF">
              <w:rPr>
                <w:sz w:val="22"/>
                <w:szCs w:val="22"/>
              </w:rPr>
              <w:t xml:space="preserve">3.   Krajowe organy regulacyjne ściśle monitorują i zapewniają zgodność ze stosowaniem ogólnounijnych stawek za zakańczanie połączeń przez dostawców usług zakańczania połączeń głosowych. Krajowe organy regulacyjne mogą w każdym momencie zażądać od dostawcy usług zakańczania połączeń, aby zmienił stawki, które nakłada na inne przedsiębiorstwa, jeżeli nie są one zgodne z aktem delegowanym, o którym mowa w ust. 1. Krajowe organy regulacyjne corocznie </w:t>
            </w:r>
            <w:r w:rsidRPr="00317ABF">
              <w:rPr>
                <w:sz w:val="22"/>
                <w:szCs w:val="22"/>
              </w:rPr>
              <w:lastRenderedPageBreak/>
              <w:t>składają Komisji i BEREC sprawozdania dotyczące stosowania niniejszego artykułu.</w:t>
            </w:r>
          </w:p>
        </w:tc>
        <w:tc>
          <w:tcPr>
            <w:tcW w:w="986" w:type="dxa"/>
          </w:tcPr>
          <w:p w14:paraId="63A44AA9" w14:textId="4B205E8F" w:rsidR="001E1112" w:rsidRPr="00317ABF" w:rsidRDefault="001E1112" w:rsidP="00DB3BEC">
            <w:pPr>
              <w:jc w:val="both"/>
              <w:rPr>
                <w:sz w:val="22"/>
                <w:szCs w:val="22"/>
              </w:rPr>
            </w:pPr>
            <w:r w:rsidRPr="00317ABF">
              <w:rPr>
                <w:sz w:val="22"/>
                <w:szCs w:val="22"/>
              </w:rPr>
              <w:lastRenderedPageBreak/>
              <w:t>T</w:t>
            </w:r>
          </w:p>
        </w:tc>
        <w:tc>
          <w:tcPr>
            <w:tcW w:w="910" w:type="dxa"/>
          </w:tcPr>
          <w:p w14:paraId="43B6CAA5" w14:textId="4E8DDEDE" w:rsidR="001E1112" w:rsidRPr="00317ABF" w:rsidRDefault="001E1112" w:rsidP="009A242A">
            <w:pPr>
              <w:pStyle w:val="Tekstpodstawowy"/>
              <w:rPr>
                <w:b/>
                <w:bCs/>
                <w:noProof/>
                <w:sz w:val="22"/>
                <w:szCs w:val="22"/>
              </w:rPr>
            </w:pPr>
            <w:r w:rsidRPr="00317ABF">
              <w:rPr>
                <w:b/>
                <w:bCs/>
                <w:noProof/>
                <w:sz w:val="22"/>
                <w:szCs w:val="22"/>
              </w:rPr>
              <w:t xml:space="preserve">Art. </w:t>
            </w:r>
            <w:r w:rsidR="00DE0168" w:rsidRPr="00317ABF">
              <w:rPr>
                <w:b/>
                <w:bCs/>
                <w:noProof/>
                <w:sz w:val="22"/>
                <w:szCs w:val="22"/>
              </w:rPr>
              <w:t>219</w:t>
            </w:r>
            <w:r w:rsidRPr="00317ABF">
              <w:rPr>
                <w:b/>
                <w:bCs/>
                <w:noProof/>
                <w:sz w:val="22"/>
                <w:szCs w:val="22"/>
              </w:rPr>
              <w:t xml:space="preserve"> ust. </w:t>
            </w:r>
            <w:r w:rsidR="00DE0168" w:rsidRPr="00317ABF">
              <w:rPr>
                <w:b/>
                <w:bCs/>
                <w:noProof/>
                <w:sz w:val="22"/>
                <w:szCs w:val="22"/>
              </w:rPr>
              <w:t xml:space="preserve">1 oraz ust. </w:t>
            </w:r>
            <w:r w:rsidRPr="00317ABF">
              <w:rPr>
                <w:b/>
                <w:bCs/>
                <w:noProof/>
                <w:sz w:val="22"/>
                <w:szCs w:val="22"/>
              </w:rPr>
              <w:t xml:space="preserve">4-5, </w:t>
            </w:r>
            <w:r w:rsidR="009A242A" w:rsidRPr="00317ABF">
              <w:rPr>
                <w:b/>
                <w:sz w:val="22"/>
                <w:szCs w:val="22"/>
              </w:rPr>
              <w:t>art. 441</w:t>
            </w:r>
            <w:r w:rsidRPr="00317ABF">
              <w:rPr>
                <w:b/>
                <w:sz w:val="22"/>
                <w:szCs w:val="22"/>
              </w:rPr>
              <w:t xml:space="preserve"> pkt 2</w:t>
            </w:r>
            <w:r w:rsidR="009A242A" w:rsidRPr="00317ABF">
              <w:rPr>
                <w:b/>
                <w:sz w:val="22"/>
                <w:szCs w:val="22"/>
              </w:rPr>
              <w:t>8</w:t>
            </w:r>
          </w:p>
        </w:tc>
        <w:tc>
          <w:tcPr>
            <w:tcW w:w="6814" w:type="dxa"/>
            <w:gridSpan w:val="2"/>
          </w:tcPr>
          <w:p w14:paraId="626B2E1F" w14:textId="26E2BA2A" w:rsidR="001E1112" w:rsidRPr="00317ABF" w:rsidRDefault="001E1112" w:rsidP="00DB3BEC">
            <w:pPr>
              <w:jc w:val="both"/>
              <w:rPr>
                <w:sz w:val="22"/>
                <w:szCs w:val="22"/>
              </w:rPr>
            </w:pPr>
            <w:r w:rsidRPr="00317ABF">
              <w:rPr>
                <w:sz w:val="22"/>
                <w:szCs w:val="22"/>
              </w:rPr>
              <w:t xml:space="preserve">Art. </w:t>
            </w:r>
            <w:r w:rsidR="00DE0168" w:rsidRPr="00317ABF">
              <w:rPr>
                <w:sz w:val="22"/>
                <w:szCs w:val="22"/>
              </w:rPr>
              <w:t>219</w:t>
            </w:r>
          </w:p>
          <w:p w14:paraId="561CEC3B" w14:textId="3817BC13" w:rsidR="00DE0168" w:rsidRPr="00317ABF" w:rsidRDefault="00DE0168" w:rsidP="00DE0168">
            <w:pPr>
              <w:jc w:val="both"/>
              <w:rPr>
                <w:sz w:val="22"/>
                <w:szCs w:val="22"/>
              </w:rPr>
            </w:pPr>
            <w:r w:rsidRPr="00317ABF">
              <w:rPr>
                <w:sz w:val="22"/>
                <w:szCs w:val="22"/>
              </w:rPr>
              <w:t>1.  Przedsiębiorca komunikacji elektronicznej stosuje opłaty za zakańczanie połączeń głosowych nie wyższe niż maksymalne opłaty za zakańczanie połączenia głosowego w stacjonarnych lub ruchomych publicznych sieciach telekomunikacyjnej zgodne z aktem delegowanym wydanym przez Komisję Europejską na podstawie art. 75 ust. 1 EKŁE.</w:t>
            </w:r>
          </w:p>
          <w:p w14:paraId="1426833A" w14:textId="7958936E" w:rsidR="00DE0168" w:rsidRPr="00317ABF" w:rsidRDefault="00DE0168" w:rsidP="00DE0168">
            <w:pPr>
              <w:pStyle w:val="ARTartustawynprozporzdzenia"/>
              <w:spacing w:before="0" w:line="240" w:lineRule="auto"/>
              <w:ind w:firstLine="0"/>
              <w:rPr>
                <w:rFonts w:ascii="Times New Roman" w:hAnsi="Times New Roman" w:cs="Times New Roman"/>
                <w:sz w:val="22"/>
                <w:szCs w:val="22"/>
              </w:rPr>
            </w:pPr>
            <w:r w:rsidRPr="00317ABF">
              <w:rPr>
                <w:rFonts w:ascii="Times New Roman" w:hAnsi="Times New Roman" w:cs="Times New Roman"/>
                <w:sz w:val="22"/>
                <w:szCs w:val="22"/>
              </w:rPr>
              <w:t>4. Prezes UKE monitoruje wysokość opłat za zakańczanie połączeń głosowych w stacjonarnych lub ruchomych publicznych sieciach telekomunikacyjnych oraz zapewnia ich zgodność z opłatami określonymi w akcie delegowanym wydanym na podstawie art. 75 ust. 1 EKŁE.</w:t>
            </w:r>
          </w:p>
          <w:p w14:paraId="11623E22" w14:textId="7203519E" w:rsidR="001E1112" w:rsidRPr="00317ABF" w:rsidRDefault="001E1112" w:rsidP="00DE0168">
            <w:pPr>
              <w:pStyle w:val="USTustnpkodeksu"/>
              <w:spacing w:line="240" w:lineRule="auto"/>
              <w:rPr>
                <w:rFonts w:ascii="Times New Roman" w:eastAsiaTheme="minorEastAsia" w:hAnsi="Times New Roman" w:cs="Times New Roman"/>
                <w:sz w:val="22"/>
                <w:szCs w:val="22"/>
              </w:rPr>
            </w:pPr>
            <w:r w:rsidRPr="00317ABF">
              <w:rPr>
                <w:rFonts w:ascii="Times New Roman" w:eastAsiaTheme="minorEastAsia" w:hAnsi="Times New Roman" w:cs="Times New Roman"/>
                <w:sz w:val="22"/>
                <w:szCs w:val="22"/>
              </w:rPr>
              <w:t xml:space="preserve">5. Prezes UKE corocznie przedstawia sprawozdanie Komisji Europejskiej i BEREC dotyczące stosowania opłat za zakańczanie połączeń </w:t>
            </w:r>
            <w:r w:rsidRPr="00317ABF">
              <w:rPr>
                <w:rFonts w:ascii="Times New Roman" w:eastAsiaTheme="minorEastAsia" w:hAnsi="Times New Roman" w:cs="Times New Roman"/>
                <w:sz w:val="22"/>
                <w:szCs w:val="22"/>
              </w:rPr>
              <w:lastRenderedPageBreak/>
              <w:t>głosowych w stacjonarnych lub ruchomych publicznych sieciach telekomunikacyjnych.</w:t>
            </w:r>
          </w:p>
          <w:p w14:paraId="6B42855E" w14:textId="77777777" w:rsidR="001E1112" w:rsidRPr="00317ABF" w:rsidRDefault="001E1112" w:rsidP="00DB3BEC">
            <w:pPr>
              <w:pStyle w:val="ARTartustawynprozporzdzenia"/>
              <w:spacing w:before="0" w:line="240" w:lineRule="auto"/>
              <w:ind w:firstLine="0"/>
              <w:rPr>
                <w:rFonts w:ascii="Times New Roman" w:eastAsiaTheme="minorEastAsia" w:hAnsi="Times New Roman" w:cs="Times New Roman"/>
                <w:sz w:val="22"/>
                <w:szCs w:val="22"/>
                <w:lang w:eastAsia="en-US"/>
              </w:rPr>
            </w:pPr>
          </w:p>
          <w:p w14:paraId="71FE6195" w14:textId="083B34B1" w:rsidR="001E1112" w:rsidRPr="00317ABF" w:rsidRDefault="001E1112" w:rsidP="00DB3BEC">
            <w:pPr>
              <w:pStyle w:val="ARTartustawynprozporzdzenia"/>
              <w:spacing w:before="0" w:line="240" w:lineRule="auto"/>
              <w:ind w:firstLine="0"/>
              <w:rPr>
                <w:rFonts w:ascii="Times New Roman" w:hAnsi="Times New Roman" w:cs="Times New Roman"/>
                <w:sz w:val="22"/>
                <w:szCs w:val="22"/>
                <w:lang w:eastAsia="en-US"/>
              </w:rPr>
            </w:pPr>
            <w:r w:rsidRPr="00317ABF">
              <w:rPr>
                <w:rFonts w:ascii="Times New Roman" w:hAnsi="Times New Roman" w:cs="Times New Roman"/>
                <w:sz w:val="22"/>
                <w:szCs w:val="22"/>
                <w:lang w:eastAsia="en-US"/>
              </w:rPr>
              <w:t>Art. 4</w:t>
            </w:r>
            <w:r w:rsidR="009A242A" w:rsidRPr="00317ABF">
              <w:rPr>
                <w:rFonts w:ascii="Times New Roman" w:hAnsi="Times New Roman" w:cs="Times New Roman"/>
                <w:sz w:val="22"/>
                <w:szCs w:val="22"/>
                <w:lang w:eastAsia="en-US"/>
              </w:rPr>
              <w:t>41</w:t>
            </w:r>
            <w:r w:rsidRPr="00317ABF">
              <w:rPr>
                <w:rFonts w:ascii="Times New Roman" w:hAnsi="Times New Roman" w:cs="Times New Roman"/>
                <w:sz w:val="22"/>
                <w:szCs w:val="22"/>
                <w:lang w:eastAsia="en-US"/>
              </w:rPr>
              <w:t>. 1. Kto:</w:t>
            </w:r>
          </w:p>
          <w:p w14:paraId="462C8B39" w14:textId="12292210" w:rsidR="001E1112" w:rsidRPr="00317ABF" w:rsidRDefault="001E1112" w:rsidP="00DB3BEC">
            <w:pPr>
              <w:jc w:val="both"/>
              <w:rPr>
                <w:sz w:val="22"/>
                <w:szCs w:val="22"/>
              </w:rPr>
            </w:pPr>
            <w:r w:rsidRPr="00317ABF">
              <w:rPr>
                <w:sz w:val="22"/>
                <w:szCs w:val="22"/>
              </w:rPr>
              <w:t>(…)</w:t>
            </w:r>
          </w:p>
          <w:p w14:paraId="6DA1EADA" w14:textId="77777777" w:rsidR="001E1112" w:rsidRPr="00317ABF" w:rsidRDefault="001E1112" w:rsidP="00DB3BEC">
            <w:pPr>
              <w:jc w:val="both"/>
              <w:rPr>
                <w:sz w:val="22"/>
                <w:szCs w:val="22"/>
              </w:rPr>
            </w:pPr>
          </w:p>
          <w:p w14:paraId="576AC02C" w14:textId="6AA161C2" w:rsidR="001E1112" w:rsidRPr="00317ABF" w:rsidRDefault="009A242A" w:rsidP="00DB3BEC">
            <w:pPr>
              <w:jc w:val="both"/>
              <w:rPr>
                <w:sz w:val="22"/>
                <w:szCs w:val="22"/>
              </w:rPr>
            </w:pPr>
            <w:r w:rsidRPr="00317ABF">
              <w:rPr>
                <w:sz w:val="22"/>
                <w:szCs w:val="22"/>
              </w:rPr>
              <w:t>28</w:t>
            </w:r>
            <w:r w:rsidR="001E1112" w:rsidRPr="00317ABF">
              <w:rPr>
                <w:sz w:val="22"/>
                <w:szCs w:val="22"/>
              </w:rPr>
              <w:t>) stosuje opłaty za zakańczanie połączeń w stacjonarnych lub ruchomych publicznych sieciach telekomunikacyjnej niezgodne z aktem delegowanym wydanym przez Komisję Euro</w:t>
            </w:r>
            <w:r w:rsidRPr="00317ABF">
              <w:rPr>
                <w:sz w:val="22"/>
                <w:szCs w:val="22"/>
              </w:rPr>
              <w:t>pejską, o którym mowa w art. 219</w:t>
            </w:r>
            <w:r w:rsidR="001E1112" w:rsidRPr="00317ABF">
              <w:rPr>
                <w:sz w:val="22"/>
                <w:szCs w:val="22"/>
              </w:rPr>
              <w:t xml:space="preserve"> ust. 1,</w:t>
            </w:r>
          </w:p>
          <w:p w14:paraId="5EDB18AE" w14:textId="77777777" w:rsidR="001E1112" w:rsidRPr="00317ABF" w:rsidRDefault="001E1112" w:rsidP="00DB3BEC">
            <w:pPr>
              <w:jc w:val="both"/>
              <w:rPr>
                <w:sz w:val="22"/>
                <w:szCs w:val="22"/>
              </w:rPr>
            </w:pPr>
          </w:p>
          <w:p w14:paraId="1A25A8AE" w14:textId="4F7A758E" w:rsidR="001E1112" w:rsidRPr="00317ABF" w:rsidRDefault="001E1112" w:rsidP="00DB3BEC">
            <w:pPr>
              <w:jc w:val="both"/>
              <w:rPr>
                <w:sz w:val="22"/>
                <w:szCs w:val="22"/>
              </w:rPr>
            </w:pPr>
            <w:r w:rsidRPr="00317ABF">
              <w:rPr>
                <w:sz w:val="22"/>
                <w:szCs w:val="22"/>
              </w:rPr>
              <w:t>(…)</w:t>
            </w:r>
            <w:r w:rsidRPr="00317ABF">
              <w:rPr>
                <w:sz w:val="22"/>
                <w:szCs w:val="22"/>
              </w:rPr>
              <w:br/>
            </w:r>
          </w:p>
          <w:p w14:paraId="2E982E10" w14:textId="77777777" w:rsidR="001E1112" w:rsidRPr="00317ABF" w:rsidRDefault="001E1112" w:rsidP="00DB3BEC">
            <w:pPr>
              <w:pStyle w:val="CZWSPPKTczwsplnapunktw"/>
              <w:spacing w:line="240" w:lineRule="auto"/>
              <w:rPr>
                <w:rFonts w:ascii="Times New Roman" w:hAnsi="Times New Roman" w:cs="Times New Roman"/>
                <w:sz w:val="22"/>
                <w:szCs w:val="22"/>
              </w:rPr>
            </w:pPr>
            <w:r w:rsidRPr="00317ABF">
              <w:rPr>
                <w:rFonts w:ascii="Times New Roman" w:hAnsi="Times New Roman" w:cs="Times New Roman"/>
                <w:sz w:val="22"/>
                <w:szCs w:val="22"/>
                <w:lang w:eastAsia="en-US"/>
              </w:rPr>
              <w:t>- podlega karze pieniężnej.</w:t>
            </w:r>
          </w:p>
          <w:p w14:paraId="028D48F4" w14:textId="5A6EA00B" w:rsidR="001E1112" w:rsidRPr="00317ABF" w:rsidRDefault="001E1112" w:rsidP="009A242A">
            <w:pPr>
              <w:jc w:val="both"/>
              <w:rPr>
                <w:sz w:val="22"/>
                <w:szCs w:val="22"/>
              </w:rPr>
            </w:pPr>
          </w:p>
        </w:tc>
      </w:tr>
      <w:tr w:rsidR="001E1112" w:rsidRPr="00317ABF" w14:paraId="4CF93FE5" w14:textId="77777777" w:rsidTr="7753F98D">
        <w:trPr>
          <w:gridAfter w:val="2"/>
          <w:wAfter w:w="175" w:type="dxa"/>
        </w:trPr>
        <w:tc>
          <w:tcPr>
            <w:tcW w:w="704" w:type="dxa"/>
          </w:tcPr>
          <w:p w14:paraId="452E93F5" w14:textId="77777777" w:rsidR="001E1112" w:rsidRPr="00317ABF" w:rsidRDefault="001E1112" w:rsidP="00DB3BEC">
            <w:pPr>
              <w:jc w:val="both"/>
              <w:rPr>
                <w:b/>
                <w:sz w:val="22"/>
                <w:szCs w:val="22"/>
              </w:rPr>
            </w:pPr>
            <w:r w:rsidRPr="00317ABF">
              <w:rPr>
                <w:b/>
                <w:sz w:val="22"/>
                <w:szCs w:val="22"/>
              </w:rPr>
              <w:lastRenderedPageBreak/>
              <w:t>Art. 76</w:t>
            </w:r>
          </w:p>
        </w:tc>
        <w:tc>
          <w:tcPr>
            <w:tcW w:w="4308" w:type="dxa"/>
          </w:tcPr>
          <w:p w14:paraId="3A1892C9" w14:textId="77777777" w:rsidR="001E1112" w:rsidRPr="00317ABF" w:rsidRDefault="001E1112" w:rsidP="00DB3BEC">
            <w:pPr>
              <w:spacing w:before="60" w:after="120"/>
              <w:jc w:val="both"/>
              <w:rPr>
                <w:b/>
                <w:bCs/>
                <w:sz w:val="22"/>
                <w:szCs w:val="22"/>
              </w:rPr>
            </w:pPr>
            <w:r w:rsidRPr="00317ABF">
              <w:rPr>
                <w:b/>
                <w:bCs/>
                <w:sz w:val="22"/>
                <w:szCs w:val="22"/>
              </w:rPr>
              <w:t>Traktowanie nowych elementów sieci o bardzo dużej przepustowości w ujęciu regulacyjnym</w:t>
            </w:r>
          </w:p>
        </w:tc>
        <w:tc>
          <w:tcPr>
            <w:tcW w:w="986" w:type="dxa"/>
          </w:tcPr>
          <w:p w14:paraId="314B1702" w14:textId="77777777" w:rsidR="001E1112" w:rsidRPr="00317ABF" w:rsidRDefault="001E1112" w:rsidP="00DB3BEC">
            <w:pPr>
              <w:jc w:val="both"/>
              <w:rPr>
                <w:sz w:val="22"/>
                <w:szCs w:val="22"/>
              </w:rPr>
            </w:pPr>
          </w:p>
        </w:tc>
        <w:tc>
          <w:tcPr>
            <w:tcW w:w="910" w:type="dxa"/>
          </w:tcPr>
          <w:p w14:paraId="19801FAE" w14:textId="54683901" w:rsidR="001E1112" w:rsidRPr="00317ABF" w:rsidRDefault="00DB3BEC" w:rsidP="00550765">
            <w:pPr>
              <w:pStyle w:val="Tekstpodstawowy"/>
              <w:rPr>
                <w:b/>
                <w:bCs/>
                <w:noProof/>
                <w:sz w:val="22"/>
                <w:szCs w:val="22"/>
              </w:rPr>
            </w:pPr>
            <w:r w:rsidRPr="00317ABF">
              <w:rPr>
                <w:b/>
                <w:bCs/>
                <w:noProof/>
                <w:sz w:val="22"/>
                <w:szCs w:val="22"/>
              </w:rPr>
              <w:t xml:space="preserve">Art. </w:t>
            </w:r>
            <w:r w:rsidR="001E1112" w:rsidRPr="00317ABF">
              <w:rPr>
                <w:b/>
                <w:bCs/>
                <w:noProof/>
                <w:sz w:val="22"/>
                <w:szCs w:val="22"/>
              </w:rPr>
              <w:t>2</w:t>
            </w:r>
            <w:r w:rsidR="00550765" w:rsidRPr="00317ABF">
              <w:rPr>
                <w:b/>
                <w:bCs/>
                <w:noProof/>
                <w:sz w:val="22"/>
                <w:szCs w:val="22"/>
              </w:rPr>
              <w:t>44</w:t>
            </w:r>
            <w:r w:rsidR="001E1112" w:rsidRPr="00317ABF">
              <w:rPr>
                <w:b/>
                <w:bCs/>
                <w:noProof/>
                <w:sz w:val="22"/>
                <w:szCs w:val="22"/>
              </w:rPr>
              <w:t>-2</w:t>
            </w:r>
            <w:r w:rsidR="00550765" w:rsidRPr="00317ABF">
              <w:rPr>
                <w:b/>
                <w:bCs/>
                <w:noProof/>
                <w:sz w:val="22"/>
                <w:szCs w:val="22"/>
              </w:rPr>
              <w:t>50</w:t>
            </w:r>
          </w:p>
        </w:tc>
        <w:tc>
          <w:tcPr>
            <w:tcW w:w="6814" w:type="dxa"/>
            <w:gridSpan w:val="2"/>
          </w:tcPr>
          <w:p w14:paraId="4F1D3367" w14:textId="656A3794" w:rsidR="001E1112" w:rsidRPr="00317ABF" w:rsidRDefault="001E1112" w:rsidP="00DB3BEC">
            <w:pPr>
              <w:pStyle w:val="Tekstpodstawowy"/>
              <w:rPr>
                <w:sz w:val="22"/>
                <w:szCs w:val="22"/>
              </w:rPr>
            </w:pPr>
            <w:r w:rsidRPr="00317ABF">
              <w:rPr>
                <w:sz w:val="22"/>
                <w:szCs w:val="22"/>
              </w:rPr>
              <w:t xml:space="preserve">Art.. 76 i 79 implementowane łącznie w PKE w Rozdziale </w:t>
            </w:r>
            <w:r w:rsidR="00550765" w:rsidRPr="00317ABF">
              <w:rPr>
                <w:sz w:val="22"/>
                <w:szCs w:val="22"/>
              </w:rPr>
              <w:t>5</w:t>
            </w:r>
            <w:r w:rsidRPr="00317ABF">
              <w:rPr>
                <w:sz w:val="22"/>
                <w:szCs w:val="22"/>
              </w:rPr>
              <w:t xml:space="preserve"> “Szczegółowe warunki inwestowania” z pominięciem </w:t>
            </w:r>
            <w:r w:rsidR="00DB3BEC" w:rsidRPr="00317ABF">
              <w:rPr>
                <w:sz w:val="22"/>
                <w:szCs w:val="22"/>
              </w:rPr>
              <w:t xml:space="preserve">Art. </w:t>
            </w:r>
            <w:r w:rsidRPr="00317ABF">
              <w:rPr>
                <w:sz w:val="22"/>
                <w:szCs w:val="22"/>
              </w:rPr>
              <w:t>2</w:t>
            </w:r>
            <w:r w:rsidR="00550765" w:rsidRPr="00317ABF">
              <w:rPr>
                <w:sz w:val="22"/>
                <w:szCs w:val="22"/>
              </w:rPr>
              <w:t>52</w:t>
            </w:r>
          </w:p>
          <w:p w14:paraId="3681B50A" w14:textId="7216EAB0" w:rsidR="001E1112" w:rsidRPr="00317ABF" w:rsidRDefault="001E1112" w:rsidP="00DB3BEC">
            <w:pPr>
              <w:pStyle w:val="Tekstpodstawowy"/>
              <w:rPr>
                <w:sz w:val="22"/>
                <w:szCs w:val="22"/>
              </w:rPr>
            </w:pPr>
            <w:r w:rsidRPr="00317ABF">
              <w:rPr>
                <w:sz w:val="22"/>
                <w:szCs w:val="22"/>
              </w:rPr>
              <w:t xml:space="preserve">Część regulacji ujęta wspólnie z przepisami implementującymi </w:t>
            </w:r>
            <w:r w:rsidR="00DB3BEC" w:rsidRPr="00317ABF">
              <w:rPr>
                <w:sz w:val="22"/>
                <w:szCs w:val="22"/>
              </w:rPr>
              <w:t xml:space="preserve">Art. </w:t>
            </w:r>
            <w:r w:rsidRPr="00317ABF">
              <w:rPr>
                <w:sz w:val="22"/>
                <w:szCs w:val="22"/>
              </w:rPr>
              <w:t>79 (w ich wspólnym zakresie proceduralnym), a także przepisami załącznika IV do EKŁE</w:t>
            </w:r>
          </w:p>
        </w:tc>
      </w:tr>
      <w:tr w:rsidR="001E1112" w:rsidRPr="00317ABF" w14:paraId="6C60B376" w14:textId="77777777" w:rsidTr="7753F98D">
        <w:trPr>
          <w:gridAfter w:val="2"/>
          <w:wAfter w:w="175" w:type="dxa"/>
        </w:trPr>
        <w:tc>
          <w:tcPr>
            <w:tcW w:w="704" w:type="dxa"/>
          </w:tcPr>
          <w:p w14:paraId="2EB5A00B" w14:textId="77777777" w:rsidR="001E1112" w:rsidRPr="00317ABF" w:rsidRDefault="001E1112" w:rsidP="00DB3BEC">
            <w:pPr>
              <w:jc w:val="both"/>
              <w:rPr>
                <w:sz w:val="22"/>
                <w:szCs w:val="22"/>
              </w:rPr>
            </w:pPr>
            <w:r w:rsidRPr="00317ABF">
              <w:rPr>
                <w:sz w:val="22"/>
                <w:szCs w:val="22"/>
              </w:rPr>
              <w:t>Art. 76 ust. 1</w:t>
            </w:r>
          </w:p>
        </w:tc>
        <w:tc>
          <w:tcPr>
            <w:tcW w:w="4308" w:type="dxa"/>
          </w:tcPr>
          <w:p w14:paraId="0430BAAA" w14:textId="77777777" w:rsidR="001E1112" w:rsidRPr="00317ABF" w:rsidRDefault="001E1112" w:rsidP="00DB3BEC">
            <w:pPr>
              <w:spacing w:before="120"/>
              <w:jc w:val="both"/>
              <w:rPr>
                <w:sz w:val="22"/>
                <w:szCs w:val="22"/>
              </w:rPr>
            </w:pPr>
            <w:r w:rsidRPr="00317ABF">
              <w:rPr>
                <w:sz w:val="22"/>
                <w:szCs w:val="22"/>
              </w:rPr>
              <w:t>1.   Przedsiębiorstwa, które zostały wyznaczone jako posiadające znaczącą pozycję rynkową na jednym lub kilku rynkach właściwych zgodnie z art. 67, mogą zgodnie z procedurą określoną w art. 79 i z zastrzeżeniem akapitu drugiego niniejszego ustępu proponować przyjęcie zobowiązania do otwarcia realizacji nowej sieci o bardzo dużej przepustowości, która składa się z elementów światłowodowych do obiektów użytkownika końcowego lub stacji bazowej, na współinwestycje, na przykład przez zaoferowanie współwłasności lub długoterminowe dzielenie ryzyka przez współfinansowanie lub umowy zakupu prowadzące do uzyskania szczególnych praw o charakterze strukturalnym przez innych dostawców sieci lub ś usług łączności elektronicznej.</w:t>
            </w:r>
          </w:p>
          <w:p w14:paraId="37BBB499" w14:textId="77777777" w:rsidR="001E1112" w:rsidRPr="00317ABF" w:rsidRDefault="001E1112" w:rsidP="00DB3BEC">
            <w:pPr>
              <w:spacing w:before="120"/>
              <w:jc w:val="both"/>
              <w:rPr>
                <w:sz w:val="22"/>
                <w:szCs w:val="22"/>
              </w:rPr>
            </w:pPr>
            <w:r w:rsidRPr="00317ABF">
              <w:rPr>
                <w:sz w:val="22"/>
                <w:szCs w:val="22"/>
              </w:rPr>
              <w:lastRenderedPageBreak/>
              <w:t>Gdy krajowy organ regulacyjny ocenia te proponowane zobowiązania, określa w szczególności, czy oferta dotycząca współinwestowania spełnia wszystkie następujące warunki:</w:t>
            </w:r>
          </w:p>
          <w:tbl>
            <w:tblPr>
              <w:tblW w:w="5000" w:type="pct"/>
              <w:tblCellSpacing w:w="0" w:type="dxa"/>
              <w:tblLayout w:type="fixed"/>
              <w:tblCellMar>
                <w:left w:w="0" w:type="dxa"/>
                <w:right w:w="0" w:type="dxa"/>
              </w:tblCellMar>
              <w:tblLook w:val="04A0" w:firstRow="1" w:lastRow="0" w:firstColumn="1" w:lastColumn="0" w:noHBand="0" w:noVBand="1"/>
            </w:tblPr>
            <w:tblGrid>
              <w:gridCol w:w="20"/>
              <w:gridCol w:w="4148"/>
            </w:tblGrid>
            <w:tr w:rsidR="001E1112" w:rsidRPr="00317ABF" w14:paraId="7CC771D7" w14:textId="77777777" w:rsidTr="007B5338">
              <w:trPr>
                <w:tblCellSpacing w:w="0" w:type="dxa"/>
              </w:trPr>
              <w:tc>
                <w:tcPr>
                  <w:tcW w:w="6" w:type="dxa"/>
                  <w:hideMark/>
                </w:tcPr>
                <w:p w14:paraId="34FD22AD" w14:textId="77777777" w:rsidR="001E1112" w:rsidRPr="00317ABF" w:rsidRDefault="001E1112" w:rsidP="00EE0AC3">
                  <w:pPr>
                    <w:framePr w:hSpace="141" w:wrap="around" w:vAnchor="text" w:hAnchor="text" w:xAlign="right" w:y="1"/>
                    <w:spacing w:before="120"/>
                    <w:suppressOverlap/>
                    <w:jc w:val="both"/>
                    <w:rPr>
                      <w:sz w:val="22"/>
                      <w:szCs w:val="22"/>
                    </w:rPr>
                  </w:pPr>
                </w:p>
              </w:tc>
              <w:tc>
                <w:tcPr>
                  <w:tcW w:w="9066" w:type="dxa"/>
                  <w:hideMark/>
                </w:tcPr>
                <w:p w14:paraId="1CF14970" w14:textId="77777777" w:rsidR="001E1112" w:rsidRPr="00317ABF" w:rsidRDefault="001E1112" w:rsidP="00EE0AC3">
                  <w:pPr>
                    <w:framePr w:hSpace="141" w:wrap="around" w:vAnchor="text" w:hAnchor="text" w:xAlign="right" w:y="1"/>
                    <w:numPr>
                      <w:ilvl w:val="0"/>
                      <w:numId w:val="64"/>
                    </w:numPr>
                    <w:spacing w:before="120"/>
                    <w:suppressOverlap/>
                    <w:jc w:val="both"/>
                    <w:rPr>
                      <w:sz w:val="22"/>
                      <w:szCs w:val="22"/>
                    </w:rPr>
                  </w:pPr>
                  <w:r w:rsidRPr="00317ABF">
                    <w:rPr>
                      <w:sz w:val="22"/>
                      <w:szCs w:val="22"/>
                    </w:rPr>
                    <w:t>przez cały okres eksploatacji sieci oferta jest otwarta dla wszystkich dostawców sieci lub usług łączności elektronicznej;</w:t>
                  </w:r>
                </w:p>
              </w:tc>
            </w:tr>
          </w:tbl>
          <w:p w14:paraId="59654BC1" w14:textId="77777777" w:rsidR="001E1112" w:rsidRPr="00317ABF" w:rsidRDefault="001E1112" w:rsidP="00DB3BEC">
            <w:pPr>
              <w:jc w:val="both"/>
              <w:rPr>
                <w:vanish/>
                <w:sz w:val="22"/>
                <w:szCs w:val="22"/>
              </w:rPr>
            </w:pPr>
          </w:p>
          <w:tbl>
            <w:tblPr>
              <w:tblW w:w="5000" w:type="pct"/>
              <w:tblCellSpacing w:w="0" w:type="dxa"/>
              <w:tblLayout w:type="fixed"/>
              <w:tblCellMar>
                <w:left w:w="0" w:type="dxa"/>
                <w:right w:w="0" w:type="dxa"/>
              </w:tblCellMar>
              <w:tblLook w:val="04A0" w:firstRow="1" w:lastRow="0" w:firstColumn="1" w:lastColumn="0" w:noHBand="0" w:noVBand="1"/>
            </w:tblPr>
            <w:tblGrid>
              <w:gridCol w:w="20"/>
              <w:gridCol w:w="4148"/>
            </w:tblGrid>
            <w:tr w:rsidR="001E1112" w:rsidRPr="00317ABF" w14:paraId="03300B61" w14:textId="77777777" w:rsidTr="007B5338">
              <w:trPr>
                <w:tblCellSpacing w:w="0" w:type="dxa"/>
              </w:trPr>
              <w:tc>
                <w:tcPr>
                  <w:tcW w:w="6" w:type="dxa"/>
                  <w:hideMark/>
                </w:tcPr>
                <w:p w14:paraId="52B526D4" w14:textId="77777777" w:rsidR="001E1112" w:rsidRPr="00317ABF" w:rsidRDefault="001E1112" w:rsidP="00EE0AC3">
                  <w:pPr>
                    <w:framePr w:hSpace="141" w:wrap="around" w:vAnchor="text" w:hAnchor="text" w:xAlign="right" w:y="1"/>
                    <w:spacing w:before="120"/>
                    <w:suppressOverlap/>
                    <w:jc w:val="both"/>
                    <w:rPr>
                      <w:sz w:val="22"/>
                      <w:szCs w:val="22"/>
                    </w:rPr>
                  </w:pPr>
                </w:p>
              </w:tc>
              <w:tc>
                <w:tcPr>
                  <w:tcW w:w="9066" w:type="dxa"/>
                  <w:hideMark/>
                </w:tcPr>
                <w:p w14:paraId="461EE241" w14:textId="77777777" w:rsidR="001E1112" w:rsidRPr="00317ABF" w:rsidRDefault="001E1112" w:rsidP="00EE0AC3">
                  <w:pPr>
                    <w:framePr w:hSpace="141" w:wrap="around" w:vAnchor="text" w:hAnchor="text" w:xAlign="right" w:y="1"/>
                    <w:numPr>
                      <w:ilvl w:val="0"/>
                      <w:numId w:val="64"/>
                    </w:numPr>
                    <w:spacing w:before="120"/>
                    <w:suppressOverlap/>
                    <w:jc w:val="both"/>
                    <w:rPr>
                      <w:sz w:val="22"/>
                      <w:szCs w:val="22"/>
                    </w:rPr>
                  </w:pPr>
                  <w:r w:rsidRPr="00317ABF">
                    <w:rPr>
                      <w:sz w:val="22"/>
                      <w:szCs w:val="22"/>
                    </w:rPr>
                    <w:t>oferta umożliwiłaby innym współinwestorom, którzy są dostawcami sieci lub usług łączności elektronicznej, konkurowanie w skuteczny i zrównoważony sposób w długiej perspektywie na rynkach niższego szczebla, na których działa przedsiębiorstwo uznane jako posiadające znaczną pozycję rynkową, na warunkach, które obejmują między innymi:</w:t>
                  </w:r>
                </w:p>
                <w:tbl>
                  <w:tblPr>
                    <w:tblW w:w="5000" w:type="pct"/>
                    <w:tblCellSpacing w:w="0" w:type="dxa"/>
                    <w:tblLayout w:type="fixed"/>
                    <w:tblCellMar>
                      <w:left w:w="0" w:type="dxa"/>
                      <w:right w:w="0" w:type="dxa"/>
                    </w:tblCellMar>
                    <w:tblLook w:val="04A0" w:firstRow="1" w:lastRow="0" w:firstColumn="1" w:lastColumn="0" w:noHBand="0" w:noVBand="1"/>
                  </w:tblPr>
                  <w:tblGrid>
                    <w:gridCol w:w="20"/>
                    <w:gridCol w:w="4128"/>
                  </w:tblGrid>
                  <w:tr w:rsidR="001E1112" w:rsidRPr="00317ABF" w14:paraId="18A5E3CD" w14:textId="77777777" w:rsidTr="007B5338">
                    <w:trPr>
                      <w:tblCellSpacing w:w="0" w:type="dxa"/>
                    </w:trPr>
                    <w:tc>
                      <w:tcPr>
                        <w:tcW w:w="6" w:type="dxa"/>
                        <w:hideMark/>
                      </w:tcPr>
                      <w:p w14:paraId="032000A8" w14:textId="77777777" w:rsidR="001E1112" w:rsidRPr="00317ABF" w:rsidRDefault="001E1112" w:rsidP="00EE0AC3">
                        <w:pPr>
                          <w:framePr w:hSpace="141" w:wrap="around" w:vAnchor="text" w:hAnchor="text" w:xAlign="right" w:y="1"/>
                          <w:spacing w:before="120"/>
                          <w:suppressOverlap/>
                          <w:jc w:val="both"/>
                          <w:rPr>
                            <w:sz w:val="22"/>
                            <w:szCs w:val="22"/>
                          </w:rPr>
                        </w:pPr>
                      </w:p>
                    </w:tc>
                    <w:tc>
                      <w:tcPr>
                        <w:tcW w:w="9060" w:type="dxa"/>
                        <w:hideMark/>
                      </w:tcPr>
                      <w:p w14:paraId="35697966" w14:textId="77777777" w:rsidR="001E1112" w:rsidRPr="00317ABF" w:rsidRDefault="001E1112" w:rsidP="00EE0AC3">
                        <w:pPr>
                          <w:framePr w:hSpace="141" w:wrap="around" w:vAnchor="text" w:hAnchor="text" w:xAlign="right" w:y="1"/>
                          <w:numPr>
                            <w:ilvl w:val="0"/>
                            <w:numId w:val="65"/>
                          </w:numPr>
                          <w:spacing w:before="120"/>
                          <w:suppressOverlap/>
                          <w:jc w:val="both"/>
                          <w:rPr>
                            <w:sz w:val="22"/>
                            <w:szCs w:val="22"/>
                          </w:rPr>
                        </w:pPr>
                        <w:r w:rsidRPr="00317ABF">
                          <w:rPr>
                            <w:sz w:val="22"/>
                            <w:szCs w:val="22"/>
                          </w:rPr>
                          <w:t>uczciwe, racjonalne i niedyskryminacyjne warunki umożliwiające dostęp do pełnych przepustowości sieci w zakresie, w jakim podlega ona współinwestowaniu;</w:t>
                        </w:r>
                      </w:p>
                    </w:tc>
                  </w:tr>
                </w:tbl>
                <w:p w14:paraId="442B47C1" w14:textId="77777777" w:rsidR="001E1112" w:rsidRPr="00317ABF" w:rsidRDefault="001E1112" w:rsidP="00EE0AC3">
                  <w:pPr>
                    <w:framePr w:hSpace="141" w:wrap="around" w:vAnchor="text" w:hAnchor="text" w:xAlign="right" w:y="1"/>
                    <w:suppressOverlap/>
                    <w:jc w:val="both"/>
                    <w:rPr>
                      <w:vanish/>
                      <w:sz w:val="22"/>
                      <w:szCs w:val="22"/>
                    </w:rPr>
                  </w:pPr>
                </w:p>
                <w:tbl>
                  <w:tblPr>
                    <w:tblW w:w="5000" w:type="pct"/>
                    <w:tblCellSpacing w:w="0" w:type="dxa"/>
                    <w:tblLayout w:type="fixed"/>
                    <w:tblCellMar>
                      <w:left w:w="0" w:type="dxa"/>
                      <w:right w:w="0" w:type="dxa"/>
                    </w:tblCellMar>
                    <w:tblLook w:val="04A0" w:firstRow="1" w:lastRow="0" w:firstColumn="1" w:lastColumn="0" w:noHBand="0" w:noVBand="1"/>
                  </w:tblPr>
                  <w:tblGrid>
                    <w:gridCol w:w="20"/>
                    <w:gridCol w:w="4128"/>
                  </w:tblGrid>
                  <w:tr w:rsidR="001E1112" w:rsidRPr="00317ABF" w14:paraId="666365CC" w14:textId="77777777" w:rsidTr="007B5338">
                    <w:trPr>
                      <w:tblCellSpacing w:w="0" w:type="dxa"/>
                    </w:trPr>
                    <w:tc>
                      <w:tcPr>
                        <w:tcW w:w="7" w:type="dxa"/>
                        <w:hideMark/>
                      </w:tcPr>
                      <w:p w14:paraId="701ACD31" w14:textId="77777777" w:rsidR="001E1112" w:rsidRPr="00317ABF" w:rsidRDefault="001E1112" w:rsidP="00EE0AC3">
                        <w:pPr>
                          <w:framePr w:hSpace="141" w:wrap="around" w:vAnchor="text" w:hAnchor="text" w:xAlign="right" w:y="1"/>
                          <w:spacing w:before="120"/>
                          <w:suppressOverlap/>
                          <w:jc w:val="both"/>
                          <w:rPr>
                            <w:sz w:val="22"/>
                            <w:szCs w:val="22"/>
                          </w:rPr>
                        </w:pPr>
                      </w:p>
                    </w:tc>
                    <w:tc>
                      <w:tcPr>
                        <w:tcW w:w="9059" w:type="dxa"/>
                        <w:hideMark/>
                      </w:tcPr>
                      <w:p w14:paraId="1EE61990" w14:textId="77777777" w:rsidR="001E1112" w:rsidRPr="00317ABF" w:rsidRDefault="001E1112" w:rsidP="00EE0AC3">
                        <w:pPr>
                          <w:framePr w:hSpace="141" w:wrap="around" w:vAnchor="text" w:hAnchor="text" w:xAlign="right" w:y="1"/>
                          <w:numPr>
                            <w:ilvl w:val="0"/>
                            <w:numId w:val="65"/>
                          </w:numPr>
                          <w:spacing w:before="120"/>
                          <w:suppressOverlap/>
                          <w:jc w:val="both"/>
                          <w:rPr>
                            <w:sz w:val="22"/>
                            <w:szCs w:val="22"/>
                          </w:rPr>
                        </w:pPr>
                        <w:r w:rsidRPr="00317ABF">
                          <w:rPr>
                            <w:sz w:val="22"/>
                            <w:szCs w:val="22"/>
                          </w:rPr>
                          <w:t>elastyczność, jeśli chodzi o wartość i moment udziału każdego współinwestora;</w:t>
                        </w:r>
                      </w:p>
                    </w:tc>
                  </w:tr>
                </w:tbl>
                <w:p w14:paraId="1DAA3989" w14:textId="77777777" w:rsidR="001E1112" w:rsidRPr="00317ABF" w:rsidRDefault="001E1112" w:rsidP="00EE0AC3">
                  <w:pPr>
                    <w:framePr w:hSpace="141" w:wrap="around" w:vAnchor="text" w:hAnchor="text" w:xAlign="right" w:y="1"/>
                    <w:suppressOverlap/>
                    <w:jc w:val="both"/>
                    <w:rPr>
                      <w:vanish/>
                      <w:sz w:val="22"/>
                      <w:szCs w:val="22"/>
                    </w:rPr>
                  </w:pPr>
                </w:p>
                <w:tbl>
                  <w:tblPr>
                    <w:tblW w:w="5000" w:type="pct"/>
                    <w:tblCellSpacing w:w="0" w:type="dxa"/>
                    <w:tblLayout w:type="fixed"/>
                    <w:tblCellMar>
                      <w:left w:w="0" w:type="dxa"/>
                      <w:right w:w="0" w:type="dxa"/>
                    </w:tblCellMar>
                    <w:tblLook w:val="04A0" w:firstRow="1" w:lastRow="0" w:firstColumn="1" w:lastColumn="0" w:noHBand="0" w:noVBand="1"/>
                  </w:tblPr>
                  <w:tblGrid>
                    <w:gridCol w:w="20"/>
                    <w:gridCol w:w="4128"/>
                  </w:tblGrid>
                  <w:tr w:rsidR="001E1112" w:rsidRPr="00317ABF" w14:paraId="5F22DADA" w14:textId="77777777" w:rsidTr="007B5338">
                    <w:trPr>
                      <w:tblCellSpacing w:w="0" w:type="dxa"/>
                    </w:trPr>
                    <w:tc>
                      <w:tcPr>
                        <w:tcW w:w="10" w:type="dxa"/>
                        <w:hideMark/>
                      </w:tcPr>
                      <w:p w14:paraId="086EF7B1" w14:textId="77777777" w:rsidR="001E1112" w:rsidRPr="00317ABF" w:rsidRDefault="001E1112" w:rsidP="00EE0AC3">
                        <w:pPr>
                          <w:framePr w:hSpace="141" w:wrap="around" w:vAnchor="text" w:hAnchor="text" w:xAlign="right" w:y="1"/>
                          <w:spacing w:before="120"/>
                          <w:suppressOverlap/>
                          <w:jc w:val="both"/>
                          <w:rPr>
                            <w:sz w:val="22"/>
                            <w:szCs w:val="22"/>
                          </w:rPr>
                        </w:pPr>
                      </w:p>
                    </w:tc>
                    <w:tc>
                      <w:tcPr>
                        <w:tcW w:w="9056" w:type="dxa"/>
                        <w:hideMark/>
                      </w:tcPr>
                      <w:p w14:paraId="5F343785" w14:textId="77777777" w:rsidR="001E1112" w:rsidRPr="00317ABF" w:rsidRDefault="001E1112" w:rsidP="00EE0AC3">
                        <w:pPr>
                          <w:framePr w:hSpace="141" w:wrap="around" w:vAnchor="text" w:hAnchor="text" w:xAlign="right" w:y="1"/>
                          <w:numPr>
                            <w:ilvl w:val="0"/>
                            <w:numId w:val="65"/>
                          </w:numPr>
                          <w:spacing w:before="120"/>
                          <w:suppressOverlap/>
                          <w:jc w:val="both"/>
                          <w:rPr>
                            <w:sz w:val="22"/>
                            <w:szCs w:val="22"/>
                          </w:rPr>
                        </w:pPr>
                        <w:r w:rsidRPr="00317ABF">
                          <w:rPr>
                            <w:sz w:val="22"/>
                            <w:szCs w:val="22"/>
                          </w:rPr>
                          <w:t>możliwość zwiększenia tego udziału w przyszłości; oraz</w:t>
                        </w:r>
                      </w:p>
                    </w:tc>
                  </w:tr>
                </w:tbl>
                <w:p w14:paraId="1D5FD264" w14:textId="77777777" w:rsidR="001E1112" w:rsidRPr="00317ABF" w:rsidRDefault="001E1112" w:rsidP="00EE0AC3">
                  <w:pPr>
                    <w:framePr w:hSpace="141" w:wrap="around" w:vAnchor="text" w:hAnchor="text" w:xAlign="right" w:y="1"/>
                    <w:suppressOverlap/>
                    <w:jc w:val="both"/>
                    <w:rPr>
                      <w:vanish/>
                      <w:sz w:val="22"/>
                      <w:szCs w:val="22"/>
                    </w:rPr>
                  </w:pPr>
                </w:p>
                <w:tbl>
                  <w:tblPr>
                    <w:tblW w:w="5000" w:type="pct"/>
                    <w:tblCellSpacing w:w="0" w:type="dxa"/>
                    <w:tblLayout w:type="fixed"/>
                    <w:tblCellMar>
                      <w:left w:w="0" w:type="dxa"/>
                      <w:right w:w="0" w:type="dxa"/>
                    </w:tblCellMar>
                    <w:tblLook w:val="04A0" w:firstRow="1" w:lastRow="0" w:firstColumn="1" w:lastColumn="0" w:noHBand="0" w:noVBand="1"/>
                  </w:tblPr>
                  <w:tblGrid>
                    <w:gridCol w:w="20"/>
                    <w:gridCol w:w="4128"/>
                  </w:tblGrid>
                  <w:tr w:rsidR="001E1112" w:rsidRPr="00317ABF" w14:paraId="6D4B84D3" w14:textId="77777777" w:rsidTr="007B5338">
                    <w:trPr>
                      <w:tblCellSpacing w:w="0" w:type="dxa"/>
                    </w:trPr>
                    <w:tc>
                      <w:tcPr>
                        <w:tcW w:w="6" w:type="dxa"/>
                        <w:hideMark/>
                      </w:tcPr>
                      <w:p w14:paraId="19244D31" w14:textId="77777777" w:rsidR="001E1112" w:rsidRPr="00317ABF" w:rsidRDefault="001E1112" w:rsidP="00EE0AC3">
                        <w:pPr>
                          <w:framePr w:hSpace="141" w:wrap="around" w:vAnchor="text" w:hAnchor="text" w:xAlign="right" w:y="1"/>
                          <w:spacing w:before="120"/>
                          <w:suppressOverlap/>
                          <w:jc w:val="both"/>
                          <w:rPr>
                            <w:sz w:val="22"/>
                            <w:szCs w:val="22"/>
                          </w:rPr>
                        </w:pPr>
                      </w:p>
                    </w:tc>
                    <w:tc>
                      <w:tcPr>
                        <w:tcW w:w="9060" w:type="dxa"/>
                        <w:hideMark/>
                      </w:tcPr>
                      <w:p w14:paraId="2D63F4AC" w14:textId="77777777" w:rsidR="001E1112" w:rsidRPr="00317ABF" w:rsidRDefault="001E1112" w:rsidP="00EE0AC3">
                        <w:pPr>
                          <w:framePr w:hSpace="141" w:wrap="around" w:vAnchor="text" w:hAnchor="text" w:xAlign="right" w:y="1"/>
                          <w:numPr>
                            <w:ilvl w:val="0"/>
                            <w:numId w:val="64"/>
                          </w:numPr>
                          <w:spacing w:before="120"/>
                          <w:suppressOverlap/>
                          <w:jc w:val="both"/>
                          <w:rPr>
                            <w:sz w:val="22"/>
                            <w:szCs w:val="22"/>
                          </w:rPr>
                        </w:pPr>
                        <w:r w:rsidRPr="00317ABF">
                          <w:rPr>
                            <w:sz w:val="22"/>
                            <w:szCs w:val="22"/>
                          </w:rPr>
                          <w:t>wzajemne prawa przyznane przez współinwestorów po realizacji infrastruktury będącej przedmiotem współinwestycji;</w:t>
                        </w:r>
                      </w:p>
                    </w:tc>
                  </w:tr>
                </w:tbl>
                <w:p w14:paraId="644F1F94" w14:textId="77777777" w:rsidR="001E1112" w:rsidRPr="00317ABF" w:rsidRDefault="001E1112" w:rsidP="00EE0AC3">
                  <w:pPr>
                    <w:framePr w:hSpace="141" w:wrap="around" w:vAnchor="text" w:hAnchor="text" w:xAlign="right" w:y="1"/>
                    <w:suppressOverlap/>
                    <w:jc w:val="both"/>
                    <w:rPr>
                      <w:sz w:val="22"/>
                      <w:szCs w:val="22"/>
                    </w:rPr>
                  </w:pPr>
                </w:p>
              </w:tc>
            </w:tr>
          </w:tbl>
          <w:p w14:paraId="27F67B3C" w14:textId="77777777" w:rsidR="001E1112" w:rsidRPr="00317ABF" w:rsidRDefault="001E1112" w:rsidP="00DB3BEC">
            <w:pPr>
              <w:jc w:val="both"/>
              <w:rPr>
                <w:vanish/>
                <w:sz w:val="22"/>
                <w:szCs w:val="22"/>
              </w:rPr>
            </w:pPr>
          </w:p>
          <w:tbl>
            <w:tblPr>
              <w:tblW w:w="5000" w:type="pct"/>
              <w:tblCellSpacing w:w="0" w:type="dxa"/>
              <w:tblLayout w:type="fixed"/>
              <w:tblCellMar>
                <w:left w:w="0" w:type="dxa"/>
                <w:right w:w="0" w:type="dxa"/>
              </w:tblCellMar>
              <w:tblLook w:val="04A0" w:firstRow="1" w:lastRow="0" w:firstColumn="1" w:lastColumn="0" w:noHBand="0" w:noVBand="1"/>
            </w:tblPr>
            <w:tblGrid>
              <w:gridCol w:w="20"/>
              <w:gridCol w:w="4148"/>
            </w:tblGrid>
            <w:tr w:rsidR="001E1112" w:rsidRPr="00317ABF" w14:paraId="6E38AEED" w14:textId="77777777" w:rsidTr="007B5338">
              <w:trPr>
                <w:tblCellSpacing w:w="0" w:type="dxa"/>
              </w:trPr>
              <w:tc>
                <w:tcPr>
                  <w:tcW w:w="6" w:type="dxa"/>
                  <w:hideMark/>
                </w:tcPr>
                <w:p w14:paraId="3271F007" w14:textId="77777777" w:rsidR="001E1112" w:rsidRPr="00317ABF" w:rsidRDefault="001E1112" w:rsidP="00EE0AC3">
                  <w:pPr>
                    <w:framePr w:hSpace="141" w:wrap="around" w:vAnchor="text" w:hAnchor="text" w:xAlign="right" w:y="1"/>
                    <w:spacing w:before="120"/>
                    <w:suppressOverlap/>
                    <w:jc w:val="both"/>
                    <w:rPr>
                      <w:sz w:val="22"/>
                      <w:szCs w:val="22"/>
                    </w:rPr>
                  </w:pPr>
                </w:p>
              </w:tc>
              <w:tc>
                <w:tcPr>
                  <w:tcW w:w="9066" w:type="dxa"/>
                  <w:hideMark/>
                </w:tcPr>
                <w:p w14:paraId="393B52BA" w14:textId="77777777" w:rsidR="001E1112" w:rsidRPr="00317ABF" w:rsidRDefault="001E1112" w:rsidP="00EE0AC3">
                  <w:pPr>
                    <w:framePr w:hSpace="141" w:wrap="around" w:vAnchor="text" w:hAnchor="text" w:xAlign="right" w:y="1"/>
                    <w:numPr>
                      <w:ilvl w:val="0"/>
                      <w:numId w:val="64"/>
                    </w:numPr>
                    <w:spacing w:before="120"/>
                    <w:suppressOverlap/>
                    <w:jc w:val="both"/>
                    <w:rPr>
                      <w:sz w:val="22"/>
                      <w:szCs w:val="22"/>
                    </w:rPr>
                  </w:pPr>
                  <w:r w:rsidRPr="00317ABF">
                    <w:rPr>
                      <w:sz w:val="22"/>
                      <w:szCs w:val="22"/>
                    </w:rPr>
                    <w:t>oferta jest podawana do wiadomości publicznej przez przedsiębiorstwa w odpowiednim czasie i jeżeli przedsiębiorstwo nie spełnia kryteriów wymienionych w art. 80 ust. 1 co najmniej sześć miesięcy przed rozpoczęciem realizacji nowej sieci. okres ten może zostać przedłużony w zależności od okoliczności krajowych;</w:t>
                  </w:r>
                </w:p>
              </w:tc>
            </w:tr>
          </w:tbl>
          <w:p w14:paraId="115D8599" w14:textId="77777777" w:rsidR="001E1112" w:rsidRPr="00317ABF" w:rsidRDefault="001E1112" w:rsidP="00DB3BEC">
            <w:pPr>
              <w:jc w:val="both"/>
              <w:rPr>
                <w:vanish/>
                <w:sz w:val="22"/>
                <w:szCs w:val="22"/>
              </w:rPr>
            </w:pPr>
          </w:p>
          <w:tbl>
            <w:tblPr>
              <w:tblW w:w="5000" w:type="pct"/>
              <w:tblCellSpacing w:w="0" w:type="dxa"/>
              <w:tblLayout w:type="fixed"/>
              <w:tblCellMar>
                <w:left w:w="0" w:type="dxa"/>
                <w:right w:w="0" w:type="dxa"/>
              </w:tblCellMar>
              <w:tblLook w:val="04A0" w:firstRow="1" w:lastRow="0" w:firstColumn="1" w:lastColumn="0" w:noHBand="0" w:noVBand="1"/>
            </w:tblPr>
            <w:tblGrid>
              <w:gridCol w:w="20"/>
              <w:gridCol w:w="4148"/>
            </w:tblGrid>
            <w:tr w:rsidR="001E1112" w:rsidRPr="00317ABF" w14:paraId="3FA490CA" w14:textId="77777777" w:rsidTr="007B5338">
              <w:trPr>
                <w:tblCellSpacing w:w="0" w:type="dxa"/>
              </w:trPr>
              <w:tc>
                <w:tcPr>
                  <w:tcW w:w="6" w:type="dxa"/>
                  <w:hideMark/>
                </w:tcPr>
                <w:p w14:paraId="0084921B" w14:textId="77777777" w:rsidR="001E1112" w:rsidRPr="00317ABF" w:rsidRDefault="001E1112" w:rsidP="00EE0AC3">
                  <w:pPr>
                    <w:framePr w:hSpace="141" w:wrap="around" w:vAnchor="text" w:hAnchor="text" w:xAlign="right" w:y="1"/>
                    <w:spacing w:before="120"/>
                    <w:suppressOverlap/>
                    <w:jc w:val="both"/>
                    <w:rPr>
                      <w:sz w:val="22"/>
                      <w:szCs w:val="22"/>
                    </w:rPr>
                  </w:pPr>
                </w:p>
              </w:tc>
              <w:tc>
                <w:tcPr>
                  <w:tcW w:w="9066" w:type="dxa"/>
                  <w:hideMark/>
                </w:tcPr>
                <w:p w14:paraId="6706D030" w14:textId="77777777" w:rsidR="001E1112" w:rsidRPr="00317ABF" w:rsidRDefault="001E1112" w:rsidP="00EE0AC3">
                  <w:pPr>
                    <w:framePr w:hSpace="141" w:wrap="around" w:vAnchor="text" w:hAnchor="text" w:xAlign="right" w:y="1"/>
                    <w:numPr>
                      <w:ilvl w:val="0"/>
                      <w:numId w:val="64"/>
                    </w:numPr>
                    <w:spacing w:before="120"/>
                    <w:suppressOverlap/>
                    <w:jc w:val="both"/>
                    <w:rPr>
                      <w:sz w:val="22"/>
                      <w:szCs w:val="22"/>
                    </w:rPr>
                  </w:pPr>
                  <w:r w:rsidRPr="00317ABF">
                    <w:rPr>
                      <w:sz w:val="22"/>
                      <w:szCs w:val="22"/>
                    </w:rPr>
                    <w:t xml:space="preserve">podmioty ubiegające się o dostęp, które nie uczestniczą we współinwestycji, mogą od samego początku korzystać z takiej samej jakości, szybkości przesyłu danych, warunków i możliwości dotarcia do użytkowników końcowych jak przed realizacją, przy uzupełnieniu mechanizmem dostosowania w miarę upływu czasu, potwierdzonym przez krajowy organ regulacyjny w świetle rozwoju sytuacji na powiązanych rynkach detalicznych, przy czym mechanizm ten zachowuje zachęty do udziału we współinwestycji; taki mechanizm musi zapewniać, aby podmioty ubiegające się o dostęp miały dostęp do elementów sieci o bardzo dużej przepustowości zarówno w czasie, jak i na podstawie przejrzystych i niedyskryminujących </w:t>
                  </w:r>
                  <w:r w:rsidRPr="00317ABF">
                    <w:rPr>
                      <w:sz w:val="22"/>
                      <w:szCs w:val="22"/>
                    </w:rPr>
                    <w:lastRenderedPageBreak/>
                    <w:t>warunków, które odpowiednio uwzględniają stopnie ryzyka ponoszonego przez poszczególnych współinwestorów na różnych etapach realizacji oraz biorą pod uwagę sytuację na rynkach detalicznych pod kątem konkurencji;</w:t>
                  </w:r>
                </w:p>
              </w:tc>
            </w:tr>
          </w:tbl>
          <w:p w14:paraId="475DE10E" w14:textId="77777777" w:rsidR="001E1112" w:rsidRPr="00317ABF" w:rsidRDefault="001E1112" w:rsidP="00DB3BEC">
            <w:pPr>
              <w:jc w:val="both"/>
              <w:rPr>
                <w:vanish/>
                <w:sz w:val="22"/>
                <w:szCs w:val="22"/>
              </w:rPr>
            </w:pPr>
          </w:p>
          <w:tbl>
            <w:tblPr>
              <w:tblW w:w="5000" w:type="pct"/>
              <w:tblCellSpacing w:w="0" w:type="dxa"/>
              <w:tblLayout w:type="fixed"/>
              <w:tblCellMar>
                <w:left w:w="0" w:type="dxa"/>
                <w:right w:w="0" w:type="dxa"/>
              </w:tblCellMar>
              <w:tblLook w:val="04A0" w:firstRow="1" w:lastRow="0" w:firstColumn="1" w:lastColumn="0" w:noHBand="0" w:noVBand="1"/>
            </w:tblPr>
            <w:tblGrid>
              <w:gridCol w:w="20"/>
              <w:gridCol w:w="4148"/>
            </w:tblGrid>
            <w:tr w:rsidR="001E1112" w:rsidRPr="00317ABF" w14:paraId="6771E492" w14:textId="77777777" w:rsidTr="007B5338">
              <w:trPr>
                <w:tblCellSpacing w:w="0" w:type="dxa"/>
              </w:trPr>
              <w:tc>
                <w:tcPr>
                  <w:tcW w:w="6" w:type="dxa"/>
                  <w:hideMark/>
                </w:tcPr>
                <w:p w14:paraId="70878C91" w14:textId="77777777" w:rsidR="001E1112" w:rsidRPr="00317ABF" w:rsidRDefault="001E1112" w:rsidP="00EE0AC3">
                  <w:pPr>
                    <w:framePr w:hSpace="141" w:wrap="around" w:vAnchor="text" w:hAnchor="text" w:xAlign="right" w:y="1"/>
                    <w:spacing w:before="120"/>
                    <w:suppressOverlap/>
                    <w:jc w:val="both"/>
                    <w:rPr>
                      <w:sz w:val="22"/>
                      <w:szCs w:val="22"/>
                    </w:rPr>
                  </w:pPr>
                </w:p>
              </w:tc>
              <w:tc>
                <w:tcPr>
                  <w:tcW w:w="9066" w:type="dxa"/>
                  <w:hideMark/>
                </w:tcPr>
                <w:p w14:paraId="0320016A" w14:textId="77777777" w:rsidR="001E1112" w:rsidRPr="00317ABF" w:rsidRDefault="001E1112" w:rsidP="00EE0AC3">
                  <w:pPr>
                    <w:framePr w:hSpace="141" w:wrap="around" w:vAnchor="text" w:hAnchor="text" w:xAlign="right" w:y="1"/>
                    <w:numPr>
                      <w:ilvl w:val="0"/>
                      <w:numId w:val="64"/>
                    </w:numPr>
                    <w:spacing w:before="120"/>
                    <w:suppressOverlap/>
                    <w:jc w:val="both"/>
                    <w:rPr>
                      <w:sz w:val="22"/>
                      <w:szCs w:val="22"/>
                    </w:rPr>
                  </w:pPr>
                  <w:r w:rsidRPr="00317ABF">
                    <w:rPr>
                      <w:sz w:val="22"/>
                      <w:szCs w:val="22"/>
                    </w:rPr>
                    <w:t>oferta spełnia co najmniej kryteria określone w załączniku IV i jest sporządzana w dobrej wierze.</w:t>
                  </w:r>
                </w:p>
              </w:tc>
            </w:tr>
          </w:tbl>
          <w:p w14:paraId="35062C13" w14:textId="77777777" w:rsidR="001E1112" w:rsidRPr="00317ABF" w:rsidRDefault="001E1112" w:rsidP="00DB3BEC">
            <w:pPr>
              <w:spacing w:before="120"/>
              <w:jc w:val="both"/>
              <w:rPr>
                <w:sz w:val="22"/>
                <w:szCs w:val="22"/>
              </w:rPr>
            </w:pPr>
          </w:p>
        </w:tc>
        <w:tc>
          <w:tcPr>
            <w:tcW w:w="986" w:type="dxa"/>
          </w:tcPr>
          <w:p w14:paraId="6538E8BC" w14:textId="6824159C" w:rsidR="001E1112" w:rsidRPr="00317ABF" w:rsidRDefault="001E1112" w:rsidP="00DB3BEC">
            <w:pPr>
              <w:jc w:val="both"/>
              <w:rPr>
                <w:sz w:val="22"/>
                <w:szCs w:val="22"/>
              </w:rPr>
            </w:pPr>
            <w:r w:rsidRPr="00317ABF">
              <w:rPr>
                <w:sz w:val="22"/>
                <w:szCs w:val="22"/>
              </w:rPr>
              <w:lastRenderedPageBreak/>
              <w:t>T</w:t>
            </w:r>
          </w:p>
        </w:tc>
        <w:tc>
          <w:tcPr>
            <w:tcW w:w="910" w:type="dxa"/>
          </w:tcPr>
          <w:p w14:paraId="2C77CC31" w14:textId="6F7227CA" w:rsidR="001E1112" w:rsidRPr="00317ABF" w:rsidRDefault="0017007C" w:rsidP="00DB3BEC">
            <w:pPr>
              <w:pStyle w:val="Tekstpodstawowy"/>
              <w:rPr>
                <w:b/>
                <w:bCs/>
                <w:noProof/>
                <w:sz w:val="22"/>
                <w:szCs w:val="22"/>
              </w:rPr>
            </w:pPr>
            <w:r w:rsidRPr="00317ABF">
              <w:rPr>
                <w:b/>
                <w:bCs/>
                <w:noProof/>
                <w:sz w:val="22"/>
                <w:szCs w:val="22"/>
              </w:rPr>
              <w:t>Art. 244</w:t>
            </w:r>
            <w:r w:rsidR="00550765" w:rsidRPr="00317ABF">
              <w:rPr>
                <w:b/>
                <w:bCs/>
                <w:noProof/>
                <w:sz w:val="22"/>
                <w:szCs w:val="22"/>
              </w:rPr>
              <w:t>-250</w:t>
            </w:r>
            <w:r w:rsidR="001E1112" w:rsidRPr="00317ABF">
              <w:rPr>
                <w:b/>
                <w:bCs/>
                <w:noProof/>
                <w:sz w:val="22"/>
                <w:szCs w:val="22"/>
              </w:rPr>
              <w:t xml:space="preserve"> w zw z </w:t>
            </w:r>
            <w:r w:rsidRPr="00317ABF">
              <w:rPr>
                <w:b/>
                <w:bCs/>
                <w:noProof/>
                <w:sz w:val="22"/>
                <w:szCs w:val="22"/>
              </w:rPr>
              <w:t>art. 237</w:t>
            </w:r>
          </w:p>
          <w:p w14:paraId="5ED430E7" w14:textId="7338530E" w:rsidR="001E1112" w:rsidRPr="00317ABF" w:rsidRDefault="001E1112" w:rsidP="00DB3BEC">
            <w:pPr>
              <w:pStyle w:val="Tekstpodstawowy"/>
              <w:rPr>
                <w:b/>
                <w:bCs/>
                <w:noProof/>
                <w:sz w:val="22"/>
                <w:szCs w:val="22"/>
              </w:rPr>
            </w:pPr>
          </w:p>
          <w:p w14:paraId="04684296" w14:textId="535BA331" w:rsidR="001E1112" w:rsidRPr="00317ABF" w:rsidRDefault="001E1112" w:rsidP="00550765">
            <w:pPr>
              <w:pStyle w:val="Tekstpodstawowy"/>
              <w:rPr>
                <w:b/>
                <w:sz w:val="22"/>
                <w:szCs w:val="22"/>
              </w:rPr>
            </w:pPr>
          </w:p>
        </w:tc>
        <w:tc>
          <w:tcPr>
            <w:tcW w:w="6814" w:type="dxa"/>
            <w:gridSpan w:val="2"/>
          </w:tcPr>
          <w:p w14:paraId="729BECEB" w14:textId="77777777" w:rsidR="0017007C" w:rsidRPr="00317ABF" w:rsidRDefault="0017007C" w:rsidP="0017007C">
            <w:pPr>
              <w:pStyle w:val="Tekstpodstawowy"/>
              <w:rPr>
                <w:sz w:val="22"/>
                <w:szCs w:val="22"/>
              </w:rPr>
            </w:pPr>
            <w:r w:rsidRPr="00317ABF">
              <w:rPr>
                <w:sz w:val="22"/>
                <w:szCs w:val="22"/>
              </w:rPr>
              <w:t>Art. 244. W przypadku, gdy propozycja zobowiązań, o której mowa w art. 237 ust. 1 pkt 2, dotyczy rozpoczęcia realizacji nowej sieci, o której mowa w art. 2 pkt 58 lit. a lub b,  w tym przez zaoferowanie współwłasności, długoterminowego dzielenia ryzyka przez współfinansowanie lub umowy zakupu prowadzącej do uzyskania szczególnych praw o charakterze strukturalnym przez innych przedsiębiorców komunikacji elektronicznej, Prezes UKE:</w:t>
            </w:r>
          </w:p>
          <w:p w14:paraId="62DCDFCA" w14:textId="77777777" w:rsidR="0017007C" w:rsidRPr="00317ABF" w:rsidRDefault="0017007C" w:rsidP="0017007C">
            <w:pPr>
              <w:pStyle w:val="Tekstpodstawowy"/>
              <w:rPr>
                <w:sz w:val="22"/>
                <w:szCs w:val="22"/>
              </w:rPr>
            </w:pPr>
            <w:r w:rsidRPr="00317ABF">
              <w:rPr>
                <w:sz w:val="22"/>
                <w:szCs w:val="22"/>
              </w:rPr>
              <w:t>1)</w:t>
            </w:r>
            <w:r w:rsidRPr="00317ABF">
              <w:rPr>
                <w:sz w:val="22"/>
                <w:szCs w:val="22"/>
              </w:rPr>
              <w:tab/>
              <w:t>weryfikuje udostępnienie na stronie internetowej przedsiębiorcy komunikacji elektronicznej posiadającego znaczącą pozycję rynkową, ofertę współinwestycji i łatwość  zapoznania się z nią;</w:t>
            </w:r>
          </w:p>
          <w:p w14:paraId="4E82424A" w14:textId="77777777" w:rsidR="0017007C" w:rsidRPr="00317ABF" w:rsidRDefault="0017007C" w:rsidP="0017007C">
            <w:pPr>
              <w:pStyle w:val="Tekstpodstawowy"/>
              <w:rPr>
                <w:sz w:val="22"/>
                <w:szCs w:val="22"/>
              </w:rPr>
            </w:pPr>
            <w:r w:rsidRPr="00317ABF">
              <w:rPr>
                <w:sz w:val="22"/>
                <w:szCs w:val="22"/>
              </w:rPr>
              <w:t>2)</w:t>
            </w:r>
            <w:r w:rsidRPr="00317ABF">
              <w:rPr>
                <w:sz w:val="22"/>
                <w:szCs w:val="22"/>
              </w:rPr>
              <w:tab/>
              <w:t>ocenia otwartość oferty współinwestycji dla wszystkich przedsiębiorców komunikacji elektronicznej przez cały okres eksploatacji sieci, o której mowa w art. 2 pkt 58 lit. a lub b;</w:t>
            </w:r>
          </w:p>
          <w:p w14:paraId="7635FF06" w14:textId="77777777" w:rsidR="0017007C" w:rsidRPr="00317ABF" w:rsidRDefault="0017007C" w:rsidP="0017007C">
            <w:pPr>
              <w:pStyle w:val="Tekstpodstawowy"/>
              <w:rPr>
                <w:sz w:val="22"/>
                <w:szCs w:val="22"/>
              </w:rPr>
            </w:pPr>
            <w:r w:rsidRPr="00317ABF">
              <w:rPr>
                <w:sz w:val="22"/>
                <w:szCs w:val="22"/>
              </w:rPr>
              <w:t>3)</w:t>
            </w:r>
            <w:r w:rsidRPr="00317ABF">
              <w:rPr>
                <w:sz w:val="22"/>
                <w:szCs w:val="22"/>
              </w:rPr>
              <w:tab/>
              <w:t>weryfikuje możliwość zachowania skutecznej i zrównoważonej konkurencji w długiej perspektywie czasowej na rynkach detalicznych, na których działa przedsiębiorca komunikacji elektronicznej posiadający znaczącą pozycję rynkową, innym współinwestującym przedsiębiorcom komunikacji elektronicznej;</w:t>
            </w:r>
          </w:p>
          <w:p w14:paraId="108589D6" w14:textId="77777777" w:rsidR="0017007C" w:rsidRPr="00317ABF" w:rsidRDefault="0017007C" w:rsidP="0017007C">
            <w:pPr>
              <w:pStyle w:val="Tekstpodstawowy"/>
              <w:rPr>
                <w:sz w:val="22"/>
                <w:szCs w:val="22"/>
              </w:rPr>
            </w:pPr>
            <w:r w:rsidRPr="00317ABF">
              <w:rPr>
                <w:sz w:val="22"/>
                <w:szCs w:val="22"/>
              </w:rPr>
              <w:lastRenderedPageBreak/>
              <w:t>4)</w:t>
            </w:r>
            <w:r w:rsidRPr="00317ABF">
              <w:rPr>
                <w:sz w:val="22"/>
                <w:szCs w:val="22"/>
              </w:rPr>
              <w:tab/>
              <w:t>weryfikuje podanie do publicznej wiadomości oferty współinwestycji na co najmniej 6 miesięcy przed datą planowanego rozpoczęcia realizacji nowej sieci, o której mowa w art. 2 pkt 58 lit. a lub b;</w:t>
            </w:r>
          </w:p>
          <w:p w14:paraId="6E058592" w14:textId="77777777" w:rsidR="0017007C" w:rsidRPr="00317ABF" w:rsidRDefault="0017007C" w:rsidP="0017007C">
            <w:pPr>
              <w:pStyle w:val="Tekstpodstawowy"/>
              <w:rPr>
                <w:sz w:val="22"/>
                <w:szCs w:val="22"/>
              </w:rPr>
            </w:pPr>
            <w:r w:rsidRPr="00317ABF">
              <w:rPr>
                <w:sz w:val="22"/>
                <w:szCs w:val="22"/>
              </w:rPr>
              <w:t>5)</w:t>
            </w:r>
            <w:r w:rsidRPr="00317ABF">
              <w:rPr>
                <w:sz w:val="22"/>
                <w:szCs w:val="22"/>
              </w:rPr>
              <w:tab/>
              <w:t>weryfikuje możliwość korzystania przez współinwestorów od początku realizacji współinwestycji w sieci, umożliwiającej świadczenie usług o co najmniej porównywalnej jakości;</w:t>
            </w:r>
          </w:p>
          <w:p w14:paraId="64E22008" w14:textId="77777777" w:rsidR="0017007C" w:rsidRPr="00317ABF" w:rsidRDefault="0017007C" w:rsidP="0017007C">
            <w:pPr>
              <w:pStyle w:val="Tekstpodstawowy"/>
              <w:rPr>
                <w:sz w:val="22"/>
                <w:szCs w:val="22"/>
              </w:rPr>
            </w:pPr>
            <w:r w:rsidRPr="00317ABF">
              <w:rPr>
                <w:sz w:val="22"/>
                <w:szCs w:val="22"/>
              </w:rPr>
              <w:t>6)</w:t>
            </w:r>
            <w:r w:rsidRPr="00317ABF">
              <w:rPr>
                <w:sz w:val="22"/>
                <w:szCs w:val="22"/>
              </w:rPr>
              <w:tab/>
              <w:t>weryfikuje warunki współinwestycji pod względem możliwości dotarcia do użytkowników końcowych przez przedsiębiorców komunikacji elektronicznej ubiegających się o dostęp telekomunikacyjny, którzy nie uczestniczą we współinwestycji;</w:t>
            </w:r>
          </w:p>
          <w:p w14:paraId="51F3C59F" w14:textId="77777777" w:rsidR="0017007C" w:rsidRPr="00317ABF" w:rsidRDefault="0017007C" w:rsidP="0017007C">
            <w:pPr>
              <w:pStyle w:val="Tekstpodstawowy"/>
              <w:rPr>
                <w:sz w:val="22"/>
                <w:szCs w:val="22"/>
              </w:rPr>
            </w:pPr>
            <w:r w:rsidRPr="00317ABF">
              <w:rPr>
                <w:sz w:val="22"/>
                <w:szCs w:val="22"/>
              </w:rPr>
              <w:t>7)</w:t>
            </w:r>
            <w:r w:rsidRPr="00317ABF">
              <w:rPr>
                <w:sz w:val="22"/>
                <w:szCs w:val="22"/>
              </w:rPr>
              <w:tab/>
              <w:t>weryfikuje zawarte w ofercie współinwestycji warunki dotyczące zdolności finansowej podmiotu przystępującego, związane z:</w:t>
            </w:r>
          </w:p>
          <w:p w14:paraId="0FF14220" w14:textId="77777777" w:rsidR="0017007C" w:rsidRPr="00317ABF" w:rsidRDefault="0017007C" w:rsidP="0017007C">
            <w:pPr>
              <w:pStyle w:val="Tekstpodstawowy"/>
              <w:rPr>
                <w:sz w:val="22"/>
                <w:szCs w:val="22"/>
              </w:rPr>
            </w:pPr>
            <w:r w:rsidRPr="00317ABF">
              <w:rPr>
                <w:sz w:val="22"/>
                <w:szCs w:val="22"/>
              </w:rPr>
              <w:t xml:space="preserve">a) </w:t>
            </w:r>
            <w:r w:rsidRPr="00317ABF">
              <w:rPr>
                <w:sz w:val="22"/>
                <w:szCs w:val="22"/>
              </w:rPr>
              <w:tab/>
              <w:t>wykazaniem zdolności do realizowania płatności etapowych, w oparciu, o które zaplanowano świadczenie usług z użyciem infrastruktury wybudowanej w ramach współinwestycji,</w:t>
            </w:r>
          </w:p>
          <w:p w14:paraId="3582858A" w14:textId="77777777" w:rsidR="0017007C" w:rsidRPr="00317ABF" w:rsidRDefault="0017007C" w:rsidP="0017007C">
            <w:pPr>
              <w:pStyle w:val="Tekstpodstawowy"/>
              <w:rPr>
                <w:sz w:val="22"/>
                <w:szCs w:val="22"/>
              </w:rPr>
            </w:pPr>
            <w:r w:rsidRPr="00317ABF">
              <w:rPr>
                <w:sz w:val="22"/>
                <w:szCs w:val="22"/>
              </w:rPr>
              <w:t xml:space="preserve">b) </w:t>
            </w:r>
            <w:r w:rsidRPr="00317ABF">
              <w:rPr>
                <w:sz w:val="22"/>
                <w:szCs w:val="22"/>
              </w:rPr>
              <w:tab/>
              <w:t>akceptacją planu strategicznego, w oparciu o który opracowano w szczególności średniookresowe plany świadczenia usług z użyciem infrastruktury wybudowanej w ramach współinwestycji</w:t>
            </w:r>
          </w:p>
          <w:p w14:paraId="6B49D6A6" w14:textId="77777777" w:rsidR="0017007C" w:rsidRPr="00317ABF" w:rsidRDefault="0017007C" w:rsidP="0017007C">
            <w:pPr>
              <w:pStyle w:val="Tekstpodstawowy"/>
              <w:rPr>
                <w:sz w:val="22"/>
                <w:szCs w:val="22"/>
              </w:rPr>
            </w:pPr>
            <w:r w:rsidRPr="00317ABF">
              <w:rPr>
                <w:sz w:val="22"/>
                <w:szCs w:val="22"/>
              </w:rPr>
              <w:t>– o ile warunki takie zostały w ofercie współinwestycji zawarte;</w:t>
            </w:r>
          </w:p>
          <w:p w14:paraId="0ABC7E24" w14:textId="77777777" w:rsidR="0017007C" w:rsidRPr="00317ABF" w:rsidRDefault="0017007C" w:rsidP="0017007C">
            <w:pPr>
              <w:pStyle w:val="Tekstpodstawowy"/>
              <w:rPr>
                <w:sz w:val="22"/>
                <w:szCs w:val="22"/>
              </w:rPr>
            </w:pPr>
            <w:r w:rsidRPr="00317ABF">
              <w:rPr>
                <w:sz w:val="22"/>
                <w:szCs w:val="22"/>
              </w:rPr>
              <w:t>8)</w:t>
            </w:r>
            <w:r w:rsidRPr="00317ABF">
              <w:rPr>
                <w:sz w:val="22"/>
                <w:szCs w:val="22"/>
              </w:rPr>
              <w:tab/>
              <w:t>ocenia wpływ współinwestycji na poziom konkurencji, w tym analizuje zaspokojenie przyszłego popytu przez wybudowanie nowych elementów sieci, które w znacznym stopniu przyczynią się do uruchomienia sieci, o której mowa w art. 2 pkt 58 lit. a lub b.</w:t>
            </w:r>
          </w:p>
          <w:p w14:paraId="7C3FEAD7" w14:textId="77777777" w:rsidR="0017007C" w:rsidRPr="00317ABF" w:rsidRDefault="0017007C" w:rsidP="0017007C">
            <w:pPr>
              <w:pStyle w:val="Tekstpodstawowy"/>
              <w:rPr>
                <w:sz w:val="22"/>
                <w:szCs w:val="22"/>
              </w:rPr>
            </w:pPr>
            <w:r w:rsidRPr="00317ABF">
              <w:rPr>
                <w:sz w:val="22"/>
                <w:szCs w:val="22"/>
              </w:rPr>
              <w:t>Art. 245. Prezes UKE dokonując oceny, o której mowa w art. 244 pkt 2:</w:t>
            </w:r>
          </w:p>
          <w:p w14:paraId="3B212A0D" w14:textId="77777777" w:rsidR="0017007C" w:rsidRPr="00317ABF" w:rsidRDefault="0017007C" w:rsidP="0017007C">
            <w:pPr>
              <w:pStyle w:val="Tekstpodstawowy"/>
              <w:rPr>
                <w:sz w:val="22"/>
                <w:szCs w:val="22"/>
              </w:rPr>
            </w:pPr>
            <w:r w:rsidRPr="00317ABF">
              <w:rPr>
                <w:sz w:val="22"/>
                <w:szCs w:val="22"/>
              </w:rPr>
              <w:t>1)</w:t>
            </w:r>
            <w:r w:rsidRPr="00317ABF">
              <w:rPr>
                <w:sz w:val="22"/>
                <w:szCs w:val="22"/>
              </w:rPr>
              <w:tab/>
              <w:t>weryfikuje przejrzystość i niedyskryminacyjny charakter planu zawiązania i dalszej realizacji współinwestycji;</w:t>
            </w:r>
          </w:p>
          <w:p w14:paraId="0256F697" w14:textId="77777777" w:rsidR="0017007C" w:rsidRPr="00317ABF" w:rsidRDefault="0017007C" w:rsidP="0017007C">
            <w:pPr>
              <w:pStyle w:val="Tekstpodstawowy"/>
              <w:rPr>
                <w:sz w:val="22"/>
                <w:szCs w:val="22"/>
              </w:rPr>
            </w:pPr>
            <w:r w:rsidRPr="00317ABF">
              <w:rPr>
                <w:sz w:val="22"/>
                <w:szCs w:val="22"/>
              </w:rPr>
              <w:t>2)</w:t>
            </w:r>
            <w:r w:rsidRPr="00317ABF">
              <w:rPr>
                <w:sz w:val="22"/>
                <w:szCs w:val="22"/>
              </w:rPr>
              <w:tab/>
              <w:t>weryfikuje możliwość ubiegania się o dostęp telekomunikacyjny przez podmioty niebędące współinwestorami do elementów sieci o bardzo dużej przepustowości na podstawie przejrzystych i niedyskryminacyjnych warunków;</w:t>
            </w:r>
          </w:p>
          <w:p w14:paraId="5D3EA55E" w14:textId="77777777" w:rsidR="0017007C" w:rsidRPr="00317ABF" w:rsidRDefault="0017007C" w:rsidP="0017007C">
            <w:pPr>
              <w:pStyle w:val="Tekstpodstawowy"/>
              <w:rPr>
                <w:sz w:val="22"/>
                <w:szCs w:val="22"/>
              </w:rPr>
            </w:pPr>
            <w:r w:rsidRPr="00317ABF">
              <w:rPr>
                <w:sz w:val="22"/>
                <w:szCs w:val="22"/>
              </w:rPr>
              <w:t>3)</w:t>
            </w:r>
            <w:r w:rsidRPr="00317ABF">
              <w:rPr>
                <w:sz w:val="22"/>
                <w:szCs w:val="22"/>
              </w:rPr>
              <w:tab/>
              <w:t>weryfikuje postanowienia oferty współinwestycji, w tym dotyczące kosztów ponoszonych przez każdego współinwestora oraz postanowienia dotyczące osiąganych przez nich przychodów pod kątem:</w:t>
            </w:r>
          </w:p>
          <w:p w14:paraId="475AEEED" w14:textId="77777777" w:rsidR="0017007C" w:rsidRPr="00317ABF" w:rsidRDefault="0017007C" w:rsidP="0017007C">
            <w:pPr>
              <w:pStyle w:val="Tekstpodstawowy"/>
              <w:rPr>
                <w:sz w:val="22"/>
                <w:szCs w:val="22"/>
              </w:rPr>
            </w:pPr>
            <w:r w:rsidRPr="00317ABF">
              <w:rPr>
                <w:sz w:val="22"/>
                <w:szCs w:val="22"/>
              </w:rPr>
              <w:t>a)</w:t>
            </w:r>
            <w:r w:rsidRPr="00317ABF">
              <w:rPr>
                <w:sz w:val="22"/>
                <w:szCs w:val="22"/>
              </w:rPr>
              <w:tab/>
              <w:t>uwzględnienia stopni ryzyka ponoszonego przez poszczególnych współinwestorów na różnych etapach realizacji oraz sytuacji na rynkach detalicznych pod kątem poziomu konkurencji,</w:t>
            </w:r>
          </w:p>
          <w:p w14:paraId="068CDA89" w14:textId="77777777" w:rsidR="0017007C" w:rsidRPr="00317ABF" w:rsidRDefault="0017007C" w:rsidP="0017007C">
            <w:pPr>
              <w:pStyle w:val="Tekstpodstawowy"/>
              <w:rPr>
                <w:sz w:val="22"/>
                <w:szCs w:val="22"/>
              </w:rPr>
            </w:pPr>
            <w:r w:rsidRPr="00317ABF">
              <w:rPr>
                <w:sz w:val="22"/>
                <w:szCs w:val="22"/>
              </w:rPr>
              <w:t>b)</w:t>
            </w:r>
            <w:r w:rsidRPr="00317ABF">
              <w:rPr>
                <w:sz w:val="22"/>
                <w:szCs w:val="22"/>
              </w:rPr>
              <w:tab/>
              <w:t>zachowania zachęt do udziału we współinwestycji na różnych jej etapach.</w:t>
            </w:r>
          </w:p>
          <w:p w14:paraId="64A8647A" w14:textId="77777777" w:rsidR="0017007C" w:rsidRPr="00317ABF" w:rsidRDefault="0017007C" w:rsidP="0017007C">
            <w:pPr>
              <w:pStyle w:val="Tekstpodstawowy"/>
              <w:rPr>
                <w:sz w:val="22"/>
                <w:szCs w:val="22"/>
              </w:rPr>
            </w:pPr>
            <w:r w:rsidRPr="00317ABF">
              <w:rPr>
                <w:sz w:val="22"/>
                <w:szCs w:val="22"/>
              </w:rPr>
              <w:lastRenderedPageBreak/>
              <w:t>Art. 246. Prezes UKE weryfikuje postanowienia oferty współinwestycji, w zakresie o którym mowa w art. 244 pkt 3, pod kątem:</w:t>
            </w:r>
          </w:p>
          <w:p w14:paraId="2B238AB1" w14:textId="77777777" w:rsidR="0017007C" w:rsidRPr="00317ABF" w:rsidRDefault="0017007C" w:rsidP="0017007C">
            <w:pPr>
              <w:pStyle w:val="Tekstpodstawowy"/>
              <w:rPr>
                <w:sz w:val="22"/>
                <w:szCs w:val="22"/>
              </w:rPr>
            </w:pPr>
            <w:r w:rsidRPr="00317ABF">
              <w:rPr>
                <w:sz w:val="22"/>
                <w:szCs w:val="22"/>
              </w:rPr>
              <w:t>1)</w:t>
            </w:r>
            <w:r w:rsidRPr="00317ABF">
              <w:rPr>
                <w:sz w:val="22"/>
                <w:szCs w:val="22"/>
              </w:rPr>
              <w:tab/>
              <w:t>racjonalności i niedyskryminacji oraz godziwych warunków, uwzględniając moment przystąpienia do współinwestycji oraz możliwość dostępu do pełnych przepustowości sieci, w zakresie w jakim podlega ona współinwestycji;</w:t>
            </w:r>
          </w:p>
          <w:p w14:paraId="0D8C7122" w14:textId="77777777" w:rsidR="0017007C" w:rsidRPr="00317ABF" w:rsidRDefault="0017007C" w:rsidP="0017007C">
            <w:pPr>
              <w:pStyle w:val="Tekstpodstawowy"/>
              <w:rPr>
                <w:sz w:val="22"/>
                <w:szCs w:val="22"/>
              </w:rPr>
            </w:pPr>
            <w:r w:rsidRPr="00317ABF">
              <w:rPr>
                <w:sz w:val="22"/>
                <w:szCs w:val="22"/>
              </w:rPr>
              <w:t>2)</w:t>
            </w:r>
            <w:r w:rsidRPr="00317ABF">
              <w:rPr>
                <w:sz w:val="22"/>
                <w:szCs w:val="22"/>
              </w:rPr>
              <w:tab/>
              <w:t>adekwatności wartości wymaganego wkładu finansowego do skali inwestycji lub do momentu przystąpienia do udziału we współinwestycji każdego współinwestora w celu nabycia praw;</w:t>
            </w:r>
          </w:p>
          <w:p w14:paraId="5FDCEE1B" w14:textId="77777777" w:rsidR="0017007C" w:rsidRPr="00317ABF" w:rsidRDefault="0017007C" w:rsidP="0017007C">
            <w:pPr>
              <w:pStyle w:val="Tekstpodstawowy"/>
              <w:rPr>
                <w:sz w:val="22"/>
                <w:szCs w:val="22"/>
              </w:rPr>
            </w:pPr>
            <w:r w:rsidRPr="00317ABF">
              <w:rPr>
                <w:sz w:val="22"/>
                <w:szCs w:val="22"/>
              </w:rPr>
              <w:t>3)</w:t>
            </w:r>
            <w:r w:rsidRPr="00317ABF">
              <w:rPr>
                <w:sz w:val="22"/>
                <w:szCs w:val="22"/>
              </w:rPr>
              <w:tab/>
              <w:t>możliwości zwiększenia udziału we współinwestycji, przy jednoczesnym zapewnieniu odpowiedniego poziomu zaangażowania na początku realizacji inwestycji z uwzględnieniem pozycji rynkowej współinwestorów.</w:t>
            </w:r>
          </w:p>
          <w:p w14:paraId="39A769F6" w14:textId="77777777" w:rsidR="0017007C" w:rsidRPr="00317ABF" w:rsidRDefault="0017007C" w:rsidP="0017007C">
            <w:pPr>
              <w:pStyle w:val="Tekstpodstawowy"/>
              <w:rPr>
                <w:sz w:val="22"/>
                <w:szCs w:val="22"/>
              </w:rPr>
            </w:pPr>
            <w:r w:rsidRPr="00317ABF">
              <w:rPr>
                <w:sz w:val="22"/>
                <w:szCs w:val="22"/>
              </w:rPr>
              <w:t>Art. 247. W przypadku zawiązania spółki celowej utworzonej na potrzeby realizacji współinwestycji, spółka ta zapewnia dostęp telekomunikacyjny do sieci wszystkim współinwestorom, bezpośrednio lub pośrednio, na zasadzie równoważności produktów oraz na godziwych i racjonalnych warunkach, uwzględniając warunki finansowe odzwierciedlające różne poziomy ryzyka ponoszonego przez poszczególnych współinwestorów.</w:t>
            </w:r>
          </w:p>
          <w:p w14:paraId="6698C846" w14:textId="77777777" w:rsidR="0017007C" w:rsidRPr="00317ABF" w:rsidRDefault="0017007C" w:rsidP="0017007C">
            <w:pPr>
              <w:pStyle w:val="Tekstpodstawowy"/>
              <w:rPr>
                <w:sz w:val="22"/>
                <w:szCs w:val="22"/>
              </w:rPr>
            </w:pPr>
            <w:r w:rsidRPr="00317ABF">
              <w:rPr>
                <w:sz w:val="22"/>
                <w:szCs w:val="22"/>
              </w:rPr>
              <w:t>Art. 248. 1. Oferta współinwestycji zawiera przejrzyste, godziwe i racjonalne warunki wzajemnego prawa dostępu do sieci telekomunikacyjnej, elementów sieci i powiązanych zasobów, będących przedmiotem współinwestycji, do celów świadczenia usług na rynku detalicznym.</w:t>
            </w:r>
          </w:p>
          <w:p w14:paraId="0E481154" w14:textId="77777777" w:rsidR="0017007C" w:rsidRPr="00317ABF" w:rsidRDefault="0017007C" w:rsidP="0017007C">
            <w:pPr>
              <w:pStyle w:val="Tekstpodstawowy"/>
              <w:rPr>
                <w:sz w:val="22"/>
                <w:szCs w:val="22"/>
              </w:rPr>
            </w:pPr>
            <w:r w:rsidRPr="00317ABF">
              <w:rPr>
                <w:sz w:val="22"/>
                <w:szCs w:val="22"/>
              </w:rPr>
              <w:t>2. Współinwestorzy przyznają sobie dostęp do przedmiotu współinwestycji na podstawie umowy współinwestycji spełniającej warunki, o których mowa w ust. 1.</w:t>
            </w:r>
          </w:p>
          <w:p w14:paraId="7DCD8C91" w14:textId="77777777" w:rsidR="0017007C" w:rsidRPr="00317ABF" w:rsidRDefault="0017007C" w:rsidP="0017007C">
            <w:pPr>
              <w:pStyle w:val="Tekstpodstawowy"/>
              <w:rPr>
                <w:sz w:val="22"/>
                <w:szCs w:val="22"/>
              </w:rPr>
            </w:pPr>
            <w:r w:rsidRPr="00317ABF">
              <w:rPr>
                <w:sz w:val="22"/>
                <w:szCs w:val="22"/>
              </w:rPr>
              <w:t xml:space="preserve">Art. 249. 1. </w:t>
            </w:r>
            <w:r w:rsidRPr="00317ABF">
              <w:rPr>
                <w:sz w:val="22"/>
                <w:szCs w:val="22"/>
              </w:rPr>
              <w:tab/>
              <w:t>Przenoszenie praw nabytych, wynikających z zawarcia umowy współinwestycji na innego współinwestora lub inny podmiot gotowy przystąpić do tej umowy jest dozwolone, z zastrzeżeniem ust. 2.</w:t>
            </w:r>
          </w:p>
          <w:p w14:paraId="51969AB3" w14:textId="77777777" w:rsidR="0017007C" w:rsidRPr="00317ABF" w:rsidRDefault="0017007C" w:rsidP="0017007C">
            <w:pPr>
              <w:pStyle w:val="Tekstpodstawowy"/>
              <w:rPr>
                <w:sz w:val="22"/>
                <w:szCs w:val="22"/>
              </w:rPr>
            </w:pPr>
            <w:r w:rsidRPr="00317ABF">
              <w:rPr>
                <w:sz w:val="22"/>
                <w:szCs w:val="22"/>
              </w:rPr>
              <w:t>2.</w:t>
            </w:r>
            <w:r w:rsidRPr="00317ABF">
              <w:rPr>
                <w:sz w:val="22"/>
                <w:szCs w:val="22"/>
              </w:rPr>
              <w:tab/>
              <w:t>Warunkiem przeniesienia praw, o których mowa w ust. 1, jest zobowiązanie się podmiotu, na który przenoszone są prawa, do wypełniania wszystkich pierwotnych zobowiązań wynikających z umowy współinwestycji, a spoczywających na podmiocie przenoszącym prawa.</w:t>
            </w:r>
          </w:p>
          <w:p w14:paraId="7EA3F9A6" w14:textId="19B9A0F8" w:rsidR="001E1112" w:rsidRPr="00317ABF" w:rsidRDefault="0017007C" w:rsidP="0017007C">
            <w:pPr>
              <w:pStyle w:val="Tekstpodstawowy"/>
              <w:rPr>
                <w:sz w:val="22"/>
                <w:szCs w:val="22"/>
              </w:rPr>
            </w:pPr>
            <w:r w:rsidRPr="00317ABF">
              <w:rPr>
                <w:sz w:val="22"/>
                <w:szCs w:val="22"/>
              </w:rPr>
              <w:t>3. Czynność prawna polegająca na przenoszeniu praw nabytych  wynikających z zawarcia umowy współinwestycji na podmioty, o których mowa w ust. 1, z naruszeniem ust. 2 jest nieważna.</w:t>
            </w:r>
          </w:p>
        </w:tc>
      </w:tr>
      <w:tr w:rsidR="001E1112" w:rsidRPr="00317ABF" w14:paraId="3CE648B9" w14:textId="77777777" w:rsidTr="7753F98D">
        <w:trPr>
          <w:gridAfter w:val="2"/>
          <w:wAfter w:w="175" w:type="dxa"/>
        </w:trPr>
        <w:tc>
          <w:tcPr>
            <w:tcW w:w="704" w:type="dxa"/>
          </w:tcPr>
          <w:p w14:paraId="0FD39E15" w14:textId="77777777" w:rsidR="001E1112" w:rsidRPr="00317ABF" w:rsidRDefault="001E1112" w:rsidP="00DB3BEC">
            <w:pPr>
              <w:jc w:val="both"/>
              <w:rPr>
                <w:sz w:val="22"/>
                <w:szCs w:val="22"/>
              </w:rPr>
            </w:pPr>
            <w:r w:rsidRPr="00317ABF">
              <w:rPr>
                <w:sz w:val="22"/>
                <w:szCs w:val="22"/>
              </w:rPr>
              <w:lastRenderedPageBreak/>
              <w:t>Art. 76 ust. 2</w:t>
            </w:r>
          </w:p>
        </w:tc>
        <w:tc>
          <w:tcPr>
            <w:tcW w:w="4308" w:type="dxa"/>
          </w:tcPr>
          <w:p w14:paraId="33A51646" w14:textId="77777777" w:rsidR="001E1112" w:rsidRPr="00317ABF" w:rsidRDefault="001E1112" w:rsidP="00DB3BEC">
            <w:pPr>
              <w:spacing w:before="120"/>
              <w:jc w:val="both"/>
              <w:rPr>
                <w:sz w:val="22"/>
                <w:szCs w:val="22"/>
              </w:rPr>
            </w:pPr>
            <w:r w:rsidRPr="00317ABF">
              <w:rPr>
                <w:sz w:val="22"/>
                <w:szCs w:val="22"/>
              </w:rPr>
              <w:t>2.   Jeżeli krajowy organ regulacyjny stwierdzi, uwzględniając wyniki testu rynkowego przeprowadzonego zgodnie z przepisami art. 79 ust. 2, że złożone zobowiązanie w zakresie współinwestycji spełnia warunki określone w ust. 1 niniejszego artykułu, czyni te zobowiązanie wiążącym na podstawie art. 79 ust. 3 i nie nakłada żadnych dodatkowych obowiązków na podstawie art. 68, jeżeli chodzi o elementy nowej sieci o bardzo dużej przepustowości, które są przedmiotem tych zobowiązań, jeśli przynajmniej jeden potencjalny współinwestor zawarł umowę współinwestycji z przedsiębiorstwem uznanym za posiadającego znaczącą pozycję rynkową.</w:t>
            </w:r>
          </w:p>
          <w:p w14:paraId="393A133C" w14:textId="77777777" w:rsidR="001E1112" w:rsidRPr="00317ABF" w:rsidRDefault="001E1112" w:rsidP="00DB3BEC">
            <w:pPr>
              <w:spacing w:before="120"/>
              <w:jc w:val="both"/>
              <w:rPr>
                <w:sz w:val="22"/>
                <w:szCs w:val="22"/>
              </w:rPr>
            </w:pPr>
            <w:r w:rsidRPr="00317ABF">
              <w:rPr>
                <w:sz w:val="22"/>
                <w:szCs w:val="22"/>
              </w:rPr>
              <w:t>Pierwszy akapit pozostaje bez uszczerbku dla traktowania, w ujęciu regulacyjnym okoliczności, które nie spełniają warunków określonych w ust. 1 niniejszego artykułu, biorąc pod uwagę wyniki jakiegokolwiek testu rynkowego przeprowadzonego zgodnie z art. 79 ust. 2, ale które mają wpływ na konkurencję i są uwzględniane do celów art. 67 i 68.</w:t>
            </w:r>
          </w:p>
          <w:p w14:paraId="2C096705" w14:textId="77777777" w:rsidR="001E1112" w:rsidRPr="00317ABF" w:rsidRDefault="001E1112" w:rsidP="00DB3BEC">
            <w:pPr>
              <w:spacing w:before="120"/>
              <w:jc w:val="both"/>
              <w:rPr>
                <w:sz w:val="22"/>
                <w:szCs w:val="22"/>
              </w:rPr>
            </w:pPr>
            <w:r w:rsidRPr="00317ABF">
              <w:rPr>
                <w:sz w:val="22"/>
                <w:szCs w:val="22"/>
              </w:rPr>
              <w:t xml:space="preserve">W drodze wyjątku od akapitu pierwszego niniejszego ustępu krajowy organ regulacyjny </w:t>
            </w:r>
            <w:r w:rsidRPr="00317ABF">
              <w:rPr>
                <w:sz w:val="22"/>
                <w:szCs w:val="22"/>
              </w:rPr>
              <w:lastRenderedPageBreak/>
              <w:t>może w należycie uzasadnionych okolicznościach nałożyć, utrzymać lub dostosowywać środki naprawcze zgodnie z art. 68–74, jeżeli chodzi o nowe sieci o bardzo dużej przepustowości, tak aby zająć się znaczącymi problemami dotyczącymi konkurencji na konkretnych rynkach, w przypadku gdy krajowy organ regulacyjny ustali, że w związku ze szczególnymi cechami tych rynków w przeciwnym razie nie można byłoby zająć się tymi problemami dotyczącymi konkurencji.</w:t>
            </w:r>
          </w:p>
        </w:tc>
        <w:tc>
          <w:tcPr>
            <w:tcW w:w="986" w:type="dxa"/>
          </w:tcPr>
          <w:p w14:paraId="3B069F14" w14:textId="601AF050" w:rsidR="001E1112" w:rsidRPr="00317ABF" w:rsidRDefault="001E1112" w:rsidP="00DB3BEC">
            <w:pPr>
              <w:jc w:val="both"/>
              <w:rPr>
                <w:sz w:val="22"/>
                <w:szCs w:val="22"/>
              </w:rPr>
            </w:pPr>
            <w:r w:rsidRPr="00317ABF">
              <w:rPr>
                <w:sz w:val="22"/>
                <w:szCs w:val="22"/>
              </w:rPr>
              <w:lastRenderedPageBreak/>
              <w:t>T</w:t>
            </w:r>
          </w:p>
        </w:tc>
        <w:tc>
          <w:tcPr>
            <w:tcW w:w="910" w:type="dxa"/>
          </w:tcPr>
          <w:p w14:paraId="39E08E16" w14:textId="3DC84FF4" w:rsidR="001E1112" w:rsidRPr="00317ABF" w:rsidRDefault="0017007C" w:rsidP="00DB3BEC">
            <w:pPr>
              <w:pStyle w:val="Tekstpodstawowy"/>
              <w:rPr>
                <w:b/>
                <w:bCs/>
                <w:noProof/>
                <w:sz w:val="22"/>
                <w:szCs w:val="22"/>
              </w:rPr>
            </w:pPr>
            <w:r w:rsidRPr="00317ABF">
              <w:rPr>
                <w:b/>
                <w:bCs/>
                <w:noProof/>
                <w:sz w:val="22"/>
                <w:szCs w:val="22"/>
              </w:rPr>
              <w:t>Art. 243</w:t>
            </w:r>
            <w:r w:rsidR="001E1112" w:rsidRPr="00317ABF">
              <w:rPr>
                <w:b/>
                <w:bCs/>
                <w:noProof/>
                <w:sz w:val="22"/>
                <w:szCs w:val="22"/>
              </w:rPr>
              <w:t xml:space="preserve"> </w:t>
            </w:r>
          </w:p>
          <w:p w14:paraId="6531487E" w14:textId="77C3FDCD" w:rsidR="001E1112" w:rsidRPr="00317ABF" w:rsidRDefault="001E1112" w:rsidP="00DB3BEC">
            <w:pPr>
              <w:pStyle w:val="Tekstpodstawowy"/>
              <w:rPr>
                <w:b/>
                <w:bCs/>
                <w:noProof/>
                <w:sz w:val="22"/>
                <w:szCs w:val="22"/>
              </w:rPr>
            </w:pPr>
          </w:p>
        </w:tc>
        <w:tc>
          <w:tcPr>
            <w:tcW w:w="6814" w:type="dxa"/>
            <w:gridSpan w:val="2"/>
          </w:tcPr>
          <w:p w14:paraId="7827B33A" w14:textId="77777777" w:rsidR="0017007C" w:rsidRPr="00317ABF" w:rsidRDefault="0017007C" w:rsidP="0017007C">
            <w:pPr>
              <w:pStyle w:val="Tekstpodstawowy"/>
              <w:rPr>
                <w:sz w:val="22"/>
                <w:szCs w:val="22"/>
              </w:rPr>
            </w:pPr>
            <w:r w:rsidRPr="00317ABF">
              <w:rPr>
                <w:sz w:val="22"/>
                <w:szCs w:val="22"/>
              </w:rPr>
              <w:t>Art. 243. 1. Prezes UKE, na wniosek przedsiębiorcy komunikacji elektronicznej o znaczącej pozycji rynkowej, który zawarł umowę o współinwestycji w zakresie elementów nowej sieci o bardzo dużej przepustowości, w drodze decyzji, uchyla obowiązki regulacyjne nałożone na tego przedsiębiorcę w zakresie objętym współinwestycją.</w:t>
            </w:r>
          </w:p>
          <w:p w14:paraId="26139FC6" w14:textId="77777777" w:rsidR="0017007C" w:rsidRPr="00317ABF" w:rsidRDefault="0017007C" w:rsidP="0017007C">
            <w:pPr>
              <w:pStyle w:val="Tekstpodstawowy"/>
              <w:rPr>
                <w:sz w:val="22"/>
                <w:szCs w:val="22"/>
              </w:rPr>
            </w:pPr>
            <w:r w:rsidRPr="00317ABF">
              <w:rPr>
                <w:sz w:val="22"/>
                <w:szCs w:val="22"/>
              </w:rPr>
              <w:t>2. Prezes UKE może, biorąc pod uwagę przesłanki, o których mowa w art. 202  pkt 2 lit. a, nałożyć utrzymać lub zmienić obowiązki regulacyjne, niezależnie od decyzji, o której mowa w art. 242 ust. 1, a w przypadku, gdy decyzja ta dotyczy propozycji zobowiązań, o której mowa w art. 237 ust. 1 pkt 2,  jeżeli w inny sposób nie można uniknąć zagrożenia dla konkurencji lub przemawia za tym aktualna sytuacja na rynku właściwym.</w:t>
            </w:r>
          </w:p>
          <w:p w14:paraId="741A2A78" w14:textId="59E53164" w:rsidR="001E1112" w:rsidRPr="00317ABF" w:rsidRDefault="0017007C" w:rsidP="0017007C">
            <w:pPr>
              <w:pStyle w:val="Tekstpodstawowy"/>
              <w:rPr>
                <w:sz w:val="22"/>
                <w:szCs w:val="22"/>
              </w:rPr>
            </w:pPr>
            <w:r w:rsidRPr="00317ABF">
              <w:rPr>
                <w:sz w:val="22"/>
                <w:szCs w:val="22"/>
              </w:rPr>
              <w:t>3. W przypadku zawarcia umowy współinwestycji przez przedsiębiorcę komunikacji elektronicznej o znaczącej pozycji rynkowej, Prezes UKE nie nakłada obowiązków regulacyjnych w zakresie objętym współinwestycją w sieci o bardzo dużej przepustowości.</w:t>
            </w:r>
          </w:p>
        </w:tc>
      </w:tr>
      <w:tr w:rsidR="001E1112" w:rsidRPr="00317ABF" w14:paraId="5651378D" w14:textId="77777777" w:rsidTr="7753F98D">
        <w:trPr>
          <w:gridAfter w:val="2"/>
          <w:wAfter w:w="175" w:type="dxa"/>
        </w:trPr>
        <w:tc>
          <w:tcPr>
            <w:tcW w:w="704" w:type="dxa"/>
          </w:tcPr>
          <w:p w14:paraId="3B8E8399" w14:textId="77777777" w:rsidR="001E1112" w:rsidRPr="00317ABF" w:rsidRDefault="001E1112" w:rsidP="00DB3BEC">
            <w:pPr>
              <w:jc w:val="both"/>
              <w:rPr>
                <w:sz w:val="22"/>
                <w:szCs w:val="22"/>
              </w:rPr>
            </w:pPr>
            <w:r w:rsidRPr="00317ABF">
              <w:rPr>
                <w:sz w:val="22"/>
                <w:szCs w:val="22"/>
              </w:rPr>
              <w:lastRenderedPageBreak/>
              <w:t>Art. 76 ust. 3</w:t>
            </w:r>
          </w:p>
        </w:tc>
        <w:tc>
          <w:tcPr>
            <w:tcW w:w="4308" w:type="dxa"/>
          </w:tcPr>
          <w:p w14:paraId="502F257B" w14:textId="77777777" w:rsidR="001E1112" w:rsidRPr="00317ABF" w:rsidRDefault="001E1112" w:rsidP="00DB3BEC">
            <w:pPr>
              <w:spacing w:before="120"/>
              <w:jc w:val="both"/>
              <w:rPr>
                <w:sz w:val="22"/>
                <w:szCs w:val="22"/>
              </w:rPr>
            </w:pPr>
            <w:r w:rsidRPr="00317ABF">
              <w:rPr>
                <w:sz w:val="22"/>
                <w:szCs w:val="22"/>
              </w:rPr>
              <w:t>3.   Krajowe organy regulacyjne stale monitorują zgodność z warunkami określonymi w ust. 1 i mogą wymagać od przedsiębiorstwa, które zostało wyznaczone jako posiadające znaczącą pozycję rynkową, aby przekazywało im roczne oświadczenia o zgodności.</w:t>
            </w:r>
          </w:p>
          <w:p w14:paraId="345071F3" w14:textId="77777777" w:rsidR="001E1112" w:rsidRPr="00317ABF" w:rsidRDefault="001E1112" w:rsidP="00DB3BEC">
            <w:pPr>
              <w:spacing w:before="120"/>
              <w:jc w:val="both"/>
              <w:rPr>
                <w:sz w:val="22"/>
                <w:szCs w:val="22"/>
              </w:rPr>
            </w:pPr>
            <w:r w:rsidRPr="00317ABF">
              <w:rPr>
                <w:sz w:val="22"/>
                <w:szCs w:val="22"/>
              </w:rPr>
              <w:t>Niniejszy artykuł pozostaje bez uszczerbku dla uprawnień krajowego organu regulacyjnego do podjęcia decyzji na podstawie art. 26 ust. 1 w przypadku sporu powstałego między przedsiębiorstwami w odniesieniu do umowy o współinwestycji uznanej przez ten organ za spełniającą warunki określone w ust. 1 niniejszego artykułu.</w:t>
            </w:r>
          </w:p>
        </w:tc>
        <w:tc>
          <w:tcPr>
            <w:tcW w:w="986" w:type="dxa"/>
          </w:tcPr>
          <w:p w14:paraId="0A646251" w14:textId="435E0EDF" w:rsidR="001E1112" w:rsidRPr="00317ABF" w:rsidRDefault="001E1112" w:rsidP="00DB3BEC">
            <w:pPr>
              <w:jc w:val="both"/>
              <w:rPr>
                <w:sz w:val="22"/>
                <w:szCs w:val="22"/>
              </w:rPr>
            </w:pPr>
            <w:r w:rsidRPr="00317ABF">
              <w:rPr>
                <w:sz w:val="22"/>
                <w:szCs w:val="22"/>
              </w:rPr>
              <w:t>T</w:t>
            </w:r>
          </w:p>
        </w:tc>
        <w:tc>
          <w:tcPr>
            <w:tcW w:w="910" w:type="dxa"/>
          </w:tcPr>
          <w:p w14:paraId="1361D890" w14:textId="04AFF5BB" w:rsidR="001E1112" w:rsidRPr="00317ABF" w:rsidRDefault="001E1112" w:rsidP="00550765">
            <w:pPr>
              <w:pStyle w:val="Tekstpodstawowy"/>
              <w:rPr>
                <w:b/>
                <w:bCs/>
                <w:noProof/>
                <w:sz w:val="22"/>
                <w:szCs w:val="22"/>
              </w:rPr>
            </w:pPr>
            <w:r w:rsidRPr="00317ABF">
              <w:rPr>
                <w:b/>
                <w:bCs/>
                <w:noProof/>
                <w:sz w:val="22"/>
                <w:szCs w:val="22"/>
              </w:rPr>
              <w:t>Art. 2</w:t>
            </w:r>
            <w:r w:rsidR="00550765" w:rsidRPr="00317ABF">
              <w:rPr>
                <w:b/>
                <w:bCs/>
                <w:noProof/>
                <w:sz w:val="22"/>
                <w:szCs w:val="22"/>
              </w:rPr>
              <w:t>51</w:t>
            </w:r>
          </w:p>
        </w:tc>
        <w:tc>
          <w:tcPr>
            <w:tcW w:w="6814" w:type="dxa"/>
            <w:gridSpan w:val="2"/>
          </w:tcPr>
          <w:p w14:paraId="64F19637" w14:textId="1A5BA8A2" w:rsidR="001E1112" w:rsidRPr="00317ABF" w:rsidRDefault="00550765" w:rsidP="00DB3BEC">
            <w:pPr>
              <w:jc w:val="both"/>
              <w:rPr>
                <w:sz w:val="22"/>
                <w:szCs w:val="22"/>
              </w:rPr>
            </w:pPr>
            <w:r w:rsidRPr="00317ABF">
              <w:rPr>
                <w:sz w:val="22"/>
                <w:szCs w:val="22"/>
              </w:rPr>
              <w:t>Art. 251. Prezes UKE może zobowiązać przedsiębiorcę komunikacji elektronicznej o znaczącej pozycji rynkowej, którego dotyczy decyzja, o której mowa w 242 ust. 1, do przekazywania rocznego sprawozdania z realizacji umowy współinwestycji.</w:t>
            </w:r>
          </w:p>
          <w:p w14:paraId="63ECFDF2" w14:textId="70E28AC7" w:rsidR="001E1112" w:rsidRPr="00317ABF" w:rsidRDefault="001E1112" w:rsidP="00DB3BEC">
            <w:pPr>
              <w:pStyle w:val="Tekstpodstawowy"/>
              <w:rPr>
                <w:sz w:val="22"/>
                <w:szCs w:val="22"/>
              </w:rPr>
            </w:pPr>
          </w:p>
        </w:tc>
      </w:tr>
      <w:tr w:rsidR="001E1112" w:rsidRPr="00317ABF" w14:paraId="1C532D57" w14:textId="77777777" w:rsidTr="7753F98D">
        <w:trPr>
          <w:gridAfter w:val="2"/>
          <w:wAfter w:w="175" w:type="dxa"/>
        </w:trPr>
        <w:tc>
          <w:tcPr>
            <w:tcW w:w="704" w:type="dxa"/>
          </w:tcPr>
          <w:p w14:paraId="69A35E97" w14:textId="77777777" w:rsidR="001E1112" w:rsidRPr="00317ABF" w:rsidRDefault="001E1112" w:rsidP="00DB3BEC">
            <w:pPr>
              <w:jc w:val="both"/>
              <w:rPr>
                <w:sz w:val="22"/>
                <w:szCs w:val="22"/>
              </w:rPr>
            </w:pPr>
            <w:r w:rsidRPr="00317ABF">
              <w:rPr>
                <w:sz w:val="22"/>
                <w:szCs w:val="22"/>
              </w:rPr>
              <w:t>Art. 76 ust. 4</w:t>
            </w:r>
          </w:p>
        </w:tc>
        <w:tc>
          <w:tcPr>
            <w:tcW w:w="4308" w:type="dxa"/>
          </w:tcPr>
          <w:p w14:paraId="7593F4AB" w14:textId="77777777" w:rsidR="001E1112" w:rsidRPr="00317ABF" w:rsidRDefault="001E1112" w:rsidP="00DB3BEC">
            <w:pPr>
              <w:spacing w:before="120"/>
              <w:jc w:val="both"/>
              <w:rPr>
                <w:sz w:val="22"/>
                <w:szCs w:val="22"/>
              </w:rPr>
            </w:pPr>
            <w:r w:rsidRPr="00317ABF">
              <w:rPr>
                <w:sz w:val="22"/>
                <w:szCs w:val="22"/>
              </w:rPr>
              <w:t>4.   Po konsultacji z zainteresowanymi stronami i w ścisłej współpracy z Komisją BEREC publikuje wytyczne w celu wspierania spójnego stosowania przez krajowe organy regulacyjne warunków określonych w ust. 1 i kryteriów określonych w załączniku IV.</w:t>
            </w:r>
          </w:p>
        </w:tc>
        <w:tc>
          <w:tcPr>
            <w:tcW w:w="986" w:type="dxa"/>
          </w:tcPr>
          <w:p w14:paraId="678E5AB2" w14:textId="77777777" w:rsidR="001E1112" w:rsidRPr="00317ABF" w:rsidRDefault="001E1112" w:rsidP="00DB3BEC">
            <w:pPr>
              <w:jc w:val="both"/>
              <w:rPr>
                <w:sz w:val="22"/>
                <w:szCs w:val="22"/>
              </w:rPr>
            </w:pPr>
            <w:r w:rsidRPr="00317ABF">
              <w:rPr>
                <w:sz w:val="22"/>
                <w:szCs w:val="22"/>
              </w:rPr>
              <w:t>N</w:t>
            </w:r>
          </w:p>
        </w:tc>
        <w:tc>
          <w:tcPr>
            <w:tcW w:w="910" w:type="dxa"/>
          </w:tcPr>
          <w:p w14:paraId="22E9FEFD" w14:textId="77777777" w:rsidR="001E1112" w:rsidRPr="00317ABF" w:rsidRDefault="001E1112" w:rsidP="00DB3BEC">
            <w:pPr>
              <w:pStyle w:val="Tekstpodstawowy"/>
              <w:rPr>
                <w:b/>
                <w:noProof/>
                <w:sz w:val="22"/>
                <w:szCs w:val="22"/>
              </w:rPr>
            </w:pPr>
          </w:p>
        </w:tc>
        <w:tc>
          <w:tcPr>
            <w:tcW w:w="6814" w:type="dxa"/>
            <w:gridSpan w:val="2"/>
          </w:tcPr>
          <w:p w14:paraId="6DB01CEB" w14:textId="77777777" w:rsidR="001E1112" w:rsidRPr="00317ABF" w:rsidRDefault="001E1112" w:rsidP="00DB3BEC">
            <w:pPr>
              <w:pStyle w:val="Tekstpodstawowy"/>
              <w:rPr>
                <w:sz w:val="22"/>
                <w:szCs w:val="22"/>
              </w:rPr>
            </w:pPr>
          </w:p>
        </w:tc>
      </w:tr>
      <w:tr w:rsidR="001E1112" w:rsidRPr="00317ABF" w14:paraId="2C79ABB4" w14:textId="77777777" w:rsidTr="7753F98D">
        <w:trPr>
          <w:gridAfter w:val="2"/>
          <w:wAfter w:w="175" w:type="dxa"/>
        </w:trPr>
        <w:tc>
          <w:tcPr>
            <w:tcW w:w="704" w:type="dxa"/>
          </w:tcPr>
          <w:p w14:paraId="09257CDE" w14:textId="77777777" w:rsidR="001E1112" w:rsidRPr="00317ABF" w:rsidRDefault="001E1112" w:rsidP="00DB3BEC">
            <w:pPr>
              <w:jc w:val="both"/>
              <w:rPr>
                <w:b/>
                <w:sz w:val="22"/>
                <w:szCs w:val="22"/>
              </w:rPr>
            </w:pPr>
            <w:r w:rsidRPr="00317ABF">
              <w:rPr>
                <w:b/>
                <w:sz w:val="22"/>
                <w:szCs w:val="22"/>
              </w:rPr>
              <w:t>Art. 77</w:t>
            </w:r>
          </w:p>
        </w:tc>
        <w:tc>
          <w:tcPr>
            <w:tcW w:w="4308" w:type="dxa"/>
          </w:tcPr>
          <w:p w14:paraId="494C355D" w14:textId="77777777" w:rsidR="001E1112" w:rsidRPr="00317ABF" w:rsidRDefault="001E1112" w:rsidP="00DB3BEC">
            <w:pPr>
              <w:spacing w:before="120"/>
              <w:jc w:val="both"/>
              <w:rPr>
                <w:sz w:val="22"/>
                <w:szCs w:val="22"/>
              </w:rPr>
            </w:pPr>
            <w:r w:rsidRPr="00317ABF">
              <w:rPr>
                <w:b/>
                <w:bCs/>
                <w:sz w:val="22"/>
                <w:szCs w:val="22"/>
              </w:rPr>
              <w:t>Podział funkcjonalny</w:t>
            </w:r>
          </w:p>
        </w:tc>
        <w:tc>
          <w:tcPr>
            <w:tcW w:w="986" w:type="dxa"/>
          </w:tcPr>
          <w:p w14:paraId="15F5D167" w14:textId="77777777" w:rsidR="001E1112" w:rsidRPr="00317ABF" w:rsidRDefault="001E1112" w:rsidP="00DB3BEC">
            <w:pPr>
              <w:jc w:val="both"/>
              <w:rPr>
                <w:sz w:val="22"/>
                <w:szCs w:val="22"/>
              </w:rPr>
            </w:pPr>
          </w:p>
        </w:tc>
        <w:tc>
          <w:tcPr>
            <w:tcW w:w="910" w:type="dxa"/>
          </w:tcPr>
          <w:p w14:paraId="6C98C48F" w14:textId="77777777" w:rsidR="001E1112" w:rsidRPr="00317ABF" w:rsidRDefault="001E1112" w:rsidP="00DB3BEC">
            <w:pPr>
              <w:pStyle w:val="Tekstpodstawowy"/>
              <w:rPr>
                <w:b/>
                <w:noProof/>
                <w:sz w:val="22"/>
                <w:szCs w:val="22"/>
              </w:rPr>
            </w:pPr>
          </w:p>
        </w:tc>
        <w:tc>
          <w:tcPr>
            <w:tcW w:w="6814" w:type="dxa"/>
            <w:gridSpan w:val="2"/>
          </w:tcPr>
          <w:p w14:paraId="33E56B5C" w14:textId="77777777" w:rsidR="001E1112" w:rsidRPr="00317ABF" w:rsidRDefault="001E1112" w:rsidP="00DB3BEC">
            <w:pPr>
              <w:pStyle w:val="Tekstpodstawowy"/>
              <w:rPr>
                <w:sz w:val="22"/>
                <w:szCs w:val="22"/>
              </w:rPr>
            </w:pPr>
          </w:p>
        </w:tc>
      </w:tr>
      <w:tr w:rsidR="001E1112" w:rsidRPr="00317ABF" w14:paraId="69ACF2FD" w14:textId="77777777" w:rsidTr="7753F98D">
        <w:trPr>
          <w:gridAfter w:val="2"/>
          <w:wAfter w:w="175" w:type="dxa"/>
        </w:trPr>
        <w:tc>
          <w:tcPr>
            <w:tcW w:w="704" w:type="dxa"/>
          </w:tcPr>
          <w:p w14:paraId="055039F7" w14:textId="77777777" w:rsidR="001E1112" w:rsidRPr="00317ABF" w:rsidRDefault="001E1112" w:rsidP="00DB3BEC">
            <w:pPr>
              <w:jc w:val="both"/>
              <w:rPr>
                <w:sz w:val="22"/>
                <w:szCs w:val="22"/>
              </w:rPr>
            </w:pPr>
            <w:r w:rsidRPr="00317ABF">
              <w:rPr>
                <w:sz w:val="22"/>
                <w:szCs w:val="22"/>
              </w:rPr>
              <w:t>Art. 77 ust. 1</w:t>
            </w:r>
          </w:p>
        </w:tc>
        <w:tc>
          <w:tcPr>
            <w:tcW w:w="4308" w:type="dxa"/>
          </w:tcPr>
          <w:p w14:paraId="1B593AF8" w14:textId="77777777" w:rsidR="001E1112" w:rsidRPr="00317ABF" w:rsidRDefault="001E1112" w:rsidP="00DB3BEC">
            <w:pPr>
              <w:spacing w:before="120"/>
              <w:jc w:val="both"/>
              <w:rPr>
                <w:sz w:val="22"/>
                <w:szCs w:val="22"/>
              </w:rPr>
            </w:pPr>
            <w:r w:rsidRPr="00317ABF">
              <w:rPr>
                <w:sz w:val="22"/>
                <w:szCs w:val="22"/>
              </w:rPr>
              <w:t xml:space="preserve">1.   W przypadku gdy krajowy organ regulacyjny stwierdzi, że odpowiednie obowiązki nałożone na mocy art. 69–74 nie </w:t>
            </w:r>
            <w:r w:rsidRPr="00317ABF">
              <w:rPr>
                <w:sz w:val="22"/>
                <w:szCs w:val="22"/>
              </w:rPr>
              <w:lastRenderedPageBreak/>
              <w:t>zapewniły skutecznej konkurencji oraz że istnieją istotne i trwałe problemy w zakresie konkurencji lub przypadki zawodności rynku związane z hurtowym oferowaniem określonych rynków produktów dostępu, może on, w drodze wyjątku – zgodnie z art. 68 ust. 3 akapit drugi – nałożyć na przedsiębiorstwa zintegrowane pionowo obowiązek powierzenia działalności związanej z hurtowym oferowaniem odnośnych produktów dostępu niezależnie działającej jednostce organizacyjnej.</w:t>
            </w:r>
          </w:p>
          <w:p w14:paraId="2F01051B" w14:textId="77777777" w:rsidR="001E1112" w:rsidRPr="00317ABF" w:rsidRDefault="001E1112" w:rsidP="00DB3BEC">
            <w:pPr>
              <w:spacing w:before="120"/>
              <w:jc w:val="both"/>
              <w:rPr>
                <w:sz w:val="22"/>
                <w:szCs w:val="22"/>
              </w:rPr>
            </w:pPr>
            <w:r w:rsidRPr="00317ABF">
              <w:rPr>
                <w:sz w:val="22"/>
                <w:szCs w:val="22"/>
              </w:rPr>
              <w:t>Taka jednostka organizacyjna dostarcza produkty i usługi dostępu wszystkim przedsiębiorstwom, także innym jednostkom organizacyjnym działającym w ramach spółki dominującej, w takich samych terminach, na tych samych warunkach – dotyczących między innymi poziomów cen i usług – oraz z użyciem tych samych systemów i procesów.</w:t>
            </w:r>
          </w:p>
        </w:tc>
        <w:tc>
          <w:tcPr>
            <w:tcW w:w="986" w:type="dxa"/>
          </w:tcPr>
          <w:p w14:paraId="0F99A6E3" w14:textId="4464CE43" w:rsidR="001E1112" w:rsidRPr="00317ABF" w:rsidRDefault="001E1112" w:rsidP="00DB3BEC">
            <w:pPr>
              <w:jc w:val="both"/>
              <w:rPr>
                <w:sz w:val="22"/>
                <w:szCs w:val="22"/>
              </w:rPr>
            </w:pPr>
            <w:r w:rsidRPr="00317ABF">
              <w:rPr>
                <w:sz w:val="22"/>
                <w:szCs w:val="22"/>
              </w:rPr>
              <w:lastRenderedPageBreak/>
              <w:t>T</w:t>
            </w:r>
          </w:p>
        </w:tc>
        <w:tc>
          <w:tcPr>
            <w:tcW w:w="910" w:type="dxa"/>
          </w:tcPr>
          <w:p w14:paraId="6114D114" w14:textId="150FAEFA" w:rsidR="001E1112" w:rsidRPr="00317ABF" w:rsidRDefault="001E1112" w:rsidP="00DB3BEC">
            <w:pPr>
              <w:pStyle w:val="Tekstpodstawowy"/>
              <w:rPr>
                <w:b/>
                <w:noProof/>
                <w:sz w:val="22"/>
                <w:szCs w:val="22"/>
              </w:rPr>
            </w:pPr>
            <w:r w:rsidRPr="00317ABF">
              <w:rPr>
                <w:b/>
                <w:noProof/>
                <w:sz w:val="22"/>
                <w:szCs w:val="22"/>
              </w:rPr>
              <w:t>Art. 2</w:t>
            </w:r>
            <w:r w:rsidR="002836EF" w:rsidRPr="00317ABF">
              <w:rPr>
                <w:b/>
                <w:noProof/>
                <w:sz w:val="22"/>
                <w:szCs w:val="22"/>
              </w:rPr>
              <w:t>24</w:t>
            </w:r>
            <w:r w:rsidRPr="00317ABF">
              <w:rPr>
                <w:b/>
                <w:noProof/>
                <w:sz w:val="22"/>
                <w:szCs w:val="22"/>
              </w:rPr>
              <w:t xml:space="preserve"> ust. 1 i 2, art. </w:t>
            </w:r>
            <w:r w:rsidRPr="00317ABF">
              <w:rPr>
                <w:b/>
                <w:noProof/>
                <w:sz w:val="22"/>
                <w:szCs w:val="22"/>
              </w:rPr>
              <w:lastRenderedPageBreak/>
              <w:t>2</w:t>
            </w:r>
            <w:r w:rsidR="00527AD4" w:rsidRPr="00317ABF">
              <w:rPr>
                <w:b/>
                <w:noProof/>
                <w:sz w:val="22"/>
                <w:szCs w:val="22"/>
              </w:rPr>
              <w:t>27</w:t>
            </w:r>
            <w:r w:rsidRPr="00317ABF">
              <w:rPr>
                <w:b/>
                <w:noProof/>
                <w:sz w:val="22"/>
                <w:szCs w:val="22"/>
              </w:rPr>
              <w:t xml:space="preserve"> i 2</w:t>
            </w:r>
            <w:r w:rsidR="00527AD4" w:rsidRPr="00317ABF">
              <w:rPr>
                <w:b/>
                <w:noProof/>
                <w:sz w:val="22"/>
                <w:szCs w:val="22"/>
              </w:rPr>
              <w:t>28</w:t>
            </w:r>
          </w:p>
        </w:tc>
        <w:tc>
          <w:tcPr>
            <w:tcW w:w="6814" w:type="dxa"/>
            <w:gridSpan w:val="2"/>
          </w:tcPr>
          <w:p w14:paraId="0DC490E2" w14:textId="2C24425B" w:rsidR="002836EF" w:rsidRPr="00317ABF" w:rsidRDefault="002836EF" w:rsidP="002836EF">
            <w:pPr>
              <w:pStyle w:val="ARTartustawynprozporzdzenia"/>
              <w:spacing w:line="240" w:lineRule="auto"/>
              <w:rPr>
                <w:rFonts w:ascii="Times New Roman" w:hAnsi="Times New Roman" w:cs="Times New Roman"/>
                <w:sz w:val="22"/>
                <w:szCs w:val="22"/>
              </w:rPr>
            </w:pPr>
            <w:r w:rsidRPr="00317ABF">
              <w:rPr>
                <w:rFonts w:ascii="Times New Roman" w:hAnsi="Times New Roman" w:cs="Times New Roman"/>
                <w:b/>
                <w:sz w:val="22"/>
                <w:szCs w:val="22"/>
              </w:rPr>
              <w:lastRenderedPageBreak/>
              <w:t>Art. 224.</w:t>
            </w:r>
            <w:r w:rsidRPr="00317ABF">
              <w:rPr>
                <w:rFonts w:ascii="Times New Roman" w:hAnsi="Times New Roman" w:cs="Times New Roman"/>
                <w:sz w:val="22"/>
                <w:szCs w:val="22"/>
              </w:rPr>
              <w:t xml:space="preserve"> 1. Jeżeli nałożone uprzednio obowiązki regulacyjne w zakresie dostępu telekomunikacyjnego, o których mowa w art. 210, art. 211, art. 213-215, art. 216 ust. 1 i art. 220, nie zapewniły na rynku hurtowym lub </w:t>
            </w:r>
            <w:r w:rsidRPr="00317ABF">
              <w:rPr>
                <w:rFonts w:ascii="Times New Roman" w:hAnsi="Times New Roman" w:cs="Times New Roman"/>
                <w:sz w:val="22"/>
                <w:szCs w:val="22"/>
              </w:rPr>
              <w:lastRenderedPageBreak/>
              <w:t>rynkach hurtowych skutecznej konkurencji oraz istnieją na tym rynku lub rynkach trwałe i wysokie bariery konkurencyjne lub rynkowe, Prezes UKE może, po przeprowadzeniu analizy, o której mowa w art. 197 ust. 1, w zakresie tego rynku hurtowego lub rynków hurtowych, nałożyć na przedsiębiorcę komunikacji elektronicznej świadczącego usługi na rynku lub rynkach hurtowych oraz na odpowiadającym mu rynku detalicznym lub rynkach detalicznych, zwanego dalej „przedsiębiorcą zintegrowanym pionowo”, obowiązek rozdziału funkcjonalnego, polegający na wykonywaniu działalności związanej ze świadczeniem usług hurtowego dostępu telekomunikacyjnego przez wyodrębnioną, działającą niezależnie jednostkę organizacyjną, zwaną dalej „wydzieloną jednostką organizacyjną”, lub przez kilka wydzielonych jednostek organizacyjnych.</w:t>
            </w:r>
          </w:p>
          <w:p w14:paraId="3B89AFA6" w14:textId="77777777" w:rsidR="002836EF" w:rsidRPr="00317ABF" w:rsidRDefault="002836EF" w:rsidP="002836EF">
            <w:pPr>
              <w:pStyle w:val="ARTartustawynprozporzdzenia"/>
              <w:spacing w:line="240" w:lineRule="auto"/>
              <w:rPr>
                <w:rFonts w:ascii="Times New Roman" w:hAnsi="Times New Roman" w:cs="Times New Roman"/>
                <w:sz w:val="22"/>
                <w:szCs w:val="22"/>
              </w:rPr>
            </w:pPr>
          </w:p>
          <w:p w14:paraId="70ABCFA3" w14:textId="48F6F19D" w:rsidR="001E1112" w:rsidRPr="00317ABF" w:rsidRDefault="001E1112" w:rsidP="00DB3BEC">
            <w:pPr>
              <w:jc w:val="both"/>
              <w:rPr>
                <w:sz w:val="22"/>
                <w:szCs w:val="22"/>
              </w:rPr>
            </w:pPr>
            <w:r w:rsidRPr="00317ABF">
              <w:rPr>
                <w:sz w:val="22"/>
                <w:szCs w:val="22"/>
              </w:rPr>
              <w:t xml:space="preserve">2. Wydzielona jednostka organizacyjna zapewnia dostęp </w:t>
            </w:r>
            <w:r w:rsidR="002836EF" w:rsidRPr="00317ABF">
              <w:rPr>
                <w:sz w:val="22"/>
                <w:szCs w:val="22"/>
              </w:rPr>
              <w:t xml:space="preserve">telekomunikacyjny </w:t>
            </w:r>
            <w:r w:rsidRPr="00317ABF">
              <w:rPr>
                <w:sz w:val="22"/>
                <w:szCs w:val="22"/>
              </w:rPr>
              <w:t xml:space="preserve">innym przedsiębiorcom komunikacji elektronicznej, na zasadach określonych w art. </w:t>
            </w:r>
            <w:r w:rsidR="002836EF" w:rsidRPr="00317ABF">
              <w:rPr>
                <w:sz w:val="22"/>
                <w:szCs w:val="22"/>
              </w:rPr>
              <w:t>213</w:t>
            </w:r>
            <w:r w:rsidRPr="00317ABF">
              <w:rPr>
                <w:sz w:val="22"/>
                <w:szCs w:val="22"/>
              </w:rPr>
              <w:t xml:space="preserve"> ust. 2.</w:t>
            </w:r>
          </w:p>
          <w:p w14:paraId="0A49A272" w14:textId="77777777" w:rsidR="001E1112" w:rsidRPr="00317ABF" w:rsidRDefault="001E1112" w:rsidP="00DB3BEC">
            <w:pPr>
              <w:jc w:val="both"/>
              <w:rPr>
                <w:sz w:val="22"/>
                <w:szCs w:val="22"/>
              </w:rPr>
            </w:pPr>
          </w:p>
          <w:p w14:paraId="75213A53" w14:textId="65141E66" w:rsidR="001E1112" w:rsidRPr="00317ABF" w:rsidRDefault="001E1112" w:rsidP="00DB3BEC">
            <w:pPr>
              <w:jc w:val="both"/>
              <w:rPr>
                <w:b/>
                <w:sz w:val="22"/>
                <w:szCs w:val="22"/>
              </w:rPr>
            </w:pPr>
            <w:r w:rsidRPr="00317ABF">
              <w:rPr>
                <w:b/>
                <w:sz w:val="22"/>
                <w:szCs w:val="22"/>
                <w:u w:val="single"/>
              </w:rPr>
              <w:t>Art. 2</w:t>
            </w:r>
            <w:r w:rsidR="00527AD4" w:rsidRPr="00317ABF">
              <w:rPr>
                <w:b/>
                <w:sz w:val="22"/>
                <w:szCs w:val="22"/>
                <w:u w:val="single"/>
              </w:rPr>
              <w:t>27</w:t>
            </w:r>
            <w:r w:rsidRPr="00317ABF">
              <w:rPr>
                <w:b/>
                <w:sz w:val="22"/>
                <w:szCs w:val="22"/>
                <w:u w:val="single"/>
              </w:rPr>
              <w:t xml:space="preserve"> i art. 2</w:t>
            </w:r>
            <w:r w:rsidR="00527AD4" w:rsidRPr="00317ABF">
              <w:rPr>
                <w:b/>
                <w:sz w:val="22"/>
                <w:szCs w:val="22"/>
                <w:u w:val="single"/>
              </w:rPr>
              <w:t>28</w:t>
            </w:r>
            <w:r w:rsidRPr="00317ABF">
              <w:rPr>
                <w:b/>
                <w:sz w:val="22"/>
                <w:szCs w:val="22"/>
              </w:rPr>
              <w:t xml:space="preserve"> [przepisy nie wynikają wprost z EKŁE natomiast stanowią pośrednie wdrożenie art. 77 ust. 1 EKŁE w zakresie formalno-prawnych zagadnień funkcjonowania niezależnie działającej jednostki organizacyjnej]</w:t>
            </w:r>
          </w:p>
          <w:p w14:paraId="7F6D8864" w14:textId="77777777" w:rsidR="001E1112" w:rsidRPr="00317ABF" w:rsidRDefault="001E1112" w:rsidP="00DB3BEC">
            <w:pPr>
              <w:jc w:val="both"/>
              <w:rPr>
                <w:b/>
                <w:sz w:val="22"/>
                <w:szCs w:val="22"/>
              </w:rPr>
            </w:pPr>
          </w:p>
          <w:p w14:paraId="4F85288C" w14:textId="113FE787" w:rsidR="00527AD4" w:rsidRPr="00317ABF" w:rsidRDefault="00527AD4" w:rsidP="00527AD4">
            <w:pPr>
              <w:jc w:val="both"/>
              <w:rPr>
                <w:rStyle w:val="normaltextrun"/>
                <w:sz w:val="22"/>
                <w:szCs w:val="22"/>
              </w:rPr>
            </w:pPr>
            <w:r w:rsidRPr="00317ABF">
              <w:rPr>
                <w:rStyle w:val="normaltextrun"/>
                <w:b/>
                <w:sz w:val="22"/>
                <w:szCs w:val="22"/>
              </w:rPr>
              <w:t>Art. 227.</w:t>
            </w:r>
            <w:r w:rsidRPr="00317ABF">
              <w:rPr>
                <w:rStyle w:val="normaltextrun"/>
                <w:sz w:val="22"/>
                <w:szCs w:val="22"/>
              </w:rPr>
              <w:t xml:space="preserve"> Osoba kierująca wydzieloną jednostką organizacyjną nie może jednocześnie świadczyć pracy lub usług u przedsiębiorcy zintegrowanego pionowo, na którego nałożono obowiązek rozdziału funkcjonalnego lub w innej niż wydzielona jednostka organizacyjna jednostce organizacyjnej tego przedsiębiorcy, lub w spółce od niego zależnej, wobec niego dominującej lub z nim powiązanej w rozumieniu ustawy z dnia 15 września 2000 r. - Kodeks spółek handlowych, ani pełnić funkcji w ich organach lub pełnić na rzecz tych podmiotów funkcji doradczych.</w:t>
            </w:r>
          </w:p>
          <w:p w14:paraId="2FFC0C1F" w14:textId="77777777" w:rsidR="001E1112" w:rsidRPr="00317ABF" w:rsidRDefault="001E1112" w:rsidP="00DB3BEC">
            <w:pPr>
              <w:jc w:val="both"/>
              <w:rPr>
                <w:rStyle w:val="normaltextrun"/>
                <w:sz w:val="22"/>
                <w:szCs w:val="22"/>
              </w:rPr>
            </w:pPr>
          </w:p>
          <w:p w14:paraId="2AD5DB15" w14:textId="77777777" w:rsidR="001E1112" w:rsidRPr="00317ABF" w:rsidRDefault="001E1112" w:rsidP="00527AD4">
            <w:pPr>
              <w:jc w:val="both"/>
              <w:rPr>
                <w:sz w:val="22"/>
                <w:szCs w:val="22"/>
              </w:rPr>
            </w:pPr>
            <w:r w:rsidRPr="00317ABF">
              <w:rPr>
                <w:rStyle w:val="normaltextrun"/>
                <w:b/>
                <w:sz w:val="22"/>
                <w:szCs w:val="22"/>
              </w:rPr>
              <w:t>Art. 207</w:t>
            </w:r>
            <w:r w:rsidRPr="00317ABF">
              <w:rPr>
                <w:sz w:val="22"/>
                <w:szCs w:val="22"/>
              </w:rPr>
              <w:t>. 1. Do wydzielonej jednostki organizacyjnej, w przypadku gdy nie ma ona formy odrębnej osoby prawnej, w zakresie nieuregulowanym w ustawie stosuje się odpowiednio przepisy o oddziale przedsiębiorcy.</w:t>
            </w:r>
          </w:p>
          <w:p w14:paraId="69426E2C" w14:textId="77777777" w:rsidR="001E1112" w:rsidRPr="00317ABF" w:rsidRDefault="001E1112" w:rsidP="00527AD4">
            <w:pPr>
              <w:jc w:val="both"/>
              <w:rPr>
                <w:sz w:val="22"/>
                <w:szCs w:val="22"/>
              </w:rPr>
            </w:pPr>
            <w:r w:rsidRPr="00317ABF">
              <w:rPr>
                <w:rStyle w:val="normaltextrun"/>
                <w:sz w:val="22"/>
                <w:szCs w:val="22"/>
              </w:rPr>
              <w:t xml:space="preserve">2. Przedsiębiorca zintegrowany pionowo na którego nałożono obowiązek rozdziału funkcjonalnego, obowiązany jest do wyboru nazwy wydzielonej jednostki organizacyjnej, w terminie określonym w decyzji, o której mowa w art. 203 ust. 4. Nazwa handlowa powinna pozwalać na identyfikację tej </w:t>
            </w:r>
            <w:r w:rsidRPr="00317ABF">
              <w:rPr>
                <w:rStyle w:val="normaltextrun"/>
                <w:sz w:val="22"/>
                <w:szCs w:val="22"/>
              </w:rPr>
              <w:lastRenderedPageBreak/>
              <w:t>jednostki jako jednostki wydzielonej od tego przedsiębiorcy i być przez niego używana w obrocie handlowym.</w:t>
            </w:r>
          </w:p>
          <w:p w14:paraId="34897B02" w14:textId="77777777" w:rsidR="001E1112" w:rsidRPr="00317ABF" w:rsidRDefault="001E1112" w:rsidP="00527AD4">
            <w:pPr>
              <w:jc w:val="both"/>
              <w:rPr>
                <w:sz w:val="22"/>
                <w:szCs w:val="22"/>
              </w:rPr>
            </w:pPr>
            <w:r w:rsidRPr="00317ABF">
              <w:rPr>
                <w:rStyle w:val="normaltextrun"/>
                <w:sz w:val="22"/>
                <w:szCs w:val="22"/>
              </w:rPr>
              <w:t>3. Wydzielona jednostka organizacyjna jest odrębnym pracodawcą w ramach przedsiębiorstwa przedsiębiorcy zintegrowanego pionowo, za którego uprawnienia i obowiązki pracodawcy wykonuje osoba lub osoby kierujące wydzieloną jednostką organizacyjną.</w:t>
            </w:r>
          </w:p>
          <w:p w14:paraId="1EA110C5" w14:textId="4C5DE1DA" w:rsidR="001E1112" w:rsidRPr="00317ABF" w:rsidRDefault="001E1112" w:rsidP="00DB3BEC">
            <w:pPr>
              <w:pStyle w:val="USTustnpkodeksu"/>
              <w:spacing w:line="240" w:lineRule="auto"/>
              <w:rPr>
                <w:rFonts w:ascii="Times New Roman" w:hAnsi="Times New Roman" w:cs="Times New Roman"/>
                <w:sz w:val="22"/>
                <w:szCs w:val="22"/>
              </w:rPr>
            </w:pPr>
            <w:r w:rsidRPr="00317ABF">
              <w:rPr>
                <w:rStyle w:val="normaltextrun"/>
                <w:sz w:val="22"/>
                <w:szCs w:val="22"/>
              </w:rPr>
              <w:t>4. Osoba lub osoby kierujące wydzieloną jednostką organizacyjną uprawnione są do reprezentowania jej na zewnątrz na zasadach prokury oddziałowej.</w:t>
            </w:r>
          </w:p>
        </w:tc>
      </w:tr>
      <w:tr w:rsidR="001E1112" w:rsidRPr="00317ABF" w14:paraId="4B7F6C47" w14:textId="77777777" w:rsidTr="7753F98D">
        <w:trPr>
          <w:gridAfter w:val="2"/>
          <w:wAfter w:w="175" w:type="dxa"/>
        </w:trPr>
        <w:tc>
          <w:tcPr>
            <w:tcW w:w="704" w:type="dxa"/>
          </w:tcPr>
          <w:p w14:paraId="4BC1DCB8" w14:textId="77777777" w:rsidR="001E1112" w:rsidRPr="00317ABF" w:rsidRDefault="001E1112" w:rsidP="00DB3BEC">
            <w:pPr>
              <w:jc w:val="both"/>
              <w:rPr>
                <w:sz w:val="22"/>
                <w:szCs w:val="22"/>
              </w:rPr>
            </w:pPr>
            <w:r w:rsidRPr="00317ABF">
              <w:rPr>
                <w:sz w:val="22"/>
                <w:szCs w:val="22"/>
              </w:rPr>
              <w:lastRenderedPageBreak/>
              <w:t>Art. 77 ust. 2</w:t>
            </w:r>
          </w:p>
        </w:tc>
        <w:tc>
          <w:tcPr>
            <w:tcW w:w="4308" w:type="dxa"/>
          </w:tcPr>
          <w:p w14:paraId="0956872C" w14:textId="77777777" w:rsidR="001E1112" w:rsidRPr="00317ABF" w:rsidRDefault="001E1112" w:rsidP="00DB3BEC">
            <w:pPr>
              <w:spacing w:before="120"/>
              <w:jc w:val="both"/>
              <w:rPr>
                <w:sz w:val="22"/>
                <w:szCs w:val="22"/>
              </w:rPr>
            </w:pPr>
            <w:r w:rsidRPr="00317ABF">
              <w:rPr>
                <w:sz w:val="22"/>
                <w:szCs w:val="22"/>
              </w:rPr>
              <w:t>2.   Gdy krajowy organ regulacyjny zamierza nałożyć obowiązek podziału funkcjonalnego, przedkłada on Komisji wniosek, który obejmuje:</w:t>
            </w:r>
          </w:p>
          <w:tbl>
            <w:tblPr>
              <w:tblW w:w="5000" w:type="pct"/>
              <w:tblCellSpacing w:w="0" w:type="dxa"/>
              <w:tblLayout w:type="fixed"/>
              <w:tblCellMar>
                <w:left w:w="0" w:type="dxa"/>
                <w:right w:w="0" w:type="dxa"/>
              </w:tblCellMar>
              <w:tblLook w:val="04A0" w:firstRow="1" w:lastRow="0" w:firstColumn="1" w:lastColumn="0" w:noHBand="0" w:noVBand="1"/>
            </w:tblPr>
            <w:tblGrid>
              <w:gridCol w:w="20"/>
              <w:gridCol w:w="4148"/>
            </w:tblGrid>
            <w:tr w:rsidR="001E1112" w:rsidRPr="00317ABF" w14:paraId="6A40DCAB" w14:textId="77777777" w:rsidTr="007B5338">
              <w:trPr>
                <w:tblCellSpacing w:w="0" w:type="dxa"/>
              </w:trPr>
              <w:tc>
                <w:tcPr>
                  <w:tcW w:w="6" w:type="dxa"/>
                  <w:hideMark/>
                </w:tcPr>
                <w:p w14:paraId="2FF539D1" w14:textId="77777777" w:rsidR="001E1112" w:rsidRPr="00317ABF" w:rsidRDefault="001E1112" w:rsidP="00EE0AC3">
                  <w:pPr>
                    <w:framePr w:hSpace="141" w:wrap="around" w:vAnchor="text" w:hAnchor="text" w:xAlign="right" w:y="1"/>
                    <w:spacing w:before="120"/>
                    <w:suppressOverlap/>
                    <w:jc w:val="both"/>
                    <w:rPr>
                      <w:sz w:val="22"/>
                      <w:szCs w:val="22"/>
                    </w:rPr>
                  </w:pPr>
                </w:p>
              </w:tc>
              <w:tc>
                <w:tcPr>
                  <w:tcW w:w="9066" w:type="dxa"/>
                  <w:hideMark/>
                </w:tcPr>
                <w:p w14:paraId="2DB162FF" w14:textId="77777777" w:rsidR="001E1112" w:rsidRPr="00317ABF" w:rsidRDefault="001E1112" w:rsidP="00EE0AC3">
                  <w:pPr>
                    <w:framePr w:hSpace="141" w:wrap="around" w:vAnchor="text" w:hAnchor="text" w:xAlign="right" w:y="1"/>
                    <w:numPr>
                      <w:ilvl w:val="0"/>
                      <w:numId w:val="67"/>
                    </w:numPr>
                    <w:spacing w:before="120"/>
                    <w:suppressOverlap/>
                    <w:jc w:val="both"/>
                    <w:rPr>
                      <w:sz w:val="22"/>
                      <w:szCs w:val="22"/>
                    </w:rPr>
                  </w:pPr>
                  <w:r w:rsidRPr="00317ABF">
                    <w:rPr>
                      <w:sz w:val="22"/>
                      <w:szCs w:val="22"/>
                    </w:rPr>
                    <w:t>dowody potwierdzające ustalenia krajowego organu regulacyjnego, o których mowa w ust. 1;</w:t>
                  </w:r>
                </w:p>
              </w:tc>
            </w:tr>
          </w:tbl>
          <w:p w14:paraId="7718C37C" w14:textId="77777777" w:rsidR="001E1112" w:rsidRPr="00317ABF" w:rsidRDefault="001E1112" w:rsidP="00DB3BEC">
            <w:pPr>
              <w:jc w:val="both"/>
              <w:rPr>
                <w:vanish/>
                <w:sz w:val="22"/>
                <w:szCs w:val="22"/>
              </w:rPr>
            </w:pPr>
          </w:p>
          <w:tbl>
            <w:tblPr>
              <w:tblW w:w="5000" w:type="pct"/>
              <w:tblCellSpacing w:w="0" w:type="dxa"/>
              <w:tblLayout w:type="fixed"/>
              <w:tblCellMar>
                <w:left w:w="0" w:type="dxa"/>
                <w:right w:w="0" w:type="dxa"/>
              </w:tblCellMar>
              <w:tblLook w:val="04A0" w:firstRow="1" w:lastRow="0" w:firstColumn="1" w:lastColumn="0" w:noHBand="0" w:noVBand="1"/>
            </w:tblPr>
            <w:tblGrid>
              <w:gridCol w:w="20"/>
              <w:gridCol w:w="4148"/>
            </w:tblGrid>
            <w:tr w:rsidR="001E1112" w:rsidRPr="00317ABF" w14:paraId="2DB09411" w14:textId="77777777" w:rsidTr="007B5338">
              <w:trPr>
                <w:tblCellSpacing w:w="0" w:type="dxa"/>
              </w:trPr>
              <w:tc>
                <w:tcPr>
                  <w:tcW w:w="6" w:type="dxa"/>
                  <w:hideMark/>
                </w:tcPr>
                <w:p w14:paraId="06AB143E" w14:textId="77777777" w:rsidR="001E1112" w:rsidRPr="00317ABF" w:rsidRDefault="001E1112" w:rsidP="00EE0AC3">
                  <w:pPr>
                    <w:framePr w:hSpace="141" w:wrap="around" w:vAnchor="text" w:hAnchor="text" w:xAlign="right" w:y="1"/>
                    <w:spacing w:before="120"/>
                    <w:suppressOverlap/>
                    <w:jc w:val="both"/>
                    <w:rPr>
                      <w:sz w:val="22"/>
                      <w:szCs w:val="22"/>
                    </w:rPr>
                  </w:pPr>
                </w:p>
              </w:tc>
              <w:tc>
                <w:tcPr>
                  <w:tcW w:w="9066" w:type="dxa"/>
                  <w:hideMark/>
                </w:tcPr>
                <w:p w14:paraId="63353D46" w14:textId="77777777" w:rsidR="001E1112" w:rsidRPr="00317ABF" w:rsidRDefault="001E1112" w:rsidP="00EE0AC3">
                  <w:pPr>
                    <w:framePr w:hSpace="141" w:wrap="around" w:vAnchor="text" w:hAnchor="text" w:xAlign="right" w:y="1"/>
                    <w:numPr>
                      <w:ilvl w:val="0"/>
                      <w:numId w:val="67"/>
                    </w:numPr>
                    <w:spacing w:before="120"/>
                    <w:suppressOverlap/>
                    <w:jc w:val="both"/>
                    <w:rPr>
                      <w:sz w:val="22"/>
                      <w:szCs w:val="22"/>
                    </w:rPr>
                  </w:pPr>
                  <w:r w:rsidRPr="00317ABF">
                    <w:rPr>
                      <w:sz w:val="22"/>
                      <w:szCs w:val="22"/>
                    </w:rPr>
                    <w:t>uzasadnioną ocenę, z której wynika, że w rozsądnym terminie nie zaistnieje skuteczna i trwała konkurencja oparta na infrastrukturze lub zaistnieje ona w niewielkim stopniu;</w:t>
                  </w:r>
                </w:p>
              </w:tc>
            </w:tr>
          </w:tbl>
          <w:p w14:paraId="43491B7B" w14:textId="77777777" w:rsidR="001E1112" w:rsidRPr="00317ABF" w:rsidRDefault="001E1112" w:rsidP="00DB3BEC">
            <w:pPr>
              <w:jc w:val="both"/>
              <w:rPr>
                <w:vanish/>
                <w:sz w:val="22"/>
                <w:szCs w:val="22"/>
              </w:rPr>
            </w:pPr>
          </w:p>
          <w:tbl>
            <w:tblPr>
              <w:tblW w:w="5000" w:type="pct"/>
              <w:tblCellSpacing w:w="0" w:type="dxa"/>
              <w:tblLayout w:type="fixed"/>
              <w:tblCellMar>
                <w:left w:w="0" w:type="dxa"/>
                <w:right w:w="0" w:type="dxa"/>
              </w:tblCellMar>
              <w:tblLook w:val="04A0" w:firstRow="1" w:lastRow="0" w:firstColumn="1" w:lastColumn="0" w:noHBand="0" w:noVBand="1"/>
            </w:tblPr>
            <w:tblGrid>
              <w:gridCol w:w="20"/>
              <w:gridCol w:w="4148"/>
            </w:tblGrid>
            <w:tr w:rsidR="001E1112" w:rsidRPr="00317ABF" w14:paraId="2B170892" w14:textId="77777777" w:rsidTr="007B5338">
              <w:trPr>
                <w:tblCellSpacing w:w="0" w:type="dxa"/>
              </w:trPr>
              <w:tc>
                <w:tcPr>
                  <w:tcW w:w="6" w:type="dxa"/>
                  <w:hideMark/>
                </w:tcPr>
                <w:p w14:paraId="00C0E0EA" w14:textId="77777777" w:rsidR="001E1112" w:rsidRPr="00317ABF" w:rsidRDefault="001E1112" w:rsidP="00EE0AC3">
                  <w:pPr>
                    <w:framePr w:hSpace="141" w:wrap="around" w:vAnchor="text" w:hAnchor="text" w:xAlign="right" w:y="1"/>
                    <w:spacing w:before="120"/>
                    <w:suppressOverlap/>
                    <w:jc w:val="both"/>
                    <w:rPr>
                      <w:sz w:val="22"/>
                      <w:szCs w:val="22"/>
                    </w:rPr>
                  </w:pPr>
                </w:p>
              </w:tc>
              <w:tc>
                <w:tcPr>
                  <w:tcW w:w="9066" w:type="dxa"/>
                  <w:hideMark/>
                </w:tcPr>
                <w:p w14:paraId="4B8B152B" w14:textId="77777777" w:rsidR="001E1112" w:rsidRPr="00317ABF" w:rsidRDefault="001E1112" w:rsidP="00EE0AC3">
                  <w:pPr>
                    <w:framePr w:hSpace="141" w:wrap="around" w:vAnchor="text" w:hAnchor="text" w:xAlign="right" w:y="1"/>
                    <w:numPr>
                      <w:ilvl w:val="0"/>
                      <w:numId w:val="67"/>
                    </w:numPr>
                    <w:spacing w:before="120"/>
                    <w:suppressOverlap/>
                    <w:jc w:val="both"/>
                    <w:rPr>
                      <w:sz w:val="22"/>
                      <w:szCs w:val="22"/>
                    </w:rPr>
                  </w:pPr>
                  <w:r w:rsidRPr="00317ABF">
                    <w:rPr>
                      <w:sz w:val="22"/>
                      <w:szCs w:val="22"/>
                    </w:rPr>
                    <w:t xml:space="preserve">analizę spodziewanego wpływu na krajowy organ regulacyjny, na przedsiębiorstwo, w szczególności na pracowników oddzielnego przedsiębiorstwa i na całość sektora łączności elektronicznej, oraz na zachęty do inwestowania w sektor jako całość – w szczególności w związku z potrzebą zapewnienia spójności społecznej i terytorialnej – a także na inne zainteresowane strony, w tym przede wszystkim analizę spodziewanego wpływu na konkurencję i analizę wszelkich </w:t>
                  </w:r>
                  <w:r w:rsidRPr="00317ABF">
                    <w:rPr>
                      <w:sz w:val="22"/>
                      <w:szCs w:val="22"/>
                    </w:rPr>
                    <w:lastRenderedPageBreak/>
                    <w:t>potencjalnych skutków dla konsumentów;</w:t>
                  </w:r>
                </w:p>
              </w:tc>
            </w:tr>
          </w:tbl>
          <w:p w14:paraId="3421177C" w14:textId="77777777" w:rsidR="001E1112" w:rsidRPr="00317ABF" w:rsidRDefault="001E1112" w:rsidP="00DB3BEC">
            <w:pPr>
              <w:jc w:val="both"/>
              <w:rPr>
                <w:vanish/>
                <w:sz w:val="22"/>
                <w:szCs w:val="22"/>
              </w:rPr>
            </w:pPr>
          </w:p>
          <w:tbl>
            <w:tblPr>
              <w:tblW w:w="5000" w:type="pct"/>
              <w:tblCellSpacing w:w="0" w:type="dxa"/>
              <w:tblLayout w:type="fixed"/>
              <w:tblCellMar>
                <w:left w:w="0" w:type="dxa"/>
                <w:right w:w="0" w:type="dxa"/>
              </w:tblCellMar>
              <w:tblLook w:val="04A0" w:firstRow="1" w:lastRow="0" w:firstColumn="1" w:lastColumn="0" w:noHBand="0" w:noVBand="1"/>
            </w:tblPr>
            <w:tblGrid>
              <w:gridCol w:w="20"/>
              <w:gridCol w:w="4148"/>
            </w:tblGrid>
            <w:tr w:rsidR="001E1112" w:rsidRPr="00317ABF" w14:paraId="269674E5" w14:textId="77777777" w:rsidTr="007B5338">
              <w:trPr>
                <w:tblCellSpacing w:w="0" w:type="dxa"/>
              </w:trPr>
              <w:tc>
                <w:tcPr>
                  <w:tcW w:w="6" w:type="dxa"/>
                  <w:hideMark/>
                </w:tcPr>
                <w:p w14:paraId="42D3B307" w14:textId="77777777" w:rsidR="001E1112" w:rsidRPr="00317ABF" w:rsidRDefault="001E1112" w:rsidP="00EE0AC3">
                  <w:pPr>
                    <w:framePr w:hSpace="141" w:wrap="around" w:vAnchor="text" w:hAnchor="text" w:xAlign="right" w:y="1"/>
                    <w:spacing w:before="120"/>
                    <w:suppressOverlap/>
                    <w:jc w:val="both"/>
                    <w:rPr>
                      <w:sz w:val="22"/>
                      <w:szCs w:val="22"/>
                    </w:rPr>
                  </w:pPr>
                </w:p>
              </w:tc>
              <w:tc>
                <w:tcPr>
                  <w:tcW w:w="9066" w:type="dxa"/>
                  <w:hideMark/>
                </w:tcPr>
                <w:p w14:paraId="39704115" w14:textId="77777777" w:rsidR="001E1112" w:rsidRPr="00317ABF" w:rsidRDefault="001E1112" w:rsidP="00EE0AC3">
                  <w:pPr>
                    <w:framePr w:hSpace="141" w:wrap="around" w:vAnchor="text" w:hAnchor="text" w:xAlign="right" w:y="1"/>
                    <w:numPr>
                      <w:ilvl w:val="0"/>
                      <w:numId w:val="67"/>
                    </w:numPr>
                    <w:spacing w:before="120"/>
                    <w:suppressOverlap/>
                    <w:jc w:val="both"/>
                    <w:rPr>
                      <w:sz w:val="22"/>
                      <w:szCs w:val="22"/>
                    </w:rPr>
                  </w:pPr>
                  <w:r w:rsidRPr="00317ABF">
                    <w:rPr>
                      <w:sz w:val="22"/>
                      <w:szCs w:val="22"/>
                    </w:rPr>
                    <w:t>analizę przyczyn uzasadniających, że obowiązek ten byłby najskuteczniejszym sposobem wprowadzenia w życie środków naprawczych mających na celu rozwiązanie problemów związanych z konkurencją lub usunięcie zidentyfikowanych nieprawidłowości rynkowych.</w:t>
                  </w:r>
                </w:p>
              </w:tc>
            </w:tr>
          </w:tbl>
          <w:p w14:paraId="4A6AD2C8" w14:textId="77777777" w:rsidR="001E1112" w:rsidRPr="00317ABF" w:rsidRDefault="001E1112" w:rsidP="00DB3BEC">
            <w:pPr>
              <w:spacing w:before="120"/>
              <w:jc w:val="both"/>
              <w:rPr>
                <w:sz w:val="22"/>
                <w:szCs w:val="22"/>
              </w:rPr>
            </w:pPr>
          </w:p>
        </w:tc>
        <w:tc>
          <w:tcPr>
            <w:tcW w:w="986" w:type="dxa"/>
          </w:tcPr>
          <w:p w14:paraId="3782E8BE" w14:textId="7AC862BA" w:rsidR="001E1112" w:rsidRPr="00317ABF" w:rsidRDefault="001E1112" w:rsidP="00DB3BEC">
            <w:pPr>
              <w:jc w:val="both"/>
              <w:rPr>
                <w:sz w:val="22"/>
                <w:szCs w:val="22"/>
              </w:rPr>
            </w:pPr>
            <w:r w:rsidRPr="00317ABF">
              <w:rPr>
                <w:sz w:val="22"/>
                <w:szCs w:val="22"/>
              </w:rPr>
              <w:lastRenderedPageBreak/>
              <w:t>T</w:t>
            </w:r>
          </w:p>
        </w:tc>
        <w:tc>
          <w:tcPr>
            <w:tcW w:w="910" w:type="dxa"/>
          </w:tcPr>
          <w:p w14:paraId="0567AD06" w14:textId="45E14873" w:rsidR="001E1112" w:rsidRPr="00317ABF" w:rsidRDefault="001E1112" w:rsidP="00DB3BEC">
            <w:pPr>
              <w:pStyle w:val="Tekstpodstawowy"/>
              <w:rPr>
                <w:b/>
                <w:noProof/>
                <w:sz w:val="22"/>
                <w:szCs w:val="22"/>
              </w:rPr>
            </w:pPr>
            <w:r w:rsidRPr="00317ABF">
              <w:rPr>
                <w:b/>
                <w:noProof/>
                <w:sz w:val="22"/>
                <w:szCs w:val="22"/>
              </w:rPr>
              <w:t>Art. 2</w:t>
            </w:r>
            <w:r w:rsidR="00482993" w:rsidRPr="00317ABF">
              <w:rPr>
                <w:b/>
                <w:noProof/>
                <w:sz w:val="22"/>
                <w:szCs w:val="22"/>
              </w:rPr>
              <w:t>24</w:t>
            </w:r>
            <w:r w:rsidRPr="00317ABF">
              <w:rPr>
                <w:b/>
                <w:noProof/>
                <w:sz w:val="22"/>
                <w:szCs w:val="22"/>
              </w:rPr>
              <w:t xml:space="preserve"> ust. 3</w:t>
            </w:r>
          </w:p>
        </w:tc>
        <w:tc>
          <w:tcPr>
            <w:tcW w:w="6814" w:type="dxa"/>
            <w:gridSpan w:val="2"/>
          </w:tcPr>
          <w:p w14:paraId="1F5BD209" w14:textId="2E72F4BE" w:rsidR="00482993" w:rsidRPr="00317ABF" w:rsidRDefault="00482993" w:rsidP="00482993">
            <w:pPr>
              <w:pStyle w:val="USTustnpkodeksu"/>
              <w:spacing w:line="240" w:lineRule="auto"/>
              <w:ind w:firstLine="0"/>
              <w:rPr>
                <w:rFonts w:ascii="Times New Roman" w:hAnsi="Times New Roman" w:cs="Times New Roman"/>
                <w:b/>
                <w:sz w:val="22"/>
                <w:szCs w:val="22"/>
              </w:rPr>
            </w:pPr>
            <w:r w:rsidRPr="00317ABF">
              <w:rPr>
                <w:rFonts w:ascii="Times New Roman" w:hAnsi="Times New Roman" w:cs="Times New Roman"/>
                <w:b/>
                <w:sz w:val="22"/>
                <w:szCs w:val="22"/>
              </w:rPr>
              <w:t>Art. 224 ust. 3</w:t>
            </w:r>
          </w:p>
          <w:p w14:paraId="3A2FCEAD" w14:textId="77777777" w:rsidR="00482993" w:rsidRPr="00317ABF" w:rsidRDefault="00482993" w:rsidP="00482993">
            <w:pPr>
              <w:pStyle w:val="USTustnpkodeksu"/>
              <w:spacing w:line="240" w:lineRule="auto"/>
              <w:ind w:firstLine="0"/>
              <w:rPr>
                <w:rFonts w:ascii="Times New Roman" w:hAnsi="Times New Roman" w:cs="Times New Roman"/>
                <w:b/>
                <w:sz w:val="22"/>
                <w:szCs w:val="22"/>
              </w:rPr>
            </w:pPr>
          </w:p>
          <w:p w14:paraId="69E299E8" w14:textId="77777777" w:rsidR="001E1112" w:rsidRPr="00317ABF" w:rsidRDefault="001E1112" w:rsidP="00DB3BEC">
            <w:pPr>
              <w:pStyle w:val="USTustnpkodeksu"/>
              <w:spacing w:line="240" w:lineRule="auto"/>
              <w:rPr>
                <w:rFonts w:ascii="Times New Roman" w:hAnsi="Times New Roman" w:cs="Times New Roman"/>
                <w:sz w:val="22"/>
                <w:szCs w:val="22"/>
              </w:rPr>
            </w:pPr>
            <w:r w:rsidRPr="00317ABF">
              <w:rPr>
                <w:rFonts w:ascii="Times New Roman" w:hAnsi="Times New Roman" w:cs="Times New Roman"/>
                <w:sz w:val="22"/>
                <w:szCs w:val="22"/>
              </w:rPr>
              <w:t>3. Przed nałożeniem na przedsiębiorcę komunikacji elektronicznej obowiązku rozdziału funkcjonalnego, Prezes UKE występuje do Komisji Europejskiej z wnioskiem o uzyskanie zgody na nałożenie tego obowiązku, do którego dołącza:</w:t>
            </w:r>
          </w:p>
          <w:p w14:paraId="33A03B6B" w14:textId="77777777" w:rsidR="00482993" w:rsidRPr="00317ABF" w:rsidRDefault="00482993" w:rsidP="00482993">
            <w:pPr>
              <w:pStyle w:val="USTustnpkodeksu"/>
              <w:spacing w:line="240" w:lineRule="auto"/>
              <w:rPr>
                <w:rFonts w:ascii="Times New Roman" w:hAnsi="Times New Roman" w:cs="Times New Roman"/>
                <w:sz w:val="22"/>
                <w:szCs w:val="22"/>
              </w:rPr>
            </w:pPr>
            <w:r w:rsidRPr="00317ABF">
              <w:rPr>
                <w:rFonts w:ascii="Times New Roman" w:hAnsi="Times New Roman" w:cs="Times New Roman"/>
                <w:sz w:val="22"/>
                <w:szCs w:val="22"/>
              </w:rPr>
              <w:t>1)</w:t>
            </w:r>
            <w:r w:rsidRPr="00317ABF">
              <w:rPr>
                <w:rFonts w:ascii="Times New Roman" w:hAnsi="Times New Roman" w:cs="Times New Roman"/>
                <w:sz w:val="22"/>
                <w:szCs w:val="22"/>
              </w:rPr>
              <w:tab/>
              <w:t>wyniki analizy, o której mowa w art. 197 ust. 1, w zakresie rynku hurtowego albo rynków hurtowych, potwierdzające, że wcześniej nałożone obowiązki regulacyjne w zakresie dostępu telekomunikacyjnego nie zapewniły na rynku hurtowym lub rynkach hurtowych, o których mowa w ust. 1, skutecznej konkurencji oraz że istnieją na tym rynku lub rynkach trwałe i wysokie bariery konkurencyjne lub rynkowe;</w:t>
            </w:r>
          </w:p>
          <w:p w14:paraId="25145023" w14:textId="77777777" w:rsidR="00482993" w:rsidRPr="00317ABF" w:rsidRDefault="00482993" w:rsidP="00482993">
            <w:pPr>
              <w:pStyle w:val="USTustnpkodeksu"/>
              <w:spacing w:line="240" w:lineRule="auto"/>
              <w:rPr>
                <w:rFonts w:ascii="Times New Roman" w:hAnsi="Times New Roman" w:cs="Times New Roman"/>
                <w:sz w:val="22"/>
                <w:szCs w:val="22"/>
              </w:rPr>
            </w:pPr>
            <w:r w:rsidRPr="00317ABF">
              <w:rPr>
                <w:rFonts w:ascii="Times New Roman" w:hAnsi="Times New Roman" w:cs="Times New Roman"/>
                <w:sz w:val="22"/>
                <w:szCs w:val="22"/>
              </w:rPr>
              <w:t>2)</w:t>
            </w:r>
            <w:r w:rsidRPr="00317ABF">
              <w:rPr>
                <w:rFonts w:ascii="Times New Roman" w:hAnsi="Times New Roman" w:cs="Times New Roman"/>
                <w:sz w:val="22"/>
                <w:szCs w:val="22"/>
              </w:rPr>
              <w:tab/>
              <w:t>uzasadnioną ocenę, że w rozsądnym terminie nie zaistnieje lub zaistnieje w niewielkim stopniu na rynku hurtowym lub rynkach hurtowych, o których mowa w ust. 1, skuteczna i trwała konkurencja w zakresie infrastruktury telekomunikacyjnej;</w:t>
            </w:r>
          </w:p>
          <w:p w14:paraId="17532782" w14:textId="77777777" w:rsidR="00482993" w:rsidRPr="00317ABF" w:rsidRDefault="00482993" w:rsidP="00482993">
            <w:pPr>
              <w:pStyle w:val="USTustnpkodeksu"/>
              <w:spacing w:line="240" w:lineRule="auto"/>
              <w:rPr>
                <w:rFonts w:ascii="Times New Roman" w:hAnsi="Times New Roman" w:cs="Times New Roman"/>
                <w:sz w:val="22"/>
                <w:szCs w:val="22"/>
              </w:rPr>
            </w:pPr>
            <w:r w:rsidRPr="00317ABF">
              <w:rPr>
                <w:rFonts w:ascii="Times New Roman" w:hAnsi="Times New Roman" w:cs="Times New Roman"/>
                <w:sz w:val="22"/>
                <w:szCs w:val="22"/>
              </w:rPr>
              <w:t>3)</w:t>
            </w:r>
            <w:r w:rsidRPr="00317ABF">
              <w:rPr>
                <w:rFonts w:ascii="Times New Roman" w:hAnsi="Times New Roman" w:cs="Times New Roman"/>
                <w:sz w:val="22"/>
                <w:szCs w:val="22"/>
              </w:rPr>
              <w:tab/>
              <w:t>analizę spodziewanego wpływu nałożenia obowiązku rozdziału funkcjonalnego na przedsiębiorcę komunikacji elektronicznej, o którym mowa w ust. 1, w tym na sytuację pracowników wydzielonej jednostki organizacyjnej, na działalność Prezesa UKE oraz na rynek komunikacji elektronicznej, w tym ocenę wpływu na motywację do inwestowania na tym rynku komunikacji elektronicznej, a także informację o spodziewanym wpływie na konkurencję oraz o potencjalnych skutkach dla konsumentów;</w:t>
            </w:r>
          </w:p>
          <w:p w14:paraId="6C1F6311" w14:textId="77777777" w:rsidR="00482993" w:rsidRPr="00317ABF" w:rsidRDefault="00482993" w:rsidP="00482993">
            <w:pPr>
              <w:pStyle w:val="USTustnpkodeksu"/>
              <w:spacing w:line="240" w:lineRule="auto"/>
              <w:rPr>
                <w:rFonts w:ascii="Times New Roman" w:hAnsi="Times New Roman" w:cs="Times New Roman"/>
                <w:sz w:val="22"/>
                <w:szCs w:val="22"/>
              </w:rPr>
            </w:pPr>
            <w:r w:rsidRPr="00317ABF">
              <w:rPr>
                <w:rFonts w:ascii="Times New Roman" w:hAnsi="Times New Roman" w:cs="Times New Roman"/>
                <w:sz w:val="22"/>
                <w:szCs w:val="22"/>
              </w:rPr>
              <w:t>4)</w:t>
            </w:r>
            <w:r w:rsidRPr="00317ABF">
              <w:rPr>
                <w:rFonts w:ascii="Times New Roman" w:hAnsi="Times New Roman" w:cs="Times New Roman"/>
                <w:sz w:val="22"/>
                <w:szCs w:val="22"/>
              </w:rPr>
              <w:tab/>
              <w:t>uzasadnienie zastosowania rozdziału funkcjonalnego jako najskuteczniejszego środka naprawczego, który ma na celu usunięcie barier związanych z konkurencją lub zidentyfikowanych nieprawidłowości na rynku hurtowym lub rynkach hurtowych;</w:t>
            </w:r>
          </w:p>
          <w:p w14:paraId="0B286FE6" w14:textId="77777777" w:rsidR="00482993" w:rsidRPr="00317ABF" w:rsidRDefault="00482993" w:rsidP="00482993">
            <w:pPr>
              <w:pStyle w:val="USTustnpkodeksu"/>
              <w:spacing w:line="240" w:lineRule="auto"/>
              <w:rPr>
                <w:rFonts w:ascii="Times New Roman" w:hAnsi="Times New Roman" w:cs="Times New Roman"/>
                <w:sz w:val="22"/>
                <w:szCs w:val="22"/>
              </w:rPr>
            </w:pPr>
            <w:r w:rsidRPr="00317ABF">
              <w:rPr>
                <w:rFonts w:ascii="Times New Roman" w:hAnsi="Times New Roman" w:cs="Times New Roman"/>
                <w:sz w:val="22"/>
                <w:szCs w:val="22"/>
              </w:rPr>
              <w:t>5)</w:t>
            </w:r>
            <w:r w:rsidRPr="00317ABF">
              <w:rPr>
                <w:rFonts w:ascii="Times New Roman" w:hAnsi="Times New Roman" w:cs="Times New Roman"/>
                <w:sz w:val="22"/>
                <w:szCs w:val="22"/>
              </w:rPr>
              <w:tab/>
              <w:t>projekt decyzji w sprawie rozdziału funkcjonalnego obejmujący określenie:</w:t>
            </w:r>
          </w:p>
          <w:p w14:paraId="2959939D" w14:textId="77777777" w:rsidR="00482993" w:rsidRPr="00317ABF" w:rsidRDefault="00482993" w:rsidP="00482993">
            <w:pPr>
              <w:pStyle w:val="USTustnpkodeksu"/>
              <w:spacing w:line="240" w:lineRule="auto"/>
              <w:rPr>
                <w:rFonts w:ascii="Times New Roman" w:hAnsi="Times New Roman" w:cs="Times New Roman"/>
                <w:sz w:val="22"/>
                <w:szCs w:val="22"/>
              </w:rPr>
            </w:pPr>
            <w:r w:rsidRPr="00317ABF">
              <w:rPr>
                <w:rFonts w:ascii="Times New Roman" w:hAnsi="Times New Roman" w:cs="Times New Roman"/>
                <w:sz w:val="22"/>
                <w:szCs w:val="22"/>
              </w:rPr>
              <w:lastRenderedPageBreak/>
              <w:t>a)</w:t>
            </w:r>
            <w:r w:rsidRPr="00317ABF">
              <w:rPr>
                <w:rFonts w:ascii="Times New Roman" w:hAnsi="Times New Roman" w:cs="Times New Roman"/>
                <w:sz w:val="22"/>
                <w:szCs w:val="22"/>
              </w:rPr>
              <w:tab/>
              <w:t>charakteru i stopnia rozdziału funkcjonalnego, ze wskazaniem w szczególności statusu prawnego wydzielonej jednostki organizacyjnej, biorąc pod uwagę stanowisko przedsiębiorcy, na którego ma być nałożony obowiązek rozdziału funkcjonalnego co do tego statusu, o ile takie stanowisko zostało przedstawione przez niego w ramach postępowania konsultacyjnego,</w:t>
            </w:r>
          </w:p>
          <w:p w14:paraId="6C80A554" w14:textId="77777777" w:rsidR="00482993" w:rsidRPr="00317ABF" w:rsidRDefault="00482993" w:rsidP="00482993">
            <w:pPr>
              <w:pStyle w:val="USTustnpkodeksu"/>
              <w:spacing w:line="240" w:lineRule="auto"/>
              <w:rPr>
                <w:rFonts w:ascii="Times New Roman" w:hAnsi="Times New Roman" w:cs="Times New Roman"/>
                <w:sz w:val="22"/>
                <w:szCs w:val="22"/>
              </w:rPr>
            </w:pPr>
            <w:r w:rsidRPr="00317ABF">
              <w:rPr>
                <w:rFonts w:ascii="Times New Roman" w:hAnsi="Times New Roman" w:cs="Times New Roman"/>
                <w:sz w:val="22"/>
                <w:szCs w:val="22"/>
              </w:rPr>
              <w:t>b)</w:t>
            </w:r>
            <w:r w:rsidRPr="00317ABF">
              <w:rPr>
                <w:rFonts w:ascii="Times New Roman" w:hAnsi="Times New Roman" w:cs="Times New Roman"/>
                <w:sz w:val="22"/>
                <w:szCs w:val="22"/>
              </w:rPr>
              <w:tab/>
              <w:t>początkowych składników majątkowych wydzielonej jednostki organizacyjnej oraz rodzaju dostarczanych przez nią produktów lub usług,</w:t>
            </w:r>
          </w:p>
          <w:p w14:paraId="1E5389AB" w14:textId="77777777" w:rsidR="00482993" w:rsidRPr="00317ABF" w:rsidRDefault="00482993" w:rsidP="00482993">
            <w:pPr>
              <w:pStyle w:val="USTustnpkodeksu"/>
              <w:spacing w:line="240" w:lineRule="auto"/>
              <w:rPr>
                <w:rFonts w:ascii="Times New Roman" w:hAnsi="Times New Roman" w:cs="Times New Roman"/>
                <w:sz w:val="22"/>
                <w:szCs w:val="22"/>
              </w:rPr>
            </w:pPr>
            <w:r w:rsidRPr="00317ABF">
              <w:rPr>
                <w:rFonts w:ascii="Times New Roman" w:hAnsi="Times New Roman" w:cs="Times New Roman"/>
                <w:sz w:val="22"/>
                <w:szCs w:val="22"/>
              </w:rPr>
              <w:t>c)</w:t>
            </w:r>
            <w:r w:rsidRPr="00317ABF">
              <w:rPr>
                <w:rFonts w:ascii="Times New Roman" w:hAnsi="Times New Roman" w:cs="Times New Roman"/>
                <w:sz w:val="22"/>
                <w:szCs w:val="22"/>
              </w:rPr>
              <w:tab/>
              <w:t>rozwiązań w zakresie zarządzania wydzieloną jednostką organizacyjną, w tym zasad dotyczących stworzenia w niej odpowiedniej struktury zachęt, zapewniających niezależność pracowników tej jednostki od przedsiębiorcy komunikacji elektronicznej, o którym mowa w ust. 1, innych jednostek tego przedsiębiorcy, spółek od niego zależnych, wobec niego dominujących lub z nim powiązanych w rozumieniu ustawy z dnia 15 września 2000 r. - Kodeks spółek handlowych (Dz. U. z 2019 r. poz. 505, 1543, 1655, 1798, 2217 oraz z 2020 r. poz. 288, 568 i 695),</w:t>
            </w:r>
          </w:p>
          <w:p w14:paraId="05D52C3B" w14:textId="77777777" w:rsidR="00482993" w:rsidRPr="00317ABF" w:rsidRDefault="00482993" w:rsidP="00482993">
            <w:pPr>
              <w:pStyle w:val="USTustnpkodeksu"/>
              <w:spacing w:line="240" w:lineRule="auto"/>
              <w:rPr>
                <w:rFonts w:ascii="Times New Roman" w:hAnsi="Times New Roman" w:cs="Times New Roman"/>
                <w:sz w:val="22"/>
                <w:szCs w:val="22"/>
              </w:rPr>
            </w:pPr>
            <w:r w:rsidRPr="00317ABF">
              <w:rPr>
                <w:rFonts w:ascii="Times New Roman" w:hAnsi="Times New Roman" w:cs="Times New Roman"/>
                <w:sz w:val="22"/>
                <w:szCs w:val="22"/>
              </w:rPr>
              <w:t>d)</w:t>
            </w:r>
            <w:r w:rsidRPr="00317ABF">
              <w:rPr>
                <w:rFonts w:ascii="Times New Roman" w:hAnsi="Times New Roman" w:cs="Times New Roman"/>
                <w:sz w:val="22"/>
                <w:szCs w:val="22"/>
              </w:rPr>
              <w:tab/>
              <w:t>trybu realizacji obowiązku rozdziału funkcjonalnego, w tym harmonogramu jego realizacji,</w:t>
            </w:r>
          </w:p>
          <w:p w14:paraId="5E0E955E" w14:textId="77777777" w:rsidR="00482993" w:rsidRPr="00317ABF" w:rsidRDefault="00482993" w:rsidP="00482993">
            <w:pPr>
              <w:pStyle w:val="USTustnpkodeksu"/>
              <w:spacing w:line="240" w:lineRule="auto"/>
              <w:rPr>
                <w:rFonts w:ascii="Times New Roman" w:hAnsi="Times New Roman" w:cs="Times New Roman"/>
                <w:sz w:val="22"/>
                <w:szCs w:val="22"/>
              </w:rPr>
            </w:pPr>
            <w:r w:rsidRPr="00317ABF">
              <w:rPr>
                <w:rFonts w:ascii="Times New Roman" w:hAnsi="Times New Roman" w:cs="Times New Roman"/>
                <w:sz w:val="22"/>
                <w:szCs w:val="22"/>
              </w:rPr>
              <w:t>e)</w:t>
            </w:r>
            <w:r w:rsidRPr="00317ABF">
              <w:rPr>
                <w:rFonts w:ascii="Times New Roman" w:hAnsi="Times New Roman" w:cs="Times New Roman"/>
                <w:sz w:val="22"/>
                <w:szCs w:val="22"/>
              </w:rPr>
              <w:tab/>
              <w:t>zasad zapewniających przejrzystość procedur operacyjnych, w szczególności w odniesieniu do innych zainteresowanych przedsiębiorców komunikacji elektronicznej,</w:t>
            </w:r>
          </w:p>
          <w:p w14:paraId="7085315B" w14:textId="77777777" w:rsidR="00482993" w:rsidRPr="00317ABF" w:rsidRDefault="00482993" w:rsidP="00482993">
            <w:pPr>
              <w:pStyle w:val="USTustnpkodeksu"/>
              <w:spacing w:line="240" w:lineRule="auto"/>
              <w:rPr>
                <w:rFonts w:ascii="Times New Roman" w:hAnsi="Times New Roman" w:cs="Times New Roman"/>
                <w:sz w:val="22"/>
                <w:szCs w:val="22"/>
              </w:rPr>
            </w:pPr>
            <w:r w:rsidRPr="00317ABF">
              <w:rPr>
                <w:rFonts w:ascii="Times New Roman" w:hAnsi="Times New Roman" w:cs="Times New Roman"/>
                <w:sz w:val="22"/>
                <w:szCs w:val="22"/>
              </w:rPr>
              <w:t>f)</w:t>
            </w:r>
            <w:r w:rsidRPr="00317ABF">
              <w:rPr>
                <w:rFonts w:ascii="Times New Roman" w:hAnsi="Times New Roman" w:cs="Times New Roman"/>
                <w:sz w:val="22"/>
                <w:szCs w:val="22"/>
              </w:rPr>
              <w:tab/>
              <w:t xml:space="preserve"> terminu do wyboru nazwy handlowej, o której mowa w art. 228 ust. 2,</w:t>
            </w:r>
          </w:p>
          <w:p w14:paraId="40C353B7" w14:textId="77777777" w:rsidR="00482993" w:rsidRPr="00317ABF" w:rsidRDefault="00482993" w:rsidP="00482993">
            <w:pPr>
              <w:pStyle w:val="USTustnpkodeksu"/>
              <w:spacing w:line="240" w:lineRule="auto"/>
              <w:rPr>
                <w:rFonts w:ascii="Times New Roman" w:hAnsi="Times New Roman" w:cs="Times New Roman"/>
                <w:sz w:val="22"/>
                <w:szCs w:val="22"/>
              </w:rPr>
            </w:pPr>
            <w:r w:rsidRPr="00317ABF">
              <w:rPr>
                <w:rFonts w:ascii="Times New Roman" w:hAnsi="Times New Roman" w:cs="Times New Roman"/>
                <w:sz w:val="22"/>
                <w:szCs w:val="22"/>
              </w:rPr>
              <w:t>g)</w:t>
            </w:r>
            <w:r w:rsidRPr="00317ABF">
              <w:rPr>
                <w:rFonts w:ascii="Times New Roman" w:hAnsi="Times New Roman" w:cs="Times New Roman"/>
                <w:sz w:val="22"/>
                <w:szCs w:val="22"/>
              </w:rPr>
              <w:tab/>
              <w:t>programu monitorowania przestrzegania obowiązku rozdziału funkcjonalnego w szczególności obejmującego:</w:t>
            </w:r>
          </w:p>
          <w:p w14:paraId="206F5D70" w14:textId="77777777" w:rsidR="00482993" w:rsidRPr="00317ABF" w:rsidRDefault="00482993" w:rsidP="00482993">
            <w:pPr>
              <w:pStyle w:val="USTustnpkodeksu"/>
              <w:spacing w:line="240" w:lineRule="auto"/>
              <w:rPr>
                <w:rFonts w:ascii="Times New Roman" w:hAnsi="Times New Roman" w:cs="Times New Roman"/>
                <w:sz w:val="22"/>
                <w:szCs w:val="22"/>
              </w:rPr>
            </w:pPr>
            <w:r w:rsidRPr="00317ABF">
              <w:rPr>
                <w:rFonts w:ascii="Times New Roman" w:hAnsi="Times New Roman" w:cs="Times New Roman"/>
                <w:sz w:val="22"/>
                <w:szCs w:val="22"/>
              </w:rPr>
              <w:t>–</w:t>
            </w:r>
            <w:r w:rsidRPr="00317ABF">
              <w:rPr>
                <w:rFonts w:ascii="Times New Roman" w:hAnsi="Times New Roman" w:cs="Times New Roman"/>
                <w:sz w:val="22"/>
                <w:szCs w:val="22"/>
              </w:rPr>
              <w:tab/>
              <w:t>publikację przez przedsiębiorcę zintegrowanego pionowo corocznego sprawozdania lub</w:t>
            </w:r>
          </w:p>
          <w:p w14:paraId="1EF78BE9" w14:textId="6B604FE0" w:rsidR="001E1112" w:rsidRPr="00317ABF" w:rsidRDefault="00482993" w:rsidP="00DB3BEC">
            <w:pPr>
              <w:pStyle w:val="LITlitera"/>
              <w:spacing w:line="240" w:lineRule="auto"/>
              <w:ind w:firstLine="7"/>
              <w:rPr>
                <w:rFonts w:ascii="Times New Roman" w:hAnsi="Times New Roman" w:cs="Times New Roman"/>
                <w:sz w:val="22"/>
                <w:szCs w:val="22"/>
              </w:rPr>
            </w:pPr>
            <w:r w:rsidRPr="00317ABF">
              <w:rPr>
                <w:rFonts w:ascii="Times New Roman" w:hAnsi="Times New Roman" w:cs="Times New Roman"/>
                <w:sz w:val="22"/>
                <w:szCs w:val="22"/>
              </w:rPr>
              <w:t>–</w:t>
            </w:r>
            <w:r w:rsidRPr="00317ABF">
              <w:rPr>
                <w:rFonts w:ascii="Times New Roman" w:hAnsi="Times New Roman" w:cs="Times New Roman"/>
                <w:sz w:val="22"/>
                <w:szCs w:val="22"/>
              </w:rPr>
              <w:tab/>
              <w:t>obowiązek przeprowadzania przez niezależnych audytorów cyklicznych audytów.</w:t>
            </w:r>
          </w:p>
        </w:tc>
      </w:tr>
      <w:tr w:rsidR="001E1112" w:rsidRPr="00317ABF" w14:paraId="2E467C27" w14:textId="77777777" w:rsidTr="7753F98D">
        <w:trPr>
          <w:gridAfter w:val="2"/>
          <w:wAfter w:w="175" w:type="dxa"/>
        </w:trPr>
        <w:tc>
          <w:tcPr>
            <w:tcW w:w="704" w:type="dxa"/>
          </w:tcPr>
          <w:p w14:paraId="129AD53E" w14:textId="77777777" w:rsidR="001E1112" w:rsidRPr="00317ABF" w:rsidRDefault="001E1112" w:rsidP="00DB3BEC">
            <w:pPr>
              <w:jc w:val="both"/>
              <w:rPr>
                <w:sz w:val="22"/>
                <w:szCs w:val="22"/>
              </w:rPr>
            </w:pPr>
            <w:r w:rsidRPr="00317ABF">
              <w:rPr>
                <w:sz w:val="22"/>
                <w:szCs w:val="22"/>
              </w:rPr>
              <w:lastRenderedPageBreak/>
              <w:t>Art. 77 ust. 3</w:t>
            </w:r>
          </w:p>
        </w:tc>
        <w:tc>
          <w:tcPr>
            <w:tcW w:w="4308" w:type="dxa"/>
          </w:tcPr>
          <w:p w14:paraId="5B1C5A13" w14:textId="77777777" w:rsidR="001E1112" w:rsidRPr="00317ABF" w:rsidRDefault="001E1112" w:rsidP="00DB3BEC">
            <w:pPr>
              <w:spacing w:before="120"/>
              <w:jc w:val="both"/>
              <w:rPr>
                <w:sz w:val="22"/>
                <w:szCs w:val="22"/>
              </w:rPr>
            </w:pPr>
            <w:r w:rsidRPr="00317ABF">
              <w:rPr>
                <w:sz w:val="22"/>
                <w:szCs w:val="22"/>
              </w:rPr>
              <w:t>3.   Projektowany środek obejmuje następujące elementy:</w:t>
            </w:r>
          </w:p>
          <w:tbl>
            <w:tblPr>
              <w:tblW w:w="5000" w:type="pct"/>
              <w:tblCellSpacing w:w="0" w:type="dxa"/>
              <w:tblLayout w:type="fixed"/>
              <w:tblCellMar>
                <w:left w:w="0" w:type="dxa"/>
                <w:right w:w="0" w:type="dxa"/>
              </w:tblCellMar>
              <w:tblLook w:val="04A0" w:firstRow="1" w:lastRow="0" w:firstColumn="1" w:lastColumn="0" w:noHBand="0" w:noVBand="1"/>
            </w:tblPr>
            <w:tblGrid>
              <w:gridCol w:w="20"/>
              <w:gridCol w:w="4148"/>
            </w:tblGrid>
            <w:tr w:rsidR="001E1112" w:rsidRPr="00317ABF" w14:paraId="2744BA97" w14:textId="77777777" w:rsidTr="007B5338">
              <w:trPr>
                <w:tblCellSpacing w:w="0" w:type="dxa"/>
              </w:trPr>
              <w:tc>
                <w:tcPr>
                  <w:tcW w:w="6" w:type="dxa"/>
                  <w:hideMark/>
                </w:tcPr>
                <w:p w14:paraId="18EA9311" w14:textId="77777777" w:rsidR="001E1112" w:rsidRPr="00317ABF" w:rsidRDefault="001E1112" w:rsidP="00EE0AC3">
                  <w:pPr>
                    <w:framePr w:hSpace="141" w:wrap="around" w:vAnchor="text" w:hAnchor="text" w:xAlign="right" w:y="1"/>
                    <w:spacing w:before="120"/>
                    <w:suppressOverlap/>
                    <w:jc w:val="both"/>
                    <w:rPr>
                      <w:sz w:val="22"/>
                      <w:szCs w:val="22"/>
                    </w:rPr>
                  </w:pPr>
                </w:p>
              </w:tc>
              <w:tc>
                <w:tcPr>
                  <w:tcW w:w="9066" w:type="dxa"/>
                  <w:hideMark/>
                </w:tcPr>
                <w:p w14:paraId="35823D96" w14:textId="77777777" w:rsidR="001E1112" w:rsidRPr="00317ABF" w:rsidRDefault="001E1112" w:rsidP="00EE0AC3">
                  <w:pPr>
                    <w:framePr w:hSpace="141" w:wrap="around" w:vAnchor="text" w:hAnchor="text" w:xAlign="right" w:y="1"/>
                    <w:numPr>
                      <w:ilvl w:val="0"/>
                      <w:numId w:val="66"/>
                    </w:numPr>
                    <w:spacing w:before="120"/>
                    <w:suppressOverlap/>
                    <w:jc w:val="both"/>
                    <w:rPr>
                      <w:sz w:val="22"/>
                      <w:szCs w:val="22"/>
                    </w:rPr>
                  </w:pPr>
                  <w:r w:rsidRPr="00317ABF">
                    <w:rPr>
                      <w:sz w:val="22"/>
                      <w:szCs w:val="22"/>
                    </w:rPr>
                    <w:t>dokładny charakter i stopień podziału, ze wskazaniem w szczególności statusu prawnego oddzielnej jednostki organizacyjnej;</w:t>
                  </w:r>
                </w:p>
              </w:tc>
            </w:tr>
          </w:tbl>
          <w:p w14:paraId="34EDF4D2" w14:textId="77777777" w:rsidR="001E1112" w:rsidRPr="00317ABF" w:rsidRDefault="001E1112" w:rsidP="00DB3BEC">
            <w:pPr>
              <w:jc w:val="both"/>
              <w:rPr>
                <w:vanish/>
                <w:sz w:val="22"/>
                <w:szCs w:val="22"/>
              </w:rPr>
            </w:pPr>
          </w:p>
          <w:tbl>
            <w:tblPr>
              <w:tblW w:w="5000" w:type="pct"/>
              <w:tblCellSpacing w:w="0" w:type="dxa"/>
              <w:tblLayout w:type="fixed"/>
              <w:tblCellMar>
                <w:left w:w="0" w:type="dxa"/>
                <w:right w:w="0" w:type="dxa"/>
              </w:tblCellMar>
              <w:tblLook w:val="04A0" w:firstRow="1" w:lastRow="0" w:firstColumn="1" w:lastColumn="0" w:noHBand="0" w:noVBand="1"/>
            </w:tblPr>
            <w:tblGrid>
              <w:gridCol w:w="20"/>
              <w:gridCol w:w="4148"/>
            </w:tblGrid>
            <w:tr w:rsidR="001E1112" w:rsidRPr="00317ABF" w14:paraId="0802A2F8" w14:textId="77777777" w:rsidTr="007B5338">
              <w:trPr>
                <w:tblCellSpacing w:w="0" w:type="dxa"/>
              </w:trPr>
              <w:tc>
                <w:tcPr>
                  <w:tcW w:w="6" w:type="dxa"/>
                  <w:hideMark/>
                </w:tcPr>
                <w:p w14:paraId="078B1F7D" w14:textId="77777777" w:rsidR="001E1112" w:rsidRPr="00317ABF" w:rsidRDefault="001E1112" w:rsidP="00EE0AC3">
                  <w:pPr>
                    <w:framePr w:hSpace="141" w:wrap="around" w:vAnchor="text" w:hAnchor="text" w:xAlign="right" w:y="1"/>
                    <w:spacing w:before="120"/>
                    <w:suppressOverlap/>
                    <w:jc w:val="both"/>
                    <w:rPr>
                      <w:sz w:val="22"/>
                      <w:szCs w:val="22"/>
                    </w:rPr>
                  </w:pPr>
                </w:p>
              </w:tc>
              <w:tc>
                <w:tcPr>
                  <w:tcW w:w="9066" w:type="dxa"/>
                  <w:hideMark/>
                </w:tcPr>
                <w:p w14:paraId="5A826A8F" w14:textId="77777777" w:rsidR="001E1112" w:rsidRPr="00317ABF" w:rsidRDefault="001E1112" w:rsidP="00EE0AC3">
                  <w:pPr>
                    <w:framePr w:hSpace="141" w:wrap="around" w:vAnchor="text" w:hAnchor="text" w:xAlign="right" w:y="1"/>
                    <w:numPr>
                      <w:ilvl w:val="0"/>
                      <w:numId w:val="66"/>
                    </w:numPr>
                    <w:spacing w:before="120"/>
                    <w:suppressOverlap/>
                    <w:jc w:val="both"/>
                    <w:rPr>
                      <w:sz w:val="22"/>
                      <w:szCs w:val="22"/>
                    </w:rPr>
                  </w:pPr>
                  <w:r w:rsidRPr="00317ABF">
                    <w:rPr>
                      <w:sz w:val="22"/>
                      <w:szCs w:val="22"/>
                    </w:rPr>
                    <w:t>wskazanie majątku wydzielonej jednostki organizacyjnej i produktów lub usług dostarczanych przez tę jednostkę;</w:t>
                  </w:r>
                </w:p>
              </w:tc>
            </w:tr>
          </w:tbl>
          <w:p w14:paraId="132321E1" w14:textId="77777777" w:rsidR="001E1112" w:rsidRPr="00317ABF" w:rsidRDefault="001E1112" w:rsidP="00DB3BEC">
            <w:pPr>
              <w:jc w:val="both"/>
              <w:rPr>
                <w:vanish/>
                <w:sz w:val="22"/>
                <w:szCs w:val="22"/>
              </w:rPr>
            </w:pPr>
          </w:p>
          <w:tbl>
            <w:tblPr>
              <w:tblW w:w="5000" w:type="pct"/>
              <w:tblCellSpacing w:w="0" w:type="dxa"/>
              <w:tblLayout w:type="fixed"/>
              <w:tblCellMar>
                <w:left w:w="0" w:type="dxa"/>
                <w:right w:w="0" w:type="dxa"/>
              </w:tblCellMar>
              <w:tblLook w:val="04A0" w:firstRow="1" w:lastRow="0" w:firstColumn="1" w:lastColumn="0" w:noHBand="0" w:noVBand="1"/>
            </w:tblPr>
            <w:tblGrid>
              <w:gridCol w:w="20"/>
              <w:gridCol w:w="4148"/>
            </w:tblGrid>
            <w:tr w:rsidR="001E1112" w:rsidRPr="00317ABF" w14:paraId="1BE709D7" w14:textId="77777777" w:rsidTr="007B5338">
              <w:trPr>
                <w:tblCellSpacing w:w="0" w:type="dxa"/>
              </w:trPr>
              <w:tc>
                <w:tcPr>
                  <w:tcW w:w="6" w:type="dxa"/>
                  <w:hideMark/>
                </w:tcPr>
                <w:p w14:paraId="367FEE38" w14:textId="77777777" w:rsidR="001E1112" w:rsidRPr="00317ABF" w:rsidRDefault="001E1112" w:rsidP="00EE0AC3">
                  <w:pPr>
                    <w:framePr w:hSpace="141" w:wrap="around" w:vAnchor="text" w:hAnchor="text" w:xAlign="right" w:y="1"/>
                    <w:spacing w:before="120"/>
                    <w:suppressOverlap/>
                    <w:jc w:val="both"/>
                    <w:rPr>
                      <w:sz w:val="22"/>
                      <w:szCs w:val="22"/>
                    </w:rPr>
                  </w:pPr>
                </w:p>
              </w:tc>
              <w:tc>
                <w:tcPr>
                  <w:tcW w:w="9066" w:type="dxa"/>
                  <w:hideMark/>
                </w:tcPr>
                <w:p w14:paraId="3508C885" w14:textId="77777777" w:rsidR="001E1112" w:rsidRPr="00317ABF" w:rsidRDefault="001E1112" w:rsidP="00EE0AC3">
                  <w:pPr>
                    <w:framePr w:hSpace="141" w:wrap="around" w:vAnchor="text" w:hAnchor="text" w:xAlign="right" w:y="1"/>
                    <w:numPr>
                      <w:ilvl w:val="0"/>
                      <w:numId w:val="66"/>
                    </w:numPr>
                    <w:spacing w:before="120"/>
                    <w:suppressOverlap/>
                    <w:jc w:val="both"/>
                    <w:rPr>
                      <w:sz w:val="22"/>
                      <w:szCs w:val="22"/>
                    </w:rPr>
                  </w:pPr>
                  <w:r w:rsidRPr="00317ABF">
                    <w:rPr>
                      <w:sz w:val="22"/>
                      <w:szCs w:val="22"/>
                    </w:rPr>
                    <w:t>rozwiązania w zakresie zarządzania zapewniające niezależność personelu zatrudnionego przez oddzielną jednostkę organizacyjną i odpowiednią strukturę zachęt;</w:t>
                  </w:r>
                </w:p>
              </w:tc>
            </w:tr>
          </w:tbl>
          <w:p w14:paraId="4891A4E6" w14:textId="77777777" w:rsidR="001E1112" w:rsidRPr="00317ABF" w:rsidRDefault="001E1112" w:rsidP="00DB3BEC">
            <w:pPr>
              <w:jc w:val="both"/>
              <w:rPr>
                <w:vanish/>
                <w:sz w:val="22"/>
                <w:szCs w:val="22"/>
              </w:rPr>
            </w:pPr>
          </w:p>
          <w:tbl>
            <w:tblPr>
              <w:tblW w:w="5000" w:type="pct"/>
              <w:tblCellSpacing w:w="0" w:type="dxa"/>
              <w:tblLayout w:type="fixed"/>
              <w:tblCellMar>
                <w:left w:w="0" w:type="dxa"/>
                <w:right w:w="0" w:type="dxa"/>
              </w:tblCellMar>
              <w:tblLook w:val="04A0" w:firstRow="1" w:lastRow="0" w:firstColumn="1" w:lastColumn="0" w:noHBand="0" w:noVBand="1"/>
            </w:tblPr>
            <w:tblGrid>
              <w:gridCol w:w="20"/>
              <w:gridCol w:w="4148"/>
            </w:tblGrid>
            <w:tr w:rsidR="001E1112" w:rsidRPr="00317ABF" w14:paraId="70F2FF78" w14:textId="77777777" w:rsidTr="007B5338">
              <w:trPr>
                <w:tblCellSpacing w:w="0" w:type="dxa"/>
              </w:trPr>
              <w:tc>
                <w:tcPr>
                  <w:tcW w:w="11" w:type="dxa"/>
                  <w:hideMark/>
                </w:tcPr>
                <w:p w14:paraId="18643AC4" w14:textId="77777777" w:rsidR="001E1112" w:rsidRPr="00317ABF" w:rsidRDefault="001E1112" w:rsidP="00EE0AC3">
                  <w:pPr>
                    <w:framePr w:hSpace="141" w:wrap="around" w:vAnchor="text" w:hAnchor="text" w:xAlign="right" w:y="1"/>
                    <w:spacing w:before="120"/>
                    <w:suppressOverlap/>
                    <w:jc w:val="both"/>
                    <w:rPr>
                      <w:sz w:val="22"/>
                      <w:szCs w:val="22"/>
                    </w:rPr>
                  </w:pPr>
                </w:p>
              </w:tc>
              <w:tc>
                <w:tcPr>
                  <w:tcW w:w="9061" w:type="dxa"/>
                  <w:hideMark/>
                </w:tcPr>
                <w:p w14:paraId="76B37DC1" w14:textId="77777777" w:rsidR="001E1112" w:rsidRPr="00317ABF" w:rsidRDefault="001E1112" w:rsidP="00EE0AC3">
                  <w:pPr>
                    <w:framePr w:hSpace="141" w:wrap="around" w:vAnchor="text" w:hAnchor="text" w:xAlign="right" w:y="1"/>
                    <w:numPr>
                      <w:ilvl w:val="0"/>
                      <w:numId w:val="66"/>
                    </w:numPr>
                    <w:spacing w:before="120"/>
                    <w:suppressOverlap/>
                    <w:jc w:val="both"/>
                    <w:rPr>
                      <w:sz w:val="22"/>
                      <w:szCs w:val="22"/>
                    </w:rPr>
                  </w:pPr>
                  <w:r w:rsidRPr="00317ABF">
                    <w:rPr>
                      <w:sz w:val="22"/>
                      <w:szCs w:val="22"/>
                    </w:rPr>
                    <w:t>zasady zapewniające przestrzeganie obowiązków;</w:t>
                  </w:r>
                </w:p>
              </w:tc>
            </w:tr>
          </w:tbl>
          <w:p w14:paraId="04536F65" w14:textId="77777777" w:rsidR="001E1112" w:rsidRPr="00317ABF" w:rsidRDefault="001E1112" w:rsidP="00DB3BEC">
            <w:pPr>
              <w:jc w:val="both"/>
              <w:rPr>
                <w:vanish/>
                <w:sz w:val="22"/>
                <w:szCs w:val="22"/>
              </w:rPr>
            </w:pPr>
          </w:p>
          <w:tbl>
            <w:tblPr>
              <w:tblW w:w="5000" w:type="pct"/>
              <w:tblCellSpacing w:w="0" w:type="dxa"/>
              <w:tblLayout w:type="fixed"/>
              <w:tblCellMar>
                <w:left w:w="0" w:type="dxa"/>
                <w:right w:w="0" w:type="dxa"/>
              </w:tblCellMar>
              <w:tblLook w:val="04A0" w:firstRow="1" w:lastRow="0" w:firstColumn="1" w:lastColumn="0" w:noHBand="0" w:noVBand="1"/>
            </w:tblPr>
            <w:tblGrid>
              <w:gridCol w:w="20"/>
              <w:gridCol w:w="4148"/>
            </w:tblGrid>
            <w:tr w:rsidR="001E1112" w:rsidRPr="00317ABF" w14:paraId="33D54DEC" w14:textId="77777777" w:rsidTr="007B5338">
              <w:trPr>
                <w:tblCellSpacing w:w="0" w:type="dxa"/>
              </w:trPr>
              <w:tc>
                <w:tcPr>
                  <w:tcW w:w="6" w:type="dxa"/>
                  <w:hideMark/>
                </w:tcPr>
                <w:p w14:paraId="71AB3246" w14:textId="77777777" w:rsidR="001E1112" w:rsidRPr="00317ABF" w:rsidRDefault="001E1112" w:rsidP="00EE0AC3">
                  <w:pPr>
                    <w:framePr w:hSpace="141" w:wrap="around" w:vAnchor="text" w:hAnchor="text" w:xAlign="right" w:y="1"/>
                    <w:spacing w:before="120"/>
                    <w:suppressOverlap/>
                    <w:jc w:val="both"/>
                    <w:rPr>
                      <w:sz w:val="22"/>
                      <w:szCs w:val="22"/>
                    </w:rPr>
                  </w:pPr>
                </w:p>
              </w:tc>
              <w:tc>
                <w:tcPr>
                  <w:tcW w:w="9066" w:type="dxa"/>
                  <w:hideMark/>
                </w:tcPr>
                <w:p w14:paraId="6ABFA7CD" w14:textId="77777777" w:rsidR="001E1112" w:rsidRPr="00317ABF" w:rsidRDefault="001E1112" w:rsidP="00EE0AC3">
                  <w:pPr>
                    <w:framePr w:hSpace="141" w:wrap="around" w:vAnchor="text" w:hAnchor="text" w:xAlign="right" w:y="1"/>
                    <w:numPr>
                      <w:ilvl w:val="0"/>
                      <w:numId w:val="66"/>
                    </w:numPr>
                    <w:spacing w:before="120"/>
                    <w:suppressOverlap/>
                    <w:jc w:val="both"/>
                    <w:rPr>
                      <w:sz w:val="22"/>
                      <w:szCs w:val="22"/>
                    </w:rPr>
                  </w:pPr>
                  <w:r w:rsidRPr="00317ABF">
                    <w:rPr>
                      <w:sz w:val="22"/>
                      <w:szCs w:val="22"/>
                    </w:rPr>
                    <w:t>zasady zapewniające przejrzystość procedur operacyjnych, w szczególności w odniesieniu do innych zainteresowanych stron;</w:t>
                  </w:r>
                </w:p>
              </w:tc>
            </w:tr>
          </w:tbl>
          <w:p w14:paraId="2A2A2677" w14:textId="77777777" w:rsidR="001E1112" w:rsidRPr="00317ABF" w:rsidRDefault="001E1112" w:rsidP="00DB3BEC">
            <w:pPr>
              <w:jc w:val="both"/>
              <w:rPr>
                <w:vanish/>
                <w:sz w:val="22"/>
                <w:szCs w:val="22"/>
              </w:rPr>
            </w:pPr>
          </w:p>
          <w:tbl>
            <w:tblPr>
              <w:tblW w:w="5000" w:type="pct"/>
              <w:tblCellSpacing w:w="0" w:type="dxa"/>
              <w:tblLayout w:type="fixed"/>
              <w:tblCellMar>
                <w:left w:w="0" w:type="dxa"/>
                <w:right w:w="0" w:type="dxa"/>
              </w:tblCellMar>
              <w:tblLook w:val="04A0" w:firstRow="1" w:lastRow="0" w:firstColumn="1" w:lastColumn="0" w:noHBand="0" w:noVBand="1"/>
            </w:tblPr>
            <w:tblGrid>
              <w:gridCol w:w="20"/>
              <w:gridCol w:w="4148"/>
            </w:tblGrid>
            <w:tr w:rsidR="001E1112" w:rsidRPr="00317ABF" w14:paraId="68C7AC31" w14:textId="77777777" w:rsidTr="007B5338">
              <w:trPr>
                <w:tblCellSpacing w:w="0" w:type="dxa"/>
              </w:trPr>
              <w:tc>
                <w:tcPr>
                  <w:tcW w:w="6" w:type="dxa"/>
                  <w:hideMark/>
                </w:tcPr>
                <w:p w14:paraId="34229192" w14:textId="77777777" w:rsidR="001E1112" w:rsidRPr="00317ABF" w:rsidRDefault="001E1112" w:rsidP="00EE0AC3">
                  <w:pPr>
                    <w:framePr w:hSpace="141" w:wrap="around" w:vAnchor="text" w:hAnchor="text" w:xAlign="right" w:y="1"/>
                    <w:spacing w:before="120"/>
                    <w:suppressOverlap/>
                    <w:jc w:val="both"/>
                    <w:rPr>
                      <w:sz w:val="22"/>
                      <w:szCs w:val="22"/>
                    </w:rPr>
                  </w:pPr>
                </w:p>
              </w:tc>
              <w:tc>
                <w:tcPr>
                  <w:tcW w:w="9066" w:type="dxa"/>
                  <w:hideMark/>
                </w:tcPr>
                <w:p w14:paraId="4AB729BC" w14:textId="77777777" w:rsidR="001E1112" w:rsidRPr="00317ABF" w:rsidRDefault="001E1112" w:rsidP="00EE0AC3">
                  <w:pPr>
                    <w:framePr w:hSpace="141" w:wrap="around" w:vAnchor="text" w:hAnchor="text" w:xAlign="right" w:y="1"/>
                    <w:numPr>
                      <w:ilvl w:val="0"/>
                      <w:numId w:val="66"/>
                    </w:numPr>
                    <w:spacing w:before="120"/>
                    <w:suppressOverlap/>
                    <w:jc w:val="both"/>
                    <w:rPr>
                      <w:sz w:val="22"/>
                      <w:szCs w:val="22"/>
                    </w:rPr>
                  </w:pPr>
                  <w:r w:rsidRPr="00317ABF">
                    <w:rPr>
                      <w:sz w:val="22"/>
                      <w:szCs w:val="22"/>
                    </w:rPr>
                    <w:t>program monitorowania zapewniający przestrzeganie wymogów, obejmujący między innymi publikację corocznego sprawozdania.</w:t>
                  </w:r>
                </w:p>
              </w:tc>
            </w:tr>
          </w:tbl>
          <w:p w14:paraId="57706FF6" w14:textId="77777777" w:rsidR="001E1112" w:rsidRPr="00317ABF" w:rsidRDefault="001E1112" w:rsidP="00DB3BEC">
            <w:pPr>
              <w:spacing w:before="120"/>
              <w:jc w:val="both"/>
              <w:rPr>
                <w:sz w:val="22"/>
                <w:szCs w:val="22"/>
              </w:rPr>
            </w:pPr>
            <w:r w:rsidRPr="00317ABF">
              <w:rPr>
                <w:sz w:val="22"/>
                <w:szCs w:val="22"/>
              </w:rPr>
              <w:t>Po podjęciu przez Komisję decyzji zgodnie z art. 68 ust. 3 w sprawie planowanego środka, krajowy organ regulacyjny przeprowadza skoordynowaną analizę różnych rynków związanych z siecią dostępu zgodnie z procedurą określoną w art. 67. Na podstawie tej analizy krajowy organ regulacyjny nakłada, utrzymuje, zmienia lub uchyla obowiązki zgodnie z procedurami określonymi w art. 23 i 32.</w:t>
            </w:r>
          </w:p>
        </w:tc>
        <w:tc>
          <w:tcPr>
            <w:tcW w:w="986" w:type="dxa"/>
          </w:tcPr>
          <w:p w14:paraId="4D515F16" w14:textId="61F4DB66" w:rsidR="001E1112" w:rsidRPr="00317ABF" w:rsidRDefault="001E1112" w:rsidP="00DB3BEC">
            <w:pPr>
              <w:jc w:val="both"/>
              <w:rPr>
                <w:sz w:val="22"/>
                <w:szCs w:val="22"/>
              </w:rPr>
            </w:pPr>
            <w:r w:rsidRPr="00317ABF">
              <w:rPr>
                <w:sz w:val="22"/>
                <w:szCs w:val="22"/>
              </w:rPr>
              <w:lastRenderedPageBreak/>
              <w:t>T</w:t>
            </w:r>
          </w:p>
        </w:tc>
        <w:tc>
          <w:tcPr>
            <w:tcW w:w="910" w:type="dxa"/>
          </w:tcPr>
          <w:p w14:paraId="266A105A" w14:textId="2AA90007" w:rsidR="001E1112" w:rsidRPr="00317ABF" w:rsidRDefault="001E1112" w:rsidP="00DB3BEC">
            <w:pPr>
              <w:pStyle w:val="Tekstpodstawowy"/>
              <w:rPr>
                <w:b/>
                <w:noProof/>
                <w:sz w:val="22"/>
                <w:szCs w:val="22"/>
              </w:rPr>
            </w:pPr>
            <w:r w:rsidRPr="00317ABF">
              <w:rPr>
                <w:b/>
                <w:noProof/>
                <w:sz w:val="22"/>
                <w:szCs w:val="22"/>
              </w:rPr>
              <w:t>Art. 2</w:t>
            </w:r>
            <w:r w:rsidR="00CD107C" w:rsidRPr="00317ABF">
              <w:rPr>
                <w:b/>
                <w:noProof/>
                <w:sz w:val="22"/>
                <w:szCs w:val="22"/>
              </w:rPr>
              <w:t>24</w:t>
            </w:r>
            <w:r w:rsidRPr="00317ABF">
              <w:rPr>
                <w:b/>
                <w:noProof/>
                <w:sz w:val="22"/>
                <w:szCs w:val="22"/>
              </w:rPr>
              <w:t xml:space="preserve"> ust. 3 pkt 5, ust. 4 i 5, art. 2</w:t>
            </w:r>
            <w:r w:rsidR="00CD107C" w:rsidRPr="00317ABF">
              <w:rPr>
                <w:b/>
                <w:noProof/>
                <w:sz w:val="22"/>
                <w:szCs w:val="22"/>
              </w:rPr>
              <w:t>25</w:t>
            </w:r>
            <w:r w:rsidRPr="00317ABF">
              <w:rPr>
                <w:b/>
                <w:noProof/>
                <w:sz w:val="22"/>
                <w:szCs w:val="22"/>
              </w:rPr>
              <w:t>, art. 30, art. 35</w:t>
            </w:r>
          </w:p>
        </w:tc>
        <w:tc>
          <w:tcPr>
            <w:tcW w:w="6814" w:type="dxa"/>
            <w:gridSpan w:val="2"/>
          </w:tcPr>
          <w:p w14:paraId="410E4558" w14:textId="77777777" w:rsidR="00CD107C" w:rsidRPr="00317ABF" w:rsidRDefault="00CD107C" w:rsidP="00CD107C">
            <w:pPr>
              <w:pStyle w:val="USTustnpkodeksu"/>
              <w:rPr>
                <w:rFonts w:ascii="Times New Roman" w:hAnsi="Times New Roman" w:cs="Times New Roman"/>
                <w:sz w:val="22"/>
                <w:szCs w:val="22"/>
              </w:rPr>
            </w:pPr>
            <w:r w:rsidRPr="00317ABF">
              <w:rPr>
                <w:rFonts w:ascii="Times New Roman" w:hAnsi="Times New Roman" w:cs="Times New Roman"/>
                <w:b/>
                <w:sz w:val="22"/>
                <w:szCs w:val="22"/>
              </w:rPr>
              <w:t>Art. 224.</w:t>
            </w:r>
            <w:r w:rsidRPr="00317ABF">
              <w:rPr>
                <w:rFonts w:ascii="Times New Roman" w:hAnsi="Times New Roman" w:cs="Times New Roman"/>
                <w:sz w:val="22"/>
                <w:szCs w:val="22"/>
              </w:rPr>
              <w:t xml:space="preserve"> </w:t>
            </w:r>
          </w:p>
          <w:p w14:paraId="1E927B3E" w14:textId="351D0AC3" w:rsidR="00CD107C" w:rsidRPr="00317ABF" w:rsidRDefault="00CD107C" w:rsidP="00CD107C">
            <w:pPr>
              <w:pStyle w:val="USTustnpkodeksu"/>
              <w:numPr>
                <w:ilvl w:val="0"/>
                <w:numId w:val="2"/>
              </w:numPr>
              <w:spacing w:line="240" w:lineRule="auto"/>
              <w:rPr>
                <w:rFonts w:ascii="Times New Roman" w:hAnsi="Times New Roman" w:cs="Times New Roman"/>
                <w:sz w:val="22"/>
                <w:szCs w:val="22"/>
              </w:rPr>
            </w:pPr>
            <w:r w:rsidRPr="00317ABF">
              <w:rPr>
                <w:rFonts w:ascii="Times New Roman" w:hAnsi="Times New Roman" w:cs="Times New Roman"/>
                <w:sz w:val="22"/>
                <w:szCs w:val="22"/>
              </w:rPr>
              <w:t>Przed nałożeniem na przedsiębiorcę komunikacji elektronicznej obowiązku rozdziału funkcjonalnego, Prezes UKE występuje do Komisji Europejskiej z wnioskiem o uzyskanie zgody na nałożenie tego obowiązku, do którego dołącza:</w:t>
            </w:r>
          </w:p>
          <w:p w14:paraId="1AF1E811" w14:textId="01938193" w:rsidR="00CD107C" w:rsidRPr="00317ABF" w:rsidRDefault="00CD107C" w:rsidP="00CD107C">
            <w:pPr>
              <w:pStyle w:val="USTustnpkodeksu"/>
              <w:spacing w:line="240" w:lineRule="auto"/>
              <w:ind w:left="360" w:firstLine="0"/>
              <w:rPr>
                <w:rFonts w:ascii="Times New Roman" w:hAnsi="Times New Roman" w:cs="Times New Roman"/>
                <w:sz w:val="22"/>
                <w:szCs w:val="22"/>
              </w:rPr>
            </w:pPr>
            <w:r w:rsidRPr="00317ABF">
              <w:rPr>
                <w:rFonts w:ascii="Times New Roman" w:hAnsi="Times New Roman" w:cs="Times New Roman"/>
                <w:sz w:val="22"/>
                <w:szCs w:val="22"/>
              </w:rPr>
              <w:t>(…)</w:t>
            </w:r>
          </w:p>
          <w:p w14:paraId="2CF75F7B" w14:textId="77777777" w:rsidR="00CD107C" w:rsidRPr="00317ABF" w:rsidRDefault="00CD107C" w:rsidP="00CD107C">
            <w:pPr>
              <w:pStyle w:val="USTustnpkodeksu"/>
              <w:spacing w:line="240" w:lineRule="auto"/>
              <w:rPr>
                <w:rFonts w:ascii="Times New Roman" w:hAnsi="Times New Roman" w:cs="Times New Roman"/>
                <w:sz w:val="22"/>
                <w:szCs w:val="22"/>
              </w:rPr>
            </w:pPr>
            <w:r w:rsidRPr="00317ABF">
              <w:rPr>
                <w:rFonts w:ascii="Times New Roman" w:hAnsi="Times New Roman" w:cs="Times New Roman"/>
                <w:sz w:val="22"/>
                <w:szCs w:val="22"/>
              </w:rPr>
              <w:t>5)</w:t>
            </w:r>
            <w:r w:rsidRPr="00317ABF">
              <w:rPr>
                <w:rFonts w:ascii="Times New Roman" w:hAnsi="Times New Roman" w:cs="Times New Roman"/>
                <w:sz w:val="22"/>
                <w:szCs w:val="22"/>
              </w:rPr>
              <w:tab/>
              <w:t>projekt decyzji w sprawie rozdziału funkcjonalnego obejmujący określenie:</w:t>
            </w:r>
          </w:p>
          <w:p w14:paraId="2916BE69" w14:textId="77777777" w:rsidR="00CD107C" w:rsidRPr="00317ABF" w:rsidRDefault="00CD107C" w:rsidP="00CD107C">
            <w:pPr>
              <w:pStyle w:val="USTustnpkodeksu"/>
              <w:spacing w:line="240" w:lineRule="auto"/>
              <w:rPr>
                <w:rFonts w:ascii="Times New Roman" w:hAnsi="Times New Roman" w:cs="Times New Roman"/>
                <w:sz w:val="22"/>
                <w:szCs w:val="22"/>
              </w:rPr>
            </w:pPr>
            <w:r w:rsidRPr="00317ABF">
              <w:rPr>
                <w:rFonts w:ascii="Times New Roman" w:hAnsi="Times New Roman" w:cs="Times New Roman"/>
                <w:sz w:val="22"/>
                <w:szCs w:val="22"/>
              </w:rPr>
              <w:lastRenderedPageBreak/>
              <w:t>a)</w:t>
            </w:r>
            <w:r w:rsidRPr="00317ABF">
              <w:rPr>
                <w:rFonts w:ascii="Times New Roman" w:hAnsi="Times New Roman" w:cs="Times New Roman"/>
                <w:sz w:val="22"/>
                <w:szCs w:val="22"/>
              </w:rPr>
              <w:tab/>
              <w:t>charakteru i stopnia rozdziału funkcjonalnego, ze wskazaniem w szczególności statusu prawnego wydzielonej jednostki organizacyjnej, biorąc pod uwagę stanowisko przedsiębiorcy, na którego ma być nałożony obowiązek rozdziału funkcjonalnego co do tego statusu, o ile takie stanowisko zostało przedstawione przez niego w ramach postępowania konsultacyjnego,</w:t>
            </w:r>
          </w:p>
          <w:p w14:paraId="68939BFB" w14:textId="77777777" w:rsidR="00CD107C" w:rsidRPr="00317ABF" w:rsidRDefault="00CD107C" w:rsidP="00CD107C">
            <w:pPr>
              <w:pStyle w:val="USTustnpkodeksu"/>
              <w:spacing w:line="240" w:lineRule="auto"/>
              <w:rPr>
                <w:rFonts w:ascii="Times New Roman" w:hAnsi="Times New Roman" w:cs="Times New Roman"/>
                <w:sz w:val="22"/>
                <w:szCs w:val="22"/>
              </w:rPr>
            </w:pPr>
            <w:r w:rsidRPr="00317ABF">
              <w:rPr>
                <w:rFonts w:ascii="Times New Roman" w:hAnsi="Times New Roman" w:cs="Times New Roman"/>
                <w:sz w:val="22"/>
                <w:szCs w:val="22"/>
              </w:rPr>
              <w:t>b)</w:t>
            </w:r>
            <w:r w:rsidRPr="00317ABF">
              <w:rPr>
                <w:rFonts w:ascii="Times New Roman" w:hAnsi="Times New Roman" w:cs="Times New Roman"/>
                <w:sz w:val="22"/>
                <w:szCs w:val="22"/>
              </w:rPr>
              <w:tab/>
              <w:t>początkowych składników majątkowych wydzielonej jednostki organizacyjnej oraz rodzaju dostarczanych przez nią produktów lub usług,</w:t>
            </w:r>
          </w:p>
          <w:p w14:paraId="01D3E439" w14:textId="77777777" w:rsidR="00CD107C" w:rsidRPr="00317ABF" w:rsidRDefault="00CD107C" w:rsidP="00CD107C">
            <w:pPr>
              <w:pStyle w:val="USTustnpkodeksu"/>
              <w:spacing w:line="240" w:lineRule="auto"/>
              <w:rPr>
                <w:rFonts w:ascii="Times New Roman" w:hAnsi="Times New Roman" w:cs="Times New Roman"/>
                <w:sz w:val="22"/>
                <w:szCs w:val="22"/>
              </w:rPr>
            </w:pPr>
            <w:r w:rsidRPr="00317ABF">
              <w:rPr>
                <w:rFonts w:ascii="Times New Roman" w:hAnsi="Times New Roman" w:cs="Times New Roman"/>
                <w:sz w:val="22"/>
                <w:szCs w:val="22"/>
              </w:rPr>
              <w:t>c)</w:t>
            </w:r>
            <w:r w:rsidRPr="00317ABF">
              <w:rPr>
                <w:rFonts w:ascii="Times New Roman" w:hAnsi="Times New Roman" w:cs="Times New Roman"/>
                <w:sz w:val="22"/>
                <w:szCs w:val="22"/>
              </w:rPr>
              <w:tab/>
              <w:t>rozwiązań w zakresie zarządzania wydzieloną jednostką organizacyjną, w tym zasad dotyczących stworzenia w niej odpowiedniej struktury zachęt, zapewniających niezależność pracowników tej jednostki od przedsiębiorcy komunikacji elektronicznej, o którym mowa w ust. 1, innych jednostek tego przedsiębiorcy, spółek od niego zależnych, wobec niego dominujących lub z nim powiązanych w rozumieniu ustawy z dnia 15 września 2000 r. - Kodeks spółek handlowych (Dz. U. z 2019 r. poz. 505, 1543, 1655, 1798, 2217 oraz z 2020 r. poz. 288, 568 i 695),</w:t>
            </w:r>
          </w:p>
          <w:p w14:paraId="38E711BC" w14:textId="77777777" w:rsidR="00CD107C" w:rsidRPr="00317ABF" w:rsidRDefault="00CD107C" w:rsidP="00CD107C">
            <w:pPr>
              <w:pStyle w:val="USTustnpkodeksu"/>
              <w:spacing w:line="240" w:lineRule="auto"/>
              <w:rPr>
                <w:rFonts w:ascii="Times New Roman" w:hAnsi="Times New Roman" w:cs="Times New Roman"/>
                <w:sz w:val="22"/>
                <w:szCs w:val="22"/>
              </w:rPr>
            </w:pPr>
            <w:r w:rsidRPr="00317ABF">
              <w:rPr>
                <w:rFonts w:ascii="Times New Roman" w:hAnsi="Times New Roman" w:cs="Times New Roman"/>
                <w:sz w:val="22"/>
                <w:szCs w:val="22"/>
              </w:rPr>
              <w:t>d)</w:t>
            </w:r>
            <w:r w:rsidRPr="00317ABF">
              <w:rPr>
                <w:rFonts w:ascii="Times New Roman" w:hAnsi="Times New Roman" w:cs="Times New Roman"/>
                <w:sz w:val="22"/>
                <w:szCs w:val="22"/>
              </w:rPr>
              <w:tab/>
              <w:t>trybu realizacji obowiązku rozdziału funkcjonalnego, w tym harmonogramu jego realizacji,</w:t>
            </w:r>
          </w:p>
          <w:p w14:paraId="13A02787" w14:textId="77777777" w:rsidR="00CD107C" w:rsidRPr="00317ABF" w:rsidRDefault="00CD107C" w:rsidP="00CD107C">
            <w:pPr>
              <w:pStyle w:val="USTustnpkodeksu"/>
              <w:spacing w:line="240" w:lineRule="auto"/>
              <w:rPr>
                <w:rFonts w:ascii="Times New Roman" w:hAnsi="Times New Roman" w:cs="Times New Roman"/>
                <w:sz w:val="22"/>
                <w:szCs w:val="22"/>
              </w:rPr>
            </w:pPr>
            <w:r w:rsidRPr="00317ABF">
              <w:rPr>
                <w:rFonts w:ascii="Times New Roman" w:hAnsi="Times New Roman" w:cs="Times New Roman"/>
                <w:sz w:val="22"/>
                <w:szCs w:val="22"/>
              </w:rPr>
              <w:t>e)</w:t>
            </w:r>
            <w:r w:rsidRPr="00317ABF">
              <w:rPr>
                <w:rFonts w:ascii="Times New Roman" w:hAnsi="Times New Roman" w:cs="Times New Roman"/>
                <w:sz w:val="22"/>
                <w:szCs w:val="22"/>
              </w:rPr>
              <w:tab/>
              <w:t>zasad zapewniających przejrzystość procedur operacyjnych, w szczególności w odniesieniu do innych zainteresowanych przedsiębiorców komunikacji elektronicznej,</w:t>
            </w:r>
          </w:p>
          <w:p w14:paraId="02192270" w14:textId="77777777" w:rsidR="00CD107C" w:rsidRPr="00317ABF" w:rsidRDefault="00CD107C" w:rsidP="00CD107C">
            <w:pPr>
              <w:pStyle w:val="USTustnpkodeksu"/>
              <w:spacing w:line="240" w:lineRule="auto"/>
              <w:rPr>
                <w:rFonts w:ascii="Times New Roman" w:hAnsi="Times New Roman" w:cs="Times New Roman"/>
                <w:sz w:val="22"/>
                <w:szCs w:val="22"/>
              </w:rPr>
            </w:pPr>
            <w:r w:rsidRPr="00317ABF">
              <w:rPr>
                <w:rFonts w:ascii="Times New Roman" w:hAnsi="Times New Roman" w:cs="Times New Roman"/>
                <w:sz w:val="22"/>
                <w:szCs w:val="22"/>
              </w:rPr>
              <w:t>f)</w:t>
            </w:r>
            <w:r w:rsidRPr="00317ABF">
              <w:rPr>
                <w:rFonts w:ascii="Times New Roman" w:hAnsi="Times New Roman" w:cs="Times New Roman"/>
                <w:sz w:val="22"/>
                <w:szCs w:val="22"/>
              </w:rPr>
              <w:tab/>
              <w:t xml:space="preserve"> terminu do wyboru nazwy handlowej, o której mowa w art. 228 ust. 2,</w:t>
            </w:r>
          </w:p>
          <w:p w14:paraId="194AE59A" w14:textId="77777777" w:rsidR="00CD107C" w:rsidRPr="00317ABF" w:rsidRDefault="00CD107C" w:rsidP="00CD107C">
            <w:pPr>
              <w:pStyle w:val="USTustnpkodeksu"/>
              <w:spacing w:line="240" w:lineRule="auto"/>
              <w:rPr>
                <w:rFonts w:ascii="Times New Roman" w:hAnsi="Times New Roman" w:cs="Times New Roman"/>
                <w:sz w:val="22"/>
                <w:szCs w:val="22"/>
              </w:rPr>
            </w:pPr>
            <w:r w:rsidRPr="00317ABF">
              <w:rPr>
                <w:rFonts w:ascii="Times New Roman" w:hAnsi="Times New Roman" w:cs="Times New Roman"/>
                <w:sz w:val="22"/>
                <w:szCs w:val="22"/>
              </w:rPr>
              <w:t>g)</w:t>
            </w:r>
            <w:r w:rsidRPr="00317ABF">
              <w:rPr>
                <w:rFonts w:ascii="Times New Roman" w:hAnsi="Times New Roman" w:cs="Times New Roman"/>
                <w:sz w:val="22"/>
                <w:szCs w:val="22"/>
              </w:rPr>
              <w:tab/>
              <w:t>programu monitorowania przestrzegania obowiązku rozdziału funkcjonalnego w szczególności obejmującego:</w:t>
            </w:r>
          </w:p>
          <w:p w14:paraId="6957004A" w14:textId="77777777" w:rsidR="00CD107C" w:rsidRPr="00317ABF" w:rsidRDefault="00CD107C" w:rsidP="00CD107C">
            <w:pPr>
              <w:pStyle w:val="USTustnpkodeksu"/>
              <w:spacing w:line="240" w:lineRule="auto"/>
              <w:rPr>
                <w:rFonts w:ascii="Times New Roman" w:hAnsi="Times New Roman" w:cs="Times New Roman"/>
                <w:sz w:val="22"/>
                <w:szCs w:val="22"/>
              </w:rPr>
            </w:pPr>
            <w:r w:rsidRPr="00317ABF">
              <w:rPr>
                <w:rFonts w:ascii="Times New Roman" w:hAnsi="Times New Roman" w:cs="Times New Roman"/>
                <w:sz w:val="22"/>
                <w:szCs w:val="22"/>
              </w:rPr>
              <w:t>–</w:t>
            </w:r>
            <w:r w:rsidRPr="00317ABF">
              <w:rPr>
                <w:rFonts w:ascii="Times New Roman" w:hAnsi="Times New Roman" w:cs="Times New Roman"/>
                <w:sz w:val="22"/>
                <w:szCs w:val="22"/>
              </w:rPr>
              <w:tab/>
              <w:t>publikację przez przedsiębiorcę zintegrowanego pionowo corocznego sprawozdania lub</w:t>
            </w:r>
          </w:p>
          <w:p w14:paraId="49B30254" w14:textId="77777777" w:rsidR="00CD107C" w:rsidRPr="00317ABF" w:rsidRDefault="00CD107C" w:rsidP="00CD107C">
            <w:pPr>
              <w:pStyle w:val="USTustnpkodeksu"/>
              <w:spacing w:line="240" w:lineRule="auto"/>
              <w:rPr>
                <w:rFonts w:ascii="Times New Roman" w:hAnsi="Times New Roman" w:cs="Times New Roman"/>
                <w:sz w:val="22"/>
                <w:szCs w:val="22"/>
              </w:rPr>
            </w:pPr>
            <w:r w:rsidRPr="00317ABF">
              <w:rPr>
                <w:rFonts w:ascii="Times New Roman" w:hAnsi="Times New Roman" w:cs="Times New Roman"/>
                <w:sz w:val="22"/>
                <w:szCs w:val="22"/>
              </w:rPr>
              <w:t>–</w:t>
            </w:r>
            <w:r w:rsidRPr="00317ABF">
              <w:rPr>
                <w:rFonts w:ascii="Times New Roman" w:hAnsi="Times New Roman" w:cs="Times New Roman"/>
                <w:sz w:val="22"/>
                <w:szCs w:val="22"/>
              </w:rPr>
              <w:tab/>
              <w:t>obowiązek przeprowadzania przez niezależnych audytorów cyklicznych audytów.</w:t>
            </w:r>
          </w:p>
          <w:p w14:paraId="761FF04D" w14:textId="77777777" w:rsidR="001E1112" w:rsidRPr="00317ABF" w:rsidRDefault="001E1112" w:rsidP="00DB3BEC">
            <w:pPr>
              <w:pStyle w:val="USTustnpkodeksu"/>
              <w:spacing w:line="240" w:lineRule="auto"/>
              <w:rPr>
                <w:rFonts w:ascii="Times New Roman" w:hAnsi="Times New Roman" w:cs="Times New Roman"/>
                <w:sz w:val="22"/>
                <w:szCs w:val="22"/>
              </w:rPr>
            </w:pPr>
            <w:r w:rsidRPr="00317ABF">
              <w:rPr>
                <w:rFonts w:ascii="Times New Roman" w:hAnsi="Times New Roman" w:cs="Times New Roman"/>
                <w:sz w:val="22"/>
                <w:szCs w:val="22"/>
              </w:rPr>
              <w:t>4. W przypadku pozytywnego rozpatrzenia przez Komisję Europejską wniosku, o którym mowa w ust. 3, Prezes UKE, w drodze decyzji, nakłada obowiązek rozdziału funkcjonalnego.</w:t>
            </w:r>
          </w:p>
          <w:p w14:paraId="4252AF16" w14:textId="40B6576F" w:rsidR="001E1112" w:rsidRPr="00317ABF" w:rsidRDefault="001E1112" w:rsidP="00DB3BEC">
            <w:pPr>
              <w:pStyle w:val="USTustnpkodeksu"/>
              <w:spacing w:line="240" w:lineRule="auto"/>
              <w:rPr>
                <w:rFonts w:ascii="Times New Roman" w:hAnsi="Times New Roman" w:cs="Times New Roman"/>
                <w:sz w:val="22"/>
                <w:szCs w:val="22"/>
              </w:rPr>
            </w:pPr>
            <w:r w:rsidRPr="00317ABF">
              <w:rPr>
                <w:rFonts w:ascii="Times New Roman" w:hAnsi="Times New Roman" w:cs="Times New Roman"/>
                <w:sz w:val="22"/>
                <w:szCs w:val="22"/>
              </w:rPr>
              <w:t>5. Uzasadnienie decyzji, o której mowa w ust. 4, zawiera w szczególności okoliczności wskazane w ust. 3 pkt 1-4.</w:t>
            </w:r>
          </w:p>
          <w:p w14:paraId="5DBDB915" w14:textId="77777777" w:rsidR="001E1112" w:rsidRPr="00317ABF" w:rsidRDefault="001E1112" w:rsidP="00DB3BEC">
            <w:pPr>
              <w:jc w:val="both"/>
              <w:rPr>
                <w:sz w:val="22"/>
                <w:szCs w:val="22"/>
              </w:rPr>
            </w:pPr>
          </w:p>
          <w:p w14:paraId="527250B7" w14:textId="77777777" w:rsidR="001E1112" w:rsidRPr="00317ABF" w:rsidRDefault="001E1112" w:rsidP="00DB3BEC">
            <w:pPr>
              <w:jc w:val="both"/>
              <w:rPr>
                <w:sz w:val="22"/>
                <w:szCs w:val="22"/>
              </w:rPr>
            </w:pPr>
          </w:p>
          <w:p w14:paraId="4AB7000C" w14:textId="186D559D" w:rsidR="001E1112" w:rsidRPr="00317ABF" w:rsidRDefault="001E1112" w:rsidP="00DB3BEC">
            <w:pPr>
              <w:pStyle w:val="ARTartustawynprozporzdzenia"/>
              <w:spacing w:line="240" w:lineRule="auto"/>
              <w:rPr>
                <w:rFonts w:ascii="Times New Roman" w:hAnsi="Times New Roman" w:cs="Times New Roman"/>
                <w:sz w:val="22"/>
                <w:szCs w:val="22"/>
              </w:rPr>
            </w:pPr>
            <w:r w:rsidRPr="00317ABF">
              <w:rPr>
                <w:rFonts w:ascii="Times New Roman" w:hAnsi="Times New Roman" w:cs="Times New Roman"/>
                <w:b/>
                <w:sz w:val="22"/>
                <w:szCs w:val="22"/>
              </w:rPr>
              <w:t xml:space="preserve">Art. </w:t>
            </w:r>
            <w:r w:rsidR="00CD107C" w:rsidRPr="00317ABF">
              <w:rPr>
                <w:rFonts w:ascii="Times New Roman" w:hAnsi="Times New Roman" w:cs="Times New Roman"/>
                <w:b/>
                <w:sz w:val="22"/>
                <w:szCs w:val="22"/>
              </w:rPr>
              <w:t>225</w:t>
            </w:r>
            <w:r w:rsidRPr="00317ABF">
              <w:rPr>
                <w:rFonts w:ascii="Times New Roman" w:hAnsi="Times New Roman" w:cs="Times New Roman"/>
                <w:sz w:val="22"/>
                <w:szCs w:val="22"/>
              </w:rPr>
              <w:t xml:space="preserve">. W przypadku wydania decyzji, o której mowa w art. </w:t>
            </w:r>
            <w:r w:rsidR="00CD107C" w:rsidRPr="00317ABF">
              <w:rPr>
                <w:rFonts w:ascii="Times New Roman" w:hAnsi="Times New Roman" w:cs="Times New Roman"/>
                <w:sz w:val="22"/>
                <w:szCs w:val="22"/>
              </w:rPr>
              <w:t>224</w:t>
            </w:r>
            <w:r w:rsidRPr="00317ABF">
              <w:rPr>
                <w:rFonts w:ascii="Times New Roman" w:hAnsi="Times New Roman" w:cs="Times New Roman"/>
                <w:sz w:val="22"/>
                <w:szCs w:val="22"/>
              </w:rPr>
              <w:t xml:space="preserve"> ust. 4, Prezes UKE przeprowadza, zgodnie z art. </w:t>
            </w:r>
            <w:r w:rsidR="00CD107C" w:rsidRPr="00317ABF">
              <w:rPr>
                <w:rFonts w:ascii="Times New Roman" w:hAnsi="Times New Roman" w:cs="Times New Roman"/>
                <w:sz w:val="22"/>
                <w:szCs w:val="22"/>
              </w:rPr>
              <w:t>197</w:t>
            </w:r>
            <w:r w:rsidRPr="00317ABF">
              <w:rPr>
                <w:rFonts w:ascii="Times New Roman" w:hAnsi="Times New Roman" w:cs="Times New Roman"/>
                <w:sz w:val="22"/>
                <w:szCs w:val="22"/>
              </w:rPr>
              <w:t xml:space="preserve">, skoordynowaną analizę </w:t>
            </w:r>
            <w:r w:rsidRPr="00317ABF">
              <w:rPr>
                <w:rFonts w:ascii="Times New Roman" w:hAnsi="Times New Roman" w:cs="Times New Roman"/>
                <w:sz w:val="22"/>
                <w:szCs w:val="22"/>
              </w:rPr>
              <w:lastRenderedPageBreak/>
              <w:t xml:space="preserve">rynków właściwych związanych z siecią dostępu </w:t>
            </w:r>
            <w:r w:rsidR="00CD107C" w:rsidRPr="00317ABF">
              <w:rPr>
                <w:rFonts w:ascii="Times New Roman" w:hAnsi="Times New Roman" w:cs="Times New Roman"/>
                <w:sz w:val="22"/>
                <w:szCs w:val="22"/>
              </w:rPr>
              <w:t xml:space="preserve">telekomunikacyjnego </w:t>
            </w:r>
            <w:r w:rsidRPr="00317ABF">
              <w:rPr>
                <w:rFonts w:ascii="Times New Roman" w:hAnsi="Times New Roman" w:cs="Times New Roman"/>
                <w:sz w:val="22"/>
                <w:szCs w:val="22"/>
              </w:rPr>
              <w:t>oraz nakłada, utrzymuje, zmienia lub uchyla inne obowiązki regulacyjne.</w:t>
            </w:r>
          </w:p>
          <w:p w14:paraId="3579B04D" w14:textId="77777777" w:rsidR="00CD107C" w:rsidRPr="00317ABF" w:rsidRDefault="00CD107C" w:rsidP="00DB3BEC">
            <w:pPr>
              <w:pStyle w:val="ARTartustawynprozporzdzenia"/>
              <w:spacing w:line="240" w:lineRule="auto"/>
              <w:rPr>
                <w:rFonts w:ascii="Times New Roman" w:hAnsi="Times New Roman" w:cs="Times New Roman"/>
                <w:sz w:val="22"/>
                <w:szCs w:val="22"/>
              </w:rPr>
            </w:pPr>
          </w:p>
          <w:p w14:paraId="12400DD3" w14:textId="77777777" w:rsidR="001E1112" w:rsidRPr="00317ABF" w:rsidRDefault="001E1112" w:rsidP="00DB3BEC">
            <w:pPr>
              <w:pStyle w:val="ARTartustawynprozporzdzenia"/>
              <w:spacing w:line="240" w:lineRule="auto"/>
              <w:rPr>
                <w:rFonts w:ascii="Times New Roman" w:hAnsi="Times New Roman" w:cs="Times New Roman"/>
                <w:sz w:val="22"/>
                <w:szCs w:val="22"/>
              </w:rPr>
            </w:pPr>
            <w:r w:rsidRPr="00317ABF">
              <w:rPr>
                <w:rFonts w:ascii="Times New Roman" w:hAnsi="Times New Roman" w:cs="Times New Roman"/>
                <w:b/>
                <w:sz w:val="22"/>
                <w:szCs w:val="22"/>
              </w:rPr>
              <w:t>Art. 30</w:t>
            </w:r>
            <w:r w:rsidRPr="00317ABF">
              <w:rPr>
                <w:rFonts w:ascii="Times New Roman" w:hAnsi="Times New Roman" w:cs="Times New Roman"/>
                <w:sz w:val="22"/>
                <w:szCs w:val="22"/>
              </w:rPr>
              <w:t>. Prezes UKE przed podjęciem rozstrzygnięcia w sprawach:</w:t>
            </w:r>
          </w:p>
          <w:p w14:paraId="6A542D06" w14:textId="77777777" w:rsidR="00CD107C" w:rsidRPr="00317ABF" w:rsidRDefault="00CD107C" w:rsidP="00CD107C">
            <w:pPr>
              <w:pStyle w:val="ARTartustawynprozporzdzenia"/>
              <w:spacing w:line="240" w:lineRule="auto"/>
              <w:rPr>
                <w:rFonts w:ascii="Times New Roman" w:hAnsi="Times New Roman" w:cs="Times New Roman"/>
                <w:sz w:val="22"/>
                <w:szCs w:val="22"/>
              </w:rPr>
            </w:pPr>
            <w:r w:rsidRPr="00317ABF">
              <w:rPr>
                <w:rFonts w:ascii="Times New Roman" w:hAnsi="Times New Roman" w:cs="Times New Roman"/>
                <w:sz w:val="22"/>
                <w:szCs w:val="22"/>
              </w:rPr>
              <w:t>1) decyzji wydawanej na podstawie art. 175 ust. 1,</w:t>
            </w:r>
            <w:r w:rsidRPr="00317ABF">
              <w:rPr>
                <w:rFonts w:ascii="Times New Roman" w:hAnsi="Times New Roman" w:cs="Times New Roman"/>
                <w:sz w:val="22"/>
                <w:szCs w:val="22"/>
              </w:rPr>
              <w:tab/>
              <w:t xml:space="preserve"> </w:t>
            </w:r>
          </w:p>
          <w:p w14:paraId="3A501DD1" w14:textId="77777777" w:rsidR="00CD107C" w:rsidRPr="00317ABF" w:rsidRDefault="00CD107C" w:rsidP="00CD107C">
            <w:pPr>
              <w:pStyle w:val="ARTartustawynprozporzdzenia"/>
              <w:spacing w:line="240" w:lineRule="auto"/>
              <w:rPr>
                <w:rFonts w:ascii="Times New Roman" w:hAnsi="Times New Roman" w:cs="Times New Roman"/>
                <w:sz w:val="22"/>
                <w:szCs w:val="22"/>
              </w:rPr>
            </w:pPr>
            <w:r w:rsidRPr="00317ABF">
              <w:rPr>
                <w:rFonts w:ascii="Times New Roman" w:hAnsi="Times New Roman" w:cs="Times New Roman"/>
                <w:sz w:val="22"/>
                <w:szCs w:val="22"/>
              </w:rPr>
              <w:t>2)</w:t>
            </w:r>
            <w:r w:rsidRPr="00317ABF">
              <w:rPr>
                <w:rFonts w:ascii="Times New Roman" w:hAnsi="Times New Roman" w:cs="Times New Roman"/>
                <w:sz w:val="22"/>
                <w:szCs w:val="22"/>
              </w:rPr>
              <w:tab/>
              <w:t xml:space="preserve"> nałożenia, uchylenia, zmiany lub utrzymania obowiązków dostępowych symetrycznych,</w:t>
            </w:r>
          </w:p>
          <w:p w14:paraId="2E949E36" w14:textId="77777777" w:rsidR="00CD107C" w:rsidRPr="00317ABF" w:rsidRDefault="00CD107C" w:rsidP="00CD107C">
            <w:pPr>
              <w:pStyle w:val="ARTartustawynprozporzdzenia"/>
              <w:spacing w:line="240" w:lineRule="auto"/>
              <w:rPr>
                <w:rFonts w:ascii="Times New Roman" w:hAnsi="Times New Roman" w:cs="Times New Roman"/>
                <w:sz w:val="22"/>
                <w:szCs w:val="22"/>
              </w:rPr>
            </w:pPr>
            <w:r w:rsidRPr="00317ABF">
              <w:rPr>
                <w:rFonts w:ascii="Times New Roman" w:hAnsi="Times New Roman" w:cs="Times New Roman"/>
                <w:sz w:val="22"/>
                <w:szCs w:val="22"/>
              </w:rPr>
              <w:t>3)</w:t>
            </w:r>
            <w:r w:rsidRPr="00317ABF">
              <w:rPr>
                <w:rFonts w:ascii="Times New Roman" w:hAnsi="Times New Roman" w:cs="Times New Roman"/>
                <w:sz w:val="22"/>
                <w:szCs w:val="22"/>
              </w:rPr>
              <w:tab/>
              <w:t>postanowień wydawanych na podstawie art. 182 ust. 1 i ust. 4 oraz decyzji wydawanej na podstawie art. 182 ust. 3,</w:t>
            </w:r>
          </w:p>
          <w:p w14:paraId="16865BCE" w14:textId="77777777" w:rsidR="00CD107C" w:rsidRPr="00317ABF" w:rsidRDefault="00CD107C" w:rsidP="00CD107C">
            <w:pPr>
              <w:pStyle w:val="ARTartustawynprozporzdzenia"/>
              <w:spacing w:line="240" w:lineRule="auto"/>
              <w:rPr>
                <w:rFonts w:ascii="Times New Roman" w:hAnsi="Times New Roman" w:cs="Times New Roman"/>
                <w:sz w:val="22"/>
                <w:szCs w:val="22"/>
              </w:rPr>
            </w:pPr>
            <w:r w:rsidRPr="00317ABF">
              <w:rPr>
                <w:rFonts w:ascii="Times New Roman" w:hAnsi="Times New Roman" w:cs="Times New Roman"/>
                <w:sz w:val="22"/>
                <w:szCs w:val="22"/>
              </w:rPr>
              <w:t>4)</w:t>
            </w:r>
            <w:r w:rsidRPr="00317ABF">
              <w:rPr>
                <w:rFonts w:ascii="Times New Roman" w:hAnsi="Times New Roman" w:cs="Times New Roman"/>
                <w:sz w:val="22"/>
                <w:szCs w:val="22"/>
              </w:rPr>
              <w:tab/>
              <w:t xml:space="preserve">decyzji wydawanej na podstawie art. 183 ust. 1, </w:t>
            </w:r>
          </w:p>
          <w:p w14:paraId="3B7CADAD" w14:textId="77777777" w:rsidR="00CD107C" w:rsidRPr="00317ABF" w:rsidRDefault="00CD107C" w:rsidP="00CD107C">
            <w:pPr>
              <w:pStyle w:val="ARTartustawynprozporzdzenia"/>
              <w:spacing w:line="240" w:lineRule="auto"/>
              <w:rPr>
                <w:rFonts w:ascii="Times New Roman" w:hAnsi="Times New Roman" w:cs="Times New Roman"/>
                <w:sz w:val="22"/>
                <w:szCs w:val="22"/>
              </w:rPr>
            </w:pPr>
            <w:r w:rsidRPr="00317ABF">
              <w:rPr>
                <w:rFonts w:ascii="Times New Roman" w:hAnsi="Times New Roman" w:cs="Times New Roman"/>
                <w:sz w:val="22"/>
                <w:szCs w:val="22"/>
              </w:rPr>
              <w:t>5)</w:t>
            </w:r>
            <w:r w:rsidRPr="00317ABF">
              <w:rPr>
                <w:rFonts w:ascii="Times New Roman" w:hAnsi="Times New Roman" w:cs="Times New Roman"/>
                <w:sz w:val="22"/>
                <w:szCs w:val="22"/>
              </w:rPr>
              <w:tab/>
              <w:t>decyzji wydawanej na podstawie art. 187,</w:t>
            </w:r>
          </w:p>
          <w:p w14:paraId="391F9665" w14:textId="77777777" w:rsidR="00CD107C" w:rsidRPr="00317ABF" w:rsidRDefault="00CD107C" w:rsidP="00CD107C">
            <w:pPr>
              <w:pStyle w:val="ARTartustawynprozporzdzenia"/>
              <w:spacing w:line="240" w:lineRule="auto"/>
              <w:rPr>
                <w:rFonts w:ascii="Times New Roman" w:hAnsi="Times New Roman" w:cs="Times New Roman"/>
                <w:sz w:val="22"/>
                <w:szCs w:val="22"/>
              </w:rPr>
            </w:pPr>
            <w:r w:rsidRPr="00317ABF">
              <w:rPr>
                <w:rFonts w:ascii="Times New Roman" w:hAnsi="Times New Roman" w:cs="Times New Roman"/>
                <w:sz w:val="22"/>
                <w:szCs w:val="22"/>
              </w:rPr>
              <w:t xml:space="preserve">6) </w:t>
            </w:r>
            <w:r w:rsidRPr="00317ABF">
              <w:rPr>
                <w:rFonts w:ascii="Times New Roman" w:hAnsi="Times New Roman" w:cs="Times New Roman"/>
                <w:sz w:val="22"/>
                <w:szCs w:val="22"/>
              </w:rPr>
              <w:tab/>
              <w:t>załatwianych w drodze decyzji obszarowej,</w:t>
            </w:r>
          </w:p>
          <w:p w14:paraId="0BD984A6" w14:textId="77777777" w:rsidR="00CD107C" w:rsidRPr="00317ABF" w:rsidRDefault="00CD107C" w:rsidP="00CD107C">
            <w:pPr>
              <w:pStyle w:val="ARTartustawynprozporzdzenia"/>
              <w:spacing w:line="240" w:lineRule="auto"/>
              <w:rPr>
                <w:rFonts w:ascii="Times New Roman" w:hAnsi="Times New Roman" w:cs="Times New Roman"/>
                <w:sz w:val="22"/>
                <w:szCs w:val="22"/>
              </w:rPr>
            </w:pPr>
            <w:r w:rsidRPr="00317ABF">
              <w:rPr>
                <w:rFonts w:ascii="Times New Roman" w:hAnsi="Times New Roman" w:cs="Times New Roman"/>
                <w:sz w:val="22"/>
                <w:szCs w:val="22"/>
              </w:rPr>
              <w:t>7) określenia rynku właściwego, o którym mowa w art. 199 ust. 1 pkt 1, a także jego analizy i wyznaczenia przedsiębiorcy komunikacji elektronicznej o znaczącej pozycji rynkowej lub przedsiębiorców komunikacji elektronicznej zajmujących kolektywną pozycję znaczącą, lub uchylenia decyzji w tej sprawie,</w:t>
            </w:r>
          </w:p>
          <w:p w14:paraId="32C2939F" w14:textId="77777777" w:rsidR="00CD107C" w:rsidRPr="00317ABF" w:rsidRDefault="00CD107C" w:rsidP="00CD107C">
            <w:pPr>
              <w:pStyle w:val="ARTartustawynprozporzdzenia"/>
              <w:spacing w:line="240" w:lineRule="auto"/>
              <w:rPr>
                <w:rFonts w:ascii="Times New Roman" w:hAnsi="Times New Roman" w:cs="Times New Roman"/>
                <w:sz w:val="22"/>
                <w:szCs w:val="22"/>
              </w:rPr>
            </w:pPr>
            <w:r w:rsidRPr="00317ABF">
              <w:rPr>
                <w:rFonts w:ascii="Times New Roman" w:hAnsi="Times New Roman" w:cs="Times New Roman"/>
                <w:sz w:val="22"/>
                <w:szCs w:val="22"/>
              </w:rPr>
              <w:t>8) nałożenia, uchylenia, utrzymania lub zmiany obowiązków regulacyjnych w stosunku do przedsiębiorcy komunikacji elektronicznej o znaczącej pozycji rynkowej lub nieposiadającego takiej pozycji,</w:t>
            </w:r>
          </w:p>
          <w:p w14:paraId="6DA600E4" w14:textId="77777777" w:rsidR="00CD107C" w:rsidRPr="00317ABF" w:rsidRDefault="00CD107C" w:rsidP="00CD107C">
            <w:pPr>
              <w:pStyle w:val="ARTartustawynprozporzdzenia"/>
              <w:spacing w:line="240" w:lineRule="auto"/>
              <w:rPr>
                <w:rFonts w:ascii="Times New Roman" w:hAnsi="Times New Roman" w:cs="Times New Roman"/>
                <w:sz w:val="22"/>
                <w:szCs w:val="22"/>
              </w:rPr>
            </w:pPr>
            <w:r w:rsidRPr="00317ABF">
              <w:rPr>
                <w:rFonts w:ascii="Times New Roman" w:hAnsi="Times New Roman" w:cs="Times New Roman"/>
                <w:sz w:val="22"/>
                <w:szCs w:val="22"/>
              </w:rPr>
              <w:t xml:space="preserve">9) </w:t>
            </w:r>
            <w:r w:rsidRPr="00317ABF">
              <w:rPr>
                <w:rFonts w:ascii="Times New Roman" w:hAnsi="Times New Roman" w:cs="Times New Roman"/>
                <w:sz w:val="22"/>
                <w:szCs w:val="22"/>
              </w:rPr>
              <w:tab/>
              <w:t>decyzji wydawanych na podstawie art. 217 ust. 3 i ust. 5,</w:t>
            </w:r>
          </w:p>
          <w:p w14:paraId="147D2BA2" w14:textId="77777777" w:rsidR="00CD107C" w:rsidRPr="00317ABF" w:rsidRDefault="00CD107C" w:rsidP="00CD107C">
            <w:pPr>
              <w:pStyle w:val="ARTartustawynprozporzdzenia"/>
              <w:spacing w:line="240" w:lineRule="auto"/>
              <w:rPr>
                <w:rFonts w:ascii="Times New Roman" w:hAnsi="Times New Roman" w:cs="Times New Roman"/>
                <w:sz w:val="22"/>
                <w:szCs w:val="22"/>
              </w:rPr>
            </w:pPr>
            <w:r w:rsidRPr="00317ABF">
              <w:rPr>
                <w:rFonts w:ascii="Times New Roman" w:hAnsi="Times New Roman" w:cs="Times New Roman"/>
                <w:sz w:val="22"/>
                <w:szCs w:val="22"/>
              </w:rPr>
              <w:t xml:space="preserve">10) </w:t>
            </w:r>
            <w:r w:rsidRPr="00317ABF">
              <w:rPr>
                <w:rFonts w:ascii="Times New Roman" w:hAnsi="Times New Roman" w:cs="Times New Roman"/>
                <w:sz w:val="22"/>
                <w:szCs w:val="22"/>
              </w:rPr>
              <w:tab/>
              <w:t>decyzji wydawanej na podstawie art. 221 ust. 1,</w:t>
            </w:r>
          </w:p>
          <w:p w14:paraId="20FFA29F" w14:textId="77777777" w:rsidR="00CD107C" w:rsidRPr="00317ABF" w:rsidRDefault="00CD107C" w:rsidP="00CD107C">
            <w:pPr>
              <w:pStyle w:val="ARTartustawynprozporzdzenia"/>
              <w:spacing w:line="240" w:lineRule="auto"/>
              <w:rPr>
                <w:rFonts w:ascii="Times New Roman" w:hAnsi="Times New Roman" w:cs="Times New Roman"/>
                <w:sz w:val="22"/>
                <w:szCs w:val="22"/>
              </w:rPr>
            </w:pPr>
            <w:r w:rsidRPr="00317ABF">
              <w:rPr>
                <w:rFonts w:ascii="Times New Roman" w:hAnsi="Times New Roman" w:cs="Times New Roman"/>
                <w:sz w:val="22"/>
                <w:szCs w:val="22"/>
              </w:rPr>
              <w:t>11) decyzji wydawanej na podstawie art. 230 ust. 4,</w:t>
            </w:r>
          </w:p>
          <w:p w14:paraId="0A0E6D28" w14:textId="77777777" w:rsidR="00CD107C" w:rsidRPr="00317ABF" w:rsidRDefault="00CD107C" w:rsidP="00CD107C">
            <w:pPr>
              <w:pStyle w:val="ARTartustawynprozporzdzenia"/>
              <w:spacing w:line="240" w:lineRule="auto"/>
              <w:rPr>
                <w:rFonts w:ascii="Times New Roman" w:hAnsi="Times New Roman" w:cs="Times New Roman"/>
                <w:sz w:val="22"/>
                <w:szCs w:val="22"/>
              </w:rPr>
            </w:pPr>
            <w:r w:rsidRPr="00317ABF">
              <w:rPr>
                <w:rFonts w:ascii="Times New Roman" w:hAnsi="Times New Roman" w:cs="Times New Roman"/>
                <w:sz w:val="22"/>
                <w:szCs w:val="22"/>
              </w:rPr>
              <w:t xml:space="preserve">12) </w:t>
            </w:r>
            <w:r w:rsidRPr="00317ABF">
              <w:rPr>
                <w:rFonts w:ascii="Times New Roman" w:hAnsi="Times New Roman" w:cs="Times New Roman"/>
                <w:sz w:val="22"/>
                <w:szCs w:val="22"/>
              </w:rPr>
              <w:tab/>
              <w:t>decyzji wydawanej na podstawie art. 235,</w:t>
            </w:r>
          </w:p>
          <w:p w14:paraId="667E3E44" w14:textId="77777777" w:rsidR="00CD107C" w:rsidRPr="00317ABF" w:rsidRDefault="00CD107C" w:rsidP="00CD107C">
            <w:pPr>
              <w:pStyle w:val="ARTartustawynprozporzdzenia"/>
              <w:spacing w:line="240" w:lineRule="auto"/>
              <w:rPr>
                <w:rFonts w:ascii="Times New Roman" w:hAnsi="Times New Roman" w:cs="Times New Roman"/>
                <w:sz w:val="22"/>
                <w:szCs w:val="22"/>
              </w:rPr>
            </w:pPr>
            <w:r w:rsidRPr="00317ABF">
              <w:rPr>
                <w:rFonts w:ascii="Times New Roman" w:hAnsi="Times New Roman" w:cs="Times New Roman"/>
                <w:sz w:val="22"/>
                <w:szCs w:val="22"/>
              </w:rPr>
              <w:t>13)</w:t>
            </w:r>
            <w:r w:rsidRPr="00317ABF">
              <w:rPr>
                <w:rFonts w:ascii="Times New Roman" w:hAnsi="Times New Roman" w:cs="Times New Roman"/>
                <w:sz w:val="22"/>
                <w:szCs w:val="22"/>
              </w:rPr>
              <w:tab/>
              <w:t>innych wskazanych w ustawie z dnia 7 maja 2010 r. o wspieraniu rozwoju usług i sieci telekomunikacyjnych,</w:t>
            </w:r>
          </w:p>
          <w:p w14:paraId="1427B363" w14:textId="77777777" w:rsidR="00CD107C" w:rsidRPr="00317ABF" w:rsidRDefault="00CD107C" w:rsidP="00CD107C">
            <w:pPr>
              <w:pStyle w:val="ARTartustawynprozporzdzenia"/>
              <w:spacing w:line="240" w:lineRule="auto"/>
              <w:rPr>
                <w:rFonts w:ascii="Times New Roman" w:hAnsi="Times New Roman" w:cs="Times New Roman"/>
                <w:sz w:val="22"/>
                <w:szCs w:val="22"/>
              </w:rPr>
            </w:pPr>
            <w:r w:rsidRPr="00317ABF">
              <w:rPr>
                <w:rFonts w:ascii="Times New Roman" w:hAnsi="Times New Roman" w:cs="Times New Roman"/>
                <w:sz w:val="22"/>
                <w:szCs w:val="22"/>
              </w:rPr>
              <w:t>14) innych wskazanych w ustawie,</w:t>
            </w:r>
          </w:p>
          <w:p w14:paraId="51DA1C3E" w14:textId="77777777" w:rsidR="00CD107C" w:rsidRPr="00317ABF" w:rsidRDefault="00CD107C" w:rsidP="00CD107C">
            <w:pPr>
              <w:pStyle w:val="ARTartustawynprozporzdzenia"/>
              <w:spacing w:line="240" w:lineRule="auto"/>
              <w:rPr>
                <w:rFonts w:ascii="Times New Roman" w:hAnsi="Times New Roman" w:cs="Times New Roman"/>
                <w:sz w:val="22"/>
                <w:szCs w:val="22"/>
              </w:rPr>
            </w:pPr>
            <w:r w:rsidRPr="00317ABF">
              <w:rPr>
                <w:rFonts w:ascii="Times New Roman" w:hAnsi="Times New Roman" w:cs="Times New Roman"/>
                <w:sz w:val="22"/>
                <w:szCs w:val="22"/>
              </w:rPr>
              <w:t>- przeprowadza postępowanie, w ramach którego umożliwia zainteresowanym podmiotom wyrażenie w określonym terminie stanowiska do projektu rozstrzygnięcia, zwane dalej „postępowaniem konsultacyjnym”.</w:t>
            </w:r>
          </w:p>
          <w:p w14:paraId="3B23A376" w14:textId="77777777" w:rsidR="001E1112" w:rsidRPr="00317ABF" w:rsidRDefault="001E1112" w:rsidP="00DB3BEC">
            <w:pPr>
              <w:pStyle w:val="ARTartustawynprozporzdzenia"/>
              <w:spacing w:line="240" w:lineRule="auto"/>
              <w:rPr>
                <w:rFonts w:ascii="Times New Roman" w:hAnsi="Times New Roman" w:cs="Times New Roman"/>
                <w:sz w:val="22"/>
                <w:szCs w:val="22"/>
              </w:rPr>
            </w:pPr>
          </w:p>
          <w:p w14:paraId="26D8704C" w14:textId="1271E46C" w:rsidR="001E1112" w:rsidRPr="00317ABF" w:rsidRDefault="001E1112" w:rsidP="00DB3BEC">
            <w:pPr>
              <w:jc w:val="both"/>
              <w:rPr>
                <w:sz w:val="22"/>
                <w:szCs w:val="22"/>
              </w:rPr>
            </w:pPr>
            <w:r w:rsidRPr="00317ABF">
              <w:rPr>
                <w:b/>
                <w:sz w:val="22"/>
                <w:szCs w:val="22"/>
              </w:rPr>
              <w:t xml:space="preserve">Art. 35. </w:t>
            </w:r>
            <w:r w:rsidRPr="00317ABF">
              <w:rPr>
                <w:sz w:val="22"/>
                <w:szCs w:val="22"/>
              </w:rPr>
              <w:t xml:space="preserve">1. Jeżeli rozstrzygnięcia, o których mowa w art. </w:t>
            </w:r>
            <w:r w:rsidR="00CD107C" w:rsidRPr="00317ABF">
              <w:rPr>
                <w:sz w:val="22"/>
                <w:szCs w:val="22"/>
              </w:rPr>
              <w:t>30 pkt 1-13</w:t>
            </w:r>
            <w:r w:rsidRPr="00317ABF">
              <w:rPr>
                <w:sz w:val="22"/>
                <w:szCs w:val="22"/>
              </w:rPr>
              <w:t>, mogą mieć wpływ na stosunki handlowe między państwami członkowskimi, Prezes UKE, niezwłocznie po zakończeniu postępowania konsultacyjnego i rozpatrzeniu stanowisk uczestników tego postępowania, rozpoczyna postępowanie konsolidacyjne, przesyłając Komisji Europejskiej, BEREC, i organom regulacyjnym innych państw członkowskich projekty rozstrzygnięć wraz z ich uzasadnieniem.</w:t>
            </w:r>
          </w:p>
        </w:tc>
      </w:tr>
      <w:tr w:rsidR="001E1112" w:rsidRPr="00317ABF" w14:paraId="299ECE6B" w14:textId="77777777" w:rsidTr="7753F98D">
        <w:trPr>
          <w:gridAfter w:val="2"/>
          <w:wAfter w:w="175" w:type="dxa"/>
        </w:trPr>
        <w:tc>
          <w:tcPr>
            <w:tcW w:w="704" w:type="dxa"/>
          </w:tcPr>
          <w:p w14:paraId="7E7DB645" w14:textId="77777777" w:rsidR="001E1112" w:rsidRPr="00317ABF" w:rsidRDefault="001E1112" w:rsidP="00DB3BEC">
            <w:pPr>
              <w:jc w:val="both"/>
              <w:rPr>
                <w:sz w:val="22"/>
                <w:szCs w:val="22"/>
              </w:rPr>
            </w:pPr>
            <w:r w:rsidRPr="00317ABF">
              <w:rPr>
                <w:sz w:val="22"/>
                <w:szCs w:val="22"/>
              </w:rPr>
              <w:lastRenderedPageBreak/>
              <w:t>Art. 77 ust. 4</w:t>
            </w:r>
          </w:p>
        </w:tc>
        <w:tc>
          <w:tcPr>
            <w:tcW w:w="4308" w:type="dxa"/>
          </w:tcPr>
          <w:p w14:paraId="6B104F56" w14:textId="77777777" w:rsidR="001E1112" w:rsidRPr="00317ABF" w:rsidRDefault="001E1112" w:rsidP="00DB3BEC">
            <w:pPr>
              <w:spacing w:before="120"/>
              <w:jc w:val="both"/>
              <w:rPr>
                <w:sz w:val="22"/>
                <w:szCs w:val="22"/>
              </w:rPr>
            </w:pPr>
            <w:r w:rsidRPr="00317ABF">
              <w:rPr>
                <w:sz w:val="22"/>
                <w:szCs w:val="22"/>
              </w:rPr>
              <w:t>4.   Przedsiębiorstwo, któremu narzucono podział funkcjonalny, może podlegać każdemu z obowiązków, o których mowa w art. 69–74 w odniesieniu do rynków, na których wyznaczone zostało jako posiadające znaczącą pozycję rynkową zgodnie z art. 67, lub każdemu innemu obowiązkowi zatwierdzonemu przez Komisję zgodnie z art. 68 ust. 3.</w:t>
            </w:r>
          </w:p>
        </w:tc>
        <w:tc>
          <w:tcPr>
            <w:tcW w:w="986" w:type="dxa"/>
          </w:tcPr>
          <w:p w14:paraId="23857ED6" w14:textId="7D0C81E8" w:rsidR="001E1112" w:rsidRPr="00317ABF" w:rsidRDefault="001E1112" w:rsidP="00DB3BEC">
            <w:pPr>
              <w:jc w:val="both"/>
              <w:rPr>
                <w:sz w:val="22"/>
                <w:szCs w:val="22"/>
              </w:rPr>
            </w:pPr>
            <w:r w:rsidRPr="00317ABF">
              <w:rPr>
                <w:sz w:val="22"/>
                <w:szCs w:val="22"/>
              </w:rPr>
              <w:t>T</w:t>
            </w:r>
          </w:p>
        </w:tc>
        <w:tc>
          <w:tcPr>
            <w:tcW w:w="910" w:type="dxa"/>
          </w:tcPr>
          <w:p w14:paraId="71819804" w14:textId="44FFCA00" w:rsidR="001E1112" w:rsidRPr="00317ABF" w:rsidRDefault="001E1112" w:rsidP="00DB3BEC">
            <w:pPr>
              <w:pStyle w:val="Tekstpodstawowy"/>
              <w:rPr>
                <w:b/>
                <w:noProof/>
                <w:sz w:val="22"/>
                <w:szCs w:val="22"/>
              </w:rPr>
            </w:pPr>
            <w:r w:rsidRPr="00317ABF">
              <w:rPr>
                <w:b/>
                <w:noProof/>
                <w:sz w:val="22"/>
                <w:szCs w:val="22"/>
              </w:rPr>
              <w:t>Art. 2</w:t>
            </w:r>
            <w:r w:rsidR="00CD107C" w:rsidRPr="00317ABF">
              <w:rPr>
                <w:b/>
                <w:noProof/>
                <w:sz w:val="22"/>
                <w:szCs w:val="22"/>
              </w:rPr>
              <w:t>26</w:t>
            </w:r>
          </w:p>
        </w:tc>
        <w:tc>
          <w:tcPr>
            <w:tcW w:w="6814" w:type="dxa"/>
            <w:gridSpan w:val="2"/>
          </w:tcPr>
          <w:p w14:paraId="5B5EAB93" w14:textId="23FA8F86" w:rsidR="001E1112" w:rsidRPr="00317ABF" w:rsidRDefault="001E1112" w:rsidP="00DB3BEC">
            <w:pPr>
              <w:jc w:val="both"/>
              <w:rPr>
                <w:sz w:val="22"/>
                <w:szCs w:val="22"/>
              </w:rPr>
            </w:pPr>
            <w:r w:rsidRPr="00317ABF">
              <w:rPr>
                <w:b/>
                <w:sz w:val="22"/>
                <w:szCs w:val="22"/>
              </w:rPr>
              <w:t xml:space="preserve">Art. </w:t>
            </w:r>
            <w:r w:rsidR="00CD107C" w:rsidRPr="00317ABF">
              <w:rPr>
                <w:b/>
                <w:sz w:val="22"/>
                <w:szCs w:val="22"/>
              </w:rPr>
              <w:t>226</w:t>
            </w:r>
            <w:r w:rsidRPr="00317ABF">
              <w:rPr>
                <w:sz w:val="22"/>
                <w:szCs w:val="22"/>
              </w:rPr>
              <w:t xml:space="preserve">. Przedsiębiorca komunikacji elektronicznej, na którego nałożono obowiązek, którym mowa w art. </w:t>
            </w:r>
            <w:r w:rsidR="00CD107C" w:rsidRPr="00317ABF">
              <w:rPr>
                <w:sz w:val="22"/>
                <w:szCs w:val="22"/>
              </w:rPr>
              <w:t>224</w:t>
            </w:r>
            <w:r w:rsidRPr="00317ABF">
              <w:rPr>
                <w:sz w:val="22"/>
                <w:szCs w:val="22"/>
              </w:rPr>
              <w:t xml:space="preserve"> ust. 1, może podlegać innym obowiązkom regulacyjnym w zakresie dostępu</w:t>
            </w:r>
            <w:r w:rsidR="00CD107C" w:rsidRPr="00317ABF">
              <w:rPr>
                <w:sz w:val="22"/>
                <w:szCs w:val="22"/>
              </w:rPr>
              <w:t xml:space="preserve"> telekomunikacyjnego</w:t>
            </w:r>
            <w:r w:rsidRPr="00317ABF">
              <w:rPr>
                <w:sz w:val="22"/>
                <w:szCs w:val="22"/>
              </w:rPr>
              <w:t xml:space="preserve">, o których mowa w </w:t>
            </w:r>
            <w:r w:rsidRPr="00317ABF">
              <w:rPr>
                <w:rFonts w:eastAsia="Calibri"/>
                <w:sz w:val="22"/>
                <w:szCs w:val="22"/>
              </w:rPr>
              <w:t xml:space="preserve">art. </w:t>
            </w:r>
            <w:r w:rsidR="00CD107C" w:rsidRPr="00317ABF">
              <w:rPr>
                <w:sz w:val="22"/>
                <w:szCs w:val="22"/>
              </w:rPr>
              <w:t>210</w:t>
            </w:r>
            <w:r w:rsidRPr="00317ABF">
              <w:rPr>
                <w:rFonts w:eastAsia="Calibri"/>
                <w:sz w:val="22"/>
                <w:szCs w:val="22"/>
              </w:rPr>
              <w:t>,</w:t>
            </w:r>
            <w:r w:rsidRPr="00317ABF">
              <w:rPr>
                <w:sz w:val="22"/>
                <w:szCs w:val="22"/>
              </w:rPr>
              <w:t xml:space="preserve"> art. </w:t>
            </w:r>
            <w:r w:rsidR="00CD107C" w:rsidRPr="00317ABF">
              <w:rPr>
                <w:sz w:val="22"/>
                <w:szCs w:val="22"/>
              </w:rPr>
              <w:t>211</w:t>
            </w:r>
            <w:r w:rsidRPr="00317ABF">
              <w:rPr>
                <w:sz w:val="22"/>
                <w:szCs w:val="22"/>
              </w:rPr>
              <w:t xml:space="preserve">, art. </w:t>
            </w:r>
            <w:r w:rsidR="00CD107C" w:rsidRPr="00317ABF">
              <w:rPr>
                <w:sz w:val="22"/>
                <w:szCs w:val="22"/>
              </w:rPr>
              <w:t>213-215</w:t>
            </w:r>
            <w:r w:rsidRPr="00317ABF">
              <w:rPr>
                <w:sz w:val="22"/>
                <w:szCs w:val="22"/>
              </w:rPr>
              <w:t xml:space="preserve">, art. </w:t>
            </w:r>
            <w:r w:rsidR="00CD107C" w:rsidRPr="00317ABF">
              <w:rPr>
                <w:sz w:val="22"/>
                <w:szCs w:val="22"/>
              </w:rPr>
              <w:t>216 ust. 1, art. 220</w:t>
            </w:r>
            <w:r w:rsidRPr="00317ABF">
              <w:rPr>
                <w:sz w:val="22"/>
                <w:szCs w:val="22"/>
              </w:rPr>
              <w:t xml:space="preserve"> i art. </w:t>
            </w:r>
            <w:r w:rsidR="00CD107C" w:rsidRPr="00317ABF">
              <w:rPr>
                <w:sz w:val="22"/>
                <w:szCs w:val="22"/>
              </w:rPr>
              <w:t>222</w:t>
            </w:r>
            <w:r w:rsidRPr="00317ABF">
              <w:rPr>
                <w:sz w:val="22"/>
                <w:szCs w:val="22"/>
              </w:rPr>
              <w:t>, w odniesieniu do rynku, na którym został wyznaczony jako przedsiębiorca o znaczącej pozycji rynkowej.</w:t>
            </w:r>
          </w:p>
        </w:tc>
      </w:tr>
      <w:tr w:rsidR="001E1112" w:rsidRPr="00317ABF" w14:paraId="6C3BEF42" w14:textId="77777777" w:rsidTr="7753F98D">
        <w:trPr>
          <w:gridAfter w:val="2"/>
          <w:wAfter w:w="175" w:type="dxa"/>
        </w:trPr>
        <w:tc>
          <w:tcPr>
            <w:tcW w:w="704" w:type="dxa"/>
          </w:tcPr>
          <w:p w14:paraId="250DDA7A" w14:textId="77777777" w:rsidR="001E1112" w:rsidRPr="00317ABF" w:rsidRDefault="001E1112" w:rsidP="00DB3BEC">
            <w:pPr>
              <w:jc w:val="both"/>
              <w:rPr>
                <w:b/>
                <w:sz w:val="22"/>
                <w:szCs w:val="22"/>
              </w:rPr>
            </w:pPr>
            <w:r w:rsidRPr="00317ABF">
              <w:rPr>
                <w:b/>
                <w:sz w:val="22"/>
                <w:szCs w:val="22"/>
              </w:rPr>
              <w:t>Art. 78</w:t>
            </w:r>
          </w:p>
        </w:tc>
        <w:tc>
          <w:tcPr>
            <w:tcW w:w="4308" w:type="dxa"/>
          </w:tcPr>
          <w:p w14:paraId="37677555" w14:textId="77777777" w:rsidR="001E1112" w:rsidRPr="00317ABF" w:rsidRDefault="001E1112" w:rsidP="00DB3BEC">
            <w:pPr>
              <w:spacing w:before="120"/>
              <w:jc w:val="both"/>
              <w:rPr>
                <w:sz w:val="22"/>
                <w:szCs w:val="22"/>
              </w:rPr>
            </w:pPr>
            <w:r w:rsidRPr="00317ABF">
              <w:rPr>
                <w:b/>
                <w:bCs/>
                <w:sz w:val="22"/>
                <w:szCs w:val="22"/>
              </w:rPr>
              <w:t>Dobrowolny podział przedsiębiorstwa zintegrowanego pionowo</w:t>
            </w:r>
          </w:p>
        </w:tc>
        <w:tc>
          <w:tcPr>
            <w:tcW w:w="986" w:type="dxa"/>
          </w:tcPr>
          <w:p w14:paraId="73A2C048" w14:textId="77777777" w:rsidR="001E1112" w:rsidRPr="00317ABF" w:rsidRDefault="001E1112" w:rsidP="00DB3BEC">
            <w:pPr>
              <w:jc w:val="both"/>
              <w:rPr>
                <w:sz w:val="22"/>
                <w:szCs w:val="22"/>
              </w:rPr>
            </w:pPr>
          </w:p>
        </w:tc>
        <w:tc>
          <w:tcPr>
            <w:tcW w:w="910" w:type="dxa"/>
          </w:tcPr>
          <w:p w14:paraId="4C7677B9" w14:textId="77777777" w:rsidR="001E1112" w:rsidRPr="00317ABF" w:rsidRDefault="001E1112" w:rsidP="00DB3BEC">
            <w:pPr>
              <w:pStyle w:val="Tekstpodstawowy"/>
              <w:rPr>
                <w:b/>
                <w:noProof/>
                <w:sz w:val="22"/>
                <w:szCs w:val="22"/>
              </w:rPr>
            </w:pPr>
          </w:p>
        </w:tc>
        <w:tc>
          <w:tcPr>
            <w:tcW w:w="6814" w:type="dxa"/>
            <w:gridSpan w:val="2"/>
          </w:tcPr>
          <w:p w14:paraId="5C24222F" w14:textId="77777777" w:rsidR="001E1112" w:rsidRPr="00317ABF" w:rsidRDefault="001E1112" w:rsidP="00DB3BEC">
            <w:pPr>
              <w:pStyle w:val="Tekstpodstawowy"/>
              <w:rPr>
                <w:sz w:val="22"/>
                <w:szCs w:val="22"/>
              </w:rPr>
            </w:pPr>
          </w:p>
        </w:tc>
      </w:tr>
      <w:tr w:rsidR="001E1112" w:rsidRPr="00317ABF" w14:paraId="79951C2B" w14:textId="77777777" w:rsidTr="7753F98D">
        <w:trPr>
          <w:gridAfter w:val="2"/>
          <w:wAfter w:w="175" w:type="dxa"/>
        </w:trPr>
        <w:tc>
          <w:tcPr>
            <w:tcW w:w="704" w:type="dxa"/>
          </w:tcPr>
          <w:p w14:paraId="7D244E57" w14:textId="77777777" w:rsidR="001E1112" w:rsidRPr="00317ABF" w:rsidRDefault="001E1112" w:rsidP="00DB3BEC">
            <w:pPr>
              <w:jc w:val="both"/>
              <w:rPr>
                <w:sz w:val="22"/>
                <w:szCs w:val="22"/>
              </w:rPr>
            </w:pPr>
            <w:r w:rsidRPr="00317ABF">
              <w:rPr>
                <w:sz w:val="22"/>
                <w:szCs w:val="22"/>
              </w:rPr>
              <w:t>Art. 78 ust. 1</w:t>
            </w:r>
          </w:p>
        </w:tc>
        <w:tc>
          <w:tcPr>
            <w:tcW w:w="4308" w:type="dxa"/>
          </w:tcPr>
          <w:p w14:paraId="19BAE8C3" w14:textId="77777777" w:rsidR="001E1112" w:rsidRPr="00317ABF" w:rsidRDefault="001E1112" w:rsidP="00DB3BEC">
            <w:pPr>
              <w:spacing w:before="120"/>
              <w:jc w:val="both"/>
              <w:rPr>
                <w:sz w:val="22"/>
                <w:szCs w:val="22"/>
              </w:rPr>
            </w:pPr>
            <w:r w:rsidRPr="00317ABF">
              <w:rPr>
                <w:sz w:val="22"/>
                <w:szCs w:val="22"/>
              </w:rPr>
              <w:t>1.   Przedsiębiorstwa, które zgodnie z art. 67 wyznaczone zostało jako posiadające znaczącą pozycję rynkową na jednym lub kilku rynkach właściwych, informują krajowy organ regulacyjny co najmniej trzy miesiące przed jakimkolwiek planowanym przeniesieniem aktywów składających się na lokalną sieć dostępu lub ich znacznej części na odrębną osobę prawną mającą innego właściciela lub planowanym ustanowieniem oddzielnej jednostki organizacyjnej w celu dostarczania wszystkim dostawcom detalicznym, w tym swoim własnym jednostkom detalicznym, w pełni równoważnych produktów dostępu.</w:t>
            </w:r>
          </w:p>
          <w:p w14:paraId="06467890" w14:textId="77777777" w:rsidR="001E1112" w:rsidRPr="00317ABF" w:rsidRDefault="001E1112" w:rsidP="00DB3BEC">
            <w:pPr>
              <w:spacing w:before="120"/>
              <w:jc w:val="both"/>
              <w:rPr>
                <w:sz w:val="22"/>
                <w:szCs w:val="22"/>
              </w:rPr>
            </w:pPr>
            <w:r w:rsidRPr="00317ABF">
              <w:rPr>
                <w:sz w:val="22"/>
                <w:szCs w:val="22"/>
              </w:rPr>
              <w:t>Przedsiębiorstwa te informują krajowy organ regulacyjny także o każdej zmianie tego zamiaru oraz o ostatecznym wyniku podziału.</w:t>
            </w:r>
          </w:p>
          <w:p w14:paraId="0DAE3DB1" w14:textId="77777777" w:rsidR="001E1112" w:rsidRPr="00317ABF" w:rsidRDefault="001E1112" w:rsidP="00DB3BEC">
            <w:pPr>
              <w:spacing w:before="120"/>
              <w:jc w:val="both"/>
              <w:rPr>
                <w:sz w:val="22"/>
                <w:szCs w:val="22"/>
              </w:rPr>
            </w:pPr>
            <w:r w:rsidRPr="00317ABF">
              <w:rPr>
                <w:sz w:val="22"/>
                <w:szCs w:val="22"/>
              </w:rPr>
              <w:lastRenderedPageBreak/>
              <w:t>Takie przedsiębiorstwa mogą również składać zobowiązania dotyczące warunków dostępu, które mają mieć zastosowanie do ich sieci w okresie wdrożenia po wdrożeniu proponowanej formy podziału, z myślą o zapewnieniu stronom trzecim skutecznego i niedyskryminacyjnego dostępu. Złożone zobowiązania muszą zawierać wystarczająco szczegółowe informacje, w tym na temat harmonogramu wdrożenia i okresu ich obowiązywania, aby umożliwić krajowemu organowi regulacyjnemu wykonywanie swoich zadań zgodnie z ust. 2 niniejszego artykułu. Te zobowiązania mogą obowiązywać dłużej niż przez maksymalny okres przewidziany na przeprowadzenie analizy rynku określony w art. 67 ust. 5.</w:t>
            </w:r>
          </w:p>
        </w:tc>
        <w:tc>
          <w:tcPr>
            <w:tcW w:w="986" w:type="dxa"/>
          </w:tcPr>
          <w:p w14:paraId="28C87D92" w14:textId="7E0CB5A8" w:rsidR="001E1112" w:rsidRPr="00317ABF" w:rsidRDefault="001E1112" w:rsidP="00DB3BEC">
            <w:pPr>
              <w:jc w:val="both"/>
              <w:rPr>
                <w:sz w:val="22"/>
                <w:szCs w:val="22"/>
              </w:rPr>
            </w:pPr>
            <w:r w:rsidRPr="00317ABF">
              <w:rPr>
                <w:sz w:val="22"/>
                <w:szCs w:val="22"/>
              </w:rPr>
              <w:lastRenderedPageBreak/>
              <w:t>T</w:t>
            </w:r>
          </w:p>
        </w:tc>
        <w:tc>
          <w:tcPr>
            <w:tcW w:w="910" w:type="dxa"/>
          </w:tcPr>
          <w:p w14:paraId="322AC4DE" w14:textId="0C0729F9" w:rsidR="001E1112" w:rsidRPr="00317ABF" w:rsidRDefault="001E1112" w:rsidP="00DB3BEC">
            <w:pPr>
              <w:pStyle w:val="Tekstpodstawowy"/>
              <w:rPr>
                <w:b/>
                <w:noProof/>
                <w:sz w:val="22"/>
                <w:szCs w:val="22"/>
              </w:rPr>
            </w:pPr>
            <w:r w:rsidRPr="00317ABF">
              <w:rPr>
                <w:b/>
                <w:noProof/>
                <w:sz w:val="22"/>
                <w:szCs w:val="22"/>
              </w:rPr>
              <w:t>Art. 2</w:t>
            </w:r>
            <w:r w:rsidR="00CD107C" w:rsidRPr="00317ABF">
              <w:rPr>
                <w:b/>
                <w:noProof/>
                <w:sz w:val="22"/>
                <w:szCs w:val="22"/>
              </w:rPr>
              <w:t>29</w:t>
            </w:r>
            <w:r w:rsidRPr="00317ABF">
              <w:rPr>
                <w:b/>
                <w:noProof/>
                <w:sz w:val="22"/>
                <w:szCs w:val="22"/>
              </w:rPr>
              <w:t xml:space="preserve"> ust. 1-3 i 5, art. 2</w:t>
            </w:r>
            <w:r w:rsidR="00CD107C" w:rsidRPr="00317ABF">
              <w:rPr>
                <w:b/>
                <w:noProof/>
                <w:sz w:val="22"/>
                <w:szCs w:val="22"/>
              </w:rPr>
              <w:t>27</w:t>
            </w:r>
            <w:r w:rsidRPr="00317ABF">
              <w:rPr>
                <w:b/>
                <w:noProof/>
                <w:sz w:val="22"/>
                <w:szCs w:val="22"/>
              </w:rPr>
              <w:t xml:space="preserve"> i art. </w:t>
            </w:r>
            <w:r w:rsidR="00CD107C" w:rsidRPr="00317ABF">
              <w:rPr>
                <w:b/>
                <w:noProof/>
                <w:sz w:val="22"/>
                <w:szCs w:val="22"/>
              </w:rPr>
              <w:t>228</w:t>
            </w:r>
          </w:p>
        </w:tc>
        <w:tc>
          <w:tcPr>
            <w:tcW w:w="6814" w:type="dxa"/>
            <w:gridSpan w:val="2"/>
          </w:tcPr>
          <w:p w14:paraId="3F1504F3" w14:textId="77777777" w:rsidR="00CD107C" w:rsidRPr="00317ABF" w:rsidRDefault="00CD107C" w:rsidP="00CD107C">
            <w:pPr>
              <w:pStyle w:val="ARTartustawynprozporzdzenia"/>
              <w:rPr>
                <w:rFonts w:ascii="Times New Roman" w:hAnsi="Times New Roman" w:cs="Times New Roman"/>
                <w:sz w:val="22"/>
                <w:szCs w:val="22"/>
              </w:rPr>
            </w:pPr>
            <w:r w:rsidRPr="00317ABF">
              <w:rPr>
                <w:rFonts w:ascii="Times New Roman" w:hAnsi="Times New Roman" w:cs="Times New Roman"/>
                <w:b/>
                <w:sz w:val="22"/>
                <w:szCs w:val="22"/>
              </w:rPr>
              <w:t>Art. 229</w:t>
            </w:r>
            <w:r w:rsidRPr="00317ABF">
              <w:rPr>
                <w:rFonts w:ascii="Times New Roman" w:hAnsi="Times New Roman" w:cs="Times New Roman"/>
                <w:sz w:val="22"/>
                <w:szCs w:val="22"/>
              </w:rPr>
              <w:t xml:space="preserve"> </w:t>
            </w:r>
            <w:r w:rsidRPr="00317ABF">
              <w:rPr>
                <w:rFonts w:ascii="Times New Roman" w:hAnsi="Times New Roman" w:cs="Times New Roman"/>
                <w:b/>
                <w:sz w:val="22"/>
                <w:szCs w:val="22"/>
              </w:rPr>
              <w:t>ust. 1-3, 5</w:t>
            </w:r>
          </w:p>
          <w:p w14:paraId="71D3011F" w14:textId="53B64C52" w:rsidR="00CD107C" w:rsidRPr="00317ABF" w:rsidRDefault="00CD107C" w:rsidP="00CD107C">
            <w:pPr>
              <w:pStyle w:val="ARTartustawynprozporzdzenia"/>
              <w:ind w:firstLine="0"/>
              <w:rPr>
                <w:rFonts w:ascii="Times New Roman" w:hAnsi="Times New Roman" w:cs="Times New Roman"/>
                <w:sz w:val="22"/>
                <w:szCs w:val="22"/>
              </w:rPr>
            </w:pPr>
            <w:r w:rsidRPr="00317ABF">
              <w:rPr>
                <w:rFonts w:ascii="Times New Roman" w:hAnsi="Times New Roman" w:cs="Times New Roman"/>
                <w:b/>
                <w:sz w:val="22"/>
                <w:szCs w:val="22"/>
              </w:rPr>
              <w:t>Art. 229</w:t>
            </w:r>
            <w:r w:rsidRPr="00317ABF">
              <w:rPr>
                <w:rFonts w:ascii="Times New Roman" w:hAnsi="Times New Roman" w:cs="Times New Roman"/>
                <w:sz w:val="22"/>
                <w:szCs w:val="22"/>
              </w:rPr>
              <w:t>. 1. Przedsiębiorca komunikacji elektronicznej o znaczącej pozycji rynkowej zintegrowany pionowo, w celu zapewnienia wszystkim dostawcom usług świadczącym usługi na rzecz użytkowników końcowych, w tym samemu sobie, możliwości korzystania z równoważnego dostępu telekomunikacyjnego, jest obowiązany zawiadomić Prezesa UKE o planowanym przeniesieniu całości lub znacznej części środków majątkowych lokalnej sieci dostępu na odrębną osobę prawną mającą innego właściciela lub na nowo zawiązany w tym celu podmiot. Zawiadomienia dokonuje się najpóźniej na trzy miesiące przed planowanym przeniesieniem środków majątkowych.</w:t>
            </w:r>
          </w:p>
          <w:p w14:paraId="46DEFEDE" w14:textId="77777777" w:rsidR="00CD107C" w:rsidRPr="00317ABF" w:rsidRDefault="00CD107C" w:rsidP="00CD107C">
            <w:pPr>
              <w:pStyle w:val="ARTartustawynprozporzdzenia"/>
              <w:rPr>
                <w:rFonts w:ascii="Times New Roman" w:hAnsi="Times New Roman" w:cs="Times New Roman"/>
                <w:sz w:val="22"/>
                <w:szCs w:val="22"/>
              </w:rPr>
            </w:pPr>
            <w:r w:rsidRPr="00317ABF">
              <w:rPr>
                <w:rFonts w:ascii="Times New Roman" w:hAnsi="Times New Roman" w:cs="Times New Roman"/>
                <w:sz w:val="22"/>
                <w:szCs w:val="22"/>
              </w:rPr>
              <w:lastRenderedPageBreak/>
              <w:t>2. Przedsiębiorca, o którym mowa w ust. 1, niezwłocznie zawiadamia Prezesa UKE o każdej zmianie planowanego przeniesienia całości lub znacznej części środków majątkowych lokalnej sieci dostępu na odrębną osobę prawną mającą innego właściciela lub na nowo zawiązany w tym celu podmiot.</w:t>
            </w:r>
          </w:p>
          <w:p w14:paraId="73E4672F" w14:textId="77777777" w:rsidR="00CD107C" w:rsidRPr="00317ABF" w:rsidRDefault="00CD107C" w:rsidP="00CD107C">
            <w:pPr>
              <w:pStyle w:val="ARTartustawynprozporzdzenia"/>
              <w:rPr>
                <w:rFonts w:ascii="Times New Roman" w:hAnsi="Times New Roman" w:cs="Times New Roman"/>
                <w:sz w:val="22"/>
                <w:szCs w:val="22"/>
              </w:rPr>
            </w:pPr>
            <w:r w:rsidRPr="00317ABF">
              <w:rPr>
                <w:rFonts w:ascii="Times New Roman" w:hAnsi="Times New Roman" w:cs="Times New Roman"/>
                <w:sz w:val="22"/>
                <w:szCs w:val="22"/>
              </w:rPr>
              <w:t>3. Przedsiębiorca, o którym mowa w ust. 1, może zobowiązać się do stosowania określonych warunków niedyskryminującego dostępu telekomunikacyjnego w okresie po przeniesieniu całości lub znacznej części środków majątkowych lokalnej sieci dostępu na odrębną osobę prawną mającą innego właściciela lub na nowo zawiązany w tym celu podmiot, do czasu zapewnienia możliwości korzystania z równoważnego dostępu telekomunikacyjnego, o którym mowa w ust. 1. Przedsiębiorca określa szczegółowe informacje dotyczące stosowania określonych warunków niedyskryminującego dostępu telekomunikacyjnego, o których mowa w zdaniu pierwszym, w tym dotyczące harmonogramu wdrożenia tych warunków i okresu ich obowiązywania.</w:t>
            </w:r>
          </w:p>
          <w:p w14:paraId="17D190B5" w14:textId="77777777" w:rsidR="00CD107C" w:rsidRPr="00317ABF" w:rsidRDefault="00CD107C" w:rsidP="00CD107C">
            <w:pPr>
              <w:pStyle w:val="ARTartustawynprozporzdzenia"/>
              <w:rPr>
                <w:rFonts w:ascii="Times New Roman" w:hAnsi="Times New Roman" w:cs="Times New Roman"/>
                <w:sz w:val="22"/>
                <w:szCs w:val="22"/>
              </w:rPr>
            </w:pPr>
          </w:p>
          <w:p w14:paraId="5E81A03B" w14:textId="5DA932F7" w:rsidR="00CD107C" w:rsidRPr="00317ABF" w:rsidRDefault="00CD107C" w:rsidP="00CD107C">
            <w:pPr>
              <w:pStyle w:val="ARTartustawynprozporzdzenia"/>
              <w:rPr>
                <w:rFonts w:ascii="Times New Roman" w:hAnsi="Times New Roman" w:cs="Times New Roman"/>
                <w:sz w:val="22"/>
                <w:szCs w:val="22"/>
              </w:rPr>
            </w:pPr>
            <w:r w:rsidRPr="00317ABF">
              <w:rPr>
                <w:rFonts w:ascii="Times New Roman" w:hAnsi="Times New Roman" w:cs="Times New Roman"/>
                <w:sz w:val="22"/>
                <w:szCs w:val="22"/>
              </w:rPr>
              <w:t>5. Przedsiębiorca, o którym mowa w ust. 1, zawiadamia Prezesa UKE o przeniesieniu całości lub znacznej części środków majątkowych lokalnej sieci na odrębną osobę prawną mającą innego właściciela lub na nowo zawiązany w tym celu podmiot.</w:t>
            </w:r>
          </w:p>
          <w:p w14:paraId="73F5D0F8" w14:textId="77777777" w:rsidR="001E1112" w:rsidRPr="00317ABF" w:rsidRDefault="001E1112" w:rsidP="00DB3BEC">
            <w:pPr>
              <w:jc w:val="both"/>
              <w:rPr>
                <w:sz w:val="22"/>
                <w:szCs w:val="22"/>
              </w:rPr>
            </w:pPr>
          </w:p>
          <w:p w14:paraId="534D67EE" w14:textId="7EB92261" w:rsidR="001E1112" w:rsidRPr="00317ABF" w:rsidRDefault="001E1112" w:rsidP="00DB3BEC">
            <w:pPr>
              <w:jc w:val="both"/>
              <w:rPr>
                <w:b/>
                <w:sz w:val="22"/>
                <w:szCs w:val="22"/>
              </w:rPr>
            </w:pPr>
            <w:r w:rsidRPr="00317ABF">
              <w:rPr>
                <w:b/>
                <w:sz w:val="22"/>
                <w:szCs w:val="22"/>
                <w:u w:val="single"/>
              </w:rPr>
              <w:t>Art. 2</w:t>
            </w:r>
            <w:r w:rsidR="00CD107C" w:rsidRPr="00317ABF">
              <w:rPr>
                <w:b/>
                <w:sz w:val="22"/>
                <w:szCs w:val="22"/>
                <w:u w:val="single"/>
              </w:rPr>
              <w:t>27</w:t>
            </w:r>
            <w:r w:rsidRPr="00317ABF">
              <w:rPr>
                <w:b/>
                <w:sz w:val="22"/>
                <w:szCs w:val="22"/>
                <w:u w:val="single"/>
              </w:rPr>
              <w:t xml:space="preserve"> i art. 2</w:t>
            </w:r>
            <w:r w:rsidR="00CD107C" w:rsidRPr="00317ABF">
              <w:rPr>
                <w:b/>
                <w:sz w:val="22"/>
                <w:szCs w:val="22"/>
                <w:u w:val="single"/>
              </w:rPr>
              <w:t>28</w:t>
            </w:r>
            <w:r w:rsidRPr="00317ABF">
              <w:rPr>
                <w:b/>
                <w:sz w:val="22"/>
                <w:szCs w:val="22"/>
              </w:rPr>
              <w:t xml:space="preserve"> [przepisy nie wynikają wprost z EKŁE natomiast stanowią pośrednie wdrożenie art. 77 ust. 1 EKŁE w zakresie formalno-prawnych zagadnień funkcjonowania niezależnie działającej jednostki organizacyjnej]</w:t>
            </w:r>
          </w:p>
          <w:p w14:paraId="5B98F4FE" w14:textId="77777777" w:rsidR="001E1112" w:rsidRPr="00317ABF" w:rsidRDefault="001E1112" w:rsidP="00DB3BEC">
            <w:pPr>
              <w:jc w:val="both"/>
              <w:rPr>
                <w:sz w:val="22"/>
                <w:szCs w:val="22"/>
              </w:rPr>
            </w:pPr>
          </w:p>
          <w:p w14:paraId="166669FF" w14:textId="415EA14C" w:rsidR="00CD107C" w:rsidRPr="00317ABF" w:rsidRDefault="00CD107C" w:rsidP="00CD107C">
            <w:pPr>
              <w:jc w:val="both"/>
              <w:rPr>
                <w:rStyle w:val="normaltextrun"/>
                <w:sz w:val="22"/>
                <w:szCs w:val="22"/>
              </w:rPr>
            </w:pPr>
            <w:r w:rsidRPr="00317ABF">
              <w:rPr>
                <w:rStyle w:val="normaltextrun"/>
                <w:b/>
                <w:sz w:val="22"/>
                <w:szCs w:val="22"/>
              </w:rPr>
              <w:t>Art. 227.</w:t>
            </w:r>
            <w:r w:rsidRPr="00317ABF">
              <w:rPr>
                <w:rStyle w:val="normaltextrun"/>
                <w:sz w:val="22"/>
                <w:szCs w:val="22"/>
              </w:rPr>
              <w:t xml:space="preserve"> Osoba kierująca wydzieloną jednostką organizacyjną nie może jednocześnie świadczyć pracy lub usług u przedsiębiorcy zintegrowanego pionowo, na którego nałożono obowiązek rozdziału funkcjonalnego lub w innej niż wydzielona jednostka organizacyjna jednostce organizacyjnej tego przedsiębiorcy, lub w spółce od niego zależnej, wobec niego dominującej lub z nim powiązanej w rozumieniu ustawy z dnia 15 września 2000 r. - Kodeks spółek handlowych, ani pełnić funkcji w ich organach lub pełnić na rzecz tych podmiotów funkcji doradczych.</w:t>
            </w:r>
          </w:p>
          <w:p w14:paraId="71EEB905" w14:textId="77777777" w:rsidR="001E1112" w:rsidRPr="00317ABF" w:rsidRDefault="001E1112" w:rsidP="00DB3BEC">
            <w:pPr>
              <w:jc w:val="both"/>
              <w:rPr>
                <w:rStyle w:val="normaltextrun"/>
                <w:b/>
                <w:sz w:val="22"/>
                <w:szCs w:val="22"/>
              </w:rPr>
            </w:pPr>
          </w:p>
          <w:p w14:paraId="6E3CDF83" w14:textId="77777777" w:rsidR="001E1112" w:rsidRPr="00317ABF" w:rsidRDefault="001E1112" w:rsidP="00CD107C">
            <w:pPr>
              <w:jc w:val="both"/>
              <w:rPr>
                <w:sz w:val="22"/>
                <w:szCs w:val="22"/>
              </w:rPr>
            </w:pPr>
            <w:r w:rsidRPr="00317ABF">
              <w:rPr>
                <w:rStyle w:val="normaltextrun"/>
                <w:b/>
                <w:sz w:val="22"/>
                <w:szCs w:val="22"/>
              </w:rPr>
              <w:t>Art. 207.</w:t>
            </w:r>
            <w:r w:rsidRPr="00317ABF">
              <w:rPr>
                <w:sz w:val="22"/>
                <w:szCs w:val="22"/>
              </w:rPr>
              <w:t xml:space="preserve"> 1. Do wydzielonej jednostki organizacyjnej, w przypadku gdy nie ma ona formy odrębnej osoby prawnej, w zakresie nieuregulowanym w ustawie stosuje się odpowiednio przepisy o oddziale przedsiębiorcy.</w:t>
            </w:r>
          </w:p>
          <w:p w14:paraId="3057979B" w14:textId="77777777" w:rsidR="001E1112" w:rsidRPr="00317ABF" w:rsidRDefault="001E1112" w:rsidP="00CD107C">
            <w:pPr>
              <w:jc w:val="both"/>
              <w:rPr>
                <w:sz w:val="22"/>
                <w:szCs w:val="22"/>
              </w:rPr>
            </w:pPr>
            <w:r w:rsidRPr="00317ABF">
              <w:rPr>
                <w:rStyle w:val="normaltextrun"/>
                <w:sz w:val="22"/>
                <w:szCs w:val="22"/>
              </w:rPr>
              <w:t>2. Przedsiębiorca zintegrowany pionowo na którego nałożono obowiązek rozdziału funkcjonalnego, obowiązany jest do wyboru nazwy wydzielonej jednostki organizacyjnej, w terminie określonym w decyzji, o której mowa w art. 203 ust. 4. Nazwa handlowa powinna pozwalać na identyfikację tej jednostki jako jednostki wydzielonej od tego przedsiębiorcy i być przez niego używana w obrocie handlowym.</w:t>
            </w:r>
          </w:p>
          <w:p w14:paraId="2B5FE841" w14:textId="77777777" w:rsidR="001E1112" w:rsidRPr="00317ABF" w:rsidRDefault="001E1112" w:rsidP="00CD107C">
            <w:pPr>
              <w:jc w:val="both"/>
              <w:rPr>
                <w:sz w:val="22"/>
                <w:szCs w:val="22"/>
              </w:rPr>
            </w:pPr>
            <w:r w:rsidRPr="00317ABF">
              <w:rPr>
                <w:rStyle w:val="normaltextrun"/>
                <w:sz w:val="22"/>
                <w:szCs w:val="22"/>
              </w:rPr>
              <w:t xml:space="preserve">3. Wydzielona jednostka organizacyjna jest odrębnym pracodawcą w ramach przedsiębiorstwa przedsiębiorcy zintegrowanego pionowo, za którego </w:t>
            </w:r>
            <w:r w:rsidRPr="00317ABF">
              <w:rPr>
                <w:sz w:val="22"/>
                <w:szCs w:val="22"/>
              </w:rPr>
              <w:t>uprawnienia i obowiązki pracodawcy wykonuje osoba lub osoby kierujące wydzieloną jednostką organizacyjną.</w:t>
            </w:r>
          </w:p>
          <w:p w14:paraId="3E458DCD" w14:textId="25C934C0" w:rsidR="001E1112" w:rsidRPr="00317ABF" w:rsidRDefault="001E1112" w:rsidP="00DB3BEC">
            <w:pPr>
              <w:pStyle w:val="USTustnpkodeksu"/>
              <w:spacing w:line="240" w:lineRule="auto"/>
              <w:rPr>
                <w:rFonts w:ascii="Times New Roman" w:hAnsi="Times New Roman" w:cs="Times New Roman"/>
                <w:sz w:val="22"/>
                <w:szCs w:val="22"/>
              </w:rPr>
            </w:pPr>
            <w:r w:rsidRPr="00317ABF">
              <w:rPr>
                <w:rStyle w:val="normaltextrun"/>
                <w:sz w:val="22"/>
                <w:szCs w:val="22"/>
              </w:rPr>
              <w:t>4. Osoba lub osoby kierujące wydzieloną jednostką organizacyjną uprawnione są do reprezentowania jej na zewnątrz na zasadach prokury oddziałowej.</w:t>
            </w:r>
          </w:p>
        </w:tc>
      </w:tr>
      <w:tr w:rsidR="001E1112" w:rsidRPr="00317ABF" w14:paraId="7CA15A70" w14:textId="77777777" w:rsidTr="7753F98D">
        <w:trPr>
          <w:gridAfter w:val="2"/>
          <w:wAfter w:w="175" w:type="dxa"/>
        </w:trPr>
        <w:tc>
          <w:tcPr>
            <w:tcW w:w="704" w:type="dxa"/>
          </w:tcPr>
          <w:p w14:paraId="474E8483" w14:textId="77777777" w:rsidR="001E1112" w:rsidRPr="00317ABF" w:rsidRDefault="001E1112" w:rsidP="00DB3BEC">
            <w:pPr>
              <w:jc w:val="both"/>
              <w:rPr>
                <w:sz w:val="22"/>
                <w:szCs w:val="22"/>
              </w:rPr>
            </w:pPr>
            <w:r w:rsidRPr="00317ABF">
              <w:rPr>
                <w:sz w:val="22"/>
                <w:szCs w:val="22"/>
              </w:rPr>
              <w:lastRenderedPageBreak/>
              <w:t>Art. 78 ust. 2</w:t>
            </w:r>
          </w:p>
        </w:tc>
        <w:tc>
          <w:tcPr>
            <w:tcW w:w="4308" w:type="dxa"/>
          </w:tcPr>
          <w:p w14:paraId="3CE978E7" w14:textId="77777777" w:rsidR="001E1112" w:rsidRPr="00317ABF" w:rsidRDefault="001E1112" w:rsidP="00DB3BEC">
            <w:pPr>
              <w:spacing w:before="120"/>
              <w:jc w:val="both"/>
              <w:rPr>
                <w:sz w:val="22"/>
                <w:szCs w:val="22"/>
              </w:rPr>
            </w:pPr>
            <w:r w:rsidRPr="00317ABF">
              <w:rPr>
                <w:sz w:val="22"/>
                <w:szCs w:val="22"/>
              </w:rPr>
              <w:t>2.   Krajowy organ regulacyjny ocenia wpływ planowanej transakcji w tym, w stosownych przypadkach, złożonych zobowiązań na istniejące obowiązki regulacyjne wynikające z niniejszej dyrektywy.</w:t>
            </w:r>
          </w:p>
          <w:p w14:paraId="61E21EAA" w14:textId="77777777" w:rsidR="001E1112" w:rsidRPr="00317ABF" w:rsidRDefault="001E1112" w:rsidP="00DB3BEC">
            <w:pPr>
              <w:spacing w:before="120"/>
              <w:jc w:val="both"/>
              <w:rPr>
                <w:sz w:val="22"/>
                <w:szCs w:val="22"/>
              </w:rPr>
            </w:pPr>
            <w:r w:rsidRPr="00317ABF">
              <w:rPr>
                <w:sz w:val="22"/>
                <w:szCs w:val="22"/>
              </w:rPr>
              <w:t>W tym celu krajowy organ regulacyjny przeprowadza analizę różnych rynków związaną z siecią dostępu zgodnie z procedurą określoną w art. 67.</w:t>
            </w:r>
          </w:p>
          <w:p w14:paraId="06548210" w14:textId="77777777" w:rsidR="001E1112" w:rsidRPr="00317ABF" w:rsidRDefault="001E1112" w:rsidP="00DB3BEC">
            <w:pPr>
              <w:spacing w:before="120"/>
              <w:jc w:val="both"/>
              <w:rPr>
                <w:sz w:val="22"/>
                <w:szCs w:val="22"/>
              </w:rPr>
            </w:pPr>
            <w:r w:rsidRPr="00317ABF">
              <w:rPr>
                <w:sz w:val="22"/>
                <w:szCs w:val="22"/>
              </w:rPr>
              <w:t xml:space="preserve">Krajowy organ regulacyjny bierze pod uwagę wszelkie zobowiązania złożone przez </w:t>
            </w:r>
            <w:r w:rsidRPr="00317ABF">
              <w:rPr>
                <w:sz w:val="22"/>
                <w:szCs w:val="22"/>
              </w:rPr>
              <w:lastRenderedPageBreak/>
              <w:t>przedsiębiorstwo, ze szczególnym uwzględnieniem celów określonych w art. 3. W tym celu krajowy organ regulacyjny przeprowadza konsultacje ze stronami trzecimi zgodnie z art. 23 oraz zwraca się w szczególności. do tych stron trzecich, których bezpośrednio dotyczy planowana transakcja.</w:t>
            </w:r>
          </w:p>
          <w:p w14:paraId="7DF99BEE" w14:textId="77777777" w:rsidR="001E1112" w:rsidRPr="00317ABF" w:rsidRDefault="001E1112" w:rsidP="00DB3BEC">
            <w:pPr>
              <w:spacing w:before="120"/>
              <w:jc w:val="both"/>
              <w:rPr>
                <w:sz w:val="22"/>
                <w:szCs w:val="22"/>
              </w:rPr>
            </w:pPr>
            <w:r w:rsidRPr="00317ABF">
              <w:rPr>
                <w:sz w:val="22"/>
                <w:szCs w:val="22"/>
              </w:rPr>
              <w:t>Na podstawie swojej analizy krajowy organ regulacyjny nakłada, utrzymuje, zmienia lub uchyla obowiązki zgodnie z procedurami określonymi w art. 23 i 32, stosując, w odpowiednim przypadku, art. 80. W swojej decyzji krajowy organ regulacyjny może uczynić zobowiązania wiążącymi w całości lub w części. Na zasadzie odstępstwa od art. 67 ust. 5 krajowy organ regulacyjny może uczynić zobowiązania wiążącymi w całości lub w części przez cały okres, na który je złożono.</w:t>
            </w:r>
          </w:p>
        </w:tc>
        <w:tc>
          <w:tcPr>
            <w:tcW w:w="986" w:type="dxa"/>
          </w:tcPr>
          <w:p w14:paraId="3BEA70FC" w14:textId="4C0AFC7C" w:rsidR="001E1112" w:rsidRPr="00317ABF" w:rsidRDefault="001E1112" w:rsidP="00DB3BEC">
            <w:pPr>
              <w:jc w:val="both"/>
              <w:rPr>
                <w:sz w:val="22"/>
                <w:szCs w:val="22"/>
              </w:rPr>
            </w:pPr>
            <w:r w:rsidRPr="00317ABF">
              <w:rPr>
                <w:sz w:val="22"/>
                <w:szCs w:val="22"/>
              </w:rPr>
              <w:lastRenderedPageBreak/>
              <w:t>T</w:t>
            </w:r>
          </w:p>
        </w:tc>
        <w:tc>
          <w:tcPr>
            <w:tcW w:w="910" w:type="dxa"/>
          </w:tcPr>
          <w:p w14:paraId="7321CEEA" w14:textId="795CE003" w:rsidR="001E1112" w:rsidRPr="00317ABF" w:rsidRDefault="001E1112" w:rsidP="00DB3BEC">
            <w:pPr>
              <w:pStyle w:val="Tekstpodstawowy"/>
              <w:rPr>
                <w:b/>
                <w:noProof/>
                <w:sz w:val="22"/>
                <w:szCs w:val="22"/>
              </w:rPr>
            </w:pPr>
            <w:r w:rsidRPr="00317ABF">
              <w:rPr>
                <w:b/>
                <w:noProof/>
                <w:sz w:val="22"/>
                <w:szCs w:val="22"/>
              </w:rPr>
              <w:t>Art. 2</w:t>
            </w:r>
            <w:r w:rsidR="0083124C" w:rsidRPr="00317ABF">
              <w:rPr>
                <w:b/>
                <w:noProof/>
                <w:sz w:val="22"/>
                <w:szCs w:val="22"/>
              </w:rPr>
              <w:t>29</w:t>
            </w:r>
            <w:r w:rsidRPr="00317ABF">
              <w:rPr>
                <w:b/>
                <w:noProof/>
                <w:sz w:val="22"/>
                <w:szCs w:val="22"/>
              </w:rPr>
              <w:t xml:space="preserve"> ust. 4 i 6</w:t>
            </w:r>
          </w:p>
        </w:tc>
        <w:tc>
          <w:tcPr>
            <w:tcW w:w="6814" w:type="dxa"/>
            <w:gridSpan w:val="2"/>
          </w:tcPr>
          <w:p w14:paraId="776772A0" w14:textId="4B163F63" w:rsidR="001E1112" w:rsidRPr="00317ABF" w:rsidRDefault="001E1112" w:rsidP="00DB3BEC">
            <w:pPr>
              <w:pStyle w:val="USTustnpkodeksu"/>
              <w:spacing w:line="240" w:lineRule="auto"/>
              <w:ind w:firstLine="0"/>
              <w:rPr>
                <w:rFonts w:ascii="Times New Roman" w:hAnsi="Times New Roman" w:cs="Times New Roman"/>
                <w:b/>
                <w:sz w:val="22"/>
                <w:szCs w:val="22"/>
              </w:rPr>
            </w:pPr>
            <w:r w:rsidRPr="00317ABF">
              <w:rPr>
                <w:rFonts w:ascii="Times New Roman" w:hAnsi="Times New Roman" w:cs="Times New Roman"/>
                <w:b/>
                <w:sz w:val="22"/>
                <w:szCs w:val="22"/>
              </w:rPr>
              <w:t>Art. 2</w:t>
            </w:r>
            <w:r w:rsidR="0083124C" w:rsidRPr="00317ABF">
              <w:rPr>
                <w:rFonts w:ascii="Times New Roman" w:hAnsi="Times New Roman" w:cs="Times New Roman"/>
                <w:b/>
                <w:sz w:val="22"/>
                <w:szCs w:val="22"/>
              </w:rPr>
              <w:t>29</w:t>
            </w:r>
            <w:r w:rsidRPr="00317ABF">
              <w:rPr>
                <w:rFonts w:ascii="Times New Roman" w:hAnsi="Times New Roman" w:cs="Times New Roman"/>
                <w:b/>
                <w:sz w:val="22"/>
                <w:szCs w:val="22"/>
              </w:rPr>
              <w:t xml:space="preserve"> ust. 4</w:t>
            </w:r>
            <w:r w:rsidR="0083124C" w:rsidRPr="00317ABF">
              <w:rPr>
                <w:rFonts w:ascii="Times New Roman" w:hAnsi="Times New Roman" w:cs="Times New Roman"/>
                <w:b/>
                <w:sz w:val="22"/>
                <w:szCs w:val="22"/>
              </w:rPr>
              <w:t xml:space="preserve"> i 6</w:t>
            </w:r>
          </w:p>
          <w:p w14:paraId="1E8304D2" w14:textId="77777777" w:rsidR="001E1112" w:rsidRPr="00317ABF" w:rsidRDefault="001E1112" w:rsidP="00DB3BEC">
            <w:pPr>
              <w:pStyle w:val="USTustnpkodeksu"/>
              <w:spacing w:line="240" w:lineRule="auto"/>
              <w:rPr>
                <w:rFonts w:ascii="Times New Roman" w:hAnsi="Times New Roman" w:cs="Times New Roman"/>
                <w:sz w:val="22"/>
                <w:szCs w:val="22"/>
              </w:rPr>
            </w:pPr>
          </w:p>
          <w:p w14:paraId="39FFA2DF" w14:textId="77777777" w:rsidR="0083124C" w:rsidRPr="00317ABF" w:rsidRDefault="0083124C" w:rsidP="0083124C">
            <w:pPr>
              <w:pStyle w:val="USTustnpkodeksu"/>
              <w:spacing w:line="240" w:lineRule="auto"/>
              <w:rPr>
                <w:rFonts w:ascii="Times New Roman" w:hAnsi="Times New Roman" w:cs="Times New Roman"/>
                <w:sz w:val="22"/>
                <w:szCs w:val="22"/>
              </w:rPr>
            </w:pPr>
            <w:r w:rsidRPr="00317ABF">
              <w:rPr>
                <w:rFonts w:ascii="Times New Roman" w:hAnsi="Times New Roman" w:cs="Times New Roman"/>
                <w:sz w:val="22"/>
                <w:szCs w:val="22"/>
              </w:rPr>
              <w:t>4. Prezes UKE przeprowadza skoordynowaną analizę rynków właściwych związanych z siecią dostępu, w celu określenia wpływu działań, o których mowa w ust. 1, na te rynki i zawiadamia przedsiębiorcę, o którym mowa w ust. 1, o jej zakończeniu, nie później niż w dniu poprzedzającym dzień planowanego przeniesienia całości lub znacznej części środków majątkowych lokalnej sieci dostępu na odrębną osobę prawną mającą innego właściciela lub na nowo zawiązany w tym celu podmiot.</w:t>
            </w:r>
          </w:p>
          <w:p w14:paraId="6DE4C5C1" w14:textId="77777777" w:rsidR="001E1112" w:rsidRPr="00317ABF" w:rsidRDefault="001E1112" w:rsidP="00DB3BEC">
            <w:pPr>
              <w:jc w:val="both"/>
              <w:rPr>
                <w:sz w:val="22"/>
                <w:szCs w:val="22"/>
              </w:rPr>
            </w:pPr>
          </w:p>
          <w:p w14:paraId="14F16693" w14:textId="0566B69C" w:rsidR="001E1112" w:rsidRPr="00317ABF" w:rsidRDefault="001E1112" w:rsidP="00DB3BEC">
            <w:pPr>
              <w:jc w:val="both"/>
              <w:rPr>
                <w:sz w:val="22"/>
                <w:szCs w:val="22"/>
              </w:rPr>
            </w:pPr>
            <w:r w:rsidRPr="00317ABF">
              <w:rPr>
                <w:sz w:val="22"/>
                <w:szCs w:val="22"/>
              </w:rPr>
              <w:t xml:space="preserve">6. Prezes UKE po otrzymaniu zawiadomienia, o którym mowa w ust. 5, w oparciu o wyniki analizy, o której mowa w ust. 4, przeprowadza postępowanie, o którym mowa w art. </w:t>
            </w:r>
            <w:r w:rsidR="0083124C" w:rsidRPr="00317ABF">
              <w:rPr>
                <w:sz w:val="22"/>
                <w:szCs w:val="22"/>
              </w:rPr>
              <w:t>199 ust. 1</w:t>
            </w:r>
            <w:r w:rsidRPr="00317ABF">
              <w:rPr>
                <w:sz w:val="22"/>
                <w:szCs w:val="22"/>
              </w:rPr>
              <w:t xml:space="preserve">, i nakłada, utrzymuje, </w:t>
            </w:r>
            <w:r w:rsidRPr="00317ABF">
              <w:rPr>
                <w:sz w:val="22"/>
                <w:szCs w:val="22"/>
              </w:rPr>
              <w:lastRenderedPageBreak/>
              <w:t>zmienia lub uchyla obowiązki regulacyjne. Prezes UKE może zobowiązać przedsiębiorcę, o którym mowa w ust. 1, do stosowania całości lub części określonych warunków niedyskryminującego dostępu</w:t>
            </w:r>
            <w:r w:rsidR="0083124C" w:rsidRPr="00317ABF">
              <w:rPr>
                <w:sz w:val="22"/>
                <w:szCs w:val="22"/>
              </w:rPr>
              <w:t xml:space="preserve"> telekomunikacyjnego</w:t>
            </w:r>
            <w:r w:rsidRPr="00317ABF">
              <w:rPr>
                <w:sz w:val="22"/>
                <w:szCs w:val="22"/>
              </w:rPr>
              <w:t>, o których mowa w ust. 3.</w:t>
            </w:r>
          </w:p>
        </w:tc>
      </w:tr>
      <w:tr w:rsidR="001E1112" w:rsidRPr="00317ABF" w14:paraId="2F207407" w14:textId="77777777" w:rsidTr="7753F98D">
        <w:trPr>
          <w:gridAfter w:val="2"/>
          <w:wAfter w:w="175" w:type="dxa"/>
        </w:trPr>
        <w:tc>
          <w:tcPr>
            <w:tcW w:w="704" w:type="dxa"/>
          </w:tcPr>
          <w:p w14:paraId="5065E2A4" w14:textId="77777777" w:rsidR="001E1112" w:rsidRPr="00317ABF" w:rsidRDefault="001E1112" w:rsidP="00DB3BEC">
            <w:pPr>
              <w:jc w:val="both"/>
              <w:rPr>
                <w:sz w:val="22"/>
                <w:szCs w:val="22"/>
              </w:rPr>
            </w:pPr>
            <w:r w:rsidRPr="00317ABF">
              <w:rPr>
                <w:sz w:val="22"/>
                <w:szCs w:val="22"/>
              </w:rPr>
              <w:lastRenderedPageBreak/>
              <w:t>Art. 78 ust. 3</w:t>
            </w:r>
          </w:p>
        </w:tc>
        <w:tc>
          <w:tcPr>
            <w:tcW w:w="4308" w:type="dxa"/>
          </w:tcPr>
          <w:p w14:paraId="378E6B45" w14:textId="77777777" w:rsidR="001E1112" w:rsidRPr="00317ABF" w:rsidRDefault="001E1112" w:rsidP="00DB3BEC">
            <w:pPr>
              <w:spacing w:before="120"/>
              <w:jc w:val="both"/>
              <w:rPr>
                <w:sz w:val="22"/>
                <w:szCs w:val="22"/>
              </w:rPr>
            </w:pPr>
            <w:r w:rsidRPr="00317ABF">
              <w:rPr>
                <w:sz w:val="22"/>
                <w:szCs w:val="22"/>
              </w:rPr>
              <w:t>3.   Nie naruszając art. 80, prawnie lub operacyjnie wyodrębniona jednostka, która została wyznaczona jako posiadająca znaczącą pozycję rynkową w odniesieniu do określonych rynków zgodnie z art. 67 może podlegać, stosownie do przypadku, każdemu z obowiązków, o których mowa w art. 69–74, lub każdemu innemu obowiązkowi zatwierdzonemu przez Komisję zgodnie z art. 68 ust. 3, w przypadku gdy złożone zobowiązania są niewystarczające, aby osiągnąć cele określone w art. 3.</w:t>
            </w:r>
          </w:p>
        </w:tc>
        <w:tc>
          <w:tcPr>
            <w:tcW w:w="986" w:type="dxa"/>
          </w:tcPr>
          <w:p w14:paraId="6A563D35" w14:textId="2458303C" w:rsidR="001E1112" w:rsidRPr="00317ABF" w:rsidRDefault="001E1112" w:rsidP="00DB3BEC">
            <w:pPr>
              <w:jc w:val="both"/>
              <w:rPr>
                <w:sz w:val="22"/>
                <w:szCs w:val="22"/>
              </w:rPr>
            </w:pPr>
            <w:r w:rsidRPr="00317ABF">
              <w:rPr>
                <w:sz w:val="22"/>
                <w:szCs w:val="22"/>
              </w:rPr>
              <w:t>T</w:t>
            </w:r>
          </w:p>
        </w:tc>
        <w:tc>
          <w:tcPr>
            <w:tcW w:w="910" w:type="dxa"/>
          </w:tcPr>
          <w:p w14:paraId="624B639B" w14:textId="4DCED333" w:rsidR="001E1112" w:rsidRPr="00317ABF" w:rsidRDefault="001E1112" w:rsidP="00DB3BEC">
            <w:pPr>
              <w:pStyle w:val="Tekstpodstawowy"/>
              <w:rPr>
                <w:b/>
                <w:noProof/>
                <w:sz w:val="22"/>
                <w:szCs w:val="22"/>
              </w:rPr>
            </w:pPr>
            <w:r w:rsidRPr="00317ABF">
              <w:rPr>
                <w:b/>
                <w:noProof/>
                <w:sz w:val="22"/>
                <w:szCs w:val="22"/>
              </w:rPr>
              <w:t>Art. 2</w:t>
            </w:r>
            <w:r w:rsidR="0083124C" w:rsidRPr="00317ABF">
              <w:rPr>
                <w:b/>
                <w:noProof/>
                <w:sz w:val="22"/>
                <w:szCs w:val="22"/>
              </w:rPr>
              <w:t>29</w:t>
            </w:r>
            <w:r w:rsidRPr="00317ABF">
              <w:rPr>
                <w:b/>
                <w:noProof/>
                <w:sz w:val="22"/>
                <w:szCs w:val="22"/>
              </w:rPr>
              <w:t xml:space="preserve"> ust. 7</w:t>
            </w:r>
          </w:p>
        </w:tc>
        <w:tc>
          <w:tcPr>
            <w:tcW w:w="6814" w:type="dxa"/>
            <w:gridSpan w:val="2"/>
          </w:tcPr>
          <w:p w14:paraId="343FC123" w14:textId="305790BF" w:rsidR="001E1112" w:rsidRPr="00317ABF" w:rsidRDefault="001E1112" w:rsidP="00DB3BEC">
            <w:pPr>
              <w:pStyle w:val="USTustnpkodeksu"/>
              <w:spacing w:line="240" w:lineRule="auto"/>
              <w:ind w:firstLine="0"/>
              <w:rPr>
                <w:rFonts w:ascii="Times New Roman" w:hAnsi="Times New Roman" w:cs="Times New Roman"/>
                <w:b/>
                <w:sz w:val="22"/>
                <w:szCs w:val="22"/>
              </w:rPr>
            </w:pPr>
            <w:r w:rsidRPr="00317ABF">
              <w:rPr>
                <w:rFonts w:ascii="Times New Roman" w:hAnsi="Times New Roman" w:cs="Times New Roman"/>
                <w:b/>
                <w:sz w:val="22"/>
                <w:szCs w:val="22"/>
              </w:rPr>
              <w:t>Art. 2</w:t>
            </w:r>
            <w:r w:rsidR="0083124C" w:rsidRPr="00317ABF">
              <w:rPr>
                <w:rFonts w:ascii="Times New Roman" w:hAnsi="Times New Roman" w:cs="Times New Roman"/>
                <w:b/>
                <w:sz w:val="22"/>
                <w:szCs w:val="22"/>
              </w:rPr>
              <w:t>29</w:t>
            </w:r>
            <w:r w:rsidRPr="00317ABF">
              <w:rPr>
                <w:rFonts w:ascii="Times New Roman" w:hAnsi="Times New Roman" w:cs="Times New Roman"/>
                <w:b/>
                <w:sz w:val="22"/>
                <w:szCs w:val="22"/>
              </w:rPr>
              <w:t xml:space="preserve"> ust. 7</w:t>
            </w:r>
          </w:p>
          <w:p w14:paraId="12891782" w14:textId="77777777" w:rsidR="0083124C" w:rsidRPr="00317ABF" w:rsidRDefault="0083124C" w:rsidP="00DB3BEC">
            <w:pPr>
              <w:pStyle w:val="USTustnpkodeksu"/>
              <w:spacing w:line="240" w:lineRule="auto"/>
              <w:ind w:firstLine="0"/>
              <w:rPr>
                <w:rFonts w:ascii="Times New Roman" w:hAnsi="Times New Roman" w:cs="Times New Roman"/>
                <w:sz w:val="22"/>
                <w:szCs w:val="22"/>
              </w:rPr>
            </w:pPr>
          </w:p>
          <w:p w14:paraId="362C6E70" w14:textId="6F409543" w:rsidR="001E1112" w:rsidRPr="00317ABF" w:rsidRDefault="001E1112" w:rsidP="00DB3BEC">
            <w:pPr>
              <w:jc w:val="both"/>
              <w:rPr>
                <w:sz w:val="22"/>
                <w:szCs w:val="22"/>
              </w:rPr>
            </w:pPr>
            <w:r w:rsidRPr="00317ABF">
              <w:rPr>
                <w:sz w:val="22"/>
                <w:szCs w:val="22"/>
              </w:rPr>
              <w:t>7. Odrębna osoba prawna lub nowo zawiązany podmiot, o których mowa w ust. 1, może podlegać obowiązkom regulacyjnym w zakresie dostępu</w:t>
            </w:r>
            <w:r w:rsidR="0083124C" w:rsidRPr="00317ABF">
              <w:rPr>
                <w:bCs/>
                <w:sz w:val="22"/>
                <w:szCs w:val="22"/>
              </w:rPr>
              <w:t xml:space="preserve"> telekomunikacyjnego</w:t>
            </w:r>
            <w:r w:rsidRPr="00317ABF">
              <w:rPr>
                <w:sz w:val="22"/>
                <w:szCs w:val="22"/>
              </w:rPr>
              <w:t xml:space="preserve">, o których mowa w </w:t>
            </w:r>
            <w:r w:rsidRPr="00317ABF">
              <w:rPr>
                <w:rFonts w:eastAsia="Calibri"/>
                <w:sz w:val="22"/>
                <w:szCs w:val="22"/>
              </w:rPr>
              <w:t xml:space="preserve">art. </w:t>
            </w:r>
            <w:r w:rsidR="0083124C" w:rsidRPr="00317ABF">
              <w:rPr>
                <w:bCs/>
                <w:sz w:val="22"/>
                <w:szCs w:val="22"/>
              </w:rPr>
              <w:t>210</w:t>
            </w:r>
            <w:r w:rsidRPr="00317ABF">
              <w:rPr>
                <w:rFonts w:eastAsia="Calibri"/>
                <w:sz w:val="22"/>
                <w:szCs w:val="22"/>
              </w:rPr>
              <w:t xml:space="preserve">, </w:t>
            </w:r>
            <w:r w:rsidRPr="00317ABF">
              <w:rPr>
                <w:sz w:val="22"/>
                <w:szCs w:val="22"/>
              </w:rPr>
              <w:t xml:space="preserve">art. </w:t>
            </w:r>
            <w:r w:rsidR="0083124C" w:rsidRPr="00317ABF">
              <w:rPr>
                <w:bCs/>
                <w:sz w:val="22"/>
                <w:szCs w:val="22"/>
              </w:rPr>
              <w:t>211</w:t>
            </w:r>
            <w:r w:rsidRPr="00317ABF">
              <w:rPr>
                <w:sz w:val="22"/>
                <w:szCs w:val="22"/>
              </w:rPr>
              <w:t xml:space="preserve">, art. </w:t>
            </w:r>
            <w:r w:rsidR="0083124C" w:rsidRPr="00317ABF">
              <w:rPr>
                <w:bCs/>
                <w:sz w:val="22"/>
                <w:szCs w:val="22"/>
              </w:rPr>
              <w:t>213-215</w:t>
            </w:r>
            <w:r w:rsidRPr="00317ABF">
              <w:rPr>
                <w:sz w:val="22"/>
                <w:szCs w:val="22"/>
              </w:rPr>
              <w:t xml:space="preserve">, art. </w:t>
            </w:r>
            <w:r w:rsidR="0083124C" w:rsidRPr="00317ABF">
              <w:rPr>
                <w:bCs/>
                <w:sz w:val="22"/>
                <w:szCs w:val="22"/>
              </w:rPr>
              <w:t>216 ust. 1, art. 220</w:t>
            </w:r>
            <w:r w:rsidRPr="00317ABF">
              <w:rPr>
                <w:sz w:val="22"/>
                <w:szCs w:val="22"/>
              </w:rPr>
              <w:t xml:space="preserve"> i art. </w:t>
            </w:r>
            <w:r w:rsidR="0083124C" w:rsidRPr="00317ABF">
              <w:rPr>
                <w:bCs/>
                <w:sz w:val="22"/>
                <w:szCs w:val="22"/>
              </w:rPr>
              <w:t>222</w:t>
            </w:r>
            <w:r w:rsidRPr="00317ABF">
              <w:rPr>
                <w:sz w:val="22"/>
                <w:szCs w:val="22"/>
              </w:rPr>
              <w:t xml:space="preserve"> w odniesieniu do rynku, na którym jej lub jego pozycję uznano za znaczącą.</w:t>
            </w:r>
          </w:p>
        </w:tc>
      </w:tr>
      <w:tr w:rsidR="001E1112" w:rsidRPr="00317ABF" w14:paraId="7913986A" w14:textId="77777777" w:rsidTr="7753F98D">
        <w:trPr>
          <w:gridAfter w:val="2"/>
          <w:wAfter w:w="175" w:type="dxa"/>
        </w:trPr>
        <w:tc>
          <w:tcPr>
            <w:tcW w:w="704" w:type="dxa"/>
          </w:tcPr>
          <w:p w14:paraId="206D008D" w14:textId="77777777" w:rsidR="001E1112" w:rsidRPr="00317ABF" w:rsidRDefault="001E1112" w:rsidP="00DB3BEC">
            <w:pPr>
              <w:jc w:val="both"/>
              <w:rPr>
                <w:sz w:val="22"/>
                <w:szCs w:val="22"/>
              </w:rPr>
            </w:pPr>
            <w:r w:rsidRPr="00317ABF">
              <w:rPr>
                <w:sz w:val="22"/>
                <w:szCs w:val="22"/>
              </w:rPr>
              <w:t>Art. 78 ust. 4</w:t>
            </w:r>
          </w:p>
        </w:tc>
        <w:tc>
          <w:tcPr>
            <w:tcW w:w="4308" w:type="dxa"/>
          </w:tcPr>
          <w:p w14:paraId="6298C7FC" w14:textId="77777777" w:rsidR="001E1112" w:rsidRPr="00317ABF" w:rsidRDefault="001E1112" w:rsidP="00DB3BEC">
            <w:pPr>
              <w:spacing w:before="120"/>
              <w:jc w:val="both"/>
              <w:rPr>
                <w:sz w:val="22"/>
                <w:szCs w:val="22"/>
              </w:rPr>
            </w:pPr>
            <w:r w:rsidRPr="00317ABF">
              <w:rPr>
                <w:sz w:val="22"/>
                <w:szCs w:val="22"/>
              </w:rPr>
              <w:t xml:space="preserve">4.   Krajowy organ regulacyjny monitoruje wykonanie zobowiązań złożonych przez przedsiębiorstwa, którym nadał wiążący charakter zgodnie z ust. 2, i rozważa przedłużenie okresu ich obowiązywania </w:t>
            </w:r>
            <w:r w:rsidRPr="00317ABF">
              <w:rPr>
                <w:sz w:val="22"/>
                <w:szCs w:val="22"/>
              </w:rPr>
              <w:lastRenderedPageBreak/>
              <w:t>w przypadku upływu okresu, na jaki je pierwotnie złożono.</w:t>
            </w:r>
          </w:p>
        </w:tc>
        <w:tc>
          <w:tcPr>
            <w:tcW w:w="986" w:type="dxa"/>
          </w:tcPr>
          <w:p w14:paraId="4EB0611E" w14:textId="2ECA711E" w:rsidR="001E1112" w:rsidRPr="00317ABF" w:rsidRDefault="001E1112" w:rsidP="00DB3BEC">
            <w:pPr>
              <w:jc w:val="both"/>
              <w:rPr>
                <w:sz w:val="22"/>
                <w:szCs w:val="22"/>
              </w:rPr>
            </w:pPr>
            <w:r w:rsidRPr="00317ABF">
              <w:rPr>
                <w:sz w:val="22"/>
                <w:szCs w:val="22"/>
              </w:rPr>
              <w:lastRenderedPageBreak/>
              <w:t>T</w:t>
            </w:r>
          </w:p>
        </w:tc>
        <w:tc>
          <w:tcPr>
            <w:tcW w:w="910" w:type="dxa"/>
          </w:tcPr>
          <w:p w14:paraId="59F86EE2" w14:textId="21EA1D1E" w:rsidR="001E1112" w:rsidRPr="00317ABF" w:rsidRDefault="001E1112" w:rsidP="00DB3BEC">
            <w:pPr>
              <w:pStyle w:val="Tekstpodstawowy"/>
              <w:rPr>
                <w:b/>
                <w:noProof/>
                <w:sz w:val="22"/>
                <w:szCs w:val="22"/>
              </w:rPr>
            </w:pPr>
            <w:r w:rsidRPr="00317ABF">
              <w:rPr>
                <w:b/>
                <w:noProof/>
                <w:sz w:val="22"/>
                <w:szCs w:val="22"/>
              </w:rPr>
              <w:t xml:space="preserve">Art. </w:t>
            </w:r>
            <w:r w:rsidR="0083124C" w:rsidRPr="00317ABF">
              <w:rPr>
                <w:b/>
                <w:noProof/>
                <w:sz w:val="22"/>
                <w:szCs w:val="22"/>
              </w:rPr>
              <w:t>229</w:t>
            </w:r>
            <w:r w:rsidRPr="00317ABF">
              <w:rPr>
                <w:b/>
                <w:noProof/>
                <w:sz w:val="22"/>
                <w:szCs w:val="22"/>
              </w:rPr>
              <w:t xml:space="preserve"> ust. 8</w:t>
            </w:r>
          </w:p>
        </w:tc>
        <w:tc>
          <w:tcPr>
            <w:tcW w:w="6814" w:type="dxa"/>
            <w:gridSpan w:val="2"/>
          </w:tcPr>
          <w:p w14:paraId="4D30D124" w14:textId="77777777" w:rsidR="0083124C" w:rsidRPr="00317ABF" w:rsidRDefault="0083124C" w:rsidP="00DB3BEC">
            <w:pPr>
              <w:jc w:val="both"/>
              <w:rPr>
                <w:b/>
                <w:sz w:val="22"/>
                <w:szCs w:val="22"/>
              </w:rPr>
            </w:pPr>
            <w:r w:rsidRPr="00317ABF">
              <w:rPr>
                <w:b/>
                <w:sz w:val="22"/>
                <w:szCs w:val="22"/>
              </w:rPr>
              <w:t xml:space="preserve">Art. 229 ust. </w:t>
            </w:r>
            <w:r w:rsidR="001E1112" w:rsidRPr="00317ABF">
              <w:rPr>
                <w:b/>
                <w:sz w:val="22"/>
                <w:szCs w:val="22"/>
              </w:rPr>
              <w:t>8</w:t>
            </w:r>
          </w:p>
          <w:p w14:paraId="3D2F4AD1" w14:textId="77777777" w:rsidR="0083124C" w:rsidRPr="00317ABF" w:rsidRDefault="0083124C" w:rsidP="00DB3BEC">
            <w:pPr>
              <w:jc w:val="both"/>
              <w:rPr>
                <w:sz w:val="22"/>
                <w:szCs w:val="22"/>
              </w:rPr>
            </w:pPr>
          </w:p>
          <w:p w14:paraId="5F1B6497" w14:textId="5E786E6A" w:rsidR="001E1112" w:rsidRPr="00317ABF" w:rsidRDefault="0083124C" w:rsidP="00DB3BEC">
            <w:pPr>
              <w:jc w:val="both"/>
              <w:rPr>
                <w:sz w:val="22"/>
                <w:szCs w:val="22"/>
              </w:rPr>
            </w:pPr>
            <w:r w:rsidRPr="00317ABF">
              <w:rPr>
                <w:sz w:val="22"/>
                <w:szCs w:val="22"/>
              </w:rPr>
              <w:t>8</w:t>
            </w:r>
            <w:r w:rsidR="001E1112" w:rsidRPr="00317ABF">
              <w:rPr>
                <w:sz w:val="22"/>
                <w:szCs w:val="22"/>
              </w:rPr>
              <w:t xml:space="preserve">. Prezes UKE monitoruje </w:t>
            </w:r>
            <w:r w:rsidRPr="00317ABF">
              <w:rPr>
                <w:sz w:val="22"/>
                <w:szCs w:val="22"/>
              </w:rPr>
              <w:t>wykonywanie</w:t>
            </w:r>
            <w:r w:rsidR="001E1112" w:rsidRPr="00317ABF">
              <w:rPr>
                <w:sz w:val="22"/>
                <w:szCs w:val="22"/>
              </w:rPr>
              <w:t xml:space="preserve"> określonych warunków niedyskryminującego dostępu</w:t>
            </w:r>
            <w:r w:rsidRPr="00317ABF">
              <w:rPr>
                <w:sz w:val="22"/>
                <w:szCs w:val="22"/>
              </w:rPr>
              <w:t xml:space="preserve"> telekomunikacyjnego</w:t>
            </w:r>
            <w:r w:rsidR="001E1112" w:rsidRPr="00317ABF">
              <w:rPr>
                <w:sz w:val="22"/>
                <w:szCs w:val="22"/>
              </w:rPr>
              <w:t xml:space="preserve">, o których mowa w ust. 3, do których stosowania przedsiębiorca, o którym mowa w ust. 1, został zobowiązany na podstawie ust. </w:t>
            </w:r>
            <w:r w:rsidRPr="00317ABF">
              <w:rPr>
                <w:sz w:val="22"/>
                <w:szCs w:val="22"/>
              </w:rPr>
              <w:t>6, pod kątem zasadności przedłużenia ich stosowania.</w:t>
            </w:r>
          </w:p>
        </w:tc>
      </w:tr>
      <w:tr w:rsidR="001E1112" w:rsidRPr="00317ABF" w14:paraId="410B3BCB" w14:textId="77777777" w:rsidTr="7753F98D">
        <w:trPr>
          <w:gridAfter w:val="2"/>
          <w:wAfter w:w="175" w:type="dxa"/>
        </w:trPr>
        <w:tc>
          <w:tcPr>
            <w:tcW w:w="704" w:type="dxa"/>
          </w:tcPr>
          <w:p w14:paraId="491B5939" w14:textId="77777777" w:rsidR="001E1112" w:rsidRPr="00317ABF" w:rsidRDefault="001E1112" w:rsidP="7753F98D">
            <w:pPr>
              <w:jc w:val="both"/>
              <w:rPr>
                <w:b/>
                <w:bCs/>
                <w:sz w:val="22"/>
                <w:szCs w:val="22"/>
              </w:rPr>
            </w:pPr>
            <w:r w:rsidRPr="00317ABF">
              <w:rPr>
                <w:b/>
                <w:bCs/>
                <w:sz w:val="22"/>
                <w:szCs w:val="22"/>
              </w:rPr>
              <w:lastRenderedPageBreak/>
              <w:t>Art. 79</w:t>
            </w:r>
          </w:p>
        </w:tc>
        <w:tc>
          <w:tcPr>
            <w:tcW w:w="4308" w:type="dxa"/>
          </w:tcPr>
          <w:p w14:paraId="50EB526C" w14:textId="77777777" w:rsidR="001E1112" w:rsidRPr="00317ABF" w:rsidRDefault="001E1112" w:rsidP="00DB3BEC">
            <w:pPr>
              <w:spacing w:before="120"/>
              <w:jc w:val="both"/>
              <w:rPr>
                <w:sz w:val="22"/>
                <w:szCs w:val="22"/>
              </w:rPr>
            </w:pPr>
            <w:r w:rsidRPr="00317ABF">
              <w:rPr>
                <w:b/>
                <w:bCs/>
                <w:sz w:val="22"/>
                <w:szCs w:val="22"/>
              </w:rPr>
              <w:t>Procedura zaciągania zobowiązań</w:t>
            </w:r>
          </w:p>
        </w:tc>
        <w:tc>
          <w:tcPr>
            <w:tcW w:w="986" w:type="dxa"/>
          </w:tcPr>
          <w:p w14:paraId="5DA8F2E2" w14:textId="77777777" w:rsidR="001E1112" w:rsidRPr="00317ABF" w:rsidRDefault="001E1112" w:rsidP="00DB3BEC">
            <w:pPr>
              <w:jc w:val="both"/>
              <w:rPr>
                <w:sz w:val="22"/>
                <w:szCs w:val="22"/>
              </w:rPr>
            </w:pPr>
          </w:p>
        </w:tc>
        <w:tc>
          <w:tcPr>
            <w:tcW w:w="910" w:type="dxa"/>
          </w:tcPr>
          <w:p w14:paraId="59101728" w14:textId="77777777" w:rsidR="001E1112" w:rsidRPr="00317ABF" w:rsidRDefault="001E1112" w:rsidP="00DB3BEC">
            <w:pPr>
              <w:pStyle w:val="Tekstpodstawowy"/>
              <w:rPr>
                <w:b/>
                <w:noProof/>
                <w:sz w:val="22"/>
                <w:szCs w:val="22"/>
              </w:rPr>
            </w:pPr>
          </w:p>
        </w:tc>
        <w:tc>
          <w:tcPr>
            <w:tcW w:w="6814" w:type="dxa"/>
            <w:gridSpan w:val="2"/>
          </w:tcPr>
          <w:p w14:paraId="71C24587" w14:textId="636E5D11" w:rsidR="001E1112" w:rsidRPr="00317ABF" w:rsidRDefault="001E1112" w:rsidP="00DB3BEC">
            <w:pPr>
              <w:pStyle w:val="Tekstpodstawowy"/>
              <w:rPr>
                <w:sz w:val="22"/>
                <w:szCs w:val="22"/>
              </w:rPr>
            </w:pPr>
            <w:r w:rsidRPr="00317ABF">
              <w:rPr>
                <w:sz w:val="22"/>
                <w:szCs w:val="22"/>
              </w:rPr>
              <w:t xml:space="preserve">Art.. 76 i 79 implementowane łącznie w PKE w Rozdziale </w:t>
            </w:r>
            <w:r w:rsidR="1A20BBD3" w:rsidRPr="00317ABF">
              <w:rPr>
                <w:sz w:val="22"/>
                <w:szCs w:val="22"/>
              </w:rPr>
              <w:t>5</w:t>
            </w:r>
            <w:r w:rsidRPr="00317ABF">
              <w:rPr>
                <w:sz w:val="22"/>
                <w:szCs w:val="22"/>
              </w:rPr>
              <w:t xml:space="preserve"> “Szczegółowe warunki inwestowania” z pominięciem </w:t>
            </w:r>
            <w:r w:rsidR="00DB3BEC" w:rsidRPr="00317ABF">
              <w:rPr>
                <w:sz w:val="22"/>
                <w:szCs w:val="22"/>
              </w:rPr>
              <w:t xml:space="preserve">Art. </w:t>
            </w:r>
            <w:r w:rsidRPr="00317ABF">
              <w:rPr>
                <w:sz w:val="22"/>
                <w:szCs w:val="22"/>
              </w:rPr>
              <w:t>2</w:t>
            </w:r>
            <w:r w:rsidR="7A139724" w:rsidRPr="00317ABF">
              <w:rPr>
                <w:sz w:val="22"/>
                <w:szCs w:val="22"/>
              </w:rPr>
              <w:t>52</w:t>
            </w:r>
          </w:p>
          <w:p w14:paraId="3C382727" w14:textId="5B18B0BE" w:rsidR="001E1112" w:rsidRPr="00317ABF" w:rsidRDefault="001E1112" w:rsidP="00DB3BEC">
            <w:pPr>
              <w:pStyle w:val="Tekstpodstawowy"/>
              <w:rPr>
                <w:sz w:val="22"/>
                <w:szCs w:val="22"/>
              </w:rPr>
            </w:pPr>
            <w:r w:rsidRPr="00317ABF">
              <w:rPr>
                <w:sz w:val="22"/>
                <w:szCs w:val="22"/>
              </w:rPr>
              <w:t xml:space="preserve">Część regulacji ujęta wspólnie z przepisami implementującymi </w:t>
            </w:r>
            <w:r w:rsidR="00DB3BEC" w:rsidRPr="00317ABF">
              <w:rPr>
                <w:sz w:val="22"/>
                <w:szCs w:val="22"/>
              </w:rPr>
              <w:t xml:space="preserve">Art. </w:t>
            </w:r>
            <w:r w:rsidRPr="00317ABF">
              <w:rPr>
                <w:sz w:val="22"/>
                <w:szCs w:val="22"/>
              </w:rPr>
              <w:t>79 (w ich wspólnym zakresie proceduralnym,) a także przepisami załącznika IV do EKŁE</w:t>
            </w:r>
          </w:p>
          <w:p w14:paraId="5995D155" w14:textId="08D7A43A" w:rsidR="001E1112" w:rsidRPr="00317ABF" w:rsidRDefault="001E1112" w:rsidP="00DB3BEC">
            <w:pPr>
              <w:pStyle w:val="Tekstpodstawowy"/>
              <w:rPr>
                <w:sz w:val="22"/>
                <w:szCs w:val="22"/>
              </w:rPr>
            </w:pPr>
          </w:p>
        </w:tc>
      </w:tr>
      <w:tr w:rsidR="001E1112" w:rsidRPr="00317ABF" w14:paraId="343B253F" w14:textId="77777777" w:rsidTr="7753F98D">
        <w:trPr>
          <w:gridAfter w:val="2"/>
          <w:wAfter w:w="175" w:type="dxa"/>
        </w:trPr>
        <w:tc>
          <w:tcPr>
            <w:tcW w:w="704" w:type="dxa"/>
          </w:tcPr>
          <w:p w14:paraId="336E8916" w14:textId="77777777" w:rsidR="001E1112" w:rsidRPr="00317ABF" w:rsidRDefault="001E1112" w:rsidP="7753F98D">
            <w:pPr>
              <w:jc w:val="both"/>
              <w:rPr>
                <w:sz w:val="22"/>
                <w:szCs w:val="22"/>
              </w:rPr>
            </w:pPr>
            <w:r w:rsidRPr="00317ABF">
              <w:rPr>
                <w:sz w:val="22"/>
                <w:szCs w:val="22"/>
              </w:rPr>
              <w:t>Art. 79 ust. 1</w:t>
            </w:r>
          </w:p>
        </w:tc>
        <w:tc>
          <w:tcPr>
            <w:tcW w:w="4308" w:type="dxa"/>
          </w:tcPr>
          <w:p w14:paraId="6223E7F0" w14:textId="77777777" w:rsidR="001E1112" w:rsidRPr="00317ABF" w:rsidRDefault="001E1112" w:rsidP="00DB3BEC">
            <w:pPr>
              <w:spacing w:before="120"/>
              <w:jc w:val="both"/>
              <w:rPr>
                <w:sz w:val="22"/>
                <w:szCs w:val="22"/>
              </w:rPr>
            </w:pPr>
            <w:r w:rsidRPr="00317ABF">
              <w:rPr>
                <w:sz w:val="22"/>
                <w:szCs w:val="22"/>
              </w:rPr>
              <w:t>1.   Przedsiębiorstwa wyznaczone jako posiadające znaczącą pozycję rynkową mogą złożyć krajowemu organowi regulacyjnemu przyjęcie zobowiązań dotyczących warunków dostępu lub współinwestowania, lub obu, mających zastosowanie do ich sieci w odniesieniu między innymi do:</w:t>
            </w:r>
          </w:p>
          <w:tbl>
            <w:tblPr>
              <w:tblW w:w="5000" w:type="pct"/>
              <w:tblCellSpacing w:w="0" w:type="dxa"/>
              <w:tblLayout w:type="fixed"/>
              <w:tblCellMar>
                <w:left w:w="0" w:type="dxa"/>
                <w:right w:w="0" w:type="dxa"/>
              </w:tblCellMar>
              <w:tblLook w:val="04A0" w:firstRow="1" w:lastRow="0" w:firstColumn="1" w:lastColumn="0" w:noHBand="0" w:noVBand="1"/>
            </w:tblPr>
            <w:tblGrid>
              <w:gridCol w:w="20"/>
              <w:gridCol w:w="4148"/>
            </w:tblGrid>
            <w:tr w:rsidR="001E1112" w:rsidRPr="00317ABF" w14:paraId="2A70963C" w14:textId="77777777" w:rsidTr="007B5338">
              <w:trPr>
                <w:tblCellSpacing w:w="0" w:type="dxa"/>
              </w:trPr>
              <w:tc>
                <w:tcPr>
                  <w:tcW w:w="6" w:type="dxa"/>
                  <w:hideMark/>
                </w:tcPr>
                <w:p w14:paraId="2C59AD32" w14:textId="77777777" w:rsidR="001E1112" w:rsidRPr="00317ABF" w:rsidRDefault="001E1112" w:rsidP="00EE0AC3">
                  <w:pPr>
                    <w:framePr w:hSpace="141" w:wrap="around" w:vAnchor="text" w:hAnchor="text" w:xAlign="right" w:y="1"/>
                    <w:spacing w:before="120"/>
                    <w:suppressOverlap/>
                    <w:jc w:val="both"/>
                    <w:rPr>
                      <w:sz w:val="22"/>
                      <w:szCs w:val="22"/>
                    </w:rPr>
                  </w:pPr>
                </w:p>
              </w:tc>
              <w:tc>
                <w:tcPr>
                  <w:tcW w:w="9066" w:type="dxa"/>
                  <w:hideMark/>
                </w:tcPr>
                <w:p w14:paraId="382C2F43" w14:textId="77777777" w:rsidR="001E1112" w:rsidRPr="00317ABF" w:rsidRDefault="001E1112" w:rsidP="00EE0AC3">
                  <w:pPr>
                    <w:framePr w:hSpace="141" w:wrap="around" w:vAnchor="text" w:hAnchor="text" w:xAlign="right" w:y="1"/>
                    <w:numPr>
                      <w:ilvl w:val="0"/>
                      <w:numId w:val="69"/>
                    </w:numPr>
                    <w:spacing w:before="120"/>
                    <w:suppressOverlap/>
                    <w:jc w:val="both"/>
                    <w:rPr>
                      <w:sz w:val="22"/>
                      <w:szCs w:val="22"/>
                    </w:rPr>
                  </w:pPr>
                  <w:r w:rsidRPr="00317ABF">
                    <w:rPr>
                      <w:sz w:val="22"/>
                      <w:szCs w:val="22"/>
                    </w:rPr>
                    <w:t>porozumień o współpracy mających znaczenie dla oceny stosownych i proporcjonalnych obowiązków na podstawie art. 68;</w:t>
                  </w:r>
                </w:p>
              </w:tc>
            </w:tr>
          </w:tbl>
          <w:p w14:paraId="3A47418B" w14:textId="77777777" w:rsidR="001E1112" w:rsidRPr="00317ABF" w:rsidRDefault="001E1112" w:rsidP="00DB3BEC">
            <w:pPr>
              <w:jc w:val="both"/>
              <w:rPr>
                <w:vanish/>
                <w:sz w:val="22"/>
                <w:szCs w:val="22"/>
              </w:rPr>
            </w:pPr>
          </w:p>
          <w:tbl>
            <w:tblPr>
              <w:tblW w:w="5000" w:type="pct"/>
              <w:tblCellSpacing w:w="0" w:type="dxa"/>
              <w:tblLayout w:type="fixed"/>
              <w:tblCellMar>
                <w:left w:w="0" w:type="dxa"/>
                <w:right w:w="0" w:type="dxa"/>
              </w:tblCellMar>
              <w:tblLook w:val="04A0" w:firstRow="1" w:lastRow="0" w:firstColumn="1" w:lastColumn="0" w:noHBand="0" w:noVBand="1"/>
            </w:tblPr>
            <w:tblGrid>
              <w:gridCol w:w="20"/>
              <w:gridCol w:w="4148"/>
            </w:tblGrid>
            <w:tr w:rsidR="001E1112" w:rsidRPr="00317ABF" w14:paraId="780C0FB1" w14:textId="77777777" w:rsidTr="007B5338">
              <w:trPr>
                <w:tblCellSpacing w:w="0" w:type="dxa"/>
              </w:trPr>
              <w:tc>
                <w:tcPr>
                  <w:tcW w:w="7" w:type="dxa"/>
                  <w:hideMark/>
                </w:tcPr>
                <w:p w14:paraId="774DAEDD" w14:textId="77777777" w:rsidR="001E1112" w:rsidRPr="00317ABF" w:rsidRDefault="001E1112" w:rsidP="00EE0AC3">
                  <w:pPr>
                    <w:framePr w:hSpace="141" w:wrap="around" w:vAnchor="text" w:hAnchor="text" w:xAlign="right" w:y="1"/>
                    <w:spacing w:before="120"/>
                    <w:suppressOverlap/>
                    <w:jc w:val="both"/>
                    <w:rPr>
                      <w:sz w:val="22"/>
                      <w:szCs w:val="22"/>
                    </w:rPr>
                  </w:pPr>
                </w:p>
              </w:tc>
              <w:tc>
                <w:tcPr>
                  <w:tcW w:w="9065" w:type="dxa"/>
                  <w:hideMark/>
                </w:tcPr>
                <w:p w14:paraId="30CBAA56" w14:textId="77777777" w:rsidR="001E1112" w:rsidRPr="00317ABF" w:rsidRDefault="001E1112" w:rsidP="00EE0AC3">
                  <w:pPr>
                    <w:framePr w:hSpace="141" w:wrap="around" w:vAnchor="text" w:hAnchor="text" w:xAlign="right" w:y="1"/>
                    <w:numPr>
                      <w:ilvl w:val="0"/>
                      <w:numId w:val="69"/>
                    </w:numPr>
                    <w:spacing w:before="120"/>
                    <w:suppressOverlap/>
                    <w:jc w:val="both"/>
                    <w:rPr>
                      <w:sz w:val="22"/>
                      <w:szCs w:val="22"/>
                    </w:rPr>
                  </w:pPr>
                  <w:r w:rsidRPr="00317ABF">
                    <w:rPr>
                      <w:sz w:val="22"/>
                      <w:szCs w:val="22"/>
                    </w:rPr>
                    <w:t>współinwestycji w sieci o bardzo dużej przepustowości na podstawie art. 76; lub</w:t>
                  </w:r>
                </w:p>
              </w:tc>
            </w:tr>
          </w:tbl>
          <w:p w14:paraId="76545399" w14:textId="77777777" w:rsidR="001E1112" w:rsidRPr="00317ABF" w:rsidRDefault="001E1112" w:rsidP="00DB3BEC">
            <w:pPr>
              <w:jc w:val="both"/>
              <w:rPr>
                <w:vanish/>
                <w:sz w:val="22"/>
                <w:szCs w:val="22"/>
              </w:rPr>
            </w:pPr>
          </w:p>
          <w:tbl>
            <w:tblPr>
              <w:tblW w:w="5000" w:type="pct"/>
              <w:tblCellSpacing w:w="0" w:type="dxa"/>
              <w:tblLayout w:type="fixed"/>
              <w:tblCellMar>
                <w:left w:w="0" w:type="dxa"/>
                <w:right w:w="0" w:type="dxa"/>
              </w:tblCellMar>
              <w:tblLook w:val="04A0" w:firstRow="1" w:lastRow="0" w:firstColumn="1" w:lastColumn="0" w:noHBand="0" w:noVBand="1"/>
            </w:tblPr>
            <w:tblGrid>
              <w:gridCol w:w="20"/>
              <w:gridCol w:w="4148"/>
            </w:tblGrid>
            <w:tr w:rsidR="001E1112" w:rsidRPr="00317ABF" w14:paraId="285ADB69" w14:textId="77777777" w:rsidTr="007B5338">
              <w:trPr>
                <w:tblCellSpacing w:w="0" w:type="dxa"/>
              </w:trPr>
              <w:tc>
                <w:tcPr>
                  <w:tcW w:w="6" w:type="dxa"/>
                  <w:hideMark/>
                </w:tcPr>
                <w:p w14:paraId="74777EF2" w14:textId="77777777" w:rsidR="001E1112" w:rsidRPr="00317ABF" w:rsidRDefault="001E1112" w:rsidP="00EE0AC3">
                  <w:pPr>
                    <w:framePr w:hSpace="141" w:wrap="around" w:vAnchor="text" w:hAnchor="text" w:xAlign="right" w:y="1"/>
                    <w:spacing w:before="120"/>
                    <w:suppressOverlap/>
                    <w:jc w:val="both"/>
                    <w:rPr>
                      <w:sz w:val="22"/>
                      <w:szCs w:val="22"/>
                    </w:rPr>
                  </w:pPr>
                </w:p>
              </w:tc>
              <w:tc>
                <w:tcPr>
                  <w:tcW w:w="9066" w:type="dxa"/>
                  <w:hideMark/>
                </w:tcPr>
                <w:p w14:paraId="745CF9D1" w14:textId="77777777" w:rsidR="001E1112" w:rsidRPr="00317ABF" w:rsidRDefault="001E1112" w:rsidP="00EE0AC3">
                  <w:pPr>
                    <w:framePr w:hSpace="141" w:wrap="around" w:vAnchor="text" w:hAnchor="text" w:xAlign="right" w:y="1"/>
                    <w:numPr>
                      <w:ilvl w:val="0"/>
                      <w:numId w:val="69"/>
                    </w:numPr>
                    <w:spacing w:before="120"/>
                    <w:suppressOverlap/>
                    <w:jc w:val="both"/>
                    <w:rPr>
                      <w:sz w:val="22"/>
                      <w:szCs w:val="22"/>
                    </w:rPr>
                  </w:pPr>
                  <w:r w:rsidRPr="00317ABF">
                    <w:rPr>
                      <w:sz w:val="22"/>
                      <w:szCs w:val="22"/>
                    </w:rPr>
                    <w:t>efektywnego i niedyskryminacyjnego dostępu stron trzecich na podstawie art. 78, zarówno w okresie wdrożenia dobrowolnego podziału przedsiębiorstwa zintegrowanego pionowo jak i po wdrożeniu proponowanej formy podziału.</w:t>
                  </w:r>
                </w:p>
              </w:tc>
            </w:tr>
          </w:tbl>
          <w:p w14:paraId="50320C1D" w14:textId="77777777" w:rsidR="001E1112" w:rsidRPr="00317ABF" w:rsidRDefault="001E1112" w:rsidP="00DB3BEC">
            <w:pPr>
              <w:spacing w:before="120"/>
              <w:jc w:val="both"/>
              <w:rPr>
                <w:sz w:val="22"/>
                <w:szCs w:val="22"/>
              </w:rPr>
            </w:pPr>
            <w:r w:rsidRPr="00317ABF">
              <w:rPr>
                <w:sz w:val="22"/>
                <w:szCs w:val="22"/>
              </w:rPr>
              <w:t xml:space="preserve">Propozycja zobowiązań powinna być wystarczająco szczegółowa, w tym jeżeli chodzi o harmonogram i zakres ich wdrażania oraz czas ich trwania, aby umożliwić krajowemu organowi regulacyjnemu </w:t>
            </w:r>
            <w:r w:rsidRPr="00317ABF">
              <w:rPr>
                <w:sz w:val="22"/>
                <w:szCs w:val="22"/>
              </w:rPr>
              <w:lastRenderedPageBreak/>
              <w:t>przeprowadzenie oceny na podstawie ust. 2 niniejszego artykułu. Takie zobowiązania mogą wykraczać poza okresy przewidziane na przeprowadzenie analizy rynku określone w art. 67 ust. 5.</w:t>
            </w:r>
          </w:p>
        </w:tc>
        <w:tc>
          <w:tcPr>
            <w:tcW w:w="986" w:type="dxa"/>
          </w:tcPr>
          <w:p w14:paraId="06FBE73B" w14:textId="15F61284" w:rsidR="001E1112" w:rsidRPr="00317ABF" w:rsidRDefault="001E1112" w:rsidP="00DB3BEC">
            <w:pPr>
              <w:jc w:val="both"/>
              <w:rPr>
                <w:sz w:val="22"/>
                <w:szCs w:val="22"/>
              </w:rPr>
            </w:pPr>
            <w:r w:rsidRPr="00317ABF">
              <w:rPr>
                <w:sz w:val="22"/>
                <w:szCs w:val="22"/>
              </w:rPr>
              <w:lastRenderedPageBreak/>
              <w:t>N</w:t>
            </w:r>
          </w:p>
        </w:tc>
        <w:tc>
          <w:tcPr>
            <w:tcW w:w="910" w:type="dxa"/>
          </w:tcPr>
          <w:p w14:paraId="455F024A" w14:textId="6E3B4B93" w:rsidR="001E1112" w:rsidRPr="00317ABF" w:rsidRDefault="001E1112" w:rsidP="00DB3BEC">
            <w:pPr>
              <w:pStyle w:val="Tekstpodstawowy"/>
              <w:rPr>
                <w:b/>
                <w:bCs/>
                <w:noProof/>
                <w:sz w:val="22"/>
                <w:szCs w:val="22"/>
              </w:rPr>
            </w:pPr>
            <w:r w:rsidRPr="00317ABF">
              <w:rPr>
                <w:b/>
                <w:bCs/>
                <w:noProof/>
                <w:sz w:val="22"/>
                <w:szCs w:val="22"/>
              </w:rPr>
              <w:t>Art. 2</w:t>
            </w:r>
            <w:r w:rsidR="1E15E9AF" w:rsidRPr="00317ABF">
              <w:rPr>
                <w:b/>
                <w:bCs/>
                <w:noProof/>
                <w:sz w:val="22"/>
                <w:szCs w:val="22"/>
              </w:rPr>
              <w:t>37</w:t>
            </w:r>
          </w:p>
        </w:tc>
        <w:tc>
          <w:tcPr>
            <w:tcW w:w="6814" w:type="dxa"/>
            <w:gridSpan w:val="2"/>
          </w:tcPr>
          <w:p w14:paraId="0C8BF41E" w14:textId="49799909" w:rsidR="001E1112" w:rsidRPr="00317ABF" w:rsidRDefault="63E27A5A" w:rsidP="7753F98D">
            <w:pPr>
              <w:pStyle w:val="Tekstpodstawowy"/>
              <w:rPr>
                <w:sz w:val="22"/>
                <w:szCs w:val="22"/>
              </w:rPr>
            </w:pPr>
            <w:r w:rsidRPr="00317ABF">
              <w:rPr>
                <w:sz w:val="22"/>
                <w:szCs w:val="22"/>
              </w:rPr>
              <w:t>Art. 237. 1. Przedsiębiorca komunikacji elektronicznej o znaczącej pozycji rynkowej może przedstawić Prezesowi UKE propozycję zobowiązań odnoszących się do warunków zapewnienia dostępu telekomunikacyjnego lub współinwestowania, mających zastosowanie do jego sieci telekomunikacyjnych lub powiązanych zasobów, dotyczącą w szczególności:</w:t>
            </w:r>
          </w:p>
          <w:p w14:paraId="53DE9BEF" w14:textId="32E5BE26" w:rsidR="001E1112" w:rsidRPr="00317ABF" w:rsidRDefault="63E27A5A" w:rsidP="00DB3BEC">
            <w:pPr>
              <w:pStyle w:val="Tekstpodstawowy"/>
            </w:pPr>
            <w:r w:rsidRPr="00317ABF">
              <w:rPr>
                <w:sz w:val="22"/>
                <w:szCs w:val="22"/>
              </w:rPr>
              <w:t>1)</w:t>
            </w:r>
            <w:r w:rsidR="001E1112" w:rsidRPr="00317ABF">
              <w:tab/>
            </w:r>
            <w:r w:rsidRPr="00317ABF">
              <w:rPr>
                <w:sz w:val="22"/>
                <w:szCs w:val="22"/>
              </w:rPr>
              <w:t>porozumień o współpracy mających znaczenie dla oceny obowiązków regulacyjnych,</w:t>
            </w:r>
          </w:p>
          <w:p w14:paraId="3DBFC93D" w14:textId="16897316" w:rsidR="001E1112" w:rsidRPr="00317ABF" w:rsidRDefault="63E27A5A" w:rsidP="00DB3BEC">
            <w:pPr>
              <w:pStyle w:val="Tekstpodstawowy"/>
            </w:pPr>
            <w:r w:rsidRPr="00317ABF">
              <w:rPr>
                <w:sz w:val="22"/>
                <w:szCs w:val="22"/>
              </w:rPr>
              <w:t>2)</w:t>
            </w:r>
            <w:r w:rsidR="001E1112" w:rsidRPr="00317ABF">
              <w:tab/>
            </w:r>
            <w:r w:rsidRPr="00317ABF">
              <w:rPr>
                <w:sz w:val="22"/>
                <w:szCs w:val="22"/>
              </w:rPr>
              <w:t>współinwestycji w sieci o bardzo dużej przepustowości,</w:t>
            </w:r>
          </w:p>
          <w:p w14:paraId="36E49420" w14:textId="7D475023" w:rsidR="001E1112" w:rsidRPr="00317ABF" w:rsidRDefault="63E27A5A" w:rsidP="00DB3BEC">
            <w:pPr>
              <w:pStyle w:val="Tekstpodstawowy"/>
            </w:pPr>
            <w:r w:rsidRPr="00317ABF">
              <w:rPr>
                <w:sz w:val="22"/>
                <w:szCs w:val="22"/>
              </w:rPr>
              <w:t>3)</w:t>
            </w:r>
            <w:r w:rsidR="001E1112" w:rsidRPr="00317ABF">
              <w:tab/>
            </w:r>
            <w:r w:rsidRPr="00317ABF">
              <w:rPr>
                <w:sz w:val="22"/>
                <w:szCs w:val="22"/>
              </w:rPr>
              <w:t>skutecznego i niedyskryminacyjnego dostępu telekomunikacyjnego innych przedsiębiorców komunikacji elektronicznej, zarówno w okresie wdrożenia dobrowolnego podziału przedsiębiorstwa przedsiębiorcy zintegrowanego pionowo, jak i po jego wdrożeniu</w:t>
            </w:r>
          </w:p>
          <w:p w14:paraId="6207D732" w14:textId="51EE045B" w:rsidR="001E1112" w:rsidRPr="00317ABF" w:rsidRDefault="63E27A5A" w:rsidP="00DB3BEC">
            <w:pPr>
              <w:pStyle w:val="Tekstpodstawowy"/>
            </w:pPr>
            <w:r w:rsidRPr="00317ABF">
              <w:rPr>
                <w:sz w:val="22"/>
                <w:szCs w:val="22"/>
              </w:rPr>
              <w:t>-  zwaną dalej „propozycją zobowiązań”.</w:t>
            </w:r>
          </w:p>
          <w:p w14:paraId="0CC6BF0A" w14:textId="5F6F87AF" w:rsidR="001E1112" w:rsidRPr="00317ABF" w:rsidRDefault="63E27A5A" w:rsidP="00DB3BEC">
            <w:pPr>
              <w:pStyle w:val="Tekstpodstawowy"/>
            </w:pPr>
            <w:r w:rsidRPr="00317ABF">
              <w:rPr>
                <w:sz w:val="22"/>
                <w:szCs w:val="22"/>
              </w:rPr>
              <w:t>2. Propozycja zobowiązań zawiera szczegółowy harmonogram, zakres ich wykonywania oraz czas obowiązywania.</w:t>
            </w:r>
          </w:p>
          <w:p w14:paraId="5A3B19A5" w14:textId="1EBCB493" w:rsidR="001E1112" w:rsidRPr="00317ABF" w:rsidRDefault="001E1112" w:rsidP="00DB3BEC">
            <w:pPr>
              <w:pStyle w:val="Tekstpodstawowy"/>
              <w:rPr>
                <w:sz w:val="22"/>
                <w:szCs w:val="22"/>
              </w:rPr>
            </w:pPr>
          </w:p>
        </w:tc>
      </w:tr>
      <w:tr w:rsidR="001E1112" w:rsidRPr="00317ABF" w14:paraId="2A3BC8A2" w14:textId="77777777" w:rsidTr="7753F98D">
        <w:trPr>
          <w:gridAfter w:val="2"/>
          <w:wAfter w:w="175" w:type="dxa"/>
        </w:trPr>
        <w:tc>
          <w:tcPr>
            <w:tcW w:w="704" w:type="dxa"/>
          </w:tcPr>
          <w:p w14:paraId="47C44BE1" w14:textId="2507B7D1" w:rsidR="001E1112" w:rsidRPr="00317ABF" w:rsidRDefault="001E1112" w:rsidP="7753F98D">
            <w:pPr>
              <w:jc w:val="both"/>
              <w:rPr>
                <w:sz w:val="22"/>
                <w:szCs w:val="22"/>
              </w:rPr>
            </w:pPr>
            <w:r w:rsidRPr="00317ABF">
              <w:rPr>
                <w:sz w:val="22"/>
                <w:szCs w:val="22"/>
              </w:rPr>
              <w:lastRenderedPageBreak/>
              <w:t>Art. 79 ust. 2</w:t>
            </w:r>
          </w:p>
          <w:p w14:paraId="7F3EA293" w14:textId="2CAE3595" w:rsidR="001E1112" w:rsidRPr="00317ABF" w:rsidRDefault="001E1112" w:rsidP="7753F98D">
            <w:pPr>
              <w:jc w:val="both"/>
              <w:rPr>
                <w:sz w:val="22"/>
                <w:szCs w:val="22"/>
              </w:rPr>
            </w:pPr>
          </w:p>
          <w:p w14:paraId="024D0650" w14:textId="1911A08A" w:rsidR="001E1112" w:rsidRPr="00317ABF" w:rsidRDefault="001E1112" w:rsidP="7753F98D">
            <w:pPr>
              <w:jc w:val="both"/>
              <w:rPr>
                <w:sz w:val="22"/>
                <w:szCs w:val="22"/>
              </w:rPr>
            </w:pPr>
          </w:p>
        </w:tc>
        <w:tc>
          <w:tcPr>
            <w:tcW w:w="4308" w:type="dxa"/>
          </w:tcPr>
          <w:p w14:paraId="7B95E415" w14:textId="77777777" w:rsidR="001E1112" w:rsidRPr="00317ABF" w:rsidRDefault="001E1112" w:rsidP="00DB3BEC">
            <w:pPr>
              <w:spacing w:before="120"/>
              <w:jc w:val="both"/>
              <w:rPr>
                <w:sz w:val="22"/>
                <w:szCs w:val="22"/>
              </w:rPr>
            </w:pPr>
            <w:r w:rsidRPr="00317ABF">
              <w:rPr>
                <w:sz w:val="22"/>
                <w:szCs w:val="22"/>
              </w:rPr>
              <w:t>2.   Aby ocenić wszelkie zobowiązania złożone przez przedsiębiorstwo na podstawie ust. 1 niniejszego artykułu, krajowy organ regulacyjny przeprowadza – z wyjątkiem, gdy takie zobowiązania wyraźnie nie spełniają co najmniej jednego spośród istotnych warunków lub kryteriów – test rynkowy, w szczególności dotyczący proponowanych warunków, przez przeprowadzenie publicznych konsultacji z zainteresowanymi stronami, w szczególności innymi stronami trzecimi, których bezpośrednio to dotyczy. Potencjalni współinwestorzy lub podmioty ubiegające się o dostęp mogą udzielić opinii na temat zgodności złożonych zobowiązań z warunkami przewidzianymi w art. 68, 76 lub 78, stosownie do przypadku, i mogą zaproponować zmiany.</w:t>
            </w:r>
          </w:p>
          <w:p w14:paraId="3F4E4377" w14:textId="77777777" w:rsidR="001E1112" w:rsidRPr="00317ABF" w:rsidRDefault="001E1112" w:rsidP="00DB3BEC">
            <w:pPr>
              <w:spacing w:before="120"/>
              <w:jc w:val="both"/>
              <w:rPr>
                <w:sz w:val="22"/>
                <w:szCs w:val="22"/>
              </w:rPr>
            </w:pPr>
            <w:r w:rsidRPr="00317ABF">
              <w:rPr>
                <w:sz w:val="22"/>
                <w:szCs w:val="22"/>
              </w:rPr>
              <w:t>Jeżeli chodzi o zobowiązania złożone na podstawie niniejszego artykułu, krajowy organ regulacyjny, oceniając obowiązki na podstawie art. 68 ust. 4, zwraca szczególną uwagę na:</w:t>
            </w:r>
          </w:p>
          <w:tbl>
            <w:tblPr>
              <w:tblW w:w="5000" w:type="pct"/>
              <w:tblCellSpacing w:w="0" w:type="dxa"/>
              <w:tblLayout w:type="fixed"/>
              <w:tblCellMar>
                <w:left w:w="0" w:type="dxa"/>
                <w:right w:w="0" w:type="dxa"/>
              </w:tblCellMar>
              <w:tblLook w:val="04A0" w:firstRow="1" w:lastRow="0" w:firstColumn="1" w:lastColumn="0" w:noHBand="0" w:noVBand="1"/>
            </w:tblPr>
            <w:tblGrid>
              <w:gridCol w:w="20"/>
              <w:gridCol w:w="4148"/>
            </w:tblGrid>
            <w:tr w:rsidR="001E1112" w:rsidRPr="00317ABF" w14:paraId="0D8DE7B9" w14:textId="77777777" w:rsidTr="007B5338">
              <w:trPr>
                <w:tblCellSpacing w:w="0" w:type="dxa"/>
              </w:trPr>
              <w:tc>
                <w:tcPr>
                  <w:tcW w:w="7" w:type="dxa"/>
                  <w:hideMark/>
                </w:tcPr>
                <w:p w14:paraId="5AC3D975" w14:textId="77777777" w:rsidR="001E1112" w:rsidRPr="00317ABF" w:rsidRDefault="001E1112" w:rsidP="00EE0AC3">
                  <w:pPr>
                    <w:framePr w:hSpace="141" w:wrap="around" w:vAnchor="text" w:hAnchor="text" w:xAlign="right" w:y="1"/>
                    <w:spacing w:before="120"/>
                    <w:suppressOverlap/>
                    <w:jc w:val="both"/>
                    <w:rPr>
                      <w:sz w:val="22"/>
                      <w:szCs w:val="22"/>
                    </w:rPr>
                  </w:pPr>
                </w:p>
              </w:tc>
              <w:tc>
                <w:tcPr>
                  <w:tcW w:w="9065" w:type="dxa"/>
                  <w:hideMark/>
                </w:tcPr>
                <w:p w14:paraId="45EA8A79" w14:textId="77777777" w:rsidR="001E1112" w:rsidRPr="00317ABF" w:rsidRDefault="001E1112" w:rsidP="00EE0AC3">
                  <w:pPr>
                    <w:framePr w:hSpace="141" w:wrap="around" w:vAnchor="text" w:hAnchor="text" w:xAlign="right" w:y="1"/>
                    <w:numPr>
                      <w:ilvl w:val="0"/>
                      <w:numId w:val="68"/>
                    </w:numPr>
                    <w:spacing w:before="120"/>
                    <w:suppressOverlap/>
                    <w:jc w:val="both"/>
                    <w:rPr>
                      <w:sz w:val="22"/>
                      <w:szCs w:val="22"/>
                    </w:rPr>
                  </w:pPr>
                  <w:r w:rsidRPr="00317ABF">
                    <w:rPr>
                      <w:sz w:val="22"/>
                      <w:szCs w:val="22"/>
                    </w:rPr>
                    <w:t>dowody dotyczące uczciwego i rozsądnego charakteru złożonych zobowiązań;</w:t>
                  </w:r>
                </w:p>
              </w:tc>
            </w:tr>
          </w:tbl>
          <w:p w14:paraId="370DDD72" w14:textId="77777777" w:rsidR="001E1112" w:rsidRPr="00317ABF" w:rsidRDefault="001E1112" w:rsidP="00DB3BEC">
            <w:pPr>
              <w:jc w:val="both"/>
              <w:rPr>
                <w:vanish/>
                <w:sz w:val="22"/>
                <w:szCs w:val="22"/>
              </w:rPr>
            </w:pPr>
          </w:p>
          <w:tbl>
            <w:tblPr>
              <w:tblW w:w="5000" w:type="pct"/>
              <w:tblCellSpacing w:w="0" w:type="dxa"/>
              <w:tblLayout w:type="fixed"/>
              <w:tblCellMar>
                <w:left w:w="0" w:type="dxa"/>
                <w:right w:w="0" w:type="dxa"/>
              </w:tblCellMar>
              <w:tblLook w:val="04A0" w:firstRow="1" w:lastRow="0" w:firstColumn="1" w:lastColumn="0" w:noHBand="0" w:noVBand="1"/>
            </w:tblPr>
            <w:tblGrid>
              <w:gridCol w:w="20"/>
              <w:gridCol w:w="4148"/>
            </w:tblGrid>
            <w:tr w:rsidR="001E1112" w:rsidRPr="00317ABF" w14:paraId="2E20F2DA" w14:textId="77777777" w:rsidTr="007B5338">
              <w:trPr>
                <w:tblCellSpacing w:w="0" w:type="dxa"/>
              </w:trPr>
              <w:tc>
                <w:tcPr>
                  <w:tcW w:w="10" w:type="dxa"/>
                  <w:hideMark/>
                </w:tcPr>
                <w:p w14:paraId="66D32839" w14:textId="77777777" w:rsidR="001E1112" w:rsidRPr="00317ABF" w:rsidRDefault="001E1112" w:rsidP="00EE0AC3">
                  <w:pPr>
                    <w:framePr w:hSpace="141" w:wrap="around" w:vAnchor="text" w:hAnchor="text" w:xAlign="right" w:y="1"/>
                    <w:spacing w:before="120"/>
                    <w:suppressOverlap/>
                    <w:jc w:val="both"/>
                    <w:rPr>
                      <w:sz w:val="22"/>
                      <w:szCs w:val="22"/>
                    </w:rPr>
                  </w:pPr>
                </w:p>
              </w:tc>
              <w:tc>
                <w:tcPr>
                  <w:tcW w:w="9062" w:type="dxa"/>
                  <w:hideMark/>
                </w:tcPr>
                <w:p w14:paraId="34ED4910" w14:textId="77777777" w:rsidR="001E1112" w:rsidRPr="00317ABF" w:rsidRDefault="001E1112" w:rsidP="00EE0AC3">
                  <w:pPr>
                    <w:framePr w:hSpace="141" w:wrap="around" w:vAnchor="text" w:hAnchor="text" w:xAlign="right" w:y="1"/>
                    <w:numPr>
                      <w:ilvl w:val="0"/>
                      <w:numId w:val="68"/>
                    </w:numPr>
                    <w:spacing w:before="120"/>
                    <w:suppressOverlap/>
                    <w:jc w:val="both"/>
                    <w:rPr>
                      <w:sz w:val="22"/>
                      <w:szCs w:val="22"/>
                    </w:rPr>
                  </w:pPr>
                  <w:r w:rsidRPr="00317ABF">
                    <w:rPr>
                      <w:sz w:val="22"/>
                      <w:szCs w:val="22"/>
                    </w:rPr>
                    <w:t>otwartości zobowiązań na wszystkich uczestników rynku;</w:t>
                  </w:r>
                </w:p>
              </w:tc>
            </w:tr>
          </w:tbl>
          <w:p w14:paraId="7789EB60" w14:textId="77777777" w:rsidR="001E1112" w:rsidRPr="00317ABF" w:rsidRDefault="001E1112" w:rsidP="00DB3BEC">
            <w:pPr>
              <w:jc w:val="both"/>
              <w:rPr>
                <w:vanish/>
                <w:sz w:val="22"/>
                <w:szCs w:val="22"/>
              </w:rPr>
            </w:pPr>
          </w:p>
          <w:tbl>
            <w:tblPr>
              <w:tblW w:w="5000" w:type="pct"/>
              <w:tblCellSpacing w:w="0" w:type="dxa"/>
              <w:tblLayout w:type="fixed"/>
              <w:tblCellMar>
                <w:left w:w="0" w:type="dxa"/>
                <w:right w:w="0" w:type="dxa"/>
              </w:tblCellMar>
              <w:tblLook w:val="04A0" w:firstRow="1" w:lastRow="0" w:firstColumn="1" w:lastColumn="0" w:noHBand="0" w:noVBand="1"/>
            </w:tblPr>
            <w:tblGrid>
              <w:gridCol w:w="20"/>
              <w:gridCol w:w="4148"/>
            </w:tblGrid>
            <w:tr w:rsidR="001E1112" w:rsidRPr="00317ABF" w14:paraId="01144B63" w14:textId="77777777" w:rsidTr="007B5338">
              <w:trPr>
                <w:tblCellSpacing w:w="0" w:type="dxa"/>
              </w:trPr>
              <w:tc>
                <w:tcPr>
                  <w:tcW w:w="6" w:type="dxa"/>
                  <w:hideMark/>
                </w:tcPr>
                <w:p w14:paraId="4D0ECF97" w14:textId="77777777" w:rsidR="001E1112" w:rsidRPr="00317ABF" w:rsidRDefault="001E1112" w:rsidP="00EE0AC3">
                  <w:pPr>
                    <w:framePr w:hSpace="141" w:wrap="around" w:vAnchor="text" w:hAnchor="text" w:xAlign="right" w:y="1"/>
                    <w:spacing w:before="120"/>
                    <w:suppressOverlap/>
                    <w:jc w:val="both"/>
                    <w:rPr>
                      <w:sz w:val="22"/>
                      <w:szCs w:val="22"/>
                    </w:rPr>
                  </w:pPr>
                </w:p>
              </w:tc>
              <w:tc>
                <w:tcPr>
                  <w:tcW w:w="9066" w:type="dxa"/>
                  <w:hideMark/>
                </w:tcPr>
                <w:p w14:paraId="2DE288E2" w14:textId="77777777" w:rsidR="001E1112" w:rsidRPr="00317ABF" w:rsidRDefault="001E1112" w:rsidP="00EE0AC3">
                  <w:pPr>
                    <w:framePr w:hSpace="141" w:wrap="around" w:vAnchor="text" w:hAnchor="text" w:xAlign="right" w:y="1"/>
                    <w:numPr>
                      <w:ilvl w:val="0"/>
                      <w:numId w:val="68"/>
                    </w:numPr>
                    <w:spacing w:before="120"/>
                    <w:suppressOverlap/>
                    <w:jc w:val="both"/>
                    <w:rPr>
                      <w:sz w:val="22"/>
                      <w:szCs w:val="22"/>
                    </w:rPr>
                  </w:pPr>
                  <w:r w:rsidRPr="00317ABF">
                    <w:rPr>
                      <w:sz w:val="22"/>
                      <w:szCs w:val="22"/>
                    </w:rPr>
                    <w:t xml:space="preserve">dostępność z odpowiednim wyprzedzeniem, na rozsądnych i niedyskryminujących warunkach, </w:t>
                  </w:r>
                  <w:r w:rsidRPr="00317ABF">
                    <w:rPr>
                      <w:sz w:val="22"/>
                      <w:szCs w:val="22"/>
                    </w:rPr>
                    <w:lastRenderedPageBreak/>
                    <w:t>w tym do sieci o bardzo dużej przepustowości, przed uruchomieniem powiązanych usług detalicznych; oraz</w:t>
                  </w:r>
                </w:p>
              </w:tc>
            </w:tr>
          </w:tbl>
          <w:p w14:paraId="1699FEC1" w14:textId="77777777" w:rsidR="001E1112" w:rsidRPr="00317ABF" w:rsidRDefault="001E1112" w:rsidP="00DB3BEC">
            <w:pPr>
              <w:jc w:val="both"/>
              <w:rPr>
                <w:vanish/>
                <w:sz w:val="22"/>
                <w:szCs w:val="22"/>
              </w:rPr>
            </w:pPr>
          </w:p>
          <w:tbl>
            <w:tblPr>
              <w:tblW w:w="5000" w:type="pct"/>
              <w:tblCellSpacing w:w="0" w:type="dxa"/>
              <w:tblLayout w:type="fixed"/>
              <w:tblCellMar>
                <w:left w:w="0" w:type="dxa"/>
                <w:right w:w="0" w:type="dxa"/>
              </w:tblCellMar>
              <w:tblLook w:val="04A0" w:firstRow="1" w:lastRow="0" w:firstColumn="1" w:lastColumn="0" w:noHBand="0" w:noVBand="1"/>
            </w:tblPr>
            <w:tblGrid>
              <w:gridCol w:w="20"/>
              <w:gridCol w:w="4148"/>
            </w:tblGrid>
            <w:tr w:rsidR="001E1112" w:rsidRPr="00317ABF" w14:paraId="3AF63986" w14:textId="77777777" w:rsidTr="007B5338">
              <w:trPr>
                <w:tblCellSpacing w:w="0" w:type="dxa"/>
              </w:trPr>
              <w:tc>
                <w:tcPr>
                  <w:tcW w:w="6" w:type="dxa"/>
                  <w:hideMark/>
                </w:tcPr>
                <w:p w14:paraId="37F6B4BC" w14:textId="77777777" w:rsidR="001E1112" w:rsidRPr="00317ABF" w:rsidRDefault="001E1112" w:rsidP="00EE0AC3">
                  <w:pPr>
                    <w:framePr w:hSpace="141" w:wrap="around" w:vAnchor="text" w:hAnchor="text" w:xAlign="right" w:y="1"/>
                    <w:spacing w:before="120"/>
                    <w:suppressOverlap/>
                    <w:jc w:val="both"/>
                    <w:rPr>
                      <w:sz w:val="22"/>
                      <w:szCs w:val="22"/>
                    </w:rPr>
                  </w:pPr>
                </w:p>
              </w:tc>
              <w:tc>
                <w:tcPr>
                  <w:tcW w:w="9066" w:type="dxa"/>
                  <w:hideMark/>
                </w:tcPr>
                <w:p w14:paraId="6DB109A7" w14:textId="77777777" w:rsidR="001E1112" w:rsidRPr="00317ABF" w:rsidRDefault="001E1112" w:rsidP="00EE0AC3">
                  <w:pPr>
                    <w:framePr w:hSpace="141" w:wrap="around" w:vAnchor="text" w:hAnchor="text" w:xAlign="right" w:y="1"/>
                    <w:numPr>
                      <w:ilvl w:val="0"/>
                      <w:numId w:val="68"/>
                    </w:numPr>
                    <w:spacing w:before="120"/>
                    <w:suppressOverlap/>
                    <w:jc w:val="both"/>
                    <w:rPr>
                      <w:sz w:val="22"/>
                      <w:szCs w:val="22"/>
                    </w:rPr>
                  </w:pPr>
                  <w:r w:rsidRPr="00317ABF">
                    <w:rPr>
                      <w:sz w:val="22"/>
                      <w:szCs w:val="22"/>
                    </w:rPr>
                    <w:t>ogólną adekwatność złożonych zobowiązań, tak aby umożliwić zrównoważoną konkurencję na rynkach niższego szczebla i ułatwić opartą na współpracy realizację i rozpowszechnianie sieci o bardzo dużej przepustowości w interesie użytkowników końcowych.</w:t>
                  </w:r>
                </w:p>
              </w:tc>
            </w:tr>
          </w:tbl>
          <w:p w14:paraId="533D5B2A" w14:textId="77777777" w:rsidR="001E1112" w:rsidRPr="00317ABF" w:rsidRDefault="001E1112" w:rsidP="00DB3BEC">
            <w:pPr>
              <w:jc w:val="both"/>
              <w:rPr>
                <w:sz w:val="22"/>
                <w:szCs w:val="22"/>
              </w:rPr>
            </w:pPr>
            <w:r w:rsidRPr="00317ABF">
              <w:rPr>
                <w:sz w:val="22"/>
                <w:szCs w:val="22"/>
              </w:rPr>
              <w:t>Biorąc pod uwagę wszystkie opinie wyrażone w ramach konsultacji oraz zakres rozciągłości stopień, w jakim te opinie są reprezentatywne dla poszczególnych zainteresowanych stron, krajowy organ regulacyjny informuje przedsiębiorstwo wyznaczone jako posiadające znaczącą pozycję rynkową o swoich wstępnych wnioskach co do tego, czy złożone zobowiązania spełniają cele, kryteria i procedury określone w niniejszym artykule i w art. 68, 76 lub 78, stosownie do przypadku, i na jakich warunkach może on rozważyć uczynienie tych zobowiązań wiążącymi. Przedsiębiorstwo może zmienić swoją początkową ofertę, aby uwzględnić wstępne wnioski krajowego organu regulacyjnego, z myślą o spełnieniu kryteriów określonych w niniejszym artykule i w art. 68, 76 lub 78, stosownie do przypadku.</w:t>
            </w:r>
          </w:p>
        </w:tc>
        <w:tc>
          <w:tcPr>
            <w:tcW w:w="986" w:type="dxa"/>
          </w:tcPr>
          <w:p w14:paraId="6A35F5B5" w14:textId="77777777" w:rsidR="001E1112" w:rsidRPr="00317ABF" w:rsidRDefault="001E1112" w:rsidP="00DB3BEC">
            <w:pPr>
              <w:jc w:val="both"/>
              <w:rPr>
                <w:sz w:val="22"/>
                <w:szCs w:val="22"/>
              </w:rPr>
            </w:pPr>
          </w:p>
        </w:tc>
        <w:tc>
          <w:tcPr>
            <w:tcW w:w="910" w:type="dxa"/>
          </w:tcPr>
          <w:p w14:paraId="459CC264" w14:textId="15FD261F" w:rsidR="001E1112" w:rsidRPr="00317ABF" w:rsidRDefault="001E1112" w:rsidP="7753F98D">
            <w:pPr>
              <w:pStyle w:val="Tekstpodstawowy"/>
              <w:spacing w:line="259" w:lineRule="auto"/>
              <w:rPr>
                <w:b/>
                <w:bCs/>
                <w:noProof/>
                <w:sz w:val="22"/>
                <w:szCs w:val="22"/>
              </w:rPr>
            </w:pPr>
            <w:r w:rsidRPr="00317ABF">
              <w:rPr>
                <w:b/>
                <w:bCs/>
                <w:noProof/>
                <w:sz w:val="22"/>
                <w:szCs w:val="22"/>
              </w:rPr>
              <w:t>Art. 2</w:t>
            </w:r>
            <w:r w:rsidR="2058E06F" w:rsidRPr="00317ABF">
              <w:rPr>
                <w:b/>
                <w:bCs/>
                <w:noProof/>
                <w:sz w:val="22"/>
                <w:szCs w:val="22"/>
              </w:rPr>
              <w:t>38-241</w:t>
            </w:r>
          </w:p>
          <w:p w14:paraId="62566313" w14:textId="1DA86696" w:rsidR="001E1112" w:rsidRPr="00317ABF" w:rsidRDefault="001E1112" w:rsidP="00DB3BEC">
            <w:pPr>
              <w:pStyle w:val="Tekstpodstawowy"/>
              <w:rPr>
                <w:b/>
                <w:bCs/>
                <w:noProof/>
                <w:sz w:val="22"/>
                <w:szCs w:val="22"/>
              </w:rPr>
            </w:pPr>
          </w:p>
          <w:p w14:paraId="1B20988B" w14:textId="4E60417E" w:rsidR="001E1112" w:rsidRPr="00317ABF" w:rsidRDefault="001E1112" w:rsidP="00DB3BEC">
            <w:pPr>
              <w:pStyle w:val="Tekstpodstawowy"/>
              <w:rPr>
                <w:b/>
                <w:bCs/>
                <w:noProof/>
                <w:sz w:val="22"/>
                <w:szCs w:val="22"/>
              </w:rPr>
            </w:pPr>
          </w:p>
        </w:tc>
        <w:tc>
          <w:tcPr>
            <w:tcW w:w="6814" w:type="dxa"/>
            <w:gridSpan w:val="2"/>
          </w:tcPr>
          <w:p w14:paraId="44D57494" w14:textId="4F6C9D65" w:rsidR="761509A0" w:rsidRPr="00317ABF" w:rsidRDefault="761509A0" w:rsidP="7753F98D">
            <w:pPr>
              <w:jc w:val="both"/>
              <w:rPr>
                <w:sz w:val="22"/>
                <w:szCs w:val="22"/>
              </w:rPr>
            </w:pPr>
            <w:r w:rsidRPr="00317ABF">
              <w:rPr>
                <w:sz w:val="22"/>
                <w:szCs w:val="22"/>
              </w:rPr>
              <w:t>Art. 238. Propozycja zobowiązań w szczególności:</w:t>
            </w:r>
          </w:p>
          <w:p w14:paraId="043B7F06" w14:textId="78D6D60E" w:rsidR="761509A0" w:rsidRPr="00317ABF" w:rsidRDefault="761509A0" w:rsidP="7753F98D">
            <w:pPr>
              <w:jc w:val="both"/>
            </w:pPr>
            <w:r w:rsidRPr="00317ABF">
              <w:rPr>
                <w:sz w:val="22"/>
                <w:szCs w:val="22"/>
              </w:rPr>
              <w:t>1)</w:t>
            </w:r>
            <w:r w:rsidRPr="00317ABF">
              <w:tab/>
            </w:r>
            <w:r w:rsidRPr="00317ABF">
              <w:rPr>
                <w:sz w:val="22"/>
                <w:szCs w:val="22"/>
              </w:rPr>
              <w:t>jest oparta na uczciwych, rozsądnych i otwartych na wszystkich uczestników rynku warunkach;</w:t>
            </w:r>
          </w:p>
          <w:p w14:paraId="65944996" w14:textId="62BB571D" w:rsidR="761509A0" w:rsidRPr="00317ABF" w:rsidRDefault="761509A0" w:rsidP="7753F98D">
            <w:pPr>
              <w:jc w:val="both"/>
            </w:pPr>
            <w:r w:rsidRPr="00317ABF">
              <w:rPr>
                <w:sz w:val="22"/>
                <w:szCs w:val="22"/>
              </w:rPr>
              <w:t>2)</w:t>
            </w:r>
            <w:r w:rsidRPr="00317ABF">
              <w:tab/>
            </w:r>
            <w:r w:rsidRPr="00317ABF">
              <w:rPr>
                <w:sz w:val="22"/>
                <w:szCs w:val="22"/>
              </w:rPr>
              <w:t>zapewnia dostęp telekomunikacyjny, w tym  do sieci o bardzo dużej przepustowości, innym podmiotom, oferowany z dostatecznym wyprzedzeniem przed uruchomieniem usług detalicznych;</w:t>
            </w:r>
          </w:p>
          <w:p w14:paraId="13EE5425" w14:textId="0366D44C" w:rsidR="761509A0" w:rsidRPr="00317ABF" w:rsidRDefault="761509A0" w:rsidP="7753F98D">
            <w:pPr>
              <w:jc w:val="both"/>
            </w:pPr>
            <w:r w:rsidRPr="00317ABF">
              <w:rPr>
                <w:sz w:val="22"/>
                <w:szCs w:val="22"/>
              </w:rPr>
              <w:t>3)</w:t>
            </w:r>
            <w:r w:rsidRPr="00317ABF">
              <w:tab/>
            </w:r>
            <w:r w:rsidRPr="00317ABF">
              <w:rPr>
                <w:sz w:val="22"/>
                <w:szCs w:val="22"/>
              </w:rPr>
              <w:t>w interesie użytkowników końcowych zapewnia zrównoważoną konkurencję na rynkach detalicznych i ułatwia współpracę przy realizacji sieci o bardzo dużej przepustowości.</w:t>
            </w:r>
          </w:p>
          <w:p w14:paraId="537560FC" w14:textId="2E41970B" w:rsidR="761509A0" w:rsidRPr="00317ABF" w:rsidRDefault="761509A0" w:rsidP="7753F98D">
            <w:pPr>
              <w:jc w:val="both"/>
            </w:pPr>
            <w:r w:rsidRPr="00317ABF">
              <w:rPr>
                <w:sz w:val="22"/>
                <w:szCs w:val="22"/>
              </w:rPr>
              <w:t>Art. 239. Prezes UKE przed udostępnieniem propozycji zobowiązań na stronie podmiotowej BIP UKE, w drodze decyzji odmawia jej zatwierdzenia, jeżeli z analizy  wynika, że propozycja nie spełnia przesłanek określonych w art. 238.</w:t>
            </w:r>
          </w:p>
          <w:p w14:paraId="34709794" w14:textId="6914B95B" w:rsidR="761509A0" w:rsidRPr="00317ABF" w:rsidRDefault="761509A0" w:rsidP="7753F98D">
            <w:pPr>
              <w:jc w:val="both"/>
            </w:pPr>
            <w:r w:rsidRPr="00317ABF">
              <w:rPr>
                <w:sz w:val="22"/>
                <w:szCs w:val="22"/>
              </w:rPr>
              <w:t>Art. 240. Prezes UKE przed przeprowadzeniem oceny propozycji zobowiązań, udostępnia ją na stronie podmiotowej BIP UKE i wyznacza nie krótszy niż 30 dni termin na zgłaszanie stanowisk konsultacyjnych,.</w:t>
            </w:r>
          </w:p>
          <w:p w14:paraId="4AF92221" w14:textId="4EA6FA8B" w:rsidR="761509A0" w:rsidRPr="00317ABF" w:rsidRDefault="761509A0" w:rsidP="7753F98D">
            <w:pPr>
              <w:jc w:val="both"/>
            </w:pPr>
            <w:r w:rsidRPr="00317ABF">
              <w:rPr>
                <w:sz w:val="22"/>
                <w:szCs w:val="22"/>
              </w:rPr>
              <w:t>Art. 241. 1. Prezes UKE dokonując wstępnej oceny propozycji zobowiązań, bierze pod uwagę przesłanki, o których mowa w art. 238 a także odpowiednio przesłanki, o których mowa w art. 244, oraz stanowiska złożone w ramach konsultacji.</w:t>
            </w:r>
          </w:p>
          <w:p w14:paraId="58339EA3" w14:textId="1999587F" w:rsidR="761509A0" w:rsidRPr="00317ABF" w:rsidRDefault="761509A0" w:rsidP="7753F98D">
            <w:pPr>
              <w:jc w:val="both"/>
            </w:pPr>
            <w:r w:rsidRPr="00317ABF">
              <w:rPr>
                <w:sz w:val="22"/>
                <w:szCs w:val="22"/>
              </w:rPr>
              <w:t>2. Prezes UKE zawiadamia przedsiębiorcę komunikacji elektronicznej o znaczącej pozycji rynkowej o wstępnej ocenie złożonej propozycji zobowiązań.</w:t>
            </w:r>
          </w:p>
          <w:p w14:paraId="3755B287" w14:textId="6A1F40BD" w:rsidR="761509A0" w:rsidRPr="00317ABF" w:rsidRDefault="761509A0" w:rsidP="7753F98D">
            <w:pPr>
              <w:jc w:val="both"/>
            </w:pPr>
            <w:r w:rsidRPr="00317ABF">
              <w:rPr>
                <w:sz w:val="22"/>
                <w:szCs w:val="22"/>
              </w:rPr>
              <w:t>3. Przedsiębiorca komunikacji elektronicznej o znaczącej pozycji rynkowej, w celu uwzględnienia wstępnej oceny, może dokonać zmiany propozycji zobowiązań w terminie wyznaczonym przez Prezesa UKE, nie krótszym niż 14 dni.</w:t>
            </w:r>
          </w:p>
          <w:p w14:paraId="37EB2CC1" w14:textId="4B57BFA1" w:rsidR="7753F98D" w:rsidRPr="00317ABF" w:rsidRDefault="7753F98D" w:rsidP="7753F98D">
            <w:pPr>
              <w:jc w:val="both"/>
              <w:rPr>
                <w:sz w:val="22"/>
                <w:szCs w:val="22"/>
              </w:rPr>
            </w:pPr>
          </w:p>
          <w:p w14:paraId="255DB2B5" w14:textId="08F74054" w:rsidR="001E1112" w:rsidRPr="00317ABF" w:rsidRDefault="001E1112" w:rsidP="00DB3BEC">
            <w:pPr>
              <w:jc w:val="both"/>
              <w:rPr>
                <w:sz w:val="22"/>
                <w:szCs w:val="22"/>
              </w:rPr>
            </w:pPr>
          </w:p>
          <w:p w14:paraId="210B152C" w14:textId="485D9DCD" w:rsidR="001E1112" w:rsidRPr="00317ABF" w:rsidRDefault="001E1112" w:rsidP="00DB3BEC">
            <w:pPr>
              <w:jc w:val="both"/>
              <w:rPr>
                <w:sz w:val="22"/>
                <w:szCs w:val="22"/>
              </w:rPr>
            </w:pPr>
          </w:p>
        </w:tc>
      </w:tr>
      <w:tr w:rsidR="001E1112" w:rsidRPr="00317ABF" w14:paraId="2A21FC99" w14:textId="77777777" w:rsidTr="7753F98D">
        <w:trPr>
          <w:gridAfter w:val="2"/>
          <w:wAfter w:w="175" w:type="dxa"/>
        </w:trPr>
        <w:tc>
          <w:tcPr>
            <w:tcW w:w="704" w:type="dxa"/>
          </w:tcPr>
          <w:p w14:paraId="38756244" w14:textId="77777777" w:rsidR="001E1112" w:rsidRPr="00317ABF" w:rsidRDefault="001E1112" w:rsidP="00DB3BEC">
            <w:pPr>
              <w:jc w:val="both"/>
              <w:rPr>
                <w:sz w:val="22"/>
                <w:szCs w:val="22"/>
              </w:rPr>
            </w:pPr>
            <w:r w:rsidRPr="00317ABF">
              <w:rPr>
                <w:sz w:val="22"/>
                <w:szCs w:val="22"/>
              </w:rPr>
              <w:lastRenderedPageBreak/>
              <w:t>Art. 79 ust. 3</w:t>
            </w:r>
          </w:p>
        </w:tc>
        <w:tc>
          <w:tcPr>
            <w:tcW w:w="4308" w:type="dxa"/>
          </w:tcPr>
          <w:p w14:paraId="4643E55A" w14:textId="77777777" w:rsidR="001E1112" w:rsidRPr="00317ABF" w:rsidRDefault="001E1112" w:rsidP="00DB3BEC">
            <w:pPr>
              <w:spacing w:before="120"/>
              <w:jc w:val="both"/>
              <w:rPr>
                <w:sz w:val="22"/>
                <w:szCs w:val="22"/>
              </w:rPr>
            </w:pPr>
            <w:r w:rsidRPr="00317ABF">
              <w:rPr>
                <w:sz w:val="22"/>
                <w:szCs w:val="22"/>
              </w:rPr>
              <w:t>3.   Bez uszczerbku dla art. 76 ust. 2 akapit pierwszy krajowy organ regulacyjny może wydać decyzję, aby uczynić te zobowiązania wiążącymi w całości lub w części.</w:t>
            </w:r>
          </w:p>
          <w:p w14:paraId="0F4EF170" w14:textId="77777777" w:rsidR="001E1112" w:rsidRPr="00317ABF" w:rsidRDefault="001E1112" w:rsidP="00DB3BEC">
            <w:pPr>
              <w:spacing w:before="120"/>
              <w:jc w:val="both"/>
              <w:rPr>
                <w:sz w:val="22"/>
                <w:szCs w:val="22"/>
              </w:rPr>
            </w:pPr>
            <w:r w:rsidRPr="00317ABF">
              <w:rPr>
                <w:sz w:val="22"/>
                <w:szCs w:val="22"/>
              </w:rPr>
              <w:t xml:space="preserve">Na zasadzie odstępstwa od art. 67 ust. 5 krajowy organ regulacyjny może uczynić </w:t>
            </w:r>
            <w:r w:rsidRPr="00317ABF">
              <w:rPr>
                <w:sz w:val="22"/>
                <w:szCs w:val="22"/>
              </w:rPr>
              <w:lastRenderedPageBreak/>
              <w:t>niektóre lub wszystkie zobowiązania wiążącymi przez określony y czas, który może być całym czasem, na który je złożono, a w przypadku zobowiązań dotyczących współinwestycji, którym nadano wiążący charakter na podstawie art. 76 ust. 2 akapit pierwszy, czyni je wiążącymi na okres co najmniej siedmiu lat.</w:t>
            </w:r>
          </w:p>
          <w:p w14:paraId="24411E32" w14:textId="77777777" w:rsidR="001E1112" w:rsidRPr="00317ABF" w:rsidRDefault="001E1112" w:rsidP="00DB3BEC">
            <w:pPr>
              <w:spacing w:before="120"/>
              <w:jc w:val="both"/>
              <w:rPr>
                <w:sz w:val="22"/>
                <w:szCs w:val="22"/>
              </w:rPr>
            </w:pPr>
            <w:r w:rsidRPr="00317ABF">
              <w:rPr>
                <w:sz w:val="22"/>
                <w:szCs w:val="22"/>
              </w:rPr>
              <w:t>Z zastrzeżeniem art. 76, niniejszy artykuł pozostaje bez uszczerbku dla stosowania procedury analizy rynku na podstawie art. 67 i dla nakładania obowiązków na podstawie art. 68.</w:t>
            </w:r>
          </w:p>
          <w:p w14:paraId="067EC7F5" w14:textId="77777777" w:rsidR="001E1112" w:rsidRPr="00317ABF" w:rsidRDefault="001E1112" w:rsidP="00DB3BEC">
            <w:pPr>
              <w:spacing w:before="120"/>
              <w:jc w:val="both"/>
              <w:rPr>
                <w:sz w:val="22"/>
                <w:szCs w:val="22"/>
              </w:rPr>
            </w:pPr>
            <w:r w:rsidRPr="00317ABF">
              <w:rPr>
                <w:sz w:val="22"/>
                <w:szCs w:val="22"/>
              </w:rPr>
              <w:t>W przypadku gdy krajowy organ regulacyjny czyni zobowiązania wiążącymi na podstawie niniejszego artykułu, ocenia na podstawie art. 68 konsekwencje tej decyzji dla rozwoju rynku i odpowiedniość wszelkich obowiązków, które nałożył lub w przypadku braku tych zobowiązań zamierzałby nałożyć, na podstawie tego artykułu lub art. 69–74. Przy zgłaszaniu odpowiedniego planowanego środka na mocy art. 68 zgodnie z art. 32 krajowy organ regulacyjny dołącza do zgłoszonego planowanego środka decyzję dotyczącą zobowiązań.</w:t>
            </w:r>
          </w:p>
        </w:tc>
        <w:tc>
          <w:tcPr>
            <w:tcW w:w="986" w:type="dxa"/>
          </w:tcPr>
          <w:p w14:paraId="5052A718" w14:textId="1C312188" w:rsidR="001E1112" w:rsidRPr="00317ABF" w:rsidRDefault="001E1112" w:rsidP="00DB3BEC">
            <w:pPr>
              <w:jc w:val="both"/>
              <w:rPr>
                <w:sz w:val="22"/>
                <w:szCs w:val="22"/>
              </w:rPr>
            </w:pPr>
            <w:r w:rsidRPr="00317ABF">
              <w:rPr>
                <w:sz w:val="22"/>
                <w:szCs w:val="22"/>
              </w:rPr>
              <w:lastRenderedPageBreak/>
              <w:t>N</w:t>
            </w:r>
          </w:p>
        </w:tc>
        <w:tc>
          <w:tcPr>
            <w:tcW w:w="910" w:type="dxa"/>
          </w:tcPr>
          <w:p w14:paraId="2BBD8B24" w14:textId="13059DBE" w:rsidR="001E1112" w:rsidRPr="00317ABF" w:rsidRDefault="001E1112" w:rsidP="00DB3BEC">
            <w:pPr>
              <w:pStyle w:val="Tekstpodstawowy"/>
              <w:rPr>
                <w:b/>
                <w:bCs/>
                <w:noProof/>
                <w:sz w:val="22"/>
                <w:szCs w:val="22"/>
              </w:rPr>
            </w:pPr>
            <w:r w:rsidRPr="00317ABF">
              <w:rPr>
                <w:b/>
                <w:bCs/>
                <w:noProof/>
                <w:sz w:val="22"/>
                <w:szCs w:val="22"/>
              </w:rPr>
              <w:t>Art. 2</w:t>
            </w:r>
            <w:r w:rsidR="423FD9A2" w:rsidRPr="00317ABF">
              <w:rPr>
                <w:b/>
                <w:bCs/>
                <w:noProof/>
                <w:sz w:val="22"/>
                <w:szCs w:val="22"/>
              </w:rPr>
              <w:t>42 ust 1 i 2</w:t>
            </w:r>
          </w:p>
        </w:tc>
        <w:tc>
          <w:tcPr>
            <w:tcW w:w="6814" w:type="dxa"/>
            <w:gridSpan w:val="2"/>
          </w:tcPr>
          <w:p w14:paraId="16C08C53" w14:textId="5671458C" w:rsidR="001E1112" w:rsidRPr="00317ABF" w:rsidRDefault="423FD9A2" w:rsidP="7753F98D">
            <w:pPr>
              <w:jc w:val="both"/>
              <w:rPr>
                <w:sz w:val="22"/>
                <w:szCs w:val="22"/>
              </w:rPr>
            </w:pPr>
            <w:r w:rsidRPr="00317ABF">
              <w:rPr>
                <w:sz w:val="22"/>
                <w:szCs w:val="22"/>
              </w:rPr>
              <w:t>Art. 242. 1. Prezes UKE, w drodze decyzji, może zatwierdzić propozycję zobowiązań.</w:t>
            </w:r>
          </w:p>
          <w:p w14:paraId="2B1C2ED9" w14:textId="27E9E16F" w:rsidR="001E1112" w:rsidRPr="00317ABF" w:rsidRDefault="423FD9A2" w:rsidP="7753F98D">
            <w:pPr>
              <w:jc w:val="both"/>
            </w:pPr>
            <w:r w:rsidRPr="00317ABF">
              <w:rPr>
                <w:sz w:val="22"/>
                <w:szCs w:val="22"/>
              </w:rPr>
              <w:t>2. W przypadku propozycji zobowiązań dotyczącej współinwestycji w sieci o bardzo dużej przepustowości, Prezes UKE w decyzji, o której mowa w ust. 1, określa termin wykonywania zatwierdzonych zobowiązań na okres co najmniej siedmiu lat.</w:t>
            </w:r>
          </w:p>
          <w:p w14:paraId="378261BF" w14:textId="2819A8C8" w:rsidR="001E1112" w:rsidRPr="00317ABF" w:rsidRDefault="001E1112" w:rsidP="7753F98D">
            <w:pPr>
              <w:jc w:val="both"/>
              <w:rPr>
                <w:sz w:val="22"/>
                <w:szCs w:val="22"/>
              </w:rPr>
            </w:pPr>
          </w:p>
        </w:tc>
      </w:tr>
      <w:tr w:rsidR="001E1112" w:rsidRPr="00317ABF" w14:paraId="5A626FAE" w14:textId="77777777" w:rsidTr="7753F98D">
        <w:trPr>
          <w:gridAfter w:val="2"/>
          <w:wAfter w:w="175" w:type="dxa"/>
        </w:trPr>
        <w:tc>
          <w:tcPr>
            <w:tcW w:w="704" w:type="dxa"/>
          </w:tcPr>
          <w:p w14:paraId="29BDD8AB" w14:textId="77777777" w:rsidR="001E1112" w:rsidRPr="00317ABF" w:rsidRDefault="001E1112" w:rsidP="00DB3BEC">
            <w:pPr>
              <w:jc w:val="both"/>
              <w:rPr>
                <w:sz w:val="22"/>
                <w:szCs w:val="22"/>
              </w:rPr>
            </w:pPr>
            <w:r w:rsidRPr="00317ABF">
              <w:rPr>
                <w:sz w:val="22"/>
                <w:szCs w:val="22"/>
              </w:rPr>
              <w:lastRenderedPageBreak/>
              <w:t>Art. 79 ust. 4</w:t>
            </w:r>
          </w:p>
        </w:tc>
        <w:tc>
          <w:tcPr>
            <w:tcW w:w="4308" w:type="dxa"/>
          </w:tcPr>
          <w:p w14:paraId="1F72711F" w14:textId="77777777" w:rsidR="001E1112" w:rsidRPr="00317ABF" w:rsidRDefault="001E1112" w:rsidP="00DB3BEC">
            <w:pPr>
              <w:spacing w:before="120"/>
              <w:jc w:val="both"/>
              <w:rPr>
                <w:sz w:val="22"/>
                <w:szCs w:val="22"/>
              </w:rPr>
            </w:pPr>
            <w:r w:rsidRPr="00317ABF">
              <w:rPr>
                <w:sz w:val="22"/>
                <w:szCs w:val="22"/>
              </w:rPr>
              <w:t xml:space="preserve">4.   Krajowy organ regulacyjny monitoruje, nadzoruje i zapewnia zgodność z zobowiązaniami, którym nadał wiążący charakter zgodnie z ust. 3 niniejszego artykułu, w taki sam sposób, w jaki monitoruje, nadzoruje i zapewnia zgodność z obowiązkami nałożonymi na podstawie art. 68, i rozważa przedłużenie okresu ich obowiązywania w przypadku upływu okresu, na jaki je pierwotnie złożono. Jeżeli krajowy organ regulacyjny stwierdzi, że przedsiębiorstwo nie </w:t>
            </w:r>
            <w:r w:rsidRPr="00317ABF">
              <w:rPr>
                <w:sz w:val="22"/>
                <w:szCs w:val="22"/>
              </w:rPr>
              <w:lastRenderedPageBreak/>
              <w:t>przestrzega zobowiązań, które stały się wiążące zgodnie z ust. 3 niniejszego artykułu, może nałożyć kary na takie przedsiębiorstwo zgodnie z art. 29. Bez uszczerbku dla procedury zapewniania zgodności szczegółowych obowiązków na mocy art. 30 krajowy organ regulacyjny może ponownie ocenić obowiązki nałożone zgodnie z art. 68 ust. 6.</w:t>
            </w:r>
          </w:p>
        </w:tc>
        <w:tc>
          <w:tcPr>
            <w:tcW w:w="986" w:type="dxa"/>
          </w:tcPr>
          <w:p w14:paraId="60FB3335" w14:textId="77777777" w:rsidR="001E1112" w:rsidRPr="00317ABF" w:rsidRDefault="001E1112" w:rsidP="00DB3BEC">
            <w:pPr>
              <w:jc w:val="both"/>
              <w:rPr>
                <w:sz w:val="22"/>
                <w:szCs w:val="22"/>
              </w:rPr>
            </w:pPr>
          </w:p>
        </w:tc>
        <w:tc>
          <w:tcPr>
            <w:tcW w:w="910" w:type="dxa"/>
          </w:tcPr>
          <w:p w14:paraId="3706A221" w14:textId="2C52F1C2" w:rsidR="001E1112" w:rsidRPr="00317ABF" w:rsidRDefault="00DB3BEC" w:rsidP="00DB3BEC">
            <w:pPr>
              <w:pStyle w:val="Tekstpodstawowy"/>
              <w:rPr>
                <w:b/>
                <w:bCs/>
                <w:noProof/>
                <w:sz w:val="22"/>
                <w:szCs w:val="22"/>
              </w:rPr>
            </w:pPr>
            <w:r w:rsidRPr="00317ABF">
              <w:rPr>
                <w:b/>
                <w:bCs/>
                <w:noProof/>
                <w:sz w:val="22"/>
                <w:szCs w:val="22"/>
              </w:rPr>
              <w:t xml:space="preserve">Art. </w:t>
            </w:r>
            <w:r w:rsidR="001E1112" w:rsidRPr="00317ABF">
              <w:rPr>
                <w:b/>
                <w:bCs/>
                <w:noProof/>
                <w:sz w:val="22"/>
                <w:szCs w:val="22"/>
              </w:rPr>
              <w:t>2</w:t>
            </w:r>
            <w:r w:rsidR="5CBC72CB" w:rsidRPr="00317ABF">
              <w:rPr>
                <w:b/>
                <w:bCs/>
                <w:noProof/>
                <w:sz w:val="22"/>
                <w:szCs w:val="22"/>
              </w:rPr>
              <w:t>42</w:t>
            </w:r>
            <w:r w:rsidR="001E1112" w:rsidRPr="00317ABF">
              <w:rPr>
                <w:b/>
                <w:bCs/>
                <w:noProof/>
                <w:sz w:val="22"/>
                <w:szCs w:val="22"/>
              </w:rPr>
              <w:t xml:space="preserve"> ust. 3</w:t>
            </w:r>
          </w:p>
          <w:p w14:paraId="3A3298E8" w14:textId="68735366" w:rsidR="001E1112" w:rsidRPr="00317ABF" w:rsidRDefault="001E1112" w:rsidP="00DB3BEC">
            <w:pPr>
              <w:pStyle w:val="Tekstpodstawowy"/>
              <w:rPr>
                <w:b/>
                <w:bCs/>
                <w:noProof/>
                <w:sz w:val="22"/>
                <w:szCs w:val="22"/>
              </w:rPr>
            </w:pPr>
          </w:p>
          <w:p w14:paraId="1BEA8F96" w14:textId="7C9DAB21" w:rsidR="001E1112" w:rsidRPr="00317ABF" w:rsidRDefault="001E1112" w:rsidP="00DB3BEC">
            <w:pPr>
              <w:pStyle w:val="Tekstpodstawowy"/>
              <w:rPr>
                <w:b/>
                <w:bCs/>
                <w:noProof/>
                <w:sz w:val="22"/>
                <w:szCs w:val="22"/>
              </w:rPr>
            </w:pPr>
          </w:p>
          <w:p w14:paraId="46FA7E82" w14:textId="374E6EF8" w:rsidR="001E1112" w:rsidRPr="00317ABF" w:rsidRDefault="00DB3BEC" w:rsidP="00DB3BEC">
            <w:pPr>
              <w:pStyle w:val="Tekstpodstawowy"/>
              <w:rPr>
                <w:b/>
                <w:bCs/>
                <w:noProof/>
                <w:sz w:val="22"/>
                <w:szCs w:val="22"/>
              </w:rPr>
            </w:pPr>
            <w:r w:rsidRPr="00317ABF">
              <w:rPr>
                <w:b/>
                <w:bCs/>
                <w:noProof/>
                <w:sz w:val="22"/>
                <w:szCs w:val="22"/>
              </w:rPr>
              <w:t xml:space="preserve">Art. </w:t>
            </w:r>
            <w:r w:rsidR="001E1112" w:rsidRPr="00317ABF">
              <w:rPr>
                <w:b/>
                <w:bCs/>
                <w:noProof/>
                <w:sz w:val="22"/>
                <w:szCs w:val="22"/>
              </w:rPr>
              <w:t>2</w:t>
            </w:r>
            <w:r w:rsidR="1C94A9AB" w:rsidRPr="00317ABF">
              <w:rPr>
                <w:b/>
                <w:bCs/>
                <w:noProof/>
                <w:sz w:val="22"/>
                <w:szCs w:val="22"/>
              </w:rPr>
              <w:t>43</w:t>
            </w:r>
            <w:r w:rsidR="001E1112" w:rsidRPr="00317ABF">
              <w:rPr>
                <w:b/>
                <w:bCs/>
                <w:noProof/>
                <w:sz w:val="22"/>
                <w:szCs w:val="22"/>
              </w:rPr>
              <w:t xml:space="preserve"> </w:t>
            </w:r>
            <w:r w:rsidRPr="00317ABF">
              <w:rPr>
                <w:b/>
                <w:bCs/>
                <w:noProof/>
                <w:sz w:val="22"/>
                <w:szCs w:val="22"/>
              </w:rPr>
              <w:t xml:space="preserve">ust. </w:t>
            </w:r>
            <w:r w:rsidR="001E1112" w:rsidRPr="00317ABF">
              <w:rPr>
                <w:b/>
                <w:bCs/>
                <w:noProof/>
                <w:sz w:val="22"/>
                <w:szCs w:val="22"/>
              </w:rPr>
              <w:t>2</w:t>
            </w:r>
          </w:p>
        </w:tc>
        <w:tc>
          <w:tcPr>
            <w:tcW w:w="6814" w:type="dxa"/>
            <w:gridSpan w:val="2"/>
          </w:tcPr>
          <w:p w14:paraId="086F2B9A" w14:textId="77ECFB40" w:rsidR="29464C0A" w:rsidRPr="00317ABF" w:rsidRDefault="29464C0A" w:rsidP="7753F98D">
            <w:pPr>
              <w:jc w:val="both"/>
              <w:rPr>
                <w:sz w:val="22"/>
                <w:szCs w:val="22"/>
              </w:rPr>
            </w:pPr>
            <w:r w:rsidRPr="00317ABF">
              <w:rPr>
                <w:sz w:val="22"/>
                <w:szCs w:val="22"/>
              </w:rPr>
              <w:t>3. Prezes UKE może, ze względu na potrzebę wspierania zrównoważonej, długoterminowej konkurencji oraz potrzeby użytkowników końcowych, w drodze decyzji, przedłużyć okres obowiązywania decyzji, o której mowa w ust. 1.</w:t>
            </w:r>
          </w:p>
          <w:p w14:paraId="64425EFF" w14:textId="46EDBD95" w:rsidR="001E1112" w:rsidRPr="00317ABF" w:rsidRDefault="001E1112" w:rsidP="00DB3BEC">
            <w:pPr>
              <w:pStyle w:val="Tekstpodstawowy"/>
              <w:rPr>
                <w:sz w:val="22"/>
                <w:szCs w:val="22"/>
              </w:rPr>
            </w:pPr>
          </w:p>
          <w:p w14:paraId="0D568BE5" w14:textId="64D7A47A" w:rsidR="001E1112" w:rsidRPr="00317ABF" w:rsidRDefault="3E59FE57" w:rsidP="00DB3BEC">
            <w:pPr>
              <w:pStyle w:val="Tekstpodstawowy"/>
              <w:rPr>
                <w:sz w:val="22"/>
                <w:szCs w:val="22"/>
              </w:rPr>
            </w:pPr>
            <w:r w:rsidRPr="00317ABF">
              <w:rPr>
                <w:sz w:val="22"/>
                <w:szCs w:val="22"/>
              </w:rPr>
              <w:t>2. Prezes UKE może, biorąc pod uwagę przesłanki, o których mowa w art. 202  pkt 2 lit. a, nałożyć utrzymać lub zmienić obowiązki regulacyjne, niezależnie od decyzji, o której mowa w art. 242 ust. 1, a w przypadku, gdy decyzja ta dotyczy propozycji zobowiązań, o której mowa w art. 237 ust. 1 pkt 2,  jeżeli w inny sposób nie można uniknąć zagrożenia dla konkurencji lub przemawia za tym aktualna sytuacja na rynku właściwym.</w:t>
            </w:r>
          </w:p>
        </w:tc>
      </w:tr>
      <w:tr w:rsidR="001E1112" w:rsidRPr="00317ABF" w14:paraId="13B512BF" w14:textId="77777777" w:rsidTr="7753F98D">
        <w:trPr>
          <w:gridAfter w:val="2"/>
          <w:wAfter w:w="175" w:type="dxa"/>
        </w:trPr>
        <w:tc>
          <w:tcPr>
            <w:tcW w:w="704" w:type="dxa"/>
          </w:tcPr>
          <w:p w14:paraId="426D1F1B" w14:textId="77777777" w:rsidR="001E1112" w:rsidRPr="00317ABF" w:rsidRDefault="001E1112" w:rsidP="00DB3BEC">
            <w:pPr>
              <w:jc w:val="both"/>
              <w:rPr>
                <w:b/>
                <w:sz w:val="22"/>
                <w:szCs w:val="22"/>
              </w:rPr>
            </w:pPr>
            <w:r w:rsidRPr="00317ABF">
              <w:rPr>
                <w:b/>
                <w:sz w:val="22"/>
                <w:szCs w:val="22"/>
              </w:rPr>
              <w:lastRenderedPageBreak/>
              <w:t>Art. 80</w:t>
            </w:r>
          </w:p>
        </w:tc>
        <w:tc>
          <w:tcPr>
            <w:tcW w:w="4308" w:type="dxa"/>
          </w:tcPr>
          <w:p w14:paraId="594F0937" w14:textId="77777777" w:rsidR="001E1112" w:rsidRPr="00317ABF" w:rsidRDefault="001E1112" w:rsidP="00DB3BEC">
            <w:pPr>
              <w:spacing w:before="120"/>
              <w:jc w:val="both"/>
              <w:rPr>
                <w:sz w:val="22"/>
                <w:szCs w:val="22"/>
              </w:rPr>
            </w:pPr>
            <w:r w:rsidRPr="00317ABF">
              <w:rPr>
                <w:b/>
                <w:bCs/>
                <w:sz w:val="22"/>
                <w:szCs w:val="22"/>
              </w:rPr>
              <w:t>Przedsiębiorstwa wyłącznie hurtowe</w:t>
            </w:r>
          </w:p>
        </w:tc>
        <w:tc>
          <w:tcPr>
            <w:tcW w:w="986" w:type="dxa"/>
          </w:tcPr>
          <w:p w14:paraId="42E97E3E" w14:textId="77777777" w:rsidR="001E1112" w:rsidRPr="00317ABF" w:rsidRDefault="001E1112" w:rsidP="00DB3BEC">
            <w:pPr>
              <w:jc w:val="both"/>
              <w:rPr>
                <w:sz w:val="22"/>
                <w:szCs w:val="22"/>
              </w:rPr>
            </w:pPr>
          </w:p>
        </w:tc>
        <w:tc>
          <w:tcPr>
            <w:tcW w:w="910" w:type="dxa"/>
          </w:tcPr>
          <w:p w14:paraId="646FF8F6" w14:textId="77777777" w:rsidR="001E1112" w:rsidRPr="00317ABF" w:rsidRDefault="001E1112" w:rsidP="00DB3BEC">
            <w:pPr>
              <w:pStyle w:val="Tekstpodstawowy"/>
              <w:rPr>
                <w:b/>
                <w:noProof/>
                <w:sz w:val="22"/>
                <w:szCs w:val="22"/>
              </w:rPr>
            </w:pPr>
          </w:p>
        </w:tc>
        <w:tc>
          <w:tcPr>
            <w:tcW w:w="6814" w:type="dxa"/>
            <w:gridSpan w:val="2"/>
          </w:tcPr>
          <w:p w14:paraId="2F46D11F" w14:textId="77777777" w:rsidR="001E1112" w:rsidRPr="00317ABF" w:rsidRDefault="001E1112" w:rsidP="00DB3BEC">
            <w:pPr>
              <w:pStyle w:val="Tekstpodstawowy"/>
              <w:rPr>
                <w:sz w:val="22"/>
                <w:szCs w:val="22"/>
              </w:rPr>
            </w:pPr>
          </w:p>
        </w:tc>
      </w:tr>
      <w:tr w:rsidR="001E1112" w:rsidRPr="00317ABF" w14:paraId="67C615EA" w14:textId="77777777" w:rsidTr="7753F98D">
        <w:trPr>
          <w:gridAfter w:val="2"/>
          <w:wAfter w:w="175" w:type="dxa"/>
        </w:trPr>
        <w:tc>
          <w:tcPr>
            <w:tcW w:w="704" w:type="dxa"/>
          </w:tcPr>
          <w:p w14:paraId="57E46397" w14:textId="77777777" w:rsidR="001E1112" w:rsidRPr="00317ABF" w:rsidRDefault="001E1112" w:rsidP="00DB3BEC">
            <w:pPr>
              <w:jc w:val="both"/>
              <w:rPr>
                <w:sz w:val="22"/>
                <w:szCs w:val="22"/>
              </w:rPr>
            </w:pPr>
            <w:r w:rsidRPr="00317ABF">
              <w:rPr>
                <w:sz w:val="22"/>
                <w:szCs w:val="22"/>
              </w:rPr>
              <w:t>Art. 80 ust. 1</w:t>
            </w:r>
          </w:p>
        </w:tc>
        <w:tc>
          <w:tcPr>
            <w:tcW w:w="4308" w:type="dxa"/>
          </w:tcPr>
          <w:p w14:paraId="4F337B89" w14:textId="77777777" w:rsidR="001E1112" w:rsidRPr="00317ABF" w:rsidRDefault="001E1112" w:rsidP="00DB3BEC">
            <w:pPr>
              <w:spacing w:before="120"/>
              <w:jc w:val="both"/>
              <w:rPr>
                <w:sz w:val="22"/>
                <w:szCs w:val="22"/>
              </w:rPr>
            </w:pPr>
            <w:r w:rsidRPr="00317ABF">
              <w:rPr>
                <w:sz w:val="22"/>
                <w:szCs w:val="22"/>
              </w:rPr>
              <w:t>1.   Krajowy organ regulacyjny, który uzna przedsiębiorstwo, które nie jest obecne na żadnym rynku detalicznym usług łączności elektronicznej, za posiadające znaczącą pozycję rynkową na jednym lub kilku rynkach hurtowych zgodnie z art. 67 rozpatrzy, czy przedsiębiorstwo to ma następujące cechy:</w:t>
            </w:r>
          </w:p>
          <w:tbl>
            <w:tblPr>
              <w:tblW w:w="5000" w:type="pct"/>
              <w:tblCellSpacing w:w="0" w:type="dxa"/>
              <w:tblLayout w:type="fixed"/>
              <w:tblCellMar>
                <w:left w:w="0" w:type="dxa"/>
                <w:right w:w="0" w:type="dxa"/>
              </w:tblCellMar>
              <w:tblLook w:val="04A0" w:firstRow="1" w:lastRow="0" w:firstColumn="1" w:lastColumn="0" w:noHBand="0" w:noVBand="1"/>
            </w:tblPr>
            <w:tblGrid>
              <w:gridCol w:w="20"/>
              <w:gridCol w:w="4148"/>
            </w:tblGrid>
            <w:tr w:rsidR="001E1112" w:rsidRPr="00317ABF" w14:paraId="7E30F598" w14:textId="77777777" w:rsidTr="007B5338">
              <w:trPr>
                <w:tblCellSpacing w:w="0" w:type="dxa"/>
              </w:trPr>
              <w:tc>
                <w:tcPr>
                  <w:tcW w:w="6" w:type="dxa"/>
                  <w:hideMark/>
                </w:tcPr>
                <w:p w14:paraId="217639F9" w14:textId="77777777" w:rsidR="001E1112" w:rsidRPr="00317ABF" w:rsidRDefault="001E1112" w:rsidP="00EE0AC3">
                  <w:pPr>
                    <w:framePr w:hSpace="141" w:wrap="around" w:vAnchor="text" w:hAnchor="text" w:xAlign="right" w:y="1"/>
                    <w:spacing w:before="120"/>
                    <w:suppressOverlap/>
                    <w:jc w:val="both"/>
                    <w:rPr>
                      <w:sz w:val="22"/>
                      <w:szCs w:val="22"/>
                    </w:rPr>
                  </w:pPr>
                </w:p>
              </w:tc>
              <w:tc>
                <w:tcPr>
                  <w:tcW w:w="9066" w:type="dxa"/>
                  <w:hideMark/>
                </w:tcPr>
                <w:p w14:paraId="3A0C6754" w14:textId="77777777" w:rsidR="001E1112" w:rsidRPr="00317ABF" w:rsidRDefault="001E1112" w:rsidP="00EE0AC3">
                  <w:pPr>
                    <w:framePr w:hSpace="141" w:wrap="around" w:vAnchor="text" w:hAnchor="text" w:xAlign="right" w:y="1"/>
                    <w:numPr>
                      <w:ilvl w:val="0"/>
                      <w:numId w:val="70"/>
                    </w:numPr>
                    <w:spacing w:before="120"/>
                    <w:suppressOverlap/>
                    <w:jc w:val="both"/>
                    <w:rPr>
                      <w:sz w:val="22"/>
                      <w:szCs w:val="22"/>
                    </w:rPr>
                  </w:pPr>
                  <w:r w:rsidRPr="00317ABF">
                    <w:rPr>
                      <w:sz w:val="22"/>
                      <w:szCs w:val="22"/>
                    </w:rPr>
                    <w:t>wszystkie spółki i jednostki organizacyjne w ramach przedsiębiorstwa, wszystkie spółki kontrolowane, lecz niekoniecznie będące całkowitą własnością tego samego końcowego właściciela, oraz wszelcy udziałowcy mogący sprawować kontrolę nad danym przedsiębiorstwem prowadzą obecnie lub planują prowadzić w przyszłości działalność jedynie na hurtowych rynkach usług łączności elektronicznej, a przez to nie prowadzą działalności na jakimkolwiek detalicznym rynku usług łączności elektronicznej świadczonych na rzecz użytkowników końcowych w Unii;</w:t>
                  </w:r>
                </w:p>
              </w:tc>
            </w:tr>
          </w:tbl>
          <w:p w14:paraId="0F62E2FE" w14:textId="77777777" w:rsidR="001E1112" w:rsidRPr="00317ABF" w:rsidRDefault="001E1112" w:rsidP="00DB3BEC">
            <w:pPr>
              <w:jc w:val="both"/>
              <w:rPr>
                <w:vanish/>
                <w:sz w:val="22"/>
                <w:szCs w:val="22"/>
              </w:rPr>
            </w:pPr>
          </w:p>
          <w:tbl>
            <w:tblPr>
              <w:tblW w:w="5000" w:type="pct"/>
              <w:tblCellSpacing w:w="0" w:type="dxa"/>
              <w:tblLayout w:type="fixed"/>
              <w:tblCellMar>
                <w:left w:w="0" w:type="dxa"/>
                <w:right w:w="0" w:type="dxa"/>
              </w:tblCellMar>
              <w:tblLook w:val="04A0" w:firstRow="1" w:lastRow="0" w:firstColumn="1" w:lastColumn="0" w:noHBand="0" w:noVBand="1"/>
            </w:tblPr>
            <w:tblGrid>
              <w:gridCol w:w="20"/>
              <w:gridCol w:w="4148"/>
            </w:tblGrid>
            <w:tr w:rsidR="001E1112" w:rsidRPr="00317ABF" w14:paraId="6EEB856F" w14:textId="77777777" w:rsidTr="007B5338">
              <w:trPr>
                <w:tblCellSpacing w:w="0" w:type="dxa"/>
              </w:trPr>
              <w:tc>
                <w:tcPr>
                  <w:tcW w:w="6" w:type="dxa"/>
                  <w:hideMark/>
                </w:tcPr>
                <w:p w14:paraId="33A812B9" w14:textId="77777777" w:rsidR="001E1112" w:rsidRPr="00317ABF" w:rsidRDefault="001E1112" w:rsidP="00EE0AC3">
                  <w:pPr>
                    <w:framePr w:hSpace="141" w:wrap="around" w:vAnchor="text" w:hAnchor="text" w:xAlign="right" w:y="1"/>
                    <w:spacing w:before="120"/>
                    <w:suppressOverlap/>
                    <w:jc w:val="both"/>
                    <w:rPr>
                      <w:sz w:val="22"/>
                      <w:szCs w:val="22"/>
                    </w:rPr>
                  </w:pPr>
                </w:p>
              </w:tc>
              <w:tc>
                <w:tcPr>
                  <w:tcW w:w="9066" w:type="dxa"/>
                  <w:hideMark/>
                </w:tcPr>
                <w:p w14:paraId="58ECA584" w14:textId="77777777" w:rsidR="001E1112" w:rsidRPr="00317ABF" w:rsidRDefault="001E1112" w:rsidP="00EE0AC3">
                  <w:pPr>
                    <w:framePr w:hSpace="141" w:wrap="around" w:vAnchor="text" w:hAnchor="text" w:xAlign="right" w:y="1"/>
                    <w:numPr>
                      <w:ilvl w:val="0"/>
                      <w:numId w:val="70"/>
                    </w:numPr>
                    <w:spacing w:before="120"/>
                    <w:suppressOverlap/>
                    <w:jc w:val="both"/>
                    <w:rPr>
                      <w:sz w:val="22"/>
                      <w:szCs w:val="22"/>
                    </w:rPr>
                  </w:pPr>
                  <w:r w:rsidRPr="00317ABF">
                    <w:rPr>
                      <w:sz w:val="22"/>
                      <w:szCs w:val="22"/>
                    </w:rPr>
                    <w:t xml:space="preserve">przedsiębiorstwo nie jest zobowiązane do współpracy z pojedynczym, </w:t>
                  </w:r>
                  <w:r w:rsidRPr="00317ABF">
                    <w:rPr>
                      <w:sz w:val="22"/>
                      <w:szCs w:val="22"/>
                    </w:rPr>
                    <w:lastRenderedPageBreak/>
                    <w:t>odrębnym przedsiębiorstwem działającym na rynku niższego szczebla, które jest aktywne na jakimkolwiek detalicznym rynku usług łączności elektronicznej świadczonych na rzecz użytkowników końcowych, z powodu umowy na wyłączność lub umowy, która ma faktycznie charakter umowy na wyłączność.</w:t>
                  </w:r>
                </w:p>
              </w:tc>
            </w:tr>
          </w:tbl>
          <w:p w14:paraId="56138402" w14:textId="77777777" w:rsidR="001E1112" w:rsidRPr="00317ABF" w:rsidRDefault="001E1112" w:rsidP="00DB3BEC">
            <w:pPr>
              <w:spacing w:before="120"/>
              <w:jc w:val="both"/>
              <w:rPr>
                <w:sz w:val="22"/>
                <w:szCs w:val="22"/>
              </w:rPr>
            </w:pPr>
          </w:p>
        </w:tc>
        <w:tc>
          <w:tcPr>
            <w:tcW w:w="986" w:type="dxa"/>
          </w:tcPr>
          <w:p w14:paraId="5389D129" w14:textId="54953319" w:rsidR="001E1112" w:rsidRPr="00317ABF" w:rsidRDefault="001E1112" w:rsidP="00DB3BEC">
            <w:pPr>
              <w:jc w:val="both"/>
              <w:rPr>
                <w:sz w:val="22"/>
                <w:szCs w:val="22"/>
              </w:rPr>
            </w:pPr>
            <w:r w:rsidRPr="00317ABF">
              <w:rPr>
                <w:sz w:val="22"/>
                <w:szCs w:val="22"/>
              </w:rPr>
              <w:lastRenderedPageBreak/>
              <w:t>T</w:t>
            </w:r>
          </w:p>
        </w:tc>
        <w:tc>
          <w:tcPr>
            <w:tcW w:w="910" w:type="dxa"/>
          </w:tcPr>
          <w:p w14:paraId="5B59E038" w14:textId="05A41D91" w:rsidR="001E1112" w:rsidRPr="00317ABF" w:rsidRDefault="001E1112" w:rsidP="00DB3BEC">
            <w:pPr>
              <w:pStyle w:val="Tekstpodstawowy"/>
              <w:rPr>
                <w:b/>
                <w:bCs/>
                <w:noProof/>
                <w:sz w:val="22"/>
                <w:szCs w:val="22"/>
              </w:rPr>
            </w:pPr>
            <w:r w:rsidRPr="00317ABF">
              <w:rPr>
                <w:b/>
                <w:bCs/>
                <w:noProof/>
                <w:sz w:val="22"/>
                <w:szCs w:val="22"/>
              </w:rPr>
              <w:t xml:space="preserve">Art. </w:t>
            </w:r>
            <w:r w:rsidR="007E73F8" w:rsidRPr="00317ABF">
              <w:rPr>
                <w:b/>
                <w:bCs/>
                <w:noProof/>
                <w:sz w:val="22"/>
                <w:szCs w:val="22"/>
              </w:rPr>
              <w:t>204</w:t>
            </w:r>
            <w:r w:rsidRPr="00317ABF">
              <w:rPr>
                <w:b/>
                <w:bCs/>
                <w:noProof/>
                <w:sz w:val="22"/>
                <w:szCs w:val="22"/>
              </w:rPr>
              <w:t xml:space="preserve"> ust. 1</w:t>
            </w:r>
          </w:p>
        </w:tc>
        <w:tc>
          <w:tcPr>
            <w:tcW w:w="6814" w:type="dxa"/>
            <w:gridSpan w:val="2"/>
          </w:tcPr>
          <w:p w14:paraId="31729864" w14:textId="27E88882" w:rsidR="007E73F8" w:rsidRPr="00317ABF" w:rsidRDefault="007E73F8" w:rsidP="007E73F8">
            <w:pPr>
              <w:ind w:firstLine="510"/>
              <w:jc w:val="both"/>
              <w:rPr>
                <w:sz w:val="22"/>
                <w:szCs w:val="22"/>
              </w:rPr>
            </w:pPr>
            <w:r w:rsidRPr="00317ABF">
              <w:rPr>
                <w:b/>
                <w:sz w:val="22"/>
                <w:szCs w:val="22"/>
              </w:rPr>
              <w:t>Art. 204</w:t>
            </w:r>
            <w:r w:rsidRPr="00317ABF">
              <w:rPr>
                <w:sz w:val="22"/>
                <w:szCs w:val="22"/>
              </w:rPr>
              <w:t>. 1. Prezes UKE w przypadku ustalenia, że na rynku właściwym występuje przedsiębiorca komunikacji elektronicznej o znaczącej pozycji rynkowej, który nie świadczy i nie planuje świadczyć usług komunikacji elektronicznej użytkownikom końcowym na obszarze państw członkowskich Unii Europejskiej i który:</w:t>
            </w:r>
          </w:p>
          <w:p w14:paraId="144CF538" w14:textId="444F06ED" w:rsidR="007E73F8" w:rsidRPr="00317ABF" w:rsidRDefault="007E73F8" w:rsidP="007E73F8">
            <w:pPr>
              <w:ind w:firstLine="510"/>
              <w:jc w:val="both"/>
              <w:rPr>
                <w:sz w:val="22"/>
                <w:szCs w:val="22"/>
              </w:rPr>
            </w:pPr>
            <w:r w:rsidRPr="00317ABF">
              <w:rPr>
                <w:sz w:val="22"/>
                <w:szCs w:val="22"/>
              </w:rPr>
              <w:t>1)</w:t>
            </w:r>
            <w:r w:rsidRPr="00317ABF">
              <w:tab/>
            </w:r>
            <w:r w:rsidRPr="00317ABF">
              <w:rPr>
                <w:sz w:val="22"/>
                <w:szCs w:val="22"/>
              </w:rPr>
              <w:t>nie jest członkiem grupy kapitałowej, której podmioty świadczą lub planują świadczyć usługi komunikacji elektronicznej użytkownikom końcowym na obszarze państw członkowskich Unii Europejskiej,</w:t>
            </w:r>
          </w:p>
          <w:p w14:paraId="6768245B" w14:textId="72612E23" w:rsidR="007E73F8" w:rsidRPr="00317ABF" w:rsidRDefault="007E73F8" w:rsidP="007E73F8">
            <w:pPr>
              <w:ind w:firstLine="510"/>
              <w:jc w:val="both"/>
              <w:rPr>
                <w:sz w:val="22"/>
                <w:szCs w:val="22"/>
              </w:rPr>
            </w:pPr>
            <w:r w:rsidRPr="00317ABF">
              <w:rPr>
                <w:sz w:val="22"/>
                <w:szCs w:val="22"/>
              </w:rPr>
              <w:t>2)</w:t>
            </w:r>
            <w:r w:rsidRPr="00317ABF">
              <w:tab/>
            </w:r>
            <w:r w:rsidRPr="00317ABF">
              <w:rPr>
                <w:sz w:val="22"/>
                <w:szCs w:val="22"/>
              </w:rPr>
              <w:t>nie jest stroną umowy o wyłącznej współpracy z dostawcą usług komunikacji elektronicznej świadczącym usługi użytkownikom końcowym</w:t>
            </w:r>
          </w:p>
          <w:p w14:paraId="71324CF8" w14:textId="12183D49" w:rsidR="001E1112" w:rsidRPr="00317ABF" w:rsidRDefault="001E1112" w:rsidP="00DB3BEC">
            <w:pPr>
              <w:ind w:firstLine="510"/>
              <w:jc w:val="both"/>
              <w:rPr>
                <w:sz w:val="22"/>
                <w:szCs w:val="22"/>
              </w:rPr>
            </w:pPr>
            <w:r w:rsidRPr="00317ABF">
              <w:rPr>
                <w:sz w:val="22"/>
                <w:szCs w:val="22"/>
              </w:rPr>
              <w:t xml:space="preserve">- może, w drodze decyzji, o której mowa w art. </w:t>
            </w:r>
            <w:r w:rsidR="007E73F8" w:rsidRPr="00317ABF">
              <w:rPr>
                <w:sz w:val="22"/>
                <w:szCs w:val="22"/>
              </w:rPr>
              <w:t>202</w:t>
            </w:r>
            <w:r w:rsidRPr="00317ABF">
              <w:rPr>
                <w:sz w:val="22"/>
                <w:szCs w:val="22"/>
              </w:rPr>
              <w:t xml:space="preserve">, nałożyć wyłącznie obowiązki, o których mowa w art. </w:t>
            </w:r>
            <w:r w:rsidR="007E73F8" w:rsidRPr="00317ABF">
              <w:rPr>
                <w:sz w:val="22"/>
                <w:szCs w:val="22"/>
              </w:rPr>
              <w:t>211</w:t>
            </w:r>
            <w:r w:rsidRPr="00317ABF">
              <w:rPr>
                <w:sz w:val="22"/>
                <w:szCs w:val="22"/>
              </w:rPr>
              <w:t xml:space="preserve"> i art. </w:t>
            </w:r>
            <w:r w:rsidR="007E73F8" w:rsidRPr="00317ABF">
              <w:rPr>
                <w:sz w:val="22"/>
                <w:szCs w:val="22"/>
              </w:rPr>
              <w:t>213</w:t>
            </w:r>
            <w:r w:rsidRPr="00317ABF">
              <w:rPr>
                <w:sz w:val="22"/>
                <w:szCs w:val="22"/>
              </w:rPr>
              <w:t xml:space="preserve"> lub obowiązek stosowania niezawyżonych </w:t>
            </w:r>
            <w:r w:rsidR="007E73F8" w:rsidRPr="00317ABF">
              <w:rPr>
                <w:sz w:val="22"/>
                <w:szCs w:val="22"/>
              </w:rPr>
              <w:t>opłat.</w:t>
            </w:r>
          </w:p>
        </w:tc>
      </w:tr>
      <w:tr w:rsidR="001E1112" w:rsidRPr="00317ABF" w14:paraId="61CD1F97" w14:textId="77777777" w:rsidTr="7753F98D">
        <w:trPr>
          <w:gridAfter w:val="2"/>
          <w:wAfter w:w="175" w:type="dxa"/>
        </w:trPr>
        <w:tc>
          <w:tcPr>
            <w:tcW w:w="704" w:type="dxa"/>
          </w:tcPr>
          <w:p w14:paraId="687CD5C3" w14:textId="77777777" w:rsidR="001E1112" w:rsidRPr="00317ABF" w:rsidRDefault="001E1112" w:rsidP="00DB3BEC">
            <w:pPr>
              <w:jc w:val="both"/>
              <w:rPr>
                <w:sz w:val="22"/>
                <w:szCs w:val="22"/>
              </w:rPr>
            </w:pPr>
            <w:r w:rsidRPr="00317ABF">
              <w:rPr>
                <w:sz w:val="22"/>
                <w:szCs w:val="22"/>
              </w:rPr>
              <w:lastRenderedPageBreak/>
              <w:t>Art. 80 ust. 2</w:t>
            </w:r>
          </w:p>
        </w:tc>
        <w:tc>
          <w:tcPr>
            <w:tcW w:w="4308" w:type="dxa"/>
          </w:tcPr>
          <w:p w14:paraId="59521900" w14:textId="77777777" w:rsidR="001E1112" w:rsidRPr="00317ABF" w:rsidRDefault="001E1112" w:rsidP="00DB3BEC">
            <w:pPr>
              <w:spacing w:before="120"/>
              <w:jc w:val="both"/>
              <w:rPr>
                <w:sz w:val="22"/>
                <w:szCs w:val="22"/>
              </w:rPr>
            </w:pPr>
            <w:r w:rsidRPr="00317ABF">
              <w:rPr>
                <w:sz w:val="22"/>
                <w:szCs w:val="22"/>
              </w:rPr>
              <w:t>2.   Jeżeli krajowy organ regulacyjny stwierdzi, że warunki określone w ust. 1 niniejszego artykułu są spełnione, może nałożyć na to przedsiębiorstwo wyłącznie obowiązki na podstawie art. 70 i 73 lub związane z uczciwymi i rozsądnymi cenami, jeżeli jest to uzasadnione analizą rynku, włączając perspektywiczną oceną prawdopodobnego postępowania przedsiębiorstwa wyznaczonego jako posiadające znaczącą pozycję rynkową.</w:t>
            </w:r>
          </w:p>
        </w:tc>
        <w:tc>
          <w:tcPr>
            <w:tcW w:w="986" w:type="dxa"/>
          </w:tcPr>
          <w:p w14:paraId="617571CF" w14:textId="25D3C2CA" w:rsidR="001E1112" w:rsidRPr="00317ABF" w:rsidRDefault="001E1112" w:rsidP="00DB3BEC">
            <w:pPr>
              <w:jc w:val="both"/>
              <w:rPr>
                <w:sz w:val="22"/>
                <w:szCs w:val="22"/>
              </w:rPr>
            </w:pPr>
            <w:r w:rsidRPr="00317ABF">
              <w:rPr>
                <w:sz w:val="22"/>
                <w:szCs w:val="22"/>
              </w:rPr>
              <w:t>T</w:t>
            </w:r>
          </w:p>
        </w:tc>
        <w:tc>
          <w:tcPr>
            <w:tcW w:w="910" w:type="dxa"/>
          </w:tcPr>
          <w:p w14:paraId="6F2ADF61" w14:textId="429B8768" w:rsidR="001E1112" w:rsidRPr="00317ABF" w:rsidRDefault="001E1112" w:rsidP="00DB3BEC">
            <w:pPr>
              <w:pStyle w:val="Tekstpodstawowy"/>
              <w:rPr>
                <w:b/>
                <w:noProof/>
                <w:sz w:val="22"/>
                <w:szCs w:val="22"/>
              </w:rPr>
            </w:pPr>
            <w:r w:rsidRPr="00317ABF">
              <w:rPr>
                <w:b/>
                <w:noProof/>
                <w:sz w:val="22"/>
                <w:szCs w:val="22"/>
              </w:rPr>
              <w:t xml:space="preserve">Art. </w:t>
            </w:r>
            <w:r w:rsidR="007E73F8" w:rsidRPr="00317ABF">
              <w:rPr>
                <w:b/>
                <w:noProof/>
                <w:sz w:val="22"/>
                <w:szCs w:val="22"/>
              </w:rPr>
              <w:t>204</w:t>
            </w:r>
            <w:r w:rsidRPr="00317ABF">
              <w:rPr>
                <w:b/>
                <w:noProof/>
                <w:sz w:val="22"/>
                <w:szCs w:val="22"/>
              </w:rPr>
              <w:t xml:space="preserve"> ust. 1</w:t>
            </w:r>
          </w:p>
        </w:tc>
        <w:tc>
          <w:tcPr>
            <w:tcW w:w="6814" w:type="dxa"/>
            <w:gridSpan w:val="2"/>
          </w:tcPr>
          <w:p w14:paraId="58C6D8E1" w14:textId="63A48F07" w:rsidR="007E73F8" w:rsidRPr="00317ABF" w:rsidRDefault="007E73F8" w:rsidP="007E73F8">
            <w:pPr>
              <w:jc w:val="both"/>
              <w:rPr>
                <w:sz w:val="22"/>
                <w:szCs w:val="22"/>
              </w:rPr>
            </w:pPr>
            <w:r w:rsidRPr="00317ABF">
              <w:rPr>
                <w:b/>
                <w:sz w:val="22"/>
                <w:szCs w:val="22"/>
              </w:rPr>
              <w:t>Art. 204.</w:t>
            </w:r>
            <w:r w:rsidRPr="00317ABF">
              <w:rPr>
                <w:sz w:val="22"/>
                <w:szCs w:val="22"/>
              </w:rPr>
              <w:t xml:space="preserve"> 1. Prezes UKE w przypadku ustalenia, że na rynku właściwym występuje przedsiębiorca komunikacji elektronicznej o znaczącej pozycji rynkowej, który nie świadczy i nie planuje świadczyć usług komunikacji elektronicznej użytkownikom końcowym na obszarze państw członkowskich Unii Europejskiej i który:</w:t>
            </w:r>
          </w:p>
          <w:p w14:paraId="5F7B072E" w14:textId="06767BF0" w:rsidR="007E73F8" w:rsidRPr="00317ABF" w:rsidRDefault="007E73F8" w:rsidP="007E73F8">
            <w:pPr>
              <w:jc w:val="both"/>
              <w:rPr>
                <w:sz w:val="22"/>
                <w:szCs w:val="22"/>
              </w:rPr>
            </w:pPr>
            <w:r w:rsidRPr="00317ABF">
              <w:rPr>
                <w:sz w:val="22"/>
                <w:szCs w:val="22"/>
              </w:rPr>
              <w:t>1)</w:t>
            </w:r>
            <w:r w:rsidRPr="00317ABF">
              <w:tab/>
            </w:r>
            <w:r w:rsidRPr="00317ABF">
              <w:rPr>
                <w:sz w:val="22"/>
                <w:szCs w:val="22"/>
              </w:rPr>
              <w:t>nie jest członkiem grupy kapitałowej, której podmioty świadczą lub planują świadczyć usługi komunikacji elektronicznej użytkownikom końcowym na obszarze państw członkowskich Unii Europejskiej,</w:t>
            </w:r>
          </w:p>
          <w:p w14:paraId="0DCF4894" w14:textId="5816947B" w:rsidR="007E73F8" w:rsidRPr="00317ABF" w:rsidRDefault="007E73F8" w:rsidP="007E73F8">
            <w:pPr>
              <w:jc w:val="both"/>
              <w:rPr>
                <w:sz w:val="22"/>
                <w:szCs w:val="22"/>
              </w:rPr>
            </w:pPr>
            <w:r w:rsidRPr="00317ABF">
              <w:rPr>
                <w:sz w:val="22"/>
                <w:szCs w:val="22"/>
              </w:rPr>
              <w:t>2)</w:t>
            </w:r>
            <w:r w:rsidRPr="00317ABF">
              <w:tab/>
            </w:r>
            <w:r w:rsidRPr="00317ABF">
              <w:rPr>
                <w:sz w:val="22"/>
                <w:szCs w:val="22"/>
              </w:rPr>
              <w:t>nie jest stroną umowy o wyłącznej współpracy z dostawcą usług komunikacji elektronicznej świadczącym usługi użytkownikom końcowym</w:t>
            </w:r>
          </w:p>
          <w:p w14:paraId="30D74D8B" w14:textId="01287DBF" w:rsidR="001E1112" w:rsidRPr="00317ABF" w:rsidRDefault="001E1112" w:rsidP="00DB3BEC">
            <w:pPr>
              <w:jc w:val="both"/>
              <w:rPr>
                <w:sz w:val="22"/>
                <w:szCs w:val="22"/>
              </w:rPr>
            </w:pPr>
            <w:r w:rsidRPr="00317ABF">
              <w:rPr>
                <w:sz w:val="22"/>
                <w:szCs w:val="22"/>
              </w:rPr>
              <w:t xml:space="preserve">- może, w drodze decyzji, o której mowa w art. </w:t>
            </w:r>
            <w:r w:rsidR="007E73F8" w:rsidRPr="00317ABF">
              <w:rPr>
                <w:sz w:val="22"/>
                <w:szCs w:val="22"/>
              </w:rPr>
              <w:t>202</w:t>
            </w:r>
            <w:r w:rsidRPr="00317ABF">
              <w:rPr>
                <w:sz w:val="22"/>
                <w:szCs w:val="22"/>
              </w:rPr>
              <w:t xml:space="preserve">, nałożyć wyłącznie obowiązki, o których mowa w art. </w:t>
            </w:r>
            <w:r w:rsidR="007E73F8" w:rsidRPr="00317ABF">
              <w:rPr>
                <w:sz w:val="22"/>
                <w:szCs w:val="22"/>
              </w:rPr>
              <w:t>211</w:t>
            </w:r>
            <w:r w:rsidRPr="00317ABF">
              <w:rPr>
                <w:sz w:val="22"/>
                <w:szCs w:val="22"/>
              </w:rPr>
              <w:t xml:space="preserve"> i </w:t>
            </w:r>
            <w:r w:rsidR="007E73F8" w:rsidRPr="00317ABF">
              <w:rPr>
                <w:sz w:val="22"/>
                <w:szCs w:val="22"/>
              </w:rPr>
              <w:t>art. 213</w:t>
            </w:r>
            <w:r w:rsidRPr="00317ABF">
              <w:rPr>
                <w:sz w:val="22"/>
                <w:szCs w:val="22"/>
              </w:rPr>
              <w:t xml:space="preserve"> lub obowiązek stosowania </w:t>
            </w:r>
            <w:r w:rsidRPr="00317ABF">
              <w:rPr>
                <w:b/>
                <w:sz w:val="22"/>
                <w:szCs w:val="22"/>
              </w:rPr>
              <w:t xml:space="preserve">niezawyżonych </w:t>
            </w:r>
            <w:r w:rsidR="007E73F8" w:rsidRPr="00317ABF">
              <w:rPr>
                <w:b/>
                <w:sz w:val="22"/>
                <w:szCs w:val="22"/>
              </w:rPr>
              <w:t>opłat.</w:t>
            </w:r>
          </w:p>
        </w:tc>
      </w:tr>
      <w:tr w:rsidR="001E1112" w:rsidRPr="00317ABF" w14:paraId="7B2685F1" w14:textId="77777777" w:rsidTr="7753F98D">
        <w:trPr>
          <w:gridAfter w:val="2"/>
          <w:wAfter w:w="175" w:type="dxa"/>
        </w:trPr>
        <w:tc>
          <w:tcPr>
            <w:tcW w:w="704" w:type="dxa"/>
          </w:tcPr>
          <w:p w14:paraId="2D738460" w14:textId="77777777" w:rsidR="001E1112" w:rsidRPr="00317ABF" w:rsidRDefault="001E1112" w:rsidP="00DB3BEC">
            <w:pPr>
              <w:jc w:val="both"/>
              <w:rPr>
                <w:sz w:val="22"/>
                <w:szCs w:val="22"/>
              </w:rPr>
            </w:pPr>
            <w:r w:rsidRPr="00317ABF">
              <w:rPr>
                <w:sz w:val="22"/>
                <w:szCs w:val="22"/>
              </w:rPr>
              <w:t>Art. 80 ust. 3</w:t>
            </w:r>
          </w:p>
        </w:tc>
        <w:tc>
          <w:tcPr>
            <w:tcW w:w="4308" w:type="dxa"/>
          </w:tcPr>
          <w:p w14:paraId="63A531F2" w14:textId="77777777" w:rsidR="001E1112" w:rsidRPr="00317ABF" w:rsidRDefault="001E1112" w:rsidP="00DB3BEC">
            <w:pPr>
              <w:spacing w:before="120"/>
              <w:jc w:val="both"/>
              <w:rPr>
                <w:sz w:val="22"/>
                <w:szCs w:val="22"/>
              </w:rPr>
            </w:pPr>
            <w:r w:rsidRPr="00317ABF">
              <w:rPr>
                <w:sz w:val="22"/>
                <w:szCs w:val="22"/>
              </w:rPr>
              <w:t>3.   Krajowy organ regulacyjny dokonuje przeglądu obowiązków nałożonych na przedsiębiorstwo zgodnie z niniejszym artykułem w dowolnym czasie, jeżeli stwierdzi, że warunki określone w ust. 1 niniejszego artykułu nie są już spełnione, i zastosuje, odpowiednio, przepisy art. 67–74. Przedsiębiorstwa bez zbędnej zwłoki informują krajowy organ regulacyjny o wszelkiej zmianie okoliczności mających znaczenie dla ust. 1 lit. a) i b) niniejszego artykułu.</w:t>
            </w:r>
          </w:p>
        </w:tc>
        <w:tc>
          <w:tcPr>
            <w:tcW w:w="986" w:type="dxa"/>
          </w:tcPr>
          <w:p w14:paraId="6BCB62FD" w14:textId="069169EA" w:rsidR="001E1112" w:rsidRPr="00317ABF" w:rsidRDefault="001E1112" w:rsidP="00DB3BEC">
            <w:pPr>
              <w:jc w:val="both"/>
              <w:rPr>
                <w:sz w:val="22"/>
                <w:szCs w:val="22"/>
              </w:rPr>
            </w:pPr>
            <w:r w:rsidRPr="00317ABF">
              <w:rPr>
                <w:sz w:val="22"/>
                <w:szCs w:val="22"/>
              </w:rPr>
              <w:t>T</w:t>
            </w:r>
          </w:p>
        </w:tc>
        <w:tc>
          <w:tcPr>
            <w:tcW w:w="910" w:type="dxa"/>
          </w:tcPr>
          <w:p w14:paraId="7F78DFC3" w14:textId="6C9CA74B" w:rsidR="001E1112" w:rsidRPr="00317ABF" w:rsidRDefault="001E1112" w:rsidP="00DB3BEC">
            <w:pPr>
              <w:pStyle w:val="Tekstpodstawowy"/>
              <w:rPr>
                <w:b/>
                <w:bCs/>
                <w:noProof/>
                <w:sz w:val="22"/>
                <w:szCs w:val="22"/>
              </w:rPr>
            </w:pPr>
            <w:r w:rsidRPr="00317ABF">
              <w:rPr>
                <w:b/>
                <w:bCs/>
                <w:noProof/>
                <w:sz w:val="22"/>
                <w:szCs w:val="22"/>
              </w:rPr>
              <w:t xml:space="preserve">Art. </w:t>
            </w:r>
            <w:r w:rsidR="007E73F8" w:rsidRPr="00317ABF">
              <w:rPr>
                <w:b/>
                <w:bCs/>
                <w:noProof/>
                <w:sz w:val="22"/>
                <w:szCs w:val="22"/>
              </w:rPr>
              <w:t>204</w:t>
            </w:r>
            <w:r w:rsidRPr="00317ABF">
              <w:rPr>
                <w:b/>
                <w:bCs/>
                <w:noProof/>
                <w:sz w:val="22"/>
                <w:szCs w:val="22"/>
              </w:rPr>
              <w:t xml:space="preserve"> ust. 2, 3 i 4</w:t>
            </w:r>
          </w:p>
        </w:tc>
        <w:tc>
          <w:tcPr>
            <w:tcW w:w="6814" w:type="dxa"/>
            <w:gridSpan w:val="2"/>
          </w:tcPr>
          <w:p w14:paraId="3ECE3402" w14:textId="523A5316" w:rsidR="007E73F8" w:rsidRPr="00317ABF" w:rsidRDefault="007E73F8" w:rsidP="007E73F8">
            <w:pPr>
              <w:ind w:firstLine="510"/>
              <w:jc w:val="both"/>
              <w:rPr>
                <w:b/>
                <w:sz w:val="22"/>
                <w:szCs w:val="22"/>
              </w:rPr>
            </w:pPr>
            <w:r w:rsidRPr="00317ABF">
              <w:rPr>
                <w:b/>
                <w:sz w:val="22"/>
                <w:szCs w:val="22"/>
              </w:rPr>
              <w:t>Art. 204 ust. 2, 3, 4</w:t>
            </w:r>
          </w:p>
          <w:p w14:paraId="043ABF0C" w14:textId="7A3BEB52" w:rsidR="007E73F8" w:rsidRPr="00317ABF" w:rsidRDefault="007E73F8" w:rsidP="007E73F8">
            <w:pPr>
              <w:ind w:firstLine="510"/>
              <w:jc w:val="both"/>
              <w:rPr>
                <w:sz w:val="22"/>
                <w:szCs w:val="22"/>
              </w:rPr>
            </w:pPr>
          </w:p>
          <w:p w14:paraId="17DE50DC" w14:textId="65DE9D9B" w:rsidR="001E1112" w:rsidRPr="00317ABF" w:rsidRDefault="001E1112" w:rsidP="00DB3BEC">
            <w:pPr>
              <w:ind w:firstLine="510"/>
              <w:jc w:val="both"/>
              <w:rPr>
                <w:sz w:val="22"/>
                <w:szCs w:val="22"/>
              </w:rPr>
            </w:pPr>
            <w:r w:rsidRPr="00317ABF">
              <w:rPr>
                <w:sz w:val="22"/>
                <w:szCs w:val="22"/>
              </w:rPr>
              <w:t xml:space="preserve">2. Jeżeli Prezes UKE stwierdzi, że występują lub mogą wystąpić problemy w zakresie konkurencji ze szkodą dla użytkowników końcowych wynikające z warunków oferowanych przez przedsiębiorcę, o którym mowa w ust. 1, może zmienić decyzję, o której mowa w ust. 1, poprzez nałożenie obowiązków, o których mowa w art. </w:t>
            </w:r>
            <w:r w:rsidR="007E73F8" w:rsidRPr="00317ABF">
              <w:rPr>
                <w:sz w:val="22"/>
                <w:szCs w:val="22"/>
              </w:rPr>
              <w:t>210</w:t>
            </w:r>
            <w:r w:rsidRPr="00317ABF">
              <w:rPr>
                <w:sz w:val="22"/>
                <w:szCs w:val="22"/>
              </w:rPr>
              <w:t xml:space="preserve">, art. </w:t>
            </w:r>
            <w:r w:rsidR="007E73F8" w:rsidRPr="00317ABF">
              <w:rPr>
                <w:sz w:val="22"/>
                <w:szCs w:val="22"/>
              </w:rPr>
              <w:t>214</w:t>
            </w:r>
            <w:r w:rsidRPr="00317ABF">
              <w:rPr>
                <w:sz w:val="22"/>
                <w:szCs w:val="22"/>
              </w:rPr>
              <w:t xml:space="preserve">, art. </w:t>
            </w:r>
            <w:r w:rsidR="007E73F8" w:rsidRPr="00317ABF">
              <w:rPr>
                <w:sz w:val="22"/>
                <w:szCs w:val="22"/>
              </w:rPr>
              <w:t>215</w:t>
            </w:r>
            <w:r w:rsidRPr="00317ABF">
              <w:rPr>
                <w:sz w:val="22"/>
                <w:szCs w:val="22"/>
              </w:rPr>
              <w:t xml:space="preserve"> lub art. </w:t>
            </w:r>
            <w:r w:rsidR="007E73F8" w:rsidRPr="00317ABF">
              <w:rPr>
                <w:sz w:val="22"/>
                <w:szCs w:val="22"/>
              </w:rPr>
              <w:t>216 ust. 1</w:t>
            </w:r>
            <w:r w:rsidRPr="00317ABF">
              <w:rPr>
                <w:sz w:val="22"/>
                <w:szCs w:val="22"/>
              </w:rPr>
              <w:t>, a także poprzez zmianę obowiązków, o których mowa w ust. 1.</w:t>
            </w:r>
          </w:p>
          <w:p w14:paraId="2C677652" w14:textId="77777777" w:rsidR="001E1112" w:rsidRPr="00317ABF" w:rsidRDefault="001E1112" w:rsidP="00DB3BEC">
            <w:pPr>
              <w:ind w:firstLine="510"/>
              <w:jc w:val="both"/>
              <w:rPr>
                <w:sz w:val="22"/>
                <w:szCs w:val="22"/>
              </w:rPr>
            </w:pPr>
            <w:r w:rsidRPr="00317ABF">
              <w:rPr>
                <w:sz w:val="22"/>
                <w:szCs w:val="22"/>
              </w:rPr>
              <w:t>3. Przedsiębiorca, który przestał spełniać warunki, o których mowa w ust. 1, niezwłocznie informuje Prezesa UKE o tym fakcie.</w:t>
            </w:r>
          </w:p>
          <w:p w14:paraId="6BB4C62C" w14:textId="070D8D58" w:rsidR="001E1112" w:rsidRPr="00317ABF" w:rsidRDefault="001E1112" w:rsidP="00DB3BEC">
            <w:pPr>
              <w:ind w:firstLine="510"/>
              <w:jc w:val="both"/>
              <w:rPr>
                <w:sz w:val="22"/>
                <w:szCs w:val="22"/>
              </w:rPr>
            </w:pPr>
            <w:r w:rsidRPr="00317ABF">
              <w:rPr>
                <w:sz w:val="22"/>
                <w:szCs w:val="22"/>
              </w:rPr>
              <w:t xml:space="preserve">4. W przypadku, gdy przedsiębiorca przestał spełniać warunki, o których mowa w ust. 1, Prezes UKE przeprowadza analizę </w:t>
            </w:r>
            <w:r w:rsidR="007E73F8" w:rsidRPr="00317ABF">
              <w:rPr>
                <w:sz w:val="22"/>
                <w:szCs w:val="22"/>
              </w:rPr>
              <w:t>rynku</w:t>
            </w:r>
            <w:r w:rsidRPr="00317ABF">
              <w:rPr>
                <w:sz w:val="22"/>
                <w:szCs w:val="22"/>
              </w:rPr>
              <w:t xml:space="preserve">, o której mowa w art. </w:t>
            </w:r>
            <w:r w:rsidR="007E73F8" w:rsidRPr="00317ABF">
              <w:rPr>
                <w:sz w:val="22"/>
                <w:szCs w:val="22"/>
              </w:rPr>
              <w:t>197</w:t>
            </w:r>
            <w:r w:rsidRPr="00317ABF">
              <w:rPr>
                <w:sz w:val="22"/>
                <w:szCs w:val="22"/>
              </w:rPr>
              <w:t xml:space="preserve"> ust. 1.</w:t>
            </w:r>
          </w:p>
        </w:tc>
      </w:tr>
      <w:tr w:rsidR="001E1112" w:rsidRPr="00317ABF" w14:paraId="714FA13B" w14:textId="77777777" w:rsidTr="7753F98D">
        <w:trPr>
          <w:gridAfter w:val="2"/>
          <w:wAfter w:w="175" w:type="dxa"/>
        </w:trPr>
        <w:tc>
          <w:tcPr>
            <w:tcW w:w="704" w:type="dxa"/>
          </w:tcPr>
          <w:p w14:paraId="0D08EDAB" w14:textId="77777777" w:rsidR="001E1112" w:rsidRPr="00317ABF" w:rsidRDefault="001E1112" w:rsidP="00DB3BEC">
            <w:pPr>
              <w:jc w:val="both"/>
              <w:rPr>
                <w:sz w:val="22"/>
                <w:szCs w:val="22"/>
              </w:rPr>
            </w:pPr>
            <w:r w:rsidRPr="00317ABF">
              <w:rPr>
                <w:sz w:val="22"/>
                <w:szCs w:val="22"/>
              </w:rPr>
              <w:t>Art. 80 ust. 4</w:t>
            </w:r>
          </w:p>
        </w:tc>
        <w:tc>
          <w:tcPr>
            <w:tcW w:w="4308" w:type="dxa"/>
          </w:tcPr>
          <w:p w14:paraId="3A3CD708" w14:textId="77777777" w:rsidR="001E1112" w:rsidRPr="00317ABF" w:rsidRDefault="001E1112" w:rsidP="00DB3BEC">
            <w:pPr>
              <w:spacing w:before="120"/>
              <w:jc w:val="both"/>
              <w:rPr>
                <w:sz w:val="22"/>
                <w:szCs w:val="22"/>
              </w:rPr>
            </w:pPr>
            <w:r w:rsidRPr="00317ABF">
              <w:rPr>
                <w:sz w:val="22"/>
                <w:szCs w:val="22"/>
              </w:rPr>
              <w:t xml:space="preserve">4.   Krajowy organ regulacyjny dokonuje również przeglądu obowiązków nałożonych </w:t>
            </w:r>
            <w:r w:rsidRPr="00317ABF">
              <w:rPr>
                <w:sz w:val="22"/>
                <w:szCs w:val="22"/>
              </w:rPr>
              <w:lastRenderedPageBreak/>
              <w:t>na przedsiębiorstwo zgodnie z niniejszym artykułem, jeżeli na podstawie dowodów dotyczących warunków oferowanych przez przedsiębiorstwo swoim klientom na rynkach niższego szczebla stwierdzi, że występują lub mogą wystąpić problemy w zakresie konkurencji ze szkodą dla użytkowników końcowych, które to problemy wymagają nałożenia jednego lub więcej obowiązków określonych w art. 69, 71, 72 lub 74 lub też modyfikacji obowiązków nałożonych zgodnie z ust. 2 niniejszego artykułu.</w:t>
            </w:r>
          </w:p>
        </w:tc>
        <w:tc>
          <w:tcPr>
            <w:tcW w:w="986" w:type="dxa"/>
          </w:tcPr>
          <w:p w14:paraId="41087F37" w14:textId="6079D1AA" w:rsidR="001E1112" w:rsidRPr="00317ABF" w:rsidRDefault="001E1112" w:rsidP="00DB3BEC">
            <w:pPr>
              <w:jc w:val="both"/>
              <w:rPr>
                <w:sz w:val="22"/>
                <w:szCs w:val="22"/>
              </w:rPr>
            </w:pPr>
            <w:r w:rsidRPr="00317ABF">
              <w:rPr>
                <w:sz w:val="22"/>
                <w:szCs w:val="22"/>
              </w:rPr>
              <w:lastRenderedPageBreak/>
              <w:t>T</w:t>
            </w:r>
          </w:p>
        </w:tc>
        <w:tc>
          <w:tcPr>
            <w:tcW w:w="910" w:type="dxa"/>
          </w:tcPr>
          <w:p w14:paraId="3EB5B443" w14:textId="23C21A20" w:rsidR="001E1112" w:rsidRPr="00317ABF" w:rsidRDefault="001E1112" w:rsidP="00DB3BEC">
            <w:pPr>
              <w:pStyle w:val="Tekstpodstawowy"/>
              <w:rPr>
                <w:b/>
                <w:noProof/>
                <w:sz w:val="22"/>
                <w:szCs w:val="22"/>
              </w:rPr>
            </w:pPr>
            <w:r w:rsidRPr="00317ABF">
              <w:rPr>
                <w:b/>
                <w:noProof/>
                <w:sz w:val="22"/>
                <w:szCs w:val="22"/>
              </w:rPr>
              <w:t xml:space="preserve">Art. </w:t>
            </w:r>
            <w:r w:rsidR="007E73F8" w:rsidRPr="00317ABF">
              <w:rPr>
                <w:b/>
                <w:noProof/>
                <w:sz w:val="22"/>
                <w:szCs w:val="22"/>
              </w:rPr>
              <w:t>204</w:t>
            </w:r>
            <w:r w:rsidRPr="00317ABF">
              <w:rPr>
                <w:b/>
                <w:noProof/>
                <w:sz w:val="22"/>
                <w:szCs w:val="22"/>
              </w:rPr>
              <w:t xml:space="preserve"> ust. 2</w:t>
            </w:r>
          </w:p>
        </w:tc>
        <w:tc>
          <w:tcPr>
            <w:tcW w:w="6814" w:type="dxa"/>
            <w:gridSpan w:val="2"/>
          </w:tcPr>
          <w:p w14:paraId="2CEA19AD" w14:textId="40E11FBE" w:rsidR="007E73F8" w:rsidRPr="00317ABF" w:rsidRDefault="007E73F8" w:rsidP="00DB3BEC">
            <w:pPr>
              <w:jc w:val="both"/>
              <w:rPr>
                <w:b/>
                <w:sz w:val="22"/>
                <w:szCs w:val="22"/>
              </w:rPr>
            </w:pPr>
            <w:r w:rsidRPr="00317ABF">
              <w:rPr>
                <w:b/>
                <w:sz w:val="22"/>
                <w:szCs w:val="22"/>
              </w:rPr>
              <w:t>Art. 204 ust. 2</w:t>
            </w:r>
          </w:p>
          <w:p w14:paraId="743236AA" w14:textId="6DE2CE91" w:rsidR="007E73F8" w:rsidRPr="00317ABF" w:rsidRDefault="007E73F8" w:rsidP="00DB3BEC">
            <w:pPr>
              <w:jc w:val="both"/>
              <w:rPr>
                <w:sz w:val="22"/>
                <w:szCs w:val="22"/>
              </w:rPr>
            </w:pPr>
          </w:p>
          <w:p w14:paraId="02E89584" w14:textId="6846CB8A" w:rsidR="001E1112" w:rsidRPr="00317ABF" w:rsidRDefault="001E1112" w:rsidP="00DB3BEC">
            <w:pPr>
              <w:jc w:val="both"/>
              <w:rPr>
                <w:sz w:val="22"/>
                <w:szCs w:val="22"/>
              </w:rPr>
            </w:pPr>
            <w:r w:rsidRPr="00317ABF">
              <w:rPr>
                <w:sz w:val="22"/>
                <w:szCs w:val="22"/>
              </w:rPr>
              <w:lastRenderedPageBreak/>
              <w:t xml:space="preserve">2. Jeżeli Prezes UKE stwierdzi, że występują lub mogą wystąpić problemy w zakresie konkurencji ze szkodą dla użytkowników końcowych wynikające z warunków oferowanych przez przedsiębiorcę, o którym mowa w ust. 1, może zmienić decyzję, o której mowa w ust. 1, poprzez nałożenie obowiązków, o których mowa w art. </w:t>
            </w:r>
            <w:r w:rsidR="007E73F8" w:rsidRPr="00317ABF">
              <w:rPr>
                <w:sz w:val="22"/>
                <w:szCs w:val="22"/>
              </w:rPr>
              <w:t>210</w:t>
            </w:r>
            <w:r w:rsidRPr="00317ABF">
              <w:rPr>
                <w:sz w:val="22"/>
                <w:szCs w:val="22"/>
              </w:rPr>
              <w:t xml:space="preserve">, art. </w:t>
            </w:r>
            <w:r w:rsidR="007E73F8" w:rsidRPr="00317ABF">
              <w:rPr>
                <w:sz w:val="22"/>
                <w:szCs w:val="22"/>
              </w:rPr>
              <w:t>214</w:t>
            </w:r>
            <w:r w:rsidRPr="00317ABF">
              <w:rPr>
                <w:sz w:val="22"/>
                <w:szCs w:val="22"/>
              </w:rPr>
              <w:t xml:space="preserve">, art. </w:t>
            </w:r>
            <w:r w:rsidR="007E73F8" w:rsidRPr="00317ABF">
              <w:rPr>
                <w:sz w:val="22"/>
                <w:szCs w:val="22"/>
              </w:rPr>
              <w:t>215</w:t>
            </w:r>
            <w:r w:rsidRPr="00317ABF">
              <w:rPr>
                <w:sz w:val="22"/>
                <w:szCs w:val="22"/>
              </w:rPr>
              <w:t xml:space="preserve"> lub art. </w:t>
            </w:r>
            <w:r w:rsidR="007E73F8" w:rsidRPr="00317ABF">
              <w:rPr>
                <w:sz w:val="22"/>
                <w:szCs w:val="22"/>
              </w:rPr>
              <w:t>216 ust. 1</w:t>
            </w:r>
            <w:r w:rsidRPr="00317ABF">
              <w:rPr>
                <w:sz w:val="22"/>
                <w:szCs w:val="22"/>
              </w:rPr>
              <w:t>, a także poprzez zmianę obowiązków, o których mowa w ust. 1.</w:t>
            </w:r>
          </w:p>
          <w:p w14:paraId="3849B6AC" w14:textId="77777777" w:rsidR="001E1112" w:rsidRPr="00317ABF" w:rsidRDefault="001E1112" w:rsidP="00DB3BEC">
            <w:pPr>
              <w:jc w:val="both"/>
              <w:rPr>
                <w:sz w:val="22"/>
                <w:szCs w:val="22"/>
              </w:rPr>
            </w:pPr>
          </w:p>
        </w:tc>
      </w:tr>
      <w:tr w:rsidR="001E1112" w:rsidRPr="00317ABF" w14:paraId="16AF17E1" w14:textId="77777777" w:rsidTr="7753F98D">
        <w:trPr>
          <w:gridAfter w:val="2"/>
          <w:wAfter w:w="175" w:type="dxa"/>
        </w:trPr>
        <w:tc>
          <w:tcPr>
            <w:tcW w:w="704" w:type="dxa"/>
          </w:tcPr>
          <w:p w14:paraId="7F3955A0" w14:textId="77777777" w:rsidR="001E1112" w:rsidRPr="00317ABF" w:rsidRDefault="001E1112" w:rsidP="00DB3BEC">
            <w:pPr>
              <w:jc w:val="both"/>
              <w:rPr>
                <w:sz w:val="22"/>
                <w:szCs w:val="22"/>
              </w:rPr>
            </w:pPr>
            <w:r w:rsidRPr="00317ABF">
              <w:rPr>
                <w:sz w:val="22"/>
                <w:szCs w:val="22"/>
              </w:rPr>
              <w:lastRenderedPageBreak/>
              <w:t>Art. 80 ust. 5</w:t>
            </w:r>
          </w:p>
        </w:tc>
        <w:tc>
          <w:tcPr>
            <w:tcW w:w="4308" w:type="dxa"/>
          </w:tcPr>
          <w:p w14:paraId="2F694E7B" w14:textId="77777777" w:rsidR="001E1112" w:rsidRPr="00317ABF" w:rsidRDefault="001E1112" w:rsidP="00DB3BEC">
            <w:pPr>
              <w:spacing w:before="120"/>
              <w:jc w:val="both"/>
              <w:rPr>
                <w:sz w:val="22"/>
                <w:szCs w:val="22"/>
              </w:rPr>
            </w:pPr>
            <w:r w:rsidRPr="00317ABF">
              <w:rPr>
                <w:sz w:val="22"/>
                <w:szCs w:val="22"/>
              </w:rPr>
              <w:t>5.   Nałożenie obowiązków oraz ich przegląd zgodnie z niniejszym artykułem następuje zgodnie z procedurami, o których mowa w art. 23, 32 i 33.</w:t>
            </w:r>
          </w:p>
        </w:tc>
        <w:tc>
          <w:tcPr>
            <w:tcW w:w="986" w:type="dxa"/>
          </w:tcPr>
          <w:p w14:paraId="167E1A08" w14:textId="1537170C" w:rsidR="001E1112" w:rsidRPr="00317ABF" w:rsidRDefault="001E1112" w:rsidP="00DB3BEC">
            <w:pPr>
              <w:jc w:val="both"/>
              <w:rPr>
                <w:sz w:val="22"/>
                <w:szCs w:val="22"/>
              </w:rPr>
            </w:pPr>
            <w:r w:rsidRPr="00317ABF">
              <w:rPr>
                <w:sz w:val="22"/>
                <w:szCs w:val="22"/>
              </w:rPr>
              <w:t>T</w:t>
            </w:r>
          </w:p>
        </w:tc>
        <w:tc>
          <w:tcPr>
            <w:tcW w:w="910" w:type="dxa"/>
          </w:tcPr>
          <w:p w14:paraId="3C982766" w14:textId="57570DA1" w:rsidR="001E1112" w:rsidRPr="00317ABF" w:rsidRDefault="001E1112" w:rsidP="00DB3BEC">
            <w:pPr>
              <w:pStyle w:val="Tekstpodstawowy"/>
              <w:rPr>
                <w:b/>
                <w:bCs/>
                <w:noProof/>
                <w:sz w:val="22"/>
                <w:szCs w:val="22"/>
              </w:rPr>
            </w:pPr>
            <w:r w:rsidRPr="00317ABF">
              <w:rPr>
                <w:b/>
                <w:bCs/>
                <w:noProof/>
                <w:sz w:val="22"/>
                <w:szCs w:val="22"/>
              </w:rPr>
              <w:t>Art. 30</w:t>
            </w:r>
            <w:r w:rsidR="002F6D7F" w:rsidRPr="00317ABF">
              <w:rPr>
                <w:b/>
                <w:bCs/>
                <w:noProof/>
                <w:sz w:val="22"/>
                <w:szCs w:val="22"/>
              </w:rPr>
              <w:t>-37</w:t>
            </w:r>
          </w:p>
        </w:tc>
        <w:tc>
          <w:tcPr>
            <w:tcW w:w="6814" w:type="dxa"/>
            <w:gridSpan w:val="2"/>
          </w:tcPr>
          <w:p w14:paraId="33777FAB" w14:textId="32EDB86F" w:rsidR="007E73F8" w:rsidRPr="00317ABF" w:rsidRDefault="007E73F8" w:rsidP="007E73F8">
            <w:pPr>
              <w:pStyle w:val="ARTartustawynprozporzdzenia"/>
              <w:keepNext/>
              <w:spacing w:line="240" w:lineRule="auto"/>
              <w:rPr>
                <w:rFonts w:ascii="Times New Roman" w:hAnsi="Times New Roman" w:cs="Times New Roman"/>
                <w:sz w:val="22"/>
                <w:szCs w:val="22"/>
              </w:rPr>
            </w:pPr>
            <w:r w:rsidRPr="00317ABF">
              <w:rPr>
                <w:rStyle w:val="Ppogrubienie"/>
                <w:rFonts w:ascii="Times New Roman" w:hAnsi="Times New Roman"/>
                <w:sz w:val="22"/>
                <w:szCs w:val="22"/>
              </w:rPr>
              <w:t>Art. 30.</w:t>
            </w:r>
            <w:r w:rsidRPr="00317ABF">
              <w:rPr>
                <w:rFonts w:ascii="Times New Roman" w:hAnsi="Times New Roman" w:cs="Times New Roman"/>
                <w:sz w:val="22"/>
                <w:szCs w:val="22"/>
              </w:rPr>
              <w:t xml:space="preserve"> Prezes UKE przed podjęciem rozstrzygnięcia w sprawach:</w:t>
            </w:r>
          </w:p>
          <w:p w14:paraId="0A69A1C2" w14:textId="62677571" w:rsidR="007E73F8" w:rsidRPr="00317ABF" w:rsidRDefault="007E73F8" w:rsidP="007E73F8">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1) decyzji wydawanej na podstawie art. 175 ust. 1,</w:t>
            </w:r>
            <w:r w:rsidRPr="00317ABF">
              <w:tab/>
            </w:r>
            <w:r w:rsidRPr="00317ABF">
              <w:rPr>
                <w:rFonts w:ascii="Times New Roman" w:hAnsi="Times New Roman" w:cs="Times New Roman"/>
                <w:sz w:val="22"/>
                <w:szCs w:val="22"/>
              </w:rPr>
              <w:t xml:space="preserve"> </w:t>
            </w:r>
          </w:p>
          <w:p w14:paraId="116F52C4" w14:textId="427B8F26" w:rsidR="007E73F8" w:rsidRPr="00317ABF" w:rsidRDefault="007E73F8" w:rsidP="007E73F8">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2)</w:t>
            </w:r>
            <w:r w:rsidRPr="00317ABF">
              <w:tab/>
            </w:r>
            <w:r w:rsidRPr="00317ABF">
              <w:rPr>
                <w:rFonts w:ascii="Times New Roman" w:hAnsi="Times New Roman" w:cs="Times New Roman"/>
                <w:sz w:val="22"/>
                <w:szCs w:val="22"/>
              </w:rPr>
              <w:t xml:space="preserve"> nałożenia, uchylenia, zmiany lub utrzymania obowiązków dostępowych symetrycznych,</w:t>
            </w:r>
          </w:p>
          <w:p w14:paraId="76C6E106" w14:textId="70E908A2" w:rsidR="007E73F8" w:rsidRPr="00317ABF" w:rsidRDefault="007E73F8" w:rsidP="007E73F8">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3)</w:t>
            </w:r>
            <w:r w:rsidRPr="00317ABF">
              <w:tab/>
            </w:r>
            <w:r w:rsidRPr="00317ABF">
              <w:rPr>
                <w:rFonts w:ascii="Times New Roman" w:hAnsi="Times New Roman" w:cs="Times New Roman"/>
                <w:sz w:val="22"/>
                <w:szCs w:val="22"/>
              </w:rPr>
              <w:t>postanowień wydawanych na podstawie art. 182 ust. 1 i ust. 4 oraz decyzji wydawanej na podstawie art. 182 ust. 3,</w:t>
            </w:r>
          </w:p>
          <w:p w14:paraId="46B38962" w14:textId="39894316" w:rsidR="007E73F8" w:rsidRPr="00317ABF" w:rsidRDefault="007E73F8" w:rsidP="007E73F8">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4)</w:t>
            </w:r>
            <w:r w:rsidRPr="00317ABF">
              <w:tab/>
            </w:r>
            <w:r w:rsidRPr="00317ABF">
              <w:rPr>
                <w:rFonts w:ascii="Times New Roman" w:hAnsi="Times New Roman" w:cs="Times New Roman"/>
                <w:sz w:val="22"/>
                <w:szCs w:val="22"/>
              </w:rPr>
              <w:t xml:space="preserve">decyzji wydawanej na podstawie art. 183 ust. 1, </w:t>
            </w:r>
          </w:p>
          <w:p w14:paraId="70AA4526" w14:textId="5BEA1A25" w:rsidR="007E73F8" w:rsidRPr="00317ABF" w:rsidRDefault="007E73F8" w:rsidP="007E73F8">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5)</w:t>
            </w:r>
            <w:r w:rsidRPr="00317ABF">
              <w:tab/>
            </w:r>
            <w:r w:rsidRPr="00317ABF">
              <w:rPr>
                <w:rFonts w:ascii="Times New Roman" w:hAnsi="Times New Roman" w:cs="Times New Roman"/>
                <w:sz w:val="22"/>
                <w:szCs w:val="22"/>
              </w:rPr>
              <w:t>decyzji wydawanej na podstawie art. 187,</w:t>
            </w:r>
          </w:p>
          <w:p w14:paraId="4F2BA6C2" w14:textId="325406A1" w:rsidR="007E73F8" w:rsidRPr="00317ABF" w:rsidRDefault="007E73F8" w:rsidP="007E73F8">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 xml:space="preserve">6) </w:t>
            </w:r>
            <w:r w:rsidRPr="00317ABF">
              <w:tab/>
            </w:r>
            <w:r w:rsidRPr="00317ABF">
              <w:rPr>
                <w:rFonts w:ascii="Times New Roman" w:hAnsi="Times New Roman" w:cs="Times New Roman"/>
                <w:sz w:val="22"/>
                <w:szCs w:val="22"/>
              </w:rPr>
              <w:t>załatwianych w drodze decyzji obszarowej,</w:t>
            </w:r>
          </w:p>
          <w:p w14:paraId="58A9464E" w14:textId="3BE9C6A5" w:rsidR="007E73F8" w:rsidRPr="00317ABF" w:rsidRDefault="007E73F8" w:rsidP="007E73F8">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7) określenia rynku właściwego, o którym mowa w art. 199 ust. 1 pkt 1, a także jego analizy i wyznaczenia przedsiębiorcy komunikacji elektronicznej o znaczącej pozycji rynkowej lub przedsiębiorców komunikacji elektronicznej zajmujących kolektywną pozycję znaczącą, lub uchylenia decyzji w tej sprawie,</w:t>
            </w:r>
          </w:p>
          <w:p w14:paraId="70FAF267" w14:textId="31932970" w:rsidR="007E73F8" w:rsidRPr="00317ABF" w:rsidRDefault="007E73F8" w:rsidP="007E73F8">
            <w:pPr>
              <w:pStyle w:val="PKTpunkt0"/>
              <w:spacing w:line="240" w:lineRule="auto"/>
              <w:ind w:left="0" w:firstLine="0"/>
              <w:rPr>
                <w:rFonts w:ascii="Times New Roman" w:hAnsi="Times New Roman" w:cs="Times New Roman"/>
                <w:sz w:val="22"/>
                <w:szCs w:val="22"/>
              </w:rPr>
            </w:pPr>
            <w:r w:rsidRPr="00317ABF">
              <w:rPr>
                <w:rFonts w:ascii="Times New Roman" w:hAnsi="Times New Roman" w:cs="Times New Roman"/>
                <w:sz w:val="22"/>
                <w:szCs w:val="22"/>
              </w:rPr>
              <w:t>8) nałożenia, uchylenia, utrzymania lub zmiany obowiązków regulacyjnych w stosunku do przedsiębiorcy komunikacji elektronicznej o znaczącej pozycji rynkowej lub nieposiadającego takiej pozycji,</w:t>
            </w:r>
          </w:p>
          <w:p w14:paraId="663251FA" w14:textId="789135E5" w:rsidR="007E73F8" w:rsidRPr="00317ABF" w:rsidRDefault="007E73F8" w:rsidP="007E73F8">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 xml:space="preserve">9) </w:t>
            </w:r>
            <w:r w:rsidRPr="00317ABF">
              <w:tab/>
            </w:r>
            <w:r w:rsidRPr="00317ABF">
              <w:rPr>
                <w:rFonts w:ascii="Times New Roman" w:hAnsi="Times New Roman" w:cs="Times New Roman"/>
                <w:sz w:val="22"/>
                <w:szCs w:val="22"/>
              </w:rPr>
              <w:t>decyzji wydawanych na podstawie art. 217 ust. 3 i ust. 5,</w:t>
            </w:r>
          </w:p>
          <w:p w14:paraId="337FC7B3" w14:textId="161B8EBF" w:rsidR="007E73F8" w:rsidRPr="00317ABF" w:rsidRDefault="007E73F8" w:rsidP="007E73F8">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 xml:space="preserve">10) </w:t>
            </w:r>
            <w:r w:rsidRPr="00317ABF">
              <w:tab/>
            </w:r>
            <w:r w:rsidRPr="00317ABF">
              <w:rPr>
                <w:rFonts w:ascii="Times New Roman" w:hAnsi="Times New Roman" w:cs="Times New Roman"/>
                <w:sz w:val="22"/>
                <w:szCs w:val="22"/>
              </w:rPr>
              <w:t>decyzji wydawanej na podstawie art. 221 ust. 1,</w:t>
            </w:r>
          </w:p>
          <w:p w14:paraId="481CFCBD" w14:textId="3626B2B1" w:rsidR="007E73F8" w:rsidRPr="00317ABF" w:rsidRDefault="007E73F8" w:rsidP="007E73F8">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11) decyzji wydawanej na podstawie art. 230 ust. 4,</w:t>
            </w:r>
          </w:p>
          <w:p w14:paraId="1B18A8EB" w14:textId="04FA354A" w:rsidR="007E73F8" w:rsidRPr="00317ABF" w:rsidRDefault="007E73F8" w:rsidP="007E73F8">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 xml:space="preserve">12) </w:t>
            </w:r>
            <w:r w:rsidRPr="00317ABF">
              <w:tab/>
            </w:r>
            <w:r w:rsidRPr="00317ABF">
              <w:rPr>
                <w:rFonts w:ascii="Times New Roman" w:hAnsi="Times New Roman" w:cs="Times New Roman"/>
                <w:sz w:val="22"/>
                <w:szCs w:val="22"/>
              </w:rPr>
              <w:t>decyzji wydawanej na podstawie art. 235,</w:t>
            </w:r>
          </w:p>
          <w:p w14:paraId="1C14F313" w14:textId="26A5FA29" w:rsidR="007E73F8" w:rsidRPr="00317ABF" w:rsidRDefault="007E73F8" w:rsidP="007E73F8">
            <w:pPr>
              <w:pStyle w:val="PKTpunkt0"/>
              <w:keepNext/>
              <w:spacing w:line="240" w:lineRule="auto"/>
              <w:rPr>
                <w:rFonts w:ascii="Times New Roman" w:hAnsi="Times New Roman" w:cs="Times New Roman"/>
                <w:sz w:val="22"/>
                <w:szCs w:val="22"/>
              </w:rPr>
            </w:pPr>
            <w:r w:rsidRPr="00317ABF">
              <w:rPr>
                <w:rFonts w:ascii="Times New Roman" w:hAnsi="Times New Roman" w:cs="Times New Roman"/>
                <w:sz w:val="22"/>
                <w:szCs w:val="22"/>
              </w:rPr>
              <w:t>13)</w:t>
            </w:r>
            <w:r w:rsidRPr="00317ABF">
              <w:tab/>
            </w:r>
            <w:r w:rsidRPr="00317ABF">
              <w:rPr>
                <w:rFonts w:ascii="Times New Roman" w:hAnsi="Times New Roman" w:cs="Times New Roman"/>
                <w:sz w:val="22"/>
                <w:szCs w:val="22"/>
              </w:rPr>
              <w:t>innych wskazanych w ustawie z dnia 7 maja 2010 r. o wspieraniu rozwoju usług i sieci telekomunikacyjnych,</w:t>
            </w:r>
          </w:p>
          <w:p w14:paraId="6ABDE01D" w14:textId="314E8D26" w:rsidR="007E73F8" w:rsidRPr="00317ABF" w:rsidRDefault="007E73F8" w:rsidP="007E73F8">
            <w:pPr>
              <w:pStyle w:val="PKTpunkt0"/>
              <w:keepNext/>
              <w:spacing w:line="240" w:lineRule="auto"/>
              <w:rPr>
                <w:rFonts w:ascii="Times New Roman" w:hAnsi="Times New Roman" w:cs="Times New Roman"/>
                <w:sz w:val="22"/>
                <w:szCs w:val="22"/>
              </w:rPr>
            </w:pPr>
            <w:r w:rsidRPr="00317ABF">
              <w:rPr>
                <w:rFonts w:ascii="Times New Roman" w:hAnsi="Times New Roman" w:cs="Times New Roman"/>
                <w:sz w:val="22"/>
                <w:szCs w:val="22"/>
              </w:rPr>
              <w:t>14) innych wskazanych w ustawie,</w:t>
            </w:r>
          </w:p>
          <w:p w14:paraId="114BABEE" w14:textId="3687C743" w:rsidR="007E73F8" w:rsidRPr="00317ABF" w:rsidRDefault="007E73F8" w:rsidP="007E73F8">
            <w:pPr>
              <w:pStyle w:val="CZWSPPKTczwsplnapunktw"/>
              <w:spacing w:line="240" w:lineRule="auto"/>
              <w:rPr>
                <w:rFonts w:ascii="Times New Roman" w:hAnsi="Times New Roman" w:cs="Times New Roman"/>
                <w:sz w:val="22"/>
                <w:szCs w:val="22"/>
              </w:rPr>
            </w:pPr>
            <w:r w:rsidRPr="00317ABF">
              <w:rPr>
                <w:rFonts w:ascii="Times New Roman" w:hAnsi="Times New Roman" w:cs="Times New Roman"/>
                <w:sz w:val="22"/>
                <w:szCs w:val="22"/>
              </w:rPr>
              <w:lastRenderedPageBreak/>
              <w:t>- przeprowadza postępowanie, w ramach którego umożliwia zainteresowanym podmiotom wyrażenie w określonym terminie stanowiska do projektu rozstrzygnięcia, zwane dalej „postępowaniem konsultacyjnym”.</w:t>
            </w:r>
          </w:p>
          <w:p w14:paraId="1FEE0D5A" w14:textId="60B91ACF" w:rsidR="001E1112" w:rsidRPr="00317ABF" w:rsidRDefault="001E1112" w:rsidP="007E73F8">
            <w:pPr>
              <w:jc w:val="both"/>
              <w:rPr>
                <w:sz w:val="22"/>
                <w:szCs w:val="22"/>
              </w:rPr>
            </w:pPr>
          </w:p>
          <w:p w14:paraId="20F05C89" w14:textId="2981A000" w:rsidR="007E73F8" w:rsidRPr="00317ABF" w:rsidRDefault="001E1112" w:rsidP="007E73F8">
            <w:pPr>
              <w:jc w:val="both"/>
              <w:rPr>
                <w:sz w:val="22"/>
                <w:szCs w:val="22"/>
              </w:rPr>
            </w:pPr>
            <w:r w:rsidRPr="00317ABF">
              <w:rPr>
                <w:b/>
                <w:bCs/>
                <w:sz w:val="22"/>
                <w:szCs w:val="22"/>
              </w:rPr>
              <w:t>Art. 35</w:t>
            </w:r>
            <w:r w:rsidRPr="00317ABF">
              <w:rPr>
                <w:sz w:val="22"/>
                <w:szCs w:val="22"/>
              </w:rPr>
              <w:t xml:space="preserve">. 1. Jeżeli rozstrzygnięcia, o których mowa w art. </w:t>
            </w:r>
            <w:r w:rsidR="007E73F8" w:rsidRPr="00317ABF">
              <w:rPr>
                <w:sz w:val="22"/>
                <w:szCs w:val="22"/>
              </w:rPr>
              <w:t>30 pkt 1-13</w:t>
            </w:r>
            <w:r w:rsidRPr="00317ABF">
              <w:rPr>
                <w:sz w:val="22"/>
                <w:szCs w:val="22"/>
              </w:rPr>
              <w:t>, mogą mieć wpływ na stosunki handlowe między państwami członkowskimi, Prezes UKE, niezwłocznie po zakończeniu postępowania konsultacyjnego i rozpatrzeniu stanowisk uczestników tego postępowania, rozpoczyna postępowanie konsolidacyjne, przesyłając Komisji Europejskiej, BEREC, i organom regulacyjnym innych państw członkowskich projekty rozstrzygnięć wraz z ich uzasadnieniem.</w:t>
            </w:r>
          </w:p>
          <w:p w14:paraId="260BB1D9" w14:textId="0B460185" w:rsidR="002F6D7F" w:rsidRPr="00317ABF" w:rsidRDefault="002F6D7F" w:rsidP="007E73F8">
            <w:pPr>
              <w:jc w:val="both"/>
              <w:rPr>
                <w:sz w:val="22"/>
                <w:szCs w:val="22"/>
              </w:rPr>
            </w:pPr>
          </w:p>
          <w:p w14:paraId="1D0C97F5" w14:textId="4ED1A0D8" w:rsidR="002F6D7F" w:rsidRPr="00317ABF" w:rsidRDefault="002F6D7F" w:rsidP="002F6D7F">
            <w:pPr>
              <w:jc w:val="both"/>
              <w:rPr>
                <w:sz w:val="22"/>
                <w:szCs w:val="22"/>
              </w:rPr>
            </w:pPr>
            <w:r w:rsidRPr="00317ABF">
              <w:rPr>
                <w:b/>
                <w:sz w:val="22"/>
                <w:szCs w:val="22"/>
              </w:rPr>
              <w:t>Art. 37</w:t>
            </w:r>
            <w:r w:rsidRPr="00317ABF">
              <w:rPr>
                <w:sz w:val="22"/>
                <w:szCs w:val="22"/>
              </w:rPr>
              <w:t>. 1. Jeżeli w odniesieniu do rozstrzygnięcia, o którym mowa w art. 35, w zakresie nałożenia, zmiany lub uchylenia obowiązku dostępowego symetrycznego nałożonego na podstawie art. 178 ust. 1, art. 179 oraz art. 180, obowiązku regulacyjnego nałożonego na przedsiębiorcę komunikacji elektronicznej na podstawie art. 210, art. 211, art. 213-215, art. 216 ust. 1, art. 219 ust. 2, art. 220 lub art. 231, Komisja Europejska w terminie, o którym mowa w art. 36 ust. 1, zawiadomi Prezesa UKE oraz BEREC o powodach uznania, że projekt rozstrzygnięcia stanowiłby przeszkodę do tworzenia jednolitego rynku lub, że istnieją poważne wątpliwości co do zgodności tego rozstrzygnięcia z prawem Unii Europejskiej - rozstrzygnięcie to nie może zostać przyjęte przez kolejne trzy miesiące od dnia otrzymania zawiadomienia przez Prezesa UKE.</w:t>
            </w:r>
          </w:p>
          <w:p w14:paraId="072E5CF0" w14:textId="3BC64E6E" w:rsidR="002F6D7F" w:rsidRPr="00317ABF" w:rsidRDefault="002F6D7F" w:rsidP="002F6D7F">
            <w:pPr>
              <w:jc w:val="both"/>
              <w:rPr>
                <w:sz w:val="22"/>
                <w:szCs w:val="22"/>
              </w:rPr>
            </w:pPr>
            <w:r w:rsidRPr="00317ABF">
              <w:rPr>
                <w:sz w:val="22"/>
                <w:szCs w:val="22"/>
              </w:rPr>
              <w:t>2. W trzymiesięcznym terminie, o którym mowa w ust. 1, Prezes UKE ściśle współpracuje z Komisją Europejską oraz z BEREC w celu określenia najwłaściwszego i najskuteczniejszego rozstrzygnięcia spełniającego cele, o których mowa w art. 407 ust. 2, biorąc jednocześnie pod uwagę opinie uczestników rynku i konieczność zapewnienia rozwoju spójnej praktyki regulacyjnej.</w:t>
            </w:r>
          </w:p>
          <w:p w14:paraId="18B008E1" w14:textId="2F290917" w:rsidR="002F6D7F" w:rsidRPr="00317ABF" w:rsidRDefault="002F6D7F" w:rsidP="002F6D7F">
            <w:pPr>
              <w:jc w:val="both"/>
              <w:rPr>
                <w:sz w:val="22"/>
                <w:szCs w:val="22"/>
              </w:rPr>
            </w:pPr>
            <w:r w:rsidRPr="00317ABF">
              <w:rPr>
                <w:sz w:val="22"/>
                <w:szCs w:val="22"/>
              </w:rPr>
              <w:t>3. Jeżeli BEREC podziela stanowisko Komisji Europejskiej wyrażone w zawiadomieniu, o którym mowa w ust. 1, Prezes UKE współpracuje z BEREC w celu określenia najwłaściwszego i najskuteczniejszego rozstrzygnięcia.</w:t>
            </w:r>
          </w:p>
          <w:p w14:paraId="3451613A" w14:textId="3A249C5E" w:rsidR="002F6D7F" w:rsidRPr="00317ABF" w:rsidRDefault="002F6D7F" w:rsidP="002F6D7F">
            <w:pPr>
              <w:jc w:val="both"/>
              <w:rPr>
                <w:sz w:val="22"/>
                <w:szCs w:val="22"/>
              </w:rPr>
            </w:pPr>
            <w:r w:rsidRPr="00317ABF">
              <w:rPr>
                <w:sz w:val="22"/>
                <w:szCs w:val="22"/>
              </w:rPr>
              <w:t>4. Przed upływem trzymiesięcznego terminu, o którym mowa w ust. 1, Prezes UKE może:</w:t>
            </w:r>
          </w:p>
          <w:p w14:paraId="310BBE78" w14:textId="19A1241A" w:rsidR="002F6D7F" w:rsidRPr="00317ABF" w:rsidRDefault="002F6D7F" w:rsidP="002F6D7F">
            <w:pPr>
              <w:jc w:val="both"/>
              <w:rPr>
                <w:sz w:val="22"/>
                <w:szCs w:val="22"/>
              </w:rPr>
            </w:pPr>
            <w:r w:rsidRPr="00317ABF">
              <w:rPr>
                <w:sz w:val="22"/>
                <w:szCs w:val="22"/>
              </w:rPr>
              <w:t>1)</w:t>
            </w:r>
            <w:r w:rsidRPr="00317ABF">
              <w:tab/>
            </w:r>
            <w:r w:rsidRPr="00317ABF">
              <w:rPr>
                <w:sz w:val="22"/>
                <w:szCs w:val="22"/>
              </w:rPr>
              <w:t>zmienić lub wycofać projektowane rozstrzygnięcie, uwzględniając w jak największym stopniu zawiadomienie Komisji Europejskiej, o którym mowa w ust. 1, oraz opinię BEREC albo</w:t>
            </w:r>
          </w:p>
          <w:p w14:paraId="2A96D79D" w14:textId="6DC6A79C" w:rsidR="002F6D7F" w:rsidRPr="00317ABF" w:rsidRDefault="002F6D7F" w:rsidP="002F6D7F">
            <w:pPr>
              <w:jc w:val="both"/>
              <w:rPr>
                <w:sz w:val="22"/>
                <w:szCs w:val="22"/>
              </w:rPr>
            </w:pPr>
            <w:r w:rsidRPr="00317ABF">
              <w:rPr>
                <w:sz w:val="22"/>
                <w:szCs w:val="22"/>
              </w:rPr>
              <w:lastRenderedPageBreak/>
              <w:t>2)</w:t>
            </w:r>
            <w:r w:rsidRPr="00317ABF">
              <w:tab/>
            </w:r>
            <w:r w:rsidRPr="00317ABF">
              <w:rPr>
                <w:sz w:val="22"/>
                <w:szCs w:val="22"/>
              </w:rPr>
              <w:t>podtrzymać swoje projektowane rozstrzygnięcie.</w:t>
            </w:r>
          </w:p>
          <w:p w14:paraId="77DA6997" w14:textId="161093C5" w:rsidR="002F6D7F" w:rsidRPr="00317ABF" w:rsidRDefault="002F6D7F" w:rsidP="002F6D7F">
            <w:pPr>
              <w:jc w:val="both"/>
              <w:rPr>
                <w:sz w:val="22"/>
                <w:szCs w:val="22"/>
              </w:rPr>
            </w:pPr>
            <w:r w:rsidRPr="00317ABF">
              <w:rPr>
                <w:sz w:val="22"/>
                <w:szCs w:val="22"/>
              </w:rPr>
              <w:t>5. W terminie jednego miesiąca od wydania przez Komisję Europejską zalecenia zawierającego zobowiązanie do zmiany lub wycofania projektowanego rozstrzygnięcia lub wycofania przez Komisję Europejską zastrzeżeń odnośnie do projektowanego rozstrzygnięcia, w przypadku gdy BEREC nie podziela stanowiska Komisji Europejskiej, nie wydał opinii lub jeżeli Prezes UKE zmienił lub utrzymał projektowane rozstrzygnięcie zgodnie z ust. 4, Prezes UKE przesyła Komisji Europejskiej i BEREC treść ostatecznie przyjętego rozstrzygnięcia. Termin, o którym mowa w zdaniu pierwszym, może być wydłużony przez Prezesa UKE w przypadku potrzeby przeprowadzenia postępowania konsultacyjnego, o którym mowa w art. 30.</w:t>
            </w:r>
          </w:p>
          <w:p w14:paraId="1111B19B" w14:textId="7B4E5201" w:rsidR="002F6D7F" w:rsidRPr="00317ABF" w:rsidRDefault="002F6D7F" w:rsidP="002F6D7F">
            <w:pPr>
              <w:jc w:val="both"/>
              <w:rPr>
                <w:sz w:val="22"/>
                <w:szCs w:val="22"/>
              </w:rPr>
            </w:pPr>
            <w:r w:rsidRPr="00317ABF">
              <w:rPr>
                <w:sz w:val="22"/>
                <w:szCs w:val="22"/>
              </w:rPr>
              <w:t>6. Jeżeli Prezes UKE postanowi nie zmieniać lub nie wycofywać projektowanego rozstrzygnięcia, pomimo negatywnego stanowiska wyrażonego przez Komisję Europejską w zaleceniu, o którym mowa w ust. 5, przedstawia Komisji Europejskiej uzasadnienie.</w:t>
            </w:r>
          </w:p>
          <w:p w14:paraId="6ED74293" w14:textId="168D11F8" w:rsidR="002F6D7F" w:rsidRPr="00317ABF" w:rsidRDefault="002F6D7F" w:rsidP="002F6D7F">
            <w:pPr>
              <w:jc w:val="both"/>
              <w:rPr>
                <w:sz w:val="22"/>
                <w:szCs w:val="22"/>
              </w:rPr>
            </w:pPr>
            <w:r w:rsidRPr="00317ABF">
              <w:rPr>
                <w:sz w:val="22"/>
                <w:szCs w:val="22"/>
              </w:rPr>
              <w:t>7. W terminie 6 miesięcy od dnia wydania przez Komisję Europejską decyzji zobowiązującej do wycofania projektowanego rozstrzygnięcia, objętego art. 178 ust. 1, art. 242 ust. 3 i art. 243, Prezes UKE uwzględnia stanowisko Komisji Europejskiej i zmienia projekt rozstrzygnięcia oraz wszczyna postępowanie konsultacyjne lub umarza postępowanie. Art. 36 ust. 3 stosuje się odpowiednio.</w:t>
            </w:r>
          </w:p>
          <w:p w14:paraId="1B1F319C" w14:textId="302C2EBC" w:rsidR="001E1112" w:rsidRPr="00317ABF" w:rsidRDefault="002F6D7F" w:rsidP="00DB3BEC">
            <w:pPr>
              <w:jc w:val="both"/>
              <w:rPr>
                <w:sz w:val="22"/>
                <w:szCs w:val="22"/>
              </w:rPr>
            </w:pPr>
            <w:r w:rsidRPr="00317ABF">
              <w:rPr>
                <w:sz w:val="22"/>
                <w:szCs w:val="22"/>
              </w:rPr>
              <w:t>8. Prezes UKE może wycofać projektowane rozstrzygnięcie na każdym etapie postępowania.</w:t>
            </w:r>
          </w:p>
        </w:tc>
      </w:tr>
      <w:tr w:rsidR="001E1112" w:rsidRPr="00317ABF" w14:paraId="32447FA4" w14:textId="77777777" w:rsidTr="7753F98D">
        <w:trPr>
          <w:gridAfter w:val="2"/>
          <w:wAfter w:w="175" w:type="dxa"/>
        </w:trPr>
        <w:tc>
          <w:tcPr>
            <w:tcW w:w="704" w:type="dxa"/>
          </w:tcPr>
          <w:p w14:paraId="288D141C" w14:textId="77777777" w:rsidR="001E1112" w:rsidRPr="00317ABF" w:rsidRDefault="001E1112" w:rsidP="7753F98D">
            <w:pPr>
              <w:jc w:val="both"/>
              <w:rPr>
                <w:b/>
                <w:bCs/>
                <w:sz w:val="22"/>
                <w:szCs w:val="22"/>
              </w:rPr>
            </w:pPr>
            <w:r w:rsidRPr="00317ABF">
              <w:rPr>
                <w:b/>
                <w:bCs/>
                <w:sz w:val="22"/>
                <w:szCs w:val="22"/>
              </w:rPr>
              <w:lastRenderedPageBreak/>
              <w:t>Art. 81</w:t>
            </w:r>
          </w:p>
        </w:tc>
        <w:tc>
          <w:tcPr>
            <w:tcW w:w="4308" w:type="dxa"/>
          </w:tcPr>
          <w:p w14:paraId="566F0DE2" w14:textId="77777777" w:rsidR="001E1112" w:rsidRPr="00317ABF" w:rsidRDefault="001E1112" w:rsidP="00DB3BEC">
            <w:pPr>
              <w:spacing w:before="120"/>
              <w:jc w:val="both"/>
              <w:rPr>
                <w:sz w:val="22"/>
                <w:szCs w:val="22"/>
              </w:rPr>
            </w:pPr>
            <w:r w:rsidRPr="00317ABF">
              <w:rPr>
                <w:b/>
                <w:bCs/>
                <w:sz w:val="22"/>
                <w:szCs w:val="22"/>
              </w:rPr>
              <w:t>Migracja z dotychczasowej infrastruktury</w:t>
            </w:r>
          </w:p>
        </w:tc>
        <w:tc>
          <w:tcPr>
            <w:tcW w:w="986" w:type="dxa"/>
          </w:tcPr>
          <w:p w14:paraId="2E2E9389" w14:textId="77777777" w:rsidR="001E1112" w:rsidRPr="00317ABF" w:rsidRDefault="001E1112" w:rsidP="00DB3BEC">
            <w:pPr>
              <w:jc w:val="both"/>
              <w:rPr>
                <w:sz w:val="22"/>
                <w:szCs w:val="22"/>
              </w:rPr>
            </w:pPr>
          </w:p>
        </w:tc>
        <w:tc>
          <w:tcPr>
            <w:tcW w:w="910" w:type="dxa"/>
          </w:tcPr>
          <w:p w14:paraId="1756EAAF" w14:textId="77777777" w:rsidR="001E1112" w:rsidRPr="00317ABF" w:rsidRDefault="001E1112" w:rsidP="00DB3BEC">
            <w:pPr>
              <w:pStyle w:val="Tekstpodstawowy"/>
              <w:rPr>
                <w:b/>
                <w:noProof/>
                <w:sz w:val="22"/>
                <w:szCs w:val="22"/>
              </w:rPr>
            </w:pPr>
          </w:p>
        </w:tc>
        <w:tc>
          <w:tcPr>
            <w:tcW w:w="6814" w:type="dxa"/>
            <w:gridSpan w:val="2"/>
          </w:tcPr>
          <w:p w14:paraId="7C50A035" w14:textId="77777777" w:rsidR="001E1112" w:rsidRPr="00317ABF" w:rsidRDefault="001E1112" w:rsidP="00DB3BEC">
            <w:pPr>
              <w:pStyle w:val="Tekstpodstawowy"/>
              <w:rPr>
                <w:sz w:val="22"/>
                <w:szCs w:val="22"/>
              </w:rPr>
            </w:pPr>
          </w:p>
        </w:tc>
      </w:tr>
      <w:tr w:rsidR="001E1112" w:rsidRPr="00317ABF" w14:paraId="42E5D4EC" w14:textId="77777777" w:rsidTr="7753F98D">
        <w:trPr>
          <w:gridAfter w:val="2"/>
          <w:wAfter w:w="175" w:type="dxa"/>
        </w:trPr>
        <w:tc>
          <w:tcPr>
            <w:tcW w:w="704" w:type="dxa"/>
          </w:tcPr>
          <w:p w14:paraId="3381CC68" w14:textId="77777777" w:rsidR="001E1112" w:rsidRPr="00317ABF" w:rsidRDefault="001E1112" w:rsidP="7753F98D">
            <w:pPr>
              <w:jc w:val="both"/>
              <w:rPr>
                <w:sz w:val="22"/>
                <w:szCs w:val="22"/>
              </w:rPr>
            </w:pPr>
            <w:r w:rsidRPr="00317ABF">
              <w:rPr>
                <w:sz w:val="22"/>
                <w:szCs w:val="22"/>
              </w:rPr>
              <w:t>Art. 81 ust. 1</w:t>
            </w:r>
          </w:p>
        </w:tc>
        <w:tc>
          <w:tcPr>
            <w:tcW w:w="4308" w:type="dxa"/>
          </w:tcPr>
          <w:p w14:paraId="094036DC" w14:textId="77777777" w:rsidR="001E1112" w:rsidRPr="00317ABF" w:rsidRDefault="001E1112" w:rsidP="00DB3BEC">
            <w:pPr>
              <w:spacing w:before="120"/>
              <w:jc w:val="both"/>
              <w:rPr>
                <w:sz w:val="22"/>
                <w:szCs w:val="22"/>
              </w:rPr>
            </w:pPr>
            <w:r w:rsidRPr="00317ABF">
              <w:rPr>
                <w:sz w:val="22"/>
                <w:szCs w:val="22"/>
              </w:rPr>
              <w:t>1.   Przedsiębiorstwa, które wyznaczono jako posiadające znaczącą pozycję rynkową na jednym lub kilku rynkach właściwych zgodnie z art. 67, powiadamiają krajowy organ regulacyjny w odpowiednim czasie o zamiarze wycofania z eksploatacji lub zastąpienia nową infrastrukturą części sieci, w tym dotychczasowej infrastruktury niezbędnej do eksploatacji sieci miedzianej, które podlegają obowiązkom na podstawie art. 68–80.</w:t>
            </w:r>
          </w:p>
        </w:tc>
        <w:tc>
          <w:tcPr>
            <w:tcW w:w="986" w:type="dxa"/>
          </w:tcPr>
          <w:p w14:paraId="3326FAE8" w14:textId="76C2A916" w:rsidR="001E1112" w:rsidRPr="00317ABF" w:rsidRDefault="001E1112" w:rsidP="00DB3BEC">
            <w:pPr>
              <w:jc w:val="both"/>
              <w:rPr>
                <w:sz w:val="22"/>
                <w:szCs w:val="22"/>
              </w:rPr>
            </w:pPr>
            <w:r w:rsidRPr="00317ABF">
              <w:rPr>
                <w:sz w:val="22"/>
                <w:szCs w:val="22"/>
              </w:rPr>
              <w:t>T</w:t>
            </w:r>
          </w:p>
        </w:tc>
        <w:tc>
          <w:tcPr>
            <w:tcW w:w="910" w:type="dxa"/>
          </w:tcPr>
          <w:p w14:paraId="5CE4D5EE" w14:textId="600445CE" w:rsidR="001E1112" w:rsidRPr="00317ABF" w:rsidRDefault="00DB3BEC" w:rsidP="00DB3BEC">
            <w:pPr>
              <w:pStyle w:val="Tekstpodstawowy"/>
              <w:rPr>
                <w:b/>
                <w:bCs/>
                <w:noProof/>
                <w:sz w:val="22"/>
                <w:szCs w:val="22"/>
              </w:rPr>
            </w:pPr>
            <w:r w:rsidRPr="00317ABF">
              <w:rPr>
                <w:b/>
                <w:bCs/>
                <w:noProof/>
                <w:sz w:val="22"/>
                <w:szCs w:val="22"/>
              </w:rPr>
              <w:t xml:space="preserve">Art. </w:t>
            </w:r>
            <w:r w:rsidR="001E1112" w:rsidRPr="00317ABF">
              <w:rPr>
                <w:b/>
                <w:bCs/>
                <w:noProof/>
                <w:sz w:val="22"/>
                <w:szCs w:val="22"/>
              </w:rPr>
              <w:t>2</w:t>
            </w:r>
            <w:r w:rsidR="3FE74666" w:rsidRPr="00317ABF">
              <w:rPr>
                <w:b/>
                <w:bCs/>
                <w:noProof/>
                <w:sz w:val="22"/>
                <w:szCs w:val="22"/>
              </w:rPr>
              <w:t>30</w:t>
            </w:r>
            <w:r w:rsidR="001E1112" w:rsidRPr="00317ABF">
              <w:rPr>
                <w:b/>
                <w:bCs/>
                <w:noProof/>
                <w:sz w:val="22"/>
                <w:szCs w:val="22"/>
              </w:rPr>
              <w:t xml:space="preserve"> ust. 1</w:t>
            </w:r>
          </w:p>
        </w:tc>
        <w:tc>
          <w:tcPr>
            <w:tcW w:w="6814" w:type="dxa"/>
            <w:gridSpan w:val="2"/>
          </w:tcPr>
          <w:p w14:paraId="7715902C" w14:textId="2E6A5B22" w:rsidR="001E1112" w:rsidRPr="00317ABF" w:rsidRDefault="7F3ECF81" w:rsidP="7753F98D">
            <w:pPr>
              <w:jc w:val="both"/>
              <w:rPr>
                <w:sz w:val="22"/>
                <w:szCs w:val="22"/>
              </w:rPr>
            </w:pPr>
            <w:r w:rsidRPr="00317ABF">
              <w:rPr>
                <w:sz w:val="22"/>
                <w:szCs w:val="22"/>
              </w:rPr>
              <w:t>Art. 230. 1. Przedsiębiorca komunikacji elektronicznej o znaczącej pozycji rynkowej, przedstawia Prezesowi UKE powiadomienie o zamiarze migracji z infrastruktury, w tym dotychczasowej infrastruktury niezbędnej do eksploatacji sieci miedzianej, które objęte są obowiązkami regulacyjnymi, polegającej na:</w:t>
            </w:r>
          </w:p>
          <w:p w14:paraId="618DC135" w14:textId="7C830DDF" w:rsidR="001E1112" w:rsidRPr="00317ABF" w:rsidRDefault="7F3ECF81" w:rsidP="7753F98D">
            <w:pPr>
              <w:jc w:val="both"/>
            </w:pPr>
            <w:r w:rsidRPr="00317ABF">
              <w:rPr>
                <w:sz w:val="22"/>
                <w:szCs w:val="22"/>
              </w:rPr>
              <w:t>trwałym wycofaniu z eksploatacji sieci miedzianej,</w:t>
            </w:r>
          </w:p>
          <w:p w14:paraId="40DCD2E5" w14:textId="21EE91A4" w:rsidR="001E1112" w:rsidRPr="00317ABF" w:rsidRDefault="7F3ECF81" w:rsidP="7753F98D">
            <w:pPr>
              <w:jc w:val="both"/>
            </w:pPr>
            <w:r w:rsidRPr="00317ABF">
              <w:rPr>
                <w:sz w:val="22"/>
                <w:szCs w:val="22"/>
              </w:rPr>
              <w:t>zastąpieniu części sieci miedzianej nowymi elementami umożliwiającymi świadczenie usług o wyższych parametrach jakościowych,</w:t>
            </w:r>
          </w:p>
          <w:p w14:paraId="28F488CA" w14:textId="577AA1A9" w:rsidR="001E1112" w:rsidRPr="00317ABF" w:rsidRDefault="7F3ECF81" w:rsidP="7753F98D">
            <w:pPr>
              <w:jc w:val="both"/>
            </w:pPr>
            <w:r w:rsidRPr="00317ABF">
              <w:rPr>
                <w:sz w:val="22"/>
                <w:szCs w:val="22"/>
              </w:rPr>
              <w:t>trwałym wycofaniu lub zastąpieniu infrastruktury niezbędnej do eksploatacji sieci miedzianej</w:t>
            </w:r>
          </w:p>
          <w:p w14:paraId="7D8B496C" w14:textId="4A02C8FE" w:rsidR="001E1112" w:rsidRPr="00317ABF" w:rsidRDefault="7F3ECF81" w:rsidP="7753F98D">
            <w:pPr>
              <w:jc w:val="both"/>
            </w:pPr>
            <w:r w:rsidRPr="00317ABF">
              <w:rPr>
                <w:sz w:val="22"/>
                <w:szCs w:val="22"/>
              </w:rPr>
              <w:t>- nie później niż w terminie 8 miesięcy przed planowanym terminem rozpoczęcia migracji.</w:t>
            </w:r>
          </w:p>
          <w:p w14:paraId="0AABB6D3" w14:textId="63A24351" w:rsidR="001E1112" w:rsidRPr="00317ABF" w:rsidRDefault="001E1112" w:rsidP="7753F98D">
            <w:pPr>
              <w:jc w:val="both"/>
              <w:rPr>
                <w:sz w:val="22"/>
                <w:szCs w:val="22"/>
              </w:rPr>
            </w:pPr>
          </w:p>
        </w:tc>
      </w:tr>
      <w:tr w:rsidR="001E1112" w:rsidRPr="00317ABF" w14:paraId="6B9B0232" w14:textId="77777777" w:rsidTr="7753F98D">
        <w:trPr>
          <w:gridAfter w:val="2"/>
          <w:wAfter w:w="175" w:type="dxa"/>
        </w:trPr>
        <w:tc>
          <w:tcPr>
            <w:tcW w:w="704" w:type="dxa"/>
          </w:tcPr>
          <w:p w14:paraId="17F24FF4" w14:textId="77777777" w:rsidR="001E1112" w:rsidRPr="00317ABF" w:rsidRDefault="001E1112" w:rsidP="7753F98D">
            <w:pPr>
              <w:jc w:val="both"/>
              <w:rPr>
                <w:sz w:val="22"/>
                <w:szCs w:val="22"/>
              </w:rPr>
            </w:pPr>
            <w:r w:rsidRPr="00317ABF">
              <w:rPr>
                <w:sz w:val="22"/>
                <w:szCs w:val="22"/>
              </w:rPr>
              <w:lastRenderedPageBreak/>
              <w:t>Art. 81 ust. 2</w:t>
            </w:r>
          </w:p>
        </w:tc>
        <w:tc>
          <w:tcPr>
            <w:tcW w:w="4308" w:type="dxa"/>
          </w:tcPr>
          <w:p w14:paraId="60840345" w14:textId="77777777" w:rsidR="001E1112" w:rsidRPr="00317ABF" w:rsidRDefault="001E1112" w:rsidP="00DB3BEC">
            <w:pPr>
              <w:spacing w:before="120"/>
              <w:jc w:val="both"/>
              <w:rPr>
                <w:sz w:val="22"/>
                <w:szCs w:val="22"/>
              </w:rPr>
            </w:pPr>
            <w:r w:rsidRPr="00317ABF">
              <w:rPr>
                <w:sz w:val="22"/>
                <w:szCs w:val="22"/>
              </w:rPr>
              <w:t>2.   Krajowy organ regulacyjny zapewnia, aby proces wycofania z eksploatacji lub zastąpienia elementów sieci obejmował przejrzysty harmonogram oraz warunki, w tym odpowiedni okres wypowiedzenia przewidziany na migrację, a także aby przewidywał dostępność alternatywnych produktów o przynajmniej porównywalnej jakości pozwalających uzyskać dostęp do zmodernizowanej infrastruktury sieciowej, które zastąpią wymienione elementy, gdy jest to konieczne, w celu ochrony konkurencji i praw użytkowników końcowych.</w:t>
            </w:r>
          </w:p>
          <w:p w14:paraId="58AB63B7" w14:textId="77777777" w:rsidR="001E1112" w:rsidRPr="00317ABF" w:rsidRDefault="001E1112" w:rsidP="00DB3BEC">
            <w:pPr>
              <w:spacing w:before="120"/>
              <w:jc w:val="both"/>
              <w:rPr>
                <w:sz w:val="22"/>
                <w:szCs w:val="22"/>
              </w:rPr>
            </w:pPr>
            <w:r w:rsidRPr="00317ABF">
              <w:rPr>
                <w:sz w:val="22"/>
                <w:szCs w:val="22"/>
              </w:rPr>
              <w:t>W odniesieniu do składników aktywów, które planuje się wycofać z eksploatacji lub zastąpić, krajowy organ regulacyjny może uchylić obowiązki, gdy ustali, że podmiot zapewniający dostęp:</w:t>
            </w:r>
          </w:p>
          <w:tbl>
            <w:tblPr>
              <w:tblW w:w="5000" w:type="pct"/>
              <w:tblCellSpacing w:w="0" w:type="dxa"/>
              <w:tblLayout w:type="fixed"/>
              <w:tblCellMar>
                <w:left w:w="0" w:type="dxa"/>
                <w:right w:w="0" w:type="dxa"/>
              </w:tblCellMar>
              <w:tblLook w:val="04A0" w:firstRow="1" w:lastRow="0" w:firstColumn="1" w:lastColumn="0" w:noHBand="0" w:noVBand="1"/>
            </w:tblPr>
            <w:tblGrid>
              <w:gridCol w:w="20"/>
              <w:gridCol w:w="4148"/>
            </w:tblGrid>
            <w:tr w:rsidR="001E1112" w:rsidRPr="00317ABF" w14:paraId="7D0DC99C" w14:textId="77777777" w:rsidTr="007B5338">
              <w:trPr>
                <w:tblCellSpacing w:w="0" w:type="dxa"/>
              </w:trPr>
              <w:tc>
                <w:tcPr>
                  <w:tcW w:w="6" w:type="dxa"/>
                  <w:hideMark/>
                </w:tcPr>
                <w:p w14:paraId="18819E0F" w14:textId="77777777" w:rsidR="001E1112" w:rsidRPr="00317ABF" w:rsidRDefault="001E1112" w:rsidP="00EE0AC3">
                  <w:pPr>
                    <w:framePr w:hSpace="141" w:wrap="around" w:vAnchor="text" w:hAnchor="text" w:xAlign="right" w:y="1"/>
                    <w:spacing w:before="120"/>
                    <w:suppressOverlap/>
                    <w:jc w:val="both"/>
                    <w:rPr>
                      <w:sz w:val="22"/>
                      <w:szCs w:val="22"/>
                    </w:rPr>
                  </w:pPr>
                </w:p>
              </w:tc>
              <w:tc>
                <w:tcPr>
                  <w:tcW w:w="9066" w:type="dxa"/>
                  <w:hideMark/>
                </w:tcPr>
                <w:p w14:paraId="0478D77F" w14:textId="77777777" w:rsidR="001E1112" w:rsidRPr="00317ABF" w:rsidRDefault="001E1112" w:rsidP="00EE0AC3">
                  <w:pPr>
                    <w:framePr w:hSpace="141" w:wrap="around" w:vAnchor="text" w:hAnchor="text" w:xAlign="right" w:y="1"/>
                    <w:numPr>
                      <w:ilvl w:val="0"/>
                      <w:numId w:val="71"/>
                    </w:numPr>
                    <w:spacing w:before="120"/>
                    <w:suppressOverlap/>
                    <w:jc w:val="both"/>
                    <w:rPr>
                      <w:sz w:val="22"/>
                      <w:szCs w:val="22"/>
                    </w:rPr>
                  </w:pPr>
                  <w:r w:rsidRPr="00317ABF">
                    <w:rPr>
                      <w:sz w:val="22"/>
                      <w:szCs w:val="22"/>
                    </w:rPr>
                    <w:t>ustanowił odpowiednie warunki sprzyjające migracji, w tym udostępnił alternatywny produkt dostępu o co najmniej porównywalnej jakości, do tej jaka istniała przy użyciu dotychczasowej infrastruktury, zapewniający możliwość dotarcia do tych samych użytkowników końcowych; oraz</w:t>
                  </w:r>
                </w:p>
              </w:tc>
            </w:tr>
          </w:tbl>
          <w:p w14:paraId="70EAACCA" w14:textId="77777777" w:rsidR="001E1112" w:rsidRPr="00317ABF" w:rsidRDefault="001E1112" w:rsidP="00DB3BEC">
            <w:pPr>
              <w:jc w:val="both"/>
              <w:rPr>
                <w:vanish/>
                <w:sz w:val="22"/>
                <w:szCs w:val="22"/>
              </w:rPr>
            </w:pPr>
          </w:p>
          <w:tbl>
            <w:tblPr>
              <w:tblW w:w="5000" w:type="pct"/>
              <w:tblCellSpacing w:w="0" w:type="dxa"/>
              <w:tblLayout w:type="fixed"/>
              <w:tblCellMar>
                <w:left w:w="0" w:type="dxa"/>
                <w:right w:w="0" w:type="dxa"/>
              </w:tblCellMar>
              <w:tblLook w:val="04A0" w:firstRow="1" w:lastRow="0" w:firstColumn="1" w:lastColumn="0" w:noHBand="0" w:noVBand="1"/>
            </w:tblPr>
            <w:tblGrid>
              <w:gridCol w:w="20"/>
              <w:gridCol w:w="4148"/>
            </w:tblGrid>
            <w:tr w:rsidR="001E1112" w:rsidRPr="00317ABF" w14:paraId="4BF905F6" w14:textId="77777777" w:rsidTr="007B5338">
              <w:trPr>
                <w:tblCellSpacing w:w="0" w:type="dxa"/>
              </w:trPr>
              <w:tc>
                <w:tcPr>
                  <w:tcW w:w="6" w:type="dxa"/>
                  <w:hideMark/>
                </w:tcPr>
                <w:p w14:paraId="0B4A2B26" w14:textId="77777777" w:rsidR="001E1112" w:rsidRPr="00317ABF" w:rsidRDefault="001E1112" w:rsidP="00EE0AC3">
                  <w:pPr>
                    <w:framePr w:hSpace="141" w:wrap="around" w:vAnchor="text" w:hAnchor="text" w:xAlign="right" w:y="1"/>
                    <w:spacing w:before="120"/>
                    <w:suppressOverlap/>
                    <w:jc w:val="both"/>
                    <w:rPr>
                      <w:sz w:val="22"/>
                      <w:szCs w:val="22"/>
                    </w:rPr>
                  </w:pPr>
                </w:p>
              </w:tc>
              <w:tc>
                <w:tcPr>
                  <w:tcW w:w="9066" w:type="dxa"/>
                  <w:hideMark/>
                </w:tcPr>
                <w:p w14:paraId="1396BD71" w14:textId="77777777" w:rsidR="001E1112" w:rsidRPr="00317ABF" w:rsidRDefault="001E1112" w:rsidP="00EE0AC3">
                  <w:pPr>
                    <w:framePr w:hSpace="141" w:wrap="around" w:vAnchor="text" w:hAnchor="text" w:xAlign="right" w:y="1"/>
                    <w:numPr>
                      <w:ilvl w:val="0"/>
                      <w:numId w:val="71"/>
                    </w:numPr>
                    <w:spacing w:before="120"/>
                    <w:suppressOverlap/>
                    <w:jc w:val="both"/>
                    <w:rPr>
                      <w:sz w:val="22"/>
                      <w:szCs w:val="22"/>
                    </w:rPr>
                  </w:pPr>
                  <w:r w:rsidRPr="00317ABF">
                    <w:rPr>
                      <w:sz w:val="22"/>
                      <w:szCs w:val="22"/>
                    </w:rPr>
                    <w:t>przestrzegał warunków i procedury, o których powiadomił krajowy organ regulacyjny zgodnie z niniejszym artykułem.</w:t>
                  </w:r>
                </w:p>
              </w:tc>
            </w:tr>
          </w:tbl>
          <w:p w14:paraId="7527E95C" w14:textId="77777777" w:rsidR="001E1112" w:rsidRPr="00317ABF" w:rsidRDefault="001E1112" w:rsidP="00DB3BEC">
            <w:pPr>
              <w:spacing w:before="120"/>
              <w:jc w:val="both"/>
              <w:rPr>
                <w:sz w:val="22"/>
                <w:szCs w:val="22"/>
              </w:rPr>
            </w:pPr>
            <w:r w:rsidRPr="00317ABF">
              <w:rPr>
                <w:sz w:val="22"/>
                <w:szCs w:val="22"/>
              </w:rPr>
              <w:t>Tego uchylenia obowiązków dokonuje się zgodnie z procedurami, o których mowa w art. 23, 32 i 33.</w:t>
            </w:r>
          </w:p>
        </w:tc>
        <w:tc>
          <w:tcPr>
            <w:tcW w:w="986" w:type="dxa"/>
          </w:tcPr>
          <w:p w14:paraId="1F8F0B4B" w14:textId="748AA605" w:rsidR="001E1112" w:rsidRPr="00317ABF" w:rsidRDefault="001E1112" w:rsidP="00DB3BEC">
            <w:pPr>
              <w:jc w:val="both"/>
              <w:rPr>
                <w:sz w:val="22"/>
                <w:szCs w:val="22"/>
              </w:rPr>
            </w:pPr>
            <w:r w:rsidRPr="00317ABF">
              <w:rPr>
                <w:sz w:val="22"/>
                <w:szCs w:val="22"/>
              </w:rPr>
              <w:t>T</w:t>
            </w:r>
          </w:p>
        </w:tc>
        <w:tc>
          <w:tcPr>
            <w:tcW w:w="910" w:type="dxa"/>
          </w:tcPr>
          <w:p w14:paraId="3AC25536" w14:textId="0E9C3DE6" w:rsidR="001E1112" w:rsidRPr="00317ABF" w:rsidRDefault="00DB3BEC" w:rsidP="00DB3BEC">
            <w:pPr>
              <w:pStyle w:val="Tekstpodstawowy"/>
              <w:rPr>
                <w:b/>
                <w:bCs/>
                <w:noProof/>
                <w:sz w:val="22"/>
                <w:szCs w:val="22"/>
              </w:rPr>
            </w:pPr>
            <w:r w:rsidRPr="00317ABF">
              <w:rPr>
                <w:b/>
                <w:bCs/>
                <w:noProof/>
                <w:sz w:val="22"/>
                <w:szCs w:val="22"/>
              </w:rPr>
              <w:t xml:space="preserve">Art. </w:t>
            </w:r>
            <w:r w:rsidR="001E1112" w:rsidRPr="00317ABF">
              <w:rPr>
                <w:b/>
                <w:bCs/>
                <w:noProof/>
                <w:sz w:val="22"/>
                <w:szCs w:val="22"/>
              </w:rPr>
              <w:t>2</w:t>
            </w:r>
            <w:r w:rsidR="3C41C1FD" w:rsidRPr="00317ABF">
              <w:rPr>
                <w:b/>
                <w:bCs/>
                <w:noProof/>
                <w:sz w:val="22"/>
                <w:szCs w:val="22"/>
              </w:rPr>
              <w:t>30</w:t>
            </w:r>
            <w:r w:rsidR="001E1112" w:rsidRPr="00317ABF">
              <w:rPr>
                <w:b/>
                <w:bCs/>
                <w:noProof/>
                <w:sz w:val="22"/>
                <w:szCs w:val="22"/>
              </w:rPr>
              <w:t xml:space="preserve"> ust. 2-4</w:t>
            </w:r>
          </w:p>
        </w:tc>
        <w:tc>
          <w:tcPr>
            <w:tcW w:w="6814" w:type="dxa"/>
            <w:gridSpan w:val="2"/>
          </w:tcPr>
          <w:p w14:paraId="200A04C0" w14:textId="6F336EAF" w:rsidR="001E1112" w:rsidRPr="00317ABF" w:rsidRDefault="142B4065" w:rsidP="7753F98D">
            <w:pPr>
              <w:jc w:val="both"/>
              <w:rPr>
                <w:sz w:val="22"/>
                <w:szCs w:val="22"/>
              </w:rPr>
            </w:pPr>
            <w:r w:rsidRPr="00317ABF">
              <w:rPr>
                <w:sz w:val="22"/>
                <w:szCs w:val="22"/>
              </w:rPr>
              <w:t xml:space="preserve">2. Do powiadomienia, o którym mowa w ust. 1, przedsiębiorca komunikacji elektronicznej,  załącza przejrzysty harmonogram i warunki migracji z infrastruktury, o której mowa w ust. 1, które, jeżeli jest to konieczne, w celu ochrony konkurencji i praw użytkowników końcowych, określają w szczególności: </w:t>
            </w:r>
          </w:p>
          <w:p w14:paraId="086DCD92" w14:textId="628EF33B" w:rsidR="001E1112" w:rsidRPr="00317ABF" w:rsidRDefault="142B4065" w:rsidP="7753F98D">
            <w:pPr>
              <w:jc w:val="both"/>
            </w:pPr>
            <w:r w:rsidRPr="00317ABF">
              <w:rPr>
                <w:sz w:val="22"/>
                <w:szCs w:val="22"/>
              </w:rPr>
              <w:t xml:space="preserve">1)terminy powiadamiania o migracji podmiotów korzystających z tej infrastruktury oraz </w:t>
            </w:r>
          </w:p>
          <w:p w14:paraId="71D6E012" w14:textId="0E60007E" w:rsidR="001E1112" w:rsidRPr="00317ABF" w:rsidRDefault="142B4065" w:rsidP="7753F98D">
            <w:pPr>
              <w:jc w:val="both"/>
            </w:pPr>
            <w:r w:rsidRPr="00317ABF">
              <w:rPr>
                <w:sz w:val="22"/>
                <w:szCs w:val="22"/>
              </w:rPr>
              <w:t>2) alternatywne sposoby zapewnienia dostępu telekomunikacyjnego umożliwiające świadczenie usług o co najmniej porównywalnej jakości dotychczasowym użytkownikom końcowym.</w:t>
            </w:r>
          </w:p>
          <w:p w14:paraId="6D7AC18B" w14:textId="51102125" w:rsidR="001E1112" w:rsidRPr="00317ABF" w:rsidRDefault="142B4065" w:rsidP="7753F98D">
            <w:pPr>
              <w:jc w:val="both"/>
            </w:pPr>
            <w:r w:rsidRPr="00317ABF">
              <w:rPr>
                <w:sz w:val="22"/>
                <w:szCs w:val="22"/>
              </w:rPr>
              <w:t xml:space="preserve">3. Prezes UKE, w drodze decyzji, zatwierdza albo odmawia zatwierdzenia powiadomienia, jeżeli nie spełnia ono warunków określonych w ust. 2. W decyzji, o odmowie zatwierdzenia powiadomienia, Prezes UKE zobowiązuje przedsiębiorcę komunikacji elektronicznej do przedstawienia poprawionego powiadomienia. </w:t>
            </w:r>
          </w:p>
          <w:p w14:paraId="37192E6A" w14:textId="09D69263" w:rsidR="001E1112" w:rsidRPr="00317ABF" w:rsidRDefault="142B4065" w:rsidP="7753F98D">
            <w:pPr>
              <w:jc w:val="both"/>
            </w:pPr>
            <w:r w:rsidRPr="00317ABF">
              <w:rPr>
                <w:sz w:val="22"/>
                <w:szCs w:val="22"/>
              </w:rPr>
              <w:t>4. W przypadku wydania decyzji o zatwierdzeniu powiadomienia, o której mowa w ust. 3, Prezes UKE może, w drodze decyzji, uchylić obowiązki regulacyjne w zakresie dostępu telekomunikacyjnego do sieci miedzianej lub infrastruktury niezbędnej do eksploatacji sieci miedzianej objętej migracją.</w:t>
            </w:r>
          </w:p>
          <w:p w14:paraId="099D5AB5" w14:textId="0BAD97BF" w:rsidR="001E1112" w:rsidRPr="00317ABF" w:rsidRDefault="001E1112" w:rsidP="7753F98D">
            <w:pPr>
              <w:jc w:val="both"/>
              <w:rPr>
                <w:sz w:val="22"/>
                <w:szCs w:val="22"/>
              </w:rPr>
            </w:pPr>
            <w:r w:rsidRPr="00317ABF">
              <w:br/>
            </w:r>
          </w:p>
          <w:p w14:paraId="73593889" w14:textId="41B9CEE7" w:rsidR="001E1112" w:rsidRPr="00317ABF" w:rsidRDefault="001E1112" w:rsidP="7753F98D">
            <w:pPr>
              <w:jc w:val="both"/>
              <w:rPr>
                <w:sz w:val="22"/>
                <w:szCs w:val="22"/>
              </w:rPr>
            </w:pPr>
          </w:p>
        </w:tc>
      </w:tr>
      <w:tr w:rsidR="001E1112" w:rsidRPr="00317ABF" w14:paraId="47AD898A" w14:textId="77777777" w:rsidTr="7753F98D">
        <w:trPr>
          <w:gridAfter w:val="2"/>
          <w:wAfter w:w="175" w:type="dxa"/>
        </w:trPr>
        <w:tc>
          <w:tcPr>
            <w:tcW w:w="704" w:type="dxa"/>
          </w:tcPr>
          <w:p w14:paraId="710B08FC" w14:textId="77777777" w:rsidR="001E1112" w:rsidRPr="00317ABF" w:rsidRDefault="001E1112" w:rsidP="00DB3BEC">
            <w:pPr>
              <w:jc w:val="both"/>
              <w:rPr>
                <w:sz w:val="22"/>
                <w:szCs w:val="22"/>
              </w:rPr>
            </w:pPr>
            <w:r w:rsidRPr="00317ABF">
              <w:rPr>
                <w:sz w:val="22"/>
                <w:szCs w:val="22"/>
              </w:rPr>
              <w:lastRenderedPageBreak/>
              <w:t>Art. 81 ust. 3</w:t>
            </w:r>
          </w:p>
        </w:tc>
        <w:tc>
          <w:tcPr>
            <w:tcW w:w="4308" w:type="dxa"/>
          </w:tcPr>
          <w:p w14:paraId="0E46D75D" w14:textId="77777777" w:rsidR="001E1112" w:rsidRPr="00317ABF" w:rsidRDefault="001E1112" w:rsidP="00DB3BEC">
            <w:pPr>
              <w:spacing w:before="120"/>
              <w:jc w:val="both"/>
              <w:rPr>
                <w:sz w:val="22"/>
                <w:szCs w:val="22"/>
              </w:rPr>
            </w:pPr>
            <w:r w:rsidRPr="00317ABF">
              <w:rPr>
                <w:sz w:val="22"/>
                <w:szCs w:val="22"/>
              </w:rPr>
              <w:t>3.   Niniejszy artykuł pozostaje bez uszczerbku dla dostępności produktów regulowanych narzuconej przez krajowy organ regulacyjny w odniesieniu do zmodernizowanej infrastruktury sieciowej zgodnie z procedurami określonymi w art. 67 i 68.</w:t>
            </w:r>
          </w:p>
        </w:tc>
        <w:tc>
          <w:tcPr>
            <w:tcW w:w="986" w:type="dxa"/>
          </w:tcPr>
          <w:p w14:paraId="0A4B9AF5" w14:textId="53AEAA7E" w:rsidR="001E1112" w:rsidRPr="00317ABF" w:rsidRDefault="001E1112" w:rsidP="00DB3BEC">
            <w:pPr>
              <w:jc w:val="both"/>
              <w:rPr>
                <w:sz w:val="22"/>
                <w:szCs w:val="22"/>
              </w:rPr>
            </w:pPr>
            <w:r w:rsidRPr="00317ABF">
              <w:rPr>
                <w:sz w:val="22"/>
                <w:szCs w:val="22"/>
              </w:rPr>
              <w:t>N</w:t>
            </w:r>
          </w:p>
        </w:tc>
        <w:tc>
          <w:tcPr>
            <w:tcW w:w="910" w:type="dxa"/>
          </w:tcPr>
          <w:p w14:paraId="16870501" w14:textId="2EFFA6D5" w:rsidR="001E1112" w:rsidRPr="00317ABF" w:rsidRDefault="001E1112" w:rsidP="00DB3BEC">
            <w:pPr>
              <w:pStyle w:val="Tekstpodstawowy"/>
              <w:rPr>
                <w:b/>
                <w:bCs/>
                <w:noProof/>
                <w:sz w:val="22"/>
                <w:szCs w:val="22"/>
              </w:rPr>
            </w:pPr>
            <w:r w:rsidRPr="00317ABF">
              <w:rPr>
                <w:b/>
                <w:bCs/>
                <w:noProof/>
                <w:sz w:val="22"/>
                <w:szCs w:val="22"/>
              </w:rPr>
              <w:t>Brak konieczności dodawania takiego zastrzeżenia wprost - wynika z przepisów</w:t>
            </w:r>
          </w:p>
        </w:tc>
        <w:tc>
          <w:tcPr>
            <w:tcW w:w="6814" w:type="dxa"/>
            <w:gridSpan w:val="2"/>
          </w:tcPr>
          <w:p w14:paraId="6D74FFE8" w14:textId="77777777" w:rsidR="001E1112" w:rsidRPr="00317ABF" w:rsidRDefault="001E1112" w:rsidP="00DB3BEC">
            <w:pPr>
              <w:pStyle w:val="Tekstpodstawowy"/>
              <w:rPr>
                <w:sz w:val="22"/>
                <w:szCs w:val="22"/>
              </w:rPr>
            </w:pPr>
          </w:p>
        </w:tc>
      </w:tr>
      <w:tr w:rsidR="001E1112" w:rsidRPr="00317ABF" w14:paraId="7226DFEF" w14:textId="77777777" w:rsidTr="7753F98D">
        <w:trPr>
          <w:gridAfter w:val="2"/>
          <w:wAfter w:w="175" w:type="dxa"/>
        </w:trPr>
        <w:tc>
          <w:tcPr>
            <w:tcW w:w="704" w:type="dxa"/>
          </w:tcPr>
          <w:p w14:paraId="6AC4C1B7" w14:textId="77777777" w:rsidR="001E1112" w:rsidRPr="00317ABF" w:rsidRDefault="001E1112" w:rsidP="00DB3BEC">
            <w:pPr>
              <w:jc w:val="both"/>
              <w:rPr>
                <w:b/>
                <w:sz w:val="22"/>
                <w:szCs w:val="22"/>
              </w:rPr>
            </w:pPr>
            <w:r w:rsidRPr="00317ABF">
              <w:rPr>
                <w:b/>
                <w:sz w:val="22"/>
                <w:szCs w:val="22"/>
              </w:rPr>
              <w:t>Art. 82</w:t>
            </w:r>
          </w:p>
        </w:tc>
        <w:tc>
          <w:tcPr>
            <w:tcW w:w="4308" w:type="dxa"/>
          </w:tcPr>
          <w:p w14:paraId="1AD4A94B" w14:textId="77777777" w:rsidR="001E1112" w:rsidRPr="00317ABF" w:rsidRDefault="001E1112" w:rsidP="00DB3BEC">
            <w:pPr>
              <w:spacing w:before="120"/>
              <w:jc w:val="both"/>
              <w:rPr>
                <w:b/>
                <w:bCs/>
                <w:sz w:val="22"/>
                <w:szCs w:val="22"/>
              </w:rPr>
            </w:pPr>
            <w:r w:rsidRPr="00317ABF">
              <w:rPr>
                <w:b/>
                <w:bCs/>
                <w:sz w:val="22"/>
                <w:szCs w:val="22"/>
              </w:rPr>
              <w:t>Wytyczne BEREC dotyczące sieci o bardzo dużej przepustowości</w:t>
            </w:r>
          </w:p>
          <w:p w14:paraId="13611635" w14:textId="77777777" w:rsidR="001E1112" w:rsidRPr="00317ABF" w:rsidRDefault="001E1112" w:rsidP="00DB3BEC">
            <w:pPr>
              <w:spacing w:before="120"/>
              <w:jc w:val="both"/>
              <w:rPr>
                <w:sz w:val="22"/>
                <w:szCs w:val="22"/>
              </w:rPr>
            </w:pPr>
            <w:r w:rsidRPr="00317ABF">
              <w:rPr>
                <w:sz w:val="22"/>
                <w:szCs w:val="22"/>
              </w:rPr>
              <w:t>Do dnia 21 grudnia 2020 r. BEREC, po przeprowadzeniu konsultacji z zainteresowanymi stronami oraz w ścisłej współpracy z Komisją, wyda wytyczne w sprawie kryteriów, które mają być spełnione przez sieć, aby została ona uznana za sieć o bardzo dużej przepustowości, w szczególności pod względem przepustowości łącza służącego do nadawania w dół i w górę, odporności, parametrów związanych z błędami oraz opóźnienia i jego zmienności. Krajowe organy regulacyjne w jak największym stopniu uwzględniają te wytyczne. Do dnia 31 grudnia 2025 r. BEREC zaktualizuje te wytyczne, a następnie będzie je regularnie aktualizować.</w:t>
            </w:r>
          </w:p>
        </w:tc>
        <w:tc>
          <w:tcPr>
            <w:tcW w:w="986" w:type="dxa"/>
          </w:tcPr>
          <w:p w14:paraId="37D862B3" w14:textId="77777777" w:rsidR="001E1112" w:rsidRPr="00317ABF" w:rsidRDefault="001E1112" w:rsidP="00DB3BEC">
            <w:pPr>
              <w:jc w:val="both"/>
              <w:rPr>
                <w:sz w:val="22"/>
                <w:szCs w:val="22"/>
              </w:rPr>
            </w:pPr>
          </w:p>
        </w:tc>
        <w:tc>
          <w:tcPr>
            <w:tcW w:w="910" w:type="dxa"/>
          </w:tcPr>
          <w:p w14:paraId="46F37A0C" w14:textId="77777777" w:rsidR="001E1112" w:rsidRPr="00317ABF" w:rsidRDefault="001E1112" w:rsidP="00DB3BEC">
            <w:pPr>
              <w:pStyle w:val="Tekstpodstawowy"/>
              <w:rPr>
                <w:b/>
                <w:noProof/>
                <w:sz w:val="22"/>
                <w:szCs w:val="22"/>
              </w:rPr>
            </w:pPr>
          </w:p>
        </w:tc>
        <w:tc>
          <w:tcPr>
            <w:tcW w:w="6814" w:type="dxa"/>
            <w:gridSpan w:val="2"/>
          </w:tcPr>
          <w:p w14:paraId="19991D7E" w14:textId="77777777" w:rsidR="001E1112" w:rsidRPr="00317ABF" w:rsidRDefault="001E1112" w:rsidP="00DB3BEC">
            <w:pPr>
              <w:pStyle w:val="Tekstpodstawowy"/>
              <w:rPr>
                <w:sz w:val="22"/>
                <w:szCs w:val="22"/>
              </w:rPr>
            </w:pPr>
          </w:p>
        </w:tc>
      </w:tr>
      <w:tr w:rsidR="001E1112" w:rsidRPr="00317ABF" w14:paraId="11F17B7C" w14:textId="77777777" w:rsidTr="7753F98D">
        <w:trPr>
          <w:gridAfter w:val="2"/>
          <w:wAfter w:w="175" w:type="dxa"/>
        </w:trPr>
        <w:tc>
          <w:tcPr>
            <w:tcW w:w="704" w:type="dxa"/>
          </w:tcPr>
          <w:p w14:paraId="01FF0113" w14:textId="77777777" w:rsidR="001E1112" w:rsidRPr="00317ABF" w:rsidRDefault="001E1112" w:rsidP="00DB3BEC">
            <w:pPr>
              <w:jc w:val="both"/>
              <w:rPr>
                <w:b/>
                <w:sz w:val="22"/>
                <w:szCs w:val="22"/>
              </w:rPr>
            </w:pPr>
            <w:r w:rsidRPr="00317ABF">
              <w:rPr>
                <w:b/>
                <w:sz w:val="22"/>
                <w:szCs w:val="22"/>
              </w:rPr>
              <w:t>Art. 83</w:t>
            </w:r>
          </w:p>
        </w:tc>
        <w:tc>
          <w:tcPr>
            <w:tcW w:w="4308" w:type="dxa"/>
          </w:tcPr>
          <w:p w14:paraId="7E43E9F3" w14:textId="77777777" w:rsidR="001E1112" w:rsidRPr="00317ABF" w:rsidRDefault="001E1112" w:rsidP="00DB3BEC">
            <w:pPr>
              <w:spacing w:before="120"/>
              <w:jc w:val="both"/>
              <w:rPr>
                <w:sz w:val="22"/>
                <w:szCs w:val="22"/>
              </w:rPr>
            </w:pPr>
            <w:r w:rsidRPr="00317ABF">
              <w:rPr>
                <w:b/>
                <w:bCs/>
                <w:sz w:val="22"/>
                <w:szCs w:val="22"/>
              </w:rPr>
              <w:t>Ograniczenia regulacyjne w usługach detalicznych</w:t>
            </w:r>
          </w:p>
        </w:tc>
        <w:tc>
          <w:tcPr>
            <w:tcW w:w="986" w:type="dxa"/>
          </w:tcPr>
          <w:p w14:paraId="07E015CF" w14:textId="77777777" w:rsidR="001E1112" w:rsidRPr="00317ABF" w:rsidRDefault="001E1112" w:rsidP="00DB3BEC">
            <w:pPr>
              <w:jc w:val="both"/>
              <w:rPr>
                <w:sz w:val="22"/>
                <w:szCs w:val="22"/>
              </w:rPr>
            </w:pPr>
          </w:p>
        </w:tc>
        <w:tc>
          <w:tcPr>
            <w:tcW w:w="910" w:type="dxa"/>
          </w:tcPr>
          <w:p w14:paraId="1B950021" w14:textId="77777777" w:rsidR="001E1112" w:rsidRPr="00317ABF" w:rsidRDefault="001E1112" w:rsidP="00DB3BEC">
            <w:pPr>
              <w:pStyle w:val="Tekstpodstawowy"/>
              <w:rPr>
                <w:b/>
                <w:noProof/>
                <w:sz w:val="22"/>
                <w:szCs w:val="22"/>
              </w:rPr>
            </w:pPr>
          </w:p>
        </w:tc>
        <w:tc>
          <w:tcPr>
            <w:tcW w:w="6814" w:type="dxa"/>
            <w:gridSpan w:val="2"/>
          </w:tcPr>
          <w:p w14:paraId="19775E3E" w14:textId="77777777" w:rsidR="001E1112" w:rsidRPr="00317ABF" w:rsidRDefault="001E1112" w:rsidP="00DB3BEC">
            <w:pPr>
              <w:pStyle w:val="Tekstpodstawowy"/>
              <w:rPr>
                <w:sz w:val="22"/>
                <w:szCs w:val="22"/>
              </w:rPr>
            </w:pPr>
          </w:p>
        </w:tc>
      </w:tr>
      <w:tr w:rsidR="001E1112" w:rsidRPr="00317ABF" w14:paraId="4BD8F267" w14:textId="77777777" w:rsidTr="7753F98D">
        <w:trPr>
          <w:gridAfter w:val="2"/>
          <w:wAfter w:w="175" w:type="dxa"/>
        </w:trPr>
        <w:tc>
          <w:tcPr>
            <w:tcW w:w="704" w:type="dxa"/>
          </w:tcPr>
          <w:p w14:paraId="631A0033" w14:textId="77777777" w:rsidR="001E1112" w:rsidRPr="00317ABF" w:rsidRDefault="001E1112" w:rsidP="00DB3BEC">
            <w:pPr>
              <w:jc w:val="both"/>
              <w:rPr>
                <w:sz w:val="22"/>
                <w:szCs w:val="22"/>
              </w:rPr>
            </w:pPr>
            <w:r w:rsidRPr="00317ABF">
              <w:rPr>
                <w:sz w:val="22"/>
                <w:szCs w:val="22"/>
              </w:rPr>
              <w:t>Art. 83 ust. 1</w:t>
            </w:r>
          </w:p>
        </w:tc>
        <w:tc>
          <w:tcPr>
            <w:tcW w:w="4308" w:type="dxa"/>
          </w:tcPr>
          <w:p w14:paraId="0F649EB0" w14:textId="77777777" w:rsidR="001E1112" w:rsidRPr="00317ABF" w:rsidRDefault="001E1112" w:rsidP="00DB3BEC">
            <w:pPr>
              <w:spacing w:before="120"/>
              <w:jc w:val="both"/>
              <w:rPr>
                <w:sz w:val="22"/>
                <w:szCs w:val="22"/>
              </w:rPr>
            </w:pPr>
            <w:r w:rsidRPr="00317ABF">
              <w:rPr>
                <w:sz w:val="22"/>
                <w:szCs w:val="22"/>
              </w:rPr>
              <w:t xml:space="preserve">1.   Państwa członkowskie mogą zapewnić, aby krajowe organy regulacyjne nakładały odpowiednie obowiązki regulacyjne na przedsiębiorstwa uznane za posiadające znaczną pozycję rynkową na danym rynku </w:t>
            </w:r>
            <w:r w:rsidRPr="00317ABF">
              <w:rPr>
                <w:sz w:val="22"/>
                <w:szCs w:val="22"/>
              </w:rPr>
              <w:lastRenderedPageBreak/>
              <w:t>detalicznym, zgodnie z art. 63, w przypadku gdy:</w:t>
            </w:r>
          </w:p>
          <w:tbl>
            <w:tblPr>
              <w:tblW w:w="5000" w:type="pct"/>
              <w:tblCellSpacing w:w="0" w:type="dxa"/>
              <w:tblLayout w:type="fixed"/>
              <w:tblCellMar>
                <w:left w:w="0" w:type="dxa"/>
                <w:right w:w="0" w:type="dxa"/>
              </w:tblCellMar>
              <w:tblLook w:val="04A0" w:firstRow="1" w:lastRow="0" w:firstColumn="1" w:lastColumn="0" w:noHBand="0" w:noVBand="1"/>
            </w:tblPr>
            <w:tblGrid>
              <w:gridCol w:w="20"/>
              <w:gridCol w:w="4148"/>
            </w:tblGrid>
            <w:tr w:rsidR="001E1112" w:rsidRPr="00317ABF" w14:paraId="3B3A2F21" w14:textId="77777777" w:rsidTr="007B5338">
              <w:trPr>
                <w:tblCellSpacing w:w="0" w:type="dxa"/>
              </w:trPr>
              <w:tc>
                <w:tcPr>
                  <w:tcW w:w="6" w:type="dxa"/>
                  <w:hideMark/>
                </w:tcPr>
                <w:p w14:paraId="1CED7396" w14:textId="77777777" w:rsidR="001E1112" w:rsidRPr="00317ABF" w:rsidRDefault="001E1112" w:rsidP="00EE0AC3">
                  <w:pPr>
                    <w:framePr w:hSpace="141" w:wrap="around" w:vAnchor="text" w:hAnchor="text" w:xAlign="right" w:y="1"/>
                    <w:spacing w:before="120"/>
                    <w:suppressOverlap/>
                    <w:jc w:val="both"/>
                    <w:rPr>
                      <w:sz w:val="22"/>
                      <w:szCs w:val="22"/>
                    </w:rPr>
                  </w:pPr>
                </w:p>
              </w:tc>
              <w:tc>
                <w:tcPr>
                  <w:tcW w:w="9066" w:type="dxa"/>
                  <w:hideMark/>
                </w:tcPr>
                <w:p w14:paraId="214FF30F" w14:textId="77777777" w:rsidR="001E1112" w:rsidRPr="00317ABF" w:rsidRDefault="001E1112" w:rsidP="00EE0AC3">
                  <w:pPr>
                    <w:framePr w:hSpace="141" w:wrap="around" w:vAnchor="text" w:hAnchor="text" w:xAlign="right" w:y="1"/>
                    <w:numPr>
                      <w:ilvl w:val="0"/>
                      <w:numId w:val="72"/>
                    </w:numPr>
                    <w:spacing w:before="120"/>
                    <w:suppressOverlap/>
                    <w:jc w:val="both"/>
                    <w:rPr>
                      <w:sz w:val="22"/>
                      <w:szCs w:val="22"/>
                    </w:rPr>
                  </w:pPr>
                  <w:r w:rsidRPr="00317ABF">
                    <w:rPr>
                      <w:sz w:val="22"/>
                      <w:szCs w:val="22"/>
                    </w:rPr>
                    <w:t>w wyniku analizy rynku przeprowadzonej zgodnie z art. 67 krajowy organ regulacyjny ustali, że dany rynek detaliczny określony zgodnie z art. 64 nie jest skutecznie konkurencyjny; oraz</w:t>
                  </w:r>
                </w:p>
              </w:tc>
            </w:tr>
          </w:tbl>
          <w:p w14:paraId="78557938" w14:textId="77777777" w:rsidR="001E1112" w:rsidRPr="00317ABF" w:rsidRDefault="001E1112" w:rsidP="00DB3BEC">
            <w:pPr>
              <w:jc w:val="both"/>
              <w:rPr>
                <w:vanish/>
                <w:sz w:val="22"/>
                <w:szCs w:val="22"/>
              </w:rPr>
            </w:pPr>
          </w:p>
          <w:tbl>
            <w:tblPr>
              <w:tblW w:w="5000" w:type="pct"/>
              <w:tblCellSpacing w:w="0" w:type="dxa"/>
              <w:tblLayout w:type="fixed"/>
              <w:tblCellMar>
                <w:left w:w="0" w:type="dxa"/>
                <w:right w:w="0" w:type="dxa"/>
              </w:tblCellMar>
              <w:tblLook w:val="04A0" w:firstRow="1" w:lastRow="0" w:firstColumn="1" w:lastColumn="0" w:noHBand="0" w:noVBand="1"/>
            </w:tblPr>
            <w:tblGrid>
              <w:gridCol w:w="20"/>
              <w:gridCol w:w="4148"/>
            </w:tblGrid>
            <w:tr w:rsidR="001E1112" w:rsidRPr="00317ABF" w14:paraId="7E26E1E7" w14:textId="77777777" w:rsidTr="007B5338">
              <w:trPr>
                <w:tblCellSpacing w:w="0" w:type="dxa"/>
              </w:trPr>
              <w:tc>
                <w:tcPr>
                  <w:tcW w:w="6" w:type="dxa"/>
                  <w:hideMark/>
                </w:tcPr>
                <w:p w14:paraId="61479C46" w14:textId="77777777" w:rsidR="001E1112" w:rsidRPr="00317ABF" w:rsidRDefault="001E1112" w:rsidP="00EE0AC3">
                  <w:pPr>
                    <w:framePr w:hSpace="141" w:wrap="around" w:vAnchor="text" w:hAnchor="text" w:xAlign="right" w:y="1"/>
                    <w:spacing w:before="120"/>
                    <w:suppressOverlap/>
                    <w:jc w:val="both"/>
                    <w:rPr>
                      <w:sz w:val="22"/>
                      <w:szCs w:val="22"/>
                    </w:rPr>
                  </w:pPr>
                </w:p>
              </w:tc>
              <w:tc>
                <w:tcPr>
                  <w:tcW w:w="9066" w:type="dxa"/>
                  <w:hideMark/>
                </w:tcPr>
                <w:p w14:paraId="74D2D45E" w14:textId="77777777" w:rsidR="001E1112" w:rsidRPr="00317ABF" w:rsidRDefault="001E1112" w:rsidP="00EE0AC3">
                  <w:pPr>
                    <w:framePr w:hSpace="141" w:wrap="around" w:vAnchor="text" w:hAnchor="text" w:xAlign="right" w:y="1"/>
                    <w:numPr>
                      <w:ilvl w:val="0"/>
                      <w:numId w:val="72"/>
                    </w:numPr>
                    <w:spacing w:before="120"/>
                    <w:suppressOverlap/>
                    <w:jc w:val="both"/>
                    <w:rPr>
                      <w:sz w:val="22"/>
                      <w:szCs w:val="22"/>
                    </w:rPr>
                  </w:pPr>
                  <w:r w:rsidRPr="00317ABF">
                    <w:rPr>
                      <w:sz w:val="22"/>
                      <w:szCs w:val="22"/>
                    </w:rPr>
                    <w:t>krajowy organ regulacyjny stwierdzi, że obowiązki nałożone na mocy art. 69–74 nie doprowadziłyby do osiągnięcia celów określonych w art. 3.</w:t>
                  </w:r>
                </w:p>
              </w:tc>
            </w:tr>
          </w:tbl>
          <w:p w14:paraId="2B25DDD1" w14:textId="77777777" w:rsidR="001E1112" w:rsidRPr="00317ABF" w:rsidRDefault="001E1112" w:rsidP="00DB3BEC">
            <w:pPr>
              <w:spacing w:before="120"/>
              <w:jc w:val="both"/>
              <w:rPr>
                <w:sz w:val="22"/>
                <w:szCs w:val="22"/>
              </w:rPr>
            </w:pPr>
          </w:p>
        </w:tc>
        <w:tc>
          <w:tcPr>
            <w:tcW w:w="986" w:type="dxa"/>
          </w:tcPr>
          <w:p w14:paraId="1AF8F8EC" w14:textId="703A8033" w:rsidR="001E1112" w:rsidRPr="00317ABF" w:rsidRDefault="001E1112" w:rsidP="00DB3BEC">
            <w:pPr>
              <w:jc w:val="both"/>
              <w:rPr>
                <w:sz w:val="22"/>
                <w:szCs w:val="22"/>
              </w:rPr>
            </w:pPr>
            <w:r w:rsidRPr="00317ABF">
              <w:rPr>
                <w:sz w:val="22"/>
                <w:szCs w:val="22"/>
              </w:rPr>
              <w:lastRenderedPageBreak/>
              <w:t>T</w:t>
            </w:r>
          </w:p>
        </w:tc>
        <w:tc>
          <w:tcPr>
            <w:tcW w:w="910" w:type="dxa"/>
          </w:tcPr>
          <w:p w14:paraId="3FEA7A61" w14:textId="6DDDD127" w:rsidR="001E1112" w:rsidRPr="00317ABF" w:rsidRDefault="001E1112" w:rsidP="00DB3BEC">
            <w:pPr>
              <w:pStyle w:val="Tekstpodstawowy"/>
              <w:rPr>
                <w:b/>
                <w:bCs/>
                <w:noProof/>
                <w:sz w:val="22"/>
                <w:szCs w:val="22"/>
              </w:rPr>
            </w:pPr>
            <w:r w:rsidRPr="00317ABF">
              <w:rPr>
                <w:b/>
                <w:bCs/>
                <w:noProof/>
                <w:sz w:val="22"/>
                <w:szCs w:val="22"/>
              </w:rPr>
              <w:t>Art. 2 pkt 55</w:t>
            </w:r>
          </w:p>
          <w:p w14:paraId="1941C783" w14:textId="72FB8242" w:rsidR="001E1112" w:rsidRPr="00317ABF" w:rsidRDefault="00DB3BEC" w:rsidP="00DB3BEC">
            <w:pPr>
              <w:pStyle w:val="Tekstpodstawowy"/>
              <w:rPr>
                <w:b/>
                <w:bCs/>
                <w:noProof/>
                <w:sz w:val="22"/>
                <w:szCs w:val="22"/>
              </w:rPr>
            </w:pPr>
            <w:r w:rsidRPr="00317ABF">
              <w:rPr>
                <w:b/>
                <w:bCs/>
                <w:noProof/>
                <w:sz w:val="22"/>
                <w:szCs w:val="22"/>
              </w:rPr>
              <w:t xml:space="preserve">Art. </w:t>
            </w:r>
            <w:r w:rsidR="002F6D7F" w:rsidRPr="00317ABF">
              <w:rPr>
                <w:b/>
                <w:bCs/>
                <w:noProof/>
                <w:sz w:val="22"/>
                <w:szCs w:val="22"/>
              </w:rPr>
              <w:t>231</w:t>
            </w:r>
            <w:r w:rsidR="001E1112" w:rsidRPr="00317ABF">
              <w:rPr>
                <w:b/>
                <w:bCs/>
                <w:noProof/>
                <w:sz w:val="22"/>
                <w:szCs w:val="22"/>
              </w:rPr>
              <w:t xml:space="preserve"> ust. 1</w:t>
            </w:r>
          </w:p>
        </w:tc>
        <w:tc>
          <w:tcPr>
            <w:tcW w:w="6814" w:type="dxa"/>
            <w:gridSpan w:val="2"/>
          </w:tcPr>
          <w:p w14:paraId="57A7BF79" w14:textId="4CA150D4" w:rsidR="002F6D7F" w:rsidRPr="00317ABF" w:rsidRDefault="002F6D7F" w:rsidP="00DB3BEC">
            <w:pPr>
              <w:jc w:val="both"/>
              <w:rPr>
                <w:b/>
                <w:sz w:val="22"/>
                <w:szCs w:val="22"/>
              </w:rPr>
            </w:pPr>
            <w:r w:rsidRPr="00317ABF">
              <w:rPr>
                <w:b/>
                <w:sz w:val="22"/>
                <w:szCs w:val="22"/>
              </w:rPr>
              <w:t>Art. 2 pkt 55</w:t>
            </w:r>
          </w:p>
          <w:p w14:paraId="170C9C70" w14:textId="10FCE3D9" w:rsidR="002F6D7F" w:rsidRPr="00317ABF" w:rsidRDefault="002F6D7F" w:rsidP="00DB3BEC">
            <w:pPr>
              <w:jc w:val="both"/>
              <w:rPr>
                <w:sz w:val="22"/>
                <w:szCs w:val="22"/>
              </w:rPr>
            </w:pPr>
          </w:p>
          <w:p w14:paraId="4689CEFA" w14:textId="23B0F800" w:rsidR="002F6D7F" w:rsidRPr="00317ABF" w:rsidRDefault="002F6D7F" w:rsidP="00DB3BEC">
            <w:pPr>
              <w:jc w:val="both"/>
              <w:rPr>
                <w:rFonts w:eastAsia="Times"/>
                <w:bCs/>
                <w:sz w:val="22"/>
                <w:szCs w:val="22"/>
              </w:rPr>
            </w:pPr>
            <w:r w:rsidRPr="00317ABF">
              <w:t xml:space="preserve"> </w:t>
            </w:r>
            <w:r w:rsidRPr="00317ABF">
              <w:rPr>
                <w:rFonts w:eastAsia="Times"/>
                <w:bCs/>
                <w:sz w:val="22"/>
                <w:szCs w:val="22"/>
              </w:rPr>
              <w:t>55</w:t>
            </w:r>
            <w:r w:rsidRPr="00317ABF">
              <w:rPr>
                <w:rFonts w:eastAsia="Times"/>
                <w:b/>
                <w:bCs/>
                <w:sz w:val="22"/>
                <w:szCs w:val="22"/>
              </w:rPr>
              <w:t>)</w:t>
            </w:r>
            <w:r w:rsidRPr="00317ABF">
              <w:rPr>
                <w:rFonts w:eastAsia="Times"/>
              </w:rPr>
              <w:tab/>
            </w:r>
            <w:r w:rsidRPr="00317ABF">
              <w:rPr>
                <w:rFonts w:eastAsia="Times"/>
                <w:bCs/>
                <w:sz w:val="22"/>
                <w:szCs w:val="22"/>
              </w:rPr>
              <w:t>rynek detaliczny – rynek produktów i usług w zakresie usług komunikacji elektronicznej dla użytkowników końcowych;</w:t>
            </w:r>
          </w:p>
          <w:p w14:paraId="44EF3A91" w14:textId="2F8BB83A" w:rsidR="002F6D7F" w:rsidRPr="00317ABF" w:rsidRDefault="002F6D7F" w:rsidP="00DB3BEC">
            <w:pPr>
              <w:jc w:val="both"/>
              <w:rPr>
                <w:rFonts w:eastAsia="Times"/>
                <w:b/>
                <w:bCs/>
                <w:sz w:val="22"/>
                <w:szCs w:val="22"/>
              </w:rPr>
            </w:pPr>
          </w:p>
          <w:p w14:paraId="2D3F7260" w14:textId="511715BA" w:rsidR="002F6D7F" w:rsidRPr="00317ABF" w:rsidRDefault="001E1112" w:rsidP="00DB3BEC">
            <w:pPr>
              <w:jc w:val="both"/>
              <w:rPr>
                <w:rFonts w:eastAsia="Times"/>
                <w:sz w:val="22"/>
                <w:szCs w:val="22"/>
              </w:rPr>
            </w:pPr>
            <w:r w:rsidRPr="00317ABF">
              <w:rPr>
                <w:rFonts w:eastAsia="Times"/>
                <w:b/>
                <w:bCs/>
                <w:sz w:val="22"/>
                <w:szCs w:val="22"/>
              </w:rPr>
              <w:lastRenderedPageBreak/>
              <w:t xml:space="preserve">Art. </w:t>
            </w:r>
            <w:r w:rsidR="002F6D7F" w:rsidRPr="00317ABF">
              <w:rPr>
                <w:rFonts w:eastAsia="Times"/>
                <w:b/>
                <w:bCs/>
                <w:sz w:val="22"/>
                <w:szCs w:val="22"/>
              </w:rPr>
              <w:t>231</w:t>
            </w:r>
            <w:r w:rsidRPr="00317ABF">
              <w:rPr>
                <w:rFonts w:eastAsia="Times"/>
                <w:b/>
                <w:bCs/>
                <w:sz w:val="22"/>
                <w:szCs w:val="22"/>
              </w:rPr>
              <w:t>.</w:t>
            </w:r>
            <w:r w:rsidRPr="00317ABF">
              <w:rPr>
                <w:rFonts w:eastAsia="Times"/>
                <w:sz w:val="22"/>
                <w:szCs w:val="22"/>
              </w:rPr>
              <w:t xml:space="preserve"> </w:t>
            </w:r>
          </w:p>
          <w:p w14:paraId="0F7CD1C6" w14:textId="1FB06FC3" w:rsidR="002F6D7F" w:rsidRPr="00317ABF" w:rsidRDefault="001E1112" w:rsidP="002F6D7F">
            <w:pPr>
              <w:jc w:val="both"/>
              <w:rPr>
                <w:rFonts w:eastAsia="Times"/>
                <w:sz w:val="22"/>
                <w:szCs w:val="22"/>
              </w:rPr>
            </w:pPr>
            <w:r w:rsidRPr="00317ABF">
              <w:rPr>
                <w:rFonts w:eastAsia="Times"/>
                <w:sz w:val="22"/>
                <w:szCs w:val="22"/>
              </w:rPr>
              <w:t>1.</w:t>
            </w:r>
            <w:r w:rsidR="002F6D7F" w:rsidRPr="00317ABF">
              <w:rPr>
                <w:rFonts w:eastAsia="Times"/>
                <w:sz w:val="22"/>
                <w:szCs w:val="22"/>
              </w:rPr>
              <w:t>Jeżeli w wyniku analizy, o której mowa w art. 197 ust. 1, Prezes UKE stwierdzi, że:</w:t>
            </w:r>
          </w:p>
          <w:p w14:paraId="42885C37" w14:textId="143E1AB6" w:rsidR="002F6D7F" w:rsidRPr="00317ABF" w:rsidRDefault="002F6D7F" w:rsidP="002F6D7F">
            <w:pPr>
              <w:jc w:val="both"/>
              <w:rPr>
                <w:rFonts w:eastAsia="Times"/>
                <w:sz w:val="22"/>
                <w:szCs w:val="22"/>
              </w:rPr>
            </w:pPr>
            <w:r w:rsidRPr="00317ABF">
              <w:rPr>
                <w:rFonts w:eastAsia="Times"/>
                <w:sz w:val="22"/>
                <w:szCs w:val="22"/>
              </w:rPr>
              <w:t>1)</w:t>
            </w:r>
            <w:r w:rsidRPr="00317ABF">
              <w:rPr>
                <w:rFonts w:eastAsia="Times"/>
              </w:rPr>
              <w:tab/>
            </w:r>
            <w:r w:rsidRPr="00317ABF">
              <w:rPr>
                <w:rFonts w:eastAsia="Times"/>
                <w:sz w:val="22"/>
                <w:szCs w:val="22"/>
              </w:rPr>
              <w:t>dany rynek detaliczny nie jest skutecznie konkurencyjny,</w:t>
            </w:r>
          </w:p>
          <w:p w14:paraId="1B540D5C" w14:textId="109FC437" w:rsidR="001E1112" w:rsidRPr="00317ABF" w:rsidRDefault="002F6D7F" w:rsidP="002F6D7F">
            <w:pPr>
              <w:jc w:val="both"/>
              <w:rPr>
                <w:rFonts w:eastAsia="Times"/>
                <w:sz w:val="22"/>
                <w:szCs w:val="22"/>
              </w:rPr>
            </w:pPr>
            <w:r w:rsidRPr="00317ABF">
              <w:rPr>
                <w:rFonts w:eastAsia="Times"/>
                <w:sz w:val="22"/>
                <w:szCs w:val="22"/>
              </w:rPr>
              <w:t>2)</w:t>
            </w:r>
            <w:r w:rsidRPr="00317ABF">
              <w:rPr>
                <w:rFonts w:eastAsia="Times"/>
              </w:rPr>
              <w:tab/>
            </w:r>
            <w:r w:rsidR="001E1112" w:rsidRPr="00317ABF">
              <w:rPr>
                <w:rFonts w:eastAsia="Times"/>
                <w:sz w:val="22"/>
                <w:szCs w:val="22"/>
              </w:rPr>
              <w:t xml:space="preserve">obowiązki, o których mowa w art. </w:t>
            </w:r>
            <w:r w:rsidRPr="00317ABF">
              <w:rPr>
                <w:rFonts w:eastAsia="Times"/>
                <w:sz w:val="22"/>
                <w:szCs w:val="22"/>
              </w:rPr>
              <w:t>210-215, art. 216 ust. 1</w:t>
            </w:r>
            <w:r w:rsidR="001E1112" w:rsidRPr="00317ABF">
              <w:rPr>
                <w:rFonts w:eastAsia="Times"/>
                <w:sz w:val="22"/>
                <w:szCs w:val="22"/>
              </w:rPr>
              <w:t xml:space="preserve"> i art. </w:t>
            </w:r>
            <w:r w:rsidRPr="00317ABF">
              <w:rPr>
                <w:rFonts w:eastAsia="Times"/>
                <w:sz w:val="22"/>
                <w:szCs w:val="22"/>
              </w:rPr>
              <w:t>220</w:t>
            </w:r>
            <w:r w:rsidR="001E1112" w:rsidRPr="00317ABF">
              <w:rPr>
                <w:rFonts w:eastAsia="Times"/>
                <w:sz w:val="22"/>
                <w:szCs w:val="22"/>
              </w:rPr>
              <w:t xml:space="preserve"> nie doprowadziłyby do osiągnięcia celów, o których mowa w art. </w:t>
            </w:r>
            <w:r w:rsidRPr="00317ABF">
              <w:rPr>
                <w:rFonts w:eastAsia="Times"/>
                <w:sz w:val="22"/>
                <w:szCs w:val="22"/>
              </w:rPr>
              <w:t>407</w:t>
            </w:r>
            <w:r w:rsidR="001E1112" w:rsidRPr="00317ABF">
              <w:rPr>
                <w:rFonts w:eastAsia="Times"/>
                <w:sz w:val="22"/>
                <w:szCs w:val="22"/>
              </w:rPr>
              <w:t xml:space="preserve"> ust. 2</w:t>
            </w:r>
          </w:p>
          <w:p w14:paraId="26032344" w14:textId="133C23CA" w:rsidR="001E1112" w:rsidRPr="00317ABF" w:rsidRDefault="001E1112" w:rsidP="00DB3BEC">
            <w:pPr>
              <w:jc w:val="both"/>
              <w:rPr>
                <w:sz w:val="22"/>
                <w:szCs w:val="22"/>
              </w:rPr>
            </w:pPr>
            <w:r w:rsidRPr="00317ABF">
              <w:rPr>
                <w:rFonts w:eastAsia="Times"/>
                <w:sz w:val="22"/>
                <w:szCs w:val="22"/>
              </w:rPr>
              <w:t>- nakłada co najmniej jeden z obowiązków, o których mowa w ust. 2, na przedsiębiorcę komunikacji elektronicznej o znaczącej pozycji rynkowej na danym rynku detalicznym.</w:t>
            </w:r>
          </w:p>
        </w:tc>
      </w:tr>
      <w:tr w:rsidR="001E1112" w:rsidRPr="00317ABF" w14:paraId="2864F9A0" w14:textId="77777777" w:rsidTr="7753F98D">
        <w:trPr>
          <w:gridAfter w:val="2"/>
          <w:wAfter w:w="175" w:type="dxa"/>
        </w:trPr>
        <w:tc>
          <w:tcPr>
            <w:tcW w:w="704" w:type="dxa"/>
          </w:tcPr>
          <w:p w14:paraId="42FDD20B" w14:textId="77777777" w:rsidR="001E1112" w:rsidRPr="00317ABF" w:rsidRDefault="001E1112" w:rsidP="00DB3BEC">
            <w:pPr>
              <w:jc w:val="both"/>
              <w:rPr>
                <w:sz w:val="22"/>
                <w:szCs w:val="22"/>
              </w:rPr>
            </w:pPr>
            <w:r w:rsidRPr="00317ABF">
              <w:rPr>
                <w:sz w:val="22"/>
                <w:szCs w:val="22"/>
              </w:rPr>
              <w:lastRenderedPageBreak/>
              <w:t>Art. 83 ust. 2</w:t>
            </w:r>
          </w:p>
        </w:tc>
        <w:tc>
          <w:tcPr>
            <w:tcW w:w="4308" w:type="dxa"/>
          </w:tcPr>
          <w:p w14:paraId="5BFFC127" w14:textId="77777777" w:rsidR="001E1112" w:rsidRPr="00317ABF" w:rsidRDefault="001E1112" w:rsidP="00DB3BEC">
            <w:pPr>
              <w:spacing w:before="120"/>
              <w:jc w:val="both"/>
              <w:rPr>
                <w:sz w:val="22"/>
                <w:szCs w:val="22"/>
              </w:rPr>
            </w:pPr>
            <w:r w:rsidRPr="00317ABF">
              <w:rPr>
                <w:sz w:val="22"/>
                <w:szCs w:val="22"/>
              </w:rPr>
              <w:t>2.   Obowiązki nałożone na mocy ust. 1 niniejszego artykułu opierają się na naturze zidentyfikowanego problemu oraz są proporcjonalne i uzasadnione w świetle celów określonych w art. 3. Nałożone obowiązki mogą obejmować wymogi, aby określone przedsiębiorstwa nie ustanawiały nadmiernych cen, nie hamowały wejścia na rynek ani nie ograniczały konkurencji w drodze ustalania drapieżnych cen, nie okazywały niezasłużonych preferencji określonym użytkownikom końcowym ani nieracjonalnie nie łączyły usług. Wobec takich przedsiębiorstw krajowe organy regulacyjne mogą zastosować odpowiednie środki limitowania cen detalicznych, środki kontroli poszczególnych taryf lub środki zorientowania taryf na koszty lub ceny na porównywalnych rynkach w celu ochrony interesów użytkownika końcowego przy jednoczesnym wspieraniu skutecznej konkurencji.</w:t>
            </w:r>
          </w:p>
        </w:tc>
        <w:tc>
          <w:tcPr>
            <w:tcW w:w="986" w:type="dxa"/>
          </w:tcPr>
          <w:p w14:paraId="0B65BDA0" w14:textId="195C5F5D" w:rsidR="001E1112" w:rsidRPr="00317ABF" w:rsidRDefault="001E1112" w:rsidP="00DB3BEC">
            <w:pPr>
              <w:jc w:val="both"/>
              <w:rPr>
                <w:sz w:val="22"/>
                <w:szCs w:val="22"/>
              </w:rPr>
            </w:pPr>
            <w:r w:rsidRPr="00317ABF">
              <w:rPr>
                <w:sz w:val="22"/>
                <w:szCs w:val="22"/>
              </w:rPr>
              <w:t>T</w:t>
            </w:r>
          </w:p>
        </w:tc>
        <w:tc>
          <w:tcPr>
            <w:tcW w:w="910" w:type="dxa"/>
          </w:tcPr>
          <w:p w14:paraId="62B6DCE8" w14:textId="473B4AE5" w:rsidR="001E1112" w:rsidRPr="00317ABF" w:rsidRDefault="001E1112" w:rsidP="00DB3BEC">
            <w:pPr>
              <w:pStyle w:val="Tekstpodstawowy"/>
              <w:rPr>
                <w:b/>
                <w:bCs/>
                <w:noProof/>
                <w:sz w:val="22"/>
                <w:szCs w:val="22"/>
              </w:rPr>
            </w:pPr>
            <w:r w:rsidRPr="00317ABF">
              <w:rPr>
                <w:b/>
                <w:bCs/>
                <w:noProof/>
                <w:sz w:val="22"/>
                <w:szCs w:val="22"/>
              </w:rPr>
              <w:t>Art. 2</w:t>
            </w:r>
            <w:r w:rsidR="002F6D7F" w:rsidRPr="00317ABF">
              <w:rPr>
                <w:b/>
                <w:bCs/>
                <w:noProof/>
                <w:sz w:val="22"/>
                <w:szCs w:val="22"/>
              </w:rPr>
              <w:t>31</w:t>
            </w:r>
            <w:r w:rsidRPr="00317ABF">
              <w:rPr>
                <w:b/>
                <w:bCs/>
                <w:noProof/>
                <w:sz w:val="22"/>
                <w:szCs w:val="22"/>
              </w:rPr>
              <w:t xml:space="preserve"> ust. 2-4, </w:t>
            </w:r>
            <w:r w:rsidR="00DB3BEC" w:rsidRPr="00317ABF">
              <w:rPr>
                <w:b/>
                <w:bCs/>
                <w:noProof/>
                <w:sz w:val="22"/>
                <w:szCs w:val="22"/>
              </w:rPr>
              <w:t xml:space="preserve">Art. </w:t>
            </w:r>
            <w:r w:rsidRPr="00317ABF">
              <w:rPr>
                <w:b/>
                <w:bCs/>
                <w:noProof/>
                <w:sz w:val="22"/>
                <w:szCs w:val="22"/>
              </w:rPr>
              <w:t>2</w:t>
            </w:r>
            <w:r w:rsidR="002F6D7F" w:rsidRPr="00317ABF">
              <w:rPr>
                <w:b/>
                <w:bCs/>
                <w:noProof/>
                <w:sz w:val="22"/>
                <w:szCs w:val="22"/>
              </w:rPr>
              <w:t>32</w:t>
            </w:r>
            <w:r w:rsidRPr="00317ABF">
              <w:rPr>
                <w:b/>
                <w:bCs/>
                <w:noProof/>
                <w:sz w:val="22"/>
                <w:szCs w:val="22"/>
              </w:rPr>
              <w:t>,</w:t>
            </w:r>
          </w:p>
          <w:p w14:paraId="657DD654" w14:textId="458E3D6C" w:rsidR="001E1112" w:rsidRPr="00317ABF" w:rsidRDefault="001E1112" w:rsidP="00DB3BEC">
            <w:pPr>
              <w:pStyle w:val="Tekstpodstawowy"/>
              <w:rPr>
                <w:b/>
                <w:bCs/>
                <w:noProof/>
                <w:sz w:val="22"/>
                <w:szCs w:val="22"/>
              </w:rPr>
            </w:pPr>
            <w:r w:rsidRPr="00317ABF">
              <w:rPr>
                <w:b/>
                <w:bCs/>
                <w:noProof/>
                <w:sz w:val="22"/>
                <w:szCs w:val="22"/>
              </w:rPr>
              <w:t>art. 2</w:t>
            </w:r>
            <w:r w:rsidR="002F6D7F" w:rsidRPr="00317ABF">
              <w:rPr>
                <w:b/>
                <w:bCs/>
                <w:noProof/>
                <w:sz w:val="22"/>
                <w:szCs w:val="22"/>
              </w:rPr>
              <w:t>54</w:t>
            </w:r>
          </w:p>
        </w:tc>
        <w:tc>
          <w:tcPr>
            <w:tcW w:w="6814" w:type="dxa"/>
            <w:gridSpan w:val="2"/>
          </w:tcPr>
          <w:p w14:paraId="4B621739" w14:textId="5A2702BD" w:rsidR="002F6D7F" w:rsidRPr="00317ABF" w:rsidRDefault="002F6D7F" w:rsidP="00DB3BEC">
            <w:pPr>
              <w:ind w:firstLine="510"/>
              <w:jc w:val="both"/>
              <w:rPr>
                <w:rFonts w:eastAsia="Times"/>
                <w:b/>
                <w:sz w:val="22"/>
                <w:szCs w:val="22"/>
              </w:rPr>
            </w:pPr>
            <w:r w:rsidRPr="00317ABF">
              <w:rPr>
                <w:rFonts w:eastAsia="Times"/>
                <w:b/>
                <w:sz w:val="22"/>
                <w:szCs w:val="22"/>
              </w:rPr>
              <w:t xml:space="preserve">Art. 231 ust. </w:t>
            </w:r>
            <w:r w:rsidR="001E1112" w:rsidRPr="00317ABF">
              <w:rPr>
                <w:rFonts w:eastAsia="Times"/>
                <w:b/>
                <w:sz w:val="22"/>
                <w:szCs w:val="22"/>
              </w:rPr>
              <w:t>2</w:t>
            </w:r>
            <w:r w:rsidRPr="00317ABF">
              <w:rPr>
                <w:rFonts w:eastAsia="Times"/>
                <w:b/>
                <w:sz w:val="22"/>
                <w:szCs w:val="22"/>
              </w:rPr>
              <w:t>-4</w:t>
            </w:r>
          </w:p>
          <w:p w14:paraId="60E6DBBE" w14:textId="4F88F90A" w:rsidR="002F6D7F" w:rsidRPr="00317ABF" w:rsidRDefault="002F6D7F" w:rsidP="00DB3BEC">
            <w:pPr>
              <w:ind w:firstLine="510"/>
              <w:jc w:val="both"/>
              <w:rPr>
                <w:rFonts w:eastAsia="Times"/>
                <w:sz w:val="22"/>
                <w:szCs w:val="22"/>
              </w:rPr>
            </w:pPr>
          </w:p>
          <w:p w14:paraId="26A38C59" w14:textId="02E2362F" w:rsidR="001E1112" w:rsidRPr="00317ABF" w:rsidRDefault="002F6D7F" w:rsidP="00DB3BEC">
            <w:pPr>
              <w:ind w:firstLine="510"/>
              <w:jc w:val="both"/>
              <w:rPr>
                <w:rFonts w:eastAsia="Times"/>
                <w:sz w:val="22"/>
                <w:szCs w:val="22"/>
              </w:rPr>
            </w:pPr>
            <w:r w:rsidRPr="00317ABF">
              <w:rPr>
                <w:rFonts w:eastAsia="Times"/>
                <w:sz w:val="22"/>
                <w:szCs w:val="22"/>
              </w:rPr>
              <w:t>2</w:t>
            </w:r>
            <w:r w:rsidR="001E1112" w:rsidRPr="00317ABF">
              <w:rPr>
                <w:rFonts w:eastAsia="Times"/>
                <w:sz w:val="22"/>
                <w:szCs w:val="22"/>
              </w:rPr>
              <w:t>. Prezes UKE może, w drodze decyzji, nałożyć na przedsiębiorcę komunikacji elektronicznej o znaczącej pozycji rynkowej na rynku usług detalicznych następujące obowiązki:</w:t>
            </w:r>
          </w:p>
          <w:p w14:paraId="3EFF4A52" w14:textId="0ACA5690" w:rsidR="002F6D7F" w:rsidRPr="00317ABF" w:rsidRDefault="002F6D7F" w:rsidP="002F6D7F">
            <w:pPr>
              <w:ind w:firstLine="510"/>
              <w:jc w:val="both"/>
              <w:rPr>
                <w:rFonts w:eastAsia="Times"/>
                <w:sz w:val="22"/>
                <w:szCs w:val="22"/>
              </w:rPr>
            </w:pPr>
            <w:r w:rsidRPr="00317ABF">
              <w:rPr>
                <w:rFonts w:eastAsia="Times"/>
                <w:sz w:val="22"/>
                <w:szCs w:val="22"/>
              </w:rPr>
              <w:t>1)</w:t>
            </w:r>
            <w:r w:rsidRPr="00317ABF">
              <w:rPr>
                <w:rFonts w:eastAsia="Times"/>
              </w:rPr>
              <w:tab/>
            </w:r>
            <w:r w:rsidRPr="00317ABF">
              <w:rPr>
                <w:rFonts w:eastAsia="Times"/>
                <w:sz w:val="22"/>
                <w:szCs w:val="22"/>
              </w:rPr>
              <w:t>nieustalania zawyżonych cen usług;</w:t>
            </w:r>
          </w:p>
          <w:p w14:paraId="62D2F2E5" w14:textId="71FBBBF3" w:rsidR="002F6D7F" w:rsidRPr="00317ABF" w:rsidRDefault="002F6D7F" w:rsidP="002F6D7F">
            <w:pPr>
              <w:ind w:firstLine="510"/>
              <w:jc w:val="both"/>
              <w:rPr>
                <w:rFonts w:eastAsia="Times"/>
                <w:sz w:val="22"/>
                <w:szCs w:val="22"/>
              </w:rPr>
            </w:pPr>
            <w:r w:rsidRPr="00317ABF">
              <w:rPr>
                <w:rFonts w:eastAsia="Times"/>
                <w:sz w:val="22"/>
                <w:szCs w:val="22"/>
              </w:rPr>
              <w:t>2)</w:t>
            </w:r>
            <w:r w:rsidRPr="00317ABF">
              <w:rPr>
                <w:rFonts w:eastAsia="Times"/>
              </w:rPr>
              <w:tab/>
            </w:r>
            <w:r w:rsidRPr="00317ABF">
              <w:rPr>
                <w:rFonts w:eastAsia="Times"/>
                <w:sz w:val="22"/>
                <w:szCs w:val="22"/>
              </w:rPr>
              <w:t>nieutrudniania wejścia na rynek innym przedsiębiorcom;</w:t>
            </w:r>
          </w:p>
          <w:p w14:paraId="51BD237E" w14:textId="1B7C59C1" w:rsidR="002F6D7F" w:rsidRPr="00317ABF" w:rsidRDefault="002F6D7F" w:rsidP="002F6D7F">
            <w:pPr>
              <w:ind w:firstLine="510"/>
              <w:jc w:val="both"/>
              <w:rPr>
                <w:rFonts w:eastAsia="Times"/>
                <w:sz w:val="22"/>
                <w:szCs w:val="22"/>
              </w:rPr>
            </w:pPr>
            <w:r w:rsidRPr="00317ABF">
              <w:rPr>
                <w:rFonts w:eastAsia="Times"/>
                <w:sz w:val="22"/>
                <w:szCs w:val="22"/>
              </w:rPr>
              <w:t>3)</w:t>
            </w:r>
            <w:r w:rsidRPr="00317ABF">
              <w:rPr>
                <w:rFonts w:eastAsia="Times"/>
              </w:rPr>
              <w:tab/>
            </w:r>
            <w:r w:rsidRPr="00317ABF">
              <w:rPr>
                <w:rFonts w:eastAsia="Times"/>
                <w:sz w:val="22"/>
                <w:szCs w:val="22"/>
              </w:rPr>
              <w:t>nieograniczania konkurencji poprzez ustalanie cen usług zaniżonych w stosunku do kosztów ich świadczenia;</w:t>
            </w:r>
          </w:p>
          <w:p w14:paraId="60076C9E" w14:textId="328137B0" w:rsidR="002F6D7F" w:rsidRPr="00317ABF" w:rsidRDefault="002F6D7F" w:rsidP="002F6D7F">
            <w:pPr>
              <w:ind w:firstLine="510"/>
              <w:jc w:val="both"/>
              <w:rPr>
                <w:rFonts w:eastAsia="Times"/>
                <w:sz w:val="22"/>
                <w:szCs w:val="22"/>
              </w:rPr>
            </w:pPr>
            <w:r w:rsidRPr="00317ABF">
              <w:rPr>
                <w:rFonts w:eastAsia="Times"/>
                <w:sz w:val="22"/>
                <w:szCs w:val="22"/>
              </w:rPr>
              <w:t>4)</w:t>
            </w:r>
            <w:r w:rsidRPr="00317ABF">
              <w:rPr>
                <w:rFonts w:eastAsia="Times"/>
              </w:rPr>
              <w:tab/>
            </w:r>
            <w:r w:rsidRPr="00317ABF">
              <w:rPr>
                <w:rFonts w:eastAsia="Times"/>
                <w:sz w:val="22"/>
                <w:szCs w:val="22"/>
              </w:rPr>
              <w:t>niestosowania nieuzasadnionych preferencji dla określonych użytkowników końcowych;</w:t>
            </w:r>
          </w:p>
          <w:p w14:paraId="373AD277" w14:textId="77777777" w:rsidR="001E1112" w:rsidRPr="00317ABF" w:rsidRDefault="001E1112" w:rsidP="002F6D7F">
            <w:pPr>
              <w:ind w:firstLine="510"/>
              <w:jc w:val="both"/>
              <w:rPr>
                <w:rFonts w:eastAsia="Times"/>
                <w:sz w:val="22"/>
                <w:szCs w:val="22"/>
              </w:rPr>
            </w:pPr>
            <w:r w:rsidRPr="00317ABF">
              <w:rPr>
                <w:rFonts w:eastAsia="Times"/>
                <w:sz w:val="22"/>
                <w:szCs w:val="22"/>
              </w:rPr>
              <w:t>5)</w:t>
            </w:r>
            <w:r w:rsidR="002F6D7F" w:rsidRPr="00317ABF">
              <w:rPr>
                <w:rFonts w:eastAsia="Times"/>
                <w:sz w:val="22"/>
                <w:szCs w:val="22"/>
              </w:rPr>
              <w:tab/>
            </w:r>
            <w:r w:rsidRPr="00317ABF">
              <w:rPr>
                <w:rFonts w:eastAsia="Times"/>
                <w:sz w:val="22"/>
                <w:szCs w:val="22"/>
              </w:rPr>
              <w:t>niezobowiązywania użytkownika końcowego do korzystania z usług, które są dla niego zbędne.</w:t>
            </w:r>
          </w:p>
          <w:p w14:paraId="5D640D2E" w14:textId="3DB4F529" w:rsidR="001E1112" w:rsidRPr="00317ABF" w:rsidRDefault="001E1112" w:rsidP="00DB3BEC">
            <w:pPr>
              <w:ind w:firstLine="510"/>
              <w:jc w:val="both"/>
              <w:rPr>
                <w:rFonts w:eastAsia="Times"/>
                <w:sz w:val="22"/>
                <w:szCs w:val="22"/>
              </w:rPr>
            </w:pPr>
            <w:r w:rsidRPr="00317ABF">
              <w:rPr>
                <w:rFonts w:eastAsia="Times"/>
                <w:sz w:val="22"/>
                <w:szCs w:val="22"/>
              </w:rPr>
              <w:t>3. W decyzji, o której mowa w ust. 2, Prezes UKE może w szczególności:</w:t>
            </w:r>
          </w:p>
          <w:p w14:paraId="536B1072" w14:textId="4F167780" w:rsidR="002F6D7F" w:rsidRPr="00317ABF" w:rsidRDefault="002F6D7F" w:rsidP="002F6D7F">
            <w:pPr>
              <w:ind w:firstLine="510"/>
              <w:jc w:val="both"/>
              <w:rPr>
                <w:rFonts w:eastAsia="Times"/>
                <w:sz w:val="22"/>
                <w:szCs w:val="22"/>
              </w:rPr>
            </w:pPr>
            <w:r w:rsidRPr="00317ABF">
              <w:rPr>
                <w:rFonts w:eastAsia="Times"/>
                <w:sz w:val="22"/>
                <w:szCs w:val="22"/>
              </w:rPr>
              <w:t>1)</w:t>
            </w:r>
            <w:r w:rsidRPr="00317ABF">
              <w:rPr>
                <w:rFonts w:eastAsia="Times"/>
              </w:rPr>
              <w:tab/>
            </w:r>
            <w:r w:rsidRPr="00317ABF">
              <w:rPr>
                <w:rFonts w:eastAsia="Times"/>
                <w:sz w:val="22"/>
                <w:szCs w:val="22"/>
              </w:rPr>
              <w:t>określić maksymalne ceny usług;</w:t>
            </w:r>
          </w:p>
          <w:p w14:paraId="4D62BE5A" w14:textId="25A5F2AE" w:rsidR="002F6D7F" w:rsidRPr="00317ABF" w:rsidRDefault="002F6D7F" w:rsidP="002F6D7F">
            <w:pPr>
              <w:ind w:firstLine="510"/>
              <w:jc w:val="both"/>
              <w:rPr>
                <w:rFonts w:eastAsia="Times"/>
                <w:sz w:val="22"/>
                <w:szCs w:val="22"/>
              </w:rPr>
            </w:pPr>
            <w:r w:rsidRPr="00317ABF">
              <w:rPr>
                <w:rFonts w:eastAsia="Times"/>
                <w:sz w:val="22"/>
                <w:szCs w:val="22"/>
              </w:rPr>
              <w:t>2)</w:t>
            </w:r>
            <w:r w:rsidRPr="00317ABF">
              <w:rPr>
                <w:rFonts w:eastAsia="Times"/>
              </w:rPr>
              <w:tab/>
            </w:r>
            <w:r w:rsidRPr="00317ABF">
              <w:rPr>
                <w:rFonts w:eastAsia="Times"/>
                <w:sz w:val="22"/>
                <w:szCs w:val="22"/>
              </w:rPr>
              <w:t>określić wymagany przedział cen usług ustalony na podstawie cen stosowanych na porównywalnych rynkach państw członkowskich;</w:t>
            </w:r>
          </w:p>
          <w:p w14:paraId="602D73D6" w14:textId="44B3CA5C" w:rsidR="002F6D7F" w:rsidRPr="00317ABF" w:rsidRDefault="002F6D7F" w:rsidP="002F6D7F">
            <w:pPr>
              <w:ind w:firstLine="510"/>
              <w:jc w:val="both"/>
              <w:rPr>
                <w:rFonts w:eastAsia="Times"/>
                <w:sz w:val="22"/>
                <w:szCs w:val="22"/>
              </w:rPr>
            </w:pPr>
            <w:r w:rsidRPr="00317ABF">
              <w:rPr>
                <w:rFonts w:eastAsia="Times"/>
                <w:sz w:val="22"/>
                <w:szCs w:val="22"/>
              </w:rPr>
              <w:t>3)</w:t>
            </w:r>
            <w:r w:rsidRPr="00317ABF">
              <w:rPr>
                <w:rFonts w:eastAsia="Times"/>
              </w:rPr>
              <w:tab/>
            </w:r>
            <w:r w:rsidRPr="00317ABF">
              <w:rPr>
                <w:rFonts w:eastAsia="Times"/>
                <w:sz w:val="22"/>
                <w:szCs w:val="22"/>
              </w:rPr>
              <w:t>nałożyć obowiązek:</w:t>
            </w:r>
          </w:p>
          <w:p w14:paraId="4AC1BD38" w14:textId="474C384D" w:rsidR="002F6D7F" w:rsidRPr="00317ABF" w:rsidRDefault="002F6D7F" w:rsidP="002F6D7F">
            <w:pPr>
              <w:ind w:firstLine="510"/>
              <w:jc w:val="both"/>
              <w:rPr>
                <w:rFonts w:eastAsia="Times"/>
                <w:sz w:val="22"/>
                <w:szCs w:val="22"/>
              </w:rPr>
            </w:pPr>
            <w:r w:rsidRPr="00317ABF">
              <w:rPr>
                <w:rFonts w:eastAsia="Times"/>
                <w:sz w:val="22"/>
                <w:szCs w:val="22"/>
              </w:rPr>
              <w:t>a)</w:t>
            </w:r>
            <w:r w:rsidRPr="00317ABF">
              <w:rPr>
                <w:rFonts w:eastAsia="Times"/>
              </w:rPr>
              <w:tab/>
            </w:r>
            <w:r w:rsidRPr="00317ABF">
              <w:rPr>
                <w:rFonts w:eastAsia="Times"/>
                <w:sz w:val="22"/>
                <w:szCs w:val="22"/>
              </w:rPr>
              <w:t>prowadzenia rachunkowości regulacyjnej zgodnie z zatwierdzoną przez Prezesa UKE instrukcją,</w:t>
            </w:r>
          </w:p>
          <w:p w14:paraId="0584FD71" w14:textId="28826157" w:rsidR="002F6D7F" w:rsidRPr="00317ABF" w:rsidRDefault="002F6D7F" w:rsidP="002F6D7F">
            <w:pPr>
              <w:ind w:firstLine="510"/>
              <w:jc w:val="both"/>
              <w:rPr>
                <w:rFonts w:eastAsia="Times"/>
                <w:sz w:val="22"/>
                <w:szCs w:val="22"/>
              </w:rPr>
            </w:pPr>
            <w:r w:rsidRPr="00317ABF">
              <w:rPr>
                <w:rFonts w:eastAsia="Times"/>
                <w:sz w:val="22"/>
                <w:szCs w:val="22"/>
              </w:rPr>
              <w:t>b)</w:t>
            </w:r>
            <w:r w:rsidRPr="00317ABF">
              <w:rPr>
                <w:rFonts w:eastAsia="Times"/>
              </w:rPr>
              <w:tab/>
            </w:r>
            <w:r w:rsidRPr="00317ABF">
              <w:rPr>
                <w:rFonts w:eastAsia="Times"/>
                <w:sz w:val="22"/>
                <w:szCs w:val="22"/>
              </w:rPr>
              <w:t>prowadzenia kalkulacji kosztów usług zgodnie z zatwierdzonym przez Prezesa UKE opisem kalkulacji kosztów,</w:t>
            </w:r>
          </w:p>
          <w:p w14:paraId="59FB8156" w14:textId="2C629D88" w:rsidR="002F6D7F" w:rsidRPr="00317ABF" w:rsidRDefault="002F6D7F" w:rsidP="002F6D7F">
            <w:pPr>
              <w:ind w:firstLine="510"/>
              <w:jc w:val="both"/>
              <w:rPr>
                <w:rFonts w:eastAsia="Times"/>
                <w:sz w:val="22"/>
                <w:szCs w:val="22"/>
              </w:rPr>
            </w:pPr>
            <w:r w:rsidRPr="00317ABF">
              <w:rPr>
                <w:rFonts w:eastAsia="Times"/>
                <w:sz w:val="22"/>
                <w:szCs w:val="22"/>
              </w:rPr>
              <w:t>c)</w:t>
            </w:r>
            <w:r w:rsidRPr="00317ABF">
              <w:rPr>
                <w:rFonts w:eastAsia="Times"/>
              </w:rPr>
              <w:tab/>
            </w:r>
            <w:r w:rsidRPr="00317ABF">
              <w:rPr>
                <w:rFonts w:eastAsia="Times"/>
                <w:sz w:val="22"/>
                <w:szCs w:val="22"/>
              </w:rPr>
              <w:t>określania cen usług na podstawie kosztów ich świadczenia,</w:t>
            </w:r>
          </w:p>
          <w:p w14:paraId="209D9D4E" w14:textId="3D63C673" w:rsidR="002F6D7F" w:rsidRPr="00317ABF" w:rsidRDefault="002F6D7F" w:rsidP="002F6D7F">
            <w:pPr>
              <w:ind w:firstLine="510"/>
              <w:jc w:val="both"/>
              <w:rPr>
                <w:rFonts w:eastAsia="Times"/>
                <w:sz w:val="22"/>
                <w:szCs w:val="22"/>
              </w:rPr>
            </w:pPr>
            <w:r w:rsidRPr="00317ABF">
              <w:rPr>
                <w:rFonts w:eastAsia="Times"/>
                <w:sz w:val="22"/>
                <w:szCs w:val="22"/>
              </w:rPr>
              <w:lastRenderedPageBreak/>
              <w:t>4)</w:t>
            </w:r>
            <w:r w:rsidRPr="00317ABF">
              <w:rPr>
                <w:rFonts w:eastAsia="Times"/>
              </w:rPr>
              <w:tab/>
            </w:r>
            <w:r w:rsidRPr="00317ABF">
              <w:rPr>
                <w:rFonts w:eastAsia="Times"/>
                <w:sz w:val="22"/>
                <w:szCs w:val="22"/>
              </w:rPr>
              <w:t>nałożyć obowiązek przedstawiania do zatwierdzenia informacji przedumownych, o których mowa w art. 279.</w:t>
            </w:r>
          </w:p>
          <w:p w14:paraId="765B2D8C" w14:textId="6ADC3EF7" w:rsidR="002F6D7F" w:rsidRPr="00317ABF" w:rsidRDefault="002F6D7F" w:rsidP="002F6D7F">
            <w:pPr>
              <w:ind w:firstLine="510"/>
              <w:jc w:val="both"/>
              <w:rPr>
                <w:rFonts w:eastAsia="Times"/>
                <w:sz w:val="22"/>
                <w:szCs w:val="22"/>
              </w:rPr>
            </w:pPr>
            <w:r w:rsidRPr="00317ABF">
              <w:rPr>
                <w:rFonts w:eastAsia="Times"/>
                <w:sz w:val="22"/>
                <w:szCs w:val="22"/>
              </w:rPr>
              <w:t>4. Prezes UKE w decyzji nakładającej obowiązek, o którym mowa w ust. 3 pkt 3 lit. b, określi sposoby kalkulacji kosztów usług świadczonych na danym rynku detalicznym, jakie powinien stosować przedsiębiorca komunikacji elektronicznej, na podstawie przepisów wykonawczych wydanych na podstawie art. 255.</w:t>
            </w:r>
          </w:p>
          <w:p w14:paraId="4F14A29D" w14:textId="0E9E71B3" w:rsidR="002F6D7F" w:rsidRPr="00317ABF" w:rsidRDefault="002F6D7F" w:rsidP="002F6D7F">
            <w:pPr>
              <w:ind w:firstLine="510"/>
              <w:jc w:val="both"/>
              <w:rPr>
                <w:rFonts w:eastAsia="Times"/>
                <w:sz w:val="22"/>
                <w:szCs w:val="22"/>
              </w:rPr>
            </w:pPr>
          </w:p>
          <w:p w14:paraId="2EFDCD43" w14:textId="77777777" w:rsidR="001E1112" w:rsidRPr="00317ABF" w:rsidRDefault="001E1112" w:rsidP="00DB3BEC">
            <w:pPr>
              <w:ind w:firstLine="510"/>
              <w:jc w:val="both"/>
              <w:rPr>
                <w:rFonts w:eastAsia="Times"/>
                <w:sz w:val="22"/>
                <w:szCs w:val="22"/>
              </w:rPr>
            </w:pPr>
            <w:r w:rsidRPr="00317ABF">
              <w:rPr>
                <w:rFonts w:eastAsia="Times"/>
                <w:b/>
                <w:bCs/>
                <w:sz w:val="22"/>
                <w:szCs w:val="22"/>
              </w:rPr>
              <w:t xml:space="preserve">Art. </w:t>
            </w:r>
            <w:r w:rsidR="002F6D7F" w:rsidRPr="00317ABF">
              <w:rPr>
                <w:rFonts w:eastAsia="Times"/>
                <w:b/>
                <w:bCs/>
                <w:sz w:val="22"/>
                <w:szCs w:val="22"/>
              </w:rPr>
              <w:t>232</w:t>
            </w:r>
            <w:r w:rsidRPr="00317ABF">
              <w:rPr>
                <w:rFonts w:eastAsia="Times"/>
                <w:b/>
                <w:bCs/>
                <w:sz w:val="22"/>
                <w:szCs w:val="22"/>
              </w:rPr>
              <w:t>.</w:t>
            </w:r>
            <w:r w:rsidRPr="00317ABF">
              <w:rPr>
                <w:rFonts w:eastAsia="Times"/>
                <w:sz w:val="22"/>
                <w:szCs w:val="22"/>
              </w:rPr>
              <w:t xml:space="preserve"> 1. Przedsiębiorca komunikacji elektronicznej, na którego nałożono obowiązek, o którym mowa w art. </w:t>
            </w:r>
            <w:r w:rsidR="002F6D7F" w:rsidRPr="00317ABF">
              <w:rPr>
                <w:rFonts w:eastAsia="Times"/>
                <w:bCs/>
                <w:sz w:val="22"/>
                <w:szCs w:val="22"/>
              </w:rPr>
              <w:t>231</w:t>
            </w:r>
            <w:r w:rsidRPr="00317ABF">
              <w:rPr>
                <w:rFonts w:eastAsia="Times"/>
                <w:sz w:val="22"/>
                <w:szCs w:val="22"/>
              </w:rPr>
              <w:t xml:space="preserve"> ust. 3 pkt 4, przedkłada Prezesowi UKE projekty informacji przedumownych, o których mowa w art. </w:t>
            </w:r>
            <w:r w:rsidR="002F6D7F" w:rsidRPr="00317ABF">
              <w:rPr>
                <w:rFonts w:eastAsia="Times"/>
                <w:bCs/>
                <w:sz w:val="22"/>
                <w:szCs w:val="22"/>
              </w:rPr>
              <w:t>279</w:t>
            </w:r>
            <w:r w:rsidRPr="00317ABF">
              <w:rPr>
                <w:rFonts w:eastAsia="Times"/>
                <w:sz w:val="22"/>
                <w:szCs w:val="22"/>
              </w:rPr>
              <w:t xml:space="preserve"> wraz z uzasadnieniem, w terminie co najmniej 30 dni przed planowanym terminem wprowadzenia ich w życie lub ich zmiany.</w:t>
            </w:r>
          </w:p>
          <w:p w14:paraId="182588E5" w14:textId="77777777" w:rsidR="001E1112" w:rsidRPr="00317ABF" w:rsidRDefault="001E1112" w:rsidP="00DB3BEC">
            <w:pPr>
              <w:ind w:firstLine="510"/>
              <w:jc w:val="both"/>
              <w:rPr>
                <w:rFonts w:eastAsia="Times"/>
                <w:sz w:val="22"/>
                <w:szCs w:val="22"/>
              </w:rPr>
            </w:pPr>
            <w:r w:rsidRPr="00317ABF">
              <w:rPr>
                <w:rFonts w:eastAsia="Times"/>
                <w:sz w:val="22"/>
                <w:szCs w:val="22"/>
              </w:rPr>
              <w:t xml:space="preserve">2. Prezes UKE, w drodze decyzji, w terminie 30 dni od dnia przedłożenia projektu informacji przedumownych, o których mowa w art. </w:t>
            </w:r>
            <w:r w:rsidR="002F6D7F" w:rsidRPr="00317ABF">
              <w:rPr>
                <w:rFonts w:eastAsia="Times"/>
                <w:bCs/>
                <w:sz w:val="22"/>
                <w:szCs w:val="22"/>
              </w:rPr>
              <w:t>279</w:t>
            </w:r>
            <w:r w:rsidRPr="00317ABF">
              <w:rPr>
                <w:rFonts w:eastAsia="Times"/>
                <w:sz w:val="22"/>
                <w:szCs w:val="22"/>
              </w:rPr>
              <w:t xml:space="preserve"> lub ich zmiany, może zgłosić sprzeciw, jeżeli projekty te są sprzeczne z decyzją, o której mowa w art. </w:t>
            </w:r>
            <w:r w:rsidR="002F6D7F" w:rsidRPr="00317ABF">
              <w:rPr>
                <w:rFonts w:eastAsia="Times"/>
                <w:bCs/>
                <w:sz w:val="22"/>
                <w:szCs w:val="22"/>
              </w:rPr>
              <w:t>231</w:t>
            </w:r>
            <w:r w:rsidRPr="00317ABF">
              <w:rPr>
                <w:rFonts w:eastAsia="Times"/>
                <w:sz w:val="22"/>
                <w:szCs w:val="22"/>
              </w:rPr>
              <w:t xml:space="preserve"> ust. 2, lub z przepisami ustawy i zobowiązać przedsiębiorcę komunikacji elektronicznej do przedstawienia poprawionych informacji przedumownych, o których mowa w art. </w:t>
            </w:r>
            <w:r w:rsidR="002F6D7F" w:rsidRPr="00317ABF">
              <w:rPr>
                <w:rFonts w:eastAsia="Times"/>
                <w:bCs/>
                <w:sz w:val="22"/>
                <w:szCs w:val="22"/>
              </w:rPr>
              <w:t>279</w:t>
            </w:r>
            <w:r w:rsidRPr="00317ABF">
              <w:rPr>
                <w:rFonts w:eastAsia="Times"/>
                <w:sz w:val="22"/>
                <w:szCs w:val="22"/>
              </w:rPr>
              <w:t>, w części objętej sprzeciwem.</w:t>
            </w:r>
          </w:p>
          <w:p w14:paraId="79CBF72C" w14:textId="56FEAD0B" w:rsidR="001E1112" w:rsidRPr="00317ABF" w:rsidRDefault="001E1112" w:rsidP="00DB3BEC">
            <w:pPr>
              <w:ind w:firstLine="510"/>
              <w:jc w:val="both"/>
              <w:rPr>
                <w:rFonts w:eastAsia="Times"/>
                <w:sz w:val="22"/>
                <w:szCs w:val="22"/>
              </w:rPr>
            </w:pPr>
            <w:r w:rsidRPr="00317ABF">
              <w:rPr>
                <w:rFonts w:eastAsia="Times"/>
                <w:sz w:val="22"/>
                <w:szCs w:val="22"/>
              </w:rPr>
              <w:t>3. Prezes UKE może zażądać od obowiązanego przedsiębiorcy komunikacji elektronicznej przedłożenia dodatkowych dokumentów lub udzielenia dodatkowych informacji. Do tego czasu termin, o którym mowa w ust. 2, zawiesza się.</w:t>
            </w:r>
          </w:p>
          <w:p w14:paraId="3AE4DEE8" w14:textId="77777777" w:rsidR="001E1112" w:rsidRPr="00317ABF" w:rsidRDefault="001E1112" w:rsidP="00DB3BEC">
            <w:pPr>
              <w:ind w:firstLine="510"/>
              <w:jc w:val="both"/>
              <w:rPr>
                <w:rFonts w:eastAsia="Times"/>
                <w:sz w:val="22"/>
                <w:szCs w:val="22"/>
              </w:rPr>
            </w:pPr>
            <w:r w:rsidRPr="00317ABF">
              <w:rPr>
                <w:rFonts w:eastAsia="Times"/>
                <w:sz w:val="22"/>
                <w:szCs w:val="22"/>
              </w:rPr>
              <w:t xml:space="preserve">4. Informacje przedumowne, o których mowa w art. </w:t>
            </w:r>
            <w:r w:rsidR="002F6D7F" w:rsidRPr="00317ABF">
              <w:rPr>
                <w:rFonts w:eastAsia="Times"/>
                <w:bCs/>
                <w:sz w:val="22"/>
                <w:szCs w:val="22"/>
              </w:rPr>
              <w:t>279,</w:t>
            </w:r>
            <w:r w:rsidRPr="00317ABF">
              <w:rPr>
                <w:rFonts w:eastAsia="Times"/>
                <w:sz w:val="22"/>
                <w:szCs w:val="22"/>
              </w:rPr>
              <w:t xml:space="preserve"> lub ich zmiana objęte sprzeciwem Prezesa UKE nie wchodzą w życie.</w:t>
            </w:r>
          </w:p>
          <w:p w14:paraId="0B952632" w14:textId="1F1A85F7" w:rsidR="001E1112" w:rsidRPr="00317ABF" w:rsidRDefault="001E1112" w:rsidP="002F6D7F">
            <w:pPr>
              <w:pStyle w:val="ARTartustawynprozporzdzenia"/>
              <w:spacing w:before="0" w:line="240" w:lineRule="auto"/>
              <w:rPr>
                <w:rFonts w:eastAsia="Times"/>
                <w:sz w:val="22"/>
                <w:szCs w:val="22"/>
              </w:rPr>
            </w:pPr>
            <w:r w:rsidRPr="00317ABF">
              <w:rPr>
                <w:rFonts w:eastAsia="Times"/>
                <w:sz w:val="22"/>
                <w:szCs w:val="22"/>
              </w:rPr>
              <w:t xml:space="preserve">5. Prezes UKE udostępnia na stronie podmiotowej BIP UKE informacje przedumowne, o których mowa w art. </w:t>
            </w:r>
            <w:r w:rsidR="002F6D7F" w:rsidRPr="00317ABF">
              <w:rPr>
                <w:rFonts w:eastAsia="Times"/>
                <w:bCs/>
                <w:sz w:val="22"/>
                <w:szCs w:val="22"/>
              </w:rPr>
              <w:t>279,</w:t>
            </w:r>
            <w:r w:rsidRPr="00317ABF">
              <w:rPr>
                <w:rFonts w:eastAsia="Times"/>
                <w:sz w:val="22"/>
                <w:szCs w:val="22"/>
              </w:rPr>
              <w:t xml:space="preserve"> lub ich zmianę.</w:t>
            </w:r>
          </w:p>
          <w:p w14:paraId="51E691B6" w14:textId="16387610" w:rsidR="002F6D7F" w:rsidRPr="00317ABF" w:rsidRDefault="002F6D7F" w:rsidP="002F6D7F">
            <w:pPr>
              <w:pStyle w:val="ARTartustawynprozporzdzenia"/>
              <w:spacing w:before="0" w:line="240" w:lineRule="auto"/>
              <w:rPr>
                <w:rFonts w:eastAsia="Times"/>
                <w:b/>
                <w:bCs/>
                <w:sz w:val="22"/>
                <w:szCs w:val="22"/>
              </w:rPr>
            </w:pPr>
          </w:p>
          <w:p w14:paraId="428EBB3B" w14:textId="771330FC" w:rsidR="002F6D7F" w:rsidRPr="00317ABF" w:rsidRDefault="001E1112" w:rsidP="002F6D7F">
            <w:pPr>
              <w:pStyle w:val="ARTartustawynprozporzdzenia"/>
              <w:rPr>
                <w:rStyle w:val="Ppogrubienie"/>
                <w:rFonts w:ascii="Times New Roman" w:hAnsi="Times New Roman"/>
                <w:b w:val="0"/>
                <w:sz w:val="22"/>
                <w:szCs w:val="22"/>
              </w:rPr>
            </w:pPr>
            <w:r w:rsidRPr="00317ABF">
              <w:rPr>
                <w:rStyle w:val="Ppogrubienie"/>
                <w:rFonts w:ascii="Times New Roman" w:hAnsi="Times New Roman"/>
                <w:b w:val="0"/>
                <w:sz w:val="22"/>
                <w:szCs w:val="22"/>
              </w:rPr>
              <w:t xml:space="preserve"> </w:t>
            </w:r>
          </w:p>
          <w:p w14:paraId="2120934C" w14:textId="304443A3" w:rsidR="001E1112" w:rsidRPr="00317ABF" w:rsidRDefault="001E1112" w:rsidP="002F6D7F">
            <w:pPr>
              <w:pStyle w:val="ARTartustawynprozporzdzenia"/>
              <w:spacing w:line="240" w:lineRule="auto"/>
              <w:rPr>
                <w:rStyle w:val="Ppogrubienie"/>
                <w:rFonts w:ascii="Times New Roman" w:hAnsi="Times New Roman"/>
                <w:b w:val="0"/>
                <w:sz w:val="22"/>
                <w:szCs w:val="22"/>
              </w:rPr>
            </w:pPr>
            <w:r w:rsidRPr="00317ABF">
              <w:rPr>
                <w:rStyle w:val="Ppogrubienie"/>
                <w:rFonts w:ascii="Times New Roman" w:hAnsi="Times New Roman"/>
                <w:sz w:val="22"/>
                <w:szCs w:val="22"/>
              </w:rPr>
              <w:t xml:space="preserve">Art. </w:t>
            </w:r>
            <w:r w:rsidR="002F6D7F" w:rsidRPr="00317ABF">
              <w:rPr>
                <w:rStyle w:val="Ppogrubienie"/>
                <w:rFonts w:ascii="Times New Roman" w:hAnsi="Times New Roman"/>
                <w:sz w:val="22"/>
                <w:szCs w:val="22"/>
              </w:rPr>
              <w:t>254</w:t>
            </w:r>
            <w:r w:rsidRPr="00317ABF">
              <w:rPr>
                <w:rStyle w:val="Ppogrubienie"/>
                <w:rFonts w:ascii="Times New Roman" w:hAnsi="Times New Roman"/>
                <w:sz w:val="22"/>
                <w:szCs w:val="22"/>
              </w:rPr>
              <w:t xml:space="preserve">. </w:t>
            </w:r>
            <w:r w:rsidRPr="00317ABF">
              <w:rPr>
                <w:rStyle w:val="Ppogrubienie"/>
                <w:rFonts w:ascii="Times New Roman" w:hAnsi="Times New Roman"/>
                <w:b w:val="0"/>
                <w:sz w:val="22"/>
                <w:szCs w:val="22"/>
              </w:rPr>
              <w:t xml:space="preserve">1. Rachunkowość regulacyjną prowadzi przedsiębiorca komunikacji elektronicznej, na którego nałożono ten obowiązek na podstawie art. </w:t>
            </w:r>
            <w:r w:rsidR="002F6D7F" w:rsidRPr="00317ABF">
              <w:rPr>
                <w:rStyle w:val="Ppogrubienie"/>
                <w:rFonts w:ascii="Times New Roman" w:hAnsi="Times New Roman"/>
                <w:b w:val="0"/>
                <w:sz w:val="22"/>
                <w:szCs w:val="22"/>
              </w:rPr>
              <w:t>215</w:t>
            </w:r>
            <w:r w:rsidRPr="00317ABF">
              <w:rPr>
                <w:rStyle w:val="Ppogrubienie"/>
                <w:rFonts w:ascii="Times New Roman" w:hAnsi="Times New Roman"/>
                <w:b w:val="0"/>
                <w:sz w:val="22"/>
                <w:szCs w:val="22"/>
              </w:rPr>
              <w:t xml:space="preserve"> lub art. </w:t>
            </w:r>
            <w:r w:rsidR="002F6D7F" w:rsidRPr="00317ABF">
              <w:rPr>
                <w:rStyle w:val="Ppogrubienie"/>
                <w:rFonts w:ascii="Times New Roman" w:hAnsi="Times New Roman"/>
                <w:b w:val="0"/>
                <w:sz w:val="22"/>
                <w:szCs w:val="22"/>
              </w:rPr>
              <w:t>231</w:t>
            </w:r>
            <w:r w:rsidRPr="00317ABF">
              <w:rPr>
                <w:rStyle w:val="Ppogrubienie"/>
                <w:rFonts w:ascii="Times New Roman" w:hAnsi="Times New Roman"/>
                <w:b w:val="0"/>
                <w:sz w:val="22"/>
                <w:szCs w:val="22"/>
              </w:rPr>
              <w:t xml:space="preserve"> ust. 3 pkt 3 lit. a.</w:t>
            </w:r>
          </w:p>
          <w:p w14:paraId="4DC04347" w14:textId="26982AE5" w:rsidR="001E1112" w:rsidRPr="00317ABF" w:rsidRDefault="001E1112" w:rsidP="00DB3BEC">
            <w:pPr>
              <w:jc w:val="both"/>
              <w:rPr>
                <w:sz w:val="22"/>
                <w:szCs w:val="22"/>
              </w:rPr>
            </w:pPr>
            <w:r w:rsidRPr="00317ABF">
              <w:rPr>
                <w:rStyle w:val="Ppogrubienie"/>
                <w:b w:val="0"/>
                <w:sz w:val="22"/>
                <w:szCs w:val="22"/>
              </w:rPr>
              <w:t xml:space="preserve">2. Kalkulację kosztów prowadzi przedsiębiorca komunikacji elektronicznej, na którego nałożono ten obowiązek na podstawie art. </w:t>
            </w:r>
            <w:r w:rsidR="002F6D7F" w:rsidRPr="00317ABF">
              <w:rPr>
                <w:rStyle w:val="Ppogrubienie"/>
                <w:b w:val="0"/>
                <w:sz w:val="22"/>
                <w:szCs w:val="22"/>
              </w:rPr>
              <w:t>216</w:t>
            </w:r>
            <w:r w:rsidRPr="00317ABF">
              <w:rPr>
                <w:rStyle w:val="Ppogrubienie"/>
                <w:b w:val="0"/>
                <w:sz w:val="22"/>
                <w:szCs w:val="22"/>
              </w:rPr>
              <w:t xml:space="preserve"> ust.1 pkt 1 lub art. </w:t>
            </w:r>
            <w:r w:rsidR="002F6D7F" w:rsidRPr="00317ABF">
              <w:rPr>
                <w:rStyle w:val="Ppogrubienie"/>
                <w:b w:val="0"/>
                <w:sz w:val="22"/>
                <w:szCs w:val="22"/>
              </w:rPr>
              <w:t>231</w:t>
            </w:r>
            <w:r w:rsidRPr="00317ABF">
              <w:rPr>
                <w:rStyle w:val="Ppogrubienie"/>
                <w:b w:val="0"/>
                <w:sz w:val="22"/>
                <w:szCs w:val="22"/>
              </w:rPr>
              <w:t xml:space="preserve"> ust. 3 pkt 3 lit. b.</w:t>
            </w:r>
          </w:p>
        </w:tc>
      </w:tr>
      <w:tr w:rsidR="001E1112" w:rsidRPr="00317ABF" w14:paraId="480C5758" w14:textId="77777777" w:rsidTr="7753F98D">
        <w:trPr>
          <w:gridAfter w:val="2"/>
          <w:wAfter w:w="175" w:type="dxa"/>
        </w:trPr>
        <w:tc>
          <w:tcPr>
            <w:tcW w:w="704" w:type="dxa"/>
          </w:tcPr>
          <w:p w14:paraId="07EAA849" w14:textId="77777777" w:rsidR="001E1112" w:rsidRPr="00317ABF" w:rsidRDefault="001E1112" w:rsidP="00DB3BEC">
            <w:pPr>
              <w:jc w:val="both"/>
              <w:rPr>
                <w:sz w:val="22"/>
                <w:szCs w:val="22"/>
              </w:rPr>
            </w:pPr>
            <w:r w:rsidRPr="00317ABF">
              <w:rPr>
                <w:sz w:val="22"/>
                <w:szCs w:val="22"/>
              </w:rPr>
              <w:lastRenderedPageBreak/>
              <w:t>Art. 83 ust. 3</w:t>
            </w:r>
          </w:p>
        </w:tc>
        <w:tc>
          <w:tcPr>
            <w:tcW w:w="4308" w:type="dxa"/>
          </w:tcPr>
          <w:p w14:paraId="1BF68AAB" w14:textId="77777777" w:rsidR="001E1112" w:rsidRPr="00317ABF" w:rsidRDefault="001E1112" w:rsidP="00DB3BEC">
            <w:pPr>
              <w:spacing w:before="120"/>
              <w:jc w:val="both"/>
              <w:rPr>
                <w:sz w:val="22"/>
                <w:szCs w:val="22"/>
              </w:rPr>
            </w:pPr>
            <w:r w:rsidRPr="00317ABF">
              <w:rPr>
                <w:sz w:val="22"/>
                <w:szCs w:val="22"/>
              </w:rPr>
              <w:t>3.   Krajowe organy regulacyjne zapewniają, aby w przypadku gdy przedsiębiorstwo podlega regulacjom taryf detalicznych lub innym istotnym ograniczeniom detalicznym, wprowadzone zostały w życie konieczne i właściwe systemy księgowania kosztów. Krajowe organy regulacyjne mogą określić format oraz metodologię księgową, jakie mają być stosowane. Zgodność z wymogami systemu księgowania kosztów podlega weryfikacji przez wykwalifikowany niezależny podmiot. Krajowe organy regulacyjne zapewniają coroczną publikację oświadczenia o takiej zgodności.</w:t>
            </w:r>
          </w:p>
        </w:tc>
        <w:tc>
          <w:tcPr>
            <w:tcW w:w="986" w:type="dxa"/>
          </w:tcPr>
          <w:p w14:paraId="64C49343" w14:textId="77777777" w:rsidR="001E1112" w:rsidRPr="00317ABF" w:rsidRDefault="001E1112" w:rsidP="00DB3BEC">
            <w:pPr>
              <w:jc w:val="both"/>
              <w:rPr>
                <w:sz w:val="22"/>
                <w:szCs w:val="22"/>
              </w:rPr>
            </w:pPr>
          </w:p>
        </w:tc>
        <w:tc>
          <w:tcPr>
            <w:tcW w:w="910" w:type="dxa"/>
          </w:tcPr>
          <w:p w14:paraId="4B135CE3" w14:textId="77777777" w:rsidR="00D321E4" w:rsidRPr="00317ABF" w:rsidRDefault="001E1112" w:rsidP="002870FB">
            <w:pPr>
              <w:pStyle w:val="Tekstpodstawowy"/>
              <w:rPr>
                <w:b/>
                <w:bCs/>
                <w:noProof/>
                <w:sz w:val="22"/>
                <w:szCs w:val="22"/>
              </w:rPr>
            </w:pPr>
            <w:r w:rsidRPr="00317ABF">
              <w:rPr>
                <w:b/>
                <w:bCs/>
                <w:noProof/>
                <w:sz w:val="22"/>
                <w:szCs w:val="22"/>
              </w:rPr>
              <w:t>Art. 2</w:t>
            </w:r>
            <w:r w:rsidR="002870FB" w:rsidRPr="00317ABF">
              <w:rPr>
                <w:b/>
                <w:bCs/>
                <w:noProof/>
                <w:sz w:val="22"/>
                <w:szCs w:val="22"/>
              </w:rPr>
              <w:t>31</w:t>
            </w:r>
            <w:r w:rsidRPr="00317ABF">
              <w:rPr>
                <w:b/>
                <w:bCs/>
                <w:noProof/>
                <w:sz w:val="22"/>
                <w:szCs w:val="22"/>
              </w:rPr>
              <w:t xml:space="preserve"> ust. 3-4, art. 2</w:t>
            </w:r>
            <w:r w:rsidR="002870FB" w:rsidRPr="00317ABF">
              <w:rPr>
                <w:b/>
                <w:bCs/>
                <w:noProof/>
                <w:sz w:val="22"/>
                <w:szCs w:val="22"/>
              </w:rPr>
              <w:t>55</w:t>
            </w:r>
            <w:r w:rsidRPr="00317ABF">
              <w:rPr>
                <w:b/>
                <w:bCs/>
                <w:noProof/>
                <w:sz w:val="22"/>
                <w:szCs w:val="22"/>
              </w:rPr>
              <w:t xml:space="preserve">, </w:t>
            </w:r>
          </w:p>
          <w:p w14:paraId="510FE58F" w14:textId="77777777" w:rsidR="00D321E4" w:rsidRPr="00317ABF" w:rsidRDefault="00D321E4" w:rsidP="002870FB">
            <w:pPr>
              <w:pStyle w:val="Tekstpodstawowy"/>
              <w:rPr>
                <w:b/>
                <w:bCs/>
                <w:noProof/>
                <w:sz w:val="22"/>
                <w:szCs w:val="22"/>
              </w:rPr>
            </w:pPr>
          </w:p>
          <w:p w14:paraId="69E6836D" w14:textId="77777777" w:rsidR="00D321E4" w:rsidRPr="00317ABF" w:rsidRDefault="00D321E4" w:rsidP="002870FB">
            <w:pPr>
              <w:pStyle w:val="Tekstpodstawowy"/>
              <w:rPr>
                <w:b/>
                <w:bCs/>
                <w:noProof/>
                <w:sz w:val="22"/>
                <w:szCs w:val="22"/>
              </w:rPr>
            </w:pPr>
          </w:p>
          <w:p w14:paraId="7A025BF3" w14:textId="6DFD5C4E" w:rsidR="001E1112" w:rsidRPr="00317ABF" w:rsidRDefault="001E1112" w:rsidP="00F27FDB">
            <w:pPr>
              <w:pStyle w:val="Tekstpodstawowy"/>
              <w:rPr>
                <w:b/>
                <w:bCs/>
                <w:noProof/>
                <w:sz w:val="22"/>
                <w:szCs w:val="22"/>
              </w:rPr>
            </w:pPr>
            <w:r w:rsidRPr="00317ABF">
              <w:rPr>
                <w:b/>
                <w:sz w:val="22"/>
                <w:szCs w:val="22"/>
              </w:rPr>
              <w:t>art. 2</w:t>
            </w:r>
            <w:r w:rsidR="00F27FDB" w:rsidRPr="00317ABF">
              <w:rPr>
                <w:b/>
                <w:sz w:val="22"/>
                <w:szCs w:val="22"/>
              </w:rPr>
              <w:t>57</w:t>
            </w:r>
            <w:r w:rsidRPr="00317ABF">
              <w:rPr>
                <w:b/>
                <w:sz w:val="22"/>
                <w:szCs w:val="22"/>
              </w:rPr>
              <w:t xml:space="preserve"> ust. </w:t>
            </w:r>
            <w:r w:rsidR="00F27FDB" w:rsidRPr="00317ABF">
              <w:rPr>
                <w:b/>
                <w:sz w:val="22"/>
                <w:szCs w:val="22"/>
              </w:rPr>
              <w:t>7</w:t>
            </w:r>
            <w:r w:rsidRPr="00317ABF">
              <w:rPr>
                <w:b/>
                <w:sz w:val="22"/>
                <w:szCs w:val="22"/>
              </w:rPr>
              <w:t>-</w:t>
            </w:r>
            <w:r w:rsidR="00F27FDB" w:rsidRPr="00317ABF">
              <w:rPr>
                <w:b/>
                <w:sz w:val="22"/>
                <w:szCs w:val="22"/>
              </w:rPr>
              <w:t>10</w:t>
            </w:r>
          </w:p>
        </w:tc>
        <w:tc>
          <w:tcPr>
            <w:tcW w:w="6814" w:type="dxa"/>
            <w:gridSpan w:val="2"/>
          </w:tcPr>
          <w:p w14:paraId="00F98693" w14:textId="29E07744" w:rsidR="002870FB" w:rsidRPr="00317ABF" w:rsidRDefault="002870FB" w:rsidP="002870FB">
            <w:pPr>
              <w:jc w:val="both"/>
              <w:rPr>
                <w:rFonts w:eastAsia="Times"/>
                <w:b/>
                <w:sz w:val="22"/>
                <w:szCs w:val="22"/>
              </w:rPr>
            </w:pPr>
            <w:r w:rsidRPr="00317ABF">
              <w:rPr>
                <w:rFonts w:eastAsia="Times"/>
                <w:b/>
                <w:sz w:val="22"/>
                <w:szCs w:val="22"/>
              </w:rPr>
              <w:t>Art. 231 ust. 3 i 4</w:t>
            </w:r>
          </w:p>
          <w:p w14:paraId="6902C22F" w14:textId="77777777" w:rsidR="002870FB" w:rsidRPr="00317ABF" w:rsidRDefault="002870FB" w:rsidP="002870FB">
            <w:pPr>
              <w:jc w:val="both"/>
              <w:rPr>
                <w:rFonts w:eastAsia="Times"/>
                <w:b/>
                <w:sz w:val="22"/>
                <w:szCs w:val="22"/>
              </w:rPr>
            </w:pPr>
          </w:p>
          <w:p w14:paraId="3EF0503B" w14:textId="37FF604D" w:rsidR="001E1112" w:rsidRPr="00317ABF" w:rsidRDefault="001E1112" w:rsidP="002870FB">
            <w:pPr>
              <w:jc w:val="both"/>
              <w:rPr>
                <w:rFonts w:eastAsia="Times"/>
                <w:sz w:val="22"/>
                <w:szCs w:val="22"/>
              </w:rPr>
            </w:pPr>
            <w:r w:rsidRPr="00317ABF">
              <w:rPr>
                <w:rFonts w:eastAsia="Times"/>
                <w:sz w:val="22"/>
                <w:szCs w:val="22"/>
              </w:rPr>
              <w:t>3. W decyzji, o której mowa w ust. 2, Prezes UKE może w szczególności:</w:t>
            </w:r>
          </w:p>
          <w:p w14:paraId="5D9E8FA6" w14:textId="77777777" w:rsidR="002870FB" w:rsidRPr="00317ABF" w:rsidRDefault="002870FB" w:rsidP="002870FB">
            <w:pPr>
              <w:jc w:val="both"/>
              <w:rPr>
                <w:rFonts w:eastAsia="Times"/>
                <w:sz w:val="22"/>
                <w:szCs w:val="22"/>
              </w:rPr>
            </w:pPr>
            <w:r w:rsidRPr="00317ABF">
              <w:rPr>
                <w:rFonts w:eastAsia="Times"/>
                <w:sz w:val="22"/>
                <w:szCs w:val="22"/>
              </w:rPr>
              <w:t>1)</w:t>
            </w:r>
            <w:r w:rsidRPr="00317ABF">
              <w:rPr>
                <w:rFonts w:eastAsia="Times"/>
                <w:sz w:val="22"/>
                <w:szCs w:val="22"/>
              </w:rPr>
              <w:tab/>
              <w:t>określić maksymalne ceny usług;</w:t>
            </w:r>
          </w:p>
          <w:p w14:paraId="26F9A906" w14:textId="77777777" w:rsidR="002870FB" w:rsidRPr="00317ABF" w:rsidRDefault="002870FB" w:rsidP="002870FB">
            <w:pPr>
              <w:jc w:val="both"/>
              <w:rPr>
                <w:rFonts w:eastAsia="Times"/>
                <w:sz w:val="22"/>
                <w:szCs w:val="22"/>
              </w:rPr>
            </w:pPr>
            <w:r w:rsidRPr="00317ABF">
              <w:rPr>
                <w:rFonts w:eastAsia="Times"/>
                <w:sz w:val="22"/>
                <w:szCs w:val="22"/>
              </w:rPr>
              <w:t>2)</w:t>
            </w:r>
            <w:r w:rsidRPr="00317ABF">
              <w:rPr>
                <w:rFonts w:eastAsia="Times"/>
                <w:sz w:val="22"/>
                <w:szCs w:val="22"/>
              </w:rPr>
              <w:tab/>
              <w:t>określić wymagany przedział cen usług ustalony na podstawie cen stosowanych na porównywalnych rynkach państw członkowskich;</w:t>
            </w:r>
          </w:p>
          <w:p w14:paraId="52D61D3A" w14:textId="77777777" w:rsidR="002870FB" w:rsidRPr="00317ABF" w:rsidRDefault="002870FB" w:rsidP="002870FB">
            <w:pPr>
              <w:jc w:val="both"/>
              <w:rPr>
                <w:rFonts w:eastAsia="Times"/>
                <w:sz w:val="22"/>
                <w:szCs w:val="22"/>
              </w:rPr>
            </w:pPr>
            <w:r w:rsidRPr="00317ABF">
              <w:rPr>
                <w:rFonts w:eastAsia="Times"/>
                <w:sz w:val="22"/>
                <w:szCs w:val="22"/>
              </w:rPr>
              <w:t>3)</w:t>
            </w:r>
            <w:r w:rsidRPr="00317ABF">
              <w:rPr>
                <w:rFonts w:eastAsia="Times"/>
                <w:sz w:val="22"/>
                <w:szCs w:val="22"/>
              </w:rPr>
              <w:tab/>
              <w:t>nałożyć obowiązek:</w:t>
            </w:r>
          </w:p>
          <w:p w14:paraId="7B2C0FEF" w14:textId="77777777" w:rsidR="002870FB" w:rsidRPr="00317ABF" w:rsidRDefault="002870FB" w:rsidP="002870FB">
            <w:pPr>
              <w:jc w:val="both"/>
              <w:rPr>
                <w:rFonts w:eastAsia="Times"/>
                <w:sz w:val="22"/>
                <w:szCs w:val="22"/>
              </w:rPr>
            </w:pPr>
            <w:r w:rsidRPr="00317ABF">
              <w:rPr>
                <w:rFonts w:eastAsia="Times"/>
                <w:sz w:val="22"/>
                <w:szCs w:val="22"/>
              </w:rPr>
              <w:t>a)</w:t>
            </w:r>
            <w:r w:rsidRPr="00317ABF">
              <w:rPr>
                <w:rFonts w:eastAsia="Times"/>
                <w:sz w:val="22"/>
                <w:szCs w:val="22"/>
              </w:rPr>
              <w:tab/>
              <w:t>prowadzenia rachunkowości regulacyjnej zgodnie z zatwierdzoną przez Prezesa UKE instrukcją,</w:t>
            </w:r>
          </w:p>
          <w:p w14:paraId="646C4A2B" w14:textId="77777777" w:rsidR="002870FB" w:rsidRPr="00317ABF" w:rsidRDefault="002870FB" w:rsidP="002870FB">
            <w:pPr>
              <w:jc w:val="both"/>
              <w:rPr>
                <w:rFonts w:eastAsia="Times"/>
                <w:sz w:val="22"/>
                <w:szCs w:val="22"/>
              </w:rPr>
            </w:pPr>
            <w:r w:rsidRPr="00317ABF">
              <w:rPr>
                <w:rFonts w:eastAsia="Times"/>
                <w:sz w:val="22"/>
                <w:szCs w:val="22"/>
              </w:rPr>
              <w:t>b)</w:t>
            </w:r>
            <w:r w:rsidRPr="00317ABF">
              <w:rPr>
                <w:rFonts w:eastAsia="Times"/>
                <w:sz w:val="22"/>
                <w:szCs w:val="22"/>
              </w:rPr>
              <w:tab/>
              <w:t>prowadzenia kalkulacji kosztów usług zgodnie z zatwierdzonym przez Prezesa UKE opisem kalkulacji kosztów,</w:t>
            </w:r>
          </w:p>
          <w:p w14:paraId="296647B0" w14:textId="77777777" w:rsidR="002870FB" w:rsidRPr="00317ABF" w:rsidRDefault="002870FB" w:rsidP="002870FB">
            <w:pPr>
              <w:jc w:val="both"/>
              <w:rPr>
                <w:rFonts w:eastAsia="Times"/>
                <w:sz w:val="22"/>
                <w:szCs w:val="22"/>
              </w:rPr>
            </w:pPr>
            <w:r w:rsidRPr="00317ABF">
              <w:rPr>
                <w:rFonts w:eastAsia="Times"/>
                <w:sz w:val="22"/>
                <w:szCs w:val="22"/>
              </w:rPr>
              <w:t>c)</w:t>
            </w:r>
            <w:r w:rsidRPr="00317ABF">
              <w:rPr>
                <w:rFonts w:eastAsia="Times"/>
                <w:sz w:val="22"/>
                <w:szCs w:val="22"/>
              </w:rPr>
              <w:tab/>
              <w:t>określania cen usług na podstawie kosztów ich świadczenia,</w:t>
            </w:r>
          </w:p>
          <w:p w14:paraId="53D8EC46" w14:textId="77777777" w:rsidR="002870FB" w:rsidRPr="00317ABF" w:rsidRDefault="002870FB" w:rsidP="002870FB">
            <w:pPr>
              <w:jc w:val="both"/>
              <w:rPr>
                <w:rFonts w:eastAsia="Times"/>
                <w:sz w:val="22"/>
                <w:szCs w:val="22"/>
              </w:rPr>
            </w:pPr>
            <w:r w:rsidRPr="00317ABF">
              <w:rPr>
                <w:rFonts w:eastAsia="Times"/>
                <w:sz w:val="22"/>
                <w:szCs w:val="22"/>
              </w:rPr>
              <w:t>4)</w:t>
            </w:r>
            <w:r w:rsidRPr="00317ABF">
              <w:rPr>
                <w:rFonts w:eastAsia="Times"/>
                <w:sz w:val="22"/>
                <w:szCs w:val="22"/>
              </w:rPr>
              <w:tab/>
              <w:t>nałożyć obowiązek przedstawiania do zatwierdzenia informacji przedumownych, o których mowa w art. 279.</w:t>
            </w:r>
          </w:p>
          <w:p w14:paraId="15AB405B" w14:textId="77777777" w:rsidR="002870FB" w:rsidRPr="00317ABF" w:rsidRDefault="002870FB" w:rsidP="002870FB">
            <w:pPr>
              <w:pStyle w:val="ARTartustawynprozporzdzenia"/>
              <w:keepNext/>
              <w:spacing w:before="0" w:line="240" w:lineRule="auto"/>
              <w:rPr>
                <w:rFonts w:eastAsia="Times"/>
                <w:sz w:val="22"/>
                <w:szCs w:val="22"/>
              </w:rPr>
            </w:pPr>
            <w:r w:rsidRPr="00317ABF">
              <w:rPr>
                <w:rFonts w:eastAsia="Times"/>
                <w:sz w:val="22"/>
                <w:szCs w:val="22"/>
              </w:rPr>
              <w:t xml:space="preserve">4. Prezes UKE w decyzji nakładającej obowiązek, o którym mowa w ust. 3 pkt 3 lit. b, określi sposoby kalkulacji kosztów usług świadczonych na danym rynku detalicznym, jakie powinien </w:t>
            </w:r>
            <w:bookmarkStart w:id="139" w:name="_GoBack"/>
            <w:bookmarkEnd w:id="139"/>
            <w:r w:rsidRPr="00317ABF">
              <w:rPr>
                <w:rFonts w:eastAsia="Times"/>
                <w:sz w:val="22"/>
                <w:szCs w:val="22"/>
              </w:rPr>
              <w:t>stosować przedsiębiorca komunikacji elektronicznej, na podstawie przepisów wykonawczych wydanych na podstawie art. 255.</w:t>
            </w:r>
          </w:p>
          <w:p w14:paraId="10176154" w14:textId="77777777" w:rsidR="002870FB" w:rsidRPr="00317ABF" w:rsidRDefault="002870FB" w:rsidP="002870FB">
            <w:pPr>
              <w:pStyle w:val="ARTartustawynprozporzdzenia"/>
              <w:keepNext/>
              <w:spacing w:before="0" w:line="240" w:lineRule="auto"/>
              <w:rPr>
                <w:rFonts w:eastAsia="Times"/>
                <w:sz w:val="22"/>
                <w:szCs w:val="22"/>
              </w:rPr>
            </w:pPr>
          </w:p>
          <w:p w14:paraId="7A90E257" w14:textId="77777777" w:rsidR="001E1112" w:rsidRPr="00317ABF" w:rsidRDefault="001E1112" w:rsidP="00F27FDB">
            <w:pPr>
              <w:pStyle w:val="ARTartustawynprozporzdzenia"/>
              <w:keepNext/>
              <w:spacing w:before="0" w:line="240" w:lineRule="auto"/>
              <w:rPr>
                <w:rStyle w:val="Ppogrubienie"/>
                <w:rFonts w:ascii="Times New Roman" w:hAnsi="Times New Roman"/>
                <w:b w:val="0"/>
                <w:sz w:val="22"/>
                <w:szCs w:val="22"/>
              </w:rPr>
            </w:pPr>
            <w:r w:rsidRPr="00317ABF">
              <w:rPr>
                <w:rStyle w:val="Ppogrubienie"/>
                <w:rFonts w:ascii="Times New Roman" w:hAnsi="Times New Roman"/>
                <w:sz w:val="22"/>
                <w:szCs w:val="22"/>
              </w:rPr>
              <w:t xml:space="preserve">Art. </w:t>
            </w:r>
            <w:r w:rsidR="002870FB" w:rsidRPr="00317ABF">
              <w:rPr>
                <w:rStyle w:val="Ppogrubienie"/>
                <w:rFonts w:ascii="Times New Roman" w:hAnsi="Times New Roman"/>
                <w:sz w:val="22"/>
                <w:szCs w:val="22"/>
              </w:rPr>
              <w:t>255</w:t>
            </w:r>
            <w:r w:rsidRPr="00317ABF">
              <w:rPr>
                <w:rStyle w:val="Ppogrubienie"/>
                <w:rFonts w:ascii="Times New Roman" w:hAnsi="Times New Roman"/>
                <w:b w:val="0"/>
                <w:sz w:val="22"/>
                <w:szCs w:val="22"/>
              </w:rPr>
              <w:t>. Minister właściwy do spraw informatyzacji w porozumieniu z ministrem właściwym do spraw finansów publicznych określi, w drodze rozporządzenia:</w:t>
            </w:r>
          </w:p>
          <w:p w14:paraId="2348126D" w14:textId="77777777" w:rsidR="001E1112" w:rsidRPr="00317ABF" w:rsidRDefault="001E1112" w:rsidP="00F27FDB">
            <w:pPr>
              <w:pStyle w:val="ARTartustawynprozporzdzenia"/>
              <w:keepNext/>
              <w:spacing w:before="0" w:line="240" w:lineRule="auto"/>
              <w:rPr>
                <w:rStyle w:val="Ppogrubienie"/>
                <w:rFonts w:ascii="Times New Roman" w:hAnsi="Times New Roman"/>
                <w:b w:val="0"/>
                <w:sz w:val="22"/>
                <w:szCs w:val="22"/>
              </w:rPr>
            </w:pPr>
            <w:r w:rsidRPr="00317ABF">
              <w:rPr>
                <w:rStyle w:val="Ppogrubienie"/>
                <w:rFonts w:ascii="Times New Roman" w:hAnsi="Times New Roman"/>
                <w:b w:val="0"/>
                <w:sz w:val="22"/>
                <w:szCs w:val="22"/>
              </w:rPr>
              <w:t>1)</w:t>
            </w:r>
            <w:r w:rsidRPr="00317ABF">
              <w:rPr>
                <w:rStyle w:val="Ppogrubienie"/>
                <w:rFonts w:ascii="Times New Roman" w:hAnsi="Times New Roman"/>
                <w:b w:val="0"/>
                <w:sz w:val="22"/>
                <w:szCs w:val="22"/>
              </w:rPr>
              <w:tab/>
              <w:t xml:space="preserve">sposoby przypisania aktywów i pasywów, przychodów i kosztów do działalności lub usług, o których mowa w art. </w:t>
            </w:r>
            <w:r w:rsidR="002870FB" w:rsidRPr="00317ABF">
              <w:rPr>
                <w:rStyle w:val="Ppogrubienie"/>
                <w:rFonts w:ascii="Times New Roman" w:hAnsi="Times New Roman"/>
                <w:b w:val="0"/>
                <w:sz w:val="22"/>
                <w:szCs w:val="22"/>
              </w:rPr>
              <w:t>253</w:t>
            </w:r>
            <w:r w:rsidRPr="00317ABF">
              <w:rPr>
                <w:rStyle w:val="Ppogrubienie"/>
                <w:rFonts w:ascii="Times New Roman" w:hAnsi="Times New Roman"/>
                <w:b w:val="0"/>
                <w:sz w:val="22"/>
                <w:szCs w:val="22"/>
              </w:rPr>
              <w:t xml:space="preserve"> ust. 1,</w:t>
            </w:r>
          </w:p>
          <w:p w14:paraId="764253D4" w14:textId="77777777" w:rsidR="002870FB" w:rsidRPr="00317ABF" w:rsidRDefault="002870FB" w:rsidP="00F27FDB">
            <w:pPr>
              <w:pStyle w:val="ARTartustawynprozporzdzenia"/>
              <w:keepNext/>
              <w:spacing w:before="0" w:line="240" w:lineRule="auto"/>
              <w:rPr>
                <w:rStyle w:val="Ppogrubienie"/>
                <w:rFonts w:ascii="Times New Roman" w:hAnsi="Times New Roman"/>
                <w:b w:val="0"/>
                <w:sz w:val="22"/>
                <w:szCs w:val="22"/>
              </w:rPr>
            </w:pPr>
            <w:r w:rsidRPr="00317ABF">
              <w:rPr>
                <w:rStyle w:val="Ppogrubienie"/>
                <w:rFonts w:ascii="Times New Roman" w:hAnsi="Times New Roman"/>
                <w:b w:val="0"/>
                <w:sz w:val="22"/>
                <w:szCs w:val="22"/>
              </w:rPr>
              <w:t>2)</w:t>
            </w:r>
            <w:r w:rsidRPr="00317ABF">
              <w:rPr>
                <w:rStyle w:val="Ppogrubienie"/>
                <w:rFonts w:ascii="Times New Roman" w:hAnsi="Times New Roman"/>
                <w:b w:val="0"/>
                <w:sz w:val="22"/>
                <w:szCs w:val="22"/>
              </w:rPr>
              <w:tab/>
              <w:t>sposób i terminy dokonywania aktualizacji wyceny określonych rodzajów środków trwałych, wartości niematerialnych i prawnych oraz dokonanych od tych środków i wartości odpisów amortyzacyjnych,</w:t>
            </w:r>
          </w:p>
          <w:p w14:paraId="6996EB77" w14:textId="77777777" w:rsidR="002870FB" w:rsidRPr="00317ABF" w:rsidRDefault="002870FB" w:rsidP="00F27FDB">
            <w:pPr>
              <w:pStyle w:val="ARTartustawynprozporzdzenia"/>
              <w:keepNext/>
              <w:spacing w:before="0" w:line="240" w:lineRule="auto"/>
              <w:rPr>
                <w:rStyle w:val="Ppogrubienie"/>
                <w:rFonts w:ascii="Times New Roman" w:hAnsi="Times New Roman"/>
                <w:b w:val="0"/>
                <w:sz w:val="22"/>
                <w:szCs w:val="22"/>
              </w:rPr>
            </w:pPr>
            <w:r w:rsidRPr="00317ABF">
              <w:rPr>
                <w:rStyle w:val="Ppogrubienie"/>
                <w:rFonts w:ascii="Times New Roman" w:hAnsi="Times New Roman"/>
                <w:b w:val="0"/>
                <w:sz w:val="22"/>
                <w:szCs w:val="22"/>
              </w:rPr>
              <w:t>3)</w:t>
            </w:r>
            <w:r w:rsidRPr="00317ABF">
              <w:rPr>
                <w:rStyle w:val="Ppogrubienie"/>
                <w:rFonts w:ascii="Times New Roman" w:hAnsi="Times New Roman"/>
                <w:b w:val="0"/>
                <w:sz w:val="22"/>
                <w:szCs w:val="22"/>
              </w:rPr>
              <w:tab/>
              <w:t>sposoby kalkulacji kosztów usług w zakresie dostępu telekomunikacyjnego lub usług na rynku detalicznym,</w:t>
            </w:r>
          </w:p>
          <w:p w14:paraId="5DD43362" w14:textId="77777777" w:rsidR="002870FB" w:rsidRPr="00317ABF" w:rsidRDefault="002870FB" w:rsidP="00F27FDB">
            <w:pPr>
              <w:pStyle w:val="ARTartustawynprozporzdzenia"/>
              <w:keepNext/>
              <w:spacing w:before="0" w:line="240" w:lineRule="auto"/>
              <w:rPr>
                <w:rStyle w:val="Ppogrubienie"/>
                <w:rFonts w:ascii="Times New Roman" w:hAnsi="Times New Roman"/>
                <w:b w:val="0"/>
                <w:sz w:val="22"/>
                <w:szCs w:val="22"/>
              </w:rPr>
            </w:pPr>
            <w:r w:rsidRPr="00317ABF">
              <w:rPr>
                <w:rStyle w:val="Ppogrubienie"/>
                <w:rFonts w:ascii="Times New Roman" w:hAnsi="Times New Roman"/>
                <w:b w:val="0"/>
                <w:sz w:val="22"/>
                <w:szCs w:val="22"/>
              </w:rPr>
              <w:t>4)</w:t>
            </w:r>
            <w:r w:rsidRPr="00317ABF">
              <w:rPr>
                <w:rStyle w:val="Ppogrubienie"/>
                <w:rFonts w:ascii="Times New Roman" w:hAnsi="Times New Roman"/>
                <w:b w:val="0"/>
                <w:sz w:val="22"/>
                <w:szCs w:val="22"/>
              </w:rPr>
              <w:tab/>
              <w:t>tryb i terminy uzgadniania i zatwierdzania przez Prezesa UKE opracowanego przez przedsiębiorcę komunikacji elektronicznej projektu instrukcji oraz projektu opisu kalkulacji kosztów,</w:t>
            </w:r>
          </w:p>
          <w:p w14:paraId="30C419CF" w14:textId="77777777" w:rsidR="002870FB" w:rsidRPr="00317ABF" w:rsidRDefault="002870FB" w:rsidP="00F27FDB">
            <w:pPr>
              <w:pStyle w:val="ARTartustawynprozporzdzenia"/>
              <w:keepNext/>
              <w:spacing w:before="0" w:line="240" w:lineRule="auto"/>
              <w:rPr>
                <w:rStyle w:val="Ppogrubienie"/>
                <w:rFonts w:ascii="Times New Roman" w:hAnsi="Times New Roman"/>
                <w:b w:val="0"/>
                <w:sz w:val="22"/>
                <w:szCs w:val="22"/>
              </w:rPr>
            </w:pPr>
            <w:r w:rsidRPr="00317ABF">
              <w:rPr>
                <w:rStyle w:val="Ppogrubienie"/>
                <w:rFonts w:ascii="Times New Roman" w:hAnsi="Times New Roman"/>
                <w:b w:val="0"/>
                <w:sz w:val="22"/>
                <w:szCs w:val="22"/>
              </w:rPr>
              <w:t>5)</w:t>
            </w:r>
            <w:r w:rsidRPr="00317ABF">
              <w:rPr>
                <w:rStyle w:val="Ppogrubienie"/>
                <w:rFonts w:ascii="Times New Roman" w:hAnsi="Times New Roman"/>
                <w:b w:val="0"/>
                <w:sz w:val="22"/>
                <w:szCs w:val="22"/>
              </w:rPr>
              <w:tab/>
              <w:t>zakres przekazywanych Prezesowi UKE:</w:t>
            </w:r>
          </w:p>
          <w:p w14:paraId="511754B7" w14:textId="77777777" w:rsidR="001E1112" w:rsidRPr="00317ABF" w:rsidRDefault="001E1112" w:rsidP="00F27FDB">
            <w:pPr>
              <w:pStyle w:val="ARTartustawynprozporzdzenia"/>
              <w:keepNext/>
              <w:spacing w:before="0" w:line="240" w:lineRule="auto"/>
              <w:rPr>
                <w:rStyle w:val="Ppogrubienie"/>
                <w:rFonts w:ascii="Times New Roman" w:hAnsi="Times New Roman"/>
                <w:b w:val="0"/>
                <w:sz w:val="22"/>
                <w:szCs w:val="22"/>
              </w:rPr>
            </w:pPr>
            <w:r w:rsidRPr="00317ABF">
              <w:rPr>
                <w:rStyle w:val="Ppogrubienie"/>
                <w:rFonts w:ascii="Times New Roman" w:hAnsi="Times New Roman"/>
                <w:b w:val="0"/>
                <w:sz w:val="22"/>
                <w:szCs w:val="22"/>
              </w:rPr>
              <w:t>a)</w:t>
            </w:r>
            <w:r w:rsidRPr="00317ABF">
              <w:rPr>
                <w:rStyle w:val="Ppogrubienie"/>
                <w:rFonts w:ascii="Times New Roman" w:hAnsi="Times New Roman"/>
                <w:b w:val="0"/>
                <w:sz w:val="22"/>
                <w:szCs w:val="22"/>
              </w:rPr>
              <w:tab/>
              <w:t>sprawozdań z prowadzonej rachunkowości regulacyjnej, przyjmując zasadę, że dane zawarte w sprawozdaniach są sprawdzalne w rozumieniu ustawy z dnia 29 września 1994 r. o rachunkowości,</w:t>
            </w:r>
          </w:p>
          <w:p w14:paraId="0719D689" w14:textId="77777777" w:rsidR="001E1112" w:rsidRPr="00317ABF" w:rsidRDefault="001E1112" w:rsidP="00F27FDB">
            <w:pPr>
              <w:pStyle w:val="ARTartustawynprozporzdzenia"/>
              <w:keepNext/>
              <w:spacing w:before="0" w:line="240" w:lineRule="auto"/>
              <w:rPr>
                <w:rStyle w:val="Ppogrubienie"/>
                <w:rFonts w:ascii="Times New Roman" w:hAnsi="Times New Roman"/>
                <w:b w:val="0"/>
                <w:sz w:val="22"/>
                <w:szCs w:val="22"/>
              </w:rPr>
            </w:pPr>
            <w:r w:rsidRPr="00317ABF">
              <w:rPr>
                <w:rStyle w:val="Ppogrubienie"/>
                <w:rFonts w:ascii="Times New Roman" w:hAnsi="Times New Roman"/>
                <w:b w:val="0"/>
                <w:sz w:val="22"/>
                <w:szCs w:val="22"/>
              </w:rPr>
              <w:t>b)</w:t>
            </w:r>
            <w:r w:rsidRPr="00317ABF">
              <w:rPr>
                <w:rStyle w:val="Ppogrubienie"/>
                <w:rFonts w:ascii="Times New Roman" w:hAnsi="Times New Roman"/>
                <w:b w:val="0"/>
                <w:sz w:val="22"/>
                <w:szCs w:val="22"/>
              </w:rPr>
              <w:tab/>
              <w:t>wyników kalkulacji kosztów</w:t>
            </w:r>
          </w:p>
          <w:p w14:paraId="6C946ADD" w14:textId="77777777" w:rsidR="001E1112" w:rsidRPr="00317ABF" w:rsidRDefault="001E1112" w:rsidP="00DB3BEC">
            <w:pPr>
              <w:pStyle w:val="ARTartustawynprozporzdzenia"/>
              <w:spacing w:before="0" w:line="240" w:lineRule="auto"/>
              <w:rPr>
                <w:rStyle w:val="Ppogrubienie"/>
                <w:rFonts w:ascii="Times New Roman" w:hAnsi="Times New Roman"/>
                <w:b w:val="0"/>
                <w:sz w:val="22"/>
                <w:szCs w:val="22"/>
              </w:rPr>
            </w:pPr>
            <w:r w:rsidRPr="00317ABF">
              <w:rPr>
                <w:rStyle w:val="Ppogrubienie"/>
                <w:rFonts w:ascii="Times New Roman" w:hAnsi="Times New Roman"/>
                <w:b w:val="0"/>
                <w:sz w:val="22"/>
                <w:szCs w:val="22"/>
              </w:rPr>
              <w:lastRenderedPageBreak/>
              <w:t>- mając na celu promocję efektywności, zrównoważonej konkurencji oraz zapewnienia maksymalnej korzyści dla użytkowników końcowych, w tym związanych z rozwojem sieci o bardzo dużej przepustowości, a także uwzględniając konieczność ochrony konsumentów i konkurentów przed nadużywaniem przez przedsiębiorców komunikacji elektronicznej, na których nałożono obowiązek prowadzenia rachunkowości regulacyjnej lub kalkulacji kosztów, ich pozycji rynkowej, konieczność stymulowania rozwoju rynku  komunikacji elektronicznej, promocję realizacji nowych inwestycji, w tym w sieci o bardzo dużej przepustowości oraz konieczność umożliwienia działalności kontrolnej Prezesowi UKE wobec działalności wykonywanej przez tych przedsiębiorców.</w:t>
            </w:r>
          </w:p>
          <w:p w14:paraId="76965944" w14:textId="77777777" w:rsidR="00F27FDB" w:rsidRPr="00317ABF" w:rsidRDefault="00F27FDB" w:rsidP="00F27FDB">
            <w:pPr>
              <w:pStyle w:val="ARTartustawynprozporzdzenia"/>
              <w:spacing w:before="0" w:line="240" w:lineRule="auto"/>
              <w:rPr>
                <w:rStyle w:val="Ppogrubienie"/>
                <w:rFonts w:ascii="Times New Roman" w:hAnsi="Times New Roman"/>
                <w:sz w:val="22"/>
                <w:szCs w:val="22"/>
              </w:rPr>
            </w:pPr>
          </w:p>
          <w:p w14:paraId="52EB5040" w14:textId="00EB82B0" w:rsidR="001E1112" w:rsidRPr="00317ABF" w:rsidRDefault="001E1112" w:rsidP="00F27FDB">
            <w:pPr>
              <w:pStyle w:val="ARTartustawynprozporzdzenia"/>
              <w:spacing w:before="0" w:line="240" w:lineRule="auto"/>
              <w:rPr>
                <w:rFonts w:ascii="Times New Roman" w:hAnsi="Times New Roman" w:cs="Times New Roman"/>
                <w:sz w:val="22"/>
                <w:szCs w:val="22"/>
              </w:rPr>
            </w:pPr>
            <w:r w:rsidRPr="00317ABF">
              <w:rPr>
                <w:rStyle w:val="Ppogrubienie"/>
                <w:rFonts w:ascii="Times New Roman" w:hAnsi="Times New Roman"/>
                <w:sz w:val="22"/>
                <w:szCs w:val="22"/>
              </w:rPr>
              <w:t>Art. 2</w:t>
            </w:r>
            <w:r w:rsidR="00F27FDB" w:rsidRPr="00317ABF">
              <w:rPr>
                <w:rStyle w:val="Ppogrubienie"/>
                <w:rFonts w:ascii="Times New Roman" w:hAnsi="Times New Roman"/>
                <w:sz w:val="22"/>
                <w:szCs w:val="22"/>
              </w:rPr>
              <w:t>57</w:t>
            </w:r>
            <w:r w:rsidRPr="00317ABF">
              <w:rPr>
                <w:rStyle w:val="Ppogrubienie"/>
                <w:rFonts w:ascii="Times New Roman" w:hAnsi="Times New Roman"/>
                <w:sz w:val="22"/>
                <w:szCs w:val="22"/>
              </w:rPr>
              <w:t>.</w:t>
            </w:r>
            <w:r w:rsidRPr="00317ABF">
              <w:rPr>
                <w:rFonts w:ascii="Times New Roman" w:hAnsi="Times New Roman" w:cs="Times New Roman"/>
                <w:sz w:val="22"/>
                <w:szCs w:val="22"/>
              </w:rPr>
              <w:t xml:space="preserve"> </w:t>
            </w:r>
          </w:p>
          <w:p w14:paraId="2A63E880" w14:textId="77777777" w:rsidR="00F27FDB" w:rsidRPr="00317ABF" w:rsidRDefault="00F27FDB" w:rsidP="00F27FDB">
            <w:pPr>
              <w:pStyle w:val="USTustnpkodeksu"/>
              <w:spacing w:line="240" w:lineRule="auto"/>
              <w:rPr>
                <w:rFonts w:ascii="Times New Roman" w:hAnsi="Times New Roman" w:cs="Times New Roman"/>
                <w:sz w:val="22"/>
                <w:szCs w:val="22"/>
              </w:rPr>
            </w:pPr>
            <w:r w:rsidRPr="00317ABF">
              <w:rPr>
                <w:rFonts w:ascii="Times New Roman" w:hAnsi="Times New Roman" w:cs="Times New Roman"/>
                <w:sz w:val="22"/>
                <w:szCs w:val="22"/>
              </w:rPr>
              <w:t>7. Sprawozdania z prowadzonej rachunkowości regulacyjnej oraz wyniki kalkulacji kosztów podlegają weryfikacji pod kątem zgodności z przepisami prawa oraz zatwierdzonymi przez Prezesa UKE instrukcją i opisem kalkulacji kosztów, na koszt przedsiębiorcy komunikacji elektronicznej, w terminie 6 miesięcy od zakończenia roku obrotowego, przez niezależnego od przedsiębiorcy komunikacji elektronicznej biegłego rewidenta.</w:t>
            </w:r>
          </w:p>
          <w:p w14:paraId="55DB4E17" w14:textId="77777777" w:rsidR="00F27FDB" w:rsidRPr="00317ABF" w:rsidRDefault="00F27FDB" w:rsidP="00F27FDB">
            <w:pPr>
              <w:pStyle w:val="USTustnpkodeksu"/>
              <w:spacing w:line="240" w:lineRule="auto"/>
              <w:rPr>
                <w:rFonts w:ascii="Times New Roman" w:hAnsi="Times New Roman" w:cs="Times New Roman"/>
                <w:sz w:val="22"/>
                <w:szCs w:val="22"/>
              </w:rPr>
            </w:pPr>
            <w:r w:rsidRPr="00317ABF">
              <w:rPr>
                <w:rFonts w:ascii="Times New Roman" w:hAnsi="Times New Roman" w:cs="Times New Roman"/>
                <w:sz w:val="22"/>
                <w:szCs w:val="22"/>
              </w:rPr>
              <w:t>8. Prezes UKE powołuje biegłego rewidenta do przeprowadzenia weryfikacji, o której mowa w ust. 7.</w:t>
            </w:r>
          </w:p>
          <w:p w14:paraId="594FAF28" w14:textId="77777777" w:rsidR="00F27FDB" w:rsidRPr="00317ABF" w:rsidRDefault="00F27FDB" w:rsidP="00F27FDB">
            <w:pPr>
              <w:pStyle w:val="USTustnpkodeksu"/>
              <w:spacing w:line="240" w:lineRule="auto"/>
              <w:rPr>
                <w:rFonts w:ascii="Times New Roman" w:hAnsi="Times New Roman" w:cs="Times New Roman"/>
                <w:sz w:val="22"/>
                <w:szCs w:val="22"/>
              </w:rPr>
            </w:pPr>
            <w:r w:rsidRPr="00317ABF">
              <w:rPr>
                <w:rFonts w:ascii="Times New Roman" w:hAnsi="Times New Roman" w:cs="Times New Roman"/>
                <w:sz w:val="22"/>
                <w:szCs w:val="22"/>
              </w:rPr>
              <w:t>9. Przedsiębiorca komunikacji elektronicznej przekazuje Prezesowi UKE sprawozdania z prowadzonej rachunkowości regulacyjnej lub wyniki kalkulacji kosztów, wraz ze sprawozdaniem biegłego rewidenta z weryfikacji, o której mowa w ust. 7, niezwłocznie po zakończeniu tej weryfikacji i przedłożeniu przez biegłego rewidenta sprawozdania z niej.</w:t>
            </w:r>
          </w:p>
          <w:p w14:paraId="60FF7376" w14:textId="77777777" w:rsidR="00F27FDB" w:rsidRPr="00317ABF" w:rsidRDefault="00F27FDB" w:rsidP="00F27FDB">
            <w:pPr>
              <w:pStyle w:val="USTustnpkodeksu"/>
              <w:spacing w:line="240" w:lineRule="auto"/>
              <w:rPr>
                <w:rFonts w:ascii="Times New Roman" w:hAnsi="Times New Roman" w:cs="Times New Roman"/>
                <w:sz w:val="22"/>
                <w:szCs w:val="22"/>
              </w:rPr>
            </w:pPr>
            <w:r w:rsidRPr="00317ABF">
              <w:rPr>
                <w:rFonts w:ascii="Times New Roman" w:hAnsi="Times New Roman" w:cs="Times New Roman"/>
                <w:sz w:val="22"/>
                <w:szCs w:val="22"/>
              </w:rPr>
              <w:t>10. Prezes UKE udostępnia na stronie podmiotowej BIP UKE sprawozdania z prowadzonej rachunkowości regulacyjnej, wyniki kalkulacji kosztów oraz sprawozdanie biegłego rewidenta z weryfikacji, o której mowa w ust. 7, w terminie 8 miesięcy od zakończenia roku obrotowego.</w:t>
            </w:r>
          </w:p>
          <w:p w14:paraId="36C4901A" w14:textId="1E360769" w:rsidR="001E1112" w:rsidRPr="00317ABF" w:rsidRDefault="001E1112" w:rsidP="00DB3BEC">
            <w:pPr>
              <w:jc w:val="both"/>
              <w:rPr>
                <w:sz w:val="22"/>
                <w:szCs w:val="22"/>
              </w:rPr>
            </w:pPr>
          </w:p>
        </w:tc>
      </w:tr>
      <w:tr w:rsidR="001E1112" w:rsidRPr="00317ABF" w14:paraId="2B599FDC" w14:textId="77777777" w:rsidTr="7753F98D">
        <w:trPr>
          <w:gridAfter w:val="2"/>
          <w:wAfter w:w="175" w:type="dxa"/>
        </w:trPr>
        <w:tc>
          <w:tcPr>
            <w:tcW w:w="704" w:type="dxa"/>
          </w:tcPr>
          <w:p w14:paraId="595388BB" w14:textId="77777777" w:rsidR="001E1112" w:rsidRPr="00317ABF" w:rsidRDefault="001E1112" w:rsidP="00DB3BEC">
            <w:pPr>
              <w:jc w:val="both"/>
              <w:rPr>
                <w:sz w:val="22"/>
                <w:szCs w:val="22"/>
              </w:rPr>
            </w:pPr>
            <w:r w:rsidRPr="00317ABF">
              <w:rPr>
                <w:sz w:val="22"/>
                <w:szCs w:val="22"/>
              </w:rPr>
              <w:lastRenderedPageBreak/>
              <w:t>Art. 83 ust. 4</w:t>
            </w:r>
          </w:p>
        </w:tc>
        <w:tc>
          <w:tcPr>
            <w:tcW w:w="4308" w:type="dxa"/>
          </w:tcPr>
          <w:p w14:paraId="4172A25E" w14:textId="77777777" w:rsidR="001E1112" w:rsidRPr="00317ABF" w:rsidRDefault="001E1112" w:rsidP="00DB3BEC">
            <w:pPr>
              <w:spacing w:before="120"/>
              <w:jc w:val="both"/>
              <w:rPr>
                <w:sz w:val="22"/>
                <w:szCs w:val="22"/>
              </w:rPr>
            </w:pPr>
            <w:r w:rsidRPr="00317ABF">
              <w:rPr>
                <w:sz w:val="22"/>
                <w:szCs w:val="22"/>
              </w:rPr>
              <w:t xml:space="preserve">4.   Bez uszczerbku dla art. 85 i 88, krajowe organy regulacyjne nie stosują mechanizmów ograniczeń detalicznych wymienionych w ust. 1 niniejszego artykułu do rynków geograficznych lub rynków detalicznych, co do </w:t>
            </w:r>
            <w:r w:rsidRPr="00317ABF">
              <w:rPr>
                <w:sz w:val="22"/>
                <w:szCs w:val="22"/>
              </w:rPr>
              <w:lastRenderedPageBreak/>
              <w:t>których to rynków stwierdzają, że istnieje na nich skuteczna konkurencja.</w:t>
            </w:r>
          </w:p>
        </w:tc>
        <w:tc>
          <w:tcPr>
            <w:tcW w:w="986" w:type="dxa"/>
          </w:tcPr>
          <w:p w14:paraId="5788F993" w14:textId="2ED20114" w:rsidR="001E1112" w:rsidRPr="00317ABF" w:rsidRDefault="001E1112" w:rsidP="00DB3BEC">
            <w:pPr>
              <w:jc w:val="both"/>
              <w:rPr>
                <w:sz w:val="22"/>
                <w:szCs w:val="22"/>
              </w:rPr>
            </w:pPr>
            <w:r w:rsidRPr="00317ABF">
              <w:rPr>
                <w:sz w:val="22"/>
                <w:szCs w:val="22"/>
              </w:rPr>
              <w:lastRenderedPageBreak/>
              <w:t>N</w:t>
            </w:r>
          </w:p>
        </w:tc>
        <w:tc>
          <w:tcPr>
            <w:tcW w:w="910" w:type="dxa"/>
          </w:tcPr>
          <w:p w14:paraId="66D0BF2C" w14:textId="68C79AD7" w:rsidR="001E1112" w:rsidRPr="00317ABF" w:rsidRDefault="00DB3BEC" w:rsidP="00DB3BEC">
            <w:pPr>
              <w:pStyle w:val="Tekstpodstawowy"/>
              <w:rPr>
                <w:b/>
                <w:bCs/>
                <w:noProof/>
                <w:sz w:val="22"/>
                <w:szCs w:val="22"/>
              </w:rPr>
            </w:pPr>
            <w:r w:rsidRPr="00317ABF">
              <w:rPr>
                <w:b/>
                <w:bCs/>
                <w:noProof/>
                <w:sz w:val="22"/>
                <w:szCs w:val="22"/>
              </w:rPr>
              <w:t xml:space="preserve">Art. </w:t>
            </w:r>
            <w:r w:rsidR="001E1112" w:rsidRPr="00317ABF">
              <w:rPr>
                <w:b/>
                <w:bCs/>
                <w:noProof/>
                <w:sz w:val="22"/>
                <w:szCs w:val="22"/>
              </w:rPr>
              <w:t>2</w:t>
            </w:r>
            <w:r w:rsidR="00D321E4" w:rsidRPr="00317ABF">
              <w:rPr>
                <w:b/>
                <w:bCs/>
                <w:noProof/>
                <w:sz w:val="22"/>
                <w:szCs w:val="22"/>
              </w:rPr>
              <w:t>31</w:t>
            </w:r>
            <w:r w:rsidR="001E1112" w:rsidRPr="00317ABF">
              <w:rPr>
                <w:b/>
                <w:bCs/>
                <w:noProof/>
                <w:sz w:val="22"/>
                <w:szCs w:val="22"/>
              </w:rPr>
              <w:t xml:space="preserve"> ust. 1 pkt 1</w:t>
            </w:r>
          </w:p>
        </w:tc>
        <w:tc>
          <w:tcPr>
            <w:tcW w:w="6814" w:type="dxa"/>
            <w:gridSpan w:val="2"/>
          </w:tcPr>
          <w:p w14:paraId="3842CA3E" w14:textId="77777777" w:rsidR="00D321E4" w:rsidRPr="00317ABF" w:rsidRDefault="00D321E4" w:rsidP="00DB3BEC">
            <w:pPr>
              <w:jc w:val="both"/>
              <w:rPr>
                <w:rFonts w:eastAsia="Times"/>
                <w:bCs/>
                <w:sz w:val="22"/>
                <w:szCs w:val="22"/>
              </w:rPr>
            </w:pPr>
            <w:r w:rsidRPr="00317ABF">
              <w:rPr>
                <w:rFonts w:eastAsia="Times"/>
                <w:b/>
                <w:bCs/>
                <w:sz w:val="22"/>
                <w:szCs w:val="22"/>
              </w:rPr>
              <w:t xml:space="preserve">Art. 231. </w:t>
            </w:r>
            <w:r w:rsidRPr="00317ABF">
              <w:rPr>
                <w:rFonts w:eastAsia="Times"/>
                <w:bCs/>
                <w:sz w:val="22"/>
                <w:szCs w:val="22"/>
              </w:rPr>
              <w:t>1. Jeżeli w wyniku analizy, o której mowa w art. 197 ust. 1, Prezes UKE stwierdzi, że: (…)</w:t>
            </w:r>
          </w:p>
          <w:p w14:paraId="6C611758" w14:textId="77777777" w:rsidR="00D321E4" w:rsidRPr="00317ABF" w:rsidRDefault="00D321E4" w:rsidP="00DB3BEC">
            <w:pPr>
              <w:jc w:val="both"/>
              <w:rPr>
                <w:rFonts w:eastAsia="Times"/>
                <w:bCs/>
                <w:sz w:val="22"/>
                <w:szCs w:val="22"/>
              </w:rPr>
            </w:pPr>
          </w:p>
          <w:p w14:paraId="63C979A3" w14:textId="77777777" w:rsidR="00D321E4" w:rsidRPr="00317ABF" w:rsidRDefault="00D321E4" w:rsidP="00D321E4">
            <w:pPr>
              <w:pStyle w:val="PKTpunkt0"/>
              <w:rPr>
                <w:rFonts w:ascii="Times New Roman" w:hAnsi="Times New Roman" w:cs="Times New Roman"/>
                <w:szCs w:val="24"/>
              </w:rPr>
            </w:pPr>
            <w:r w:rsidRPr="00317ABF">
              <w:rPr>
                <w:rFonts w:ascii="Times New Roman" w:hAnsi="Times New Roman" w:cs="Times New Roman"/>
                <w:szCs w:val="24"/>
              </w:rPr>
              <w:t>1)</w:t>
            </w:r>
            <w:r w:rsidRPr="00317ABF">
              <w:rPr>
                <w:rFonts w:ascii="Times New Roman" w:hAnsi="Times New Roman" w:cs="Times New Roman"/>
                <w:szCs w:val="24"/>
              </w:rPr>
              <w:tab/>
              <w:t>dany rynek detaliczny nie jest skutecznie konkurencyjny,</w:t>
            </w:r>
          </w:p>
          <w:p w14:paraId="6AAEE565" w14:textId="63E35D61" w:rsidR="001E1112" w:rsidRPr="00317ABF" w:rsidRDefault="001E1112" w:rsidP="00DB3BEC">
            <w:pPr>
              <w:jc w:val="both"/>
              <w:rPr>
                <w:sz w:val="22"/>
                <w:szCs w:val="22"/>
              </w:rPr>
            </w:pPr>
          </w:p>
        </w:tc>
      </w:tr>
      <w:tr w:rsidR="001E1112" w:rsidRPr="00317ABF" w14:paraId="536DFBA5" w14:textId="77777777" w:rsidTr="7753F98D">
        <w:trPr>
          <w:gridAfter w:val="2"/>
          <w:wAfter w:w="175" w:type="dxa"/>
        </w:trPr>
        <w:tc>
          <w:tcPr>
            <w:tcW w:w="704" w:type="dxa"/>
          </w:tcPr>
          <w:p w14:paraId="011C4B19" w14:textId="77777777" w:rsidR="001E1112" w:rsidRPr="00317ABF" w:rsidRDefault="001E1112" w:rsidP="00DB3BEC">
            <w:pPr>
              <w:jc w:val="both"/>
              <w:rPr>
                <w:b/>
                <w:sz w:val="22"/>
                <w:szCs w:val="22"/>
              </w:rPr>
            </w:pPr>
            <w:r w:rsidRPr="00317ABF">
              <w:rPr>
                <w:b/>
                <w:sz w:val="22"/>
                <w:szCs w:val="22"/>
              </w:rPr>
              <w:lastRenderedPageBreak/>
              <w:t>Art. 84</w:t>
            </w:r>
          </w:p>
        </w:tc>
        <w:tc>
          <w:tcPr>
            <w:tcW w:w="4308" w:type="dxa"/>
          </w:tcPr>
          <w:p w14:paraId="2E50A672" w14:textId="77777777" w:rsidR="001E1112" w:rsidRPr="00317ABF" w:rsidRDefault="001E1112" w:rsidP="00DB3BEC">
            <w:pPr>
              <w:spacing w:before="120"/>
              <w:jc w:val="both"/>
              <w:rPr>
                <w:sz w:val="22"/>
                <w:szCs w:val="22"/>
              </w:rPr>
            </w:pPr>
            <w:r w:rsidRPr="00317ABF">
              <w:rPr>
                <w:b/>
                <w:bCs/>
                <w:sz w:val="22"/>
                <w:szCs w:val="22"/>
              </w:rPr>
              <w:t>Przystępna cenowo usługa powszechna</w:t>
            </w:r>
          </w:p>
        </w:tc>
        <w:tc>
          <w:tcPr>
            <w:tcW w:w="986" w:type="dxa"/>
          </w:tcPr>
          <w:p w14:paraId="252F69CB" w14:textId="77777777" w:rsidR="001E1112" w:rsidRPr="00317ABF" w:rsidRDefault="001E1112" w:rsidP="00DB3BEC">
            <w:pPr>
              <w:jc w:val="both"/>
              <w:rPr>
                <w:sz w:val="22"/>
                <w:szCs w:val="22"/>
              </w:rPr>
            </w:pPr>
          </w:p>
        </w:tc>
        <w:tc>
          <w:tcPr>
            <w:tcW w:w="910" w:type="dxa"/>
          </w:tcPr>
          <w:p w14:paraId="76B29B4C" w14:textId="77777777" w:rsidR="001E1112" w:rsidRPr="00317ABF" w:rsidRDefault="001E1112" w:rsidP="00DB3BEC">
            <w:pPr>
              <w:pStyle w:val="Tekstpodstawowy"/>
              <w:rPr>
                <w:b/>
                <w:noProof/>
                <w:sz w:val="22"/>
                <w:szCs w:val="22"/>
              </w:rPr>
            </w:pPr>
          </w:p>
        </w:tc>
        <w:tc>
          <w:tcPr>
            <w:tcW w:w="6814" w:type="dxa"/>
            <w:gridSpan w:val="2"/>
          </w:tcPr>
          <w:p w14:paraId="2E11F6EC" w14:textId="77777777" w:rsidR="001E1112" w:rsidRPr="00317ABF" w:rsidRDefault="001E1112" w:rsidP="00DB3BEC">
            <w:pPr>
              <w:pStyle w:val="Tekstpodstawowy"/>
              <w:rPr>
                <w:sz w:val="22"/>
                <w:szCs w:val="22"/>
              </w:rPr>
            </w:pPr>
          </w:p>
        </w:tc>
      </w:tr>
      <w:tr w:rsidR="001E1112" w:rsidRPr="00317ABF" w14:paraId="03F5A3E1" w14:textId="77777777" w:rsidTr="7753F98D">
        <w:trPr>
          <w:gridAfter w:val="2"/>
          <w:wAfter w:w="175" w:type="dxa"/>
        </w:trPr>
        <w:tc>
          <w:tcPr>
            <w:tcW w:w="704" w:type="dxa"/>
          </w:tcPr>
          <w:p w14:paraId="47579446" w14:textId="77777777" w:rsidR="001E1112" w:rsidRPr="00317ABF" w:rsidRDefault="001E1112" w:rsidP="00DB3BEC">
            <w:pPr>
              <w:jc w:val="both"/>
              <w:rPr>
                <w:sz w:val="22"/>
                <w:szCs w:val="22"/>
              </w:rPr>
            </w:pPr>
            <w:r w:rsidRPr="00317ABF">
              <w:rPr>
                <w:sz w:val="22"/>
                <w:szCs w:val="22"/>
              </w:rPr>
              <w:t>Art. 84 ust. 1</w:t>
            </w:r>
          </w:p>
        </w:tc>
        <w:tc>
          <w:tcPr>
            <w:tcW w:w="4308" w:type="dxa"/>
          </w:tcPr>
          <w:p w14:paraId="7EA6A073" w14:textId="77777777" w:rsidR="001E1112" w:rsidRPr="00317ABF" w:rsidRDefault="001E1112" w:rsidP="00DB3BEC">
            <w:pPr>
              <w:spacing w:before="120"/>
              <w:jc w:val="both"/>
              <w:rPr>
                <w:sz w:val="22"/>
                <w:szCs w:val="22"/>
              </w:rPr>
            </w:pPr>
            <w:r w:rsidRPr="00317ABF">
              <w:rPr>
                <w:sz w:val="22"/>
                <w:szCs w:val="22"/>
              </w:rPr>
              <w:t>1.   Państwa członkowskie zapewniają, aby wszyscy konsumenci na ich terytorium mieli dostęp po przystępnej cenie, w świetle szczególnych uwarunkowań krajowych, do usługi adekwatnego szerokopasmowego dostępu do internetu i do usług łączności głosowej na poziomie jakości określonym na ich terytorium, w tym do łącza umożliwiającego skorzystanie z tych usług, w stałej lokalizacji.</w:t>
            </w:r>
          </w:p>
        </w:tc>
        <w:tc>
          <w:tcPr>
            <w:tcW w:w="986" w:type="dxa"/>
          </w:tcPr>
          <w:p w14:paraId="56E66AF1" w14:textId="6D621935" w:rsidR="001E1112" w:rsidRPr="00317ABF" w:rsidRDefault="001E1112" w:rsidP="00DB3BEC">
            <w:pPr>
              <w:jc w:val="both"/>
              <w:rPr>
                <w:sz w:val="22"/>
                <w:szCs w:val="22"/>
              </w:rPr>
            </w:pPr>
            <w:r w:rsidRPr="00317ABF">
              <w:rPr>
                <w:sz w:val="22"/>
                <w:szCs w:val="22"/>
              </w:rPr>
              <w:t>T</w:t>
            </w:r>
          </w:p>
        </w:tc>
        <w:tc>
          <w:tcPr>
            <w:tcW w:w="910" w:type="dxa"/>
          </w:tcPr>
          <w:p w14:paraId="7782362C" w14:textId="7424E6ED" w:rsidR="001E1112" w:rsidRPr="00317ABF" w:rsidRDefault="001E1112" w:rsidP="00A5525E">
            <w:pPr>
              <w:pStyle w:val="Tekstpodstawowy"/>
              <w:rPr>
                <w:b/>
                <w:noProof/>
                <w:sz w:val="22"/>
                <w:szCs w:val="22"/>
              </w:rPr>
            </w:pPr>
            <w:r w:rsidRPr="00317ABF">
              <w:rPr>
                <w:rStyle w:val="Ppogrubienie"/>
                <w:sz w:val="22"/>
                <w:szCs w:val="22"/>
              </w:rPr>
              <w:t>Art. </w:t>
            </w:r>
            <w:r w:rsidR="00A5525E" w:rsidRPr="00317ABF">
              <w:rPr>
                <w:rStyle w:val="Ppogrubienie"/>
                <w:sz w:val="22"/>
                <w:szCs w:val="22"/>
              </w:rPr>
              <w:t>350 ust. 1</w:t>
            </w:r>
          </w:p>
        </w:tc>
        <w:tc>
          <w:tcPr>
            <w:tcW w:w="6814" w:type="dxa"/>
            <w:gridSpan w:val="2"/>
          </w:tcPr>
          <w:p w14:paraId="1D6195D0" w14:textId="20B8F6F9" w:rsidR="00A5525E" w:rsidRPr="00317ABF" w:rsidRDefault="00A5525E" w:rsidP="00A5525E">
            <w:pPr>
              <w:pStyle w:val="Tekstpodstawowy"/>
              <w:rPr>
                <w:sz w:val="22"/>
                <w:szCs w:val="22"/>
              </w:rPr>
            </w:pPr>
            <w:r w:rsidRPr="00317ABF">
              <w:rPr>
                <w:b/>
                <w:sz w:val="22"/>
                <w:szCs w:val="22"/>
              </w:rPr>
              <w:t>Art. 350.</w:t>
            </w:r>
            <w:r w:rsidRPr="00317ABF">
              <w:rPr>
                <w:sz w:val="22"/>
                <w:szCs w:val="22"/>
              </w:rPr>
              <w:t xml:space="preserve"> 1. Usługę powszechną stanowią usługa adekwatnego szerokopasmowego dostępu do internetu i usługa komunikacji głosowej świadczone z wykorzystaniem dowolnej technologii, w ruchomej publicznej sieci telekomunikacyjnej lub stacjonarnej publicznej sieci telekomunikacyjnej, z zachowaniem dobrej jakości i po przystępnej cenie, dostępne w stałej lokalizacji na terytorium Rzeczypospolitej Polskiej.</w:t>
            </w:r>
          </w:p>
          <w:p w14:paraId="665A678B" w14:textId="46BC03C4" w:rsidR="001E1112" w:rsidRPr="00317ABF" w:rsidRDefault="001E1112" w:rsidP="00DB3BEC">
            <w:pPr>
              <w:pStyle w:val="Tekstpodstawowy"/>
              <w:rPr>
                <w:sz w:val="22"/>
                <w:szCs w:val="22"/>
              </w:rPr>
            </w:pPr>
          </w:p>
        </w:tc>
      </w:tr>
      <w:tr w:rsidR="001E1112" w:rsidRPr="00317ABF" w14:paraId="08244E83" w14:textId="77777777" w:rsidTr="7753F98D">
        <w:trPr>
          <w:gridAfter w:val="2"/>
          <w:wAfter w:w="175" w:type="dxa"/>
        </w:trPr>
        <w:tc>
          <w:tcPr>
            <w:tcW w:w="704" w:type="dxa"/>
          </w:tcPr>
          <w:p w14:paraId="58720EDE" w14:textId="77777777" w:rsidR="001E1112" w:rsidRPr="00317ABF" w:rsidRDefault="001E1112" w:rsidP="00DB3BEC">
            <w:pPr>
              <w:jc w:val="both"/>
              <w:rPr>
                <w:sz w:val="22"/>
                <w:szCs w:val="22"/>
              </w:rPr>
            </w:pPr>
            <w:r w:rsidRPr="00317ABF">
              <w:rPr>
                <w:sz w:val="22"/>
                <w:szCs w:val="22"/>
              </w:rPr>
              <w:t>Art. 84 ust. 2</w:t>
            </w:r>
          </w:p>
        </w:tc>
        <w:tc>
          <w:tcPr>
            <w:tcW w:w="4308" w:type="dxa"/>
          </w:tcPr>
          <w:p w14:paraId="4C0E48AE" w14:textId="77777777" w:rsidR="001E1112" w:rsidRPr="00317ABF" w:rsidRDefault="001E1112" w:rsidP="00DB3BEC">
            <w:pPr>
              <w:spacing w:before="120"/>
              <w:jc w:val="both"/>
              <w:rPr>
                <w:sz w:val="22"/>
                <w:szCs w:val="22"/>
              </w:rPr>
            </w:pPr>
            <w:r w:rsidRPr="00317ABF">
              <w:rPr>
                <w:sz w:val="22"/>
                <w:szCs w:val="22"/>
              </w:rPr>
              <w:t>2.   Ponadto państwa członkowskie mogą też zapewniać przystępność cenową usług, o których mowa w ust. 1, nieświadczonych w stałej lokalizacji, jeżeli uznają to za konieczne do zapewnienia pełnego społecznego i ekonomicznego uczestnictwa konsumentów w życiu społecznym.</w:t>
            </w:r>
          </w:p>
        </w:tc>
        <w:tc>
          <w:tcPr>
            <w:tcW w:w="986" w:type="dxa"/>
          </w:tcPr>
          <w:p w14:paraId="430A24E9" w14:textId="359B5A53" w:rsidR="001E1112" w:rsidRPr="00317ABF" w:rsidRDefault="001E1112" w:rsidP="00DB3BEC">
            <w:pPr>
              <w:jc w:val="both"/>
              <w:rPr>
                <w:sz w:val="22"/>
                <w:szCs w:val="22"/>
              </w:rPr>
            </w:pPr>
            <w:r w:rsidRPr="00317ABF">
              <w:rPr>
                <w:sz w:val="22"/>
                <w:szCs w:val="22"/>
              </w:rPr>
              <w:t>N</w:t>
            </w:r>
          </w:p>
        </w:tc>
        <w:tc>
          <w:tcPr>
            <w:tcW w:w="910" w:type="dxa"/>
          </w:tcPr>
          <w:p w14:paraId="62CE04A6" w14:textId="77777777" w:rsidR="001E1112" w:rsidRPr="00317ABF" w:rsidRDefault="001E1112" w:rsidP="00DB3BEC">
            <w:pPr>
              <w:pStyle w:val="Tekstpodstawowy"/>
              <w:rPr>
                <w:b/>
                <w:noProof/>
                <w:sz w:val="22"/>
                <w:szCs w:val="22"/>
              </w:rPr>
            </w:pPr>
          </w:p>
        </w:tc>
        <w:tc>
          <w:tcPr>
            <w:tcW w:w="6814" w:type="dxa"/>
            <w:gridSpan w:val="2"/>
          </w:tcPr>
          <w:p w14:paraId="21A191BD" w14:textId="23E5037C" w:rsidR="001E1112" w:rsidRPr="00317ABF" w:rsidRDefault="001E1112" w:rsidP="00DB3BEC">
            <w:pPr>
              <w:pStyle w:val="Tekstpodstawowy"/>
              <w:rPr>
                <w:sz w:val="22"/>
                <w:szCs w:val="22"/>
              </w:rPr>
            </w:pPr>
            <w:r w:rsidRPr="00317ABF">
              <w:rPr>
                <w:sz w:val="22"/>
                <w:szCs w:val="22"/>
              </w:rPr>
              <w:t>Fakultatywny przepis. Nie ma obowiązku implementacji</w:t>
            </w:r>
          </w:p>
        </w:tc>
      </w:tr>
      <w:tr w:rsidR="001E1112" w:rsidRPr="00317ABF" w14:paraId="248D6539" w14:textId="77777777" w:rsidTr="7753F98D">
        <w:trPr>
          <w:gridAfter w:val="2"/>
          <w:wAfter w:w="175" w:type="dxa"/>
        </w:trPr>
        <w:tc>
          <w:tcPr>
            <w:tcW w:w="704" w:type="dxa"/>
          </w:tcPr>
          <w:p w14:paraId="02645A21" w14:textId="77777777" w:rsidR="001E1112" w:rsidRPr="00317ABF" w:rsidRDefault="001E1112" w:rsidP="00DB3BEC">
            <w:pPr>
              <w:jc w:val="both"/>
              <w:rPr>
                <w:sz w:val="22"/>
                <w:szCs w:val="22"/>
              </w:rPr>
            </w:pPr>
            <w:r w:rsidRPr="00317ABF">
              <w:rPr>
                <w:sz w:val="22"/>
                <w:szCs w:val="22"/>
              </w:rPr>
              <w:t>Art. 84 ust. 3</w:t>
            </w:r>
          </w:p>
        </w:tc>
        <w:tc>
          <w:tcPr>
            <w:tcW w:w="4308" w:type="dxa"/>
          </w:tcPr>
          <w:p w14:paraId="3FC169D6" w14:textId="77777777" w:rsidR="001E1112" w:rsidRPr="00317ABF" w:rsidRDefault="001E1112" w:rsidP="00DB3BEC">
            <w:pPr>
              <w:spacing w:before="120"/>
              <w:jc w:val="both"/>
              <w:rPr>
                <w:sz w:val="22"/>
                <w:szCs w:val="22"/>
              </w:rPr>
            </w:pPr>
            <w:r w:rsidRPr="00317ABF">
              <w:rPr>
                <w:sz w:val="22"/>
                <w:szCs w:val="22"/>
              </w:rPr>
              <w:t xml:space="preserve">3.   Każde państwo członkowskie, w świetle uwarunkowań krajowych i minimalnej przepustowości łącza, z której korzysta większość konsumentów na terytorium tego państwa członkowskiego, i przy uwzględnieniu sprawozdania BEREC dotyczącego najlepszych praktyk, określa usługę szerokopasmowego dostępu do internetu do celów ust. 1, aby zapewnić przepustowość łącza niezbędną do społecznego i ekonomicznego udziału w życiu społecznym. Usługa adekwatnego szerokopasmowego dostępu do internetu musi być w stanie zapewnić przepustowość łącza niezbędną do umożliwienia przynajmniej korzystania </w:t>
            </w:r>
            <w:r w:rsidRPr="00317ABF">
              <w:rPr>
                <w:sz w:val="22"/>
                <w:szCs w:val="22"/>
              </w:rPr>
              <w:lastRenderedPageBreak/>
              <w:t>z minimalnego zestawu usług określonego w załączniku V.</w:t>
            </w:r>
          </w:p>
          <w:p w14:paraId="3ADCB7B1" w14:textId="77777777" w:rsidR="001E1112" w:rsidRPr="00317ABF" w:rsidRDefault="001E1112" w:rsidP="00DB3BEC">
            <w:pPr>
              <w:spacing w:before="120"/>
              <w:jc w:val="both"/>
              <w:rPr>
                <w:sz w:val="22"/>
                <w:szCs w:val="22"/>
              </w:rPr>
            </w:pPr>
            <w:r w:rsidRPr="00317ABF">
              <w:rPr>
                <w:sz w:val="22"/>
                <w:szCs w:val="22"/>
              </w:rPr>
              <w:t>Do dnia 21 grudnia 2020 r. BEREC sporządza, w celu przyczynienia się do spójnego stosowania niniejszego artykułu, po konsultacji z zainteresowanymi stronami i w ścisłej współpracy z Komisją, uwzględniając dostępne dane Komisji (Eurostatu), sprawozdanie dotyczące najlepszych praktyk państw członkowskich do wspierania usługi adekwatnego szerokopasmowego dostępu do internetu na podstawie akapitu pierwszego. Sprawozdanie to jest aktualizowane regularnie, aby odzwierciedlać postęp technologiczny i zmiany wzorców korzystania przez konsumentów.</w:t>
            </w:r>
          </w:p>
        </w:tc>
        <w:tc>
          <w:tcPr>
            <w:tcW w:w="986" w:type="dxa"/>
          </w:tcPr>
          <w:p w14:paraId="7CA517D0" w14:textId="23C38404" w:rsidR="001E1112" w:rsidRPr="00317ABF" w:rsidRDefault="001E1112" w:rsidP="00DB3BEC">
            <w:pPr>
              <w:jc w:val="both"/>
              <w:rPr>
                <w:sz w:val="22"/>
                <w:szCs w:val="22"/>
              </w:rPr>
            </w:pPr>
            <w:r w:rsidRPr="00317ABF">
              <w:rPr>
                <w:sz w:val="22"/>
                <w:szCs w:val="22"/>
              </w:rPr>
              <w:lastRenderedPageBreak/>
              <w:t>T</w:t>
            </w:r>
          </w:p>
        </w:tc>
        <w:tc>
          <w:tcPr>
            <w:tcW w:w="910" w:type="dxa"/>
          </w:tcPr>
          <w:p w14:paraId="7786F049" w14:textId="5A0DFE72" w:rsidR="001E1112" w:rsidRPr="00317ABF" w:rsidRDefault="001E1112" w:rsidP="00DB3BEC">
            <w:pPr>
              <w:pStyle w:val="Tekstpodstawowy"/>
              <w:rPr>
                <w:b/>
                <w:noProof/>
                <w:sz w:val="22"/>
                <w:szCs w:val="22"/>
              </w:rPr>
            </w:pPr>
            <w:r w:rsidRPr="00317ABF">
              <w:rPr>
                <w:b/>
                <w:noProof/>
                <w:sz w:val="22"/>
                <w:szCs w:val="22"/>
              </w:rPr>
              <w:t xml:space="preserve">Art. </w:t>
            </w:r>
            <w:r w:rsidR="00A5525E" w:rsidRPr="00317ABF">
              <w:rPr>
                <w:b/>
                <w:noProof/>
                <w:sz w:val="22"/>
                <w:szCs w:val="22"/>
              </w:rPr>
              <w:t>351</w:t>
            </w:r>
          </w:p>
        </w:tc>
        <w:tc>
          <w:tcPr>
            <w:tcW w:w="6814" w:type="dxa"/>
            <w:gridSpan w:val="2"/>
          </w:tcPr>
          <w:p w14:paraId="5AB8F002" w14:textId="77777777" w:rsidR="00A5525E" w:rsidRPr="00317ABF" w:rsidRDefault="00A5525E" w:rsidP="00A5525E">
            <w:pPr>
              <w:pStyle w:val="ARTartustawynprozporzdzenia"/>
              <w:spacing w:line="240" w:lineRule="auto"/>
              <w:ind w:firstLine="0"/>
              <w:rPr>
                <w:b/>
                <w:sz w:val="22"/>
                <w:szCs w:val="22"/>
              </w:rPr>
            </w:pPr>
            <w:r w:rsidRPr="00317ABF">
              <w:rPr>
                <w:b/>
                <w:sz w:val="22"/>
                <w:szCs w:val="22"/>
              </w:rPr>
              <w:t xml:space="preserve">Art. 351. </w:t>
            </w:r>
            <w:r w:rsidRPr="00317ABF">
              <w:rPr>
                <w:sz w:val="22"/>
                <w:szCs w:val="22"/>
              </w:rPr>
              <w:t>Minister właściwy do spraw informatyzacji może określić, w drodze rozporządzenia, minimalną wymaganą przepustowość łącza dla usługi adekwatnego szerokopasmowego dostępu do internetu, biorąc pod uwagę konieczność zapewnienia konsumentom udziału w życiu społecznym i gospodarczym poprzez możliwość korzystania z aplikacji, o których mowa w art. 350 ust. 2.</w:t>
            </w:r>
          </w:p>
          <w:p w14:paraId="616B3502" w14:textId="77777777" w:rsidR="001E1112" w:rsidRPr="00317ABF" w:rsidRDefault="001E1112" w:rsidP="00DB3BEC">
            <w:pPr>
              <w:pStyle w:val="Tekstpodstawowy"/>
              <w:rPr>
                <w:sz w:val="22"/>
                <w:szCs w:val="22"/>
              </w:rPr>
            </w:pPr>
          </w:p>
        </w:tc>
      </w:tr>
      <w:tr w:rsidR="001E1112" w:rsidRPr="00317ABF" w14:paraId="0A036054" w14:textId="77777777" w:rsidTr="7753F98D">
        <w:trPr>
          <w:gridAfter w:val="2"/>
          <w:wAfter w:w="175" w:type="dxa"/>
        </w:trPr>
        <w:tc>
          <w:tcPr>
            <w:tcW w:w="704" w:type="dxa"/>
          </w:tcPr>
          <w:p w14:paraId="4DB76D10" w14:textId="77777777" w:rsidR="001E1112" w:rsidRPr="00317ABF" w:rsidRDefault="001E1112" w:rsidP="00DB3BEC">
            <w:pPr>
              <w:jc w:val="both"/>
              <w:rPr>
                <w:sz w:val="22"/>
                <w:szCs w:val="22"/>
              </w:rPr>
            </w:pPr>
            <w:r w:rsidRPr="00317ABF">
              <w:rPr>
                <w:sz w:val="22"/>
                <w:szCs w:val="22"/>
              </w:rPr>
              <w:lastRenderedPageBreak/>
              <w:t>Art. 84 ust. 4</w:t>
            </w:r>
          </w:p>
        </w:tc>
        <w:tc>
          <w:tcPr>
            <w:tcW w:w="4308" w:type="dxa"/>
          </w:tcPr>
          <w:p w14:paraId="75B0997D" w14:textId="77777777" w:rsidR="001E1112" w:rsidRPr="00317ABF" w:rsidRDefault="001E1112" w:rsidP="00DB3BEC">
            <w:pPr>
              <w:spacing w:before="120"/>
              <w:jc w:val="both"/>
              <w:rPr>
                <w:sz w:val="22"/>
                <w:szCs w:val="22"/>
              </w:rPr>
            </w:pPr>
            <w:r w:rsidRPr="00317ABF">
              <w:rPr>
                <w:sz w:val="22"/>
                <w:szCs w:val="22"/>
              </w:rPr>
              <w:t>4.   Na wniosek konsumenta funkcjonalność łącza, o którym mowa w ust. 1 i, w stosownych przypadkach, ust. 2, może zostać ograniczona tak, aby obsługiwało ono połączenia głosowe.</w:t>
            </w:r>
          </w:p>
        </w:tc>
        <w:tc>
          <w:tcPr>
            <w:tcW w:w="986" w:type="dxa"/>
          </w:tcPr>
          <w:p w14:paraId="3381BC4F" w14:textId="753D5BF6" w:rsidR="001E1112" w:rsidRPr="00317ABF" w:rsidRDefault="001E1112" w:rsidP="00DB3BEC">
            <w:pPr>
              <w:jc w:val="both"/>
              <w:rPr>
                <w:sz w:val="22"/>
                <w:szCs w:val="22"/>
              </w:rPr>
            </w:pPr>
            <w:r w:rsidRPr="00317ABF">
              <w:rPr>
                <w:sz w:val="22"/>
                <w:szCs w:val="22"/>
              </w:rPr>
              <w:t>T</w:t>
            </w:r>
          </w:p>
        </w:tc>
        <w:tc>
          <w:tcPr>
            <w:tcW w:w="910" w:type="dxa"/>
          </w:tcPr>
          <w:p w14:paraId="5F0173EA" w14:textId="12032657" w:rsidR="001E1112" w:rsidRPr="00317ABF" w:rsidRDefault="00747696" w:rsidP="00DB3BEC">
            <w:pPr>
              <w:pStyle w:val="Tekstpodstawowy"/>
              <w:rPr>
                <w:b/>
                <w:noProof/>
                <w:sz w:val="22"/>
                <w:szCs w:val="22"/>
              </w:rPr>
            </w:pPr>
            <w:r w:rsidRPr="00317ABF">
              <w:rPr>
                <w:b/>
                <w:noProof/>
                <w:sz w:val="22"/>
                <w:szCs w:val="22"/>
              </w:rPr>
              <w:t>Art. 350 ust. 3</w:t>
            </w:r>
          </w:p>
        </w:tc>
        <w:tc>
          <w:tcPr>
            <w:tcW w:w="6814" w:type="dxa"/>
            <w:gridSpan w:val="2"/>
          </w:tcPr>
          <w:p w14:paraId="78D4D31C" w14:textId="77777777" w:rsidR="00747696" w:rsidRPr="00317ABF" w:rsidRDefault="00747696" w:rsidP="00747696">
            <w:pPr>
              <w:pStyle w:val="Tekstpodstawowy"/>
              <w:rPr>
                <w:b/>
                <w:sz w:val="22"/>
                <w:szCs w:val="22"/>
              </w:rPr>
            </w:pPr>
            <w:r w:rsidRPr="00317ABF">
              <w:rPr>
                <w:b/>
                <w:sz w:val="22"/>
                <w:szCs w:val="22"/>
              </w:rPr>
              <w:t xml:space="preserve">Art. 350. </w:t>
            </w:r>
          </w:p>
          <w:p w14:paraId="594FA8F2" w14:textId="3C0076A8" w:rsidR="00747696" w:rsidRPr="00317ABF" w:rsidRDefault="00747696" w:rsidP="00747696">
            <w:pPr>
              <w:pStyle w:val="Tekstpodstawowy"/>
              <w:rPr>
                <w:bCs/>
                <w:sz w:val="22"/>
                <w:szCs w:val="22"/>
              </w:rPr>
            </w:pPr>
            <w:r w:rsidRPr="00317ABF">
              <w:rPr>
                <w:bCs/>
                <w:sz w:val="22"/>
                <w:szCs w:val="22"/>
              </w:rPr>
              <w:t>3. Konsument może żądać ograniczenia zakresu usług, o których mowa w ust. 1, wyłącznie do usługi komunikacji głosowej. W takim przypadku przedsiębiorca świadczący usługi, o których mowa w ust. 1, nie może żądać opłat innych niż opłaty z tytułu świadczenia usługi komunikacji głosowej. Jeżeli żądanie ograniczenia zakresu usług złożone zostaje w trakcie obowiązywania umowy dostawca usług może dochodzić od konsumenta roszczenia na zasadach określonych w art. 298 ust. 3.</w:t>
            </w:r>
          </w:p>
          <w:p w14:paraId="1F524515" w14:textId="0A7DE320" w:rsidR="001E1112" w:rsidRPr="00317ABF" w:rsidRDefault="001E1112" w:rsidP="00747696">
            <w:pPr>
              <w:pStyle w:val="Tekstpodstawowy"/>
              <w:rPr>
                <w:sz w:val="22"/>
                <w:szCs w:val="22"/>
              </w:rPr>
            </w:pPr>
          </w:p>
        </w:tc>
      </w:tr>
      <w:tr w:rsidR="001E1112" w:rsidRPr="00317ABF" w14:paraId="0598BAA8" w14:textId="77777777" w:rsidTr="7753F98D">
        <w:trPr>
          <w:gridAfter w:val="2"/>
          <w:wAfter w:w="175" w:type="dxa"/>
        </w:trPr>
        <w:tc>
          <w:tcPr>
            <w:tcW w:w="704" w:type="dxa"/>
          </w:tcPr>
          <w:p w14:paraId="74CDE473" w14:textId="17B3CF56" w:rsidR="001E1112" w:rsidRPr="00317ABF" w:rsidRDefault="001E1112" w:rsidP="00DB3BEC">
            <w:pPr>
              <w:jc w:val="both"/>
              <w:rPr>
                <w:sz w:val="22"/>
                <w:szCs w:val="22"/>
              </w:rPr>
            </w:pPr>
            <w:r w:rsidRPr="00317ABF">
              <w:rPr>
                <w:sz w:val="22"/>
                <w:szCs w:val="22"/>
              </w:rPr>
              <w:t>Art. 84 ust. 5</w:t>
            </w:r>
          </w:p>
        </w:tc>
        <w:tc>
          <w:tcPr>
            <w:tcW w:w="4308" w:type="dxa"/>
          </w:tcPr>
          <w:p w14:paraId="5652DB08" w14:textId="77777777" w:rsidR="001E1112" w:rsidRPr="00317ABF" w:rsidRDefault="001E1112" w:rsidP="00DB3BEC">
            <w:pPr>
              <w:spacing w:before="120"/>
              <w:jc w:val="both"/>
              <w:rPr>
                <w:sz w:val="22"/>
                <w:szCs w:val="22"/>
              </w:rPr>
            </w:pPr>
            <w:r w:rsidRPr="00317ABF">
              <w:rPr>
                <w:sz w:val="22"/>
                <w:szCs w:val="22"/>
              </w:rPr>
              <w:t>5.   Państwa członkowskie mogą rozszerzyć zakres stosowania przepisów niniejszego artykułu na użytkowników końcowych, którzy są mikroprzedsiębiorstwami oraz małymi i średnimi przedsiębiorstwami oraz organizacjami non-profit.</w:t>
            </w:r>
          </w:p>
        </w:tc>
        <w:tc>
          <w:tcPr>
            <w:tcW w:w="986" w:type="dxa"/>
          </w:tcPr>
          <w:p w14:paraId="41415F9B" w14:textId="74A1874A" w:rsidR="001E1112" w:rsidRPr="00317ABF" w:rsidRDefault="001E1112" w:rsidP="00DB3BEC">
            <w:pPr>
              <w:jc w:val="both"/>
              <w:rPr>
                <w:sz w:val="22"/>
                <w:szCs w:val="22"/>
              </w:rPr>
            </w:pPr>
            <w:r w:rsidRPr="00317ABF">
              <w:rPr>
                <w:sz w:val="22"/>
                <w:szCs w:val="22"/>
              </w:rPr>
              <w:t>N</w:t>
            </w:r>
          </w:p>
        </w:tc>
        <w:tc>
          <w:tcPr>
            <w:tcW w:w="910" w:type="dxa"/>
          </w:tcPr>
          <w:p w14:paraId="5FA708D8" w14:textId="77777777" w:rsidR="001E1112" w:rsidRPr="00317ABF" w:rsidRDefault="001E1112" w:rsidP="00DB3BEC">
            <w:pPr>
              <w:pStyle w:val="Tekstpodstawowy"/>
              <w:rPr>
                <w:b/>
                <w:noProof/>
                <w:sz w:val="22"/>
                <w:szCs w:val="22"/>
              </w:rPr>
            </w:pPr>
          </w:p>
        </w:tc>
        <w:tc>
          <w:tcPr>
            <w:tcW w:w="6814" w:type="dxa"/>
            <w:gridSpan w:val="2"/>
          </w:tcPr>
          <w:p w14:paraId="6E48D351" w14:textId="136AAFB9" w:rsidR="001E1112" w:rsidRPr="00317ABF" w:rsidRDefault="001E1112" w:rsidP="00DB3BEC">
            <w:pPr>
              <w:pStyle w:val="Tekstpodstawowy"/>
              <w:rPr>
                <w:sz w:val="22"/>
                <w:szCs w:val="22"/>
              </w:rPr>
            </w:pPr>
            <w:r w:rsidRPr="00317ABF">
              <w:rPr>
                <w:sz w:val="22"/>
                <w:szCs w:val="22"/>
              </w:rPr>
              <w:t xml:space="preserve"> Fakultatywny przepis. Nie ma obowiązku implementacji</w:t>
            </w:r>
          </w:p>
        </w:tc>
      </w:tr>
      <w:tr w:rsidR="001E1112" w:rsidRPr="00317ABF" w14:paraId="64C950C4" w14:textId="77777777" w:rsidTr="7753F98D">
        <w:trPr>
          <w:gridAfter w:val="2"/>
          <w:wAfter w:w="175" w:type="dxa"/>
        </w:trPr>
        <w:tc>
          <w:tcPr>
            <w:tcW w:w="704" w:type="dxa"/>
          </w:tcPr>
          <w:p w14:paraId="0ADBFFF3" w14:textId="77777777" w:rsidR="001E1112" w:rsidRPr="00317ABF" w:rsidRDefault="001E1112" w:rsidP="00DB3BEC">
            <w:pPr>
              <w:jc w:val="both"/>
              <w:rPr>
                <w:b/>
                <w:sz w:val="22"/>
                <w:szCs w:val="22"/>
              </w:rPr>
            </w:pPr>
            <w:r w:rsidRPr="00317ABF">
              <w:rPr>
                <w:b/>
                <w:sz w:val="22"/>
                <w:szCs w:val="22"/>
              </w:rPr>
              <w:t>Art. 85</w:t>
            </w:r>
          </w:p>
        </w:tc>
        <w:tc>
          <w:tcPr>
            <w:tcW w:w="4308" w:type="dxa"/>
          </w:tcPr>
          <w:p w14:paraId="733E6F09" w14:textId="77777777" w:rsidR="001E1112" w:rsidRPr="00317ABF" w:rsidRDefault="001E1112" w:rsidP="00DB3BEC">
            <w:pPr>
              <w:spacing w:before="60" w:after="120"/>
              <w:jc w:val="both"/>
              <w:rPr>
                <w:b/>
                <w:bCs/>
                <w:sz w:val="22"/>
                <w:szCs w:val="22"/>
              </w:rPr>
            </w:pPr>
            <w:r w:rsidRPr="00317ABF">
              <w:rPr>
                <w:b/>
                <w:bCs/>
                <w:sz w:val="22"/>
                <w:szCs w:val="22"/>
              </w:rPr>
              <w:t>Świadczenie przystępnej cenowo usługi powszechnej</w:t>
            </w:r>
          </w:p>
        </w:tc>
        <w:tc>
          <w:tcPr>
            <w:tcW w:w="986" w:type="dxa"/>
          </w:tcPr>
          <w:p w14:paraId="3A7B9259" w14:textId="77777777" w:rsidR="001E1112" w:rsidRPr="00317ABF" w:rsidRDefault="001E1112" w:rsidP="00DB3BEC">
            <w:pPr>
              <w:jc w:val="both"/>
              <w:rPr>
                <w:sz w:val="22"/>
                <w:szCs w:val="22"/>
              </w:rPr>
            </w:pPr>
          </w:p>
        </w:tc>
        <w:tc>
          <w:tcPr>
            <w:tcW w:w="910" w:type="dxa"/>
          </w:tcPr>
          <w:p w14:paraId="70CACE5C" w14:textId="77777777" w:rsidR="001E1112" w:rsidRPr="00317ABF" w:rsidRDefault="001E1112" w:rsidP="00DB3BEC">
            <w:pPr>
              <w:pStyle w:val="Tekstpodstawowy"/>
              <w:rPr>
                <w:b/>
                <w:noProof/>
                <w:sz w:val="22"/>
                <w:szCs w:val="22"/>
              </w:rPr>
            </w:pPr>
          </w:p>
        </w:tc>
        <w:tc>
          <w:tcPr>
            <w:tcW w:w="6814" w:type="dxa"/>
            <w:gridSpan w:val="2"/>
          </w:tcPr>
          <w:p w14:paraId="29CCCC98" w14:textId="77777777" w:rsidR="001E1112" w:rsidRPr="00317ABF" w:rsidRDefault="001E1112" w:rsidP="00DB3BEC">
            <w:pPr>
              <w:pStyle w:val="Tekstpodstawowy"/>
              <w:rPr>
                <w:sz w:val="22"/>
                <w:szCs w:val="22"/>
              </w:rPr>
            </w:pPr>
          </w:p>
        </w:tc>
      </w:tr>
      <w:tr w:rsidR="001E1112" w:rsidRPr="00317ABF" w14:paraId="3C37115C" w14:textId="77777777" w:rsidTr="7753F98D">
        <w:trPr>
          <w:gridAfter w:val="2"/>
          <w:wAfter w:w="175" w:type="dxa"/>
        </w:trPr>
        <w:tc>
          <w:tcPr>
            <w:tcW w:w="704" w:type="dxa"/>
          </w:tcPr>
          <w:p w14:paraId="54D6C032" w14:textId="77777777" w:rsidR="001E1112" w:rsidRPr="00317ABF" w:rsidRDefault="001E1112" w:rsidP="00DB3BEC">
            <w:pPr>
              <w:jc w:val="both"/>
              <w:rPr>
                <w:sz w:val="22"/>
                <w:szCs w:val="22"/>
              </w:rPr>
            </w:pPr>
            <w:r w:rsidRPr="00317ABF">
              <w:rPr>
                <w:sz w:val="22"/>
                <w:szCs w:val="22"/>
              </w:rPr>
              <w:t>Art. 85 ust. 1</w:t>
            </w:r>
          </w:p>
        </w:tc>
        <w:tc>
          <w:tcPr>
            <w:tcW w:w="4308" w:type="dxa"/>
          </w:tcPr>
          <w:p w14:paraId="24010808" w14:textId="77777777" w:rsidR="001E1112" w:rsidRPr="00317ABF" w:rsidRDefault="001E1112" w:rsidP="00DB3BEC">
            <w:pPr>
              <w:spacing w:before="120"/>
              <w:jc w:val="both"/>
              <w:rPr>
                <w:sz w:val="22"/>
                <w:szCs w:val="22"/>
              </w:rPr>
            </w:pPr>
            <w:r w:rsidRPr="00317ABF">
              <w:rPr>
                <w:sz w:val="22"/>
                <w:szCs w:val="22"/>
              </w:rPr>
              <w:t xml:space="preserve">1.   Krajowe organy regulacyjne w porozumieniu z innymi właściwymi organami monitorują zmiany i wysokość cen </w:t>
            </w:r>
            <w:r w:rsidRPr="00317ABF">
              <w:rPr>
                <w:sz w:val="22"/>
                <w:szCs w:val="22"/>
              </w:rPr>
              <w:lastRenderedPageBreak/>
              <w:t>detalicznych za dostępne na rynku usługi wskazane w art. 84 ust. 1, w szczególności w porównaniu z cenami krajowymi i krajowymi dochodami konsumentów.</w:t>
            </w:r>
          </w:p>
        </w:tc>
        <w:tc>
          <w:tcPr>
            <w:tcW w:w="986" w:type="dxa"/>
          </w:tcPr>
          <w:p w14:paraId="728E960B" w14:textId="0EC5CC5E" w:rsidR="001E1112" w:rsidRPr="00317ABF" w:rsidRDefault="001E1112" w:rsidP="00DB3BEC">
            <w:pPr>
              <w:jc w:val="both"/>
              <w:rPr>
                <w:sz w:val="22"/>
                <w:szCs w:val="22"/>
              </w:rPr>
            </w:pPr>
            <w:r w:rsidRPr="00317ABF">
              <w:rPr>
                <w:sz w:val="22"/>
                <w:szCs w:val="22"/>
              </w:rPr>
              <w:lastRenderedPageBreak/>
              <w:t>T</w:t>
            </w:r>
          </w:p>
        </w:tc>
        <w:tc>
          <w:tcPr>
            <w:tcW w:w="910" w:type="dxa"/>
          </w:tcPr>
          <w:p w14:paraId="5BCE6DF3" w14:textId="5A1D252F" w:rsidR="001E1112" w:rsidRPr="00317ABF" w:rsidRDefault="00B3382D" w:rsidP="00DB3BEC">
            <w:pPr>
              <w:pStyle w:val="Tekstpodstawowy"/>
              <w:rPr>
                <w:b/>
                <w:noProof/>
                <w:sz w:val="22"/>
                <w:szCs w:val="22"/>
              </w:rPr>
            </w:pPr>
            <w:r w:rsidRPr="00317ABF">
              <w:rPr>
                <w:b/>
                <w:noProof/>
                <w:sz w:val="22"/>
                <w:szCs w:val="22"/>
              </w:rPr>
              <w:t>Art. 353 ust. 1-3</w:t>
            </w:r>
          </w:p>
        </w:tc>
        <w:tc>
          <w:tcPr>
            <w:tcW w:w="6814" w:type="dxa"/>
            <w:gridSpan w:val="2"/>
          </w:tcPr>
          <w:p w14:paraId="01DE59BD" w14:textId="77777777" w:rsidR="00B3382D" w:rsidRPr="00317ABF" w:rsidRDefault="00B3382D" w:rsidP="00B3382D">
            <w:pPr>
              <w:jc w:val="both"/>
              <w:rPr>
                <w:rFonts w:ascii="Times" w:hAnsi="Times" w:cs="Arial"/>
                <w:bCs/>
                <w:sz w:val="22"/>
                <w:szCs w:val="22"/>
              </w:rPr>
            </w:pPr>
            <w:r w:rsidRPr="00317ABF">
              <w:rPr>
                <w:rFonts w:ascii="Times" w:hAnsi="Times" w:cs="Arial"/>
                <w:b/>
                <w:bCs/>
                <w:sz w:val="22"/>
                <w:szCs w:val="22"/>
              </w:rPr>
              <w:t>Art. 353.</w:t>
            </w:r>
            <w:r w:rsidRPr="00317ABF">
              <w:rPr>
                <w:rFonts w:ascii="Times" w:hAnsi="Times" w:cs="Arial"/>
                <w:bCs/>
                <w:sz w:val="22"/>
                <w:szCs w:val="22"/>
              </w:rPr>
              <w:t xml:space="preserve"> 1. Prezes UKE analizuje:</w:t>
            </w:r>
          </w:p>
          <w:p w14:paraId="4A255D62" w14:textId="77777777" w:rsidR="00B3382D" w:rsidRPr="00317ABF" w:rsidRDefault="00B3382D" w:rsidP="00B3382D">
            <w:pPr>
              <w:jc w:val="both"/>
              <w:rPr>
                <w:rFonts w:ascii="Times" w:hAnsi="Times" w:cs="Arial"/>
                <w:bCs/>
                <w:sz w:val="22"/>
                <w:szCs w:val="22"/>
              </w:rPr>
            </w:pPr>
            <w:r w:rsidRPr="00317ABF">
              <w:rPr>
                <w:rFonts w:ascii="Times" w:hAnsi="Times" w:cs="Arial"/>
                <w:bCs/>
                <w:sz w:val="22"/>
                <w:szCs w:val="22"/>
              </w:rPr>
              <w:t>1)</w:t>
            </w:r>
            <w:r w:rsidRPr="00317ABF">
              <w:rPr>
                <w:rFonts w:ascii="Times" w:hAnsi="Times" w:cs="Arial"/>
                <w:bCs/>
                <w:sz w:val="22"/>
                <w:szCs w:val="22"/>
              </w:rPr>
              <w:tab/>
              <w:t>wysokość i zmiany cen detalicznych usług, o których mowa w art. 350 ust. 1, pod względem ich przystępności, z uwzględnieniem cen krajowych oraz dochodów konsumentów;</w:t>
            </w:r>
          </w:p>
          <w:p w14:paraId="167C6702" w14:textId="77777777" w:rsidR="00B3382D" w:rsidRPr="00317ABF" w:rsidRDefault="00B3382D" w:rsidP="00B3382D">
            <w:pPr>
              <w:jc w:val="both"/>
              <w:rPr>
                <w:rFonts w:ascii="Times" w:hAnsi="Times" w:cs="Arial"/>
                <w:bCs/>
                <w:sz w:val="22"/>
                <w:szCs w:val="22"/>
              </w:rPr>
            </w:pPr>
            <w:r w:rsidRPr="00317ABF">
              <w:rPr>
                <w:rFonts w:ascii="Times" w:hAnsi="Times" w:cs="Arial"/>
                <w:bCs/>
                <w:sz w:val="22"/>
                <w:szCs w:val="22"/>
              </w:rPr>
              <w:lastRenderedPageBreak/>
              <w:t>2)</w:t>
            </w:r>
            <w:r w:rsidRPr="00317ABF">
              <w:rPr>
                <w:rFonts w:ascii="Times" w:hAnsi="Times" w:cs="Arial"/>
                <w:bCs/>
                <w:sz w:val="22"/>
                <w:szCs w:val="22"/>
              </w:rPr>
              <w:tab/>
              <w:t>obciążenia administracyjne lub finansowe dla Prezesa UKE lub przedsiębiorców świadczących usługi, o których mowa w art. 350 ust. 1, związane z obowiązkiem oferowania pakietu cenowego na warunkach innych niż zwykłe warunki komercyjne, zwanego dalej „specjalnym pakietem cenowym”.</w:t>
            </w:r>
          </w:p>
          <w:p w14:paraId="3D888042" w14:textId="77777777" w:rsidR="00B3382D" w:rsidRPr="00317ABF" w:rsidRDefault="00B3382D" w:rsidP="00B3382D">
            <w:pPr>
              <w:jc w:val="both"/>
              <w:rPr>
                <w:rFonts w:ascii="Times" w:hAnsi="Times" w:cs="Arial"/>
                <w:bCs/>
                <w:sz w:val="22"/>
                <w:szCs w:val="22"/>
              </w:rPr>
            </w:pPr>
            <w:r w:rsidRPr="00317ABF">
              <w:rPr>
                <w:rFonts w:ascii="Times" w:hAnsi="Times" w:cs="Arial"/>
                <w:bCs/>
                <w:sz w:val="22"/>
                <w:szCs w:val="22"/>
              </w:rPr>
              <w:t>2. Analizę, o której mowa w ust. 1 pkt 2, Prezes UKE przeprowadza w przypadku gdy analiza, o której mowa w ust. 1 pkt 1, wykazała, że ceny detaliczne którejkolwiek z usług, o których mowa w art. 350 ust. 1, uniemożliwiają konsumentom o niskich dochodach lub szczególnych potrzebach społecznych dostęp do tych usług.</w:t>
            </w:r>
          </w:p>
          <w:p w14:paraId="6C1FDF70" w14:textId="3FAF4233" w:rsidR="001E1112" w:rsidRPr="00317ABF" w:rsidRDefault="00B3382D" w:rsidP="00747696">
            <w:pPr>
              <w:jc w:val="both"/>
              <w:rPr>
                <w:rFonts w:ascii="Times" w:hAnsi="Times" w:cs="Arial"/>
                <w:bCs/>
                <w:sz w:val="22"/>
                <w:szCs w:val="22"/>
              </w:rPr>
            </w:pPr>
            <w:r w:rsidRPr="00317ABF">
              <w:rPr>
                <w:rFonts w:ascii="Times" w:hAnsi="Times" w:cs="Arial"/>
                <w:bCs/>
                <w:sz w:val="22"/>
                <w:szCs w:val="22"/>
              </w:rPr>
              <w:t>3. Wyniki analiz, o których mowa w ust. 1, Prezes UKE udostępnia na stronie podmiotowej BIP UKE w celu ich skonsultowania z zainteresowanymi podmiotami. Do konsultacji stosuje się odpowiednio art. 31 ust. 2.</w:t>
            </w:r>
          </w:p>
        </w:tc>
      </w:tr>
      <w:tr w:rsidR="001E1112" w:rsidRPr="00317ABF" w14:paraId="06DC6F56" w14:textId="77777777" w:rsidTr="7753F98D">
        <w:trPr>
          <w:gridAfter w:val="2"/>
          <w:wAfter w:w="175" w:type="dxa"/>
        </w:trPr>
        <w:tc>
          <w:tcPr>
            <w:tcW w:w="704" w:type="dxa"/>
          </w:tcPr>
          <w:p w14:paraId="78C319A7" w14:textId="77777777" w:rsidR="001E1112" w:rsidRPr="00317ABF" w:rsidRDefault="001E1112" w:rsidP="00DB3BEC">
            <w:pPr>
              <w:jc w:val="both"/>
              <w:rPr>
                <w:sz w:val="22"/>
                <w:szCs w:val="22"/>
              </w:rPr>
            </w:pPr>
            <w:r w:rsidRPr="00317ABF">
              <w:rPr>
                <w:sz w:val="22"/>
                <w:szCs w:val="22"/>
              </w:rPr>
              <w:lastRenderedPageBreak/>
              <w:t>Art. 85 ust. 2</w:t>
            </w:r>
          </w:p>
        </w:tc>
        <w:tc>
          <w:tcPr>
            <w:tcW w:w="4308" w:type="dxa"/>
          </w:tcPr>
          <w:p w14:paraId="2BEBB590" w14:textId="77777777" w:rsidR="001E1112" w:rsidRPr="00317ABF" w:rsidRDefault="001E1112" w:rsidP="00DB3BEC">
            <w:pPr>
              <w:spacing w:before="120"/>
              <w:jc w:val="both"/>
              <w:rPr>
                <w:sz w:val="22"/>
                <w:szCs w:val="22"/>
              </w:rPr>
            </w:pPr>
            <w:r w:rsidRPr="00317ABF">
              <w:rPr>
                <w:sz w:val="22"/>
                <w:szCs w:val="22"/>
              </w:rPr>
              <w:t>2.   Jeżeli państwa członkowskie stwierdzą, że w świetle uwarunkowań krajowych ceny detaliczne, o których mowa w art. 84 ust. 1 nie są przystępne, ponieważ uniemożliwiają konsumentom o niskich dochodach lub szczególnych potrzebach społecznych dostęp do tych usług, przyjmują one środki w celu zapewnienia dla takich konsumentów przystępności cenowej usługi adekwatnego szerokopasmowego dostępu do internetu i usług łączności głosowej co najmniej w stałej lokalizacji.</w:t>
            </w:r>
          </w:p>
          <w:p w14:paraId="2AA2577D" w14:textId="77777777" w:rsidR="001E1112" w:rsidRPr="00317ABF" w:rsidRDefault="001E1112" w:rsidP="00DB3BEC">
            <w:pPr>
              <w:spacing w:before="120"/>
              <w:jc w:val="both"/>
              <w:rPr>
                <w:sz w:val="22"/>
                <w:szCs w:val="22"/>
              </w:rPr>
            </w:pPr>
            <w:r w:rsidRPr="00317ABF">
              <w:rPr>
                <w:sz w:val="22"/>
                <w:szCs w:val="22"/>
              </w:rPr>
              <w:t xml:space="preserve">W tym celu państwa członkowskie mogą zapewnić, aby to wsparcie było udzielane takim konsumentom do celów łączności, lub zobowiązać podmioty świadczące takie usługi do zaoferowania tym konsumentom wariantów taryfowych lub pakietów, które różnią się od taryf lub pakietów oferowanych na normalnych warunkach komercyjnych, lub mogą zrealizować oba te działania. W tym celu państwa członkowskie mogą zobowiązać te podmioty do stosowania ujednoliconych taryf, </w:t>
            </w:r>
            <w:r w:rsidRPr="00317ABF">
              <w:rPr>
                <w:sz w:val="22"/>
                <w:szCs w:val="22"/>
              </w:rPr>
              <w:lastRenderedPageBreak/>
              <w:t>w tym uśredniania geograficznego, na całym terytorium.</w:t>
            </w:r>
          </w:p>
          <w:p w14:paraId="55304CEF" w14:textId="77777777" w:rsidR="001E1112" w:rsidRPr="00317ABF" w:rsidRDefault="001E1112" w:rsidP="00DB3BEC">
            <w:pPr>
              <w:spacing w:before="120"/>
              <w:jc w:val="both"/>
              <w:rPr>
                <w:sz w:val="22"/>
                <w:szCs w:val="22"/>
              </w:rPr>
            </w:pPr>
            <w:r w:rsidRPr="00317ABF">
              <w:rPr>
                <w:sz w:val="22"/>
                <w:szCs w:val="22"/>
              </w:rPr>
              <w:t>W wyjątkowych okolicznościach, w szczególności w przypadku gdy nałożenie obowiązków na podstawie akapitu drugiego niniejszego ustępu na wszystkich dostawców skutkowałoby wykazanym nadmiernym obciążeniem administracyjnym lub finansowym dla dostawców, państwo członkowskie może wyjątkowo zdecydować o nałożeniu obowiązku oferowania tych specjalnych opcji taryfowych lub pakietów wyłącznie na wyznaczone przedsiębiorstwa. Art. 86 ma odpowiednio zastosowanie do takich wyznaczeń. W przypadku gdy państwo członkowskie wyznacza przedsiębiorstwa, zapewnia ono, aby wszyscy konsumenci o niskich dochodach lub szczególnych potrzebach społecznych korzystali z wyboru przedsiębiorstw oferujących opcje taryfowe zaspokajające ich potrzeby, chyba że zapewnienie takiego wyboru jest niemożliwe lub stworzyłoby nadmierne dodatkowe obciążenie organizacyjne lub finansowe.</w:t>
            </w:r>
          </w:p>
          <w:p w14:paraId="5AA0A6B9" w14:textId="77777777" w:rsidR="001E1112" w:rsidRPr="00317ABF" w:rsidRDefault="001E1112" w:rsidP="00DB3BEC">
            <w:pPr>
              <w:spacing w:before="120"/>
              <w:jc w:val="both"/>
              <w:rPr>
                <w:sz w:val="22"/>
                <w:szCs w:val="22"/>
              </w:rPr>
            </w:pPr>
            <w:r w:rsidRPr="00317ABF">
              <w:rPr>
                <w:sz w:val="22"/>
                <w:szCs w:val="22"/>
              </w:rPr>
              <w:t>Państwa członkowskie zapewniają, aby konsumentom uprawnionym do tych wariantów taryfowych lub pakietów przysługiwało prawo zawarcia umowy albo z dostawcą usługi, o której mowa w art. 84 ust. 1, albo z przedsiębiorstwem wyznaczonym zgodnie z niniejszym ustępem oraz aby ich numery pozostały dla nich dostępne przez odpowiedni okres i aby nie nastąpiło nieuzasadnione wyłączanie usługi.</w:t>
            </w:r>
          </w:p>
        </w:tc>
        <w:tc>
          <w:tcPr>
            <w:tcW w:w="986" w:type="dxa"/>
          </w:tcPr>
          <w:p w14:paraId="1A3D86B1" w14:textId="6CFA59AE" w:rsidR="001E1112" w:rsidRPr="00317ABF" w:rsidRDefault="001E1112" w:rsidP="00DB3BEC">
            <w:pPr>
              <w:jc w:val="both"/>
              <w:rPr>
                <w:sz w:val="22"/>
                <w:szCs w:val="22"/>
              </w:rPr>
            </w:pPr>
            <w:r w:rsidRPr="00317ABF">
              <w:rPr>
                <w:sz w:val="22"/>
                <w:szCs w:val="22"/>
              </w:rPr>
              <w:lastRenderedPageBreak/>
              <w:t>T</w:t>
            </w:r>
          </w:p>
        </w:tc>
        <w:tc>
          <w:tcPr>
            <w:tcW w:w="910" w:type="dxa"/>
          </w:tcPr>
          <w:p w14:paraId="0191B3CF" w14:textId="3D9C0A79" w:rsidR="001E1112" w:rsidRPr="00317ABF" w:rsidRDefault="001E1112" w:rsidP="00087C98">
            <w:pPr>
              <w:pStyle w:val="Tekstpodstawowy"/>
              <w:rPr>
                <w:b/>
                <w:noProof/>
                <w:sz w:val="22"/>
                <w:szCs w:val="22"/>
              </w:rPr>
            </w:pPr>
            <w:r w:rsidRPr="00317ABF">
              <w:rPr>
                <w:b/>
                <w:noProof/>
                <w:sz w:val="22"/>
                <w:szCs w:val="22"/>
              </w:rPr>
              <w:t xml:space="preserve">Art. </w:t>
            </w:r>
            <w:r w:rsidR="00087C98" w:rsidRPr="00317ABF">
              <w:rPr>
                <w:b/>
                <w:noProof/>
                <w:sz w:val="22"/>
                <w:szCs w:val="22"/>
              </w:rPr>
              <w:t>353</w:t>
            </w:r>
            <w:r w:rsidR="00B3382D" w:rsidRPr="00317ABF">
              <w:rPr>
                <w:b/>
                <w:noProof/>
                <w:sz w:val="22"/>
                <w:szCs w:val="22"/>
              </w:rPr>
              <w:t xml:space="preserve"> ust. 4-5</w:t>
            </w:r>
            <w:r w:rsidR="00B66A08" w:rsidRPr="00317ABF">
              <w:rPr>
                <w:b/>
                <w:noProof/>
                <w:sz w:val="22"/>
                <w:szCs w:val="22"/>
              </w:rPr>
              <w:t>,</w:t>
            </w:r>
            <w:r w:rsidR="007F3AF5" w:rsidRPr="00317ABF">
              <w:rPr>
                <w:b/>
                <w:noProof/>
                <w:sz w:val="22"/>
                <w:szCs w:val="22"/>
              </w:rPr>
              <w:t xml:space="preserve"> 360, 361</w:t>
            </w:r>
            <w:r w:rsidR="00B66A08" w:rsidRPr="00317ABF">
              <w:rPr>
                <w:b/>
                <w:noProof/>
                <w:sz w:val="22"/>
                <w:szCs w:val="22"/>
              </w:rPr>
              <w:t xml:space="preserve"> 362</w:t>
            </w:r>
          </w:p>
        </w:tc>
        <w:tc>
          <w:tcPr>
            <w:tcW w:w="6814" w:type="dxa"/>
            <w:gridSpan w:val="2"/>
          </w:tcPr>
          <w:p w14:paraId="7FE87106" w14:textId="0B89F662" w:rsidR="00087C98" w:rsidRPr="00317ABF" w:rsidRDefault="00087C98" w:rsidP="00B3382D">
            <w:pPr>
              <w:pStyle w:val="Tekstpodstawowy"/>
              <w:rPr>
                <w:rFonts w:ascii="Times" w:hAnsi="Times" w:cs="Arial"/>
                <w:bCs/>
                <w:sz w:val="22"/>
                <w:szCs w:val="22"/>
              </w:rPr>
            </w:pPr>
            <w:r w:rsidRPr="00317ABF">
              <w:rPr>
                <w:rFonts w:ascii="Times" w:eastAsiaTheme="minorEastAsia" w:hAnsi="Times" w:cs="Times"/>
                <w:b/>
                <w:sz w:val="24"/>
              </w:rPr>
              <w:t xml:space="preserve"> </w:t>
            </w:r>
            <w:r w:rsidRPr="00317ABF">
              <w:rPr>
                <w:rFonts w:ascii="Times" w:hAnsi="Times" w:cs="Arial"/>
                <w:b/>
                <w:bCs/>
                <w:sz w:val="22"/>
                <w:szCs w:val="22"/>
              </w:rPr>
              <w:t>Art. 353.</w:t>
            </w:r>
          </w:p>
          <w:p w14:paraId="1344DFD4" w14:textId="77777777" w:rsidR="00087C98" w:rsidRPr="00317ABF" w:rsidRDefault="00087C98" w:rsidP="00087C98">
            <w:pPr>
              <w:pStyle w:val="Tekstpodstawowy"/>
              <w:rPr>
                <w:rFonts w:ascii="Times" w:hAnsi="Times" w:cs="Arial"/>
                <w:bCs/>
                <w:sz w:val="22"/>
                <w:szCs w:val="22"/>
              </w:rPr>
            </w:pPr>
            <w:r w:rsidRPr="00317ABF">
              <w:rPr>
                <w:rFonts w:ascii="Times" w:hAnsi="Times" w:cs="Arial"/>
                <w:bCs/>
                <w:sz w:val="22"/>
                <w:szCs w:val="22"/>
              </w:rPr>
              <w:t>4. W przypadku, gdy wyniki analiz lub konsultacji, o których mowa w ust. 3, wykazały, że:</w:t>
            </w:r>
          </w:p>
          <w:p w14:paraId="544B8A2D" w14:textId="77777777" w:rsidR="00087C98" w:rsidRPr="00317ABF" w:rsidRDefault="00087C98" w:rsidP="00087C98">
            <w:pPr>
              <w:pStyle w:val="Tekstpodstawowy"/>
              <w:rPr>
                <w:rFonts w:ascii="Times" w:hAnsi="Times" w:cs="Arial"/>
                <w:bCs/>
                <w:sz w:val="22"/>
                <w:szCs w:val="22"/>
              </w:rPr>
            </w:pPr>
            <w:r w:rsidRPr="00317ABF">
              <w:rPr>
                <w:rFonts w:ascii="Times" w:hAnsi="Times" w:cs="Arial"/>
                <w:bCs/>
                <w:sz w:val="22"/>
                <w:szCs w:val="22"/>
              </w:rPr>
              <w:t>1)</w:t>
            </w:r>
            <w:r w:rsidRPr="00317ABF">
              <w:rPr>
                <w:rFonts w:ascii="Times" w:hAnsi="Times" w:cs="Arial"/>
                <w:bCs/>
                <w:sz w:val="22"/>
                <w:szCs w:val="22"/>
              </w:rPr>
              <w:tab/>
              <w:t>ceny detaliczne którejkolwiek z usług, o których mowa w art. 350 ust. 1, uniemożliwiają konsumentom o niskich dochodach lub szczególnych potrzebach społecznych dostęp do tych usług;</w:t>
            </w:r>
          </w:p>
          <w:p w14:paraId="7100C918" w14:textId="77777777" w:rsidR="00087C98" w:rsidRPr="00317ABF" w:rsidRDefault="00087C98" w:rsidP="00087C98">
            <w:pPr>
              <w:pStyle w:val="Tekstpodstawowy"/>
              <w:rPr>
                <w:rFonts w:ascii="Times" w:hAnsi="Times" w:cs="Arial"/>
                <w:bCs/>
                <w:sz w:val="22"/>
                <w:szCs w:val="22"/>
              </w:rPr>
            </w:pPr>
            <w:r w:rsidRPr="00317ABF">
              <w:rPr>
                <w:rFonts w:ascii="Times" w:hAnsi="Times" w:cs="Arial"/>
                <w:bCs/>
                <w:sz w:val="22"/>
                <w:szCs w:val="22"/>
              </w:rPr>
              <w:t>2)</w:t>
            </w:r>
            <w:r w:rsidRPr="00317ABF">
              <w:rPr>
                <w:rFonts w:ascii="Times" w:hAnsi="Times" w:cs="Arial"/>
                <w:bCs/>
                <w:sz w:val="22"/>
                <w:szCs w:val="22"/>
              </w:rPr>
              <w:tab/>
              <w:t>nałożenie obowiązku oferowania specjalnego pakietu cenowego na wszystkich przedsiębiorców świadczących usługi, o których mowa w art. 350 ust. 1, nie będzie skutkować nadmiernym obciążeniem administracyjnym lub finansowym dla Prezesa UKE lub dla tych przedsiębiorców</w:t>
            </w:r>
          </w:p>
          <w:p w14:paraId="462F9B60" w14:textId="77777777" w:rsidR="00087C98" w:rsidRPr="00317ABF" w:rsidRDefault="00087C98" w:rsidP="00087C98">
            <w:pPr>
              <w:pStyle w:val="Tekstpodstawowy"/>
              <w:rPr>
                <w:rFonts w:ascii="Times" w:hAnsi="Times" w:cs="Arial"/>
                <w:bCs/>
                <w:sz w:val="22"/>
                <w:szCs w:val="22"/>
              </w:rPr>
            </w:pPr>
            <w:r w:rsidRPr="00317ABF">
              <w:rPr>
                <w:rFonts w:ascii="Times" w:hAnsi="Times" w:cs="Arial"/>
                <w:bCs/>
                <w:sz w:val="22"/>
                <w:szCs w:val="22"/>
              </w:rPr>
              <w:t>- Prezes UKE w celu zapewnienia tym konsumentom dostępu i korzystania z usług, o których mowa w art. 350 ust. 1, nakłada, w drodze decyzji, na przedsiębiorców telekomunikacyjnych świadczących usługi, o których mowa w art. 350 ust. 1, obowiązek oferowania specjalnego pakietu cenowego.</w:t>
            </w:r>
          </w:p>
          <w:p w14:paraId="2B687CE1" w14:textId="77777777" w:rsidR="00087C98" w:rsidRPr="00317ABF" w:rsidRDefault="00087C98" w:rsidP="00087C98">
            <w:pPr>
              <w:pStyle w:val="Tekstpodstawowy"/>
              <w:rPr>
                <w:rFonts w:ascii="Times" w:hAnsi="Times" w:cs="Arial"/>
                <w:bCs/>
                <w:sz w:val="22"/>
                <w:szCs w:val="22"/>
              </w:rPr>
            </w:pPr>
            <w:r w:rsidRPr="00317ABF">
              <w:rPr>
                <w:rFonts w:ascii="Times" w:hAnsi="Times" w:cs="Arial"/>
                <w:bCs/>
                <w:sz w:val="22"/>
                <w:szCs w:val="22"/>
              </w:rPr>
              <w:t>5. W przypadku, gdy wyniki analiz, o których mowa w ust. 1, lub konsultacji, o których mowa w ust. 3, wykazały, że ceny detaliczne którejkolwiek z usług, o których mowa w art. 350 ust. 1, uniemożliwiają konsumentom o niskich dochodach lub szczególnych potrzebach społecznych dostęp do tych usług oraz nałożenie obowiązku oferowania specjalnego pakietu cenowego, w sposób, o którym mowa w ust. 4, skutkowałoby nadmiernym obciążeniem administracyjnym lub finansowym dla Prezesa UKE lub przedsiębiorców, o których mowa w ust. 4, Prezes UKE przeprowadza konkurs, o którym mowa w art. 355.</w:t>
            </w:r>
          </w:p>
          <w:p w14:paraId="37CC4B29" w14:textId="77777777" w:rsidR="00961B13" w:rsidRPr="00317ABF" w:rsidRDefault="00961B13" w:rsidP="00087C98">
            <w:pPr>
              <w:pStyle w:val="Tekstpodstawowy"/>
              <w:rPr>
                <w:rFonts w:ascii="Times" w:hAnsi="Times" w:cs="Arial"/>
                <w:bCs/>
                <w:sz w:val="22"/>
                <w:szCs w:val="22"/>
              </w:rPr>
            </w:pPr>
          </w:p>
          <w:p w14:paraId="05E47E1C" w14:textId="47128133" w:rsidR="00961B13" w:rsidRPr="00317ABF" w:rsidRDefault="00961B13" w:rsidP="00961B13">
            <w:pPr>
              <w:pStyle w:val="Tekstpodstawowy"/>
              <w:rPr>
                <w:rFonts w:ascii="Times" w:hAnsi="Times" w:cs="Arial"/>
                <w:bCs/>
                <w:sz w:val="22"/>
                <w:szCs w:val="22"/>
              </w:rPr>
            </w:pPr>
            <w:r w:rsidRPr="00317ABF">
              <w:rPr>
                <w:rFonts w:ascii="Times" w:eastAsiaTheme="minorEastAsia" w:hAnsi="Times" w:cs="Times"/>
                <w:b/>
                <w:sz w:val="24"/>
              </w:rPr>
              <w:t xml:space="preserve"> </w:t>
            </w:r>
            <w:r w:rsidRPr="00317ABF">
              <w:rPr>
                <w:rFonts w:ascii="Times" w:hAnsi="Times" w:cs="Arial"/>
                <w:b/>
                <w:bCs/>
                <w:sz w:val="22"/>
                <w:szCs w:val="22"/>
              </w:rPr>
              <w:t>Art. 360.</w:t>
            </w:r>
            <w:r w:rsidRPr="00317ABF">
              <w:rPr>
                <w:rFonts w:ascii="Times" w:hAnsi="Times" w:cs="Arial"/>
                <w:bCs/>
                <w:sz w:val="22"/>
                <w:szCs w:val="22"/>
              </w:rPr>
              <w:t xml:space="preserve"> Przedsiębiorca wyznaczony do realizacji obowiązku świadczenia usługi jest obowiązany do zawarcia umowy o jej świadczenie, chyba że użytkownik końcowy nie spełni warunków świadczenia tej usługi.</w:t>
            </w:r>
          </w:p>
          <w:p w14:paraId="1C37D50D" w14:textId="77777777" w:rsidR="00961B13" w:rsidRPr="00317ABF" w:rsidRDefault="00961B13" w:rsidP="00961B13">
            <w:pPr>
              <w:pStyle w:val="Tekstpodstawowy"/>
              <w:rPr>
                <w:rFonts w:ascii="Times" w:hAnsi="Times" w:cs="Arial"/>
                <w:bCs/>
                <w:sz w:val="22"/>
                <w:szCs w:val="22"/>
              </w:rPr>
            </w:pPr>
          </w:p>
          <w:p w14:paraId="3464D2C0" w14:textId="44ACE4A4" w:rsidR="00961B13" w:rsidRPr="00317ABF" w:rsidRDefault="00961B13" w:rsidP="00087C98">
            <w:pPr>
              <w:pStyle w:val="Tekstpodstawowy"/>
              <w:rPr>
                <w:rFonts w:ascii="Times" w:hAnsi="Times" w:cs="Arial"/>
                <w:bCs/>
                <w:sz w:val="22"/>
                <w:szCs w:val="22"/>
              </w:rPr>
            </w:pPr>
            <w:r w:rsidRPr="00317ABF">
              <w:rPr>
                <w:rFonts w:ascii="Times" w:hAnsi="Times" w:cs="Arial"/>
                <w:b/>
                <w:bCs/>
                <w:sz w:val="22"/>
                <w:szCs w:val="22"/>
              </w:rPr>
              <w:t>Art. 361.</w:t>
            </w:r>
            <w:r w:rsidRPr="00317ABF">
              <w:rPr>
                <w:rFonts w:ascii="Times" w:hAnsi="Times" w:cs="Arial"/>
                <w:bCs/>
                <w:sz w:val="22"/>
                <w:szCs w:val="22"/>
              </w:rPr>
              <w:t xml:space="preserve"> Przedsiębiorca wyznaczony do realizacji obowiązku świadczenia usługi zawiera, w terminie 30 dni od dnia złożenia wniosku o zawarcie umowy, o której mowa w art. 360, w której określa w szczególności termin rozpoczęcia świadczenia usługi.</w:t>
            </w:r>
          </w:p>
          <w:p w14:paraId="264AA54A" w14:textId="77777777" w:rsidR="007F3AF5" w:rsidRPr="00317ABF" w:rsidRDefault="007F3AF5" w:rsidP="00087C98">
            <w:pPr>
              <w:pStyle w:val="Tekstpodstawowy"/>
              <w:rPr>
                <w:rFonts w:ascii="Times" w:hAnsi="Times" w:cs="Arial"/>
                <w:bCs/>
                <w:sz w:val="22"/>
                <w:szCs w:val="22"/>
              </w:rPr>
            </w:pPr>
          </w:p>
          <w:p w14:paraId="5F62353D" w14:textId="77777777" w:rsidR="00B66A08" w:rsidRPr="00317ABF" w:rsidRDefault="00B66A08" w:rsidP="00B66A08">
            <w:pPr>
              <w:pStyle w:val="USTustnpkodeksu"/>
              <w:spacing w:line="240" w:lineRule="auto"/>
              <w:ind w:firstLine="0"/>
              <w:rPr>
                <w:sz w:val="22"/>
                <w:szCs w:val="22"/>
              </w:rPr>
            </w:pPr>
            <w:r w:rsidRPr="00317ABF">
              <w:rPr>
                <w:b/>
                <w:sz w:val="22"/>
                <w:szCs w:val="22"/>
              </w:rPr>
              <w:t>Art. 362.</w:t>
            </w:r>
            <w:r w:rsidRPr="00317ABF">
              <w:rPr>
                <w:sz w:val="22"/>
                <w:szCs w:val="22"/>
              </w:rPr>
              <w:t xml:space="preserve"> 1. Przedsiębiorca zobowiązany do oferowania specjalnego pakietu cenowego jest obowiązany do zawarcia umowy o świadczenie usług, na które oferowany jest specjalny pakiet cenowy, po cenach określonych w tym pakiecie, o ile konsument spełnia warunki świadczenia usług oraz warunki świadczenia specjalnego pakietu cenowego.</w:t>
            </w:r>
          </w:p>
          <w:p w14:paraId="55A142E5" w14:textId="77777777" w:rsidR="00B66A08" w:rsidRPr="00317ABF" w:rsidRDefault="00B66A08" w:rsidP="00B66A08">
            <w:pPr>
              <w:pStyle w:val="USTustnpkodeksu"/>
              <w:spacing w:line="240" w:lineRule="auto"/>
              <w:ind w:firstLine="0"/>
              <w:rPr>
                <w:sz w:val="22"/>
                <w:szCs w:val="22"/>
              </w:rPr>
            </w:pPr>
            <w:r w:rsidRPr="00317ABF">
              <w:rPr>
                <w:sz w:val="22"/>
                <w:szCs w:val="22"/>
              </w:rPr>
              <w:t>2. W przypadku wyboru przez konsumenta specjalnego pakietu cenowego, przedsiębiorca zobowiązany do oferowania takiego pakietu może żądać wglądu do dokumentów potwierdzających niskie dochody lub szczególne potrzeby społeczne konsumenta.</w:t>
            </w:r>
          </w:p>
          <w:p w14:paraId="26902DF3" w14:textId="544B41AB" w:rsidR="00B66A08" w:rsidRPr="00317ABF" w:rsidRDefault="00B66A08" w:rsidP="00B66A08">
            <w:pPr>
              <w:pStyle w:val="USTustnpkodeksu"/>
              <w:spacing w:line="240" w:lineRule="auto"/>
              <w:ind w:firstLine="0"/>
              <w:rPr>
                <w:sz w:val="22"/>
                <w:szCs w:val="22"/>
              </w:rPr>
            </w:pPr>
            <w:r w:rsidRPr="00317ABF">
              <w:rPr>
                <w:sz w:val="22"/>
                <w:szCs w:val="22"/>
              </w:rPr>
              <w:t>3. Przedsiębiorca zobowiązany do oferowania specjalnego pakietu cenowego, zawiera w terminie 30 dni od dnia złożenia wniosku o zawarcie</w:t>
            </w:r>
            <w:r w:rsidR="007F3AF5" w:rsidRPr="00317ABF">
              <w:rPr>
                <w:sz w:val="22"/>
                <w:szCs w:val="22"/>
              </w:rPr>
              <w:t xml:space="preserve"> </w:t>
            </w:r>
            <w:r w:rsidRPr="00317ABF">
              <w:rPr>
                <w:sz w:val="22"/>
                <w:szCs w:val="22"/>
              </w:rPr>
              <w:t>umowy, o której mowa w ust. 1, umowę, w której określa w szczególności termin rozpoczęcia świadczenia usługi.</w:t>
            </w:r>
            <w:bookmarkStart w:id="140" w:name="mip44758158"/>
            <w:bookmarkStart w:id="141" w:name="mip44758159"/>
            <w:bookmarkStart w:id="142" w:name="mip44758160"/>
            <w:bookmarkStart w:id="143" w:name="mip44758161"/>
            <w:bookmarkStart w:id="144" w:name="mip44758162"/>
            <w:bookmarkEnd w:id="140"/>
            <w:bookmarkEnd w:id="141"/>
            <w:bookmarkEnd w:id="142"/>
            <w:bookmarkEnd w:id="143"/>
            <w:bookmarkEnd w:id="144"/>
          </w:p>
          <w:p w14:paraId="6B808A33" w14:textId="77777777" w:rsidR="001E1112" w:rsidRPr="00317ABF" w:rsidRDefault="001E1112" w:rsidP="00087C98">
            <w:pPr>
              <w:pStyle w:val="USTustnpkodeksu"/>
              <w:spacing w:line="240" w:lineRule="auto"/>
              <w:ind w:firstLine="0"/>
              <w:rPr>
                <w:sz w:val="22"/>
                <w:szCs w:val="22"/>
              </w:rPr>
            </w:pPr>
          </w:p>
        </w:tc>
      </w:tr>
      <w:tr w:rsidR="001E1112" w:rsidRPr="00317ABF" w14:paraId="5A5FA377" w14:textId="77777777" w:rsidTr="7753F98D">
        <w:trPr>
          <w:gridAfter w:val="2"/>
          <w:wAfter w:w="175" w:type="dxa"/>
        </w:trPr>
        <w:tc>
          <w:tcPr>
            <w:tcW w:w="704" w:type="dxa"/>
          </w:tcPr>
          <w:p w14:paraId="4FB19299" w14:textId="77777777" w:rsidR="001E1112" w:rsidRPr="00317ABF" w:rsidRDefault="001E1112" w:rsidP="00DB3BEC">
            <w:pPr>
              <w:jc w:val="both"/>
              <w:rPr>
                <w:sz w:val="22"/>
                <w:szCs w:val="22"/>
              </w:rPr>
            </w:pPr>
            <w:r w:rsidRPr="00317ABF">
              <w:rPr>
                <w:sz w:val="22"/>
                <w:szCs w:val="22"/>
              </w:rPr>
              <w:lastRenderedPageBreak/>
              <w:t>Art. 85 ust. 3</w:t>
            </w:r>
          </w:p>
        </w:tc>
        <w:tc>
          <w:tcPr>
            <w:tcW w:w="4308" w:type="dxa"/>
          </w:tcPr>
          <w:p w14:paraId="5DB6958D" w14:textId="77777777" w:rsidR="001E1112" w:rsidRPr="00317ABF" w:rsidRDefault="001E1112" w:rsidP="00DB3BEC">
            <w:pPr>
              <w:spacing w:before="120"/>
              <w:jc w:val="both"/>
              <w:rPr>
                <w:sz w:val="22"/>
                <w:szCs w:val="22"/>
              </w:rPr>
            </w:pPr>
            <w:r w:rsidRPr="00317ABF">
              <w:rPr>
                <w:sz w:val="22"/>
                <w:szCs w:val="22"/>
              </w:rPr>
              <w:t xml:space="preserve">3.   Państwa członkowskie zapewniają, aby przedsiębiorstwa, które oferują warianty taryfowe lub pakiety konsumentom o niskich </w:t>
            </w:r>
            <w:r w:rsidRPr="00317ABF">
              <w:rPr>
                <w:sz w:val="22"/>
                <w:szCs w:val="22"/>
              </w:rPr>
              <w:lastRenderedPageBreak/>
              <w:t>dochodach lub szczególnych potrzebach społecznych na podstawie ust. 2, informowały krajowe organy regulacyjne i inne właściwe organy o szczegółowych elementach tych ofert. Krajowe organy regulacyjne w porozumieniu z innymi właściwymi organami zapewniają, aby warunki, na jakich przedsiębiorstwa oferują warianty taryfowe lub pakiety na podstawie ust. 2, były w pełni przejrzyste oraz były publikowane i stosowane zgodnie z zasadą niedyskryminacji. Krajowe organy regulacyjne w porozumieniu z innymi właściwymi organami mogą zażądać modyfikacji lub wycofania takich planów taryfowych lub pakietów.</w:t>
            </w:r>
          </w:p>
        </w:tc>
        <w:tc>
          <w:tcPr>
            <w:tcW w:w="986" w:type="dxa"/>
          </w:tcPr>
          <w:p w14:paraId="3B3A9020" w14:textId="5BAB4297" w:rsidR="001E1112" w:rsidRPr="00317ABF" w:rsidRDefault="001E1112" w:rsidP="00DB3BEC">
            <w:pPr>
              <w:jc w:val="both"/>
              <w:rPr>
                <w:sz w:val="22"/>
                <w:szCs w:val="22"/>
              </w:rPr>
            </w:pPr>
            <w:r w:rsidRPr="00317ABF">
              <w:rPr>
                <w:sz w:val="22"/>
                <w:szCs w:val="22"/>
              </w:rPr>
              <w:lastRenderedPageBreak/>
              <w:t>T</w:t>
            </w:r>
          </w:p>
        </w:tc>
        <w:tc>
          <w:tcPr>
            <w:tcW w:w="910" w:type="dxa"/>
          </w:tcPr>
          <w:p w14:paraId="5118C3B5" w14:textId="5A4D0307" w:rsidR="001E1112" w:rsidRPr="00317ABF" w:rsidRDefault="00295321" w:rsidP="00DB3BEC">
            <w:pPr>
              <w:pStyle w:val="Tekstpodstawowy"/>
              <w:rPr>
                <w:b/>
                <w:noProof/>
                <w:sz w:val="22"/>
                <w:szCs w:val="22"/>
              </w:rPr>
            </w:pPr>
            <w:r w:rsidRPr="00317ABF">
              <w:rPr>
                <w:b/>
                <w:noProof/>
                <w:sz w:val="22"/>
                <w:szCs w:val="22"/>
              </w:rPr>
              <w:t>Art. 359</w:t>
            </w:r>
          </w:p>
        </w:tc>
        <w:tc>
          <w:tcPr>
            <w:tcW w:w="6814" w:type="dxa"/>
            <w:gridSpan w:val="2"/>
          </w:tcPr>
          <w:p w14:paraId="101C2516" w14:textId="2CA123A8" w:rsidR="00295321" w:rsidRPr="00317ABF" w:rsidRDefault="00295321" w:rsidP="00295321">
            <w:pPr>
              <w:pStyle w:val="Tekstpodstawowy"/>
              <w:rPr>
                <w:rFonts w:ascii="Times" w:hAnsi="Times" w:cs="Arial"/>
                <w:sz w:val="22"/>
                <w:szCs w:val="22"/>
              </w:rPr>
            </w:pPr>
            <w:r w:rsidRPr="00317ABF">
              <w:rPr>
                <w:rFonts w:ascii="Times" w:eastAsiaTheme="minorEastAsia" w:hAnsi="Times" w:cs="Times"/>
                <w:b/>
                <w:sz w:val="24"/>
              </w:rPr>
              <w:t xml:space="preserve"> </w:t>
            </w:r>
            <w:r w:rsidRPr="00317ABF">
              <w:rPr>
                <w:rFonts w:ascii="Times" w:hAnsi="Times" w:cs="Arial"/>
                <w:b/>
                <w:sz w:val="22"/>
                <w:szCs w:val="22"/>
              </w:rPr>
              <w:t>Art. 359.</w:t>
            </w:r>
            <w:r w:rsidRPr="00317ABF">
              <w:rPr>
                <w:rFonts w:ascii="Times" w:hAnsi="Times" w:cs="Arial"/>
                <w:sz w:val="22"/>
                <w:szCs w:val="22"/>
              </w:rPr>
              <w:t xml:space="preserve"> 1. Przedsiębiorca, na którego nałożono obowiązek oferowania specjalnego pakietu cenowego lub obowiązek świadczenia usługi jest obowiązany do przekazania Prezesowi UKE informacji o wejściu w życie informacji przedumownych dotyczących:</w:t>
            </w:r>
          </w:p>
          <w:p w14:paraId="22C77BA2" w14:textId="77777777" w:rsidR="00295321" w:rsidRPr="00317ABF" w:rsidRDefault="00295321" w:rsidP="00295321">
            <w:pPr>
              <w:pStyle w:val="Tekstpodstawowy"/>
              <w:rPr>
                <w:rFonts w:ascii="Times" w:hAnsi="Times" w:cs="Arial"/>
                <w:bCs/>
                <w:sz w:val="22"/>
                <w:szCs w:val="22"/>
              </w:rPr>
            </w:pPr>
            <w:r w:rsidRPr="00317ABF">
              <w:rPr>
                <w:rFonts w:ascii="Times" w:hAnsi="Times" w:cs="Arial"/>
                <w:bCs/>
                <w:sz w:val="22"/>
                <w:szCs w:val="22"/>
              </w:rPr>
              <w:lastRenderedPageBreak/>
              <w:t xml:space="preserve">1) cen i opłat </w:t>
            </w:r>
            <w:r w:rsidRPr="00317ABF">
              <w:rPr>
                <w:rFonts w:ascii="Times" w:hAnsi="Times" w:cs="Arial"/>
                <w:bCs/>
                <w:sz w:val="22"/>
                <w:szCs w:val="22"/>
              </w:rPr>
              <w:tab/>
              <w:t>wynikających ze specjalnego pakietu cenowego i warunków świadczenia tego pakietu,</w:t>
            </w:r>
          </w:p>
          <w:p w14:paraId="59DEC9FF" w14:textId="77777777" w:rsidR="00295321" w:rsidRPr="00317ABF" w:rsidRDefault="00295321" w:rsidP="00295321">
            <w:pPr>
              <w:pStyle w:val="Tekstpodstawowy"/>
              <w:rPr>
                <w:rFonts w:ascii="Times" w:hAnsi="Times" w:cs="Arial"/>
                <w:bCs/>
                <w:sz w:val="22"/>
                <w:szCs w:val="22"/>
              </w:rPr>
            </w:pPr>
            <w:r w:rsidRPr="00317ABF">
              <w:rPr>
                <w:rFonts w:ascii="Times" w:hAnsi="Times" w:cs="Arial"/>
                <w:bCs/>
                <w:sz w:val="22"/>
                <w:szCs w:val="22"/>
              </w:rPr>
              <w:t>2)</w:t>
            </w:r>
            <w:r w:rsidRPr="00317ABF">
              <w:rPr>
                <w:rFonts w:ascii="Times" w:hAnsi="Times" w:cs="Arial"/>
                <w:bCs/>
                <w:sz w:val="22"/>
                <w:szCs w:val="22"/>
              </w:rPr>
              <w:tab/>
              <w:t>zakresu i warunków realizacji obowiązku świadczenia usługi</w:t>
            </w:r>
          </w:p>
          <w:p w14:paraId="52F814CD" w14:textId="77777777" w:rsidR="00295321" w:rsidRPr="00317ABF" w:rsidRDefault="00295321" w:rsidP="00295321">
            <w:pPr>
              <w:pStyle w:val="Tekstpodstawowy"/>
              <w:rPr>
                <w:rFonts w:ascii="Times" w:hAnsi="Times" w:cs="Arial"/>
                <w:bCs/>
                <w:sz w:val="22"/>
                <w:szCs w:val="22"/>
              </w:rPr>
            </w:pPr>
            <w:r w:rsidRPr="00317ABF">
              <w:rPr>
                <w:rFonts w:ascii="Times" w:hAnsi="Times" w:cs="Arial"/>
                <w:bCs/>
                <w:sz w:val="22"/>
                <w:szCs w:val="22"/>
              </w:rPr>
              <w:t>– lub dokonania ich zmiany wraz ze wskazaniem dokładnego miejsca ich publikacji na swojej stronie internetowej, w terminie nie dłuższym niż 7 dni od dnia ich wejścia w życie.</w:t>
            </w:r>
          </w:p>
          <w:p w14:paraId="1242DC29" w14:textId="77777777" w:rsidR="00295321" w:rsidRPr="00317ABF" w:rsidRDefault="00295321" w:rsidP="00295321">
            <w:pPr>
              <w:pStyle w:val="Tekstpodstawowy"/>
              <w:rPr>
                <w:rFonts w:ascii="Times" w:hAnsi="Times" w:cs="Arial"/>
                <w:bCs/>
                <w:sz w:val="22"/>
                <w:szCs w:val="22"/>
              </w:rPr>
            </w:pPr>
            <w:r w:rsidRPr="00317ABF">
              <w:rPr>
                <w:rFonts w:ascii="Times" w:hAnsi="Times" w:cs="Arial"/>
                <w:bCs/>
                <w:sz w:val="22"/>
                <w:szCs w:val="22"/>
              </w:rPr>
              <w:t xml:space="preserve">2. Prezes UKE może wszcząć postępowanie w sprawie weryfikacji informacji przedumownych, o których mowa w ust. 1. </w:t>
            </w:r>
          </w:p>
          <w:p w14:paraId="4843E1B9" w14:textId="555619AF" w:rsidR="00295321" w:rsidRPr="00317ABF" w:rsidRDefault="00295321" w:rsidP="00295321">
            <w:pPr>
              <w:pStyle w:val="Tekstpodstawowy"/>
              <w:rPr>
                <w:rFonts w:ascii="Times" w:hAnsi="Times" w:cs="Arial"/>
                <w:bCs/>
                <w:sz w:val="22"/>
                <w:szCs w:val="22"/>
              </w:rPr>
            </w:pPr>
            <w:r w:rsidRPr="00317ABF">
              <w:rPr>
                <w:rFonts w:ascii="Times" w:hAnsi="Times" w:cs="Arial"/>
                <w:bCs/>
                <w:sz w:val="22"/>
                <w:szCs w:val="22"/>
              </w:rPr>
              <w:t>3. Jeżeli informacje  przedumowne są sprzeczne z ustawą lub decyzją, o której mowa w art. 353 ust. 4, art. 355 ust. 6, art. 356 lub art. 363 ust. 2, Prezes UKE określa, w drodze decyzji, zakres zmian oraz termin ich wprowadzenia w życie. Decyzja podlega natychmiastowemu wykonaniu.</w:t>
            </w:r>
          </w:p>
          <w:p w14:paraId="632434ED" w14:textId="224871DC" w:rsidR="00295321" w:rsidRPr="00317ABF" w:rsidRDefault="00295321" w:rsidP="00295321"/>
          <w:p w14:paraId="5044DCAA" w14:textId="77777777" w:rsidR="001E1112" w:rsidRPr="00317ABF" w:rsidRDefault="001E1112" w:rsidP="00295321"/>
        </w:tc>
      </w:tr>
      <w:tr w:rsidR="001E1112" w:rsidRPr="00317ABF" w14:paraId="3A17F3C0" w14:textId="77777777" w:rsidTr="7753F98D">
        <w:trPr>
          <w:gridAfter w:val="2"/>
          <w:wAfter w:w="175" w:type="dxa"/>
        </w:trPr>
        <w:tc>
          <w:tcPr>
            <w:tcW w:w="704" w:type="dxa"/>
          </w:tcPr>
          <w:p w14:paraId="69D36761" w14:textId="77777777" w:rsidR="001E1112" w:rsidRPr="00317ABF" w:rsidRDefault="001E1112" w:rsidP="00DB3BEC">
            <w:pPr>
              <w:jc w:val="both"/>
              <w:rPr>
                <w:sz w:val="22"/>
                <w:szCs w:val="22"/>
              </w:rPr>
            </w:pPr>
            <w:r w:rsidRPr="00317ABF">
              <w:rPr>
                <w:sz w:val="22"/>
                <w:szCs w:val="22"/>
              </w:rPr>
              <w:lastRenderedPageBreak/>
              <w:t>Art. 85 ust. 4</w:t>
            </w:r>
          </w:p>
        </w:tc>
        <w:tc>
          <w:tcPr>
            <w:tcW w:w="4308" w:type="dxa"/>
          </w:tcPr>
          <w:p w14:paraId="75BE0545" w14:textId="77777777" w:rsidR="001E1112" w:rsidRPr="00317ABF" w:rsidRDefault="001E1112" w:rsidP="00DB3BEC">
            <w:pPr>
              <w:spacing w:before="120"/>
              <w:jc w:val="both"/>
              <w:rPr>
                <w:sz w:val="22"/>
                <w:szCs w:val="22"/>
              </w:rPr>
            </w:pPr>
            <w:r w:rsidRPr="00317ABF">
              <w:rPr>
                <w:sz w:val="22"/>
                <w:szCs w:val="22"/>
              </w:rPr>
              <w:t>4.   Państwa członkowskie zapewniają, aby w świetle uwarunkowań krajowych wsparcie to świadczono, w stosownych przypadkach, konsumentom z niepełnosprawnościami i, w stosownych przypadkach, wprowadzano inne szczególne środki, aby zapewnić dostępność i przystępność cenową urządzeń końcowych oraz specjalnych urządzeń i specjalnych usług, które usprawniają równorzędny dostęp, w tym, w razie konieczności, usług pełnej konwersacji i usług przekazu.</w:t>
            </w:r>
          </w:p>
        </w:tc>
        <w:tc>
          <w:tcPr>
            <w:tcW w:w="986" w:type="dxa"/>
          </w:tcPr>
          <w:p w14:paraId="7554F542" w14:textId="24A279FB" w:rsidR="001E1112" w:rsidRPr="00317ABF" w:rsidRDefault="001E1112" w:rsidP="00DB3BEC">
            <w:pPr>
              <w:jc w:val="both"/>
              <w:rPr>
                <w:sz w:val="22"/>
                <w:szCs w:val="22"/>
              </w:rPr>
            </w:pPr>
            <w:r w:rsidRPr="00317ABF">
              <w:rPr>
                <w:sz w:val="22"/>
                <w:szCs w:val="22"/>
              </w:rPr>
              <w:t>T</w:t>
            </w:r>
          </w:p>
        </w:tc>
        <w:tc>
          <w:tcPr>
            <w:tcW w:w="910" w:type="dxa"/>
          </w:tcPr>
          <w:p w14:paraId="50F233D5" w14:textId="134ECD92" w:rsidR="001E1112" w:rsidRPr="00317ABF" w:rsidRDefault="00295321" w:rsidP="00DB3BEC">
            <w:pPr>
              <w:pStyle w:val="Tekstpodstawowy"/>
              <w:rPr>
                <w:b/>
                <w:noProof/>
                <w:sz w:val="22"/>
                <w:szCs w:val="22"/>
              </w:rPr>
            </w:pPr>
            <w:r w:rsidRPr="00317ABF">
              <w:rPr>
                <w:b/>
                <w:noProof/>
                <w:sz w:val="22"/>
                <w:szCs w:val="22"/>
              </w:rPr>
              <w:t>Art. 334</w:t>
            </w:r>
          </w:p>
        </w:tc>
        <w:tc>
          <w:tcPr>
            <w:tcW w:w="6814" w:type="dxa"/>
            <w:gridSpan w:val="2"/>
          </w:tcPr>
          <w:p w14:paraId="79510805" w14:textId="614B5416" w:rsidR="00295321" w:rsidRPr="00317ABF" w:rsidRDefault="00295321" w:rsidP="00295321">
            <w:pPr>
              <w:pStyle w:val="Tekstpodstawowy"/>
              <w:rPr>
                <w:bCs/>
                <w:sz w:val="22"/>
                <w:szCs w:val="22"/>
              </w:rPr>
            </w:pPr>
            <w:r w:rsidRPr="00317ABF">
              <w:rPr>
                <w:b/>
                <w:bCs/>
                <w:sz w:val="22"/>
                <w:szCs w:val="22"/>
              </w:rPr>
              <w:t>Art. 334.</w:t>
            </w:r>
            <w:r w:rsidRPr="00317ABF">
              <w:rPr>
                <w:bCs/>
                <w:sz w:val="22"/>
                <w:szCs w:val="22"/>
              </w:rPr>
              <w:t xml:space="preserve"> 1. Dostawca usług komunikacji elektronicznej zapewnia użytkownikom końcowym z niepełnosprawnościami dostęp do świadczonych przez siebie udogodnień i dostęp do świadczonych przez siebie usług równoważny dostępowi do usług komunikacji elektronicznej z jakiego korzysta większość użytkowników końcowych.</w:t>
            </w:r>
          </w:p>
          <w:p w14:paraId="34ADAC4A" w14:textId="77777777" w:rsidR="00295321" w:rsidRPr="00317ABF" w:rsidRDefault="00295321" w:rsidP="00295321">
            <w:pPr>
              <w:pStyle w:val="Tekstpodstawowy"/>
              <w:rPr>
                <w:bCs/>
                <w:sz w:val="22"/>
                <w:szCs w:val="22"/>
              </w:rPr>
            </w:pPr>
            <w:r w:rsidRPr="00317ABF">
              <w:rPr>
                <w:bCs/>
                <w:sz w:val="22"/>
                <w:szCs w:val="22"/>
              </w:rPr>
              <w:t>2. Prezes UKE udostępnia na stronie podmiotowej BIP UKE informacje o normach i specyfikacjach opublikowanych przez Komisję Europejską w Dzienniku Urzędowym Unii Europejskiej, dotyczących udogodnień i usług dla użytkowników końcowych z niepełnosprawnościami.</w:t>
            </w:r>
          </w:p>
          <w:p w14:paraId="48ACCE14" w14:textId="21E5B1C7" w:rsidR="001E1112" w:rsidRPr="00317ABF" w:rsidRDefault="00295321" w:rsidP="00295321">
            <w:pPr>
              <w:pStyle w:val="Tekstpodstawowy"/>
              <w:rPr>
                <w:bCs/>
                <w:sz w:val="22"/>
                <w:szCs w:val="22"/>
              </w:rPr>
            </w:pPr>
            <w:r w:rsidRPr="00317ABF">
              <w:rPr>
                <w:bCs/>
                <w:sz w:val="22"/>
                <w:szCs w:val="22"/>
              </w:rPr>
              <w:t>3. Minister właściwy do spraw informatyzacji określi, w drodze rozporządzenia, szczegółowe wymagania dotyczące świadczenia udogodnień i usług dla osób z niepełnosprawnościami przez dostawców publicznie dostępnych usług komunikacji elektronicznej, biorąc pod uwagę potrzebę zapewnienia użytkownikom końcowym z niepełnosprawnościami dostępu równoważnego dostępowi do usług komunikacji elektronicznej z jakiego korzysta większość użytkowników końcowych.</w:t>
            </w:r>
          </w:p>
        </w:tc>
      </w:tr>
      <w:tr w:rsidR="001E1112" w:rsidRPr="00317ABF" w14:paraId="4DCD8C7C" w14:textId="77777777" w:rsidTr="7753F98D">
        <w:trPr>
          <w:gridAfter w:val="2"/>
          <w:wAfter w:w="175" w:type="dxa"/>
        </w:trPr>
        <w:tc>
          <w:tcPr>
            <w:tcW w:w="704" w:type="dxa"/>
          </w:tcPr>
          <w:p w14:paraId="61738748" w14:textId="77777777" w:rsidR="001E1112" w:rsidRPr="00317ABF" w:rsidRDefault="001E1112" w:rsidP="00DB3BEC">
            <w:pPr>
              <w:jc w:val="both"/>
              <w:rPr>
                <w:sz w:val="22"/>
                <w:szCs w:val="22"/>
              </w:rPr>
            </w:pPr>
            <w:r w:rsidRPr="00317ABF">
              <w:rPr>
                <w:sz w:val="22"/>
                <w:szCs w:val="22"/>
              </w:rPr>
              <w:t>Art. 85 ust. 5</w:t>
            </w:r>
          </w:p>
        </w:tc>
        <w:tc>
          <w:tcPr>
            <w:tcW w:w="4308" w:type="dxa"/>
          </w:tcPr>
          <w:p w14:paraId="5114EADB" w14:textId="77777777" w:rsidR="001E1112" w:rsidRPr="00317ABF" w:rsidRDefault="001E1112" w:rsidP="00DB3BEC">
            <w:pPr>
              <w:spacing w:before="120"/>
              <w:jc w:val="both"/>
              <w:rPr>
                <w:sz w:val="22"/>
                <w:szCs w:val="22"/>
              </w:rPr>
            </w:pPr>
            <w:r w:rsidRPr="00317ABF">
              <w:rPr>
                <w:sz w:val="22"/>
                <w:szCs w:val="22"/>
              </w:rPr>
              <w:t>5.   Stosując przepisy niniejszego artykułu, państwa członkowskie dążą do minimalizacji zakłóceń na rynku.</w:t>
            </w:r>
          </w:p>
        </w:tc>
        <w:tc>
          <w:tcPr>
            <w:tcW w:w="986" w:type="dxa"/>
          </w:tcPr>
          <w:p w14:paraId="034F2E94" w14:textId="05C0423C" w:rsidR="001E1112" w:rsidRPr="00317ABF" w:rsidRDefault="001E1112" w:rsidP="00DB3BEC">
            <w:pPr>
              <w:jc w:val="both"/>
              <w:rPr>
                <w:sz w:val="22"/>
                <w:szCs w:val="22"/>
              </w:rPr>
            </w:pPr>
            <w:r w:rsidRPr="00317ABF">
              <w:rPr>
                <w:sz w:val="22"/>
                <w:szCs w:val="22"/>
              </w:rPr>
              <w:t>T</w:t>
            </w:r>
          </w:p>
        </w:tc>
        <w:tc>
          <w:tcPr>
            <w:tcW w:w="910" w:type="dxa"/>
          </w:tcPr>
          <w:p w14:paraId="25F46DFC" w14:textId="3A9420A7" w:rsidR="001E1112" w:rsidRPr="00317ABF" w:rsidRDefault="00295321" w:rsidP="00DB3BEC">
            <w:pPr>
              <w:pStyle w:val="Tekstpodstawowy"/>
              <w:rPr>
                <w:b/>
                <w:noProof/>
                <w:sz w:val="22"/>
                <w:szCs w:val="22"/>
              </w:rPr>
            </w:pPr>
            <w:r w:rsidRPr="00317ABF">
              <w:rPr>
                <w:b/>
                <w:noProof/>
                <w:sz w:val="22"/>
                <w:szCs w:val="22"/>
              </w:rPr>
              <w:t>Art.355</w:t>
            </w:r>
          </w:p>
        </w:tc>
        <w:tc>
          <w:tcPr>
            <w:tcW w:w="6814" w:type="dxa"/>
            <w:gridSpan w:val="2"/>
          </w:tcPr>
          <w:p w14:paraId="4B2A23A9" w14:textId="60F8D32C" w:rsidR="00295321" w:rsidRPr="00317ABF" w:rsidRDefault="00295321" w:rsidP="00295321">
            <w:pPr>
              <w:pStyle w:val="Tekstpodstawowy"/>
              <w:rPr>
                <w:rFonts w:ascii="Times" w:hAnsi="Times" w:cs="Arial"/>
                <w:sz w:val="22"/>
                <w:szCs w:val="22"/>
              </w:rPr>
            </w:pPr>
            <w:r w:rsidRPr="00317ABF">
              <w:rPr>
                <w:b/>
                <w:sz w:val="22"/>
                <w:szCs w:val="22"/>
              </w:rPr>
              <w:t xml:space="preserve"> </w:t>
            </w:r>
            <w:r w:rsidRPr="00317ABF">
              <w:rPr>
                <w:rFonts w:ascii="Times" w:hAnsi="Times" w:cs="Arial"/>
                <w:b/>
                <w:sz w:val="22"/>
                <w:szCs w:val="22"/>
              </w:rPr>
              <w:t>Art. 355.</w:t>
            </w:r>
            <w:r w:rsidRPr="00317ABF">
              <w:rPr>
                <w:rFonts w:ascii="Times" w:hAnsi="Times" w:cs="Arial"/>
                <w:sz w:val="22"/>
                <w:szCs w:val="22"/>
              </w:rPr>
              <w:t xml:space="preserve"> 1. Prezes UKE ogłasza na stronie podmiotowej BIP UKE konkurs na przedsiębiorcę wyznaczonego.</w:t>
            </w:r>
          </w:p>
          <w:p w14:paraId="198E26F8" w14:textId="2AA6EDAD" w:rsidR="001E1112" w:rsidRPr="00317ABF" w:rsidRDefault="00295321" w:rsidP="00295321">
            <w:pPr>
              <w:pStyle w:val="ARTartustawynprozporzdzenia"/>
              <w:spacing w:line="240" w:lineRule="auto"/>
              <w:ind w:firstLine="0"/>
              <w:rPr>
                <w:sz w:val="22"/>
                <w:szCs w:val="22"/>
              </w:rPr>
            </w:pPr>
            <w:r w:rsidRPr="00317ABF">
              <w:rPr>
                <w:bCs/>
                <w:sz w:val="22"/>
                <w:szCs w:val="22"/>
              </w:rPr>
              <w:t>2. Prezes UKE ustala warunki konkursu, kierując się stopniem rozwoju usług telekomunikacyjnych, potrzebami użytkowników końcowych oraz potrzebą minimalizacji zniekształceń lub ograniczeń konkurencji na danym obszarze w zakresie usługi, której dotyczy obowiązek.</w:t>
            </w:r>
          </w:p>
        </w:tc>
      </w:tr>
      <w:tr w:rsidR="001E1112" w:rsidRPr="00317ABF" w14:paraId="7CAA624B" w14:textId="77777777" w:rsidTr="7753F98D">
        <w:trPr>
          <w:gridAfter w:val="2"/>
          <w:wAfter w:w="175" w:type="dxa"/>
        </w:trPr>
        <w:tc>
          <w:tcPr>
            <w:tcW w:w="704" w:type="dxa"/>
          </w:tcPr>
          <w:p w14:paraId="3DD4D31C" w14:textId="77777777" w:rsidR="001E1112" w:rsidRPr="00317ABF" w:rsidRDefault="001E1112" w:rsidP="00DB3BEC">
            <w:pPr>
              <w:jc w:val="both"/>
              <w:rPr>
                <w:sz w:val="22"/>
                <w:szCs w:val="22"/>
              </w:rPr>
            </w:pPr>
            <w:r w:rsidRPr="00317ABF">
              <w:rPr>
                <w:sz w:val="22"/>
                <w:szCs w:val="22"/>
              </w:rPr>
              <w:lastRenderedPageBreak/>
              <w:t>Art. 85 ust. 6</w:t>
            </w:r>
          </w:p>
        </w:tc>
        <w:tc>
          <w:tcPr>
            <w:tcW w:w="4308" w:type="dxa"/>
          </w:tcPr>
          <w:p w14:paraId="3E475093" w14:textId="77777777" w:rsidR="001E1112" w:rsidRPr="00317ABF" w:rsidRDefault="001E1112" w:rsidP="00DB3BEC">
            <w:pPr>
              <w:spacing w:before="120"/>
              <w:jc w:val="both"/>
              <w:rPr>
                <w:sz w:val="22"/>
                <w:szCs w:val="22"/>
              </w:rPr>
            </w:pPr>
            <w:r w:rsidRPr="00317ABF">
              <w:rPr>
                <w:sz w:val="22"/>
                <w:szCs w:val="22"/>
              </w:rPr>
              <w:t>6.   Państwa członkowskie mogą rozszerzyć zakres stosowania niniejszego artykułu na użytkowników końcowych, którzy są mikroprzedsiębiorstwami, małymi i średnimi przedsiębiorstwami oraz organizacjami non-profit.</w:t>
            </w:r>
          </w:p>
        </w:tc>
        <w:tc>
          <w:tcPr>
            <w:tcW w:w="986" w:type="dxa"/>
          </w:tcPr>
          <w:p w14:paraId="7DB7917E" w14:textId="0CB6F724" w:rsidR="001E1112" w:rsidRPr="00317ABF" w:rsidRDefault="001E1112" w:rsidP="00DB3BEC">
            <w:pPr>
              <w:jc w:val="both"/>
              <w:rPr>
                <w:sz w:val="22"/>
                <w:szCs w:val="22"/>
              </w:rPr>
            </w:pPr>
            <w:r w:rsidRPr="00317ABF">
              <w:rPr>
                <w:sz w:val="22"/>
                <w:szCs w:val="22"/>
              </w:rPr>
              <w:t>N</w:t>
            </w:r>
          </w:p>
        </w:tc>
        <w:tc>
          <w:tcPr>
            <w:tcW w:w="910" w:type="dxa"/>
          </w:tcPr>
          <w:p w14:paraId="6D43981B" w14:textId="77777777" w:rsidR="001E1112" w:rsidRPr="00317ABF" w:rsidRDefault="001E1112" w:rsidP="00DB3BEC">
            <w:pPr>
              <w:pStyle w:val="Tekstpodstawowy"/>
              <w:rPr>
                <w:b/>
                <w:noProof/>
                <w:sz w:val="22"/>
                <w:szCs w:val="22"/>
              </w:rPr>
            </w:pPr>
          </w:p>
        </w:tc>
        <w:tc>
          <w:tcPr>
            <w:tcW w:w="6814" w:type="dxa"/>
            <w:gridSpan w:val="2"/>
          </w:tcPr>
          <w:p w14:paraId="0A0D402A" w14:textId="6233C9A9" w:rsidR="001E1112" w:rsidRPr="00317ABF" w:rsidRDefault="001E1112" w:rsidP="00DB3BEC">
            <w:pPr>
              <w:pStyle w:val="Tekstpodstawowy"/>
              <w:rPr>
                <w:sz w:val="22"/>
                <w:szCs w:val="22"/>
              </w:rPr>
            </w:pPr>
            <w:r w:rsidRPr="00317ABF">
              <w:rPr>
                <w:sz w:val="22"/>
                <w:szCs w:val="22"/>
              </w:rPr>
              <w:t>Fakultatywny przepis. Nie ma obowiązku implementacji</w:t>
            </w:r>
          </w:p>
        </w:tc>
      </w:tr>
      <w:tr w:rsidR="001E1112" w:rsidRPr="00317ABF" w14:paraId="071EBBF6" w14:textId="77777777" w:rsidTr="7753F98D">
        <w:trPr>
          <w:gridAfter w:val="2"/>
          <w:wAfter w:w="175" w:type="dxa"/>
        </w:trPr>
        <w:tc>
          <w:tcPr>
            <w:tcW w:w="704" w:type="dxa"/>
          </w:tcPr>
          <w:p w14:paraId="49F52954" w14:textId="77777777" w:rsidR="001E1112" w:rsidRPr="00317ABF" w:rsidRDefault="001E1112" w:rsidP="00DB3BEC">
            <w:pPr>
              <w:jc w:val="both"/>
              <w:rPr>
                <w:b/>
                <w:sz w:val="22"/>
                <w:szCs w:val="22"/>
              </w:rPr>
            </w:pPr>
            <w:r w:rsidRPr="00317ABF">
              <w:rPr>
                <w:b/>
                <w:sz w:val="22"/>
                <w:szCs w:val="22"/>
              </w:rPr>
              <w:t>Art. 86</w:t>
            </w:r>
          </w:p>
        </w:tc>
        <w:tc>
          <w:tcPr>
            <w:tcW w:w="4308" w:type="dxa"/>
          </w:tcPr>
          <w:p w14:paraId="3114B007" w14:textId="77777777" w:rsidR="001E1112" w:rsidRPr="00317ABF" w:rsidRDefault="001E1112" w:rsidP="00DB3BEC">
            <w:pPr>
              <w:spacing w:before="120"/>
              <w:jc w:val="both"/>
              <w:rPr>
                <w:sz w:val="22"/>
                <w:szCs w:val="22"/>
              </w:rPr>
            </w:pPr>
            <w:r w:rsidRPr="00317ABF">
              <w:rPr>
                <w:b/>
                <w:bCs/>
                <w:sz w:val="22"/>
                <w:szCs w:val="22"/>
              </w:rPr>
              <w:t>Dostępność usługi powszechnej</w:t>
            </w:r>
          </w:p>
        </w:tc>
        <w:tc>
          <w:tcPr>
            <w:tcW w:w="986" w:type="dxa"/>
          </w:tcPr>
          <w:p w14:paraId="085A157D" w14:textId="77777777" w:rsidR="001E1112" w:rsidRPr="00317ABF" w:rsidRDefault="001E1112" w:rsidP="00DB3BEC">
            <w:pPr>
              <w:jc w:val="both"/>
              <w:rPr>
                <w:sz w:val="22"/>
                <w:szCs w:val="22"/>
              </w:rPr>
            </w:pPr>
          </w:p>
        </w:tc>
        <w:tc>
          <w:tcPr>
            <w:tcW w:w="910" w:type="dxa"/>
          </w:tcPr>
          <w:p w14:paraId="567ED519" w14:textId="77777777" w:rsidR="001E1112" w:rsidRPr="00317ABF" w:rsidRDefault="001E1112" w:rsidP="00DB3BEC">
            <w:pPr>
              <w:pStyle w:val="Tekstpodstawowy"/>
              <w:rPr>
                <w:b/>
                <w:noProof/>
                <w:sz w:val="22"/>
                <w:szCs w:val="22"/>
              </w:rPr>
            </w:pPr>
          </w:p>
        </w:tc>
        <w:tc>
          <w:tcPr>
            <w:tcW w:w="6814" w:type="dxa"/>
            <w:gridSpan w:val="2"/>
          </w:tcPr>
          <w:p w14:paraId="12C7182B" w14:textId="77777777" w:rsidR="001E1112" w:rsidRPr="00317ABF" w:rsidRDefault="001E1112" w:rsidP="00DB3BEC">
            <w:pPr>
              <w:pStyle w:val="Tekstpodstawowy"/>
              <w:rPr>
                <w:sz w:val="22"/>
                <w:szCs w:val="22"/>
              </w:rPr>
            </w:pPr>
          </w:p>
        </w:tc>
      </w:tr>
      <w:tr w:rsidR="001E1112" w:rsidRPr="00317ABF" w14:paraId="05528561" w14:textId="77777777" w:rsidTr="7753F98D">
        <w:trPr>
          <w:gridAfter w:val="2"/>
          <w:wAfter w:w="175" w:type="dxa"/>
        </w:trPr>
        <w:tc>
          <w:tcPr>
            <w:tcW w:w="704" w:type="dxa"/>
          </w:tcPr>
          <w:p w14:paraId="008BDB5B" w14:textId="77777777" w:rsidR="001E1112" w:rsidRPr="00317ABF" w:rsidRDefault="001E1112" w:rsidP="00DB3BEC">
            <w:pPr>
              <w:jc w:val="both"/>
              <w:rPr>
                <w:sz w:val="22"/>
                <w:szCs w:val="22"/>
              </w:rPr>
            </w:pPr>
            <w:r w:rsidRPr="00317ABF">
              <w:rPr>
                <w:sz w:val="22"/>
                <w:szCs w:val="22"/>
              </w:rPr>
              <w:t>Art. 86 ust. 1</w:t>
            </w:r>
          </w:p>
        </w:tc>
        <w:tc>
          <w:tcPr>
            <w:tcW w:w="4308" w:type="dxa"/>
          </w:tcPr>
          <w:p w14:paraId="34EDC991" w14:textId="77777777" w:rsidR="001E1112" w:rsidRPr="00317ABF" w:rsidRDefault="001E1112" w:rsidP="00DB3BEC">
            <w:pPr>
              <w:spacing w:before="120"/>
              <w:jc w:val="both"/>
              <w:rPr>
                <w:sz w:val="22"/>
                <w:szCs w:val="22"/>
              </w:rPr>
            </w:pPr>
            <w:r w:rsidRPr="00317ABF">
              <w:rPr>
                <w:sz w:val="22"/>
                <w:szCs w:val="22"/>
              </w:rPr>
              <w:t>1.   Jeżeli państwo członkowskie stwierdziło, przy uwzględnieniu wyników – o ile są dostępne – analizy geograficznej przeprowadzonej zgodnie z art. 22 ust. 1 oraz, w razie konieczności, wszelkich dodatkowych dowodów, że na swoim terytorium lub jego różnych częściach w normalnych warunkach handlowych lub przy użyciu innych ewentualnych narzędzi polityki publicznej nie można zapewnić adekwatnego szerokopasmowego dostępu do internetu w stałej lokalizacji określonej zgodnie z art. 84 ust. 3 oraz usługi łączności głosowej, może ono nałożyć odpowiednie obowiązki świadczenia usługi powszechnej, aby uwzględnić wszystkie rozsądne wnioski użytkowników końcowych o dostęp do tych usług w odpowiednich częściach jego terytorium.</w:t>
            </w:r>
          </w:p>
        </w:tc>
        <w:tc>
          <w:tcPr>
            <w:tcW w:w="986" w:type="dxa"/>
          </w:tcPr>
          <w:p w14:paraId="706A2612" w14:textId="77CC5153" w:rsidR="001E1112" w:rsidRPr="00317ABF" w:rsidRDefault="001E1112" w:rsidP="00DB3BEC">
            <w:pPr>
              <w:jc w:val="both"/>
              <w:rPr>
                <w:sz w:val="22"/>
                <w:szCs w:val="22"/>
              </w:rPr>
            </w:pPr>
            <w:r w:rsidRPr="00317ABF">
              <w:rPr>
                <w:sz w:val="22"/>
                <w:szCs w:val="22"/>
              </w:rPr>
              <w:t>T</w:t>
            </w:r>
          </w:p>
        </w:tc>
        <w:tc>
          <w:tcPr>
            <w:tcW w:w="910" w:type="dxa"/>
          </w:tcPr>
          <w:p w14:paraId="29002B9B" w14:textId="4991975D" w:rsidR="001E1112" w:rsidRPr="00317ABF" w:rsidRDefault="0024087B" w:rsidP="00DB3BEC">
            <w:pPr>
              <w:pStyle w:val="Tekstpodstawowy"/>
              <w:rPr>
                <w:b/>
                <w:noProof/>
                <w:sz w:val="22"/>
                <w:szCs w:val="22"/>
              </w:rPr>
            </w:pPr>
            <w:r w:rsidRPr="00317ABF">
              <w:rPr>
                <w:b/>
                <w:noProof/>
                <w:sz w:val="22"/>
                <w:szCs w:val="22"/>
              </w:rPr>
              <w:t>Art. 352</w:t>
            </w:r>
          </w:p>
        </w:tc>
        <w:tc>
          <w:tcPr>
            <w:tcW w:w="6814" w:type="dxa"/>
            <w:gridSpan w:val="2"/>
          </w:tcPr>
          <w:p w14:paraId="0B00C0C4" w14:textId="06F60F42" w:rsidR="0024087B" w:rsidRPr="00317ABF" w:rsidRDefault="0024087B" w:rsidP="0024087B">
            <w:pPr>
              <w:pStyle w:val="Tekstpodstawowy"/>
              <w:rPr>
                <w:rFonts w:ascii="Times" w:hAnsi="Times" w:cs="Arial"/>
                <w:bCs/>
                <w:sz w:val="22"/>
                <w:szCs w:val="22"/>
              </w:rPr>
            </w:pPr>
            <w:r w:rsidRPr="00317ABF">
              <w:rPr>
                <w:rFonts w:ascii="Times" w:eastAsiaTheme="minorEastAsia" w:hAnsi="Times" w:cs="Times"/>
                <w:b/>
                <w:sz w:val="24"/>
              </w:rPr>
              <w:t xml:space="preserve"> </w:t>
            </w:r>
            <w:r w:rsidRPr="00317ABF">
              <w:rPr>
                <w:rFonts w:ascii="Times" w:hAnsi="Times" w:cs="Arial"/>
                <w:b/>
                <w:bCs/>
                <w:sz w:val="22"/>
                <w:szCs w:val="22"/>
              </w:rPr>
              <w:t>Art. 352.</w:t>
            </w:r>
            <w:r w:rsidRPr="00317ABF">
              <w:rPr>
                <w:rFonts w:ascii="Times" w:hAnsi="Times" w:cs="Arial"/>
                <w:bCs/>
                <w:sz w:val="22"/>
                <w:szCs w:val="22"/>
              </w:rPr>
              <w:t xml:space="preserve"> 1. Prezes UKE dokonuje analizy dostępności i jakości świadczenia usług, o których mowa w art. 350 ust. 1, uwzględniając stan rynku telekomunikacyjnego oraz planowane i realizowane na tym rynku przedsięwzięcia inwestycyjne.</w:t>
            </w:r>
          </w:p>
          <w:p w14:paraId="36EFCD5C" w14:textId="77777777" w:rsidR="0024087B" w:rsidRPr="00317ABF" w:rsidRDefault="0024087B" w:rsidP="0024087B">
            <w:pPr>
              <w:pStyle w:val="Tekstpodstawowy"/>
              <w:rPr>
                <w:rFonts w:ascii="Times" w:hAnsi="Times" w:cs="Arial"/>
                <w:bCs/>
                <w:sz w:val="22"/>
                <w:szCs w:val="22"/>
              </w:rPr>
            </w:pPr>
            <w:r w:rsidRPr="00317ABF">
              <w:rPr>
                <w:rFonts w:ascii="Times" w:hAnsi="Times" w:cs="Arial"/>
                <w:bCs/>
                <w:sz w:val="22"/>
                <w:szCs w:val="22"/>
              </w:rPr>
              <w:t>2. Wyniki analizy, o której mowa w ust. 1, Prezes UKE udostępnia na stronie podmiotowej BIP UKE w celu ich skonsultowania z zainteresowanymi podmiotami. Do konsultacji stosuje się odpowiednio art. 31 ust. 2.</w:t>
            </w:r>
          </w:p>
          <w:p w14:paraId="28A61811" w14:textId="77777777" w:rsidR="0024087B" w:rsidRPr="00317ABF" w:rsidRDefault="0024087B" w:rsidP="0024087B">
            <w:pPr>
              <w:pStyle w:val="Tekstpodstawowy"/>
              <w:rPr>
                <w:rFonts w:ascii="Times" w:hAnsi="Times" w:cs="Arial"/>
                <w:bCs/>
                <w:sz w:val="22"/>
                <w:szCs w:val="22"/>
              </w:rPr>
            </w:pPr>
            <w:r w:rsidRPr="00317ABF">
              <w:rPr>
                <w:rFonts w:ascii="Times" w:hAnsi="Times" w:cs="Arial"/>
                <w:bCs/>
                <w:sz w:val="22"/>
                <w:szCs w:val="22"/>
              </w:rPr>
              <w:t>3. Jeżeli wyniki analizy lub konsultacji wykazały, że którakolwiek z usług, o których mowa w art. 350 ust. 1, nie jest dostępna lub świadczona z zachowaniem dobrej jakości, Prezes UKE przeprowadza konkurs, o którym mowa w art. 355, w przedmiocie nałożenia obowiązku świadczenia tych usług na wskazanym obszarze, zwanym dalej „obowiązkiem świadczenia usługi”.</w:t>
            </w:r>
          </w:p>
          <w:p w14:paraId="0018B85A" w14:textId="77777777" w:rsidR="001E1112" w:rsidRPr="00317ABF" w:rsidRDefault="001E1112" w:rsidP="0024087B">
            <w:pPr>
              <w:pStyle w:val="USTustnpkodeksu"/>
              <w:spacing w:line="240" w:lineRule="auto"/>
              <w:ind w:firstLine="0"/>
              <w:rPr>
                <w:sz w:val="22"/>
                <w:szCs w:val="22"/>
              </w:rPr>
            </w:pPr>
          </w:p>
        </w:tc>
      </w:tr>
      <w:tr w:rsidR="001E1112" w:rsidRPr="00317ABF" w14:paraId="6D32AE0A" w14:textId="77777777" w:rsidTr="7753F98D">
        <w:trPr>
          <w:gridAfter w:val="2"/>
          <w:wAfter w:w="175" w:type="dxa"/>
        </w:trPr>
        <w:tc>
          <w:tcPr>
            <w:tcW w:w="704" w:type="dxa"/>
          </w:tcPr>
          <w:p w14:paraId="7BBD1F40" w14:textId="77777777" w:rsidR="001E1112" w:rsidRPr="00317ABF" w:rsidRDefault="001E1112" w:rsidP="00DB3BEC">
            <w:pPr>
              <w:jc w:val="both"/>
              <w:rPr>
                <w:sz w:val="22"/>
                <w:szCs w:val="22"/>
              </w:rPr>
            </w:pPr>
            <w:r w:rsidRPr="00317ABF">
              <w:rPr>
                <w:sz w:val="22"/>
                <w:szCs w:val="22"/>
              </w:rPr>
              <w:t>Art. 86 ust. 2</w:t>
            </w:r>
          </w:p>
        </w:tc>
        <w:tc>
          <w:tcPr>
            <w:tcW w:w="4308" w:type="dxa"/>
          </w:tcPr>
          <w:p w14:paraId="14DB216F" w14:textId="77777777" w:rsidR="001E1112" w:rsidRPr="00317ABF" w:rsidRDefault="001E1112" w:rsidP="00DB3BEC">
            <w:pPr>
              <w:spacing w:before="120"/>
              <w:jc w:val="both"/>
              <w:rPr>
                <w:sz w:val="22"/>
                <w:szCs w:val="22"/>
              </w:rPr>
            </w:pPr>
            <w:r w:rsidRPr="00317ABF">
              <w:rPr>
                <w:sz w:val="22"/>
                <w:szCs w:val="22"/>
              </w:rPr>
              <w:t xml:space="preserve">2.   Państwa członkowskie określają najwydajniejsze i najwłaściwsze podejście pozwalające zapewnić dostępność w stałej lokalizacji usługi adekwatnego szerokopasmowego dostępu do internetu określonej zgodnie z art. 84 ust. 3 oraz usługi łączności głosowej, przestrzegając jednocześnie zasady obiektywizmu, przejrzystości, niedyskryminacji i proporcjonalności. Państwa członkowskie dążą do minimalizacji zakłóceń na rynku, </w:t>
            </w:r>
            <w:r w:rsidRPr="00317ABF">
              <w:rPr>
                <w:sz w:val="22"/>
                <w:szCs w:val="22"/>
              </w:rPr>
              <w:lastRenderedPageBreak/>
              <w:t>w szczególności świadczenia usług po cenach lub na warunkach odbiegających od normalnych warunków komercyjnych, zapewniając jednocześnie ochronę interesu publicznego.</w:t>
            </w:r>
          </w:p>
        </w:tc>
        <w:tc>
          <w:tcPr>
            <w:tcW w:w="986" w:type="dxa"/>
          </w:tcPr>
          <w:p w14:paraId="78FCEB00" w14:textId="48C5E194" w:rsidR="001E1112" w:rsidRPr="00317ABF" w:rsidRDefault="001E1112" w:rsidP="00DB3BEC">
            <w:pPr>
              <w:jc w:val="both"/>
              <w:rPr>
                <w:sz w:val="22"/>
                <w:szCs w:val="22"/>
              </w:rPr>
            </w:pPr>
            <w:r w:rsidRPr="00317ABF">
              <w:rPr>
                <w:sz w:val="22"/>
                <w:szCs w:val="22"/>
              </w:rPr>
              <w:lastRenderedPageBreak/>
              <w:t>T</w:t>
            </w:r>
          </w:p>
        </w:tc>
        <w:tc>
          <w:tcPr>
            <w:tcW w:w="910" w:type="dxa"/>
          </w:tcPr>
          <w:p w14:paraId="399FEACA" w14:textId="2EA29729" w:rsidR="001E1112" w:rsidRPr="00317ABF" w:rsidRDefault="0024087B" w:rsidP="00DB3BEC">
            <w:pPr>
              <w:pStyle w:val="Tekstpodstawowy"/>
              <w:rPr>
                <w:b/>
                <w:noProof/>
                <w:sz w:val="22"/>
                <w:szCs w:val="22"/>
              </w:rPr>
            </w:pPr>
            <w:r w:rsidRPr="00317ABF">
              <w:rPr>
                <w:b/>
                <w:noProof/>
                <w:sz w:val="22"/>
                <w:szCs w:val="22"/>
              </w:rPr>
              <w:t xml:space="preserve">Art. 352 ust. </w:t>
            </w:r>
            <w:r w:rsidR="001E1112" w:rsidRPr="00317ABF">
              <w:rPr>
                <w:b/>
                <w:noProof/>
                <w:sz w:val="22"/>
                <w:szCs w:val="22"/>
              </w:rPr>
              <w:t>3</w:t>
            </w:r>
          </w:p>
        </w:tc>
        <w:tc>
          <w:tcPr>
            <w:tcW w:w="6814" w:type="dxa"/>
            <w:gridSpan w:val="2"/>
          </w:tcPr>
          <w:p w14:paraId="67F9A9DF" w14:textId="647D61A0" w:rsidR="0024087B" w:rsidRPr="00317ABF" w:rsidRDefault="0024087B" w:rsidP="0024087B">
            <w:pPr>
              <w:pStyle w:val="USTustnpkodeksu"/>
              <w:spacing w:line="240" w:lineRule="auto"/>
              <w:ind w:firstLine="0"/>
              <w:rPr>
                <w:rFonts w:ascii="Times New Roman" w:hAnsi="Times New Roman" w:cs="Times New Roman"/>
                <w:b/>
                <w:bCs w:val="0"/>
                <w:sz w:val="22"/>
                <w:szCs w:val="22"/>
              </w:rPr>
            </w:pPr>
            <w:r w:rsidRPr="00317ABF">
              <w:rPr>
                <w:rFonts w:ascii="Times New Roman" w:hAnsi="Times New Roman" w:cs="Times New Roman"/>
                <w:b/>
                <w:bCs w:val="0"/>
                <w:sz w:val="22"/>
                <w:szCs w:val="22"/>
              </w:rPr>
              <w:t>Art. 352</w:t>
            </w:r>
          </w:p>
          <w:p w14:paraId="74523FB9" w14:textId="77777777" w:rsidR="0024087B" w:rsidRPr="00317ABF" w:rsidRDefault="0024087B" w:rsidP="0024087B">
            <w:pPr>
              <w:pStyle w:val="USTustnpkodeksu"/>
              <w:spacing w:line="240" w:lineRule="auto"/>
              <w:rPr>
                <w:rFonts w:ascii="Times New Roman" w:hAnsi="Times New Roman" w:cs="Times New Roman"/>
                <w:bCs w:val="0"/>
                <w:sz w:val="22"/>
                <w:szCs w:val="22"/>
              </w:rPr>
            </w:pPr>
            <w:r w:rsidRPr="00317ABF">
              <w:rPr>
                <w:rFonts w:ascii="Times New Roman" w:hAnsi="Times New Roman" w:cs="Times New Roman"/>
                <w:bCs w:val="0"/>
                <w:sz w:val="22"/>
                <w:szCs w:val="22"/>
              </w:rPr>
              <w:t>(…)</w:t>
            </w:r>
          </w:p>
          <w:p w14:paraId="675A2549" w14:textId="1263A3E8" w:rsidR="0024087B" w:rsidRPr="00317ABF" w:rsidRDefault="0024087B" w:rsidP="0024087B">
            <w:pPr>
              <w:pStyle w:val="USTustnpkodeksu"/>
              <w:spacing w:line="240" w:lineRule="auto"/>
              <w:ind w:firstLine="0"/>
              <w:rPr>
                <w:rFonts w:ascii="Times New Roman" w:hAnsi="Times New Roman" w:cs="Times New Roman"/>
                <w:bCs w:val="0"/>
                <w:sz w:val="22"/>
                <w:szCs w:val="22"/>
              </w:rPr>
            </w:pPr>
            <w:r w:rsidRPr="00317ABF">
              <w:rPr>
                <w:rFonts w:ascii="Times New Roman" w:hAnsi="Times New Roman" w:cs="Times New Roman"/>
                <w:bCs w:val="0"/>
                <w:sz w:val="22"/>
                <w:szCs w:val="22"/>
              </w:rPr>
              <w:t>3. Jeżeli wyniki analizy lub konsultacji wykazały, że którakolwiek z usług, o których mowa w art. 350 ust. 1, nie jest dostępna lub świadczona z zachowaniem dobrej jakości, Prezes UKE przeprowadza konkurs, o którym mowa w art. 355, w przedmiocie nałożenia obowiązku świadczenia tych usług na wskazanym obszarze, zwanym dalej „obowiązkiem świadczenia usługi”.</w:t>
            </w:r>
          </w:p>
          <w:p w14:paraId="33538403" w14:textId="2DB0EAB5" w:rsidR="001E1112" w:rsidRPr="00317ABF" w:rsidRDefault="001E1112" w:rsidP="0024087B">
            <w:pPr>
              <w:pStyle w:val="USTustnpkodeksu"/>
              <w:spacing w:line="240" w:lineRule="auto"/>
              <w:ind w:firstLine="0"/>
              <w:rPr>
                <w:sz w:val="22"/>
                <w:szCs w:val="22"/>
              </w:rPr>
            </w:pPr>
          </w:p>
        </w:tc>
      </w:tr>
      <w:tr w:rsidR="001E1112" w:rsidRPr="00317ABF" w14:paraId="2AAA8746" w14:textId="77777777" w:rsidTr="7753F98D">
        <w:trPr>
          <w:gridAfter w:val="2"/>
          <w:wAfter w:w="175" w:type="dxa"/>
        </w:trPr>
        <w:tc>
          <w:tcPr>
            <w:tcW w:w="704" w:type="dxa"/>
          </w:tcPr>
          <w:p w14:paraId="0B58A9C4" w14:textId="78014224" w:rsidR="001E1112" w:rsidRPr="00317ABF" w:rsidRDefault="001E1112" w:rsidP="00DB3BEC">
            <w:pPr>
              <w:jc w:val="both"/>
              <w:rPr>
                <w:sz w:val="22"/>
                <w:szCs w:val="22"/>
              </w:rPr>
            </w:pPr>
            <w:r w:rsidRPr="00317ABF">
              <w:rPr>
                <w:sz w:val="22"/>
                <w:szCs w:val="22"/>
              </w:rPr>
              <w:lastRenderedPageBreak/>
              <w:t>Art. 86 ust. 3</w:t>
            </w:r>
          </w:p>
        </w:tc>
        <w:tc>
          <w:tcPr>
            <w:tcW w:w="4308" w:type="dxa"/>
          </w:tcPr>
          <w:p w14:paraId="688AEE23" w14:textId="77777777" w:rsidR="001E1112" w:rsidRPr="00317ABF" w:rsidRDefault="001E1112" w:rsidP="00DB3BEC">
            <w:pPr>
              <w:spacing w:before="120"/>
              <w:jc w:val="both"/>
              <w:rPr>
                <w:sz w:val="22"/>
                <w:szCs w:val="22"/>
              </w:rPr>
            </w:pPr>
            <w:r w:rsidRPr="00317ABF">
              <w:rPr>
                <w:sz w:val="22"/>
                <w:szCs w:val="22"/>
              </w:rPr>
              <w:t>3.   W szczególności, jeżeli państwa członkowskie postanowią nałożyć obowiązki, aby zapewnić użytkownikom końcowym dostępność w stałej lokalizacji usługi adekwatnego szerokopasmowego dostępu do internetu określonego zgodnie z art. 84 ust. 3 oraz usług łączności głosowej, mogą wyznaczyć jedno przedsiębiorstwo lub większą ich liczbę jako odpowiedzialne za zagwarantowanie takiego dostępu na całym terytorium kraju. Państwa członkowskie mogą wyznaczyć różne przedsiębiorstwa lub grupy przedsiębiorstw do celów świadczenia usług adekwatnego szerokopasmowego dostępu do internetu oraz usług łączności głosowej w stałej lokalizacji lub objęcia zasięgiem różnych części terytorium kraju.</w:t>
            </w:r>
          </w:p>
        </w:tc>
        <w:tc>
          <w:tcPr>
            <w:tcW w:w="986" w:type="dxa"/>
          </w:tcPr>
          <w:p w14:paraId="15EFF49A" w14:textId="68A13DB0" w:rsidR="001E1112" w:rsidRPr="00317ABF" w:rsidRDefault="001E1112" w:rsidP="00DB3BEC">
            <w:pPr>
              <w:jc w:val="both"/>
              <w:rPr>
                <w:sz w:val="22"/>
                <w:szCs w:val="22"/>
              </w:rPr>
            </w:pPr>
            <w:r w:rsidRPr="00317ABF">
              <w:rPr>
                <w:sz w:val="22"/>
                <w:szCs w:val="22"/>
              </w:rPr>
              <w:t>T</w:t>
            </w:r>
          </w:p>
        </w:tc>
        <w:tc>
          <w:tcPr>
            <w:tcW w:w="910" w:type="dxa"/>
          </w:tcPr>
          <w:p w14:paraId="4F037147" w14:textId="1975EDF5" w:rsidR="001E1112" w:rsidRPr="00317ABF" w:rsidRDefault="000F2B49" w:rsidP="00DB3BEC">
            <w:pPr>
              <w:pStyle w:val="Tekstpodstawowy"/>
              <w:rPr>
                <w:b/>
                <w:noProof/>
                <w:sz w:val="22"/>
                <w:szCs w:val="22"/>
              </w:rPr>
            </w:pPr>
            <w:r w:rsidRPr="00317ABF">
              <w:rPr>
                <w:rFonts w:eastAsiaTheme="minorEastAsia"/>
                <w:b/>
                <w:bCs/>
                <w:sz w:val="22"/>
                <w:szCs w:val="22"/>
              </w:rPr>
              <w:t>Art. 352</w:t>
            </w:r>
            <w:r w:rsidR="00364D66" w:rsidRPr="00317ABF">
              <w:rPr>
                <w:rFonts w:eastAsiaTheme="minorEastAsia"/>
                <w:b/>
                <w:bCs/>
                <w:sz w:val="22"/>
                <w:szCs w:val="22"/>
              </w:rPr>
              <w:t xml:space="preserve"> ust. 3</w:t>
            </w:r>
            <w:r w:rsidR="0002159B" w:rsidRPr="00317ABF">
              <w:rPr>
                <w:rFonts w:eastAsiaTheme="minorEastAsia"/>
                <w:b/>
                <w:bCs/>
                <w:sz w:val="22"/>
                <w:szCs w:val="22"/>
              </w:rPr>
              <w:t>, 356, 357</w:t>
            </w:r>
          </w:p>
        </w:tc>
        <w:tc>
          <w:tcPr>
            <w:tcW w:w="6814" w:type="dxa"/>
            <w:gridSpan w:val="2"/>
          </w:tcPr>
          <w:p w14:paraId="2D3F91D8" w14:textId="7190A7B7" w:rsidR="000F2B49" w:rsidRPr="00317ABF" w:rsidRDefault="000F2B49" w:rsidP="000F2B49">
            <w:pPr>
              <w:pStyle w:val="ARTartustawynprozporzdzenia"/>
              <w:keepNext/>
              <w:spacing w:line="240" w:lineRule="auto"/>
              <w:ind w:firstLine="0"/>
              <w:rPr>
                <w:rFonts w:ascii="Times New Roman" w:hAnsi="Times New Roman" w:cs="Times New Roman"/>
                <w:b/>
                <w:bCs/>
                <w:sz w:val="22"/>
                <w:szCs w:val="22"/>
              </w:rPr>
            </w:pPr>
            <w:r w:rsidRPr="00317ABF">
              <w:rPr>
                <w:rFonts w:ascii="Times New Roman" w:hAnsi="Times New Roman" w:cs="Times New Roman"/>
                <w:b/>
                <w:bCs/>
                <w:sz w:val="22"/>
                <w:szCs w:val="22"/>
              </w:rPr>
              <w:t>Art. 352</w:t>
            </w:r>
          </w:p>
          <w:p w14:paraId="2AD042F5" w14:textId="76A34F39" w:rsidR="000F2B49" w:rsidRPr="00317ABF" w:rsidRDefault="000F2B49" w:rsidP="000F2B49">
            <w:pPr>
              <w:pStyle w:val="ARTartustawynprozporzdzenia"/>
              <w:keepNext/>
              <w:spacing w:line="240" w:lineRule="auto"/>
              <w:ind w:firstLine="0"/>
              <w:rPr>
                <w:rFonts w:ascii="Times New Roman" w:hAnsi="Times New Roman" w:cs="Times New Roman"/>
                <w:b/>
                <w:bCs/>
                <w:sz w:val="22"/>
                <w:szCs w:val="22"/>
              </w:rPr>
            </w:pPr>
            <w:r w:rsidRPr="00317ABF">
              <w:rPr>
                <w:rFonts w:ascii="Times New Roman" w:hAnsi="Times New Roman" w:cs="Times New Roman"/>
                <w:b/>
                <w:bCs/>
                <w:sz w:val="22"/>
                <w:szCs w:val="22"/>
              </w:rPr>
              <w:t>(…)</w:t>
            </w:r>
          </w:p>
          <w:p w14:paraId="13BDAFE9" w14:textId="77777777" w:rsidR="000F2B49" w:rsidRPr="00317ABF" w:rsidRDefault="000F2B49" w:rsidP="000F2B49">
            <w:pPr>
              <w:pStyle w:val="ARTartustawynprozporzdzenia"/>
              <w:keepNext/>
              <w:spacing w:line="240" w:lineRule="auto"/>
              <w:ind w:firstLine="0"/>
              <w:rPr>
                <w:bCs/>
                <w:sz w:val="22"/>
                <w:szCs w:val="22"/>
              </w:rPr>
            </w:pPr>
            <w:r w:rsidRPr="00317ABF">
              <w:rPr>
                <w:bCs/>
                <w:sz w:val="22"/>
                <w:szCs w:val="22"/>
              </w:rPr>
              <w:t>3. Jeżeli wyniki analizy lub konsultacji wykazały, że którakolwiek z usług, o których mowa w art. 350 ust. 1, nie jest dostępna lub świadczona z zachowaniem dobrej jakości, Prezes UKE przeprowadza konkurs, o którym mowa w art. 355, w przedmiocie nałożenia obowiązku świadczenia tych usług na wskazanym obszarze, zwanym dalej „obowiązkiem świadczenia usługi”.</w:t>
            </w:r>
          </w:p>
          <w:p w14:paraId="431B5C8A" w14:textId="77777777" w:rsidR="0002159B" w:rsidRPr="00317ABF" w:rsidRDefault="000F2B49" w:rsidP="0002159B">
            <w:pPr>
              <w:pStyle w:val="ARTartustawynprozporzdzenia"/>
              <w:ind w:firstLine="0"/>
              <w:rPr>
                <w:b/>
                <w:bCs/>
                <w:sz w:val="22"/>
                <w:szCs w:val="22"/>
              </w:rPr>
            </w:pPr>
            <w:r w:rsidRPr="00317ABF">
              <w:rPr>
                <w:rFonts w:ascii="Times New Roman" w:hAnsi="Times New Roman" w:cs="Times New Roman"/>
                <w:b/>
                <w:bCs/>
                <w:sz w:val="22"/>
                <w:szCs w:val="22"/>
              </w:rPr>
              <w:t>Art</w:t>
            </w:r>
            <w:r w:rsidR="001E1112" w:rsidRPr="00317ABF">
              <w:rPr>
                <w:rFonts w:ascii="Times New Roman" w:hAnsi="Times New Roman" w:cs="Times New Roman"/>
                <w:b/>
                <w:bCs/>
                <w:sz w:val="22"/>
                <w:szCs w:val="22"/>
              </w:rPr>
              <w:t>.</w:t>
            </w:r>
            <w:r w:rsidRPr="00317ABF">
              <w:rPr>
                <w:rFonts w:ascii="Times New Roman" w:hAnsi="Times New Roman" w:cs="Times New Roman"/>
                <w:b/>
                <w:bCs/>
                <w:sz w:val="22"/>
                <w:szCs w:val="22"/>
              </w:rPr>
              <w:t xml:space="preserve"> 356.1.</w:t>
            </w:r>
            <w:r w:rsidR="001E1112" w:rsidRPr="00317ABF">
              <w:rPr>
                <w:rFonts w:ascii="Times New Roman" w:hAnsi="Times New Roman" w:cs="Times New Roman"/>
                <w:bCs/>
                <w:sz w:val="22"/>
                <w:szCs w:val="22"/>
              </w:rPr>
              <w:t xml:space="preserve"> </w:t>
            </w:r>
            <w:r w:rsidRPr="00317ABF">
              <w:rPr>
                <w:rFonts w:eastAsiaTheme="minorEastAsia" w:cs="Times"/>
              </w:rPr>
              <w:t xml:space="preserve"> </w:t>
            </w:r>
            <w:r w:rsidR="0002159B" w:rsidRPr="00317ABF">
              <w:rPr>
                <w:bCs/>
                <w:sz w:val="22"/>
                <w:szCs w:val="22"/>
              </w:rPr>
              <w:t>Jeżeli:</w:t>
            </w:r>
          </w:p>
          <w:p w14:paraId="2D889EEA" w14:textId="44ECA265" w:rsidR="000F2B49" w:rsidRPr="00317ABF" w:rsidRDefault="00A52210" w:rsidP="0002159B">
            <w:pPr>
              <w:pStyle w:val="ARTartustawynprozporzdzenia"/>
              <w:ind w:firstLine="0"/>
              <w:rPr>
                <w:bCs/>
                <w:sz w:val="22"/>
                <w:szCs w:val="22"/>
              </w:rPr>
            </w:pPr>
            <w:r w:rsidRPr="00317ABF">
              <w:rPr>
                <w:bCs/>
                <w:sz w:val="22"/>
                <w:szCs w:val="22"/>
              </w:rPr>
              <w:t>1)</w:t>
            </w:r>
            <w:r w:rsidR="000F2B49" w:rsidRPr="00317ABF">
              <w:rPr>
                <w:bCs/>
                <w:sz w:val="22"/>
                <w:szCs w:val="22"/>
              </w:rPr>
              <w:t>do konkursu w terminie wskazanym w ogłoszeniu nie przystąpił żaden przedsiębiorca telekomunikacyjny,</w:t>
            </w:r>
          </w:p>
          <w:p w14:paraId="6D454D3F" w14:textId="5EEBF1F8" w:rsidR="000F2B49" w:rsidRPr="00317ABF" w:rsidRDefault="00A52210" w:rsidP="0002159B">
            <w:pPr>
              <w:pStyle w:val="ARTartustawynprozporzdzenia"/>
              <w:keepNext/>
              <w:spacing w:line="240" w:lineRule="auto"/>
              <w:ind w:firstLine="0"/>
              <w:rPr>
                <w:bCs/>
                <w:sz w:val="22"/>
                <w:szCs w:val="22"/>
              </w:rPr>
            </w:pPr>
            <w:r w:rsidRPr="00317ABF">
              <w:rPr>
                <w:bCs/>
                <w:sz w:val="22"/>
                <w:szCs w:val="22"/>
              </w:rPr>
              <w:t>2)</w:t>
            </w:r>
            <w:r w:rsidR="000F2B49" w:rsidRPr="00317ABF">
              <w:rPr>
                <w:bCs/>
                <w:sz w:val="22"/>
                <w:szCs w:val="22"/>
              </w:rPr>
              <w:t>żaden z uczestników konkursu nie spełnił warunków uczestnictwa w konkursie,</w:t>
            </w:r>
          </w:p>
          <w:p w14:paraId="16B16CB7" w14:textId="1F0F6256" w:rsidR="000F2B49" w:rsidRPr="00317ABF" w:rsidRDefault="00A52210" w:rsidP="0002159B">
            <w:pPr>
              <w:pStyle w:val="ARTartustawynprozporzdzenia"/>
              <w:spacing w:line="240" w:lineRule="auto"/>
              <w:ind w:firstLine="0"/>
              <w:rPr>
                <w:bCs/>
                <w:sz w:val="22"/>
                <w:szCs w:val="22"/>
              </w:rPr>
            </w:pPr>
            <w:r w:rsidRPr="00317ABF">
              <w:rPr>
                <w:bCs/>
                <w:sz w:val="22"/>
                <w:szCs w:val="22"/>
              </w:rPr>
              <w:t>3)</w:t>
            </w:r>
            <w:r w:rsidR="000F2B49" w:rsidRPr="00317ABF">
              <w:rPr>
                <w:bCs/>
                <w:sz w:val="22"/>
                <w:szCs w:val="22"/>
              </w:rPr>
              <w:t>żaden z uczestników konkursu nie zapewni realizacji obowiązku będącego przedmiotem konkursu</w:t>
            </w:r>
          </w:p>
          <w:p w14:paraId="6B52FF64" w14:textId="77777777" w:rsidR="001E1112" w:rsidRPr="00317ABF" w:rsidRDefault="000F2B49" w:rsidP="00A52210">
            <w:pPr>
              <w:pStyle w:val="ARTartustawynprozporzdzenia"/>
              <w:keepNext/>
              <w:spacing w:line="240" w:lineRule="auto"/>
              <w:ind w:firstLine="0"/>
              <w:rPr>
                <w:bCs/>
                <w:sz w:val="22"/>
                <w:szCs w:val="22"/>
              </w:rPr>
            </w:pPr>
            <w:r w:rsidRPr="00317ABF">
              <w:rPr>
                <w:bCs/>
                <w:sz w:val="22"/>
                <w:szCs w:val="22"/>
              </w:rPr>
              <w:t>- Prezes UKE wyznacza, w drodze decyzji, przedsiębiorcę telekomunikacyjnego do realizacji obowiązku będącego przedmiotem konkursu, biorąc pod uwagę jego zdolność do realizacji tego obowiązku na danym obszarze.</w:t>
            </w:r>
          </w:p>
          <w:p w14:paraId="3FA354E1" w14:textId="77777777" w:rsidR="0002159B" w:rsidRPr="00317ABF" w:rsidRDefault="0002159B" w:rsidP="0002159B">
            <w:pPr>
              <w:pStyle w:val="ARTartustawynprozporzdzenia"/>
              <w:spacing w:line="240" w:lineRule="auto"/>
              <w:ind w:firstLine="0"/>
              <w:rPr>
                <w:rFonts w:ascii="Times New Roman" w:hAnsi="Times New Roman" w:cs="Times New Roman"/>
                <w:bCs/>
                <w:sz w:val="22"/>
                <w:szCs w:val="22"/>
              </w:rPr>
            </w:pPr>
            <w:r w:rsidRPr="00317ABF">
              <w:rPr>
                <w:rFonts w:ascii="Times New Roman" w:hAnsi="Times New Roman" w:cs="Times New Roman"/>
                <w:b/>
                <w:bCs/>
                <w:sz w:val="22"/>
                <w:szCs w:val="22"/>
              </w:rPr>
              <w:t>Art. 357.</w:t>
            </w:r>
            <w:r w:rsidRPr="00317ABF">
              <w:rPr>
                <w:rFonts w:ascii="Times New Roman" w:hAnsi="Times New Roman" w:cs="Times New Roman"/>
                <w:bCs/>
                <w:sz w:val="22"/>
                <w:szCs w:val="22"/>
              </w:rPr>
              <w:t xml:space="preserve"> 1. W decyzjach, o których mowa w art. 353 ust. 4, art. 355 ust. 6 i art. 356, Prezes UKE określa w szczególności:</w:t>
            </w:r>
          </w:p>
          <w:p w14:paraId="77FC1AF8" w14:textId="770E4841" w:rsidR="0002159B" w:rsidRPr="00317ABF" w:rsidRDefault="00B061B3" w:rsidP="0002159B">
            <w:pPr>
              <w:pStyle w:val="ARTartustawynprozporzdzenia"/>
              <w:keepNext/>
              <w:spacing w:line="240" w:lineRule="auto"/>
              <w:ind w:firstLine="0"/>
              <w:rPr>
                <w:rFonts w:ascii="Times New Roman" w:hAnsi="Times New Roman" w:cs="Times New Roman"/>
                <w:bCs/>
                <w:sz w:val="22"/>
                <w:szCs w:val="22"/>
              </w:rPr>
            </w:pPr>
            <w:r w:rsidRPr="00317ABF">
              <w:rPr>
                <w:rFonts w:ascii="Times New Roman" w:hAnsi="Times New Roman" w:cs="Times New Roman"/>
                <w:bCs/>
                <w:sz w:val="22"/>
                <w:szCs w:val="22"/>
              </w:rPr>
              <w:t>1)</w:t>
            </w:r>
            <w:r w:rsidR="0002159B" w:rsidRPr="00317ABF">
              <w:rPr>
                <w:rFonts w:ascii="Times New Roman" w:hAnsi="Times New Roman" w:cs="Times New Roman"/>
                <w:bCs/>
                <w:sz w:val="22"/>
                <w:szCs w:val="22"/>
              </w:rPr>
              <w:t>obowiązek w zakresie usługi lub usług, o których mowa w art. 350 ust. 1;</w:t>
            </w:r>
          </w:p>
          <w:p w14:paraId="1DA39721" w14:textId="215C983C" w:rsidR="0002159B" w:rsidRPr="00317ABF" w:rsidRDefault="00B061B3" w:rsidP="0002159B">
            <w:pPr>
              <w:pStyle w:val="ARTartustawynprozporzdzenia"/>
              <w:keepNext/>
              <w:spacing w:line="240" w:lineRule="auto"/>
              <w:ind w:firstLine="0"/>
              <w:rPr>
                <w:rFonts w:ascii="Times New Roman" w:hAnsi="Times New Roman" w:cs="Times New Roman"/>
                <w:bCs/>
                <w:sz w:val="22"/>
                <w:szCs w:val="22"/>
              </w:rPr>
            </w:pPr>
            <w:r w:rsidRPr="00317ABF">
              <w:rPr>
                <w:rFonts w:ascii="Times New Roman" w:hAnsi="Times New Roman" w:cs="Times New Roman"/>
                <w:bCs/>
                <w:sz w:val="22"/>
                <w:szCs w:val="22"/>
              </w:rPr>
              <w:t>2)</w:t>
            </w:r>
            <w:r w:rsidR="0002159B" w:rsidRPr="00317ABF">
              <w:rPr>
                <w:rFonts w:ascii="Times New Roman" w:hAnsi="Times New Roman" w:cs="Times New Roman"/>
                <w:bCs/>
                <w:sz w:val="22"/>
                <w:szCs w:val="22"/>
              </w:rPr>
              <w:t>obszar, na którym ma być realizowany obowiązek, o którym mowa w pkt 1;</w:t>
            </w:r>
          </w:p>
          <w:p w14:paraId="27E98A5B" w14:textId="21417862" w:rsidR="0002159B" w:rsidRPr="00317ABF" w:rsidRDefault="00B061B3" w:rsidP="0002159B">
            <w:pPr>
              <w:pStyle w:val="ARTartustawynprozporzdzenia"/>
              <w:keepNext/>
              <w:spacing w:line="240" w:lineRule="auto"/>
              <w:ind w:firstLine="0"/>
              <w:rPr>
                <w:rFonts w:ascii="Times New Roman" w:hAnsi="Times New Roman" w:cs="Times New Roman"/>
                <w:bCs/>
                <w:sz w:val="22"/>
                <w:szCs w:val="22"/>
              </w:rPr>
            </w:pPr>
            <w:r w:rsidRPr="00317ABF">
              <w:rPr>
                <w:rFonts w:ascii="Times New Roman" w:hAnsi="Times New Roman" w:cs="Times New Roman"/>
                <w:bCs/>
                <w:sz w:val="22"/>
                <w:szCs w:val="22"/>
              </w:rPr>
              <w:t>3)</w:t>
            </w:r>
            <w:r w:rsidR="0002159B" w:rsidRPr="00317ABF">
              <w:rPr>
                <w:rFonts w:ascii="Times New Roman" w:hAnsi="Times New Roman" w:cs="Times New Roman"/>
                <w:bCs/>
                <w:sz w:val="22"/>
                <w:szCs w:val="22"/>
              </w:rPr>
              <w:t>termin rozpoczęcia realizacji obowiązku, o którym mowa w pkt 1;</w:t>
            </w:r>
          </w:p>
          <w:p w14:paraId="456D95D5" w14:textId="0C173C9E" w:rsidR="0002159B" w:rsidRPr="00317ABF" w:rsidRDefault="00B061B3" w:rsidP="0002159B">
            <w:pPr>
              <w:pStyle w:val="ARTartustawynprozporzdzenia"/>
              <w:keepNext/>
              <w:spacing w:line="240" w:lineRule="auto"/>
              <w:ind w:firstLine="0"/>
              <w:rPr>
                <w:rFonts w:ascii="Times New Roman" w:hAnsi="Times New Roman" w:cs="Times New Roman"/>
                <w:bCs/>
                <w:sz w:val="22"/>
                <w:szCs w:val="22"/>
              </w:rPr>
            </w:pPr>
            <w:r w:rsidRPr="00317ABF">
              <w:rPr>
                <w:rFonts w:ascii="Times New Roman" w:hAnsi="Times New Roman" w:cs="Times New Roman"/>
                <w:bCs/>
                <w:sz w:val="22"/>
                <w:szCs w:val="22"/>
              </w:rPr>
              <w:t>4)</w:t>
            </w:r>
            <w:r w:rsidR="0002159B" w:rsidRPr="00317ABF">
              <w:rPr>
                <w:rFonts w:ascii="Times New Roman" w:hAnsi="Times New Roman" w:cs="Times New Roman"/>
                <w:bCs/>
                <w:sz w:val="22"/>
                <w:szCs w:val="22"/>
              </w:rPr>
              <w:t>okres realizacji obowiązku, o którym mowa w pkt 1;</w:t>
            </w:r>
          </w:p>
          <w:p w14:paraId="1819DEE1" w14:textId="3D3F820F" w:rsidR="0002159B" w:rsidRPr="00317ABF" w:rsidRDefault="00B061B3" w:rsidP="0002159B">
            <w:pPr>
              <w:pStyle w:val="ARTartustawynprozporzdzenia"/>
              <w:keepNext/>
              <w:spacing w:line="240" w:lineRule="auto"/>
              <w:ind w:firstLine="0"/>
              <w:rPr>
                <w:rFonts w:ascii="Times New Roman" w:hAnsi="Times New Roman" w:cs="Times New Roman"/>
                <w:bCs/>
                <w:sz w:val="22"/>
                <w:szCs w:val="22"/>
              </w:rPr>
            </w:pPr>
            <w:r w:rsidRPr="00317ABF">
              <w:rPr>
                <w:rFonts w:ascii="Times New Roman" w:hAnsi="Times New Roman" w:cs="Times New Roman"/>
                <w:bCs/>
                <w:sz w:val="22"/>
                <w:szCs w:val="22"/>
              </w:rPr>
              <w:lastRenderedPageBreak/>
              <w:t>5)</w:t>
            </w:r>
            <w:r w:rsidR="0002159B" w:rsidRPr="00317ABF">
              <w:rPr>
                <w:rFonts w:ascii="Times New Roman" w:hAnsi="Times New Roman" w:cs="Times New Roman"/>
                <w:bCs/>
                <w:sz w:val="22"/>
                <w:szCs w:val="22"/>
              </w:rPr>
              <w:t>wymagania dotyczące realizacji obowiązku, o którym mowa w pkt 1.</w:t>
            </w:r>
          </w:p>
          <w:p w14:paraId="028A4F92" w14:textId="77777777" w:rsidR="00364D66" w:rsidRPr="00317ABF" w:rsidRDefault="00364D66" w:rsidP="00364D66">
            <w:pPr>
              <w:pStyle w:val="ARTartustawynprozporzdzenia"/>
              <w:keepNext/>
              <w:spacing w:line="240" w:lineRule="auto"/>
              <w:ind w:firstLine="0"/>
              <w:rPr>
                <w:bCs/>
                <w:sz w:val="22"/>
                <w:szCs w:val="22"/>
              </w:rPr>
            </w:pPr>
            <w:r w:rsidRPr="00317ABF">
              <w:rPr>
                <w:bCs/>
                <w:sz w:val="22"/>
                <w:szCs w:val="22"/>
              </w:rPr>
              <w:t>2. W decyzji, o której mowa w art. 355 ust. 6 Prezes UKE określa zaoferowany przez przedsiębiorcę wyznaczonego, prognozowany koszt netto realizacji obowiązku, do którego został wyznaczony.</w:t>
            </w:r>
          </w:p>
          <w:p w14:paraId="5757009C" w14:textId="60C19B02" w:rsidR="006A4960" w:rsidRPr="00317ABF" w:rsidRDefault="00364D66" w:rsidP="0002159B">
            <w:pPr>
              <w:pStyle w:val="ARTartustawynprozporzdzenia"/>
              <w:keepNext/>
              <w:spacing w:line="240" w:lineRule="auto"/>
              <w:ind w:firstLine="0"/>
              <w:rPr>
                <w:bCs/>
                <w:sz w:val="22"/>
                <w:szCs w:val="22"/>
              </w:rPr>
            </w:pPr>
            <w:r w:rsidRPr="00317ABF">
              <w:rPr>
                <w:bCs/>
                <w:sz w:val="22"/>
                <w:szCs w:val="22"/>
              </w:rPr>
              <w:t>3. W decyzjach nakładających obowiązek oferowania specjalnego pakietu cenowego Prezes UKE określa szczególne potrzeby społeczne konsumentów.</w:t>
            </w:r>
          </w:p>
        </w:tc>
      </w:tr>
      <w:tr w:rsidR="001E1112" w:rsidRPr="00317ABF" w14:paraId="762E359B" w14:textId="77777777" w:rsidTr="7753F98D">
        <w:trPr>
          <w:gridAfter w:val="2"/>
          <w:wAfter w:w="175" w:type="dxa"/>
        </w:trPr>
        <w:tc>
          <w:tcPr>
            <w:tcW w:w="704" w:type="dxa"/>
          </w:tcPr>
          <w:p w14:paraId="6AA65BE1" w14:textId="04864B50" w:rsidR="001E1112" w:rsidRPr="00317ABF" w:rsidRDefault="001E1112" w:rsidP="00DB3BEC">
            <w:pPr>
              <w:jc w:val="both"/>
              <w:rPr>
                <w:sz w:val="22"/>
                <w:szCs w:val="22"/>
              </w:rPr>
            </w:pPr>
            <w:r w:rsidRPr="00317ABF">
              <w:rPr>
                <w:sz w:val="22"/>
                <w:szCs w:val="22"/>
              </w:rPr>
              <w:lastRenderedPageBreak/>
              <w:t>Art. 86 ust. 4</w:t>
            </w:r>
          </w:p>
        </w:tc>
        <w:tc>
          <w:tcPr>
            <w:tcW w:w="4308" w:type="dxa"/>
          </w:tcPr>
          <w:p w14:paraId="76ABECED" w14:textId="77777777" w:rsidR="001E1112" w:rsidRPr="00317ABF" w:rsidRDefault="001E1112" w:rsidP="00DB3BEC">
            <w:pPr>
              <w:spacing w:before="120"/>
              <w:jc w:val="both"/>
              <w:rPr>
                <w:sz w:val="22"/>
                <w:szCs w:val="22"/>
              </w:rPr>
            </w:pPr>
            <w:r w:rsidRPr="00317ABF">
              <w:rPr>
                <w:sz w:val="22"/>
                <w:szCs w:val="22"/>
              </w:rPr>
              <w:t>4.   Wyznaczając przedsiębiorstwa na części lub całości terytorium kraju, celem zapewnienia dostępności usług zgodnie z ust. 3 niniejszego artykułu, państwa członkowskie stosują wydajny, obiektywny, przejrzysty i niedyskryminacyjny mechanizm wyznaczania, w którym żadne przedsiębiorstwo nie jest z góry wykluczone z procesu wyznaczania. Takie metody wyznaczania muszą zapewnić, aby usługa adekwatnego szerokopasmowego dostępu do internetu i usługi łączności głosowej w stałej lokalizacji były świadczone w sposób racjonalny pod względem kosztów, oraz mogą być stosowane jako sposób ustalania kosztu netto obowiązku świadczenia usługi powszechnej zgodnie z art. 89.</w:t>
            </w:r>
          </w:p>
        </w:tc>
        <w:tc>
          <w:tcPr>
            <w:tcW w:w="986" w:type="dxa"/>
          </w:tcPr>
          <w:p w14:paraId="44678876" w14:textId="262333B9" w:rsidR="001E1112" w:rsidRPr="00317ABF" w:rsidRDefault="001E1112" w:rsidP="00DB3BEC">
            <w:pPr>
              <w:jc w:val="both"/>
              <w:rPr>
                <w:sz w:val="22"/>
                <w:szCs w:val="22"/>
              </w:rPr>
            </w:pPr>
            <w:r w:rsidRPr="00317ABF">
              <w:rPr>
                <w:sz w:val="22"/>
                <w:szCs w:val="22"/>
              </w:rPr>
              <w:t>T</w:t>
            </w:r>
          </w:p>
        </w:tc>
        <w:tc>
          <w:tcPr>
            <w:tcW w:w="910" w:type="dxa"/>
          </w:tcPr>
          <w:p w14:paraId="28F129FA" w14:textId="60EE5DDD" w:rsidR="001E1112" w:rsidRPr="00317ABF" w:rsidRDefault="0046564E" w:rsidP="000F2B49">
            <w:pPr>
              <w:pStyle w:val="Tekstpodstawowy"/>
              <w:rPr>
                <w:b/>
                <w:noProof/>
                <w:sz w:val="22"/>
                <w:szCs w:val="22"/>
              </w:rPr>
            </w:pPr>
            <w:r w:rsidRPr="00317ABF">
              <w:rPr>
                <w:rFonts w:eastAsiaTheme="minorEastAsia"/>
                <w:b/>
                <w:bCs/>
                <w:sz w:val="22"/>
                <w:szCs w:val="22"/>
              </w:rPr>
              <w:t>Art. 354</w:t>
            </w:r>
            <w:r w:rsidR="00F21DFD" w:rsidRPr="00317ABF">
              <w:rPr>
                <w:rFonts w:eastAsiaTheme="minorEastAsia"/>
                <w:b/>
                <w:bCs/>
                <w:sz w:val="22"/>
                <w:szCs w:val="22"/>
              </w:rPr>
              <w:t>-356</w:t>
            </w:r>
          </w:p>
        </w:tc>
        <w:tc>
          <w:tcPr>
            <w:tcW w:w="6814" w:type="dxa"/>
            <w:gridSpan w:val="2"/>
          </w:tcPr>
          <w:p w14:paraId="3393C0C0" w14:textId="3E085A40" w:rsidR="0046564E" w:rsidRPr="00317ABF" w:rsidRDefault="0046564E" w:rsidP="00F21DFD">
            <w:pPr>
              <w:spacing w:after="120"/>
              <w:jc w:val="both"/>
              <w:rPr>
                <w:sz w:val="22"/>
                <w:szCs w:val="22"/>
              </w:rPr>
            </w:pPr>
            <w:r w:rsidRPr="00317ABF">
              <w:rPr>
                <w:b/>
                <w:sz w:val="22"/>
                <w:szCs w:val="22"/>
              </w:rPr>
              <w:t>Art. 354.</w:t>
            </w:r>
            <w:r w:rsidRPr="00317ABF">
              <w:rPr>
                <w:sz w:val="22"/>
                <w:szCs w:val="22"/>
              </w:rPr>
              <w:t xml:space="preserve"> </w:t>
            </w:r>
            <w:r w:rsidRPr="00317ABF">
              <w:rPr>
                <w:rFonts w:ascii="Times" w:eastAsiaTheme="minorEastAsia" w:hAnsi="Times" w:cs="Times"/>
              </w:rPr>
              <w:t xml:space="preserve"> </w:t>
            </w:r>
            <w:r w:rsidRPr="00317ABF">
              <w:rPr>
                <w:sz w:val="22"/>
                <w:szCs w:val="22"/>
              </w:rPr>
              <w:t>Przez przedsiębiorcę wyznaczonego rozumie się przedsiębiorcę, który jest wyznaczany w decyzji, o której mowa w art. 355 ust. 6 albo w art. 356, do realizacji obowiązku oferowania specjalnego pakietu cenowego lub obowiązku świadczenia usługi oraz przedsiębiorcę, na którego nałożono obowiązek świadczenia usługi w trybie art. 363 ust. 2.</w:t>
            </w:r>
          </w:p>
          <w:p w14:paraId="09001BF2" w14:textId="77777777" w:rsidR="00F21DFD" w:rsidRPr="00317ABF" w:rsidRDefault="00F21DFD" w:rsidP="00F21DFD">
            <w:pPr>
              <w:spacing w:after="120"/>
              <w:jc w:val="both"/>
              <w:rPr>
                <w:sz w:val="22"/>
                <w:szCs w:val="22"/>
              </w:rPr>
            </w:pPr>
            <w:r w:rsidRPr="00317ABF">
              <w:rPr>
                <w:b/>
                <w:sz w:val="22"/>
                <w:szCs w:val="22"/>
              </w:rPr>
              <w:t>Art. 355.</w:t>
            </w:r>
            <w:r w:rsidRPr="00317ABF">
              <w:rPr>
                <w:sz w:val="22"/>
                <w:szCs w:val="22"/>
              </w:rPr>
              <w:t xml:space="preserve"> 1. Prezes UKE ogłasza na stronie podmiotowej BIP UKE konkurs na przedsiębiorcę wyznaczonego.</w:t>
            </w:r>
          </w:p>
          <w:p w14:paraId="643CB7DA" w14:textId="77777777" w:rsidR="00F21DFD" w:rsidRPr="00317ABF" w:rsidRDefault="00F21DFD" w:rsidP="00F21DFD">
            <w:pPr>
              <w:spacing w:after="120"/>
              <w:jc w:val="both"/>
              <w:rPr>
                <w:bCs/>
                <w:sz w:val="22"/>
                <w:szCs w:val="22"/>
              </w:rPr>
            </w:pPr>
            <w:r w:rsidRPr="00317ABF">
              <w:rPr>
                <w:bCs/>
                <w:sz w:val="22"/>
                <w:szCs w:val="22"/>
              </w:rPr>
              <w:t>2. Prezes UKE ustala warunki konkursu, kierując się stopniem rozwoju usług telekomunikacyjnych, potrzebami użytkowników końcowych oraz potrzebą minimalizacji zniekształceń lub ograniczeń konkurencji na danym obszarze w zakresie usługi, której dotyczy obowiązek.</w:t>
            </w:r>
          </w:p>
          <w:p w14:paraId="08661518" w14:textId="77777777" w:rsidR="00F21DFD" w:rsidRPr="00317ABF" w:rsidRDefault="00F21DFD" w:rsidP="00F21DFD">
            <w:pPr>
              <w:spacing w:after="120"/>
              <w:jc w:val="both"/>
              <w:rPr>
                <w:bCs/>
                <w:sz w:val="22"/>
                <w:szCs w:val="22"/>
              </w:rPr>
            </w:pPr>
            <w:r w:rsidRPr="00317ABF">
              <w:rPr>
                <w:bCs/>
                <w:sz w:val="22"/>
                <w:szCs w:val="22"/>
              </w:rPr>
              <w:t>3. W ogłoszeniu o konkursie określa się:</w:t>
            </w:r>
          </w:p>
          <w:p w14:paraId="4F43E69A" w14:textId="70A88D3C" w:rsidR="00F21DFD" w:rsidRPr="00317ABF" w:rsidRDefault="00A52210" w:rsidP="00F21DFD">
            <w:pPr>
              <w:spacing w:after="120"/>
              <w:jc w:val="both"/>
              <w:rPr>
                <w:bCs/>
                <w:sz w:val="22"/>
                <w:szCs w:val="22"/>
              </w:rPr>
            </w:pPr>
            <w:r w:rsidRPr="00317ABF">
              <w:rPr>
                <w:bCs/>
                <w:sz w:val="22"/>
                <w:szCs w:val="22"/>
              </w:rPr>
              <w:t>1)</w:t>
            </w:r>
            <w:r w:rsidR="00F21DFD" w:rsidRPr="00317ABF">
              <w:rPr>
                <w:bCs/>
                <w:sz w:val="22"/>
                <w:szCs w:val="22"/>
              </w:rPr>
              <w:t>przedmiot konkursu poprzez wskazanie obowiązku w zakresie usługi lub usług, o których mowa w art. 350 ust. 1;</w:t>
            </w:r>
          </w:p>
          <w:p w14:paraId="7AF27437" w14:textId="7A055C23" w:rsidR="00F21DFD" w:rsidRPr="00317ABF" w:rsidRDefault="00A52210" w:rsidP="00F21DFD">
            <w:pPr>
              <w:spacing w:after="120"/>
              <w:jc w:val="both"/>
              <w:rPr>
                <w:bCs/>
                <w:sz w:val="22"/>
                <w:szCs w:val="22"/>
              </w:rPr>
            </w:pPr>
            <w:r w:rsidRPr="00317ABF">
              <w:rPr>
                <w:bCs/>
                <w:sz w:val="22"/>
                <w:szCs w:val="22"/>
              </w:rPr>
              <w:t>2)</w:t>
            </w:r>
            <w:r w:rsidR="00F21DFD" w:rsidRPr="00317ABF">
              <w:rPr>
                <w:bCs/>
                <w:sz w:val="22"/>
                <w:szCs w:val="22"/>
              </w:rPr>
              <w:t>obszar, na którym ma być realizowany obowiązek, o którym mowa w pkt 1;</w:t>
            </w:r>
          </w:p>
          <w:p w14:paraId="42614CC1" w14:textId="10D46CF6" w:rsidR="00F21DFD" w:rsidRPr="00317ABF" w:rsidRDefault="00A52210" w:rsidP="00F21DFD">
            <w:pPr>
              <w:spacing w:after="120"/>
              <w:jc w:val="both"/>
              <w:rPr>
                <w:bCs/>
                <w:sz w:val="22"/>
                <w:szCs w:val="22"/>
              </w:rPr>
            </w:pPr>
            <w:r w:rsidRPr="00317ABF">
              <w:rPr>
                <w:bCs/>
                <w:sz w:val="22"/>
                <w:szCs w:val="22"/>
              </w:rPr>
              <w:t>3)</w:t>
            </w:r>
            <w:r w:rsidR="00F21DFD" w:rsidRPr="00317ABF">
              <w:rPr>
                <w:bCs/>
                <w:sz w:val="22"/>
                <w:szCs w:val="22"/>
              </w:rPr>
              <w:t>ogólne wymagania dotyczące realizacji obowiązku, o którym mowa w pkt 1;</w:t>
            </w:r>
          </w:p>
          <w:p w14:paraId="29CA5BCF" w14:textId="0A33D788" w:rsidR="00F21DFD" w:rsidRPr="00317ABF" w:rsidRDefault="00A52210" w:rsidP="00F21DFD">
            <w:pPr>
              <w:spacing w:after="120"/>
              <w:jc w:val="both"/>
              <w:rPr>
                <w:bCs/>
                <w:sz w:val="22"/>
                <w:szCs w:val="22"/>
              </w:rPr>
            </w:pPr>
            <w:r w:rsidRPr="00317ABF">
              <w:rPr>
                <w:bCs/>
                <w:sz w:val="22"/>
                <w:szCs w:val="22"/>
              </w:rPr>
              <w:t>4)</w:t>
            </w:r>
            <w:r w:rsidR="00F21DFD" w:rsidRPr="00317ABF">
              <w:rPr>
                <w:bCs/>
                <w:sz w:val="22"/>
                <w:szCs w:val="22"/>
              </w:rPr>
              <w:t>inne wymagane informacje, o których mowa w przepisach wykonawczych wydanych na podstawie ust. 8.</w:t>
            </w:r>
          </w:p>
          <w:p w14:paraId="5330E9EB" w14:textId="77777777" w:rsidR="00F21DFD" w:rsidRPr="00317ABF" w:rsidRDefault="00F21DFD" w:rsidP="00F21DFD">
            <w:pPr>
              <w:spacing w:after="120"/>
              <w:jc w:val="both"/>
              <w:rPr>
                <w:bCs/>
                <w:sz w:val="22"/>
                <w:szCs w:val="22"/>
              </w:rPr>
            </w:pPr>
            <w:r w:rsidRPr="00317ABF">
              <w:rPr>
                <w:bCs/>
                <w:sz w:val="22"/>
                <w:szCs w:val="22"/>
              </w:rPr>
              <w:t>4. Kryteriami wyboru przedsiębiorcy w konkursie są najniższy prognozowany koszt netto realizacji obowiązku, o którym mowa w ust. 3 pkt 1, oraz zdolność ekonomiczna i techniczna przedsiębiorcy do realizacji tego obowiązku.</w:t>
            </w:r>
          </w:p>
          <w:p w14:paraId="168AAE6C" w14:textId="77777777" w:rsidR="00F21DFD" w:rsidRPr="00317ABF" w:rsidRDefault="00F21DFD" w:rsidP="00F21DFD">
            <w:pPr>
              <w:spacing w:after="120"/>
              <w:jc w:val="both"/>
              <w:rPr>
                <w:bCs/>
                <w:sz w:val="22"/>
                <w:szCs w:val="22"/>
              </w:rPr>
            </w:pPr>
            <w:r w:rsidRPr="00317ABF">
              <w:rPr>
                <w:bCs/>
                <w:sz w:val="22"/>
                <w:szCs w:val="22"/>
              </w:rPr>
              <w:t xml:space="preserve">5. Do przeprowadzenia postępowania konkursowego Prezes UKE powołuje Komisję konkursową składającą się z pracowników UKE posiadających </w:t>
            </w:r>
            <w:r w:rsidRPr="00317ABF">
              <w:rPr>
                <w:bCs/>
                <w:sz w:val="22"/>
                <w:szCs w:val="22"/>
              </w:rPr>
              <w:lastRenderedPageBreak/>
              <w:t>wiedzę i doświadczenie niezbędne do przeprowadzenia konkursu. Komisja dokonuje badania ofert w dwóch etapach.</w:t>
            </w:r>
          </w:p>
          <w:p w14:paraId="615214BD" w14:textId="77777777" w:rsidR="00F21DFD" w:rsidRPr="00317ABF" w:rsidRDefault="00F21DFD" w:rsidP="00F21DFD">
            <w:pPr>
              <w:spacing w:after="120"/>
              <w:jc w:val="both"/>
              <w:rPr>
                <w:bCs/>
                <w:sz w:val="22"/>
                <w:szCs w:val="22"/>
              </w:rPr>
            </w:pPr>
            <w:r w:rsidRPr="00317ABF">
              <w:rPr>
                <w:bCs/>
                <w:sz w:val="22"/>
                <w:szCs w:val="22"/>
              </w:rPr>
              <w:t>6. Prezes UKE, w drodze decyzji, wyznacza wybranego w konkursie przedsiębiorcę do realizacji obowiązku będącego przedmiotem konkursu.</w:t>
            </w:r>
          </w:p>
          <w:p w14:paraId="24F276A5" w14:textId="77777777" w:rsidR="00F21DFD" w:rsidRPr="00317ABF" w:rsidRDefault="00F21DFD" w:rsidP="00F21DFD">
            <w:pPr>
              <w:spacing w:after="120"/>
              <w:jc w:val="both"/>
              <w:rPr>
                <w:bCs/>
                <w:sz w:val="22"/>
                <w:szCs w:val="22"/>
              </w:rPr>
            </w:pPr>
            <w:r w:rsidRPr="00317ABF">
              <w:rPr>
                <w:bCs/>
                <w:sz w:val="22"/>
                <w:szCs w:val="22"/>
              </w:rPr>
              <w:t>7. W decyzji, o której mowa w ust. 6, której przedmiotem jest nałożenie obowiązku oferowania specjalnego pakietu cenowego, Prezes UKE może dodatkowo nałożyć obowiązek stosowania jednolitych cen w ramach specjalnego pakietu cenowego, na obszarze świadczenia usługi, której dotyczy ten pakiet.</w:t>
            </w:r>
          </w:p>
          <w:p w14:paraId="04BE6592" w14:textId="77777777" w:rsidR="00F21DFD" w:rsidRPr="00317ABF" w:rsidRDefault="00F21DFD" w:rsidP="00F21DFD">
            <w:pPr>
              <w:spacing w:after="120"/>
              <w:jc w:val="both"/>
              <w:rPr>
                <w:bCs/>
                <w:sz w:val="22"/>
                <w:szCs w:val="22"/>
              </w:rPr>
            </w:pPr>
            <w:r w:rsidRPr="00317ABF">
              <w:rPr>
                <w:bCs/>
                <w:sz w:val="22"/>
                <w:szCs w:val="22"/>
              </w:rPr>
              <w:t>8. Minister właściwy do spraw informatyzacji określi, w drodze rozporządzenia, szczegółowy zakres ogłoszenia o konkursie, oferty konkursowej i wymaganej dokumentacji oraz szczegółowy tryb postępowania konkursowego w sprawie wyłonienia przedsiębiorcy wyznaczonego, mając na uwadze potrzebę zachowania przejrzystości i obiektywności postępowania.</w:t>
            </w:r>
          </w:p>
          <w:p w14:paraId="174B4C69" w14:textId="77777777" w:rsidR="00F21DFD" w:rsidRPr="00317ABF" w:rsidRDefault="00F21DFD" w:rsidP="00F21DFD">
            <w:pPr>
              <w:spacing w:after="120"/>
              <w:jc w:val="both"/>
              <w:rPr>
                <w:sz w:val="22"/>
                <w:szCs w:val="22"/>
              </w:rPr>
            </w:pPr>
            <w:r w:rsidRPr="00317ABF">
              <w:rPr>
                <w:b/>
                <w:sz w:val="22"/>
                <w:szCs w:val="22"/>
              </w:rPr>
              <w:t>Art. 356.</w:t>
            </w:r>
            <w:r w:rsidRPr="00317ABF">
              <w:rPr>
                <w:sz w:val="22"/>
                <w:szCs w:val="22"/>
              </w:rPr>
              <w:t xml:space="preserve"> Jeżeli:</w:t>
            </w:r>
          </w:p>
          <w:p w14:paraId="3EBF1EBA" w14:textId="087739B0" w:rsidR="00F21DFD" w:rsidRPr="00317ABF" w:rsidRDefault="00A52210" w:rsidP="00F21DFD">
            <w:pPr>
              <w:spacing w:after="120"/>
              <w:jc w:val="both"/>
              <w:rPr>
                <w:bCs/>
                <w:sz w:val="22"/>
                <w:szCs w:val="22"/>
              </w:rPr>
            </w:pPr>
            <w:r w:rsidRPr="00317ABF">
              <w:rPr>
                <w:bCs/>
                <w:sz w:val="22"/>
                <w:szCs w:val="22"/>
              </w:rPr>
              <w:t>1)</w:t>
            </w:r>
            <w:r w:rsidR="00F21DFD" w:rsidRPr="00317ABF">
              <w:rPr>
                <w:bCs/>
                <w:sz w:val="22"/>
                <w:szCs w:val="22"/>
              </w:rPr>
              <w:t>do konkursu w terminie wskazanym w ogłoszeniu nie przystąpił żaden przedsiębiorca telekomunikacyjny,</w:t>
            </w:r>
          </w:p>
          <w:p w14:paraId="450AA375" w14:textId="16A41075" w:rsidR="00F21DFD" w:rsidRPr="00317ABF" w:rsidRDefault="00A52210" w:rsidP="00F21DFD">
            <w:pPr>
              <w:spacing w:after="120"/>
              <w:jc w:val="both"/>
              <w:rPr>
                <w:bCs/>
                <w:sz w:val="22"/>
                <w:szCs w:val="22"/>
              </w:rPr>
            </w:pPr>
            <w:r w:rsidRPr="00317ABF">
              <w:rPr>
                <w:bCs/>
                <w:sz w:val="22"/>
                <w:szCs w:val="22"/>
              </w:rPr>
              <w:t>2)</w:t>
            </w:r>
            <w:r w:rsidR="00F21DFD" w:rsidRPr="00317ABF">
              <w:rPr>
                <w:bCs/>
                <w:sz w:val="22"/>
                <w:szCs w:val="22"/>
              </w:rPr>
              <w:t>żaden z uczestników konkursu nie spełnił warunków uczestnictwa w konkursie,</w:t>
            </w:r>
          </w:p>
          <w:p w14:paraId="442D89D5" w14:textId="6C20DAE0" w:rsidR="00F21DFD" w:rsidRPr="00317ABF" w:rsidRDefault="00A52210" w:rsidP="00F21DFD">
            <w:pPr>
              <w:spacing w:after="120"/>
              <w:jc w:val="both"/>
              <w:rPr>
                <w:bCs/>
                <w:sz w:val="22"/>
                <w:szCs w:val="22"/>
              </w:rPr>
            </w:pPr>
            <w:r w:rsidRPr="00317ABF">
              <w:rPr>
                <w:bCs/>
                <w:sz w:val="22"/>
                <w:szCs w:val="22"/>
              </w:rPr>
              <w:t>3)</w:t>
            </w:r>
            <w:r w:rsidR="00F21DFD" w:rsidRPr="00317ABF">
              <w:rPr>
                <w:bCs/>
                <w:sz w:val="22"/>
                <w:szCs w:val="22"/>
              </w:rPr>
              <w:t>żaden z uczestników konkursu nie zapewni realizacji obowiązku będącego przedmiotem konkursu</w:t>
            </w:r>
          </w:p>
          <w:p w14:paraId="55953B1B" w14:textId="5A3A8604" w:rsidR="001E1112" w:rsidRPr="00317ABF" w:rsidRDefault="00F21DFD" w:rsidP="00F21DFD">
            <w:pPr>
              <w:spacing w:after="120"/>
              <w:jc w:val="both"/>
              <w:rPr>
                <w:bCs/>
                <w:sz w:val="22"/>
                <w:szCs w:val="22"/>
              </w:rPr>
            </w:pPr>
            <w:r w:rsidRPr="00317ABF">
              <w:rPr>
                <w:bCs/>
                <w:sz w:val="22"/>
                <w:szCs w:val="22"/>
              </w:rPr>
              <w:t>- Prezes UKE wyznacza, w drodze decyzji, przedsiębiorcę telekomunikacyjnego do realizacji obowiązku będącego przedmiotem konkursu, biorąc pod uwagę jego zdolność do realizacji tego obowiązku na danym obszarze.</w:t>
            </w:r>
          </w:p>
        </w:tc>
      </w:tr>
      <w:tr w:rsidR="001E1112" w:rsidRPr="00317ABF" w14:paraId="13CEDB69" w14:textId="77777777" w:rsidTr="7753F98D">
        <w:trPr>
          <w:gridAfter w:val="2"/>
          <w:wAfter w:w="175" w:type="dxa"/>
        </w:trPr>
        <w:tc>
          <w:tcPr>
            <w:tcW w:w="704" w:type="dxa"/>
          </w:tcPr>
          <w:p w14:paraId="7007F492" w14:textId="77777777" w:rsidR="001E1112" w:rsidRPr="00317ABF" w:rsidRDefault="001E1112" w:rsidP="00DB3BEC">
            <w:pPr>
              <w:jc w:val="both"/>
              <w:rPr>
                <w:sz w:val="22"/>
                <w:szCs w:val="22"/>
              </w:rPr>
            </w:pPr>
            <w:r w:rsidRPr="00317ABF">
              <w:rPr>
                <w:sz w:val="22"/>
                <w:szCs w:val="22"/>
              </w:rPr>
              <w:lastRenderedPageBreak/>
              <w:t>Art. 86 ust. 5</w:t>
            </w:r>
          </w:p>
        </w:tc>
        <w:tc>
          <w:tcPr>
            <w:tcW w:w="4308" w:type="dxa"/>
          </w:tcPr>
          <w:p w14:paraId="35122E4D" w14:textId="77777777" w:rsidR="001E1112" w:rsidRPr="00317ABF" w:rsidRDefault="001E1112" w:rsidP="00DB3BEC">
            <w:pPr>
              <w:spacing w:before="120"/>
              <w:jc w:val="both"/>
              <w:rPr>
                <w:sz w:val="22"/>
                <w:szCs w:val="22"/>
              </w:rPr>
            </w:pPr>
            <w:r w:rsidRPr="00317ABF">
              <w:rPr>
                <w:sz w:val="22"/>
                <w:szCs w:val="22"/>
              </w:rPr>
              <w:t xml:space="preserve">5.   W przypadku gdy przedsiębiorstwo wyznaczone zgodnie z ust. 3 niniejszego artykułu zamierza zbyć znaczną część lub całość swoich aktywów składających się na jego lokalną sieć dostępu na rzecz odrębnego podmiotu prawnego należącego do innego właściciela, informuje ono krajowy organ regulacyjny lub inny właściwy organ z góry </w:t>
            </w:r>
            <w:r w:rsidRPr="00317ABF">
              <w:rPr>
                <w:sz w:val="22"/>
                <w:szCs w:val="22"/>
              </w:rPr>
              <w:lastRenderedPageBreak/>
              <w:t>i w odpowiednim czasie, aby umożliwić temu organowi ocenę wpływu zamierzonej transakcji na zapewnianie w stałej lokalizacji usługi adekwatnego szerokopasmowego dostępu do internetu określonej zgodnie z art. 84 ust. 3 oraz usługi łączności głosowej. Krajowy organ regulacyjny lub inny właściwy organ może nałożyć, zmienić lub uchylić szczególne obowiązki zgodnie z art. 13 ust. 2.</w:t>
            </w:r>
          </w:p>
        </w:tc>
        <w:tc>
          <w:tcPr>
            <w:tcW w:w="986" w:type="dxa"/>
          </w:tcPr>
          <w:p w14:paraId="48D333DC" w14:textId="2BAD1FD3" w:rsidR="001E1112" w:rsidRPr="00317ABF" w:rsidRDefault="001E1112" w:rsidP="00DB3BEC">
            <w:pPr>
              <w:jc w:val="both"/>
              <w:rPr>
                <w:rFonts w:eastAsiaTheme="minorEastAsia"/>
                <w:b/>
                <w:bCs/>
                <w:sz w:val="22"/>
                <w:szCs w:val="22"/>
              </w:rPr>
            </w:pPr>
            <w:r w:rsidRPr="00317ABF">
              <w:rPr>
                <w:rFonts w:eastAsiaTheme="minorEastAsia"/>
                <w:b/>
                <w:bCs/>
                <w:sz w:val="22"/>
                <w:szCs w:val="22"/>
              </w:rPr>
              <w:lastRenderedPageBreak/>
              <w:t>T</w:t>
            </w:r>
          </w:p>
        </w:tc>
        <w:tc>
          <w:tcPr>
            <w:tcW w:w="910" w:type="dxa"/>
          </w:tcPr>
          <w:p w14:paraId="6CEC5866" w14:textId="0E9CB008" w:rsidR="001E1112" w:rsidRPr="00317ABF" w:rsidRDefault="00350F66" w:rsidP="00DB3BEC">
            <w:pPr>
              <w:pStyle w:val="Tekstpodstawowy"/>
              <w:rPr>
                <w:rFonts w:eastAsiaTheme="minorEastAsia"/>
                <w:b/>
                <w:bCs/>
                <w:noProof/>
                <w:sz w:val="22"/>
                <w:szCs w:val="22"/>
              </w:rPr>
            </w:pPr>
            <w:r w:rsidRPr="00317ABF">
              <w:rPr>
                <w:rFonts w:eastAsiaTheme="minorEastAsia"/>
                <w:b/>
                <w:bCs/>
                <w:sz w:val="22"/>
                <w:szCs w:val="22"/>
              </w:rPr>
              <w:t>Art. 363. 1</w:t>
            </w:r>
          </w:p>
        </w:tc>
        <w:tc>
          <w:tcPr>
            <w:tcW w:w="6814" w:type="dxa"/>
            <w:gridSpan w:val="2"/>
          </w:tcPr>
          <w:p w14:paraId="2F43DA22" w14:textId="1AD4C689" w:rsidR="00350F66" w:rsidRPr="00317ABF" w:rsidRDefault="00350F66" w:rsidP="00350F66">
            <w:pPr>
              <w:pStyle w:val="Tekstpodstawowy"/>
              <w:rPr>
                <w:rFonts w:ascii="Times" w:hAnsi="Times" w:cs="Arial"/>
                <w:bCs/>
                <w:sz w:val="22"/>
                <w:szCs w:val="22"/>
              </w:rPr>
            </w:pPr>
            <w:r w:rsidRPr="00317ABF">
              <w:rPr>
                <w:rFonts w:ascii="Times" w:hAnsi="Times" w:cs="Arial"/>
                <w:bCs/>
                <w:sz w:val="22"/>
                <w:szCs w:val="22"/>
              </w:rPr>
              <w:t>363. 1. W przypadku gdy przedsiębiorca wyznaczony do realizacji obowiązku świadczenia usługi zamierza zbyć całość lub znaczną część środków majątkowych lokalnej sieci dostępu, na rzecz odrębnego podmiotu należącego do innego właściciela, zawiadamia o tym Prezesa UKE, najpóźniej na sześć miesięcy przed planowanym przeniesieniem środków majątkowych.</w:t>
            </w:r>
          </w:p>
          <w:p w14:paraId="5914071E" w14:textId="77777777" w:rsidR="00350F66" w:rsidRPr="00317ABF" w:rsidRDefault="00350F66" w:rsidP="00350F66">
            <w:pPr>
              <w:pStyle w:val="Tekstpodstawowy"/>
              <w:rPr>
                <w:rFonts w:ascii="Times" w:hAnsi="Times" w:cs="Arial"/>
                <w:bCs/>
                <w:sz w:val="22"/>
                <w:szCs w:val="22"/>
              </w:rPr>
            </w:pPr>
            <w:r w:rsidRPr="00317ABF">
              <w:rPr>
                <w:rFonts w:ascii="Times" w:hAnsi="Times" w:cs="Arial"/>
                <w:bCs/>
                <w:sz w:val="22"/>
                <w:szCs w:val="22"/>
              </w:rPr>
              <w:t xml:space="preserve">2. Prezes UKE może w drodze decyzji nałożyć, zmienić lub uchylić obowiązek świadczenia usługi, biorąc pod uwagę wpływ zbycia środków, o </w:t>
            </w:r>
            <w:r w:rsidRPr="00317ABF">
              <w:rPr>
                <w:rFonts w:ascii="Times" w:hAnsi="Times" w:cs="Arial"/>
                <w:bCs/>
                <w:sz w:val="22"/>
                <w:szCs w:val="22"/>
              </w:rPr>
              <w:lastRenderedPageBreak/>
              <w:t>których mowa w ust. 1, na realizację tego obowiązku, stan rynku telekomunikacyjnego w zakresie dostępności i jakości świadczenia tej usługi oraz planowane i realizowane przedsięwzięcia inwestycyjne oraz zdolność przedsiębiorcy telekomunikacyjnego do realizacji tego obowiązku na danym obszarze.</w:t>
            </w:r>
          </w:p>
          <w:p w14:paraId="7061EFA6" w14:textId="2417D4D2" w:rsidR="00350F66" w:rsidRPr="00317ABF" w:rsidRDefault="00350F66" w:rsidP="00350F66">
            <w:pPr>
              <w:pStyle w:val="Tekstpodstawowy"/>
              <w:rPr>
                <w:rFonts w:ascii="Times" w:hAnsi="Times" w:cs="Arial"/>
                <w:bCs/>
                <w:sz w:val="22"/>
                <w:szCs w:val="22"/>
              </w:rPr>
            </w:pPr>
            <w:r w:rsidRPr="00317ABF">
              <w:rPr>
                <w:rFonts w:ascii="Times" w:hAnsi="Times" w:cs="Arial"/>
                <w:bCs/>
                <w:sz w:val="22"/>
                <w:szCs w:val="22"/>
              </w:rPr>
              <w:t>3. Do wydania decyzji, o której mowa w ust. 2, art. 357ust. 1, stosuje się odpowiednio.</w:t>
            </w:r>
          </w:p>
          <w:p w14:paraId="7A6AB1B7" w14:textId="77777777" w:rsidR="001E1112" w:rsidRPr="00317ABF" w:rsidRDefault="001E1112" w:rsidP="00350F66">
            <w:pPr>
              <w:pStyle w:val="USTustnpkodeksu"/>
              <w:spacing w:line="240" w:lineRule="auto"/>
              <w:ind w:firstLine="0"/>
              <w:rPr>
                <w:sz w:val="22"/>
                <w:szCs w:val="22"/>
              </w:rPr>
            </w:pPr>
          </w:p>
        </w:tc>
      </w:tr>
      <w:tr w:rsidR="001E1112" w:rsidRPr="00317ABF" w14:paraId="12F92B66" w14:textId="77777777" w:rsidTr="7753F98D">
        <w:trPr>
          <w:gridAfter w:val="2"/>
          <w:wAfter w:w="175" w:type="dxa"/>
        </w:trPr>
        <w:tc>
          <w:tcPr>
            <w:tcW w:w="704" w:type="dxa"/>
          </w:tcPr>
          <w:p w14:paraId="201EB1F4" w14:textId="77777777" w:rsidR="001E1112" w:rsidRPr="00317ABF" w:rsidRDefault="001E1112" w:rsidP="00DB3BEC">
            <w:pPr>
              <w:jc w:val="both"/>
              <w:rPr>
                <w:b/>
                <w:sz w:val="22"/>
                <w:szCs w:val="22"/>
              </w:rPr>
            </w:pPr>
            <w:r w:rsidRPr="00317ABF">
              <w:rPr>
                <w:b/>
                <w:sz w:val="22"/>
                <w:szCs w:val="22"/>
              </w:rPr>
              <w:lastRenderedPageBreak/>
              <w:t>Art. 87</w:t>
            </w:r>
          </w:p>
        </w:tc>
        <w:tc>
          <w:tcPr>
            <w:tcW w:w="4308" w:type="dxa"/>
          </w:tcPr>
          <w:p w14:paraId="4EE6AD41" w14:textId="77777777" w:rsidR="001E1112" w:rsidRPr="00317ABF" w:rsidRDefault="001E1112" w:rsidP="00DB3BEC">
            <w:pPr>
              <w:spacing w:before="60" w:after="120"/>
              <w:jc w:val="both"/>
              <w:rPr>
                <w:b/>
                <w:bCs/>
                <w:sz w:val="22"/>
                <w:szCs w:val="22"/>
              </w:rPr>
            </w:pPr>
            <w:r w:rsidRPr="00317ABF">
              <w:rPr>
                <w:b/>
                <w:bCs/>
                <w:sz w:val="22"/>
                <w:szCs w:val="22"/>
              </w:rPr>
              <w:t>Status dotychczasowej usługi powszechnej</w:t>
            </w:r>
          </w:p>
          <w:p w14:paraId="4D319961" w14:textId="2CEC9755" w:rsidR="001E1112" w:rsidRPr="00317ABF" w:rsidRDefault="001E1112" w:rsidP="00DB3BEC">
            <w:pPr>
              <w:spacing w:before="120"/>
              <w:jc w:val="both"/>
              <w:rPr>
                <w:sz w:val="22"/>
                <w:szCs w:val="22"/>
              </w:rPr>
            </w:pPr>
            <w:r w:rsidRPr="00317ABF">
              <w:rPr>
                <w:sz w:val="22"/>
                <w:szCs w:val="22"/>
              </w:rPr>
              <w:t>Państwa członkowskie mogą nadal zapewniać dostępność lub przystępność cenową innych usług niż usługa adekwatnego szerokopasmowego dostępu do internetu określona zgodnie art. 83 ust. 3 i usługi łączności głosowej w stałej lokalizacji, które obowiązywały przed 20 grudnia 2018 r., jeżeli zapotrzebowanie na te usługi zostanie stwierdzone w świetle warunków krajowych. W przypadku wyznaczenia przez państwa członkowskie przedsiębiorstw na części lub całości ich krajowego terytorium do celów świadczenia tych usług stosuje się art. 86. Finansowanie tych obowiązków mus</w:t>
            </w:r>
            <w:r w:rsidR="006A4960" w:rsidRPr="00317ABF">
              <w:rPr>
                <w:sz w:val="22"/>
                <w:szCs w:val="22"/>
              </w:rPr>
              <w:t xml:space="preserve">i przebiegać zgodnie z art. 90. </w:t>
            </w:r>
            <w:r w:rsidRPr="00317ABF">
              <w:rPr>
                <w:sz w:val="22"/>
                <w:szCs w:val="22"/>
              </w:rPr>
              <w:t>Państwa członkowskie dokonują przeglądu obowiązków nałożonych na podstawie niniejszego artykułu do 21 grudnia 2021 r., a następnie co trzy lata.</w:t>
            </w:r>
          </w:p>
        </w:tc>
        <w:tc>
          <w:tcPr>
            <w:tcW w:w="986" w:type="dxa"/>
          </w:tcPr>
          <w:p w14:paraId="38528073" w14:textId="59BEF0AD" w:rsidR="001E1112" w:rsidRPr="00317ABF" w:rsidRDefault="001E1112" w:rsidP="00DB3BEC">
            <w:pPr>
              <w:jc w:val="both"/>
              <w:rPr>
                <w:sz w:val="22"/>
                <w:szCs w:val="22"/>
              </w:rPr>
            </w:pPr>
            <w:r w:rsidRPr="00317ABF">
              <w:rPr>
                <w:sz w:val="22"/>
                <w:szCs w:val="22"/>
              </w:rPr>
              <w:t>N</w:t>
            </w:r>
          </w:p>
        </w:tc>
        <w:tc>
          <w:tcPr>
            <w:tcW w:w="910" w:type="dxa"/>
          </w:tcPr>
          <w:p w14:paraId="7ED476FB" w14:textId="77777777" w:rsidR="001E1112" w:rsidRPr="00317ABF" w:rsidRDefault="001E1112" w:rsidP="00DB3BEC">
            <w:pPr>
              <w:pStyle w:val="Tekstpodstawowy"/>
              <w:rPr>
                <w:b/>
                <w:noProof/>
                <w:sz w:val="22"/>
                <w:szCs w:val="22"/>
              </w:rPr>
            </w:pPr>
          </w:p>
        </w:tc>
        <w:tc>
          <w:tcPr>
            <w:tcW w:w="6814" w:type="dxa"/>
            <w:gridSpan w:val="2"/>
          </w:tcPr>
          <w:p w14:paraId="5FC95034" w14:textId="0D2411AA" w:rsidR="001E1112" w:rsidRPr="00317ABF" w:rsidRDefault="001E1112" w:rsidP="00DB3BEC">
            <w:pPr>
              <w:pStyle w:val="USTustnpkodeksu"/>
              <w:spacing w:line="240" w:lineRule="auto"/>
              <w:ind w:firstLine="0"/>
              <w:rPr>
                <w:rFonts w:ascii="Times New Roman" w:hAnsi="Times New Roman" w:cs="Times New Roman"/>
                <w:sz w:val="22"/>
                <w:szCs w:val="22"/>
              </w:rPr>
            </w:pPr>
            <w:r w:rsidRPr="00317ABF">
              <w:rPr>
                <w:rFonts w:ascii="Times New Roman" w:hAnsi="Times New Roman" w:cs="Times New Roman"/>
                <w:sz w:val="22"/>
                <w:szCs w:val="22"/>
              </w:rPr>
              <w:t>Nie ma przedsiębiorcy wyznaczonego od 2011 r. więc nie ma potrzeby implementacji tego przepisu.</w:t>
            </w:r>
          </w:p>
        </w:tc>
      </w:tr>
      <w:tr w:rsidR="001E1112" w:rsidRPr="00317ABF" w14:paraId="7FB63A60" w14:textId="77777777" w:rsidTr="7753F98D">
        <w:trPr>
          <w:gridAfter w:val="2"/>
          <w:wAfter w:w="175" w:type="dxa"/>
        </w:trPr>
        <w:tc>
          <w:tcPr>
            <w:tcW w:w="704" w:type="dxa"/>
          </w:tcPr>
          <w:p w14:paraId="4C030064" w14:textId="77777777" w:rsidR="001E1112" w:rsidRPr="00317ABF" w:rsidRDefault="001E1112" w:rsidP="00DB3BEC">
            <w:pPr>
              <w:jc w:val="both"/>
              <w:rPr>
                <w:b/>
                <w:sz w:val="22"/>
                <w:szCs w:val="22"/>
              </w:rPr>
            </w:pPr>
            <w:r w:rsidRPr="00317ABF">
              <w:rPr>
                <w:b/>
                <w:sz w:val="22"/>
                <w:szCs w:val="22"/>
              </w:rPr>
              <w:t>Art. 88</w:t>
            </w:r>
          </w:p>
        </w:tc>
        <w:tc>
          <w:tcPr>
            <w:tcW w:w="4308" w:type="dxa"/>
          </w:tcPr>
          <w:p w14:paraId="13A91260" w14:textId="77777777" w:rsidR="001E1112" w:rsidRPr="00317ABF" w:rsidRDefault="001E1112" w:rsidP="00DB3BEC">
            <w:pPr>
              <w:spacing w:before="120"/>
              <w:jc w:val="both"/>
              <w:rPr>
                <w:sz w:val="22"/>
                <w:szCs w:val="22"/>
              </w:rPr>
            </w:pPr>
            <w:r w:rsidRPr="00317ABF">
              <w:rPr>
                <w:b/>
                <w:bCs/>
                <w:sz w:val="22"/>
                <w:szCs w:val="22"/>
              </w:rPr>
              <w:t>Kontrola wydatków</w:t>
            </w:r>
          </w:p>
        </w:tc>
        <w:tc>
          <w:tcPr>
            <w:tcW w:w="986" w:type="dxa"/>
          </w:tcPr>
          <w:p w14:paraId="228C12D6" w14:textId="77777777" w:rsidR="001E1112" w:rsidRPr="00317ABF" w:rsidRDefault="001E1112" w:rsidP="00DB3BEC">
            <w:pPr>
              <w:jc w:val="both"/>
              <w:rPr>
                <w:sz w:val="22"/>
                <w:szCs w:val="22"/>
              </w:rPr>
            </w:pPr>
          </w:p>
        </w:tc>
        <w:tc>
          <w:tcPr>
            <w:tcW w:w="910" w:type="dxa"/>
          </w:tcPr>
          <w:p w14:paraId="000CBB84" w14:textId="77777777" w:rsidR="001E1112" w:rsidRPr="00317ABF" w:rsidRDefault="001E1112" w:rsidP="00DB3BEC">
            <w:pPr>
              <w:pStyle w:val="Tekstpodstawowy"/>
              <w:rPr>
                <w:b/>
                <w:noProof/>
                <w:sz w:val="22"/>
                <w:szCs w:val="22"/>
              </w:rPr>
            </w:pPr>
          </w:p>
        </w:tc>
        <w:tc>
          <w:tcPr>
            <w:tcW w:w="6814" w:type="dxa"/>
            <w:gridSpan w:val="2"/>
          </w:tcPr>
          <w:p w14:paraId="5B2F7827" w14:textId="77777777" w:rsidR="001E1112" w:rsidRPr="00317ABF" w:rsidRDefault="001E1112" w:rsidP="00DB3BEC">
            <w:pPr>
              <w:pStyle w:val="Tekstpodstawowy"/>
              <w:rPr>
                <w:sz w:val="22"/>
                <w:szCs w:val="22"/>
              </w:rPr>
            </w:pPr>
          </w:p>
        </w:tc>
      </w:tr>
      <w:tr w:rsidR="001E1112" w:rsidRPr="00317ABF" w14:paraId="03F2C102" w14:textId="77777777" w:rsidTr="7753F98D">
        <w:trPr>
          <w:gridAfter w:val="2"/>
          <w:wAfter w:w="175" w:type="dxa"/>
        </w:trPr>
        <w:tc>
          <w:tcPr>
            <w:tcW w:w="704" w:type="dxa"/>
          </w:tcPr>
          <w:p w14:paraId="3B3F04C2" w14:textId="77777777" w:rsidR="001E1112" w:rsidRPr="00317ABF" w:rsidRDefault="001E1112" w:rsidP="00DB3BEC">
            <w:pPr>
              <w:jc w:val="both"/>
              <w:rPr>
                <w:sz w:val="22"/>
                <w:szCs w:val="22"/>
              </w:rPr>
            </w:pPr>
            <w:r w:rsidRPr="00317ABF">
              <w:rPr>
                <w:sz w:val="22"/>
                <w:szCs w:val="22"/>
              </w:rPr>
              <w:t>Art. 88 ust. 1</w:t>
            </w:r>
          </w:p>
        </w:tc>
        <w:tc>
          <w:tcPr>
            <w:tcW w:w="4308" w:type="dxa"/>
          </w:tcPr>
          <w:p w14:paraId="430D84D0" w14:textId="77777777" w:rsidR="001E1112" w:rsidRPr="00317ABF" w:rsidRDefault="001E1112" w:rsidP="00DB3BEC">
            <w:pPr>
              <w:spacing w:before="120"/>
              <w:jc w:val="both"/>
              <w:rPr>
                <w:sz w:val="22"/>
                <w:szCs w:val="22"/>
              </w:rPr>
            </w:pPr>
            <w:r w:rsidRPr="00317ABF">
              <w:rPr>
                <w:sz w:val="22"/>
                <w:szCs w:val="22"/>
              </w:rPr>
              <w:t xml:space="preserve">1.   Państwa członkowskie zapewniają, aby przy zapewnieniu urządzeń i świadczeniu usług dodatkowych wobec tych, o których mowa w art. art. 84 dostawcy usługi adekwatnego szerokopasmowego dostępu do internetu i usług połączeń głosowych zgodnie z art. 84–87 ustanawiały warunki w taki sposób, aby </w:t>
            </w:r>
            <w:r w:rsidRPr="00317ABF">
              <w:rPr>
                <w:sz w:val="22"/>
                <w:szCs w:val="22"/>
              </w:rPr>
              <w:lastRenderedPageBreak/>
              <w:t>użytkownik końcowy nie był zobligowany do płacenia za usługi dodatkowe lub usługi, które nie są konieczne lub wymagane dla zamówionej usługi.</w:t>
            </w:r>
          </w:p>
        </w:tc>
        <w:tc>
          <w:tcPr>
            <w:tcW w:w="986" w:type="dxa"/>
          </w:tcPr>
          <w:p w14:paraId="602FD7B7" w14:textId="3BC6610D" w:rsidR="001E1112" w:rsidRPr="00317ABF" w:rsidRDefault="001E1112" w:rsidP="00DB3BEC">
            <w:pPr>
              <w:jc w:val="both"/>
              <w:rPr>
                <w:sz w:val="22"/>
                <w:szCs w:val="22"/>
              </w:rPr>
            </w:pPr>
            <w:r w:rsidRPr="00317ABF">
              <w:rPr>
                <w:sz w:val="22"/>
                <w:szCs w:val="22"/>
              </w:rPr>
              <w:lastRenderedPageBreak/>
              <w:t>T</w:t>
            </w:r>
          </w:p>
        </w:tc>
        <w:tc>
          <w:tcPr>
            <w:tcW w:w="910" w:type="dxa"/>
          </w:tcPr>
          <w:p w14:paraId="570485E5" w14:textId="53F2F13B" w:rsidR="001E1112" w:rsidRPr="00317ABF" w:rsidRDefault="001E1112" w:rsidP="00DB3BEC">
            <w:pPr>
              <w:pStyle w:val="Tekstpodstawowy"/>
              <w:rPr>
                <w:b/>
                <w:noProof/>
                <w:sz w:val="22"/>
                <w:szCs w:val="22"/>
              </w:rPr>
            </w:pPr>
            <w:r w:rsidRPr="00317ABF">
              <w:rPr>
                <w:b/>
                <w:noProof/>
                <w:sz w:val="22"/>
                <w:szCs w:val="22"/>
              </w:rPr>
              <w:t>A</w:t>
            </w:r>
            <w:r w:rsidR="00DB7635" w:rsidRPr="00317ABF">
              <w:rPr>
                <w:b/>
                <w:noProof/>
                <w:sz w:val="22"/>
                <w:szCs w:val="22"/>
              </w:rPr>
              <w:t>rt. 350 ust. 4</w:t>
            </w:r>
          </w:p>
        </w:tc>
        <w:tc>
          <w:tcPr>
            <w:tcW w:w="6814" w:type="dxa"/>
            <w:gridSpan w:val="2"/>
          </w:tcPr>
          <w:p w14:paraId="37D88F3D" w14:textId="77777777" w:rsidR="00DB7635" w:rsidRPr="00317ABF" w:rsidRDefault="00DB7635" w:rsidP="00DB7635">
            <w:pPr>
              <w:pStyle w:val="USTustnpkodeksu"/>
              <w:spacing w:line="240" w:lineRule="auto"/>
              <w:ind w:firstLine="0"/>
              <w:rPr>
                <w:b/>
                <w:sz w:val="22"/>
                <w:szCs w:val="22"/>
              </w:rPr>
            </w:pPr>
            <w:r w:rsidRPr="00317ABF">
              <w:rPr>
                <w:b/>
                <w:sz w:val="22"/>
                <w:szCs w:val="22"/>
              </w:rPr>
              <w:t>Art. 350</w:t>
            </w:r>
          </w:p>
          <w:p w14:paraId="53E0A60E" w14:textId="77777777" w:rsidR="00DB7635" w:rsidRPr="00317ABF" w:rsidRDefault="00DB7635" w:rsidP="00DB7635">
            <w:pPr>
              <w:pStyle w:val="USTustnpkodeksu"/>
              <w:spacing w:line="240" w:lineRule="auto"/>
              <w:ind w:firstLine="0"/>
              <w:rPr>
                <w:sz w:val="22"/>
                <w:szCs w:val="22"/>
              </w:rPr>
            </w:pPr>
            <w:r w:rsidRPr="00317ABF">
              <w:rPr>
                <w:sz w:val="22"/>
                <w:szCs w:val="22"/>
              </w:rPr>
              <w:t>4. Przedsiębiorca świadczący usługi, o których mowa w ust. 1, dostarczając usługi dodatkowe w stosunku do tych usług ustanawia warunki korzystania z usług w taki sposób, aby konsument nie był zobligowany do płacenia za usługi dodatkowe lub usługi, które nie są konieczne lub wymagane do świadczenia zamówionej usługi.</w:t>
            </w:r>
          </w:p>
          <w:p w14:paraId="6AA4F0F0" w14:textId="79366BF5" w:rsidR="001E1112" w:rsidRPr="00317ABF" w:rsidRDefault="001E1112" w:rsidP="00DB7635">
            <w:pPr>
              <w:pStyle w:val="USTustnpkodeksu"/>
              <w:spacing w:line="240" w:lineRule="auto"/>
              <w:ind w:firstLine="0"/>
              <w:rPr>
                <w:sz w:val="22"/>
                <w:szCs w:val="22"/>
              </w:rPr>
            </w:pPr>
          </w:p>
        </w:tc>
      </w:tr>
      <w:tr w:rsidR="001E1112" w:rsidRPr="00317ABF" w14:paraId="0FBE9F9E" w14:textId="77777777" w:rsidTr="7753F98D">
        <w:trPr>
          <w:gridAfter w:val="2"/>
          <w:wAfter w:w="175" w:type="dxa"/>
        </w:trPr>
        <w:tc>
          <w:tcPr>
            <w:tcW w:w="704" w:type="dxa"/>
          </w:tcPr>
          <w:p w14:paraId="75C869E6" w14:textId="09FBED1B" w:rsidR="001E1112" w:rsidRPr="00317ABF" w:rsidRDefault="001E1112" w:rsidP="00DB3BEC">
            <w:pPr>
              <w:jc w:val="both"/>
              <w:rPr>
                <w:sz w:val="22"/>
                <w:szCs w:val="22"/>
              </w:rPr>
            </w:pPr>
            <w:r w:rsidRPr="00317ABF">
              <w:rPr>
                <w:sz w:val="22"/>
                <w:szCs w:val="22"/>
              </w:rPr>
              <w:lastRenderedPageBreak/>
              <w:t>Art. 88 ust. 2</w:t>
            </w:r>
          </w:p>
        </w:tc>
        <w:tc>
          <w:tcPr>
            <w:tcW w:w="4308" w:type="dxa"/>
          </w:tcPr>
          <w:p w14:paraId="5474B7F6" w14:textId="77777777" w:rsidR="001E1112" w:rsidRPr="00317ABF" w:rsidRDefault="001E1112" w:rsidP="00DB3BEC">
            <w:pPr>
              <w:spacing w:before="120"/>
              <w:jc w:val="both"/>
              <w:rPr>
                <w:sz w:val="22"/>
                <w:szCs w:val="22"/>
              </w:rPr>
            </w:pPr>
            <w:r w:rsidRPr="00317ABF">
              <w:rPr>
                <w:sz w:val="22"/>
                <w:szCs w:val="22"/>
              </w:rPr>
              <w:t>2.   Państwa członkowskie zapewniają, aby ci dostawcy usługi adekwatnego szerokopasmowego dostępu do internetu oraz usług łączności głosowej, o których mowa w art. 84, i świadczące usługi zgodnie z art. 85 oferowali określone urządzenia i usługi wymienione w załączniku VI część A, w stosownych przypadkach, w celu umożliwienia konsumentom monitorowania i kontrolowania wydatków. Państwa członkowskie zapewniają aby tacy dostawcy wprowadzili system pozwalający unikać nieuzasadnionego odłączenia usług łączności głosowej lub usługi adekwatnego szerokopasmowego dostępu do internetu konsumentom w odniesieniu do konsumentów, o których mowa w art. 85, w tym odpowiedni mechanizm umożliwiający weryfikację ciągłego zainteresowania korzystaniem z tej usługi.</w:t>
            </w:r>
          </w:p>
          <w:p w14:paraId="428E4C4C" w14:textId="77777777" w:rsidR="001E1112" w:rsidRPr="00317ABF" w:rsidRDefault="001E1112" w:rsidP="00DB3BEC">
            <w:pPr>
              <w:spacing w:before="120"/>
              <w:jc w:val="both"/>
              <w:rPr>
                <w:sz w:val="22"/>
                <w:szCs w:val="22"/>
              </w:rPr>
            </w:pPr>
            <w:r w:rsidRPr="00317ABF">
              <w:rPr>
                <w:sz w:val="22"/>
                <w:szCs w:val="22"/>
              </w:rPr>
              <w:t>Państwa członkowskie mogą rozszerzyć zakres stosowania niniejszego ustępu na użytkowników końcowych, którzy są mikroprzedsiębiorstwami oraz małymi i średnimi przedsiębiorstwami oraz organizacjami non-profit.</w:t>
            </w:r>
          </w:p>
        </w:tc>
        <w:tc>
          <w:tcPr>
            <w:tcW w:w="986" w:type="dxa"/>
          </w:tcPr>
          <w:p w14:paraId="55568049" w14:textId="510B2B81" w:rsidR="001E1112" w:rsidRPr="00317ABF" w:rsidRDefault="001E1112" w:rsidP="00DB3BEC">
            <w:pPr>
              <w:jc w:val="both"/>
              <w:rPr>
                <w:sz w:val="22"/>
                <w:szCs w:val="22"/>
              </w:rPr>
            </w:pPr>
            <w:r w:rsidRPr="00317ABF">
              <w:rPr>
                <w:sz w:val="22"/>
                <w:szCs w:val="22"/>
              </w:rPr>
              <w:t>T</w:t>
            </w:r>
          </w:p>
        </w:tc>
        <w:tc>
          <w:tcPr>
            <w:tcW w:w="910" w:type="dxa"/>
          </w:tcPr>
          <w:p w14:paraId="7B2CDC32" w14:textId="77777777" w:rsidR="001E1112" w:rsidRPr="00317ABF" w:rsidRDefault="001E1112" w:rsidP="00DB3BEC">
            <w:pPr>
              <w:pStyle w:val="Tekstpodstawowy"/>
              <w:rPr>
                <w:b/>
                <w:noProof/>
                <w:sz w:val="22"/>
                <w:szCs w:val="22"/>
              </w:rPr>
            </w:pPr>
          </w:p>
        </w:tc>
        <w:tc>
          <w:tcPr>
            <w:tcW w:w="6814" w:type="dxa"/>
            <w:gridSpan w:val="2"/>
          </w:tcPr>
          <w:p w14:paraId="2F71E41E" w14:textId="7E2E195B" w:rsidR="001E1112" w:rsidRPr="00317ABF" w:rsidRDefault="001E1112" w:rsidP="00DB3BEC">
            <w:pPr>
              <w:pStyle w:val="Tekstpodstawowy"/>
              <w:rPr>
                <w:sz w:val="22"/>
                <w:szCs w:val="22"/>
              </w:rPr>
            </w:pPr>
            <w:r w:rsidRPr="00317ABF">
              <w:rPr>
                <w:sz w:val="22"/>
                <w:szCs w:val="22"/>
              </w:rPr>
              <w:t>Zapisy tego art. zostaną implement</w:t>
            </w:r>
            <w:r w:rsidR="00DB7635" w:rsidRPr="00317ABF">
              <w:rPr>
                <w:sz w:val="22"/>
                <w:szCs w:val="22"/>
              </w:rPr>
              <w:t>owane w przepisach dotyczących p</w:t>
            </w:r>
            <w:r w:rsidRPr="00317ABF">
              <w:rPr>
                <w:sz w:val="22"/>
                <w:szCs w:val="22"/>
              </w:rPr>
              <w:t xml:space="preserve">raw użytkowników końcowych tj. implementacji art. 115 EKŁE. </w:t>
            </w:r>
          </w:p>
        </w:tc>
      </w:tr>
      <w:tr w:rsidR="001E1112" w:rsidRPr="00317ABF" w14:paraId="45EC604C" w14:textId="77777777" w:rsidTr="7753F98D">
        <w:trPr>
          <w:gridAfter w:val="2"/>
          <w:wAfter w:w="175" w:type="dxa"/>
        </w:trPr>
        <w:tc>
          <w:tcPr>
            <w:tcW w:w="704" w:type="dxa"/>
          </w:tcPr>
          <w:p w14:paraId="4E954ECA" w14:textId="77777777" w:rsidR="001E1112" w:rsidRPr="00317ABF" w:rsidRDefault="001E1112" w:rsidP="00DB3BEC">
            <w:pPr>
              <w:jc w:val="both"/>
              <w:rPr>
                <w:sz w:val="22"/>
                <w:szCs w:val="22"/>
              </w:rPr>
            </w:pPr>
            <w:r w:rsidRPr="00317ABF">
              <w:rPr>
                <w:sz w:val="22"/>
                <w:szCs w:val="22"/>
              </w:rPr>
              <w:t>Art. 88 ust. 3</w:t>
            </w:r>
          </w:p>
        </w:tc>
        <w:tc>
          <w:tcPr>
            <w:tcW w:w="4308" w:type="dxa"/>
          </w:tcPr>
          <w:p w14:paraId="50F4B7AD" w14:textId="77777777" w:rsidR="001E1112" w:rsidRPr="00317ABF" w:rsidRDefault="001E1112" w:rsidP="00DB3BEC">
            <w:pPr>
              <w:spacing w:before="120"/>
              <w:jc w:val="both"/>
              <w:rPr>
                <w:sz w:val="22"/>
                <w:szCs w:val="22"/>
              </w:rPr>
            </w:pPr>
            <w:r w:rsidRPr="00317ABF">
              <w:rPr>
                <w:sz w:val="22"/>
                <w:szCs w:val="22"/>
              </w:rPr>
              <w:t>3.   Każde państwo członkowskie zapewnia, aby właściwy organ był w stanie uchylać wymagania określone w ust. 2 na części lub na całości swojego krajowego terytorium, jeśli właściwy organ uzna, że ta usługa dodatkowa jest szeroko dostępna.</w:t>
            </w:r>
          </w:p>
        </w:tc>
        <w:tc>
          <w:tcPr>
            <w:tcW w:w="986" w:type="dxa"/>
          </w:tcPr>
          <w:p w14:paraId="507C5DDB" w14:textId="4253F700" w:rsidR="001E1112" w:rsidRPr="00317ABF" w:rsidRDefault="00DB7635" w:rsidP="00DB3BEC">
            <w:pPr>
              <w:jc w:val="both"/>
              <w:rPr>
                <w:sz w:val="22"/>
                <w:szCs w:val="22"/>
              </w:rPr>
            </w:pPr>
            <w:r w:rsidRPr="00317ABF">
              <w:rPr>
                <w:sz w:val="22"/>
                <w:szCs w:val="22"/>
              </w:rPr>
              <w:t>T</w:t>
            </w:r>
          </w:p>
        </w:tc>
        <w:tc>
          <w:tcPr>
            <w:tcW w:w="910" w:type="dxa"/>
          </w:tcPr>
          <w:p w14:paraId="063F5CA8" w14:textId="77777777" w:rsidR="001E1112" w:rsidRPr="00317ABF" w:rsidRDefault="001E1112" w:rsidP="00DB3BEC">
            <w:pPr>
              <w:pStyle w:val="Tekstpodstawowy"/>
              <w:rPr>
                <w:b/>
                <w:noProof/>
                <w:sz w:val="22"/>
                <w:szCs w:val="22"/>
              </w:rPr>
            </w:pPr>
          </w:p>
        </w:tc>
        <w:tc>
          <w:tcPr>
            <w:tcW w:w="6814" w:type="dxa"/>
            <w:gridSpan w:val="2"/>
          </w:tcPr>
          <w:p w14:paraId="4358FDD6" w14:textId="401C131D" w:rsidR="001E1112" w:rsidRPr="00317ABF" w:rsidRDefault="00DB7635" w:rsidP="00DB3BEC">
            <w:pPr>
              <w:pStyle w:val="Tekstpodstawowy"/>
              <w:rPr>
                <w:sz w:val="22"/>
                <w:szCs w:val="22"/>
              </w:rPr>
            </w:pPr>
            <w:r w:rsidRPr="00317ABF">
              <w:rPr>
                <w:sz w:val="22"/>
                <w:szCs w:val="22"/>
              </w:rPr>
              <w:t xml:space="preserve">Obowiązki, o których mowa w załączniku VI nakładane są na wszystkich dostawców usług komunikacji elektronicznej w drodze ustawy. Te obowiązki, które są powszechnie dostępne – system przedpłat, nie zostały wprowadzone do Pke. Minister właściwy do spraw informatyzacji </w:t>
            </w:r>
            <w:r w:rsidR="00B078A0" w:rsidRPr="00317ABF">
              <w:rPr>
                <w:sz w:val="22"/>
                <w:szCs w:val="22"/>
              </w:rPr>
              <w:t xml:space="preserve">oraz Prezes UKE </w:t>
            </w:r>
            <w:r w:rsidRPr="00317ABF">
              <w:rPr>
                <w:sz w:val="22"/>
                <w:szCs w:val="22"/>
              </w:rPr>
              <w:t>jako organ</w:t>
            </w:r>
            <w:r w:rsidR="00B078A0" w:rsidRPr="00317ABF">
              <w:rPr>
                <w:sz w:val="22"/>
                <w:szCs w:val="22"/>
              </w:rPr>
              <w:t>y</w:t>
            </w:r>
            <w:r w:rsidRPr="00317ABF">
              <w:rPr>
                <w:sz w:val="22"/>
                <w:szCs w:val="22"/>
              </w:rPr>
              <w:t xml:space="preserve"> właściwy w sprawach komunikacji elektronicznej</w:t>
            </w:r>
            <w:r w:rsidR="00B078A0" w:rsidRPr="00317ABF">
              <w:rPr>
                <w:sz w:val="22"/>
                <w:szCs w:val="22"/>
              </w:rPr>
              <w:t xml:space="preserve"> analizować będą</w:t>
            </w:r>
            <w:r w:rsidRPr="00317ABF">
              <w:rPr>
                <w:sz w:val="22"/>
                <w:szCs w:val="22"/>
              </w:rPr>
              <w:t xml:space="preserve"> dostępność usług i w razie potrzeby </w:t>
            </w:r>
            <w:r w:rsidR="00B078A0" w:rsidRPr="00317ABF">
              <w:rPr>
                <w:sz w:val="22"/>
                <w:szCs w:val="22"/>
              </w:rPr>
              <w:t>rozważana będzie interwencja legislacyjna.</w:t>
            </w:r>
          </w:p>
        </w:tc>
      </w:tr>
      <w:tr w:rsidR="001E1112" w:rsidRPr="00317ABF" w14:paraId="0EC86CD6" w14:textId="77777777" w:rsidTr="7753F98D">
        <w:trPr>
          <w:gridAfter w:val="2"/>
          <w:wAfter w:w="175" w:type="dxa"/>
        </w:trPr>
        <w:tc>
          <w:tcPr>
            <w:tcW w:w="704" w:type="dxa"/>
          </w:tcPr>
          <w:p w14:paraId="3353D22A" w14:textId="77777777" w:rsidR="001E1112" w:rsidRPr="00317ABF" w:rsidRDefault="001E1112" w:rsidP="00DB3BEC">
            <w:pPr>
              <w:jc w:val="both"/>
              <w:rPr>
                <w:b/>
                <w:sz w:val="22"/>
                <w:szCs w:val="22"/>
              </w:rPr>
            </w:pPr>
            <w:r w:rsidRPr="00317ABF">
              <w:rPr>
                <w:b/>
                <w:sz w:val="22"/>
                <w:szCs w:val="22"/>
              </w:rPr>
              <w:lastRenderedPageBreak/>
              <w:t>Art. 89</w:t>
            </w:r>
          </w:p>
        </w:tc>
        <w:tc>
          <w:tcPr>
            <w:tcW w:w="4308" w:type="dxa"/>
          </w:tcPr>
          <w:p w14:paraId="62F3C4FA" w14:textId="77777777" w:rsidR="001E1112" w:rsidRPr="00317ABF" w:rsidRDefault="001E1112" w:rsidP="00DB3BEC">
            <w:pPr>
              <w:spacing w:before="120"/>
              <w:jc w:val="both"/>
              <w:rPr>
                <w:sz w:val="22"/>
                <w:szCs w:val="22"/>
              </w:rPr>
            </w:pPr>
            <w:r w:rsidRPr="00317ABF">
              <w:rPr>
                <w:b/>
                <w:bCs/>
                <w:sz w:val="22"/>
                <w:szCs w:val="22"/>
              </w:rPr>
              <w:t>Określanie kosztów obowiązku świadczenia usługi powszechnej</w:t>
            </w:r>
          </w:p>
        </w:tc>
        <w:tc>
          <w:tcPr>
            <w:tcW w:w="986" w:type="dxa"/>
          </w:tcPr>
          <w:p w14:paraId="67C4B608" w14:textId="77777777" w:rsidR="001E1112" w:rsidRPr="00317ABF" w:rsidRDefault="001E1112" w:rsidP="00DB3BEC">
            <w:pPr>
              <w:jc w:val="both"/>
              <w:rPr>
                <w:sz w:val="22"/>
                <w:szCs w:val="22"/>
              </w:rPr>
            </w:pPr>
          </w:p>
        </w:tc>
        <w:tc>
          <w:tcPr>
            <w:tcW w:w="910" w:type="dxa"/>
          </w:tcPr>
          <w:p w14:paraId="0BDE2D63" w14:textId="77777777" w:rsidR="001E1112" w:rsidRPr="00317ABF" w:rsidRDefault="001E1112" w:rsidP="00DB3BEC">
            <w:pPr>
              <w:pStyle w:val="Tekstpodstawowy"/>
              <w:rPr>
                <w:b/>
                <w:noProof/>
                <w:sz w:val="22"/>
                <w:szCs w:val="22"/>
              </w:rPr>
            </w:pPr>
          </w:p>
        </w:tc>
        <w:tc>
          <w:tcPr>
            <w:tcW w:w="6814" w:type="dxa"/>
            <w:gridSpan w:val="2"/>
          </w:tcPr>
          <w:p w14:paraId="76346E0B" w14:textId="77777777" w:rsidR="001E1112" w:rsidRPr="00317ABF" w:rsidRDefault="001E1112" w:rsidP="00DB3BEC">
            <w:pPr>
              <w:pStyle w:val="Tekstpodstawowy"/>
              <w:rPr>
                <w:sz w:val="22"/>
                <w:szCs w:val="22"/>
              </w:rPr>
            </w:pPr>
          </w:p>
        </w:tc>
      </w:tr>
      <w:tr w:rsidR="001E1112" w:rsidRPr="00317ABF" w14:paraId="7AC8D2A4" w14:textId="77777777" w:rsidTr="7753F98D">
        <w:trPr>
          <w:gridAfter w:val="2"/>
          <w:wAfter w:w="175" w:type="dxa"/>
        </w:trPr>
        <w:tc>
          <w:tcPr>
            <w:tcW w:w="704" w:type="dxa"/>
          </w:tcPr>
          <w:p w14:paraId="472A20AA" w14:textId="77777777" w:rsidR="001E1112" w:rsidRPr="00317ABF" w:rsidRDefault="001E1112" w:rsidP="00DB3BEC">
            <w:pPr>
              <w:jc w:val="both"/>
              <w:rPr>
                <w:sz w:val="22"/>
                <w:szCs w:val="22"/>
              </w:rPr>
            </w:pPr>
            <w:r w:rsidRPr="00317ABF">
              <w:rPr>
                <w:sz w:val="22"/>
                <w:szCs w:val="22"/>
              </w:rPr>
              <w:t>Art. 89 ust. 1</w:t>
            </w:r>
          </w:p>
        </w:tc>
        <w:tc>
          <w:tcPr>
            <w:tcW w:w="4308" w:type="dxa"/>
          </w:tcPr>
          <w:p w14:paraId="7DB150C1" w14:textId="77777777" w:rsidR="001E1112" w:rsidRPr="00317ABF" w:rsidRDefault="001E1112" w:rsidP="00DB3BEC">
            <w:pPr>
              <w:spacing w:before="120"/>
              <w:jc w:val="both"/>
              <w:rPr>
                <w:sz w:val="22"/>
                <w:szCs w:val="22"/>
              </w:rPr>
            </w:pPr>
            <w:r w:rsidRPr="00317ABF">
              <w:rPr>
                <w:sz w:val="22"/>
                <w:szCs w:val="22"/>
              </w:rPr>
              <w:t>1.   W przypadku gdy krajowe organy regulacyjne uznają, że świadczenie usługi adekwatnego szerokopasmowego dostępu do internetu określonej zgodnie art. 84 ust. 3 i usług łączności głosowej, jak określono w art. 84, 85 i 86, lub dalsze świadczenie dotychczasowych usług powszechnych, jak określono w art. 87, może stanowić niesprawiedliwe obciążenie dla podmiotów świadczących te usługi i występujących o rekompensatę, krajowe organy regulacyjne obliczają koszty netto świadczenia takich usług.</w:t>
            </w:r>
          </w:p>
          <w:p w14:paraId="324DE7F3" w14:textId="77777777" w:rsidR="001E1112" w:rsidRPr="00317ABF" w:rsidRDefault="001E1112" w:rsidP="00DB3BEC">
            <w:pPr>
              <w:spacing w:before="120"/>
              <w:jc w:val="both"/>
              <w:rPr>
                <w:sz w:val="22"/>
                <w:szCs w:val="22"/>
              </w:rPr>
            </w:pPr>
            <w:r w:rsidRPr="00317ABF">
              <w:rPr>
                <w:sz w:val="22"/>
                <w:szCs w:val="22"/>
              </w:rPr>
              <w:t>W tym celu krajowe organy regulacyjne:</w:t>
            </w:r>
          </w:p>
          <w:tbl>
            <w:tblPr>
              <w:tblW w:w="5000" w:type="pct"/>
              <w:tblCellSpacing w:w="0" w:type="dxa"/>
              <w:tblLayout w:type="fixed"/>
              <w:tblCellMar>
                <w:left w:w="0" w:type="dxa"/>
                <w:right w:w="0" w:type="dxa"/>
              </w:tblCellMar>
              <w:tblLook w:val="04A0" w:firstRow="1" w:lastRow="0" w:firstColumn="1" w:lastColumn="0" w:noHBand="0" w:noVBand="1"/>
            </w:tblPr>
            <w:tblGrid>
              <w:gridCol w:w="20"/>
              <w:gridCol w:w="4148"/>
            </w:tblGrid>
            <w:tr w:rsidR="001E1112" w:rsidRPr="00317ABF" w14:paraId="5BBCF7F3" w14:textId="77777777" w:rsidTr="0016481D">
              <w:trPr>
                <w:tblCellSpacing w:w="0" w:type="dxa"/>
              </w:trPr>
              <w:tc>
                <w:tcPr>
                  <w:tcW w:w="6" w:type="dxa"/>
                  <w:hideMark/>
                </w:tcPr>
                <w:p w14:paraId="6E8CF746" w14:textId="77777777" w:rsidR="001E1112" w:rsidRPr="00317ABF" w:rsidRDefault="001E1112" w:rsidP="00EE0AC3">
                  <w:pPr>
                    <w:framePr w:hSpace="141" w:wrap="around" w:vAnchor="text" w:hAnchor="text" w:xAlign="right" w:y="1"/>
                    <w:spacing w:before="120"/>
                    <w:suppressOverlap/>
                    <w:jc w:val="both"/>
                    <w:rPr>
                      <w:sz w:val="22"/>
                      <w:szCs w:val="22"/>
                    </w:rPr>
                  </w:pPr>
                </w:p>
              </w:tc>
              <w:tc>
                <w:tcPr>
                  <w:tcW w:w="9066" w:type="dxa"/>
                  <w:hideMark/>
                </w:tcPr>
                <w:p w14:paraId="27C5420A" w14:textId="77777777" w:rsidR="001E1112" w:rsidRPr="00317ABF" w:rsidRDefault="001E1112" w:rsidP="00EE0AC3">
                  <w:pPr>
                    <w:framePr w:hSpace="141" w:wrap="around" w:vAnchor="text" w:hAnchor="text" w:xAlign="right" w:y="1"/>
                    <w:numPr>
                      <w:ilvl w:val="0"/>
                      <w:numId w:val="73"/>
                    </w:numPr>
                    <w:spacing w:before="120"/>
                    <w:suppressOverlap/>
                    <w:jc w:val="both"/>
                    <w:rPr>
                      <w:sz w:val="22"/>
                      <w:szCs w:val="22"/>
                    </w:rPr>
                  </w:pPr>
                  <w:r w:rsidRPr="00317ABF">
                    <w:rPr>
                      <w:sz w:val="22"/>
                      <w:szCs w:val="22"/>
                    </w:rPr>
                    <w:t>obliczają koszt netto obowiązku świadczenia usługi powszechnej, biorąc pod uwagę każdą korzyść rynkową przypadającą na podmiot świadczący usługę adekwatnego szerokopasmowego dostępu do internetu określoną zgodnie z art. 84 ust. 3 i usługi łączności głosowej, jak określono w art. 84, 85 i 86, lub dalej świadczącego dotychczasowe usługi powszechne, jak określono w art. 87, zgodnie z załącznikiem VII; lub</w:t>
                  </w:r>
                </w:p>
              </w:tc>
            </w:tr>
          </w:tbl>
          <w:p w14:paraId="3F5D1F17" w14:textId="77777777" w:rsidR="001E1112" w:rsidRPr="00317ABF" w:rsidRDefault="001E1112" w:rsidP="00DB3BEC">
            <w:pPr>
              <w:jc w:val="both"/>
              <w:rPr>
                <w:vanish/>
                <w:sz w:val="22"/>
                <w:szCs w:val="22"/>
              </w:rPr>
            </w:pPr>
          </w:p>
          <w:tbl>
            <w:tblPr>
              <w:tblW w:w="5000" w:type="pct"/>
              <w:tblCellSpacing w:w="0" w:type="dxa"/>
              <w:tblLayout w:type="fixed"/>
              <w:tblCellMar>
                <w:left w:w="0" w:type="dxa"/>
                <w:right w:w="0" w:type="dxa"/>
              </w:tblCellMar>
              <w:tblLook w:val="04A0" w:firstRow="1" w:lastRow="0" w:firstColumn="1" w:lastColumn="0" w:noHBand="0" w:noVBand="1"/>
            </w:tblPr>
            <w:tblGrid>
              <w:gridCol w:w="20"/>
              <w:gridCol w:w="4148"/>
            </w:tblGrid>
            <w:tr w:rsidR="001E1112" w:rsidRPr="00317ABF" w14:paraId="152213DE" w14:textId="77777777" w:rsidTr="0016481D">
              <w:trPr>
                <w:tblCellSpacing w:w="0" w:type="dxa"/>
              </w:trPr>
              <w:tc>
                <w:tcPr>
                  <w:tcW w:w="6" w:type="dxa"/>
                  <w:hideMark/>
                </w:tcPr>
                <w:p w14:paraId="62B48D55" w14:textId="77777777" w:rsidR="001E1112" w:rsidRPr="00317ABF" w:rsidRDefault="001E1112" w:rsidP="00EE0AC3">
                  <w:pPr>
                    <w:framePr w:hSpace="141" w:wrap="around" w:vAnchor="text" w:hAnchor="text" w:xAlign="right" w:y="1"/>
                    <w:spacing w:before="120"/>
                    <w:suppressOverlap/>
                    <w:jc w:val="both"/>
                    <w:rPr>
                      <w:sz w:val="22"/>
                      <w:szCs w:val="22"/>
                    </w:rPr>
                  </w:pPr>
                </w:p>
              </w:tc>
              <w:tc>
                <w:tcPr>
                  <w:tcW w:w="9066" w:type="dxa"/>
                  <w:hideMark/>
                </w:tcPr>
                <w:p w14:paraId="3DD4F66F" w14:textId="77777777" w:rsidR="001E1112" w:rsidRPr="00317ABF" w:rsidRDefault="001E1112" w:rsidP="00EE0AC3">
                  <w:pPr>
                    <w:framePr w:hSpace="141" w:wrap="around" w:vAnchor="text" w:hAnchor="text" w:xAlign="right" w:y="1"/>
                    <w:numPr>
                      <w:ilvl w:val="0"/>
                      <w:numId w:val="73"/>
                    </w:numPr>
                    <w:spacing w:before="120"/>
                    <w:suppressOverlap/>
                    <w:jc w:val="both"/>
                    <w:rPr>
                      <w:sz w:val="22"/>
                      <w:szCs w:val="22"/>
                    </w:rPr>
                  </w:pPr>
                  <w:r w:rsidRPr="00317ABF">
                    <w:rPr>
                      <w:sz w:val="22"/>
                      <w:szCs w:val="22"/>
                    </w:rPr>
                    <w:t>wykorzystują koszty netto świadczenia usługi powszechnej określone przez mechanizm wyznaczania zgodnie z art. 86 ust. 4.</w:t>
                  </w:r>
                </w:p>
              </w:tc>
            </w:tr>
          </w:tbl>
          <w:p w14:paraId="7A49959A" w14:textId="77777777" w:rsidR="001E1112" w:rsidRPr="00317ABF" w:rsidRDefault="001E1112" w:rsidP="00DB3BEC">
            <w:pPr>
              <w:spacing w:before="120"/>
              <w:jc w:val="both"/>
              <w:rPr>
                <w:sz w:val="22"/>
                <w:szCs w:val="22"/>
              </w:rPr>
            </w:pPr>
          </w:p>
        </w:tc>
        <w:tc>
          <w:tcPr>
            <w:tcW w:w="986" w:type="dxa"/>
          </w:tcPr>
          <w:p w14:paraId="6F1DDFEA" w14:textId="77777777" w:rsidR="001E1112" w:rsidRPr="00317ABF" w:rsidRDefault="001E1112" w:rsidP="00DB3BEC">
            <w:pPr>
              <w:jc w:val="both"/>
              <w:rPr>
                <w:sz w:val="22"/>
                <w:szCs w:val="22"/>
              </w:rPr>
            </w:pPr>
          </w:p>
        </w:tc>
        <w:tc>
          <w:tcPr>
            <w:tcW w:w="910" w:type="dxa"/>
          </w:tcPr>
          <w:p w14:paraId="1FCAD49B" w14:textId="0AF5BD04" w:rsidR="001E1112" w:rsidRPr="00317ABF" w:rsidRDefault="001E1112" w:rsidP="00DB3BEC">
            <w:pPr>
              <w:pStyle w:val="Tekstpodstawowy"/>
              <w:rPr>
                <w:b/>
                <w:noProof/>
                <w:sz w:val="22"/>
                <w:szCs w:val="22"/>
              </w:rPr>
            </w:pPr>
            <w:r w:rsidRPr="00317ABF">
              <w:rPr>
                <w:b/>
                <w:noProof/>
                <w:sz w:val="22"/>
                <w:szCs w:val="22"/>
              </w:rPr>
              <w:t>Art. 3</w:t>
            </w:r>
            <w:r w:rsidR="004A4B9D" w:rsidRPr="00317ABF">
              <w:rPr>
                <w:b/>
                <w:noProof/>
                <w:sz w:val="22"/>
                <w:szCs w:val="22"/>
              </w:rPr>
              <w:t>64</w:t>
            </w:r>
          </w:p>
          <w:p w14:paraId="1752919B" w14:textId="705E96F9" w:rsidR="001E1112" w:rsidRPr="00317ABF" w:rsidRDefault="001E1112" w:rsidP="004A4B9D">
            <w:pPr>
              <w:pStyle w:val="Tekstpodstawowy"/>
              <w:rPr>
                <w:b/>
                <w:noProof/>
                <w:sz w:val="22"/>
                <w:szCs w:val="22"/>
              </w:rPr>
            </w:pPr>
            <w:r w:rsidRPr="00317ABF">
              <w:rPr>
                <w:b/>
                <w:noProof/>
                <w:sz w:val="22"/>
                <w:szCs w:val="22"/>
              </w:rPr>
              <w:t>Art. 3</w:t>
            </w:r>
            <w:r w:rsidR="004A4B9D" w:rsidRPr="00317ABF">
              <w:rPr>
                <w:b/>
                <w:noProof/>
                <w:sz w:val="22"/>
                <w:szCs w:val="22"/>
              </w:rPr>
              <w:t>65</w:t>
            </w:r>
            <w:r w:rsidRPr="00317ABF">
              <w:rPr>
                <w:b/>
                <w:noProof/>
                <w:sz w:val="22"/>
                <w:szCs w:val="22"/>
              </w:rPr>
              <w:t xml:space="preserve"> </w:t>
            </w:r>
          </w:p>
        </w:tc>
        <w:tc>
          <w:tcPr>
            <w:tcW w:w="6814" w:type="dxa"/>
            <w:gridSpan w:val="2"/>
          </w:tcPr>
          <w:p w14:paraId="64BD2AD8" w14:textId="77777777" w:rsidR="004A4B9D" w:rsidRPr="00317ABF" w:rsidRDefault="004A4B9D" w:rsidP="004A4B9D">
            <w:pPr>
              <w:pStyle w:val="ARTartustawynprozporzdzenia"/>
              <w:spacing w:before="0" w:line="240" w:lineRule="auto"/>
              <w:rPr>
                <w:rFonts w:ascii="Times New Roman" w:hAnsi="Times New Roman" w:cs="Times New Roman"/>
                <w:sz w:val="22"/>
                <w:szCs w:val="22"/>
              </w:rPr>
            </w:pPr>
            <w:r w:rsidRPr="00317ABF">
              <w:rPr>
                <w:rStyle w:val="Ppogrubienie"/>
                <w:rFonts w:ascii="Times New Roman" w:hAnsi="Times New Roman"/>
                <w:sz w:val="22"/>
                <w:szCs w:val="22"/>
              </w:rPr>
              <w:t>Art. 364.</w:t>
            </w:r>
            <w:r w:rsidRPr="00317ABF">
              <w:rPr>
                <w:rFonts w:ascii="Times New Roman" w:hAnsi="Times New Roman" w:cs="Times New Roman"/>
                <w:sz w:val="22"/>
                <w:szCs w:val="22"/>
              </w:rPr>
              <w:t xml:space="preserve"> 1. Przedsiębiorcy wyznaczonemu przysługuje dopłata do kosztów realizacji obowiązku, do którego został wyznaczony, zwana dalej „dopłatą”, gdy jego realizacja jest nierentowna.</w:t>
            </w:r>
          </w:p>
          <w:p w14:paraId="7BEF9327" w14:textId="77777777" w:rsidR="004A4B9D" w:rsidRPr="00317ABF" w:rsidRDefault="004A4B9D" w:rsidP="004A4B9D">
            <w:pPr>
              <w:pStyle w:val="USTustnpkodeksu"/>
              <w:spacing w:line="240" w:lineRule="auto"/>
              <w:rPr>
                <w:rFonts w:ascii="Times New Roman" w:hAnsi="Times New Roman" w:cs="Times New Roman"/>
                <w:sz w:val="22"/>
                <w:szCs w:val="22"/>
              </w:rPr>
            </w:pPr>
            <w:r w:rsidRPr="00317ABF">
              <w:rPr>
                <w:rFonts w:ascii="Times New Roman" w:hAnsi="Times New Roman" w:cs="Times New Roman"/>
                <w:sz w:val="22"/>
                <w:szCs w:val="22"/>
              </w:rPr>
              <w:t>2.  Prezes UKE ustala dopłatę w wysokości kosztu netto realizacji obowiązku, do którego przedsiębiorca został wyznaczony. Koszt netto realizacji tego obowiązku dotyczy tylko kosztów, których przedsiębiorca wyznaczony nie poniósłby, gdyby nie został wyznaczony do realizacji tego obowiązku.</w:t>
            </w:r>
          </w:p>
          <w:p w14:paraId="30ED3974" w14:textId="77777777" w:rsidR="004A4B9D" w:rsidRPr="00317ABF" w:rsidRDefault="004A4B9D" w:rsidP="004A4B9D">
            <w:pPr>
              <w:pStyle w:val="USTustnpkodeksu"/>
              <w:spacing w:line="240" w:lineRule="auto"/>
              <w:rPr>
                <w:rFonts w:ascii="Times New Roman" w:hAnsi="Times New Roman" w:cs="Times New Roman"/>
                <w:sz w:val="22"/>
                <w:szCs w:val="22"/>
              </w:rPr>
            </w:pPr>
            <w:r w:rsidRPr="00317ABF">
              <w:rPr>
                <w:rFonts w:ascii="Times New Roman" w:hAnsi="Times New Roman" w:cs="Times New Roman"/>
                <w:sz w:val="22"/>
                <w:szCs w:val="22"/>
              </w:rPr>
              <w:t>3. W przypadku wyznaczenia przedsiębiorcy w drodze decyzji, o której mowa w art. 355 ust. 6, dopłata nie może być wyższa niż zaoferowany w konkursie prognozowany koszt netto realizacji obowiązku, do którego ten przedsiębiorca został wyznaczony.</w:t>
            </w:r>
          </w:p>
          <w:p w14:paraId="17C1DB67" w14:textId="77777777" w:rsidR="004A4B9D" w:rsidRPr="00317ABF" w:rsidRDefault="004A4B9D" w:rsidP="004A4B9D">
            <w:pPr>
              <w:pStyle w:val="USTustnpkodeksu"/>
              <w:keepNext/>
              <w:spacing w:line="240" w:lineRule="auto"/>
              <w:rPr>
                <w:rFonts w:ascii="Times New Roman" w:hAnsi="Times New Roman" w:cs="Times New Roman"/>
                <w:sz w:val="22"/>
                <w:szCs w:val="22"/>
              </w:rPr>
            </w:pPr>
            <w:r w:rsidRPr="00317ABF">
              <w:rPr>
                <w:rFonts w:ascii="Times New Roman" w:hAnsi="Times New Roman" w:cs="Times New Roman"/>
                <w:sz w:val="22"/>
                <w:szCs w:val="22"/>
              </w:rPr>
              <w:t>4. Kalkulacja kosztu netto, o którym mowa w ust. 2, dla każdego obowiązku, do którego realizacji dany przedsiębiorca został wyznaczony, uwzględnia:</w:t>
            </w:r>
          </w:p>
          <w:p w14:paraId="030AC41B" w14:textId="77777777" w:rsidR="004A4B9D" w:rsidRPr="00317ABF" w:rsidRDefault="004A4B9D" w:rsidP="004A4B9D">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1)</w:t>
            </w:r>
            <w:r w:rsidRPr="00317ABF">
              <w:rPr>
                <w:rFonts w:ascii="Times New Roman" w:hAnsi="Times New Roman" w:cs="Times New Roman"/>
                <w:sz w:val="22"/>
                <w:szCs w:val="22"/>
              </w:rPr>
              <w:tab/>
              <w:t>koszty bezpośrednio związane z realizacją tego obowiązku;</w:t>
            </w:r>
          </w:p>
          <w:p w14:paraId="4F11F070" w14:textId="77777777" w:rsidR="004A4B9D" w:rsidRPr="00317ABF" w:rsidRDefault="004A4B9D" w:rsidP="004A4B9D">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2)</w:t>
            </w:r>
            <w:r w:rsidRPr="00317ABF">
              <w:rPr>
                <w:rFonts w:ascii="Times New Roman" w:hAnsi="Times New Roman" w:cs="Times New Roman"/>
                <w:sz w:val="22"/>
                <w:szCs w:val="22"/>
              </w:rPr>
              <w:tab/>
              <w:t>przychody z realizacji tego obowiązku;</w:t>
            </w:r>
          </w:p>
          <w:p w14:paraId="7E41CE1B" w14:textId="77777777" w:rsidR="004A4B9D" w:rsidRPr="00317ABF" w:rsidRDefault="004A4B9D" w:rsidP="004A4B9D">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3)</w:t>
            </w:r>
            <w:r w:rsidRPr="00317ABF">
              <w:rPr>
                <w:rFonts w:ascii="Times New Roman" w:hAnsi="Times New Roman" w:cs="Times New Roman"/>
                <w:sz w:val="22"/>
                <w:szCs w:val="22"/>
              </w:rPr>
              <w:tab/>
              <w:t>korzyści pośrednie związane z realizacją tego obowiązku.</w:t>
            </w:r>
          </w:p>
          <w:p w14:paraId="3D8CD559" w14:textId="77777777" w:rsidR="004A4B9D" w:rsidRPr="00317ABF" w:rsidRDefault="004A4B9D" w:rsidP="004A4B9D">
            <w:pPr>
              <w:pStyle w:val="USTustnpkodeksu"/>
              <w:spacing w:line="240" w:lineRule="auto"/>
              <w:rPr>
                <w:rFonts w:ascii="Times New Roman" w:hAnsi="Times New Roman" w:cs="Times New Roman"/>
                <w:sz w:val="22"/>
                <w:szCs w:val="22"/>
              </w:rPr>
            </w:pPr>
            <w:r w:rsidRPr="00317ABF">
              <w:rPr>
                <w:rFonts w:ascii="Times New Roman" w:hAnsi="Times New Roman" w:cs="Times New Roman"/>
                <w:sz w:val="22"/>
                <w:szCs w:val="22"/>
              </w:rPr>
              <w:t>5. Minister właściwy do spraw informatyzacji określi, w drodze rozporządzenia, sposób obliczania kosztu netto realizacji obowiązku w zakresie usługi lub usług, o których mowa w art. 350 ust. 1, mając na celu konieczność ustalenia dla przedsiębiorcy wyznaczonego odpowiedniej wysokości dopłaty z uwzględnieniem zasad przejrzystości i niedyskryminacji oraz umożliwienie przez Prezesa UKE weryfikacji kosztu netto.</w:t>
            </w:r>
          </w:p>
          <w:p w14:paraId="5EE194C4" w14:textId="77777777" w:rsidR="004A4B9D" w:rsidRPr="00317ABF" w:rsidRDefault="004A4B9D" w:rsidP="004A4B9D">
            <w:pPr>
              <w:pStyle w:val="ARTartustawynprozporzdzenia"/>
              <w:spacing w:before="0" w:line="240" w:lineRule="auto"/>
              <w:rPr>
                <w:rFonts w:ascii="Times New Roman" w:hAnsi="Times New Roman" w:cs="Times New Roman"/>
                <w:sz w:val="22"/>
                <w:szCs w:val="22"/>
              </w:rPr>
            </w:pPr>
            <w:r w:rsidRPr="00317ABF">
              <w:rPr>
                <w:rStyle w:val="Ppogrubienie"/>
                <w:rFonts w:ascii="Times New Roman" w:hAnsi="Times New Roman"/>
                <w:sz w:val="22"/>
                <w:szCs w:val="22"/>
              </w:rPr>
              <w:t>Art. 365.</w:t>
            </w:r>
            <w:r w:rsidRPr="00317ABF">
              <w:rPr>
                <w:rFonts w:ascii="Times New Roman" w:hAnsi="Times New Roman" w:cs="Times New Roman"/>
                <w:sz w:val="22"/>
                <w:szCs w:val="22"/>
              </w:rPr>
              <w:t xml:space="preserve"> 1. Przedsiębiorca wyznaczony może złożyć wniosek o dopłatę w terminie 6 miesięcy od zakończenia roku kalendarzowego, w którym, w ocenie tego przedsiębiorcy, wystąpił koszt netto. Prezes UKE niezwłocznie udostępnia na stronie podmiotowej BIP UKE informację o wpłynięciu wniosku przedsiębiorcy wyznaczonego o dopłatę.</w:t>
            </w:r>
          </w:p>
          <w:p w14:paraId="7D2784EC" w14:textId="77777777" w:rsidR="004A4B9D" w:rsidRPr="00317ABF" w:rsidRDefault="004A4B9D" w:rsidP="004A4B9D">
            <w:pPr>
              <w:pStyle w:val="USTustnpkodeksu"/>
              <w:spacing w:line="240" w:lineRule="auto"/>
              <w:rPr>
                <w:rFonts w:ascii="Times New Roman" w:hAnsi="Times New Roman" w:cs="Times New Roman"/>
                <w:sz w:val="22"/>
                <w:szCs w:val="22"/>
              </w:rPr>
            </w:pPr>
            <w:r w:rsidRPr="00317ABF">
              <w:rPr>
                <w:rFonts w:ascii="Times New Roman" w:hAnsi="Times New Roman" w:cs="Times New Roman"/>
                <w:sz w:val="22"/>
                <w:szCs w:val="22"/>
              </w:rPr>
              <w:t>2. Przedsiębiorca wyznaczony przedstawia Prezesowi UKE wyliczoną wysokość kosztu netto, a także rachunki lub inne dokumenty zawierające dane lub informacje służące za podstawę obliczenia tego kosztu. Do przeprowadzenia analizy tej dokumentacji Prezes UKE powołuje biegłego rewidenta.</w:t>
            </w:r>
          </w:p>
          <w:p w14:paraId="70234233" w14:textId="77777777" w:rsidR="004A4B9D" w:rsidRPr="00317ABF" w:rsidRDefault="004A4B9D" w:rsidP="004A4B9D">
            <w:pPr>
              <w:pStyle w:val="USTustnpkodeksu"/>
              <w:spacing w:line="240" w:lineRule="auto"/>
              <w:rPr>
                <w:rFonts w:ascii="Times New Roman" w:hAnsi="Times New Roman" w:cs="Times New Roman"/>
                <w:sz w:val="22"/>
                <w:szCs w:val="22"/>
              </w:rPr>
            </w:pPr>
            <w:r w:rsidRPr="00317ABF">
              <w:rPr>
                <w:rFonts w:ascii="Times New Roman" w:hAnsi="Times New Roman" w:cs="Times New Roman"/>
                <w:sz w:val="22"/>
                <w:szCs w:val="22"/>
              </w:rPr>
              <w:lastRenderedPageBreak/>
              <w:t>3. Prezes UKE, w terminie 120 dni od dnia złożenia wniosku, weryfikuje koszt netto i w zależności od wyników tej weryfikacji, przyznaje, w drodze decyzji, ustaloną kwotę dopłaty bądź odmawia jej przyznania. Prezes UKE przyznaje ustaloną kwotę dopłaty, jeżeli stwierdzi, że zweryfikowany koszt netto stanowi nieuzasadnione obciążenie przedsiębiorcy wyznaczonego.</w:t>
            </w:r>
          </w:p>
          <w:p w14:paraId="30AE6A73" w14:textId="77777777" w:rsidR="001E1112" w:rsidRPr="00317ABF" w:rsidRDefault="001E1112" w:rsidP="00DB3BEC">
            <w:pPr>
              <w:pStyle w:val="USTustnpkodeksu"/>
              <w:spacing w:line="240" w:lineRule="auto"/>
              <w:rPr>
                <w:rFonts w:ascii="Times New Roman" w:hAnsi="Times New Roman" w:cs="Times New Roman"/>
                <w:sz w:val="22"/>
                <w:szCs w:val="22"/>
              </w:rPr>
            </w:pPr>
          </w:p>
        </w:tc>
      </w:tr>
      <w:tr w:rsidR="001E1112" w:rsidRPr="00317ABF" w14:paraId="6E63F604" w14:textId="77777777" w:rsidTr="7753F98D">
        <w:trPr>
          <w:gridAfter w:val="2"/>
          <w:wAfter w:w="175" w:type="dxa"/>
        </w:trPr>
        <w:tc>
          <w:tcPr>
            <w:tcW w:w="704" w:type="dxa"/>
          </w:tcPr>
          <w:p w14:paraId="3B118889" w14:textId="77777777" w:rsidR="001E1112" w:rsidRPr="00317ABF" w:rsidRDefault="001E1112" w:rsidP="00DB3BEC">
            <w:pPr>
              <w:jc w:val="both"/>
              <w:rPr>
                <w:sz w:val="22"/>
                <w:szCs w:val="22"/>
              </w:rPr>
            </w:pPr>
            <w:r w:rsidRPr="00317ABF">
              <w:rPr>
                <w:sz w:val="22"/>
                <w:szCs w:val="22"/>
              </w:rPr>
              <w:lastRenderedPageBreak/>
              <w:t>Art. 89 ust. 2</w:t>
            </w:r>
          </w:p>
        </w:tc>
        <w:tc>
          <w:tcPr>
            <w:tcW w:w="4308" w:type="dxa"/>
          </w:tcPr>
          <w:p w14:paraId="3BC7BBEA" w14:textId="77777777" w:rsidR="001E1112" w:rsidRPr="00317ABF" w:rsidRDefault="001E1112" w:rsidP="00DB3BEC">
            <w:pPr>
              <w:spacing w:before="120"/>
              <w:jc w:val="both"/>
              <w:rPr>
                <w:sz w:val="22"/>
                <w:szCs w:val="22"/>
              </w:rPr>
            </w:pPr>
            <w:r w:rsidRPr="00317ABF">
              <w:rPr>
                <w:sz w:val="22"/>
                <w:szCs w:val="22"/>
              </w:rPr>
              <w:t>2.   Rachunki lub inne informacje służące za podstawę obliczania kosztu netto obowiązku świadczenia usługi powszechnej na mocy ust. 1 akapit drugi lit. a) są przedmiotem audytów lub weryfikacji przeprowadzanych przez krajowy organ regulacyjny lub organ niezależny od zainteresowanych stron i są zatwierdzane przez ten krajowy organ regulacyjny. Wyniki kalkulacji kosztu oraz wnioski z audytu muszą być publicznie dostępne.</w:t>
            </w:r>
          </w:p>
        </w:tc>
        <w:tc>
          <w:tcPr>
            <w:tcW w:w="986" w:type="dxa"/>
          </w:tcPr>
          <w:p w14:paraId="0EE8C4E9" w14:textId="77777777" w:rsidR="001E1112" w:rsidRPr="00317ABF" w:rsidRDefault="001E1112" w:rsidP="00DB3BEC">
            <w:pPr>
              <w:jc w:val="both"/>
              <w:rPr>
                <w:sz w:val="22"/>
                <w:szCs w:val="22"/>
              </w:rPr>
            </w:pPr>
          </w:p>
        </w:tc>
        <w:tc>
          <w:tcPr>
            <w:tcW w:w="910" w:type="dxa"/>
          </w:tcPr>
          <w:p w14:paraId="2A860C07" w14:textId="052F52AA" w:rsidR="001E1112" w:rsidRPr="00317ABF" w:rsidRDefault="001E1112" w:rsidP="00DB3BEC">
            <w:pPr>
              <w:pStyle w:val="Tekstpodstawowy"/>
              <w:rPr>
                <w:b/>
                <w:noProof/>
                <w:sz w:val="22"/>
                <w:szCs w:val="22"/>
              </w:rPr>
            </w:pPr>
            <w:r w:rsidRPr="00317ABF">
              <w:rPr>
                <w:b/>
                <w:noProof/>
                <w:sz w:val="22"/>
                <w:szCs w:val="22"/>
              </w:rPr>
              <w:t>Art. 3</w:t>
            </w:r>
            <w:r w:rsidR="00010C68" w:rsidRPr="00317ABF">
              <w:rPr>
                <w:b/>
                <w:noProof/>
                <w:sz w:val="22"/>
                <w:szCs w:val="22"/>
              </w:rPr>
              <w:t>65</w:t>
            </w:r>
            <w:r w:rsidRPr="00317ABF">
              <w:rPr>
                <w:b/>
                <w:noProof/>
                <w:sz w:val="22"/>
                <w:szCs w:val="22"/>
              </w:rPr>
              <w:t xml:space="preserve"> ust. 2-3</w:t>
            </w:r>
          </w:p>
          <w:p w14:paraId="5474C1C3" w14:textId="120AF5EE" w:rsidR="001E1112" w:rsidRPr="00317ABF" w:rsidRDefault="001E1112" w:rsidP="00010C68">
            <w:pPr>
              <w:pStyle w:val="Tekstpodstawowy"/>
              <w:rPr>
                <w:b/>
                <w:noProof/>
                <w:sz w:val="22"/>
                <w:szCs w:val="22"/>
              </w:rPr>
            </w:pPr>
            <w:r w:rsidRPr="00317ABF">
              <w:rPr>
                <w:b/>
                <w:noProof/>
                <w:sz w:val="22"/>
                <w:szCs w:val="22"/>
              </w:rPr>
              <w:t>Art. 3</w:t>
            </w:r>
            <w:r w:rsidR="00010C68" w:rsidRPr="00317ABF">
              <w:rPr>
                <w:b/>
                <w:noProof/>
                <w:sz w:val="22"/>
                <w:szCs w:val="22"/>
              </w:rPr>
              <w:t>68</w:t>
            </w:r>
            <w:r w:rsidRPr="00317ABF">
              <w:rPr>
                <w:b/>
                <w:noProof/>
                <w:sz w:val="22"/>
                <w:szCs w:val="22"/>
              </w:rPr>
              <w:t xml:space="preserve"> ust. </w:t>
            </w:r>
            <w:r w:rsidR="00010C68" w:rsidRPr="00317ABF">
              <w:rPr>
                <w:b/>
                <w:noProof/>
                <w:sz w:val="22"/>
                <w:szCs w:val="22"/>
              </w:rPr>
              <w:t>7</w:t>
            </w:r>
          </w:p>
        </w:tc>
        <w:tc>
          <w:tcPr>
            <w:tcW w:w="6814" w:type="dxa"/>
            <w:gridSpan w:val="2"/>
          </w:tcPr>
          <w:p w14:paraId="78A0B7FB" w14:textId="0B89F457" w:rsidR="001E1112" w:rsidRPr="00317ABF" w:rsidRDefault="00010C68" w:rsidP="00010C68">
            <w:pPr>
              <w:pStyle w:val="USTustnpkodeksu"/>
              <w:spacing w:line="240" w:lineRule="auto"/>
              <w:rPr>
                <w:rFonts w:ascii="Times New Roman" w:hAnsi="Times New Roman" w:cs="Times New Roman"/>
                <w:b/>
                <w:sz w:val="22"/>
                <w:szCs w:val="22"/>
              </w:rPr>
            </w:pPr>
            <w:r w:rsidRPr="00317ABF">
              <w:rPr>
                <w:rFonts w:ascii="Times New Roman" w:hAnsi="Times New Roman" w:cs="Times New Roman"/>
                <w:b/>
                <w:sz w:val="22"/>
                <w:szCs w:val="22"/>
              </w:rPr>
              <w:t>Art. 365</w:t>
            </w:r>
          </w:p>
          <w:p w14:paraId="54B96BE4" w14:textId="48BF2234" w:rsidR="00010C68" w:rsidRPr="00317ABF" w:rsidRDefault="00010C68" w:rsidP="00010C68">
            <w:pPr>
              <w:pStyle w:val="USTustnpkodeksu"/>
              <w:spacing w:line="240" w:lineRule="auto"/>
              <w:rPr>
                <w:rFonts w:ascii="Times New Roman" w:hAnsi="Times New Roman" w:cs="Times New Roman"/>
                <w:sz w:val="22"/>
                <w:szCs w:val="22"/>
              </w:rPr>
            </w:pPr>
            <w:r w:rsidRPr="00317ABF">
              <w:rPr>
                <w:rFonts w:ascii="Times New Roman" w:hAnsi="Times New Roman" w:cs="Times New Roman"/>
                <w:sz w:val="22"/>
                <w:szCs w:val="22"/>
              </w:rPr>
              <w:t>2. Przedsiębiorca wyznaczony przedstawia Prezesowi UKE wyliczoną wysokość kosztu netto, a także rachunki lub inne dokumenty zawierające dane lub informacje służące za podstawę obliczenia tego kosztu. Do przeprowadzenia analizy tej dokumentacji Prezes UKE powołuje biegłego rewidenta.</w:t>
            </w:r>
          </w:p>
          <w:p w14:paraId="686CFEA4" w14:textId="77777777" w:rsidR="00010C68" w:rsidRPr="00317ABF" w:rsidRDefault="00010C68" w:rsidP="00010C68">
            <w:pPr>
              <w:pStyle w:val="USTustnpkodeksu"/>
              <w:spacing w:line="240" w:lineRule="auto"/>
              <w:rPr>
                <w:rFonts w:ascii="Times New Roman" w:hAnsi="Times New Roman" w:cs="Times New Roman"/>
                <w:sz w:val="22"/>
                <w:szCs w:val="22"/>
              </w:rPr>
            </w:pPr>
            <w:r w:rsidRPr="00317ABF">
              <w:rPr>
                <w:rFonts w:ascii="Times New Roman" w:hAnsi="Times New Roman" w:cs="Times New Roman"/>
                <w:sz w:val="22"/>
                <w:szCs w:val="22"/>
              </w:rPr>
              <w:t>3. Prezes UKE, w terminie 120 dni od dnia złożenia wniosku, weryfikuje koszt netto i w zależności od wyników tej weryfikacji, przyznaje, w drodze decyzji, ustaloną kwotę dopłaty bądź odmawia jej przyznania. Prezes UKE przyznaje ustaloną kwotę dopłaty, jeżeli stwierdzi, że zweryfikowany koszt netto stanowi nieuzasadnione obciążenie przedsiębiorcy wyznaczonego.</w:t>
            </w:r>
          </w:p>
          <w:p w14:paraId="68DFD628" w14:textId="77777777" w:rsidR="001E1112" w:rsidRPr="00317ABF" w:rsidRDefault="001E1112" w:rsidP="00DB3BEC">
            <w:pPr>
              <w:pStyle w:val="USTustnpkodeksu"/>
              <w:spacing w:line="240" w:lineRule="auto"/>
              <w:rPr>
                <w:rFonts w:ascii="Times New Roman" w:hAnsi="Times New Roman" w:cs="Times New Roman"/>
                <w:sz w:val="22"/>
                <w:szCs w:val="22"/>
              </w:rPr>
            </w:pPr>
          </w:p>
          <w:p w14:paraId="1B9007D8" w14:textId="1E160679" w:rsidR="001E1112" w:rsidRPr="00317ABF" w:rsidRDefault="00010C68" w:rsidP="00DB3BEC">
            <w:pPr>
              <w:pStyle w:val="USTustnpkodeksu"/>
              <w:spacing w:line="240" w:lineRule="auto"/>
              <w:rPr>
                <w:rFonts w:ascii="Times New Roman" w:hAnsi="Times New Roman" w:cs="Times New Roman"/>
                <w:b/>
                <w:sz w:val="22"/>
                <w:szCs w:val="22"/>
              </w:rPr>
            </w:pPr>
            <w:r w:rsidRPr="00317ABF">
              <w:rPr>
                <w:rFonts w:ascii="Times New Roman" w:hAnsi="Times New Roman" w:cs="Times New Roman"/>
                <w:b/>
                <w:sz w:val="22"/>
                <w:szCs w:val="22"/>
              </w:rPr>
              <w:t>Art. 368</w:t>
            </w:r>
          </w:p>
          <w:p w14:paraId="1EBEB8D3" w14:textId="77777777" w:rsidR="00010C68" w:rsidRPr="00317ABF" w:rsidRDefault="00010C68" w:rsidP="00010C68">
            <w:pPr>
              <w:pStyle w:val="USTustnpkodeksu"/>
              <w:keepNext/>
              <w:spacing w:line="240" w:lineRule="auto"/>
              <w:rPr>
                <w:rFonts w:ascii="Times New Roman" w:hAnsi="Times New Roman" w:cs="Times New Roman"/>
                <w:sz w:val="22"/>
                <w:szCs w:val="22"/>
              </w:rPr>
            </w:pPr>
            <w:r w:rsidRPr="00317ABF">
              <w:rPr>
                <w:rFonts w:ascii="Times New Roman" w:hAnsi="Times New Roman" w:cs="Times New Roman"/>
                <w:sz w:val="22"/>
                <w:szCs w:val="22"/>
              </w:rPr>
              <w:t>7. Prezes UKE, w terminie 6 miesięcy od dnia, w którym decyzja, o której mowa w art. 367 ust. 1, stała się ostateczna, sporządza i udostępnia na stronie podmiotowej BIP UKE sprawozdanie obejmujące:</w:t>
            </w:r>
          </w:p>
          <w:p w14:paraId="15C52F73" w14:textId="77777777" w:rsidR="00010C68" w:rsidRPr="00317ABF" w:rsidRDefault="00010C68" w:rsidP="00010C68">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1)</w:t>
            </w:r>
            <w:r w:rsidRPr="00317ABF">
              <w:rPr>
                <w:rFonts w:ascii="Times New Roman" w:hAnsi="Times New Roman" w:cs="Times New Roman"/>
                <w:sz w:val="22"/>
                <w:szCs w:val="22"/>
              </w:rPr>
              <w:tab/>
              <w:t>koszt netto realizacji obowiązku w zakresie usługi lub usług, o których mowa w art. 350 ust. 1;</w:t>
            </w:r>
          </w:p>
          <w:p w14:paraId="72C9E43C" w14:textId="77777777" w:rsidR="00010C68" w:rsidRPr="00317ABF" w:rsidRDefault="00010C68" w:rsidP="00010C68">
            <w:pPr>
              <w:pStyle w:val="PKTpunkt0"/>
              <w:spacing w:line="240" w:lineRule="auto"/>
              <w:rPr>
                <w:rFonts w:ascii="Times New Roman" w:hAnsi="Times New Roman" w:cs="Times New Roman"/>
                <w:i/>
                <w:iCs/>
                <w:sz w:val="22"/>
                <w:szCs w:val="22"/>
              </w:rPr>
            </w:pPr>
            <w:r w:rsidRPr="00317ABF">
              <w:rPr>
                <w:rFonts w:ascii="Times New Roman" w:hAnsi="Times New Roman" w:cs="Times New Roman"/>
                <w:sz w:val="22"/>
                <w:szCs w:val="22"/>
              </w:rPr>
              <w:t>2)</w:t>
            </w:r>
            <w:r w:rsidRPr="00317ABF">
              <w:rPr>
                <w:rFonts w:ascii="Times New Roman" w:hAnsi="Times New Roman" w:cs="Times New Roman"/>
                <w:sz w:val="22"/>
                <w:szCs w:val="22"/>
              </w:rPr>
              <w:tab/>
              <w:t>wyniki analizy i weryfikacji, o których mowa w art. 365 ust. 2 i 3, z uwzględnieniem korzyści pośrednich związanych z realizacją tego obowiązku</w:t>
            </w:r>
          </w:p>
          <w:p w14:paraId="26E35C06" w14:textId="77777777" w:rsidR="00010C68" w:rsidRPr="00317ABF" w:rsidRDefault="00010C68" w:rsidP="00010C68">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3)</w:t>
            </w:r>
            <w:r w:rsidRPr="00317ABF">
              <w:rPr>
                <w:rFonts w:ascii="Times New Roman" w:hAnsi="Times New Roman" w:cs="Times New Roman"/>
                <w:sz w:val="22"/>
                <w:szCs w:val="22"/>
              </w:rPr>
              <w:tab/>
              <w:t>udział przedsiębiorców telekomunikacyjnych obowiązanych do pokrycia dopłaty;</w:t>
            </w:r>
          </w:p>
          <w:p w14:paraId="0AB19033" w14:textId="3D8FC421" w:rsidR="001E1112" w:rsidRPr="00317ABF" w:rsidRDefault="00010C68" w:rsidP="00010C68">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4)</w:t>
            </w:r>
            <w:r w:rsidRPr="00317ABF">
              <w:rPr>
                <w:rFonts w:ascii="Times New Roman" w:hAnsi="Times New Roman" w:cs="Times New Roman"/>
                <w:sz w:val="22"/>
                <w:szCs w:val="22"/>
              </w:rPr>
              <w:tab/>
              <w:t>wysokość dopłaty przekazanej przedsiębiorcy wyznaczonemu.</w:t>
            </w:r>
          </w:p>
        </w:tc>
      </w:tr>
      <w:tr w:rsidR="001E1112" w:rsidRPr="00317ABF" w14:paraId="5F0421EF" w14:textId="77777777" w:rsidTr="7753F98D">
        <w:trPr>
          <w:gridAfter w:val="2"/>
          <w:wAfter w:w="175" w:type="dxa"/>
        </w:trPr>
        <w:tc>
          <w:tcPr>
            <w:tcW w:w="704" w:type="dxa"/>
          </w:tcPr>
          <w:p w14:paraId="2EDEFA0D" w14:textId="77777777" w:rsidR="001E1112" w:rsidRPr="00317ABF" w:rsidRDefault="001E1112" w:rsidP="00DB3BEC">
            <w:pPr>
              <w:jc w:val="both"/>
              <w:rPr>
                <w:b/>
                <w:sz w:val="22"/>
                <w:szCs w:val="22"/>
              </w:rPr>
            </w:pPr>
            <w:r w:rsidRPr="00317ABF">
              <w:rPr>
                <w:b/>
                <w:sz w:val="22"/>
                <w:szCs w:val="22"/>
              </w:rPr>
              <w:t>Art. 90</w:t>
            </w:r>
          </w:p>
        </w:tc>
        <w:tc>
          <w:tcPr>
            <w:tcW w:w="4308" w:type="dxa"/>
          </w:tcPr>
          <w:p w14:paraId="3A1158CC" w14:textId="77777777" w:rsidR="001E1112" w:rsidRPr="00317ABF" w:rsidRDefault="001E1112" w:rsidP="00DB3BEC">
            <w:pPr>
              <w:spacing w:before="120"/>
              <w:jc w:val="both"/>
              <w:rPr>
                <w:sz w:val="22"/>
                <w:szCs w:val="22"/>
              </w:rPr>
            </w:pPr>
            <w:r w:rsidRPr="00317ABF">
              <w:rPr>
                <w:b/>
                <w:bCs/>
                <w:sz w:val="22"/>
                <w:szCs w:val="22"/>
              </w:rPr>
              <w:t>Finansowanie obowiązku świadczenia usługi powszechnej</w:t>
            </w:r>
          </w:p>
        </w:tc>
        <w:tc>
          <w:tcPr>
            <w:tcW w:w="986" w:type="dxa"/>
          </w:tcPr>
          <w:p w14:paraId="0446E646" w14:textId="77777777" w:rsidR="001E1112" w:rsidRPr="00317ABF" w:rsidRDefault="001E1112" w:rsidP="00DB3BEC">
            <w:pPr>
              <w:jc w:val="both"/>
              <w:rPr>
                <w:sz w:val="22"/>
                <w:szCs w:val="22"/>
              </w:rPr>
            </w:pPr>
          </w:p>
        </w:tc>
        <w:tc>
          <w:tcPr>
            <w:tcW w:w="910" w:type="dxa"/>
          </w:tcPr>
          <w:p w14:paraId="002D5ADD" w14:textId="77777777" w:rsidR="001E1112" w:rsidRPr="00317ABF" w:rsidRDefault="001E1112" w:rsidP="00DB3BEC">
            <w:pPr>
              <w:pStyle w:val="Tekstpodstawowy"/>
              <w:rPr>
                <w:b/>
                <w:noProof/>
                <w:sz w:val="22"/>
                <w:szCs w:val="22"/>
              </w:rPr>
            </w:pPr>
          </w:p>
        </w:tc>
        <w:tc>
          <w:tcPr>
            <w:tcW w:w="6814" w:type="dxa"/>
            <w:gridSpan w:val="2"/>
          </w:tcPr>
          <w:p w14:paraId="23AC0DD9" w14:textId="77777777" w:rsidR="001E1112" w:rsidRPr="00317ABF" w:rsidRDefault="001E1112" w:rsidP="00DB3BEC">
            <w:pPr>
              <w:pStyle w:val="Tekstpodstawowy"/>
              <w:rPr>
                <w:sz w:val="22"/>
                <w:szCs w:val="22"/>
              </w:rPr>
            </w:pPr>
          </w:p>
        </w:tc>
      </w:tr>
      <w:tr w:rsidR="001E1112" w:rsidRPr="00317ABF" w14:paraId="066A8306" w14:textId="77777777" w:rsidTr="7753F98D">
        <w:trPr>
          <w:gridAfter w:val="2"/>
          <w:wAfter w:w="175" w:type="dxa"/>
        </w:trPr>
        <w:tc>
          <w:tcPr>
            <w:tcW w:w="704" w:type="dxa"/>
          </w:tcPr>
          <w:p w14:paraId="697B7217" w14:textId="77777777" w:rsidR="001E1112" w:rsidRPr="00317ABF" w:rsidRDefault="001E1112" w:rsidP="00DB3BEC">
            <w:pPr>
              <w:jc w:val="both"/>
              <w:rPr>
                <w:sz w:val="22"/>
                <w:szCs w:val="22"/>
              </w:rPr>
            </w:pPr>
            <w:r w:rsidRPr="00317ABF">
              <w:rPr>
                <w:sz w:val="22"/>
                <w:szCs w:val="22"/>
              </w:rPr>
              <w:t>Art. 90 ust. 1</w:t>
            </w:r>
          </w:p>
        </w:tc>
        <w:tc>
          <w:tcPr>
            <w:tcW w:w="4308" w:type="dxa"/>
          </w:tcPr>
          <w:p w14:paraId="57E72924" w14:textId="77777777" w:rsidR="001E1112" w:rsidRPr="00317ABF" w:rsidRDefault="001E1112" w:rsidP="00DB3BEC">
            <w:pPr>
              <w:spacing w:before="120"/>
              <w:jc w:val="both"/>
              <w:rPr>
                <w:sz w:val="22"/>
                <w:szCs w:val="22"/>
              </w:rPr>
            </w:pPr>
            <w:r w:rsidRPr="00317ABF">
              <w:rPr>
                <w:sz w:val="22"/>
                <w:szCs w:val="22"/>
              </w:rPr>
              <w:t xml:space="preserve">1.   W przypadku gdy, na podstawie kalkulacji kosztu netto, o której mowa w art. 89, krajowe organy regulacyjne stwierdzą, iż na danym dostawcy spoczywają niesprawiedliwe </w:t>
            </w:r>
            <w:r w:rsidRPr="00317ABF">
              <w:rPr>
                <w:sz w:val="22"/>
                <w:szCs w:val="22"/>
              </w:rPr>
              <w:lastRenderedPageBreak/>
              <w:t>obciążenia, państwa członkowskie, na wniosek zainteresowanego dostawcy, decydują o dokonaniu jednej lub obu z poniższych czynności:</w:t>
            </w:r>
          </w:p>
          <w:tbl>
            <w:tblPr>
              <w:tblW w:w="5000" w:type="pct"/>
              <w:tblCellSpacing w:w="0" w:type="dxa"/>
              <w:tblLayout w:type="fixed"/>
              <w:tblCellMar>
                <w:left w:w="0" w:type="dxa"/>
                <w:right w:w="0" w:type="dxa"/>
              </w:tblCellMar>
              <w:tblLook w:val="04A0" w:firstRow="1" w:lastRow="0" w:firstColumn="1" w:lastColumn="0" w:noHBand="0" w:noVBand="1"/>
            </w:tblPr>
            <w:tblGrid>
              <w:gridCol w:w="20"/>
              <w:gridCol w:w="4148"/>
            </w:tblGrid>
            <w:tr w:rsidR="001E1112" w:rsidRPr="00317ABF" w14:paraId="09E09AAF" w14:textId="77777777" w:rsidTr="0016481D">
              <w:trPr>
                <w:tblCellSpacing w:w="0" w:type="dxa"/>
              </w:trPr>
              <w:tc>
                <w:tcPr>
                  <w:tcW w:w="6" w:type="dxa"/>
                  <w:hideMark/>
                </w:tcPr>
                <w:p w14:paraId="06025DC8" w14:textId="77777777" w:rsidR="001E1112" w:rsidRPr="00317ABF" w:rsidRDefault="001E1112" w:rsidP="00EE0AC3">
                  <w:pPr>
                    <w:framePr w:hSpace="141" w:wrap="around" w:vAnchor="text" w:hAnchor="text" w:xAlign="right" w:y="1"/>
                    <w:spacing w:before="120"/>
                    <w:suppressOverlap/>
                    <w:jc w:val="both"/>
                    <w:rPr>
                      <w:sz w:val="22"/>
                      <w:szCs w:val="22"/>
                    </w:rPr>
                  </w:pPr>
                </w:p>
              </w:tc>
              <w:tc>
                <w:tcPr>
                  <w:tcW w:w="9066" w:type="dxa"/>
                  <w:hideMark/>
                </w:tcPr>
                <w:p w14:paraId="3359B714" w14:textId="77777777" w:rsidR="001E1112" w:rsidRPr="00317ABF" w:rsidRDefault="001E1112" w:rsidP="00EE0AC3">
                  <w:pPr>
                    <w:framePr w:hSpace="141" w:wrap="around" w:vAnchor="text" w:hAnchor="text" w:xAlign="right" w:y="1"/>
                    <w:numPr>
                      <w:ilvl w:val="0"/>
                      <w:numId w:val="74"/>
                    </w:numPr>
                    <w:spacing w:before="120"/>
                    <w:suppressOverlap/>
                    <w:jc w:val="both"/>
                    <w:rPr>
                      <w:sz w:val="22"/>
                      <w:szCs w:val="22"/>
                    </w:rPr>
                  </w:pPr>
                  <w:r w:rsidRPr="00317ABF">
                    <w:rPr>
                      <w:sz w:val="22"/>
                      <w:szCs w:val="22"/>
                    </w:rPr>
                    <w:t>wprowadzeniu mechanizmu kompensowania temu dostawcy określonego kosztu netto, na przejrzystych warunkach, z funduszy publicznych;</w:t>
                  </w:r>
                </w:p>
              </w:tc>
            </w:tr>
          </w:tbl>
          <w:p w14:paraId="568BC674" w14:textId="77777777" w:rsidR="001E1112" w:rsidRPr="00317ABF" w:rsidRDefault="001E1112" w:rsidP="00DB3BEC">
            <w:pPr>
              <w:jc w:val="both"/>
              <w:rPr>
                <w:vanish/>
                <w:sz w:val="22"/>
                <w:szCs w:val="22"/>
              </w:rPr>
            </w:pPr>
          </w:p>
          <w:tbl>
            <w:tblPr>
              <w:tblW w:w="5000" w:type="pct"/>
              <w:tblCellSpacing w:w="0" w:type="dxa"/>
              <w:tblLayout w:type="fixed"/>
              <w:tblCellMar>
                <w:left w:w="0" w:type="dxa"/>
                <w:right w:w="0" w:type="dxa"/>
              </w:tblCellMar>
              <w:tblLook w:val="04A0" w:firstRow="1" w:lastRow="0" w:firstColumn="1" w:lastColumn="0" w:noHBand="0" w:noVBand="1"/>
            </w:tblPr>
            <w:tblGrid>
              <w:gridCol w:w="20"/>
              <w:gridCol w:w="4148"/>
            </w:tblGrid>
            <w:tr w:rsidR="001E1112" w:rsidRPr="00317ABF" w14:paraId="60F21C4D" w14:textId="77777777" w:rsidTr="0016481D">
              <w:trPr>
                <w:tblCellSpacing w:w="0" w:type="dxa"/>
              </w:trPr>
              <w:tc>
                <w:tcPr>
                  <w:tcW w:w="6" w:type="dxa"/>
                  <w:hideMark/>
                </w:tcPr>
                <w:p w14:paraId="6299A253" w14:textId="77777777" w:rsidR="001E1112" w:rsidRPr="00317ABF" w:rsidRDefault="001E1112" w:rsidP="00EE0AC3">
                  <w:pPr>
                    <w:framePr w:hSpace="141" w:wrap="around" w:vAnchor="text" w:hAnchor="text" w:xAlign="right" w:y="1"/>
                    <w:spacing w:before="120"/>
                    <w:suppressOverlap/>
                    <w:jc w:val="both"/>
                    <w:rPr>
                      <w:sz w:val="22"/>
                      <w:szCs w:val="22"/>
                    </w:rPr>
                  </w:pPr>
                </w:p>
              </w:tc>
              <w:tc>
                <w:tcPr>
                  <w:tcW w:w="9066" w:type="dxa"/>
                  <w:hideMark/>
                </w:tcPr>
                <w:p w14:paraId="14F33D8A" w14:textId="77777777" w:rsidR="001E1112" w:rsidRPr="00317ABF" w:rsidRDefault="001E1112" w:rsidP="00EE0AC3">
                  <w:pPr>
                    <w:framePr w:hSpace="141" w:wrap="around" w:vAnchor="text" w:hAnchor="text" w:xAlign="right" w:y="1"/>
                    <w:numPr>
                      <w:ilvl w:val="0"/>
                      <w:numId w:val="74"/>
                    </w:numPr>
                    <w:spacing w:before="120"/>
                    <w:suppressOverlap/>
                    <w:jc w:val="both"/>
                    <w:rPr>
                      <w:sz w:val="22"/>
                      <w:szCs w:val="22"/>
                    </w:rPr>
                  </w:pPr>
                  <w:r w:rsidRPr="00317ABF">
                    <w:rPr>
                      <w:sz w:val="22"/>
                      <w:szCs w:val="22"/>
                    </w:rPr>
                    <w:t>podzieleniu kosztu netto obowiązku świadczenia usługi powszechnej pomiędzy dostawcami sieci usług łączności elektronicznej.</w:t>
                  </w:r>
                </w:p>
              </w:tc>
            </w:tr>
          </w:tbl>
          <w:p w14:paraId="5BD73AE3" w14:textId="77777777" w:rsidR="001E1112" w:rsidRPr="00317ABF" w:rsidRDefault="001E1112" w:rsidP="00DB3BEC">
            <w:pPr>
              <w:spacing w:before="120"/>
              <w:jc w:val="both"/>
              <w:rPr>
                <w:sz w:val="22"/>
                <w:szCs w:val="22"/>
              </w:rPr>
            </w:pPr>
          </w:p>
        </w:tc>
        <w:tc>
          <w:tcPr>
            <w:tcW w:w="986" w:type="dxa"/>
          </w:tcPr>
          <w:p w14:paraId="57D6AAD2" w14:textId="77777777" w:rsidR="001E1112" w:rsidRPr="00317ABF" w:rsidRDefault="001E1112" w:rsidP="00DB3BEC">
            <w:pPr>
              <w:jc w:val="both"/>
              <w:rPr>
                <w:sz w:val="22"/>
                <w:szCs w:val="22"/>
              </w:rPr>
            </w:pPr>
          </w:p>
        </w:tc>
        <w:tc>
          <w:tcPr>
            <w:tcW w:w="910" w:type="dxa"/>
          </w:tcPr>
          <w:p w14:paraId="30FB49DC" w14:textId="0DD0369D" w:rsidR="001E1112" w:rsidRPr="00317ABF" w:rsidRDefault="001E1112" w:rsidP="00010C68">
            <w:pPr>
              <w:pStyle w:val="Tekstpodstawowy"/>
              <w:rPr>
                <w:b/>
                <w:noProof/>
                <w:sz w:val="22"/>
                <w:szCs w:val="22"/>
              </w:rPr>
            </w:pPr>
            <w:r w:rsidRPr="00317ABF">
              <w:rPr>
                <w:b/>
                <w:noProof/>
                <w:sz w:val="22"/>
                <w:szCs w:val="22"/>
              </w:rPr>
              <w:t>Art. 3</w:t>
            </w:r>
            <w:r w:rsidR="00010C68" w:rsidRPr="00317ABF">
              <w:rPr>
                <w:b/>
                <w:noProof/>
                <w:sz w:val="22"/>
                <w:szCs w:val="22"/>
              </w:rPr>
              <w:t>66</w:t>
            </w:r>
          </w:p>
        </w:tc>
        <w:tc>
          <w:tcPr>
            <w:tcW w:w="6814" w:type="dxa"/>
            <w:gridSpan w:val="2"/>
          </w:tcPr>
          <w:p w14:paraId="45EF9561" w14:textId="738CCFA8" w:rsidR="00010C68" w:rsidRPr="00317ABF" w:rsidRDefault="00010C68" w:rsidP="00010C68">
            <w:pPr>
              <w:pStyle w:val="ARTartustawynprozporzdzenia"/>
              <w:spacing w:before="0" w:line="240" w:lineRule="auto"/>
              <w:rPr>
                <w:rFonts w:ascii="Times New Roman" w:hAnsi="Times New Roman" w:cs="Times New Roman"/>
                <w:sz w:val="22"/>
                <w:szCs w:val="22"/>
              </w:rPr>
            </w:pPr>
            <w:r w:rsidRPr="00317ABF">
              <w:rPr>
                <w:rStyle w:val="Ppogrubienie"/>
                <w:rFonts w:ascii="Times New Roman" w:hAnsi="Times New Roman"/>
                <w:sz w:val="22"/>
                <w:szCs w:val="22"/>
              </w:rPr>
              <w:t>Art. 366.</w:t>
            </w:r>
            <w:r w:rsidRPr="00317ABF">
              <w:rPr>
                <w:rFonts w:ascii="Times New Roman" w:hAnsi="Times New Roman" w:cs="Times New Roman"/>
                <w:sz w:val="22"/>
                <w:szCs w:val="22"/>
              </w:rPr>
              <w:t xml:space="preserve"> Przedsiębiorcy telekomunikacyjni, których przychód z działalności telekomunikacyjnej w roku kalendarzowym, za który przysługuje dopłata, przekroczył 10 milionów złotych, są obowiązani do udziału w pokryciu dopłaty.</w:t>
            </w:r>
          </w:p>
          <w:p w14:paraId="42EA0F40" w14:textId="0BB550F6" w:rsidR="001E1112" w:rsidRPr="00317ABF" w:rsidRDefault="001E1112" w:rsidP="00DB3BEC">
            <w:pPr>
              <w:pStyle w:val="ARTartustawynprozporzdzenia"/>
              <w:spacing w:line="240" w:lineRule="auto"/>
              <w:rPr>
                <w:rFonts w:ascii="Times New Roman" w:hAnsi="Times New Roman" w:cs="Times New Roman"/>
                <w:sz w:val="22"/>
                <w:szCs w:val="22"/>
              </w:rPr>
            </w:pPr>
          </w:p>
          <w:p w14:paraId="240126A6" w14:textId="77777777" w:rsidR="001E1112" w:rsidRPr="00317ABF" w:rsidRDefault="001E1112" w:rsidP="00DB3BEC">
            <w:pPr>
              <w:pStyle w:val="Tekstpodstawowy"/>
              <w:rPr>
                <w:sz w:val="22"/>
                <w:szCs w:val="22"/>
              </w:rPr>
            </w:pPr>
          </w:p>
        </w:tc>
      </w:tr>
      <w:tr w:rsidR="001E1112" w:rsidRPr="00317ABF" w14:paraId="06FAB75D" w14:textId="77777777" w:rsidTr="7753F98D">
        <w:trPr>
          <w:gridAfter w:val="2"/>
          <w:wAfter w:w="175" w:type="dxa"/>
        </w:trPr>
        <w:tc>
          <w:tcPr>
            <w:tcW w:w="704" w:type="dxa"/>
          </w:tcPr>
          <w:p w14:paraId="3C728440" w14:textId="77777777" w:rsidR="001E1112" w:rsidRPr="00317ABF" w:rsidRDefault="001E1112" w:rsidP="00DB3BEC">
            <w:pPr>
              <w:jc w:val="both"/>
              <w:rPr>
                <w:sz w:val="22"/>
                <w:szCs w:val="22"/>
              </w:rPr>
            </w:pPr>
            <w:r w:rsidRPr="00317ABF">
              <w:rPr>
                <w:sz w:val="22"/>
                <w:szCs w:val="22"/>
              </w:rPr>
              <w:lastRenderedPageBreak/>
              <w:t>Art. 90 ust. 2</w:t>
            </w:r>
          </w:p>
        </w:tc>
        <w:tc>
          <w:tcPr>
            <w:tcW w:w="4308" w:type="dxa"/>
          </w:tcPr>
          <w:p w14:paraId="149FEFBB" w14:textId="77777777" w:rsidR="001E1112" w:rsidRPr="00317ABF" w:rsidRDefault="001E1112" w:rsidP="00DB3BEC">
            <w:pPr>
              <w:spacing w:before="120"/>
              <w:jc w:val="both"/>
              <w:rPr>
                <w:sz w:val="22"/>
                <w:szCs w:val="22"/>
              </w:rPr>
            </w:pPr>
            <w:r w:rsidRPr="00317ABF">
              <w:rPr>
                <w:sz w:val="22"/>
                <w:szCs w:val="22"/>
              </w:rPr>
              <w:t>2.   W przypadku gdy koszt netto jest ponoszony wspólnie zgodnie z ust. 1 lit. b) niniejszego artykułu, państwa członkowskie ustanawiają mechanizm dzielenia kosztów, zarządzany przez krajowy organ regulacyjny lub organ niezależny od beneficjentów pod nadzorem krajowego organu regulacyjnego. Dopuszcza się finansowanie jedynie kosztu netto, ustalonego zgodnie z art. 89, obowiązków ustanowionych w art. 84–87.</w:t>
            </w:r>
          </w:p>
          <w:p w14:paraId="61FDBA00" w14:textId="77777777" w:rsidR="001E1112" w:rsidRPr="00317ABF" w:rsidRDefault="001E1112" w:rsidP="00DB3BEC">
            <w:pPr>
              <w:spacing w:before="120"/>
              <w:jc w:val="both"/>
              <w:rPr>
                <w:sz w:val="22"/>
                <w:szCs w:val="22"/>
              </w:rPr>
            </w:pPr>
            <w:r w:rsidRPr="00317ABF">
              <w:rPr>
                <w:sz w:val="22"/>
                <w:szCs w:val="22"/>
              </w:rPr>
              <w:t>Mechanizm dzielenia kosztów respektuje zasady przejrzystości, jak najmniejszego zakłócania rynku, niedyskryminacji i proporcjonalności, zgodnie z zasadami określonymi w załączniku VII część B. Państwa członkowskie mogą zdecydować o niewymaganiu wkładów od przedsiębiorstw, których krajowy obrót jest niższy od wyznaczonego limitu.</w:t>
            </w:r>
          </w:p>
          <w:p w14:paraId="16850A76" w14:textId="77777777" w:rsidR="001E1112" w:rsidRPr="00317ABF" w:rsidRDefault="001E1112" w:rsidP="00DB3BEC">
            <w:pPr>
              <w:spacing w:before="120"/>
              <w:jc w:val="both"/>
              <w:rPr>
                <w:sz w:val="22"/>
                <w:szCs w:val="22"/>
              </w:rPr>
            </w:pPr>
            <w:r w:rsidRPr="00317ABF">
              <w:rPr>
                <w:sz w:val="22"/>
                <w:szCs w:val="22"/>
              </w:rPr>
              <w:t xml:space="preserve">Żadne opłaty związane z dzieleniem kosztu obowiązku świadczenia usługi powszechnej nie będą łączone i są określane oddzielnie dla </w:t>
            </w:r>
            <w:r w:rsidRPr="00317ABF">
              <w:rPr>
                <w:sz w:val="22"/>
                <w:szCs w:val="22"/>
              </w:rPr>
              <w:lastRenderedPageBreak/>
              <w:t>każdego przedsiębiorstwa. Takich opłat nie nakłada się na przedsiębiorstwa nieświadczące usług na terytorium państwa członkowskiego, które ustanowiło mechanizm dzielenia kosztów, ani nie pobiera się od takich przedsiębiorstw.</w:t>
            </w:r>
          </w:p>
        </w:tc>
        <w:tc>
          <w:tcPr>
            <w:tcW w:w="986" w:type="dxa"/>
          </w:tcPr>
          <w:p w14:paraId="0A277882" w14:textId="77777777" w:rsidR="001E1112" w:rsidRPr="00317ABF" w:rsidRDefault="001E1112" w:rsidP="00DB3BEC">
            <w:pPr>
              <w:jc w:val="both"/>
              <w:rPr>
                <w:sz w:val="22"/>
                <w:szCs w:val="22"/>
              </w:rPr>
            </w:pPr>
          </w:p>
        </w:tc>
        <w:tc>
          <w:tcPr>
            <w:tcW w:w="910" w:type="dxa"/>
          </w:tcPr>
          <w:p w14:paraId="71DDBE37" w14:textId="0CB44F2F" w:rsidR="001E1112" w:rsidRPr="00317ABF" w:rsidRDefault="001E1112" w:rsidP="00C33438">
            <w:pPr>
              <w:pStyle w:val="Tekstpodstawowy"/>
              <w:rPr>
                <w:b/>
                <w:noProof/>
                <w:sz w:val="22"/>
                <w:szCs w:val="22"/>
              </w:rPr>
            </w:pPr>
            <w:r w:rsidRPr="00317ABF">
              <w:rPr>
                <w:b/>
                <w:noProof/>
                <w:sz w:val="22"/>
                <w:szCs w:val="22"/>
              </w:rPr>
              <w:t>Art. 3</w:t>
            </w:r>
            <w:r w:rsidR="00C33438" w:rsidRPr="00317ABF">
              <w:rPr>
                <w:b/>
                <w:noProof/>
                <w:sz w:val="22"/>
                <w:szCs w:val="22"/>
              </w:rPr>
              <w:t>67</w:t>
            </w:r>
            <w:r w:rsidRPr="00317ABF">
              <w:rPr>
                <w:b/>
                <w:noProof/>
                <w:sz w:val="22"/>
                <w:szCs w:val="22"/>
              </w:rPr>
              <w:t xml:space="preserve"> i 3</w:t>
            </w:r>
            <w:r w:rsidR="00C33438" w:rsidRPr="00317ABF">
              <w:rPr>
                <w:b/>
                <w:noProof/>
                <w:sz w:val="22"/>
                <w:szCs w:val="22"/>
              </w:rPr>
              <w:t>68</w:t>
            </w:r>
          </w:p>
        </w:tc>
        <w:tc>
          <w:tcPr>
            <w:tcW w:w="6814" w:type="dxa"/>
            <w:gridSpan w:val="2"/>
          </w:tcPr>
          <w:p w14:paraId="5E4DBDAC" w14:textId="77777777" w:rsidR="00C33438" w:rsidRPr="00317ABF" w:rsidRDefault="00C33438" w:rsidP="00C33438">
            <w:pPr>
              <w:pStyle w:val="USTustnpkodeksu"/>
              <w:spacing w:line="240" w:lineRule="auto"/>
              <w:rPr>
                <w:rFonts w:ascii="Times New Roman" w:hAnsi="Times New Roman" w:cs="Times New Roman"/>
                <w:sz w:val="22"/>
                <w:szCs w:val="22"/>
              </w:rPr>
            </w:pPr>
            <w:r w:rsidRPr="00317ABF">
              <w:rPr>
                <w:rStyle w:val="Ppogrubienie"/>
                <w:rFonts w:ascii="Times New Roman" w:hAnsi="Times New Roman"/>
                <w:sz w:val="22"/>
                <w:szCs w:val="22"/>
              </w:rPr>
              <w:t>Art. 367.</w:t>
            </w:r>
            <w:r w:rsidRPr="00317ABF">
              <w:rPr>
                <w:rFonts w:ascii="Times New Roman" w:hAnsi="Times New Roman" w:cs="Times New Roman"/>
                <w:sz w:val="22"/>
                <w:szCs w:val="22"/>
              </w:rPr>
              <w:t xml:space="preserve"> 1. Prezes UKE, po ustaleniu należnej dopłaty, określa w drodze decyzji, przedsiębiorców telekomunikacyjnych obowiązanych do pokrycia dopłaty, jednolity wskaźnik procentowego udziału tych przedsiębiorców w pokryciu dopłaty oraz sposób ustalenia kwoty udziału poszczególnych przedsiębiorców telekomunikacyjnych w pokryciu dopłaty.</w:t>
            </w:r>
          </w:p>
          <w:p w14:paraId="677268F1" w14:textId="77777777" w:rsidR="00C33438" w:rsidRPr="00317ABF" w:rsidRDefault="00C33438" w:rsidP="00C33438">
            <w:pPr>
              <w:pStyle w:val="USTustnpkodeksu"/>
              <w:spacing w:line="240" w:lineRule="auto"/>
              <w:rPr>
                <w:rFonts w:ascii="Times New Roman" w:hAnsi="Times New Roman" w:cs="Times New Roman"/>
                <w:sz w:val="22"/>
                <w:szCs w:val="22"/>
              </w:rPr>
            </w:pPr>
            <w:r w:rsidRPr="00317ABF">
              <w:rPr>
                <w:rFonts w:ascii="Times New Roman" w:hAnsi="Times New Roman" w:cs="Times New Roman"/>
                <w:sz w:val="22"/>
                <w:szCs w:val="22"/>
              </w:rPr>
              <w:t xml:space="preserve">2. Jednolity wskaźnik procentowego udziału wszystkich przedsiębiorców telekomunikacyjnych obowiązanych do udziału w pokryciu dopłaty stanowi iloraz kwoty dopłaty, która podlega pokryciu, do sumy kwot przychodów tych przedsiębiorców z działalności telekomunikacyjnej w danym roku kalendarzowym, w części przekraczającej 10 milionów złotych. </w:t>
            </w:r>
          </w:p>
          <w:p w14:paraId="2B30D040" w14:textId="77777777" w:rsidR="00C33438" w:rsidRPr="00317ABF" w:rsidRDefault="00C33438" w:rsidP="00C33438">
            <w:pPr>
              <w:pStyle w:val="USTustnpkodeksu"/>
              <w:spacing w:line="240" w:lineRule="auto"/>
              <w:rPr>
                <w:rFonts w:ascii="Times New Roman" w:hAnsi="Times New Roman" w:cs="Times New Roman"/>
                <w:sz w:val="22"/>
                <w:szCs w:val="22"/>
              </w:rPr>
            </w:pPr>
            <w:r w:rsidRPr="00317ABF">
              <w:rPr>
                <w:rFonts w:ascii="Times New Roman" w:hAnsi="Times New Roman" w:cs="Times New Roman"/>
                <w:sz w:val="22"/>
                <w:szCs w:val="22"/>
              </w:rPr>
              <w:t>3.</w:t>
            </w:r>
            <w:r w:rsidRPr="00317ABF">
              <w:rPr>
                <w:rFonts w:ascii="Times New Roman" w:hAnsi="Times New Roman" w:cs="Times New Roman"/>
                <w:sz w:val="22"/>
                <w:szCs w:val="22"/>
              </w:rPr>
              <w:tab/>
              <w:t xml:space="preserve"> W postępowaniu w sprawie wydania decyzji, o której mowa w ust. 1:</w:t>
            </w:r>
          </w:p>
          <w:p w14:paraId="0AB1F3E8" w14:textId="77777777" w:rsidR="00C33438" w:rsidRPr="00317ABF" w:rsidRDefault="00C33438" w:rsidP="00C33438">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1) w przypadkach określonych w art. 97 § 1 pkt 1-3a ustawy z dnia 14 czerwca 1960 r. Kodeks postępowania administracyjnego nie zawiesza się postępowania;</w:t>
            </w:r>
          </w:p>
          <w:p w14:paraId="67E6B7C9" w14:textId="77777777" w:rsidR="00C33438" w:rsidRPr="00317ABF" w:rsidRDefault="00C33438" w:rsidP="00C33438">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2) przepisy art. 30 § 5 i art. 34 ustawy z dnia 14 czerwca 1960 r. Kodeks postępowania administracyjnego stosuje się odpowiednio, z zastrzeżeniem, że Prezes UKE wyznacza z urzędu przedstawiciela uprawnionego do działania w postępowaniu do czasu wyznaczenia przedstawiciela lub kuratora przez sąd.</w:t>
            </w:r>
          </w:p>
          <w:p w14:paraId="1925962E" w14:textId="77777777" w:rsidR="00C33438" w:rsidRPr="00317ABF" w:rsidRDefault="00C33438" w:rsidP="00C33438">
            <w:pPr>
              <w:pStyle w:val="USTustnpkodeksu"/>
              <w:spacing w:line="240" w:lineRule="auto"/>
              <w:rPr>
                <w:rFonts w:ascii="Times New Roman" w:hAnsi="Times New Roman" w:cs="Times New Roman"/>
                <w:sz w:val="22"/>
                <w:szCs w:val="22"/>
              </w:rPr>
            </w:pPr>
            <w:r w:rsidRPr="00317ABF">
              <w:rPr>
                <w:rFonts w:ascii="Times New Roman" w:hAnsi="Times New Roman" w:cs="Times New Roman"/>
                <w:sz w:val="22"/>
                <w:szCs w:val="22"/>
              </w:rPr>
              <w:t xml:space="preserve">4. Wysokość udziału danego przedsiębiorcy telekomunikacyjnego w pokryciu dopłaty stanowi iloczyn jednolitego wskaźnika procentowego, o którym mowa w ust. 2, oraz kwoty przychodów tego przedsiębiorcy z </w:t>
            </w:r>
            <w:r w:rsidRPr="00317ABF">
              <w:rPr>
                <w:rFonts w:ascii="Times New Roman" w:hAnsi="Times New Roman" w:cs="Times New Roman"/>
                <w:sz w:val="22"/>
                <w:szCs w:val="22"/>
              </w:rPr>
              <w:lastRenderedPageBreak/>
              <w:t>działalności telekomunikacyjnej w danym roku kalendarzowym, w części przekraczającej 10 milionów złotych i nie może być wyższa niż 1% tych przychodów.</w:t>
            </w:r>
          </w:p>
          <w:p w14:paraId="51FF155D" w14:textId="77777777" w:rsidR="00C33438" w:rsidRPr="00317ABF" w:rsidRDefault="00C33438" w:rsidP="00C33438">
            <w:pPr>
              <w:pStyle w:val="USTustnpkodeksu"/>
              <w:spacing w:line="240" w:lineRule="auto"/>
              <w:rPr>
                <w:rFonts w:ascii="Times New Roman" w:hAnsi="Times New Roman" w:cs="Times New Roman"/>
                <w:sz w:val="22"/>
                <w:szCs w:val="22"/>
              </w:rPr>
            </w:pPr>
            <w:r w:rsidRPr="00317ABF">
              <w:rPr>
                <w:rFonts w:ascii="Times New Roman" w:hAnsi="Times New Roman" w:cs="Times New Roman"/>
                <w:sz w:val="22"/>
                <w:szCs w:val="22"/>
              </w:rPr>
              <w:t>5. Prezes UKE, w terminie 30 dni od dnia, w którym decyzja, o której mowa w ust. 1, stała się ostateczna, wydaje z urzędu zaświadczenie dla przedsiębiorcy telekomunikacyjnego o kwocie udziału w pokryciu dopłaty ustalonej zgodnie z decyzją. Do zaświadczenia stosuje się odpowiednio przepisy ustawy z dnia 14 czerwca 1960 r. Kodeks postępowania administracyjnego.</w:t>
            </w:r>
          </w:p>
          <w:p w14:paraId="41E36288" w14:textId="77777777" w:rsidR="00C33438" w:rsidRPr="00317ABF" w:rsidRDefault="00C33438" w:rsidP="00C33438">
            <w:pPr>
              <w:pStyle w:val="USTustnpkodeksu"/>
              <w:spacing w:line="240" w:lineRule="auto"/>
              <w:rPr>
                <w:rFonts w:ascii="Times New Roman" w:hAnsi="Times New Roman" w:cs="Times New Roman"/>
                <w:sz w:val="22"/>
                <w:szCs w:val="22"/>
              </w:rPr>
            </w:pPr>
            <w:r w:rsidRPr="00317ABF">
              <w:rPr>
                <w:rFonts w:ascii="Times New Roman" w:hAnsi="Times New Roman" w:cs="Times New Roman"/>
                <w:sz w:val="22"/>
                <w:szCs w:val="22"/>
              </w:rPr>
              <w:t>6. Kwota udziału w pokryciu dopłaty podlega administracyjnej egzekucji należności pieniężnych.</w:t>
            </w:r>
          </w:p>
          <w:p w14:paraId="4B47DBC3" w14:textId="77777777" w:rsidR="00C33438" w:rsidRPr="00317ABF" w:rsidRDefault="00C33438" w:rsidP="00C33438">
            <w:pPr>
              <w:pStyle w:val="USTustnpkodeksu"/>
              <w:spacing w:line="240" w:lineRule="auto"/>
              <w:rPr>
                <w:rFonts w:ascii="Times New Roman" w:hAnsi="Times New Roman" w:cs="Times New Roman"/>
                <w:sz w:val="22"/>
                <w:szCs w:val="22"/>
              </w:rPr>
            </w:pPr>
            <w:r w:rsidRPr="00317ABF">
              <w:rPr>
                <w:rFonts w:ascii="Times New Roman" w:hAnsi="Times New Roman" w:cs="Times New Roman"/>
                <w:sz w:val="22"/>
                <w:szCs w:val="22"/>
              </w:rPr>
              <w:t>7. Jeżeli kwota udziału w pokryciu dopłaty uzyskana została od przedsiębiorcy w drodze egzekucji, kwotę wydatków związanych z przekazaniem egzekwowanej należności przedsiębiorcy wyznaczonemu, uprawnionemu do otrzymania dopłaty pokrywa przedsiębiorca telekomunikacyjny obowiązany do udziału w pokryciu dopłaty, przeciwko któremu toczyło się to postępowanie egzekucyjne.</w:t>
            </w:r>
          </w:p>
          <w:p w14:paraId="4FA21D7D" w14:textId="35F0887B" w:rsidR="00FA39C3" w:rsidRPr="00317ABF" w:rsidRDefault="00FA39C3" w:rsidP="00FA39C3">
            <w:pPr>
              <w:pStyle w:val="ARTartustawynprozporzdzenia"/>
              <w:spacing w:before="0" w:line="240" w:lineRule="auto"/>
              <w:rPr>
                <w:rFonts w:ascii="Times New Roman" w:hAnsi="Times New Roman" w:cs="Times New Roman"/>
                <w:sz w:val="22"/>
                <w:szCs w:val="22"/>
              </w:rPr>
            </w:pPr>
            <w:r w:rsidRPr="00317ABF">
              <w:rPr>
                <w:sz w:val="22"/>
                <w:szCs w:val="22"/>
              </w:rPr>
              <w:t xml:space="preserve"> </w:t>
            </w:r>
            <w:r w:rsidRPr="00317ABF">
              <w:rPr>
                <w:rStyle w:val="Ppogrubienie"/>
                <w:rFonts w:ascii="Times New Roman" w:hAnsi="Times New Roman"/>
                <w:sz w:val="22"/>
                <w:szCs w:val="22"/>
              </w:rPr>
              <w:t>Art. 368.</w:t>
            </w:r>
            <w:r w:rsidRPr="00317ABF">
              <w:rPr>
                <w:rFonts w:ascii="Times New Roman" w:hAnsi="Times New Roman" w:cs="Times New Roman"/>
                <w:sz w:val="22"/>
                <w:szCs w:val="22"/>
              </w:rPr>
              <w:t xml:space="preserve"> 1. Kwotę udziału w pokryciu dopłaty wpłaca się na wyodrębniony rachunek UKE wykorzystywany do transferów pieniężnych od przedsiębiorcy telekomunikacyjnego, obowiązanego do udziału w pokryciu dopłaty, do przedsiębiorcy wyznaczonego, uprawnionego do otrzymania tej dopłaty, w terminie 30 dni od dnia otrzymania zaświadczenia o kwocie udziału w pokryciu dopłaty.</w:t>
            </w:r>
          </w:p>
          <w:p w14:paraId="1952157C" w14:textId="77777777" w:rsidR="00FA39C3" w:rsidRPr="00317ABF" w:rsidRDefault="00FA39C3" w:rsidP="00FA39C3">
            <w:pPr>
              <w:pStyle w:val="USTustnpkodeksu"/>
              <w:spacing w:line="240" w:lineRule="auto"/>
              <w:rPr>
                <w:rFonts w:ascii="Times New Roman" w:hAnsi="Times New Roman" w:cs="Times New Roman"/>
                <w:sz w:val="22"/>
                <w:szCs w:val="22"/>
              </w:rPr>
            </w:pPr>
            <w:r w:rsidRPr="00317ABF">
              <w:rPr>
                <w:rFonts w:ascii="Times New Roman" w:hAnsi="Times New Roman" w:cs="Times New Roman"/>
                <w:sz w:val="22"/>
                <w:szCs w:val="22"/>
              </w:rPr>
              <w:t>2. Obowiązek, o którym mowa w ust. 1, nie dotyczy przedsiębiorcy wyznaczonego, uprawnionego do otrzymania dopłaty.</w:t>
            </w:r>
          </w:p>
          <w:p w14:paraId="7D0EFE0D" w14:textId="77777777" w:rsidR="00FA39C3" w:rsidRPr="00317ABF" w:rsidRDefault="00FA39C3" w:rsidP="00FA39C3">
            <w:pPr>
              <w:pStyle w:val="USTustnpkodeksu"/>
              <w:spacing w:line="240" w:lineRule="auto"/>
              <w:rPr>
                <w:rFonts w:ascii="Times New Roman" w:hAnsi="Times New Roman" w:cs="Times New Roman"/>
                <w:sz w:val="22"/>
                <w:szCs w:val="22"/>
              </w:rPr>
            </w:pPr>
            <w:r w:rsidRPr="00317ABF">
              <w:rPr>
                <w:rFonts w:ascii="Times New Roman" w:hAnsi="Times New Roman" w:cs="Times New Roman"/>
                <w:sz w:val="22"/>
                <w:szCs w:val="22"/>
              </w:rPr>
              <w:t>3. W przypadku opóźnienia we wpłacie kwoty udziału w pokryciu dopłaty w stosunku do terminu wskazanego w ust. 1, przez przedsiębiorcę telekomunikacyjnego, obowiązanego do udziału w pokryciu dopłaty, nalicza się odsetki ustawowe za opóźnienie.</w:t>
            </w:r>
          </w:p>
          <w:p w14:paraId="433527EB" w14:textId="77777777" w:rsidR="00FA39C3" w:rsidRPr="00317ABF" w:rsidRDefault="00FA39C3" w:rsidP="00FA39C3">
            <w:pPr>
              <w:pStyle w:val="USTustnpkodeksu"/>
              <w:spacing w:line="240" w:lineRule="auto"/>
              <w:rPr>
                <w:rFonts w:ascii="Times New Roman" w:hAnsi="Times New Roman" w:cs="Times New Roman"/>
                <w:sz w:val="22"/>
                <w:szCs w:val="22"/>
              </w:rPr>
            </w:pPr>
            <w:r w:rsidRPr="00317ABF">
              <w:rPr>
                <w:rFonts w:ascii="Times New Roman" w:hAnsi="Times New Roman" w:cs="Times New Roman"/>
                <w:sz w:val="22"/>
                <w:szCs w:val="22"/>
              </w:rPr>
              <w:t>4. Odsetki od środków finansowych zgromadzonych na rachunku UKE, o którym mowa w ust. 1, powiększają kwotę zgromadzonych na nim środków finansowych.</w:t>
            </w:r>
          </w:p>
          <w:p w14:paraId="69492B20" w14:textId="77777777" w:rsidR="00FA39C3" w:rsidRPr="00317ABF" w:rsidRDefault="00FA39C3" w:rsidP="00FA39C3">
            <w:pPr>
              <w:pStyle w:val="USTustnpkodeksu"/>
              <w:spacing w:line="240" w:lineRule="auto"/>
              <w:rPr>
                <w:rFonts w:ascii="Times New Roman" w:hAnsi="Times New Roman" w:cs="Times New Roman"/>
                <w:sz w:val="22"/>
                <w:szCs w:val="22"/>
              </w:rPr>
            </w:pPr>
            <w:r w:rsidRPr="00317ABF">
              <w:rPr>
                <w:rFonts w:ascii="Times New Roman" w:hAnsi="Times New Roman" w:cs="Times New Roman"/>
                <w:sz w:val="22"/>
                <w:szCs w:val="22"/>
              </w:rPr>
              <w:t>5. Prezes UKE niezwłocznie po uzyskaniu kolejnych wpłat od przedsiębiorców na rachunek UKE przekazuje je jako dopłatę przedsiębiorcy wyznaczonemu, uprawnionemu do jej otrzymania.</w:t>
            </w:r>
          </w:p>
          <w:p w14:paraId="370852C7" w14:textId="77777777" w:rsidR="00FA39C3" w:rsidRPr="00317ABF" w:rsidRDefault="00FA39C3" w:rsidP="00FA39C3">
            <w:pPr>
              <w:pStyle w:val="USTustnpkodeksu"/>
              <w:spacing w:line="240" w:lineRule="auto"/>
              <w:rPr>
                <w:rFonts w:ascii="Times New Roman" w:hAnsi="Times New Roman" w:cs="Times New Roman"/>
                <w:sz w:val="22"/>
                <w:szCs w:val="22"/>
              </w:rPr>
            </w:pPr>
            <w:r w:rsidRPr="00317ABF">
              <w:rPr>
                <w:rFonts w:ascii="Times New Roman" w:hAnsi="Times New Roman" w:cs="Times New Roman"/>
                <w:sz w:val="22"/>
                <w:szCs w:val="22"/>
              </w:rPr>
              <w:t>6. Jeżeli ustalona kwota dopłaty przewyższa kwotę środków zgromadzonych na rachunku UKE, obowiązek dopłaty w kolejnym roku kalendarzowym powiększa się o zaległą kwotę.</w:t>
            </w:r>
          </w:p>
          <w:p w14:paraId="555C6233" w14:textId="77777777" w:rsidR="00FA39C3" w:rsidRPr="00317ABF" w:rsidRDefault="00FA39C3" w:rsidP="00FA39C3">
            <w:pPr>
              <w:pStyle w:val="USTustnpkodeksu"/>
              <w:keepNext/>
              <w:spacing w:line="240" w:lineRule="auto"/>
              <w:rPr>
                <w:rFonts w:ascii="Times New Roman" w:hAnsi="Times New Roman" w:cs="Times New Roman"/>
                <w:sz w:val="22"/>
                <w:szCs w:val="22"/>
              </w:rPr>
            </w:pPr>
            <w:r w:rsidRPr="00317ABF">
              <w:rPr>
                <w:rFonts w:ascii="Times New Roman" w:hAnsi="Times New Roman" w:cs="Times New Roman"/>
                <w:sz w:val="22"/>
                <w:szCs w:val="22"/>
              </w:rPr>
              <w:lastRenderedPageBreak/>
              <w:t>7. Prezes UKE, w terminie 6 miesięcy od dnia, w którym decyzja, o której mowa w art. 367 ust. 1, stała się ostateczna, sporządza i udostępnia na stronie podmiotowej BIP UKE sprawozdanie obejmujące:</w:t>
            </w:r>
          </w:p>
          <w:p w14:paraId="54302A6C" w14:textId="77777777" w:rsidR="00FA39C3" w:rsidRPr="00317ABF" w:rsidRDefault="00FA39C3" w:rsidP="00FA39C3">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1)</w:t>
            </w:r>
            <w:r w:rsidRPr="00317ABF">
              <w:rPr>
                <w:rFonts w:ascii="Times New Roman" w:hAnsi="Times New Roman" w:cs="Times New Roman"/>
                <w:sz w:val="22"/>
                <w:szCs w:val="22"/>
              </w:rPr>
              <w:tab/>
              <w:t>koszt netto realizacji obowiązku w zakresie usługi lub usług, o których mowa w art. 350 ust. 1;</w:t>
            </w:r>
          </w:p>
          <w:p w14:paraId="56D860A7" w14:textId="77777777" w:rsidR="00FA39C3" w:rsidRPr="00317ABF" w:rsidRDefault="00FA39C3" w:rsidP="00FA39C3">
            <w:pPr>
              <w:pStyle w:val="PKTpunkt0"/>
              <w:spacing w:line="240" w:lineRule="auto"/>
              <w:rPr>
                <w:rFonts w:ascii="Times New Roman" w:hAnsi="Times New Roman" w:cs="Times New Roman"/>
                <w:i/>
                <w:iCs/>
                <w:sz w:val="22"/>
                <w:szCs w:val="22"/>
              </w:rPr>
            </w:pPr>
            <w:r w:rsidRPr="00317ABF">
              <w:rPr>
                <w:rFonts w:ascii="Times New Roman" w:hAnsi="Times New Roman" w:cs="Times New Roman"/>
                <w:sz w:val="22"/>
                <w:szCs w:val="22"/>
              </w:rPr>
              <w:t>2)</w:t>
            </w:r>
            <w:r w:rsidRPr="00317ABF">
              <w:rPr>
                <w:rFonts w:ascii="Times New Roman" w:hAnsi="Times New Roman" w:cs="Times New Roman"/>
                <w:sz w:val="22"/>
                <w:szCs w:val="22"/>
              </w:rPr>
              <w:tab/>
              <w:t>wyniki analizy i weryfikacji, o których mowa w art. 365 ust. 2 i 3, z uwzględnieniem korzyści pośrednich związanych z realizacją tego obowiązku</w:t>
            </w:r>
          </w:p>
          <w:p w14:paraId="4600C454" w14:textId="77777777" w:rsidR="00FA39C3" w:rsidRPr="00317ABF" w:rsidRDefault="00FA39C3" w:rsidP="00FA39C3">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3)</w:t>
            </w:r>
            <w:r w:rsidRPr="00317ABF">
              <w:rPr>
                <w:rFonts w:ascii="Times New Roman" w:hAnsi="Times New Roman" w:cs="Times New Roman"/>
                <w:sz w:val="22"/>
                <w:szCs w:val="22"/>
              </w:rPr>
              <w:tab/>
              <w:t>udział przedsiębiorców telekomunikacyjnych obowiązanych do pokrycia dopłaty;</w:t>
            </w:r>
          </w:p>
          <w:p w14:paraId="2678A64E" w14:textId="77777777" w:rsidR="00FA39C3" w:rsidRPr="00317ABF" w:rsidRDefault="00FA39C3" w:rsidP="00FA39C3">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4)</w:t>
            </w:r>
            <w:r w:rsidRPr="00317ABF">
              <w:rPr>
                <w:rFonts w:ascii="Times New Roman" w:hAnsi="Times New Roman" w:cs="Times New Roman"/>
                <w:sz w:val="22"/>
                <w:szCs w:val="22"/>
              </w:rPr>
              <w:tab/>
              <w:t>wysokość dopłaty przekazanej przedsiębiorcy wyznaczonemu.</w:t>
            </w:r>
          </w:p>
          <w:p w14:paraId="6BA4775C" w14:textId="77777777" w:rsidR="00FA39C3" w:rsidRPr="00317ABF" w:rsidRDefault="00FA39C3" w:rsidP="00C33438">
            <w:pPr>
              <w:pStyle w:val="USTustnpkodeksu"/>
              <w:spacing w:line="240" w:lineRule="auto"/>
              <w:rPr>
                <w:rFonts w:ascii="Times New Roman" w:hAnsi="Times New Roman" w:cs="Times New Roman"/>
                <w:szCs w:val="24"/>
              </w:rPr>
            </w:pPr>
          </w:p>
          <w:p w14:paraId="57D3A3DB" w14:textId="77777777" w:rsidR="001E1112" w:rsidRPr="00317ABF" w:rsidRDefault="001E1112" w:rsidP="00DB3BEC">
            <w:pPr>
              <w:pStyle w:val="Tekstpodstawowy"/>
              <w:rPr>
                <w:sz w:val="22"/>
                <w:szCs w:val="22"/>
              </w:rPr>
            </w:pPr>
          </w:p>
        </w:tc>
      </w:tr>
      <w:tr w:rsidR="001E1112" w:rsidRPr="00317ABF" w14:paraId="5DEA4D6B" w14:textId="77777777" w:rsidTr="7753F98D">
        <w:trPr>
          <w:gridAfter w:val="2"/>
          <w:wAfter w:w="175" w:type="dxa"/>
        </w:trPr>
        <w:tc>
          <w:tcPr>
            <w:tcW w:w="704" w:type="dxa"/>
          </w:tcPr>
          <w:p w14:paraId="2EBCD1A2" w14:textId="77777777" w:rsidR="001E1112" w:rsidRPr="00317ABF" w:rsidRDefault="001E1112" w:rsidP="00DB3BEC">
            <w:pPr>
              <w:jc w:val="both"/>
              <w:rPr>
                <w:b/>
                <w:sz w:val="22"/>
                <w:szCs w:val="22"/>
              </w:rPr>
            </w:pPr>
            <w:r w:rsidRPr="00317ABF">
              <w:rPr>
                <w:b/>
                <w:sz w:val="22"/>
                <w:szCs w:val="22"/>
              </w:rPr>
              <w:lastRenderedPageBreak/>
              <w:t>Art. 91</w:t>
            </w:r>
          </w:p>
        </w:tc>
        <w:tc>
          <w:tcPr>
            <w:tcW w:w="4308" w:type="dxa"/>
          </w:tcPr>
          <w:p w14:paraId="6E380DC6" w14:textId="77777777" w:rsidR="001E1112" w:rsidRPr="00317ABF" w:rsidRDefault="001E1112" w:rsidP="00DB3BEC">
            <w:pPr>
              <w:spacing w:before="120"/>
              <w:jc w:val="both"/>
              <w:rPr>
                <w:sz w:val="22"/>
                <w:szCs w:val="22"/>
              </w:rPr>
            </w:pPr>
            <w:r w:rsidRPr="00317ABF">
              <w:rPr>
                <w:b/>
                <w:bCs/>
                <w:sz w:val="22"/>
                <w:szCs w:val="22"/>
              </w:rPr>
              <w:t>Przejrzystość</w:t>
            </w:r>
          </w:p>
        </w:tc>
        <w:tc>
          <w:tcPr>
            <w:tcW w:w="986" w:type="dxa"/>
          </w:tcPr>
          <w:p w14:paraId="2C5FBC5F" w14:textId="77777777" w:rsidR="001E1112" w:rsidRPr="00317ABF" w:rsidRDefault="001E1112" w:rsidP="00DB3BEC">
            <w:pPr>
              <w:jc w:val="both"/>
              <w:rPr>
                <w:sz w:val="22"/>
                <w:szCs w:val="22"/>
              </w:rPr>
            </w:pPr>
          </w:p>
        </w:tc>
        <w:tc>
          <w:tcPr>
            <w:tcW w:w="910" w:type="dxa"/>
          </w:tcPr>
          <w:p w14:paraId="7D182EF2" w14:textId="77777777" w:rsidR="001E1112" w:rsidRPr="00317ABF" w:rsidRDefault="001E1112" w:rsidP="00DB3BEC">
            <w:pPr>
              <w:pStyle w:val="Tekstpodstawowy"/>
              <w:rPr>
                <w:b/>
                <w:noProof/>
                <w:sz w:val="22"/>
                <w:szCs w:val="22"/>
              </w:rPr>
            </w:pPr>
          </w:p>
        </w:tc>
        <w:tc>
          <w:tcPr>
            <w:tcW w:w="6814" w:type="dxa"/>
            <w:gridSpan w:val="2"/>
          </w:tcPr>
          <w:p w14:paraId="090E1805" w14:textId="77777777" w:rsidR="001E1112" w:rsidRPr="00317ABF" w:rsidRDefault="001E1112" w:rsidP="00DB3BEC">
            <w:pPr>
              <w:pStyle w:val="Tekstpodstawowy"/>
              <w:rPr>
                <w:sz w:val="22"/>
                <w:szCs w:val="22"/>
              </w:rPr>
            </w:pPr>
          </w:p>
        </w:tc>
      </w:tr>
      <w:tr w:rsidR="001E1112" w:rsidRPr="00317ABF" w14:paraId="7A09BB60" w14:textId="77777777" w:rsidTr="7753F98D">
        <w:trPr>
          <w:gridAfter w:val="2"/>
          <w:wAfter w:w="175" w:type="dxa"/>
        </w:trPr>
        <w:tc>
          <w:tcPr>
            <w:tcW w:w="704" w:type="dxa"/>
          </w:tcPr>
          <w:p w14:paraId="7E062C02" w14:textId="77777777" w:rsidR="001E1112" w:rsidRPr="00317ABF" w:rsidRDefault="001E1112" w:rsidP="00DB3BEC">
            <w:pPr>
              <w:jc w:val="both"/>
              <w:rPr>
                <w:sz w:val="22"/>
                <w:szCs w:val="22"/>
              </w:rPr>
            </w:pPr>
            <w:r w:rsidRPr="00317ABF">
              <w:rPr>
                <w:sz w:val="22"/>
                <w:szCs w:val="22"/>
              </w:rPr>
              <w:t>Art. 91 ust. 1</w:t>
            </w:r>
          </w:p>
        </w:tc>
        <w:tc>
          <w:tcPr>
            <w:tcW w:w="4308" w:type="dxa"/>
          </w:tcPr>
          <w:p w14:paraId="30D30ABE" w14:textId="77777777" w:rsidR="001E1112" w:rsidRPr="00317ABF" w:rsidRDefault="001E1112" w:rsidP="00DB3BEC">
            <w:pPr>
              <w:spacing w:before="120"/>
              <w:jc w:val="both"/>
              <w:rPr>
                <w:sz w:val="22"/>
                <w:szCs w:val="22"/>
              </w:rPr>
            </w:pPr>
            <w:r w:rsidRPr="00317ABF">
              <w:rPr>
                <w:sz w:val="22"/>
                <w:szCs w:val="22"/>
              </w:rPr>
              <w:t>1.   W przypadku gdy koszt netto obowiązku świadczenia usługi powszechnej ma zostać obliczony zgodnie z art. 89, krajowe organy regulacyjne zapewniają, aby zasady kalkulacji kosztu netto, w tym szczegóły zastosowanej metody, były publicznie dostępne.</w:t>
            </w:r>
          </w:p>
          <w:p w14:paraId="4642B65A" w14:textId="77777777" w:rsidR="001E1112" w:rsidRPr="00317ABF" w:rsidRDefault="001E1112" w:rsidP="00DB3BEC">
            <w:pPr>
              <w:spacing w:before="120"/>
              <w:jc w:val="both"/>
              <w:rPr>
                <w:sz w:val="22"/>
                <w:szCs w:val="22"/>
              </w:rPr>
            </w:pPr>
            <w:r w:rsidRPr="00317ABF">
              <w:rPr>
                <w:sz w:val="22"/>
                <w:szCs w:val="22"/>
              </w:rPr>
              <w:t>W przypadku ustanowienia określonego w art. 90 ust. 2 mechanizmu dzielenia kosztu netto obowiązku świadczenia usługi powszechnej, krajowe organy regulacyjne zapewniają, aby zasady dzielenia kosztów i zasady dotyczące kompensowania kosztu netto były publicznie dostępne.</w:t>
            </w:r>
          </w:p>
        </w:tc>
        <w:tc>
          <w:tcPr>
            <w:tcW w:w="986" w:type="dxa"/>
          </w:tcPr>
          <w:p w14:paraId="432FFB47" w14:textId="77777777" w:rsidR="001E1112" w:rsidRPr="00317ABF" w:rsidRDefault="001E1112" w:rsidP="00DB3BEC">
            <w:pPr>
              <w:jc w:val="both"/>
              <w:rPr>
                <w:sz w:val="22"/>
                <w:szCs w:val="22"/>
              </w:rPr>
            </w:pPr>
          </w:p>
        </w:tc>
        <w:tc>
          <w:tcPr>
            <w:tcW w:w="910" w:type="dxa"/>
          </w:tcPr>
          <w:p w14:paraId="55F58416" w14:textId="007BACA5" w:rsidR="001E1112" w:rsidRPr="00317ABF" w:rsidRDefault="001E1112" w:rsidP="00DB3BEC">
            <w:pPr>
              <w:pStyle w:val="Tekstpodstawowy"/>
              <w:rPr>
                <w:b/>
                <w:noProof/>
                <w:sz w:val="22"/>
                <w:szCs w:val="22"/>
              </w:rPr>
            </w:pPr>
            <w:r w:rsidRPr="00317ABF">
              <w:rPr>
                <w:b/>
                <w:noProof/>
                <w:sz w:val="22"/>
                <w:szCs w:val="22"/>
              </w:rPr>
              <w:t>Art. 3</w:t>
            </w:r>
            <w:r w:rsidR="00957E4B" w:rsidRPr="00317ABF">
              <w:rPr>
                <w:b/>
                <w:noProof/>
                <w:sz w:val="22"/>
                <w:szCs w:val="22"/>
              </w:rPr>
              <w:t>64</w:t>
            </w:r>
          </w:p>
          <w:p w14:paraId="2B7197D3" w14:textId="7BAFE87F" w:rsidR="001E1112" w:rsidRPr="00317ABF" w:rsidRDefault="001E1112" w:rsidP="00957E4B">
            <w:pPr>
              <w:pStyle w:val="Tekstpodstawowy"/>
              <w:rPr>
                <w:b/>
                <w:noProof/>
                <w:sz w:val="22"/>
                <w:szCs w:val="22"/>
              </w:rPr>
            </w:pPr>
            <w:r w:rsidRPr="00317ABF">
              <w:rPr>
                <w:b/>
                <w:noProof/>
                <w:sz w:val="22"/>
                <w:szCs w:val="22"/>
              </w:rPr>
              <w:t>Art. 3</w:t>
            </w:r>
            <w:r w:rsidR="00957E4B" w:rsidRPr="00317ABF">
              <w:rPr>
                <w:b/>
                <w:noProof/>
                <w:sz w:val="22"/>
                <w:szCs w:val="22"/>
              </w:rPr>
              <w:t>67</w:t>
            </w:r>
          </w:p>
        </w:tc>
        <w:tc>
          <w:tcPr>
            <w:tcW w:w="6814" w:type="dxa"/>
            <w:gridSpan w:val="2"/>
          </w:tcPr>
          <w:p w14:paraId="5AE0C20C" w14:textId="77777777" w:rsidR="00957E4B" w:rsidRPr="00317ABF" w:rsidRDefault="00957E4B" w:rsidP="00957E4B">
            <w:pPr>
              <w:pStyle w:val="ARTartustawynprozporzdzenia"/>
              <w:spacing w:before="0" w:line="240" w:lineRule="auto"/>
              <w:rPr>
                <w:rFonts w:ascii="Times New Roman" w:hAnsi="Times New Roman" w:cs="Times New Roman"/>
                <w:sz w:val="22"/>
                <w:szCs w:val="22"/>
              </w:rPr>
            </w:pPr>
            <w:r w:rsidRPr="00317ABF">
              <w:rPr>
                <w:rStyle w:val="Ppogrubienie"/>
                <w:rFonts w:ascii="Times New Roman" w:hAnsi="Times New Roman"/>
                <w:sz w:val="22"/>
                <w:szCs w:val="22"/>
              </w:rPr>
              <w:t>Art. 364.</w:t>
            </w:r>
            <w:r w:rsidRPr="00317ABF">
              <w:rPr>
                <w:rFonts w:ascii="Times New Roman" w:hAnsi="Times New Roman" w:cs="Times New Roman"/>
                <w:sz w:val="22"/>
                <w:szCs w:val="22"/>
              </w:rPr>
              <w:t xml:space="preserve"> 1. Przedsiębiorcy wyznaczonemu przysługuje dopłata do kosztów realizacji obowiązku, do którego został wyznaczony, zwana dalej „dopłatą”, gdy jego realizacja jest nierentowna.</w:t>
            </w:r>
          </w:p>
          <w:p w14:paraId="7B813699" w14:textId="77777777" w:rsidR="00957E4B" w:rsidRPr="00317ABF" w:rsidRDefault="00957E4B" w:rsidP="00957E4B">
            <w:pPr>
              <w:pStyle w:val="USTustnpkodeksu"/>
              <w:spacing w:line="240" w:lineRule="auto"/>
              <w:rPr>
                <w:rFonts w:ascii="Times New Roman" w:hAnsi="Times New Roman" w:cs="Times New Roman"/>
                <w:sz w:val="22"/>
                <w:szCs w:val="22"/>
              </w:rPr>
            </w:pPr>
            <w:r w:rsidRPr="00317ABF">
              <w:rPr>
                <w:rFonts w:ascii="Times New Roman" w:hAnsi="Times New Roman" w:cs="Times New Roman"/>
                <w:sz w:val="22"/>
                <w:szCs w:val="22"/>
              </w:rPr>
              <w:t>2.  Prezes UKE ustala dopłatę w wysokości kosztu netto realizacji obowiązku, do którego przedsiębiorca został wyznaczony. Koszt netto realizacji tego obowiązku dotyczy tylko kosztów, których przedsiębiorca wyznaczony nie poniósłby, gdyby nie został wyznaczony do realizacji tego obowiązku.</w:t>
            </w:r>
          </w:p>
          <w:p w14:paraId="27188F88" w14:textId="77777777" w:rsidR="00957E4B" w:rsidRPr="00317ABF" w:rsidRDefault="00957E4B" w:rsidP="00957E4B">
            <w:pPr>
              <w:pStyle w:val="USTustnpkodeksu"/>
              <w:spacing w:line="240" w:lineRule="auto"/>
              <w:rPr>
                <w:rFonts w:ascii="Times New Roman" w:hAnsi="Times New Roman" w:cs="Times New Roman"/>
                <w:sz w:val="22"/>
                <w:szCs w:val="22"/>
              </w:rPr>
            </w:pPr>
            <w:r w:rsidRPr="00317ABF">
              <w:rPr>
                <w:rFonts w:ascii="Times New Roman" w:hAnsi="Times New Roman" w:cs="Times New Roman"/>
                <w:sz w:val="22"/>
                <w:szCs w:val="22"/>
              </w:rPr>
              <w:t>3. W przypadku wyznaczenia przedsiębiorcy w drodze decyzji, o której mowa w art. 355 ust. 6, dopłata nie może być wyższa niż zaoferowany w konkursie prognozowany koszt netto realizacji obowiązku, do którego ten przedsiębiorca został wyznaczony.</w:t>
            </w:r>
          </w:p>
          <w:p w14:paraId="7447294C" w14:textId="77777777" w:rsidR="00957E4B" w:rsidRPr="00317ABF" w:rsidRDefault="00957E4B" w:rsidP="00957E4B">
            <w:pPr>
              <w:pStyle w:val="USTustnpkodeksu"/>
              <w:keepNext/>
              <w:spacing w:line="240" w:lineRule="auto"/>
              <w:rPr>
                <w:rFonts w:ascii="Times New Roman" w:hAnsi="Times New Roman" w:cs="Times New Roman"/>
                <w:sz w:val="22"/>
                <w:szCs w:val="22"/>
              </w:rPr>
            </w:pPr>
            <w:r w:rsidRPr="00317ABF">
              <w:rPr>
                <w:rFonts w:ascii="Times New Roman" w:hAnsi="Times New Roman" w:cs="Times New Roman"/>
                <w:sz w:val="22"/>
                <w:szCs w:val="22"/>
              </w:rPr>
              <w:t>4. Kalkulacja kosztu netto, o którym mowa w ust. 2, dla każdego obowiązku, do którego realizacji dany przedsiębiorca został wyznaczony, uwzględnia:</w:t>
            </w:r>
          </w:p>
          <w:p w14:paraId="69084118" w14:textId="77777777" w:rsidR="00957E4B" w:rsidRPr="00317ABF" w:rsidRDefault="00957E4B" w:rsidP="00957E4B">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1)</w:t>
            </w:r>
            <w:r w:rsidRPr="00317ABF">
              <w:rPr>
                <w:rFonts w:ascii="Times New Roman" w:hAnsi="Times New Roman" w:cs="Times New Roman"/>
                <w:sz w:val="22"/>
                <w:szCs w:val="22"/>
              </w:rPr>
              <w:tab/>
              <w:t>koszty bezpośrednio związane z realizacją tego obowiązku;</w:t>
            </w:r>
          </w:p>
          <w:p w14:paraId="7CB6128D" w14:textId="77777777" w:rsidR="00957E4B" w:rsidRPr="00317ABF" w:rsidRDefault="00957E4B" w:rsidP="00957E4B">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2)</w:t>
            </w:r>
            <w:r w:rsidRPr="00317ABF">
              <w:rPr>
                <w:rFonts w:ascii="Times New Roman" w:hAnsi="Times New Roman" w:cs="Times New Roman"/>
                <w:sz w:val="22"/>
                <w:szCs w:val="22"/>
              </w:rPr>
              <w:tab/>
              <w:t>przychody z realizacji tego obowiązku;</w:t>
            </w:r>
          </w:p>
          <w:p w14:paraId="6FF2AD72" w14:textId="77777777" w:rsidR="00957E4B" w:rsidRPr="00317ABF" w:rsidRDefault="00957E4B" w:rsidP="00957E4B">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3)</w:t>
            </w:r>
            <w:r w:rsidRPr="00317ABF">
              <w:rPr>
                <w:rFonts w:ascii="Times New Roman" w:hAnsi="Times New Roman" w:cs="Times New Roman"/>
                <w:sz w:val="22"/>
                <w:szCs w:val="22"/>
              </w:rPr>
              <w:tab/>
              <w:t>korzyści pośrednie związane z realizacją tego obowiązku.</w:t>
            </w:r>
          </w:p>
          <w:p w14:paraId="4BF4E2ED" w14:textId="77777777" w:rsidR="00957E4B" w:rsidRPr="00317ABF" w:rsidRDefault="00957E4B" w:rsidP="00957E4B">
            <w:pPr>
              <w:pStyle w:val="USTustnpkodeksu"/>
              <w:spacing w:line="240" w:lineRule="auto"/>
              <w:rPr>
                <w:rFonts w:ascii="Times New Roman" w:hAnsi="Times New Roman" w:cs="Times New Roman"/>
                <w:sz w:val="22"/>
                <w:szCs w:val="22"/>
              </w:rPr>
            </w:pPr>
            <w:r w:rsidRPr="00317ABF">
              <w:rPr>
                <w:rFonts w:ascii="Times New Roman" w:hAnsi="Times New Roman" w:cs="Times New Roman"/>
                <w:sz w:val="22"/>
                <w:szCs w:val="22"/>
              </w:rPr>
              <w:t xml:space="preserve">5. Minister właściwy do spraw informatyzacji określi, w drodze rozporządzenia, sposób obliczania kosztu netto realizacji obowiązku w zakresie usługi lub usług, o których mowa w art. 350 ust. 1, mając na celu konieczność ustalenia dla przedsiębiorcy wyznaczonego odpowiedniej wysokości dopłaty z uwzględnieniem zasad przejrzystości i </w:t>
            </w:r>
            <w:r w:rsidRPr="00317ABF">
              <w:rPr>
                <w:rFonts w:ascii="Times New Roman" w:hAnsi="Times New Roman" w:cs="Times New Roman"/>
                <w:sz w:val="22"/>
                <w:szCs w:val="22"/>
              </w:rPr>
              <w:lastRenderedPageBreak/>
              <w:t>niedyskryminacji oraz umożliwienie przez Prezesa UKE weryfikacji kosztu netto.</w:t>
            </w:r>
          </w:p>
          <w:p w14:paraId="7A9E7887" w14:textId="77777777" w:rsidR="001E1112" w:rsidRPr="00317ABF" w:rsidRDefault="001E1112" w:rsidP="00DB3BEC">
            <w:pPr>
              <w:pStyle w:val="USTustnpkodeksu"/>
              <w:spacing w:line="240" w:lineRule="auto"/>
              <w:rPr>
                <w:rFonts w:ascii="Times New Roman" w:hAnsi="Times New Roman" w:cs="Times New Roman"/>
                <w:sz w:val="22"/>
                <w:szCs w:val="22"/>
              </w:rPr>
            </w:pPr>
          </w:p>
          <w:p w14:paraId="44BEB6BD" w14:textId="77777777" w:rsidR="00957E4B" w:rsidRPr="00317ABF" w:rsidRDefault="00957E4B" w:rsidP="00957E4B">
            <w:pPr>
              <w:pStyle w:val="USTustnpkodeksu"/>
              <w:spacing w:line="240" w:lineRule="auto"/>
              <w:rPr>
                <w:rFonts w:ascii="Times New Roman" w:hAnsi="Times New Roman" w:cs="Times New Roman"/>
                <w:sz w:val="22"/>
                <w:szCs w:val="22"/>
              </w:rPr>
            </w:pPr>
            <w:r w:rsidRPr="00317ABF">
              <w:rPr>
                <w:rStyle w:val="Ppogrubienie"/>
                <w:rFonts w:ascii="Times New Roman" w:hAnsi="Times New Roman"/>
                <w:sz w:val="22"/>
                <w:szCs w:val="22"/>
              </w:rPr>
              <w:t>Art. 367.</w:t>
            </w:r>
            <w:r w:rsidRPr="00317ABF">
              <w:rPr>
                <w:rFonts w:ascii="Times New Roman" w:hAnsi="Times New Roman" w:cs="Times New Roman"/>
                <w:sz w:val="22"/>
                <w:szCs w:val="22"/>
              </w:rPr>
              <w:t xml:space="preserve"> 1. Prezes UKE, po ustaleniu należnej dopłaty, określa w drodze decyzji, przedsiębiorców telekomunikacyjnych obowiązanych do pokrycia dopłaty, jednolity wskaźnik procentowego udziału tych przedsiębiorców w pokryciu dopłaty oraz sposób ustalenia kwoty udziału poszczególnych przedsiębiorców telekomunikacyjnych w pokryciu dopłaty.</w:t>
            </w:r>
          </w:p>
          <w:p w14:paraId="63754FAB" w14:textId="77777777" w:rsidR="00957E4B" w:rsidRPr="00317ABF" w:rsidRDefault="00957E4B" w:rsidP="00957E4B">
            <w:pPr>
              <w:pStyle w:val="USTustnpkodeksu"/>
              <w:spacing w:line="240" w:lineRule="auto"/>
              <w:rPr>
                <w:rFonts w:ascii="Times New Roman" w:hAnsi="Times New Roman" w:cs="Times New Roman"/>
                <w:sz w:val="22"/>
                <w:szCs w:val="22"/>
              </w:rPr>
            </w:pPr>
            <w:r w:rsidRPr="00317ABF">
              <w:rPr>
                <w:rFonts w:ascii="Times New Roman" w:hAnsi="Times New Roman" w:cs="Times New Roman"/>
                <w:sz w:val="22"/>
                <w:szCs w:val="22"/>
              </w:rPr>
              <w:t xml:space="preserve">2. Jednolity wskaźnik procentowego udziału wszystkich przedsiębiorców telekomunikacyjnych obowiązanych do udziału w pokryciu dopłaty stanowi iloraz kwoty dopłaty, która podlega pokryciu, do sumy kwot przychodów tych przedsiębiorców z działalności telekomunikacyjnej w danym roku kalendarzowym, w części przekraczającej 10 milionów złotych. </w:t>
            </w:r>
          </w:p>
          <w:p w14:paraId="267E3940" w14:textId="77777777" w:rsidR="00957E4B" w:rsidRPr="00317ABF" w:rsidRDefault="00957E4B" w:rsidP="00957E4B">
            <w:pPr>
              <w:pStyle w:val="USTustnpkodeksu"/>
              <w:spacing w:line="240" w:lineRule="auto"/>
              <w:rPr>
                <w:rFonts w:ascii="Times New Roman" w:hAnsi="Times New Roman" w:cs="Times New Roman"/>
                <w:sz w:val="22"/>
                <w:szCs w:val="22"/>
              </w:rPr>
            </w:pPr>
            <w:r w:rsidRPr="00317ABF">
              <w:rPr>
                <w:rFonts w:ascii="Times New Roman" w:hAnsi="Times New Roman" w:cs="Times New Roman"/>
                <w:sz w:val="22"/>
                <w:szCs w:val="22"/>
              </w:rPr>
              <w:t>3.</w:t>
            </w:r>
            <w:r w:rsidRPr="00317ABF">
              <w:rPr>
                <w:rFonts w:ascii="Times New Roman" w:hAnsi="Times New Roman" w:cs="Times New Roman"/>
                <w:sz w:val="22"/>
                <w:szCs w:val="22"/>
              </w:rPr>
              <w:tab/>
              <w:t xml:space="preserve"> W postępowaniu w sprawie wydania decyzji, o której mowa w ust. 1:</w:t>
            </w:r>
          </w:p>
          <w:p w14:paraId="536715D4" w14:textId="77777777" w:rsidR="00957E4B" w:rsidRPr="00317ABF" w:rsidRDefault="00957E4B" w:rsidP="00957E4B">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1) w przypadkach określonych w art. 97 § 1 pkt 1-3a ustawy z dnia 14 czerwca 1960 r. Kodeks postępowania administracyjnego nie zawiesza się postępowania;</w:t>
            </w:r>
          </w:p>
          <w:p w14:paraId="34BD4E18" w14:textId="77777777" w:rsidR="00957E4B" w:rsidRPr="00317ABF" w:rsidRDefault="00957E4B" w:rsidP="00957E4B">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2) przepisy art. 30 § 5 i art. 34 ustawy z dnia 14 czerwca 1960 r. Kodeks postępowania administracyjnego stosuje się odpowiednio, z zastrzeżeniem, że Prezes UKE wyznacza z urzędu przedstawiciela uprawnionego do działania w postępowaniu do czasu wyznaczenia przedstawiciela lub kuratora przez sąd.</w:t>
            </w:r>
          </w:p>
          <w:p w14:paraId="5D69ADA8" w14:textId="77777777" w:rsidR="00957E4B" w:rsidRPr="00317ABF" w:rsidRDefault="00957E4B" w:rsidP="00957E4B">
            <w:pPr>
              <w:pStyle w:val="USTustnpkodeksu"/>
              <w:spacing w:line="240" w:lineRule="auto"/>
              <w:rPr>
                <w:rFonts w:ascii="Times New Roman" w:hAnsi="Times New Roman" w:cs="Times New Roman"/>
                <w:sz w:val="22"/>
                <w:szCs w:val="22"/>
              </w:rPr>
            </w:pPr>
            <w:r w:rsidRPr="00317ABF">
              <w:rPr>
                <w:rFonts w:ascii="Times New Roman" w:hAnsi="Times New Roman" w:cs="Times New Roman"/>
                <w:sz w:val="22"/>
                <w:szCs w:val="22"/>
              </w:rPr>
              <w:t>4. Wysokość udziału danego przedsiębiorcy telekomunikacyjnego w pokryciu dopłaty stanowi iloczyn jednolitego wskaźnika procentowego, o którym mowa w ust. 2, oraz kwoty przychodów tego przedsiębiorcy z działalności telekomunikacyjnej w danym roku kalendarzowym, w części przekraczającej 10 milionów złotych i nie może być wyższa niż 1% tych przychodów.</w:t>
            </w:r>
          </w:p>
          <w:p w14:paraId="3A37F60D" w14:textId="77777777" w:rsidR="00957E4B" w:rsidRPr="00317ABF" w:rsidRDefault="00957E4B" w:rsidP="00957E4B">
            <w:pPr>
              <w:pStyle w:val="USTustnpkodeksu"/>
              <w:spacing w:line="240" w:lineRule="auto"/>
              <w:rPr>
                <w:rFonts w:ascii="Times New Roman" w:hAnsi="Times New Roman" w:cs="Times New Roman"/>
                <w:sz w:val="22"/>
                <w:szCs w:val="22"/>
              </w:rPr>
            </w:pPr>
            <w:r w:rsidRPr="00317ABF">
              <w:rPr>
                <w:rFonts w:ascii="Times New Roman" w:hAnsi="Times New Roman" w:cs="Times New Roman"/>
                <w:sz w:val="22"/>
                <w:szCs w:val="22"/>
              </w:rPr>
              <w:t>5. Prezes UKE, w terminie 30 dni od dnia, w którym decyzja, o której mowa w ust. 1, stała się ostateczna, wydaje z urzędu zaświadczenie dla przedsiębiorcy telekomunikacyjnego o kwocie udziału w pokryciu dopłaty ustalonej zgodnie z decyzją. Do zaświadczenia stosuje się odpowiednio przepisy ustawy z dnia 14 czerwca 1960 r. Kodeks postępowania administracyjnego.</w:t>
            </w:r>
          </w:p>
          <w:p w14:paraId="0FE71968" w14:textId="77777777" w:rsidR="00957E4B" w:rsidRPr="00317ABF" w:rsidRDefault="00957E4B" w:rsidP="00957E4B">
            <w:pPr>
              <w:pStyle w:val="USTustnpkodeksu"/>
              <w:spacing w:line="240" w:lineRule="auto"/>
              <w:rPr>
                <w:rFonts w:ascii="Times New Roman" w:hAnsi="Times New Roman" w:cs="Times New Roman"/>
                <w:sz w:val="22"/>
                <w:szCs w:val="22"/>
              </w:rPr>
            </w:pPr>
            <w:r w:rsidRPr="00317ABF">
              <w:rPr>
                <w:rFonts w:ascii="Times New Roman" w:hAnsi="Times New Roman" w:cs="Times New Roman"/>
                <w:sz w:val="22"/>
                <w:szCs w:val="22"/>
              </w:rPr>
              <w:t>6. Kwota udziału w pokryciu dopłaty podlega administracyjnej egzekucji należności pieniężnych.</w:t>
            </w:r>
          </w:p>
          <w:p w14:paraId="4D946C3D" w14:textId="5A2E7556" w:rsidR="001E1112" w:rsidRPr="00317ABF" w:rsidRDefault="00957E4B" w:rsidP="00957E4B">
            <w:pPr>
              <w:pStyle w:val="USTustnpkodeksu"/>
              <w:spacing w:line="240" w:lineRule="auto"/>
              <w:rPr>
                <w:rFonts w:ascii="Times New Roman" w:hAnsi="Times New Roman" w:cs="Times New Roman"/>
                <w:szCs w:val="24"/>
              </w:rPr>
            </w:pPr>
            <w:r w:rsidRPr="00317ABF">
              <w:rPr>
                <w:rFonts w:ascii="Times New Roman" w:hAnsi="Times New Roman" w:cs="Times New Roman"/>
                <w:sz w:val="22"/>
                <w:szCs w:val="22"/>
              </w:rPr>
              <w:lastRenderedPageBreak/>
              <w:t>7. Jeżeli kwota udziału w pokryciu dopłaty uzyskana została od przedsiębiorcy w drodze egzekucji, kwotę wydatków związanych z przekazaniem egzekwowanej należności przedsiębiorcy wyznaczonemu, uprawnionemu do otrzymania dopłaty pokrywa przedsiębiorca telekomunikacyjny obowiązany do udziału w pokryciu dopłaty, przeciwko któremu toczyło się to postępowanie egzekucyjne</w:t>
            </w:r>
            <w:r w:rsidRPr="00317ABF">
              <w:rPr>
                <w:rFonts w:ascii="Times New Roman" w:hAnsi="Times New Roman" w:cs="Times New Roman"/>
                <w:szCs w:val="24"/>
              </w:rPr>
              <w:t>.</w:t>
            </w:r>
          </w:p>
        </w:tc>
      </w:tr>
      <w:tr w:rsidR="001E1112" w:rsidRPr="00317ABF" w14:paraId="11A1707F" w14:textId="77777777" w:rsidTr="7753F98D">
        <w:trPr>
          <w:gridAfter w:val="2"/>
          <w:wAfter w:w="175" w:type="dxa"/>
        </w:trPr>
        <w:tc>
          <w:tcPr>
            <w:tcW w:w="704" w:type="dxa"/>
          </w:tcPr>
          <w:p w14:paraId="7697C28A" w14:textId="77777777" w:rsidR="001E1112" w:rsidRPr="00317ABF" w:rsidRDefault="001E1112" w:rsidP="00DB3BEC">
            <w:pPr>
              <w:jc w:val="both"/>
              <w:rPr>
                <w:sz w:val="22"/>
                <w:szCs w:val="22"/>
              </w:rPr>
            </w:pPr>
            <w:r w:rsidRPr="00317ABF">
              <w:rPr>
                <w:sz w:val="22"/>
                <w:szCs w:val="22"/>
              </w:rPr>
              <w:lastRenderedPageBreak/>
              <w:t>Art. 91 ust. 2</w:t>
            </w:r>
          </w:p>
        </w:tc>
        <w:tc>
          <w:tcPr>
            <w:tcW w:w="4308" w:type="dxa"/>
          </w:tcPr>
          <w:p w14:paraId="0D3A322E" w14:textId="77777777" w:rsidR="001E1112" w:rsidRPr="00317ABF" w:rsidRDefault="001E1112" w:rsidP="00DB3BEC">
            <w:pPr>
              <w:spacing w:before="120"/>
              <w:jc w:val="both"/>
              <w:rPr>
                <w:sz w:val="22"/>
                <w:szCs w:val="22"/>
              </w:rPr>
            </w:pPr>
            <w:r w:rsidRPr="00317ABF">
              <w:rPr>
                <w:sz w:val="22"/>
                <w:szCs w:val="22"/>
              </w:rPr>
              <w:t>2.   Z zastrzeżeniem unijnych i krajowych przepisów dotyczących tajemnicy handlowej, krajowe organy regulacyjne publikują roczne sprawozdanie podające szczegółowe informacje dotyczące wyliczonego kosztu obowiązku świadczenia usługi powszechnej, określające wkłady poczynione przez wszystkie zaangażowane przedsiębiorstwa, w tym wszelkich korzyści rynkowych, jakie mogły przypaść przedsiębiorstwu lub przedsiębiorstwom z tytułu obowiązków świadczenia usługi powszechnej określonych w art. 84–87.</w:t>
            </w:r>
          </w:p>
        </w:tc>
        <w:tc>
          <w:tcPr>
            <w:tcW w:w="986" w:type="dxa"/>
          </w:tcPr>
          <w:p w14:paraId="0236434A" w14:textId="77777777" w:rsidR="001E1112" w:rsidRPr="00317ABF" w:rsidRDefault="001E1112" w:rsidP="00DB3BEC">
            <w:pPr>
              <w:jc w:val="both"/>
              <w:rPr>
                <w:sz w:val="22"/>
                <w:szCs w:val="22"/>
              </w:rPr>
            </w:pPr>
          </w:p>
        </w:tc>
        <w:tc>
          <w:tcPr>
            <w:tcW w:w="910" w:type="dxa"/>
          </w:tcPr>
          <w:p w14:paraId="52976036" w14:textId="58F356E9" w:rsidR="001E1112" w:rsidRPr="00317ABF" w:rsidRDefault="001E1112" w:rsidP="00817A1E">
            <w:pPr>
              <w:pStyle w:val="Tekstpodstawowy"/>
              <w:rPr>
                <w:b/>
                <w:noProof/>
                <w:sz w:val="22"/>
                <w:szCs w:val="22"/>
              </w:rPr>
            </w:pPr>
            <w:r w:rsidRPr="00317ABF">
              <w:rPr>
                <w:b/>
                <w:noProof/>
                <w:sz w:val="22"/>
                <w:szCs w:val="22"/>
              </w:rPr>
              <w:t>Art. 3</w:t>
            </w:r>
            <w:r w:rsidR="00817A1E" w:rsidRPr="00317ABF">
              <w:rPr>
                <w:b/>
                <w:noProof/>
                <w:sz w:val="22"/>
                <w:szCs w:val="22"/>
              </w:rPr>
              <w:t>68</w:t>
            </w:r>
            <w:r w:rsidRPr="00317ABF">
              <w:rPr>
                <w:b/>
                <w:noProof/>
                <w:sz w:val="22"/>
                <w:szCs w:val="22"/>
              </w:rPr>
              <w:t xml:space="preserve"> ust. </w:t>
            </w:r>
            <w:r w:rsidR="00817A1E" w:rsidRPr="00317ABF">
              <w:rPr>
                <w:b/>
                <w:noProof/>
                <w:sz w:val="22"/>
                <w:szCs w:val="22"/>
              </w:rPr>
              <w:t>7</w:t>
            </w:r>
          </w:p>
        </w:tc>
        <w:tc>
          <w:tcPr>
            <w:tcW w:w="6814" w:type="dxa"/>
            <w:gridSpan w:val="2"/>
          </w:tcPr>
          <w:p w14:paraId="165CCC86" w14:textId="79792CD3" w:rsidR="001E1112" w:rsidRPr="00317ABF" w:rsidRDefault="001E1112" w:rsidP="00DB3BEC">
            <w:pPr>
              <w:pStyle w:val="USTustnpkodeksu"/>
              <w:spacing w:line="240" w:lineRule="auto"/>
              <w:ind w:firstLine="0"/>
              <w:rPr>
                <w:rFonts w:ascii="Times New Roman" w:hAnsi="Times New Roman" w:cs="Times New Roman"/>
                <w:b/>
                <w:sz w:val="22"/>
                <w:szCs w:val="22"/>
              </w:rPr>
            </w:pPr>
            <w:r w:rsidRPr="00317ABF">
              <w:rPr>
                <w:rFonts w:ascii="Times New Roman" w:hAnsi="Times New Roman" w:cs="Times New Roman"/>
                <w:b/>
                <w:sz w:val="22"/>
                <w:szCs w:val="22"/>
              </w:rPr>
              <w:t>Art. 3</w:t>
            </w:r>
            <w:r w:rsidR="00FA39C3" w:rsidRPr="00317ABF">
              <w:rPr>
                <w:rFonts w:ascii="Times New Roman" w:hAnsi="Times New Roman" w:cs="Times New Roman"/>
                <w:b/>
                <w:sz w:val="22"/>
                <w:szCs w:val="22"/>
              </w:rPr>
              <w:t>68</w:t>
            </w:r>
          </w:p>
          <w:p w14:paraId="51568AFC" w14:textId="77777777" w:rsidR="00817A1E" w:rsidRPr="00317ABF" w:rsidRDefault="00817A1E" w:rsidP="00817A1E">
            <w:pPr>
              <w:pStyle w:val="USTustnpkodeksu"/>
              <w:keepNext/>
              <w:spacing w:line="240" w:lineRule="auto"/>
              <w:rPr>
                <w:rFonts w:ascii="Times New Roman" w:hAnsi="Times New Roman" w:cs="Times New Roman"/>
                <w:sz w:val="22"/>
                <w:szCs w:val="22"/>
              </w:rPr>
            </w:pPr>
            <w:r w:rsidRPr="00317ABF">
              <w:rPr>
                <w:rFonts w:ascii="Times New Roman" w:hAnsi="Times New Roman" w:cs="Times New Roman"/>
                <w:sz w:val="22"/>
                <w:szCs w:val="22"/>
              </w:rPr>
              <w:t>7. Prezes UKE, w terminie 6 miesięcy od dnia, w którym decyzja, o której mowa w art. 367 ust. 1, stała się ostateczna, sporządza i udostępnia na stronie podmiotowej BIP UKE sprawozdanie obejmujące:</w:t>
            </w:r>
          </w:p>
          <w:p w14:paraId="001EBF04" w14:textId="77777777" w:rsidR="00817A1E" w:rsidRPr="00317ABF" w:rsidRDefault="00817A1E" w:rsidP="00817A1E">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1)</w:t>
            </w:r>
            <w:r w:rsidRPr="00317ABF">
              <w:rPr>
                <w:rFonts w:ascii="Times New Roman" w:hAnsi="Times New Roman" w:cs="Times New Roman"/>
                <w:sz w:val="22"/>
                <w:szCs w:val="22"/>
              </w:rPr>
              <w:tab/>
              <w:t>koszt netto realizacji obowiązku w zakresie usługi lub usług, o których mowa w art. 350 ust. 1;</w:t>
            </w:r>
          </w:p>
          <w:p w14:paraId="3692AB49" w14:textId="77777777" w:rsidR="00817A1E" w:rsidRPr="00317ABF" w:rsidRDefault="00817A1E" w:rsidP="00817A1E">
            <w:pPr>
              <w:pStyle w:val="PKTpunkt0"/>
              <w:spacing w:line="240" w:lineRule="auto"/>
              <w:rPr>
                <w:rFonts w:ascii="Times New Roman" w:hAnsi="Times New Roman" w:cs="Times New Roman"/>
                <w:i/>
                <w:iCs/>
                <w:sz w:val="22"/>
                <w:szCs w:val="22"/>
              </w:rPr>
            </w:pPr>
            <w:r w:rsidRPr="00317ABF">
              <w:rPr>
                <w:rFonts w:ascii="Times New Roman" w:hAnsi="Times New Roman" w:cs="Times New Roman"/>
                <w:sz w:val="22"/>
                <w:szCs w:val="22"/>
              </w:rPr>
              <w:t>2)</w:t>
            </w:r>
            <w:r w:rsidRPr="00317ABF">
              <w:rPr>
                <w:rFonts w:ascii="Times New Roman" w:hAnsi="Times New Roman" w:cs="Times New Roman"/>
                <w:sz w:val="22"/>
                <w:szCs w:val="22"/>
              </w:rPr>
              <w:tab/>
              <w:t>wyniki analizy i weryfikacji, o których mowa w art. 365 ust. 2 i 3, z uwzględnieniem korzyści pośrednich związanych z realizacją tego obowiązku</w:t>
            </w:r>
          </w:p>
          <w:p w14:paraId="33C1D727" w14:textId="77777777" w:rsidR="00817A1E" w:rsidRPr="00317ABF" w:rsidRDefault="00817A1E" w:rsidP="00817A1E">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3)</w:t>
            </w:r>
            <w:r w:rsidRPr="00317ABF">
              <w:rPr>
                <w:rFonts w:ascii="Times New Roman" w:hAnsi="Times New Roman" w:cs="Times New Roman"/>
                <w:sz w:val="22"/>
                <w:szCs w:val="22"/>
              </w:rPr>
              <w:tab/>
              <w:t>udział przedsiębiorców telekomunikacyjnych obowiązanych do pokrycia dopłaty;</w:t>
            </w:r>
          </w:p>
          <w:p w14:paraId="34E1E61E" w14:textId="09002897" w:rsidR="001E1112" w:rsidRPr="00317ABF" w:rsidRDefault="00817A1E" w:rsidP="00FA39C3">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4)</w:t>
            </w:r>
            <w:r w:rsidRPr="00317ABF">
              <w:rPr>
                <w:rFonts w:ascii="Times New Roman" w:hAnsi="Times New Roman" w:cs="Times New Roman"/>
                <w:sz w:val="22"/>
                <w:szCs w:val="22"/>
              </w:rPr>
              <w:tab/>
              <w:t>wysokość dopłaty przekazanej przedsiębiorcy wyznaczonemu.</w:t>
            </w:r>
          </w:p>
        </w:tc>
      </w:tr>
      <w:tr w:rsidR="001E1112" w:rsidRPr="00317ABF" w14:paraId="41901D25" w14:textId="77777777" w:rsidTr="7753F98D">
        <w:trPr>
          <w:gridAfter w:val="2"/>
          <w:wAfter w:w="175" w:type="dxa"/>
        </w:trPr>
        <w:tc>
          <w:tcPr>
            <w:tcW w:w="704" w:type="dxa"/>
          </w:tcPr>
          <w:p w14:paraId="1E30B013" w14:textId="77777777" w:rsidR="001E1112" w:rsidRPr="00317ABF" w:rsidRDefault="001E1112" w:rsidP="00DB3BEC">
            <w:pPr>
              <w:jc w:val="both"/>
              <w:rPr>
                <w:b/>
                <w:sz w:val="22"/>
                <w:szCs w:val="22"/>
              </w:rPr>
            </w:pPr>
            <w:r w:rsidRPr="00317ABF">
              <w:rPr>
                <w:b/>
                <w:sz w:val="22"/>
                <w:szCs w:val="22"/>
              </w:rPr>
              <w:t>Art. 92</w:t>
            </w:r>
          </w:p>
        </w:tc>
        <w:tc>
          <w:tcPr>
            <w:tcW w:w="4308" w:type="dxa"/>
          </w:tcPr>
          <w:p w14:paraId="50417072" w14:textId="77777777" w:rsidR="001E1112" w:rsidRPr="00317ABF" w:rsidRDefault="001E1112" w:rsidP="00DB3BEC">
            <w:pPr>
              <w:spacing w:before="60" w:after="120"/>
              <w:jc w:val="both"/>
              <w:rPr>
                <w:b/>
                <w:bCs/>
                <w:sz w:val="22"/>
                <w:szCs w:val="22"/>
              </w:rPr>
            </w:pPr>
            <w:r w:rsidRPr="00317ABF">
              <w:rPr>
                <w:b/>
                <w:bCs/>
                <w:sz w:val="22"/>
                <w:szCs w:val="22"/>
              </w:rPr>
              <w:t>Dodatkowe usługi obowiązkowe</w:t>
            </w:r>
          </w:p>
          <w:p w14:paraId="7EDFEFCD" w14:textId="77777777" w:rsidR="001E1112" w:rsidRPr="00317ABF" w:rsidRDefault="001E1112" w:rsidP="00DB3BEC">
            <w:pPr>
              <w:spacing w:before="120"/>
              <w:jc w:val="both"/>
              <w:rPr>
                <w:sz w:val="22"/>
                <w:szCs w:val="22"/>
              </w:rPr>
            </w:pPr>
            <w:r w:rsidRPr="00317ABF">
              <w:rPr>
                <w:sz w:val="22"/>
                <w:szCs w:val="22"/>
              </w:rPr>
              <w:t>Państwa członkowskie mogą zdecydować o publicznym udostępnieniu usług, dodatkowych niewymienionych w zakresie obowiązku świadczenia usługi powszechnej, o którym mowa w art. 84–87, publicznie dostępnych na swoim własnym terytorium. W takich okolicznościach nie wolno nakładać żadnych mechanizmów kompensacyjnych dotyczących konkretnych przedsiębiorstw.</w:t>
            </w:r>
          </w:p>
        </w:tc>
        <w:tc>
          <w:tcPr>
            <w:tcW w:w="986" w:type="dxa"/>
          </w:tcPr>
          <w:p w14:paraId="7938105B" w14:textId="7C5F8EC7" w:rsidR="001E1112" w:rsidRPr="00317ABF" w:rsidRDefault="001E1112" w:rsidP="00DB3BEC">
            <w:pPr>
              <w:jc w:val="both"/>
              <w:rPr>
                <w:sz w:val="22"/>
                <w:szCs w:val="22"/>
              </w:rPr>
            </w:pPr>
            <w:r w:rsidRPr="00317ABF">
              <w:rPr>
                <w:sz w:val="22"/>
                <w:szCs w:val="22"/>
              </w:rPr>
              <w:t>N</w:t>
            </w:r>
          </w:p>
        </w:tc>
        <w:tc>
          <w:tcPr>
            <w:tcW w:w="910" w:type="dxa"/>
          </w:tcPr>
          <w:p w14:paraId="24BEE8FE" w14:textId="77777777" w:rsidR="001E1112" w:rsidRPr="00317ABF" w:rsidRDefault="001E1112" w:rsidP="00DB3BEC">
            <w:pPr>
              <w:pStyle w:val="Tekstpodstawowy"/>
              <w:rPr>
                <w:b/>
                <w:noProof/>
                <w:sz w:val="22"/>
                <w:szCs w:val="22"/>
              </w:rPr>
            </w:pPr>
          </w:p>
        </w:tc>
        <w:tc>
          <w:tcPr>
            <w:tcW w:w="6814" w:type="dxa"/>
            <w:gridSpan w:val="2"/>
          </w:tcPr>
          <w:p w14:paraId="3D92EC61" w14:textId="0A6DB6E6" w:rsidR="001E1112" w:rsidRPr="00317ABF" w:rsidRDefault="00B87DE6" w:rsidP="00DB3BEC">
            <w:pPr>
              <w:pStyle w:val="Tekstpodstawowy"/>
              <w:rPr>
                <w:sz w:val="22"/>
                <w:szCs w:val="22"/>
              </w:rPr>
            </w:pPr>
            <w:r w:rsidRPr="00317ABF">
              <w:rPr>
                <w:sz w:val="22"/>
                <w:szCs w:val="22"/>
              </w:rPr>
              <w:t>Przepis ma charakter fakultatywny.</w:t>
            </w:r>
          </w:p>
        </w:tc>
      </w:tr>
      <w:tr w:rsidR="001E1112" w:rsidRPr="00317ABF" w14:paraId="2C1E7A9A" w14:textId="77777777" w:rsidTr="7753F98D">
        <w:trPr>
          <w:gridAfter w:val="2"/>
          <w:wAfter w:w="175" w:type="dxa"/>
        </w:trPr>
        <w:tc>
          <w:tcPr>
            <w:tcW w:w="704" w:type="dxa"/>
          </w:tcPr>
          <w:p w14:paraId="5A4925DB" w14:textId="77777777" w:rsidR="001E1112" w:rsidRPr="00317ABF" w:rsidRDefault="001E1112" w:rsidP="00DB3BEC">
            <w:pPr>
              <w:jc w:val="both"/>
              <w:rPr>
                <w:b/>
                <w:sz w:val="22"/>
                <w:szCs w:val="22"/>
              </w:rPr>
            </w:pPr>
            <w:r w:rsidRPr="00317ABF">
              <w:rPr>
                <w:b/>
                <w:sz w:val="22"/>
                <w:szCs w:val="22"/>
              </w:rPr>
              <w:t>Art. 93</w:t>
            </w:r>
          </w:p>
        </w:tc>
        <w:tc>
          <w:tcPr>
            <w:tcW w:w="4308" w:type="dxa"/>
          </w:tcPr>
          <w:p w14:paraId="662A68B7" w14:textId="77777777" w:rsidR="001E1112" w:rsidRPr="00317ABF" w:rsidRDefault="001E1112" w:rsidP="00DB3BEC">
            <w:pPr>
              <w:spacing w:before="120"/>
              <w:jc w:val="both"/>
              <w:rPr>
                <w:sz w:val="22"/>
                <w:szCs w:val="22"/>
              </w:rPr>
            </w:pPr>
            <w:r w:rsidRPr="00317ABF">
              <w:rPr>
                <w:b/>
                <w:bCs/>
                <w:sz w:val="22"/>
                <w:szCs w:val="22"/>
              </w:rPr>
              <w:t>Zasoby numeracyjne</w:t>
            </w:r>
          </w:p>
        </w:tc>
        <w:tc>
          <w:tcPr>
            <w:tcW w:w="986" w:type="dxa"/>
          </w:tcPr>
          <w:p w14:paraId="217A2EF1" w14:textId="77777777" w:rsidR="001E1112" w:rsidRPr="00317ABF" w:rsidRDefault="001E1112" w:rsidP="00DB3BEC">
            <w:pPr>
              <w:jc w:val="both"/>
              <w:rPr>
                <w:sz w:val="22"/>
                <w:szCs w:val="22"/>
              </w:rPr>
            </w:pPr>
          </w:p>
        </w:tc>
        <w:tc>
          <w:tcPr>
            <w:tcW w:w="910" w:type="dxa"/>
          </w:tcPr>
          <w:p w14:paraId="478B3BEC" w14:textId="77777777" w:rsidR="001E1112" w:rsidRPr="00317ABF" w:rsidRDefault="001E1112" w:rsidP="00DB3BEC">
            <w:pPr>
              <w:pStyle w:val="Tekstpodstawowy"/>
              <w:rPr>
                <w:b/>
                <w:noProof/>
                <w:sz w:val="22"/>
                <w:szCs w:val="22"/>
              </w:rPr>
            </w:pPr>
          </w:p>
        </w:tc>
        <w:tc>
          <w:tcPr>
            <w:tcW w:w="6814" w:type="dxa"/>
            <w:gridSpan w:val="2"/>
          </w:tcPr>
          <w:p w14:paraId="78B32017" w14:textId="77777777" w:rsidR="001E1112" w:rsidRPr="00317ABF" w:rsidRDefault="001E1112" w:rsidP="00DB3BEC">
            <w:pPr>
              <w:pStyle w:val="Tekstpodstawowy"/>
              <w:rPr>
                <w:sz w:val="22"/>
                <w:szCs w:val="22"/>
              </w:rPr>
            </w:pPr>
          </w:p>
        </w:tc>
      </w:tr>
      <w:tr w:rsidR="001E1112" w:rsidRPr="00317ABF" w14:paraId="5D2E5A2F" w14:textId="77777777" w:rsidTr="7753F98D">
        <w:trPr>
          <w:gridAfter w:val="2"/>
          <w:wAfter w:w="175" w:type="dxa"/>
        </w:trPr>
        <w:tc>
          <w:tcPr>
            <w:tcW w:w="704" w:type="dxa"/>
          </w:tcPr>
          <w:p w14:paraId="3D55708E" w14:textId="77777777" w:rsidR="001E1112" w:rsidRPr="00317ABF" w:rsidRDefault="001E1112" w:rsidP="00DB3BEC">
            <w:pPr>
              <w:jc w:val="both"/>
              <w:rPr>
                <w:sz w:val="22"/>
                <w:szCs w:val="22"/>
              </w:rPr>
            </w:pPr>
            <w:r w:rsidRPr="00317ABF">
              <w:rPr>
                <w:sz w:val="22"/>
                <w:szCs w:val="22"/>
              </w:rPr>
              <w:t>Art. 93 ust. 1</w:t>
            </w:r>
          </w:p>
        </w:tc>
        <w:tc>
          <w:tcPr>
            <w:tcW w:w="4308" w:type="dxa"/>
          </w:tcPr>
          <w:p w14:paraId="0D12F637" w14:textId="77777777" w:rsidR="001E1112" w:rsidRPr="00317ABF" w:rsidRDefault="001E1112" w:rsidP="00DB3BEC">
            <w:pPr>
              <w:spacing w:before="120"/>
              <w:jc w:val="both"/>
              <w:rPr>
                <w:sz w:val="22"/>
                <w:szCs w:val="22"/>
              </w:rPr>
            </w:pPr>
            <w:r w:rsidRPr="00317ABF">
              <w:rPr>
                <w:sz w:val="22"/>
                <w:szCs w:val="22"/>
              </w:rPr>
              <w:t xml:space="preserve">1.   Państwa członkowskie zapewniają, aby krajowe organy regulacyjne lub inne właściwe organy poddawały kontroli przyznawanie praw do wykorzystania wszystkich krajowych zasobów numeracyjnych oraz zarządzanie krajowym planem numeracji oraz aby do celów </w:t>
            </w:r>
            <w:r w:rsidRPr="00317ABF">
              <w:rPr>
                <w:sz w:val="22"/>
                <w:szCs w:val="22"/>
              </w:rPr>
              <w:lastRenderedPageBreak/>
              <w:t>świadczenia publicznie dostępnych usług łączności elektronicznej udostępniały odpowiednie zasoby numeracyjne. Państwa członkowskie zapewniają, aby ustanowione zostały obiektywne, przejrzyste i niedyskryminacyjne procedury przyznawania praw do wykorzystania krajowych zasobów numeracyjnych.</w:t>
            </w:r>
          </w:p>
        </w:tc>
        <w:tc>
          <w:tcPr>
            <w:tcW w:w="986" w:type="dxa"/>
          </w:tcPr>
          <w:p w14:paraId="21437AA2" w14:textId="4E75C218" w:rsidR="001E1112" w:rsidRPr="00317ABF" w:rsidRDefault="001E1112" w:rsidP="00DB3BEC">
            <w:pPr>
              <w:jc w:val="both"/>
              <w:rPr>
                <w:sz w:val="22"/>
                <w:szCs w:val="22"/>
              </w:rPr>
            </w:pPr>
            <w:r w:rsidRPr="00317ABF">
              <w:rPr>
                <w:sz w:val="22"/>
                <w:szCs w:val="22"/>
              </w:rPr>
              <w:lastRenderedPageBreak/>
              <w:t>T</w:t>
            </w:r>
          </w:p>
        </w:tc>
        <w:tc>
          <w:tcPr>
            <w:tcW w:w="910" w:type="dxa"/>
          </w:tcPr>
          <w:p w14:paraId="13DE857D" w14:textId="13D92252" w:rsidR="001E1112" w:rsidRPr="00317ABF" w:rsidRDefault="00DE55B8" w:rsidP="00DB3BEC">
            <w:pPr>
              <w:pStyle w:val="Tekstpodstawowy"/>
              <w:rPr>
                <w:b/>
                <w:noProof/>
                <w:sz w:val="22"/>
                <w:szCs w:val="22"/>
              </w:rPr>
            </w:pPr>
            <w:r w:rsidRPr="00317ABF">
              <w:rPr>
                <w:b/>
                <w:noProof/>
                <w:sz w:val="22"/>
                <w:szCs w:val="22"/>
              </w:rPr>
              <w:t>Art. 15</w:t>
            </w:r>
            <w:r w:rsidR="001E1112" w:rsidRPr="00317ABF">
              <w:rPr>
                <w:b/>
                <w:noProof/>
                <w:sz w:val="22"/>
                <w:szCs w:val="22"/>
              </w:rPr>
              <w:t>9 ust. 1, 4 – 8</w:t>
            </w:r>
          </w:p>
          <w:p w14:paraId="3784C37D" w14:textId="51995252" w:rsidR="001E1112" w:rsidRPr="00317ABF" w:rsidRDefault="00DE55B8" w:rsidP="00DB3BEC">
            <w:pPr>
              <w:pStyle w:val="Tekstpodstawowy"/>
              <w:rPr>
                <w:b/>
                <w:noProof/>
                <w:sz w:val="22"/>
                <w:szCs w:val="22"/>
              </w:rPr>
            </w:pPr>
            <w:r w:rsidRPr="00317ABF">
              <w:rPr>
                <w:b/>
                <w:noProof/>
                <w:sz w:val="22"/>
                <w:szCs w:val="22"/>
              </w:rPr>
              <w:t>Art. 1</w:t>
            </w:r>
            <w:r w:rsidR="000D50FB" w:rsidRPr="00317ABF">
              <w:rPr>
                <w:b/>
                <w:noProof/>
                <w:sz w:val="22"/>
                <w:szCs w:val="22"/>
              </w:rPr>
              <w:t>60 i 161</w:t>
            </w:r>
            <w:r w:rsidR="006347DF" w:rsidRPr="00317ABF">
              <w:rPr>
                <w:b/>
                <w:noProof/>
                <w:sz w:val="22"/>
                <w:szCs w:val="22"/>
              </w:rPr>
              <w:t xml:space="preserve"> </w:t>
            </w:r>
            <w:r w:rsidR="006347DF" w:rsidRPr="00317ABF">
              <w:rPr>
                <w:b/>
                <w:noProof/>
                <w:sz w:val="22"/>
                <w:szCs w:val="22"/>
              </w:rPr>
              <w:lastRenderedPageBreak/>
              <w:t>ust. 1, 3, 5</w:t>
            </w:r>
          </w:p>
          <w:p w14:paraId="1B26AD4D" w14:textId="684A39BD" w:rsidR="001E1112" w:rsidRPr="00317ABF" w:rsidRDefault="001E1112" w:rsidP="00DB3BEC">
            <w:pPr>
              <w:pStyle w:val="Tekstpodstawowy"/>
              <w:rPr>
                <w:b/>
                <w:noProof/>
                <w:sz w:val="22"/>
                <w:szCs w:val="22"/>
              </w:rPr>
            </w:pPr>
          </w:p>
        </w:tc>
        <w:tc>
          <w:tcPr>
            <w:tcW w:w="6814" w:type="dxa"/>
            <w:gridSpan w:val="2"/>
          </w:tcPr>
          <w:p w14:paraId="1FA857FD" w14:textId="64789D3A" w:rsidR="001E1112" w:rsidRPr="00317ABF" w:rsidRDefault="00DE55B8" w:rsidP="00DB3BEC">
            <w:pPr>
              <w:jc w:val="both"/>
              <w:rPr>
                <w:b/>
                <w:bCs/>
                <w:sz w:val="22"/>
                <w:szCs w:val="22"/>
              </w:rPr>
            </w:pPr>
            <w:r w:rsidRPr="00317ABF">
              <w:rPr>
                <w:b/>
                <w:bCs/>
                <w:sz w:val="22"/>
                <w:szCs w:val="22"/>
              </w:rPr>
              <w:lastRenderedPageBreak/>
              <w:t>Art. 15</w:t>
            </w:r>
            <w:r w:rsidR="001E1112" w:rsidRPr="00317ABF">
              <w:rPr>
                <w:b/>
                <w:bCs/>
                <w:sz w:val="22"/>
                <w:szCs w:val="22"/>
              </w:rPr>
              <w:t>9</w:t>
            </w:r>
          </w:p>
          <w:p w14:paraId="067CA2EF" w14:textId="64BBD2C8" w:rsidR="00DE55B8" w:rsidRPr="00317ABF" w:rsidRDefault="00DE55B8" w:rsidP="00DE55B8">
            <w:pPr>
              <w:jc w:val="both"/>
              <w:rPr>
                <w:bCs/>
                <w:sz w:val="22"/>
                <w:szCs w:val="22"/>
              </w:rPr>
            </w:pPr>
            <w:r w:rsidRPr="00317ABF">
              <w:rPr>
                <w:bCs/>
                <w:sz w:val="22"/>
                <w:szCs w:val="22"/>
              </w:rPr>
              <w:t xml:space="preserve">1.  Prezes UKE, w drodze decyzji, przyznaje prawo do wykorzystywania zasobów numeracji, zgodnie z planami numeracji krajowej dla publicznych sieci telekomunikacyjnych, przedsiębiorcom telekomunikacyjnym, jednostkom samorządu terytorialnego prowadzącym działalność w zakresie telekomunikacji i podmiotom, o których mowa w art. 2 pkt 88 lit a, b, d oraz </w:t>
            </w:r>
            <w:r w:rsidRPr="00317ABF">
              <w:rPr>
                <w:bCs/>
                <w:sz w:val="22"/>
                <w:szCs w:val="22"/>
              </w:rPr>
              <w:lastRenderedPageBreak/>
              <w:t>h oraz podmiotom wskazanym przez ministra właściwego do spraw energii do wykonywania zadań, o których mowa w art. 67 ust. 1, na ich wniosek.</w:t>
            </w:r>
          </w:p>
          <w:p w14:paraId="5441C8A9" w14:textId="77777777" w:rsidR="00DE55B8" w:rsidRPr="00317ABF" w:rsidRDefault="00DE55B8" w:rsidP="00DE55B8">
            <w:pPr>
              <w:jc w:val="both"/>
              <w:rPr>
                <w:bCs/>
                <w:sz w:val="22"/>
                <w:szCs w:val="22"/>
              </w:rPr>
            </w:pPr>
            <w:r w:rsidRPr="00317ABF">
              <w:rPr>
                <w:bCs/>
                <w:sz w:val="22"/>
                <w:szCs w:val="22"/>
              </w:rPr>
              <w:t>(…)</w:t>
            </w:r>
          </w:p>
          <w:p w14:paraId="6571831A" w14:textId="08CA4EE8" w:rsidR="00DE55B8" w:rsidRPr="00317ABF" w:rsidRDefault="00DE55B8" w:rsidP="00DE55B8">
            <w:pPr>
              <w:jc w:val="both"/>
              <w:rPr>
                <w:bCs/>
                <w:sz w:val="22"/>
                <w:szCs w:val="22"/>
              </w:rPr>
            </w:pPr>
            <w:r w:rsidRPr="00317ABF">
              <w:rPr>
                <w:bCs/>
                <w:sz w:val="22"/>
                <w:szCs w:val="22"/>
              </w:rPr>
              <w:t>4. Prezes UKE przyznaje prawo do wykorzystywania zasobów numeracji, o przyznanie którego wpłynął więcej niż jeden wniosek:</w:t>
            </w:r>
          </w:p>
          <w:p w14:paraId="4EBF75FA" w14:textId="77777777" w:rsidR="00DE55B8" w:rsidRPr="00317ABF" w:rsidRDefault="00DE55B8" w:rsidP="00DE55B8">
            <w:pPr>
              <w:jc w:val="both"/>
              <w:rPr>
                <w:bCs/>
                <w:sz w:val="22"/>
                <w:szCs w:val="22"/>
              </w:rPr>
            </w:pPr>
            <w:r w:rsidRPr="00317ABF">
              <w:rPr>
                <w:bCs/>
                <w:sz w:val="22"/>
                <w:szCs w:val="22"/>
              </w:rPr>
              <w:t>1)</w:t>
            </w:r>
            <w:r w:rsidRPr="00317ABF">
              <w:rPr>
                <w:bCs/>
                <w:sz w:val="22"/>
                <w:szCs w:val="22"/>
              </w:rPr>
              <w:tab/>
              <w:t>po przeprowadzeniu postępowania konsultacyjnego,</w:t>
            </w:r>
          </w:p>
          <w:p w14:paraId="221DE97D" w14:textId="77777777" w:rsidR="00DE55B8" w:rsidRPr="00317ABF" w:rsidRDefault="00DE55B8" w:rsidP="00DE55B8">
            <w:pPr>
              <w:jc w:val="both"/>
              <w:rPr>
                <w:bCs/>
                <w:sz w:val="22"/>
                <w:szCs w:val="22"/>
              </w:rPr>
            </w:pPr>
            <w:r w:rsidRPr="00317ABF">
              <w:rPr>
                <w:bCs/>
                <w:sz w:val="22"/>
                <w:szCs w:val="22"/>
              </w:rPr>
              <w:t>2)</w:t>
            </w:r>
            <w:r w:rsidRPr="00317ABF">
              <w:rPr>
                <w:bCs/>
                <w:sz w:val="22"/>
                <w:szCs w:val="22"/>
              </w:rPr>
              <w:tab/>
              <w:t>w drodze przetargu, jeżeli w postępowaniu konsultacyjnym stwierdzono konieczność przeprowadzenia takiego postępowania</w:t>
            </w:r>
          </w:p>
          <w:p w14:paraId="709328F0" w14:textId="77777777" w:rsidR="00DE55B8" w:rsidRPr="00317ABF" w:rsidRDefault="00DE55B8" w:rsidP="00DE55B8">
            <w:pPr>
              <w:jc w:val="both"/>
              <w:rPr>
                <w:bCs/>
                <w:sz w:val="22"/>
                <w:szCs w:val="22"/>
              </w:rPr>
            </w:pPr>
            <w:r w:rsidRPr="00317ABF">
              <w:rPr>
                <w:bCs/>
                <w:sz w:val="22"/>
                <w:szCs w:val="22"/>
              </w:rPr>
              <w:t>- w terminie nie dłuższym niż 6 tygodni od dnia złożenia pierwszego wniosku.</w:t>
            </w:r>
          </w:p>
          <w:p w14:paraId="589678CC" w14:textId="77777777" w:rsidR="00DE55B8" w:rsidRPr="00317ABF" w:rsidRDefault="00DE55B8" w:rsidP="00DE55B8">
            <w:pPr>
              <w:jc w:val="both"/>
              <w:rPr>
                <w:bCs/>
                <w:sz w:val="22"/>
                <w:szCs w:val="22"/>
              </w:rPr>
            </w:pPr>
            <w:r w:rsidRPr="00317ABF">
              <w:rPr>
                <w:bCs/>
                <w:sz w:val="22"/>
                <w:szCs w:val="22"/>
              </w:rPr>
              <w:t>5. Przetarg przeprowadza Prezes UKE. Ogłoszenie o przetargu udostępnia w prasie codziennej o zasięgu ogólnokrajowym oraz na stronie podmiotowej BIP UKE.</w:t>
            </w:r>
          </w:p>
          <w:p w14:paraId="1FA4FC75" w14:textId="77777777" w:rsidR="00DE55B8" w:rsidRPr="00317ABF" w:rsidRDefault="00DE55B8" w:rsidP="00DE55B8">
            <w:pPr>
              <w:jc w:val="both"/>
              <w:rPr>
                <w:bCs/>
                <w:sz w:val="22"/>
                <w:szCs w:val="22"/>
              </w:rPr>
            </w:pPr>
            <w:r w:rsidRPr="00317ABF">
              <w:rPr>
                <w:bCs/>
                <w:sz w:val="22"/>
                <w:szCs w:val="22"/>
              </w:rPr>
              <w:t xml:space="preserve">6. Do przetargu stosuje się odpowiednio przepisy art. 110 ust. 1 i 2, art. 112 ust. 1, art. 113 ust. 1, </w:t>
            </w:r>
            <w:hyperlink r:id="rId37">
              <w:r w:rsidRPr="00317ABF">
                <w:rPr>
                  <w:rStyle w:val="Hipercze"/>
                  <w:bCs/>
                  <w:sz w:val="22"/>
                  <w:szCs w:val="22"/>
                </w:rPr>
                <w:t xml:space="preserve">art. </w:t>
              </w:r>
            </w:hyperlink>
            <w:r w:rsidRPr="00317ABF">
              <w:rPr>
                <w:bCs/>
                <w:sz w:val="22"/>
                <w:szCs w:val="22"/>
              </w:rPr>
              <w:t xml:space="preserve">120, art. 121 ust. 1, </w:t>
            </w:r>
            <w:hyperlink r:id="rId38">
              <w:r w:rsidRPr="00317ABF">
                <w:rPr>
                  <w:rStyle w:val="Hipercze"/>
                  <w:bCs/>
                  <w:sz w:val="22"/>
                  <w:szCs w:val="22"/>
                </w:rPr>
                <w:t xml:space="preserve">art. </w:t>
              </w:r>
            </w:hyperlink>
            <w:r w:rsidRPr="00317ABF">
              <w:rPr>
                <w:bCs/>
                <w:sz w:val="22"/>
                <w:szCs w:val="22"/>
              </w:rPr>
              <w:t>122 oraz 123.</w:t>
            </w:r>
          </w:p>
          <w:p w14:paraId="1775DFE2" w14:textId="77777777" w:rsidR="00DE55B8" w:rsidRPr="00317ABF" w:rsidRDefault="00DE55B8" w:rsidP="00DE55B8">
            <w:pPr>
              <w:jc w:val="both"/>
              <w:rPr>
                <w:bCs/>
                <w:sz w:val="22"/>
                <w:szCs w:val="22"/>
              </w:rPr>
            </w:pPr>
            <w:r w:rsidRPr="00317ABF">
              <w:rPr>
                <w:bCs/>
                <w:sz w:val="22"/>
                <w:szCs w:val="22"/>
              </w:rPr>
              <w:t>7. Decydującym kryterium oceny ofert jest wysokość kwoty zadeklarowanej przez podmiot wnioskujący o przyznanie prawa do wykorzystywania zasobów numeracji.</w:t>
            </w:r>
          </w:p>
          <w:p w14:paraId="201AB09A" w14:textId="77777777" w:rsidR="00DE55B8" w:rsidRPr="00317ABF" w:rsidRDefault="00DE55B8" w:rsidP="00DE55B8">
            <w:pPr>
              <w:jc w:val="both"/>
              <w:rPr>
                <w:bCs/>
                <w:sz w:val="22"/>
                <w:szCs w:val="22"/>
              </w:rPr>
            </w:pPr>
            <w:r w:rsidRPr="00317ABF">
              <w:rPr>
                <w:bCs/>
                <w:sz w:val="22"/>
                <w:szCs w:val="22"/>
              </w:rPr>
              <w:t>8. Przyznanie prawa do wykorzystywania zasobów numeracji może określać warunki wykorzystywania lub udostępniania numeracji, w szczególności:</w:t>
            </w:r>
          </w:p>
          <w:p w14:paraId="3AF5D312" w14:textId="77777777" w:rsidR="00DE55B8" w:rsidRPr="00317ABF" w:rsidRDefault="00DE55B8" w:rsidP="00DE55B8">
            <w:pPr>
              <w:jc w:val="both"/>
              <w:rPr>
                <w:bCs/>
                <w:sz w:val="22"/>
                <w:szCs w:val="22"/>
              </w:rPr>
            </w:pPr>
            <w:r w:rsidRPr="00317ABF">
              <w:rPr>
                <w:bCs/>
                <w:sz w:val="22"/>
                <w:szCs w:val="22"/>
              </w:rPr>
              <w:t>1)</w:t>
            </w:r>
            <w:r w:rsidRPr="00317ABF">
              <w:rPr>
                <w:bCs/>
                <w:sz w:val="22"/>
                <w:szCs w:val="22"/>
              </w:rPr>
              <w:tab/>
              <w:t>wskazywać usługę komunikacji elektronicznej, dla której przyznana numeracja ma być wykorzystywana, z podaniem wymogów związanych ze świadczeniem usługi oraz zasad taryfowych i cen maksymalnych;</w:t>
            </w:r>
          </w:p>
          <w:p w14:paraId="03AF2C30" w14:textId="77777777" w:rsidR="00DE55B8" w:rsidRPr="00317ABF" w:rsidRDefault="00DE55B8" w:rsidP="00DE55B8">
            <w:pPr>
              <w:jc w:val="both"/>
              <w:rPr>
                <w:bCs/>
                <w:sz w:val="22"/>
                <w:szCs w:val="22"/>
              </w:rPr>
            </w:pPr>
            <w:r w:rsidRPr="00317ABF">
              <w:rPr>
                <w:bCs/>
                <w:sz w:val="22"/>
                <w:szCs w:val="22"/>
              </w:rPr>
              <w:t>2)</w:t>
            </w:r>
            <w:r w:rsidRPr="00317ABF">
              <w:rPr>
                <w:bCs/>
                <w:sz w:val="22"/>
                <w:szCs w:val="22"/>
              </w:rPr>
              <w:tab/>
              <w:t>zobowiązania przedsiębiorcy, któremu przyznano prawo do wykorzystywania zasobów numeracji, przyjęte w drodze przetargu, o którym mowa w ust. 4 pkt 2;</w:t>
            </w:r>
          </w:p>
          <w:p w14:paraId="723EEE53" w14:textId="77777777" w:rsidR="00DE55B8" w:rsidRPr="00317ABF" w:rsidRDefault="00DE55B8" w:rsidP="00DE55B8">
            <w:pPr>
              <w:jc w:val="both"/>
              <w:rPr>
                <w:bCs/>
                <w:sz w:val="22"/>
                <w:szCs w:val="22"/>
              </w:rPr>
            </w:pPr>
            <w:r w:rsidRPr="00317ABF">
              <w:rPr>
                <w:bCs/>
                <w:sz w:val="22"/>
                <w:szCs w:val="22"/>
              </w:rPr>
              <w:t>3)</w:t>
            </w:r>
            <w:r w:rsidRPr="00317ABF">
              <w:rPr>
                <w:bCs/>
                <w:sz w:val="22"/>
                <w:szCs w:val="22"/>
              </w:rPr>
              <w:tab/>
              <w:t>obowiązek niedyskryminującego dostępu do usług komunikacji elektronicznej z wykorzystaniem numeracji przyznanej innym przedsiębiorcom;</w:t>
            </w:r>
          </w:p>
          <w:p w14:paraId="7349CB87" w14:textId="77777777" w:rsidR="00DE55B8" w:rsidRPr="00317ABF" w:rsidRDefault="00DE55B8" w:rsidP="00DE55B8">
            <w:pPr>
              <w:jc w:val="both"/>
              <w:rPr>
                <w:bCs/>
                <w:sz w:val="22"/>
                <w:szCs w:val="22"/>
              </w:rPr>
            </w:pPr>
            <w:r w:rsidRPr="00317ABF">
              <w:rPr>
                <w:bCs/>
                <w:sz w:val="22"/>
                <w:szCs w:val="22"/>
              </w:rPr>
              <w:t>4)</w:t>
            </w:r>
            <w:r w:rsidRPr="00317ABF">
              <w:rPr>
                <w:bCs/>
                <w:sz w:val="22"/>
                <w:szCs w:val="22"/>
              </w:rPr>
              <w:tab/>
              <w:t>zasady przyznania prawa do wykorzystywania numeracji wykorzystywanej transgranicznie na terenie Unii Europejskiej, uwzględniające przestrzeganie praw konsumentów i zasad użytkowania zasobów numeracji w państwach członkowskich, w których ta numeracja będzie użytkowana.</w:t>
            </w:r>
          </w:p>
          <w:p w14:paraId="4DE965AF" w14:textId="760172EA" w:rsidR="001E1112" w:rsidRPr="00317ABF" w:rsidRDefault="001E1112" w:rsidP="00DB3BEC">
            <w:pPr>
              <w:jc w:val="both"/>
              <w:rPr>
                <w:b/>
                <w:bCs/>
                <w:sz w:val="22"/>
                <w:szCs w:val="22"/>
              </w:rPr>
            </w:pPr>
          </w:p>
          <w:p w14:paraId="104CD318" w14:textId="77777777" w:rsidR="000D50FB" w:rsidRPr="00317ABF" w:rsidRDefault="000D50FB" w:rsidP="000D50FB">
            <w:pPr>
              <w:jc w:val="both"/>
              <w:rPr>
                <w:sz w:val="22"/>
                <w:szCs w:val="22"/>
              </w:rPr>
            </w:pPr>
            <w:r w:rsidRPr="00317ABF">
              <w:rPr>
                <w:b/>
                <w:sz w:val="22"/>
                <w:szCs w:val="22"/>
              </w:rPr>
              <w:t>Art. 160.</w:t>
            </w:r>
            <w:r w:rsidRPr="00317ABF">
              <w:rPr>
                <w:sz w:val="22"/>
                <w:szCs w:val="22"/>
              </w:rPr>
              <w:t xml:space="preserve"> </w:t>
            </w:r>
          </w:p>
          <w:p w14:paraId="086F0045" w14:textId="6E4AFA9C" w:rsidR="000D50FB" w:rsidRPr="00317ABF" w:rsidRDefault="000D50FB" w:rsidP="000D50FB">
            <w:pPr>
              <w:jc w:val="both"/>
              <w:rPr>
                <w:sz w:val="22"/>
                <w:szCs w:val="22"/>
              </w:rPr>
            </w:pPr>
            <w:r w:rsidRPr="00317ABF">
              <w:rPr>
                <w:sz w:val="22"/>
                <w:szCs w:val="22"/>
              </w:rPr>
              <w:t>1. Prezes UKE odmawia przyznania prawa do wykorzystywania zasobów numeracji, jeżeli wnioskowane przeznaczenie numeracji nie jest zgodne z planem numeracji krajowej dla publicznych sieci telekomunikacyjnych.</w:t>
            </w:r>
          </w:p>
          <w:p w14:paraId="2569FD0F" w14:textId="77777777" w:rsidR="000D50FB" w:rsidRPr="00317ABF" w:rsidRDefault="000D50FB" w:rsidP="000D50FB">
            <w:pPr>
              <w:jc w:val="both"/>
              <w:rPr>
                <w:bCs/>
                <w:sz w:val="22"/>
                <w:szCs w:val="22"/>
              </w:rPr>
            </w:pPr>
            <w:r w:rsidRPr="00317ABF">
              <w:rPr>
                <w:bCs/>
                <w:sz w:val="22"/>
                <w:szCs w:val="22"/>
              </w:rPr>
              <w:lastRenderedPageBreak/>
              <w:t>2. Prezes UKE może odmówić przyznania prawa do wykorzystywania nowego zakresu numeracji jeżeli wykorzystywane jest mniej niż 75%:</w:t>
            </w:r>
          </w:p>
          <w:p w14:paraId="6E1DDF72" w14:textId="77777777" w:rsidR="000D50FB" w:rsidRPr="00317ABF" w:rsidRDefault="000D50FB" w:rsidP="000D50FB">
            <w:pPr>
              <w:numPr>
                <w:ilvl w:val="0"/>
                <w:numId w:val="92"/>
              </w:numPr>
              <w:jc w:val="both"/>
              <w:rPr>
                <w:bCs/>
                <w:sz w:val="22"/>
                <w:szCs w:val="22"/>
              </w:rPr>
            </w:pPr>
            <w:r w:rsidRPr="00317ABF">
              <w:rPr>
                <w:bCs/>
                <w:sz w:val="22"/>
                <w:szCs w:val="22"/>
              </w:rPr>
              <w:t>wszystkich wcześniej przyznanych zakresów numeracji lub</w:t>
            </w:r>
          </w:p>
          <w:p w14:paraId="0B11FEB2" w14:textId="77777777" w:rsidR="000D50FB" w:rsidRPr="00317ABF" w:rsidRDefault="000D50FB" w:rsidP="000D50FB">
            <w:pPr>
              <w:numPr>
                <w:ilvl w:val="0"/>
                <w:numId w:val="92"/>
              </w:numPr>
              <w:jc w:val="both"/>
              <w:rPr>
                <w:bCs/>
                <w:sz w:val="22"/>
                <w:szCs w:val="22"/>
              </w:rPr>
            </w:pPr>
            <w:r w:rsidRPr="00317ABF">
              <w:rPr>
                <w:bCs/>
                <w:sz w:val="22"/>
                <w:szCs w:val="22"/>
              </w:rPr>
              <w:t>wcześniej przyznanych zakresów numeracji w ramach tego samego wyróżnika sieci lub wskaźnika strefy numeracyjnej, którego dotyczy wniosek o przyznanie prawa do wykorzystywania zasobów numeracji.</w:t>
            </w:r>
          </w:p>
          <w:p w14:paraId="4AD7DA82" w14:textId="77777777" w:rsidR="000D50FB" w:rsidRPr="00317ABF" w:rsidRDefault="000D50FB" w:rsidP="000D50FB">
            <w:pPr>
              <w:jc w:val="both"/>
              <w:rPr>
                <w:sz w:val="22"/>
                <w:szCs w:val="22"/>
              </w:rPr>
            </w:pPr>
            <w:r w:rsidRPr="00317ABF">
              <w:rPr>
                <w:b/>
                <w:sz w:val="22"/>
                <w:szCs w:val="22"/>
              </w:rPr>
              <w:t>Art. 161.</w:t>
            </w:r>
            <w:r w:rsidRPr="00317ABF">
              <w:rPr>
                <w:sz w:val="22"/>
                <w:szCs w:val="22"/>
              </w:rPr>
              <w:t xml:space="preserve"> </w:t>
            </w:r>
          </w:p>
          <w:p w14:paraId="4C64A3E4" w14:textId="55E68C16" w:rsidR="000D50FB" w:rsidRPr="00317ABF" w:rsidRDefault="000D50FB" w:rsidP="000D50FB">
            <w:pPr>
              <w:jc w:val="both"/>
              <w:rPr>
                <w:sz w:val="22"/>
                <w:szCs w:val="22"/>
              </w:rPr>
            </w:pPr>
            <w:r w:rsidRPr="00317ABF">
              <w:rPr>
                <w:sz w:val="22"/>
                <w:szCs w:val="22"/>
              </w:rPr>
              <w:t>1. Prezes UKE może cofnąć prawo do wykorzystywania zasobów numeracji albo zmienić jego zakres, jeżeli:</w:t>
            </w:r>
          </w:p>
          <w:p w14:paraId="4BF048A1" w14:textId="77777777" w:rsidR="000D50FB" w:rsidRPr="00317ABF" w:rsidRDefault="000D50FB" w:rsidP="000D50FB">
            <w:pPr>
              <w:jc w:val="both"/>
              <w:rPr>
                <w:bCs/>
                <w:sz w:val="22"/>
                <w:szCs w:val="22"/>
              </w:rPr>
            </w:pPr>
            <w:r w:rsidRPr="00317ABF">
              <w:rPr>
                <w:bCs/>
                <w:sz w:val="22"/>
                <w:szCs w:val="22"/>
              </w:rPr>
              <w:t>1)</w:t>
            </w:r>
            <w:r w:rsidRPr="00317ABF">
              <w:rPr>
                <w:bCs/>
                <w:sz w:val="22"/>
                <w:szCs w:val="22"/>
              </w:rPr>
              <w:tab/>
              <w:t>nastąpiły zmiany we właściwym planie numeracji krajowej dla publicznych sieci telekomunikacyjnych;</w:t>
            </w:r>
          </w:p>
          <w:p w14:paraId="5C1F2A6B" w14:textId="77777777" w:rsidR="000D50FB" w:rsidRPr="00317ABF" w:rsidRDefault="000D50FB" w:rsidP="000D50FB">
            <w:pPr>
              <w:jc w:val="both"/>
              <w:rPr>
                <w:bCs/>
                <w:sz w:val="22"/>
                <w:szCs w:val="22"/>
              </w:rPr>
            </w:pPr>
            <w:r w:rsidRPr="00317ABF">
              <w:rPr>
                <w:bCs/>
                <w:sz w:val="22"/>
                <w:szCs w:val="22"/>
              </w:rPr>
              <w:t>2)</w:t>
            </w:r>
            <w:r w:rsidRPr="00317ABF">
              <w:rPr>
                <w:bCs/>
                <w:sz w:val="22"/>
                <w:szCs w:val="22"/>
              </w:rPr>
              <w:tab/>
              <w:t>podmiot, który uzyskał w drodze decyzji prawo do wykorzystywania zasobów numeracji, nie wykorzystuje przyznanego zakresu numeracji w sposób efektywny pod względem ilościowym, a w przypadku numerów dostępu i podobnych pojedynczych numerów nie uruchomił usługi określonej takim numerem w terminie 12 miesięcy od otrzymania decyzji o przyznaniu prawa do wykorzystywania zasobów numeracji;</w:t>
            </w:r>
          </w:p>
          <w:p w14:paraId="32AB3439" w14:textId="77777777" w:rsidR="000D50FB" w:rsidRPr="00317ABF" w:rsidRDefault="000D50FB" w:rsidP="000D50FB">
            <w:pPr>
              <w:jc w:val="both"/>
              <w:rPr>
                <w:bCs/>
                <w:sz w:val="22"/>
                <w:szCs w:val="22"/>
              </w:rPr>
            </w:pPr>
            <w:r w:rsidRPr="00317ABF">
              <w:rPr>
                <w:bCs/>
                <w:sz w:val="22"/>
                <w:szCs w:val="22"/>
              </w:rPr>
              <w:t>3)</w:t>
            </w:r>
            <w:r w:rsidRPr="00317ABF">
              <w:rPr>
                <w:bCs/>
                <w:sz w:val="22"/>
                <w:szCs w:val="22"/>
              </w:rPr>
              <w:tab/>
              <w:t>podmiot, który uzyskał prawo do wykorzystywania zasobów numeracji, wykorzystuje przyznaną numerację w sposób niezgodny z warunkami przyznania numeracji lub jej przeznaczeniem określonym we właściwym planie numeracji krajowej dla publicznych sieci telekomunikacyjnych lub</w:t>
            </w:r>
          </w:p>
          <w:p w14:paraId="6CFF3104" w14:textId="77777777" w:rsidR="000D50FB" w:rsidRPr="00317ABF" w:rsidRDefault="000D50FB" w:rsidP="000D50FB">
            <w:pPr>
              <w:jc w:val="both"/>
              <w:rPr>
                <w:bCs/>
                <w:sz w:val="22"/>
                <w:szCs w:val="22"/>
              </w:rPr>
            </w:pPr>
            <w:r w:rsidRPr="00317ABF">
              <w:rPr>
                <w:bCs/>
                <w:sz w:val="22"/>
                <w:szCs w:val="22"/>
              </w:rPr>
              <w:t>4)</w:t>
            </w:r>
            <w:r w:rsidRPr="00317ABF">
              <w:rPr>
                <w:bCs/>
                <w:sz w:val="22"/>
                <w:szCs w:val="22"/>
              </w:rPr>
              <w:tab/>
              <w:t>podmiot, który uzyskał w drodze decyzji prawo do wykorzystywania zasobów numeracji, nie wnosi opłat za prawo do wykorzystywania numeracji.</w:t>
            </w:r>
          </w:p>
          <w:p w14:paraId="3B5402CE" w14:textId="421813B7" w:rsidR="006347DF" w:rsidRPr="00317ABF" w:rsidRDefault="006347DF" w:rsidP="000D50FB">
            <w:pPr>
              <w:jc w:val="both"/>
              <w:rPr>
                <w:bCs/>
                <w:sz w:val="22"/>
                <w:szCs w:val="22"/>
              </w:rPr>
            </w:pPr>
            <w:r w:rsidRPr="00317ABF">
              <w:rPr>
                <w:bCs/>
                <w:sz w:val="22"/>
                <w:szCs w:val="22"/>
              </w:rPr>
              <w:t>(…)</w:t>
            </w:r>
          </w:p>
          <w:p w14:paraId="7CE9FD20" w14:textId="77777777" w:rsidR="000D50FB" w:rsidRPr="00317ABF" w:rsidRDefault="000D50FB" w:rsidP="000D50FB">
            <w:pPr>
              <w:jc w:val="both"/>
              <w:rPr>
                <w:bCs/>
                <w:sz w:val="22"/>
                <w:szCs w:val="22"/>
              </w:rPr>
            </w:pPr>
            <w:r w:rsidRPr="00317ABF">
              <w:rPr>
                <w:bCs/>
                <w:sz w:val="22"/>
                <w:szCs w:val="22"/>
              </w:rPr>
              <w:t>3. W przypadkach, o których mowa w ust. 1, Prezes UKE przed wydaniem decyzji w sprawie cofnięcia prawa do wykorzystywania zasobów numeracji lub zmiany zakresu prawa do wykorzystywania zasobów numeracji prowadzącej do ograniczenia tego prawa przeprowadza postępowanie konsultacyjne.</w:t>
            </w:r>
          </w:p>
          <w:p w14:paraId="7C553EB0" w14:textId="675AD5AA" w:rsidR="006347DF" w:rsidRPr="00317ABF" w:rsidRDefault="006347DF" w:rsidP="000D50FB">
            <w:pPr>
              <w:jc w:val="both"/>
              <w:rPr>
                <w:bCs/>
                <w:sz w:val="22"/>
                <w:szCs w:val="22"/>
              </w:rPr>
            </w:pPr>
            <w:r w:rsidRPr="00317ABF">
              <w:rPr>
                <w:bCs/>
                <w:sz w:val="22"/>
                <w:szCs w:val="22"/>
              </w:rPr>
              <w:t>(…)</w:t>
            </w:r>
          </w:p>
          <w:p w14:paraId="2926B348" w14:textId="77777777" w:rsidR="000D50FB" w:rsidRPr="00317ABF" w:rsidRDefault="000D50FB" w:rsidP="000D50FB">
            <w:pPr>
              <w:jc w:val="both"/>
              <w:rPr>
                <w:bCs/>
                <w:sz w:val="22"/>
                <w:szCs w:val="22"/>
              </w:rPr>
            </w:pPr>
            <w:r w:rsidRPr="00317ABF">
              <w:rPr>
                <w:bCs/>
                <w:sz w:val="22"/>
                <w:szCs w:val="22"/>
              </w:rPr>
              <w:t>5. Decyzja o cofnięciu prawa do wykorzystywania zasobów numeracji albo o zmianie jego zakresu:</w:t>
            </w:r>
          </w:p>
          <w:p w14:paraId="4CB89DBC" w14:textId="77777777" w:rsidR="000D50FB" w:rsidRPr="00317ABF" w:rsidRDefault="000D50FB" w:rsidP="000D50FB">
            <w:pPr>
              <w:jc w:val="both"/>
              <w:rPr>
                <w:bCs/>
                <w:sz w:val="22"/>
                <w:szCs w:val="22"/>
              </w:rPr>
            </w:pPr>
            <w:r w:rsidRPr="00317ABF">
              <w:rPr>
                <w:bCs/>
                <w:sz w:val="22"/>
                <w:szCs w:val="22"/>
              </w:rPr>
              <w:t xml:space="preserve">1) </w:t>
            </w:r>
            <w:r w:rsidRPr="00317ABF">
              <w:rPr>
                <w:bCs/>
                <w:sz w:val="22"/>
                <w:szCs w:val="22"/>
              </w:rPr>
              <w:tab/>
              <w:t xml:space="preserve">uwzględnia konieczność zachowania interoperacyjności i ciągłości świadczenia </w:t>
            </w:r>
            <w:r w:rsidRPr="00317ABF">
              <w:rPr>
                <w:sz w:val="22"/>
                <w:szCs w:val="22"/>
                <w:u w:val="single"/>
              </w:rPr>
              <w:t>publicznie dostępnych</w:t>
            </w:r>
            <w:r w:rsidRPr="00317ABF">
              <w:rPr>
                <w:bCs/>
                <w:sz w:val="22"/>
                <w:szCs w:val="22"/>
              </w:rPr>
              <w:t xml:space="preserve"> usług telekomunikacyjnych;</w:t>
            </w:r>
          </w:p>
          <w:p w14:paraId="61880133" w14:textId="77777777" w:rsidR="000D50FB" w:rsidRPr="00317ABF" w:rsidRDefault="000D50FB" w:rsidP="000D50FB">
            <w:pPr>
              <w:jc w:val="both"/>
              <w:rPr>
                <w:bCs/>
                <w:sz w:val="22"/>
                <w:szCs w:val="22"/>
              </w:rPr>
            </w:pPr>
            <w:r w:rsidRPr="00317ABF">
              <w:rPr>
                <w:bCs/>
                <w:sz w:val="22"/>
                <w:szCs w:val="22"/>
              </w:rPr>
              <w:lastRenderedPageBreak/>
              <w:t xml:space="preserve">2) </w:t>
            </w:r>
            <w:r w:rsidRPr="00317ABF">
              <w:rPr>
                <w:bCs/>
                <w:sz w:val="22"/>
                <w:szCs w:val="22"/>
              </w:rPr>
              <w:tab/>
              <w:t>może być podjęta po bezskutecznym wezwaniu podmiotu do usunięcia przyczyny nieprawidłowości w przypadkach, o których mowa w ust. 1 pkt 2 i 3 oraz ust. 2.</w:t>
            </w:r>
          </w:p>
          <w:p w14:paraId="471A901C" w14:textId="03318460" w:rsidR="001E1112" w:rsidRPr="00317ABF" w:rsidRDefault="006347DF" w:rsidP="000D50FB">
            <w:pPr>
              <w:jc w:val="both"/>
              <w:rPr>
                <w:bCs/>
                <w:sz w:val="22"/>
                <w:szCs w:val="22"/>
              </w:rPr>
            </w:pPr>
            <w:r w:rsidRPr="00317ABF">
              <w:rPr>
                <w:bCs/>
                <w:sz w:val="22"/>
                <w:szCs w:val="22"/>
              </w:rPr>
              <w:t>(…)</w:t>
            </w:r>
          </w:p>
        </w:tc>
      </w:tr>
      <w:tr w:rsidR="001E1112" w:rsidRPr="00317ABF" w14:paraId="3E3CE4E3" w14:textId="77777777" w:rsidTr="7753F98D">
        <w:trPr>
          <w:gridAfter w:val="2"/>
          <w:wAfter w:w="175" w:type="dxa"/>
        </w:trPr>
        <w:tc>
          <w:tcPr>
            <w:tcW w:w="704" w:type="dxa"/>
          </w:tcPr>
          <w:p w14:paraId="07723E0F" w14:textId="7ABBE5F0" w:rsidR="001E1112" w:rsidRPr="00317ABF" w:rsidRDefault="001E1112" w:rsidP="00DB3BEC">
            <w:pPr>
              <w:jc w:val="both"/>
              <w:rPr>
                <w:sz w:val="22"/>
                <w:szCs w:val="22"/>
              </w:rPr>
            </w:pPr>
            <w:r w:rsidRPr="00317ABF">
              <w:rPr>
                <w:sz w:val="22"/>
                <w:szCs w:val="22"/>
              </w:rPr>
              <w:lastRenderedPageBreak/>
              <w:t>Art. 93 ust. 2</w:t>
            </w:r>
          </w:p>
        </w:tc>
        <w:tc>
          <w:tcPr>
            <w:tcW w:w="4308" w:type="dxa"/>
          </w:tcPr>
          <w:p w14:paraId="5971C90E" w14:textId="77777777" w:rsidR="001E1112" w:rsidRPr="00317ABF" w:rsidRDefault="001E1112" w:rsidP="00DB3BEC">
            <w:pPr>
              <w:spacing w:before="120"/>
              <w:jc w:val="both"/>
              <w:rPr>
                <w:sz w:val="22"/>
                <w:szCs w:val="22"/>
              </w:rPr>
            </w:pPr>
            <w:r w:rsidRPr="00317ABF">
              <w:rPr>
                <w:sz w:val="22"/>
                <w:szCs w:val="22"/>
              </w:rPr>
              <w:t>2.   Krajowe organy regulacyjne lub inne właściwe organy mogą także przyznać prawa użytkowania zasobów numeracyjnych z krajowych planów numeracji na potrzeby świadczenia określonych usług przedsiębiorstwom innym niż dostawcy sieci lub usług łączności elektronicznej, pod warunkiem że udostępniono zasoby numeracyjne, którą są odpowiednie, aby zaspokoić popyt obecnie i w bliskiej przyszłości. Przedsiębiorstwa te wykazują swoją zdolność do zarządzania zasobami numeracyjnymi i spełniają wszelkie stosowne wymogi określone na podstawie art. 94. Krajowe organy regulacyjne lub inne właściwe organy mogą zawiesić dalsze przyznawanie praw użytkowania zasobów numeracyjnych tym przedsiębiorstwom, jeżeli zostanie wykazane, że istnieje ryzyko wyczerpania zasobów numeracyjnych.</w:t>
            </w:r>
          </w:p>
          <w:p w14:paraId="5040F5B2" w14:textId="77777777" w:rsidR="001E1112" w:rsidRPr="00317ABF" w:rsidRDefault="001E1112" w:rsidP="00DB3BEC">
            <w:pPr>
              <w:spacing w:before="120"/>
              <w:jc w:val="both"/>
              <w:rPr>
                <w:sz w:val="22"/>
                <w:szCs w:val="22"/>
              </w:rPr>
            </w:pPr>
            <w:r w:rsidRPr="00317ABF">
              <w:rPr>
                <w:sz w:val="22"/>
                <w:szCs w:val="22"/>
              </w:rPr>
              <w:t>Do dnia 21 czerwca 2020 r., aby przyczynić się do spójnego stosowania przepisów niniejszego ustępu, BEREC przyjmuje, po przeprowadzeniu konsultacji z zainteresowanymi stronami oraz w ścisłej współpracy z Komisją, wytyczne w sprawie wspólnych kryteriów oceny zdolności zarządzania zasobami numeracyjnymi oraz ryzyka wyczerpania zasobów numeracyjnych.</w:t>
            </w:r>
          </w:p>
        </w:tc>
        <w:tc>
          <w:tcPr>
            <w:tcW w:w="986" w:type="dxa"/>
          </w:tcPr>
          <w:p w14:paraId="07D9BE80" w14:textId="538D3403" w:rsidR="001E1112" w:rsidRPr="00317ABF" w:rsidRDefault="001E1112" w:rsidP="00DB3BEC">
            <w:pPr>
              <w:jc w:val="both"/>
              <w:rPr>
                <w:sz w:val="22"/>
                <w:szCs w:val="22"/>
              </w:rPr>
            </w:pPr>
            <w:r w:rsidRPr="00317ABF">
              <w:rPr>
                <w:sz w:val="22"/>
                <w:szCs w:val="22"/>
              </w:rPr>
              <w:t>T</w:t>
            </w:r>
          </w:p>
        </w:tc>
        <w:tc>
          <w:tcPr>
            <w:tcW w:w="910" w:type="dxa"/>
          </w:tcPr>
          <w:p w14:paraId="61266C73" w14:textId="35E83024" w:rsidR="001E1112" w:rsidRPr="00317ABF" w:rsidRDefault="00461C80" w:rsidP="00DB3BEC">
            <w:pPr>
              <w:pStyle w:val="Tekstpodstawowy"/>
              <w:rPr>
                <w:b/>
                <w:noProof/>
                <w:sz w:val="22"/>
                <w:szCs w:val="22"/>
              </w:rPr>
            </w:pPr>
            <w:r w:rsidRPr="00317ABF">
              <w:rPr>
                <w:b/>
                <w:noProof/>
                <w:sz w:val="22"/>
                <w:szCs w:val="22"/>
              </w:rPr>
              <w:t>Art. 15</w:t>
            </w:r>
            <w:r w:rsidR="001E1112" w:rsidRPr="00317ABF">
              <w:rPr>
                <w:b/>
                <w:noProof/>
                <w:sz w:val="22"/>
                <w:szCs w:val="22"/>
              </w:rPr>
              <w:t>9 ust. 2</w:t>
            </w:r>
          </w:p>
        </w:tc>
        <w:tc>
          <w:tcPr>
            <w:tcW w:w="6814" w:type="dxa"/>
            <w:gridSpan w:val="2"/>
          </w:tcPr>
          <w:p w14:paraId="33801E23" w14:textId="0321019C" w:rsidR="001E1112" w:rsidRPr="00317ABF" w:rsidRDefault="001E1112" w:rsidP="00DB3BEC">
            <w:pPr>
              <w:jc w:val="both"/>
              <w:rPr>
                <w:sz w:val="22"/>
                <w:szCs w:val="22"/>
              </w:rPr>
            </w:pPr>
            <w:r w:rsidRPr="00317ABF">
              <w:rPr>
                <w:b/>
                <w:bCs/>
                <w:sz w:val="22"/>
                <w:szCs w:val="22"/>
              </w:rPr>
              <w:t xml:space="preserve">Art. 139. </w:t>
            </w:r>
          </w:p>
          <w:p w14:paraId="14EFACCF" w14:textId="77777777" w:rsidR="00461C80" w:rsidRPr="00317ABF" w:rsidRDefault="00461C80" w:rsidP="00461C80">
            <w:pPr>
              <w:jc w:val="both"/>
              <w:rPr>
                <w:bCs/>
                <w:sz w:val="22"/>
                <w:szCs w:val="22"/>
              </w:rPr>
            </w:pPr>
            <w:r w:rsidRPr="00317ABF">
              <w:rPr>
                <w:bCs/>
                <w:sz w:val="22"/>
                <w:szCs w:val="22"/>
              </w:rPr>
              <w:t xml:space="preserve">2. Prezes UKE, w drodze decyzji, może przyznać prawo do wykorzystywania zasobów numeracji, zgodnie z planami numeracji krajowej dla publicznych sieci telekomunikacyjnych, podmiotowi uprawnionemu do prowadzenia działalności gospodarczej innemu niż podmioty wskazane w ust. 1, na jego wniosek, na potrzeby świadczenia usług innych niż usługi telekomunikacyjne, o ile dostępne zasoby numeracji są wystarczające do zaspokojenia obecnego i prognozowanego zapotrzebowania na numerację, a podmioty te wykażą swoją zdolność do efektywnego gospodarowania zasobami numeracji. </w:t>
            </w:r>
          </w:p>
          <w:p w14:paraId="24365699" w14:textId="3E3F1404" w:rsidR="001E1112" w:rsidRPr="00317ABF" w:rsidRDefault="001E1112" w:rsidP="00DB3BEC">
            <w:pPr>
              <w:jc w:val="both"/>
              <w:rPr>
                <w:sz w:val="22"/>
                <w:szCs w:val="22"/>
              </w:rPr>
            </w:pPr>
          </w:p>
        </w:tc>
      </w:tr>
      <w:tr w:rsidR="001E1112" w:rsidRPr="00317ABF" w14:paraId="4A64CD3F" w14:textId="77777777" w:rsidTr="7753F98D">
        <w:trPr>
          <w:gridAfter w:val="2"/>
          <w:wAfter w:w="175" w:type="dxa"/>
        </w:trPr>
        <w:tc>
          <w:tcPr>
            <w:tcW w:w="704" w:type="dxa"/>
          </w:tcPr>
          <w:p w14:paraId="18636E1D" w14:textId="77777777" w:rsidR="001E1112" w:rsidRPr="00317ABF" w:rsidRDefault="001E1112" w:rsidP="00DB3BEC">
            <w:pPr>
              <w:jc w:val="both"/>
              <w:rPr>
                <w:sz w:val="22"/>
                <w:szCs w:val="22"/>
              </w:rPr>
            </w:pPr>
            <w:r w:rsidRPr="00317ABF">
              <w:rPr>
                <w:sz w:val="22"/>
                <w:szCs w:val="22"/>
              </w:rPr>
              <w:t>Art. 93 ust. 3</w:t>
            </w:r>
          </w:p>
        </w:tc>
        <w:tc>
          <w:tcPr>
            <w:tcW w:w="4308" w:type="dxa"/>
          </w:tcPr>
          <w:p w14:paraId="5B0B5B65" w14:textId="77777777" w:rsidR="001E1112" w:rsidRPr="00317ABF" w:rsidRDefault="001E1112" w:rsidP="00DB3BEC">
            <w:pPr>
              <w:spacing w:before="120"/>
              <w:jc w:val="both"/>
              <w:rPr>
                <w:sz w:val="22"/>
                <w:szCs w:val="22"/>
              </w:rPr>
            </w:pPr>
            <w:r w:rsidRPr="00317ABF">
              <w:rPr>
                <w:sz w:val="22"/>
                <w:szCs w:val="22"/>
              </w:rPr>
              <w:t xml:space="preserve">3.   Krajowe organy regulacyjne lub inne właściwe organy zapewniają, aby krajowe plany i procedury numeracji były stosowane w sposób gwarantujący równe traktowanie </w:t>
            </w:r>
            <w:r w:rsidRPr="00317ABF">
              <w:rPr>
                <w:sz w:val="22"/>
                <w:szCs w:val="22"/>
              </w:rPr>
              <w:lastRenderedPageBreak/>
              <w:t>wszystkich podmiotów świadczących publicznie dostępne usługi łączności elektronicznej oraz przedsiębiorstw, które kwalifikują się zgodnie z ust. 2. W szczególności państwa członkowskie zapewniają, aby przedsiębiorstwa, którym przyznano prawo użytkowania zasobów numeracyjnych, nie dyskryminowały innych dostawców usług łączności elektronicznej w odniesieniu do zasobów numeracyjnych używanych przy zapewnianiu dostępu do ich usług.</w:t>
            </w:r>
          </w:p>
        </w:tc>
        <w:tc>
          <w:tcPr>
            <w:tcW w:w="986" w:type="dxa"/>
          </w:tcPr>
          <w:p w14:paraId="6F9B7EFE" w14:textId="75C4905C" w:rsidR="001E1112" w:rsidRPr="00317ABF" w:rsidRDefault="001E1112" w:rsidP="00DB3BEC">
            <w:pPr>
              <w:jc w:val="both"/>
              <w:rPr>
                <w:sz w:val="22"/>
                <w:szCs w:val="22"/>
              </w:rPr>
            </w:pPr>
            <w:r w:rsidRPr="00317ABF">
              <w:rPr>
                <w:sz w:val="22"/>
                <w:szCs w:val="22"/>
              </w:rPr>
              <w:lastRenderedPageBreak/>
              <w:t>T</w:t>
            </w:r>
          </w:p>
        </w:tc>
        <w:tc>
          <w:tcPr>
            <w:tcW w:w="910" w:type="dxa"/>
          </w:tcPr>
          <w:p w14:paraId="3F436AFF" w14:textId="6BF51909" w:rsidR="001E1112" w:rsidRPr="00317ABF" w:rsidRDefault="001E1112" w:rsidP="00DB3BEC">
            <w:pPr>
              <w:pStyle w:val="Tekstpodstawowy"/>
              <w:rPr>
                <w:b/>
                <w:noProof/>
                <w:sz w:val="22"/>
                <w:szCs w:val="22"/>
              </w:rPr>
            </w:pPr>
            <w:r w:rsidRPr="00317ABF">
              <w:rPr>
                <w:b/>
                <w:noProof/>
                <w:sz w:val="22"/>
                <w:szCs w:val="22"/>
              </w:rPr>
              <w:t>Art. 1</w:t>
            </w:r>
            <w:r w:rsidR="006840F9" w:rsidRPr="00317ABF">
              <w:rPr>
                <w:b/>
                <w:noProof/>
                <w:sz w:val="22"/>
                <w:szCs w:val="22"/>
              </w:rPr>
              <w:t>5</w:t>
            </w:r>
            <w:r w:rsidRPr="00317ABF">
              <w:rPr>
                <w:b/>
                <w:noProof/>
                <w:sz w:val="22"/>
                <w:szCs w:val="22"/>
              </w:rPr>
              <w:t>9 ust. 4</w:t>
            </w:r>
            <w:r w:rsidR="006840F9" w:rsidRPr="00317ABF">
              <w:rPr>
                <w:b/>
                <w:noProof/>
                <w:sz w:val="22"/>
                <w:szCs w:val="22"/>
              </w:rPr>
              <w:t>-7</w:t>
            </w:r>
          </w:p>
          <w:p w14:paraId="5E8B254C" w14:textId="46FE81E9" w:rsidR="001E1112" w:rsidRPr="00317ABF" w:rsidRDefault="001E1112" w:rsidP="00DB3BEC">
            <w:pPr>
              <w:pStyle w:val="Tekstpodstawowy"/>
              <w:rPr>
                <w:b/>
                <w:noProof/>
                <w:sz w:val="22"/>
                <w:szCs w:val="22"/>
              </w:rPr>
            </w:pPr>
            <w:r w:rsidRPr="00317ABF">
              <w:rPr>
                <w:b/>
                <w:noProof/>
                <w:sz w:val="22"/>
                <w:szCs w:val="22"/>
              </w:rPr>
              <w:t>A</w:t>
            </w:r>
            <w:r w:rsidR="006840F9" w:rsidRPr="00317ABF">
              <w:rPr>
                <w:b/>
                <w:noProof/>
                <w:sz w:val="22"/>
                <w:szCs w:val="22"/>
              </w:rPr>
              <w:t>rt. 164</w:t>
            </w:r>
          </w:p>
        </w:tc>
        <w:tc>
          <w:tcPr>
            <w:tcW w:w="6814" w:type="dxa"/>
            <w:gridSpan w:val="2"/>
          </w:tcPr>
          <w:p w14:paraId="397FCDA0" w14:textId="67FBEB6C" w:rsidR="001E1112" w:rsidRPr="00317ABF" w:rsidRDefault="006840F9" w:rsidP="00DB3BEC">
            <w:pPr>
              <w:pStyle w:val="Tekstpodstawowy"/>
              <w:rPr>
                <w:b/>
                <w:sz w:val="22"/>
                <w:szCs w:val="22"/>
              </w:rPr>
            </w:pPr>
            <w:r w:rsidRPr="00317ABF">
              <w:rPr>
                <w:b/>
                <w:sz w:val="22"/>
                <w:szCs w:val="22"/>
              </w:rPr>
              <w:t>Art. 15</w:t>
            </w:r>
            <w:r w:rsidR="001E1112" w:rsidRPr="00317ABF">
              <w:rPr>
                <w:b/>
                <w:sz w:val="22"/>
                <w:szCs w:val="22"/>
              </w:rPr>
              <w:t>9</w:t>
            </w:r>
          </w:p>
          <w:p w14:paraId="08E8D9E5" w14:textId="39F745A0" w:rsidR="006840F9" w:rsidRPr="00317ABF" w:rsidRDefault="006840F9" w:rsidP="00DB3BEC">
            <w:pPr>
              <w:pStyle w:val="Tekstpodstawowy"/>
              <w:rPr>
                <w:b/>
                <w:sz w:val="22"/>
                <w:szCs w:val="22"/>
              </w:rPr>
            </w:pPr>
            <w:r w:rsidRPr="00317ABF">
              <w:rPr>
                <w:b/>
                <w:sz w:val="22"/>
                <w:szCs w:val="22"/>
              </w:rPr>
              <w:t>(…)</w:t>
            </w:r>
          </w:p>
          <w:p w14:paraId="3E91885B" w14:textId="77777777" w:rsidR="006840F9" w:rsidRPr="00317ABF" w:rsidRDefault="006840F9" w:rsidP="006840F9">
            <w:pPr>
              <w:pStyle w:val="Tekstpodstawowy"/>
              <w:rPr>
                <w:bCs/>
                <w:sz w:val="22"/>
                <w:szCs w:val="22"/>
              </w:rPr>
            </w:pPr>
            <w:r w:rsidRPr="00317ABF">
              <w:rPr>
                <w:bCs/>
                <w:sz w:val="22"/>
                <w:szCs w:val="22"/>
              </w:rPr>
              <w:t>4. Prezes UKE przyznaje prawo do wykorzystywania zasobów numeracji, o przyznanie którego wpłynął więcej niż jeden wniosek:</w:t>
            </w:r>
          </w:p>
          <w:p w14:paraId="7028F3E1" w14:textId="77777777" w:rsidR="006840F9" w:rsidRPr="00317ABF" w:rsidRDefault="006840F9" w:rsidP="006840F9">
            <w:pPr>
              <w:pStyle w:val="Tekstpodstawowy"/>
              <w:rPr>
                <w:bCs/>
                <w:sz w:val="22"/>
                <w:szCs w:val="22"/>
              </w:rPr>
            </w:pPr>
            <w:r w:rsidRPr="00317ABF">
              <w:rPr>
                <w:bCs/>
                <w:sz w:val="22"/>
                <w:szCs w:val="22"/>
              </w:rPr>
              <w:t>1)</w:t>
            </w:r>
            <w:r w:rsidRPr="00317ABF">
              <w:rPr>
                <w:bCs/>
                <w:sz w:val="22"/>
                <w:szCs w:val="22"/>
              </w:rPr>
              <w:tab/>
              <w:t>po przeprowadzeniu postępowania konsultacyjnego,</w:t>
            </w:r>
          </w:p>
          <w:p w14:paraId="6E21035C" w14:textId="77777777" w:rsidR="006840F9" w:rsidRPr="00317ABF" w:rsidRDefault="006840F9" w:rsidP="006840F9">
            <w:pPr>
              <w:pStyle w:val="Tekstpodstawowy"/>
              <w:rPr>
                <w:bCs/>
                <w:sz w:val="22"/>
                <w:szCs w:val="22"/>
              </w:rPr>
            </w:pPr>
            <w:r w:rsidRPr="00317ABF">
              <w:rPr>
                <w:bCs/>
                <w:sz w:val="22"/>
                <w:szCs w:val="22"/>
              </w:rPr>
              <w:lastRenderedPageBreak/>
              <w:t>2)</w:t>
            </w:r>
            <w:r w:rsidRPr="00317ABF">
              <w:rPr>
                <w:bCs/>
                <w:sz w:val="22"/>
                <w:szCs w:val="22"/>
              </w:rPr>
              <w:tab/>
              <w:t>w drodze przetargu, jeżeli w postępowaniu konsultacyjnym stwierdzono konieczność przeprowadzenia takiego postępowania</w:t>
            </w:r>
          </w:p>
          <w:p w14:paraId="038ACDBF" w14:textId="77777777" w:rsidR="006840F9" w:rsidRPr="00317ABF" w:rsidRDefault="006840F9" w:rsidP="006840F9">
            <w:pPr>
              <w:pStyle w:val="Tekstpodstawowy"/>
              <w:rPr>
                <w:bCs/>
                <w:sz w:val="22"/>
                <w:szCs w:val="22"/>
              </w:rPr>
            </w:pPr>
            <w:r w:rsidRPr="00317ABF">
              <w:rPr>
                <w:bCs/>
                <w:sz w:val="22"/>
                <w:szCs w:val="22"/>
              </w:rPr>
              <w:t>- w terminie nie dłuższym niż 6 tygodni od dnia złożenia pierwszego wniosku.</w:t>
            </w:r>
          </w:p>
          <w:p w14:paraId="7F03CC75" w14:textId="77777777" w:rsidR="006840F9" w:rsidRPr="00317ABF" w:rsidRDefault="006840F9" w:rsidP="006840F9">
            <w:pPr>
              <w:pStyle w:val="Tekstpodstawowy"/>
              <w:rPr>
                <w:bCs/>
                <w:sz w:val="22"/>
                <w:szCs w:val="22"/>
              </w:rPr>
            </w:pPr>
            <w:r w:rsidRPr="00317ABF">
              <w:rPr>
                <w:bCs/>
                <w:sz w:val="22"/>
                <w:szCs w:val="22"/>
              </w:rPr>
              <w:t>5. Przetarg przeprowadza Prezes UKE. Ogłoszenie o przetargu udostępnia w prasie codziennej o zasięgu ogólnokrajowym oraz na stronie podmiotowej BIP UKE.</w:t>
            </w:r>
          </w:p>
          <w:p w14:paraId="4FC7ADEC" w14:textId="3683AD71" w:rsidR="006840F9" w:rsidRPr="00317ABF" w:rsidRDefault="006840F9" w:rsidP="006840F9">
            <w:pPr>
              <w:pStyle w:val="Tekstpodstawowy"/>
              <w:rPr>
                <w:bCs/>
                <w:sz w:val="22"/>
                <w:szCs w:val="22"/>
              </w:rPr>
            </w:pPr>
            <w:r w:rsidRPr="00317ABF">
              <w:rPr>
                <w:bCs/>
                <w:sz w:val="22"/>
                <w:szCs w:val="22"/>
              </w:rPr>
              <w:t>6. Do przetargu stosuje się odpowiednio przepisy art. 110 ust. 1 i 2, art. 112 ust. 1, art. 113 ust. 1, art. 120, art. 121 ust. 1, art. 122 oraz 123.</w:t>
            </w:r>
          </w:p>
          <w:p w14:paraId="3A6815AB" w14:textId="6264F826" w:rsidR="006840F9" w:rsidRPr="00317ABF" w:rsidRDefault="006840F9" w:rsidP="006840F9">
            <w:pPr>
              <w:pStyle w:val="Tekstpodstawowy"/>
              <w:rPr>
                <w:bCs/>
                <w:sz w:val="22"/>
                <w:szCs w:val="22"/>
              </w:rPr>
            </w:pPr>
            <w:r w:rsidRPr="00317ABF">
              <w:rPr>
                <w:bCs/>
                <w:sz w:val="22"/>
                <w:szCs w:val="22"/>
              </w:rPr>
              <w:t>7. Decydującym kryterium oceny ofert jest wysokość kwoty zadeklarowanej przez podmiot wnioskujący o przyznanie prawa do wykorzystywania zasobów numeracji.</w:t>
            </w:r>
          </w:p>
          <w:p w14:paraId="00128AD7" w14:textId="77777777" w:rsidR="006840F9" w:rsidRPr="00317ABF" w:rsidRDefault="006840F9" w:rsidP="006840F9">
            <w:pPr>
              <w:pStyle w:val="Tekstpodstawowy"/>
              <w:rPr>
                <w:bCs/>
                <w:sz w:val="22"/>
                <w:szCs w:val="22"/>
              </w:rPr>
            </w:pPr>
          </w:p>
          <w:p w14:paraId="28E937CF" w14:textId="6EE8F773" w:rsidR="006840F9" w:rsidRPr="00317ABF" w:rsidRDefault="006840F9" w:rsidP="006840F9">
            <w:pPr>
              <w:pStyle w:val="Tekstpodstawowy"/>
              <w:rPr>
                <w:sz w:val="22"/>
                <w:szCs w:val="22"/>
              </w:rPr>
            </w:pPr>
            <w:r w:rsidRPr="00317ABF">
              <w:rPr>
                <w:rFonts w:ascii="Times" w:eastAsiaTheme="minorEastAsia" w:hAnsi="Times" w:cs="Times"/>
                <w:b/>
                <w:sz w:val="24"/>
              </w:rPr>
              <w:t xml:space="preserve"> </w:t>
            </w:r>
            <w:r w:rsidRPr="00317ABF">
              <w:rPr>
                <w:b/>
                <w:sz w:val="22"/>
                <w:szCs w:val="22"/>
              </w:rPr>
              <w:t>Art. 164.</w:t>
            </w:r>
            <w:r w:rsidRPr="00317ABF">
              <w:rPr>
                <w:sz w:val="22"/>
                <w:szCs w:val="22"/>
              </w:rPr>
              <w:t xml:space="preserve"> </w:t>
            </w:r>
            <w:bookmarkStart w:id="145" w:name="mip44758657"/>
            <w:bookmarkEnd w:id="145"/>
            <w:r w:rsidRPr="00317ABF">
              <w:rPr>
                <w:sz w:val="22"/>
                <w:szCs w:val="22"/>
              </w:rPr>
              <w:t>1. Podmiot, który uzyskał w drodze decyzji prawo do wykorzystywania zasobów numeracji na podstawie art. 159 ust. 1, udostępnia przyznane zasoby numeracji podmiotom, o których mowa w art. 159 ust. 1:</w:t>
            </w:r>
          </w:p>
          <w:p w14:paraId="160ECD27" w14:textId="77777777" w:rsidR="006840F9" w:rsidRPr="00317ABF" w:rsidRDefault="006840F9" w:rsidP="006840F9">
            <w:pPr>
              <w:pStyle w:val="Tekstpodstawowy"/>
              <w:numPr>
                <w:ilvl w:val="0"/>
                <w:numId w:val="93"/>
              </w:numPr>
              <w:rPr>
                <w:sz w:val="22"/>
                <w:szCs w:val="22"/>
              </w:rPr>
            </w:pPr>
            <w:r w:rsidRPr="00317ABF">
              <w:rPr>
                <w:sz w:val="22"/>
                <w:szCs w:val="22"/>
              </w:rPr>
              <w:t>współpracującym z jego siecią telekomunikacyjną lub</w:t>
            </w:r>
          </w:p>
          <w:p w14:paraId="50E1198C" w14:textId="77777777" w:rsidR="006840F9" w:rsidRPr="00317ABF" w:rsidRDefault="006840F9" w:rsidP="006840F9">
            <w:pPr>
              <w:pStyle w:val="Tekstpodstawowy"/>
              <w:numPr>
                <w:ilvl w:val="0"/>
                <w:numId w:val="93"/>
              </w:numPr>
              <w:rPr>
                <w:sz w:val="22"/>
                <w:szCs w:val="22"/>
              </w:rPr>
            </w:pPr>
            <w:r w:rsidRPr="00317ABF">
              <w:rPr>
                <w:sz w:val="22"/>
                <w:szCs w:val="22"/>
              </w:rPr>
              <w:t xml:space="preserve">dostarczającym usługi telekomunikacyjne </w:t>
            </w:r>
          </w:p>
          <w:p w14:paraId="669DFB88" w14:textId="7333DB71" w:rsidR="006840F9" w:rsidRPr="00317ABF" w:rsidRDefault="006840F9" w:rsidP="006840F9">
            <w:pPr>
              <w:pStyle w:val="Tekstpodstawowy"/>
              <w:rPr>
                <w:sz w:val="22"/>
                <w:szCs w:val="22"/>
              </w:rPr>
            </w:pPr>
            <w:r w:rsidRPr="00317ABF">
              <w:rPr>
                <w:sz w:val="22"/>
                <w:szCs w:val="22"/>
              </w:rPr>
              <w:t>- na ich wniosek, na podstawie pisemnej umowy o udostępnieniu zasobów numeracji albo umowy o dostępie w zakresie połączenia sieci, o której mowa w art. 171.</w:t>
            </w:r>
            <w:bookmarkStart w:id="146" w:name="mip44758658"/>
            <w:bookmarkEnd w:id="146"/>
          </w:p>
          <w:p w14:paraId="55C76AEB" w14:textId="77777777" w:rsidR="006840F9" w:rsidRPr="00317ABF" w:rsidRDefault="006840F9" w:rsidP="006840F9">
            <w:pPr>
              <w:pStyle w:val="Tekstpodstawowy"/>
              <w:rPr>
                <w:bCs/>
                <w:sz w:val="22"/>
                <w:szCs w:val="22"/>
              </w:rPr>
            </w:pPr>
            <w:r w:rsidRPr="00317ABF">
              <w:rPr>
                <w:bCs/>
                <w:sz w:val="22"/>
                <w:szCs w:val="22"/>
              </w:rPr>
              <w:t>2. Umowa o udostępnieniu zasobów numeracji może ustalać warunki wykorzystywania udostępnionej numeracji.</w:t>
            </w:r>
          </w:p>
          <w:p w14:paraId="5E5DA365" w14:textId="77777777" w:rsidR="006840F9" w:rsidRPr="00317ABF" w:rsidRDefault="006840F9" w:rsidP="006840F9">
            <w:pPr>
              <w:pStyle w:val="Tekstpodstawowy"/>
              <w:rPr>
                <w:bCs/>
                <w:sz w:val="22"/>
                <w:szCs w:val="22"/>
              </w:rPr>
            </w:pPr>
            <w:bookmarkStart w:id="147" w:name="mip44758659"/>
            <w:bookmarkEnd w:id="147"/>
            <w:r w:rsidRPr="00317ABF">
              <w:rPr>
                <w:bCs/>
                <w:sz w:val="22"/>
                <w:szCs w:val="22"/>
              </w:rPr>
              <w:t>3. Odmawia się zawarcia umowy o udostępnieniu zasobów numeracji w przypadku braku zasobów numeracji lub gdy udostępnienie zasobów numeracji mogłoby utrudnić albo ograniczyć wykonywanie działalności przez podmiot, który uzyskał prawo do wykorzystywania zasobów numeracji.</w:t>
            </w:r>
          </w:p>
          <w:p w14:paraId="4952345B" w14:textId="055DF1D1" w:rsidR="006840F9" w:rsidRPr="00317ABF" w:rsidRDefault="006840F9" w:rsidP="006840F9">
            <w:pPr>
              <w:pStyle w:val="Tekstpodstawowy"/>
              <w:rPr>
                <w:bCs/>
                <w:sz w:val="22"/>
                <w:szCs w:val="22"/>
              </w:rPr>
            </w:pPr>
            <w:bookmarkStart w:id="148" w:name="mip44758660"/>
            <w:bookmarkStart w:id="149" w:name="mip44758661"/>
            <w:bookmarkEnd w:id="148"/>
            <w:bookmarkEnd w:id="149"/>
            <w:r w:rsidRPr="00317ABF">
              <w:rPr>
                <w:bCs/>
                <w:sz w:val="22"/>
                <w:szCs w:val="22"/>
              </w:rPr>
              <w:t>4. Do umowy o udostępnieniu zasobów numeracji stosuje się odpowiednio przepisy art. 168, art. 183, art. 184 i art. 187.</w:t>
            </w:r>
          </w:p>
          <w:p w14:paraId="43691E7D" w14:textId="57FE716B" w:rsidR="001E1112" w:rsidRPr="00317ABF" w:rsidRDefault="006840F9" w:rsidP="006840F9">
            <w:pPr>
              <w:pStyle w:val="Tekstpodstawowy"/>
              <w:rPr>
                <w:bCs/>
                <w:sz w:val="22"/>
                <w:szCs w:val="22"/>
              </w:rPr>
            </w:pPr>
            <w:bookmarkStart w:id="150" w:name="mip44758662"/>
            <w:bookmarkEnd w:id="150"/>
            <w:r w:rsidRPr="00317ABF">
              <w:rPr>
                <w:bCs/>
                <w:sz w:val="22"/>
                <w:szCs w:val="22"/>
              </w:rPr>
              <w:t>5. Do umowy, o której mowa w ust. 1, stosuje się art. 176, z zastrzeżeniem, że umowa jest przekazywana przez podmiot udostępniający przyznane zasoby numeracji.</w:t>
            </w:r>
          </w:p>
        </w:tc>
      </w:tr>
      <w:tr w:rsidR="001E1112" w:rsidRPr="00317ABF" w14:paraId="6D81C86E" w14:textId="77777777" w:rsidTr="7753F98D">
        <w:trPr>
          <w:gridAfter w:val="2"/>
          <w:wAfter w:w="175" w:type="dxa"/>
        </w:trPr>
        <w:tc>
          <w:tcPr>
            <w:tcW w:w="704" w:type="dxa"/>
          </w:tcPr>
          <w:p w14:paraId="64FEDCE9" w14:textId="77003D60" w:rsidR="001E1112" w:rsidRPr="00317ABF" w:rsidRDefault="001E1112" w:rsidP="00DB3BEC">
            <w:pPr>
              <w:jc w:val="both"/>
              <w:rPr>
                <w:sz w:val="22"/>
                <w:szCs w:val="22"/>
              </w:rPr>
            </w:pPr>
            <w:r w:rsidRPr="00317ABF">
              <w:rPr>
                <w:sz w:val="22"/>
                <w:szCs w:val="22"/>
              </w:rPr>
              <w:lastRenderedPageBreak/>
              <w:t>Art. 93 ust. 4</w:t>
            </w:r>
          </w:p>
        </w:tc>
        <w:tc>
          <w:tcPr>
            <w:tcW w:w="4308" w:type="dxa"/>
          </w:tcPr>
          <w:p w14:paraId="51DE3C3B" w14:textId="5C902781" w:rsidR="001E1112" w:rsidRPr="00317ABF" w:rsidRDefault="001E1112" w:rsidP="00DB3BEC">
            <w:pPr>
              <w:spacing w:before="120"/>
              <w:jc w:val="both"/>
              <w:rPr>
                <w:sz w:val="22"/>
                <w:szCs w:val="22"/>
              </w:rPr>
            </w:pPr>
            <w:r w:rsidRPr="00317ABF">
              <w:rPr>
                <w:sz w:val="22"/>
                <w:szCs w:val="22"/>
              </w:rPr>
              <w:t xml:space="preserve">4.   Każde państwo członkowskie zapewnia, aby krajowe organy regulacyjne lub inne właściwe organy udostępniały zakres niegeograficznych numerów, które mogą być wykorzystywane do </w:t>
            </w:r>
            <w:r w:rsidRPr="00317ABF">
              <w:rPr>
                <w:sz w:val="22"/>
                <w:szCs w:val="22"/>
              </w:rPr>
              <w:lastRenderedPageBreak/>
              <w:t>świadczenia usług łączności elektronicznej innych niż usługi łączności interpersonalnej na terenie całej Unii, nie naruszając rozporządzenia (UE) nr 531/2012 oraz art. 97 ust. 2 niniejszej dyrektywy. W przypadku gdy prawa użytkowania zasobów numeracyjnych przyznano zgodnie z ust. 2 niniejszego artykułu przedsiębiorstwom innym niż dostawcy sieci lub usług łączności elektronicznej, przepisy niniejszego ustępu stosuje się do konkretnych usług, do których świadczen</w:t>
            </w:r>
            <w:r w:rsidR="006840F9" w:rsidRPr="00317ABF">
              <w:rPr>
                <w:sz w:val="22"/>
                <w:szCs w:val="22"/>
              </w:rPr>
              <w:t>ia przyznano prawa użytkowania.</w:t>
            </w:r>
          </w:p>
          <w:p w14:paraId="1C259967" w14:textId="77777777" w:rsidR="001E1112" w:rsidRPr="00317ABF" w:rsidRDefault="001E1112" w:rsidP="00DB3BEC">
            <w:pPr>
              <w:spacing w:before="120"/>
              <w:jc w:val="both"/>
              <w:rPr>
                <w:sz w:val="22"/>
                <w:szCs w:val="22"/>
              </w:rPr>
            </w:pPr>
            <w:r w:rsidRPr="00317ABF">
              <w:rPr>
                <w:sz w:val="22"/>
                <w:szCs w:val="22"/>
              </w:rPr>
              <w:t xml:space="preserve">Krajowe organy regulacyjne lub inne właściwe organy zapewniają, aby warunki, wymienione w załączniku I część E, które mogą dotyczyć praw użytkowania zasobów numeracyjnych wykorzystywanych do świadczenia usług poza państwem członkowskim danego kodu kraju oraz ich egzekwowanie były tak samo rygorystyczne jak warunki obowiązujące w stosunku do usług świadczonych na terytorium państwa członkowskiego danego kodu kraju i ich egzekwowanie, zgodnie z niniejszą dyrektywą. Krajowe organy regulacyjne lub inne właściwe organy zapewniają również zgodnie z art. 94 ust. 6, aby podmioty wykorzystujące zasoby numeracyjne kodu ich kraju w innych państwach członkowskich przestrzegały przepisów dotyczących ochrony konsumentów oraz innych przepisów krajowych dotyczących użytkowania zasobów numeracyjnych obowiązujących w tych państwach członkowskich, w których użytkowane są te zasoby numeracyjne. Obowiązek ten pozostaje bez uszczerbku dla uprawnień w zakresie egzekwowania przepisów przysługujących </w:t>
            </w:r>
            <w:r w:rsidRPr="00317ABF">
              <w:rPr>
                <w:sz w:val="22"/>
                <w:szCs w:val="22"/>
              </w:rPr>
              <w:lastRenderedPageBreak/>
              <w:t>właściwym organom tych państw członkowskich.</w:t>
            </w:r>
          </w:p>
          <w:p w14:paraId="1C356A57" w14:textId="77777777" w:rsidR="001E1112" w:rsidRPr="00317ABF" w:rsidRDefault="001E1112" w:rsidP="00DB3BEC">
            <w:pPr>
              <w:spacing w:before="120"/>
              <w:jc w:val="both"/>
              <w:rPr>
                <w:sz w:val="22"/>
                <w:szCs w:val="22"/>
              </w:rPr>
            </w:pPr>
            <w:r w:rsidRPr="00317ABF">
              <w:rPr>
                <w:sz w:val="22"/>
                <w:szCs w:val="22"/>
              </w:rPr>
              <w:t>BEREC wspiera krajowe organy regulacyjne lub inne właściwe organy na ich wniosek w zakresie koordynacji ich działalności, aby zapewnić wydajne zarządzanie zasobami numeracyjnymi z prawem do ekstraterytorialnego użytkowania na terenie Unii.</w:t>
            </w:r>
          </w:p>
          <w:p w14:paraId="5BA06C69" w14:textId="77777777" w:rsidR="001E1112" w:rsidRPr="00317ABF" w:rsidRDefault="001E1112" w:rsidP="00DB3BEC">
            <w:pPr>
              <w:spacing w:before="120"/>
              <w:jc w:val="both"/>
              <w:rPr>
                <w:sz w:val="22"/>
                <w:szCs w:val="22"/>
              </w:rPr>
            </w:pPr>
            <w:r w:rsidRPr="00317ABF">
              <w:rPr>
                <w:sz w:val="22"/>
                <w:szCs w:val="22"/>
              </w:rPr>
              <w:t>Aby ułatwić krajowym organom regulacyjnym lub innym właściwym organom monitorowanie zgodności z wymogami niniejszego ustępu, BEREC tworzy bazę danych dotyczących zasobów numeracyjnych z prawem ekstraterytorialnego użytkowania na terenie Unii. Do tego celu krajowe organy regulacyjne lub inne właściwe organy przekazują BEREC stosowne informacje. W przypadku gdy zasoby numeracyjne z prawem ekstraterytorialnego użytkowania na terenie Unii nie są przyznawane przez krajowy organ regulacyjny, właściwy organ odpowiedzialny za ich przyznanie lub zarządzanie nimi konsultuje się z krajowym organem regulacyjnym.</w:t>
            </w:r>
          </w:p>
        </w:tc>
        <w:tc>
          <w:tcPr>
            <w:tcW w:w="986" w:type="dxa"/>
          </w:tcPr>
          <w:p w14:paraId="50BB4280" w14:textId="2BC22415" w:rsidR="001E1112" w:rsidRPr="00317ABF" w:rsidRDefault="006840F9" w:rsidP="00DB3BEC">
            <w:pPr>
              <w:jc w:val="both"/>
              <w:rPr>
                <w:sz w:val="22"/>
                <w:szCs w:val="22"/>
              </w:rPr>
            </w:pPr>
            <w:r w:rsidRPr="00317ABF">
              <w:rPr>
                <w:sz w:val="22"/>
                <w:szCs w:val="22"/>
              </w:rPr>
              <w:lastRenderedPageBreak/>
              <w:t>T</w:t>
            </w:r>
          </w:p>
          <w:p w14:paraId="1B4E0B82" w14:textId="77777777" w:rsidR="001E1112" w:rsidRPr="00317ABF" w:rsidRDefault="001E1112" w:rsidP="00DB3BEC">
            <w:pPr>
              <w:jc w:val="both"/>
              <w:rPr>
                <w:sz w:val="22"/>
                <w:szCs w:val="22"/>
              </w:rPr>
            </w:pPr>
          </w:p>
          <w:p w14:paraId="1C1C38DE" w14:textId="77777777" w:rsidR="001E1112" w:rsidRPr="00317ABF" w:rsidRDefault="001E1112" w:rsidP="00DB3BEC">
            <w:pPr>
              <w:jc w:val="both"/>
              <w:rPr>
                <w:sz w:val="22"/>
                <w:szCs w:val="22"/>
              </w:rPr>
            </w:pPr>
          </w:p>
          <w:p w14:paraId="01BE70CC" w14:textId="77777777" w:rsidR="001E1112" w:rsidRPr="00317ABF" w:rsidRDefault="001E1112" w:rsidP="00DB3BEC">
            <w:pPr>
              <w:jc w:val="both"/>
              <w:rPr>
                <w:sz w:val="22"/>
                <w:szCs w:val="22"/>
              </w:rPr>
            </w:pPr>
          </w:p>
          <w:p w14:paraId="01F9F4EA" w14:textId="77777777" w:rsidR="001E1112" w:rsidRPr="00317ABF" w:rsidRDefault="001E1112" w:rsidP="00DB3BEC">
            <w:pPr>
              <w:jc w:val="both"/>
              <w:rPr>
                <w:sz w:val="22"/>
                <w:szCs w:val="22"/>
              </w:rPr>
            </w:pPr>
          </w:p>
          <w:p w14:paraId="6D356E54" w14:textId="77777777" w:rsidR="001E1112" w:rsidRPr="00317ABF" w:rsidRDefault="001E1112" w:rsidP="00DB3BEC">
            <w:pPr>
              <w:jc w:val="both"/>
              <w:rPr>
                <w:sz w:val="22"/>
                <w:szCs w:val="22"/>
              </w:rPr>
            </w:pPr>
          </w:p>
          <w:p w14:paraId="35D67BA1" w14:textId="77777777" w:rsidR="001E1112" w:rsidRPr="00317ABF" w:rsidRDefault="001E1112" w:rsidP="00DB3BEC">
            <w:pPr>
              <w:jc w:val="both"/>
              <w:rPr>
                <w:sz w:val="22"/>
                <w:szCs w:val="22"/>
              </w:rPr>
            </w:pPr>
          </w:p>
          <w:p w14:paraId="0051B013" w14:textId="77777777" w:rsidR="001E1112" w:rsidRPr="00317ABF" w:rsidRDefault="001E1112" w:rsidP="00DB3BEC">
            <w:pPr>
              <w:jc w:val="both"/>
              <w:rPr>
                <w:sz w:val="22"/>
                <w:szCs w:val="22"/>
              </w:rPr>
            </w:pPr>
          </w:p>
          <w:p w14:paraId="58DC818C" w14:textId="77777777" w:rsidR="001E1112" w:rsidRPr="00317ABF" w:rsidRDefault="001E1112" w:rsidP="00DB3BEC">
            <w:pPr>
              <w:jc w:val="both"/>
              <w:rPr>
                <w:sz w:val="22"/>
                <w:szCs w:val="22"/>
              </w:rPr>
            </w:pPr>
          </w:p>
          <w:p w14:paraId="1E62BDFE" w14:textId="77777777" w:rsidR="001E1112" w:rsidRPr="00317ABF" w:rsidRDefault="001E1112" w:rsidP="00DB3BEC">
            <w:pPr>
              <w:jc w:val="both"/>
              <w:rPr>
                <w:sz w:val="22"/>
                <w:szCs w:val="22"/>
              </w:rPr>
            </w:pPr>
          </w:p>
          <w:p w14:paraId="4D1F6AE0" w14:textId="77777777" w:rsidR="001E1112" w:rsidRPr="00317ABF" w:rsidRDefault="001E1112" w:rsidP="00DB3BEC">
            <w:pPr>
              <w:jc w:val="both"/>
              <w:rPr>
                <w:sz w:val="22"/>
                <w:szCs w:val="22"/>
              </w:rPr>
            </w:pPr>
          </w:p>
          <w:p w14:paraId="4953F6A8" w14:textId="77777777" w:rsidR="001E1112" w:rsidRPr="00317ABF" w:rsidRDefault="001E1112" w:rsidP="00DB3BEC">
            <w:pPr>
              <w:jc w:val="both"/>
              <w:rPr>
                <w:sz w:val="22"/>
                <w:szCs w:val="22"/>
              </w:rPr>
            </w:pPr>
          </w:p>
          <w:p w14:paraId="352A585C" w14:textId="77777777" w:rsidR="001E1112" w:rsidRPr="00317ABF" w:rsidRDefault="001E1112" w:rsidP="00DB3BEC">
            <w:pPr>
              <w:jc w:val="both"/>
              <w:rPr>
                <w:sz w:val="22"/>
                <w:szCs w:val="22"/>
              </w:rPr>
            </w:pPr>
          </w:p>
          <w:p w14:paraId="348C8648" w14:textId="77777777" w:rsidR="001E1112" w:rsidRPr="00317ABF" w:rsidRDefault="001E1112" w:rsidP="00DB3BEC">
            <w:pPr>
              <w:jc w:val="both"/>
              <w:rPr>
                <w:sz w:val="22"/>
                <w:szCs w:val="22"/>
              </w:rPr>
            </w:pPr>
          </w:p>
          <w:p w14:paraId="0E084F3A" w14:textId="77777777" w:rsidR="001E1112" w:rsidRPr="00317ABF" w:rsidRDefault="001E1112" w:rsidP="00DB3BEC">
            <w:pPr>
              <w:jc w:val="both"/>
              <w:rPr>
                <w:sz w:val="22"/>
                <w:szCs w:val="22"/>
              </w:rPr>
            </w:pPr>
          </w:p>
          <w:p w14:paraId="6FD41A17" w14:textId="77777777" w:rsidR="001E1112" w:rsidRPr="00317ABF" w:rsidRDefault="001E1112" w:rsidP="00DB3BEC">
            <w:pPr>
              <w:jc w:val="both"/>
              <w:rPr>
                <w:sz w:val="22"/>
                <w:szCs w:val="22"/>
              </w:rPr>
            </w:pPr>
          </w:p>
          <w:p w14:paraId="36F9E323" w14:textId="77777777" w:rsidR="001E1112" w:rsidRPr="00317ABF" w:rsidRDefault="001E1112" w:rsidP="00DB3BEC">
            <w:pPr>
              <w:jc w:val="both"/>
              <w:rPr>
                <w:sz w:val="22"/>
                <w:szCs w:val="22"/>
              </w:rPr>
            </w:pPr>
          </w:p>
          <w:p w14:paraId="2B8B7614" w14:textId="77777777" w:rsidR="001E1112" w:rsidRPr="00317ABF" w:rsidRDefault="001E1112" w:rsidP="00DB3BEC">
            <w:pPr>
              <w:jc w:val="both"/>
              <w:rPr>
                <w:sz w:val="22"/>
                <w:szCs w:val="22"/>
              </w:rPr>
            </w:pPr>
          </w:p>
          <w:p w14:paraId="203DB83B" w14:textId="77777777" w:rsidR="001E1112" w:rsidRPr="00317ABF" w:rsidRDefault="001E1112" w:rsidP="00DB3BEC">
            <w:pPr>
              <w:jc w:val="both"/>
              <w:rPr>
                <w:sz w:val="22"/>
                <w:szCs w:val="22"/>
              </w:rPr>
            </w:pPr>
          </w:p>
          <w:p w14:paraId="7AD1768A" w14:textId="77777777" w:rsidR="001E1112" w:rsidRPr="00317ABF" w:rsidRDefault="001E1112" w:rsidP="00DB3BEC">
            <w:pPr>
              <w:jc w:val="both"/>
              <w:rPr>
                <w:sz w:val="22"/>
                <w:szCs w:val="22"/>
              </w:rPr>
            </w:pPr>
          </w:p>
          <w:p w14:paraId="50BD746F" w14:textId="77777777" w:rsidR="001E1112" w:rsidRPr="00317ABF" w:rsidRDefault="001E1112" w:rsidP="00DB3BEC">
            <w:pPr>
              <w:jc w:val="both"/>
              <w:rPr>
                <w:sz w:val="22"/>
                <w:szCs w:val="22"/>
              </w:rPr>
            </w:pPr>
          </w:p>
          <w:p w14:paraId="0F289A2C" w14:textId="5BB8B003" w:rsidR="001E1112" w:rsidRPr="00317ABF" w:rsidRDefault="001E1112" w:rsidP="00DB3BEC">
            <w:pPr>
              <w:jc w:val="both"/>
              <w:rPr>
                <w:sz w:val="22"/>
                <w:szCs w:val="22"/>
              </w:rPr>
            </w:pPr>
          </w:p>
          <w:p w14:paraId="37A97A06" w14:textId="77777777" w:rsidR="001E1112" w:rsidRPr="00317ABF" w:rsidRDefault="001E1112" w:rsidP="00DB3BEC">
            <w:pPr>
              <w:jc w:val="both"/>
              <w:rPr>
                <w:sz w:val="22"/>
                <w:szCs w:val="22"/>
              </w:rPr>
            </w:pPr>
          </w:p>
          <w:p w14:paraId="7BBAF877" w14:textId="77777777" w:rsidR="001E1112" w:rsidRPr="00317ABF" w:rsidRDefault="001E1112" w:rsidP="00DB3BEC">
            <w:pPr>
              <w:jc w:val="both"/>
              <w:rPr>
                <w:sz w:val="22"/>
                <w:szCs w:val="22"/>
              </w:rPr>
            </w:pPr>
          </w:p>
          <w:p w14:paraId="4EDAE796" w14:textId="77777777" w:rsidR="001E1112" w:rsidRPr="00317ABF" w:rsidRDefault="001E1112" w:rsidP="00DB3BEC">
            <w:pPr>
              <w:jc w:val="both"/>
              <w:rPr>
                <w:sz w:val="22"/>
                <w:szCs w:val="22"/>
              </w:rPr>
            </w:pPr>
          </w:p>
          <w:p w14:paraId="3EF35729" w14:textId="77777777" w:rsidR="001E1112" w:rsidRPr="00317ABF" w:rsidRDefault="001E1112" w:rsidP="00DB3BEC">
            <w:pPr>
              <w:jc w:val="both"/>
              <w:rPr>
                <w:sz w:val="22"/>
                <w:szCs w:val="22"/>
              </w:rPr>
            </w:pPr>
          </w:p>
          <w:p w14:paraId="1863886E" w14:textId="77777777" w:rsidR="001E1112" w:rsidRPr="00317ABF" w:rsidRDefault="001E1112" w:rsidP="00DB3BEC">
            <w:pPr>
              <w:jc w:val="both"/>
              <w:rPr>
                <w:sz w:val="22"/>
                <w:szCs w:val="22"/>
              </w:rPr>
            </w:pPr>
          </w:p>
          <w:p w14:paraId="3D7590D8" w14:textId="77777777" w:rsidR="001E1112" w:rsidRPr="00317ABF" w:rsidRDefault="001E1112" w:rsidP="00DB3BEC">
            <w:pPr>
              <w:jc w:val="both"/>
              <w:rPr>
                <w:sz w:val="22"/>
                <w:szCs w:val="22"/>
              </w:rPr>
            </w:pPr>
          </w:p>
          <w:p w14:paraId="624280BD" w14:textId="77777777" w:rsidR="001E1112" w:rsidRPr="00317ABF" w:rsidRDefault="001E1112" w:rsidP="00DB3BEC">
            <w:pPr>
              <w:jc w:val="both"/>
              <w:rPr>
                <w:sz w:val="22"/>
                <w:szCs w:val="22"/>
              </w:rPr>
            </w:pPr>
          </w:p>
          <w:p w14:paraId="2C51BD6F" w14:textId="77777777" w:rsidR="001E1112" w:rsidRPr="00317ABF" w:rsidRDefault="001E1112" w:rsidP="00DB3BEC">
            <w:pPr>
              <w:jc w:val="both"/>
              <w:rPr>
                <w:sz w:val="22"/>
                <w:szCs w:val="22"/>
              </w:rPr>
            </w:pPr>
          </w:p>
          <w:p w14:paraId="56DD1EF1" w14:textId="77777777" w:rsidR="001E1112" w:rsidRPr="00317ABF" w:rsidRDefault="001E1112" w:rsidP="00DB3BEC">
            <w:pPr>
              <w:jc w:val="both"/>
              <w:rPr>
                <w:sz w:val="22"/>
                <w:szCs w:val="22"/>
              </w:rPr>
            </w:pPr>
          </w:p>
          <w:p w14:paraId="7BF8F8A9" w14:textId="77777777" w:rsidR="001E1112" w:rsidRPr="00317ABF" w:rsidRDefault="001E1112" w:rsidP="00DB3BEC">
            <w:pPr>
              <w:jc w:val="both"/>
              <w:rPr>
                <w:sz w:val="22"/>
                <w:szCs w:val="22"/>
              </w:rPr>
            </w:pPr>
          </w:p>
          <w:p w14:paraId="196867EE" w14:textId="77777777" w:rsidR="001E1112" w:rsidRPr="00317ABF" w:rsidRDefault="001E1112" w:rsidP="00DB3BEC">
            <w:pPr>
              <w:jc w:val="both"/>
              <w:rPr>
                <w:sz w:val="22"/>
                <w:szCs w:val="22"/>
              </w:rPr>
            </w:pPr>
          </w:p>
          <w:p w14:paraId="5567C4BD" w14:textId="77777777" w:rsidR="001E1112" w:rsidRPr="00317ABF" w:rsidRDefault="001E1112" w:rsidP="00DB3BEC">
            <w:pPr>
              <w:jc w:val="both"/>
              <w:rPr>
                <w:sz w:val="22"/>
                <w:szCs w:val="22"/>
              </w:rPr>
            </w:pPr>
          </w:p>
          <w:p w14:paraId="08F3781B" w14:textId="77777777" w:rsidR="001E1112" w:rsidRPr="00317ABF" w:rsidRDefault="001E1112" w:rsidP="00DB3BEC">
            <w:pPr>
              <w:jc w:val="both"/>
              <w:rPr>
                <w:sz w:val="22"/>
                <w:szCs w:val="22"/>
              </w:rPr>
            </w:pPr>
          </w:p>
          <w:p w14:paraId="7F53576E" w14:textId="77777777" w:rsidR="001E1112" w:rsidRPr="00317ABF" w:rsidRDefault="001E1112" w:rsidP="00DB3BEC">
            <w:pPr>
              <w:jc w:val="both"/>
              <w:rPr>
                <w:sz w:val="22"/>
                <w:szCs w:val="22"/>
              </w:rPr>
            </w:pPr>
          </w:p>
          <w:p w14:paraId="3B4E1CEF" w14:textId="77777777" w:rsidR="001E1112" w:rsidRPr="00317ABF" w:rsidRDefault="001E1112" w:rsidP="00DB3BEC">
            <w:pPr>
              <w:jc w:val="both"/>
              <w:rPr>
                <w:sz w:val="22"/>
                <w:szCs w:val="22"/>
              </w:rPr>
            </w:pPr>
          </w:p>
          <w:p w14:paraId="3EB8CDF9" w14:textId="77777777" w:rsidR="001E1112" w:rsidRPr="00317ABF" w:rsidRDefault="001E1112" w:rsidP="00DB3BEC">
            <w:pPr>
              <w:jc w:val="both"/>
              <w:rPr>
                <w:sz w:val="22"/>
                <w:szCs w:val="22"/>
              </w:rPr>
            </w:pPr>
          </w:p>
          <w:p w14:paraId="52C2986E" w14:textId="77777777" w:rsidR="001E1112" w:rsidRPr="00317ABF" w:rsidRDefault="001E1112" w:rsidP="00DB3BEC">
            <w:pPr>
              <w:jc w:val="both"/>
              <w:rPr>
                <w:sz w:val="22"/>
                <w:szCs w:val="22"/>
              </w:rPr>
            </w:pPr>
          </w:p>
          <w:p w14:paraId="0E5E9F09" w14:textId="77777777" w:rsidR="001E1112" w:rsidRPr="00317ABF" w:rsidRDefault="001E1112" w:rsidP="00DB3BEC">
            <w:pPr>
              <w:jc w:val="both"/>
              <w:rPr>
                <w:sz w:val="22"/>
                <w:szCs w:val="22"/>
              </w:rPr>
            </w:pPr>
          </w:p>
          <w:p w14:paraId="5F07E566" w14:textId="77777777" w:rsidR="001E1112" w:rsidRPr="00317ABF" w:rsidRDefault="001E1112" w:rsidP="00DB3BEC">
            <w:pPr>
              <w:jc w:val="both"/>
              <w:rPr>
                <w:sz w:val="22"/>
                <w:szCs w:val="22"/>
              </w:rPr>
            </w:pPr>
          </w:p>
          <w:p w14:paraId="4CF85EAF" w14:textId="77777777" w:rsidR="001E1112" w:rsidRPr="00317ABF" w:rsidRDefault="001E1112" w:rsidP="00DB3BEC">
            <w:pPr>
              <w:jc w:val="both"/>
              <w:rPr>
                <w:sz w:val="22"/>
                <w:szCs w:val="22"/>
              </w:rPr>
            </w:pPr>
          </w:p>
          <w:p w14:paraId="6F55373D" w14:textId="77777777" w:rsidR="001E1112" w:rsidRPr="00317ABF" w:rsidRDefault="001E1112" w:rsidP="00DB3BEC">
            <w:pPr>
              <w:jc w:val="both"/>
              <w:rPr>
                <w:sz w:val="22"/>
                <w:szCs w:val="22"/>
              </w:rPr>
            </w:pPr>
          </w:p>
          <w:p w14:paraId="33350CEE" w14:textId="77777777" w:rsidR="001E1112" w:rsidRPr="00317ABF" w:rsidRDefault="001E1112" w:rsidP="00DB3BEC">
            <w:pPr>
              <w:jc w:val="both"/>
              <w:rPr>
                <w:sz w:val="22"/>
                <w:szCs w:val="22"/>
              </w:rPr>
            </w:pPr>
          </w:p>
          <w:p w14:paraId="153DE459" w14:textId="77777777" w:rsidR="001E1112" w:rsidRPr="00317ABF" w:rsidRDefault="001E1112" w:rsidP="00DB3BEC">
            <w:pPr>
              <w:jc w:val="both"/>
              <w:rPr>
                <w:sz w:val="22"/>
                <w:szCs w:val="22"/>
              </w:rPr>
            </w:pPr>
          </w:p>
          <w:p w14:paraId="026DF4AA" w14:textId="77777777" w:rsidR="001E1112" w:rsidRPr="00317ABF" w:rsidRDefault="001E1112" w:rsidP="00DB3BEC">
            <w:pPr>
              <w:jc w:val="both"/>
              <w:rPr>
                <w:sz w:val="22"/>
                <w:szCs w:val="22"/>
              </w:rPr>
            </w:pPr>
          </w:p>
          <w:p w14:paraId="4F4FD86D" w14:textId="77777777" w:rsidR="001E1112" w:rsidRPr="00317ABF" w:rsidRDefault="001E1112" w:rsidP="00DB3BEC">
            <w:pPr>
              <w:jc w:val="both"/>
              <w:rPr>
                <w:sz w:val="22"/>
                <w:szCs w:val="22"/>
              </w:rPr>
            </w:pPr>
          </w:p>
          <w:p w14:paraId="452EB00E" w14:textId="77777777" w:rsidR="001E1112" w:rsidRPr="00317ABF" w:rsidRDefault="001E1112" w:rsidP="00DB3BEC">
            <w:pPr>
              <w:jc w:val="both"/>
              <w:rPr>
                <w:sz w:val="22"/>
                <w:szCs w:val="22"/>
              </w:rPr>
            </w:pPr>
          </w:p>
          <w:p w14:paraId="2B24ED7E" w14:textId="77777777" w:rsidR="001E1112" w:rsidRPr="00317ABF" w:rsidRDefault="001E1112" w:rsidP="00DB3BEC">
            <w:pPr>
              <w:jc w:val="both"/>
              <w:rPr>
                <w:sz w:val="22"/>
                <w:szCs w:val="22"/>
              </w:rPr>
            </w:pPr>
          </w:p>
          <w:p w14:paraId="42B7BD89" w14:textId="77777777" w:rsidR="001E1112" w:rsidRPr="00317ABF" w:rsidRDefault="001E1112" w:rsidP="00DB3BEC">
            <w:pPr>
              <w:jc w:val="both"/>
              <w:rPr>
                <w:sz w:val="22"/>
                <w:szCs w:val="22"/>
              </w:rPr>
            </w:pPr>
          </w:p>
          <w:p w14:paraId="1DEF048B" w14:textId="77777777" w:rsidR="001E1112" w:rsidRPr="00317ABF" w:rsidRDefault="001E1112" w:rsidP="00DB3BEC">
            <w:pPr>
              <w:jc w:val="both"/>
              <w:rPr>
                <w:sz w:val="22"/>
                <w:szCs w:val="22"/>
              </w:rPr>
            </w:pPr>
          </w:p>
          <w:p w14:paraId="758DFED1" w14:textId="77777777" w:rsidR="001E1112" w:rsidRPr="00317ABF" w:rsidRDefault="001E1112" w:rsidP="00DB3BEC">
            <w:pPr>
              <w:jc w:val="both"/>
              <w:rPr>
                <w:sz w:val="22"/>
                <w:szCs w:val="22"/>
              </w:rPr>
            </w:pPr>
          </w:p>
          <w:p w14:paraId="63758C36" w14:textId="77777777" w:rsidR="001E1112" w:rsidRPr="00317ABF" w:rsidRDefault="001E1112" w:rsidP="00DB3BEC">
            <w:pPr>
              <w:jc w:val="both"/>
              <w:rPr>
                <w:sz w:val="22"/>
                <w:szCs w:val="22"/>
              </w:rPr>
            </w:pPr>
          </w:p>
          <w:p w14:paraId="4940DBA7" w14:textId="0692BFFA" w:rsidR="001E1112" w:rsidRPr="00317ABF" w:rsidRDefault="001E1112" w:rsidP="00DB3BEC">
            <w:pPr>
              <w:jc w:val="both"/>
              <w:rPr>
                <w:sz w:val="22"/>
                <w:szCs w:val="22"/>
              </w:rPr>
            </w:pPr>
          </w:p>
        </w:tc>
        <w:tc>
          <w:tcPr>
            <w:tcW w:w="910" w:type="dxa"/>
          </w:tcPr>
          <w:p w14:paraId="555EEC81" w14:textId="21D8F1D2" w:rsidR="001E1112" w:rsidRPr="00317ABF" w:rsidRDefault="001E1112" w:rsidP="006840F9">
            <w:pPr>
              <w:pStyle w:val="Tekstpodstawowy"/>
              <w:rPr>
                <w:b/>
                <w:noProof/>
                <w:sz w:val="22"/>
                <w:szCs w:val="22"/>
              </w:rPr>
            </w:pPr>
            <w:r w:rsidRPr="00317ABF">
              <w:rPr>
                <w:b/>
                <w:noProof/>
                <w:sz w:val="22"/>
                <w:szCs w:val="22"/>
              </w:rPr>
              <w:lastRenderedPageBreak/>
              <w:t xml:space="preserve">Art. </w:t>
            </w:r>
            <w:r w:rsidR="006840F9" w:rsidRPr="00317ABF">
              <w:rPr>
                <w:b/>
                <w:noProof/>
                <w:sz w:val="22"/>
                <w:szCs w:val="22"/>
              </w:rPr>
              <w:t>162 ust. 1-2</w:t>
            </w:r>
          </w:p>
        </w:tc>
        <w:tc>
          <w:tcPr>
            <w:tcW w:w="6814" w:type="dxa"/>
            <w:gridSpan w:val="2"/>
          </w:tcPr>
          <w:p w14:paraId="10E15B66" w14:textId="77777777" w:rsidR="006840F9" w:rsidRPr="00317ABF" w:rsidRDefault="006840F9" w:rsidP="006840F9">
            <w:pPr>
              <w:jc w:val="both"/>
              <w:rPr>
                <w:b/>
                <w:bCs/>
                <w:sz w:val="22"/>
                <w:szCs w:val="22"/>
              </w:rPr>
            </w:pPr>
            <w:r w:rsidRPr="00317ABF">
              <w:rPr>
                <w:b/>
                <w:bCs/>
                <w:sz w:val="22"/>
                <w:szCs w:val="22"/>
              </w:rPr>
              <w:t xml:space="preserve">Art. 162. </w:t>
            </w:r>
          </w:p>
          <w:p w14:paraId="28E7BF71" w14:textId="307C0BAE" w:rsidR="006840F9" w:rsidRPr="00317ABF" w:rsidRDefault="006840F9" w:rsidP="006840F9">
            <w:pPr>
              <w:jc w:val="both"/>
              <w:rPr>
                <w:bCs/>
                <w:sz w:val="22"/>
                <w:szCs w:val="22"/>
              </w:rPr>
            </w:pPr>
            <w:r w:rsidRPr="00317ABF">
              <w:rPr>
                <w:bCs/>
                <w:sz w:val="22"/>
                <w:szCs w:val="22"/>
              </w:rPr>
              <w:t>1. Minister właściwy do spraw informatyzacji określi, w drodze rozporządzenia, odrębnie dla każdej ze spraw:</w:t>
            </w:r>
          </w:p>
          <w:p w14:paraId="5DA81BA1" w14:textId="77777777" w:rsidR="006840F9" w:rsidRPr="00317ABF" w:rsidRDefault="006840F9" w:rsidP="006840F9">
            <w:pPr>
              <w:jc w:val="both"/>
              <w:rPr>
                <w:bCs/>
                <w:sz w:val="22"/>
                <w:szCs w:val="22"/>
              </w:rPr>
            </w:pPr>
            <w:bookmarkStart w:id="151" w:name="mip44758649"/>
            <w:bookmarkEnd w:id="151"/>
            <w:r w:rsidRPr="00317ABF">
              <w:rPr>
                <w:bCs/>
                <w:sz w:val="22"/>
                <w:szCs w:val="22"/>
              </w:rPr>
              <w:t xml:space="preserve">1) </w:t>
            </w:r>
            <w:r w:rsidRPr="00317ABF">
              <w:rPr>
                <w:bCs/>
                <w:sz w:val="22"/>
                <w:szCs w:val="22"/>
              </w:rPr>
              <w:tab/>
              <w:t xml:space="preserve">plan numeracji krajowej dla publicznych sieci telekomunikacyjnych określając w szczególności zakres planu oraz formaty numerów, w tym </w:t>
            </w:r>
            <w:r w:rsidRPr="00317ABF">
              <w:rPr>
                <w:bCs/>
                <w:sz w:val="22"/>
                <w:szCs w:val="22"/>
              </w:rPr>
              <w:lastRenderedPageBreak/>
              <w:t>numerów wykorzystywanych na potrzeby transgranicznego świadczenia na terenie Unii Europejskiej usług komunikacji elektronicznej innych niż usługi komunikacji interpersonalnej,</w:t>
            </w:r>
          </w:p>
          <w:p w14:paraId="1538D791" w14:textId="77777777" w:rsidR="006840F9" w:rsidRPr="00317ABF" w:rsidRDefault="006840F9" w:rsidP="006840F9">
            <w:pPr>
              <w:jc w:val="both"/>
              <w:rPr>
                <w:bCs/>
                <w:sz w:val="22"/>
                <w:szCs w:val="22"/>
              </w:rPr>
            </w:pPr>
            <w:r w:rsidRPr="00317ABF">
              <w:rPr>
                <w:bCs/>
                <w:sz w:val="22"/>
                <w:szCs w:val="22"/>
              </w:rPr>
              <w:t xml:space="preserve">2) </w:t>
            </w:r>
            <w:r w:rsidRPr="00317ABF">
              <w:rPr>
                <w:bCs/>
                <w:sz w:val="22"/>
                <w:szCs w:val="22"/>
              </w:rPr>
              <w:tab/>
              <w:t>szczegółowe wymagania dotyczące gospodarowania numeracją w sieciach telekomunikacyjnych</w:t>
            </w:r>
          </w:p>
          <w:p w14:paraId="40B2949E" w14:textId="77777777" w:rsidR="006840F9" w:rsidRPr="00317ABF" w:rsidRDefault="006840F9" w:rsidP="006840F9">
            <w:pPr>
              <w:jc w:val="both"/>
              <w:rPr>
                <w:bCs/>
                <w:sz w:val="22"/>
                <w:szCs w:val="22"/>
              </w:rPr>
            </w:pPr>
            <w:bookmarkStart w:id="152" w:name="mip44758651"/>
            <w:bookmarkEnd w:id="152"/>
            <w:r w:rsidRPr="00317ABF">
              <w:rPr>
                <w:bCs/>
                <w:sz w:val="22"/>
                <w:szCs w:val="22"/>
              </w:rPr>
              <w:t>- uwzględniając obecne i prognozowane potrzeby przedsiębiorców telekomunikacyjnych oraz użytkowników, w tym służb ustawowo powołanych do niesienia pomocy, ustalenia przepisów międzynarodowych, w szczególności dotyczące długoterminowych, ogólnoeuropejskich planów numeracji, a także wiążące Rzeczpospolitą Polską umowy międzynarodowe.</w:t>
            </w:r>
          </w:p>
          <w:p w14:paraId="1DFC3B0E" w14:textId="77777777" w:rsidR="006840F9" w:rsidRPr="00317ABF" w:rsidRDefault="006840F9" w:rsidP="006840F9">
            <w:pPr>
              <w:jc w:val="both"/>
              <w:rPr>
                <w:bCs/>
                <w:sz w:val="22"/>
                <w:szCs w:val="22"/>
              </w:rPr>
            </w:pPr>
            <w:r w:rsidRPr="00317ABF">
              <w:rPr>
                <w:bCs/>
                <w:sz w:val="22"/>
                <w:szCs w:val="22"/>
              </w:rPr>
              <w:t>2. Prezes UKE informuje BEREC o zakresie numeracji krajowej przeznaczonym na potrzeby transgranicznego świadczenia na terenie Unii Europejskiej usług komunikacji elektronicznej innych niż usługi komunikacji interpersonalnej.</w:t>
            </w:r>
          </w:p>
          <w:p w14:paraId="2C7777EF" w14:textId="77777777" w:rsidR="001E1112" w:rsidRPr="00317ABF" w:rsidRDefault="001E1112" w:rsidP="00DB3BEC">
            <w:pPr>
              <w:jc w:val="both"/>
              <w:rPr>
                <w:sz w:val="22"/>
                <w:szCs w:val="22"/>
              </w:rPr>
            </w:pPr>
          </w:p>
          <w:p w14:paraId="7E40C42B" w14:textId="77777777" w:rsidR="001E1112" w:rsidRPr="00317ABF" w:rsidRDefault="001E1112" w:rsidP="00DB3BEC">
            <w:pPr>
              <w:jc w:val="both"/>
              <w:rPr>
                <w:sz w:val="22"/>
                <w:szCs w:val="22"/>
              </w:rPr>
            </w:pPr>
          </w:p>
          <w:p w14:paraId="15B2AD3F" w14:textId="77777777" w:rsidR="001E1112" w:rsidRPr="00317ABF" w:rsidRDefault="001E1112" w:rsidP="00DB3BEC">
            <w:pPr>
              <w:jc w:val="both"/>
              <w:rPr>
                <w:sz w:val="22"/>
                <w:szCs w:val="22"/>
              </w:rPr>
            </w:pPr>
          </w:p>
          <w:p w14:paraId="02ACF4AD" w14:textId="77777777" w:rsidR="001E1112" w:rsidRPr="00317ABF" w:rsidRDefault="001E1112" w:rsidP="00DB3BEC">
            <w:pPr>
              <w:jc w:val="both"/>
              <w:rPr>
                <w:sz w:val="22"/>
                <w:szCs w:val="22"/>
              </w:rPr>
            </w:pPr>
          </w:p>
          <w:p w14:paraId="40333976" w14:textId="77777777" w:rsidR="001E1112" w:rsidRPr="00317ABF" w:rsidRDefault="001E1112" w:rsidP="00DB3BEC">
            <w:pPr>
              <w:jc w:val="both"/>
              <w:rPr>
                <w:sz w:val="22"/>
                <w:szCs w:val="22"/>
              </w:rPr>
            </w:pPr>
          </w:p>
          <w:p w14:paraId="08302895" w14:textId="77777777" w:rsidR="001E1112" w:rsidRPr="00317ABF" w:rsidRDefault="001E1112" w:rsidP="00DB3BEC">
            <w:pPr>
              <w:jc w:val="both"/>
              <w:rPr>
                <w:sz w:val="22"/>
                <w:szCs w:val="22"/>
              </w:rPr>
            </w:pPr>
          </w:p>
          <w:p w14:paraId="3A9195E6" w14:textId="77777777" w:rsidR="001E1112" w:rsidRPr="00317ABF" w:rsidRDefault="001E1112" w:rsidP="00DB3BEC">
            <w:pPr>
              <w:jc w:val="both"/>
              <w:rPr>
                <w:sz w:val="22"/>
                <w:szCs w:val="22"/>
              </w:rPr>
            </w:pPr>
          </w:p>
          <w:p w14:paraId="7E30741D" w14:textId="77777777" w:rsidR="001E1112" w:rsidRPr="00317ABF" w:rsidRDefault="001E1112" w:rsidP="00DB3BEC">
            <w:pPr>
              <w:jc w:val="both"/>
              <w:rPr>
                <w:sz w:val="22"/>
                <w:szCs w:val="22"/>
              </w:rPr>
            </w:pPr>
          </w:p>
          <w:p w14:paraId="23E37B64" w14:textId="77777777" w:rsidR="001E1112" w:rsidRPr="00317ABF" w:rsidRDefault="001E1112" w:rsidP="00DB3BEC">
            <w:pPr>
              <w:jc w:val="both"/>
              <w:rPr>
                <w:sz w:val="22"/>
                <w:szCs w:val="22"/>
              </w:rPr>
            </w:pPr>
          </w:p>
          <w:p w14:paraId="690172BC" w14:textId="77777777" w:rsidR="001E1112" w:rsidRPr="00317ABF" w:rsidRDefault="001E1112" w:rsidP="00DB3BEC">
            <w:pPr>
              <w:jc w:val="both"/>
              <w:rPr>
                <w:sz w:val="22"/>
                <w:szCs w:val="22"/>
              </w:rPr>
            </w:pPr>
          </w:p>
          <w:p w14:paraId="779B741B" w14:textId="77777777" w:rsidR="001E1112" w:rsidRPr="00317ABF" w:rsidRDefault="001E1112" w:rsidP="00DB3BEC">
            <w:pPr>
              <w:jc w:val="both"/>
              <w:rPr>
                <w:sz w:val="22"/>
                <w:szCs w:val="22"/>
              </w:rPr>
            </w:pPr>
          </w:p>
          <w:p w14:paraId="21C21989" w14:textId="77777777" w:rsidR="001E1112" w:rsidRPr="00317ABF" w:rsidRDefault="001E1112" w:rsidP="00DB3BEC">
            <w:pPr>
              <w:jc w:val="both"/>
              <w:rPr>
                <w:sz w:val="22"/>
                <w:szCs w:val="22"/>
              </w:rPr>
            </w:pPr>
          </w:p>
          <w:p w14:paraId="2E5A5BA3" w14:textId="77777777" w:rsidR="001E1112" w:rsidRPr="00317ABF" w:rsidRDefault="001E1112" w:rsidP="00DB3BEC">
            <w:pPr>
              <w:jc w:val="both"/>
              <w:rPr>
                <w:sz w:val="22"/>
                <w:szCs w:val="22"/>
              </w:rPr>
            </w:pPr>
          </w:p>
          <w:p w14:paraId="5B7A3EE6" w14:textId="77777777" w:rsidR="001E1112" w:rsidRPr="00317ABF" w:rsidRDefault="001E1112" w:rsidP="00DB3BEC">
            <w:pPr>
              <w:jc w:val="both"/>
              <w:rPr>
                <w:sz w:val="22"/>
                <w:szCs w:val="22"/>
              </w:rPr>
            </w:pPr>
          </w:p>
          <w:p w14:paraId="7BCBF0B7" w14:textId="77777777" w:rsidR="001E1112" w:rsidRPr="00317ABF" w:rsidRDefault="001E1112" w:rsidP="00DB3BEC">
            <w:pPr>
              <w:jc w:val="both"/>
              <w:rPr>
                <w:sz w:val="22"/>
                <w:szCs w:val="22"/>
              </w:rPr>
            </w:pPr>
          </w:p>
          <w:p w14:paraId="59DEA3A6" w14:textId="77777777" w:rsidR="001E1112" w:rsidRPr="00317ABF" w:rsidRDefault="001E1112" w:rsidP="00DB3BEC">
            <w:pPr>
              <w:jc w:val="both"/>
              <w:rPr>
                <w:sz w:val="22"/>
                <w:szCs w:val="22"/>
              </w:rPr>
            </w:pPr>
          </w:p>
          <w:p w14:paraId="4D390B38" w14:textId="77777777" w:rsidR="001E1112" w:rsidRPr="00317ABF" w:rsidRDefault="001E1112" w:rsidP="00DB3BEC">
            <w:pPr>
              <w:jc w:val="both"/>
              <w:rPr>
                <w:sz w:val="22"/>
                <w:szCs w:val="22"/>
              </w:rPr>
            </w:pPr>
          </w:p>
          <w:p w14:paraId="20703D1C" w14:textId="77777777" w:rsidR="001E1112" w:rsidRPr="00317ABF" w:rsidRDefault="001E1112" w:rsidP="00DB3BEC">
            <w:pPr>
              <w:jc w:val="both"/>
              <w:rPr>
                <w:sz w:val="22"/>
                <w:szCs w:val="22"/>
              </w:rPr>
            </w:pPr>
          </w:p>
          <w:p w14:paraId="0CE525E1" w14:textId="77777777" w:rsidR="001E1112" w:rsidRPr="00317ABF" w:rsidRDefault="001E1112" w:rsidP="00DB3BEC">
            <w:pPr>
              <w:jc w:val="both"/>
              <w:rPr>
                <w:sz w:val="22"/>
                <w:szCs w:val="22"/>
              </w:rPr>
            </w:pPr>
          </w:p>
          <w:p w14:paraId="4DEADFE3" w14:textId="77777777" w:rsidR="001E1112" w:rsidRPr="00317ABF" w:rsidRDefault="001E1112" w:rsidP="00DB3BEC">
            <w:pPr>
              <w:jc w:val="both"/>
              <w:rPr>
                <w:sz w:val="22"/>
                <w:szCs w:val="22"/>
              </w:rPr>
            </w:pPr>
          </w:p>
          <w:p w14:paraId="469BD551" w14:textId="77777777" w:rsidR="001E1112" w:rsidRPr="00317ABF" w:rsidRDefault="001E1112" w:rsidP="00DB3BEC">
            <w:pPr>
              <w:jc w:val="both"/>
              <w:rPr>
                <w:sz w:val="22"/>
                <w:szCs w:val="22"/>
              </w:rPr>
            </w:pPr>
          </w:p>
          <w:p w14:paraId="635353B3" w14:textId="77777777" w:rsidR="001E1112" w:rsidRPr="00317ABF" w:rsidRDefault="001E1112" w:rsidP="00DB3BEC">
            <w:pPr>
              <w:jc w:val="both"/>
              <w:rPr>
                <w:sz w:val="22"/>
                <w:szCs w:val="22"/>
              </w:rPr>
            </w:pPr>
          </w:p>
          <w:p w14:paraId="0EBEDA9D" w14:textId="77777777" w:rsidR="001E1112" w:rsidRPr="00317ABF" w:rsidRDefault="001E1112" w:rsidP="00DB3BEC">
            <w:pPr>
              <w:jc w:val="both"/>
              <w:rPr>
                <w:sz w:val="22"/>
                <w:szCs w:val="22"/>
              </w:rPr>
            </w:pPr>
          </w:p>
          <w:p w14:paraId="4AD571AE" w14:textId="77777777" w:rsidR="001E1112" w:rsidRPr="00317ABF" w:rsidRDefault="001E1112" w:rsidP="00DB3BEC">
            <w:pPr>
              <w:jc w:val="both"/>
              <w:rPr>
                <w:sz w:val="22"/>
                <w:szCs w:val="22"/>
              </w:rPr>
            </w:pPr>
          </w:p>
          <w:p w14:paraId="79770656" w14:textId="77777777" w:rsidR="001E1112" w:rsidRPr="00317ABF" w:rsidRDefault="001E1112" w:rsidP="00DB3BEC">
            <w:pPr>
              <w:jc w:val="both"/>
              <w:rPr>
                <w:sz w:val="22"/>
                <w:szCs w:val="22"/>
              </w:rPr>
            </w:pPr>
          </w:p>
          <w:p w14:paraId="663B012F" w14:textId="77777777" w:rsidR="001E1112" w:rsidRPr="00317ABF" w:rsidRDefault="001E1112" w:rsidP="00DB3BEC">
            <w:pPr>
              <w:jc w:val="both"/>
              <w:rPr>
                <w:sz w:val="22"/>
                <w:szCs w:val="22"/>
              </w:rPr>
            </w:pPr>
          </w:p>
          <w:p w14:paraId="00A9504E" w14:textId="77777777" w:rsidR="001E1112" w:rsidRPr="00317ABF" w:rsidRDefault="001E1112" w:rsidP="00DB3BEC">
            <w:pPr>
              <w:jc w:val="both"/>
              <w:rPr>
                <w:sz w:val="22"/>
                <w:szCs w:val="22"/>
              </w:rPr>
            </w:pPr>
          </w:p>
          <w:p w14:paraId="7A7A66D9" w14:textId="77777777" w:rsidR="001E1112" w:rsidRPr="00317ABF" w:rsidRDefault="001E1112" w:rsidP="00DB3BEC">
            <w:pPr>
              <w:jc w:val="both"/>
              <w:rPr>
                <w:sz w:val="22"/>
                <w:szCs w:val="22"/>
              </w:rPr>
            </w:pPr>
          </w:p>
          <w:p w14:paraId="44C87A9C" w14:textId="77777777" w:rsidR="001E1112" w:rsidRPr="00317ABF" w:rsidRDefault="001E1112" w:rsidP="00DB3BEC">
            <w:pPr>
              <w:jc w:val="both"/>
              <w:rPr>
                <w:sz w:val="22"/>
                <w:szCs w:val="22"/>
              </w:rPr>
            </w:pPr>
          </w:p>
          <w:p w14:paraId="5A1487B7" w14:textId="77777777" w:rsidR="001E1112" w:rsidRPr="00317ABF" w:rsidRDefault="001E1112" w:rsidP="00DB3BEC">
            <w:pPr>
              <w:jc w:val="both"/>
              <w:rPr>
                <w:sz w:val="22"/>
                <w:szCs w:val="22"/>
              </w:rPr>
            </w:pPr>
          </w:p>
          <w:p w14:paraId="60A75789" w14:textId="77777777" w:rsidR="001E1112" w:rsidRPr="00317ABF" w:rsidRDefault="001E1112" w:rsidP="00DB3BEC">
            <w:pPr>
              <w:jc w:val="both"/>
              <w:rPr>
                <w:sz w:val="22"/>
                <w:szCs w:val="22"/>
              </w:rPr>
            </w:pPr>
          </w:p>
          <w:p w14:paraId="0ED61DBB" w14:textId="77777777" w:rsidR="001E1112" w:rsidRPr="00317ABF" w:rsidRDefault="001E1112" w:rsidP="00DB3BEC">
            <w:pPr>
              <w:jc w:val="both"/>
              <w:rPr>
                <w:sz w:val="22"/>
                <w:szCs w:val="22"/>
              </w:rPr>
            </w:pPr>
          </w:p>
          <w:p w14:paraId="473F452E" w14:textId="77777777" w:rsidR="001E1112" w:rsidRPr="00317ABF" w:rsidRDefault="001E1112" w:rsidP="00DB3BEC">
            <w:pPr>
              <w:jc w:val="both"/>
              <w:rPr>
                <w:sz w:val="22"/>
                <w:szCs w:val="22"/>
              </w:rPr>
            </w:pPr>
          </w:p>
          <w:p w14:paraId="27891DF8" w14:textId="2944FB7D" w:rsidR="006840F9" w:rsidRPr="00317ABF" w:rsidRDefault="006840F9" w:rsidP="006840F9">
            <w:pPr>
              <w:jc w:val="both"/>
              <w:rPr>
                <w:sz w:val="22"/>
                <w:szCs w:val="22"/>
              </w:rPr>
            </w:pPr>
          </w:p>
          <w:p w14:paraId="77CC68CD" w14:textId="207F1F78" w:rsidR="001E1112" w:rsidRPr="00317ABF" w:rsidRDefault="001E1112" w:rsidP="00DB3BEC">
            <w:pPr>
              <w:jc w:val="both"/>
              <w:rPr>
                <w:sz w:val="22"/>
                <w:szCs w:val="22"/>
              </w:rPr>
            </w:pPr>
          </w:p>
        </w:tc>
      </w:tr>
      <w:tr w:rsidR="001E1112" w:rsidRPr="00317ABF" w14:paraId="2C4B4AEE" w14:textId="77777777" w:rsidTr="7753F98D">
        <w:trPr>
          <w:gridAfter w:val="2"/>
          <w:wAfter w:w="175" w:type="dxa"/>
        </w:trPr>
        <w:tc>
          <w:tcPr>
            <w:tcW w:w="704" w:type="dxa"/>
          </w:tcPr>
          <w:p w14:paraId="7308781B" w14:textId="524F7D1F" w:rsidR="001E1112" w:rsidRPr="00317ABF" w:rsidRDefault="001E1112" w:rsidP="00DB3BEC">
            <w:pPr>
              <w:jc w:val="both"/>
              <w:rPr>
                <w:sz w:val="22"/>
                <w:szCs w:val="22"/>
              </w:rPr>
            </w:pPr>
            <w:r w:rsidRPr="00317ABF">
              <w:rPr>
                <w:sz w:val="22"/>
                <w:szCs w:val="22"/>
              </w:rPr>
              <w:lastRenderedPageBreak/>
              <w:t>Art. 93 ust. 5</w:t>
            </w:r>
          </w:p>
        </w:tc>
        <w:tc>
          <w:tcPr>
            <w:tcW w:w="4308" w:type="dxa"/>
          </w:tcPr>
          <w:p w14:paraId="3FF0D676" w14:textId="77777777" w:rsidR="001E1112" w:rsidRPr="00317ABF" w:rsidRDefault="001E1112" w:rsidP="00DB3BEC">
            <w:pPr>
              <w:spacing w:before="120"/>
              <w:jc w:val="both"/>
              <w:rPr>
                <w:sz w:val="22"/>
                <w:szCs w:val="22"/>
              </w:rPr>
            </w:pPr>
            <w:r w:rsidRPr="00317ABF">
              <w:rPr>
                <w:sz w:val="22"/>
                <w:szCs w:val="22"/>
              </w:rPr>
              <w:t>5.   Państwa członkowskie zapewniają, aby kod „00” był standardowym prefiksem międzynarodowym. Możliwe jest przyjmowanie lub dalsze stosowanie szczególnych rozwiązań dotyczących wykorzystania usług łączności interpersonalnej wykorzystującej numery między sąsiadującymi ze sobą lokalizacjami, między którymi przebiega granica państw członkowskich.</w:t>
            </w:r>
          </w:p>
          <w:p w14:paraId="5BA633D5" w14:textId="77777777" w:rsidR="001E1112" w:rsidRPr="00317ABF" w:rsidRDefault="001E1112" w:rsidP="00DB3BEC">
            <w:pPr>
              <w:spacing w:before="120"/>
              <w:jc w:val="both"/>
              <w:rPr>
                <w:sz w:val="22"/>
                <w:szCs w:val="22"/>
              </w:rPr>
            </w:pPr>
          </w:p>
          <w:p w14:paraId="384A21DB" w14:textId="77777777" w:rsidR="001E1112" w:rsidRPr="00317ABF" w:rsidRDefault="001E1112" w:rsidP="00DB3BEC">
            <w:pPr>
              <w:spacing w:before="120"/>
              <w:jc w:val="both"/>
              <w:rPr>
                <w:sz w:val="22"/>
                <w:szCs w:val="22"/>
              </w:rPr>
            </w:pPr>
          </w:p>
          <w:p w14:paraId="4A64883B" w14:textId="77777777" w:rsidR="001E1112" w:rsidRPr="00317ABF" w:rsidRDefault="001E1112" w:rsidP="00DB3BEC">
            <w:pPr>
              <w:spacing w:before="120"/>
              <w:jc w:val="both"/>
              <w:rPr>
                <w:sz w:val="22"/>
                <w:szCs w:val="22"/>
              </w:rPr>
            </w:pPr>
          </w:p>
          <w:p w14:paraId="0DCB1EAC" w14:textId="77777777" w:rsidR="001E1112" w:rsidRPr="00317ABF" w:rsidRDefault="001E1112" w:rsidP="00DB3BEC">
            <w:pPr>
              <w:spacing w:before="120"/>
              <w:jc w:val="both"/>
              <w:rPr>
                <w:sz w:val="22"/>
                <w:szCs w:val="22"/>
              </w:rPr>
            </w:pPr>
          </w:p>
          <w:p w14:paraId="44645ACA" w14:textId="77777777" w:rsidR="001E1112" w:rsidRPr="00317ABF" w:rsidRDefault="001E1112" w:rsidP="00DB3BEC">
            <w:pPr>
              <w:spacing w:before="120"/>
              <w:jc w:val="both"/>
              <w:rPr>
                <w:sz w:val="22"/>
                <w:szCs w:val="22"/>
              </w:rPr>
            </w:pPr>
          </w:p>
          <w:p w14:paraId="58FBDAF6" w14:textId="77777777" w:rsidR="001E1112" w:rsidRPr="00317ABF" w:rsidRDefault="001E1112" w:rsidP="00DB3BEC">
            <w:pPr>
              <w:spacing w:before="120"/>
              <w:jc w:val="both"/>
              <w:rPr>
                <w:sz w:val="22"/>
                <w:szCs w:val="22"/>
              </w:rPr>
            </w:pPr>
          </w:p>
          <w:p w14:paraId="30B51A91" w14:textId="78F59B43" w:rsidR="001E1112" w:rsidRPr="00317ABF" w:rsidRDefault="001E1112" w:rsidP="00DB3BEC">
            <w:pPr>
              <w:spacing w:before="120"/>
              <w:jc w:val="both"/>
              <w:rPr>
                <w:sz w:val="22"/>
                <w:szCs w:val="22"/>
              </w:rPr>
            </w:pPr>
            <w:r w:rsidRPr="00317ABF">
              <w:rPr>
                <w:sz w:val="22"/>
                <w:szCs w:val="22"/>
              </w:rPr>
              <w:t>Państwa członkowskie mogą wyrazić zgodę na współużytkowanie wspólnego planu numeracji dla wszystkich lub określonych kategorii numerów.</w:t>
            </w:r>
            <w:r w:rsidR="00294509" w:rsidRPr="00317ABF">
              <w:rPr>
                <w:sz w:val="22"/>
                <w:szCs w:val="22"/>
              </w:rPr>
              <w:t xml:space="preserve"> </w:t>
            </w:r>
            <w:r w:rsidRPr="00317ABF">
              <w:rPr>
                <w:sz w:val="22"/>
                <w:szCs w:val="22"/>
              </w:rPr>
              <w:t>Użytkownicy końcowi dotknięci tymi rozwiązaniami i porozumieniami otrzymują pełne informacje o takich rozwiązaniach lub porozumieniach.</w:t>
            </w:r>
          </w:p>
        </w:tc>
        <w:tc>
          <w:tcPr>
            <w:tcW w:w="986" w:type="dxa"/>
          </w:tcPr>
          <w:p w14:paraId="534BAD6A" w14:textId="77777777" w:rsidR="001E1112" w:rsidRPr="00317ABF" w:rsidRDefault="001E1112" w:rsidP="00DB3BEC">
            <w:pPr>
              <w:jc w:val="both"/>
              <w:rPr>
                <w:sz w:val="22"/>
                <w:szCs w:val="22"/>
              </w:rPr>
            </w:pPr>
            <w:r w:rsidRPr="00317ABF">
              <w:rPr>
                <w:sz w:val="22"/>
                <w:szCs w:val="22"/>
              </w:rPr>
              <w:lastRenderedPageBreak/>
              <w:t>T</w:t>
            </w:r>
          </w:p>
          <w:p w14:paraId="10656B35" w14:textId="77777777" w:rsidR="001E1112" w:rsidRPr="00317ABF" w:rsidRDefault="001E1112" w:rsidP="00DB3BEC">
            <w:pPr>
              <w:jc w:val="both"/>
              <w:rPr>
                <w:sz w:val="22"/>
                <w:szCs w:val="22"/>
              </w:rPr>
            </w:pPr>
          </w:p>
          <w:p w14:paraId="1DCE7C9D" w14:textId="77777777" w:rsidR="001E1112" w:rsidRPr="00317ABF" w:rsidRDefault="001E1112" w:rsidP="00DB3BEC">
            <w:pPr>
              <w:jc w:val="both"/>
              <w:rPr>
                <w:sz w:val="22"/>
                <w:szCs w:val="22"/>
              </w:rPr>
            </w:pPr>
          </w:p>
          <w:p w14:paraId="158F5AE5" w14:textId="77777777" w:rsidR="001E1112" w:rsidRPr="00317ABF" w:rsidRDefault="001E1112" w:rsidP="00DB3BEC">
            <w:pPr>
              <w:jc w:val="both"/>
              <w:rPr>
                <w:sz w:val="22"/>
                <w:szCs w:val="22"/>
              </w:rPr>
            </w:pPr>
          </w:p>
          <w:p w14:paraId="379EBE16" w14:textId="77777777" w:rsidR="001E1112" w:rsidRPr="00317ABF" w:rsidRDefault="001E1112" w:rsidP="00DB3BEC">
            <w:pPr>
              <w:jc w:val="both"/>
              <w:rPr>
                <w:sz w:val="22"/>
                <w:szCs w:val="22"/>
              </w:rPr>
            </w:pPr>
          </w:p>
          <w:p w14:paraId="5FEF22FD" w14:textId="77777777" w:rsidR="001E1112" w:rsidRPr="00317ABF" w:rsidRDefault="001E1112" w:rsidP="00DB3BEC">
            <w:pPr>
              <w:jc w:val="both"/>
              <w:rPr>
                <w:sz w:val="22"/>
                <w:szCs w:val="22"/>
              </w:rPr>
            </w:pPr>
          </w:p>
          <w:p w14:paraId="741E2B4F" w14:textId="77777777" w:rsidR="001E1112" w:rsidRPr="00317ABF" w:rsidRDefault="001E1112" w:rsidP="00DB3BEC">
            <w:pPr>
              <w:jc w:val="both"/>
              <w:rPr>
                <w:sz w:val="22"/>
                <w:szCs w:val="22"/>
              </w:rPr>
            </w:pPr>
          </w:p>
          <w:p w14:paraId="44706904" w14:textId="77777777" w:rsidR="001E1112" w:rsidRPr="00317ABF" w:rsidRDefault="001E1112" w:rsidP="00DB3BEC">
            <w:pPr>
              <w:jc w:val="both"/>
              <w:rPr>
                <w:sz w:val="22"/>
                <w:szCs w:val="22"/>
              </w:rPr>
            </w:pPr>
          </w:p>
          <w:p w14:paraId="277986E9" w14:textId="77777777" w:rsidR="001E1112" w:rsidRPr="00317ABF" w:rsidRDefault="001E1112" w:rsidP="00DB3BEC">
            <w:pPr>
              <w:jc w:val="both"/>
              <w:rPr>
                <w:sz w:val="22"/>
                <w:szCs w:val="22"/>
              </w:rPr>
            </w:pPr>
          </w:p>
          <w:p w14:paraId="7C3964EB" w14:textId="77777777" w:rsidR="001E1112" w:rsidRPr="00317ABF" w:rsidRDefault="001E1112" w:rsidP="00DB3BEC">
            <w:pPr>
              <w:jc w:val="both"/>
              <w:rPr>
                <w:sz w:val="22"/>
                <w:szCs w:val="22"/>
              </w:rPr>
            </w:pPr>
          </w:p>
          <w:p w14:paraId="40E18821" w14:textId="77777777" w:rsidR="001E1112" w:rsidRPr="00317ABF" w:rsidRDefault="001E1112" w:rsidP="00DB3BEC">
            <w:pPr>
              <w:jc w:val="both"/>
              <w:rPr>
                <w:sz w:val="22"/>
                <w:szCs w:val="22"/>
              </w:rPr>
            </w:pPr>
          </w:p>
          <w:p w14:paraId="27301E1A" w14:textId="77777777" w:rsidR="001E1112" w:rsidRPr="00317ABF" w:rsidRDefault="001E1112" w:rsidP="00DB3BEC">
            <w:pPr>
              <w:jc w:val="both"/>
              <w:rPr>
                <w:sz w:val="22"/>
                <w:szCs w:val="22"/>
              </w:rPr>
            </w:pPr>
          </w:p>
          <w:p w14:paraId="7BFF8330" w14:textId="77777777" w:rsidR="001E1112" w:rsidRPr="00317ABF" w:rsidRDefault="001E1112" w:rsidP="00DB3BEC">
            <w:pPr>
              <w:jc w:val="both"/>
              <w:rPr>
                <w:sz w:val="22"/>
                <w:szCs w:val="22"/>
              </w:rPr>
            </w:pPr>
          </w:p>
          <w:p w14:paraId="1458CE0A" w14:textId="77777777" w:rsidR="001E1112" w:rsidRPr="00317ABF" w:rsidRDefault="001E1112" w:rsidP="00DB3BEC">
            <w:pPr>
              <w:jc w:val="both"/>
              <w:rPr>
                <w:sz w:val="22"/>
                <w:szCs w:val="22"/>
              </w:rPr>
            </w:pPr>
          </w:p>
          <w:p w14:paraId="2DE50404" w14:textId="77777777" w:rsidR="001E1112" w:rsidRPr="00317ABF" w:rsidRDefault="001E1112" w:rsidP="00DB3BEC">
            <w:pPr>
              <w:jc w:val="both"/>
              <w:rPr>
                <w:sz w:val="22"/>
                <w:szCs w:val="22"/>
              </w:rPr>
            </w:pPr>
          </w:p>
          <w:p w14:paraId="45D7D1A3" w14:textId="77777777" w:rsidR="001E1112" w:rsidRPr="00317ABF" w:rsidRDefault="001E1112" w:rsidP="00DB3BEC">
            <w:pPr>
              <w:jc w:val="both"/>
              <w:rPr>
                <w:sz w:val="22"/>
                <w:szCs w:val="22"/>
              </w:rPr>
            </w:pPr>
          </w:p>
          <w:p w14:paraId="03923F4C" w14:textId="77777777" w:rsidR="001E1112" w:rsidRPr="00317ABF" w:rsidRDefault="001E1112" w:rsidP="00DB3BEC">
            <w:pPr>
              <w:jc w:val="both"/>
              <w:rPr>
                <w:sz w:val="22"/>
                <w:szCs w:val="22"/>
              </w:rPr>
            </w:pPr>
          </w:p>
          <w:p w14:paraId="1C92FB5D" w14:textId="77777777" w:rsidR="001E1112" w:rsidRPr="00317ABF" w:rsidRDefault="001E1112" w:rsidP="00DB3BEC">
            <w:pPr>
              <w:jc w:val="both"/>
              <w:rPr>
                <w:sz w:val="22"/>
                <w:szCs w:val="22"/>
              </w:rPr>
            </w:pPr>
          </w:p>
          <w:p w14:paraId="4DC1CD77" w14:textId="77777777" w:rsidR="001E1112" w:rsidRPr="00317ABF" w:rsidRDefault="001E1112" w:rsidP="00DB3BEC">
            <w:pPr>
              <w:jc w:val="both"/>
              <w:rPr>
                <w:sz w:val="22"/>
                <w:szCs w:val="22"/>
              </w:rPr>
            </w:pPr>
          </w:p>
          <w:p w14:paraId="1EF42E4A" w14:textId="77777777" w:rsidR="001E1112" w:rsidRPr="00317ABF" w:rsidRDefault="001E1112" w:rsidP="00DB3BEC">
            <w:pPr>
              <w:jc w:val="both"/>
              <w:rPr>
                <w:sz w:val="22"/>
                <w:szCs w:val="22"/>
              </w:rPr>
            </w:pPr>
          </w:p>
          <w:p w14:paraId="655FA1EE" w14:textId="77777777" w:rsidR="001E1112" w:rsidRPr="00317ABF" w:rsidRDefault="001E1112" w:rsidP="00DB3BEC">
            <w:pPr>
              <w:jc w:val="both"/>
              <w:rPr>
                <w:sz w:val="22"/>
                <w:szCs w:val="22"/>
              </w:rPr>
            </w:pPr>
          </w:p>
          <w:p w14:paraId="2E8FEA25" w14:textId="20D414C9" w:rsidR="001E1112" w:rsidRPr="00317ABF" w:rsidRDefault="001E1112" w:rsidP="00DB3BEC">
            <w:pPr>
              <w:jc w:val="both"/>
              <w:rPr>
                <w:sz w:val="22"/>
                <w:szCs w:val="22"/>
              </w:rPr>
            </w:pPr>
            <w:r w:rsidRPr="00317ABF">
              <w:rPr>
                <w:sz w:val="22"/>
                <w:szCs w:val="22"/>
              </w:rPr>
              <w:t>N</w:t>
            </w:r>
          </w:p>
        </w:tc>
        <w:tc>
          <w:tcPr>
            <w:tcW w:w="910" w:type="dxa"/>
          </w:tcPr>
          <w:p w14:paraId="0E014472" w14:textId="78DD44D2" w:rsidR="001E1112" w:rsidRPr="00317ABF" w:rsidRDefault="001E1112" w:rsidP="00DB3BEC">
            <w:pPr>
              <w:pStyle w:val="Tekstpodstawowy"/>
              <w:rPr>
                <w:b/>
                <w:noProof/>
                <w:sz w:val="22"/>
                <w:szCs w:val="22"/>
              </w:rPr>
            </w:pPr>
            <w:r w:rsidRPr="00317ABF">
              <w:rPr>
                <w:b/>
                <w:noProof/>
                <w:sz w:val="22"/>
                <w:szCs w:val="22"/>
              </w:rPr>
              <w:lastRenderedPageBreak/>
              <w:t xml:space="preserve">Art. 142 ust. 1 pkt 1 (prefix 00 wskazany jest w rozporządzeniu wydanym na podstawie tej </w:t>
            </w:r>
            <w:r w:rsidRPr="00317ABF">
              <w:rPr>
                <w:b/>
                <w:noProof/>
                <w:sz w:val="22"/>
                <w:szCs w:val="22"/>
              </w:rPr>
              <w:lastRenderedPageBreak/>
              <w:t>delegacji ustawowej)</w:t>
            </w:r>
          </w:p>
        </w:tc>
        <w:tc>
          <w:tcPr>
            <w:tcW w:w="6814" w:type="dxa"/>
            <w:gridSpan w:val="2"/>
          </w:tcPr>
          <w:p w14:paraId="351E82C4" w14:textId="77777777" w:rsidR="006840F9" w:rsidRPr="00317ABF" w:rsidRDefault="006840F9" w:rsidP="006840F9">
            <w:pPr>
              <w:jc w:val="both"/>
              <w:rPr>
                <w:b/>
                <w:bCs/>
                <w:sz w:val="22"/>
                <w:szCs w:val="22"/>
              </w:rPr>
            </w:pPr>
            <w:r w:rsidRPr="00317ABF">
              <w:rPr>
                <w:b/>
                <w:bCs/>
                <w:sz w:val="22"/>
                <w:szCs w:val="22"/>
              </w:rPr>
              <w:lastRenderedPageBreak/>
              <w:t xml:space="preserve">Art. 162. </w:t>
            </w:r>
          </w:p>
          <w:p w14:paraId="6E8B6C5F" w14:textId="77777777" w:rsidR="006840F9" w:rsidRPr="00317ABF" w:rsidRDefault="006840F9" w:rsidP="006840F9">
            <w:pPr>
              <w:jc w:val="both"/>
              <w:rPr>
                <w:bCs/>
                <w:sz w:val="22"/>
                <w:szCs w:val="22"/>
              </w:rPr>
            </w:pPr>
            <w:r w:rsidRPr="00317ABF">
              <w:rPr>
                <w:bCs/>
                <w:sz w:val="22"/>
                <w:szCs w:val="22"/>
              </w:rPr>
              <w:t>1. Minister właściwy do spraw informatyzacji określi, w drodze rozporządzenia, odrębnie dla każdej ze spraw:</w:t>
            </w:r>
          </w:p>
          <w:p w14:paraId="75C96A2D" w14:textId="77777777" w:rsidR="006840F9" w:rsidRPr="00317ABF" w:rsidRDefault="006840F9" w:rsidP="006840F9">
            <w:pPr>
              <w:jc w:val="both"/>
              <w:rPr>
                <w:bCs/>
                <w:sz w:val="22"/>
                <w:szCs w:val="22"/>
              </w:rPr>
            </w:pPr>
            <w:r w:rsidRPr="00317ABF">
              <w:rPr>
                <w:bCs/>
                <w:sz w:val="22"/>
                <w:szCs w:val="22"/>
              </w:rPr>
              <w:t xml:space="preserve">1) </w:t>
            </w:r>
            <w:r w:rsidRPr="00317ABF">
              <w:rPr>
                <w:bCs/>
                <w:sz w:val="22"/>
                <w:szCs w:val="22"/>
              </w:rPr>
              <w:tab/>
              <w:t>plan numeracji krajowej dla publicznych sieci telekomunikacyjnych określając w szczególności zakres planu oraz formaty numerów, w tym numerów wykorzystywanych na potrzeby transgranicznego świadczenia na terenie Unii Europejskiej usług komunikacji elektronicznej innych niż usługi komunikacji interpersonalnej,</w:t>
            </w:r>
          </w:p>
          <w:p w14:paraId="4AFB2F51" w14:textId="6853A016" w:rsidR="006840F9" w:rsidRPr="00317ABF" w:rsidRDefault="006840F9" w:rsidP="006840F9">
            <w:pPr>
              <w:jc w:val="both"/>
              <w:rPr>
                <w:bCs/>
                <w:sz w:val="22"/>
                <w:szCs w:val="22"/>
              </w:rPr>
            </w:pPr>
            <w:r w:rsidRPr="00317ABF">
              <w:rPr>
                <w:bCs/>
                <w:sz w:val="22"/>
                <w:szCs w:val="22"/>
              </w:rPr>
              <w:t xml:space="preserve">2) </w:t>
            </w:r>
            <w:r w:rsidRPr="00317ABF">
              <w:rPr>
                <w:bCs/>
                <w:sz w:val="22"/>
                <w:szCs w:val="22"/>
              </w:rPr>
              <w:tab/>
              <w:t>(…)</w:t>
            </w:r>
          </w:p>
          <w:p w14:paraId="215310B7" w14:textId="77777777" w:rsidR="006840F9" w:rsidRPr="00317ABF" w:rsidRDefault="006840F9" w:rsidP="006840F9">
            <w:pPr>
              <w:jc w:val="both"/>
              <w:rPr>
                <w:bCs/>
                <w:sz w:val="22"/>
                <w:szCs w:val="22"/>
              </w:rPr>
            </w:pPr>
            <w:r w:rsidRPr="00317ABF">
              <w:rPr>
                <w:bCs/>
                <w:sz w:val="22"/>
                <w:szCs w:val="22"/>
              </w:rPr>
              <w:t>- uwzględniając obecne i prognozowane potrzeby przedsiębiorców telekomunikacyjnych oraz użytkowników, w tym służb ustawowo powołanych do niesienia pomocy, ustalenia przepisów międzynarodowych, w szczególności dotyczące długoterminowych, ogólnoeuropejskich planów numeracji, a także wiążące Rzeczpospolitą Polską umowy międzynarodowe.</w:t>
            </w:r>
          </w:p>
          <w:p w14:paraId="01526071" w14:textId="3C47D88B" w:rsidR="00294509" w:rsidRPr="00317ABF" w:rsidRDefault="00294509" w:rsidP="006840F9">
            <w:pPr>
              <w:jc w:val="both"/>
              <w:rPr>
                <w:bCs/>
                <w:sz w:val="22"/>
                <w:szCs w:val="22"/>
              </w:rPr>
            </w:pPr>
          </w:p>
          <w:p w14:paraId="2201DB54" w14:textId="77777777" w:rsidR="00294509" w:rsidRPr="00317ABF" w:rsidRDefault="00294509" w:rsidP="006840F9">
            <w:pPr>
              <w:jc w:val="both"/>
              <w:rPr>
                <w:bCs/>
                <w:sz w:val="22"/>
                <w:szCs w:val="22"/>
              </w:rPr>
            </w:pPr>
          </w:p>
          <w:p w14:paraId="06459C01" w14:textId="77777777" w:rsidR="00294509" w:rsidRPr="00317ABF" w:rsidRDefault="00294509" w:rsidP="006840F9">
            <w:pPr>
              <w:jc w:val="both"/>
              <w:rPr>
                <w:bCs/>
                <w:sz w:val="22"/>
                <w:szCs w:val="22"/>
              </w:rPr>
            </w:pPr>
          </w:p>
          <w:p w14:paraId="1F19D3A9" w14:textId="77777777" w:rsidR="00294509" w:rsidRPr="00317ABF" w:rsidRDefault="00294509" w:rsidP="006840F9">
            <w:pPr>
              <w:jc w:val="both"/>
              <w:rPr>
                <w:bCs/>
                <w:sz w:val="22"/>
                <w:szCs w:val="22"/>
              </w:rPr>
            </w:pPr>
          </w:p>
          <w:p w14:paraId="02973155" w14:textId="77777777" w:rsidR="00294509" w:rsidRPr="00317ABF" w:rsidRDefault="00294509" w:rsidP="006840F9">
            <w:pPr>
              <w:jc w:val="both"/>
              <w:rPr>
                <w:bCs/>
                <w:sz w:val="22"/>
                <w:szCs w:val="22"/>
              </w:rPr>
            </w:pPr>
          </w:p>
          <w:p w14:paraId="61DBBAF9" w14:textId="77777777" w:rsidR="00294509" w:rsidRPr="00317ABF" w:rsidRDefault="00294509" w:rsidP="006840F9">
            <w:pPr>
              <w:jc w:val="both"/>
              <w:rPr>
                <w:bCs/>
                <w:sz w:val="22"/>
                <w:szCs w:val="22"/>
              </w:rPr>
            </w:pPr>
          </w:p>
          <w:p w14:paraId="1FD9A609" w14:textId="5D2C5245" w:rsidR="00294509" w:rsidRPr="00317ABF" w:rsidRDefault="00294509" w:rsidP="006840F9">
            <w:pPr>
              <w:jc w:val="both"/>
              <w:rPr>
                <w:bCs/>
                <w:sz w:val="22"/>
                <w:szCs w:val="22"/>
              </w:rPr>
            </w:pPr>
            <w:r w:rsidRPr="00317ABF">
              <w:rPr>
                <w:bCs/>
                <w:sz w:val="22"/>
                <w:szCs w:val="22"/>
              </w:rPr>
              <w:t>Przepis o charakterze fakultatywnym.</w:t>
            </w:r>
          </w:p>
          <w:p w14:paraId="72B58F17" w14:textId="77777777" w:rsidR="001E1112" w:rsidRPr="00317ABF" w:rsidRDefault="001E1112" w:rsidP="00DB3BEC">
            <w:pPr>
              <w:jc w:val="both"/>
              <w:rPr>
                <w:sz w:val="22"/>
                <w:szCs w:val="22"/>
              </w:rPr>
            </w:pPr>
          </w:p>
          <w:p w14:paraId="73EAA54B" w14:textId="77777777" w:rsidR="001E1112" w:rsidRPr="00317ABF" w:rsidRDefault="001E1112" w:rsidP="00DB3BEC">
            <w:pPr>
              <w:jc w:val="both"/>
              <w:rPr>
                <w:sz w:val="22"/>
                <w:szCs w:val="22"/>
              </w:rPr>
            </w:pPr>
          </w:p>
        </w:tc>
      </w:tr>
      <w:tr w:rsidR="001E1112" w:rsidRPr="00317ABF" w14:paraId="276167D2" w14:textId="77777777" w:rsidTr="7753F98D">
        <w:trPr>
          <w:gridAfter w:val="2"/>
          <w:wAfter w:w="175" w:type="dxa"/>
        </w:trPr>
        <w:tc>
          <w:tcPr>
            <w:tcW w:w="704" w:type="dxa"/>
          </w:tcPr>
          <w:p w14:paraId="630490CB" w14:textId="77777777" w:rsidR="001E1112" w:rsidRPr="00317ABF" w:rsidRDefault="001E1112" w:rsidP="00DB3BEC">
            <w:pPr>
              <w:jc w:val="both"/>
              <w:rPr>
                <w:sz w:val="22"/>
                <w:szCs w:val="22"/>
              </w:rPr>
            </w:pPr>
            <w:r w:rsidRPr="00317ABF">
              <w:rPr>
                <w:sz w:val="22"/>
                <w:szCs w:val="22"/>
              </w:rPr>
              <w:lastRenderedPageBreak/>
              <w:t>Art. 93 ust. 6</w:t>
            </w:r>
          </w:p>
        </w:tc>
        <w:tc>
          <w:tcPr>
            <w:tcW w:w="4308" w:type="dxa"/>
          </w:tcPr>
          <w:p w14:paraId="00F06CF3" w14:textId="77777777" w:rsidR="001E1112" w:rsidRPr="00317ABF" w:rsidRDefault="001E1112" w:rsidP="00DB3BEC">
            <w:pPr>
              <w:spacing w:before="120"/>
              <w:jc w:val="both"/>
              <w:rPr>
                <w:sz w:val="22"/>
                <w:szCs w:val="22"/>
              </w:rPr>
            </w:pPr>
            <w:r w:rsidRPr="00317ABF">
              <w:rPr>
                <w:sz w:val="22"/>
                <w:szCs w:val="22"/>
              </w:rPr>
              <w:t>6.   Bez uszczerbku dla art. 106 państwa członkowskie promują przydzielanie zdalne, w miarę możliwości technicznych, aby ułatwić zmianę dostawców sieci lub usług łączności elektronicznej przez użytkowników końcowych, zwłaszcza dostawców i użytkowników końcowych usług łączności maszyna–maszyna.</w:t>
            </w:r>
          </w:p>
        </w:tc>
        <w:tc>
          <w:tcPr>
            <w:tcW w:w="986" w:type="dxa"/>
          </w:tcPr>
          <w:p w14:paraId="5510DC60" w14:textId="6420D8AA" w:rsidR="001E1112" w:rsidRPr="00317ABF" w:rsidRDefault="00D44953" w:rsidP="00DB3BEC">
            <w:pPr>
              <w:jc w:val="both"/>
              <w:rPr>
                <w:sz w:val="22"/>
                <w:szCs w:val="22"/>
              </w:rPr>
            </w:pPr>
            <w:r w:rsidRPr="00317ABF">
              <w:rPr>
                <w:sz w:val="22"/>
                <w:szCs w:val="22"/>
              </w:rPr>
              <w:t>T</w:t>
            </w:r>
          </w:p>
        </w:tc>
        <w:tc>
          <w:tcPr>
            <w:tcW w:w="910" w:type="dxa"/>
          </w:tcPr>
          <w:p w14:paraId="66AB74D2" w14:textId="77777777" w:rsidR="001E1112" w:rsidRPr="00317ABF" w:rsidRDefault="001E1112" w:rsidP="00DB3BEC">
            <w:pPr>
              <w:pStyle w:val="Tekstpodstawowy"/>
              <w:rPr>
                <w:b/>
                <w:noProof/>
                <w:sz w:val="22"/>
                <w:szCs w:val="22"/>
              </w:rPr>
            </w:pPr>
          </w:p>
        </w:tc>
        <w:tc>
          <w:tcPr>
            <w:tcW w:w="6814" w:type="dxa"/>
            <w:gridSpan w:val="2"/>
          </w:tcPr>
          <w:p w14:paraId="31F90C56" w14:textId="0ECC1F87" w:rsidR="001E1112" w:rsidRPr="00317ABF" w:rsidRDefault="00D44953" w:rsidP="00D44953">
            <w:pPr>
              <w:pStyle w:val="Tekstpodstawowy"/>
              <w:rPr>
                <w:sz w:val="22"/>
                <w:szCs w:val="22"/>
              </w:rPr>
            </w:pPr>
            <w:r w:rsidRPr="00317ABF">
              <w:rPr>
                <w:sz w:val="22"/>
                <w:szCs w:val="22"/>
              </w:rPr>
              <w:t>Realizacja tego warunku wynika z ogółu przepisów dotyczących gospodarowania numeracją, w tym aktów wykonawczych.</w:t>
            </w:r>
          </w:p>
        </w:tc>
      </w:tr>
      <w:tr w:rsidR="001E1112" w:rsidRPr="00317ABF" w14:paraId="0D02D2D9" w14:textId="77777777" w:rsidTr="7753F98D">
        <w:trPr>
          <w:gridAfter w:val="2"/>
          <w:wAfter w:w="175" w:type="dxa"/>
        </w:trPr>
        <w:tc>
          <w:tcPr>
            <w:tcW w:w="704" w:type="dxa"/>
          </w:tcPr>
          <w:p w14:paraId="62BCFE46" w14:textId="77777777" w:rsidR="001E1112" w:rsidRPr="00317ABF" w:rsidRDefault="001E1112" w:rsidP="00DB3BEC">
            <w:pPr>
              <w:jc w:val="both"/>
              <w:rPr>
                <w:sz w:val="22"/>
                <w:szCs w:val="22"/>
              </w:rPr>
            </w:pPr>
            <w:r w:rsidRPr="00317ABF">
              <w:rPr>
                <w:sz w:val="22"/>
                <w:szCs w:val="22"/>
              </w:rPr>
              <w:t>Art. 93 ust. 7</w:t>
            </w:r>
          </w:p>
        </w:tc>
        <w:tc>
          <w:tcPr>
            <w:tcW w:w="4308" w:type="dxa"/>
          </w:tcPr>
          <w:p w14:paraId="3F324C52" w14:textId="77777777" w:rsidR="001E1112" w:rsidRPr="00317ABF" w:rsidRDefault="001E1112" w:rsidP="00DB3BEC">
            <w:pPr>
              <w:spacing w:before="120"/>
              <w:jc w:val="both"/>
              <w:rPr>
                <w:sz w:val="22"/>
                <w:szCs w:val="22"/>
              </w:rPr>
            </w:pPr>
            <w:r w:rsidRPr="00317ABF">
              <w:rPr>
                <w:sz w:val="22"/>
                <w:szCs w:val="22"/>
              </w:rPr>
              <w:t>7.   Państwa członkowskie zapewniają, by krajowe plany numeracji oraz wszelkie kolejne uzupełnienia czy zmiany tych planów były publikowane przy zastosowaniu jedynie tych ograniczeń, które zostały nałożone ze względu na bezpieczeństwo narodowe.</w:t>
            </w:r>
          </w:p>
        </w:tc>
        <w:tc>
          <w:tcPr>
            <w:tcW w:w="986" w:type="dxa"/>
          </w:tcPr>
          <w:p w14:paraId="7C8647D3" w14:textId="7D6A2C80" w:rsidR="001E1112" w:rsidRPr="00317ABF" w:rsidRDefault="001E1112" w:rsidP="00DB3BEC">
            <w:pPr>
              <w:jc w:val="both"/>
              <w:rPr>
                <w:sz w:val="22"/>
                <w:szCs w:val="22"/>
              </w:rPr>
            </w:pPr>
            <w:r w:rsidRPr="00317ABF">
              <w:rPr>
                <w:sz w:val="22"/>
                <w:szCs w:val="22"/>
              </w:rPr>
              <w:t>T</w:t>
            </w:r>
          </w:p>
        </w:tc>
        <w:tc>
          <w:tcPr>
            <w:tcW w:w="910" w:type="dxa"/>
          </w:tcPr>
          <w:p w14:paraId="054030BF" w14:textId="01ACA4BB" w:rsidR="001E1112" w:rsidRPr="00317ABF" w:rsidRDefault="00D44953" w:rsidP="00DB3BEC">
            <w:pPr>
              <w:pStyle w:val="Tekstpodstawowy"/>
              <w:rPr>
                <w:b/>
                <w:noProof/>
                <w:sz w:val="22"/>
                <w:szCs w:val="22"/>
              </w:rPr>
            </w:pPr>
            <w:r w:rsidRPr="00317ABF">
              <w:rPr>
                <w:b/>
                <w:noProof/>
                <w:sz w:val="22"/>
                <w:szCs w:val="22"/>
              </w:rPr>
              <w:t>Art. 16</w:t>
            </w:r>
            <w:r w:rsidR="001E1112" w:rsidRPr="00317ABF">
              <w:rPr>
                <w:b/>
                <w:noProof/>
                <w:sz w:val="22"/>
                <w:szCs w:val="22"/>
              </w:rPr>
              <w:t>3</w:t>
            </w:r>
          </w:p>
        </w:tc>
        <w:tc>
          <w:tcPr>
            <w:tcW w:w="6814" w:type="dxa"/>
            <w:gridSpan w:val="2"/>
          </w:tcPr>
          <w:p w14:paraId="02183EDD" w14:textId="563AE83C" w:rsidR="00D44953" w:rsidRPr="00317ABF" w:rsidRDefault="00D44953" w:rsidP="00D44953">
            <w:pPr>
              <w:jc w:val="both"/>
              <w:rPr>
                <w:sz w:val="22"/>
                <w:szCs w:val="22"/>
              </w:rPr>
            </w:pPr>
            <w:r w:rsidRPr="00317ABF">
              <w:rPr>
                <w:b/>
                <w:bCs/>
                <w:sz w:val="22"/>
                <w:szCs w:val="22"/>
              </w:rPr>
              <w:t>Art. 16</w:t>
            </w:r>
            <w:r w:rsidR="001E1112" w:rsidRPr="00317ABF">
              <w:rPr>
                <w:b/>
                <w:bCs/>
                <w:sz w:val="22"/>
                <w:szCs w:val="22"/>
              </w:rPr>
              <w:t xml:space="preserve">3. </w:t>
            </w:r>
          </w:p>
          <w:p w14:paraId="7A9A9CDB" w14:textId="7B6122EC" w:rsidR="00D44953" w:rsidRPr="00317ABF" w:rsidRDefault="00D44953" w:rsidP="00D44953">
            <w:pPr>
              <w:jc w:val="both"/>
              <w:rPr>
                <w:sz w:val="22"/>
                <w:szCs w:val="22"/>
              </w:rPr>
            </w:pPr>
            <w:r w:rsidRPr="00317ABF">
              <w:rPr>
                <w:sz w:val="22"/>
                <w:szCs w:val="22"/>
              </w:rPr>
              <w:t>1. Prezes UKE opracowuje i udostępnia na stronie podmiotowej BIP UKE zbiorcze zestawienia przyznanych zasobów numeracji, w postaci Tablic Zagospodarowania Numeracji oraz wykaz gmin w strefach numeracyjnych.</w:t>
            </w:r>
            <w:bookmarkStart w:id="153" w:name="mip44758654"/>
            <w:bookmarkEnd w:id="153"/>
          </w:p>
          <w:p w14:paraId="40A54906" w14:textId="5885BC5B" w:rsidR="001E1112" w:rsidRPr="00317ABF" w:rsidRDefault="00D44953" w:rsidP="00DB3BEC">
            <w:pPr>
              <w:jc w:val="both"/>
              <w:rPr>
                <w:bCs/>
                <w:sz w:val="22"/>
                <w:szCs w:val="22"/>
              </w:rPr>
            </w:pPr>
            <w:bookmarkStart w:id="154" w:name="mip44758655"/>
            <w:bookmarkEnd w:id="154"/>
            <w:r w:rsidRPr="00317ABF">
              <w:rPr>
                <w:bCs/>
                <w:sz w:val="22"/>
                <w:szCs w:val="22"/>
              </w:rPr>
              <w:t>2. Prezes UKE udziela nieodpłatnie zainteresowanym podmiotom informacji o dostępnej numeracji.</w:t>
            </w:r>
          </w:p>
        </w:tc>
      </w:tr>
      <w:tr w:rsidR="001E1112" w:rsidRPr="00317ABF" w14:paraId="11ED80F4" w14:textId="77777777" w:rsidTr="7753F98D">
        <w:trPr>
          <w:gridAfter w:val="2"/>
          <w:wAfter w:w="175" w:type="dxa"/>
        </w:trPr>
        <w:tc>
          <w:tcPr>
            <w:tcW w:w="704" w:type="dxa"/>
          </w:tcPr>
          <w:p w14:paraId="0875B867" w14:textId="77777777" w:rsidR="001E1112" w:rsidRPr="00317ABF" w:rsidRDefault="001E1112" w:rsidP="00DB3BEC">
            <w:pPr>
              <w:jc w:val="both"/>
              <w:rPr>
                <w:sz w:val="22"/>
                <w:szCs w:val="22"/>
              </w:rPr>
            </w:pPr>
            <w:r w:rsidRPr="00317ABF">
              <w:rPr>
                <w:sz w:val="22"/>
                <w:szCs w:val="22"/>
              </w:rPr>
              <w:t>Art. 93 ust. 8</w:t>
            </w:r>
          </w:p>
        </w:tc>
        <w:tc>
          <w:tcPr>
            <w:tcW w:w="4308" w:type="dxa"/>
          </w:tcPr>
          <w:p w14:paraId="4804A057" w14:textId="77777777" w:rsidR="001E1112" w:rsidRPr="00317ABF" w:rsidRDefault="001E1112" w:rsidP="00DB3BEC">
            <w:pPr>
              <w:spacing w:before="120"/>
              <w:jc w:val="both"/>
              <w:rPr>
                <w:sz w:val="22"/>
                <w:szCs w:val="22"/>
              </w:rPr>
            </w:pPr>
            <w:r w:rsidRPr="00317ABF">
              <w:rPr>
                <w:sz w:val="22"/>
                <w:szCs w:val="22"/>
              </w:rPr>
              <w:t xml:space="preserve">8.   Państwa członkowskie wspierają proces harmonizacji określonych numerów lub zakresów numeracyjnych w obrębie Unii, w przypadku gdy sprzyja to zarówno funkcjonowaniu rynku wewnętrznego, jak i rozwojowi usług ogólnoeuropejskich. W razie konieczności, aby sprostać niezaspokojonemu transgranicznemu lub ogólnoeuropejskiemu popytowi na zasoby numeracyjne, Komisja, w jak największym stopniu uwzględniając opinię BEREC, przyjmuje akty wykonawcze </w:t>
            </w:r>
            <w:r w:rsidRPr="00317ABF">
              <w:rPr>
                <w:sz w:val="22"/>
                <w:szCs w:val="22"/>
              </w:rPr>
              <w:lastRenderedPageBreak/>
              <w:t>harmonizujące określone numery lub zakresy numeracyjne.</w:t>
            </w:r>
          </w:p>
          <w:p w14:paraId="6D9E609F" w14:textId="77777777" w:rsidR="001E1112" w:rsidRPr="00317ABF" w:rsidRDefault="001E1112" w:rsidP="00DB3BEC">
            <w:pPr>
              <w:spacing w:before="120"/>
              <w:jc w:val="both"/>
              <w:rPr>
                <w:sz w:val="22"/>
                <w:szCs w:val="22"/>
              </w:rPr>
            </w:pPr>
            <w:r w:rsidRPr="00317ABF">
              <w:rPr>
                <w:sz w:val="22"/>
                <w:szCs w:val="22"/>
              </w:rPr>
              <w:t>Te akty wykonawcze przyjmuje się zgodnie z procedurą sprawdzającą, o której mowa w art. 118 ust. 4.</w:t>
            </w:r>
          </w:p>
        </w:tc>
        <w:tc>
          <w:tcPr>
            <w:tcW w:w="986" w:type="dxa"/>
          </w:tcPr>
          <w:p w14:paraId="6F63F708" w14:textId="637B6CEE" w:rsidR="001E1112" w:rsidRPr="00317ABF" w:rsidRDefault="00FE6109" w:rsidP="00DB3BEC">
            <w:pPr>
              <w:jc w:val="both"/>
              <w:rPr>
                <w:sz w:val="22"/>
                <w:szCs w:val="22"/>
              </w:rPr>
            </w:pPr>
            <w:r w:rsidRPr="00317ABF">
              <w:rPr>
                <w:sz w:val="22"/>
                <w:szCs w:val="22"/>
              </w:rPr>
              <w:lastRenderedPageBreak/>
              <w:t>T</w:t>
            </w:r>
          </w:p>
        </w:tc>
        <w:tc>
          <w:tcPr>
            <w:tcW w:w="910" w:type="dxa"/>
          </w:tcPr>
          <w:p w14:paraId="074F5E7F" w14:textId="03DAAD43" w:rsidR="001E1112" w:rsidRPr="00317ABF" w:rsidRDefault="00FE6109" w:rsidP="00DB3BEC">
            <w:pPr>
              <w:pStyle w:val="Tekstpodstawowy"/>
              <w:rPr>
                <w:b/>
                <w:sz w:val="22"/>
                <w:szCs w:val="22"/>
                <w:lang w:val="en-US"/>
              </w:rPr>
            </w:pPr>
            <w:r w:rsidRPr="00317ABF">
              <w:rPr>
                <w:b/>
                <w:sz w:val="22"/>
                <w:szCs w:val="22"/>
                <w:lang w:val="en-US"/>
              </w:rPr>
              <w:t>Art. 407 ust. 2 pkt 5 lit. g</w:t>
            </w:r>
          </w:p>
        </w:tc>
        <w:tc>
          <w:tcPr>
            <w:tcW w:w="6814" w:type="dxa"/>
            <w:gridSpan w:val="2"/>
          </w:tcPr>
          <w:p w14:paraId="62357351" w14:textId="77777777" w:rsidR="00FE6109" w:rsidRPr="00317ABF" w:rsidRDefault="00FE6109" w:rsidP="00DB3BEC">
            <w:pPr>
              <w:pStyle w:val="Tekstpodstawowy"/>
              <w:rPr>
                <w:b/>
                <w:sz w:val="22"/>
                <w:szCs w:val="22"/>
              </w:rPr>
            </w:pPr>
            <w:r w:rsidRPr="00317ABF">
              <w:rPr>
                <w:b/>
                <w:sz w:val="22"/>
                <w:szCs w:val="22"/>
              </w:rPr>
              <w:t>Art. 407</w:t>
            </w:r>
          </w:p>
          <w:p w14:paraId="4B05376B" w14:textId="77777777" w:rsidR="00FE6109" w:rsidRPr="00317ABF" w:rsidRDefault="00FE6109" w:rsidP="00FE6109">
            <w:pPr>
              <w:pStyle w:val="Tekstpodstawowy"/>
              <w:rPr>
                <w:bCs/>
                <w:sz w:val="22"/>
                <w:szCs w:val="22"/>
              </w:rPr>
            </w:pPr>
            <w:r w:rsidRPr="00317ABF">
              <w:rPr>
                <w:bCs/>
                <w:sz w:val="22"/>
                <w:szCs w:val="22"/>
              </w:rPr>
              <w:t>g)</w:t>
            </w:r>
            <w:r w:rsidRPr="00317ABF">
              <w:rPr>
                <w:bCs/>
                <w:sz w:val="22"/>
                <w:szCs w:val="22"/>
              </w:rPr>
              <w:tab/>
              <w:t>wspieranie procesu harmonizacji określonych numerów lub zakresów numeracji w obrębie Unii Europejskiej oraz zapewnienie informacji o istnieniu europejskiego numeru alarmowego 112 i innych europejskich numerów zharmonizowanych, skierowanej do obywateli, w szczególności podróżujących między państwami członkowskimi,</w:t>
            </w:r>
          </w:p>
          <w:p w14:paraId="0A8A12CC" w14:textId="76ACE761" w:rsidR="001E1112" w:rsidRPr="00317ABF" w:rsidRDefault="001E1112" w:rsidP="00DB3BEC">
            <w:pPr>
              <w:pStyle w:val="Tekstpodstawowy"/>
              <w:rPr>
                <w:sz w:val="22"/>
                <w:szCs w:val="22"/>
              </w:rPr>
            </w:pPr>
          </w:p>
        </w:tc>
      </w:tr>
      <w:tr w:rsidR="001E1112" w:rsidRPr="00317ABF" w14:paraId="54469E30" w14:textId="77777777" w:rsidTr="7753F98D">
        <w:trPr>
          <w:gridAfter w:val="2"/>
          <w:wAfter w:w="175" w:type="dxa"/>
        </w:trPr>
        <w:tc>
          <w:tcPr>
            <w:tcW w:w="704" w:type="dxa"/>
          </w:tcPr>
          <w:p w14:paraId="7DDD2B31" w14:textId="3795C6AA" w:rsidR="001E1112" w:rsidRPr="00317ABF" w:rsidRDefault="001E1112" w:rsidP="00DB3BEC">
            <w:pPr>
              <w:jc w:val="both"/>
              <w:rPr>
                <w:b/>
                <w:sz w:val="22"/>
                <w:szCs w:val="22"/>
              </w:rPr>
            </w:pPr>
            <w:r w:rsidRPr="00317ABF">
              <w:rPr>
                <w:b/>
                <w:sz w:val="22"/>
                <w:szCs w:val="22"/>
              </w:rPr>
              <w:lastRenderedPageBreak/>
              <w:t>Art. 94</w:t>
            </w:r>
          </w:p>
        </w:tc>
        <w:tc>
          <w:tcPr>
            <w:tcW w:w="4308" w:type="dxa"/>
          </w:tcPr>
          <w:p w14:paraId="344E7D40" w14:textId="77777777" w:rsidR="001E1112" w:rsidRPr="00317ABF" w:rsidRDefault="001E1112" w:rsidP="00DB3BEC">
            <w:pPr>
              <w:spacing w:before="120"/>
              <w:jc w:val="both"/>
              <w:rPr>
                <w:sz w:val="22"/>
                <w:szCs w:val="22"/>
              </w:rPr>
            </w:pPr>
            <w:r w:rsidRPr="00317ABF">
              <w:rPr>
                <w:b/>
                <w:bCs/>
                <w:sz w:val="22"/>
                <w:szCs w:val="22"/>
              </w:rPr>
              <w:t>Procedura przyznawania praw użytkowania zasobów numeracyjnych</w:t>
            </w:r>
          </w:p>
        </w:tc>
        <w:tc>
          <w:tcPr>
            <w:tcW w:w="986" w:type="dxa"/>
          </w:tcPr>
          <w:p w14:paraId="17C8C9E7" w14:textId="77777777" w:rsidR="001E1112" w:rsidRPr="00317ABF" w:rsidRDefault="001E1112" w:rsidP="00DB3BEC">
            <w:pPr>
              <w:jc w:val="both"/>
              <w:rPr>
                <w:sz w:val="22"/>
                <w:szCs w:val="22"/>
              </w:rPr>
            </w:pPr>
          </w:p>
        </w:tc>
        <w:tc>
          <w:tcPr>
            <w:tcW w:w="910" w:type="dxa"/>
          </w:tcPr>
          <w:p w14:paraId="42009474" w14:textId="77777777" w:rsidR="001E1112" w:rsidRPr="00317ABF" w:rsidRDefault="001E1112" w:rsidP="00DB3BEC">
            <w:pPr>
              <w:pStyle w:val="Tekstpodstawowy"/>
              <w:rPr>
                <w:b/>
                <w:noProof/>
                <w:sz w:val="22"/>
                <w:szCs w:val="22"/>
              </w:rPr>
            </w:pPr>
          </w:p>
        </w:tc>
        <w:tc>
          <w:tcPr>
            <w:tcW w:w="6814" w:type="dxa"/>
            <w:gridSpan w:val="2"/>
          </w:tcPr>
          <w:p w14:paraId="4D33C114" w14:textId="77777777" w:rsidR="001E1112" w:rsidRPr="00317ABF" w:rsidRDefault="001E1112" w:rsidP="00DB3BEC">
            <w:pPr>
              <w:pStyle w:val="Tekstpodstawowy"/>
              <w:rPr>
                <w:sz w:val="22"/>
                <w:szCs w:val="22"/>
              </w:rPr>
            </w:pPr>
          </w:p>
        </w:tc>
      </w:tr>
      <w:tr w:rsidR="001E1112" w:rsidRPr="00317ABF" w14:paraId="2E333DA8" w14:textId="77777777" w:rsidTr="7753F98D">
        <w:trPr>
          <w:gridAfter w:val="2"/>
          <w:wAfter w:w="175" w:type="dxa"/>
        </w:trPr>
        <w:tc>
          <w:tcPr>
            <w:tcW w:w="704" w:type="dxa"/>
          </w:tcPr>
          <w:p w14:paraId="2EE3424D" w14:textId="77777777" w:rsidR="001E1112" w:rsidRPr="00317ABF" w:rsidRDefault="001E1112" w:rsidP="00DB3BEC">
            <w:pPr>
              <w:jc w:val="both"/>
              <w:rPr>
                <w:sz w:val="22"/>
                <w:szCs w:val="22"/>
              </w:rPr>
            </w:pPr>
            <w:r w:rsidRPr="00317ABF">
              <w:rPr>
                <w:sz w:val="22"/>
                <w:szCs w:val="22"/>
              </w:rPr>
              <w:t>Art. 94 ust. 1</w:t>
            </w:r>
          </w:p>
        </w:tc>
        <w:tc>
          <w:tcPr>
            <w:tcW w:w="4308" w:type="dxa"/>
          </w:tcPr>
          <w:p w14:paraId="7A360D78" w14:textId="77777777" w:rsidR="001E1112" w:rsidRPr="00317ABF" w:rsidRDefault="001E1112" w:rsidP="00DB3BEC">
            <w:pPr>
              <w:spacing w:before="120"/>
              <w:jc w:val="both"/>
              <w:rPr>
                <w:sz w:val="22"/>
                <w:szCs w:val="22"/>
              </w:rPr>
            </w:pPr>
            <w:r w:rsidRPr="00317ABF">
              <w:rPr>
                <w:sz w:val="22"/>
                <w:szCs w:val="22"/>
              </w:rPr>
              <w:t>1.   W przypadku gdy konieczne jest przyznanie indywidualnych praw użytkowania zasobów numeracyjnych, krajowe organy regulacyjne lub inne właściwe organy przyznają takie prawa – na wniosek – każdemu przedsiębiorstwu w związku z dostarczaniem sieci lub usług łączności elektronicznej objętych ogólnym zezwoleniem, o którym mowa w art. 12, z zastrzeżeniem art. 13 i art. 21 ust. 1 lit. c) oraz wszelkich innych przepisów zapewniających skuteczne wykorzystanie tych zasobów numeracyjnych zgodnie z przepisami niniejszej dyrektywy.</w:t>
            </w:r>
          </w:p>
        </w:tc>
        <w:tc>
          <w:tcPr>
            <w:tcW w:w="986" w:type="dxa"/>
          </w:tcPr>
          <w:p w14:paraId="1CB7B1C3" w14:textId="6332384C" w:rsidR="001E1112" w:rsidRPr="00317ABF" w:rsidRDefault="001E1112" w:rsidP="00DB3BEC">
            <w:pPr>
              <w:jc w:val="both"/>
              <w:rPr>
                <w:sz w:val="22"/>
                <w:szCs w:val="22"/>
              </w:rPr>
            </w:pPr>
            <w:r w:rsidRPr="00317ABF">
              <w:rPr>
                <w:sz w:val="22"/>
                <w:szCs w:val="22"/>
              </w:rPr>
              <w:t>T</w:t>
            </w:r>
          </w:p>
        </w:tc>
        <w:tc>
          <w:tcPr>
            <w:tcW w:w="910" w:type="dxa"/>
          </w:tcPr>
          <w:p w14:paraId="458217B7" w14:textId="002D1919" w:rsidR="001E1112" w:rsidRPr="00317ABF" w:rsidRDefault="00FE6109" w:rsidP="00DB3BEC">
            <w:pPr>
              <w:pStyle w:val="Tekstpodstawowy"/>
              <w:rPr>
                <w:b/>
                <w:noProof/>
                <w:sz w:val="22"/>
                <w:szCs w:val="22"/>
              </w:rPr>
            </w:pPr>
            <w:r w:rsidRPr="00317ABF">
              <w:rPr>
                <w:b/>
                <w:noProof/>
                <w:sz w:val="22"/>
                <w:szCs w:val="22"/>
              </w:rPr>
              <w:t>Art. 15</w:t>
            </w:r>
            <w:r w:rsidR="001E1112" w:rsidRPr="00317ABF">
              <w:rPr>
                <w:b/>
                <w:noProof/>
                <w:sz w:val="22"/>
                <w:szCs w:val="22"/>
              </w:rPr>
              <w:t>9 ust. 1</w:t>
            </w:r>
          </w:p>
        </w:tc>
        <w:tc>
          <w:tcPr>
            <w:tcW w:w="6814" w:type="dxa"/>
            <w:gridSpan w:val="2"/>
          </w:tcPr>
          <w:p w14:paraId="227F9077" w14:textId="5D482AEF" w:rsidR="00FE6109" w:rsidRPr="00317ABF" w:rsidRDefault="00FE6109" w:rsidP="00FE6109">
            <w:pPr>
              <w:jc w:val="both"/>
              <w:rPr>
                <w:b/>
                <w:bCs/>
                <w:sz w:val="22"/>
                <w:szCs w:val="22"/>
              </w:rPr>
            </w:pPr>
            <w:r w:rsidRPr="00317ABF">
              <w:rPr>
                <w:b/>
                <w:bCs/>
                <w:sz w:val="22"/>
                <w:szCs w:val="22"/>
              </w:rPr>
              <w:t>Art. 159.</w:t>
            </w:r>
          </w:p>
          <w:p w14:paraId="68A0EB7C" w14:textId="6C7424B7" w:rsidR="00FE6109" w:rsidRPr="00317ABF" w:rsidRDefault="00FE6109" w:rsidP="00FE6109">
            <w:pPr>
              <w:jc w:val="both"/>
              <w:rPr>
                <w:sz w:val="22"/>
                <w:szCs w:val="22"/>
              </w:rPr>
            </w:pPr>
            <w:r w:rsidRPr="00317ABF">
              <w:rPr>
                <w:sz w:val="22"/>
                <w:szCs w:val="22"/>
              </w:rPr>
              <w:t>1.  Prezes UKE, w drodze decyzji, przyznaje prawo do wykorzystywania zasobów numeracji, zgodnie z planami numeracji krajowej dla publicznych sieci telekomunikacyjnych, przedsiębiorcom telekomunikacyjnym, jednostkom samorządu terytorialnego prowadzącym działalność w zakresie telekomunikacji i podmiotom, o których mowa w art. 2 pkt 88 lit a, b, d oraz h oraz podmiotom wskazanym przez ministra właściwego do spraw energii do wykonywania zadań, o których mowa w art. 67 ust. 1, na ich wniosek.</w:t>
            </w:r>
          </w:p>
          <w:p w14:paraId="3F058D59" w14:textId="77777777" w:rsidR="00FE6109" w:rsidRPr="00317ABF" w:rsidRDefault="00FE6109" w:rsidP="00FE6109">
            <w:pPr>
              <w:jc w:val="both"/>
              <w:rPr>
                <w:sz w:val="22"/>
                <w:szCs w:val="22"/>
              </w:rPr>
            </w:pPr>
          </w:p>
          <w:p w14:paraId="305E9AD0" w14:textId="345CC9D0" w:rsidR="001E1112" w:rsidRPr="00317ABF" w:rsidRDefault="001E1112" w:rsidP="00DB3BEC">
            <w:pPr>
              <w:jc w:val="both"/>
              <w:rPr>
                <w:sz w:val="22"/>
                <w:szCs w:val="22"/>
              </w:rPr>
            </w:pPr>
          </w:p>
        </w:tc>
      </w:tr>
      <w:tr w:rsidR="001E1112" w:rsidRPr="00317ABF" w14:paraId="3CBCFF7F" w14:textId="77777777" w:rsidTr="7753F98D">
        <w:trPr>
          <w:gridAfter w:val="2"/>
          <w:wAfter w:w="175" w:type="dxa"/>
        </w:trPr>
        <w:tc>
          <w:tcPr>
            <w:tcW w:w="704" w:type="dxa"/>
          </w:tcPr>
          <w:p w14:paraId="6CCD8220" w14:textId="77777777" w:rsidR="001E1112" w:rsidRPr="00317ABF" w:rsidRDefault="001E1112" w:rsidP="00DB3BEC">
            <w:pPr>
              <w:jc w:val="both"/>
              <w:rPr>
                <w:sz w:val="22"/>
                <w:szCs w:val="22"/>
              </w:rPr>
            </w:pPr>
            <w:r w:rsidRPr="00317ABF">
              <w:rPr>
                <w:sz w:val="22"/>
                <w:szCs w:val="22"/>
              </w:rPr>
              <w:t>Art. 94 ust. 2</w:t>
            </w:r>
          </w:p>
        </w:tc>
        <w:tc>
          <w:tcPr>
            <w:tcW w:w="4308" w:type="dxa"/>
          </w:tcPr>
          <w:p w14:paraId="7B1F19F0" w14:textId="77777777" w:rsidR="001E1112" w:rsidRPr="00317ABF" w:rsidRDefault="001E1112" w:rsidP="00DB3BEC">
            <w:pPr>
              <w:spacing w:before="120"/>
              <w:jc w:val="both"/>
              <w:rPr>
                <w:sz w:val="22"/>
                <w:szCs w:val="22"/>
              </w:rPr>
            </w:pPr>
            <w:r w:rsidRPr="00317ABF">
              <w:rPr>
                <w:sz w:val="22"/>
                <w:szCs w:val="22"/>
              </w:rPr>
              <w:t>2.   Prawa użytkowania zasobów numeracyjnych są przyznawane w oparciu o otwarte, obiektywne, przejrzyste, niedyskryminacyjne i proporcjonalne procedury.</w:t>
            </w:r>
          </w:p>
          <w:p w14:paraId="05D017A3" w14:textId="77777777" w:rsidR="001E1112" w:rsidRPr="00317ABF" w:rsidRDefault="001E1112" w:rsidP="00DB3BEC">
            <w:pPr>
              <w:spacing w:before="120"/>
              <w:jc w:val="both"/>
              <w:rPr>
                <w:sz w:val="22"/>
                <w:szCs w:val="22"/>
              </w:rPr>
            </w:pPr>
            <w:r w:rsidRPr="00317ABF">
              <w:rPr>
                <w:sz w:val="22"/>
                <w:szCs w:val="22"/>
              </w:rPr>
              <w:t>Przyznając prawa użytkowania zasobów numeracyjnych, krajowe organy regulacyjne lub inne właściwe organy określają, czy prawa te mogą być przekazane przez posiadacza prawa, i na jakich warunkach.</w:t>
            </w:r>
          </w:p>
          <w:p w14:paraId="39EDCEF2" w14:textId="77777777" w:rsidR="001E1112" w:rsidRPr="00317ABF" w:rsidRDefault="001E1112" w:rsidP="00DB3BEC">
            <w:pPr>
              <w:spacing w:before="120"/>
              <w:jc w:val="both"/>
              <w:rPr>
                <w:sz w:val="22"/>
                <w:szCs w:val="22"/>
              </w:rPr>
            </w:pPr>
            <w:r w:rsidRPr="00317ABF">
              <w:rPr>
                <w:sz w:val="22"/>
                <w:szCs w:val="22"/>
              </w:rPr>
              <w:t xml:space="preserve">W przypadku gdy krajowe organy regulacyjne lub inne właściwe organy przyznają prawo użytkowania zasobów numeracyjnych na czas określony, czas trwania tego okresu powinien być odpowiedni dla danej usługi z punktu widzenia zamierzonych celów, przy </w:t>
            </w:r>
            <w:r w:rsidRPr="00317ABF">
              <w:rPr>
                <w:sz w:val="22"/>
                <w:szCs w:val="22"/>
              </w:rPr>
              <w:lastRenderedPageBreak/>
              <w:t>odpowiednim uwzględnieniu konieczności umożliwienia właściwego okresu amortyzacji inwestycji.</w:t>
            </w:r>
          </w:p>
        </w:tc>
        <w:tc>
          <w:tcPr>
            <w:tcW w:w="986" w:type="dxa"/>
          </w:tcPr>
          <w:p w14:paraId="4CE27D49" w14:textId="188C7CA7" w:rsidR="001E1112" w:rsidRPr="00317ABF" w:rsidRDefault="001E1112" w:rsidP="00DB3BEC">
            <w:pPr>
              <w:jc w:val="both"/>
              <w:rPr>
                <w:sz w:val="22"/>
                <w:szCs w:val="22"/>
              </w:rPr>
            </w:pPr>
            <w:r w:rsidRPr="00317ABF">
              <w:rPr>
                <w:sz w:val="22"/>
                <w:szCs w:val="22"/>
              </w:rPr>
              <w:lastRenderedPageBreak/>
              <w:t>T</w:t>
            </w:r>
          </w:p>
        </w:tc>
        <w:tc>
          <w:tcPr>
            <w:tcW w:w="910" w:type="dxa"/>
          </w:tcPr>
          <w:p w14:paraId="3B396D26" w14:textId="4B6F5581" w:rsidR="001E1112" w:rsidRPr="00317ABF" w:rsidRDefault="00FE6109" w:rsidP="00DB3BEC">
            <w:pPr>
              <w:pStyle w:val="Tekstpodstawowy"/>
              <w:rPr>
                <w:b/>
                <w:noProof/>
                <w:sz w:val="22"/>
                <w:szCs w:val="22"/>
              </w:rPr>
            </w:pPr>
            <w:r w:rsidRPr="00317ABF">
              <w:rPr>
                <w:b/>
                <w:noProof/>
                <w:sz w:val="22"/>
                <w:szCs w:val="22"/>
              </w:rPr>
              <w:t>Art. 15</w:t>
            </w:r>
            <w:r w:rsidR="001E1112" w:rsidRPr="00317ABF">
              <w:rPr>
                <w:b/>
                <w:noProof/>
                <w:sz w:val="22"/>
                <w:szCs w:val="22"/>
              </w:rPr>
              <w:t>9 ust. 4-8</w:t>
            </w:r>
          </w:p>
        </w:tc>
        <w:tc>
          <w:tcPr>
            <w:tcW w:w="6814" w:type="dxa"/>
            <w:gridSpan w:val="2"/>
          </w:tcPr>
          <w:p w14:paraId="187049C2" w14:textId="77777777" w:rsidR="00FE6109" w:rsidRPr="00317ABF" w:rsidRDefault="00FE6109" w:rsidP="00DB3BEC">
            <w:pPr>
              <w:jc w:val="both"/>
              <w:rPr>
                <w:b/>
                <w:sz w:val="22"/>
                <w:szCs w:val="22"/>
              </w:rPr>
            </w:pPr>
            <w:r w:rsidRPr="00317ABF">
              <w:rPr>
                <w:b/>
                <w:sz w:val="22"/>
                <w:szCs w:val="22"/>
              </w:rPr>
              <w:t>Art. 159</w:t>
            </w:r>
          </w:p>
          <w:p w14:paraId="0B57E4BD" w14:textId="77777777" w:rsidR="00FE6109" w:rsidRPr="00317ABF" w:rsidRDefault="00FE6109" w:rsidP="00DB3BEC">
            <w:pPr>
              <w:jc w:val="both"/>
              <w:rPr>
                <w:sz w:val="22"/>
                <w:szCs w:val="22"/>
              </w:rPr>
            </w:pPr>
            <w:r w:rsidRPr="00317ABF">
              <w:rPr>
                <w:sz w:val="22"/>
                <w:szCs w:val="22"/>
              </w:rPr>
              <w:t>(…)</w:t>
            </w:r>
          </w:p>
          <w:p w14:paraId="484136DC" w14:textId="77777777" w:rsidR="00FE6109" w:rsidRPr="00317ABF" w:rsidRDefault="00FE6109" w:rsidP="00FE6109">
            <w:pPr>
              <w:jc w:val="both"/>
              <w:rPr>
                <w:bCs/>
                <w:sz w:val="22"/>
                <w:szCs w:val="22"/>
              </w:rPr>
            </w:pPr>
            <w:r w:rsidRPr="00317ABF">
              <w:rPr>
                <w:bCs/>
                <w:sz w:val="22"/>
                <w:szCs w:val="22"/>
              </w:rPr>
              <w:t>4. Prezes UKE przyznaje prawo do wykorzystywania zasobów numeracji, o przyznanie którego wpłynął więcej niż jeden wniosek:</w:t>
            </w:r>
          </w:p>
          <w:p w14:paraId="08E25EE8" w14:textId="77777777" w:rsidR="00FE6109" w:rsidRPr="00317ABF" w:rsidRDefault="00FE6109" w:rsidP="00FE6109">
            <w:pPr>
              <w:jc w:val="both"/>
              <w:rPr>
                <w:bCs/>
                <w:sz w:val="22"/>
                <w:szCs w:val="22"/>
              </w:rPr>
            </w:pPr>
            <w:r w:rsidRPr="00317ABF">
              <w:rPr>
                <w:bCs/>
                <w:sz w:val="22"/>
                <w:szCs w:val="22"/>
              </w:rPr>
              <w:t>1)</w:t>
            </w:r>
            <w:r w:rsidRPr="00317ABF">
              <w:rPr>
                <w:bCs/>
                <w:sz w:val="22"/>
                <w:szCs w:val="22"/>
              </w:rPr>
              <w:tab/>
              <w:t>po przeprowadzeniu postępowania konsultacyjnego,</w:t>
            </w:r>
          </w:p>
          <w:p w14:paraId="6F5F9A9C" w14:textId="77777777" w:rsidR="00FE6109" w:rsidRPr="00317ABF" w:rsidRDefault="00FE6109" w:rsidP="00FE6109">
            <w:pPr>
              <w:jc w:val="both"/>
              <w:rPr>
                <w:bCs/>
                <w:sz w:val="22"/>
                <w:szCs w:val="22"/>
              </w:rPr>
            </w:pPr>
            <w:r w:rsidRPr="00317ABF">
              <w:rPr>
                <w:bCs/>
                <w:sz w:val="22"/>
                <w:szCs w:val="22"/>
              </w:rPr>
              <w:t>2)</w:t>
            </w:r>
            <w:r w:rsidRPr="00317ABF">
              <w:rPr>
                <w:bCs/>
                <w:sz w:val="22"/>
                <w:szCs w:val="22"/>
              </w:rPr>
              <w:tab/>
              <w:t>w drodze przetargu, jeżeli w postępowaniu konsultacyjnym stwierdzono konieczność przeprowadzenia takiego postępowania</w:t>
            </w:r>
          </w:p>
          <w:p w14:paraId="41BB3295" w14:textId="77777777" w:rsidR="00FE6109" w:rsidRPr="00317ABF" w:rsidRDefault="00FE6109" w:rsidP="00FE6109">
            <w:pPr>
              <w:jc w:val="both"/>
              <w:rPr>
                <w:bCs/>
                <w:sz w:val="22"/>
                <w:szCs w:val="22"/>
              </w:rPr>
            </w:pPr>
            <w:r w:rsidRPr="00317ABF">
              <w:rPr>
                <w:bCs/>
                <w:sz w:val="22"/>
                <w:szCs w:val="22"/>
              </w:rPr>
              <w:t>- w terminie nie dłuższym niż 6 tygodni od dnia złożenia pierwszego wniosku.</w:t>
            </w:r>
          </w:p>
          <w:p w14:paraId="459044C9" w14:textId="77777777" w:rsidR="00FE6109" w:rsidRPr="00317ABF" w:rsidRDefault="00FE6109" w:rsidP="00FE6109">
            <w:pPr>
              <w:jc w:val="both"/>
              <w:rPr>
                <w:bCs/>
                <w:sz w:val="22"/>
                <w:szCs w:val="22"/>
              </w:rPr>
            </w:pPr>
            <w:r w:rsidRPr="00317ABF">
              <w:rPr>
                <w:bCs/>
                <w:sz w:val="22"/>
                <w:szCs w:val="22"/>
              </w:rPr>
              <w:t>5. Przetarg przeprowadza Prezes UKE. Ogłoszenie o przetargu udostępnia w prasie codziennej o zasięgu ogólnokrajowym oraz na stronie podmiotowej BIP UKE.</w:t>
            </w:r>
          </w:p>
          <w:p w14:paraId="4AABB7DF" w14:textId="77777777" w:rsidR="00FE6109" w:rsidRPr="00317ABF" w:rsidRDefault="00FE6109" w:rsidP="00FE6109">
            <w:pPr>
              <w:jc w:val="both"/>
              <w:rPr>
                <w:bCs/>
                <w:sz w:val="22"/>
                <w:szCs w:val="22"/>
              </w:rPr>
            </w:pPr>
            <w:r w:rsidRPr="00317ABF">
              <w:rPr>
                <w:bCs/>
                <w:sz w:val="22"/>
                <w:szCs w:val="22"/>
              </w:rPr>
              <w:t xml:space="preserve">6. Do przetargu stosuje się odpowiednio przepisy art. 110 ust. 1 i 2, art. 112 ust. 1, art. 113 ust. 1, </w:t>
            </w:r>
            <w:hyperlink r:id="rId39">
              <w:r w:rsidRPr="00317ABF">
                <w:rPr>
                  <w:rStyle w:val="Hipercze"/>
                  <w:bCs/>
                  <w:sz w:val="22"/>
                  <w:szCs w:val="22"/>
                </w:rPr>
                <w:t xml:space="preserve">art. </w:t>
              </w:r>
            </w:hyperlink>
            <w:r w:rsidRPr="00317ABF">
              <w:rPr>
                <w:bCs/>
                <w:sz w:val="22"/>
                <w:szCs w:val="22"/>
              </w:rPr>
              <w:t xml:space="preserve">120, art. 121 ust. 1, </w:t>
            </w:r>
            <w:hyperlink r:id="rId40">
              <w:r w:rsidRPr="00317ABF">
                <w:rPr>
                  <w:rStyle w:val="Hipercze"/>
                  <w:bCs/>
                  <w:sz w:val="22"/>
                  <w:szCs w:val="22"/>
                </w:rPr>
                <w:t xml:space="preserve">art. </w:t>
              </w:r>
            </w:hyperlink>
            <w:r w:rsidRPr="00317ABF">
              <w:rPr>
                <w:bCs/>
                <w:sz w:val="22"/>
                <w:szCs w:val="22"/>
              </w:rPr>
              <w:t>122 oraz 123.</w:t>
            </w:r>
          </w:p>
          <w:p w14:paraId="38B9D295" w14:textId="77777777" w:rsidR="00FE6109" w:rsidRPr="00317ABF" w:rsidRDefault="00FE6109" w:rsidP="00FE6109">
            <w:pPr>
              <w:jc w:val="both"/>
              <w:rPr>
                <w:bCs/>
                <w:sz w:val="22"/>
                <w:szCs w:val="22"/>
              </w:rPr>
            </w:pPr>
            <w:r w:rsidRPr="00317ABF">
              <w:rPr>
                <w:bCs/>
                <w:sz w:val="22"/>
                <w:szCs w:val="22"/>
              </w:rPr>
              <w:t>7. Decydującym kryterium oceny ofert jest wysokość kwoty zadeklarowanej przez podmiot wnioskujący o przyznanie prawa do wykorzystywania zasobów numeracji.</w:t>
            </w:r>
          </w:p>
          <w:p w14:paraId="4BD07F89" w14:textId="77777777" w:rsidR="00FE6109" w:rsidRPr="00317ABF" w:rsidRDefault="00FE6109" w:rsidP="00FE6109">
            <w:pPr>
              <w:jc w:val="both"/>
              <w:rPr>
                <w:bCs/>
                <w:sz w:val="22"/>
                <w:szCs w:val="22"/>
              </w:rPr>
            </w:pPr>
            <w:r w:rsidRPr="00317ABF">
              <w:rPr>
                <w:bCs/>
                <w:sz w:val="22"/>
                <w:szCs w:val="22"/>
              </w:rPr>
              <w:lastRenderedPageBreak/>
              <w:t>8. Przyznanie prawa do wykorzystywania zasobów numeracji może określać warunki wykorzystywania lub udostępniania numeracji, w szczególności:</w:t>
            </w:r>
          </w:p>
          <w:p w14:paraId="18B989B5" w14:textId="77777777" w:rsidR="00FE6109" w:rsidRPr="00317ABF" w:rsidRDefault="00FE6109" w:rsidP="00FE6109">
            <w:pPr>
              <w:jc w:val="both"/>
              <w:rPr>
                <w:bCs/>
                <w:sz w:val="22"/>
                <w:szCs w:val="22"/>
              </w:rPr>
            </w:pPr>
            <w:r w:rsidRPr="00317ABF">
              <w:rPr>
                <w:bCs/>
                <w:sz w:val="22"/>
                <w:szCs w:val="22"/>
              </w:rPr>
              <w:t>1)</w:t>
            </w:r>
            <w:r w:rsidRPr="00317ABF">
              <w:rPr>
                <w:bCs/>
                <w:sz w:val="22"/>
                <w:szCs w:val="22"/>
              </w:rPr>
              <w:tab/>
              <w:t>wskazywać usługę komunikacji elektronicznej, dla której przyznana numeracja ma być wykorzystywana, z podaniem wymogów związanych ze świadczeniem usługi oraz zasad taryfowych i cen maksymalnych;</w:t>
            </w:r>
          </w:p>
          <w:p w14:paraId="20E49D8D" w14:textId="77777777" w:rsidR="00FE6109" w:rsidRPr="00317ABF" w:rsidRDefault="00FE6109" w:rsidP="00FE6109">
            <w:pPr>
              <w:jc w:val="both"/>
              <w:rPr>
                <w:bCs/>
                <w:sz w:val="22"/>
                <w:szCs w:val="22"/>
              </w:rPr>
            </w:pPr>
            <w:r w:rsidRPr="00317ABF">
              <w:rPr>
                <w:bCs/>
                <w:sz w:val="22"/>
                <w:szCs w:val="22"/>
              </w:rPr>
              <w:t>2)</w:t>
            </w:r>
            <w:r w:rsidRPr="00317ABF">
              <w:rPr>
                <w:bCs/>
                <w:sz w:val="22"/>
                <w:szCs w:val="22"/>
              </w:rPr>
              <w:tab/>
              <w:t>zobowiązania przedsiębiorcy, któremu przyznano prawo do wykorzystywania zasobów numeracji, przyjęte w drodze przetargu, o którym mowa w ust. 4 pkt 2;</w:t>
            </w:r>
          </w:p>
          <w:p w14:paraId="7D7CF7EB" w14:textId="77777777" w:rsidR="00FE6109" w:rsidRPr="00317ABF" w:rsidRDefault="00FE6109" w:rsidP="00FE6109">
            <w:pPr>
              <w:jc w:val="both"/>
              <w:rPr>
                <w:bCs/>
                <w:sz w:val="22"/>
                <w:szCs w:val="22"/>
              </w:rPr>
            </w:pPr>
            <w:r w:rsidRPr="00317ABF">
              <w:rPr>
                <w:bCs/>
                <w:sz w:val="22"/>
                <w:szCs w:val="22"/>
              </w:rPr>
              <w:t>3)</w:t>
            </w:r>
            <w:r w:rsidRPr="00317ABF">
              <w:rPr>
                <w:bCs/>
                <w:sz w:val="22"/>
                <w:szCs w:val="22"/>
              </w:rPr>
              <w:tab/>
              <w:t>obowiązek niedyskryminującego dostępu do usług komunikacji elektronicznej z wykorzystaniem numeracji przyznanej innym przedsiębiorcom;</w:t>
            </w:r>
          </w:p>
          <w:p w14:paraId="397726C4" w14:textId="06C7568D" w:rsidR="001E1112" w:rsidRPr="00317ABF" w:rsidRDefault="00FE6109" w:rsidP="00DB3BEC">
            <w:pPr>
              <w:jc w:val="both"/>
              <w:rPr>
                <w:bCs/>
                <w:sz w:val="22"/>
                <w:szCs w:val="22"/>
              </w:rPr>
            </w:pPr>
            <w:r w:rsidRPr="00317ABF">
              <w:rPr>
                <w:bCs/>
                <w:sz w:val="22"/>
                <w:szCs w:val="22"/>
              </w:rPr>
              <w:t>4)</w:t>
            </w:r>
            <w:r w:rsidRPr="00317ABF">
              <w:rPr>
                <w:bCs/>
                <w:sz w:val="22"/>
                <w:szCs w:val="22"/>
              </w:rPr>
              <w:tab/>
              <w:t>zasady przyznania prawa do wykorzystywania numeracji wykorzystywanej transgranicznie na terenie Unii Europejskiej, uwzględniające przestrzeganie praw konsumentów i zasad użytkowania zasobów numeracji w państwach członkowskich, w których ta numeracja będzie użytkowana.</w:t>
            </w:r>
          </w:p>
        </w:tc>
      </w:tr>
      <w:tr w:rsidR="001E1112" w:rsidRPr="00317ABF" w14:paraId="5033DF4F" w14:textId="77777777" w:rsidTr="7753F98D">
        <w:trPr>
          <w:gridAfter w:val="2"/>
          <w:wAfter w:w="175" w:type="dxa"/>
        </w:trPr>
        <w:tc>
          <w:tcPr>
            <w:tcW w:w="704" w:type="dxa"/>
          </w:tcPr>
          <w:p w14:paraId="345EF18A" w14:textId="45EEE034" w:rsidR="001E1112" w:rsidRPr="00317ABF" w:rsidRDefault="001E1112" w:rsidP="00DB3BEC">
            <w:pPr>
              <w:jc w:val="both"/>
              <w:rPr>
                <w:sz w:val="22"/>
                <w:szCs w:val="22"/>
              </w:rPr>
            </w:pPr>
            <w:r w:rsidRPr="00317ABF">
              <w:rPr>
                <w:sz w:val="22"/>
                <w:szCs w:val="22"/>
              </w:rPr>
              <w:lastRenderedPageBreak/>
              <w:t>Art. 94 ust. 3</w:t>
            </w:r>
          </w:p>
        </w:tc>
        <w:tc>
          <w:tcPr>
            <w:tcW w:w="4308" w:type="dxa"/>
          </w:tcPr>
          <w:p w14:paraId="34A9EAB9" w14:textId="77777777" w:rsidR="001E1112" w:rsidRPr="00317ABF" w:rsidRDefault="001E1112" w:rsidP="00DB3BEC">
            <w:pPr>
              <w:spacing w:before="120"/>
              <w:jc w:val="both"/>
              <w:rPr>
                <w:sz w:val="22"/>
                <w:szCs w:val="22"/>
              </w:rPr>
            </w:pPr>
            <w:r w:rsidRPr="00317ABF">
              <w:rPr>
                <w:sz w:val="22"/>
                <w:szCs w:val="22"/>
              </w:rPr>
              <w:t>3.   Krajowe organy regulacyjne lub inne właściwe organy, podejmują decyzje dotyczące przyznawania praw użytkowania zasobów numeracyjnych jak najszybciej po wpłynięciu kompletnej dokumentacji wniosku i w terminie trzech tygodni – w przypadku zasobów numeracyjnych do realizacji szczególnych zadań w ramach krajowego planu numeracji. Takie decyzje są podawane do wiadomości publicznej.</w:t>
            </w:r>
          </w:p>
        </w:tc>
        <w:tc>
          <w:tcPr>
            <w:tcW w:w="986" w:type="dxa"/>
          </w:tcPr>
          <w:p w14:paraId="2F8AFD22" w14:textId="77563838" w:rsidR="001E1112" w:rsidRPr="00317ABF" w:rsidRDefault="001E1112" w:rsidP="00DB3BEC">
            <w:pPr>
              <w:jc w:val="both"/>
              <w:rPr>
                <w:sz w:val="22"/>
                <w:szCs w:val="22"/>
              </w:rPr>
            </w:pPr>
            <w:r w:rsidRPr="00317ABF">
              <w:rPr>
                <w:sz w:val="22"/>
                <w:szCs w:val="22"/>
              </w:rPr>
              <w:t>T</w:t>
            </w:r>
          </w:p>
        </w:tc>
        <w:tc>
          <w:tcPr>
            <w:tcW w:w="910" w:type="dxa"/>
          </w:tcPr>
          <w:p w14:paraId="4D4A8008" w14:textId="050768C2" w:rsidR="001E1112" w:rsidRPr="00317ABF" w:rsidRDefault="00FE6109" w:rsidP="00DB3BEC">
            <w:pPr>
              <w:pStyle w:val="Tekstpodstawowy"/>
              <w:rPr>
                <w:b/>
                <w:noProof/>
                <w:sz w:val="22"/>
                <w:szCs w:val="22"/>
              </w:rPr>
            </w:pPr>
            <w:r w:rsidRPr="00317ABF">
              <w:rPr>
                <w:b/>
                <w:noProof/>
                <w:sz w:val="22"/>
                <w:szCs w:val="22"/>
              </w:rPr>
              <w:t>Art. 15</w:t>
            </w:r>
            <w:r w:rsidR="001E1112" w:rsidRPr="00317ABF">
              <w:rPr>
                <w:b/>
                <w:noProof/>
                <w:sz w:val="22"/>
                <w:szCs w:val="22"/>
              </w:rPr>
              <w:t xml:space="preserve">9 ust. 3 </w:t>
            </w:r>
          </w:p>
        </w:tc>
        <w:tc>
          <w:tcPr>
            <w:tcW w:w="6814" w:type="dxa"/>
            <w:gridSpan w:val="2"/>
          </w:tcPr>
          <w:p w14:paraId="5AEB55AF" w14:textId="77777777" w:rsidR="00FE6109" w:rsidRPr="00317ABF" w:rsidRDefault="00FE6109" w:rsidP="00DB3BEC">
            <w:pPr>
              <w:jc w:val="both"/>
              <w:rPr>
                <w:bCs/>
                <w:sz w:val="22"/>
                <w:szCs w:val="22"/>
              </w:rPr>
            </w:pPr>
            <w:r w:rsidRPr="00317ABF">
              <w:rPr>
                <w:b/>
                <w:sz w:val="22"/>
                <w:szCs w:val="22"/>
              </w:rPr>
              <w:t>Art. 15</w:t>
            </w:r>
            <w:r w:rsidR="001E1112" w:rsidRPr="00317ABF">
              <w:rPr>
                <w:b/>
                <w:sz w:val="22"/>
                <w:szCs w:val="22"/>
              </w:rPr>
              <w:t>9</w:t>
            </w:r>
          </w:p>
          <w:p w14:paraId="0797FF26" w14:textId="7E5D787D" w:rsidR="001E1112" w:rsidRPr="00317ABF" w:rsidRDefault="00FE6109" w:rsidP="00DB3BEC">
            <w:pPr>
              <w:jc w:val="both"/>
              <w:rPr>
                <w:bCs/>
                <w:sz w:val="22"/>
                <w:szCs w:val="22"/>
              </w:rPr>
            </w:pPr>
            <w:r w:rsidRPr="00317ABF">
              <w:rPr>
                <w:bCs/>
                <w:sz w:val="22"/>
                <w:szCs w:val="22"/>
              </w:rPr>
              <w:t>(…)</w:t>
            </w:r>
            <w:r w:rsidR="001E1112" w:rsidRPr="00317ABF">
              <w:rPr>
                <w:bCs/>
                <w:sz w:val="22"/>
                <w:szCs w:val="22"/>
              </w:rPr>
              <w:t xml:space="preserve"> </w:t>
            </w:r>
          </w:p>
          <w:p w14:paraId="4EC27E03" w14:textId="77777777" w:rsidR="00FE6109" w:rsidRPr="00317ABF" w:rsidRDefault="00FE6109" w:rsidP="00FE6109">
            <w:pPr>
              <w:jc w:val="both"/>
              <w:rPr>
                <w:bCs/>
                <w:sz w:val="22"/>
                <w:szCs w:val="22"/>
              </w:rPr>
            </w:pPr>
            <w:r w:rsidRPr="00317ABF">
              <w:rPr>
                <w:bCs/>
                <w:sz w:val="22"/>
                <w:szCs w:val="22"/>
              </w:rPr>
              <w:t>3. Przyznanie prawa do wykorzystywania zasobów numeracji o ustalonym przeznaczeniu następuje w terminie nie dłuższym niż 3 tygodnie od dnia złożenia wniosku.</w:t>
            </w:r>
          </w:p>
          <w:p w14:paraId="4EA91DE2" w14:textId="5370EC23" w:rsidR="001E1112" w:rsidRPr="00317ABF" w:rsidRDefault="001E1112" w:rsidP="00DB3BEC">
            <w:pPr>
              <w:jc w:val="both"/>
              <w:rPr>
                <w:sz w:val="22"/>
                <w:szCs w:val="22"/>
              </w:rPr>
            </w:pPr>
          </w:p>
        </w:tc>
      </w:tr>
      <w:tr w:rsidR="001E1112" w:rsidRPr="00317ABF" w14:paraId="4C917CDC" w14:textId="77777777" w:rsidTr="7753F98D">
        <w:trPr>
          <w:gridAfter w:val="2"/>
          <w:wAfter w:w="175" w:type="dxa"/>
        </w:trPr>
        <w:tc>
          <w:tcPr>
            <w:tcW w:w="704" w:type="dxa"/>
          </w:tcPr>
          <w:p w14:paraId="794C52A7" w14:textId="6D240641" w:rsidR="001E1112" w:rsidRPr="00317ABF" w:rsidRDefault="001E1112" w:rsidP="00DB3BEC">
            <w:pPr>
              <w:jc w:val="both"/>
              <w:rPr>
                <w:sz w:val="22"/>
                <w:szCs w:val="22"/>
              </w:rPr>
            </w:pPr>
            <w:r w:rsidRPr="00317ABF">
              <w:rPr>
                <w:sz w:val="22"/>
                <w:szCs w:val="22"/>
              </w:rPr>
              <w:t>Art. 94 ust. 4</w:t>
            </w:r>
          </w:p>
        </w:tc>
        <w:tc>
          <w:tcPr>
            <w:tcW w:w="4308" w:type="dxa"/>
          </w:tcPr>
          <w:p w14:paraId="17791BF2" w14:textId="77777777" w:rsidR="001E1112" w:rsidRPr="00317ABF" w:rsidRDefault="001E1112" w:rsidP="00DB3BEC">
            <w:pPr>
              <w:spacing w:before="120"/>
              <w:jc w:val="both"/>
              <w:rPr>
                <w:sz w:val="22"/>
                <w:szCs w:val="22"/>
              </w:rPr>
            </w:pPr>
            <w:r w:rsidRPr="00317ABF">
              <w:rPr>
                <w:sz w:val="22"/>
                <w:szCs w:val="22"/>
              </w:rPr>
              <w:t>4.   W przypadku gdy po konsultacji przeprowadzonej z zainteresowanymi stronami zgodnie z art. 23 krajowe organy regulacyjne lub inne właściwe organy stwierdziły, że prawa użytkowania zasobów numeracyjnych o szczególnym znaczeniu gospodarczym mają być przyznawane po przeprowadzeniu konkurencyjnej lub porównawczej procedury selekcji, krajowe organy regulacyjne lub inne właściwe organy mogą przedłużyć termin trzech tygodni, o którym mowa w ust. 3 niniejszego artykułu o kolejne trzy tygodnie.</w:t>
            </w:r>
          </w:p>
        </w:tc>
        <w:tc>
          <w:tcPr>
            <w:tcW w:w="986" w:type="dxa"/>
          </w:tcPr>
          <w:p w14:paraId="2EFCFA57" w14:textId="2AC9AD2C" w:rsidR="001E1112" w:rsidRPr="00317ABF" w:rsidRDefault="001E1112" w:rsidP="00DB3BEC">
            <w:pPr>
              <w:jc w:val="both"/>
              <w:rPr>
                <w:sz w:val="22"/>
                <w:szCs w:val="22"/>
              </w:rPr>
            </w:pPr>
            <w:r w:rsidRPr="00317ABF">
              <w:rPr>
                <w:sz w:val="22"/>
                <w:szCs w:val="22"/>
              </w:rPr>
              <w:t>T</w:t>
            </w:r>
          </w:p>
        </w:tc>
        <w:tc>
          <w:tcPr>
            <w:tcW w:w="910" w:type="dxa"/>
          </w:tcPr>
          <w:p w14:paraId="0509DFDA" w14:textId="3DC09C50" w:rsidR="001E1112" w:rsidRPr="00317ABF" w:rsidRDefault="00DD41DB" w:rsidP="00DB3BEC">
            <w:pPr>
              <w:pStyle w:val="Tekstpodstawowy"/>
              <w:rPr>
                <w:b/>
                <w:noProof/>
                <w:sz w:val="22"/>
                <w:szCs w:val="22"/>
              </w:rPr>
            </w:pPr>
            <w:r w:rsidRPr="00317ABF">
              <w:rPr>
                <w:b/>
                <w:noProof/>
                <w:sz w:val="22"/>
                <w:szCs w:val="22"/>
              </w:rPr>
              <w:t>Art. 15</w:t>
            </w:r>
            <w:r w:rsidR="001E1112" w:rsidRPr="00317ABF">
              <w:rPr>
                <w:b/>
                <w:noProof/>
                <w:sz w:val="22"/>
                <w:szCs w:val="22"/>
              </w:rPr>
              <w:t>9 ust. 4</w:t>
            </w:r>
          </w:p>
        </w:tc>
        <w:tc>
          <w:tcPr>
            <w:tcW w:w="6814" w:type="dxa"/>
            <w:gridSpan w:val="2"/>
          </w:tcPr>
          <w:p w14:paraId="5F5502D0" w14:textId="572589B1" w:rsidR="001E1112" w:rsidRPr="00317ABF" w:rsidRDefault="00DD41DB" w:rsidP="00DB3BEC">
            <w:pPr>
              <w:jc w:val="both"/>
              <w:rPr>
                <w:b/>
                <w:sz w:val="22"/>
                <w:szCs w:val="22"/>
              </w:rPr>
            </w:pPr>
            <w:r w:rsidRPr="00317ABF">
              <w:rPr>
                <w:b/>
                <w:sz w:val="22"/>
                <w:szCs w:val="22"/>
              </w:rPr>
              <w:t>Art. 15</w:t>
            </w:r>
            <w:r w:rsidR="001E1112" w:rsidRPr="00317ABF">
              <w:rPr>
                <w:b/>
                <w:sz w:val="22"/>
                <w:szCs w:val="22"/>
              </w:rPr>
              <w:t>9</w:t>
            </w:r>
          </w:p>
          <w:p w14:paraId="48148B01" w14:textId="1407DAF1" w:rsidR="00DD41DB" w:rsidRPr="00317ABF" w:rsidRDefault="00DD41DB" w:rsidP="00DB3BEC">
            <w:pPr>
              <w:jc w:val="both"/>
              <w:rPr>
                <w:b/>
                <w:sz w:val="22"/>
                <w:szCs w:val="22"/>
              </w:rPr>
            </w:pPr>
            <w:r w:rsidRPr="00317ABF">
              <w:rPr>
                <w:b/>
                <w:sz w:val="22"/>
                <w:szCs w:val="22"/>
              </w:rPr>
              <w:t>(…)</w:t>
            </w:r>
          </w:p>
          <w:p w14:paraId="6462E736" w14:textId="77777777" w:rsidR="00DD41DB" w:rsidRPr="00317ABF" w:rsidRDefault="00DD41DB" w:rsidP="00DD41DB">
            <w:pPr>
              <w:jc w:val="both"/>
              <w:rPr>
                <w:bCs/>
                <w:sz w:val="22"/>
                <w:szCs w:val="22"/>
              </w:rPr>
            </w:pPr>
            <w:r w:rsidRPr="00317ABF">
              <w:rPr>
                <w:bCs/>
                <w:sz w:val="22"/>
                <w:szCs w:val="22"/>
              </w:rPr>
              <w:t>4. Prezes UKE przyznaje prawo do wykorzystywania zasobów numeracji, o przyznanie którego wpłynął więcej niż jeden wniosek:</w:t>
            </w:r>
          </w:p>
          <w:p w14:paraId="414CE7FF" w14:textId="77777777" w:rsidR="00DD41DB" w:rsidRPr="00317ABF" w:rsidRDefault="00DD41DB" w:rsidP="00DD41DB">
            <w:pPr>
              <w:jc w:val="both"/>
              <w:rPr>
                <w:bCs/>
                <w:sz w:val="22"/>
                <w:szCs w:val="22"/>
              </w:rPr>
            </w:pPr>
            <w:r w:rsidRPr="00317ABF">
              <w:rPr>
                <w:bCs/>
                <w:sz w:val="22"/>
                <w:szCs w:val="22"/>
              </w:rPr>
              <w:t>1)</w:t>
            </w:r>
            <w:r w:rsidRPr="00317ABF">
              <w:rPr>
                <w:bCs/>
                <w:sz w:val="22"/>
                <w:szCs w:val="22"/>
              </w:rPr>
              <w:tab/>
              <w:t>po przeprowadzeniu postępowania konsultacyjnego,</w:t>
            </w:r>
          </w:p>
          <w:p w14:paraId="3E6CF243" w14:textId="77777777" w:rsidR="00DD41DB" w:rsidRPr="00317ABF" w:rsidRDefault="00DD41DB" w:rsidP="00DD41DB">
            <w:pPr>
              <w:jc w:val="both"/>
              <w:rPr>
                <w:bCs/>
                <w:sz w:val="22"/>
                <w:szCs w:val="22"/>
              </w:rPr>
            </w:pPr>
            <w:r w:rsidRPr="00317ABF">
              <w:rPr>
                <w:bCs/>
                <w:sz w:val="22"/>
                <w:szCs w:val="22"/>
              </w:rPr>
              <w:t>2)</w:t>
            </w:r>
            <w:r w:rsidRPr="00317ABF">
              <w:rPr>
                <w:bCs/>
                <w:sz w:val="22"/>
                <w:szCs w:val="22"/>
              </w:rPr>
              <w:tab/>
              <w:t>w drodze przetargu, jeżeli w postępowaniu konsultacyjnym stwierdzono konieczność przeprowadzenia takiego postępowania</w:t>
            </w:r>
          </w:p>
          <w:p w14:paraId="7496B8E5" w14:textId="77777777" w:rsidR="00DD41DB" w:rsidRPr="00317ABF" w:rsidRDefault="00DD41DB" w:rsidP="00DD41DB">
            <w:pPr>
              <w:jc w:val="both"/>
              <w:rPr>
                <w:bCs/>
                <w:sz w:val="22"/>
                <w:szCs w:val="22"/>
              </w:rPr>
            </w:pPr>
            <w:r w:rsidRPr="00317ABF">
              <w:rPr>
                <w:bCs/>
                <w:sz w:val="22"/>
                <w:szCs w:val="22"/>
              </w:rPr>
              <w:t>- w terminie nie dłuższym niż 6 tygodni od dnia złożenia pierwszego wniosku.</w:t>
            </w:r>
          </w:p>
          <w:p w14:paraId="46AB9ECB" w14:textId="267B546F" w:rsidR="001E1112" w:rsidRPr="00317ABF" w:rsidRDefault="001E1112" w:rsidP="00DB3BEC">
            <w:pPr>
              <w:jc w:val="both"/>
              <w:rPr>
                <w:sz w:val="22"/>
                <w:szCs w:val="22"/>
              </w:rPr>
            </w:pPr>
          </w:p>
        </w:tc>
      </w:tr>
      <w:tr w:rsidR="001E1112" w:rsidRPr="00317ABF" w14:paraId="76524FB4" w14:textId="77777777" w:rsidTr="7753F98D">
        <w:trPr>
          <w:gridAfter w:val="2"/>
          <w:wAfter w:w="175" w:type="dxa"/>
          <w:trHeight w:val="2204"/>
        </w:trPr>
        <w:tc>
          <w:tcPr>
            <w:tcW w:w="704" w:type="dxa"/>
          </w:tcPr>
          <w:p w14:paraId="5FC4AD54" w14:textId="5B59D847" w:rsidR="001E1112" w:rsidRPr="00317ABF" w:rsidRDefault="001E1112" w:rsidP="00DB3BEC">
            <w:pPr>
              <w:jc w:val="both"/>
              <w:rPr>
                <w:sz w:val="22"/>
                <w:szCs w:val="22"/>
              </w:rPr>
            </w:pPr>
            <w:r w:rsidRPr="00317ABF">
              <w:rPr>
                <w:sz w:val="22"/>
                <w:szCs w:val="22"/>
              </w:rPr>
              <w:lastRenderedPageBreak/>
              <w:t>Art. 94 ust. 5</w:t>
            </w:r>
          </w:p>
        </w:tc>
        <w:tc>
          <w:tcPr>
            <w:tcW w:w="4308" w:type="dxa"/>
          </w:tcPr>
          <w:p w14:paraId="2B913B04" w14:textId="77777777" w:rsidR="001E1112" w:rsidRPr="00317ABF" w:rsidRDefault="001E1112" w:rsidP="00DB3BEC">
            <w:pPr>
              <w:spacing w:before="120"/>
              <w:jc w:val="both"/>
              <w:rPr>
                <w:sz w:val="22"/>
                <w:szCs w:val="22"/>
              </w:rPr>
            </w:pPr>
            <w:r w:rsidRPr="00317ABF">
              <w:rPr>
                <w:sz w:val="22"/>
                <w:szCs w:val="22"/>
              </w:rPr>
              <w:t>5.   Krajowe organy regulacyjne lub inne właściwe organy nie ograniczają liczby indywidualnych praw użytkowania, które mają zostać przyznane, z wyjątkiem sytuacji, gdy jest to niezbędne do zapewnienia skutecznego wykorzystania zasobów numeracyjnych.</w:t>
            </w:r>
          </w:p>
        </w:tc>
        <w:tc>
          <w:tcPr>
            <w:tcW w:w="986" w:type="dxa"/>
          </w:tcPr>
          <w:p w14:paraId="34119605" w14:textId="3916854B" w:rsidR="001E1112" w:rsidRPr="00317ABF" w:rsidRDefault="001E1112" w:rsidP="00DB3BEC">
            <w:pPr>
              <w:jc w:val="both"/>
              <w:rPr>
                <w:sz w:val="22"/>
                <w:szCs w:val="22"/>
              </w:rPr>
            </w:pPr>
            <w:r w:rsidRPr="00317ABF">
              <w:rPr>
                <w:sz w:val="22"/>
                <w:szCs w:val="22"/>
              </w:rPr>
              <w:t>T</w:t>
            </w:r>
          </w:p>
        </w:tc>
        <w:tc>
          <w:tcPr>
            <w:tcW w:w="910" w:type="dxa"/>
          </w:tcPr>
          <w:p w14:paraId="0E69B595" w14:textId="6D86006B" w:rsidR="001E1112" w:rsidRPr="00317ABF" w:rsidRDefault="00DD41DB" w:rsidP="00DB3BEC">
            <w:pPr>
              <w:pStyle w:val="Tekstpodstawowy"/>
              <w:rPr>
                <w:b/>
                <w:noProof/>
                <w:sz w:val="22"/>
                <w:szCs w:val="22"/>
              </w:rPr>
            </w:pPr>
            <w:r w:rsidRPr="00317ABF">
              <w:rPr>
                <w:b/>
                <w:noProof/>
                <w:sz w:val="22"/>
                <w:szCs w:val="22"/>
              </w:rPr>
              <w:t>Art. 16</w:t>
            </w:r>
            <w:r w:rsidR="001E1112" w:rsidRPr="00317ABF">
              <w:rPr>
                <w:b/>
                <w:noProof/>
                <w:sz w:val="22"/>
                <w:szCs w:val="22"/>
              </w:rPr>
              <w:t>0</w:t>
            </w:r>
          </w:p>
        </w:tc>
        <w:tc>
          <w:tcPr>
            <w:tcW w:w="6814" w:type="dxa"/>
            <w:gridSpan w:val="2"/>
          </w:tcPr>
          <w:p w14:paraId="62C1B06D" w14:textId="77777777" w:rsidR="00DD41DB" w:rsidRPr="00317ABF" w:rsidRDefault="00DD41DB" w:rsidP="00DD41DB">
            <w:pPr>
              <w:jc w:val="both"/>
              <w:rPr>
                <w:b/>
                <w:bCs/>
                <w:sz w:val="22"/>
                <w:szCs w:val="22"/>
              </w:rPr>
            </w:pPr>
            <w:r w:rsidRPr="00317ABF">
              <w:rPr>
                <w:b/>
                <w:bCs/>
                <w:sz w:val="22"/>
                <w:szCs w:val="22"/>
              </w:rPr>
              <w:t>Art. 160.</w:t>
            </w:r>
          </w:p>
          <w:p w14:paraId="50DFD8C7" w14:textId="3B9A36F7" w:rsidR="00DD41DB" w:rsidRPr="00317ABF" w:rsidRDefault="00DD41DB" w:rsidP="00DD41DB">
            <w:pPr>
              <w:jc w:val="both"/>
              <w:rPr>
                <w:b/>
                <w:bCs/>
                <w:sz w:val="22"/>
                <w:szCs w:val="22"/>
              </w:rPr>
            </w:pPr>
            <w:r w:rsidRPr="00317ABF">
              <w:rPr>
                <w:bCs/>
                <w:sz w:val="22"/>
                <w:szCs w:val="22"/>
              </w:rPr>
              <w:t>1. Prezes UKE odmawia przyznania prawa do wykorzystywania zasobów numeracji, jeżeli wnioskowane przeznaczenie numeracji nie jest zgodne z planem numeracji krajowej dla publicznych sieci telekomunikacyjnych.</w:t>
            </w:r>
          </w:p>
          <w:p w14:paraId="368C325F" w14:textId="77777777" w:rsidR="00DD41DB" w:rsidRPr="00317ABF" w:rsidRDefault="00DD41DB" w:rsidP="00DD41DB">
            <w:pPr>
              <w:jc w:val="both"/>
              <w:rPr>
                <w:bCs/>
                <w:sz w:val="22"/>
                <w:szCs w:val="22"/>
              </w:rPr>
            </w:pPr>
            <w:r w:rsidRPr="00317ABF">
              <w:rPr>
                <w:bCs/>
                <w:sz w:val="22"/>
                <w:szCs w:val="22"/>
              </w:rPr>
              <w:t>2. Prezes UKE może odmówić przyznania prawa do wykorzystywania nowego zakresu numeracji jeżeli wykorzystywane jest mniej niż 75%:</w:t>
            </w:r>
          </w:p>
          <w:p w14:paraId="3B752574" w14:textId="77777777" w:rsidR="00DD41DB" w:rsidRPr="00317ABF" w:rsidRDefault="00DD41DB" w:rsidP="00DD41DB">
            <w:pPr>
              <w:numPr>
                <w:ilvl w:val="0"/>
                <w:numId w:val="92"/>
              </w:numPr>
              <w:jc w:val="both"/>
              <w:rPr>
                <w:bCs/>
                <w:sz w:val="22"/>
                <w:szCs w:val="22"/>
              </w:rPr>
            </w:pPr>
            <w:r w:rsidRPr="00317ABF">
              <w:rPr>
                <w:bCs/>
                <w:sz w:val="22"/>
                <w:szCs w:val="22"/>
              </w:rPr>
              <w:t>wszystkich wcześniej przyznanych zakresów numeracji lub</w:t>
            </w:r>
          </w:p>
          <w:p w14:paraId="182A9CCC" w14:textId="77777777" w:rsidR="00DD41DB" w:rsidRPr="00317ABF" w:rsidRDefault="00DD41DB" w:rsidP="00DD41DB">
            <w:pPr>
              <w:numPr>
                <w:ilvl w:val="0"/>
                <w:numId w:val="92"/>
              </w:numPr>
              <w:jc w:val="both"/>
              <w:rPr>
                <w:bCs/>
                <w:sz w:val="22"/>
                <w:szCs w:val="22"/>
              </w:rPr>
            </w:pPr>
            <w:r w:rsidRPr="00317ABF">
              <w:rPr>
                <w:bCs/>
                <w:sz w:val="22"/>
                <w:szCs w:val="22"/>
              </w:rPr>
              <w:t>wcześniej przyznanych zakresów numeracji w ramach tego samego wyróżnika sieci lub wskaźnika strefy numeracyjnej, którego dotyczy wniosek o przyznanie prawa do wykorzystywania zasobów numeracji.</w:t>
            </w:r>
          </w:p>
          <w:p w14:paraId="29B499B5" w14:textId="7DDE11BE" w:rsidR="00DD41DB" w:rsidRPr="00317ABF" w:rsidRDefault="00DD41DB" w:rsidP="00DD41DB">
            <w:pPr>
              <w:jc w:val="both"/>
              <w:rPr>
                <w:sz w:val="22"/>
                <w:szCs w:val="22"/>
              </w:rPr>
            </w:pPr>
          </w:p>
        </w:tc>
      </w:tr>
      <w:tr w:rsidR="001E1112" w:rsidRPr="00317ABF" w14:paraId="2F9A3970" w14:textId="77777777" w:rsidTr="7753F98D">
        <w:trPr>
          <w:gridAfter w:val="2"/>
          <w:wAfter w:w="175" w:type="dxa"/>
        </w:trPr>
        <w:tc>
          <w:tcPr>
            <w:tcW w:w="704" w:type="dxa"/>
          </w:tcPr>
          <w:p w14:paraId="62352A28" w14:textId="77777777" w:rsidR="001E1112" w:rsidRPr="00317ABF" w:rsidRDefault="001E1112" w:rsidP="00DB3BEC">
            <w:pPr>
              <w:jc w:val="both"/>
              <w:rPr>
                <w:sz w:val="22"/>
                <w:szCs w:val="22"/>
              </w:rPr>
            </w:pPr>
            <w:r w:rsidRPr="00317ABF">
              <w:rPr>
                <w:sz w:val="22"/>
                <w:szCs w:val="22"/>
              </w:rPr>
              <w:t>Art. 94 ust. 6</w:t>
            </w:r>
          </w:p>
        </w:tc>
        <w:tc>
          <w:tcPr>
            <w:tcW w:w="4308" w:type="dxa"/>
          </w:tcPr>
          <w:p w14:paraId="1856C067" w14:textId="77777777" w:rsidR="001E1112" w:rsidRPr="00317ABF" w:rsidRDefault="001E1112" w:rsidP="00DB3BEC">
            <w:pPr>
              <w:spacing w:before="120"/>
              <w:jc w:val="both"/>
              <w:rPr>
                <w:sz w:val="22"/>
                <w:szCs w:val="22"/>
              </w:rPr>
            </w:pPr>
            <w:r w:rsidRPr="00317ABF">
              <w:rPr>
                <w:sz w:val="22"/>
                <w:szCs w:val="22"/>
              </w:rPr>
              <w:t>6.   Jeżeli prawo użytkowania zasobów numeracyjnych obejmuje ich ekstraterytorialne użytkowanie na terenie Unii zgodnie z art. 93 ust. 4, krajowy organ regulacyjny lub inny właściwy organ obwarowuje te prawa użytkowania szczególnymi warunkami, aby zapewnić zgodność z wszystkimi odnośnymi krajowymi przepisami z zakresu ochrony konsumentów i przepisami prawa krajowego regulującymi użytkowanie zasobów numeracyjnych, obowiązującymi w państwach członkowskich, w których użytkowane są dane zasoby numeracyjne.</w:t>
            </w:r>
          </w:p>
          <w:p w14:paraId="1CBA5557" w14:textId="77777777" w:rsidR="001E1112" w:rsidRPr="00317ABF" w:rsidRDefault="001E1112" w:rsidP="00DB3BEC">
            <w:pPr>
              <w:spacing w:before="120"/>
              <w:jc w:val="both"/>
              <w:rPr>
                <w:sz w:val="22"/>
                <w:szCs w:val="22"/>
              </w:rPr>
            </w:pPr>
            <w:r w:rsidRPr="00317ABF">
              <w:rPr>
                <w:sz w:val="22"/>
                <w:szCs w:val="22"/>
              </w:rPr>
              <w:t xml:space="preserve">Na wniosek krajowego organu regulacyjnego lub innego właściwego organu państwa członkowskiego, w którym użytkowane są zasoby numeracyjne, wykazujący naruszenie obowiązujących w tym państwie członkowskim odnośnych przepisów z zakresu ochrony konsumentów lub przepisów prawa krajowego dotyczących użytkowania zasobów numeracyjnych, krajowy organ regulacyjny lub inny właściwy organ państwa członkowskiego, w którym przyznano prawa użytkowania zasobów numeracyjnych, egzekwuje warunki, którymi obwarowano te prawa na mocy akapitu </w:t>
            </w:r>
            <w:r w:rsidRPr="00317ABF">
              <w:rPr>
                <w:sz w:val="22"/>
                <w:szCs w:val="22"/>
              </w:rPr>
              <w:lastRenderedPageBreak/>
              <w:t>pierwszego niniejszego ustępu, zgodnie z art. 30, w tym w poważnych przypadkach – cofając prawa ekstraterytorialnego użytkowania zasobów numeracyjnych przyznane danemu przedsiębiorstwu.</w:t>
            </w:r>
          </w:p>
          <w:p w14:paraId="73D2A449" w14:textId="77777777" w:rsidR="001E1112" w:rsidRPr="00317ABF" w:rsidRDefault="001E1112" w:rsidP="00DB3BEC">
            <w:pPr>
              <w:spacing w:before="120"/>
              <w:jc w:val="both"/>
              <w:rPr>
                <w:sz w:val="22"/>
                <w:szCs w:val="22"/>
              </w:rPr>
            </w:pPr>
            <w:r w:rsidRPr="00317ABF">
              <w:rPr>
                <w:sz w:val="22"/>
                <w:szCs w:val="22"/>
              </w:rPr>
              <w:t>BEREC ułatwia i koordynuje wymianę informacji między właściwymi organami różnych zaangażowanych państw członkowskich oraz zapewnia odpowiednią koordynację prowadzonych przez nie prac.</w:t>
            </w:r>
          </w:p>
        </w:tc>
        <w:tc>
          <w:tcPr>
            <w:tcW w:w="986" w:type="dxa"/>
          </w:tcPr>
          <w:p w14:paraId="4CB0592B" w14:textId="77777777" w:rsidR="001E1112" w:rsidRPr="00317ABF" w:rsidRDefault="001E1112" w:rsidP="00DB3BEC">
            <w:pPr>
              <w:jc w:val="both"/>
              <w:rPr>
                <w:sz w:val="22"/>
                <w:szCs w:val="22"/>
              </w:rPr>
            </w:pPr>
            <w:r w:rsidRPr="00317ABF">
              <w:rPr>
                <w:sz w:val="22"/>
                <w:szCs w:val="22"/>
              </w:rPr>
              <w:lastRenderedPageBreak/>
              <w:t>T</w:t>
            </w:r>
          </w:p>
          <w:p w14:paraId="1C3FCE1F" w14:textId="77777777" w:rsidR="001E1112" w:rsidRPr="00317ABF" w:rsidRDefault="001E1112" w:rsidP="00DB3BEC">
            <w:pPr>
              <w:jc w:val="both"/>
              <w:rPr>
                <w:sz w:val="22"/>
                <w:szCs w:val="22"/>
              </w:rPr>
            </w:pPr>
          </w:p>
          <w:p w14:paraId="56D33900" w14:textId="77777777" w:rsidR="001E1112" w:rsidRPr="00317ABF" w:rsidRDefault="001E1112" w:rsidP="00DB3BEC">
            <w:pPr>
              <w:jc w:val="both"/>
              <w:rPr>
                <w:sz w:val="22"/>
                <w:szCs w:val="22"/>
              </w:rPr>
            </w:pPr>
          </w:p>
          <w:p w14:paraId="003EA89E" w14:textId="77777777" w:rsidR="001E1112" w:rsidRPr="00317ABF" w:rsidRDefault="001E1112" w:rsidP="00DB3BEC">
            <w:pPr>
              <w:jc w:val="both"/>
              <w:rPr>
                <w:sz w:val="22"/>
                <w:szCs w:val="22"/>
              </w:rPr>
            </w:pPr>
          </w:p>
          <w:p w14:paraId="7ED77349" w14:textId="77777777" w:rsidR="001E1112" w:rsidRPr="00317ABF" w:rsidRDefault="001E1112" w:rsidP="00DB3BEC">
            <w:pPr>
              <w:jc w:val="both"/>
              <w:rPr>
                <w:sz w:val="22"/>
                <w:szCs w:val="22"/>
              </w:rPr>
            </w:pPr>
          </w:p>
          <w:p w14:paraId="2A6EB913" w14:textId="77777777" w:rsidR="001E1112" w:rsidRPr="00317ABF" w:rsidRDefault="001E1112" w:rsidP="00DB3BEC">
            <w:pPr>
              <w:jc w:val="both"/>
              <w:rPr>
                <w:sz w:val="22"/>
                <w:szCs w:val="22"/>
              </w:rPr>
            </w:pPr>
          </w:p>
          <w:p w14:paraId="74BED202" w14:textId="77777777" w:rsidR="001E1112" w:rsidRPr="00317ABF" w:rsidRDefault="001E1112" w:rsidP="00DB3BEC">
            <w:pPr>
              <w:jc w:val="both"/>
              <w:rPr>
                <w:sz w:val="22"/>
                <w:szCs w:val="22"/>
              </w:rPr>
            </w:pPr>
          </w:p>
          <w:p w14:paraId="578B9B33" w14:textId="77777777" w:rsidR="001E1112" w:rsidRPr="00317ABF" w:rsidRDefault="001E1112" w:rsidP="00DB3BEC">
            <w:pPr>
              <w:jc w:val="both"/>
              <w:rPr>
                <w:sz w:val="22"/>
                <w:szCs w:val="22"/>
              </w:rPr>
            </w:pPr>
          </w:p>
          <w:p w14:paraId="21CDD2C3" w14:textId="77777777" w:rsidR="001E1112" w:rsidRPr="00317ABF" w:rsidRDefault="001E1112" w:rsidP="00DB3BEC">
            <w:pPr>
              <w:jc w:val="both"/>
              <w:rPr>
                <w:sz w:val="22"/>
                <w:szCs w:val="22"/>
              </w:rPr>
            </w:pPr>
          </w:p>
          <w:p w14:paraId="701B5782" w14:textId="77777777" w:rsidR="001E1112" w:rsidRPr="00317ABF" w:rsidRDefault="001E1112" w:rsidP="00DB3BEC">
            <w:pPr>
              <w:jc w:val="both"/>
              <w:rPr>
                <w:sz w:val="22"/>
                <w:szCs w:val="22"/>
              </w:rPr>
            </w:pPr>
          </w:p>
          <w:p w14:paraId="63F8F9CE" w14:textId="77777777" w:rsidR="001E1112" w:rsidRPr="00317ABF" w:rsidRDefault="001E1112" w:rsidP="00DB3BEC">
            <w:pPr>
              <w:jc w:val="both"/>
              <w:rPr>
                <w:sz w:val="22"/>
                <w:szCs w:val="22"/>
              </w:rPr>
            </w:pPr>
          </w:p>
          <w:p w14:paraId="61943D1C" w14:textId="77777777" w:rsidR="001E1112" w:rsidRPr="00317ABF" w:rsidRDefault="001E1112" w:rsidP="00DB3BEC">
            <w:pPr>
              <w:jc w:val="both"/>
              <w:rPr>
                <w:sz w:val="22"/>
                <w:szCs w:val="22"/>
              </w:rPr>
            </w:pPr>
          </w:p>
          <w:p w14:paraId="0EF93CE2" w14:textId="77777777" w:rsidR="001E1112" w:rsidRPr="00317ABF" w:rsidRDefault="001E1112" w:rsidP="00DB3BEC">
            <w:pPr>
              <w:jc w:val="both"/>
              <w:rPr>
                <w:sz w:val="22"/>
                <w:szCs w:val="22"/>
              </w:rPr>
            </w:pPr>
          </w:p>
          <w:p w14:paraId="0AA15830" w14:textId="77777777" w:rsidR="001E1112" w:rsidRPr="00317ABF" w:rsidRDefault="001E1112" w:rsidP="00DB3BEC">
            <w:pPr>
              <w:jc w:val="both"/>
              <w:rPr>
                <w:sz w:val="22"/>
                <w:szCs w:val="22"/>
              </w:rPr>
            </w:pPr>
          </w:p>
          <w:p w14:paraId="6AC0D1BF" w14:textId="77777777" w:rsidR="001E1112" w:rsidRPr="00317ABF" w:rsidRDefault="001E1112" w:rsidP="00DB3BEC">
            <w:pPr>
              <w:jc w:val="both"/>
              <w:rPr>
                <w:sz w:val="22"/>
                <w:szCs w:val="22"/>
              </w:rPr>
            </w:pPr>
          </w:p>
          <w:p w14:paraId="1D6AA1DB" w14:textId="023B81F4" w:rsidR="001E1112" w:rsidRPr="00317ABF" w:rsidRDefault="001E1112" w:rsidP="00DB3BEC">
            <w:pPr>
              <w:jc w:val="both"/>
              <w:rPr>
                <w:sz w:val="22"/>
                <w:szCs w:val="22"/>
              </w:rPr>
            </w:pPr>
            <w:r w:rsidRPr="00317ABF">
              <w:rPr>
                <w:sz w:val="22"/>
                <w:szCs w:val="22"/>
              </w:rPr>
              <w:t>T</w:t>
            </w:r>
          </w:p>
        </w:tc>
        <w:tc>
          <w:tcPr>
            <w:tcW w:w="910" w:type="dxa"/>
          </w:tcPr>
          <w:p w14:paraId="3FF520E4" w14:textId="13163301" w:rsidR="001E1112" w:rsidRPr="00317ABF" w:rsidRDefault="001E1112" w:rsidP="00DB3BEC">
            <w:pPr>
              <w:pStyle w:val="Tekstpodstawowy"/>
              <w:rPr>
                <w:b/>
                <w:noProof/>
                <w:sz w:val="22"/>
                <w:szCs w:val="22"/>
              </w:rPr>
            </w:pPr>
            <w:r w:rsidRPr="00317ABF">
              <w:rPr>
                <w:b/>
                <w:noProof/>
                <w:sz w:val="22"/>
                <w:szCs w:val="22"/>
              </w:rPr>
              <w:t>Art. 1</w:t>
            </w:r>
            <w:r w:rsidR="00DD41DB" w:rsidRPr="00317ABF">
              <w:rPr>
                <w:b/>
                <w:noProof/>
                <w:sz w:val="22"/>
                <w:szCs w:val="22"/>
              </w:rPr>
              <w:t>5</w:t>
            </w:r>
            <w:r w:rsidRPr="00317ABF">
              <w:rPr>
                <w:b/>
                <w:noProof/>
                <w:sz w:val="22"/>
                <w:szCs w:val="22"/>
              </w:rPr>
              <w:t>9 ust. 8 pkt 4</w:t>
            </w:r>
          </w:p>
          <w:p w14:paraId="074D8CC3" w14:textId="77777777" w:rsidR="001E1112" w:rsidRPr="00317ABF" w:rsidRDefault="001E1112" w:rsidP="00DB3BEC">
            <w:pPr>
              <w:pStyle w:val="Tekstpodstawowy"/>
              <w:rPr>
                <w:b/>
                <w:noProof/>
                <w:sz w:val="22"/>
                <w:szCs w:val="22"/>
              </w:rPr>
            </w:pPr>
          </w:p>
          <w:p w14:paraId="451DD8E0" w14:textId="77777777" w:rsidR="001E1112" w:rsidRPr="00317ABF" w:rsidRDefault="001E1112" w:rsidP="00DB3BEC">
            <w:pPr>
              <w:pStyle w:val="Tekstpodstawowy"/>
              <w:rPr>
                <w:b/>
                <w:noProof/>
                <w:sz w:val="22"/>
                <w:szCs w:val="22"/>
              </w:rPr>
            </w:pPr>
          </w:p>
          <w:p w14:paraId="2515E085" w14:textId="77777777" w:rsidR="001E1112" w:rsidRPr="00317ABF" w:rsidRDefault="001E1112" w:rsidP="00DB3BEC">
            <w:pPr>
              <w:pStyle w:val="Tekstpodstawowy"/>
              <w:rPr>
                <w:b/>
                <w:noProof/>
                <w:sz w:val="22"/>
                <w:szCs w:val="22"/>
              </w:rPr>
            </w:pPr>
          </w:p>
          <w:p w14:paraId="53530B4F" w14:textId="77777777" w:rsidR="001E1112" w:rsidRPr="00317ABF" w:rsidRDefault="001E1112" w:rsidP="00DB3BEC">
            <w:pPr>
              <w:pStyle w:val="Tekstpodstawowy"/>
              <w:rPr>
                <w:b/>
                <w:noProof/>
                <w:sz w:val="22"/>
                <w:szCs w:val="22"/>
              </w:rPr>
            </w:pPr>
          </w:p>
          <w:p w14:paraId="33E5A9FF" w14:textId="77777777" w:rsidR="001E1112" w:rsidRPr="00317ABF" w:rsidRDefault="001E1112" w:rsidP="00DB3BEC">
            <w:pPr>
              <w:pStyle w:val="Tekstpodstawowy"/>
              <w:rPr>
                <w:b/>
                <w:noProof/>
                <w:sz w:val="22"/>
                <w:szCs w:val="22"/>
              </w:rPr>
            </w:pPr>
          </w:p>
          <w:p w14:paraId="0CB75C61" w14:textId="77777777" w:rsidR="001E1112" w:rsidRPr="00317ABF" w:rsidRDefault="001E1112" w:rsidP="00DB3BEC">
            <w:pPr>
              <w:pStyle w:val="Tekstpodstawowy"/>
              <w:rPr>
                <w:b/>
                <w:noProof/>
                <w:sz w:val="22"/>
                <w:szCs w:val="22"/>
              </w:rPr>
            </w:pPr>
          </w:p>
          <w:p w14:paraId="715FA650" w14:textId="77777777" w:rsidR="001E1112" w:rsidRPr="00317ABF" w:rsidRDefault="001E1112" w:rsidP="00DB3BEC">
            <w:pPr>
              <w:pStyle w:val="Tekstpodstawowy"/>
              <w:rPr>
                <w:b/>
                <w:noProof/>
                <w:sz w:val="22"/>
                <w:szCs w:val="22"/>
              </w:rPr>
            </w:pPr>
          </w:p>
          <w:p w14:paraId="7D7C4A4A" w14:textId="77777777" w:rsidR="001E1112" w:rsidRPr="00317ABF" w:rsidRDefault="001E1112" w:rsidP="00DB3BEC">
            <w:pPr>
              <w:pStyle w:val="Tekstpodstawowy"/>
              <w:rPr>
                <w:b/>
                <w:noProof/>
                <w:sz w:val="22"/>
                <w:szCs w:val="22"/>
              </w:rPr>
            </w:pPr>
          </w:p>
          <w:p w14:paraId="243AE335" w14:textId="77777777" w:rsidR="001E1112" w:rsidRPr="00317ABF" w:rsidRDefault="001E1112" w:rsidP="00DB3BEC">
            <w:pPr>
              <w:pStyle w:val="Tekstpodstawowy"/>
              <w:rPr>
                <w:b/>
                <w:noProof/>
                <w:sz w:val="22"/>
                <w:szCs w:val="22"/>
              </w:rPr>
            </w:pPr>
          </w:p>
          <w:p w14:paraId="022B3882" w14:textId="77777777" w:rsidR="001E1112" w:rsidRPr="00317ABF" w:rsidRDefault="001E1112" w:rsidP="00DB3BEC">
            <w:pPr>
              <w:pStyle w:val="Tekstpodstawowy"/>
              <w:rPr>
                <w:b/>
                <w:noProof/>
                <w:sz w:val="22"/>
                <w:szCs w:val="22"/>
              </w:rPr>
            </w:pPr>
          </w:p>
          <w:p w14:paraId="4F2374F2" w14:textId="77777777" w:rsidR="001E1112" w:rsidRPr="00317ABF" w:rsidRDefault="001E1112" w:rsidP="00DB3BEC">
            <w:pPr>
              <w:pStyle w:val="Tekstpodstawowy"/>
              <w:rPr>
                <w:b/>
                <w:noProof/>
                <w:sz w:val="22"/>
                <w:szCs w:val="22"/>
              </w:rPr>
            </w:pPr>
          </w:p>
          <w:p w14:paraId="3E45D72C" w14:textId="7EA16DF2" w:rsidR="001E1112" w:rsidRPr="00317ABF" w:rsidRDefault="00D1592F" w:rsidP="00DB3BEC">
            <w:pPr>
              <w:pStyle w:val="Tekstpodstawowy"/>
              <w:rPr>
                <w:b/>
                <w:noProof/>
                <w:sz w:val="22"/>
                <w:szCs w:val="22"/>
              </w:rPr>
            </w:pPr>
            <w:r w:rsidRPr="00317ABF">
              <w:rPr>
                <w:b/>
                <w:noProof/>
                <w:sz w:val="22"/>
                <w:szCs w:val="22"/>
              </w:rPr>
              <w:t>Art. 159 ust. 8 pkt 4 w zw. z art. 16</w:t>
            </w:r>
            <w:r w:rsidR="001E1112" w:rsidRPr="00317ABF">
              <w:rPr>
                <w:b/>
                <w:noProof/>
                <w:sz w:val="22"/>
                <w:szCs w:val="22"/>
              </w:rPr>
              <w:t>1 ust. 1 pkt 3</w:t>
            </w:r>
          </w:p>
        </w:tc>
        <w:tc>
          <w:tcPr>
            <w:tcW w:w="6814" w:type="dxa"/>
            <w:gridSpan w:val="2"/>
          </w:tcPr>
          <w:p w14:paraId="14E97FC3" w14:textId="7C5F48E1" w:rsidR="001E1112" w:rsidRPr="00317ABF" w:rsidRDefault="00D1592F" w:rsidP="00DB3BEC">
            <w:pPr>
              <w:jc w:val="both"/>
              <w:rPr>
                <w:b/>
                <w:sz w:val="22"/>
                <w:szCs w:val="22"/>
              </w:rPr>
            </w:pPr>
            <w:r w:rsidRPr="00317ABF">
              <w:rPr>
                <w:b/>
                <w:sz w:val="22"/>
                <w:szCs w:val="22"/>
              </w:rPr>
              <w:t>Art. 15</w:t>
            </w:r>
            <w:r w:rsidR="001E1112" w:rsidRPr="00317ABF">
              <w:rPr>
                <w:b/>
                <w:sz w:val="22"/>
                <w:szCs w:val="22"/>
              </w:rPr>
              <w:t xml:space="preserve">9 </w:t>
            </w:r>
          </w:p>
          <w:p w14:paraId="383C4CE9" w14:textId="4EFDE48C" w:rsidR="00D1592F" w:rsidRPr="00317ABF" w:rsidRDefault="00D1592F" w:rsidP="00DB3BEC">
            <w:pPr>
              <w:jc w:val="both"/>
              <w:rPr>
                <w:b/>
                <w:sz w:val="22"/>
                <w:szCs w:val="22"/>
              </w:rPr>
            </w:pPr>
            <w:r w:rsidRPr="00317ABF">
              <w:rPr>
                <w:b/>
                <w:sz w:val="22"/>
                <w:szCs w:val="22"/>
              </w:rPr>
              <w:t>(…)</w:t>
            </w:r>
          </w:p>
          <w:p w14:paraId="203D5EE2" w14:textId="77777777" w:rsidR="00D1592F" w:rsidRPr="00317ABF" w:rsidRDefault="00D1592F" w:rsidP="00D1592F">
            <w:pPr>
              <w:jc w:val="both"/>
              <w:rPr>
                <w:bCs/>
                <w:sz w:val="22"/>
                <w:szCs w:val="22"/>
              </w:rPr>
            </w:pPr>
            <w:r w:rsidRPr="00317ABF">
              <w:rPr>
                <w:bCs/>
                <w:sz w:val="22"/>
                <w:szCs w:val="22"/>
              </w:rPr>
              <w:t>8. Przyznanie prawa do wykorzystywania zasobów numeracji może określać warunki wykorzystywania lub udostępniania numeracji, w szczególności:</w:t>
            </w:r>
          </w:p>
          <w:p w14:paraId="37AD8A27" w14:textId="40126E6B" w:rsidR="00D1592F" w:rsidRPr="00317ABF" w:rsidRDefault="00D1592F" w:rsidP="00D1592F">
            <w:pPr>
              <w:jc w:val="both"/>
              <w:rPr>
                <w:bCs/>
                <w:sz w:val="22"/>
                <w:szCs w:val="22"/>
              </w:rPr>
            </w:pPr>
            <w:r w:rsidRPr="00317ABF">
              <w:rPr>
                <w:bCs/>
                <w:sz w:val="22"/>
                <w:szCs w:val="22"/>
              </w:rPr>
              <w:t>1) (…)</w:t>
            </w:r>
          </w:p>
          <w:p w14:paraId="1799DA61" w14:textId="77777777" w:rsidR="00D1592F" w:rsidRPr="00317ABF" w:rsidRDefault="00D1592F" w:rsidP="00D1592F">
            <w:pPr>
              <w:jc w:val="both"/>
              <w:rPr>
                <w:bCs/>
                <w:sz w:val="22"/>
                <w:szCs w:val="22"/>
              </w:rPr>
            </w:pPr>
            <w:r w:rsidRPr="00317ABF">
              <w:rPr>
                <w:bCs/>
                <w:sz w:val="22"/>
                <w:szCs w:val="22"/>
              </w:rPr>
              <w:t>4)</w:t>
            </w:r>
            <w:r w:rsidRPr="00317ABF">
              <w:rPr>
                <w:bCs/>
                <w:sz w:val="22"/>
                <w:szCs w:val="22"/>
              </w:rPr>
              <w:tab/>
              <w:t>zasady przyznania prawa do wykorzystywania numeracji wykorzystywanej transgranicznie na terenie Unii Europejskiej, uwzględniające przestrzeganie praw konsumentów i zasad użytkowania zasobów numeracji w państwach członkowskich, w których ta numeracja będzie użytkowana.</w:t>
            </w:r>
          </w:p>
          <w:p w14:paraId="02DFAC39" w14:textId="77777777" w:rsidR="001E1112" w:rsidRPr="00317ABF" w:rsidRDefault="001E1112" w:rsidP="00DB3BEC">
            <w:pPr>
              <w:jc w:val="both"/>
              <w:rPr>
                <w:sz w:val="22"/>
                <w:szCs w:val="22"/>
              </w:rPr>
            </w:pPr>
          </w:p>
          <w:p w14:paraId="59DEBED4" w14:textId="77777777" w:rsidR="001E1112" w:rsidRPr="00317ABF" w:rsidRDefault="001E1112" w:rsidP="00DB3BEC">
            <w:pPr>
              <w:jc w:val="both"/>
              <w:rPr>
                <w:sz w:val="22"/>
                <w:szCs w:val="22"/>
              </w:rPr>
            </w:pPr>
          </w:p>
          <w:p w14:paraId="514BA6BB" w14:textId="77777777" w:rsidR="001E1112" w:rsidRPr="00317ABF" w:rsidRDefault="001E1112" w:rsidP="00DB3BEC">
            <w:pPr>
              <w:jc w:val="both"/>
              <w:rPr>
                <w:sz w:val="22"/>
                <w:szCs w:val="22"/>
              </w:rPr>
            </w:pPr>
          </w:p>
          <w:p w14:paraId="5E482B00" w14:textId="77777777" w:rsidR="001E1112" w:rsidRPr="00317ABF" w:rsidRDefault="001E1112" w:rsidP="00DB3BEC">
            <w:pPr>
              <w:jc w:val="both"/>
              <w:rPr>
                <w:sz w:val="22"/>
                <w:szCs w:val="22"/>
              </w:rPr>
            </w:pPr>
          </w:p>
          <w:p w14:paraId="675020C8" w14:textId="77777777" w:rsidR="00D1592F" w:rsidRPr="00317ABF" w:rsidRDefault="00D1592F" w:rsidP="00D1592F">
            <w:pPr>
              <w:jc w:val="both"/>
              <w:rPr>
                <w:sz w:val="22"/>
                <w:szCs w:val="22"/>
              </w:rPr>
            </w:pPr>
            <w:r w:rsidRPr="00317ABF">
              <w:rPr>
                <w:rFonts w:ascii="Times" w:eastAsiaTheme="minorEastAsia" w:hAnsi="Times" w:cs="Times"/>
                <w:b/>
              </w:rPr>
              <w:t xml:space="preserve"> </w:t>
            </w:r>
            <w:r w:rsidRPr="00317ABF">
              <w:rPr>
                <w:b/>
                <w:sz w:val="22"/>
                <w:szCs w:val="22"/>
              </w:rPr>
              <w:t>Art. 161.</w:t>
            </w:r>
            <w:r w:rsidRPr="00317ABF">
              <w:rPr>
                <w:sz w:val="22"/>
                <w:szCs w:val="22"/>
              </w:rPr>
              <w:t xml:space="preserve"> </w:t>
            </w:r>
          </w:p>
          <w:p w14:paraId="06DFCC42" w14:textId="08069112" w:rsidR="00D1592F" w:rsidRPr="00317ABF" w:rsidRDefault="00D1592F" w:rsidP="00D1592F">
            <w:pPr>
              <w:jc w:val="both"/>
              <w:rPr>
                <w:sz w:val="22"/>
                <w:szCs w:val="22"/>
              </w:rPr>
            </w:pPr>
            <w:r w:rsidRPr="00317ABF">
              <w:rPr>
                <w:sz w:val="22"/>
                <w:szCs w:val="22"/>
              </w:rPr>
              <w:t>1. Prezes UKE może cofnąć prawo do wykorzystywania zasobów numeracji albo zmienić jego zakres, jeżeli:</w:t>
            </w:r>
          </w:p>
          <w:p w14:paraId="52ABB480" w14:textId="77777777" w:rsidR="00D1592F" w:rsidRPr="00317ABF" w:rsidRDefault="00D1592F" w:rsidP="00D1592F">
            <w:pPr>
              <w:jc w:val="both"/>
              <w:rPr>
                <w:bCs/>
                <w:sz w:val="22"/>
                <w:szCs w:val="22"/>
              </w:rPr>
            </w:pPr>
            <w:r w:rsidRPr="00317ABF">
              <w:rPr>
                <w:bCs/>
                <w:sz w:val="22"/>
                <w:szCs w:val="22"/>
              </w:rPr>
              <w:t>1)</w:t>
            </w:r>
            <w:r w:rsidRPr="00317ABF">
              <w:rPr>
                <w:bCs/>
                <w:sz w:val="22"/>
                <w:szCs w:val="22"/>
              </w:rPr>
              <w:tab/>
              <w:t>nastąpiły zmiany we właściwym planie numeracji krajowej dla publicznych sieci telekomunikacyjnych;</w:t>
            </w:r>
          </w:p>
          <w:p w14:paraId="20387901" w14:textId="77777777" w:rsidR="00D1592F" w:rsidRPr="00317ABF" w:rsidRDefault="00D1592F" w:rsidP="00D1592F">
            <w:pPr>
              <w:jc w:val="both"/>
              <w:rPr>
                <w:bCs/>
                <w:sz w:val="22"/>
                <w:szCs w:val="22"/>
              </w:rPr>
            </w:pPr>
            <w:r w:rsidRPr="00317ABF">
              <w:rPr>
                <w:bCs/>
                <w:sz w:val="22"/>
                <w:szCs w:val="22"/>
              </w:rPr>
              <w:t>2)</w:t>
            </w:r>
            <w:r w:rsidRPr="00317ABF">
              <w:rPr>
                <w:bCs/>
                <w:sz w:val="22"/>
                <w:szCs w:val="22"/>
              </w:rPr>
              <w:tab/>
              <w:t>podmiot, który uzyskał w drodze decyzji prawo do wykorzystywania zasobów numeracji, nie wykorzystuje przyznanego zakresu numeracji w sposób efektywny pod względem ilościowym, a w przypadku numerów dostępu i podobnych pojedynczych numerów nie uruchomił usługi określonej takim numerem w terminie 12 miesięcy od otrzymania decyzji o przyznaniu prawa do wykorzystywania zasobów numeracji;</w:t>
            </w:r>
          </w:p>
          <w:p w14:paraId="3186E16C" w14:textId="77777777" w:rsidR="00D1592F" w:rsidRPr="00317ABF" w:rsidRDefault="00D1592F" w:rsidP="00D1592F">
            <w:pPr>
              <w:jc w:val="both"/>
              <w:rPr>
                <w:bCs/>
                <w:sz w:val="22"/>
                <w:szCs w:val="22"/>
              </w:rPr>
            </w:pPr>
            <w:r w:rsidRPr="00317ABF">
              <w:rPr>
                <w:bCs/>
                <w:sz w:val="22"/>
                <w:szCs w:val="22"/>
              </w:rPr>
              <w:lastRenderedPageBreak/>
              <w:t>3)</w:t>
            </w:r>
            <w:r w:rsidRPr="00317ABF">
              <w:rPr>
                <w:bCs/>
                <w:sz w:val="22"/>
                <w:szCs w:val="22"/>
              </w:rPr>
              <w:tab/>
              <w:t>podmiot, który uzyskał prawo do wykorzystywania zasobów numeracji, wykorzystuje przyznaną numerację w sposób niezgodny z warunkami przyznania numeracji lub jej przeznaczeniem określonym we właściwym planie numeracji krajowej dla publicznych sieci telekomunikacyjnych lub</w:t>
            </w:r>
          </w:p>
          <w:p w14:paraId="7A0E1B56" w14:textId="66586D21" w:rsidR="001E1112" w:rsidRPr="00317ABF" w:rsidRDefault="00D1592F" w:rsidP="00D1592F">
            <w:pPr>
              <w:jc w:val="both"/>
              <w:rPr>
                <w:bCs/>
                <w:sz w:val="22"/>
                <w:szCs w:val="22"/>
              </w:rPr>
            </w:pPr>
            <w:r w:rsidRPr="00317ABF">
              <w:rPr>
                <w:bCs/>
                <w:sz w:val="22"/>
                <w:szCs w:val="22"/>
              </w:rPr>
              <w:t>4)</w:t>
            </w:r>
            <w:r w:rsidRPr="00317ABF">
              <w:rPr>
                <w:bCs/>
                <w:sz w:val="22"/>
                <w:szCs w:val="22"/>
              </w:rPr>
              <w:tab/>
              <w:t>podmiot, który uzyskał w drodze decyzji prawo do wykorzystywania zasobów numeracji, nie wnosi opłat za prawo do wykorzystywania numeracji.</w:t>
            </w:r>
          </w:p>
        </w:tc>
      </w:tr>
      <w:tr w:rsidR="001E1112" w:rsidRPr="00317ABF" w14:paraId="52A0512D" w14:textId="77777777" w:rsidTr="7753F98D">
        <w:trPr>
          <w:gridAfter w:val="2"/>
          <w:wAfter w:w="175" w:type="dxa"/>
        </w:trPr>
        <w:tc>
          <w:tcPr>
            <w:tcW w:w="704" w:type="dxa"/>
          </w:tcPr>
          <w:p w14:paraId="38198389" w14:textId="5CD727BE" w:rsidR="001E1112" w:rsidRPr="00317ABF" w:rsidRDefault="001E1112" w:rsidP="00DB3BEC">
            <w:pPr>
              <w:jc w:val="both"/>
              <w:rPr>
                <w:sz w:val="22"/>
                <w:szCs w:val="22"/>
              </w:rPr>
            </w:pPr>
            <w:r w:rsidRPr="00317ABF">
              <w:rPr>
                <w:sz w:val="22"/>
                <w:szCs w:val="22"/>
              </w:rPr>
              <w:lastRenderedPageBreak/>
              <w:t>Art. 94 ust. 7</w:t>
            </w:r>
          </w:p>
        </w:tc>
        <w:tc>
          <w:tcPr>
            <w:tcW w:w="4308" w:type="dxa"/>
          </w:tcPr>
          <w:p w14:paraId="155D2A93" w14:textId="77777777" w:rsidR="001E1112" w:rsidRPr="00317ABF" w:rsidRDefault="001E1112" w:rsidP="00DB3BEC">
            <w:pPr>
              <w:spacing w:before="120"/>
              <w:jc w:val="both"/>
              <w:rPr>
                <w:sz w:val="22"/>
                <w:szCs w:val="22"/>
              </w:rPr>
            </w:pPr>
            <w:r w:rsidRPr="00317ABF">
              <w:rPr>
                <w:sz w:val="22"/>
                <w:szCs w:val="22"/>
              </w:rPr>
              <w:t>7.   Niniejszy artykuł ma także zastosowanie, w przypadku gdy krajowe organy regulacyjne lub inne właściwe organy przyznają prawa użytkowania zasobów numeracyjnych przedsiębiorstwom innym niż dostawcy sieci lub usług łączności elektronicznej zgodnie z art. 93 ust. 2.</w:t>
            </w:r>
          </w:p>
        </w:tc>
        <w:tc>
          <w:tcPr>
            <w:tcW w:w="986" w:type="dxa"/>
          </w:tcPr>
          <w:p w14:paraId="0B12115B" w14:textId="3BCC9F56" w:rsidR="001E1112" w:rsidRPr="00317ABF" w:rsidRDefault="001E1112" w:rsidP="00DB3BEC">
            <w:pPr>
              <w:jc w:val="both"/>
              <w:rPr>
                <w:sz w:val="22"/>
                <w:szCs w:val="22"/>
              </w:rPr>
            </w:pPr>
            <w:r w:rsidRPr="00317ABF">
              <w:rPr>
                <w:sz w:val="22"/>
                <w:szCs w:val="22"/>
              </w:rPr>
              <w:t>T</w:t>
            </w:r>
          </w:p>
        </w:tc>
        <w:tc>
          <w:tcPr>
            <w:tcW w:w="910" w:type="dxa"/>
          </w:tcPr>
          <w:p w14:paraId="128D3F59" w14:textId="4F44555B" w:rsidR="001E1112" w:rsidRPr="00317ABF" w:rsidRDefault="00D1592F" w:rsidP="00DB3BEC">
            <w:pPr>
              <w:pStyle w:val="Tekstpodstawowy"/>
              <w:rPr>
                <w:b/>
                <w:noProof/>
                <w:sz w:val="22"/>
                <w:szCs w:val="22"/>
              </w:rPr>
            </w:pPr>
            <w:r w:rsidRPr="00317ABF">
              <w:rPr>
                <w:b/>
                <w:noProof/>
                <w:sz w:val="22"/>
                <w:szCs w:val="22"/>
              </w:rPr>
              <w:t>Art. 159 - 161</w:t>
            </w:r>
          </w:p>
        </w:tc>
        <w:tc>
          <w:tcPr>
            <w:tcW w:w="6814" w:type="dxa"/>
            <w:gridSpan w:val="2"/>
          </w:tcPr>
          <w:p w14:paraId="05061883" w14:textId="2633A3A9" w:rsidR="001E1112" w:rsidRPr="00317ABF" w:rsidRDefault="001E1112" w:rsidP="00DB3BEC">
            <w:pPr>
              <w:jc w:val="both"/>
              <w:rPr>
                <w:sz w:val="22"/>
                <w:szCs w:val="22"/>
              </w:rPr>
            </w:pPr>
            <w:r w:rsidRPr="00317ABF">
              <w:rPr>
                <w:sz w:val="22"/>
                <w:szCs w:val="22"/>
              </w:rPr>
              <w:t>Przepisy dotyczące gospodarowania numeracją są takie same bez względu na podmiot uzyskujący przydział numeracji.</w:t>
            </w:r>
          </w:p>
        </w:tc>
      </w:tr>
      <w:tr w:rsidR="001E1112" w:rsidRPr="00317ABF" w14:paraId="1611178E" w14:textId="77777777" w:rsidTr="7753F98D">
        <w:trPr>
          <w:gridAfter w:val="2"/>
          <w:wAfter w:w="175" w:type="dxa"/>
        </w:trPr>
        <w:tc>
          <w:tcPr>
            <w:tcW w:w="704" w:type="dxa"/>
          </w:tcPr>
          <w:p w14:paraId="5640789F" w14:textId="77777777" w:rsidR="001E1112" w:rsidRPr="00317ABF" w:rsidRDefault="001E1112" w:rsidP="00DB3BEC">
            <w:pPr>
              <w:jc w:val="both"/>
              <w:rPr>
                <w:b/>
                <w:sz w:val="22"/>
                <w:szCs w:val="22"/>
              </w:rPr>
            </w:pPr>
            <w:r w:rsidRPr="00317ABF">
              <w:rPr>
                <w:b/>
                <w:sz w:val="22"/>
                <w:szCs w:val="22"/>
              </w:rPr>
              <w:t>Art. 95</w:t>
            </w:r>
          </w:p>
        </w:tc>
        <w:tc>
          <w:tcPr>
            <w:tcW w:w="4308" w:type="dxa"/>
          </w:tcPr>
          <w:p w14:paraId="3374FF59" w14:textId="77777777" w:rsidR="001E1112" w:rsidRPr="00317ABF" w:rsidRDefault="001E1112" w:rsidP="00DB3BEC">
            <w:pPr>
              <w:spacing w:before="60" w:after="120"/>
              <w:jc w:val="both"/>
              <w:rPr>
                <w:b/>
                <w:bCs/>
                <w:sz w:val="22"/>
                <w:szCs w:val="22"/>
              </w:rPr>
            </w:pPr>
            <w:r w:rsidRPr="00317ABF">
              <w:rPr>
                <w:b/>
                <w:bCs/>
                <w:sz w:val="22"/>
                <w:szCs w:val="22"/>
              </w:rPr>
              <w:t>Opłaty za prawo użytkowania zasobów numeracyjnych</w:t>
            </w:r>
          </w:p>
          <w:p w14:paraId="570AC236" w14:textId="77777777" w:rsidR="001E1112" w:rsidRPr="00317ABF" w:rsidRDefault="001E1112" w:rsidP="00DB3BEC">
            <w:pPr>
              <w:spacing w:before="120"/>
              <w:jc w:val="both"/>
              <w:rPr>
                <w:sz w:val="22"/>
                <w:szCs w:val="22"/>
              </w:rPr>
            </w:pPr>
            <w:r w:rsidRPr="00317ABF">
              <w:rPr>
                <w:sz w:val="22"/>
                <w:szCs w:val="22"/>
              </w:rPr>
              <w:t>Państwa członkowskie mogą zezwolić krajowym organom regulacyjnym lub innym właściwym organom na nakładanie opłat za prawo użytkowania zasobów numeracyjnych, które odzwierciedlają potrzebę zapewnienia optymalnego wykorzystania tych zasobów. Państwa członkowskie zapewniają, by takie opłaty były obiektywnie uzasadnione, przejrzyste, niedyskryminacyjne i proporcjonalne stosownie do celu, jakiemu mają służyć, oraz by uwzględniały cele określone w art. 3.</w:t>
            </w:r>
          </w:p>
        </w:tc>
        <w:tc>
          <w:tcPr>
            <w:tcW w:w="986" w:type="dxa"/>
          </w:tcPr>
          <w:p w14:paraId="6DDEF41F" w14:textId="1C1095C8" w:rsidR="001E1112" w:rsidRPr="00317ABF" w:rsidRDefault="001E1112" w:rsidP="00DB3BEC">
            <w:pPr>
              <w:jc w:val="both"/>
              <w:rPr>
                <w:sz w:val="22"/>
                <w:szCs w:val="22"/>
              </w:rPr>
            </w:pPr>
            <w:r w:rsidRPr="00317ABF">
              <w:rPr>
                <w:sz w:val="22"/>
                <w:szCs w:val="22"/>
              </w:rPr>
              <w:t>T</w:t>
            </w:r>
          </w:p>
        </w:tc>
        <w:tc>
          <w:tcPr>
            <w:tcW w:w="910" w:type="dxa"/>
          </w:tcPr>
          <w:p w14:paraId="23D6B948" w14:textId="552091D0" w:rsidR="001E1112" w:rsidRPr="00317ABF" w:rsidRDefault="001E1112" w:rsidP="00E772AD">
            <w:pPr>
              <w:pStyle w:val="Tekstpodstawowy"/>
              <w:rPr>
                <w:b/>
                <w:noProof/>
                <w:sz w:val="22"/>
                <w:szCs w:val="22"/>
              </w:rPr>
            </w:pPr>
            <w:r w:rsidRPr="00317ABF">
              <w:rPr>
                <w:b/>
                <w:noProof/>
                <w:sz w:val="22"/>
                <w:szCs w:val="22"/>
              </w:rPr>
              <w:t>Art. 25</w:t>
            </w:r>
            <w:r w:rsidR="00EC588A" w:rsidRPr="00317ABF">
              <w:rPr>
                <w:b/>
                <w:noProof/>
                <w:sz w:val="22"/>
                <w:szCs w:val="22"/>
              </w:rPr>
              <w:t xml:space="preserve"> </w:t>
            </w:r>
          </w:p>
        </w:tc>
        <w:tc>
          <w:tcPr>
            <w:tcW w:w="6814" w:type="dxa"/>
            <w:gridSpan w:val="2"/>
          </w:tcPr>
          <w:p w14:paraId="17073E9A" w14:textId="60C3E6EF" w:rsidR="00E772AD" w:rsidRPr="00317ABF" w:rsidRDefault="00E772AD" w:rsidP="00E772AD">
            <w:pPr>
              <w:jc w:val="both"/>
              <w:rPr>
                <w:b/>
                <w:bCs/>
                <w:sz w:val="22"/>
                <w:szCs w:val="22"/>
              </w:rPr>
            </w:pPr>
            <w:r w:rsidRPr="00317ABF">
              <w:rPr>
                <w:b/>
                <w:bCs/>
                <w:sz w:val="22"/>
                <w:szCs w:val="22"/>
              </w:rPr>
              <w:t xml:space="preserve">Art. 25. </w:t>
            </w:r>
          </w:p>
          <w:p w14:paraId="79D0529E" w14:textId="66C380AA" w:rsidR="00E772AD" w:rsidRPr="00317ABF" w:rsidRDefault="00E772AD" w:rsidP="00E772AD">
            <w:pPr>
              <w:jc w:val="both"/>
              <w:rPr>
                <w:bCs/>
                <w:sz w:val="22"/>
                <w:szCs w:val="22"/>
              </w:rPr>
            </w:pPr>
            <w:r w:rsidRPr="00317ABF">
              <w:rPr>
                <w:bCs/>
                <w:sz w:val="22"/>
                <w:szCs w:val="22"/>
              </w:rPr>
              <w:t xml:space="preserve">1. Podmiot, który uzyskał w drodze decyzji prawo do wykorzystywania zasobów numeracji, uiszcza roczne opłaty za prawo do wykorzystywania zasobów numeracji. </w:t>
            </w:r>
          </w:p>
          <w:p w14:paraId="36D951FD" w14:textId="77777777" w:rsidR="00E772AD" w:rsidRPr="00317ABF" w:rsidRDefault="00E772AD" w:rsidP="00E772AD">
            <w:pPr>
              <w:jc w:val="both"/>
              <w:rPr>
                <w:bCs/>
                <w:sz w:val="22"/>
                <w:szCs w:val="22"/>
              </w:rPr>
            </w:pPr>
            <w:r w:rsidRPr="00317ABF">
              <w:rPr>
                <w:bCs/>
                <w:sz w:val="22"/>
                <w:szCs w:val="22"/>
              </w:rPr>
              <w:t>2. Opłaty, o których mowa w ust. 1 obejmują pełny rok kalendarzowy. Jeżeli w danym roku kalendarzowym podmiot posiada prawo do wykorzystywania zasobów numeracji przez okres krótszy od roku kalendarzowego, uiszcza on opłatę  w wysokości odpowiadającej 1/12 rocznej opłaty za każdy rozpoczęty miesiąc kalendarzowy, w którym podmiotowi to prawo przysługiwało.</w:t>
            </w:r>
          </w:p>
          <w:p w14:paraId="4A2B3279" w14:textId="77777777" w:rsidR="00E772AD" w:rsidRPr="00317ABF" w:rsidRDefault="00E772AD" w:rsidP="00E772AD">
            <w:pPr>
              <w:jc w:val="both"/>
              <w:rPr>
                <w:bCs/>
                <w:sz w:val="22"/>
                <w:szCs w:val="22"/>
              </w:rPr>
            </w:pPr>
            <w:bookmarkStart w:id="155" w:name="mip44759388"/>
            <w:bookmarkEnd w:id="155"/>
            <w:r w:rsidRPr="00317ABF">
              <w:rPr>
                <w:bCs/>
                <w:sz w:val="22"/>
                <w:szCs w:val="22"/>
              </w:rPr>
              <w:t>3. W przypadku cofnięcia przydziału numeracji lub zmiany jego zakresu z przyczyn określonych w art. 161 ust. 1 pkt 2-4 i ust. 2 podmiot uiszcza opłaty, o których mowa w ust. 1 obejmujące pełny rok kalendarzowy.</w:t>
            </w:r>
          </w:p>
          <w:p w14:paraId="763C2472" w14:textId="77777777" w:rsidR="00E772AD" w:rsidRPr="00317ABF" w:rsidRDefault="00E772AD" w:rsidP="00E772AD">
            <w:pPr>
              <w:jc w:val="both"/>
              <w:rPr>
                <w:bCs/>
                <w:sz w:val="22"/>
                <w:szCs w:val="22"/>
              </w:rPr>
            </w:pPr>
            <w:r w:rsidRPr="00317ABF">
              <w:rPr>
                <w:bCs/>
                <w:sz w:val="22"/>
                <w:szCs w:val="22"/>
              </w:rPr>
              <w:t>4. Opłaty, o których mowa w ust. 1 uiszcza się jednorazowo za cały rok, za który są należne lub w ratach półrocznych w wysokości równej 1/2 tych opłat.</w:t>
            </w:r>
          </w:p>
          <w:p w14:paraId="5326C4F9" w14:textId="77777777" w:rsidR="00E772AD" w:rsidRPr="00317ABF" w:rsidRDefault="00E772AD" w:rsidP="00E772AD">
            <w:pPr>
              <w:jc w:val="both"/>
              <w:rPr>
                <w:bCs/>
                <w:sz w:val="22"/>
                <w:szCs w:val="22"/>
              </w:rPr>
            </w:pPr>
            <w:r w:rsidRPr="00317ABF">
              <w:rPr>
                <w:bCs/>
                <w:sz w:val="22"/>
                <w:szCs w:val="22"/>
              </w:rPr>
              <w:t xml:space="preserve">5. </w:t>
            </w:r>
            <w:bookmarkStart w:id="156" w:name="mip44759389"/>
            <w:bookmarkEnd w:id="156"/>
            <w:r w:rsidRPr="00317ABF">
              <w:rPr>
                <w:bCs/>
                <w:sz w:val="22"/>
                <w:szCs w:val="22"/>
              </w:rPr>
              <w:t>Opłaty, o których mowa w ust. 1, nie mogą być wyższe niż:</w:t>
            </w:r>
          </w:p>
          <w:p w14:paraId="115F6185" w14:textId="77777777" w:rsidR="00E772AD" w:rsidRPr="00317ABF" w:rsidRDefault="00E772AD" w:rsidP="00E772AD">
            <w:pPr>
              <w:jc w:val="both"/>
              <w:rPr>
                <w:bCs/>
                <w:sz w:val="22"/>
                <w:szCs w:val="22"/>
              </w:rPr>
            </w:pPr>
            <w:bookmarkStart w:id="157" w:name="mip44759390"/>
            <w:bookmarkEnd w:id="157"/>
            <w:r w:rsidRPr="00317ABF">
              <w:rPr>
                <w:bCs/>
                <w:sz w:val="22"/>
                <w:szCs w:val="22"/>
              </w:rPr>
              <w:t>1)</w:t>
            </w:r>
            <w:r w:rsidRPr="00317ABF">
              <w:rPr>
                <w:bCs/>
                <w:sz w:val="22"/>
                <w:szCs w:val="22"/>
              </w:rPr>
              <w:tab/>
              <w:t>za numer abonencki – 0,35 złotego;</w:t>
            </w:r>
          </w:p>
          <w:p w14:paraId="132CF5B9" w14:textId="77777777" w:rsidR="00E772AD" w:rsidRPr="00317ABF" w:rsidRDefault="00E772AD" w:rsidP="00E772AD">
            <w:pPr>
              <w:jc w:val="both"/>
              <w:rPr>
                <w:bCs/>
                <w:sz w:val="22"/>
                <w:szCs w:val="22"/>
              </w:rPr>
            </w:pPr>
            <w:r w:rsidRPr="00317ABF">
              <w:rPr>
                <w:bCs/>
                <w:sz w:val="22"/>
                <w:szCs w:val="22"/>
              </w:rPr>
              <w:t>2)</w:t>
            </w:r>
            <w:r w:rsidRPr="00317ABF">
              <w:rPr>
                <w:bCs/>
                <w:sz w:val="22"/>
                <w:szCs w:val="22"/>
              </w:rPr>
              <w:tab/>
              <w:t>za numer dla komunikacji maszyna-maszyna – 0,35 złotego;</w:t>
            </w:r>
          </w:p>
          <w:p w14:paraId="3EDB7BD8" w14:textId="77777777" w:rsidR="00E772AD" w:rsidRPr="00317ABF" w:rsidRDefault="00E772AD" w:rsidP="00E772AD">
            <w:pPr>
              <w:jc w:val="both"/>
              <w:rPr>
                <w:bCs/>
                <w:sz w:val="22"/>
                <w:szCs w:val="22"/>
              </w:rPr>
            </w:pPr>
            <w:bookmarkStart w:id="158" w:name="mip44759391"/>
            <w:bookmarkEnd w:id="158"/>
            <w:r w:rsidRPr="00317ABF">
              <w:rPr>
                <w:bCs/>
                <w:sz w:val="22"/>
                <w:szCs w:val="22"/>
              </w:rPr>
              <w:t>3)</w:t>
            </w:r>
            <w:r w:rsidRPr="00317ABF">
              <w:rPr>
                <w:bCs/>
                <w:sz w:val="22"/>
                <w:szCs w:val="22"/>
              </w:rPr>
              <w:tab/>
              <w:t>za wyróżnik AB sieci telekomunikacyjnej przyznany podmiotowi wykonującemu działalność telekomunikacyjną – 180 000 złotych;</w:t>
            </w:r>
          </w:p>
          <w:p w14:paraId="052AEBCF" w14:textId="77777777" w:rsidR="00E772AD" w:rsidRPr="00317ABF" w:rsidRDefault="00E772AD" w:rsidP="00E772AD">
            <w:pPr>
              <w:jc w:val="both"/>
              <w:rPr>
                <w:bCs/>
                <w:sz w:val="22"/>
                <w:szCs w:val="22"/>
              </w:rPr>
            </w:pPr>
            <w:bookmarkStart w:id="159" w:name="mip44759392"/>
            <w:bookmarkEnd w:id="159"/>
            <w:r w:rsidRPr="00317ABF">
              <w:rPr>
                <w:bCs/>
                <w:sz w:val="22"/>
                <w:szCs w:val="22"/>
              </w:rPr>
              <w:lastRenderedPageBreak/>
              <w:t>4)</w:t>
            </w:r>
            <w:r w:rsidRPr="00317ABF">
              <w:rPr>
                <w:bCs/>
                <w:sz w:val="22"/>
                <w:szCs w:val="22"/>
              </w:rPr>
              <w:tab/>
              <w:t>za wyróżnik ruchomej sieci telekomunikacyjnej (PLMN) - 1 800 000 złotych;</w:t>
            </w:r>
          </w:p>
          <w:p w14:paraId="5AA50B9C" w14:textId="77777777" w:rsidR="00E772AD" w:rsidRPr="00317ABF" w:rsidRDefault="00E772AD" w:rsidP="00E772AD">
            <w:pPr>
              <w:jc w:val="both"/>
              <w:rPr>
                <w:bCs/>
                <w:sz w:val="22"/>
                <w:szCs w:val="22"/>
              </w:rPr>
            </w:pPr>
            <w:r w:rsidRPr="00317ABF">
              <w:rPr>
                <w:bCs/>
                <w:sz w:val="22"/>
                <w:szCs w:val="22"/>
              </w:rPr>
              <w:t>5)  za wyróżnik dla komunikacji maszyna – maszyna – 1 800 000 złotych;</w:t>
            </w:r>
          </w:p>
          <w:p w14:paraId="08BB4E58" w14:textId="77777777" w:rsidR="00E772AD" w:rsidRPr="00317ABF" w:rsidRDefault="00E772AD" w:rsidP="00E772AD">
            <w:pPr>
              <w:jc w:val="both"/>
              <w:rPr>
                <w:bCs/>
                <w:sz w:val="22"/>
                <w:szCs w:val="22"/>
              </w:rPr>
            </w:pPr>
            <w:bookmarkStart w:id="160" w:name="mip44759393"/>
            <w:bookmarkEnd w:id="160"/>
            <w:r w:rsidRPr="00317ABF">
              <w:rPr>
                <w:bCs/>
                <w:sz w:val="22"/>
                <w:szCs w:val="22"/>
              </w:rPr>
              <w:t>6)</w:t>
            </w:r>
            <w:r w:rsidRPr="00317ABF">
              <w:rPr>
                <w:bCs/>
                <w:sz w:val="22"/>
                <w:szCs w:val="22"/>
              </w:rPr>
              <w:tab/>
              <w:t>za numer dostępu do sieci (NDS) – 60 000 złotych;</w:t>
            </w:r>
          </w:p>
          <w:p w14:paraId="14B94450" w14:textId="77777777" w:rsidR="00E772AD" w:rsidRPr="00317ABF" w:rsidRDefault="00E772AD" w:rsidP="00E772AD">
            <w:pPr>
              <w:jc w:val="both"/>
              <w:rPr>
                <w:bCs/>
                <w:sz w:val="22"/>
                <w:szCs w:val="22"/>
              </w:rPr>
            </w:pPr>
            <w:bookmarkStart w:id="161" w:name="mip44759394"/>
            <w:bookmarkEnd w:id="161"/>
            <w:r w:rsidRPr="00317ABF">
              <w:rPr>
                <w:bCs/>
                <w:sz w:val="22"/>
                <w:szCs w:val="22"/>
              </w:rPr>
              <w:t>7)</w:t>
            </w:r>
            <w:r w:rsidRPr="00317ABF">
              <w:rPr>
                <w:bCs/>
                <w:sz w:val="22"/>
                <w:szCs w:val="22"/>
              </w:rPr>
              <w:tab/>
              <w:t>za numer 118CDU – 60 000 złotych;</w:t>
            </w:r>
          </w:p>
          <w:p w14:paraId="227E6956" w14:textId="77777777" w:rsidR="00E772AD" w:rsidRPr="00317ABF" w:rsidRDefault="00E772AD" w:rsidP="00E772AD">
            <w:pPr>
              <w:jc w:val="both"/>
              <w:rPr>
                <w:bCs/>
                <w:sz w:val="22"/>
                <w:szCs w:val="22"/>
              </w:rPr>
            </w:pPr>
            <w:bookmarkStart w:id="162" w:name="mip44759395"/>
            <w:bookmarkEnd w:id="162"/>
            <w:r w:rsidRPr="00317ABF">
              <w:rPr>
                <w:bCs/>
                <w:sz w:val="22"/>
                <w:szCs w:val="22"/>
              </w:rPr>
              <w:t>8)</w:t>
            </w:r>
            <w:r w:rsidRPr="00317ABF">
              <w:rPr>
                <w:bCs/>
                <w:sz w:val="22"/>
                <w:szCs w:val="22"/>
              </w:rPr>
              <w:tab/>
              <w:t>za numer dostępu do sieci teleinformatycznej (NDSI) – 550 złotych;</w:t>
            </w:r>
          </w:p>
          <w:p w14:paraId="669BCB87" w14:textId="77777777" w:rsidR="00E772AD" w:rsidRPr="00317ABF" w:rsidRDefault="00E772AD" w:rsidP="00E772AD">
            <w:pPr>
              <w:jc w:val="both"/>
              <w:rPr>
                <w:bCs/>
                <w:sz w:val="22"/>
                <w:szCs w:val="22"/>
              </w:rPr>
            </w:pPr>
            <w:bookmarkStart w:id="163" w:name="mip44759396"/>
            <w:bookmarkEnd w:id="163"/>
            <w:r w:rsidRPr="00317ABF">
              <w:rPr>
                <w:bCs/>
                <w:sz w:val="22"/>
                <w:szCs w:val="22"/>
              </w:rPr>
              <w:t>9)</w:t>
            </w:r>
            <w:r w:rsidRPr="00317ABF">
              <w:rPr>
                <w:bCs/>
                <w:sz w:val="22"/>
                <w:szCs w:val="22"/>
              </w:rPr>
              <w:tab/>
              <w:t>za numer strefowy abonenckich usług specjalnych za każdą strefę numeracyjną, w której przysługuje prawo do wykorzystywania numeru – 1600 zł; za numery alarmowe, z którymi połączenia są bezpłatne dla abonentów, opłata nie jest pobierana;</w:t>
            </w:r>
          </w:p>
          <w:p w14:paraId="01DBD83B" w14:textId="77777777" w:rsidR="00E772AD" w:rsidRPr="00317ABF" w:rsidRDefault="00E772AD" w:rsidP="00E772AD">
            <w:pPr>
              <w:jc w:val="both"/>
              <w:rPr>
                <w:bCs/>
                <w:sz w:val="22"/>
                <w:szCs w:val="22"/>
              </w:rPr>
            </w:pPr>
            <w:bookmarkStart w:id="164" w:name="mip44759397"/>
            <w:bookmarkEnd w:id="164"/>
            <w:r w:rsidRPr="00317ABF">
              <w:rPr>
                <w:bCs/>
                <w:sz w:val="22"/>
                <w:szCs w:val="22"/>
              </w:rPr>
              <w:t>10)</w:t>
            </w:r>
            <w:r w:rsidRPr="00317ABF">
              <w:rPr>
                <w:bCs/>
                <w:sz w:val="22"/>
                <w:szCs w:val="22"/>
              </w:rPr>
              <w:tab/>
              <w:t>za krajowy numer dostępu do usług sieci inteligentnej – 28 złotych;</w:t>
            </w:r>
          </w:p>
          <w:p w14:paraId="6A030F45" w14:textId="77777777" w:rsidR="00E772AD" w:rsidRPr="00317ABF" w:rsidRDefault="00E772AD" w:rsidP="00E772AD">
            <w:pPr>
              <w:jc w:val="both"/>
              <w:rPr>
                <w:bCs/>
                <w:sz w:val="22"/>
                <w:szCs w:val="22"/>
              </w:rPr>
            </w:pPr>
            <w:bookmarkStart w:id="165" w:name="mip44759398"/>
            <w:bookmarkEnd w:id="165"/>
            <w:r w:rsidRPr="00317ABF">
              <w:rPr>
                <w:bCs/>
                <w:sz w:val="22"/>
                <w:szCs w:val="22"/>
              </w:rPr>
              <w:t>11)</w:t>
            </w:r>
            <w:r w:rsidRPr="00317ABF">
              <w:rPr>
                <w:bCs/>
                <w:sz w:val="22"/>
                <w:szCs w:val="22"/>
              </w:rPr>
              <w:tab/>
              <w:t>za numer DNIC+PNIC w sieci transmisji danych z komutacją pakietów – 36 000 złotych;</w:t>
            </w:r>
          </w:p>
          <w:p w14:paraId="126DC0FC" w14:textId="77777777" w:rsidR="00E772AD" w:rsidRPr="00317ABF" w:rsidRDefault="00E772AD" w:rsidP="00E772AD">
            <w:pPr>
              <w:jc w:val="both"/>
              <w:rPr>
                <w:bCs/>
                <w:sz w:val="22"/>
                <w:szCs w:val="22"/>
              </w:rPr>
            </w:pPr>
            <w:bookmarkStart w:id="166" w:name="mip44759399"/>
            <w:bookmarkEnd w:id="166"/>
            <w:r w:rsidRPr="00317ABF">
              <w:rPr>
                <w:bCs/>
                <w:sz w:val="22"/>
                <w:szCs w:val="22"/>
              </w:rPr>
              <w:t>12)</w:t>
            </w:r>
            <w:r w:rsidRPr="00317ABF">
              <w:rPr>
                <w:bCs/>
                <w:sz w:val="22"/>
                <w:szCs w:val="22"/>
              </w:rPr>
              <w:tab/>
              <w:t>za numer punktu sygnalizacyjnego - 12 000 złotych;</w:t>
            </w:r>
          </w:p>
          <w:p w14:paraId="179131C8" w14:textId="77777777" w:rsidR="00E772AD" w:rsidRPr="00317ABF" w:rsidRDefault="00E772AD" w:rsidP="00E772AD">
            <w:pPr>
              <w:jc w:val="both"/>
              <w:rPr>
                <w:bCs/>
                <w:sz w:val="22"/>
                <w:szCs w:val="22"/>
              </w:rPr>
            </w:pPr>
            <w:bookmarkStart w:id="167" w:name="mip44759400"/>
            <w:bookmarkEnd w:id="167"/>
            <w:r w:rsidRPr="00317ABF">
              <w:rPr>
                <w:bCs/>
                <w:sz w:val="22"/>
                <w:szCs w:val="22"/>
              </w:rPr>
              <w:t>13)</w:t>
            </w:r>
            <w:r w:rsidRPr="00317ABF">
              <w:rPr>
                <w:bCs/>
                <w:sz w:val="22"/>
                <w:szCs w:val="22"/>
              </w:rPr>
              <w:tab/>
              <w:t>za numer zamkniętej grupy użytkowników (CUG) za każde osiem numerów CUG – 55 złotych;</w:t>
            </w:r>
          </w:p>
          <w:p w14:paraId="382F7BE8" w14:textId="77777777" w:rsidR="00E772AD" w:rsidRPr="00317ABF" w:rsidRDefault="00E772AD" w:rsidP="00E772AD">
            <w:pPr>
              <w:jc w:val="both"/>
              <w:rPr>
                <w:bCs/>
                <w:sz w:val="22"/>
                <w:szCs w:val="22"/>
              </w:rPr>
            </w:pPr>
            <w:bookmarkStart w:id="168" w:name="mip44759401"/>
            <w:bookmarkEnd w:id="168"/>
            <w:r w:rsidRPr="00317ABF">
              <w:rPr>
                <w:bCs/>
                <w:sz w:val="22"/>
                <w:szCs w:val="22"/>
              </w:rPr>
              <w:t>14)</w:t>
            </w:r>
            <w:r w:rsidRPr="00317ABF">
              <w:rPr>
                <w:bCs/>
                <w:sz w:val="22"/>
                <w:szCs w:val="22"/>
              </w:rPr>
              <w:tab/>
              <w:t>za kod sieci ruchomej (MNC) – 1200 złotych;</w:t>
            </w:r>
          </w:p>
          <w:p w14:paraId="10B13A3E" w14:textId="77777777" w:rsidR="00E772AD" w:rsidRPr="00317ABF" w:rsidRDefault="00E772AD" w:rsidP="00E772AD">
            <w:pPr>
              <w:jc w:val="both"/>
              <w:rPr>
                <w:bCs/>
                <w:sz w:val="22"/>
                <w:szCs w:val="22"/>
              </w:rPr>
            </w:pPr>
            <w:bookmarkStart w:id="169" w:name="mip44759402"/>
            <w:bookmarkEnd w:id="169"/>
            <w:r w:rsidRPr="00317ABF">
              <w:rPr>
                <w:bCs/>
                <w:sz w:val="22"/>
                <w:szCs w:val="22"/>
              </w:rPr>
              <w:t>15)</w:t>
            </w:r>
            <w:r w:rsidRPr="00317ABF">
              <w:rPr>
                <w:bCs/>
                <w:sz w:val="22"/>
                <w:szCs w:val="22"/>
              </w:rPr>
              <w:tab/>
              <w:t>za kod sieci ATM – 1200 złotych;</w:t>
            </w:r>
          </w:p>
          <w:p w14:paraId="7A141085" w14:textId="77777777" w:rsidR="00E772AD" w:rsidRPr="00317ABF" w:rsidRDefault="00E772AD" w:rsidP="00E772AD">
            <w:pPr>
              <w:jc w:val="both"/>
              <w:rPr>
                <w:bCs/>
                <w:sz w:val="22"/>
                <w:szCs w:val="22"/>
              </w:rPr>
            </w:pPr>
            <w:bookmarkStart w:id="170" w:name="mip44759403"/>
            <w:bookmarkEnd w:id="170"/>
            <w:r w:rsidRPr="00317ABF">
              <w:rPr>
                <w:bCs/>
                <w:sz w:val="22"/>
                <w:szCs w:val="22"/>
              </w:rPr>
              <w:t>16)</w:t>
            </w:r>
            <w:r w:rsidRPr="00317ABF">
              <w:rPr>
                <w:bCs/>
                <w:sz w:val="22"/>
                <w:szCs w:val="22"/>
              </w:rPr>
              <w:tab/>
              <w:t>za numer rutingowy (NR) – 1000 złotych.</w:t>
            </w:r>
          </w:p>
          <w:p w14:paraId="3493C9B7" w14:textId="77777777" w:rsidR="00E772AD" w:rsidRPr="00317ABF" w:rsidRDefault="00E772AD" w:rsidP="00E772AD">
            <w:pPr>
              <w:jc w:val="both"/>
              <w:rPr>
                <w:bCs/>
                <w:sz w:val="22"/>
                <w:szCs w:val="22"/>
              </w:rPr>
            </w:pPr>
            <w:bookmarkStart w:id="171" w:name="mip44759404"/>
            <w:bookmarkEnd w:id="171"/>
            <w:r w:rsidRPr="00317ABF">
              <w:rPr>
                <w:bCs/>
                <w:sz w:val="22"/>
                <w:szCs w:val="22"/>
              </w:rPr>
              <w:t>6. Obowiązek uiszczania opłat, o których mowa w ust. 1 ustaje nie później niż z upływem 30 dni od daty złożenia wniosku o rezygnacji z prawa do wykorzystywania zasobów numeracji.</w:t>
            </w:r>
          </w:p>
          <w:p w14:paraId="6069BE34" w14:textId="365D0D6C" w:rsidR="001E1112" w:rsidRPr="00317ABF" w:rsidRDefault="00E772AD" w:rsidP="00DB3BEC">
            <w:pPr>
              <w:jc w:val="both"/>
              <w:rPr>
                <w:b/>
                <w:bCs/>
                <w:sz w:val="22"/>
                <w:szCs w:val="22"/>
              </w:rPr>
            </w:pPr>
            <w:bookmarkStart w:id="172" w:name="mip44759405"/>
            <w:bookmarkEnd w:id="172"/>
            <w:r w:rsidRPr="00317ABF">
              <w:rPr>
                <w:bCs/>
                <w:sz w:val="22"/>
                <w:szCs w:val="22"/>
              </w:rPr>
              <w:t>7. Minister właściwy do spraw informatyzacji, w porozumieniu z ministrem właściwym do spraw finansów publicznych, określi, w drodze rozporządzenia, wysokość, terminy i sposób uiszczania opłat, o których mowa w ust. 1, mając na uwadze kwoty określone w ust. 5, oraz warunki wykorzystania zasobów numeracji, kierując się kosztami prowadzenia gospodarki zasobami numeracji, a także potrzebą zagwarantowania optymalnego wykorzystania zasobów numeracji.</w:t>
            </w:r>
          </w:p>
        </w:tc>
      </w:tr>
      <w:tr w:rsidR="001E1112" w:rsidRPr="00317ABF" w14:paraId="6DCB462B" w14:textId="77777777" w:rsidTr="7753F98D">
        <w:trPr>
          <w:gridAfter w:val="2"/>
          <w:wAfter w:w="175" w:type="dxa"/>
        </w:trPr>
        <w:tc>
          <w:tcPr>
            <w:tcW w:w="704" w:type="dxa"/>
          </w:tcPr>
          <w:p w14:paraId="23FCAF44" w14:textId="77777777" w:rsidR="001E1112" w:rsidRPr="00317ABF" w:rsidRDefault="001E1112" w:rsidP="00DB3BEC">
            <w:pPr>
              <w:jc w:val="both"/>
              <w:rPr>
                <w:b/>
                <w:sz w:val="22"/>
                <w:szCs w:val="22"/>
              </w:rPr>
            </w:pPr>
            <w:r w:rsidRPr="00317ABF">
              <w:rPr>
                <w:b/>
                <w:sz w:val="22"/>
                <w:szCs w:val="22"/>
              </w:rPr>
              <w:lastRenderedPageBreak/>
              <w:t>Art. 96</w:t>
            </w:r>
          </w:p>
        </w:tc>
        <w:tc>
          <w:tcPr>
            <w:tcW w:w="4308" w:type="dxa"/>
          </w:tcPr>
          <w:p w14:paraId="76B30E13" w14:textId="77777777" w:rsidR="001E1112" w:rsidRPr="00317ABF" w:rsidRDefault="001E1112" w:rsidP="00DB3BEC">
            <w:pPr>
              <w:spacing w:before="60" w:after="120"/>
              <w:jc w:val="both"/>
              <w:rPr>
                <w:b/>
                <w:bCs/>
                <w:sz w:val="22"/>
                <w:szCs w:val="22"/>
              </w:rPr>
            </w:pPr>
            <w:r w:rsidRPr="00317ABF">
              <w:rPr>
                <w:b/>
                <w:bCs/>
                <w:sz w:val="22"/>
                <w:szCs w:val="22"/>
              </w:rPr>
              <w:t>Infolinia umożliwiająca zgłaszanie przypadków zaginięcia dzieci i telefon zaufania dla dzieci</w:t>
            </w:r>
          </w:p>
        </w:tc>
        <w:tc>
          <w:tcPr>
            <w:tcW w:w="986" w:type="dxa"/>
          </w:tcPr>
          <w:p w14:paraId="2BEB495F" w14:textId="77777777" w:rsidR="001E1112" w:rsidRPr="00317ABF" w:rsidRDefault="001E1112" w:rsidP="00DB3BEC">
            <w:pPr>
              <w:jc w:val="both"/>
              <w:rPr>
                <w:sz w:val="22"/>
                <w:szCs w:val="22"/>
              </w:rPr>
            </w:pPr>
          </w:p>
        </w:tc>
        <w:tc>
          <w:tcPr>
            <w:tcW w:w="910" w:type="dxa"/>
          </w:tcPr>
          <w:p w14:paraId="59BBCE39" w14:textId="77777777" w:rsidR="001E1112" w:rsidRPr="00317ABF" w:rsidRDefault="001E1112" w:rsidP="00DB3BEC">
            <w:pPr>
              <w:pStyle w:val="Tekstpodstawowy"/>
              <w:rPr>
                <w:b/>
                <w:noProof/>
                <w:sz w:val="22"/>
                <w:szCs w:val="22"/>
              </w:rPr>
            </w:pPr>
          </w:p>
        </w:tc>
        <w:tc>
          <w:tcPr>
            <w:tcW w:w="6814" w:type="dxa"/>
            <w:gridSpan w:val="2"/>
          </w:tcPr>
          <w:p w14:paraId="07CD68EA" w14:textId="77777777" w:rsidR="001E1112" w:rsidRPr="00317ABF" w:rsidRDefault="001E1112" w:rsidP="00DB3BEC">
            <w:pPr>
              <w:pStyle w:val="Tekstpodstawowy"/>
              <w:rPr>
                <w:sz w:val="22"/>
                <w:szCs w:val="22"/>
              </w:rPr>
            </w:pPr>
          </w:p>
        </w:tc>
      </w:tr>
      <w:tr w:rsidR="001E1112" w:rsidRPr="00317ABF" w14:paraId="3D5E8CEA" w14:textId="77777777" w:rsidTr="7753F98D">
        <w:trPr>
          <w:gridAfter w:val="2"/>
          <w:wAfter w:w="175" w:type="dxa"/>
          <w:trHeight w:val="1938"/>
        </w:trPr>
        <w:tc>
          <w:tcPr>
            <w:tcW w:w="704" w:type="dxa"/>
          </w:tcPr>
          <w:p w14:paraId="17D55D0E" w14:textId="77777777" w:rsidR="001E1112" w:rsidRPr="00317ABF" w:rsidRDefault="001E1112" w:rsidP="00DB3BEC">
            <w:pPr>
              <w:jc w:val="both"/>
              <w:rPr>
                <w:sz w:val="22"/>
                <w:szCs w:val="22"/>
              </w:rPr>
            </w:pPr>
            <w:r w:rsidRPr="00317ABF">
              <w:rPr>
                <w:sz w:val="22"/>
                <w:szCs w:val="22"/>
              </w:rPr>
              <w:lastRenderedPageBreak/>
              <w:t>Art. 96 ust. 1</w:t>
            </w:r>
          </w:p>
        </w:tc>
        <w:tc>
          <w:tcPr>
            <w:tcW w:w="4308" w:type="dxa"/>
          </w:tcPr>
          <w:p w14:paraId="38F80E75" w14:textId="77777777" w:rsidR="001E1112" w:rsidRPr="00317ABF" w:rsidRDefault="001E1112" w:rsidP="00DB3BEC">
            <w:pPr>
              <w:spacing w:before="120"/>
              <w:jc w:val="both"/>
              <w:rPr>
                <w:sz w:val="22"/>
                <w:szCs w:val="22"/>
              </w:rPr>
            </w:pPr>
            <w:r w:rsidRPr="00317ABF">
              <w:rPr>
                <w:sz w:val="22"/>
                <w:szCs w:val="22"/>
              </w:rPr>
              <w:t>1.   Państwa członkowskie zapewniają, aby użytkownicy końcowi mieli bezpłatny dostęp do usługi umożliwiającej połączenie z infolinią pozwalającą zgłaszać przypadki zaginięcia dzieci. Infolinia ta jest udostępniana pod numerem „116000”.</w:t>
            </w:r>
          </w:p>
        </w:tc>
        <w:tc>
          <w:tcPr>
            <w:tcW w:w="986" w:type="dxa"/>
          </w:tcPr>
          <w:p w14:paraId="475F0FEE" w14:textId="47780E2E" w:rsidR="001E1112" w:rsidRPr="00317ABF" w:rsidRDefault="001E1112" w:rsidP="00DB3BEC">
            <w:pPr>
              <w:jc w:val="both"/>
              <w:rPr>
                <w:sz w:val="22"/>
                <w:szCs w:val="22"/>
              </w:rPr>
            </w:pPr>
            <w:r w:rsidRPr="00317ABF">
              <w:rPr>
                <w:sz w:val="22"/>
                <w:szCs w:val="22"/>
              </w:rPr>
              <w:t>T</w:t>
            </w:r>
          </w:p>
        </w:tc>
        <w:tc>
          <w:tcPr>
            <w:tcW w:w="910" w:type="dxa"/>
          </w:tcPr>
          <w:p w14:paraId="2FB98E32" w14:textId="4F936F31" w:rsidR="001E1112" w:rsidRPr="00317ABF" w:rsidRDefault="00B87DE6" w:rsidP="00DB3BEC">
            <w:pPr>
              <w:pStyle w:val="Tekstpodstawowy"/>
              <w:rPr>
                <w:b/>
                <w:noProof/>
                <w:sz w:val="22"/>
                <w:szCs w:val="22"/>
              </w:rPr>
            </w:pPr>
            <w:r w:rsidRPr="00317ABF">
              <w:rPr>
                <w:b/>
                <w:noProof/>
                <w:sz w:val="22"/>
                <w:szCs w:val="22"/>
              </w:rPr>
              <w:t>Art. 16</w:t>
            </w:r>
            <w:r w:rsidR="001E1112" w:rsidRPr="00317ABF">
              <w:rPr>
                <w:b/>
                <w:noProof/>
                <w:sz w:val="22"/>
                <w:szCs w:val="22"/>
              </w:rPr>
              <w:t>5 ust. 2</w:t>
            </w:r>
            <w:r w:rsidRPr="00317ABF">
              <w:rPr>
                <w:b/>
                <w:noProof/>
                <w:sz w:val="22"/>
                <w:szCs w:val="22"/>
              </w:rPr>
              <w:t xml:space="preserve"> i 3</w:t>
            </w:r>
          </w:p>
        </w:tc>
        <w:tc>
          <w:tcPr>
            <w:tcW w:w="6814" w:type="dxa"/>
            <w:gridSpan w:val="2"/>
          </w:tcPr>
          <w:p w14:paraId="3B1DA9F5" w14:textId="3D0EB22F" w:rsidR="00B87DE6" w:rsidRPr="00317ABF" w:rsidRDefault="001E1112" w:rsidP="00B87DE6">
            <w:pPr>
              <w:jc w:val="both"/>
              <w:rPr>
                <w:b/>
                <w:sz w:val="22"/>
                <w:szCs w:val="22"/>
              </w:rPr>
            </w:pPr>
            <w:r w:rsidRPr="00317ABF">
              <w:rPr>
                <w:b/>
                <w:sz w:val="22"/>
                <w:szCs w:val="22"/>
              </w:rPr>
              <w:t>Art. 1</w:t>
            </w:r>
            <w:r w:rsidR="00B87DE6" w:rsidRPr="00317ABF">
              <w:rPr>
                <w:b/>
                <w:sz w:val="22"/>
                <w:szCs w:val="22"/>
              </w:rPr>
              <w:t>65</w:t>
            </w:r>
          </w:p>
          <w:p w14:paraId="661D8FA7" w14:textId="4C1E9CBB" w:rsidR="00B87DE6" w:rsidRPr="00317ABF" w:rsidRDefault="00B87DE6" w:rsidP="00B87DE6">
            <w:pPr>
              <w:jc w:val="both"/>
              <w:rPr>
                <w:sz w:val="22"/>
                <w:szCs w:val="22"/>
              </w:rPr>
            </w:pPr>
            <w:r w:rsidRPr="00317ABF">
              <w:rPr>
                <w:sz w:val="22"/>
                <w:szCs w:val="22"/>
              </w:rPr>
              <w:t>(…)</w:t>
            </w:r>
          </w:p>
          <w:p w14:paraId="7B0FE724" w14:textId="77777777" w:rsidR="00B87DE6" w:rsidRPr="00317ABF" w:rsidRDefault="00B87DE6" w:rsidP="00B87DE6">
            <w:pPr>
              <w:jc w:val="both"/>
              <w:rPr>
                <w:bCs/>
                <w:sz w:val="22"/>
                <w:szCs w:val="22"/>
              </w:rPr>
            </w:pPr>
            <w:r w:rsidRPr="00317ABF">
              <w:rPr>
                <w:bCs/>
                <w:sz w:val="22"/>
                <w:szCs w:val="22"/>
              </w:rPr>
              <w:t>2. Numery zaczynające się od „116” ustala się jako przeznaczone do świadczenia usług o walorze społecznym, przy czym:</w:t>
            </w:r>
          </w:p>
          <w:p w14:paraId="2C233B61" w14:textId="77777777" w:rsidR="00B87DE6" w:rsidRPr="00317ABF" w:rsidRDefault="00B87DE6" w:rsidP="00B87DE6">
            <w:pPr>
              <w:jc w:val="both"/>
              <w:rPr>
                <w:bCs/>
                <w:sz w:val="22"/>
                <w:szCs w:val="22"/>
              </w:rPr>
            </w:pPr>
            <w:r w:rsidRPr="00317ABF">
              <w:rPr>
                <w:bCs/>
                <w:sz w:val="22"/>
                <w:szCs w:val="22"/>
              </w:rPr>
              <w:t>1)</w:t>
            </w:r>
            <w:r w:rsidRPr="00317ABF">
              <w:rPr>
                <w:bCs/>
                <w:sz w:val="22"/>
                <w:szCs w:val="22"/>
              </w:rPr>
              <w:tab/>
              <w:t>numer 116000 ustala się jako numer infolinii umożliwiającej zgłaszanie przypadków zaginięcia dzieci;</w:t>
            </w:r>
          </w:p>
          <w:p w14:paraId="5EA9AFE9" w14:textId="77777777" w:rsidR="00B87DE6" w:rsidRPr="00317ABF" w:rsidRDefault="00B87DE6" w:rsidP="00B87DE6">
            <w:pPr>
              <w:jc w:val="both"/>
              <w:rPr>
                <w:bCs/>
                <w:sz w:val="22"/>
                <w:szCs w:val="22"/>
              </w:rPr>
            </w:pPr>
            <w:r w:rsidRPr="00317ABF">
              <w:rPr>
                <w:bCs/>
                <w:sz w:val="22"/>
                <w:szCs w:val="22"/>
              </w:rPr>
              <w:t>2)</w:t>
            </w:r>
            <w:r w:rsidRPr="00317ABF">
              <w:rPr>
                <w:bCs/>
                <w:sz w:val="22"/>
                <w:szCs w:val="22"/>
              </w:rPr>
              <w:tab/>
              <w:t>numer 116111 ustala się jako numer na potrzeby działania telefonu zaufania dla dzieci.</w:t>
            </w:r>
          </w:p>
          <w:p w14:paraId="2ECE55E9" w14:textId="77777777" w:rsidR="00B87DE6" w:rsidRPr="00317ABF" w:rsidRDefault="00B87DE6" w:rsidP="00B87DE6">
            <w:pPr>
              <w:jc w:val="both"/>
              <w:rPr>
                <w:bCs/>
                <w:sz w:val="22"/>
                <w:szCs w:val="22"/>
              </w:rPr>
            </w:pPr>
            <w:r w:rsidRPr="00317ABF">
              <w:rPr>
                <w:bCs/>
                <w:sz w:val="22"/>
                <w:szCs w:val="22"/>
              </w:rPr>
              <w:t>3. Połączenia do numerów zaczynających się od 116 są bezpłatne dla użytkowników końcowych.</w:t>
            </w:r>
          </w:p>
          <w:p w14:paraId="6F5B0519" w14:textId="34D7BD18" w:rsidR="001E1112" w:rsidRPr="00317ABF" w:rsidRDefault="00B87DE6" w:rsidP="00DB3BEC">
            <w:pPr>
              <w:jc w:val="both"/>
              <w:rPr>
                <w:sz w:val="22"/>
                <w:szCs w:val="22"/>
              </w:rPr>
            </w:pPr>
            <w:bookmarkStart w:id="173" w:name="mip44758665"/>
            <w:bookmarkEnd w:id="173"/>
            <w:r w:rsidRPr="00317ABF">
              <w:rPr>
                <w:sz w:val="22"/>
                <w:szCs w:val="22"/>
              </w:rPr>
              <w:t>(…)</w:t>
            </w:r>
          </w:p>
        </w:tc>
      </w:tr>
      <w:tr w:rsidR="001E1112" w:rsidRPr="00317ABF" w14:paraId="7166B5CD" w14:textId="77777777" w:rsidTr="7753F98D">
        <w:trPr>
          <w:gridAfter w:val="2"/>
          <w:wAfter w:w="175" w:type="dxa"/>
        </w:trPr>
        <w:tc>
          <w:tcPr>
            <w:tcW w:w="704" w:type="dxa"/>
          </w:tcPr>
          <w:p w14:paraId="4001F9AA" w14:textId="53BCA1E5" w:rsidR="001E1112" w:rsidRPr="00317ABF" w:rsidRDefault="001E1112" w:rsidP="00DB3BEC">
            <w:pPr>
              <w:jc w:val="both"/>
              <w:rPr>
                <w:sz w:val="22"/>
                <w:szCs w:val="22"/>
              </w:rPr>
            </w:pPr>
            <w:r w:rsidRPr="00317ABF">
              <w:rPr>
                <w:sz w:val="22"/>
                <w:szCs w:val="22"/>
              </w:rPr>
              <w:t>Art. 96 ust. 2</w:t>
            </w:r>
          </w:p>
        </w:tc>
        <w:tc>
          <w:tcPr>
            <w:tcW w:w="4308" w:type="dxa"/>
          </w:tcPr>
          <w:p w14:paraId="08C4C2BE" w14:textId="77777777" w:rsidR="001E1112" w:rsidRPr="00317ABF" w:rsidRDefault="001E1112" w:rsidP="00DB3BEC">
            <w:pPr>
              <w:spacing w:before="120"/>
              <w:jc w:val="both"/>
              <w:rPr>
                <w:sz w:val="22"/>
                <w:szCs w:val="22"/>
              </w:rPr>
            </w:pPr>
            <w:r w:rsidRPr="00317ABF">
              <w:rPr>
                <w:sz w:val="22"/>
                <w:szCs w:val="22"/>
              </w:rPr>
              <w:t>2.   Państwa członkowskie zapewniają, aby użytkownicy końcowi z niepełnosprawnościami w możliwie jak największym stopniu mieli dostęp do usług świadczonych pod numerem „116000”. Środki wprowadzane w celu ułatwienia użytkownikom końcowym z niepełnosprawnościami dostępu do tych usług podczas podróżowania w innych państwach członkowskich opierają się na zapewnieniu zgodności z odpowiednimi normami lub specyfikacjami ustanowionymi zgodnie z art. 39.</w:t>
            </w:r>
          </w:p>
        </w:tc>
        <w:tc>
          <w:tcPr>
            <w:tcW w:w="986" w:type="dxa"/>
          </w:tcPr>
          <w:p w14:paraId="78AC2102" w14:textId="3635FFC2" w:rsidR="001E1112" w:rsidRPr="00317ABF" w:rsidRDefault="001E1112" w:rsidP="00DB3BEC">
            <w:pPr>
              <w:jc w:val="both"/>
              <w:rPr>
                <w:sz w:val="22"/>
                <w:szCs w:val="22"/>
              </w:rPr>
            </w:pPr>
            <w:r w:rsidRPr="00317ABF">
              <w:rPr>
                <w:sz w:val="22"/>
                <w:szCs w:val="22"/>
              </w:rPr>
              <w:t>T</w:t>
            </w:r>
          </w:p>
        </w:tc>
        <w:tc>
          <w:tcPr>
            <w:tcW w:w="910" w:type="dxa"/>
          </w:tcPr>
          <w:p w14:paraId="6F877E1B" w14:textId="62489723" w:rsidR="001E1112" w:rsidRPr="00317ABF" w:rsidRDefault="00700E57" w:rsidP="00DB3BEC">
            <w:pPr>
              <w:pStyle w:val="Tekstpodstawowy"/>
              <w:rPr>
                <w:b/>
                <w:noProof/>
                <w:sz w:val="22"/>
                <w:szCs w:val="22"/>
              </w:rPr>
            </w:pPr>
            <w:r w:rsidRPr="00317ABF">
              <w:rPr>
                <w:b/>
                <w:noProof/>
                <w:sz w:val="22"/>
                <w:szCs w:val="22"/>
              </w:rPr>
              <w:t xml:space="preserve">Art. 334 </w:t>
            </w:r>
          </w:p>
        </w:tc>
        <w:tc>
          <w:tcPr>
            <w:tcW w:w="6814" w:type="dxa"/>
            <w:gridSpan w:val="2"/>
          </w:tcPr>
          <w:p w14:paraId="6386D305" w14:textId="43515210" w:rsidR="00700E57" w:rsidRPr="00317ABF" w:rsidRDefault="001E1112" w:rsidP="00700E57">
            <w:pPr>
              <w:tabs>
                <w:tab w:val="left" w:pos="1452"/>
              </w:tabs>
              <w:jc w:val="both"/>
              <w:rPr>
                <w:b/>
                <w:bCs/>
                <w:sz w:val="22"/>
                <w:szCs w:val="22"/>
              </w:rPr>
            </w:pPr>
            <w:r w:rsidRPr="00317ABF">
              <w:rPr>
                <w:b/>
                <w:bCs/>
                <w:sz w:val="22"/>
                <w:szCs w:val="22"/>
              </w:rPr>
              <w:t xml:space="preserve">Art. </w:t>
            </w:r>
            <w:r w:rsidR="00700E57" w:rsidRPr="00317ABF">
              <w:rPr>
                <w:b/>
                <w:bCs/>
                <w:sz w:val="22"/>
                <w:szCs w:val="22"/>
              </w:rPr>
              <w:t>334</w:t>
            </w:r>
          </w:p>
          <w:p w14:paraId="00CB3C8E" w14:textId="7261CD25" w:rsidR="00700E57" w:rsidRPr="00317ABF" w:rsidRDefault="00700E57" w:rsidP="00700E57">
            <w:pPr>
              <w:tabs>
                <w:tab w:val="left" w:pos="1452"/>
              </w:tabs>
              <w:jc w:val="both"/>
              <w:rPr>
                <w:bCs/>
                <w:sz w:val="22"/>
                <w:szCs w:val="22"/>
              </w:rPr>
            </w:pPr>
            <w:r w:rsidRPr="00317ABF">
              <w:rPr>
                <w:bCs/>
                <w:sz w:val="22"/>
                <w:szCs w:val="22"/>
              </w:rPr>
              <w:t>1. Dostawca usług komunikacji elektronicznej zapewnia użytkownikom końcowym z niepełnosprawnościami dostęp do świadczonych przez siebie udogodnień i dostęp do świadczonych przez siebie usług równoważny dostępowi do usług komunikacji elektronicznej z jakiego korzysta większość użytkowników końcowych.</w:t>
            </w:r>
          </w:p>
          <w:p w14:paraId="4517F9F7" w14:textId="77777777" w:rsidR="00700E57" w:rsidRPr="00317ABF" w:rsidRDefault="00700E57" w:rsidP="00700E57">
            <w:pPr>
              <w:tabs>
                <w:tab w:val="left" w:pos="1452"/>
              </w:tabs>
              <w:jc w:val="both"/>
              <w:rPr>
                <w:sz w:val="22"/>
                <w:szCs w:val="22"/>
              </w:rPr>
            </w:pPr>
          </w:p>
          <w:p w14:paraId="0306E35D" w14:textId="29E827F7" w:rsidR="001E1112" w:rsidRPr="00317ABF" w:rsidRDefault="001E1112" w:rsidP="00DB3BEC">
            <w:pPr>
              <w:jc w:val="both"/>
              <w:rPr>
                <w:sz w:val="22"/>
                <w:szCs w:val="22"/>
              </w:rPr>
            </w:pPr>
          </w:p>
        </w:tc>
      </w:tr>
      <w:tr w:rsidR="001E1112" w:rsidRPr="00317ABF" w14:paraId="595AF070" w14:textId="77777777" w:rsidTr="7753F98D">
        <w:trPr>
          <w:gridAfter w:val="2"/>
          <w:wAfter w:w="175" w:type="dxa"/>
          <w:trHeight w:val="1647"/>
        </w:trPr>
        <w:tc>
          <w:tcPr>
            <w:tcW w:w="704" w:type="dxa"/>
          </w:tcPr>
          <w:p w14:paraId="207C15C0" w14:textId="43DD4036" w:rsidR="001E1112" w:rsidRPr="00317ABF" w:rsidRDefault="001E1112" w:rsidP="00DB3BEC">
            <w:pPr>
              <w:jc w:val="both"/>
              <w:rPr>
                <w:sz w:val="22"/>
                <w:szCs w:val="22"/>
              </w:rPr>
            </w:pPr>
            <w:r w:rsidRPr="00317ABF">
              <w:rPr>
                <w:sz w:val="22"/>
                <w:szCs w:val="22"/>
              </w:rPr>
              <w:t>Art. 96 ust. 3</w:t>
            </w:r>
          </w:p>
        </w:tc>
        <w:tc>
          <w:tcPr>
            <w:tcW w:w="4308" w:type="dxa"/>
          </w:tcPr>
          <w:p w14:paraId="2AAFEB5E" w14:textId="5AB75017" w:rsidR="001E1112" w:rsidRPr="00317ABF" w:rsidRDefault="001E1112" w:rsidP="00700E57">
            <w:pPr>
              <w:spacing w:before="120"/>
              <w:jc w:val="both"/>
              <w:rPr>
                <w:sz w:val="22"/>
                <w:szCs w:val="22"/>
              </w:rPr>
            </w:pPr>
            <w:r w:rsidRPr="00317ABF">
              <w:rPr>
                <w:sz w:val="22"/>
                <w:szCs w:val="22"/>
              </w:rPr>
              <w:t>3.   Państwa członkowskie przyjmują odpowiednie środki w celu zapewnienia, aby organ lub przedsiębiorstwo, któremu został przydzielony numer „116000”, przeznaczył zasoby niezbędne do funkcjonowania infolinii.</w:t>
            </w:r>
          </w:p>
        </w:tc>
        <w:tc>
          <w:tcPr>
            <w:tcW w:w="986" w:type="dxa"/>
          </w:tcPr>
          <w:p w14:paraId="04917CE6" w14:textId="16207AA6" w:rsidR="001E1112" w:rsidRPr="00317ABF" w:rsidRDefault="001E1112" w:rsidP="00DB3BEC">
            <w:pPr>
              <w:jc w:val="both"/>
              <w:rPr>
                <w:sz w:val="22"/>
                <w:szCs w:val="22"/>
              </w:rPr>
            </w:pPr>
            <w:r w:rsidRPr="00317ABF">
              <w:rPr>
                <w:sz w:val="22"/>
                <w:szCs w:val="22"/>
              </w:rPr>
              <w:t>N</w:t>
            </w:r>
          </w:p>
        </w:tc>
        <w:tc>
          <w:tcPr>
            <w:tcW w:w="910" w:type="dxa"/>
          </w:tcPr>
          <w:p w14:paraId="77575BAA" w14:textId="77777777" w:rsidR="001E1112" w:rsidRPr="00317ABF" w:rsidRDefault="001E1112" w:rsidP="00DB3BEC">
            <w:pPr>
              <w:pStyle w:val="Tekstpodstawowy"/>
              <w:rPr>
                <w:b/>
                <w:noProof/>
                <w:sz w:val="22"/>
                <w:szCs w:val="22"/>
              </w:rPr>
            </w:pPr>
          </w:p>
        </w:tc>
        <w:tc>
          <w:tcPr>
            <w:tcW w:w="6814" w:type="dxa"/>
            <w:gridSpan w:val="2"/>
          </w:tcPr>
          <w:p w14:paraId="6F36CC96" w14:textId="74485541" w:rsidR="001E1112" w:rsidRPr="00317ABF" w:rsidRDefault="00700E57" w:rsidP="00DB3BEC">
            <w:pPr>
              <w:jc w:val="both"/>
              <w:rPr>
                <w:sz w:val="22"/>
                <w:szCs w:val="22"/>
              </w:rPr>
            </w:pPr>
            <w:r w:rsidRPr="00317ABF">
              <w:rPr>
                <w:sz w:val="22"/>
                <w:szCs w:val="22"/>
              </w:rPr>
              <w:t>Kwestia finansowania numeru 116000 nie jest regulowana w ustawie. Dysponent numeru 116000 może prz</w:t>
            </w:r>
            <w:r w:rsidR="00D84657" w:rsidRPr="00317ABF">
              <w:rPr>
                <w:sz w:val="22"/>
                <w:szCs w:val="22"/>
              </w:rPr>
              <w:t>ystępować do otwartych konkursów i otrzymywać dotacje z budżetu państwa.</w:t>
            </w:r>
            <w:r w:rsidRPr="00317ABF">
              <w:rPr>
                <w:sz w:val="22"/>
                <w:szCs w:val="22"/>
              </w:rPr>
              <w:t xml:space="preserve"> </w:t>
            </w:r>
          </w:p>
        </w:tc>
      </w:tr>
      <w:tr w:rsidR="001E1112" w:rsidRPr="00317ABF" w14:paraId="6F6911E2" w14:textId="77777777" w:rsidTr="7753F98D">
        <w:trPr>
          <w:gridAfter w:val="2"/>
          <w:wAfter w:w="175" w:type="dxa"/>
        </w:trPr>
        <w:tc>
          <w:tcPr>
            <w:tcW w:w="704" w:type="dxa"/>
          </w:tcPr>
          <w:p w14:paraId="20DE7A12" w14:textId="77777777" w:rsidR="001E1112" w:rsidRPr="00317ABF" w:rsidRDefault="001E1112" w:rsidP="00DB3BEC">
            <w:pPr>
              <w:jc w:val="both"/>
              <w:rPr>
                <w:sz w:val="22"/>
                <w:szCs w:val="22"/>
              </w:rPr>
            </w:pPr>
            <w:r w:rsidRPr="00317ABF">
              <w:rPr>
                <w:sz w:val="22"/>
                <w:szCs w:val="22"/>
              </w:rPr>
              <w:t>Art. 96 ust. 4</w:t>
            </w:r>
          </w:p>
        </w:tc>
        <w:tc>
          <w:tcPr>
            <w:tcW w:w="4308" w:type="dxa"/>
          </w:tcPr>
          <w:p w14:paraId="2155D272" w14:textId="77777777" w:rsidR="001E1112" w:rsidRPr="00317ABF" w:rsidRDefault="001E1112" w:rsidP="00DB3BEC">
            <w:pPr>
              <w:spacing w:before="120"/>
              <w:jc w:val="both"/>
              <w:rPr>
                <w:sz w:val="22"/>
                <w:szCs w:val="22"/>
              </w:rPr>
            </w:pPr>
            <w:r w:rsidRPr="00317ABF">
              <w:rPr>
                <w:sz w:val="22"/>
                <w:szCs w:val="22"/>
              </w:rPr>
              <w:t>4.   Państwa członkowskie i Komisja zapewniają, aby użytkownicy końcowi byli odpowiednio informowani o istnieniu i korzystaniu z usług świadczonych pod numerem „116000” i, w stosownych przypadkach, pod numerem „116111”.</w:t>
            </w:r>
          </w:p>
        </w:tc>
        <w:tc>
          <w:tcPr>
            <w:tcW w:w="986" w:type="dxa"/>
          </w:tcPr>
          <w:p w14:paraId="18199D6A" w14:textId="56AC4966" w:rsidR="001E1112" w:rsidRPr="00317ABF" w:rsidRDefault="001E1112" w:rsidP="00DB3BEC">
            <w:pPr>
              <w:jc w:val="both"/>
              <w:rPr>
                <w:sz w:val="22"/>
                <w:szCs w:val="22"/>
              </w:rPr>
            </w:pPr>
            <w:r w:rsidRPr="00317ABF">
              <w:rPr>
                <w:sz w:val="22"/>
                <w:szCs w:val="22"/>
              </w:rPr>
              <w:t>T</w:t>
            </w:r>
          </w:p>
        </w:tc>
        <w:tc>
          <w:tcPr>
            <w:tcW w:w="910" w:type="dxa"/>
          </w:tcPr>
          <w:p w14:paraId="2766091F" w14:textId="4AB6DA84" w:rsidR="001E1112" w:rsidRPr="00317ABF" w:rsidRDefault="00B377AD" w:rsidP="00DB3BEC">
            <w:pPr>
              <w:pStyle w:val="Tekstpodstawowy"/>
              <w:rPr>
                <w:b/>
                <w:noProof/>
                <w:sz w:val="22"/>
                <w:szCs w:val="22"/>
              </w:rPr>
            </w:pPr>
            <w:r w:rsidRPr="00317ABF">
              <w:rPr>
                <w:b/>
                <w:noProof/>
                <w:sz w:val="22"/>
                <w:szCs w:val="22"/>
              </w:rPr>
              <w:t>Art. 165 ust. 4</w:t>
            </w:r>
          </w:p>
        </w:tc>
        <w:tc>
          <w:tcPr>
            <w:tcW w:w="6814" w:type="dxa"/>
            <w:gridSpan w:val="2"/>
          </w:tcPr>
          <w:p w14:paraId="769919E2" w14:textId="2163117D" w:rsidR="001E1112" w:rsidRPr="00317ABF" w:rsidRDefault="00B377AD" w:rsidP="00DB3BEC">
            <w:pPr>
              <w:jc w:val="both"/>
              <w:rPr>
                <w:b/>
                <w:sz w:val="22"/>
                <w:szCs w:val="22"/>
              </w:rPr>
            </w:pPr>
            <w:r w:rsidRPr="00317ABF">
              <w:rPr>
                <w:b/>
                <w:sz w:val="22"/>
                <w:szCs w:val="22"/>
              </w:rPr>
              <w:t>Art. 165</w:t>
            </w:r>
          </w:p>
          <w:p w14:paraId="6E3CB2F5" w14:textId="77777777" w:rsidR="00B377AD" w:rsidRPr="00317ABF" w:rsidRDefault="00B377AD" w:rsidP="00B377AD">
            <w:pPr>
              <w:jc w:val="both"/>
              <w:rPr>
                <w:bCs/>
                <w:sz w:val="22"/>
                <w:szCs w:val="22"/>
              </w:rPr>
            </w:pPr>
            <w:r w:rsidRPr="00317ABF">
              <w:rPr>
                <w:bCs/>
                <w:sz w:val="22"/>
                <w:szCs w:val="22"/>
              </w:rPr>
              <w:t>4. Minister właściwy do spraw administracji publicznej prowadzi działania w zakresie zwiększania świadomości społecznej i wiedzy na temat numeru 116000 i 116111.</w:t>
            </w:r>
          </w:p>
          <w:p w14:paraId="0DC61A73" w14:textId="034462CE" w:rsidR="001E1112" w:rsidRPr="00317ABF" w:rsidRDefault="001E1112" w:rsidP="00DB3BEC">
            <w:pPr>
              <w:jc w:val="both"/>
              <w:rPr>
                <w:sz w:val="22"/>
                <w:szCs w:val="22"/>
              </w:rPr>
            </w:pPr>
          </w:p>
        </w:tc>
      </w:tr>
      <w:tr w:rsidR="001E1112" w:rsidRPr="00317ABF" w14:paraId="4149FD41" w14:textId="77777777" w:rsidTr="7753F98D">
        <w:trPr>
          <w:gridAfter w:val="2"/>
          <w:wAfter w:w="175" w:type="dxa"/>
        </w:trPr>
        <w:tc>
          <w:tcPr>
            <w:tcW w:w="704" w:type="dxa"/>
          </w:tcPr>
          <w:p w14:paraId="60BA9913" w14:textId="6A82F8EC" w:rsidR="001E1112" w:rsidRPr="00317ABF" w:rsidRDefault="001E1112" w:rsidP="00DB3BEC">
            <w:pPr>
              <w:jc w:val="both"/>
              <w:rPr>
                <w:b/>
                <w:sz w:val="22"/>
                <w:szCs w:val="22"/>
              </w:rPr>
            </w:pPr>
            <w:r w:rsidRPr="00317ABF">
              <w:rPr>
                <w:b/>
                <w:sz w:val="22"/>
                <w:szCs w:val="22"/>
              </w:rPr>
              <w:t>Art. 97</w:t>
            </w:r>
          </w:p>
        </w:tc>
        <w:tc>
          <w:tcPr>
            <w:tcW w:w="4308" w:type="dxa"/>
          </w:tcPr>
          <w:p w14:paraId="0CFDB010" w14:textId="77777777" w:rsidR="001E1112" w:rsidRPr="00317ABF" w:rsidRDefault="001E1112" w:rsidP="00DB3BEC">
            <w:pPr>
              <w:spacing w:before="120"/>
              <w:jc w:val="both"/>
              <w:rPr>
                <w:sz w:val="22"/>
                <w:szCs w:val="22"/>
              </w:rPr>
            </w:pPr>
            <w:r w:rsidRPr="00317ABF">
              <w:rPr>
                <w:b/>
                <w:bCs/>
                <w:sz w:val="22"/>
                <w:szCs w:val="22"/>
              </w:rPr>
              <w:t>Dostęp do numerów i usług</w:t>
            </w:r>
          </w:p>
        </w:tc>
        <w:tc>
          <w:tcPr>
            <w:tcW w:w="986" w:type="dxa"/>
          </w:tcPr>
          <w:p w14:paraId="337A4412" w14:textId="77777777" w:rsidR="001E1112" w:rsidRPr="00317ABF" w:rsidRDefault="001E1112" w:rsidP="00DB3BEC">
            <w:pPr>
              <w:jc w:val="both"/>
              <w:rPr>
                <w:sz w:val="22"/>
                <w:szCs w:val="22"/>
              </w:rPr>
            </w:pPr>
          </w:p>
        </w:tc>
        <w:tc>
          <w:tcPr>
            <w:tcW w:w="910" w:type="dxa"/>
          </w:tcPr>
          <w:p w14:paraId="235591D3" w14:textId="77777777" w:rsidR="001E1112" w:rsidRPr="00317ABF" w:rsidRDefault="001E1112" w:rsidP="00DB3BEC">
            <w:pPr>
              <w:pStyle w:val="Tekstpodstawowy"/>
              <w:rPr>
                <w:b/>
                <w:noProof/>
                <w:sz w:val="22"/>
                <w:szCs w:val="22"/>
              </w:rPr>
            </w:pPr>
          </w:p>
        </w:tc>
        <w:tc>
          <w:tcPr>
            <w:tcW w:w="6814" w:type="dxa"/>
            <w:gridSpan w:val="2"/>
          </w:tcPr>
          <w:p w14:paraId="20E65462" w14:textId="77777777" w:rsidR="001E1112" w:rsidRPr="00317ABF" w:rsidRDefault="001E1112" w:rsidP="00DB3BEC">
            <w:pPr>
              <w:pStyle w:val="Tekstpodstawowy"/>
              <w:rPr>
                <w:sz w:val="22"/>
                <w:szCs w:val="22"/>
              </w:rPr>
            </w:pPr>
          </w:p>
        </w:tc>
      </w:tr>
      <w:tr w:rsidR="001E1112" w:rsidRPr="00317ABF" w14:paraId="68D4589B" w14:textId="77777777" w:rsidTr="7753F98D">
        <w:trPr>
          <w:gridAfter w:val="2"/>
          <w:wAfter w:w="175" w:type="dxa"/>
        </w:trPr>
        <w:tc>
          <w:tcPr>
            <w:tcW w:w="704" w:type="dxa"/>
          </w:tcPr>
          <w:p w14:paraId="71014F6E" w14:textId="77777777" w:rsidR="001E1112" w:rsidRPr="00317ABF" w:rsidRDefault="001E1112" w:rsidP="00DB3BEC">
            <w:pPr>
              <w:jc w:val="both"/>
              <w:rPr>
                <w:sz w:val="22"/>
                <w:szCs w:val="22"/>
              </w:rPr>
            </w:pPr>
            <w:r w:rsidRPr="00317ABF">
              <w:rPr>
                <w:sz w:val="22"/>
                <w:szCs w:val="22"/>
              </w:rPr>
              <w:lastRenderedPageBreak/>
              <w:t>Art. 97 ust. 1</w:t>
            </w:r>
          </w:p>
        </w:tc>
        <w:tc>
          <w:tcPr>
            <w:tcW w:w="4308" w:type="dxa"/>
          </w:tcPr>
          <w:p w14:paraId="628F3AA7" w14:textId="77777777" w:rsidR="001E1112" w:rsidRPr="00317ABF" w:rsidRDefault="001E1112" w:rsidP="00DB3BEC">
            <w:pPr>
              <w:spacing w:before="120"/>
              <w:jc w:val="both"/>
              <w:rPr>
                <w:sz w:val="22"/>
                <w:szCs w:val="22"/>
              </w:rPr>
            </w:pPr>
            <w:r w:rsidRPr="00317ABF">
              <w:rPr>
                <w:sz w:val="22"/>
                <w:szCs w:val="22"/>
              </w:rPr>
              <w:t>1.   Państwa członkowskie zapewniają, aby – w przypadku gdy jest to ekonomicznie wykonalne, z wyjątkiem sytuacji, gdy wywoływany użytkownik końcowy postanowił ze względów ekonomicznych ograniczyć dostęp stron wywołujących z poszczególnych obszarów geograficznych – krajowe organy regulacyjne lub inne właściwe organy podejmowały wszelkie niezbędne kroki w celu zapewnienia, aby użytkownicy końcowi mieli możliwość:</w:t>
            </w:r>
          </w:p>
          <w:tbl>
            <w:tblPr>
              <w:tblW w:w="5000" w:type="pct"/>
              <w:tblCellSpacing w:w="0" w:type="dxa"/>
              <w:tblLayout w:type="fixed"/>
              <w:tblCellMar>
                <w:left w:w="0" w:type="dxa"/>
                <w:right w:w="0" w:type="dxa"/>
              </w:tblCellMar>
              <w:tblLook w:val="04A0" w:firstRow="1" w:lastRow="0" w:firstColumn="1" w:lastColumn="0" w:noHBand="0" w:noVBand="1"/>
            </w:tblPr>
            <w:tblGrid>
              <w:gridCol w:w="20"/>
              <w:gridCol w:w="4148"/>
            </w:tblGrid>
            <w:tr w:rsidR="001E1112" w:rsidRPr="00317ABF" w14:paraId="03B09F56" w14:textId="77777777" w:rsidTr="0016481D">
              <w:trPr>
                <w:tblCellSpacing w:w="0" w:type="dxa"/>
              </w:trPr>
              <w:tc>
                <w:tcPr>
                  <w:tcW w:w="6" w:type="dxa"/>
                  <w:hideMark/>
                </w:tcPr>
                <w:p w14:paraId="644BCDDF" w14:textId="77777777" w:rsidR="001E1112" w:rsidRPr="00317ABF" w:rsidRDefault="001E1112" w:rsidP="00EE0AC3">
                  <w:pPr>
                    <w:framePr w:hSpace="141" w:wrap="around" w:vAnchor="text" w:hAnchor="text" w:xAlign="right" w:y="1"/>
                    <w:spacing w:before="120"/>
                    <w:suppressOverlap/>
                    <w:jc w:val="both"/>
                    <w:rPr>
                      <w:sz w:val="22"/>
                      <w:szCs w:val="22"/>
                    </w:rPr>
                  </w:pPr>
                </w:p>
              </w:tc>
              <w:tc>
                <w:tcPr>
                  <w:tcW w:w="9066" w:type="dxa"/>
                  <w:hideMark/>
                </w:tcPr>
                <w:p w14:paraId="472E6B70" w14:textId="77777777" w:rsidR="001E1112" w:rsidRPr="00317ABF" w:rsidRDefault="001E1112" w:rsidP="00EE0AC3">
                  <w:pPr>
                    <w:framePr w:hSpace="141" w:wrap="around" w:vAnchor="text" w:hAnchor="text" w:xAlign="right" w:y="1"/>
                    <w:numPr>
                      <w:ilvl w:val="0"/>
                      <w:numId w:val="75"/>
                    </w:numPr>
                    <w:spacing w:before="120"/>
                    <w:suppressOverlap/>
                    <w:jc w:val="both"/>
                    <w:rPr>
                      <w:sz w:val="22"/>
                      <w:szCs w:val="22"/>
                    </w:rPr>
                  </w:pPr>
                  <w:r w:rsidRPr="00317ABF">
                    <w:rPr>
                      <w:sz w:val="22"/>
                      <w:szCs w:val="22"/>
                    </w:rPr>
                    <w:t>dostępu w Unii do usług wykorzystujących numery niegeograficzne oraz możliwość korzystania z takich usług; oraz</w:t>
                  </w:r>
                </w:p>
              </w:tc>
            </w:tr>
          </w:tbl>
          <w:p w14:paraId="2F180976" w14:textId="77777777" w:rsidR="001E1112" w:rsidRPr="00317ABF" w:rsidRDefault="001E1112" w:rsidP="00DB3BEC">
            <w:pPr>
              <w:jc w:val="both"/>
              <w:rPr>
                <w:vanish/>
                <w:sz w:val="22"/>
                <w:szCs w:val="22"/>
              </w:rPr>
            </w:pPr>
          </w:p>
          <w:tbl>
            <w:tblPr>
              <w:tblW w:w="5000" w:type="pct"/>
              <w:tblCellSpacing w:w="0" w:type="dxa"/>
              <w:tblLayout w:type="fixed"/>
              <w:tblCellMar>
                <w:left w:w="0" w:type="dxa"/>
                <w:right w:w="0" w:type="dxa"/>
              </w:tblCellMar>
              <w:tblLook w:val="04A0" w:firstRow="1" w:lastRow="0" w:firstColumn="1" w:lastColumn="0" w:noHBand="0" w:noVBand="1"/>
            </w:tblPr>
            <w:tblGrid>
              <w:gridCol w:w="20"/>
              <w:gridCol w:w="4148"/>
            </w:tblGrid>
            <w:tr w:rsidR="001E1112" w:rsidRPr="00317ABF" w14:paraId="4C35EA30" w14:textId="77777777" w:rsidTr="0016481D">
              <w:trPr>
                <w:tblCellSpacing w:w="0" w:type="dxa"/>
              </w:trPr>
              <w:tc>
                <w:tcPr>
                  <w:tcW w:w="6" w:type="dxa"/>
                  <w:hideMark/>
                </w:tcPr>
                <w:p w14:paraId="04B5080A" w14:textId="77777777" w:rsidR="001E1112" w:rsidRPr="00317ABF" w:rsidRDefault="001E1112" w:rsidP="00EE0AC3">
                  <w:pPr>
                    <w:framePr w:hSpace="141" w:wrap="around" w:vAnchor="text" w:hAnchor="text" w:xAlign="right" w:y="1"/>
                    <w:spacing w:before="120"/>
                    <w:suppressOverlap/>
                    <w:jc w:val="both"/>
                    <w:rPr>
                      <w:sz w:val="22"/>
                      <w:szCs w:val="22"/>
                    </w:rPr>
                  </w:pPr>
                </w:p>
              </w:tc>
              <w:tc>
                <w:tcPr>
                  <w:tcW w:w="9066" w:type="dxa"/>
                  <w:hideMark/>
                </w:tcPr>
                <w:p w14:paraId="783A2BD1" w14:textId="77777777" w:rsidR="001E1112" w:rsidRPr="00317ABF" w:rsidRDefault="001E1112" w:rsidP="00EE0AC3">
                  <w:pPr>
                    <w:framePr w:hSpace="141" w:wrap="around" w:vAnchor="text" w:hAnchor="text" w:xAlign="right" w:y="1"/>
                    <w:numPr>
                      <w:ilvl w:val="0"/>
                      <w:numId w:val="75"/>
                    </w:numPr>
                    <w:spacing w:before="120"/>
                    <w:suppressOverlap/>
                    <w:jc w:val="both"/>
                    <w:rPr>
                      <w:sz w:val="22"/>
                      <w:szCs w:val="22"/>
                    </w:rPr>
                  </w:pPr>
                  <w:r w:rsidRPr="00317ABF">
                    <w:rPr>
                      <w:sz w:val="22"/>
                      <w:szCs w:val="22"/>
                    </w:rPr>
                    <w:t>dostępu, niezależnie od technologii i urządzeń wykorzystywanych przez operatora, do wszystkich numerów w Unii, również numerów uwzględnionych w krajowych planach numeracji państw członkowskich i należących do powszechnej międzynarodowej sieci bezpłatnych numerów telefonicznych (UIFN).</w:t>
                  </w:r>
                </w:p>
              </w:tc>
            </w:tr>
          </w:tbl>
          <w:p w14:paraId="656EA8ED" w14:textId="77777777" w:rsidR="001E1112" w:rsidRPr="00317ABF" w:rsidRDefault="001E1112" w:rsidP="00DB3BEC">
            <w:pPr>
              <w:spacing w:before="120"/>
              <w:jc w:val="both"/>
              <w:rPr>
                <w:sz w:val="22"/>
                <w:szCs w:val="22"/>
              </w:rPr>
            </w:pPr>
          </w:p>
        </w:tc>
        <w:tc>
          <w:tcPr>
            <w:tcW w:w="986" w:type="dxa"/>
          </w:tcPr>
          <w:p w14:paraId="00F8EA0A" w14:textId="0BF79E62" w:rsidR="001E1112" w:rsidRPr="00317ABF" w:rsidRDefault="001E1112" w:rsidP="00DB3BEC">
            <w:pPr>
              <w:jc w:val="both"/>
              <w:rPr>
                <w:sz w:val="22"/>
                <w:szCs w:val="22"/>
              </w:rPr>
            </w:pPr>
            <w:r w:rsidRPr="00317ABF">
              <w:rPr>
                <w:sz w:val="22"/>
                <w:szCs w:val="22"/>
              </w:rPr>
              <w:t>T</w:t>
            </w:r>
          </w:p>
        </w:tc>
        <w:tc>
          <w:tcPr>
            <w:tcW w:w="910" w:type="dxa"/>
          </w:tcPr>
          <w:p w14:paraId="1DCB68CE" w14:textId="172D0AAE" w:rsidR="001E1112" w:rsidRPr="00317ABF" w:rsidRDefault="00B377AD" w:rsidP="00DB3BEC">
            <w:pPr>
              <w:pStyle w:val="Tekstpodstawowy"/>
              <w:rPr>
                <w:b/>
                <w:noProof/>
                <w:sz w:val="22"/>
                <w:szCs w:val="22"/>
              </w:rPr>
            </w:pPr>
            <w:r w:rsidRPr="00317ABF">
              <w:rPr>
                <w:b/>
                <w:noProof/>
                <w:sz w:val="22"/>
                <w:szCs w:val="22"/>
              </w:rPr>
              <w:t>Art. 332</w:t>
            </w:r>
          </w:p>
        </w:tc>
        <w:tc>
          <w:tcPr>
            <w:tcW w:w="6814" w:type="dxa"/>
            <w:gridSpan w:val="2"/>
          </w:tcPr>
          <w:p w14:paraId="40F00EC8" w14:textId="77777777" w:rsidR="00B377AD" w:rsidRPr="00317ABF" w:rsidRDefault="00B377AD" w:rsidP="00DB3BEC">
            <w:pPr>
              <w:jc w:val="both"/>
              <w:rPr>
                <w:b/>
                <w:bCs/>
                <w:sz w:val="22"/>
                <w:szCs w:val="22"/>
              </w:rPr>
            </w:pPr>
            <w:r w:rsidRPr="00317ABF">
              <w:rPr>
                <w:b/>
                <w:bCs/>
                <w:sz w:val="22"/>
                <w:szCs w:val="22"/>
              </w:rPr>
              <w:t>Art. 332</w:t>
            </w:r>
          </w:p>
          <w:p w14:paraId="7935C2BF" w14:textId="420FAEB4" w:rsidR="00B377AD" w:rsidRPr="00317ABF" w:rsidRDefault="00B377AD" w:rsidP="00B377AD">
            <w:pPr>
              <w:jc w:val="both"/>
              <w:rPr>
                <w:sz w:val="22"/>
                <w:szCs w:val="22"/>
              </w:rPr>
            </w:pPr>
            <w:r w:rsidRPr="00317ABF">
              <w:rPr>
                <w:sz w:val="22"/>
                <w:szCs w:val="22"/>
              </w:rPr>
              <w:t>1. Operator publicznej sieci telekomunikacyjnej, w której świadczone są usługi komunikacji głosowej, zapewnia użytkownikom końcowym swojej sieci oraz użytkownikom końcowym z innych państw członkowskich, w przypadku gdy jest to technicznie i ekonomicznie wykonalne, możliwość dostępu:</w:t>
            </w:r>
          </w:p>
          <w:p w14:paraId="1E7D0AAE" w14:textId="77777777" w:rsidR="00B377AD" w:rsidRPr="00317ABF" w:rsidRDefault="00B377AD" w:rsidP="00B377AD">
            <w:pPr>
              <w:jc w:val="both"/>
              <w:rPr>
                <w:bCs/>
                <w:sz w:val="22"/>
                <w:szCs w:val="22"/>
              </w:rPr>
            </w:pPr>
            <w:r w:rsidRPr="00317ABF">
              <w:rPr>
                <w:bCs/>
                <w:sz w:val="22"/>
                <w:szCs w:val="22"/>
              </w:rPr>
              <w:t>1)</w:t>
            </w:r>
            <w:r w:rsidRPr="00317ABF">
              <w:rPr>
                <w:bCs/>
                <w:sz w:val="22"/>
                <w:szCs w:val="22"/>
              </w:rPr>
              <w:tab/>
              <w:t>w Unii Europejskiej do usług wykorzystujących numery niegeograficzne oraz możliwość korzystania z takich usług, oraz</w:t>
            </w:r>
          </w:p>
          <w:p w14:paraId="3E0F8143" w14:textId="77777777" w:rsidR="00B377AD" w:rsidRPr="00317ABF" w:rsidRDefault="00B377AD" w:rsidP="00B377AD">
            <w:pPr>
              <w:jc w:val="both"/>
              <w:rPr>
                <w:bCs/>
                <w:sz w:val="22"/>
                <w:szCs w:val="22"/>
              </w:rPr>
            </w:pPr>
            <w:r w:rsidRPr="00317ABF">
              <w:rPr>
                <w:bCs/>
                <w:sz w:val="22"/>
                <w:szCs w:val="22"/>
              </w:rPr>
              <w:t>2)</w:t>
            </w:r>
            <w:r w:rsidRPr="00317ABF">
              <w:rPr>
                <w:bCs/>
                <w:sz w:val="22"/>
                <w:szCs w:val="22"/>
              </w:rPr>
              <w:tab/>
              <w:t>do wszystkich numerów w Unii Europejskiej, w tym numerów uwzględnionych w krajowych planach numeracji i należących do powszechnej międzynarodowej sieci bezpłatnych numerów telefonicznych (UIFN), niezależnie od technologii i urządzeń wykorzystywanych przez operatora.</w:t>
            </w:r>
          </w:p>
          <w:p w14:paraId="73DECF30" w14:textId="77777777" w:rsidR="00B377AD" w:rsidRPr="00317ABF" w:rsidRDefault="00B377AD" w:rsidP="00B377AD">
            <w:pPr>
              <w:jc w:val="both"/>
              <w:rPr>
                <w:bCs/>
                <w:sz w:val="22"/>
                <w:szCs w:val="22"/>
              </w:rPr>
            </w:pPr>
            <w:r w:rsidRPr="00317ABF">
              <w:rPr>
                <w:bCs/>
                <w:sz w:val="22"/>
                <w:szCs w:val="22"/>
              </w:rPr>
              <w:t>2. Przepisu ust. 1 nie stosuje się do przypadków, gdy wywoływany abonent ograniczył połączenia przychodzące od użytkowników końcowych zlokalizowanych w poszczególnych obszarach geograficznych.</w:t>
            </w:r>
          </w:p>
          <w:p w14:paraId="45BF5B33" w14:textId="77777777" w:rsidR="00B377AD" w:rsidRPr="00317ABF" w:rsidRDefault="00B377AD" w:rsidP="00B377AD">
            <w:pPr>
              <w:jc w:val="both"/>
              <w:rPr>
                <w:bCs/>
                <w:sz w:val="22"/>
                <w:szCs w:val="22"/>
              </w:rPr>
            </w:pPr>
            <w:r w:rsidRPr="00317ABF">
              <w:rPr>
                <w:bCs/>
                <w:sz w:val="22"/>
                <w:szCs w:val="22"/>
              </w:rPr>
              <w:t>3. Prezes UKE na wniosek operatora publicznej sieci telekomunikacyjnej, w której świadczone są usługi komunikacji głosowej może, w drodze decyzji, zawiesić realizację lub ograniczyć zakres realizacji obowiązku, o którym mowa w ust. 1, jeżeli ze względów technicznych lub ekonomicznych wnioskodawca nie ma możliwości realizacji tego obowiązku w całości lub części. W przypadku zawieszenia realizacji obowiązku na czas oznaczony, Prezes UKE określi harmonogram przystosowania sieci wnioskodawcy do realizacji obowiązku objętego wnioskiem.</w:t>
            </w:r>
          </w:p>
          <w:p w14:paraId="5B6EDC9B" w14:textId="24B7E7B4" w:rsidR="00B377AD" w:rsidRPr="00317ABF" w:rsidRDefault="00B377AD" w:rsidP="00B377AD">
            <w:pPr>
              <w:jc w:val="both"/>
            </w:pPr>
          </w:p>
          <w:p w14:paraId="0E487B91" w14:textId="101D66D9" w:rsidR="001E1112" w:rsidRPr="00317ABF" w:rsidRDefault="001E1112" w:rsidP="00DB3BEC">
            <w:pPr>
              <w:jc w:val="both"/>
              <w:rPr>
                <w:sz w:val="22"/>
                <w:szCs w:val="22"/>
              </w:rPr>
            </w:pPr>
          </w:p>
        </w:tc>
      </w:tr>
      <w:tr w:rsidR="001E1112" w:rsidRPr="00317ABF" w14:paraId="6BC43694" w14:textId="77777777" w:rsidTr="7753F98D">
        <w:trPr>
          <w:gridAfter w:val="2"/>
          <w:wAfter w:w="175" w:type="dxa"/>
        </w:trPr>
        <w:tc>
          <w:tcPr>
            <w:tcW w:w="704" w:type="dxa"/>
          </w:tcPr>
          <w:p w14:paraId="0D9F65E2" w14:textId="5473D6D0" w:rsidR="001E1112" w:rsidRPr="00317ABF" w:rsidRDefault="001E1112" w:rsidP="00DB3BEC">
            <w:pPr>
              <w:jc w:val="both"/>
              <w:rPr>
                <w:sz w:val="22"/>
                <w:szCs w:val="22"/>
              </w:rPr>
            </w:pPr>
            <w:r w:rsidRPr="00317ABF">
              <w:rPr>
                <w:sz w:val="22"/>
                <w:szCs w:val="22"/>
              </w:rPr>
              <w:t>Art. 97 ust. 2</w:t>
            </w:r>
          </w:p>
        </w:tc>
        <w:tc>
          <w:tcPr>
            <w:tcW w:w="4308" w:type="dxa"/>
          </w:tcPr>
          <w:p w14:paraId="083A3762" w14:textId="77777777" w:rsidR="001E1112" w:rsidRPr="00317ABF" w:rsidRDefault="001E1112" w:rsidP="00DB3BEC">
            <w:pPr>
              <w:spacing w:before="120"/>
              <w:jc w:val="both"/>
              <w:rPr>
                <w:sz w:val="22"/>
                <w:szCs w:val="22"/>
              </w:rPr>
            </w:pPr>
            <w:r w:rsidRPr="00317ABF">
              <w:rPr>
                <w:sz w:val="22"/>
                <w:szCs w:val="22"/>
              </w:rPr>
              <w:t xml:space="preserve">2.   Państwa członkowskie zapewniają, aby krajowe organy regulacyjne lub inne właściwe organy mogły wymagać od podmiotów udostępniających publiczne sieci łączności elektronicznej lub świadczących publicznie dostępne usługi łączności elektronicznej zablokowania w indywidualnych przypadkach dostępu do numerów lub usług, w przypadku gdy jest to uzasadnione ze względu na oszustwo lub nadużycie, oraz wymagać, aby w takich przypadkach dostawcy usług łączności elektronicznej wstrzymali wypłatę dochodów </w:t>
            </w:r>
            <w:r w:rsidRPr="00317ABF">
              <w:rPr>
                <w:sz w:val="22"/>
                <w:szCs w:val="22"/>
              </w:rPr>
              <w:lastRenderedPageBreak/>
              <w:t>z odpowiednich połączeń wzajemnych lub innych usług.</w:t>
            </w:r>
          </w:p>
        </w:tc>
        <w:tc>
          <w:tcPr>
            <w:tcW w:w="986" w:type="dxa"/>
          </w:tcPr>
          <w:p w14:paraId="67AADE0D" w14:textId="1855048C" w:rsidR="001E1112" w:rsidRPr="00317ABF" w:rsidRDefault="001E1112" w:rsidP="00DB3BEC">
            <w:pPr>
              <w:jc w:val="both"/>
              <w:rPr>
                <w:sz w:val="22"/>
                <w:szCs w:val="22"/>
              </w:rPr>
            </w:pPr>
            <w:r w:rsidRPr="00317ABF">
              <w:rPr>
                <w:sz w:val="22"/>
                <w:szCs w:val="22"/>
              </w:rPr>
              <w:lastRenderedPageBreak/>
              <w:t>T</w:t>
            </w:r>
          </w:p>
        </w:tc>
        <w:tc>
          <w:tcPr>
            <w:tcW w:w="910" w:type="dxa"/>
          </w:tcPr>
          <w:p w14:paraId="6E4D3F53" w14:textId="1050CCE8" w:rsidR="001E1112" w:rsidRPr="00317ABF" w:rsidRDefault="00AE266A" w:rsidP="00DB3BEC">
            <w:pPr>
              <w:pStyle w:val="Tekstpodstawowy"/>
              <w:rPr>
                <w:b/>
                <w:noProof/>
                <w:sz w:val="22"/>
                <w:szCs w:val="22"/>
              </w:rPr>
            </w:pPr>
            <w:r w:rsidRPr="00317ABF">
              <w:rPr>
                <w:b/>
                <w:noProof/>
                <w:sz w:val="22"/>
                <w:szCs w:val="22"/>
              </w:rPr>
              <w:t>Art. 343</w:t>
            </w:r>
          </w:p>
        </w:tc>
        <w:tc>
          <w:tcPr>
            <w:tcW w:w="6814" w:type="dxa"/>
            <w:gridSpan w:val="2"/>
          </w:tcPr>
          <w:p w14:paraId="7126222F" w14:textId="43437233" w:rsidR="00AE266A" w:rsidRPr="00317ABF" w:rsidRDefault="00AE266A" w:rsidP="00AE266A">
            <w:pPr>
              <w:jc w:val="both"/>
              <w:rPr>
                <w:b/>
                <w:bCs/>
                <w:sz w:val="22"/>
                <w:szCs w:val="22"/>
              </w:rPr>
            </w:pPr>
            <w:r w:rsidRPr="00317ABF">
              <w:rPr>
                <w:b/>
                <w:bCs/>
                <w:sz w:val="22"/>
                <w:szCs w:val="22"/>
              </w:rPr>
              <w:t xml:space="preserve">Art. 343. </w:t>
            </w:r>
          </w:p>
          <w:p w14:paraId="59C65B06" w14:textId="5EFA4C06" w:rsidR="00AE266A" w:rsidRPr="00317ABF" w:rsidRDefault="00AE266A" w:rsidP="00AE266A">
            <w:pPr>
              <w:jc w:val="both"/>
              <w:rPr>
                <w:bCs/>
                <w:sz w:val="22"/>
                <w:szCs w:val="22"/>
              </w:rPr>
            </w:pPr>
            <w:r w:rsidRPr="00317ABF">
              <w:rPr>
                <w:bCs/>
                <w:sz w:val="22"/>
                <w:szCs w:val="22"/>
              </w:rPr>
              <w:t>1. Prezes UKE może, gdy jest to uzasadnione ochroną użytkowników końcowych przed nadużyciami telekomunikacyjnymi lub innymi nadużyciami z wykorzystaniem sieci telekomunikacyjnej, w drodze decyzji, nakazać:</w:t>
            </w:r>
          </w:p>
          <w:p w14:paraId="299ED64A" w14:textId="77777777" w:rsidR="00AE266A" w:rsidRPr="00317ABF" w:rsidRDefault="00AE266A" w:rsidP="00AE266A">
            <w:pPr>
              <w:jc w:val="both"/>
              <w:rPr>
                <w:bCs/>
                <w:sz w:val="22"/>
                <w:szCs w:val="22"/>
              </w:rPr>
            </w:pPr>
            <w:r w:rsidRPr="00317ABF">
              <w:rPr>
                <w:bCs/>
                <w:sz w:val="22"/>
                <w:szCs w:val="22"/>
              </w:rPr>
              <w:t>1)</w:t>
            </w:r>
            <w:r w:rsidRPr="00317ABF">
              <w:rPr>
                <w:bCs/>
                <w:sz w:val="22"/>
                <w:szCs w:val="22"/>
              </w:rPr>
              <w:tab/>
              <w:t>przedsiębiorcy komunikacji elektronicznej zablokowanie dostępu do numeru lub usługi, w określonym terminie, nie krótszym niż 5 dni roboczych od dnia doręczenia decyzji, oraz nałożyć obowiązek wstrzymania pobierania opłat za połączenia lub usługi zrealizowane po upływie tego terminu;</w:t>
            </w:r>
          </w:p>
          <w:p w14:paraId="4D8F97F1" w14:textId="77777777" w:rsidR="00AE266A" w:rsidRPr="00317ABF" w:rsidRDefault="00AE266A" w:rsidP="00AE266A">
            <w:pPr>
              <w:jc w:val="both"/>
              <w:rPr>
                <w:bCs/>
                <w:sz w:val="22"/>
                <w:szCs w:val="22"/>
              </w:rPr>
            </w:pPr>
            <w:r w:rsidRPr="00317ABF">
              <w:rPr>
                <w:bCs/>
                <w:sz w:val="22"/>
                <w:szCs w:val="22"/>
              </w:rPr>
              <w:lastRenderedPageBreak/>
              <w:t>2)</w:t>
            </w:r>
            <w:r w:rsidRPr="00317ABF">
              <w:rPr>
                <w:bCs/>
                <w:sz w:val="22"/>
                <w:szCs w:val="22"/>
              </w:rPr>
              <w:tab/>
              <w:t>podmiotowi realizującemu dodatkowe świadczenie zaprzestanie świadczenia usługi, w określonym terminie, nie krótszym niż 5 dni roboczych od dnia doręczenia decyzji;</w:t>
            </w:r>
          </w:p>
          <w:p w14:paraId="18C4E832" w14:textId="77777777" w:rsidR="00AE266A" w:rsidRPr="00317ABF" w:rsidRDefault="00AE266A" w:rsidP="00AE266A">
            <w:pPr>
              <w:jc w:val="both"/>
              <w:rPr>
                <w:bCs/>
                <w:sz w:val="22"/>
                <w:szCs w:val="22"/>
              </w:rPr>
            </w:pPr>
            <w:r w:rsidRPr="00317ABF">
              <w:rPr>
                <w:bCs/>
                <w:sz w:val="22"/>
                <w:szCs w:val="22"/>
              </w:rPr>
              <w:t>3)</w:t>
            </w:r>
            <w:r w:rsidRPr="00317ABF">
              <w:rPr>
                <w:bCs/>
                <w:sz w:val="22"/>
                <w:szCs w:val="22"/>
              </w:rPr>
              <w:tab/>
              <w:t>usługodawcy w rozumieniu ustawy z dnia 18 lipca 2002 r. o świadczeniu usług drogą elektroniczną (Dz. U. z 2020 r. poz. 344) usunięcie wszystkich publicznie dostępnych informacji zawartych w systemie teleinformatycznym, którym posługuje się usługodawca, zmierzających do promocji lub reklamy numeru lub usługi z dodatkowym świadczeniem.</w:t>
            </w:r>
          </w:p>
          <w:p w14:paraId="550C925D" w14:textId="77777777" w:rsidR="00AE266A" w:rsidRPr="00317ABF" w:rsidRDefault="00AE266A" w:rsidP="00AE266A">
            <w:pPr>
              <w:jc w:val="both"/>
              <w:rPr>
                <w:bCs/>
                <w:sz w:val="22"/>
                <w:szCs w:val="22"/>
              </w:rPr>
            </w:pPr>
            <w:r w:rsidRPr="00317ABF">
              <w:rPr>
                <w:bCs/>
                <w:sz w:val="22"/>
                <w:szCs w:val="22"/>
              </w:rPr>
              <w:t>2. Decyzji, o której mowa w ust. 1, nadaje się rygor natychmiastowej wykonalności.</w:t>
            </w:r>
          </w:p>
          <w:p w14:paraId="60EC8803" w14:textId="5AFA3649" w:rsidR="001E1112" w:rsidRPr="00317ABF" w:rsidRDefault="00AE266A" w:rsidP="00DB3BEC">
            <w:pPr>
              <w:jc w:val="both"/>
              <w:rPr>
                <w:bCs/>
                <w:sz w:val="22"/>
                <w:szCs w:val="22"/>
              </w:rPr>
            </w:pPr>
            <w:r w:rsidRPr="00317ABF">
              <w:rPr>
                <w:bCs/>
                <w:sz w:val="22"/>
                <w:szCs w:val="22"/>
              </w:rPr>
              <w:t>3. Decyzję, o której mowa w ust. 1 pkt 1, dotyczącą usługi z dodatkowym świadczeniem lub numeru wykorzystywanego do świadczenia usługi z dodatkowym świadczeniem doręcza się także podmiotowi realizującemu dodatkowe świadczenie.</w:t>
            </w:r>
          </w:p>
        </w:tc>
      </w:tr>
      <w:tr w:rsidR="001E1112" w:rsidRPr="00317ABF" w14:paraId="43D0CCB1" w14:textId="77777777" w:rsidTr="7753F98D">
        <w:trPr>
          <w:gridAfter w:val="2"/>
          <w:wAfter w:w="175" w:type="dxa"/>
        </w:trPr>
        <w:tc>
          <w:tcPr>
            <w:tcW w:w="704" w:type="dxa"/>
          </w:tcPr>
          <w:p w14:paraId="048E070D" w14:textId="77777777" w:rsidR="001E1112" w:rsidRPr="00317ABF" w:rsidRDefault="001E1112" w:rsidP="00DB3BEC">
            <w:pPr>
              <w:jc w:val="both"/>
              <w:rPr>
                <w:b/>
                <w:sz w:val="22"/>
                <w:szCs w:val="22"/>
              </w:rPr>
            </w:pPr>
            <w:r w:rsidRPr="00317ABF">
              <w:rPr>
                <w:b/>
                <w:sz w:val="22"/>
                <w:szCs w:val="22"/>
              </w:rPr>
              <w:lastRenderedPageBreak/>
              <w:t>Art. 98</w:t>
            </w:r>
          </w:p>
        </w:tc>
        <w:tc>
          <w:tcPr>
            <w:tcW w:w="4308" w:type="dxa"/>
          </w:tcPr>
          <w:p w14:paraId="06474536" w14:textId="77777777" w:rsidR="001E1112" w:rsidRPr="00317ABF" w:rsidRDefault="001E1112" w:rsidP="00DB3BEC">
            <w:pPr>
              <w:spacing w:before="60" w:after="120"/>
              <w:jc w:val="both"/>
              <w:rPr>
                <w:b/>
                <w:bCs/>
                <w:sz w:val="22"/>
                <w:szCs w:val="22"/>
              </w:rPr>
            </w:pPr>
            <w:r w:rsidRPr="00317ABF">
              <w:rPr>
                <w:b/>
                <w:bCs/>
                <w:sz w:val="22"/>
                <w:szCs w:val="22"/>
              </w:rPr>
              <w:t>Klauzula wyłączająca niektóre mikroprzedsiębiorstwa</w:t>
            </w:r>
          </w:p>
          <w:p w14:paraId="71655B70" w14:textId="77777777" w:rsidR="001E1112" w:rsidRPr="00317ABF" w:rsidRDefault="001E1112" w:rsidP="00DB3BEC">
            <w:pPr>
              <w:spacing w:before="120"/>
              <w:jc w:val="both"/>
              <w:rPr>
                <w:sz w:val="22"/>
                <w:szCs w:val="22"/>
              </w:rPr>
            </w:pPr>
            <w:r w:rsidRPr="00317ABF">
              <w:rPr>
                <w:sz w:val="22"/>
                <w:szCs w:val="22"/>
              </w:rPr>
              <w:t>Z wyjątkiem art. 99 i 100, niniejszy tytuł nie ma zastosowania do mikroprzedsiębiorstw świadczących usługi łączności interpersonalnej niewykorzystujące numerów, chyba że świadczą oni także inne usługi łączności elektronicznej.</w:t>
            </w:r>
          </w:p>
          <w:p w14:paraId="6BF2F745" w14:textId="77777777" w:rsidR="001E1112" w:rsidRPr="00317ABF" w:rsidRDefault="001E1112" w:rsidP="00DB3BEC">
            <w:pPr>
              <w:spacing w:before="120"/>
              <w:jc w:val="both"/>
              <w:rPr>
                <w:sz w:val="22"/>
                <w:szCs w:val="22"/>
              </w:rPr>
            </w:pPr>
            <w:r w:rsidRPr="00317ABF">
              <w:rPr>
                <w:sz w:val="22"/>
                <w:szCs w:val="22"/>
              </w:rPr>
              <w:t>Państwa członkowskie zapewniają, aby użytkownicy końcowi byli informowani o wyłączeniu, o którym mowa w ust. 1 przed zawarciem umowy z mikroprzedsiębiorstwem korzystającym z takiego wyłączenia</w:t>
            </w:r>
          </w:p>
        </w:tc>
        <w:tc>
          <w:tcPr>
            <w:tcW w:w="986" w:type="dxa"/>
          </w:tcPr>
          <w:p w14:paraId="2741C968" w14:textId="2E520E0D" w:rsidR="001E1112" w:rsidRPr="00317ABF" w:rsidRDefault="001E1112" w:rsidP="00DB3BEC">
            <w:pPr>
              <w:jc w:val="both"/>
              <w:rPr>
                <w:sz w:val="22"/>
                <w:szCs w:val="22"/>
              </w:rPr>
            </w:pPr>
            <w:r w:rsidRPr="00317ABF">
              <w:rPr>
                <w:sz w:val="22"/>
                <w:szCs w:val="22"/>
              </w:rPr>
              <w:t>T</w:t>
            </w:r>
          </w:p>
        </w:tc>
        <w:tc>
          <w:tcPr>
            <w:tcW w:w="910" w:type="dxa"/>
          </w:tcPr>
          <w:p w14:paraId="3D1FDAFC" w14:textId="1DDF7C03" w:rsidR="001E1112" w:rsidRPr="00317ABF" w:rsidRDefault="00C13BD9" w:rsidP="00DB3BEC">
            <w:pPr>
              <w:pStyle w:val="Tekstpodstawowy"/>
              <w:rPr>
                <w:b/>
                <w:bCs/>
                <w:noProof/>
                <w:sz w:val="22"/>
                <w:szCs w:val="22"/>
              </w:rPr>
            </w:pPr>
            <w:r w:rsidRPr="00317ABF">
              <w:rPr>
                <w:b/>
                <w:bCs/>
                <w:sz w:val="22"/>
                <w:szCs w:val="22"/>
              </w:rPr>
              <w:t>Art. 277 ust. 2 i 3</w:t>
            </w:r>
          </w:p>
        </w:tc>
        <w:tc>
          <w:tcPr>
            <w:tcW w:w="6814" w:type="dxa"/>
            <w:gridSpan w:val="2"/>
          </w:tcPr>
          <w:p w14:paraId="620E3DB9" w14:textId="77777777" w:rsidR="00C13BD9" w:rsidRPr="00317ABF" w:rsidRDefault="00C13BD9" w:rsidP="00C13BD9">
            <w:pPr>
              <w:pStyle w:val="Tekstpodstawowy"/>
              <w:rPr>
                <w:b/>
                <w:sz w:val="22"/>
                <w:szCs w:val="22"/>
              </w:rPr>
            </w:pPr>
            <w:r w:rsidRPr="00317ABF">
              <w:rPr>
                <w:b/>
                <w:sz w:val="22"/>
                <w:szCs w:val="22"/>
              </w:rPr>
              <w:t>Art. 277</w:t>
            </w:r>
          </w:p>
          <w:p w14:paraId="03FF5510" w14:textId="6B9713CC" w:rsidR="00C13BD9" w:rsidRPr="00317ABF" w:rsidRDefault="00C13BD9" w:rsidP="00C13BD9">
            <w:pPr>
              <w:pStyle w:val="Tekstpodstawowy"/>
              <w:rPr>
                <w:sz w:val="22"/>
                <w:szCs w:val="22"/>
              </w:rPr>
            </w:pPr>
            <w:r w:rsidRPr="00317ABF">
              <w:rPr>
                <w:sz w:val="22"/>
                <w:szCs w:val="22"/>
              </w:rPr>
              <w:t>(…)</w:t>
            </w:r>
          </w:p>
          <w:p w14:paraId="0BA3E92D" w14:textId="075EFCA0" w:rsidR="00C13BD9" w:rsidRPr="00317ABF" w:rsidRDefault="00C13BD9" w:rsidP="00C13BD9">
            <w:pPr>
              <w:pStyle w:val="Tekstpodstawowy"/>
              <w:rPr>
                <w:sz w:val="22"/>
                <w:szCs w:val="22"/>
              </w:rPr>
            </w:pPr>
            <w:r w:rsidRPr="00317ABF">
              <w:rPr>
                <w:sz w:val="22"/>
                <w:szCs w:val="22"/>
              </w:rPr>
              <w:t>2. Przepisów rozdziału 1, z wyjątkiem art. 292 ust. 1, nie stosuje się do przedsiębiorców komunikacji elektronicznej świadczących wyłącznie usługi komunikacji interpersonalnej niewykorzystujące numerów będących mikroprzedsiębiorcami w rozumieniu ustawy z dnia 6 marca 2018 r. - Prawo przedsiębiorców.</w:t>
            </w:r>
          </w:p>
          <w:p w14:paraId="2A351939" w14:textId="77777777" w:rsidR="00C13BD9" w:rsidRPr="00317ABF" w:rsidRDefault="00C13BD9" w:rsidP="00C13BD9">
            <w:pPr>
              <w:pStyle w:val="Tekstpodstawowy"/>
              <w:rPr>
                <w:bCs/>
                <w:sz w:val="22"/>
                <w:szCs w:val="22"/>
              </w:rPr>
            </w:pPr>
            <w:r w:rsidRPr="00317ABF">
              <w:rPr>
                <w:bCs/>
                <w:sz w:val="22"/>
                <w:szCs w:val="22"/>
              </w:rPr>
              <w:t>3. Przedsiębiorca, o którym mowa w ust. 2, informuje użytkowników końcowych przed zawarciem umowy o świadczenie usług komunikacji elektronicznej o wyłączeniu stosowania przepisów, o którym mowa w ust. 2.</w:t>
            </w:r>
          </w:p>
          <w:p w14:paraId="39A10DBC" w14:textId="40EDCCAB" w:rsidR="001E1112" w:rsidRPr="00317ABF" w:rsidRDefault="001E1112" w:rsidP="00C13BD9">
            <w:pPr>
              <w:jc w:val="both"/>
              <w:rPr>
                <w:sz w:val="22"/>
                <w:szCs w:val="22"/>
              </w:rPr>
            </w:pPr>
          </w:p>
        </w:tc>
      </w:tr>
      <w:tr w:rsidR="001E1112" w:rsidRPr="00317ABF" w14:paraId="7E94178E" w14:textId="77777777" w:rsidTr="7753F98D">
        <w:trPr>
          <w:gridAfter w:val="2"/>
          <w:wAfter w:w="175" w:type="dxa"/>
        </w:trPr>
        <w:tc>
          <w:tcPr>
            <w:tcW w:w="704" w:type="dxa"/>
          </w:tcPr>
          <w:p w14:paraId="2FD4B41A" w14:textId="5762CA7F" w:rsidR="001E1112" w:rsidRPr="00317ABF" w:rsidRDefault="001E1112" w:rsidP="00DB3BEC">
            <w:pPr>
              <w:jc w:val="both"/>
              <w:rPr>
                <w:b/>
                <w:sz w:val="22"/>
                <w:szCs w:val="22"/>
              </w:rPr>
            </w:pPr>
            <w:r w:rsidRPr="00317ABF">
              <w:rPr>
                <w:b/>
                <w:sz w:val="22"/>
                <w:szCs w:val="22"/>
              </w:rPr>
              <w:t>Art. 99</w:t>
            </w:r>
          </w:p>
        </w:tc>
        <w:tc>
          <w:tcPr>
            <w:tcW w:w="4308" w:type="dxa"/>
          </w:tcPr>
          <w:p w14:paraId="63C580E3" w14:textId="77777777" w:rsidR="001E1112" w:rsidRPr="00317ABF" w:rsidRDefault="001E1112" w:rsidP="00DB3BEC">
            <w:pPr>
              <w:spacing w:before="60" w:after="120"/>
              <w:jc w:val="both"/>
              <w:rPr>
                <w:b/>
                <w:bCs/>
                <w:sz w:val="22"/>
                <w:szCs w:val="22"/>
              </w:rPr>
            </w:pPr>
            <w:r w:rsidRPr="00317ABF">
              <w:rPr>
                <w:b/>
                <w:bCs/>
                <w:sz w:val="22"/>
                <w:szCs w:val="22"/>
              </w:rPr>
              <w:t>Niedyskryminacja</w:t>
            </w:r>
          </w:p>
          <w:p w14:paraId="730901DB" w14:textId="77777777" w:rsidR="001E1112" w:rsidRPr="00317ABF" w:rsidRDefault="001E1112" w:rsidP="00DB3BEC">
            <w:pPr>
              <w:spacing w:before="120"/>
              <w:jc w:val="both"/>
              <w:rPr>
                <w:sz w:val="22"/>
                <w:szCs w:val="22"/>
              </w:rPr>
            </w:pPr>
            <w:r w:rsidRPr="00317ABF">
              <w:rPr>
                <w:sz w:val="22"/>
                <w:szCs w:val="22"/>
              </w:rPr>
              <w:t xml:space="preserve">Dostawcy sieci lub usług łączności elektronicznej nie stosują wobec użytkowników końcowych żadnych innych wymogów lub ogólnych warunków dotyczących dostępu do tych sieci lub usług lub ich używania ze względów związanych z obywatelstwem, miejscem zamieszkania lub miejscem siedziby użytkownika końcowego, </w:t>
            </w:r>
            <w:r w:rsidRPr="00317ABF">
              <w:rPr>
                <w:sz w:val="22"/>
                <w:szCs w:val="22"/>
              </w:rPr>
              <w:lastRenderedPageBreak/>
              <w:t>chyba że takie inne traktowanie jest obiektywnie uzasadnione.</w:t>
            </w:r>
          </w:p>
        </w:tc>
        <w:tc>
          <w:tcPr>
            <w:tcW w:w="986" w:type="dxa"/>
          </w:tcPr>
          <w:p w14:paraId="5A2678A4" w14:textId="07D00002" w:rsidR="001E1112" w:rsidRPr="00317ABF" w:rsidRDefault="001E1112" w:rsidP="00DB3BEC">
            <w:pPr>
              <w:jc w:val="both"/>
              <w:rPr>
                <w:sz w:val="22"/>
                <w:szCs w:val="22"/>
              </w:rPr>
            </w:pPr>
            <w:r w:rsidRPr="00317ABF">
              <w:rPr>
                <w:sz w:val="22"/>
                <w:szCs w:val="22"/>
              </w:rPr>
              <w:lastRenderedPageBreak/>
              <w:t>T</w:t>
            </w:r>
          </w:p>
        </w:tc>
        <w:tc>
          <w:tcPr>
            <w:tcW w:w="910" w:type="dxa"/>
          </w:tcPr>
          <w:p w14:paraId="0857A4E4" w14:textId="1C074D59" w:rsidR="001E1112" w:rsidRPr="00317ABF" w:rsidRDefault="00C13BD9" w:rsidP="00DB3BEC">
            <w:pPr>
              <w:pStyle w:val="Tekstpodstawowy"/>
              <w:rPr>
                <w:b/>
                <w:noProof/>
                <w:sz w:val="22"/>
                <w:szCs w:val="22"/>
              </w:rPr>
            </w:pPr>
            <w:r w:rsidRPr="00317ABF">
              <w:rPr>
                <w:b/>
                <w:noProof/>
                <w:sz w:val="22"/>
                <w:szCs w:val="22"/>
              </w:rPr>
              <w:t>Art. 29</w:t>
            </w:r>
            <w:r w:rsidR="001E1112" w:rsidRPr="00317ABF">
              <w:rPr>
                <w:b/>
                <w:noProof/>
                <w:sz w:val="22"/>
                <w:szCs w:val="22"/>
              </w:rPr>
              <w:t>2 ust. 1</w:t>
            </w:r>
          </w:p>
        </w:tc>
        <w:tc>
          <w:tcPr>
            <w:tcW w:w="6814" w:type="dxa"/>
            <w:gridSpan w:val="2"/>
          </w:tcPr>
          <w:p w14:paraId="369E5ED1" w14:textId="33B8AA92" w:rsidR="00C13BD9" w:rsidRPr="00317ABF" w:rsidRDefault="00C13BD9" w:rsidP="00C13BD9">
            <w:pPr>
              <w:pStyle w:val="Tekstpodstawowy"/>
              <w:rPr>
                <w:sz w:val="22"/>
                <w:szCs w:val="22"/>
              </w:rPr>
            </w:pPr>
            <w:r w:rsidRPr="00317ABF">
              <w:rPr>
                <w:b/>
                <w:sz w:val="22"/>
                <w:szCs w:val="22"/>
              </w:rPr>
              <w:t>Art. 292.</w:t>
            </w:r>
            <w:r w:rsidRPr="00317ABF">
              <w:rPr>
                <w:sz w:val="22"/>
                <w:szCs w:val="22"/>
              </w:rPr>
              <w:t xml:space="preserve"> 1. Przedsiębiorca komunikacji elektronicznej zapewnia, aby warunki dostępu do usługi komunikacji elektronicznej nie dyskryminowały użytkowników końcowych ze względu na obywatelstwo, miejsce zamieszkania lub miejsce ich siedziby, chyba że ustanowienie odmiennych warunków jest obiektywnie uzasadnione lub wynika z obowiązujących przepisów.</w:t>
            </w:r>
          </w:p>
          <w:p w14:paraId="0691D342" w14:textId="2442CB5B" w:rsidR="001E1112" w:rsidRPr="00317ABF" w:rsidRDefault="001E1112" w:rsidP="00DB3BEC">
            <w:pPr>
              <w:jc w:val="both"/>
              <w:rPr>
                <w:sz w:val="22"/>
                <w:szCs w:val="22"/>
              </w:rPr>
            </w:pPr>
          </w:p>
        </w:tc>
      </w:tr>
      <w:tr w:rsidR="001E1112" w:rsidRPr="00317ABF" w14:paraId="36498C0F" w14:textId="77777777" w:rsidTr="7753F98D">
        <w:trPr>
          <w:gridAfter w:val="2"/>
          <w:wAfter w:w="175" w:type="dxa"/>
        </w:trPr>
        <w:tc>
          <w:tcPr>
            <w:tcW w:w="704" w:type="dxa"/>
          </w:tcPr>
          <w:p w14:paraId="372D1B87" w14:textId="77777777" w:rsidR="001E1112" w:rsidRPr="00317ABF" w:rsidRDefault="001E1112" w:rsidP="00DB3BEC">
            <w:pPr>
              <w:jc w:val="both"/>
              <w:rPr>
                <w:b/>
                <w:sz w:val="22"/>
                <w:szCs w:val="22"/>
              </w:rPr>
            </w:pPr>
            <w:r w:rsidRPr="00317ABF">
              <w:rPr>
                <w:b/>
                <w:sz w:val="22"/>
                <w:szCs w:val="22"/>
              </w:rPr>
              <w:lastRenderedPageBreak/>
              <w:t>Art. 100</w:t>
            </w:r>
          </w:p>
        </w:tc>
        <w:tc>
          <w:tcPr>
            <w:tcW w:w="4308" w:type="dxa"/>
          </w:tcPr>
          <w:p w14:paraId="49BF9627" w14:textId="77777777" w:rsidR="001E1112" w:rsidRPr="00317ABF" w:rsidRDefault="001E1112" w:rsidP="00DB3BEC">
            <w:pPr>
              <w:spacing w:before="120"/>
              <w:jc w:val="both"/>
              <w:rPr>
                <w:sz w:val="22"/>
                <w:szCs w:val="22"/>
              </w:rPr>
            </w:pPr>
            <w:r w:rsidRPr="00317ABF">
              <w:rPr>
                <w:b/>
                <w:bCs/>
                <w:sz w:val="22"/>
                <w:szCs w:val="22"/>
              </w:rPr>
              <w:t>Gwarancje praw podstawowych</w:t>
            </w:r>
          </w:p>
        </w:tc>
        <w:tc>
          <w:tcPr>
            <w:tcW w:w="986" w:type="dxa"/>
          </w:tcPr>
          <w:p w14:paraId="5BB99A36" w14:textId="77777777" w:rsidR="001E1112" w:rsidRPr="00317ABF" w:rsidRDefault="001E1112" w:rsidP="00DB3BEC">
            <w:pPr>
              <w:jc w:val="both"/>
              <w:rPr>
                <w:sz w:val="22"/>
                <w:szCs w:val="22"/>
              </w:rPr>
            </w:pPr>
          </w:p>
        </w:tc>
        <w:tc>
          <w:tcPr>
            <w:tcW w:w="910" w:type="dxa"/>
          </w:tcPr>
          <w:p w14:paraId="37DC7802" w14:textId="77777777" w:rsidR="001E1112" w:rsidRPr="00317ABF" w:rsidRDefault="001E1112" w:rsidP="00DB3BEC">
            <w:pPr>
              <w:pStyle w:val="Tekstpodstawowy"/>
              <w:rPr>
                <w:b/>
                <w:noProof/>
                <w:sz w:val="22"/>
                <w:szCs w:val="22"/>
              </w:rPr>
            </w:pPr>
          </w:p>
        </w:tc>
        <w:tc>
          <w:tcPr>
            <w:tcW w:w="6814" w:type="dxa"/>
            <w:gridSpan w:val="2"/>
          </w:tcPr>
          <w:p w14:paraId="1A34E213" w14:textId="77777777" w:rsidR="001E1112" w:rsidRPr="00317ABF" w:rsidRDefault="001E1112" w:rsidP="00DB3BEC">
            <w:pPr>
              <w:pStyle w:val="Tekstpodstawowy"/>
              <w:rPr>
                <w:sz w:val="22"/>
                <w:szCs w:val="22"/>
              </w:rPr>
            </w:pPr>
          </w:p>
        </w:tc>
      </w:tr>
      <w:tr w:rsidR="001E1112" w:rsidRPr="00317ABF" w14:paraId="5ACD3D54" w14:textId="77777777" w:rsidTr="7753F98D">
        <w:trPr>
          <w:gridAfter w:val="2"/>
          <w:wAfter w:w="175" w:type="dxa"/>
        </w:trPr>
        <w:tc>
          <w:tcPr>
            <w:tcW w:w="704" w:type="dxa"/>
          </w:tcPr>
          <w:p w14:paraId="0E096457" w14:textId="77777777" w:rsidR="001E1112" w:rsidRPr="00317ABF" w:rsidRDefault="001E1112" w:rsidP="00DB3BEC">
            <w:pPr>
              <w:jc w:val="both"/>
              <w:rPr>
                <w:sz w:val="22"/>
                <w:szCs w:val="22"/>
              </w:rPr>
            </w:pPr>
            <w:r w:rsidRPr="00317ABF">
              <w:rPr>
                <w:sz w:val="22"/>
                <w:szCs w:val="22"/>
              </w:rPr>
              <w:t>Art. 100 ust. 1</w:t>
            </w:r>
          </w:p>
        </w:tc>
        <w:tc>
          <w:tcPr>
            <w:tcW w:w="4308" w:type="dxa"/>
          </w:tcPr>
          <w:p w14:paraId="2C5C4A7F" w14:textId="13B2950D" w:rsidR="001E1112" w:rsidRPr="00317ABF" w:rsidRDefault="001E1112" w:rsidP="00DB3BEC">
            <w:pPr>
              <w:spacing w:before="120"/>
              <w:jc w:val="both"/>
              <w:rPr>
                <w:sz w:val="22"/>
                <w:szCs w:val="22"/>
              </w:rPr>
            </w:pPr>
            <w:r w:rsidRPr="00317ABF">
              <w:rPr>
                <w:sz w:val="22"/>
                <w:szCs w:val="22"/>
              </w:rPr>
              <w:t>1.   Krajowe środki dotyczące dostępu użytkowników końcowych do usług i aplikacji lub korzystania z nich za pośrednictwem sieci łączności elektronicznej przestrzegają postanowień Karty.</w:t>
            </w:r>
          </w:p>
        </w:tc>
        <w:tc>
          <w:tcPr>
            <w:tcW w:w="986" w:type="dxa"/>
          </w:tcPr>
          <w:p w14:paraId="0A28B4ED" w14:textId="72AB15D8" w:rsidR="001E1112" w:rsidRPr="00317ABF" w:rsidRDefault="00211F91" w:rsidP="00DB3BEC">
            <w:pPr>
              <w:jc w:val="both"/>
              <w:rPr>
                <w:sz w:val="22"/>
                <w:szCs w:val="22"/>
              </w:rPr>
            </w:pPr>
            <w:r w:rsidRPr="00317ABF">
              <w:rPr>
                <w:sz w:val="22"/>
                <w:szCs w:val="22"/>
              </w:rPr>
              <w:t>T</w:t>
            </w:r>
          </w:p>
        </w:tc>
        <w:tc>
          <w:tcPr>
            <w:tcW w:w="910" w:type="dxa"/>
          </w:tcPr>
          <w:p w14:paraId="071AEB83" w14:textId="30F3A90D" w:rsidR="001E1112" w:rsidRPr="00317ABF" w:rsidRDefault="001E1112" w:rsidP="00DB3BEC">
            <w:pPr>
              <w:pStyle w:val="Tekstpodstawowy"/>
              <w:rPr>
                <w:b/>
                <w:noProof/>
                <w:sz w:val="22"/>
                <w:szCs w:val="22"/>
              </w:rPr>
            </w:pPr>
          </w:p>
        </w:tc>
        <w:tc>
          <w:tcPr>
            <w:tcW w:w="6814" w:type="dxa"/>
            <w:gridSpan w:val="2"/>
          </w:tcPr>
          <w:p w14:paraId="04DE7FF6" w14:textId="0C91F18A" w:rsidR="001E1112" w:rsidRPr="00317ABF" w:rsidRDefault="00211F91" w:rsidP="00211F91">
            <w:pPr>
              <w:pStyle w:val="USTustnpkodeksu"/>
              <w:spacing w:line="240" w:lineRule="auto"/>
              <w:ind w:firstLine="0"/>
              <w:rPr>
                <w:rFonts w:ascii="Times New Roman" w:hAnsi="Times New Roman" w:cs="Times New Roman"/>
                <w:sz w:val="22"/>
                <w:szCs w:val="22"/>
              </w:rPr>
            </w:pPr>
            <w:r w:rsidRPr="00317ABF">
              <w:rPr>
                <w:rFonts w:ascii="Times New Roman" w:hAnsi="Times New Roman" w:cs="Times New Roman"/>
                <w:sz w:val="22"/>
                <w:szCs w:val="22"/>
              </w:rPr>
              <w:t>Realizacja tego warunku wynika z ogółu przepisów dotyczących dostępu  i korzystania z usług.</w:t>
            </w:r>
          </w:p>
        </w:tc>
      </w:tr>
      <w:tr w:rsidR="001E1112" w:rsidRPr="00317ABF" w14:paraId="6F8BC1BA" w14:textId="77777777" w:rsidTr="7753F98D">
        <w:trPr>
          <w:gridAfter w:val="2"/>
          <w:wAfter w:w="175" w:type="dxa"/>
        </w:trPr>
        <w:tc>
          <w:tcPr>
            <w:tcW w:w="704" w:type="dxa"/>
          </w:tcPr>
          <w:p w14:paraId="1EDD4E4B" w14:textId="77777777" w:rsidR="001E1112" w:rsidRPr="00317ABF" w:rsidRDefault="001E1112" w:rsidP="00DB3BEC">
            <w:pPr>
              <w:jc w:val="both"/>
              <w:rPr>
                <w:sz w:val="22"/>
                <w:szCs w:val="22"/>
              </w:rPr>
            </w:pPr>
            <w:r w:rsidRPr="00317ABF">
              <w:rPr>
                <w:sz w:val="22"/>
                <w:szCs w:val="22"/>
              </w:rPr>
              <w:t>Art. 100 ust. 2</w:t>
            </w:r>
          </w:p>
        </w:tc>
        <w:tc>
          <w:tcPr>
            <w:tcW w:w="4308" w:type="dxa"/>
          </w:tcPr>
          <w:p w14:paraId="65E67EF3" w14:textId="77777777" w:rsidR="001E1112" w:rsidRPr="00317ABF" w:rsidRDefault="001E1112" w:rsidP="00DB3BEC">
            <w:pPr>
              <w:spacing w:before="120"/>
              <w:jc w:val="both"/>
              <w:rPr>
                <w:sz w:val="22"/>
                <w:szCs w:val="22"/>
              </w:rPr>
            </w:pPr>
            <w:r w:rsidRPr="00317ABF">
              <w:rPr>
                <w:sz w:val="22"/>
                <w:szCs w:val="22"/>
              </w:rPr>
              <w:t>2.   Jeżeli jakikolwiek środek związany z dostępem użytkowników końcowych – za pomocą sieci łączności elektronicznej – do usług i aplikacji lub z korzystaniem taką drogą z usług lub aplikacji mógłby ograniczyć wykonywanie praw lub wolności uznanych przez Kartę, nakłada się go wyłącznie wtedy, gdy jest przewidziany przepisami prawa i przestrzega tych praw lub wolności, jest proporcjonalny, konieczny oraz autentycznie realizuje cele leżące w interesie ogólnym uznane przez prawo Unii lub potrzebę ochrony praw i wolności innych osób zgodnie z art. 52 ust. 1 Karty i z ogólnymi zasadami prawa Unii, w tym z prawem do skutecznego środka odwoławczego i do rzetelnego procesu. Środki takie stosuje się wyłącznie z należytym poszanowaniem zasady domniemania niewinności i prawa do prywatności. Gwarantuje się uprzednią rzetelną i bezstronną procedurę, uwzględniającą prawo zainteresowanej osoby lub zainteresowanych osób do bycia wysłuchanymi, z zastrzeżeniem potrzeby ustanowienia dla należycie ustalonych pilnych przypadków odpowiednich warunków oraz zabezpieczeń proceduralnych zgodnych z Kartą.</w:t>
            </w:r>
          </w:p>
        </w:tc>
        <w:tc>
          <w:tcPr>
            <w:tcW w:w="986" w:type="dxa"/>
          </w:tcPr>
          <w:p w14:paraId="77746563" w14:textId="26E94CC0" w:rsidR="001E1112" w:rsidRPr="00317ABF" w:rsidRDefault="001E1112" w:rsidP="00DB3BEC">
            <w:pPr>
              <w:ind w:left="708" w:hanging="708"/>
              <w:jc w:val="both"/>
              <w:rPr>
                <w:sz w:val="22"/>
                <w:szCs w:val="22"/>
              </w:rPr>
            </w:pPr>
            <w:r w:rsidRPr="00317ABF">
              <w:rPr>
                <w:sz w:val="22"/>
                <w:szCs w:val="22"/>
              </w:rPr>
              <w:t>T</w:t>
            </w:r>
          </w:p>
        </w:tc>
        <w:tc>
          <w:tcPr>
            <w:tcW w:w="910" w:type="dxa"/>
          </w:tcPr>
          <w:p w14:paraId="45CE2ADF" w14:textId="0E5EAF92" w:rsidR="001E1112" w:rsidRPr="00317ABF" w:rsidRDefault="001E1112" w:rsidP="00DB3BEC">
            <w:pPr>
              <w:pStyle w:val="Tekstpodstawowy"/>
              <w:rPr>
                <w:b/>
                <w:noProof/>
                <w:sz w:val="22"/>
                <w:szCs w:val="22"/>
              </w:rPr>
            </w:pPr>
          </w:p>
        </w:tc>
        <w:tc>
          <w:tcPr>
            <w:tcW w:w="6814" w:type="dxa"/>
            <w:gridSpan w:val="2"/>
          </w:tcPr>
          <w:p w14:paraId="3E7CD3AC" w14:textId="3AE7E370" w:rsidR="001E1112" w:rsidRPr="00317ABF" w:rsidRDefault="005E72F9" w:rsidP="00EF3BFE">
            <w:pPr>
              <w:pStyle w:val="Tekstpodstawowy"/>
              <w:rPr>
                <w:bCs/>
                <w:sz w:val="22"/>
                <w:szCs w:val="22"/>
              </w:rPr>
            </w:pPr>
            <w:r w:rsidRPr="00317ABF">
              <w:rPr>
                <w:bCs/>
                <w:sz w:val="22"/>
                <w:szCs w:val="22"/>
              </w:rPr>
              <w:t>Wskazane warunki są uwzględnione w całokształcie przepisów regulujących prawa użytkowników końcowych.</w:t>
            </w:r>
          </w:p>
        </w:tc>
      </w:tr>
      <w:tr w:rsidR="001E1112" w:rsidRPr="00317ABF" w14:paraId="4290231E" w14:textId="77777777" w:rsidTr="7753F98D">
        <w:trPr>
          <w:gridAfter w:val="2"/>
          <w:wAfter w:w="175" w:type="dxa"/>
        </w:trPr>
        <w:tc>
          <w:tcPr>
            <w:tcW w:w="704" w:type="dxa"/>
          </w:tcPr>
          <w:p w14:paraId="079D900E" w14:textId="77777777" w:rsidR="001E1112" w:rsidRPr="00317ABF" w:rsidRDefault="001E1112" w:rsidP="00DB3BEC">
            <w:pPr>
              <w:jc w:val="both"/>
              <w:rPr>
                <w:b/>
                <w:sz w:val="22"/>
                <w:szCs w:val="22"/>
              </w:rPr>
            </w:pPr>
            <w:r w:rsidRPr="00317ABF">
              <w:rPr>
                <w:b/>
                <w:sz w:val="22"/>
                <w:szCs w:val="22"/>
              </w:rPr>
              <w:t>Art. 101</w:t>
            </w:r>
          </w:p>
        </w:tc>
        <w:tc>
          <w:tcPr>
            <w:tcW w:w="4308" w:type="dxa"/>
          </w:tcPr>
          <w:p w14:paraId="2511B7C0" w14:textId="77777777" w:rsidR="001E1112" w:rsidRPr="00317ABF" w:rsidRDefault="001E1112" w:rsidP="00DB3BEC">
            <w:pPr>
              <w:spacing w:before="60" w:after="120"/>
              <w:jc w:val="both"/>
              <w:rPr>
                <w:b/>
                <w:bCs/>
                <w:sz w:val="22"/>
                <w:szCs w:val="22"/>
              </w:rPr>
            </w:pPr>
            <w:r w:rsidRPr="00317ABF">
              <w:rPr>
                <w:b/>
                <w:bCs/>
                <w:sz w:val="22"/>
                <w:szCs w:val="22"/>
              </w:rPr>
              <w:t>Poziom harmonizacji</w:t>
            </w:r>
          </w:p>
        </w:tc>
        <w:tc>
          <w:tcPr>
            <w:tcW w:w="986" w:type="dxa"/>
          </w:tcPr>
          <w:p w14:paraId="7B77B2EE" w14:textId="77777777" w:rsidR="001E1112" w:rsidRPr="00317ABF" w:rsidRDefault="001E1112" w:rsidP="00DB3BEC">
            <w:pPr>
              <w:jc w:val="both"/>
              <w:rPr>
                <w:sz w:val="22"/>
                <w:szCs w:val="22"/>
              </w:rPr>
            </w:pPr>
          </w:p>
        </w:tc>
        <w:tc>
          <w:tcPr>
            <w:tcW w:w="910" w:type="dxa"/>
          </w:tcPr>
          <w:p w14:paraId="699BD8B4" w14:textId="77777777" w:rsidR="001E1112" w:rsidRPr="00317ABF" w:rsidRDefault="001E1112" w:rsidP="00DB3BEC">
            <w:pPr>
              <w:pStyle w:val="Tekstpodstawowy"/>
              <w:rPr>
                <w:b/>
                <w:noProof/>
                <w:sz w:val="22"/>
                <w:szCs w:val="22"/>
              </w:rPr>
            </w:pPr>
          </w:p>
        </w:tc>
        <w:tc>
          <w:tcPr>
            <w:tcW w:w="6814" w:type="dxa"/>
            <w:gridSpan w:val="2"/>
          </w:tcPr>
          <w:p w14:paraId="257FCE60" w14:textId="77777777" w:rsidR="001E1112" w:rsidRPr="00317ABF" w:rsidRDefault="001E1112" w:rsidP="00DB3BEC">
            <w:pPr>
              <w:pStyle w:val="Tekstpodstawowy"/>
              <w:rPr>
                <w:sz w:val="22"/>
                <w:szCs w:val="22"/>
              </w:rPr>
            </w:pPr>
          </w:p>
        </w:tc>
      </w:tr>
      <w:tr w:rsidR="001E1112" w:rsidRPr="00317ABF" w14:paraId="2924C29B" w14:textId="77777777" w:rsidTr="7753F98D">
        <w:trPr>
          <w:gridAfter w:val="2"/>
          <w:wAfter w:w="175" w:type="dxa"/>
        </w:trPr>
        <w:tc>
          <w:tcPr>
            <w:tcW w:w="704" w:type="dxa"/>
          </w:tcPr>
          <w:p w14:paraId="7AEBE54B" w14:textId="77777777" w:rsidR="001E1112" w:rsidRPr="00317ABF" w:rsidRDefault="001E1112" w:rsidP="00DB3BEC">
            <w:pPr>
              <w:jc w:val="both"/>
              <w:rPr>
                <w:sz w:val="22"/>
                <w:szCs w:val="22"/>
              </w:rPr>
            </w:pPr>
            <w:r w:rsidRPr="00317ABF">
              <w:rPr>
                <w:sz w:val="22"/>
                <w:szCs w:val="22"/>
              </w:rPr>
              <w:lastRenderedPageBreak/>
              <w:t>Art. 101 ust. 1</w:t>
            </w:r>
          </w:p>
        </w:tc>
        <w:tc>
          <w:tcPr>
            <w:tcW w:w="4308" w:type="dxa"/>
          </w:tcPr>
          <w:p w14:paraId="59546415" w14:textId="77777777" w:rsidR="001E1112" w:rsidRPr="00317ABF" w:rsidRDefault="001E1112" w:rsidP="00DB3BEC">
            <w:pPr>
              <w:spacing w:before="120"/>
              <w:jc w:val="both"/>
              <w:rPr>
                <w:sz w:val="22"/>
                <w:szCs w:val="22"/>
              </w:rPr>
            </w:pPr>
            <w:r w:rsidRPr="00317ABF">
              <w:rPr>
                <w:sz w:val="22"/>
                <w:szCs w:val="22"/>
              </w:rPr>
              <w:t>1.   Państwa członkowskie nie utrzymują w swoim prawie krajowym ani do niego nie wprowadzają przepisów dotyczących ochrony użytkowników końcowych, odbiegających od art. 102–115, w tym bardziej lub mniej rygorystycznych przepisów w celu zapewnienia różnego poziomu ochrony, chyba że przepisy niniejszego tytułu stanowią inaczej.</w:t>
            </w:r>
          </w:p>
        </w:tc>
        <w:tc>
          <w:tcPr>
            <w:tcW w:w="986" w:type="dxa"/>
          </w:tcPr>
          <w:p w14:paraId="36AA89D0" w14:textId="3A5E64DB" w:rsidR="001E1112" w:rsidRPr="00317ABF" w:rsidRDefault="001E1112" w:rsidP="00DB3BEC">
            <w:pPr>
              <w:jc w:val="both"/>
              <w:rPr>
                <w:sz w:val="22"/>
                <w:szCs w:val="22"/>
              </w:rPr>
            </w:pPr>
            <w:r w:rsidRPr="00317ABF">
              <w:rPr>
                <w:sz w:val="22"/>
                <w:szCs w:val="22"/>
              </w:rPr>
              <w:t>N</w:t>
            </w:r>
          </w:p>
        </w:tc>
        <w:tc>
          <w:tcPr>
            <w:tcW w:w="910" w:type="dxa"/>
          </w:tcPr>
          <w:p w14:paraId="29340C12" w14:textId="77777777" w:rsidR="001E1112" w:rsidRPr="00317ABF" w:rsidRDefault="001E1112" w:rsidP="00DB3BEC">
            <w:pPr>
              <w:pStyle w:val="Tekstpodstawowy"/>
              <w:rPr>
                <w:b/>
                <w:noProof/>
                <w:sz w:val="22"/>
                <w:szCs w:val="22"/>
              </w:rPr>
            </w:pPr>
          </w:p>
        </w:tc>
        <w:tc>
          <w:tcPr>
            <w:tcW w:w="6814" w:type="dxa"/>
            <w:gridSpan w:val="2"/>
          </w:tcPr>
          <w:p w14:paraId="1EBECA70" w14:textId="7A2A6D53" w:rsidR="001E1112" w:rsidRPr="00317ABF" w:rsidRDefault="000240DC" w:rsidP="00DB3BEC">
            <w:pPr>
              <w:pStyle w:val="Tekstpodstawowy"/>
              <w:rPr>
                <w:sz w:val="22"/>
                <w:szCs w:val="22"/>
              </w:rPr>
            </w:pPr>
            <w:r w:rsidRPr="00317ABF">
              <w:rPr>
                <w:sz w:val="22"/>
                <w:szCs w:val="22"/>
              </w:rPr>
              <w:t>Wdrożenie tego artykułu wynika z brzmienia ogółu przepisów dotyczących użytkowników końcowych.</w:t>
            </w:r>
          </w:p>
        </w:tc>
      </w:tr>
      <w:tr w:rsidR="001E1112" w:rsidRPr="00317ABF" w14:paraId="094A2B1D" w14:textId="77777777" w:rsidTr="7753F98D">
        <w:trPr>
          <w:gridAfter w:val="2"/>
          <w:wAfter w:w="175" w:type="dxa"/>
        </w:trPr>
        <w:tc>
          <w:tcPr>
            <w:tcW w:w="704" w:type="dxa"/>
          </w:tcPr>
          <w:p w14:paraId="0CB5D8F3" w14:textId="77777777" w:rsidR="001E1112" w:rsidRPr="00317ABF" w:rsidRDefault="001E1112" w:rsidP="00DB3BEC">
            <w:pPr>
              <w:jc w:val="both"/>
              <w:rPr>
                <w:sz w:val="22"/>
                <w:szCs w:val="22"/>
              </w:rPr>
            </w:pPr>
            <w:r w:rsidRPr="00317ABF">
              <w:rPr>
                <w:sz w:val="22"/>
                <w:szCs w:val="22"/>
              </w:rPr>
              <w:t>Art. 101 ust. 2</w:t>
            </w:r>
          </w:p>
        </w:tc>
        <w:tc>
          <w:tcPr>
            <w:tcW w:w="4308" w:type="dxa"/>
          </w:tcPr>
          <w:p w14:paraId="03F7A2F8" w14:textId="77777777" w:rsidR="001E1112" w:rsidRPr="00317ABF" w:rsidRDefault="001E1112" w:rsidP="00DB3BEC">
            <w:pPr>
              <w:spacing w:before="120"/>
              <w:jc w:val="both"/>
              <w:rPr>
                <w:sz w:val="22"/>
                <w:szCs w:val="22"/>
              </w:rPr>
            </w:pPr>
            <w:r w:rsidRPr="00317ABF">
              <w:rPr>
                <w:sz w:val="22"/>
                <w:szCs w:val="22"/>
              </w:rPr>
              <w:t>2.   Do dnia 21 grudnia 2021 r. państwa członkowskie mogą nadal stosować bardziej rygorystyczne krajowe przepisy dotyczące ochrony konsumentów odbiegające od przepisów określonych w art. 102–115, pod warunkiem że te przepisy obowiązywały w dniu 20 grudnia 2018 r., a wszelkie ograniczenia dla funkcjonowania rynku wewnętrznego z nich wynikające są proporcjonalne do celu, jakim jest ochrona konsumentów.</w:t>
            </w:r>
          </w:p>
          <w:p w14:paraId="52EE87BF" w14:textId="77777777" w:rsidR="001E1112" w:rsidRPr="00317ABF" w:rsidRDefault="001E1112" w:rsidP="00DB3BEC">
            <w:pPr>
              <w:spacing w:before="120"/>
              <w:jc w:val="both"/>
              <w:rPr>
                <w:sz w:val="22"/>
                <w:szCs w:val="22"/>
              </w:rPr>
            </w:pPr>
            <w:r w:rsidRPr="00317ABF">
              <w:rPr>
                <w:sz w:val="22"/>
                <w:szCs w:val="22"/>
              </w:rPr>
              <w:t>Państwa członkowskie powiadamiają Komisję do dnia 21 grudnia 2019 r. o wszelkich krajowych przepisach, które mają być stosowane na podstawie niniejszego ustępu.</w:t>
            </w:r>
          </w:p>
        </w:tc>
        <w:tc>
          <w:tcPr>
            <w:tcW w:w="986" w:type="dxa"/>
          </w:tcPr>
          <w:p w14:paraId="1C7E0BF2" w14:textId="26D3C033" w:rsidR="001E1112" w:rsidRPr="00317ABF" w:rsidRDefault="001E1112" w:rsidP="00DB3BEC">
            <w:pPr>
              <w:jc w:val="both"/>
              <w:rPr>
                <w:sz w:val="22"/>
                <w:szCs w:val="22"/>
              </w:rPr>
            </w:pPr>
            <w:r w:rsidRPr="00317ABF">
              <w:rPr>
                <w:sz w:val="22"/>
                <w:szCs w:val="22"/>
              </w:rPr>
              <w:t>N</w:t>
            </w:r>
          </w:p>
        </w:tc>
        <w:tc>
          <w:tcPr>
            <w:tcW w:w="910" w:type="dxa"/>
          </w:tcPr>
          <w:p w14:paraId="5182163E" w14:textId="77777777" w:rsidR="001E1112" w:rsidRPr="00317ABF" w:rsidRDefault="001E1112" w:rsidP="00DB3BEC">
            <w:pPr>
              <w:pStyle w:val="Tekstpodstawowy"/>
              <w:rPr>
                <w:b/>
                <w:noProof/>
                <w:sz w:val="22"/>
                <w:szCs w:val="22"/>
              </w:rPr>
            </w:pPr>
          </w:p>
        </w:tc>
        <w:tc>
          <w:tcPr>
            <w:tcW w:w="6814" w:type="dxa"/>
            <w:gridSpan w:val="2"/>
          </w:tcPr>
          <w:p w14:paraId="15DC7309" w14:textId="3466EC89" w:rsidR="001E1112" w:rsidRPr="00317ABF" w:rsidRDefault="000240DC" w:rsidP="00DB3BEC">
            <w:pPr>
              <w:pStyle w:val="Tekstpodstawowy"/>
              <w:rPr>
                <w:sz w:val="22"/>
                <w:szCs w:val="22"/>
              </w:rPr>
            </w:pPr>
            <w:r w:rsidRPr="00317ABF">
              <w:rPr>
                <w:sz w:val="22"/>
                <w:szCs w:val="22"/>
              </w:rPr>
              <w:t>Przepis nie wymaga implementacji.</w:t>
            </w:r>
          </w:p>
        </w:tc>
      </w:tr>
      <w:tr w:rsidR="001E1112" w:rsidRPr="00317ABF" w14:paraId="63044093" w14:textId="77777777" w:rsidTr="7753F98D">
        <w:trPr>
          <w:gridAfter w:val="2"/>
          <w:wAfter w:w="175" w:type="dxa"/>
        </w:trPr>
        <w:tc>
          <w:tcPr>
            <w:tcW w:w="704" w:type="dxa"/>
          </w:tcPr>
          <w:p w14:paraId="3442B9D0" w14:textId="77777777" w:rsidR="001E1112" w:rsidRPr="00317ABF" w:rsidRDefault="001E1112" w:rsidP="00DB3BEC">
            <w:pPr>
              <w:jc w:val="both"/>
              <w:rPr>
                <w:b/>
                <w:sz w:val="22"/>
                <w:szCs w:val="22"/>
              </w:rPr>
            </w:pPr>
            <w:r w:rsidRPr="00317ABF">
              <w:rPr>
                <w:b/>
                <w:sz w:val="22"/>
                <w:szCs w:val="22"/>
              </w:rPr>
              <w:t>Art. 102</w:t>
            </w:r>
          </w:p>
        </w:tc>
        <w:tc>
          <w:tcPr>
            <w:tcW w:w="4308" w:type="dxa"/>
          </w:tcPr>
          <w:p w14:paraId="7C4BD647" w14:textId="77777777" w:rsidR="001E1112" w:rsidRPr="00317ABF" w:rsidRDefault="001E1112" w:rsidP="00DB3BEC">
            <w:pPr>
              <w:spacing w:before="120"/>
              <w:jc w:val="both"/>
              <w:rPr>
                <w:sz w:val="22"/>
                <w:szCs w:val="22"/>
              </w:rPr>
            </w:pPr>
            <w:r w:rsidRPr="00317ABF">
              <w:rPr>
                <w:b/>
                <w:bCs/>
                <w:sz w:val="22"/>
                <w:szCs w:val="22"/>
              </w:rPr>
              <w:t>Wymogi informacyjne dotyczące umów</w:t>
            </w:r>
          </w:p>
        </w:tc>
        <w:tc>
          <w:tcPr>
            <w:tcW w:w="986" w:type="dxa"/>
          </w:tcPr>
          <w:p w14:paraId="089988E6" w14:textId="2E3D5442" w:rsidR="001E1112" w:rsidRPr="00317ABF" w:rsidRDefault="001E1112" w:rsidP="00DB3BEC">
            <w:pPr>
              <w:jc w:val="both"/>
              <w:rPr>
                <w:sz w:val="22"/>
                <w:szCs w:val="22"/>
              </w:rPr>
            </w:pPr>
            <w:r w:rsidRPr="00317ABF">
              <w:rPr>
                <w:sz w:val="22"/>
                <w:szCs w:val="22"/>
              </w:rPr>
              <w:t>T</w:t>
            </w:r>
          </w:p>
        </w:tc>
        <w:tc>
          <w:tcPr>
            <w:tcW w:w="910" w:type="dxa"/>
          </w:tcPr>
          <w:p w14:paraId="56885818" w14:textId="77777777" w:rsidR="001E1112" w:rsidRPr="00317ABF" w:rsidRDefault="001E1112" w:rsidP="00DB3BEC">
            <w:pPr>
              <w:pStyle w:val="Tekstpodstawowy"/>
              <w:rPr>
                <w:b/>
                <w:noProof/>
                <w:sz w:val="22"/>
                <w:szCs w:val="22"/>
              </w:rPr>
            </w:pPr>
          </w:p>
        </w:tc>
        <w:tc>
          <w:tcPr>
            <w:tcW w:w="6814" w:type="dxa"/>
            <w:gridSpan w:val="2"/>
          </w:tcPr>
          <w:p w14:paraId="53C6FA77" w14:textId="77777777" w:rsidR="001E1112" w:rsidRPr="00317ABF" w:rsidRDefault="001E1112" w:rsidP="00DB3BEC">
            <w:pPr>
              <w:pStyle w:val="Tekstpodstawowy"/>
              <w:rPr>
                <w:sz w:val="22"/>
                <w:szCs w:val="22"/>
              </w:rPr>
            </w:pPr>
          </w:p>
        </w:tc>
      </w:tr>
      <w:tr w:rsidR="001E1112" w:rsidRPr="00317ABF" w14:paraId="525C6D3B" w14:textId="77777777" w:rsidTr="7753F98D">
        <w:trPr>
          <w:gridAfter w:val="2"/>
          <w:wAfter w:w="175" w:type="dxa"/>
        </w:trPr>
        <w:tc>
          <w:tcPr>
            <w:tcW w:w="704" w:type="dxa"/>
          </w:tcPr>
          <w:p w14:paraId="1159A67E" w14:textId="77777777" w:rsidR="001E1112" w:rsidRPr="00317ABF" w:rsidRDefault="001E1112" w:rsidP="00DB3BEC">
            <w:pPr>
              <w:jc w:val="both"/>
              <w:rPr>
                <w:sz w:val="22"/>
                <w:szCs w:val="22"/>
              </w:rPr>
            </w:pPr>
            <w:r w:rsidRPr="00317ABF">
              <w:rPr>
                <w:sz w:val="22"/>
                <w:szCs w:val="22"/>
              </w:rPr>
              <w:t>Art. 102 ust. 1</w:t>
            </w:r>
          </w:p>
        </w:tc>
        <w:tc>
          <w:tcPr>
            <w:tcW w:w="4308" w:type="dxa"/>
          </w:tcPr>
          <w:p w14:paraId="2A03A39C" w14:textId="77777777" w:rsidR="001E1112" w:rsidRPr="00317ABF" w:rsidRDefault="001E1112" w:rsidP="00DB3BEC">
            <w:pPr>
              <w:spacing w:before="120"/>
              <w:jc w:val="both"/>
              <w:rPr>
                <w:sz w:val="22"/>
                <w:szCs w:val="22"/>
              </w:rPr>
            </w:pPr>
            <w:r w:rsidRPr="00317ABF">
              <w:rPr>
                <w:sz w:val="22"/>
                <w:szCs w:val="22"/>
              </w:rPr>
              <w:t>1.   Zanim konsument zostanie związany umową lub odnośną ofertą, podmioty świadczące publicznie dostępne usługi łączności elektronicznej inne niż usługi transmisji używane do świadczenia usług łączności maszyna–maszyna przekazują informacje, o których mowa w art. 5 i 6 dyrektywy 2011/83/UE, oprócz informacji wymienionych w załączniku VIII do niniejszej dyrektywy w zakresie, w jakim te informacje dotyczą usługi, którą te podmioty świadczą.</w:t>
            </w:r>
          </w:p>
          <w:p w14:paraId="3B0A9375" w14:textId="77777777" w:rsidR="001E1112" w:rsidRPr="00317ABF" w:rsidRDefault="001E1112" w:rsidP="00DB3BEC">
            <w:pPr>
              <w:spacing w:before="120"/>
              <w:jc w:val="both"/>
              <w:rPr>
                <w:sz w:val="22"/>
                <w:szCs w:val="22"/>
              </w:rPr>
            </w:pPr>
            <w:r w:rsidRPr="00317ABF">
              <w:rPr>
                <w:sz w:val="22"/>
                <w:szCs w:val="22"/>
              </w:rPr>
              <w:lastRenderedPageBreak/>
              <w:t>Informacje te przekazywane są w jasny i zrozumiały sposób na trwałym nośniku w rozumieniu art. 2 pkt 10 dyrektywy 2011/83/UE lub, w wypadku gdy przekazanie informacji na trwałym nośniku nie jest możliwe, w postaci udostępnionego przez dostawcę, łatwego do pobrania udostępniane przez dostawcę. Dostawca wyraźnie zwraca uwagę konsumentów na dostępność tego dokumentu i wskazuje na potrzebę jego pobrania do celów dowodowych, dostępu w przyszłości i odtworzenia w niezmienionej postaci.</w:t>
            </w:r>
          </w:p>
          <w:p w14:paraId="13D89753" w14:textId="77777777" w:rsidR="001E1112" w:rsidRPr="00317ABF" w:rsidRDefault="001E1112" w:rsidP="00DB3BEC">
            <w:pPr>
              <w:spacing w:before="120"/>
              <w:jc w:val="both"/>
              <w:rPr>
                <w:sz w:val="22"/>
                <w:szCs w:val="22"/>
              </w:rPr>
            </w:pPr>
            <w:r w:rsidRPr="00317ABF">
              <w:rPr>
                <w:sz w:val="22"/>
                <w:szCs w:val="22"/>
              </w:rPr>
              <w:t>Na żądanie, informacje te są przekazywane w formacie dostępnym dla użytkowników końcowych z niepełnosprawnościami zgodnie z prawem Unii harmonizującym wymogi dotyczące dostępności produktów i usług.</w:t>
            </w:r>
          </w:p>
        </w:tc>
        <w:tc>
          <w:tcPr>
            <w:tcW w:w="986" w:type="dxa"/>
          </w:tcPr>
          <w:p w14:paraId="368AAD29" w14:textId="01D62D70" w:rsidR="001E1112" w:rsidRPr="00317ABF" w:rsidRDefault="001E1112" w:rsidP="00DB3BEC">
            <w:pPr>
              <w:jc w:val="both"/>
              <w:rPr>
                <w:sz w:val="22"/>
                <w:szCs w:val="22"/>
              </w:rPr>
            </w:pPr>
            <w:r w:rsidRPr="00317ABF">
              <w:rPr>
                <w:sz w:val="22"/>
                <w:szCs w:val="22"/>
              </w:rPr>
              <w:lastRenderedPageBreak/>
              <w:t>T</w:t>
            </w:r>
          </w:p>
        </w:tc>
        <w:tc>
          <w:tcPr>
            <w:tcW w:w="910" w:type="dxa"/>
          </w:tcPr>
          <w:p w14:paraId="1AE8D023" w14:textId="53156800" w:rsidR="001E1112" w:rsidRPr="00317ABF" w:rsidRDefault="000240DC" w:rsidP="00DB3BEC">
            <w:pPr>
              <w:pStyle w:val="Tekstpodstawowy"/>
              <w:rPr>
                <w:b/>
                <w:noProof/>
                <w:sz w:val="22"/>
                <w:szCs w:val="22"/>
              </w:rPr>
            </w:pPr>
            <w:r w:rsidRPr="00317ABF">
              <w:rPr>
                <w:b/>
                <w:noProof/>
                <w:sz w:val="22"/>
                <w:szCs w:val="22"/>
              </w:rPr>
              <w:t>Art. 279</w:t>
            </w:r>
            <w:r w:rsidR="00472AF3" w:rsidRPr="00317ABF">
              <w:rPr>
                <w:b/>
                <w:noProof/>
                <w:sz w:val="22"/>
                <w:szCs w:val="22"/>
              </w:rPr>
              <w:t>, 286</w:t>
            </w:r>
          </w:p>
        </w:tc>
        <w:tc>
          <w:tcPr>
            <w:tcW w:w="6814" w:type="dxa"/>
            <w:gridSpan w:val="2"/>
          </w:tcPr>
          <w:p w14:paraId="265F5B77" w14:textId="780E17C4" w:rsidR="000240DC" w:rsidRPr="00317ABF" w:rsidRDefault="000240DC" w:rsidP="000240DC">
            <w:pPr>
              <w:pStyle w:val="Tekstpodstawowy"/>
              <w:rPr>
                <w:sz w:val="22"/>
                <w:szCs w:val="22"/>
              </w:rPr>
            </w:pPr>
            <w:r w:rsidRPr="00317ABF">
              <w:rPr>
                <w:rFonts w:ascii="Times" w:eastAsiaTheme="minorEastAsia" w:hAnsi="Times" w:cs="Times"/>
                <w:b/>
                <w:sz w:val="24"/>
              </w:rPr>
              <w:t xml:space="preserve"> </w:t>
            </w:r>
            <w:r w:rsidRPr="00317ABF">
              <w:rPr>
                <w:b/>
                <w:sz w:val="22"/>
                <w:szCs w:val="22"/>
              </w:rPr>
              <w:t>Art. 279.</w:t>
            </w:r>
            <w:r w:rsidRPr="00317ABF">
              <w:rPr>
                <w:sz w:val="22"/>
                <w:szCs w:val="22"/>
              </w:rPr>
              <w:t xml:space="preserve"> 1. Przed zawarciem z konsumentem umowy o świadczenie usług komunikacji elektronicznej, w zakresie usług komunikacji elektronicznej innych niż usługi transmisji danych używane do świadczenia usług komunikacji maszyna-maszyna, dostawca usług komunikacji elektronicznej doręcza konsumentowi, na trwałym nośniku dotyczące tej usługi informacje, o których mowa w ust. 2-6, zwane dalej „informacjami przedumownymi”.</w:t>
            </w:r>
          </w:p>
          <w:p w14:paraId="3344A951" w14:textId="77777777" w:rsidR="000240DC" w:rsidRPr="00317ABF" w:rsidRDefault="000240DC" w:rsidP="000240DC">
            <w:pPr>
              <w:pStyle w:val="Tekstpodstawowy"/>
              <w:rPr>
                <w:sz w:val="22"/>
                <w:szCs w:val="22"/>
              </w:rPr>
            </w:pPr>
            <w:r w:rsidRPr="00317ABF">
              <w:rPr>
                <w:sz w:val="22"/>
                <w:szCs w:val="22"/>
              </w:rPr>
              <w:t xml:space="preserve"> 2. Informacje przedumowne określają:</w:t>
            </w:r>
          </w:p>
          <w:p w14:paraId="6C204E08" w14:textId="77777777" w:rsidR="000240DC" w:rsidRPr="00317ABF" w:rsidRDefault="000240DC" w:rsidP="000240DC">
            <w:pPr>
              <w:pStyle w:val="Tekstpodstawowy"/>
              <w:rPr>
                <w:bCs/>
                <w:sz w:val="22"/>
                <w:szCs w:val="22"/>
              </w:rPr>
            </w:pPr>
            <w:r w:rsidRPr="00317ABF">
              <w:rPr>
                <w:bCs/>
                <w:sz w:val="22"/>
                <w:szCs w:val="22"/>
              </w:rPr>
              <w:t>1)</w:t>
            </w:r>
            <w:r w:rsidRPr="00317ABF">
              <w:rPr>
                <w:bCs/>
                <w:sz w:val="22"/>
                <w:szCs w:val="22"/>
              </w:rPr>
              <w:tab/>
              <w:t>główne cechy każdej usługi, w tym wszelkie minimalne poziomy jakości usług, a w przypadku usług innych niż usługi dostępu do internetu, konkretne gwarantowane parametry jakości, albo oświadczenie o braku minimalnych poziomów jakości usług;</w:t>
            </w:r>
          </w:p>
          <w:p w14:paraId="2E5E7F4B" w14:textId="77777777" w:rsidR="000240DC" w:rsidRPr="00317ABF" w:rsidRDefault="000240DC" w:rsidP="000240DC">
            <w:pPr>
              <w:pStyle w:val="Tekstpodstawowy"/>
              <w:rPr>
                <w:bCs/>
                <w:sz w:val="22"/>
                <w:szCs w:val="22"/>
              </w:rPr>
            </w:pPr>
            <w:r w:rsidRPr="00317ABF">
              <w:rPr>
                <w:bCs/>
                <w:sz w:val="22"/>
                <w:szCs w:val="22"/>
              </w:rPr>
              <w:lastRenderedPageBreak/>
              <w:t>2)</w:t>
            </w:r>
            <w:r w:rsidRPr="00317ABF">
              <w:rPr>
                <w:bCs/>
                <w:sz w:val="22"/>
                <w:szCs w:val="22"/>
              </w:rPr>
              <w:tab/>
              <w:t>cenę usługi, w tym cenę za jej aktywację, opłatę abonamentową lub inną okresową opłatę,</w:t>
            </w:r>
            <w:r w:rsidRPr="00317ABF" w:rsidDel="00DF787B">
              <w:rPr>
                <w:bCs/>
                <w:sz w:val="22"/>
                <w:szCs w:val="22"/>
              </w:rPr>
              <w:t xml:space="preserve"> </w:t>
            </w:r>
            <w:r w:rsidRPr="00317ABF">
              <w:rPr>
                <w:bCs/>
                <w:sz w:val="22"/>
                <w:szCs w:val="22"/>
              </w:rPr>
              <w:t>cenę za jednostkę rozliczeniową usługi oraz inne</w:t>
            </w:r>
            <w:r w:rsidRPr="00317ABF">
              <w:rPr>
                <w:sz w:val="22"/>
                <w:szCs w:val="22"/>
              </w:rPr>
              <w:t xml:space="preserve"> powtarzalne lub oparte na zużyciu opłaty</w:t>
            </w:r>
            <w:r w:rsidRPr="00317ABF">
              <w:rPr>
                <w:bCs/>
                <w:sz w:val="22"/>
                <w:szCs w:val="22"/>
              </w:rPr>
              <w:t>;</w:t>
            </w:r>
          </w:p>
          <w:p w14:paraId="7A4639C8" w14:textId="77777777" w:rsidR="000240DC" w:rsidRPr="00317ABF" w:rsidRDefault="000240DC" w:rsidP="000240DC">
            <w:pPr>
              <w:pStyle w:val="Tekstpodstawowy"/>
              <w:rPr>
                <w:bCs/>
                <w:sz w:val="22"/>
                <w:szCs w:val="22"/>
              </w:rPr>
            </w:pPr>
            <w:r w:rsidRPr="00317ABF">
              <w:rPr>
                <w:bCs/>
                <w:sz w:val="22"/>
                <w:szCs w:val="22"/>
              </w:rPr>
              <w:t>3)</w:t>
            </w:r>
            <w:r w:rsidRPr="00317ABF">
              <w:rPr>
                <w:bCs/>
                <w:sz w:val="22"/>
                <w:szCs w:val="22"/>
              </w:rPr>
              <w:tab/>
              <w:t>okres obowiązywania umowy oraz warunki przedłużenia i sposób zakończenia obowiązywania umowy, w tym:</w:t>
            </w:r>
          </w:p>
          <w:p w14:paraId="7323B02E" w14:textId="77777777" w:rsidR="000240DC" w:rsidRPr="00317ABF" w:rsidRDefault="000240DC" w:rsidP="000240DC">
            <w:pPr>
              <w:pStyle w:val="Tekstpodstawowy"/>
              <w:rPr>
                <w:bCs/>
                <w:sz w:val="22"/>
                <w:szCs w:val="22"/>
              </w:rPr>
            </w:pPr>
            <w:r w:rsidRPr="00317ABF">
              <w:rPr>
                <w:bCs/>
                <w:sz w:val="22"/>
                <w:szCs w:val="22"/>
              </w:rPr>
              <w:t>a)</w:t>
            </w:r>
            <w:r w:rsidRPr="00317ABF">
              <w:rPr>
                <w:bCs/>
                <w:sz w:val="22"/>
                <w:szCs w:val="22"/>
              </w:rPr>
              <w:tab/>
              <w:t>minimalne wykorzystanie usługi lub okres obowiązywania umowy wymagany do skorzystania z warunków promocyjnych,</w:t>
            </w:r>
          </w:p>
          <w:p w14:paraId="3B2ABEBC" w14:textId="77777777" w:rsidR="000240DC" w:rsidRPr="00317ABF" w:rsidRDefault="000240DC" w:rsidP="000240DC">
            <w:pPr>
              <w:pStyle w:val="Tekstpodstawowy"/>
              <w:rPr>
                <w:bCs/>
                <w:sz w:val="22"/>
                <w:szCs w:val="22"/>
              </w:rPr>
            </w:pPr>
            <w:r w:rsidRPr="00317ABF">
              <w:rPr>
                <w:bCs/>
                <w:sz w:val="22"/>
                <w:szCs w:val="22"/>
              </w:rPr>
              <w:t>b)</w:t>
            </w:r>
            <w:r w:rsidRPr="00317ABF">
              <w:rPr>
                <w:bCs/>
                <w:sz w:val="22"/>
                <w:szCs w:val="22"/>
              </w:rPr>
              <w:tab/>
              <w:t>warunki zmiany dostawcy usług komunikacji elektronicznej oraz wysokość i zasady wypłaty odszkodowania za opóźnienia lub nadużycia związane ze zmianą dostawcy usług komunikacji elektronicznej, a także procedury stosowane w tym zakresie,</w:t>
            </w:r>
          </w:p>
          <w:p w14:paraId="71E40D08" w14:textId="77777777" w:rsidR="000240DC" w:rsidRPr="00317ABF" w:rsidRDefault="000240DC" w:rsidP="000240DC">
            <w:pPr>
              <w:pStyle w:val="Tekstpodstawowy"/>
              <w:rPr>
                <w:bCs/>
                <w:sz w:val="22"/>
                <w:szCs w:val="22"/>
              </w:rPr>
            </w:pPr>
            <w:r w:rsidRPr="00317ABF">
              <w:rPr>
                <w:bCs/>
                <w:sz w:val="22"/>
                <w:szCs w:val="22"/>
              </w:rPr>
              <w:t>c)</w:t>
            </w:r>
            <w:r w:rsidRPr="00317ABF">
              <w:rPr>
                <w:bCs/>
                <w:sz w:val="22"/>
                <w:szCs w:val="22"/>
              </w:rPr>
              <w:tab/>
              <w:t>zasady zwrotu pozostałych na koncie środków z doładowań – w przypadku usług przedpłaconych,</w:t>
            </w:r>
          </w:p>
          <w:p w14:paraId="54D4EAD5" w14:textId="77777777" w:rsidR="000240DC" w:rsidRPr="00317ABF" w:rsidRDefault="000240DC" w:rsidP="000240DC">
            <w:pPr>
              <w:pStyle w:val="Tekstpodstawowy"/>
              <w:rPr>
                <w:bCs/>
                <w:sz w:val="22"/>
                <w:szCs w:val="22"/>
              </w:rPr>
            </w:pPr>
            <w:r w:rsidRPr="00317ABF">
              <w:rPr>
                <w:bCs/>
                <w:sz w:val="22"/>
                <w:szCs w:val="22"/>
              </w:rPr>
              <w:t xml:space="preserve">d) odszkodowanie należne w momencie wypowiedzenia umowy, </w:t>
            </w:r>
            <w:r w:rsidRPr="00317ABF" w:rsidDel="001007DC">
              <w:rPr>
                <w:bCs/>
                <w:sz w:val="22"/>
                <w:szCs w:val="22"/>
              </w:rPr>
              <w:t xml:space="preserve">w trybie art. </w:t>
            </w:r>
            <w:r w:rsidRPr="00317ABF">
              <w:rPr>
                <w:bCs/>
                <w:sz w:val="22"/>
                <w:szCs w:val="22"/>
              </w:rPr>
              <w:t>298</w:t>
            </w:r>
            <w:r w:rsidRPr="00317ABF" w:rsidDel="001007DC">
              <w:rPr>
                <w:bCs/>
                <w:sz w:val="22"/>
                <w:szCs w:val="22"/>
              </w:rPr>
              <w:t xml:space="preserve"> ust. 1</w:t>
            </w:r>
            <w:r w:rsidRPr="00317ABF">
              <w:rPr>
                <w:bCs/>
                <w:sz w:val="22"/>
                <w:szCs w:val="22"/>
              </w:rPr>
              <w:t>, w tym informacje na temat odblokowania telekomunikacyjnego urządzenia końcowego</w:t>
            </w:r>
            <w:r w:rsidRPr="00317ABF">
              <w:rPr>
                <w:i/>
                <w:iCs/>
                <w:sz w:val="22"/>
                <w:szCs w:val="22"/>
              </w:rPr>
              <w:t xml:space="preserve"> </w:t>
            </w:r>
            <w:r w:rsidRPr="00317ABF">
              <w:rPr>
                <w:bCs/>
                <w:iCs/>
                <w:sz w:val="22"/>
                <w:szCs w:val="22"/>
              </w:rPr>
              <w:t>zakupionego w ramach umowy o świadczenie usług komunikacji elektronicznej, zwanego dalej „promocyjnym urządzeniem końcowym”</w:t>
            </w:r>
            <w:r w:rsidRPr="00317ABF" w:rsidDel="005C1D8C">
              <w:rPr>
                <w:bCs/>
                <w:sz w:val="22"/>
                <w:szCs w:val="22"/>
              </w:rPr>
              <w:t xml:space="preserve"> </w:t>
            </w:r>
            <w:r w:rsidRPr="00317ABF">
              <w:rPr>
                <w:bCs/>
                <w:sz w:val="22"/>
                <w:szCs w:val="22"/>
              </w:rPr>
              <w:t>lub warunki jego zwrotu w przypadku nieskorzystania z uprawnienia, o którym mowa w art. 303, ze wskazaniem strony, która poniesie koszt tego zwrotu;</w:t>
            </w:r>
          </w:p>
          <w:p w14:paraId="0741E232" w14:textId="77777777" w:rsidR="000240DC" w:rsidRPr="00317ABF" w:rsidRDefault="000240DC" w:rsidP="000240DC">
            <w:pPr>
              <w:pStyle w:val="Tekstpodstawowy"/>
              <w:rPr>
                <w:bCs/>
                <w:sz w:val="22"/>
                <w:szCs w:val="22"/>
              </w:rPr>
            </w:pPr>
            <w:r w:rsidRPr="00317ABF">
              <w:rPr>
                <w:bCs/>
                <w:sz w:val="22"/>
                <w:szCs w:val="22"/>
              </w:rPr>
              <w:t>4)</w:t>
            </w:r>
            <w:r w:rsidRPr="00317ABF">
              <w:rPr>
                <w:bCs/>
                <w:sz w:val="22"/>
                <w:szCs w:val="22"/>
              </w:rPr>
              <w:tab/>
              <w:t>wysokość odszkodowania oraz zasady i termin jego wypłaty, w szczególności w przypadku gdy nie został osiągnięty określony w umowie poziom jakości świadczonej usługi lub jeżeli dostawca usług komunikacji elektronicznej nie zareagował odpowiednio na naruszenie bezpieczeństwa, zagrożenie lub lukę w systemie bezpieczeństwa;</w:t>
            </w:r>
          </w:p>
          <w:p w14:paraId="058F5276" w14:textId="77777777" w:rsidR="000240DC" w:rsidRPr="00317ABF" w:rsidRDefault="000240DC" w:rsidP="000240DC">
            <w:pPr>
              <w:pStyle w:val="Tekstpodstawowy"/>
              <w:rPr>
                <w:bCs/>
                <w:sz w:val="22"/>
                <w:szCs w:val="22"/>
              </w:rPr>
            </w:pPr>
            <w:r w:rsidRPr="00317ABF">
              <w:rPr>
                <w:bCs/>
                <w:sz w:val="22"/>
                <w:szCs w:val="22"/>
              </w:rPr>
              <w:t>5)</w:t>
            </w:r>
            <w:r w:rsidRPr="00317ABF">
              <w:rPr>
                <w:bCs/>
                <w:sz w:val="22"/>
                <w:szCs w:val="22"/>
              </w:rPr>
              <w:tab/>
              <w:t>zakres działań podejmowanych przez dostawcę usług komunikacji elektronicznej w związku z przypadkami naruszenia bezpieczeństwa sieci lub usług, o którym mowa w ustawie z dnia 5 lipca 2018 r. o krajowym systemie cyberbezpieczeństwa, zagrożeniami takiego naruszenia lub podatnością na wystąpienie naruszenia, które mogą mieć wpływ na usługi świadczone konsumentowi.</w:t>
            </w:r>
          </w:p>
          <w:p w14:paraId="665B387B" w14:textId="77777777" w:rsidR="000240DC" w:rsidRPr="00317ABF" w:rsidRDefault="000240DC" w:rsidP="000240DC">
            <w:pPr>
              <w:pStyle w:val="Tekstpodstawowy"/>
              <w:rPr>
                <w:bCs/>
                <w:sz w:val="22"/>
                <w:szCs w:val="22"/>
              </w:rPr>
            </w:pPr>
            <w:r w:rsidRPr="00317ABF">
              <w:rPr>
                <w:bCs/>
                <w:sz w:val="22"/>
                <w:szCs w:val="22"/>
              </w:rPr>
              <w:t>3. W przypadku umowy o świadczenie usług komunikacji elektronicznej w zakresie usługi dostępu do internetu lub usługi komunikacji interpersonalnej dostawca tych usług w ramach informacji przedumownych doręcza również informacje o:</w:t>
            </w:r>
          </w:p>
          <w:p w14:paraId="5492A8B0" w14:textId="77777777" w:rsidR="000240DC" w:rsidRPr="00317ABF" w:rsidRDefault="000240DC" w:rsidP="000240DC">
            <w:pPr>
              <w:pStyle w:val="Tekstpodstawowy"/>
              <w:rPr>
                <w:bCs/>
                <w:sz w:val="22"/>
                <w:szCs w:val="22"/>
              </w:rPr>
            </w:pPr>
            <w:r w:rsidRPr="00317ABF">
              <w:rPr>
                <w:bCs/>
                <w:sz w:val="22"/>
                <w:szCs w:val="22"/>
              </w:rPr>
              <w:t>1)</w:t>
            </w:r>
            <w:r w:rsidRPr="00317ABF">
              <w:rPr>
                <w:bCs/>
                <w:sz w:val="22"/>
                <w:szCs w:val="22"/>
              </w:rPr>
              <w:tab/>
              <w:t>wszelkich oferowanych minimalnych poziomach jakości usługi, z uwzględnieniem parametrów istotnych dla użytkowników końcowych z niepełnosprawnościami, metod ich pomiaru, treści i formy publikacji informacji oraz mechanizmów certyfikacji jakości, w tym o:</w:t>
            </w:r>
          </w:p>
          <w:p w14:paraId="195E5842" w14:textId="77777777" w:rsidR="000240DC" w:rsidRPr="00317ABF" w:rsidRDefault="000240DC" w:rsidP="000240DC">
            <w:pPr>
              <w:pStyle w:val="Tekstpodstawowy"/>
              <w:rPr>
                <w:bCs/>
                <w:sz w:val="22"/>
                <w:szCs w:val="22"/>
              </w:rPr>
            </w:pPr>
            <w:r w:rsidRPr="00317ABF">
              <w:rPr>
                <w:bCs/>
                <w:sz w:val="22"/>
                <w:szCs w:val="22"/>
              </w:rPr>
              <w:lastRenderedPageBreak/>
              <w:t>a)</w:t>
            </w:r>
            <w:r w:rsidRPr="00317ABF">
              <w:rPr>
                <w:bCs/>
                <w:sz w:val="22"/>
                <w:szCs w:val="22"/>
              </w:rPr>
              <w:tab/>
              <w:t>opóźnieniach transmisji pakietów danych, zmienności tych opóźnień, utracie pakietów danych - w odniesieniu do usług dostępu do internetu,</w:t>
            </w:r>
          </w:p>
          <w:p w14:paraId="536C9A2B" w14:textId="77777777" w:rsidR="000240DC" w:rsidRPr="00317ABF" w:rsidRDefault="000240DC" w:rsidP="000240DC">
            <w:pPr>
              <w:pStyle w:val="Tekstpodstawowy"/>
              <w:rPr>
                <w:bCs/>
                <w:sz w:val="22"/>
                <w:szCs w:val="22"/>
              </w:rPr>
            </w:pPr>
            <w:r w:rsidRPr="00317ABF">
              <w:rPr>
                <w:bCs/>
                <w:sz w:val="22"/>
                <w:szCs w:val="22"/>
              </w:rPr>
              <w:t>b)</w:t>
            </w:r>
            <w:r w:rsidRPr="00317ABF">
              <w:rPr>
                <w:bCs/>
                <w:sz w:val="22"/>
                <w:szCs w:val="22"/>
              </w:rPr>
              <w:tab/>
              <w:t>czasie realizacji połączenia, prawdopodobieństwie wystąpienia nieudanego wywołania połączenia lub opóźnieniu w wywołaniu połączenia – w odniesieniu do usługi komunikacji interpersonalnej, w której dostawca kontroluje co najmniej kilka elementów sieci lub ma służącą do tego celu umowę o gwarantowaniu poziomu usług z przedsiębiorcą komunikacji elektronicznej zapewniającym dostęp do sieci,</w:t>
            </w:r>
          </w:p>
          <w:p w14:paraId="08633453" w14:textId="77777777" w:rsidR="000240DC" w:rsidRPr="00317ABF" w:rsidRDefault="000240DC" w:rsidP="000240DC">
            <w:pPr>
              <w:pStyle w:val="Tekstpodstawowy"/>
              <w:rPr>
                <w:bCs/>
                <w:sz w:val="22"/>
                <w:szCs w:val="22"/>
              </w:rPr>
            </w:pPr>
            <w:r w:rsidRPr="00317ABF">
              <w:rPr>
                <w:bCs/>
                <w:sz w:val="22"/>
                <w:szCs w:val="22"/>
              </w:rPr>
              <w:t>2)</w:t>
            </w:r>
            <w:r w:rsidRPr="00317ABF">
              <w:rPr>
                <w:bCs/>
                <w:sz w:val="22"/>
                <w:szCs w:val="22"/>
              </w:rPr>
              <w:tab/>
              <w:t>warunkach korzystania z udostępnionego przez dostawcę usług abonentowi na czas obowiązywania umowy o świadczenie usług komunikacji elektronicznej telekomunikacyjnego urządzenia końcowego, zwanego dalej „wydanym urządzeniem końcowym”, w tym o związanych z tym opłatach;</w:t>
            </w:r>
          </w:p>
          <w:p w14:paraId="60DAF951" w14:textId="77777777" w:rsidR="000240DC" w:rsidRPr="00317ABF" w:rsidRDefault="000240DC" w:rsidP="000240DC">
            <w:pPr>
              <w:pStyle w:val="Tekstpodstawowy"/>
              <w:rPr>
                <w:bCs/>
                <w:sz w:val="22"/>
                <w:szCs w:val="22"/>
              </w:rPr>
            </w:pPr>
            <w:r w:rsidRPr="00317ABF">
              <w:rPr>
                <w:bCs/>
                <w:sz w:val="22"/>
                <w:szCs w:val="22"/>
              </w:rPr>
              <w:t>3)</w:t>
            </w:r>
            <w:r w:rsidRPr="00317ABF">
              <w:rPr>
                <w:bCs/>
                <w:sz w:val="22"/>
                <w:szCs w:val="22"/>
              </w:rPr>
              <w:tab/>
              <w:t>cenie usługi z uwzględnieniem informacji dotyczących:</w:t>
            </w:r>
          </w:p>
          <w:p w14:paraId="4B9B75DC" w14:textId="77777777" w:rsidR="000240DC" w:rsidRPr="00317ABF" w:rsidRDefault="000240DC" w:rsidP="000240DC">
            <w:pPr>
              <w:pStyle w:val="Tekstpodstawowy"/>
              <w:rPr>
                <w:bCs/>
                <w:sz w:val="22"/>
                <w:szCs w:val="22"/>
              </w:rPr>
            </w:pPr>
            <w:r w:rsidRPr="00317ABF">
              <w:rPr>
                <w:bCs/>
                <w:sz w:val="22"/>
                <w:szCs w:val="22"/>
              </w:rPr>
              <w:t>a)</w:t>
            </w:r>
            <w:r w:rsidRPr="00317ABF">
              <w:rPr>
                <w:bCs/>
                <w:sz w:val="22"/>
                <w:szCs w:val="22"/>
              </w:rPr>
              <w:tab/>
              <w:t>każdego z pakietów taryfowych przewidzianych umową w zakresie:</w:t>
            </w:r>
          </w:p>
          <w:p w14:paraId="2605662B" w14:textId="77777777" w:rsidR="000240DC" w:rsidRPr="00317ABF" w:rsidRDefault="000240DC" w:rsidP="000240DC">
            <w:pPr>
              <w:pStyle w:val="Tekstpodstawowy"/>
              <w:rPr>
                <w:bCs/>
                <w:sz w:val="22"/>
                <w:szCs w:val="22"/>
              </w:rPr>
            </w:pPr>
            <w:r w:rsidRPr="00317ABF">
              <w:rPr>
                <w:bCs/>
                <w:sz w:val="22"/>
                <w:szCs w:val="22"/>
              </w:rPr>
              <w:t>–</w:t>
            </w:r>
            <w:r w:rsidRPr="00317ABF">
              <w:rPr>
                <w:bCs/>
                <w:sz w:val="22"/>
                <w:szCs w:val="22"/>
              </w:rPr>
              <w:tab/>
              <w:t>rodzaju oferowanych usług,</w:t>
            </w:r>
          </w:p>
          <w:p w14:paraId="382D5304" w14:textId="77777777" w:rsidR="000240DC" w:rsidRPr="00317ABF" w:rsidRDefault="000240DC" w:rsidP="000240DC">
            <w:pPr>
              <w:pStyle w:val="Tekstpodstawowy"/>
              <w:rPr>
                <w:bCs/>
                <w:sz w:val="22"/>
                <w:szCs w:val="22"/>
              </w:rPr>
            </w:pPr>
            <w:r w:rsidRPr="00317ABF">
              <w:rPr>
                <w:bCs/>
                <w:sz w:val="22"/>
                <w:szCs w:val="22"/>
              </w:rPr>
              <w:t>–</w:t>
            </w:r>
            <w:r w:rsidRPr="00317ABF">
              <w:rPr>
                <w:bCs/>
                <w:sz w:val="22"/>
                <w:szCs w:val="22"/>
              </w:rPr>
              <w:tab/>
              <w:t>ilości jednostek rozliczeniowych dostępnych w ramach pakietu taryfowego w okresie rozliczeniowym, cen za jednostkę rozliczeniową usługi po wykorzystaniu tego pakietu oraz innych powtarzalnych opłat,</w:t>
            </w:r>
          </w:p>
          <w:p w14:paraId="3DD6A0A9" w14:textId="77777777" w:rsidR="000240DC" w:rsidRPr="00317ABF" w:rsidRDefault="000240DC" w:rsidP="000240DC">
            <w:pPr>
              <w:pStyle w:val="Tekstpodstawowy"/>
              <w:rPr>
                <w:bCs/>
                <w:sz w:val="22"/>
                <w:szCs w:val="22"/>
              </w:rPr>
            </w:pPr>
            <w:r w:rsidRPr="00317ABF">
              <w:rPr>
                <w:bCs/>
                <w:sz w:val="22"/>
                <w:szCs w:val="22"/>
              </w:rPr>
              <w:t>b)</w:t>
            </w:r>
            <w:r w:rsidRPr="00317ABF">
              <w:rPr>
                <w:bCs/>
                <w:sz w:val="22"/>
                <w:szCs w:val="22"/>
              </w:rPr>
              <w:tab/>
              <w:t>możliwości przeniesienia niewykorzystanej w okresie rozliczeniowym ilości jednostek rozliczeniowych na kolejny okres rozliczeniowy, jeżeli opcja ta dostępna jest w umowie - w przypadku planu taryfowego obejmującego wstępnie ustaloną ilość jednostek rozliczeniowych,</w:t>
            </w:r>
          </w:p>
          <w:p w14:paraId="6DDE55EC" w14:textId="77777777" w:rsidR="000240DC" w:rsidRPr="00317ABF" w:rsidRDefault="000240DC" w:rsidP="000240DC">
            <w:pPr>
              <w:pStyle w:val="Tekstpodstawowy"/>
              <w:rPr>
                <w:bCs/>
                <w:sz w:val="22"/>
                <w:szCs w:val="22"/>
              </w:rPr>
            </w:pPr>
            <w:r w:rsidRPr="00317ABF">
              <w:rPr>
                <w:bCs/>
                <w:sz w:val="22"/>
                <w:szCs w:val="22"/>
              </w:rPr>
              <w:t>c)</w:t>
            </w:r>
            <w:r w:rsidRPr="00317ABF">
              <w:rPr>
                <w:bCs/>
                <w:sz w:val="22"/>
                <w:szCs w:val="22"/>
              </w:rPr>
              <w:tab/>
              <w:t>środków zapewnienia przejrzystości rachunku i monitorowania poziomu wykorzystania usługi,</w:t>
            </w:r>
          </w:p>
          <w:p w14:paraId="05933979" w14:textId="77777777" w:rsidR="000240DC" w:rsidRPr="00317ABF" w:rsidRDefault="000240DC" w:rsidP="000240DC">
            <w:pPr>
              <w:pStyle w:val="Tekstpodstawowy"/>
              <w:rPr>
                <w:bCs/>
                <w:sz w:val="22"/>
                <w:szCs w:val="22"/>
              </w:rPr>
            </w:pPr>
            <w:r w:rsidRPr="00317ABF">
              <w:rPr>
                <w:bCs/>
                <w:sz w:val="22"/>
                <w:szCs w:val="22"/>
              </w:rPr>
              <w:t>d)</w:t>
            </w:r>
            <w:r w:rsidRPr="00317ABF">
              <w:rPr>
                <w:bCs/>
                <w:sz w:val="22"/>
                <w:szCs w:val="22"/>
              </w:rPr>
              <w:tab/>
              <w:t>numerów lub usług, które podlegają szczególnym warunkom cenowym, w tym usług z dodatkowym świadczeniem, ceny za jednostkę rozliczeniową usługi albo w przypadku usługi taryfikowanej za całe połączenie - ceny za połączenie,</w:t>
            </w:r>
          </w:p>
          <w:p w14:paraId="7C107872" w14:textId="77777777" w:rsidR="000240DC" w:rsidRPr="00317ABF" w:rsidRDefault="000240DC" w:rsidP="000240DC">
            <w:pPr>
              <w:pStyle w:val="Tekstpodstawowy"/>
              <w:rPr>
                <w:bCs/>
                <w:sz w:val="22"/>
                <w:szCs w:val="22"/>
              </w:rPr>
            </w:pPr>
            <w:r w:rsidRPr="00317ABF">
              <w:rPr>
                <w:bCs/>
                <w:sz w:val="22"/>
                <w:szCs w:val="22"/>
              </w:rPr>
              <w:t>e)</w:t>
            </w:r>
            <w:r w:rsidRPr="00317ABF">
              <w:rPr>
                <w:bCs/>
                <w:sz w:val="22"/>
                <w:szCs w:val="22"/>
              </w:rPr>
              <w:tab/>
              <w:t>ceny poszczególnych elementów umowy, o której mowa w art. 299, jeżeli usługi lub urządzenia oferowane na podstawie tej umowy są również oferowane oddzielnie,</w:t>
            </w:r>
          </w:p>
          <w:p w14:paraId="1EE9B509" w14:textId="77777777" w:rsidR="000240DC" w:rsidRPr="00317ABF" w:rsidRDefault="000240DC" w:rsidP="000240DC">
            <w:pPr>
              <w:pStyle w:val="Tekstpodstawowy"/>
              <w:rPr>
                <w:bCs/>
                <w:sz w:val="22"/>
                <w:szCs w:val="22"/>
              </w:rPr>
            </w:pPr>
            <w:r w:rsidRPr="00317ABF">
              <w:rPr>
                <w:bCs/>
                <w:sz w:val="22"/>
                <w:szCs w:val="22"/>
              </w:rPr>
              <w:t>f)</w:t>
            </w:r>
            <w:r w:rsidRPr="00317ABF">
              <w:rPr>
                <w:bCs/>
                <w:sz w:val="22"/>
                <w:szCs w:val="22"/>
              </w:rPr>
              <w:tab/>
              <w:t>warunków i opłat dotyczących usług posprzedażnych, konserwacji i obsługi klienta,</w:t>
            </w:r>
          </w:p>
          <w:p w14:paraId="06D2EB6C" w14:textId="77777777" w:rsidR="000240DC" w:rsidRPr="00317ABF" w:rsidRDefault="000240DC" w:rsidP="000240DC">
            <w:pPr>
              <w:pStyle w:val="Tekstpodstawowy"/>
              <w:rPr>
                <w:bCs/>
                <w:sz w:val="22"/>
                <w:szCs w:val="22"/>
              </w:rPr>
            </w:pPr>
            <w:r w:rsidRPr="00317ABF">
              <w:rPr>
                <w:bCs/>
                <w:sz w:val="22"/>
                <w:szCs w:val="22"/>
              </w:rPr>
              <w:t>g)</w:t>
            </w:r>
            <w:r w:rsidRPr="00317ABF">
              <w:rPr>
                <w:bCs/>
                <w:sz w:val="22"/>
                <w:szCs w:val="22"/>
              </w:rPr>
              <w:tab/>
              <w:t>sposobów uzyskania informacji na temat obowiązujących cen i kosztów usług serwisowych;</w:t>
            </w:r>
          </w:p>
          <w:p w14:paraId="649E36D8" w14:textId="77777777" w:rsidR="000240DC" w:rsidRPr="00317ABF" w:rsidRDefault="000240DC" w:rsidP="000240DC">
            <w:pPr>
              <w:pStyle w:val="Tekstpodstawowy"/>
              <w:rPr>
                <w:bCs/>
                <w:sz w:val="22"/>
                <w:szCs w:val="22"/>
              </w:rPr>
            </w:pPr>
            <w:r w:rsidRPr="00317ABF">
              <w:rPr>
                <w:bCs/>
                <w:sz w:val="22"/>
                <w:szCs w:val="22"/>
              </w:rPr>
              <w:t>4)</w:t>
            </w:r>
            <w:r w:rsidRPr="00317ABF">
              <w:rPr>
                <w:bCs/>
                <w:sz w:val="22"/>
                <w:szCs w:val="22"/>
              </w:rPr>
              <w:tab/>
              <w:t>warunkach rezygnacji z oferty wiązanej lub jej elementów;</w:t>
            </w:r>
          </w:p>
          <w:p w14:paraId="24AAE78B" w14:textId="77777777" w:rsidR="000240DC" w:rsidRPr="00317ABF" w:rsidRDefault="000240DC" w:rsidP="000240DC">
            <w:pPr>
              <w:pStyle w:val="Tekstpodstawowy"/>
              <w:rPr>
                <w:bCs/>
                <w:sz w:val="22"/>
                <w:szCs w:val="22"/>
              </w:rPr>
            </w:pPr>
            <w:r w:rsidRPr="00317ABF">
              <w:rPr>
                <w:bCs/>
                <w:sz w:val="22"/>
                <w:szCs w:val="22"/>
              </w:rPr>
              <w:lastRenderedPageBreak/>
              <w:t>5)</w:t>
            </w:r>
            <w:r w:rsidRPr="00317ABF">
              <w:rPr>
                <w:bCs/>
                <w:sz w:val="22"/>
                <w:szCs w:val="22"/>
              </w:rPr>
              <w:tab/>
              <w:t>danych osobowych, które są przekazywane przed rozpoczęciem świadczenia usługi i przetwarzane w związku z jej świadczeniem;</w:t>
            </w:r>
          </w:p>
          <w:p w14:paraId="4B8188A0" w14:textId="77777777" w:rsidR="000240DC" w:rsidRPr="00317ABF" w:rsidRDefault="000240DC" w:rsidP="000240DC">
            <w:pPr>
              <w:pStyle w:val="Tekstpodstawowy"/>
              <w:rPr>
                <w:bCs/>
                <w:sz w:val="22"/>
                <w:szCs w:val="22"/>
              </w:rPr>
            </w:pPr>
            <w:r w:rsidRPr="00317ABF">
              <w:rPr>
                <w:bCs/>
                <w:sz w:val="22"/>
                <w:szCs w:val="22"/>
              </w:rPr>
              <w:t>6)</w:t>
            </w:r>
            <w:r w:rsidRPr="00317ABF">
              <w:rPr>
                <w:bCs/>
                <w:sz w:val="22"/>
                <w:szCs w:val="22"/>
              </w:rPr>
              <w:tab/>
              <w:t>udogodnieniach i usługach przeznaczonych dla użytkowników końcowych z niepełnosprawnościami oraz sposobie uzyskania aktualnych informacji;</w:t>
            </w:r>
          </w:p>
          <w:p w14:paraId="436346C1" w14:textId="77777777" w:rsidR="000240DC" w:rsidRPr="00317ABF" w:rsidRDefault="000240DC" w:rsidP="000240DC">
            <w:pPr>
              <w:pStyle w:val="Tekstpodstawowy"/>
              <w:rPr>
                <w:bCs/>
                <w:sz w:val="22"/>
                <w:szCs w:val="22"/>
              </w:rPr>
            </w:pPr>
            <w:r w:rsidRPr="00317ABF">
              <w:rPr>
                <w:bCs/>
                <w:sz w:val="22"/>
                <w:szCs w:val="22"/>
              </w:rPr>
              <w:t>7)</w:t>
            </w:r>
            <w:r w:rsidRPr="00317ABF">
              <w:rPr>
                <w:bCs/>
                <w:sz w:val="22"/>
                <w:szCs w:val="22"/>
              </w:rPr>
              <w:tab/>
              <w:t>sposobach inicjowania procedur pozasądowego rozwiązywania sporów, w tym sporów krajowych i transgranicznych.</w:t>
            </w:r>
          </w:p>
          <w:p w14:paraId="529E31C7" w14:textId="77777777" w:rsidR="000240DC" w:rsidRPr="00317ABF" w:rsidRDefault="000240DC" w:rsidP="000240DC">
            <w:pPr>
              <w:pStyle w:val="Tekstpodstawowy"/>
              <w:rPr>
                <w:bCs/>
                <w:sz w:val="22"/>
                <w:szCs w:val="22"/>
              </w:rPr>
            </w:pPr>
            <w:r w:rsidRPr="00317ABF">
              <w:rPr>
                <w:bCs/>
                <w:sz w:val="22"/>
                <w:szCs w:val="22"/>
              </w:rPr>
              <w:t>4. W przypadku umowy o świadczenie usług komunikacji elektronicznej w zakresie usługi komunikacji interpersonalnej wykorzystującej numery, dostawca usług komunikacji elektronicznej, w ramach informacji przedumownych, doręcza również informacje o:</w:t>
            </w:r>
          </w:p>
          <w:p w14:paraId="19E88D11" w14:textId="77777777" w:rsidR="000240DC" w:rsidRPr="00317ABF" w:rsidRDefault="000240DC" w:rsidP="000240DC">
            <w:pPr>
              <w:pStyle w:val="Tekstpodstawowy"/>
              <w:rPr>
                <w:bCs/>
                <w:sz w:val="22"/>
                <w:szCs w:val="22"/>
              </w:rPr>
            </w:pPr>
            <w:r w:rsidRPr="00317ABF">
              <w:rPr>
                <w:bCs/>
                <w:sz w:val="22"/>
                <w:szCs w:val="22"/>
              </w:rPr>
              <w:t>1)</w:t>
            </w:r>
            <w:r w:rsidRPr="00317ABF">
              <w:rPr>
                <w:bCs/>
                <w:sz w:val="22"/>
                <w:szCs w:val="22"/>
              </w:rPr>
              <w:tab/>
              <w:t>ograniczeniach w kierowaniu połączeń do numerów alarmowych lub ograniczeniach w dostępie do informacji o lokalizacji dzwoniącego użytkownika końcowego ze względu na brak możliwości technicznych;</w:t>
            </w:r>
          </w:p>
          <w:p w14:paraId="09787CA0" w14:textId="77777777" w:rsidR="000240DC" w:rsidRPr="00317ABF" w:rsidRDefault="000240DC" w:rsidP="000240DC">
            <w:pPr>
              <w:pStyle w:val="Tekstpodstawowy"/>
              <w:rPr>
                <w:bCs/>
                <w:sz w:val="22"/>
                <w:szCs w:val="22"/>
              </w:rPr>
            </w:pPr>
            <w:r w:rsidRPr="00317ABF">
              <w:rPr>
                <w:bCs/>
                <w:sz w:val="22"/>
                <w:szCs w:val="22"/>
              </w:rPr>
              <w:t>2)</w:t>
            </w:r>
            <w:r w:rsidRPr="00317ABF">
              <w:rPr>
                <w:bCs/>
                <w:sz w:val="22"/>
                <w:szCs w:val="22"/>
              </w:rPr>
              <w:tab/>
              <w:t>prawie decydowania o umieszczaniu danych abonenta w spisie abonentów oraz rodzaju danych umieszczonych w spisie.</w:t>
            </w:r>
          </w:p>
          <w:p w14:paraId="6E51C97C" w14:textId="77777777" w:rsidR="000240DC" w:rsidRPr="00317ABF" w:rsidRDefault="000240DC" w:rsidP="000240DC">
            <w:pPr>
              <w:pStyle w:val="Tekstpodstawowy"/>
              <w:rPr>
                <w:bCs/>
                <w:sz w:val="22"/>
                <w:szCs w:val="22"/>
              </w:rPr>
            </w:pPr>
            <w:r w:rsidRPr="00317ABF">
              <w:rPr>
                <w:bCs/>
                <w:sz w:val="22"/>
                <w:szCs w:val="22"/>
              </w:rPr>
              <w:t>5. W przypadku umowy o świadczenie usług komunikacji elektronicznej w zakresie usługi dostępu do internetu dostawca tej usługi, w ramach informacji przedumownych, doręcza również informacje, o których mowa w art. 4 ust. 1 rozporządzenia (UE) Parlamentu Europejskiego i Rady (UE) 2015/2120 z dnia 25 listopada 2015 r. ustanawiającego środki dotyczące dostępu do otwartego internetu i dotyczące opłat detalicznych za uregulowane usługi łączności wewnątrzunijnej oraz zmieniającego dyrektywę 2002/22/WE, a także rozporządzenie (UE) nr 531/2012.</w:t>
            </w:r>
          </w:p>
          <w:p w14:paraId="52AB7F33" w14:textId="77777777" w:rsidR="000240DC" w:rsidRPr="00317ABF" w:rsidRDefault="000240DC" w:rsidP="000240DC">
            <w:pPr>
              <w:pStyle w:val="Tekstpodstawowy"/>
              <w:rPr>
                <w:bCs/>
                <w:sz w:val="22"/>
                <w:szCs w:val="22"/>
              </w:rPr>
            </w:pPr>
            <w:r w:rsidRPr="00317ABF">
              <w:rPr>
                <w:bCs/>
                <w:sz w:val="22"/>
                <w:szCs w:val="22"/>
              </w:rPr>
              <w:t>6. Informacje przedumowne w zakresie, w jakim nie zostało to uwzględnione w ust. 2-5,</w:t>
            </w:r>
            <w:r w:rsidRPr="00317ABF" w:rsidDel="002E02CB">
              <w:rPr>
                <w:bCs/>
                <w:sz w:val="22"/>
                <w:szCs w:val="22"/>
              </w:rPr>
              <w:t xml:space="preserve"> </w:t>
            </w:r>
            <w:r w:rsidRPr="00317ABF">
              <w:rPr>
                <w:bCs/>
                <w:sz w:val="22"/>
                <w:szCs w:val="22"/>
              </w:rPr>
              <w:t>zawierają pozostałe informacje wynikające z:</w:t>
            </w:r>
          </w:p>
          <w:p w14:paraId="183BA9C3" w14:textId="77777777" w:rsidR="000240DC" w:rsidRPr="00317ABF" w:rsidRDefault="000240DC" w:rsidP="000240DC">
            <w:pPr>
              <w:pStyle w:val="Tekstpodstawowy"/>
              <w:rPr>
                <w:bCs/>
                <w:sz w:val="22"/>
                <w:szCs w:val="22"/>
              </w:rPr>
            </w:pPr>
            <w:r w:rsidRPr="00317ABF">
              <w:rPr>
                <w:bCs/>
                <w:sz w:val="22"/>
                <w:szCs w:val="22"/>
              </w:rPr>
              <w:t>1)</w:t>
            </w:r>
            <w:r w:rsidRPr="00317ABF">
              <w:rPr>
                <w:bCs/>
                <w:sz w:val="22"/>
                <w:szCs w:val="22"/>
              </w:rPr>
              <w:tab/>
              <w:t>art. 8 ustawy z dnia 30 maja 2014 r. o prawach konsumenta – w przypadku umów innych niż umowy zawierane poza lokalem przedsiębiorstwa lub na odległość;</w:t>
            </w:r>
          </w:p>
          <w:p w14:paraId="43EC5656" w14:textId="77777777" w:rsidR="000240DC" w:rsidRPr="00317ABF" w:rsidRDefault="000240DC" w:rsidP="000240DC">
            <w:pPr>
              <w:pStyle w:val="Tekstpodstawowy"/>
              <w:rPr>
                <w:bCs/>
                <w:sz w:val="22"/>
                <w:szCs w:val="22"/>
              </w:rPr>
            </w:pPr>
            <w:r w:rsidRPr="00317ABF">
              <w:rPr>
                <w:bCs/>
                <w:sz w:val="22"/>
                <w:szCs w:val="22"/>
              </w:rPr>
              <w:t>2)</w:t>
            </w:r>
            <w:r w:rsidRPr="00317ABF">
              <w:rPr>
                <w:bCs/>
                <w:sz w:val="22"/>
                <w:szCs w:val="22"/>
              </w:rPr>
              <w:tab/>
              <w:t>art. 12 ustawy z dnia 30 maja 2014 r. o prawach konsumenta - w przypadku umów zawieranych poza lokalem przedsiębiorstwa lub na odległość.</w:t>
            </w:r>
          </w:p>
          <w:p w14:paraId="5CB8F96E" w14:textId="77777777" w:rsidR="000240DC" w:rsidRPr="00317ABF" w:rsidRDefault="000240DC" w:rsidP="000240DC">
            <w:pPr>
              <w:pStyle w:val="Tekstpodstawowy"/>
              <w:rPr>
                <w:bCs/>
                <w:sz w:val="22"/>
                <w:szCs w:val="22"/>
              </w:rPr>
            </w:pPr>
            <w:r w:rsidRPr="00317ABF">
              <w:rPr>
                <w:bCs/>
                <w:sz w:val="22"/>
                <w:szCs w:val="22"/>
              </w:rPr>
              <w:t xml:space="preserve">7. W przypadku zawierania umowy o świadczenie usług przedpłaconych oraz w przypadku gdy nie jest możliwe doręczenie na trwałym nośniku informacji, o których mowa w ust. 2-6, dostawca usług komunikacji elektronicznej udostępnia je w postaci łatwych do pobrania dokumentów, ze wskazaniem ich źródła kierującego bezpośrednio do tych dokumentów, z pouczeniem o konieczności ich pobrania i utrwalenia w celu zachowania </w:t>
            </w:r>
            <w:r w:rsidRPr="00317ABF">
              <w:rPr>
                <w:bCs/>
                <w:sz w:val="22"/>
                <w:szCs w:val="22"/>
              </w:rPr>
              <w:lastRenderedPageBreak/>
              <w:t>możliwości ich późniejszego odtworzenia w niezmienionej postaci, dla celów dowodowych.</w:t>
            </w:r>
          </w:p>
          <w:p w14:paraId="534C5809" w14:textId="77777777" w:rsidR="00472AF3" w:rsidRPr="00317ABF" w:rsidRDefault="000240DC" w:rsidP="000240DC">
            <w:pPr>
              <w:pStyle w:val="Tekstpodstawowy"/>
              <w:rPr>
                <w:bCs/>
                <w:sz w:val="22"/>
                <w:szCs w:val="22"/>
              </w:rPr>
            </w:pPr>
            <w:r w:rsidRPr="00317ABF">
              <w:rPr>
                <w:bCs/>
                <w:sz w:val="22"/>
                <w:szCs w:val="22"/>
              </w:rPr>
              <w:t>8. Zaakceptowane przez konsumenta informacje przedumowne stają się integralną częścią umowy o świadczenie usług komunikacji elektronicznej, o której mowa w art. 282 lub art. 284, i nie podlegają zmianie, chyba że umawiające się strony wyraźnie postanowią inaczej.</w:t>
            </w:r>
          </w:p>
          <w:p w14:paraId="19FB270A" w14:textId="77777777" w:rsidR="00472AF3" w:rsidRPr="00317ABF" w:rsidRDefault="00472AF3" w:rsidP="000240DC">
            <w:pPr>
              <w:pStyle w:val="Tekstpodstawowy"/>
              <w:rPr>
                <w:bCs/>
                <w:sz w:val="22"/>
                <w:szCs w:val="22"/>
              </w:rPr>
            </w:pPr>
          </w:p>
          <w:p w14:paraId="5E8E4F6A" w14:textId="5C21DBD3" w:rsidR="001E1112" w:rsidRPr="00317ABF" w:rsidRDefault="00472AF3" w:rsidP="000240DC">
            <w:pPr>
              <w:pStyle w:val="Tekstpodstawowy"/>
              <w:rPr>
                <w:bCs/>
                <w:sz w:val="22"/>
                <w:szCs w:val="22"/>
              </w:rPr>
            </w:pPr>
            <w:r w:rsidRPr="00317ABF">
              <w:rPr>
                <w:b/>
                <w:bCs/>
                <w:sz w:val="22"/>
                <w:szCs w:val="22"/>
              </w:rPr>
              <w:t>Art. 286.</w:t>
            </w:r>
            <w:r w:rsidRPr="00317ABF">
              <w:rPr>
                <w:bCs/>
                <w:sz w:val="22"/>
                <w:szCs w:val="22"/>
              </w:rPr>
              <w:t xml:space="preserve"> Na żądanie konsumenta z niepełnosprawnościami informacje przedumowne, zwięzłe podsumowanie warunków umowy oraz pozostałe informacje zawarte w umowie o świadczenie usług komunikacji elektronicznej, o których mowa w art. 282 lub art. 284, doręczane są w postaci dostępnej dla osób z niepełnosprawnościami.</w:t>
            </w:r>
          </w:p>
        </w:tc>
      </w:tr>
      <w:tr w:rsidR="001E1112" w:rsidRPr="00317ABF" w14:paraId="29DD763F" w14:textId="77777777" w:rsidTr="7753F98D">
        <w:trPr>
          <w:gridAfter w:val="2"/>
          <w:wAfter w:w="175" w:type="dxa"/>
        </w:trPr>
        <w:tc>
          <w:tcPr>
            <w:tcW w:w="704" w:type="dxa"/>
          </w:tcPr>
          <w:p w14:paraId="45F8AC07" w14:textId="77777777" w:rsidR="001E1112" w:rsidRPr="00317ABF" w:rsidRDefault="001E1112" w:rsidP="00DB3BEC">
            <w:pPr>
              <w:jc w:val="both"/>
              <w:rPr>
                <w:sz w:val="22"/>
                <w:szCs w:val="22"/>
              </w:rPr>
            </w:pPr>
            <w:r w:rsidRPr="00317ABF">
              <w:rPr>
                <w:sz w:val="22"/>
                <w:szCs w:val="22"/>
              </w:rPr>
              <w:lastRenderedPageBreak/>
              <w:t>Art. 102 ust. 2</w:t>
            </w:r>
          </w:p>
        </w:tc>
        <w:tc>
          <w:tcPr>
            <w:tcW w:w="4308" w:type="dxa"/>
          </w:tcPr>
          <w:p w14:paraId="65A9E7C3" w14:textId="77777777" w:rsidR="001E1112" w:rsidRPr="00317ABF" w:rsidRDefault="001E1112" w:rsidP="00DB3BEC">
            <w:pPr>
              <w:spacing w:before="120"/>
              <w:jc w:val="both"/>
              <w:rPr>
                <w:sz w:val="22"/>
                <w:szCs w:val="22"/>
              </w:rPr>
            </w:pPr>
            <w:r w:rsidRPr="00317ABF">
              <w:rPr>
                <w:sz w:val="22"/>
                <w:szCs w:val="22"/>
              </w:rPr>
              <w:t>2.   Informacje, o których mowa w ust. 1, 3 i 5, przekazuje się również użytkownikom końcowym, którzy są mikroprzedsiębiorstwami lub małymi przedsiębiorstwami lub organizacjami non-profit, chyba że wyraźnie zgodzili się oni, by odnośne przepisy w całości lub w części nie miały do nich zastosowania.</w:t>
            </w:r>
          </w:p>
        </w:tc>
        <w:tc>
          <w:tcPr>
            <w:tcW w:w="986" w:type="dxa"/>
          </w:tcPr>
          <w:p w14:paraId="0FAF78FA" w14:textId="4CF5AC88" w:rsidR="001E1112" w:rsidRPr="00317ABF" w:rsidRDefault="001E1112" w:rsidP="00DB3BEC">
            <w:pPr>
              <w:jc w:val="both"/>
              <w:rPr>
                <w:sz w:val="22"/>
                <w:szCs w:val="22"/>
              </w:rPr>
            </w:pPr>
            <w:r w:rsidRPr="00317ABF">
              <w:rPr>
                <w:sz w:val="22"/>
                <w:szCs w:val="22"/>
              </w:rPr>
              <w:t>T</w:t>
            </w:r>
          </w:p>
        </w:tc>
        <w:tc>
          <w:tcPr>
            <w:tcW w:w="910" w:type="dxa"/>
          </w:tcPr>
          <w:p w14:paraId="05962373" w14:textId="61F8D495" w:rsidR="001E1112" w:rsidRPr="00317ABF" w:rsidRDefault="004B4231" w:rsidP="00DB3BEC">
            <w:pPr>
              <w:pStyle w:val="Tekstpodstawowy"/>
              <w:rPr>
                <w:b/>
                <w:noProof/>
                <w:sz w:val="22"/>
                <w:szCs w:val="22"/>
              </w:rPr>
            </w:pPr>
            <w:r w:rsidRPr="00317ABF">
              <w:rPr>
                <w:b/>
                <w:noProof/>
                <w:sz w:val="22"/>
                <w:szCs w:val="22"/>
              </w:rPr>
              <w:t>Art. 287</w:t>
            </w:r>
          </w:p>
        </w:tc>
        <w:tc>
          <w:tcPr>
            <w:tcW w:w="6814" w:type="dxa"/>
            <w:gridSpan w:val="2"/>
          </w:tcPr>
          <w:p w14:paraId="33A46AA6" w14:textId="77777777" w:rsidR="004B4231" w:rsidRPr="00317ABF" w:rsidRDefault="004B4231" w:rsidP="004B4231">
            <w:pPr>
              <w:pStyle w:val="Tekstpodstawowy"/>
              <w:rPr>
                <w:sz w:val="22"/>
                <w:szCs w:val="22"/>
              </w:rPr>
            </w:pPr>
            <w:r w:rsidRPr="00317ABF">
              <w:rPr>
                <w:rFonts w:ascii="Times" w:eastAsiaTheme="minorEastAsia" w:hAnsi="Times" w:cs="Times"/>
                <w:b/>
                <w:sz w:val="24"/>
              </w:rPr>
              <w:t xml:space="preserve"> </w:t>
            </w:r>
            <w:r w:rsidRPr="00317ABF">
              <w:rPr>
                <w:b/>
                <w:sz w:val="22"/>
                <w:szCs w:val="22"/>
              </w:rPr>
              <w:t>Art. 287.</w:t>
            </w:r>
            <w:r w:rsidRPr="00317ABF">
              <w:rPr>
                <w:sz w:val="22"/>
                <w:szCs w:val="22"/>
              </w:rPr>
              <w:t xml:space="preserve"> </w:t>
            </w:r>
          </w:p>
          <w:p w14:paraId="1812ABE4" w14:textId="459C2F42" w:rsidR="004B4231" w:rsidRPr="00317ABF" w:rsidRDefault="004B4231" w:rsidP="004B4231">
            <w:pPr>
              <w:pStyle w:val="Tekstpodstawowy"/>
              <w:rPr>
                <w:sz w:val="22"/>
                <w:szCs w:val="22"/>
              </w:rPr>
            </w:pPr>
            <w:r w:rsidRPr="00317ABF">
              <w:rPr>
                <w:sz w:val="22"/>
                <w:szCs w:val="22"/>
              </w:rPr>
              <w:t xml:space="preserve">1. Przepisy z </w:t>
            </w:r>
            <w:r w:rsidRPr="00317ABF" w:rsidDel="003A08F8">
              <w:rPr>
                <w:sz w:val="22"/>
                <w:szCs w:val="22"/>
              </w:rPr>
              <w:t xml:space="preserve">art. </w:t>
            </w:r>
            <w:r w:rsidRPr="00317ABF">
              <w:rPr>
                <w:sz w:val="22"/>
                <w:szCs w:val="22"/>
              </w:rPr>
              <w:t xml:space="preserve">279-282, art. 286, art. 296 ust. 1, art. 299 ust. 1 i 3 oraz art. 311 stosuje się odpowiednio do użytkownika końcowego będącego mikroprzedsiębiorcą, małym przedsiębiorcą lub organizacją pozarządową w rozumieniu art. 3 ust. 2 ustawy z dnia 24 kwietnia 2003 r. o działalności pożytku publicznego i o wolontariacie (Dz. U. z 2019 r. poz. 688), chyba że wyraził on, najpóźniej w chwili zawarcia umowy o świadczenie usług komunikacji elektronicznej, zgodę na to, że przepisy te nie będą miały do niego zastosowania. </w:t>
            </w:r>
          </w:p>
          <w:p w14:paraId="238E6FED" w14:textId="13CDBF5C" w:rsidR="001E1112" w:rsidRPr="00317ABF" w:rsidRDefault="004B4231" w:rsidP="004B4231">
            <w:pPr>
              <w:pStyle w:val="Tekstpodstawowy"/>
              <w:rPr>
                <w:sz w:val="22"/>
                <w:szCs w:val="22"/>
              </w:rPr>
            </w:pPr>
            <w:r w:rsidRPr="00317ABF">
              <w:rPr>
                <w:sz w:val="22"/>
                <w:szCs w:val="22"/>
              </w:rPr>
              <w:t>2. Zgoda, o której mowa w ust. 1, może zostać wyrażona w umowie o świadczenie usług komunikacji elektronicznej.</w:t>
            </w:r>
          </w:p>
        </w:tc>
      </w:tr>
      <w:tr w:rsidR="001E1112" w:rsidRPr="00317ABF" w14:paraId="0A5ABF08" w14:textId="77777777" w:rsidTr="7753F98D">
        <w:trPr>
          <w:gridAfter w:val="2"/>
          <w:wAfter w:w="175" w:type="dxa"/>
        </w:trPr>
        <w:tc>
          <w:tcPr>
            <w:tcW w:w="704" w:type="dxa"/>
          </w:tcPr>
          <w:p w14:paraId="7E344ACE" w14:textId="77777777" w:rsidR="001E1112" w:rsidRPr="00317ABF" w:rsidRDefault="001E1112" w:rsidP="00DB3BEC">
            <w:pPr>
              <w:jc w:val="both"/>
              <w:rPr>
                <w:sz w:val="22"/>
                <w:szCs w:val="22"/>
              </w:rPr>
            </w:pPr>
            <w:r w:rsidRPr="00317ABF">
              <w:rPr>
                <w:sz w:val="22"/>
                <w:szCs w:val="22"/>
              </w:rPr>
              <w:t>Art. 102 ust. 3</w:t>
            </w:r>
          </w:p>
        </w:tc>
        <w:tc>
          <w:tcPr>
            <w:tcW w:w="4308" w:type="dxa"/>
          </w:tcPr>
          <w:p w14:paraId="034CF767" w14:textId="77777777" w:rsidR="001E1112" w:rsidRPr="00317ABF" w:rsidRDefault="001E1112" w:rsidP="00DB3BEC">
            <w:pPr>
              <w:spacing w:before="120"/>
              <w:jc w:val="both"/>
              <w:rPr>
                <w:sz w:val="22"/>
                <w:szCs w:val="22"/>
              </w:rPr>
            </w:pPr>
            <w:r w:rsidRPr="00317ABF">
              <w:rPr>
                <w:sz w:val="22"/>
                <w:szCs w:val="22"/>
              </w:rPr>
              <w:t>3.   Dostawcy świadczący publicznie dostępne usługi łączności elektronicznej inne niż usługi transmisji używane do świadczenia usług łączności maszyna–maszyna przekazują konsumentom zwięzłe i łatwe do odczytania podsumowanie warunków umowy. To podsumowanie zawiera główne elementy spośród wymogów informacyjnych zgodnie z ust. 1. Te główne elementy obejmują co najmniej:</w:t>
            </w:r>
          </w:p>
          <w:tbl>
            <w:tblPr>
              <w:tblW w:w="5000" w:type="pct"/>
              <w:tblCellSpacing w:w="0" w:type="dxa"/>
              <w:tblLayout w:type="fixed"/>
              <w:tblCellMar>
                <w:left w:w="0" w:type="dxa"/>
                <w:right w:w="0" w:type="dxa"/>
              </w:tblCellMar>
              <w:tblLook w:val="04A0" w:firstRow="1" w:lastRow="0" w:firstColumn="1" w:lastColumn="0" w:noHBand="0" w:noVBand="1"/>
            </w:tblPr>
            <w:tblGrid>
              <w:gridCol w:w="20"/>
              <w:gridCol w:w="4148"/>
            </w:tblGrid>
            <w:tr w:rsidR="001E1112" w:rsidRPr="00317ABF" w14:paraId="7DC11EDF" w14:textId="77777777" w:rsidTr="0016481D">
              <w:trPr>
                <w:tblCellSpacing w:w="0" w:type="dxa"/>
              </w:trPr>
              <w:tc>
                <w:tcPr>
                  <w:tcW w:w="6" w:type="dxa"/>
                  <w:hideMark/>
                </w:tcPr>
                <w:p w14:paraId="777DC68E" w14:textId="77777777" w:rsidR="001E1112" w:rsidRPr="00317ABF" w:rsidRDefault="001E1112" w:rsidP="00EE0AC3">
                  <w:pPr>
                    <w:framePr w:hSpace="141" w:wrap="around" w:vAnchor="text" w:hAnchor="text" w:xAlign="right" w:y="1"/>
                    <w:spacing w:before="120"/>
                    <w:suppressOverlap/>
                    <w:jc w:val="both"/>
                    <w:rPr>
                      <w:sz w:val="22"/>
                      <w:szCs w:val="22"/>
                    </w:rPr>
                  </w:pPr>
                </w:p>
              </w:tc>
              <w:tc>
                <w:tcPr>
                  <w:tcW w:w="9066" w:type="dxa"/>
                  <w:hideMark/>
                </w:tcPr>
                <w:p w14:paraId="627BCE83" w14:textId="77777777" w:rsidR="001E1112" w:rsidRPr="00317ABF" w:rsidRDefault="001E1112" w:rsidP="00EE0AC3">
                  <w:pPr>
                    <w:framePr w:hSpace="141" w:wrap="around" w:vAnchor="text" w:hAnchor="text" w:xAlign="right" w:y="1"/>
                    <w:numPr>
                      <w:ilvl w:val="0"/>
                      <w:numId w:val="76"/>
                    </w:numPr>
                    <w:spacing w:before="120"/>
                    <w:suppressOverlap/>
                    <w:jc w:val="both"/>
                    <w:rPr>
                      <w:sz w:val="22"/>
                      <w:szCs w:val="22"/>
                    </w:rPr>
                  </w:pPr>
                  <w:r w:rsidRPr="00317ABF">
                    <w:rPr>
                      <w:sz w:val="22"/>
                      <w:szCs w:val="22"/>
                    </w:rPr>
                    <w:t>nazwę, adres i dane kontaktowe dostawcy oraz, jeśli są one inne, dane kontaktowe na potrzeby składania skarg;</w:t>
                  </w:r>
                </w:p>
              </w:tc>
            </w:tr>
          </w:tbl>
          <w:p w14:paraId="361351A7" w14:textId="77777777" w:rsidR="001E1112" w:rsidRPr="00317ABF" w:rsidRDefault="001E1112" w:rsidP="00DB3BEC">
            <w:pPr>
              <w:jc w:val="both"/>
              <w:rPr>
                <w:vanish/>
                <w:sz w:val="22"/>
                <w:szCs w:val="22"/>
              </w:rPr>
            </w:pPr>
          </w:p>
          <w:tbl>
            <w:tblPr>
              <w:tblW w:w="5000" w:type="pct"/>
              <w:tblCellSpacing w:w="0" w:type="dxa"/>
              <w:tblLayout w:type="fixed"/>
              <w:tblCellMar>
                <w:left w:w="0" w:type="dxa"/>
                <w:right w:w="0" w:type="dxa"/>
              </w:tblCellMar>
              <w:tblLook w:val="04A0" w:firstRow="1" w:lastRow="0" w:firstColumn="1" w:lastColumn="0" w:noHBand="0" w:noVBand="1"/>
            </w:tblPr>
            <w:tblGrid>
              <w:gridCol w:w="20"/>
              <w:gridCol w:w="4148"/>
            </w:tblGrid>
            <w:tr w:rsidR="001E1112" w:rsidRPr="00317ABF" w14:paraId="5172FC65" w14:textId="77777777" w:rsidTr="0016481D">
              <w:trPr>
                <w:tblCellSpacing w:w="0" w:type="dxa"/>
              </w:trPr>
              <w:tc>
                <w:tcPr>
                  <w:tcW w:w="14" w:type="dxa"/>
                  <w:hideMark/>
                </w:tcPr>
                <w:p w14:paraId="5AC2EC89" w14:textId="77777777" w:rsidR="001E1112" w:rsidRPr="00317ABF" w:rsidRDefault="001E1112" w:rsidP="00EE0AC3">
                  <w:pPr>
                    <w:framePr w:hSpace="141" w:wrap="around" w:vAnchor="text" w:hAnchor="text" w:xAlign="right" w:y="1"/>
                    <w:spacing w:before="120"/>
                    <w:suppressOverlap/>
                    <w:jc w:val="both"/>
                    <w:rPr>
                      <w:sz w:val="22"/>
                      <w:szCs w:val="22"/>
                    </w:rPr>
                  </w:pPr>
                </w:p>
              </w:tc>
              <w:tc>
                <w:tcPr>
                  <w:tcW w:w="9058" w:type="dxa"/>
                  <w:hideMark/>
                </w:tcPr>
                <w:p w14:paraId="68751B02" w14:textId="77777777" w:rsidR="001E1112" w:rsidRPr="00317ABF" w:rsidRDefault="001E1112" w:rsidP="00EE0AC3">
                  <w:pPr>
                    <w:framePr w:hSpace="141" w:wrap="around" w:vAnchor="text" w:hAnchor="text" w:xAlign="right" w:y="1"/>
                    <w:numPr>
                      <w:ilvl w:val="0"/>
                      <w:numId w:val="76"/>
                    </w:numPr>
                    <w:spacing w:before="120"/>
                    <w:suppressOverlap/>
                    <w:jc w:val="both"/>
                    <w:rPr>
                      <w:sz w:val="22"/>
                      <w:szCs w:val="22"/>
                    </w:rPr>
                  </w:pPr>
                  <w:r w:rsidRPr="00317ABF">
                    <w:rPr>
                      <w:sz w:val="22"/>
                      <w:szCs w:val="22"/>
                    </w:rPr>
                    <w:t>główne cechy każdej świadczonej usługi;</w:t>
                  </w:r>
                </w:p>
              </w:tc>
            </w:tr>
          </w:tbl>
          <w:p w14:paraId="66D9ED78" w14:textId="77777777" w:rsidR="001E1112" w:rsidRPr="00317ABF" w:rsidRDefault="001E1112" w:rsidP="00DB3BEC">
            <w:pPr>
              <w:jc w:val="both"/>
              <w:rPr>
                <w:vanish/>
                <w:sz w:val="22"/>
                <w:szCs w:val="22"/>
              </w:rPr>
            </w:pPr>
          </w:p>
          <w:tbl>
            <w:tblPr>
              <w:tblW w:w="5000" w:type="pct"/>
              <w:tblCellSpacing w:w="0" w:type="dxa"/>
              <w:tblLayout w:type="fixed"/>
              <w:tblCellMar>
                <w:left w:w="0" w:type="dxa"/>
                <w:right w:w="0" w:type="dxa"/>
              </w:tblCellMar>
              <w:tblLook w:val="04A0" w:firstRow="1" w:lastRow="0" w:firstColumn="1" w:lastColumn="0" w:noHBand="0" w:noVBand="1"/>
            </w:tblPr>
            <w:tblGrid>
              <w:gridCol w:w="20"/>
              <w:gridCol w:w="4148"/>
            </w:tblGrid>
            <w:tr w:rsidR="001E1112" w:rsidRPr="00317ABF" w14:paraId="4D243D0C" w14:textId="77777777" w:rsidTr="0016481D">
              <w:trPr>
                <w:tblCellSpacing w:w="0" w:type="dxa"/>
              </w:trPr>
              <w:tc>
                <w:tcPr>
                  <w:tcW w:w="6" w:type="dxa"/>
                  <w:hideMark/>
                </w:tcPr>
                <w:p w14:paraId="48D659A9" w14:textId="77777777" w:rsidR="001E1112" w:rsidRPr="00317ABF" w:rsidRDefault="001E1112" w:rsidP="00EE0AC3">
                  <w:pPr>
                    <w:framePr w:hSpace="141" w:wrap="around" w:vAnchor="text" w:hAnchor="text" w:xAlign="right" w:y="1"/>
                    <w:spacing w:before="120"/>
                    <w:suppressOverlap/>
                    <w:jc w:val="both"/>
                    <w:rPr>
                      <w:sz w:val="22"/>
                      <w:szCs w:val="22"/>
                    </w:rPr>
                  </w:pPr>
                </w:p>
              </w:tc>
              <w:tc>
                <w:tcPr>
                  <w:tcW w:w="9066" w:type="dxa"/>
                  <w:hideMark/>
                </w:tcPr>
                <w:p w14:paraId="56FAE378" w14:textId="77777777" w:rsidR="001E1112" w:rsidRPr="00317ABF" w:rsidRDefault="001E1112" w:rsidP="00EE0AC3">
                  <w:pPr>
                    <w:framePr w:hSpace="141" w:wrap="around" w:vAnchor="text" w:hAnchor="text" w:xAlign="right" w:y="1"/>
                    <w:numPr>
                      <w:ilvl w:val="0"/>
                      <w:numId w:val="76"/>
                    </w:numPr>
                    <w:spacing w:before="120"/>
                    <w:suppressOverlap/>
                    <w:jc w:val="both"/>
                    <w:rPr>
                      <w:sz w:val="22"/>
                      <w:szCs w:val="22"/>
                    </w:rPr>
                  </w:pPr>
                  <w:r w:rsidRPr="00317ABF">
                    <w:rPr>
                      <w:sz w:val="22"/>
                      <w:szCs w:val="22"/>
                    </w:rPr>
                    <w:t>odpowiednie ceny z tytułu aktywacji usługi łączności elektronicznej i wszelkie powtarzalne lub oparte na zużyciu opłaty, w przypadku gdy usługa jest świadczona za bezpośrednią opłatą pieniężną;</w:t>
                  </w:r>
                </w:p>
              </w:tc>
            </w:tr>
          </w:tbl>
          <w:p w14:paraId="6AF53EBA" w14:textId="77777777" w:rsidR="001E1112" w:rsidRPr="00317ABF" w:rsidRDefault="001E1112" w:rsidP="00DB3BEC">
            <w:pPr>
              <w:jc w:val="both"/>
              <w:rPr>
                <w:vanish/>
                <w:sz w:val="22"/>
                <w:szCs w:val="22"/>
              </w:rPr>
            </w:pPr>
          </w:p>
          <w:tbl>
            <w:tblPr>
              <w:tblW w:w="5000" w:type="pct"/>
              <w:tblCellSpacing w:w="0" w:type="dxa"/>
              <w:tblLayout w:type="fixed"/>
              <w:tblCellMar>
                <w:left w:w="0" w:type="dxa"/>
                <w:right w:w="0" w:type="dxa"/>
              </w:tblCellMar>
              <w:tblLook w:val="04A0" w:firstRow="1" w:lastRow="0" w:firstColumn="1" w:lastColumn="0" w:noHBand="0" w:noVBand="1"/>
            </w:tblPr>
            <w:tblGrid>
              <w:gridCol w:w="20"/>
              <w:gridCol w:w="4148"/>
            </w:tblGrid>
            <w:tr w:rsidR="001E1112" w:rsidRPr="00317ABF" w14:paraId="1040C05F" w14:textId="77777777" w:rsidTr="0016481D">
              <w:trPr>
                <w:tblCellSpacing w:w="0" w:type="dxa"/>
              </w:trPr>
              <w:tc>
                <w:tcPr>
                  <w:tcW w:w="8" w:type="dxa"/>
                  <w:hideMark/>
                </w:tcPr>
                <w:p w14:paraId="1B350781" w14:textId="77777777" w:rsidR="001E1112" w:rsidRPr="00317ABF" w:rsidRDefault="001E1112" w:rsidP="00EE0AC3">
                  <w:pPr>
                    <w:framePr w:hSpace="141" w:wrap="around" w:vAnchor="text" w:hAnchor="text" w:xAlign="right" w:y="1"/>
                    <w:spacing w:before="120"/>
                    <w:suppressOverlap/>
                    <w:jc w:val="both"/>
                    <w:rPr>
                      <w:sz w:val="22"/>
                      <w:szCs w:val="22"/>
                    </w:rPr>
                  </w:pPr>
                </w:p>
              </w:tc>
              <w:tc>
                <w:tcPr>
                  <w:tcW w:w="9064" w:type="dxa"/>
                  <w:hideMark/>
                </w:tcPr>
                <w:p w14:paraId="69D41A7D" w14:textId="77777777" w:rsidR="001E1112" w:rsidRPr="00317ABF" w:rsidRDefault="001E1112" w:rsidP="00EE0AC3">
                  <w:pPr>
                    <w:framePr w:hSpace="141" w:wrap="around" w:vAnchor="text" w:hAnchor="text" w:xAlign="right" w:y="1"/>
                    <w:numPr>
                      <w:ilvl w:val="0"/>
                      <w:numId w:val="76"/>
                    </w:numPr>
                    <w:spacing w:before="120"/>
                    <w:suppressOverlap/>
                    <w:jc w:val="both"/>
                    <w:rPr>
                      <w:sz w:val="22"/>
                      <w:szCs w:val="22"/>
                    </w:rPr>
                  </w:pPr>
                  <w:r w:rsidRPr="00317ABF">
                    <w:rPr>
                      <w:sz w:val="22"/>
                      <w:szCs w:val="22"/>
                    </w:rPr>
                    <w:t>okres obowiązywania umowy oraz warunki jej przedłużenia i rozwiązania;</w:t>
                  </w:r>
                </w:p>
              </w:tc>
            </w:tr>
          </w:tbl>
          <w:p w14:paraId="07F29996" w14:textId="77777777" w:rsidR="001E1112" w:rsidRPr="00317ABF" w:rsidRDefault="001E1112" w:rsidP="00DB3BEC">
            <w:pPr>
              <w:jc w:val="both"/>
              <w:rPr>
                <w:vanish/>
                <w:sz w:val="22"/>
                <w:szCs w:val="22"/>
              </w:rPr>
            </w:pPr>
          </w:p>
          <w:tbl>
            <w:tblPr>
              <w:tblW w:w="5000" w:type="pct"/>
              <w:tblCellSpacing w:w="0" w:type="dxa"/>
              <w:tblLayout w:type="fixed"/>
              <w:tblCellMar>
                <w:left w:w="0" w:type="dxa"/>
                <w:right w:w="0" w:type="dxa"/>
              </w:tblCellMar>
              <w:tblLook w:val="04A0" w:firstRow="1" w:lastRow="0" w:firstColumn="1" w:lastColumn="0" w:noHBand="0" w:noVBand="1"/>
            </w:tblPr>
            <w:tblGrid>
              <w:gridCol w:w="20"/>
              <w:gridCol w:w="4148"/>
            </w:tblGrid>
            <w:tr w:rsidR="001E1112" w:rsidRPr="00317ABF" w14:paraId="76DB001A" w14:textId="77777777" w:rsidTr="0016481D">
              <w:trPr>
                <w:tblCellSpacing w:w="0" w:type="dxa"/>
              </w:trPr>
              <w:tc>
                <w:tcPr>
                  <w:tcW w:w="6" w:type="dxa"/>
                  <w:hideMark/>
                </w:tcPr>
                <w:p w14:paraId="0C01FB56" w14:textId="77777777" w:rsidR="001E1112" w:rsidRPr="00317ABF" w:rsidRDefault="001E1112" w:rsidP="00EE0AC3">
                  <w:pPr>
                    <w:framePr w:hSpace="141" w:wrap="around" w:vAnchor="text" w:hAnchor="text" w:xAlign="right" w:y="1"/>
                    <w:spacing w:before="120"/>
                    <w:suppressOverlap/>
                    <w:jc w:val="both"/>
                    <w:rPr>
                      <w:sz w:val="22"/>
                      <w:szCs w:val="22"/>
                    </w:rPr>
                  </w:pPr>
                </w:p>
              </w:tc>
              <w:tc>
                <w:tcPr>
                  <w:tcW w:w="9066" w:type="dxa"/>
                  <w:hideMark/>
                </w:tcPr>
                <w:p w14:paraId="6E7EB738" w14:textId="77777777" w:rsidR="001E1112" w:rsidRPr="00317ABF" w:rsidRDefault="001E1112" w:rsidP="00EE0AC3">
                  <w:pPr>
                    <w:framePr w:hSpace="141" w:wrap="around" w:vAnchor="text" w:hAnchor="text" w:xAlign="right" w:y="1"/>
                    <w:numPr>
                      <w:ilvl w:val="0"/>
                      <w:numId w:val="76"/>
                    </w:numPr>
                    <w:spacing w:before="120"/>
                    <w:suppressOverlap/>
                    <w:jc w:val="both"/>
                    <w:rPr>
                      <w:sz w:val="22"/>
                      <w:szCs w:val="22"/>
                    </w:rPr>
                  </w:pPr>
                  <w:r w:rsidRPr="00317ABF">
                    <w:rPr>
                      <w:sz w:val="22"/>
                      <w:szCs w:val="22"/>
                    </w:rPr>
                    <w:t>stopień, w jakim dane produkty i usługi przeznaczone są dla użytkowników końcowych z niepełnosprawnościami;</w:t>
                  </w:r>
                </w:p>
              </w:tc>
            </w:tr>
          </w:tbl>
          <w:p w14:paraId="1173E931" w14:textId="77777777" w:rsidR="001E1112" w:rsidRPr="00317ABF" w:rsidRDefault="001E1112" w:rsidP="00DB3BEC">
            <w:pPr>
              <w:jc w:val="both"/>
              <w:rPr>
                <w:vanish/>
                <w:sz w:val="22"/>
                <w:szCs w:val="22"/>
              </w:rPr>
            </w:pPr>
          </w:p>
          <w:tbl>
            <w:tblPr>
              <w:tblW w:w="5000" w:type="pct"/>
              <w:tblCellSpacing w:w="0" w:type="dxa"/>
              <w:tblLayout w:type="fixed"/>
              <w:tblCellMar>
                <w:left w:w="0" w:type="dxa"/>
                <w:right w:w="0" w:type="dxa"/>
              </w:tblCellMar>
              <w:tblLook w:val="04A0" w:firstRow="1" w:lastRow="0" w:firstColumn="1" w:lastColumn="0" w:noHBand="0" w:noVBand="1"/>
            </w:tblPr>
            <w:tblGrid>
              <w:gridCol w:w="20"/>
              <w:gridCol w:w="4148"/>
            </w:tblGrid>
            <w:tr w:rsidR="001E1112" w:rsidRPr="00317ABF" w14:paraId="75F88678" w14:textId="77777777" w:rsidTr="0016481D">
              <w:trPr>
                <w:tblCellSpacing w:w="0" w:type="dxa"/>
              </w:trPr>
              <w:tc>
                <w:tcPr>
                  <w:tcW w:w="6" w:type="dxa"/>
                  <w:hideMark/>
                </w:tcPr>
                <w:p w14:paraId="79B2F40D" w14:textId="77777777" w:rsidR="001E1112" w:rsidRPr="00317ABF" w:rsidRDefault="001E1112" w:rsidP="00EE0AC3">
                  <w:pPr>
                    <w:framePr w:hSpace="141" w:wrap="around" w:vAnchor="text" w:hAnchor="text" w:xAlign="right" w:y="1"/>
                    <w:spacing w:before="120"/>
                    <w:suppressOverlap/>
                    <w:jc w:val="both"/>
                    <w:rPr>
                      <w:sz w:val="22"/>
                      <w:szCs w:val="22"/>
                    </w:rPr>
                  </w:pPr>
                </w:p>
              </w:tc>
              <w:tc>
                <w:tcPr>
                  <w:tcW w:w="9066" w:type="dxa"/>
                  <w:hideMark/>
                </w:tcPr>
                <w:p w14:paraId="429E8B11" w14:textId="77777777" w:rsidR="001E1112" w:rsidRPr="00317ABF" w:rsidRDefault="001E1112" w:rsidP="00EE0AC3">
                  <w:pPr>
                    <w:framePr w:hSpace="141" w:wrap="around" w:vAnchor="text" w:hAnchor="text" w:xAlign="right" w:y="1"/>
                    <w:numPr>
                      <w:ilvl w:val="0"/>
                      <w:numId w:val="76"/>
                    </w:numPr>
                    <w:spacing w:before="120"/>
                    <w:suppressOverlap/>
                    <w:jc w:val="both"/>
                    <w:rPr>
                      <w:sz w:val="22"/>
                      <w:szCs w:val="22"/>
                    </w:rPr>
                  </w:pPr>
                  <w:r w:rsidRPr="00317ABF">
                    <w:rPr>
                      <w:sz w:val="22"/>
                      <w:szCs w:val="22"/>
                    </w:rPr>
                    <w:t>w odniesieniu do usług dostępu do internetu – podsumowanie informacji wymaganych na podstawie art. 4 ust. 1 lit. d) i e) rozporządzenia (UE) 2015/2120.</w:t>
                  </w:r>
                </w:p>
              </w:tc>
            </w:tr>
          </w:tbl>
          <w:p w14:paraId="5417A9EA" w14:textId="77777777" w:rsidR="001E1112" w:rsidRPr="00317ABF" w:rsidRDefault="001E1112" w:rsidP="00DB3BEC">
            <w:pPr>
              <w:spacing w:before="120"/>
              <w:jc w:val="both"/>
              <w:rPr>
                <w:sz w:val="22"/>
                <w:szCs w:val="22"/>
              </w:rPr>
            </w:pPr>
            <w:r w:rsidRPr="00317ABF">
              <w:rPr>
                <w:sz w:val="22"/>
                <w:szCs w:val="22"/>
              </w:rPr>
              <w:t>Do dnia 21 grudnia 2019 r. Komisja, po przeprowadzeniu konsultacji z BEREC, przyjmie akt wykonawczy określający formularz zawierający podsumowanie warunków umowy, który ma być używany przez dostawców w celu spełnienia ich obowiązków wynikających z niniejszego ustępu.</w:t>
            </w:r>
          </w:p>
          <w:p w14:paraId="05BE7886" w14:textId="77777777" w:rsidR="001E1112" w:rsidRPr="00317ABF" w:rsidRDefault="001E1112" w:rsidP="00DB3BEC">
            <w:pPr>
              <w:spacing w:before="120"/>
              <w:jc w:val="both"/>
              <w:rPr>
                <w:sz w:val="22"/>
                <w:szCs w:val="22"/>
              </w:rPr>
            </w:pPr>
            <w:r w:rsidRPr="00317ABF">
              <w:rPr>
                <w:sz w:val="22"/>
                <w:szCs w:val="22"/>
              </w:rPr>
              <w:t>Te akty wykonawcze przyjmuje się zgodnie z procedurą sprawdzającą, o której mowa w art. 118 ust. 4.</w:t>
            </w:r>
          </w:p>
          <w:p w14:paraId="10DEA46E" w14:textId="77777777" w:rsidR="001E1112" w:rsidRPr="00317ABF" w:rsidRDefault="001E1112" w:rsidP="00DB3BEC">
            <w:pPr>
              <w:jc w:val="both"/>
              <w:rPr>
                <w:sz w:val="22"/>
                <w:szCs w:val="22"/>
              </w:rPr>
            </w:pPr>
            <w:r w:rsidRPr="00317ABF">
              <w:rPr>
                <w:sz w:val="22"/>
                <w:szCs w:val="22"/>
              </w:rPr>
              <w:t xml:space="preserve">Dostawcy usług podlegających obowiązkom na mocy ust. 1 należycie podają wymagane </w:t>
            </w:r>
            <w:r w:rsidRPr="00317ABF">
              <w:rPr>
                <w:sz w:val="22"/>
                <w:szCs w:val="22"/>
              </w:rPr>
              <w:lastRenderedPageBreak/>
              <w:t>informacje w formularzu zawierającym podsumowanie warunków umowy i przekazują to podsumowanie warunków umowy bezpłatnie konsumentom przed zawarciem umowy, w tym umów zawieranych na odległość. W przypadku gdy z uwagi na obiektywne powody techniczne nie jest możliwe przedstawienie podsumowania warunków umowy w danym momencie, przedstawia się je później bez zbędnej zwłoki, a umowa staje się skuteczna, gdy konsument potwierdzi swoją zgodę po otrzymaniu tego podsumowania warunków umowy.</w:t>
            </w:r>
          </w:p>
        </w:tc>
        <w:tc>
          <w:tcPr>
            <w:tcW w:w="986" w:type="dxa"/>
          </w:tcPr>
          <w:p w14:paraId="48E9E43F" w14:textId="498CB3C8" w:rsidR="001E1112" w:rsidRPr="00317ABF" w:rsidRDefault="001E1112" w:rsidP="00DB3BEC">
            <w:pPr>
              <w:jc w:val="both"/>
              <w:rPr>
                <w:sz w:val="22"/>
                <w:szCs w:val="22"/>
              </w:rPr>
            </w:pPr>
            <w:r w:rsidRPr="00317ABF">
              <w:rPr>
                <w:sz w:val="22"/>
                <w:szCs w:val="22"/>
              </w:rPr>
              <w:lastRenderedPageBreak/>
              <w:t>T</w:t>
            </w:r>
          </w:p>
        </w:tc>
        <w:tc>
          <w:tcPr>
            <w:tcW w:w="910" w:type="dxa"/>
          </w:tcPr>
          <w:p w14:paraId="2D931C55" w14:textId="321B3065" w:rsidR="001E1112" w:rsidRPr="00317ABF" w:rsidRDefault="004B4231" w:rsidP="00DB3BEC">
            <w:pPr>
              <w:pStyle w:val="Tekstpodstawowy"/>
              <w:rPr>
                <w:b/>
                <w:noProof/>
                <w:sz w:val="22"/>
                <w:szCs w:val="22"/>
              </w:rPr>
            </w:pPr>
            <w:r w:rsidRPr="00317ABF">
              <w:rPr>
                <w:b/>
                <w:noProof/>
                <w:sz w:val="22"/>
                <w:szCs w:val="22"/>
              </w:rPr>
              <w:t>Art. 281 ust. 1 i 2</w:t>
            </w:r>
          </w:p>
        </w:tc>
        <w:tc>
          <w:tcPr>
            <w:tcW w:w="6814" w:type="dxa"/>
            <w:gridSpan w:val="2"/>
          </w:tcPr>
          <w:p w14:paraId="30F4F39B" w14:textId="77777777" w:rsidR="004B4231" w:rsidRPr="00317ABF" w:rsidRDefault="004B4231" w:rsidP="004B4231">
            <w:pPr>
              <w:pStyle w:val="Tekstpodstawowy"/>
              <w:rPr>
                <w:sz w:val="22"/>
                <w:szCs w:val="22"/>
              </w:rPr>
            </w:pPr>
            <w:r w:rsidRPr="00317ABF">
              <w:rPr>
                <w:rFonts w:ascii="Times" w:eastAsiaTheme="minorEastAsia" w:hAnsi="Times" w:cs="Times"/>
                <w:b/>
                <w:sz w:val="24"/>
              </w:rPr>
              <w:t xml:space="preserve"> </w:t>
            </w:r>
            <w:r w:rsidRPr="00317ABF">
              <w:rPr>
                <w:b/>
                <w:sz w:val="22"/>
                <w:szCs w:val="22"/>
              </w:rPr>
              <w:t>Art. 281.</w:t>
            </w:r>
            <w:r w:rsidRPr="00317ABF">
              <w:rPr>
                <w:sz w:val="22"/>
                <w:szCs w:val="22"/>
              </w:rPr>
              <w:t xml:space="preserve"> </w:t>
            </w:r>
          </w:p>
          <w:p w14:paraId="4E1AF88D" w14:textId="40325275" w:rsidR="004B4231" w:rsidRPr="00317ABF" w:rsidRDefault="004B4231" w:rsidP="004B4231">
            <w:pPr>
              <w:pStyle w:val="Tekstpodstawowy"/>
              <w:rPr>
                <w:sz w:val="22"/>
                <w:szCs w:val="22"/>
              </w:rPr>
            </w:pPr>
            <w:r w:rsidRPr="00317ABF" w:rsidDel="00895FC2">
              <w:rPr>
                <w:sz w:val="22"/>
                <w:szCs w:val="22"/>
              </w:rPr>
              <w:t>1</w:t>
            </w:r>
            <w:r w:rsidRPr="00317ABF">
              <w:rPr>
                <w:sz w:val="22"/>
                <w:szCs w:val="22"/>
              </w:rPr>
              <w:t>. Dostawca usług komunikacji elektronicznej przed zawarciem z konsumentem umowy o świadczenie usług komunikacji elektronicznej, w zakresie usług komunikacji elektronicznej innych niż usługi transmisji danych używane do świadczenia usług komunikacji maszyna-maszyna, bezpłatnie doręcza konsumentowi na trwałym nośniku podsumowanie głównych elementów informacji przedumownych, zgodne z wzorem określonym w akcie wykonawczym wydanym przez Komisję Europejską, o którym mowa w art. 102 ust. 3 EKŁE, zawierające w szczególności:</w:t>
            </w:r>
          </w:p>
          <w:p w14:paraId="7BBE05DF" w14:textId="77777777" w:rsidR="004B4231" w:rsidRPr="00317ABF" w:rsidRDefault="004B4231" w:rsidP="004B4231">
            <w:pPr>
              <w:pStyle w:val="Tekstpodstawowy"/>
              <w:rPr>
                <w:bCs/>
                <w:sz w:val="22"/>
                <w:szCs w:val="22"/>
              </w:rPr>
            </w:pPr>
            <w:r w:rsidRPr="00317ABF">
              <w:rPr>
                <w:bCs/>
                <w:sz w:val="22"/>
                <w:szCs w:val="22"/>
              </w:rPr>
              <w:t>1) nazwę, adres i dane kontaktowe dostawcy oraz dane kontaktowe na potrzeby składania reklamacji, jeśli są one inne,</w:t>
            </w:r>
          </w:p>
          <w:p w14:paraId="43F4353F" w14:textId="77777777" w:rsidR="004B4231" w:rsidRPr="00317ABF" w:rsidRDefault="004B4231" w:rsidP="004B4231">
            <w:pPr>
              <w:pStyle w:val="Tekstpodstawowy"/>
              <w:rPr>
                <w:bCs/>
                <w:sz w:val="22"/>
                <w:szCs w:val="22"/>
              </w:rPr>
            </w:pPr>
            <w:r w:rsidRPr="00317ABF">
              <w:rPr>
                <w:bCs/>
                <w:sz w:val="22"/>
                <w:szCs w:val="22"/>
              </w:rPr>
              <w:t>2) główne cechy każdej świadczonej usługi,</w:t>
            </w:r>
          </w:p>
          <w:p w14:paraId="0AAB87D5" w14:textId="77777777" w:rsidR="004B4231" w:rsidRPr="00317ABF" w:rsidRDefault="004B4231" w:rsidP="004B4231">
            <w:pPr>
              <w:pStyle w:val="Tekstpodstawowy"/>
              <w:rPr>
                <w:bCs/>
                <w:sz w:val="22"/>
                <w:szCs w:val="22"/>
              </w:rPr>
            </w:pPr>
            <w:r w:rsidRPr="00317ABF">
              <w:rPr>
                <w:bCs/>
                <w:sz w:val="22"/>
                <w:szCs w:val="22"/>
              </w:rPr>
              <w:t>3) cenę usługi, w tym cenę za jej aktywację, opłatę abonamentową lub inną okresową opłatę i cenę za jednostkę rozliczeniową usługi,</w:t>
            </w:r>
          </w:p>
          <w:p w14:paraId="7186B6F7" w14:textId="77777777" w:rsidR="004B4231" w:rsidRPr="00317ABF" w:rsidRDefault="004B4231" w:rsidP="004B4231">
            <w:pPr>
              <w:pStyle w:val="Tekstpodstawowy"/>
              <w:rPr>
                <w:bCs/>
                <w:sz w:val="22"/>
                <w:szCs w:val="22"/>
              </w:rPr>
            </w:pPr>
            <w:r w:rsidRPr="00317ABF">
              <w:rPr>
                <w:bCs/>
                <w:sz w:val="22"/>
                <w:szCs w:val="22"/>
              </w:rPr>
              <w:t>4) okres obowiązywania umowy oraz warunki jej przedłużenia i zakończenia obowiązywania;</w:t>
            </w:r>
          </w:p>
          <w:p w14:paraId="58261199" w14:textId="77777777" w:rsidR="004B4231" w:rsidRPr="00317ABF" w:rsidRDefault="004B4231" w:rsidP="004B4231">
            <w:pPr>
              <w:pStyle w:val="Tekstpodstawowy"/>
              <w:rPr>
                <w:bCs/>
                <w:sz w:val="22"/>
                <w:szCs w:val="22"/>
              </w:rPr>
            </w:pPr>
            <w:r w:rsidRPr="00317ABF">
              <w:rPr>
                <w:bCs/>
                <w:sz w:val="22"/>
                <w:szCs w:val="22"/>
              </w:rPr>
              <w:lastRenderedPageBreak/>
              <w:t>5) informacje czy i w jakim zakresie udogodnienia i usługi przeznaczone są dla użytkowników końcowych z niepełnosprawnościami,</w:t>
            </w:r>
          </w:p>
          <w:p w14:paraId="477DFBC4" w14:textId="77777777" w:rsidR="004B4231" w:rsidRPr="00317ABF" w:rsidRDefault="004B4231" w:rsidP="004B4231">
            <w:pPr>
              <w:pStyle w:val="Tekstpodstawowy"/>
              <w:rPr>
                <w:bCs/>
                <w:sz w:val="22"/>
                <w:szCs w:val="22"/>
              </w:rPr>
            </w:pPr>
            <w:r w:rsidRPr="00317ABF">
              <w:rPr>
                <w:bCs/>
                <w:sz w:val="22"/>
                <w:szCs w:val="22"/>
              </w:rPr>
              <w:t>6) podsumowanie informacji wymaganych na podstawie art. 4 ust. 1 lit. d) i e) rozporządzenia (UE) 2015/2120 - w odniesieniu do usług dostępu do internetu</w:t>
            </w:r>
          </w:p>
          <w:p w14:paraId="4730583B" w14:textId="77777777" w:rsidR="004B4231" w:rsidRPr="00317ABF" w:rsidRDefault="004B4231" w:rsidP="004B4231">
            <w:pPr>
              <w:pStyle w:val="Tekstpodstawowy"/>
              <w:rPr>
                <w:sz w:val="22"/>
                <w:szCs w:val="22"/>
              </w:rPr>
            </w:pPr>
            <w:r w:rsidRPr="00317ABF">
              <w:rPr>
                <w:sz w:val="22"/>
                <w:szCs w:val="22"/>
              </w:rPr>
              <w:t>- zwane dalej „zwięzłym podsumowaniem warunków umowy”.</w:t>
            </w:r>
          </w:p>
          <w:p w14:paraId="24B5BAF5" w14:textId="77777777" w:rsidR="004B4231" w:rsidRPr="00317ABF" w:rsidRDefault="004B4231" w:rsidP="004B4231">
            <w:pPr>
              <w:pStyle w:val="Tekstpodstawowy"/>
              <w:rPr>
                <w:bCs/>
                <w:sz w:val="22"/>
                <w:szCs w:val="22"/>
              </w:rPr>
            </w:pPr>
            <w:r w:rsidRPr="00317ABF">
              <w:rPr>
                <w:bCs/>
                <w:sz w:val="22"/>
                <w:szCs w:val="22"/>
              </w:rPr>
              <w:t>2. W przypadku, gdy z uwagi na obiektywne powody techniczne nie jest możliwe przedstawienie zwięzłego podsumowania warunków umowy przed zawarciem umowy, dostawca usług komunikacji elektronicznej przedstawia je niezwłocznie. Oświadczenie konsumenta o zawarciu umowy jest skuteczne, jeżeli zostało potwierdzone po otrzymaniu tego podsumowania.</w:t>
            </w:r>
          </w:p>
          <w:p w14:paraId="581C5BD2" w14:textId="4E180671" w:rsidR="004B4231" w:rsidRPr="00317ABF" w:rsidRDefault="004B4231" w:rsidP="004B4231">
            <w:pPr>
              <w:pStyle w:val="Tekstpodstawowy"/>
              <w:rPr>
                <w:bCs/>
                <w:sz w:val="22"/>
                <w:szCs w:val="22"/>
              </w:rPr>
            </w:pPr>
            <w:r w:rsidRPr="00317ABF">
              <w:rPr>
                <w:bCs/>
                <w:sz w:val="22"/>
                <w:szCs w:val="22"/>
              </w:rPr>
              <w:t>(…)</w:t>
            </w:r>
          </w:p>
          <w:p w14:paraId="10D16FD1" w14:textId="737767D3" w:rsidR="001E1112" w:rsidRPr="00317ABF" w:rsidRDefault="001E1112" w:rsidP="00DB3BEC">
            <w:pPr>
              <w:jc w:val="both"/>
              <w:rPr>
                <w:sz w:val="22"/>
                <w:szCs w:val="22"/>
              </w:rPr>
            </w:pPr>
          </w:p>
        </w:tc>
      </w:tr>
      <w:tr w:rsidR="001E1112" w:rsidRPr="00317ABF" w14:paraId="07CD1F7E" w14:textId="77777777" w:rsidTr="7753F98D">
        <w:trPr>
          <w:gridAfter w:val="2"/>
          <w:wAfter w:w="175" w:type="dxa"/>
        </w:trPr>
        <w:tc>
          <w:tcPr>
            <w:tcW w:w="704" w:type="dxa"/>
          </w:tcPr>
          <w:p w14:paraId="19334685" w14:textId="77777777" w:rsidR="001E1112" w:rsidRPr="00317ABF" w:rsidRDefault="001E1112" w:rsidP="00DB3BEC">
            <w:pPr>
              <w:jc w:val="both"/>
              <w:rPr>
                <w:sz w:val="22"/>
                <w:szCs w:val="22"/>
              </w:rPr>
            </w:pPr>
            <w:r w:rsidRPr="00317ABF">
              <w:rPr>
                <w:sz w:val="22"/>
                <w:szCs w:val="22"/>
              </w:rPr>
              <w:lastRenderedPageBreak/>
              <w:t>Art. 102 ust. 4</w:t>
            </w:r>
          </w:p>
        </w:tc>
        <w:tc>
          <w:tcPr>
            <w:tcW w:w="4308" w:type="dxa"/>
          </w:tcPr>
          <w:p w14:paraId="5CC48907" w14:textId="77777777" w:rsidR="001E1112" w:rsidRPr="00317ABF" w:rsidRDefault="001E1112" w:rsidP="00DB3BEC">
            <w:pPr>
              <w:spacing w:before="120"/>
              <w:jc w:val="both"/>
              <w:rPr>
                <w:sz w:val="22"/>
                <w:szCs w:val="22"/>
              </w:rPr>
            </w:pPr>
            <w:r w:rsidRPr="00317ABF">
              <w:rPr>
                <w:sz w:val="22"/>
                <w:szCs w:val="22"/>
              </w:rPr>
              <w:t>4.   Informacje, o których mowa w ust. 1 i 3, stają się integralną częścią umowy i nie podlegają zmianie, chyba że umawiające się strony wyraźnie postanowią inaczej.</w:t>
            </w:r>
          </w:p>
        </w:tc>
        <w:tc>
          <w:tcPr>
            <w:tcW w:w="986" w:type="dxa"/>
          </w:tcPr>
          <w:p w14:paraId="78766195" w14:textId="4D4B00BD" w:rsidR="001E1112" w:rsidRPr="00317ABF" w:rsidRDefault="001E1112" w:rsidP="00DB3BEC">
            <w:pPr>
              <w:jc w:val="both"/>
              <w:rPr>
                <w:sz w:val="22"/>
                <w:szCs w:val="22"/>
              </w:rPr>
            </w:pPr>
            <w:r w:rsidRPr="00317ABF">
              <w:rPr>
                <w:sz w:val="22"/>
                <w:szCs w:val="22"/>
              </w:rPr>
              <w:t>T</w:t>
            </w:r>
          </w:p>
        </w:tc>
        <w:tc>
          <w:tcPr>
            <w:tcW w:w="910" w:type="dxa"/>
          </w:tcPr>
          <w:p w14:paraId="383E6BBA" w14:textId="4470F4FC" w:rsidR="001E1112" w:rsidRPr="00317ABF" w:rsidRDefault="004B4231" w:rsidP="004B4231">
            <w:pPr>
              <w:pStyle w:val="Tekstpodstawowy"/>
              <w:rPr>
                <w:b/>
                <w:noProof/>
                <w:sz w:val="22"/>
                <w:szCs w:val="22"/>
              </w:rPr>
            </w:pPr>
            <w:r w:rsidRPr="00317ABF">
              <w:rPr>
                <w:b/>
                <w:noProof/>
                <w:sz w:val="22"/>
                <w:szCs w:val="22"/>
              </w:rPr>
              <w:t>Art. 281</w:t>
            </w:r>
            <w:r w:rsidR="001E1112" w:rsidRPr="00317ABF">
              <w:rPr>
                <w:b/>
                <w:noProof/>
                <w:sz w:val="22"/>
                <w:szCs w:val="22"/>
              </w:rPr>
              <w:t xml:space="preserve"> ust. </w:t>
            </w:r>
            <w:r w:rsidRPr="00317ABF">
              <w:rPr>
                <w:b/>
                <w:noProof/>
                <w:sz w:val="22"/>
                <w:szCs w:val="22"/>
              </w:rPr>
              <w:t>3</w:t>
            </w:r>
          </w:p>
        </w:tc>
        <w:tc>
          <w:tcPr>
            <w:tcW w:w="6814" w:type="dxa"/>
            <w:gridSpan w:val="2"/>
          </w:tcPr>
          <w:p w14:paraId="20E89D3E" w14:textId="77777777" w:rsidR="004B4231" w:rsidRPr="00317ABF" w:rsidRDefault="004B4231" w:rsidP="004B4231">
            <w:pPr>
              <w:jc w:val="both"/>
              <w:rPr>
                <w:bCs/>
                <w:sz w:val="22"/>
                <w:szCs w:val="22"/>
              </w:rPr>
            </w:pPr>
            <w:r w:rsidRPr="00317ABF">
              <w:rPr>
                <w:bCs/>
                <w:sz w:val="22"/>
                <w:szCs w:val="22"/>
              </w:rPr>
              <w:t>Art. 281</w:t>
            </w:r>
          </w:p>
          <w:p w14:paraId="6B8999D3" w14:textId="299799D7" w:rsidR="004B4231" w:rsidRPr="00317ABF" w:rsidRDefault="004B4231" w:rsidP="004B4231">
            <w:pPr>
              <w:jc w:val="both"/>
              <w:rPr>
                <w:bCs/>
                <w:sz w:val="22"/>
                <w:szCs w:val="22"/>
              </w:rPr>
            </w:pPr>
            <w:r w:rsidRPr="00317ABF">
              <w:rPr>
                <w:bCs/>
                <w:sz w:val="22"/>
                <w:szCs w:val="22"/>
              </w:rPr>
              <w:t>(…)</w:t>
            </w:r>
          </w:p>
          <w:p w14:paraId="36A1E150" w14:textId="37F58AD9" w:rsidR="001E1112" w:rsidRPr="00317ABF" w:rsidRDefault="004B4231" w:rsidP="004B4231">
            <w:pPr>
              <w:jc w:val="both"/>
              <w:rPr>
                <w:bCs/>
                <w:sz w:val="22"/>
                <w:szCs w:val="22"/>
              </w:rPr>
            </w:pPr>
            <w:r w:rsidRPr="00317ABF">
              <w:rPr>
                <w:bCs/>
                <w:sz w:val="22"/>
                <w:szCs w:val="22"/>
              </w:rPr>
              <w:t>3. Zaakceptowane przez konsumenta zwięzłe podsumowanie warunków umowy staje się integralną częścią umowy o świadczenie usług komunikacji elektronicznej, o której mowa w art. 282 lub art. 284, i nie podlega zmianie, chyba że umawiające się strony wyraźnie postanowią inaczej.</w:t>
            </w:r>
          </w:p>
        </w:tc>
      </w:tr>
      <w:tr w:rsidR="001E1112" w:rsidRPr="00317ABF" w14:paraId="153852F2" w14:textId="77777777" w:rsidTr="7753F98D">
        <w:trPr>
          <w:gridAfter w:val="2"/>
          <w:wAfter w:w="175" w:type="dxa"/>
        </w:trPr>
        <w:tc>
          <w:tcPr>
            <w:tcW w:w="704" w:type="dxa"/>
          </w:tcPr>
          <w:p w14:paraId="69E181A5" w14:textId="16E508A7" w:rsidR="001E1112" w:rsidRPr="00317ABF" w:rsidRDefault="001E1112" w:rsidP="00DB3BEC">
            <w:pPr>
              <w:jc w:val="both"/>
              <w:rPr>
                <w:sz w:val="22"/>
                <w:szCs w:val="22"/>
              </w:rPr>
            </w:pPr>
            <w:r w:rsidRPr="00317ABF">
              <w:rPr>
                <w:sz w:val="22"/>
                <w:szCs w:val="22"/>
              </w:rPr>
              <w:t>Art. 102 ust. 5</w:t>
            </w:r>
          </w:p>
        </w:tc>
        <w:tc>
          <w:tcPr>
            <w:tcW w:w="4308" w:type="dxa"/>
          </w:tcPr>
          <w:p w14:paraId="0D9B9783" w14:textId="77777777" w:rsidR="001E1112" w:rsidRPr="00317ABF" w:rsidRDefault="001E1112" w:rsidP="00DB3BEC">
            <w:pPr>
              <w:spacing w:before="120"/>
              <w:jc w:val="both"/>
              <w:rPr>
                <w:sz w:val="22"/>
                <w:szCs w:val="22"/>
              </w:rPr>
            </w:pPr>
            <w:r w:rsidRPr="00317ABF">
              <w:rPr>
                <w:sz w:val="22"/>
                <w:szCs w:val="22"/>
              </w:rPr>
              <w:t>5.   W przypadku gdy usługi dostępu do internetu lub publicznie dostępne usługi łączności interpersonalnej są rozliczane w oparciu o czas albo ilość wykorzystanych danych lub jednostek, ich dostawcy oferują konsumentom narzędzie pozwalające monitorować i kontrolować wykorzystanie każdej z tych usług. Narzędzie to obejmuje dostęp do aktualnych informacji dotyczących poziomu wykorzystania usług uwzględnionych w planie taryfowym. W szczególności dostawcy powiadamiają konsumentów przed osiągnięciem pułapów zużycia ilości danych, ustalonych przez właściwe organy w porozumieniu, w stosownych przypadkach, z krajowymi organami regulacyjnymi i zawartych w ich planach taryfowych i gdy usługa zawarta w ich planie taryfowym zostanie w pełni wykorzystana.</w:t>
            </w:r>
          </w:p>
        </w:tc>
        <w:tc>
          <w:tcPr>
            <w:tcW w:w="986" w:type="dxa"/>
          </w:tcPr>
          <w:p w14:paraId="7F3A645F" w14:textId="7C22ED09" w:rsidR="001E1112" w:rsidRPr="00317ABF" w:rsidRDefault="001E1112" w:rsidP="00DB3BEC">
            <w:pPr>
              <w:jc w:val="both"/>
              <w:rPr>
                <w:sz w:val="22"/>
                <w:szCs w:val="22"/>
              </w:rPr>
            </w:pPr>
            <w:r w:rsidRPr="00317ABF">
              <w:rPr>
                <w:sz w:val="22"/>
                <w:szCs w:val="22"/>
              </w:rPr>
              <w:t>T</w:t>
            </w:r>
          </w:p>
        </w:tc>
        <w:tc>
          <w:tcPr>
            <w:tcW w:w="910" w:type="dxa"/>
          </w:tcPr>
          <w:p w14:paraId="5EFCF513" w14:textId="4917D478" w:rsidR="001E1112" w:rsidRPr="00317ABF" w:rsidRDefault="005862D3" w:rsidP="00DB3BEC">
            <w:pPr>
              <w:pStyle w:val="Tekstpodstawowy"/>
              <w:rPr>
                <w:b/>
                <w:noProof/>
                <w:sz w:val="22"/>
                <w:szCs w:val="22"/>
              </w:rPr>
            </w:pPr>
            <w:r w:rsidRPr="00317ABF">
              <w:rPr>
                <w:b/>
                <w:noProof/>
                <w:sz w:val="22"/>
                <w:szCs w:val="22"/>
              </w:rPr>
              <w:t>Art. 311 ust. 1 i 2</w:t>
            </w:r>
          </w:p>
        </w:tc>
        <w:tc>
          <w:tcPr>
            <w:tcW w:w="6814" w:type="dxa"/>
            <w:gridSpan w:val="2"/>
          </w:tcPr>
          <w:p w14:paraId="323ED503" w14:textId="77777777" w:rsidR="005862D3" w:rsidRPr="00317ABF" w:rsidRDefault="005862D3" w:rsidP="005862D3">
            <w:pPr>
              <w:pStyle w:val="Tekstpodstawowy"/>
              <w:rPr>
                <w:b/>
                <w:sz w:val="22"/>
                <w:szCs w:val="22"/>
              </w:rPr>
            </w:pPr>
            <w:r w:rsidRPr="00317ABF">
              <w:rPr>
                <w:rFonts w:ascii="Times" w:eastAsiaTheme="minorEastAsia" w:hAnsi="Times" w:cs="Times"/>
                <w:b/>
                <w:sz w:val="24"/>
              </w:rPr>
              <w:t xml:space="preserve"> </w:t>
            </w:r>
            <w:r w:rsidRPr="00317ABF">
              <w:rPr>
                <w:b/>
                <w:sz w:val="22"/>
                <w:szCs w:val="22"/>
              </w:rPr>
              <w:t>Art. 311.</w:t>
            </w:r>
          </w:p>
          <w:p w14:paraId="166BF916" w14:textId="2F7EB0A1" w:rsidR="005862D3" w:rsidRPr="00317ABF" w:rsidRDefault="005862D3" w:rsidP="005862D3">
            <w:pPr>
              <w:pStyle w:val="Tekstpodstawowy"/>
              <w:rPr>
                <w:sz w:val="22"/>
                <w:szCs w:val="22"/>
              </w:rPr>
            </w:pPr>
            <w:r w:rsidRPr="00317ABF">
              <w:rPr>
                <w:sz w:val="22"/>
                <w:szCs w:val="22"/>
              </w:rPr>
              <w:t xml:space="preserve"> 1. Dostawca usługi dostępu do internetu lub usługi komunikacji interpersonalnej rozliczanych w oparciu o czas albo ilość wykorzystanych danych lub jednostek taryfikacyjnych zapewnia konsumentowi narzędzie umożliwiające monitorowanie oraz kontrolowanie wykorzystania tych usług, obejmujące dostęp do aktualnych informacji w tym zakresie.</w:t>
            </w:r>
          </w:p>
          <w:p w14:paraId="473F6D5A" w14:textId="77777777" w:rsidR="005862D3" w:rsidRPr="00317ABF" w:rsidRDefault="005862D3" w:rsidP="005862D3">
            <w:pPr>
              <w:pStyle w:val="Tekstpodstawowy"/>
              <w:rPr>
                <w:bCs/>
                <w:sz w:val="22"/>
                <w:szCs w:val="22"/>
              </w:rPr>
            </w:pPr>
            <w:r w:rsidRPr="00317ABF">
              <w:rPr>
                <w:bCs/>
                <w:sz w:val="22"/>
                <w:szCs w:val="22"/>
              </w:rPr>
              <w:t>2. Dostawca, o którym mowa w ust. 1, powiadamia konsumenta przed osiągnieciem limitu zużycia usługi w ramach wybranego przez niego pakietu taryfowego i po całkowitym wykorzystaniu tego limitu.</w:t>
            </w:r>
          </w:p>
          <w:p w14:paraId="72CDB9A0" w14:textId="52195949" w:rsidR="001E1112" w:rsidRPr="00317ABF" w:rsidRDefault="005862D3" w:rsidP="00DB3BEC">
            <w:pPr>
              <w:jc w:val="both"/>
              <w:rPr>
                <w:sz w:val="22"/>
                <w:szCs w:val="22"/>
              </w:rPr>
            </w:pPr>
            <w:r w:rsidRPr="00317ABF">
              <w:rPr>
                <w:sz w:val="22"/>
                <w:szCs w:val="22"/>
              </w:rPr>
              <w:t>(…)</w:t>
            </w:r>
          </w:p>
        </w:tc>
      </w:tr>
      <w:tr w:rsidR="001E1112" w:rsidRPr="00317ABF" w14:paraId="5DDF301A" w14:textId="77777777" w:rsidTr="7753F98D">
        <w:trPr>
          <w:gridAfter w:val="2"/>
          <w:wAfter w:w="175" w:type="dxa"/>
        </w:trPr>
        <w:tc>
          <w:tcPr>
            <w:tcW w:w="704" w:type="dxa"/>
          </w:tcPr>
          <w:p w14:paraId="5338CAB9" w14:textId="77777777" w:rsidR="001E1112" w:rsidRPr="00317ABF" w:rsidRDefault="001E1112" w:rsidP="00DB3BEC">
            <w:pPr>
              <w:jc w:val="both"/>
              <w:rPr>
                <w:sz w:val="22"/>
                <w:szCs w:val="22"/>
              </w:rPr>
            </w:pPr>
            <w:r w:rsidRPr="00317ABF">
              <w:rPr>
                <w:sz w:val="22"/>
                <w:szCs w:val="22"/>
              </w:rPr>
              <w:lastRenderedPageBreak/>
              <w:t>Art. 102 ust. 6</w:t>
            </w:r>
          </w:p>
        </w:tc>
        <w:tc>
          <w:tcPr>
            <w:tcW w:w="4308" w:type="dxa"/>
          </w:tcPr>
          <w:p w14:paraId="49F40BE9" w14:textId="77777777" w:rsidR="001E1112" w:rsidRPr="00317ABF" w:rsidRDefault="001E1112" w:rsidP="00DB3BEC">
            <w:pPr>
              <w:spacing w:before="120"/>
              <w:jc w:val="both"/>
              <w:rPr>
                <w:sz w:val="22"/>
                <w:szCs w:val="22"/>
              </w:rPr>
            </w:pPr>
            <w:r w:rsidRPr="00317ABF">
              <w:rPr>
                <w:sz w:val="22"/>
                <w:szCs w:val="22"/>
              </w:rPr>
              <w:t>6.   Państwa członkowskie mogą utrzymać w swoim prawie krajowym lub wprowadzić do niego przepisy nakładające na dostawców wymóg przekazywania dodatkowych informacji na temat poziomu zużycia oraz mające na celu tymczasowe zablokowanie dalszego korzystania z odpowiedniej usługi w związku z przekroczeniem limitu finansowego lub limitu ilości danych ustalonego przez właściwy organ.</w:t>
            </w:r>
          </w:p>
        </w:tc>
        <w:tc>
          <w:tcPr>
            <w:tcW w:w="986" w:type="dxa"/>
          </w:tcPr>
          <w:p w14:paraId="34DB41D9" w14:textId="3067257E" w:rsidR="001E1112" w:rsidRPr="00317ABF" w:rsidRDefault="001E1112" w:rsidP="00DB3BEC">
            <w:pPr>
              <w:jc w:val="both"/>
              <w:rPr>
                <w:sz w:val="22"/>
                <w:szCs w:val="22"/>
              </w:rPr>
            </w:pPr>
            <w:r w:rsidRPr="00317ABF">
              <w:rPr>
                <w:sz w:val="22"/>
                <w:szCs w:val="22"/>
              </w:rPr>
              <w:t>N</w:t>
            </w:r>
          </w:p>
        </w:tc>
        <w:tc>
          <w:tcPr>
            <w:tcW w:w="910" w:type="dxa"/>
          </w:tcPr>
          <w:p w14:paraId="1BBCA51C" w14:textId="77777777" w:rsidR="001E1112" w:rsidRPr="00317ABF" w:rsidRDefault="001E1112" w:rsidP="00DB3BEC">
            <w:pPr>
              <w:pStyle w:val="Tekstpodstawowy"/>
              <w:rPr>
                <w:b/>
                <w:noProof/>
                <w:sz w:val="22"/>
                <w:szCs w:val="22"/>
              </w:rPr>
            </w:pPr>
          </w:p>
        </w:tc>
        <w:tc>
          <w:tcPr>
            <w:tcW w:w="6814" w:type="dxa"/>
            <w:gridSpan w:val="2"/>
          </w:tcPr>
          <w:p w14:paraId="2D11E9D5" w14:textId="0FEB9162" w:rsidR="001E1112" w:rsidRPr="00317ABF" w:rsidRDefault="00E1013C" w:rsidP="00DB3BEC">
            <w:pPr>
              <w:pStyle w:val="Tekstpodstawowy"/>
              <w:rPr>
                <w:sz w:val="22"/>
                <w:szCs w:val="22"/>
              </w:rPr>
            </w:pPr>
            <w:r w:rsidRPr="00317ABF">
              <w:rPr>
                <w:sz w:val="22"/>
                <w:szCs w:val="22"/>
              </w:rPr>
              <w:t>Przepis ma charakter fakultatywny.</w:t>
            </w:r>
          </w:p>
        </w:tc>
      </w:tr>
      <w:tr w:rsidR="001E1112" w:rsidRPr="00317ABF" w14:paraId="38B4E74A" w14:textId="77777777" w:rsidTr="7753F98D">
        <w:trPr>
          <w:gridAfter w:val="2"/>
          <w:wAfter w:w="175" w:type="dxa"/>
        </w:trPr>
        <w:tc>
          <w:tcPr>
            <w:tcW w:w="704" w:type="dxa"/>
          </w:tcPr>
          <w:p w14:paraId="56C2066A" w14:textId="77777777" w:rsidR="001E1112" w:rsidRPr="00317ABF" w:rsidRDefault="001E1112" w:rsidP="00DB3BEC">
            <w:pPr>
              <w:jc w:val="both"/>
              <w:rPr>
                <w:sz w:val="22"/>
                <w:szCs w:val="22"/>
              </w:rPr>
            </w:pPr>
            <w:r w:rsidRPr="00317ABF">
              <w:rPr>
                <w:sz w:val="22"/>
                <w:szCs w:val="22"/>
              </w:rPr>
              <w:t>Art. 102 ust. 7</w:t>
            </w:r>
          </w:p>
        </w:tc>
        <w:tc>
          <w:tcPr>
            <w:tcW w:w="4308" w:type="dxa"/>
          </w:tcPr>
          <w:p w14:paraId="7FE739F5" w14:textId="77777777" w:rsidR="001E1112" w:rsidRPr="00317ABF" w:rsidRDefault="001E1112" w:rsidP="00DB3BEC">
            <w:pPr>
              <w:spacing w:before="120"/>
              <w:jc w:val="both"/>
              <w:rPr>
                <w:sz w:val="22"/>
                <w:szCs w:val="22"/>
              </w:rPr>
            </w:pPr>
            <w:r w:rsidRPr="00317ABF">
              <w:rPr>
                <w:sz w:val="22"/>
                <w:szCs w:val="22"/>
              </w:rPr>
              <w:t>7.   Państwa członkowskie mają swobodę utrzymywania lub wprowadzania w ich krajowych przepisach prawnych dotyczących aspektów nieregulowanych w niniejszym artykule, w szczególności aby zająć się nowymi kwestiami.</w:t>
            </w:r>
          </w:p>
        </w:tc>
        <w:tc>
          <w:tcPr>
            <w:tcW w:w="986" w:type="dxa"/>
          </w:tcPr>
          <w:p w14:paraId="6E4B8110" w14:textId="0CAA4F3D" w:rsidR="001E1112" w:rsidRPr="00317ABF" w:rsidRDefault="001E1112" w:rsidP="00DB3BEC">
            <w:pPr>
              <w:jc w:val="both"/>
              <w:rPr>
                <w:sz w:val="22"/>
                <w:szCs w:val="22"/>
              </w:rPr>
            </w:pPr>
            <w:r w:rsidRPr="00317ABF">
              <w:rPr>
                <w:sz w:val="22"/>
                <w:szCs w:val="22"/>
              </w:rPr>
              <w:t>N</w:t>
            </w:r>
          </w:p>
        </w:tc>
        <w:tc>
          <w:tcPr>
            <w:tcW w:w="910" w:type="dxa"/>
          </w:tcPr>
          <w:p w14:paraId="4FC75FD2" w14:textId="77777777" w:rsidR="001E1112" w:rsidRPr="00317ABF" w:rsidRDefault="001E1112" w:rsidP="00DB3BEC">
            <w:pPr>
              <w:pStyle w:val="Tekstpodstawowy"/>
              <w:rPr>
                <w:b/>
                <w:noProof/>
                <w:sz w:val="22"/>
                <w:szCs w:val="22"/>
              </w:rPr>
            </w:pPr>
          </w:p>
        </w:tc>
        <w:tc>
          <w:tcPr>
            <w:tcW w:w="6814" w:type="dxa"/>
            <w:gridSpan w:val="2"/>
          </w:tcPr>
          <w:p w14:paraId="06ED87E7" w14:textId="15C53DF5" w:rsidR="001E1112" w:rsidRPr="00317ABF" w:rsidRDefault="00E1013C" w:rsidP="00DB3BEC">
            <w:pPr>
              <w:pStyle w:val="Tekstpodstawowy"/>
              <w:rPr>
                <w:sz w:val="22"/>
                <w:szCs w:val="22"/>
              </w:rPr>
            </w:pPr>
            <w:r w:rsidRPr="00317ABF">
              <w:rPr>
                <w:sz w:val="22"/>
                <w:szCs w:val="22"/>
              </w:rPr>
              <w:t>Przepis ma charakter fakultatywny.</w:t>
            </w:r>
          </w:p>
        </w:tc>
      </w:tr>
      <w:tr w:rsidR="001E1112" w:rsidRPr="00317ABF" w14:paraId="2A1B55E9" w14:textId="77777777" w:rsidTr="7753F98D">
        <w:trPr>
          <w:gridAfter w:val="2"/>
          <w:wAfter w:w="175" w:type="dxa"/>
        </w:trPr>
        <w:tc>
          <w:tcPr>
            <w:tcW w:w="704" w:type="dxa"/>
          </w:tcPr>
          <w:p w14:paraId="5779F809" w14:textId="77777777" w:rsidR="001E1112" w:rsidRPr="00317ABF" w:rsidRDefault="001E1112" w:rsidP="00DB3BEC">
            <w:pPr>
              <w:jc w:val="both"/>
              <w:rPr>
                <w:b/>
                <w:sz w:val="22"/>
                <w:szCs w:val="22"/>
              </w:rPr>
            </w:pPr>
            <w:r w:rsidRPr="00317ABF">
              <w:rPr>
                <w:b/>
                <w:sz w:val="22"/>
                <w:szCs w:val="22"/>
              </w:rPr>
              <w:t>Art. 103</w:t>
            </w:r>
          </w:p>
        </w:tc>
        <w:tc>
          <w:tcPr>
            <w:tcW w:w="4308" w:type="dxa"/>
          </w:tcPr>
          <w:p w14:paraId="69DFAB29" w14:textId="77777777" w:rsidR="001E1112" w:rsidRPr="00317ABF" w:rsidRDefault="001E1112" w:rsidP="00DB3BEC">
            <w:pPr>
              <w:spacing w:before="120"/>
              <w:jc w:val="both"/>
              <w:rPr>
                <w:sz w:val="22"/>
                <w:szCs w:val="22"/>
              </w:rPr>
            </w:pPr>
            <w:r w:rsidRPr="00317ABF">
              <w:rPr>
                <w:b/>
                <w:bCs/>
                <w:sz w:val="22"/>
                <w:szCs w:val="22"/>
              </w:rPr>
              <w:t>Przejrzystość, porównywanie ofert i publikacja informacji</w:t>
            </w:r>
          </w:p>
        </w:tc>
        <w:tc>
          <w:tcPr>
            <w:tcW w:w="986" w:type="dxa"/>
          </w:tcPr>
          <w:p w14:paraId="0A48B786" w14:textId="77777777" w:rsidR="001E1112" w:rsidRPr="00317ABF" w:rsidRDefault="001E1112" w:rsidP="00DB3BEC">
            <w:pPr>
              <w:jc w:val="both"/>
              <w:rPr>
                <w:sz w:val="22"/>
                <w:szCs w:val="22"/>
              </w:rPr>
            </w:pPr>
          </w:p>
        </w:tc>
        <w:tc>
          <w:tcPr>
            <w:tcW w:w="910" w:type="dxa"/>
          </w:tcPr>
          <w:p w14:paraId="7B9181A7" w14:textId="77777777" w:rsidR="001E1112" w:rsidRPr="00317ABF" w:rsidRDefault="001E1112" w:rsidP="00DB3BEC">
            <w:pPr>
              <w:pStyle w:val="Tekstpodstawowy"/>
              <w:rPr>
                <w:b/>
                <w:noProof/>
                <w:sz w:val="22"/>
                <w:szCs w:val="22"/>
              </w:rPr>
            </w:pPr>
          </w:p>
        </w:tc>
        <w:tc>
          <w:tcPr>
            <w:tcW w:w="6814" w:type="dxa"/>
            <w:gridSpan w:val="2"/>
          </w:tcPr>
          <w:p w14:paraId="073C72FF" w14:textId="77777777" w:rsidR="001E1112" w:rsidRPr="00317ABF" w:rsidRDefault="001E1112" w:rsidP="00DB3BEC">
            <w:pPr>
              <w:pStyle w:val="Tekstpodstawowy"/>
              <w:rPr>
                <w:sz w:val="22"/>
                <w:szCs w:val="22"/>
              </w:rPr>
            </w:pPr>
          </w:p>
        </w:tc>
      </w:tr>
      <w:tr w:rsidR="001E1112" w:rsidRPr="00317ABF" w14:paraId="1F86E59A" w14:textId="77777777" w:rsidTr="7753F98D">
        <w:trPr>
          <w:gridAfter w:val="2"/>
          <w:wAfter w:w="175" w:type="dxa"/>
        </w:trPr>
        <w:tc>
          <w:tcPr>
            <w:tcW w:w="704" w:type="dxa"/>
          </w:tcPr>
          <w:p w14:paraId="0C1E7202" w14:textId="77777777" w:rsidR="001E1112" w:rsidRPr="00317ABF" w:rsidRDefault="001E1112" w:rsidP="00DB3BEC">
            <w:pPr>
              <w:jc w:val="both"/>
              <w:rPr>
                <w:sz w:val="22"/>
                <w:szCs w:val="22"/>
              </w:rPr>
            </w:pPr>
            <w:r w:rsidRPr="00317ABF">
              <w:rPr>
                <w:sz w:val="22"/>
                <w:szCs w:val="22"/>
              </w:rPr>
              <w:t>Art. 103 ust. 1</w:t>
            </w:r>
          </w:p>
        </w:tc>
        <w:tc>
          <w:tcPr>
            <w:tcW w:w="4308" w:type="dxa"/>
          </w:tcPr>
          <w:p w14:paraId="78ACAC8D" w14:textId="77777777" w:rsidR="001E1112" w:rsidRPr="00317ABF" w:rsidRDefault="001E1112" w:rsidP="00DB3BEC">
            <w:pPr>
              <w:spacing w:before="120"/>
              <w:jc w:val="both"/>
              <w:rPr>
                <w:sz w:val="22"/>
                <w:szCs w:val="22"/>
              </w:rPr>
            </w:pPr>
            <w:r w:rsidRPr="00317ABF">
              <w:rPr>
                <w:sz w:val="22"/>
                <w:szCs w:val="22"/>
              </w:rPr>
              <w:t xml:space="preserve">1.   Właściwe organy w porozumieniu, w stosownych przypadkach, z krajowymi organami regulacyjnymi zapewniają, aby w przypadku gdy dostawcy usług dostępu do internetu lub publicznie dostępnych usług łączności interpersonalnej uzależniają świadczenie tych usług od określonych warunków, informacje, o których mowa w załączniku IX, były publikowane w jasny, zrozumiały, nadający się do odczytu maszynowego sposób i w formie dostępnej dla użytkowników końcowych z niepełnosprawnościami, zgodnie z prawem Unii harmonizującym wymogi dotyczące dostępności produktów i usług, przez wszystkich takich dostawców lub przez sam właściwy organ w porozumieniu, w stosownych przypadkach, z krajowym organem regulacyjnym. Informacje te są </w:t>
            </w:r>
            <w:r w:rsidRPr="00317ABF">
              <w:rPr>
                <w:sz w:val="22"/>
                <w:szCs w:val="22"/>
              </w:rPr>
              <w:lastRenderedPageBreak/>
              <w:t>regularnie aktualizowane. Właściwe organy w porozumieniu, w stosownych przypadkach, z krajowymi organami regulacyjnymi mogą określić dodatkowe wymogi dotyczące formy, w jakiej należy publikować te informacje. Informacje te dostarczane są właściwemu organowi i, w stosownych przypadkach, krajowemu organowi regulacyjnemu, na jego wniosek, przed ich opublikowaniem.</w:t>
            </w:r>
          </w:p>
        </w:tc>
        <w:tc>
          <w:tcPr>
            <w:tcW w:w="986" w:type="dxa"/>
          </w:tcPr>
          <w:p w14:paraId="237AFADF" w14:textId="581FA875" w:rsidR="001E1112" w:rsidRPr="00317ABF" w:rsidRDefault="001E1112" w:rsidP="00DB3BEC">
            <w:pPr>
              <w:jc w:val="both"/>
              <w:rPr>
                <w:sz w:val="22"/>
                <w:szCs w:val="22"/>
              </w:rPr>
            </w:pPr>
            <w:r w:rsidRPr="00317ABF">
              <w:rPr>
                <w:sz w:val="22"/>
                <w:szCs w:val="22"/>
              </w:rPr>
              <w:lastRenderedPageBreak/>
              <w:t>T</w:t>
            </w:r>
          </w:p>
        </w:tc>
        <w:tc>
          <w:tcPr>
            <w:tcW w:w="910" w:type="dxa"/>
          </w:tcPr>
          <w:p w14:paraId="2A34CB1C" w14:textId="34CFD321" w:rsidR="001E1112" w:rsidRPr="00317ABF" w:rsidRDefault="00E1013C" w:rsidP="00DB3BEC">
            <w:pPr>
              <w:pStyle w:val="Tekstpodstawowy"/>
              <w:rPr>
                <w:b/>
                <w:noProof/>
                <w:sz w:val="22"/>
                <w:szCs w:val="22"/>
              </w:rPr>
            </w:pPr>
            <w:r w:rsidRPr="00317ABF">
              <w:rPr>
                <w:b/>
                <w:noProof/>
                <w:sz w:val="22"/>
                <w:szCs w:val="22"/>
              </w:rPr>
              <w:t>Art. 294</w:t>
            </w:r>
          </w:p>
        </w:tc>
        <w:tc>
          <w:tcPr>
            <w:tcW w:w="6814" w:type="dxa"/>
            <w:gridSpan w:val="2"/>
          </w:tcPr>
          <w:p w14:paraId="0B976073" w14:textId="77777777" w:rsidR="00E1013C" w:rsidRPr="00317ABF" w:rsidRDefault="00E1013C" w:rsidP="00E1013C">
            <w:pPr>
              <w:pStyle w:val="Tekstpodstawowy"/>
              <w:rPr>
                <w:sz w:val="22"/>
                <w:szCs w:val="22"/>
              </w:rPr>
            </w:pPr>
            <w:r w:rsidRPr="00317ABF">
              <w:rPr>
                <w:rFonts w:ascii="Times" w:eastAsiaTheme="minorEastAsia" w:hAnsi="Times" w:cs="Times"/>
                <w:b/>
                <w:sz w:val="24"/>
              </w:rPr>
              <w:t xml:space="preserve"> </w:t>
            </w:r>
            <w:r w:rsidRPr="00317ABF">
              <w:rPr>
                <w:b/>
                <w:sz w:val="22"/>
                <w:szCs w:val="22"/>
              </w:rPr>
              <w:t>Art. 294.</w:t>
            </w:r>
            <w:r w:rsidRPr="00317ABF">
              <w:rPr>
                <w:sz w:val="22"/>
                <w:szCs w:val="22"/>
              </w:rPr>
              <w:t xml:space="preserve"> </w:t>
            </w:r>
          </w:p>
          <w:p w14:paraId="3418CEF9" w14:textId="495BCD88" w:rsidR="00E1013C" w:rsidRPr="00317ABF" w:rsidRDefault="00E1013C" w:rsidP="00E1013C">
            <w:pPr>
              <w:pStyle w:val="Tekstpodstawowy"/>
              <w:rPr>
                <w:sz w:val="22"/>
                <w:szCs w:val="22"/>
              </w:rPr>
            </w:pPr>
            <w:r w:rsidRPr="00317ABF">
              <w:rPr>
                <w:sz w:val="22"/>
                <w:szCs w:val="22"/>
              </w:rPr>
              <w:t>Dostawca usług komunikacji elektronicznej świadczący usługę dostępu do internetu lub usługę komunikacji interpersonalnej publikuje na swojej stronie internetowej aktualne informacje w jasny, zrozumiały, umożliwiający odczyt maszynowy sposób i w formie dostępnej dla użytkowników końcowych z niepełnosprawnościami, dotyczące:</w:t>
            </w:r>
          </w:p>
          <w:p w14:paraId="36C8FCED" w14:textId="77777777" w:rsidR="00E1013C" w:rsidRPr="00317ABF" w:rsidRDefault="00E1013C" w:rsidP="00E1013C">
            <w:pPr>
              <w:pStyle w:val="Tekstpodstawowy"/>
              <w:rPr>
                <w:bCs/>
                <w:sz w:val="22"/>
                <w:szCs w:val="22"/>
              </w:rPr>
            </w:pPr>
            <w:r w:rsidRPr="00317ABF">
              <w:rPr>
                <w:bCs/>
                <w:sz w:val="22"/>
                <w:szCs w:val="22"/>
              </w:rPr>
              <w:t>1)</w:t>
            </w:r>
            <w:r w:rsidRPr="00317ABF">
              <w:rPr>
                <w:bCs/>
                <w:sz w:val="22"/>
                <w:szCs w:val="22"/>
              </w:rPr>
              <w:tab/>
              <w:t>swoich danych kontaktowych, w tym</w:t>
            </w:r>
            <w:r w:rsidRPr="00317ABF">
              <w:rPr>
                <w:bCs/>
                <w:i/>
                <w:sz w:val="22"/>
                <w:szCs w:val="22"/>
              </w:rPr>
              <w:t xml:space="preserve"> </w:t>
            </w:r>
            <w:r w:rsidRPr="00317ABF">
              <w:rPr>
                <w:bCs/>
                <w:sz w:val="22"/>
                <w:szCs w:val="22"/>
              </w:rPr>
              <w:t>adres poczty elektronicznej, numery telefonu oraz adres elektroniczny innego środka komunikacji elektronicznej, jeśli dostawca korzysta z innego środka komunikacji elektronicznej</w:t>
            </w:r>
            <w:r w:rsidRPr="00317ABF" w:rsidDel="00B567C3">
              <w:rPr>
                <w:bCs/>
                <w:sz w:val="22"/>
                <w:szCs w:val="22"/>
              </w:rPr>
              <w:t xml:space="preserve"> </w:t>
            </w:r>
            <w:r w:rsidRPr="00317ABF">
              <w:rPr>
                <w:bCs/>
                <w:sz w:val="22"/>
                <w:szCs w:val="22"/>
              </w:rPr>
              <w:t>;</w:t>
            </w:r>
          </w:p>
          <w:p w14:paraId="579BDB1A" w14:textId="77777777" w:rsidR="00E1013C" w:rsidRPr="00317ABF" w:rsidRDefault="00E1013C" w:rsidP="00E1013C">
            <w:pPr>
              <w:pStyle w:val="Tekstpodstawowy"/>
              <w:rPr>
                <w:bCs/>
                <w:sz w:val="22"/>
                <w:szCs w:val="22"/>
              </w:rPr>
            </w:pPr>
            <w:r w:rsidRPr="00317ABF">
              <w:rPr>
                <w:bCs/>
                <w:sz w:val="22"/>
                <w:szCs w:val="22"/>
              </w:rPr>
              <w:t>2)</w:t>
            </w:r>
            <w:r w:rsidRPr="00317ABF">
              <w:rPr>
                <w:bCs/>
                <w:sz w:val="22"/>
                <w:szCs w:val="22"/>
              </w:rPr>
              <w:tab/>
              <w:t>oferowanych usług dostępu do internetu i usług komunikacji interpersonalnej;</w:t>
            </w:r>
          </w:p>
          <w:p w14:paraId="11314778" w14:textId="77777777" w:rsidR="00E1013C" w:rsidRPr="00317ABF" w:rsidRDefault="00E1013C" w:rsidP="00E1013C">
            <w:pPr>
              <w:pStyle w:val="Tekstpodstawowy"/>
              <w:rPr>
                <w:bCs/>
                <w:sz w:val="22"/>
                <w:szCs w:val="22"/>
              </w:rPr>
            </w:pPr>
            <w:r w:rsidRPr="00317ABF">
              <w:rPr>
                <w:bCs/>
                <w:sz w:val="22"/>
                <w:szCs w:val="22"/>
              </w:rPr>
              <w:t>3)</w:t>
            </w:r>
            <w:r w:rsidRPr="00317ABF">
              <w:rPr>
                <w:bCs/>
                <w:sz w:val="22"/>
                <w:szCs w:val="22"/>
              </w:rPr>
              <w:tab/>
              <w:t>głównych cech każdej usługi, w tym minimalnych poziomów jakości usług, a w przypadku usług innych niż usługi dostępu do internetu, gwarantowane parametry jakości, albo oświadczenie o braku minimalnych poziomów jakości usług, a także ograniczeń w dostępie lub korzystaniu z promocyjnego urządzenia końcowego lub wydanego urządzenia końcowego;</w:t>
            </w:r>
          </w:p>
          <w:p w14:paraId="2A8F83F6" w14:textId="77777777" w:rsidR="00E1013C" w:rsidRPr="00317ABF" w:rsidRDefault="00E1013C" w:rsidP="00E1013C">
            <w:pPr>
              <w:pStyle w:val="Tekstpodstawowy"/>
              <w:rPr>
                <w:bCs/>
                <w:sz w:val="22"/>
                <w:szCs w:val="22"/>
              </w:rPr>
            </w:pPr>
            <w:r w:rsidRPr="00317ABF">
              <w:rPr>
                <w:bCs/>
                <w:sz w:val="22"/>
                <w:szCs w:val="22"/>
              </w:rPr>
              <w:lastRenderedPageBreak/>
              <w:t>4)</w:t>
            </w:r>
            <w:r w:rsidRPr="00317ABF">
              <w:rPr>
                <w:bCs/>
                <w:sz w:val="22"/>
                <w:szCs w:val="22"/>
              </w:rPr>
              <w:tab/>
              <w:t>ceny usługi, w tym ceny za jej aktywację, opłaty abonamentowej i ceny za jednostkę rozliczeniową usługi, w tym informacji o pakietach taryfowych obejmujących:</w:t>
            </w:r>
          </w:p>
          <w:p w14:paraId="5EC64523" w14:textId="77777777" w:rsidR="00E1013C" w:rsidRPr="00317ABF" w:rsidRDefault="00E1013C" w:rsidP="00E1013C">
            <w:pPr>
              <w:pStyle w:val="Tekstpodstawowy"/>
              <w:rPr>
                <w:bCs/>
                <w:sz w:val="22"/>
                <w:szCs w:val="22"/>
              </w:rPr>
            </w:pPr>
            <w:r w:rsidRPr="00317ABF">
              <w:rPr>
                <w:bCs/>
                <w:sz w:val="22"/>
                <w:szCs w:val="22"/>
              </w:rPr>
              <w:t>a)</w:t>
            </w:r>
            <w:r w:rsidRPr="00317ABF">
              <w:rPr>
                <w:bCs/>
                <w:sz w:val="22"/>
                <w:szCs w:val="22"/>
              </w:rPr>
              <w:tab/>
              <w:t>rodzaj oferowanych usług,</w:t>
            </w:r>
          </w:p>
          <w:p w14:paraId="77574892" w14:textId="77777777" w:rsidR="00E1013C" w:rsidRPr="00317ABF" w:rsidRDefault="00E1013C" w:rsidP="00E1013C">
            <w:pPr>
              <w:pStyle w:val="Tekstpodstawowy"/>
              <w:rPr>
                <w:bCs/>
                <w:sz w:val="22"/>
                <w:szCs w:val="22"/>
              </w:rPr>
            </w:pPr>
            <w:r w:rsidRPr="00317ABF">
              <w:rPr>
                <w:bCs/>
                <w:sz w:val="22"/>
                <w:szCs w:val="22"/>
              </w:rPr>
              <w:t>b)</w:t>
            </w:r>
            <w:r w:rsidRPr="00317ABF">
              <w:rPr>
                <w:bCs/>
                <w:sz w:val="22"/>
                <w:szCs w:val="22"/>
              </w:rPr>
              <w:tab/>
              <w:t>ilość jednostek rozliczeniowych dostępnych w ramach pakietu taryfowego w okresie rozliczeniowym oraz cenę za jednostkę rozliczeniową usługi po ich wykorzystaniu,</w:t>
            </w:r>
          </w:p>
          <w:p w14:paraId="6A8808B7" w14:textId="77777777" w:rsidR="00E1013C" w:rsidRPr="00317ABF" w:rsidRDefault="00E1013C" w:rsidP="00E1013C">
            <w:pPr>
              <w:pStyle w:val="Tekstpodstawowy"/>
              <w:rPr>
                <w:bCs/>
                <w:sz w:val="22"/>
                <w:szCs w:val="22"/>
              </w:rPr>
            </w:pPr>
            <w:r w:rsidRPr="00317ABF">
              <w:rPr>
                <w:bCs/>
                <w:sz w:val="22"/>
                <w:szCs w:val="22"/>
              </w:rPr>
              <w:t>c)</w:t>
            </w:r>
            <w:r w:rsidRPr="00317ABF">
              <w:rPr>
                <w:bCs/>
                <w:sz w:val="22"/>
                <w:szCs w:val="22"/>
              </w:rPr>
              <w:tab/>
              <w:t>cenę w przypadku numerów lub usług, które podlegają szczególnym warunkom cenowym, w tym usług z dodatkowym świadczeniem, cenę za jednostkę rozliczeniową usługi albo w przypadku usługi taryfikowanej za całe połączenie - cenę za połączenie,</w:t>
            </w:r>
          </w:p>
          <w:p w14:paraId="7FC34219" w14:textId="77777777" w:rsidR="00E1013C" w:rsidRPr="00317ABF" w:rsidRDefault="00E1013C" w:rsidP="00E1013C">
            <w:pPr>
              <w:pStyle w:val="Tekstpodstawowy"/>
              <w:rPr>
                <w:bCs/>
                <w:sz w:val="22"/>
                <w:szCs w:val="22"/>
              </w:rPr>
            </w:pPr>
            <w:r w:rsidRPr="00317ABF">
              <w:rPr>
                <w:bCs/>
                <w:sz w:val="22"/>
                <w:szCs w:val="22"/>
              </w:rPr>
              <w:t>d)</w:t>
            </w:r>
            <w:r w:rsidRPr="00317ABF">
              <w:rPr>
                <w:bCs/>
                <w:sz w:val="22"/>
                <w:szCs w:val="22"/>
              </w:rPr>
              <w:tab/>
              <w:t>opłaty związane z korzystaniem z wydanego urządzenia końcowego;</w:t>
            </w:r>
          </w:p>
          <w:p w14:paraId="00CBAF53" w14:textId="77777777" w:rsidR="00E1013C" w:rsidRPr="00317ABF" w:rsidRDefault="00E1013C" w:rsidP="00E1013C">
            <w:pPr>
              <w:pStyle w:val="Tekstpodstawowy"/>
              <w:rPr>
                <w:bCs/>
                <w:sz w:val="22"/>
                <w:szCs w:val="22"/>
              </w:rPr>
            </w:pPr>
            <w:r w:rsidRPr="00317ABF">
              <w:rPr>
                <w:bCs/>
                <w:sz w:val="22"/>
                <w:szCs w:val="22"/>
              </w:rPr>
              <w:t>5) zakresu usług posprzedażnych, konserwacji i obsługi klienta oraz dane kontaktowe świadczących je podmiotów;</w:t>
            </w:r>
          </w:p>
          <w:p w14:paraId="2111A88B" w14:textId="77777777" w:rsidR="00E1013C" w:rsidRPr="00317ABF" w:rsidRDefault="00E1013C" w:rsidP="00E1013C">
            <w:pPr>
              <w:pStyle w:val="Tekstpodstawowy"/>
              <w:rPr>
                <w:bCs/>
                <w:sz w:val="22"/>
                <w:szCs w:val="22"/>
              </w:rPr>
            </w:pPr>
            <w:r w:rsidRPr="00317ABF">
              <w:rPr>
                <w:bCs/>
                <w:sz w:val="22"/>
                <w:szCs w:val="22"/>
              </w:rPr>
              <w:t>6) standardowych warunków umowy, w tym:</w:t>
            </w:r>
          </w:p>
          <w:p w14:paraId="3D7BA87A" w14:textId="77777777" w:rsidR="00E1013C" w:rsidRPr="00317ABF" w:rsidRDefault="00E1013C" w:rsidP="00E1013C">
            <w:pPr>
              <w:pStyle w:val="Tekstpodstawowy"/>
              <w:rPr>
                <w:bCs/>
                <w:sz w:val="22"/>
                <w:szCs w:val="22"/>
              </w:rPr>
            </w:pPr>
            <w:r w:rsidRPr="00317ABF">
              <w:rPr>
                <w:bCs/>
                <w:sz w:val="22"/>
                <w:szCs w:val="22"/>
              </w:rPr>
              <w:t>a)</w:t>
            </w:r>
            <w:r w:rsidRPr="00317ABF">
              <w:rPr>
                <w:bCs/>
                <w:sz w:val="22"/>
                <w:szCs w:val="22"/>
              </w:rPr>
              <w:tab/>
              <w:t>okres obowiązywania umowy,</w:t>
            </w:r>
          </w:p>
          <w:p w14:paraId="4BFB1657" w14:textId="77777777" w:rsidR="00E1013C" w:rsidRPr="00317ABF" w:rsidRDefault="00E1013C" w:rsidP="00E1013C">
            <w:pPr>
              <w:pStyle w:val="Tekstpodstawowy"/>
              <w:rPr>
                <w:bCs/>
                <w:sz w:val="22"/>
                <w:szCs w:val="22"/>
              </w:rPr>
            </w:pPr>
            <w:r w:rsidRPr="00317ABF">
              <w:rPr>
                <w:bCs/>
                <w:sz w:val="22"/>
                <w:szCs w:val="22"/>
              </w:rPr>
              <w:t>b)</w:t>
            </w:r>
            <w:r w:rsidRPr="00317ABF">
              <w:rPr>
                <w:bCs/>
                <w:sz w:val="22"/>
                <w:szCs w:val="22"/>
              </w:rPr>
              <w:tab/>
              <w:t xml:space="preserve">odszkodowanie należne w momencie wypowiedzenia umowy </w:t>
            </w:r>
            <w:r w:rsidRPr="00317ABF" w:rsidDel="001007DC">
              <w:rPr>
                <w:bCs/>
                <w:sz w:val="22"/>
                <w:szCs w:val="22"/>
              </w:rPr>
              <w:t xml:space="preserve">w trybie art. </w:t>
            </w:r>
            <w:r w:rsidRPr="00317ABF">
              <w:rPr>
                <w:bCs/>
                <w:sz w:val="22"/>
                <w:szCs w:val="22"/>
              </w:rPr>
              <w:t>298</w:t>
            </w:r>
            <w:r w:rsidRPr="00317ABF" w:rsidDel="001007DC">
              <w:rPr>
                <w:bCs/>
                <w:sz w:val="22"/>
                <w:szCs w:val="22"/>
              </w:rPr>
              <w:t xml:space="preserve"> ust. 1</w:t>
            </w:r>
            <w:r w:rsidRPr="00317ABF">
              <w:rPr>
                <w:bCs/>
                <w:sz w:val="22"/>
                <w:szCs w:val="22"/>
              </w:rPr>
              <w:t>,</w:t>
            </w:r>
          </w:p>
          <w:p w14:paraId="7A94EACF" w14:textId="77777777" w:rsidR="00E1013C" w:rsidRPr="00317ABF" w:rsidRDefault="00E1013C" w:rsidP="00E1013C">
            <w:pPr>
              <w:pStyle w:val="Tekstpodstawowy"/>
              <w:rPr>
                <w:bCs/>
                <w:sz w:val="22"/>
                <w:szCs w:val="22"/>
              </w:rPr>
            </w:pPr>
            <w:r w:rsidRPr="00317ABF">
              <w:rPr>
                <w:bCs/>
                <w:sz w:val="22"/>
                <w:szCs w:val="22"/>
              </w:rPr>
              <w:t>c)</w:t>
            </w:r>
            <w:r w:rsidRPr="00317ABF">
              <w:rPr>
                <w:bCs/>
                <w:sz w:val="22"/>
                <w:szCs w:val="22"/>
              </w:rPr>
              <w:tab/>
              <w:t>warunki rezygnacji z oferty wiązanej lub jej elementów,</w:t>
            </w:r>
          </w:p>
          <w:p w14:paraId="3E00F3EC" w14:textId="77777777" w:rsidR="00E1013C" w:rsidRPr="00317ABF" w:rsidRDefault="00E1013C" w:rsidP="00E1013C">
            <w:pPr>
              <w:pStyle w:val="Tekstpodstawowy"/>
              <w:rPr>
                <w:bCs/>
                <w:sz w:val="22"/>
                <w:szCs w:val="22"/>
              </w:rPr>
            </w:pPr>
            <w:r w:rsidRPr="00317ABF">
              <w:rPr>
                <w:bCs/>
                <w:sz w:val="22"/>
                <w:szCs w:val="22"/>
              </w:rPr>
              <w:t>d)</w:t>
            </w:r>
            <w:r w:rsidRPr="00317ABF">
              <w:rPr>
                <w:bCs/>
                <w:sz w:val="22"/>
                <w:szCs w:val="22"/>
              </w:rPr>
              <w:tab/>
              <w:t>procedury i opłaty związane z przeniesieniem numerów lub innych danych identyfikacyjnych;</w:t>
            </w:r>
          </w:p>
          <w:p w14:paraId="459A6DCA" w14:textId="77777777" w:rsidR="00E1013C" w:rsidRPr="00317ABF" w:rsidRDefault="00E1013C" w:rsidP="00E1013C">
            <w:pPr>
              <w:pStyle w:val="Tekstpodstawowy"/>
              <w:rPr>
                <w:bCs/>
                <w:sz w:val="22"/>
                <w:szCs w:val="22"/>
              </w:rPr>
            </w:pPr>
            <w:r w:rsidRPr="00317ABF">
              <w:rPr>
                <w:bCs/>
                <w:sz w:val="22"/>
                <w:szCs w:val="22"/>
              </w:rPr>
              <w:t>7)</w:t>
            </w:r>
            <w:r w:rsidRPr="00317ABF">
              <w:rPr>
                <w:bCs/>
                <w:sz w:val="22"/>
                <w:szCs w:val="22"/>
              </w:rPr>
              <w:tab/>
              <w:t>informacji o możliwości kierowania połączeń do numerów alarmowych, w tym o:</w:t>
            </w:r>
          </w:p>
          <w:p w14:paraId="5072BC0B" w14:textId="77777777" w:rsidR="00E1013C" w:rsidRPr="00317ABF" w:rsidRDefault="00E1013C" w:rsidP="00E1013C">
            <w:pPr>
              <w:pStyle w:val="Tekstpodstawowy"/>
              <w:rPr>
                <w:bCs/>
                <w:sz w:val="22"/>
                <w:szCs w:val="22"/>
              </w:rPr>
            </w:pPr>
            <w:r w:rsidRPr="00317ABF">
              <w:rPr>
                <w:bCs/>
                <w:sz w:val="22"/>
                <w:szCs w:val="22"/>
              </w:rPr>
              <w:t>a)</w:t>
            </w:r>
            <w:r w:rsidRPr="00317ABF">
              <w:rPr>
                <w:bCs/>
                <w:sz w:val="22"/>
                <w:szCs w:val="22"/>
              </w:rPr>
              <w:tab/>
              <w:t>dostępie do służb ratunkowych oraz na temat lokalizacji dzwoniącego użytkownika końcowego – w przypadku świadczenia usług komunikacji interpersonalnej wykorzystujących numery lub wszelkich ograniczeniach lokalizacji,</w:t>
            </w:r>
          </w:p>
          <w:p w14:paraId="5CA4CDC8" w14:textId="77777777" w:rsidR="00E1013C" w:rsidRPr="00317ABF" w:rsidRDefault="00E1013C" w:rsidP="00E1013C">
            <w:pPr>
              <w:pStyle w:val="Tekstpodstawowy"/>
              <w:rPr>
                <w:bCs/>
                <w:sz w:val="22"/>
                <w:szCs w:val="22"/>
              </w:rPr>
            </w:pPr>
            <w:r w:rsidRPr="00317ABF">
              <w:rPr>
                <w:bCs/>
                <w:sz w:val="22"/>
                <w:szCs w:val="22"/>
              </w:rPr>
              <w:t>b)</w:t>
            </w:r>
            <w:r w:rsidRPr="00317ABF">
              <w:rPr>
                <w:bCs/>
                <w:sz w:val="22"/>
                <w:szCs w:val="22"/>
              </w:rPr>
              <w:tab/>
              <w:t>stopniu, w jakim zapewniony jest dostęp do służb ratunkowych – w przypadku świadczenia usług komunikacji interpersonalnej niewykorzystujących numerów;</w:t>
            </w:r>
          </w:p>
          <w:p w14:paraId="39775F0D" w14:textId="77777777" w:rsidR="00E1013C" w:rsidRPr="00317ABF" w:rsidRDefault="00E1013C" w:rsidP="00E1013C">
            <w:pPr>
              <w:pStyle w:val="Tekstpodstawowy"/>
              <w:rPr>
                <w:bCs/>
                <w:sz w:val="22"/>
                <w:szCs w:val="22"/>
              </w:rPr>
            </w:pPr>
            <w:r w:rsidRPr="00317ABF">
              <w:rPr>
                <w:bCs/>
                <w:sz w:val="22"/>
                <w:szCs w:val="22"/>
              </w:rPr>
              <w:t>8)</w:t>
            </w:r>
            <w:r w:rsidRPr="00317ABF">
              <w:rPr>
                <w:bCs/>
                <w:sz w:val="22"/>
                <w:szCs w:val="22"/>
              </w:rPr>
              <w:tab/>
              <w:t>szczegółowych informacji o udogodnieniach i usługach przeznaczonych dla użytkowników końcowych z niepełnos</w:t>
            </w:r>
            <w:r w:rsidRPr="00317ABF">
              <w:rPr>
                <w:bCs/>
                <w:sz w:val="22"/>
                <w:szCs w:val="22"/>
              </w:rPr>
              <w:softHyphen/>
              <w:t>prawnościami;</w:t>
            </w:r>
          </w:p>
          <w:p w14:paraId="2707CC06" w14:textId="61E8A542" w:rsidR="001E1112" w:rsidRPr="00317ABF" w:rsidRDefault="00E1013C" w:rsidP="00E1013C">
            <w:pPr>
              <w:pStyle w:val="Tekstpodstawowy"/>
              <w:rPr>
                <w:bCs/>
                <w:sz w:val="22"/>
                <w:szCs w:val="22"/>
              </w:rPr>
            </w:pPr>
            <w:r w:rsidRPr="00317ABF">
              <w:rPr>
                <w:bCs/>
                <w:sz w:val="22"/>
                <w:szCs w:val="22"/>
              </w:rPr>
              <w:t>9)</w:t>
            </w:r>
            <w:r w:rsidRPr="00317ABF">
              <w:rPr>
                <w:bCs/>
                <w:sz w:val="22"/>
                <w:szCs w:val="22"/>
              </w:rPr>
              <w:tab/>
              <w:t>sposobów rozstrzygania sporów.</w:t>
            </w:r>
          </w:p>
        </w:tc>
      </w:tr>
      <w:tr w:rsidR="001E1112" w:rsidRPr="00317ABF" w14:paraId="3E3D2DCC" w14:textId="77777777" w:rsidTr="7753F98D">
        <w:trPr>
          <w:gridAfter w:val="2"/>
          <w:wAfter w:w="175" w:type="dxa"/>
        </w:trPr>
        <w:tc>
          <w:tcPr>
            <w:tcW w:w="704" w:type="dxa"/>
          </w:tcPr>
          <w:p w14:paraId="76DF1DB7" w14:textId="77777777" w:rsidR="001E1112" w:rsidRPr="00317ABF" w:rsidRDefault="001E1112" w:rsidP="00DB3BEC">
            <w:pPr>
              <w:jc w:val="both"/>
              <w:rPr>
                <w:sz w:val="22"/>
                <w:szCs w:val="22"/>
              </w:rPr>
            </w:pPr>
            <w:r w:rsidRPr="00317ABF">
              <w:rPr>
                <w:sz w:val="22"/>
                <w:szCs w:val="22"/>
              </w:rPr>
              <w:lastRenderedPageBreak/>
              <w:t>Art. 103 ust. 2</w:t>
            </w:r>
          </w:p>
        </w:tc>
        <w:tc>
          <w:tcPr>
            <w:tcW w:w="4308" w:type="dxa"/>
          </w:tcPr>
          <w:p w14:paraId="6AA7633F" w14:textId="77777777" w:rsidR="001E1112" w:rsidRPr="00317ABF" w:rsidRDefault="001E1112" w:rsidP="00DB3BEC">
            <w:pPr>
              <w:spacing w:before="120"/>
              <w:jc w:val="both"/>
              <w:rPr>
                <w:sz w:val="22"/>
                <w:szCs w:val="22"/>
              </w:rPr>
            </w:pPr>
            <w:r w:rsidRPr="00317ABF">
              <w:rPr>
                <w:sz w:val="22"/>
                <w:szCs w:val="22"/>
              </w:rPr>
              <w:t xml:space="preserve">2.   Właściwe organy w porozumieniu, w stosownych przypadkach, z krajowymi organami regulacyjnymi zapewniają, aby użytkownicy końcowi mieli bezpłatny dostęp </w:t>
            </w:r>
            <w:r w:rsidRPr="00317ABF">
              <w:rPr>
                <w:sz w:val="22"/>
                <w:szCs w:val="22"/>
              </w:rPr>
              <w:lastRenderedPageBreak/>
              <w:t>do przynajmniej jednego niezależnego narzędzia porównawczego, która umożliwia im porównanie i ocenę różnych usług dostępu do internetu i publicznie dostępnych usług łączności interpersonalnej wykorzystujących numery oraz, w stosownych przypadkach, publicznie dostępnych usług łączności interpersonalnej niewykorzystujących numerów w odniesieniu do:</w:t>
            </w:r>
          </w:p>
          <w:tbl>
            <w:tblPr>
              <w:tblW w:w="5000" w:type="pct"/>
              <w:tblCellSpacing w:w="0" w:type="dxa"/>
              <w:tblLayout w:type="fixed"/>
              <w:tblCellMar>
                <w:left w:w="0" w:type="dxa"/>
                <w:right w:w="0" w:type="dxa"/>
              </w:tblCellMar>
              <w:tblLook w:val="04A0" w:firstRow="1" w:lastRow="0" w:firstColumn="1" w:lastColumn="0" w:noHBand="0" w:noVBand="1"/>
            </w:tblPr>
            <w:tblGrid>
              <w:gridCol w:w="20"/>
              <w:gridCol w:w="4148"/>
            </w:tblGrid>
            <w:tr w:rsidR="001E1112" w:rsidRPr="00317ABF" w14:paraId="04FAB12D" w14:textId="77777777" w:rsidTr="0016481D">
              <w:trPr>
                <w:tblCellSpacing w:w="0" w:type="dxa"/>
              </w:trPr>
              <w:tc>
                <w:tcPr>
                  <w:tcW w:w="6" w:type="dxa"/>
                  <w:hideMark/>
                </w:tcPr>
                <w:p w14:paraId="5BD3745A" w14:textId="77777777" w:rsidR="001E1112" w:rsidRPr="00317ABF" w:rsidRDefault="001E1112" w:rsidP="00EE0AC3">
                  <w:pPr>
                    <w:framePr w:hSpace="141" w:wrap="around" w:vAnchor="text" w:hAnchor="text" w:xAlign="right" w:y="1"/>
                    <w:spacing w:before="120"/>
                    <w:suppressOverlap/>
                    <w:jc w:val="both"/>
                    <w:rPr>
                      <w:sz w:val="22"/>
                      <w:szCs w:val="22"/>
                    </w:rPr>
                  </w:pPr>
                </w:p>
              </w:tc>
              <w:tc>
                <w:tcPr>
                  <w:tcW w:w="9066" w:type="dxa"/>
                  <w:hideMark/>
                </w:tcPr>
                <w:p w14:paraId="09D2D19F" w14:textId="77777777" w:rsidR="001E1112" w:rsidRPr="00317ABF" w:rsidRDefault="001E1112" w:rsidP="00EE0AC3">
                  <w:pPr>
                    <w:framePr w:hSpace="141" w:wrap="around" w:vAnchor="text" w:hAnchor="text" w:xAlign="right" w:y="1"/>
                    <w:numPr>
                      <w:ilvl w:val="0"/>
                      <w:numId w:val="77"/>
                    </w:numPr>
                    <w:spacing w:before="120"/>
                    <w:suppressOverlap/>
                    <w:jc w:val="both"/>
                    <w:rPr>
                      <w:sz w:val="22"/>
                      <w:szCs w:val="22"/>
                    </w:rPr>
                  </w:pPr>
                  <w:r w:rsidRPr="00317ABF">
                    <w:rPr>
                      <w:sz w:val="22"/>
                      <w:szCs w:val="22"/>
                    </w:rPr>
                    <w:t>cen i taryf usług świadczonych za powtarzalną lub bezpośrednią pieniężną opartą na zużyciu opłatą; oraz</w:t>
                  </w:r>
                </w:p>
              </w:tc>
            </w:tr>
          </w:tbl>
          <w:p w14:paraId="2E749876" w14:textId="77777777" w:rsidR="001E1112" w:rsidRPr="00317ABF" w:rsidRDefault="001E1112" w:rsidP="00DB3BEC">
            <w:pPr>
              <w:jc w:val="both"/>
              <w:rPr>
                <w:vanish/>
                <w:sz w:val="22"/>
                <w:szCs w:val="22"/>
              </w:rPr>
            </w:pPr>
          </w:p>
          <w:tbl>
            <w:tblPr>
              <w:tblW w:w="5000" w:type="pct"/>
              <w:tblCellSpacing w:w="0" w:type="dxa"/>
              <w:tblLayout w:type="fixed"/>
              <w:tblCellMar>
                <w:left w:w="0" w:type="dxa"/>
                <w:right w:w="0" w:type="dxa"/>
              </w:tblCellMar>
              <w:tblLook w:val="04A0" w:firstRow="1" w:lastRow="0" w:firstColumn="1" w:lastColumn="0" w:noHBand="0" w:noVBand="1"/>
            </w:tblPr>
            <w:tblGrid>
              <w:gridCol w:w="20"/>
              <w:gridCol w:w="4148"/>
            </w:tblGrid>
            <w:tr w:rsidR="001E1112" w:rsidRPr="00317ABF" w14:paraId="62907D72" w14:textId="77777777" w:rsidTr="0016481D">
              <w:trPr>
                <w:tblCellSpacing w:w="0" w:type="dxa"/>
              </w:trPr>
              <w:tc>
                <w:tcPr>
                  <w:tcW w:w="6" w:type="dxa"/>
                  <w:hideMark/>
                </w:tcPr>
                <w:p w14:paraId="05CC5E8D" w14:textId="77777777" w:rsidR="001E1112" w:rsidRPr="00317ABF" w:rsidRDefault="001E1112" w:rsidP="00EE0AC3">
                  <w:pPr>
                    <w:framePr w:hSpace="141" w:wrap="around" w:vAnchor="text" w:hAnchor="text" w:xAlign="right" w:y="1"/>
                    <w:spacing w:before="120"/>
                    <w:suppressOverlap/>
                    <w:jc w:val="both"/>
                    <w:rPr>
                      <w:sz w:val="22"/>
                      <w:szCs w:val="22"/>
                    </w:rPr>
                  </w:pPr>
                </w:p>
              </w:tc>
              <w:tc>
                <w:tcPr>
                  <w:tcW w:w="9066" w:type="dxa"/>
                  <w:hideMark/>
                </w:tcPr>
                <w:p w14:paraId="6C28CF13" w14:textId="77777777" w:rsidR="001E1112" w:rsidRPr="00317ABF" w:rsidRDefault="001E1112" w:rsidP="00EE0AC3">
                  <w:pPr>
                    <w:framePr w:hSpace="141" w:wrap="around" w:vAnchor="text" w:hAnchor="text" w:xAlign="right" w:y="1"/>
                    <w:numPr>
                      <w:ilvl w:val="0"/>
                      <w:numId w:val="77"/>
                    </w:numPr>
                    <w:spacing w:before="120"/>
                    <w:suppressOverlap/>
                    <w:jc w:val="both"/>
                    <w:rPr>
                      <w:sz w:val="22"/>
                      <w:szCs w:val="22"/>
                    </w:rPr>
                  </w:pPr>
                  <w:r w:rsidRPr="00317ABF">
                    <w:rPr>
                      <w:sz w:val="22"/>
                      <w:szCs w:val="22"/>
                    </w:rPr>
                    <w:t>wyników pod kątem jakości usługi, w przypadku gdy oferowana jest minimalna jakość usługi lub na przedsiębiorstwo nałożony jest wymóg publikowania takich informacji na podstawie art. 104.</w:t>
                  </w:r>
                </w:p>
              </w:tc>
            </w:tr>
          </w:tbl>
          <w:p w14:paraId="0776CA26" w14:textId="77777777" w:rsidR="001E1112" w:rsidRPr="00317ABF" w:rsidRDefault="001E1112" w:rsidP="00DB3BEC">
            <w:pPr>
              <w:spacing w:before="120"/>
              <w:jc w:val="both"/>
              <w:rPr>
                <w:sz w:val="22"/>
                <w:szCs w:val="22"/>
              </w:rPr>
            </w:pPr>
          </w:p>
        </w:tc>
        <w:tc>
          <w:tcPr>
            <w:tcW w:w="986" w:type="dxa"/>
          </w:tcPr>
          <w:p w14:paraId="406AE0E1" w14:textId="781B3EC4" w:rsidR="001E1112" w:rsidRPr="00317ABF" w:rsidRDefault="001E1112" w:rsidP="00DB3BEC">
            <w:pPr>
              <w:jc w:val="both"/>
              <w:rPr>
                <w:sz w:val="22"/>
                <w:szCs w:val="22"/>
              </w:rPr>
            </w:pPr>
            <w:r w:rsidRPr="00317ABF">
              <w:rPr>
                <w:sz w:val="22"/>
                <w:szCs w:val="22"/>
              </w:rPr>
              <w:lastRenderedPageBreak/>
              <w:t>T</w:t>
            </w:r>
          </w:p>
        </w:tc>
        <w:tc>
          <w:tcPr>
            <w:tcW w:w="910" w:type="dxa"/>
          </w:tcPr>
          <w:p w14:paraId="66DE7257" w14:textId="1F0D53B5" w:rsidR="001E1112" w:rsidRPr="00317ABF" w:rsidRDefault="004D1B92" w:rsidP="00DB3BEC">
            <w:pPr>
              <w:pStyle w:val="Tekstpodstawowy"/>
              <w:rPr>
                <w:b/>
                <w:noProof/>
                <w:sz w:val="22"/>
                <w:szCs w:val="22"/>
              </w:rPr>
            </w:pPr>
            <w:r w:rsidRPr="00317ABF">
              <w:rPr>
                <w:b/>
                <w:noProof/>
                <w:sz w:val="22"/>
                <w:szCs w:val="22"/>
              </w:rPr>
              <w:t>Art. 307</w:t>
            </w:r>
            <w:r w:rsidR="001E1112" w:rsidRPr="00317ABF">
              <w:rPr>
                <w:b/>
                <w:noProof/>
                <w:sz w:val="22"/>
                <w:szCs w:val="22"/>
              </w:rPr>
              <w:t xml:space="preserve"> ust. 1</w:t>
            </w:r>
          </w:p>
        </w:tc>
        <w:tc>
          <w:tcPr>
            <w:tcW w:w="6814" w:type="dxa"/>
            <w:gridSpan w:val="2"/>
          </w:tcPr>
          <w:p w14:paraId="0FF0F37B" w14:textId="7D50EF63" w:rsidR="004D1B92" w:rsidRPr="00317ABF" w:rsidRDefault="004D1B92" w:rsidP="004D1B92">
            <w:pPr>
              <w:pStyle w:val="Tekstpodstawowy"/>
              <w:rPr>
                <w:sz w:val="22"/>
                <w:szCs w:val="22"/>
              </w:rPr>
            </w:pPr>
            <w:r w:rsidRPr="00317ABF">
              <w:rPr>
                <w:rFonts w:ascii="Times" w:eastAsiaTheme="minorEastAsia" w:hAnsi="Times" w:cs="Times"/>
                <w:b/>
                <w:sz w:val="24"/>
              </w:rPr>
              <w:t xml:space="preserve"> </w:t>
            </w:r>
            <w:r w:rsidRPr="00317ABF">
              <w:rPr>
                <w:b/>
                <w:sz w:val="22"/>
                <w:szCs w:val="22"/>
              </w:rPr>
              <w:t>Art. 307.</w:t>
            </w:r>
            <w:r w:rsidRPr="00317ABF">
              <w:rPr>
                <w:sz w:val="22"/>
                <w:szCs w:val="22"/>
              </w:rPr>
              <w:t xml:space="preserve"> 1. Prezes UKE analizuje czy użytkownicy końcowi mają dostęp do bezpłatnego narzędzia porównawczego umożliwiającego porównanie dostępnych na rynku ofert usług dostępu do internetu oraz usług komunikacji interpersonalnej wykorzystujących numery, natomiast usług komunikacji interpersonalnej niewykorzystujących numerów tylko w przypadku, gdy </w:t>
            </w:r>
            <w:r w:rsidRPr="00317ABF">
              <w:rPr>
                <w:sz w:val="22"/>
                <w:szCs w:val="22"/>
              </w:rPr>
              <w:lastRenderedPageBreak/>
              <w:t>możliwe jest ich porównanie według cen, taryf i jakości usług, spełniającego wymagania, o których mowa w ust. 2, w zakresie:</w:t>
            </w:r>
          </w:p>
          <w:p w14:paraId="29B96E55" w14:textId="77777777" w:rsidR="004D1B92" w:rsidRPr="00317ABF" w:rsidRDefault="004D1B92" w:rsidP="004D1B92">
            <w:pPr>
              <w:pStyle w:val="Tekstpodstawowy"/>
              <w:rPr>
                <w:bCs/>
                <w:sz w:val="22"/>
                <w:szCs w:val="22"/>
              </w:rPr>
            </w:pPr>
            <w:r w:rsidRPr="00317ABF">
              <w:rPr>
                <w:bCs/>
                <w:sz w:val="22"/>
                <w:szCs w:val="22"/>
              </w:rPr>
              <w:t>1)</w:t>
            </w:r>
            <w:r w:rsidRPr="00317ABF">
              <w:rPr>
                <w:bCs/>
                <w:sz w:val="22"/>
                <w:szCs w:val="22"/>
              </w:rPr>
              <w:tab/>
              <w:t>ceny usługi, w tym ceny za jej aktywację, opłaty abonamentowej i ceny za jednostkę rozliczeniową usługi oraz ilości jednostek rozliczeniowych dostępnych w ramach pakietu taryfowego w okresie rozliczeniowym oraz cen za jednostkę rozliczeniową usługi po ich wykorzystaniu,</w:t>
            </w:r>
          </w:p>
          <w:p w14:paraId="49CA72A5" w14:textId="77777777" w:rsidR="004D1B92" w:rsidRPr="00317ABF" w:rsidRDefault="004D1B92" w:rsidP="004D1B92">
            <w:pPr>
              <w:pStyle w:val="Tekstpodstawowy"/>
              <w:rPr>
                <w:bCs/>
                <w:sz w:val="22"/>
                <w:szCs w:val="22"/>
              </w:rPr>
            </w:pPr>
            <w:r w:rsidRPr="00317ABF">
              <w:rPr>
                <w:bCs/>
                <w:sz w:val="22"/>
                <w:szCs w:val="22"/>
              </w:rPr>
              <w:t>2)</w:t>
            </w:r>
            <w:r w:rsidRPr="00317ABF">
              <w:rPr>
                <w:bCs/>
                <w:sz w:val="22"/>
                <w:szCs w:val="22"/>
              </w:rPr>
              <w:tab/>
              <w:t>jakości usługi, w przypadku gdy oferowana jest minimalna jakość usługi lub na przedsiębiorcę nałożony jest wymóg publikowania takich informacji na podstawie art. 310</w:t>
            </w:r>
          </w:p>
          <w:p w14:paraId="769CED85" w14:textId="77777777" w:rsidR="004D1B92" w:rsidRPr="00317ABF" w:rsidRDefault="004D1B92" w:rsidP="004D1B92">
            <w:pPr>
              <w:pStyle w:val="Tekstpodstawowy"/>
              <w:rPr>
                <w:bCs/>
                <w:sz w:val="22"/>
                <w:szCs w:val="22"/>
              </w:rPr>
            </w:pPr>
            <w:r w:rsidRPr="00317ABF">
              <w:rPr>
                <w:bCs/>
                <w:sz w:val="22"/>
                <w:szCs w:val="22"/>
              </w:rPr>
              <w:t>- zwanego dalej „narzędziem porównawczym”.</w:t>
            </w:r>
          </w:p>
          <w:p w14:paraId="3DBBBE24" w14:textId="36CFE34E" w:rsidR="001E1112" w:rsidRPr="00317ABF" w:rsidRDefault="004D1B92" w:rsidP="00DB3BEC">
            <w:pPr>
              <w:jc w:val="both"/>
              <w:rPr>
                <w:sz w:val="22"/>
                <w:szCs w:val="22"/>
              </w:rPr>
            </w:pPr>
            <w:r w:rsidRPr="00317ABF">
              <w:rPr>
                <w:sz w:val="22"/>
                <w:szCs w:val="22"/>
              </w:rPr>
              <w:t>(…)</w:t>
            </w:r>
          </w:p>
        </w:tc>
      </w:tr>
      <w:tr w:rsidR="001E1112" w:rsidRPr="00317ABF" w14:paraId="74A723D7" w14:textId="77777777" w:rsidTr="7753F98D">
        <w:trPr>
          <w:gridAfter w:val="2"/>
          <w:wAfter w:w="175" w:type="dxa"/>
        </w:trPr>
        <w:tc>
          <w:tcPr>
            <w:tcW w:w="704" w:type="dxa"/>
          </w:tcPr>
          <w:p w14:paraId="1592DCA6" w14:textId="77777777" w:rsidR="001E1112" w:rsidRPr="00317ABF" w:rsidRDefault="001E1112" w:rsidP="00DB3BEC">
            <w:pPr>
              <w:jc w:val="both"/>
              <w:rPr>
                <w:sz w:val="22"/>
                <w:szCs w:val="22"/>
              </w:rPr>
            </w:pPr>
            <w:r w:rsidRPr="00317ABF">
              <w:rPr>
                <w:sz w:val="22"/>
                <w:szCs w:val="22"/>
              </w:rPr>
              <w:lastRenderedPageBreak/>
              <w:t>Art. 103 ust. 3</w:t>
            </w:r>
          </w:p>
        </w:tc>
        <w:tc>
          <w:tcPr>
            <w:tcW w:w="4308" w:type="dxa"/>
          </w:tcPr>
          <w:p w14:paraId="57C94707" w14:textId="77777777" w:rsidR="001E1112" w:rsidRPr="00317ABF" w:rsidRDefault="001E1112" w:rsidP="00DB3BEC">
            <w:pPr>
              <w:spacing w:before="120"/>
              <w:jc w:val="both"/>
              <w:rPr>
                <w:sz w:val="22"/>
                <w:szCs w:val="22"/>
              </w:rPr>
            </w:pPr>
            <w:r w:rsidRPr="00317ABF">
              <w:rPr>
                <w:sz w:val="22"/>
                <w:szCs w:val="22"/>
              </w:rPr>
              <w:t>3.   Narzędzie porównawcze, o którym mowa ust. 2 musi:</w:t>
            </w:r>
          </w:p>
          <w:tbl>
            <w:tblPr>
              <w:tblW w:w="5000" w:type="pct"/>
              <w:tblCellSpacing w:w="0" w:type="dxa"/>
              <w:tblLayout w:type="fixed"/>
              <w:tblCellMar>
                <w:left w:w="0" w:type="dxa"/>
                <w:right w:w="0" w:type="dxa"/>
              </w:tblCellMar>
              <w:tblLook w:val="04A0" w:firstRow="1" w:lastRow="0" w:firstColumn="1" w:lastColumn="0" w:noHBand="0" w:noVBand="1"/>
            </w:tblPr>
            <w:tblGrid>
              <w:gridCol w:w="20"/>
              <w:gridCol w:w="4148"/>
            </w:tblGrid>
            <w:tr w:rsidR="001E1112" w:rsidRPr="00317ABF" w14:paraId="45F9521E" w14:textId="77777777" w:rsidTr="0016481D">
              <w:trPr>
                <w:tblCellSpacing w:w="0" w:type="dxa"/>
              </w:trPr>
              <w:tc>
                <w:tcPr>
                  <w:tcW w:w="6" w:type="dxa"/>
                  <w:hideMark/>
                </w:tcPr>
                <w:p w14:paraId="2A6076CB" w14:textId="77777777" w:rsidR="001E1112" w:rsidRPr="00317ABF" w:rsidRDefault="001E1112" w:rsidP="00EE0AC3">
                  <w:pPr>
                    <w:framePr w:hSpace="141" w:wrap="around" w:vAnchor="text" w:hAnchor="text" w:xAlign="right" w:y="1"/>
                    <w:spacing w:before="120"/>
                    <w:suppressOverlap/>
                    <w:jc w:val="both"/>
                    <w:rPr>
                      <w:sz w:val="22"/>
                      <w:szCs w:val="22"/>
                    </w:rPr>
                  </w:pPr>
                </w:p>
              </w:tc>
              <w:tc>
                <w:tcPr>
                  <w:tcW w:w="9066" w:type="dxa"/>
                  <w:hideMark/>
                </w:tcPr>
                <w:p w14:paraId="03197BCB" w14:textId="77777777" w:rsidR="001E1112" w:rsidRPr="00317ABF" w:rsidRDefault="001E1112" w:rsidP="00EE0AC3">
                  <w:pPr>
                    <w:framePr w:hSpace="141" w:wrap="around" w:vAnchor="text" w:hAnchor="text" w:xAlign="right" w:y="1"/>
                    <w:numPr>
                      <w:ilvl w:val="0"/>
                      <w:numId w:val="78"/>
                    </w:numPr>
                    <w:spacing w:before="120"/>
                    <w:suppressOverlap/>
                    <w:jc w:val="both"/>
                    <w:rPr>
                      <w:sz w:val="22"/>
                      <w:szCs w:val="22"/>
                    </w:rPr>
                  </w:pPr>
                  <w:r w:rsidRPr="00317ABF">
                    <w:rPr>
                      <w:sz w:val="22"/>
                      <w:szCs w:val="22"/>
                    </w:rPr>
                    <w:t>być funkcjonalnie niezależna od dostawców takich usług, zapewniając tym samym takim dostawcom równe traktowanie w wynikach wyszukiwania;</w:t>
                  </w:r>
                </w:p>
              </w:tc>
            </w:tr>
          </w:tbl>
          <w:p w14:paraId="0012495C" w14:textId="77777777" w:rsidR="001E1112" w:rsidRPr="00317ABF" w:rsidRDefault="001E1112" w:rsidP="00DB3BEC">
            <w:pPr>
              <w:jc w:val="both"/>
              <w:rPr>
                <w:vanish/>
                <w:sz w:val="22"/>
                <w:szCs w:val="22"/>
              </w:rPr>
            </w:pPr>
          </w:p>
          <w:tbl>
            <w:tblPr>
              <w:tblW w:w="5000" w:type="pct"/>
              <w:tblCellSpacing w:w="0" w:type="dxa"/>
              <w:tblLayout w:type="fixed"/>
              <w:tblCellMar>
                <w:left w:w="0" w:type="dxa"/>
                <w:right w:w="0" w:type="dxa"/>
              </w:tblCellMar>
              <w:tblLook w:val="04A0" w:firstRow="1" w:lastRow="0" w:firstColumn="1" w:lastColumn="0" w:noHBand="0" w:noVBand="1"/>
            </w:tblPr>
            <w:tblGrid>
              <w:gridCol w:w="20"/>
              <w:gridCol w:w="4148"/>
            </w:tblGrid>
            <w:tr w:rsidR="001E1112" w:rsidRPr="00317ABF" w14:paraId="4F4E6E9F" w14:textId="77777777" w:rsidTr="0016481D">
              <w:trPr>
                <w:tblCellSpacing w:w="0" w:type="dxa"/>
              </w:trPr>
              <w:tc>
                <w:tcPr>
                  <w:tcW w:w="6" w:type="dxa"/>
                  <w:hideMark/>
                </w:tcPr>
                <w:p w14:paraId="4328A214" w14:textId="77777777" w:rsidR="001E1112" w:rsidRPr="00317ABF" w:rsidRDefault="001E1112" w:rsidP="00EE0AC3">
                  <w:pPr>
                    <w:framePr w:hSpace="141" w:wrap="around" w:vAnchor="text" w:hAnchor="text" w:xAlign="right" w:y="1"/>
                    <w:spacing w:before="120"/>
                    <w:suppressOverlap/>
                    <w:jc w:val="both"/>
                    <w:rPr>
                      <w:sz w:val="22"/>
                      <w:szCs w:val="22"/>
                    </w:rPr>
                  </w:pPr>
                </w:p>
              </w:tc>
              <w:tc>
                <w:tcPr>
                  <w:tcW w:w="9066" w:type="dxa"/>
                  <w:hideMark/>
                </w:tcPr>
                <w:p w14:paraId="615A2FA4" w14:textId="77777777" w:rsidR="001E1112" w:rsidRPr="00317ABF" w:rsidRDefault="001E1112" w:rsidP="00EE0AC3">
                  <w:pPr>
                    <w:framePr w:hSpace="141" w:wrap="around" w:vAnchor="text" w:hAnchor="text" w:xAlign="right" w:y="1"/>
                    <w:numPr>
                      <w:ilvl w:val="0"/>
                      <w:numId w:val="78"/>
                    </w:numPr>
                    <w:spacing w:before="120"/>
                    <w:suppressOverlap/>
                    <w:jc w:val="both"/>
                    <w:rPr>
                      <w:sz w:val="22"/>
                      <w:szCs w:val="22"/>
                    </w:rPr>
                  </w:pPr>
                  <w:r w:rsidRPr="00317ABF">
                    <w:rPr>
                      <w:sz w:val="22"/>
                      <w:szCs w:val="22"/>
                    </w:rPr>
                    <w:t>w wyraźny sposób informować o właścicielach narzędzia porównawczego i obsługujących go podmiotach;</w:t>
                  </w:r>
                </w:p>
              </w:tc>
            </w:tr>
          </w:tbl>
          <w:p w14:paraId="76908393" w14:textId="77777777" w:rsidR="001E1112" w:rsidRPr="00317ABF" w:rsidRDefault="001E1112" w:rsidP="00DB3BEC">
            <w:pPr>
              <w:jc w:val="both"/>
              <w:rPr>
                <w:vanish/>
                <w:sz w:val="22"/>
                <w:szCs w:val="22"/>
              </w:rPr>
            </w:pPr>
          </w:p>
          <w:tbl>
            <w:tblPr>
              <w:tblW w:w="5000" w:type="pct"/>
              <w:tblCellSpacing w:w="0" w:type="dxa"/>
              <w:tblLayout w:type="fixed"/>
              <w:tblCellMar>
                <w:left w:w="0" w:type="dxa"/>
                <w:right w:w="0" w:type="dxa"/>
              </w:tblCellMar>
              <w:tblLook w:val="04A0" w:firstRow="1" w:lastRow="0" w:firstColumn="1" w:lastColumn="0" w:noHBand="0" w:noVBand="1"/>
            </w:tblPr>
            <w:tblGrid>
              <w:gridCol w:w="20"/>
              <w:gridCol w:w="4148"/>
            </w:tblGrid>
            <w:tr w:rsidR="001E1112" w:rsidRPr="00317ABF" w14:paraId="5C50157B" w14:textId="77777777" w:rsidTr="0016481D">
              <w:trPr>
                <w:tblCellSpacing w:w="0" w:type="dxa"/>
              </w:trPr>
              <w:tc>
                <w:tcPr>
                  <w:tcW w:w="7" w:type="dxa"/>
                  <w:hideMark/>
                </w:tcPr>
                <w:p w14:paraId="33750002" w14:textId="77777777" w:rsidR="001E1112" w:rsidRPr="00317ABF" w:rsidRDefault="001E1112" w:rsidP="00EE0AC3">
                  <w:pPr>
                    <w:framePr w:hSpace="141" w:wrap="around" w:vAnchor="text" w:hAnchor="text" w:xAlign="right" w:y="1"/>
                    <w:spacing w:before="120"/>
                    <w:suppressOverlap/>
                    <w:jc w:val="both"/>
                    <w:rPr>
                      <w:sz w:val="22"/>
                      <w:szCs w:val="22"/>
                    </w:rPr>
                  </w:pPr>
                </w:p>
              </w:tc>
              <w:tc>
                <w:tcPr>
                  <w:tcW w:w="9065" w:type="dxa"/>
                  <w:hideMark/>
                </w:tcPr>
                <w:p w14:paraId="23DE6F1A" w14:textId="77777777" w:rsidR="001E1112" w:rsidRPr="00317ABF" w:rsidRDefault="001E1112" w:rsidP="00EE0AC3">
                  <w:pPr>
                    <w:framePr w:hSpace="141" w:wrap="around" w:vAnchor="text" w:hAnchor="text" w:xAlign="right" w:y="1"/>
                    <w:numPr>
                      <w:ilvl w:val="0"/>
                      <w:numId w:val="78"/>
                    </w:numPr>
                    <w:spacing w:before="120"/>
                    <w:suppressOverlap/>
                    <w:jc w:val="both"/>
                    <w:rPr>
                      <w:sz w:val="22"/>
                      <w:szCs w:val="22"/>
                    </w:rPr>
                  </w:pPr>
                  <w:r w:rsidRPr="00317ABF">
                    <w:rPr>
                      <w:sz w:val="22"/>
                      <w:szCs w:val="22"/>
                    </w:rPr>
                    <w:t>formułować jasne i obiektywne kryteria, według których dokonuje się porównania;</w:t>
                  </w:r>
                </w:p>
              </w:tc>
            </w:tr>
          </w:tbl>
          <w:p w14:paraId="22F1D405" w14:textId="77777777" w:rsidR="001E1112" w:rsidRPr="00317ABF" w:rsidRDefault="001E1112" w:rsidP="00DB3BEC">
            <w:pPr>
              <w:jc w:val="both"/>
              <w:rPr>
                <w:vanish/>
                <w:sz w:val="22"/>
                <w:szCs w:val="22"/>
              </w:rPr>
            </w:pPr>
          </w:p>
          <w:tbl>
            <w:tblPr>
              <w:tblW w:w="5000" w:type="pct"/>
              <w:tblCellSpacing w:w="0" w:type="dxa"/>
              <w:tblLayout w:type="fixed"/>
              <w:tblCellMar>
                <w:left w:w="0" w:type="dxa"/>
                <w:right w:w="0" w:type="dxa"/>
              </w:tblCellMar>
              <w:tblLook w:val="04A0" w:firstRow="1" w:lastRow="0" w:firstColumn="1" w:lastColumn="0" w:noHBand="0" w:noVBand="1"/>
            </w:tblPr>
            <w:tblGrid>
              <w:gridCol w:w="20"/>
              <w:gridCol w:w="4148"/>
            </w:tblGrid>
            <w:tr w:rsidR="001E1112" w:rsidRPr="00317ABF" w14:paraId="7D3A0EF2" w14:textId="77777777" w:rsidTr="0016481D">
              <w:trPr>
                <w:tblCellSpacing w:w="0" w:type="dxa"/>
              </w:trPr>
              <w:tc>
                <w:tcPr>
                  <w:tcW w:w="13" w:type="dxa"/>
                  <w:hideMark/>
                </w:tcPr>
                <w:p w14:paraId="1C85BCEB" w14:textId="77777777" w:rsidR="001E1112" w:rsidRPr="00317ABF" w:rsidRDefault="001E1112" w:rsidP="00EE0AC3">
                  <w:pPr>
                    <w:framePr w:hSpace="141" w:wrap="around" w:vAnchor="text" w:hAnchor="text" w:xAlign="right" w:y="1"/>
                    <w:spacing w:before="120"/>
                    <w:suppressOverlap/>
                    <w:jc w:val="both"/>
                    <w:rPr>
                      <w:sz w:val="22"/>
                      <w:szCs w:val="22"/>
                    </w:rPr>
                  </w:pPr>
                </w:p>
              </w:tc>
              <w:tc>
                <w:tcPr>
                  <w:tcW w:w="9059" w:type="dxa"/>
                  <w:hideMark/>
                </w:tcPr>
                <w:p w14:paraId="5CB682DD" w14:textId="77777777" w:rsidR="001E1112" w:rsidRPr="00317ABF" w:rsidRDefault="001E1112" w:rsidP="00EE0AC3">
                  <w:pPr>
                    <w:framePr w:hSpace="141" w:wrap="around" w:vAnchor="text" w:hAnchor="text" w:xAlign="right" w:y="1"/>
                    <w:numPr>
                      <w:ilvl w:val="0"/>
                      <w:numId w:val="78"/>
                    </w:numPr>
                    <w:spacing w:before="120"/>
                    <w:suppressOverlap/>
                    <w:jc w:val="both"/>
                    <w:rPr>
                      <w:sz w:val="22"/>
                      <w:szCs w:val="22"/>
                    </w:rPr>
                  </w:pPr>
                  <w:r w:rsidRPr="00317ABF">
                    <w:rPr>
                      <w:sz w:val="22"/>
                      <w:szCs w:val="22"/>
                    </w:rPr>
                    <w:t>używać prostego i jednoznacznego języka;</w:t>
                  </w:r>
                </w:p>
              </w:tc>
            </w:tr>
          </w:tbl>
          <w:p w14:paraId="3D918BDB" w14:textId="77777777" w:rsidR="001E1112" w:rsidRPr="00317ABF" w:rsidRDefault="001E1112" w:rsidP="00DB3BEC">
            <w:pPr>
              <w:jc w:val="both"/>
              <w:rPr>
                <w:vanish/>
                <w:sz w:val="22"/>
                <w:szCs w:val="22"/>
              </w:rPr>
            </w:pPr>
          </w:p>
          <w:tbl>
            <w:tblPr>
              <w:tblW w:w="5000" w:type="pct"/>
              <w:tblCellSpacing w:w="0" w:type="dxa"/>
              <w:tblLayout w:type="fixed"/>
              <w:tblCellMar>
                <w:left w:w="0" w:type="dxa"/>
                <w:right w:w="0" w:type="dxa"/>
              </w:tblCellMar>
              <w:tblLook w:val="04A0" w:firstRow="1" w:lastRow="0" w:firstColumn="1" w:lastColumn="0" w:noHBand="0" w:noVBand="1"/>
            </w:tblPr>
            <w:tblGrid>
              <w:gridCol w:w="20"/>
              <w:gridCol w:w="4148"/>
            </w:tblGrid>
            <w:tr w:rsidR="001E1112" w:rsidRPr="00317ABF" w14:paraId="2B300ABB" w14:textId="77777777" w:rsidTr="0016481D">
              <w:trPr>
                <w:tblCellSpacing w:w="0" w:type="dxa"/>
              </w:trPr>
              <w:tc>
                <w:tcPr>
                  <w:tcW w:w="7" w:type="dxa"/>
                  <w:hideMark/>
                </w:tcPr>
                <w:p w14:paraId="0CA666A7" w14:textId="77777777" w:rsidR="001E1112" w:rsidRPr="00317ABF" w:rsidRDefault="001E1112" w:rsidP="00EE0AC3">
                  <w:pPr>
                    <w:framePr w:hSpace="141" w:wrap="around" w:vAnchor="text" w:hAnchor="text" w:xAlign="right" w:y="1"/>
                    <w:spacing w:before="120"/>
                    <w:suppressOverlap/>
                    <w:jc w:val="both"/>
                    <w:rPr>
                      <w:sz w:val="22"/>
                      <w:szCs w:val="22"/>
                    </w:rPr>
                  </w:pPr>
                </w:p>
              </w:tc>
              <w:tc>
                <w:tcPr>
                  <w:tcW w:w="9065" w:type="dxa"/>
                  <w:hideMark/>
                </w:tcPr>
                <w:p w14:paraId="64ADC273" w14:textId="77777777" w:rsidR="001E1112" w:rsidRPr="00317ABF" w:rsidRDefault="001E1112" w:rsidP="00EE0AC3">
                  <w:pPr>
                    <w:framePr w:hSpace="141" w:wrap="around" w:vAnchor="text" w:hAnchor="text" w:xAlign="right" w:y="1"/>
                    <w:numPr>
                      <w:ilvl w:val="0"/>
                      <w:numId w:val="78"/>
                    </w:numPr>
                    <w:spacing w:before="120"/>
                    <w:suppressOverlap/>
                    <w:jc w:val="both"/>
                    <w:rPr>
                      <w:sz w:val="22"/>
                      <w:szCs w:val="22"/>
                    </w:rPr>
                  </w:pPr>
                  <w:r w:rsidRPr="00317ABF">
                    <w:rPr>
                      <w:sz w:val="22"/>
                      <w:szCs w:val="22"/>
                    </w:rPr>
                    <w:t>zapewniać dokładne i aktualne informacje oraz podawać datę ostatniej aktualizacji;</w:t>
                  </w:r>
                </w:p>
              </w:tc>
            </w:tr>
          </w:tbl>
          <w:p w14:paraId="3BA2F1FC" w14:textId="77777777" w:rsidR="001E1112" w:rsidRPr="00317ABF" w:rsidRDefault="001E1112" w:rsidP="00DB3BEC">
            <w:pPr>
              <w:jc w:val="both"/>
              <w:rPr>
                <w:vanish/>
                <w:sz w:val="22"/>
                <w:szCs w:val="22"/>
              </w:rPr>
            </w:pPr>
          </w:p>
          <w:tbl>
            <w:tblPr>
              <w:tblW w:w="5000" w:type="pct"/>
              <w:tblCellSpacing w:w="0" w:type="dxa"/>
              <w:tblLayout w:type="fixed"/>
              <w:tblCellMar>
                <w:left w:w="0" w:type="dxa"/>
                <w:right w:w="0" w:type="dxa"/>
              </w:tblCellMar>
              <w:tblLook w:val="04A0" w:firstRow="1" w:lastRow="0" w:firstColumn="1" w:lastColumn="0" w:noHBand="0" w:noVBand="1"/>
            </w:tblPr>
            <w:tblGrid>
              <w:gridCol w:w="20"/>
              <w:gridCol w:w="4148"/>
            </w:tblGrid>
            <w:tr w:rsidR="001E1112" w:rsidRPr="00317ABF" w14:paraId="5517ADCF" w14:textId="77777777" w:rsidTr="0016481D">
              <w:trPr>
                <w:tblCellSpacing w:w="0" w:type="dxa"/>
              </w:trPr>
              <w:tc>
                <w:tcPr>
                  <w:tcW w:w="6" w:type="dxa"/>
                  <w:hideMark/>
                </w:tcPr>
                <w:p w14:paraId="16EA4817" w14:textId="77777777" w:rsidR="001E1112" w:rsidRPr="00317ABF" w:rsidRDefault="001E1112" w:rsidP="00EE0AC3">
                  <w:pPr>
                    <w:framePr w:hSpace="141" w:wrap="around" w:vAnchor="text" w:hAnchor="text" w:xAlign="right" w:y="1"/>
                    <w:spacing w:before="120"/>
                    <w:suppressOverlap/>
                    <w:jc w:val="both"/>
                    <w:rPr>
                      <w:sz w:val="22"/>
                      <w:szCs w:val="22"/>
                    </w:rPr>
                  </w:pPr>
                </w:p>
              </w:tc>
              <w:tc>
                <w:tcPr>
                  <w:tcW w:w="9066" w:type="dxa"/>
                  <w:hideMark/>
                </w:tcPr>
                <w:p w14:paraId="747CF5F7" w14:textId="77777777" w:rsidR="001E1112" w:rsidRPr="00317ABF" w:rsidRDefault="001E1112" w:rsidP="00EE0AC3">
                  <w:pPr>
                    <w:framePr w:hSpace="141" w:wrap="around" w:vAnchor="text" w:hAnchor="text" w:xAlign="right" w:y="1"/>
                    <w:numPr>
                      <w:ilvl w:val="0"/>
                      <w:numId w:val="78"/>
                    </w:numPr>
                    <w:spacing w:before="120"/>
                    <w:suppressOverlap/>
                    <w:jc w:val="both"/>
                    <w:rPr>
                      <w:sz w:val="22"/>
                      <w:szCs w:val="22"/>
                    </w:rPr>
                  </w:pPr>
                  <w:r w:rsidRPr="00317ABF">
                    <w:rPr>
                      <w:sz w:val="22"/>
                      <w:szCs w:val="22"/>
                    </w:rPr>
                    <w:t>być otwarta dla każdego dostawcy usługi dostępu do internetu lub publicznie dostępnych usług łączności interpersonalnej udostępniającego odpowiednie informacje oraz uwzględniać szeroki zakres ofert obejmujących znaczną część rynku oraz wyświetlać – w przypadku gdy prezentowane informacje nie stanowią całościowego przeglądu rynku – jednoznaczne oświadczenie o tej treści przed wyświetleniem wyników;</w:t>
                  </w:r>
                </w:p>
              </w:tc>
            </w:tr>
          </w:tbl>
          <w:p w14:paraId="7DB09FF1" w14:textId="77777777" w:rsidR="001E1112" w:rsidRPr="00317ABF" w:rsidRDefault="001E1112" w:rsidP="00DB3BEC">
            <w:pPr>
              <w:jc w:val="both"/>
              <w:rPr>
                <w:vanish/>
                <w:sz w:val="22"/>
                <w:szCs w:val="22"/>
              </w:rPr>
            </w:pPr>
          </w:p>
          <w:tbl>
            <w:tblPr>
              <w:tblW w:w="5000" w:type="pct"/>
              <w:tblCellSpacing w:w="0" w:type="dxa"/>
              <w:tblLayout w:type="fixed"/>
              <w:tblCellMar>
                <w:left w:w="0" w:type="dxa"/>
                <w:right w:w="0" w:type="dxa"/>
              </w:tblCellMar>
              <w:tblLook w:val="04A0" w:firstRow="1" w:lastRow="0" w:firstColumn="1" w:lastColumn="0" w:noHBand="0" w:noVBand="1"/>
            </w:tblPr>
            <w:tblGrid>
              <w:gridCol w:w="20"/>
              <w:gridCol w:w="4148"/>
            </w:tblGrid>
            <w:tr w:rsidR="001E1112" w:rsidRPr="00317ABF" w14:paraId="4DF8CB0F" w14:textId="77777777" w:rsidTr="0016481D">
              <w:trPr>
                <w:tblCellSpacing w:w="0" w:type="dxa"/>
              </w:trPr>
              <w:tc>
                <w:tcPr>
                  <w:tcW w:w="8" w:type="dxa"/>
                  <w:hideMark/>
                </w:tcPr>
                <w:p w14:paraId="017F7155" w14:textId="77777777" w:rsidR="001E1112" w:rsidRPr="00317ABF" w:rsidRDefault="001E1112" w:rsidP="00EE0AC3">
                  <w:pPr>
                    <w:framePr w:hSpace="141" w:wrap="around" w:vAnchor="text" w:hAnchor="text" w:xAlign="right" w:y="1"/>
                    <w:spacing w:before="120"/>
                    <w:suppressOverlap/>
                    <w:jc w:val="both"/>
                    <w:rPr>
                      <w:sz w:val="22"/>
                      <w:szCs w:val="22"/>
                    </w:rPr>
                  </w:pPr>
                </w:p>
              </w:tc>
              <w:tc>
                <w:tcPr>
                  <w:tcW w:w="9064" w:type="dxa"/>
                  <w:hideMark/>
                </w:tcPr>
                <w:p w14:paraId="3E2ECEB2" w14:textId="77777777" w:rsidR="001E1112" w:rsidRPr="00317ABF" w:rsidRDefault="001E1112" w:rsidP="00EE0AC3">
                  <w:pPr>
                    <w:framePr w:hSpace="141" w:wrap="around" w:vAnchor="text" w:hAnchor="text" w:xAlign="right" w:y="1"/>
                    <w:numPr>
                      <w:ilvl w:val="0"/>
                      <w:numId w:val="78"/>
                    </w:numPr>
                    <w:spacing w:before="120"/>
                    <w:suppressOverlap/>
                    <w:jc w:val="both"/>
                    <w:rPr>
                      <w:sz w:val="22"/>
                      <w:szCs w:val="22"/>
                    </w:rPr>
                  </w:pPr>
                  <w:r w:rsidRPr="00317ABF">
                    <w:rPr>
                      <w:sz w:val="22"/>
                      <w:szCs w:val="22"/>
                    </w:rPr>
                    <w:t>zapewnić skuteczną procedurę zgłaszania nieprawidłowych informacji;</w:t>
                  </w:r>
                </w:p>
              </w:tc>
            </w:tr>
          </w:tbl>
          <w:p w14:paraId="65E0D4A3" w14:textId="77777777" w:rsidR="001E1112" w:rsidRPr="00317ABF" w:rsidRDefault="001E1112" w:rsidP="00DB3BEC">
            <w:pPr>
              <w:jc w:val="both"/>
              <w:rPr>
                <w:vanish/>
                <w:sz w:val="22"/>
                <w:szCs w:val="22"/>
              </w:rPr>
            </w:pPr>
          </w:p>
          <w:tbl>
            <w:tblPr>
              <w:tblW w:w="5000" w:type="pct"/>
              <w:tblCellSpacing w:w="0" w:type="dxa"/>
              <w:tblLayout w:type="fixed"/>
              <w:tblCellMar>
                <w:left w:w="0" w:type="dxa"/>
                <w:right w:w="0" w:type="dxa"/>
              </w:tblCellMar>
              <w:tblLook w:val="04A0" w:firstRow="1" w:lastRow="0" w:firstColumn="1" w:lastColumn="0" w:noHBand="0" w:noVBand="1"/>
            </w:tblPr>
            <w:tblGrid>
              <w:gridCol w:w="20"/>
              <w:gridCol w:w="4148"/>
            </w:tblGrid>
            <w:tr w:rsidR="001E1112" w:rsidRPr="00317ABF" w14:paraId="5BA2A84B" w14:textId="77777777" w:rsidTr="0016481D">
              <w:trPr>
                <w:tblCellSpacing w:w="0" w:type="dxa"/>
              </w:trPr>
              <w:tc>
                <w:tcPr>
                  <w:tcW w:w="6" w:type="dxa"/>
                  <w:hideMark/>
                </w:tcPr>
                <w:p w14:paraId="4412D959" w14:textId="77777777" w:rsidR="001E1112" w:rsidRPr="00317ABF" w:rsidRDefault="001E1112" w:rsidP="00EE0AC3">
                  <w:pPr>
                    <w:framePr w:hSpace="141" w:wrap="around" w:vAnchor="text" w:hAnchor="text" w:xAlign="right" w:y="1"/>
                    <w:spacing w:before="120"/>
                    <w:suppressOverlap/>
                    <w:jc w:val="both"/>
                    <w:rPr>
                      <w:sz w:val="22"/>
                      <w:szCs w:val="22"/>
                    </w:rPr>
                  </w:pPr>
                </w:p>
              </w:tc>
              <w:tc>
                <w:tcPr>
                  <w:tcW w:w="9066" w:type="dxa"/>
                  <w:hideMark/>
                </w:tcPr>
                <w:p w14:paraId="275F7B2C" w14:textId="77777777" w:rsidR="001E1112" w:rsidRPr="00317ABF" w:rsidRDefault="001E1112" w:rsidP="00EE0AC3">
                  <w:pPr>
                    <w:framePr w:hSpace="141" w:wrap="around" w:vAnchor="text" w:hAnchor="text" w:xAlign="right" w:y="1"/>
                    <w:numPr>
                      <w:ilvl w:val="0"/>
                      <w:numId w:val="78"/>
                    </w:numPr>
                    <w:spacing w:before="120"/>
                    <w:suppressOverlap/>
                    <w:jc w:val="both"/>
                    <w:rPr>
                      <w:sz w:val="22"/>
                      <w:szCs w:val="22"/>
                    </w:rPr>
                  </w:pPr>
                  <w:r w:rsidRPr="00317ABF">
                    <w:rPr>
                      <w:sz w:val="22"/>
                      <w:szCs w:val="22"/>
                    </w:rPr>
                    <w:t>obejmować możliwość porównywania cen, taryf i wyników pod kątem jakości usługi między ofertami dostępnymi dla konsumentów oraz, jeżeli wymagają tego państwa członkowskie, między tymi ofertami a standardowymi ofertami publicznie dostępnymi dla innych użytkowników końcowych.</w:t>
                  </w:r>
                </w:p>
              </w:tc>
            </w:tr>
          </w:tbl>
          <w:p w14:paraId="00A989E5" w14:textId="77777777" w:rsidR="001E1112" w:rsidRPr="00317ABF" w:rsidRDefault="001E1112" w:rsidP="00DB3BEC">
            <w:pPr>
              <w:spacing w:before="120"/>
              <w:jc w:val="both"/>
              <w:rPr>
                <w:sz w:val="22"/>
                <w:szCs w:val="22"/>
              </w:rPr>
            </w:pPr>
            <w:r w:rsidRPr="00317ABF">
              <w:rPr>
                <w:sz w:val="22"/>
                <w:szCs w:val="22"/>
              </w:rPr>
              <w:t xml:space="preserve">Narzędzia porównawcze spełniające wymogi określone w lit. a)–h) podlegają certyfikacji, na wniosek dostawcy narzędzia </w:t>
            </w:r>
            <w:r w:rsidRPr="00317ABF">
              <w:rPr>
                <w:sz w:val="22"/>
                <w:szCs w:val="22"/>
              </w:rPr>
              <w:lastRenderedPageBreak/>
              <w:t>porównawczego, przez właściwe organy w porozumieniu, w stosownych przypadkach, z krajowymi organami regulacyjnymi.</w:t>
            </w:r>
          </w:p>
          <w:p w14:paraId="1D3E272D" w14:textId="77777777" w:rsidR="001E1112" w:rsidRPr="00317ABF" w:rsidRDefault="001E1112" w:rsidP="00DB3BEC">
            <w:pPr>
              <w:jc w:val="both"/>
              <w:rPr>
                <w:sz w:val="22"/>
                <w:szCs w:val="22"/>
              </w:rPr>
            </w:pPr>
            <w:r w:rsidRPr="00317ABF">
              <w:rPr>
                <w:sz w:val="22"/>
                <w:szCs w:val="22"/>
              </w:rPr>
              <w:t>Do celów udostępniania tych niezależnych narzędzi porównawczych osoby trzecie mają prawo do bezpłatnego korzystania z informacji publikowanych w otwartych formatach danych przez dostawców usługi dostępu do internetu lub publicznie dostępne usługi łączności interpersonalnej.</w:t>
            </w:r>
          </w:p>
        </w:tc>
        <w:tc>
          <w:tcPr>
            <w:tcW w:w="986" w:type="dxa"/>
          </w:tcPr>
          <w:p w14:paraId="63F53463" w14:textId="3A5C2310" w:rsidR="001E1112" w:rsidRPr="00317ABF" w:rsidRDefault="001E1112" w:rsidP="00DB3BEC">
            <w:pPr>
              <w:jc w:val="both"/>
              <w:rPr>
                <w:sz w:val="22"/>
                <w:szCs w:val="22"/>
              </w:rPr>
            </w:pPr>
            <w:r w:rsidRPr="00317ABF">
              <w:rPr>
                <w:sz w:val="22"/>
                <w:szCs w:val="22"/>
              </w:rPr>
              <w:lastRenderedPageBreak/>
              <w:t>T</w:t>
            </w:r>
          </w:p>
        </w:tc>
        <w:tc>
          <w:tcPr>
            <w:tcW w:w="910" w:type="dxa"/>
          </w:tcPr>
          <w:p w14:paraId="2C28155C" w14:textId="2C190E5D" w:rsidR="001E1112" w:rsidRPr="00317ABF" w:rsidRDefault="004D1B92" w:rsidP="00DB3BEC">
            <w:pPr>
              <w:pStyle w:val="Tekstpodstawowy"/>
              <w:rPr>
                <w:b/>
                <w:noProof/>
                <w:sz w:val="22"/>
                <w:szCs w:val="22"/>
              </w:rPr>
            </w:pPr>
            <w:r w:rsidRPr="00317ABF">
              <w:rPr>
                <w:b/>
                <w:noProof/>
                <w:sz w:val="22"/>
                <w:szCs w:val="22"/>
              </w:rPr>
              <w:t>Art. 307</w:t>
            </w:r>
            <w:r w:rsidR="001E1112" w:rsidRPr="00317ABF">
              <w:rPr>
                <w:b/>
                <w:noProof/>
                <w:sz w:val="22"/>
                <w:szCs w:val="22"/>
              </w:rPr>
              <w:t xml:space="preserve"> ust. 2</w:t>
            </w:r>
          </w:p>
          <w:p w14:paraId="18C8319B" w14:textId="77777777" w:rsidR="001E1112" w:rsidRPr="00317ABF" w:rsidRDefault="001E1112" w:rsidP="00DB3BEC">
            <w:pPr>
              <w:pStyle w:val="Tekstpodstawowy"/>
              <w:rPr>
                <w:b/>
                <w:noProof/>
                <w:sz w:val="22"/>
                <w:szCs w:val="22"/>
              </w:rPr>
            </w:pPr>
          </w:p>
          <w:p w14:paraId="5DF7477A" w14:textId="77777777" w:rsidR="001E1112" w:rsidRPr="00317ABF" w:rsidRDefault="001E1112" w:rsidP="00DB3BEC">
            <w:pPr>
              <w:pStyle w:val="Tekstpodstawowy"/>
              <w:rPr>
                <w:b/>
                <w:noProof/>
                <w:sz w:val="22"/>
                <w:szCs w:val="22"/>
              </w:rPr>
            </w:pPr>
          </w:p>
          <w:p w14:paraId="663EF5B3" w14:textId="77777777" w:rsidR="001E1112" w:rsidRPr="00317ABF" w:rsidRDefault="001E1112" w:rsidP="00DB3BEC">
            <w:pPr>
              <w:pStyle w:val="Tekstpodstawowy"/>
              <w:rPr>
                <w:b/>
                <w:noProof/>
                <w:sz w:val="22"/>
                <w:szCs w:val="22"/>
              </w:rPr>
            </w:pPr>
          </w:p>
          <w:p w14:paraId="1864C15A" w14:textId="77777777" w:rsidR="001E1112" w:rsidRPr="00317ABF" w:rsidRDefault="001E1112" w:rsidP="00DB3BEC">
            <w:pPr>
              <w:pStyle w:val="Tekstpodstawowy"/>
              <w:rPr>
                <w:b/>
                <w:noProof/>
                <w:sz w:val="22"/>
                <w:szCs w:val="22"/>
              </w:rPr>
            </w:pPr>
          </w:p>
          <w:p w14:paraId="6C5A4DB1" w14:textId="77777777" w:rsidR="001E1112" w:rsidRPr="00317ABF" w:rsidRDefault="001E1112" w:rsidP="00DB3BEC">
            <w:pPr>
              <w:pStyle w:val="Tekstpodstawowy"/>
              <w:rPr>
                <w:b/>
                <w:noProof/>
                <w:sz w:val="22"/>
                <w:szCs w:val="22"/>
              </w:rPr>
            </w:pPr>
          </w:p>
          <w:p w14:paraId="5F6381C0" w14:textId="77777777" w:rsidR="001E1112" w:rsidRPr="00317ABF" w:rsidRDefault="001E1112" w:rsidP="00DB3BEC">
            <w:pPr>
              <w:pStyle w:val="Tekstpodstawowy"/>
              <w:rPr>
                <w:b/>
                <w:noProof/>
                <w:sz w:val="22"/>
                <w:szCs w:val="22"/>
              </w:rPr>
            </w:pPr>
          </w:p>
          <w:p w14:paraId="077585BC" w14:textId="77777777" w:rsidR="001E1112" w:rsidRPr="00317ABF" w:rsidRDefault="001E1112" w:rsidP="00DB3BEC">
            <w:pPr>
              <w:pStyle w:val="Tekstpodstawowy"/>
              <w:rPr>
                <w:b/>
                <w:noProof/>
                <w:sz w:val="22"/>
                <w:szCs w:val="22"/>
              </w:rPr>
            </w:pPr>
          </w:p>
          <w:p w14:paraId="42982EC0" w14:textId="77777777" w:rsidR="001E1112" w:rsidRPr="00317ABF" w:rsidRDefault="001E1112" w:rsidP="00DB3BEC">
            <w:pPr>
              <w:pStyle w:val="Tekstpodstawowy"/>
              <w:rPr>
                <w:b/>
                <w:noProof/>
                <w:sz w:val="22"/>
                <w:szCs w:val="22"/>
              </w:rPr>
            </w:pPr>
          </w:p>
          <w:p w14:paraId="63465117" w14:textId="77777777" w:rsidR="001E1112" w:rsidRPr="00317ABF" w:rsidRDefault="001E1112" w:rsidP="00DB3BEC">
            <w:pPr>
              <w:pStyle w:val="Tekstpodstawowy"/>
              <w:rPr>
                <w:b/>
                <w:noProof/>
                <w:sz w:val="22"/>
                <w:szCs w:val="22"/>
              </w:rPr>
            </w:pPr>
          </w:p>
          <w:p w14:paraId="1BA1DB4A" w14:textId="77777777" w:rsidR="001E1112" w:rsidRPr="00317ABF" w:rsidRDefault="001E1112" w:rsidP="00DB3BEC">
            <w:pPr>
              <w:pStyle w:val="Tekstpodstawowy"/>
              <w:rPr>
                <w:b/>
                <w:noProof/>
                <w:sz w:val="22"/>
                <w:szCs w:val="22"/>
              </w:rPr>
            </w:pPr>
          </w:p>
          <w:p w14:paraId="2B6669FF" w14:textId="77777777" w:rsidR="001E1112" w:rsidRPr="00317ABF" w:rsidRDefault="001E1112" w:rsidP="00DB3BEC">
            <w:pPr>
              <w:pStyle w:val="Tekstpodstawowy"/>
              <w:rPr>
                <w:b/>
                <w:noProof/>
                <w:sz w:val="22"/>
                <w:szCs w:val="22"/>
              </w:rPr>
            </w:pPr>
          </w:p>
          <w:p w14:paraId="12FD1363" w14:textId="77777777" w:rsidR="001E1112" w:rsidRPr="00317ABF" w:rsidRDefault="001E1112" w:rsidP="00DB3BEC">
            <w:pPr>
              <w:pStyle w:val="Tekstpodstawowy"/>
              <w:rPr>
                <w:b/>
                <w:noProof/>
                <w:sz w:val="22"/>
                <w:szCs w:val="22"/>
              </w:rPr>
            </w:pPr>
          </w:p>
          <w:p w14:paraId="11DD75D7" w14:textId="77777777" w:rsidR="001E1112" w:rsidRPr="00317ABF" w:rsidRDefault="001E1112" w:rsidP="00DB3BEC">
            <w:pPr>
              <w:pStyle w:val="Tekstpodstawowy"/>
              <w:rPr>
                <w:b/>
                <w:noProof/>
                <w:sz w:val="22"/>
                <w:szCs w:val="22"/>
              </w:rPr>
            </w:pPr>
          </w:p>
          <w:p w14:paraId="77FE6768" w14:textId="77777777" w:rsidR="001E1112" w:rsidRPr="00317ABF" w:rsidRDefault="001E1112" w:rsidP="00DB3BEC">
            <w:pPr>
              <w:pStyle w:val="Tekstpodstawowy"/>
              <w:rPr>
                <w:b/>
                <w:noProof/>
                <w:sz w:val="22"/>
                <w:szCs w:val="22"/>
              </w:rPr>
            </w:pPr>
          </w:p>
          <w:p w14:paraId="75D20AB9" w14:textId="77777777" w:rsidR="001E1112" w:rsidRPr="00317ABF" w:rsidRDefault="001E1112" w:rsidP="00DB3BEC">
            <w:pPr>
              <w:pStyle w:val="Tekstpodstawowy"/>
              <w:rPr>
                <w:b/>
                <w:noProof/>
                <w:sz w:val="22"/>
                <w:szCs w:val="22"/>
              </w:rPr>
            </w:pPr>
          </w:p>
          <w:p w14:paraId="15F2447C" w14:textId="77777777" w:rsidR="001E1112" w:rsidRPr="00317ABF" w:rsidRDefault="001E1112" w:rsidP="00DB3BEC">
            <w:pPr>
              <w:pStyle w:val="Tekstpodstawowy"/>
              <w:rPr>
                <w:b/>
                <w:noProof/>
                <w:sz w:val="22"/>
                <w:szCs w:val="22"/>
              </w:rPr>
            </w:pPr>
          </w:p>
          <w:p w14:paraId="0A3A0478" w14:textId="77777777" w:rsidR="001E1112" w:rsidRPr="00317ABF" w:rsidRDefault="001E1112" w:rsidP="00DB3BEC">
            <w:pPr>
              <w:pStyle w:val="Tekstpodstawowy"/>
              <w:rPr>
                <w:b/>
                <w:noProof/>
                <w:sz w:val="22"/>
                <w:szCs w:val="22"/>
              </w:rPr>
            </w:pPr>
          </w:p>
          <w:p w14:paraId="6ECA24A4" w14:textId="77777777" w:rsidR="001E1112" w:rsidRPr="00317ABF" w:rsidRDefault="001E1112" w:rsidP="00DB3BEC">
            <w:pPr>
              <w:pStyle w:val="Tekstpodstawowy"/>
              <w:rPr>
                <w:b/>
                <w:noProof/>
                <w:sz w:val="22"/>
                <w:szCs w:val="22"/>
              </w:rPr>
            </w:pPr>
          </w:p>
          <w:p w14:paraId="5BEC987E" w14:textId="77777777" w:rsidR="001E1112" w:rsidRPr="00317ABF" w:rsidRDefault="001E1112" w:rsidP="00DB3BEC">
            <w:pPr>
              <w:pStyle w:val="Tekstpodstawowy"/>
              <w:rPr>
                <w:b/>
                <w:noProof/>
                <w:sz w:val="22"/>
                <w:szCs w:val="22"/>
              </w:rPr>
            </w:pPr>
          </w:p>
          <w:p w14:paraId="1EA30FCA" w14:textId="77777777" w:rsidR="001E1112" w:rsidRPr="00317ABF" w:rsidRDefault="001E1112" w:rsidP="00DB3BEC">
            <w:pPr>
              <w:pStyle w:val="Tekstpodstawowy"/>
              <w:rPr>
                <w:b/>
                <w:noProof/>
                <w:sz w:val="22"/>
                <w:szCs w:val="22"/>
              </w:rPr>
            </w:pPr>
          </w:p>
          <w:p w14:paraId="70A16F14" w14:textId="77777777" w:rsidR="001E1112" w:rsidRPr="00317ABF" w:rsidRDefault="001E1112" w:rsidP="00DB3BEC">
            <w:pPr>
              <w:pStyle w:val="Tekstpodstawowy"/>
              <w:rPr>
                <w:b/>
                <w:noProof/>
                <w:sz w:val="22"/>
                <w:szCs w:val="22"/>
              </w:rPr>
            </w:pPr>
          </w:p>
          <w:p w14:paraId="7C2F4308" w14:textId="77777777" w:rsidR="001E1112" w:rsidRPr="00317ABF" w:rsidRDefault="001E1112" w:rsidP="00DB3BEC">
            <w:pPr>
              <w:pStyle w:val="Tekstpodstawowy"/>
              <w:rPr>
                <w:b/>
                <w:noProof/>
                <w:sz w:val="22"/>
                <w:szCs w:val="22"/>
              </w:rPr>
            </w:pPr>
          </w:p>
          <w:p w14:paraId="3C2B71FB" w14:textId="77777777" w:rsidR="001E1112" w:rsidRPr="00317ABF" w:rsidRDefault="001E1112" w:rsidP="00DB3BEC">
            <w:pPr>
              <w:pStyle w:val="Tekstpodstawowy"/>
              <w:rPr>
                <w:b/>
                <w:noProof/>
                <w:sz w:val="22"/>
                <w:szCs w:val="22"/>
              </w:rPr>
            </w:pPr>
          </w:p>
          <w:p w14:paraId="69C08F8F" w14:textId="77777777" w:rsidR="001E1112" w:rsidRPr="00317ABF" w:rsidRDefault="001E1112" w:rsidP="00DB3BEC">
            <w:pPr>
              <w:pStyle w:val="Tekstpodstawowy"/>
              <w:rPr>
                <w:b/>
                <w:noProof/>
                <w:sz w:val="22"/>
                <w:szCs w:val="22"/>
              </w:rPr>
            </w:pPr>
          </w:p>
          <w:p w14:paraId="1B5057F0" w14:textId="77777777" w:rsidR="001E1112" w:rsidRPr="00317ABF" w:rsidRDefault="001E1112" w:rsidP="00DB3BEC">
            <w:pPr>
              <w:pStyle w:val="Tekstpodstawowy"/>
              <w:rPr>
                <w:b/>
                <w:noProof/>
                <w:sz w:val="22"/>
                <w:szCs w:val="22"/>
              </w:rPr>
            </w:pPr>
          </w:p>
          <w:p w14:paraId="744A56BE" w14:textId="77777777" w:rsidR="001E1112" w:rsidRPr="00317ABF" w:rsidRDefault="001E1112" w:rsidP="00DB3BEC">
            <w:pPr>
              <w:pStyle w:val="Tekstpodstawowy"/>
              <w:rPr>
                <w:b/>
                <w:noProof/>
                <w:sz w:val="22"/>
                <w:szCs w:val="22"/>
              </w:rPr>
            </w:pPr>
          </w:p>
          <w:p w14:paraId="62EEBEF1" w14:textId="77777777" w:rsidR="001E1112" w:rsidRPr="00317ABF" w:rsidRDefault="001E1112" w:rsidP="00DB3BEC">
            <w:pPr>
              <w:pStyle w:val="Tekstpodstawowy"/>
              <w:rPr>
                <w:b/>
                <w:noProof/>
                <w:sz w:val="22"/>
                <w:szCs w:val="22"/>
              </w:rPr>
            </w:pPr>
          </w:p>
          <w:p w14:paraId="7C201091" w14:textId="77777777" w:rsidR="001E1112" w:rsidRPr="00317ABF" w:rsidRDefault="001E1112" w:rsidP="00DB3BEC">
            <w:pPr>
              <w:pStyle w:val="Tekstpodstawowy"/>
              <w:rPr>
                <w:b/>
                <w:noProof/>
                <w:sz w:val="22"/>
                <w:szCs w:val="22"/>
              </w:rPr>
            </w:pPr>
          </w:p>
          <w:p w14:paraId="752895E4" w14:textId="77777777" w:rsidR="001E1112" w:rsidRPr="00317ABF" w:rsidRDefault="001E1112" w:rsidP="00DB3BEC">
            <w:pPr>
              <w:pStyle w:val="Tekstpodstawowy"/>
              <w:rPr>
                <w:b/>
                <w:noProof/>
                <w:sz w:val="22"/>
                <w:szCs w:val="22"/>
              </w:rPr>
            </w:pPr>
          </w:p>
          <w:p w14:paraId="310B388D" w14:textId="77777777" w:rsidR="001E1112" w:rsidRPr="00317ABF" w:rsidRDefault="001E1112" w:rsidP="00DB3BEC">
            <w:pPr>
              <w:pStyle w:val="Tekstpodstawowy"/>
              <w:rPr>
                <w:b/>
                <w:noProof/>
                <w:sz w:val="22"/>
                <w:szCs w:val="22"/>
              </w:rPr>
            </w:pPr>
          </w:p>
          <w:p w14:paraId="16854248" w14:textId="77777777" w:rsidR="001E1112" w:rsidRPr="00317ABF" w:rsidRDefault="001E1112" w:rsidP="00DB3BEC">
            <w:pPr>
              <w:pStyle w:val="Tekstpodstawowy"/>
              <w:rPr>
                <w:b/>
                <w:noProof/>
                <w:sz w:val="22"/>
                <w:szCs w:val="22"/>
              </w:rPr>
            </w:pPr>
          </w:p>
          <w:p w14:paraId="114C7B75" w14:textId="77777777" w:rsidR="001E1112" w:rsidRPr="00317ABF" w:rsidRDefault="001E1112" w:rsidP="00DB3BEC">
            <w:pPr>
              <w:pStyle w:val="Tekstpodstawowy"/>
              <w:rPr>
                <w:b/>
                <w:noProof/>
                <w:sz w:val="22"/>
                <w:szCs w:val="22"/>
              </w:rPr>
            </w:pPr>
          </w:p>
          <w:p w14:paraId="3E28ECEE" w14:textId="77777777" w:rsidR="001E1112" w:rsidRPr="00317ABF" w:rsidRDefault="001E1112" w:rsidP="00DB3BEC">
            <w:pPr>
              <w:pStyle w:val="Tekstpodstawowy"/>
              <w:rPr>
                <w:b/>
                <w:noProof/>
                <w:sz w:val="22"/>
                <w:szCs w:val="22"/>
              </w:rPr>
            </w:pPr>
          </w:p>
          <w:p w14:paraId="43162D7E" w14:textId="77777777" w:rsidR="001E1112" w:rsidRPr="00317ABF" w:rsidRDefault="001E1112" w:rsidP="00DB3BEC">
            <w:pPr>
              <w:pStyle w:val="Tekstpodstawowy"/>
              <w:rPr>
                <w:b/>
                <w:noProof/>
                <w:sz w:val="22"/>
                <w:szCs w:val="22"/>
              </w:rPr>
            </w:pPr>
          </w:p>
          <w:p w14:paraId="44DC1C1B" w14:textId="77777777" w:rsidR="001E1112" w:rsidRPr="00317ABF" w:rsidRDefault="001E1112" w:rsidP="00DB3BEC">
            <w:pPr>
              <w:pStyle w:val="Tekstpodstawowy"/>
              <w:rPr>
                <w:b/>
                <w:noProof/>
                <w:sz w:val="22"/>
                <w:szCs w:val="22"/>
              </w:rPr>
            </w:pPr>
          </w:p>
          <w:p w14:paraId="4B2F0FC6" w14:textId="77777777" w:rsidR="001E1112" w:rsidRPr="00317ABF" w:rsidRDefault="001E1112" w:rsidP="00DB3BEC">
            <w:pPr>
              <w:pStyle w:val="Tekstpodstawowy"/>
              <w:rPr>
                <w:b/>
                <w:noProof/>
                <w:sz w:val="22"/>
                <w:szCs w:val="22"/>
              </w:rPr>
            </w:pPr>
          </w:p>
          <w:p w14:paraId="677D0235" w14:textId="77777777" w:rsidR="001E1112" w:rsidRPr="00317ABF" w:rsidRDefault="001E1112" w:rsidP="00DB3BEC">
            <w:pPr>
              <w:pStyle w:val="Tekstpodstawowy"/>
              <w:rPr>
                <w:b/>
                <w:noProof/>
                <w:sz w:val="22"/>
                <w:szCs w:val="22"/>
              </w:rPr>
            </w:pPr>
          </w:p>
          <w:p w14:paraId="41CA9EF2" w14:textId="77777777" w:rsidR="001E1112" w:rsidRPr="00317ABF" w:rsidRDefault="001E1112" w:rsidP="00DB3BEC">
            <w:pPr>
              <w:pStyle w:val="Tekstpodstawowy"/>
              <w:rPr>
                <w:b/>
                <w:noProof/>
                <w:sz w:val="22"/>
                <w:szCs w:val="22"/>
              </w:rPr>
            </w:pPr>
          </w:p>
          <w:p w14:paraId="15406EC7" w14:textId="77777777" w:rsidR="001E1112" w:rsidRPr="00317ABF" w:rsidRDefault="001E1112" w:rsidP="00DB3BEC">
            <w:pPr>
              <w:pStyle w:val="Tekstpodstawowy"/>
              <w:rPr>
                <w:b/>
                <w:noProof/>
                <w:sz w:val="22"/>
                <w:szCs w:val="22"/>
              </w:rPr>
            </w:pPr>
          </w:p>
          <w:p w14:paraId="63E678FF" w14:textId="77777777" w:rsidR="001E1112" w:rsidRPr="00317ABF" w:rsidRDefault="001E1112" w:rsidP="00DB3BEC">
            <w:pPr>
              <w:pStyle w:val="Tekstpodstawowy"/>
              <w:rPr>
                <w:b/>
                <w:noProof/>
                <w:sz w:val="22"/>
                <w:szCs w:val="22"/>
              </w:rPr>
            </w:pPr>
          </w:p>
          <w:p w14:paraId="1BBCAB07" w14:textId="77777777" w:rsidR="001E1112" w:rsidRPr="00317ABF" w:rsidRDefault="001E1112" w:rsidP="00DB3BEC">
            <w:pPr>
              <w:pStyle w:val="Tekstpodstawowy"/>
              <w:rPr>
                <w:b/>
                <w:noProof/>
                <w:sz w:val="22"/>
                <w:szCs w:val="22"/>
              </w:rPr>
            </w:pPr>
          </w:p>
          <w:p w14:paraId="2FF9DD99" w14:textId="77777777" w:rsidR="001E1112" w:rsidRPr="00317ABF" w:rsidRDefault="001E1112" w:rsidP="00DB3BEC">
            <w:pPr>
              <w:pStyle w:val="Tekstpodstawowy"/>
              <w:rPr>
                <w:b/>
                <w:noProof/>
                <w:sz w:val="22"/>
                <w:szCs w:val="22"/>
              </w:rPr>
            </w:pPr>
          </w:p>
          <w:p w14:paraId="1FB6F6F3" w14:textId="77777777" w:rsidR="001E1112" w:rsidRPr="00317ABF" w:rsidRDefault="001E1112" w:rsidP="00DB3BEC">
            <w:pPr>
              <w:pStyle w:val="Tekstpodstawowy"/>
              <w:rPr>
                <w:b/>
                <w:noProof/>
                <w:sz w:val="22"/>
                <w:szCs w:val="22"/>
              </w:rPr>
            </w:pPr>
          </w:p>
          <w:p w14:paraId="55E56485" w14:textId="54881A1E" w:rsidR="001E1112" w:rsidRPr="00317ABF" w:rsidRDefault="004D1B92" w:rsidP="00DB3BEC">
            <w:pPr>
              <w:pStyle w:val="Tekstpodstawowy"/>
              <w:rPr>
                <w:b/>
                <w:noProof/>
                <w:sz w:val="22"/>
                <w:szCs w:val="22"/>
              </w:rPr>
            </w:pPr>
            <w:r w:rsidRPr="00317ABF">
              <w:rPr>
                <w:b/>
                <w:noProof/>
                <w:sz w:val="22"/>
                <w:szCs w:val="22"/>
              </w:rPr>
              <w:t>Art. 308</w:t>
            </w:r>
            <w:r w:rsidR="001E1112" w:rsidRPr="00317ABF">
              <w:rPr>
                <w:b/>
                <w:noProof/>
                <w:sz w:val="22"/>
                <w:szCs w:val="22"/>
              </w:rPr>
              <w:t xml:space="preserve"> </w:t>
            </w:r>
          </w:p>
        </w:tc>
        <w:tc>
          <w:tcPr>
            <w:tcW w:w="6814" w:type="dxa"/>
            <w:gridSpan w:val="2"/>
          </w:tcPr>
          <w:p w14:paraId="57395915" w14:textId="77777777" w:rsidR="004D1B92" w:rsidRPr="00317ABF" w:rsidRDefault="004D1B92" w:rsidP="00DB3BEC">
            <w:pPr>
              <w:jc w:val="both"/>
              <w:rPr>
                <w:b/>
                <w:sz w:val="22"/>
                <w:szCs w:val="22"/>
              </w:rPr>
            </w:pPr>
            <w:r w:rsidRPr="00317ABF">
              <w:rPr>
                <w:b/>
                <w:sz w:val="22"/>
                <w:szCs w:val="22"/>
              </w:rPr>
              <w:lastRenderedPageBreak/>
              <w:t xml:space="preserve">Art. 307 </w:t>
            </w:r>
          </w:p>
          <w:p w14:paraId="0850BF1B" w14:textId="5D83511C" w:rsidR="004D1B92" w:rsidRPr="00317ABF" w:rsidRDefault="004D1B92" w:rsidP="00DB3BEC">
            <w:pPr>
              <w:jc w:val="both"/>
              <w:rPr>
                <w:sz w:val="22"/>
                <w:szCs w:val="22"/>
              </w:rPr>
            </w:pPr>
            <w:r w:rsidRPr="00317ABF">
              <w:rPr>
                <w:sz w:val="22"/>
                <w:szCs w:val="22"/>
              </w:rPr>
              <w:t>(…)</w:t>
            </w:r>
          </w:p>
          <w:p w14:paraId="2522643A" w14:textId="77777777" w:rsidR="004D1B92" w:rsidRPr="00317ABF" w:rsidRDefault="004D1B92" w:rsidP="004D1B92">
            <w:pPr>
              <w:jc w:val="both"/>
              <w:rPr>
                <w:bCs/>
                <w:sz w:val="22"/>
                <w:szCs w:val="22"/>
              </w:rPr>
            </w:pPr>
            <w:r w:rsidRPr="00317ABF">
              <w:rPr>
                <w:bCs/>
                <w:sz w:val="22"/>
                <w:szCs w:val="22"/>
              </w:rPr>
              <w:t>2. Narzędzie porównawcze spełnia następujące wymogi:</w:t>
            </w:r>
          </w:p>
          <w:p w14:paraId="336BC5F6" w14:textId="77777777" w:rsidR="004D1B92" w:rsidRPr="00317ABF" w:rsidRDefault="004D1B92" w:rsidP="004D1B92">
            <w:pPr>
              <w:jc w:val="both"/>
              <w:rPr>
                <w:bCs/>
                <w:sz w:val="22"/>
                <w:szCs w:val="22"/>
              </w:rPr>
            </w:pPr>
            <w:r w:rsidRPr="00317ABF">
              <w:rPr>
                <w:bCs/>
                <w:sz w:val="22"/>
                <w:szCs w:val="22"/>
              </w:rPr>
              <w:t>1)</w:t>
            </w:r>
            <w:r w:rsidRPr="00317ABF">
              <w:rPr>
                <w:bCs/>
                <w:sz w:val="22"/>
                <w:szCs w:val="22"/>
              </w:rPr>
              <w:tab/>
              <w:t>jest funkcjonalnie niezależne od dostawców usług, o których mowa w ust. 1, zapewniając dostawcom równe traktowanie w wynikach wyszukiwania;</w:t>
            </w:r>
          </w:p>
          <w:p w14:paraId="48962D62" w14:textId="77777777" w:rsidR="004D1B92" w:rsidRPr="00317ABF" w:rsidRDefault="004D1B92" w:rsidP="004D1B92">
            <w:pPr>
              <w:jc w:val="both"/>
              <w:rPr>
                <w:bCs/>
                <w:sz w:val="22"/>
                <w:szCs w:val="22"/>
              </w:rPr>
            </w:pPr>
            <w:r w:rsidRPr="00317ABF">
              <w:rPr>
                <w:bCs/>
                <w:sz w:val="22"/>
                <w:szCs w:val="22"/>
              </w:rPr>
              <w:t>2)</w:t>
            </w:r>
            <w:r w:rsidRPr="00317ABF">
              <w:rPr>
                <w:bCs/>
                <w:sz w:val="22"/>
                <w:szCs w:val="22"/>
              </w:rPr>
              <w:tab/>
              <w:t>zawiera informacje o dostawcy narzędzia;</w:t>
            </w:r>
          </w:p>
          <w:p w14:paraId="4457D939" w14:textId="77777777" w:rsidR="004D1B92" w:rsidRPr="00317ABF" w:rsidRDefault="004D1B92" w:rsidP="004D1B92">
            <w:pPr>
              <w:jc w:val="both"/>
              <w:rPr>
                <w:bCs/>
                <w:sz w:val="22"/>
                <w:szCs w:val="22"/>
              </w:rPr>
            </w:pPr>
            <w:r w:rsidRPr="00317ABF">
              <w:rPr>
                <w:bCs/>
                <w:sz w:val="22"/>
                <w:szCs w:val="22"/>
              </w:rPr>
              <w:t>3)</w:t>
            </w:r>
            <w:r w:rsidRPr="00317ABF">
              <w:rPr>
                <w:bCs/>
                <w:sz w:val="22"/>
                <w:szCs w:val="22"/>
              </w:rPr>
              <w:tab/>
              <w:t>określa jasne i obiektywne kryteria porównywania;</w:t>
            </w:r>
          </w:p>
          <w:p w14:paraId="79354AA0" w14:textId="77777777" w:rsidR="004D1B92" w:rsidRPr="00317ABF" w:rsidRDefault="004D1B92" w:rsidP="004D1B92">
            <w:pPr>
              <w:jc w:val="both"/>
              <w:rPr>
                <w:bCs/>
                <w:sz w:val="22"/>
                <w:szCs w:val="22"/>
              </w:rPr>
            </w:pPr>
            <w:r w:rsidRPr="00317ABF">
              <w:rPr>
                <w:bCs/>
                <w:sz w:val="22"/>
                <w:szCs w:val="22"/>
              </w:rPr>
              <w:t>4)</w:t>
            </w:r>
            <w:r w:rsidRPr="00317ABF">
              <w:rPr>
                <w:bCs/>
                <w:sz w:val="22"/>
                <w:szCs w:val="22"/>
              </w:rPr>
              <w:tab/>
              <w:t>zawarte w nim informacje sformułowane są w sposób prosty i jednoznaczny;</w:t>
            </w:r>
          </w:p>
          <w:p w14:paraId="0C7CE40C" w14:textId="77777777" w:rsidR="004D1B92" w:rsidRPr="00317ABF" w:rsidRDefault="004D1B92" w:rsidP="004D1B92">
            <w:pPr>
              <w:jc w:val="both"/>
              <w:rPr>
                <w:bCs/>
                <w:sz w:val="22"/>
                <w:szCs w:val="22"/>
              </w:rPr>
            </w:pPr>
            <w:r w:rsidRPr="00317ABF">
              <w:rPr>
                <w:bCs/>
                <w:sz w:val="22"/>
                <w:szCs w:val="22"/>
              </w:rPr>
              <w:t>5)</w:t>
            </w:r>
            <w:r w:rsidRPr="00317ABF">
              <w:rPr>
                <w:bCs/>
                <w:sz w:val="22"/>
                <w:szCs w:val="22"/>
              </w:rPr>
              <w:tab/>
              <w:t>zawiera dokładne i aktualne informacje oraz zawiera datę ostatniej aktualizacji;</w:t>
            </w:r>
          </w:p>
          <w:p w14:paraId="2E456705" w14:textId="77777777" w:rsidR="004D1B92" w:rsidRPr="00317ABF" w:rsidRDefault="004D1B92" w:rsidP="004D1B92">
            <w:pPr>
              <w:jc w:val="both"/>
              <w:rPr>
                <w:bCs/>
                <w:sz w:val="22"/>
                <w:szCs w:val="22"/>
              </w:rPr>
            </w:pPr>
            <w:r w:rsidRPr="00317ABF">
              <w:rPr>
                <w:bCs/>
                <w:sz w:val="22"/>
                <w:szCs w:val="22"/>
              </w:rPr>
              <w:t>6)</w:t>
            </w:r>
            <w:r w:rsidRPr="00317ABF">
              <w:rPr>
                <w:bCs/>
                <w:sz w:val="22"/>
                <w:szCs w:val="22"/>
              </w:rPr>
              <w:tab/>
              <w:t>jest otwarte dla każdego dostawcy usług, o których mowa w ust. 1, udostępniającego odpowiednie informacje;</w:t>
            </w:r>
          </w:p>
          <w:p w14:paraId="378DE94F" w14:textId="77777777" w:rsidR="004D1B92" w:rsidRPr="00317ABF" w:rsidRDefault="004D1B92" w:rsidP="004D1B92">
            <w:pPr>
              <w:jc w:val="both"/>
              <w:rPr>
                <w:bCs/>
                <w:sz w:val="22"/>
                <w:szCs w:val="22"/>
              </w:rPr>
            </w:pPr>
            <w:r w:rsidRPr="00317ABF">
              <w:rPr>
                <w:bCs/>
                <w:sz w:val="22"/>
                <w:szCs w:val="22"/>
              </w:rPr>
              <w:t>7)</w:t>
            </w:r>
            <w:r w:rsidRPr="00317ABF">
              <w:rPr>
                <w:bCs/>
                <w:sz w:val="22"/>
                <w:szCs w:val="22"/>
              </w:rPr>
              <w:tab/>
              <w:t>zawiera informacje, o których mowa w ust. 1, dotyczące usług świadczonych przez dostawców usług, o których mowa w ust. 1, posiadających łącznie znaczny udział w rynku świadczenia tych usług;</w:t>
            </w:r>
          </w:p>
          <w:p w14:paraId="5A3C41E8" w14:textId="77777777" w:rsidR="004D1B92" w:rsidRPr="00317ABF" w:rsidRDefault="004D1B92" w:rsidP="004D1B92">
            <w:pPr>
              <w:jc w:val="both"/>
              <w:rPr>
                <w:bCs/>
                <w:sz w:val="22"/>
                <w:szCs w:val="22"/>
              </w:rPr>
            </w:pPr>
            <w:r w:rsidRPr="00317ABF">
              <w:rPr>
                <w:bCs/>
                <w:sz w:val="22"/>
                <w:szCs w:val="22"/>
              </w:rPr>
              <w:lastRenderedPageBreak/>
              <w:t>8)</w:t>
            </w:r>
            <w:r w:rsidRPr="00317ABF">
              <w:rPr>
                <w:bCs/>
                <w:sz w:val="22"/>
                <w:szCs w:val="22"/>
              </w:rPr>
              <w:tab/>
              <w:t>w przypadku gdy prezentowane informacje nie obejmują wszystkich usług, o których mowa w ust. 1, dostępnych na rynku – udostępnia informację o tym fakcie przed wyświetleniem wyników;</w:t>
            </w:r>
          </w:p>
          <w:p w14:paraId="54B942B0" w14:textId="77777777" w:rsidR="004D1B92" w:rsidRPr="00317ABF" w:rsidRDefault="004D1B92" w:rsidP="004D1B92">
            <w:pPr>
              <w:jc w:val="both"/>
              <w:rPr>
                <w:bCs/>
                <w:sz w:val="22"/>
                <w:szCs w:val="22"/>
              </w:rPr>
            </w:pPr>
            <w:r w:rsidRPr="00317ABF">
              <w:rPr>
                <w:bCs/>
                <w:sz w:val="22"/>
                <w:szCs w:val="22"/>
              </w:rPr>
              <w:t>9)</w:t>
            </w:r>
            <w:r w:rsidRPr="00317ABF">
              <w:rPr>
                <w:bCs/>
                <w:sz w:val="22"/>
                <w:szCs w:val="22"/>
              </w:rPr>
              <w:tab/>
              <w:t>zapewnia skuteczną procedurę zgłaszania nieprawidłowości w prezentowanych informacjach;</w:t>
            </w:r>
          </w:p>
          <w:p w14:paraId="624038DF" w14:textId="77777777" w:rsidR="004D1B92" w:rsidRPr="00317ABF" w:rsidRDefault="004D1B92" w:rsidP="004D1B92">
            <w:pPr>
              <w:jc w:val="both"/>
              <w:rPr>
                <w:bCs/>
                <w:sz w:val="22"/>
                <w:szCs w:val="22"/>
              </w:rPr>
            </w:pPr>
            <w:r w:rsidRPr="00317ABF">
              <w:rPr>
                <w:bCs/>
                <w:sz w:val="22"/>
                <w:szCs w:val="22"/>
              </w:rPr>
              <w:t>10)</w:t>
            </w:r>
            <w:r w:rsidRPr="00317ABF">
              <w:rPr>
                <w:bCs/>
                <w:sz w:val="22"/>
                <w:szCs w:val="22"/>
              </w:rPr>
              <w:tab/>
              <w:t>umożliwia odrębne porównanie warunków świadczenia usług, o których mowa w ust. 1, dostępnych dla konsumentów oraz dla innych użytkowników końcowych.</w:t>
            </w:r>
          </w:p>
          <w:p w14:paraId="37169575" w14:textId="77777777" w:rsidR="001E1112" w:rsidRPr="00317ABF" w:rsidRDefault="001E1112" w:rsidP="00DB3BEC">
            <w:pPr>
              <w:jc w:val="both"/>
              <w:rPr>
                <w:sz w:val="22"/>
                <w:szCs w:val="22"/>
              </w:rPr>
            </w:pPr>
          </w:p>
          <w:p w14:paraId="78708523" w14:textId="77777777" w:rsidR="001E1112" w:rsidRPr="00317ABF" w:rsidRDefault="001E1112" w:rsidP="00DB3BEC">
            <w:pPr>
              <w:jc w:val="both"/>
              <w:rPr>
                <w:sz w:val="22"/>
                <w:szCs w:val="22"/>
              </w:rPr>
            </w:pPr>
          </w:p>
          <w:p w14:paraId="6BF913A2" w14:textId="77777777" w:rsidR="001E1112" w:rsidRPr="00317ABF" w:rsidRDefault="001E1112" w:rsidP="00DB3BEC">
            <w:pPr>
              <w:jc w:val="both"/>
              <w:rPr>
                <w:sz w:val="22"/>
                <w:szCs w:val="22"/>
              </w:rPr>
            </w:pPr>
          </w:p>
          <w:p w14:paraId="51F7D7AB" w14:textId="77777777" w:rsidR="001E1112" w:rsidRPr="00317ABF" w:rsidRDefault="001E1112" w:rsidP="00DB3BEC">
            <w:pPr>
              <w:jc w:val="both"/>
              <w:rPr>
                <w:sz w:val="22"/>
                <w:szCs w:val="22"/>
              </w:rPr>
            </w:pPr>
          </w:p>
          <w:p w14:paraId="2C198A19" w14:textId="77777777" w:rsidR="001E1112" w:rsidRPr="00317ABF" w:rsidRDefault="001E1112" w:rsidP="00DB3BEC">
            <w:pPr>
              <w:jc w:val="both"/>
              <w:rPr>
                <w:sz w:val="22"/>
                <w:szCs w:val="22"/>
              </w:rPr>
            </w:pPr>
          </w:p>
          <w:p w14:paraId="6AD3A5CA" w14:textId="77777777" w:rsidR="001E1112" w:rsidRPr="00317ABF" w:rsidRDefault="001E1112" w:rsidP="00DB3BEC">
            <w:pPr>
              <w:jc w:val="both"/>
              <w:rPr>
                <w:sz w:val="22"/>
                <w:szCs w:val="22"/>
              </w:rPr>
            </w:pPr>
          </w:p>
          <w:p w14:paraId="548C25E0" w14:textId="77777777" w:rsidR="001E1112" w:rsidRPr="00317ABF" w:rsidRDefault="001E1112" w:rsidP="00DB3BEC">
            <w:pPr>
              <w:jc w:val="both"/>
              <w:rPr>
                <w:sz w:val="22"/>
                <w:szCs w:val="22"/>
              </w:rPr>
            </w:pPr>
          </w:p>
          <w:p w14:paraId="1F95E702" w14:textId="77777777" w:rsidR="001E1112" w:rsidRPr="00317ABF" w:rsidRDefault="001E1112" w:rsidP="00DB3BEC">
            <w:pPr>
              <w:jc w:val="both"/>
              <w:rPr>
                <w:sz w:val="22"/>
                <w:szCs w:val="22"/>
              </w:rPr>
            </w:pPr>
          </w:p>
          <w:p w14:paraId="54CBE907" w14:textId="77777777" w:rsidR="001E1112" w:rsidRPr="00317ABF" w:rsidRDefault="001E1112" w:rsidP="00DB3BEC">
            <w:pPr>
              <w:jc w:val="both"/>
              <w:rPr>
                <w:sz w:val="22"/>
                <w:szCs w:val="22"/>
              </w:rPr>
            </w:pPr>
          </w:p>
          <w:p w14:paraId="2DB79F50" w14:textId="77777777" w:rsidR="001E1112" w:rsidRPr="00317ABF" w:rsidRDefault="001E1112" w:rsidP="00DB3BEC">
            <w:pPr>
              <w:jc w:val="both"/>
              <w:rPr>
                <w:sz w:val="22"/>
                <w:szCs w:val="22"/>
              </w:rPr>
            </w:pPr>
          </w:p>
          <w:p w14:paraId="78679DDF" w14:textId="77777777" w:rsidR="001E1112" w:rsidRPr="00317ABF" w:rsidRDefault="001E1112" w:rsidP="00DB3BEC">
            <w:pPr>
              <w:jc w:val="both"/>
              <w:rPr>
                <w:sz w:val="22"/>
                <w:szCs w:val="22"/>
              </w:rPr>
            </w:pPr>
          </w:p>
          <w:p w14:paraId="3A205DBC" w14:textId="77777777" w:rsidR="001E1112" w:rsidRPr="00317ABF" w:rsidRDefault="001E1112" w:rsidP="00DB3BEC">
            <w:pPr>
              <w:jc w:val="both"/>
              <w:rPr>
                <w:sz w:val="22"/>
                <w:szCs w:val="22"/>
              </w:rPr>
            </w:pPr>
          </w:p>
          <w:p w14:paraId="06B8DA87" w14:textId="77777777" w:rsidR="001E1112" w:rsidRPr="00317ABF" w:rsidRDefault="001E1112" w:rsidP="00DB3BEC">
            <w:pPr>
              <w:jc w:val="both"/>
              <w:rPr>
                <w:sz w:val="22"/>
                <w:szCs w:val="22"/>
              </w:rPr>
            </w:pPr>
          </w:p>
          <w:p w14:paraId="7CA42FBA" w14:textId="77777777" w:rsidR="001E1112" w:rsidRPr="00317ABF" w:rsidRDefault="001E1112" w:rsidP="00DB3BEC">
            <w:pPr>
              <w:jc w:val="both"/>
              <w:rPr>
                <w:sz w:val="22"/>
                <w:szCs w:val="22"/>
              </w:rPr>
            </w:pPr>
          </w:p>
          <w:p w14:paraId="41C7E5BC" w14:textId="77777777" w:rsidR="001E1112" w:rsidRPr="00317ABF" w:rsidRDefault="001E1112" w:rsidP="00DB3BEC">
            <w:pPr>
              <w:jc w:val="both"/>
              <w:rPr>
                <w:sz w:val="22"/>
                <w:szCs w:val="22"/>
              </w:rPr>
            </w:pPr>
          </w:p>
          <w:p w14:paraId="7C2F6A3F" w14:textId="35F6A912" w:rsidR="004D1B92" w:rsidRPr="00317ABF" w:rsidRDefault="004D1B92" w:rsidP="004D1B92">
            <w:pPr>
              <w:jc w:val="both"/>
              <w:rPr>
                <w:sz w:val="22"/>
                <w:szCs w:val="22"/>
              </w:rPr>
            </w:pPr>
          </w:p>
          <w:p w14:paraId="50478401" w14:textId="578BE06B" w:rsidR="004D1B92" w:rsidRPr="00317ABF" w:rsidRDefault="004D1B92" w:rsidP="00DB3BEC">
            <w:pPr>
              <w:jc w:val="both"/>
              <w:rPr>
                <w:sz w:val="22"/>
                <w:szCs w:val="22"/>
              </w:rPr>
            </w:pPr>
          </w:p>
          <w:p w14:paraId="46023CDA" w14:textId="77777777" w:rsidR="004D1B92" w:rsidRPr="00317ABF" w:rsidRDefault="004D1B92" w:rsidP="004D1B92">
            <w:pPr>
              <w:rPr>
                <w:sz w:val="22"/>
                <w:szCs w:val="22"/>
              </w:rPr>
            </w:pPr>
          </w:p>
          <w:p w14:paraId="39000AA9" w14:textId="77777777" w:rsidR="004D1B92" w:rsidRPr="00317ABF" w:rsidRDefault="004D1B92" w:rsidP="004D1B92">
            <w:pPr>
              <w:rPr>
                <w:sz w:val="22"/>
                <w:szCs w:val="22"/>
              </w:rPr>
            </w:pPr>
            <w:r w:rsidRPr="00317ABF">
              <w:rPr>
                <w:b/>
                <w:sz w:val="22"/>
                <w:szCs w:val="22"/>
              </w:rPr>
              <w:t>Art. 308.</w:t>
            </w:r>
            <w:r w:rsidRPr="00317ABF">
              <w:rPr>
                <w:sz w:val="22"/>
                <w:szCs w:val="22"/>
              </w:rPr>
              <w:t xml:space="preserve"> </w:t>
            </w:r>
          </w:p>
          <w:p w14:paraId="797178B9" w14:textId="51A5B528" w:rsidR="004D1B92" w:rsidRPr="00317ABF" w:rsidRDefault="004D1B92" w:rsidP="004D1B92">
            <w:pPr>
              <w:jc w:val="both"/>
              <w:rPr>
                <w:sz w:val="22"/>
                <w:szCs w:val="22"/>
              </w:rPr>
            </w:pPr>
            <w:r w:rsidRPr="00317ABF">
              <w:rPr>
                <w:sz w:val="22"/>
                <w:szCs w:val="22"/>
              </w:rPr>
              <w:t>1. Narzędzie porównawcze podlega certyfikacji przez Prezesa UKE, na wniosek jego dostawcy.</w:t>
            </w:r>
          </w:p>
          <w:p w14:paraId="11315861" w14:textId="77777777" w:rsidR="004D1B92" w:rsidRPr="00317ABF" w:rsidRDefault="004D1B92" w:rsidP="004D1B92">
            <w:pPr>
              <w:jc w:val="both"/>
              <w:rPr>
                <w:bCs/>
                <w:sz w:val="22"/>
                <w:szCs w:val="22"/>
              </w:rPr>
            </w:pPr>
            <w:r w:rsidRPr="00317ABF">
              <w:rPr>
                <w:bCs/>
                <w:sz w:val="22"/>
                <w:szCs w:val="22"/>
              </w:rPr>
              <w:t>2. Prezes UKE określa procedurę certyfikacji w regulaminie i udostępnia go na stronie podmiotowej BIP UKE.</w:t>
            </w:r>
          </w:p>
          <w:p w14:paraId="2D184ECA" w14:textId="77777777" w:rsidR="004D1B92" w:rsidRPr="00317ABF" w:rsidRDefault="004D1B92" w:rsidP="004D1B92">
            <w:pPr>
              <w:jc w:val="both"/>
              <w:rPr>
                <w:bCs/>
                <w:sz w:val="22"/>
                <w:szCs w:val="22"/>
              </w:rPr>
            </w:pPr>
            <w:r w:rsidRPr="00317ABF">
              <w:rPr>
                <w:bCs/>
                <w:sz w:val="22"/>
                <w:szCs w:val="22"/>
              </w:rPr>
              <w:t>3. Do celów udostępniania narzędzia porównawczego dostawcy narzędzia porównawczego mają prawo do bezpłatnego korzystania z informacji publikowanych w otwartych formatach danych przez dostawców usługi dostępu do internetu lub usługi komunikacji interpersonalnej.</w:t>
            </w:r>
          </w:p>
          <w:p w14:paraId="0A4A1801" w14:textId="1E61C0B6" w:rsidR="001E1112" w:rsidRPr="00317ABF" w:rsidRDefault="001E1112" w:rsidP="004D1B92">
            <w:pPr>
              <w:rPr>
                <w:sz w:val="22"/>
                <w:szCs w:val="22"/>
              </w:rPr>
            </w:pPr>
          </w:p>
        </w:tc>
      </w:tr>
      <w:tr w:rsidR="001E1112" w:rsidRPr="00317ABF" w14:paraId="5C171858" w14:textId="77777777" w:rsidTr="7753F98D">
        <w:trPr>
          <w:gridAfter w:val="2"/>
          <w:wAfter w:w="175" w:type="dxa"/>
        </w:trPr>
        <w:tc>
          <w:tcPr>
            <w:tcW w:w="704" w:type="dxa"/>
          </w:tcPr>
          <w:p w14:paraId="4831151E" w14:textId="4E1B4C73" w:rsidR="001E1112" w:rsidRPr="00317ABF" w:rsidRDefault="001E1112" w:rsidP="00DB3BEC">
            <w:pPr>
              <w:jc w:val="both"/>
              <w:rPr>
                <w:sz w:val="22"/>
                <w:szCs w:val="22"/>
              </w:rPr>
            </w:pPr>
            <w:r w:rsidRPr="00317ABF">
              <w:rPr>
                <w:sz w:val="22"/>
                <w:szCs w:val="22"/>
              </w:rPr>
              <w:lastRenderedPageBreak/>
              <w:t>Art. 103 ust. 4</w:t>
            </w:r>
          </w:p>
        </w:tc>
        <w:tc>
          <w:tcPr>
            <w:tcW w:w="4308" w:type="dxa"/>
          </w:tcPr>
          <w:p w14:paraId="62FB9A74" w14:textId="77777777" w:rsidR="001E1112" w:rsidRPr="00317ABF" w:rsidRDefault="001E1112" w:rsidP="00DB3BEC">
            <w:pPr>
              <w:spacing w:before="120"/>
              <w:jc w:val="both"/>
              <w:rPr>
                <w:sz w:val="22"/>
                <w:szCs w:val="22"/>
              </w:rPr>
            </w:pPr>
            <w:r w:rsidRPr="00317ABF">
              <w:rPr>
                <w:sz w:val="22"/>
                <w:szCs w:val="22"/>
              </w:rPr>
              <w:t>4.   Państwa członkowskie mogą wymagać, aby dostawcy usług dostępu do internetu lub publicznie dostępnych usług łączności interpersonalnej wykorzystujących numery lub obydwa te rodzaje usług rozpowszechniały bezpłatnie wśród dotychczasowych i nowych użytkowników końcowych informacje użyteczności publicznej, w stosownych przypadkach, za pomocą środków, których zwykle używają do kontaktów z użytkownikami końcowymi. W takim przypadku te informacje użyteczności publicznej są przekazywane w standaryzowanym formacie przez właściwe organy publiczne i dotyczą między innymi następujących zagadnień:</w:t>
            </w:r>
          </w:p>
          <w:tbl>
            <w:tblPr>
              <w:tblW w:w="5000" w:type="pct"/>
              <w:tblCellSpacing w:w="0" w:type="dxa"/>
              <w:tblLayout w:type="fixed"/>
              <w:tblCellMar>
                <w:left w:w="0" w:type="dxa"/>
                <w:right w:w="0" w:type="dxa"/>
              </w:tblCellMar>
              <w:tblLook w:val="04A0" w:firstRow="1" w:lastRow="0" w:firstColumn="1" w:lastColumn="0" w:noHBand="0" w:noVBand="1"/>
            </w:tblPr>
            <w:tblGrid>
              <w:gridCol w:w="20"/>
              <w:gridCol w:w="4148"/>
            </w:tblGrid>
            <w:tr w:rsidR="001E1112" w:rsidRPr="00317ABF" w14:paraId="1FAAA2A3" w14:textId="77777777" w:rsidTr="0016481D">
              <w:trPr>
                <w:tblCellSpacing w:w="0" w:type="dxa"/>
              </w:trPr>
              <w:tc>
                <w:tcPr>
                  <w:tcW w:w="6" w:type="dxa"/>
                  <w:hideMark/>
                </w:tcPr>
                <w:p w14:paraId="33EBCFF7" w14:textId="77777777" w:rsidR="001E1112" w:rsidRPr="00317ABF" w:rsidRDefault="001E1112" w:rsidP="00EE0AC3">
                  <w:pPr>
                    <w:framePr w:hSpace="141" w:wrap="around" w:vAnchor="text" w:hAnchor="text" w:xAlign="right" w:y="1"/>
                    <w:spacing w:before="120"/>
                    <w:suppressOverlap/>
                    <w:jc w:val="both"/>
                    <w:rPr>
                      <w:sz w:val="22"/>
                      <w:szCs w:val="22"/>
                    </w:rPr>
                  </w:pPr>
                </w:p>
              </w:tc>
              <w:tc>
                <w:tcPr>
                  <w:tcW w:w="9066" w:type="dxa"/>
                  <w:hideMark/>
                </w:tcPr>
                <w:p w14:paraId="396EC119" w14:textId="77777777" w:rsidR="001E1112" w:rsidRPr="00317ABF" w:rsidRDefault="001E1112" w:rsidP="00EE0AC3">
                  <w:pPr>
                    <w:framePr w:hSpace="141" w:wrap="around" w:vAnchor="text" w:hAnchor="text" w:xAlign="right" w:y="1"/>
                    <w:numPr>
                      <w:ilvl w:val="0"/>
                      <w:numId w:val="79"/>
                    </w:numPr>
                    <w:spacing w:before="120"/>
                    <w:suppressOverlap/>
                    <w:jc w:val="both"/>
                    <w:rPr>
                      <w:sz w:val="22"/>
                      <w:szCs w:val="22"/>
                    </w:rPr>
                  </w:pPr>
                  <w:r w:rsidRPr="00317ABF">
                    <w:rPr>
                      <w:sz w:val="22"/>
                      <w:szCs w:val="22"/>
                    </w:rPr>
                    <w:t xml:space="preserve">najpowszechniejszych sposobów wykorzystywania usług dostępu do internetu i publicznie dostępnych usług łączności interpersonalnej wykorzystujących numery do działań niezgodnych z prawem lub do rozpowszechniania szkodliwych treści – zwłaszcza w przypadku gdy może to naruszać prawa i wolności innych osób – w tym przypadków naruszania praw ochrony danych, praw autorskich i praw pokrewnych, oraz </w:t>
                  </w:r>
                  <w:r w:rsidRPr="00317ABF">
                    <w:rPr>
                      <w:sz w:val="22"/>
                      <w:szCs w:val="22"/>
                    </w:rPr>
                    <w:lastRenderedPageBreak/>
                    <w:t>konsekwencji prawnych tych czynów; oraz</w:t>
                  </w:r>
                </w:p>
              </w:tc>
            </w:tr>
          </w:tbl>
          <w:p w14:paraId="07A212B3" w14:textId="77777777" w:rsidR="001E1112" w:rsidRPr="00317ABF" w:rsidRDefault="001E1112" w:rsidP="00DB3BEC">
            <w:pPr>
              <w:jc w:val="both"/>
              <w:rPr>
                <w:vanish/>
                <w:sz w:val="22"/>
                <w:szCs w:val="22"/>
              </w:rPr>
            </w:pPr>
          </w:p>
          <w:tbl>
            <w:tblPr>
              <w:tblW w:w="5000" w:type="pct"/>
              <w:tblCellSpacing w:w="0" w:type="dxa"/>
              <w:tblLayout w:type="fixed"/>
              <w:tblCellMar>
                <w:left w:w="0" w:type="dxa"/>
                <w:right w:w="0" w:type="dxa"/>
              </w:tblCellMar>
              <w:tblLook w:val="04A0" w:firstRow="1" w:lastRow="0" w:firstColumn="1" w:lastColumn="0" w:noHBand="0" w:noVBand="1"/>
            </w:tblPr>
            <w:tblGrid>
              <w:gridCol w:w="20"/>
              <w:gridCol w:w="4148"/>
            </w:tblGrid>
            <w:tr w:rsidR="001E1112" w:rsidRPr="00317ABF" w14:paraId="07B4EAB5" w14:textId="77777777" w:rsidTr="0016481D">
              <w:trPr>
                <w:tblCellSpacing w:w="0" w:type="dxa"/>
              </w:trPr>
              <w:tc>
                <w:tcPr>
                  <w:tcW w:w="6" w:type="dxa"/>
                  <w:hideMark/>
                </w:tcPr>
                <w:p w14:paraId="26366F22" w14:textId="77777777" w:rsidR="001E1112" w:rsidRPr="00317ABF" w:rsidRDefault="001E1112" w:rsidP="00EE0AC3">
                  <w:pPr>
                    <w:framePr w:hSpace="141" w:wrap="around" w:vAnchor="text" w:hAnchor="text" w:xAlign="right" w:y="1"/>
                    <w:spacing w:before="120"/>
                    <w:suppressOverlap/>
                    <w:jc w:val="both"/>
                    <w:rPr>
                      <w:sz w:val="22"/>
                      <w:szCs w:val="22"/>
                    </w:rPr>
                  </w:pPr>
                </w:p>
              </w:tc>
              <w:tc>
                <w:tcPr>
                  <w:tcW w:w="9066" w:type="dxa"/>
                  <w:hideMark/>
                </w:tcPr>
                <w:p w14:paraId="6916AF52" w14:textId="77777777" w:rsidR="001E1112" w:rsidRPr="00317ABF" w:rsidRDefault="001E1112" w:rsidP="00EE0AC3">
                  <w:pPr>
                    <w:framePr w:hSpace="141" w:wrap="around" w:vAnchor="text" w:hAnchor="text" w:xAlign="right" w:y="1"/>
                    <w:numPr>
                      <w:ilvl w:val="0"/>
                      <w:numId w:val="79"/>
                    </w:numPr>
                    <w:spacing w:before="120"/>
                    <w:suppressOverlap/>
                    <w:jc w:val="both"/>
                    <w:rPr>
                      <w:sz w:val="22"/>
                      <w:szCs w:val="22"/>
                    </w:rPr>
                  </w:pPr>
                  <w:r w:rsidRPr="00317ABF">
                    <w:rPr>
                      <w:sz w:val="22"/>
                      <w:szCs w:val="22"/>
                    </w:rPr>
                    <w:t>sposobów ochrony przed zagrożeniami dla bezpieczeństwa osobistego, prywatności i danych osobowych podczas korzystania z usług dostępu do internetu i publicznie dostępnych usług łączności interpersonalnej wykorzystujących numery.</w:t>
                  </w:r>
                </w:p>
              </w:tc>
            </w:tr>
          </w:tbl>
          <w:p w14:paraId="58E7106E" w14:textId="77777777" w:rsidR="001E1112" w:rsidRPr="00317ABF" w:rsidRDefault="001E1112" w:rsidP="00DB3BEC">
            <w:pPr>
              <w:spacing w:before="120"/>
              <w:jc w:val="both"/>
              <w:rPr>
                <w:sz w:val="22"/>
                <w:szCs w:val="22"/>
              </w:rPr>
            </w:pPr>
          </w:p>
        </w:tc>
        <w:tc>
          <w:tcPr>
            <w:tcW w:w="986" w:type="dxa"/>
          </w:tcPr>
          <w:p w14:paraId="67E641C6" w14:textId="3826843C" w:rsidR="001E1112" w:rsidRPr="00317ABF" w:rsidRDefault="001E1112" w:rsidP="00DB3BEC">
            <w:pPr>
              <w:jc w:val="both"/>
              <w:rPr>
                <w:sz w:val="22"/>
                <w:szCs w:val="22"/>
              </w:rPr>
            </w:pPr>
            <w:r w:rsidRPr="00317ABF">
              <w:rPr>
                <w:sz w:val="22"/>
                <w:szCs w:val="22"/>
              </w:rPr>
              <w:lastRenderedPageBreak/>
              <w:t>T</w:t>
            </w:r>
          </w:p>
        </w:tc>
        <w:tc>
          <w:tcPr>
            <w:tcW w:w="910" w:type="dxa"/>
          </w:tcPr>
          <w:p w14:paraId="2A5D67D1" w14:textId="34F274F3" w:rsidR="001E1112" w:rsidRPr="00317ABF" w:rsidRDefault="00E9632D" w:rsidP="00DB3BEC">
            <w:pPr>
              <w:pStyle w:val="Tekstpodstawowy"/>
              <w:rPr>
                <w:b/>
                <w:noProof/>
                <w:sz w:val="22"/>
                <w:szCs w:val="22"/>
              </w:rPr>
            </w:pPr>
            <w:r w:rsidRPr="00317ABF">
              <w:rPr>
                <w:b/>
                <w:noProof/>
                <w:sz w:val="22"/>
                <w:szCs w:val="22"/>
              </w:rPr>
              <w:t>Art. 305</w:t>
            </w:r>
          </w:p>
        </w:tc>
        <w:tc>
          <w:tcPr>
            <w:tcW w:w="6814" w:type="dxa"/>
            <w:gridSpan w:val="2"/>
          </w:tcPr>
          <w:p w14:paraId="78349029" w14:textId="77777777" w:rsidR="00E9632D" w:rsidRPr="00317ABF" w:rsidRDefault="00E9632D" w:rsidP="00E9632D">
            <w:pPr>
              <w:pStyle w:val="Tekstpodstawowy"/>
              <w:rPr>
                <w:bCs/>
                <w:sz w:val="22"/>
                <w:szCs w:val="22"/>
              </w:rPr>
            </w:pPr>
            <w:r w:rsidRPr="00317ABF">
              <w:rPr>
                <w:b/>
                <w:bCs/>
                <w:sz w:val="22"/>
                <w:szCs w:val="22"/>
              </w:rPr>
              <w:t>Art. 305.</w:t>
            </w:r>
            <w:r w:rsidRPr="00317ABF">
              <w:rPr>
                <w:bCs/>
                <w:sz w:val="22"/>
                <w:szCs w:val="22"/>
              </w:rPr>
              <w:t xml:space="preserve"> </w:t>
            </w:r>
          </w:p>
          <w:p w14:paraId="7EC34705" w14:textId="138B6AFC" w:rsidR="00E9632D" w:rsidRPr="00317ABF" w:rsidRDefault="00E9632D" w:rsidP="00E9632D">
            <w:pPr>
              <w:pStyle w:val="Tekstpodstawowy"/>
              <w:rPr>
                <w:bCs/>
                <w:sz w:val="22"/>
                <w:szCs w:val="22"/>
              </w:rPr>
            </w:pPr>
            <w:r w:rsidRPr="00317ABF">
              <w:rPr>
                <w:bCs/>
                <w:sz w:val="22"/>
                <w:szCs w:val="22"/>
              </w:rPr>
              <w:t>1. Prezes UKE udostępnia na stronie podmiotowej BIP UKE informacje dotyczące podstawowych praw i obowiązków abonentów</w:t>
            </w:r>
            <w:r w:rsidRPr="00317ABF">
              <w:rPr>
                <w:sz w:val="22"/>
                <w:szCs w:val="22"/>
              </w:rPr>
              <w:t xml:space="preserve"> </w:t>
            </w:r>
            <w:r w:rsidRPr="00317ABF">
              <w:rPr>
                <w:bCs/>
                <w:sz w:val="22"/>
                <w:szCs w:val="22"/>
              </w:rPr>
              <w:t>usługi dostępu do internetu lub usługi komunikacji interpersonalnej wykorzystującej numery, w tym informacje dotyczące:</w:t>
            </w:r>
          </w:p>
          <w:p w14:paraId="24887571" w14:textId="77777777" w:rsidR="00E9632D" w:rsidRPr="00317ABF" w:rsidRDefault="00E9632D" w:rsidP="00E9632D">
            <w:pPr>
              <w:pStyle w:val="Tekstpodstawowy"/>
              <w:rPr>
                <w:bCs/>
                <w:sz w:val="22"/>
                <w:szCs w:val="22"/>
              </w:rPr>
            </w:pPr>
            <w:r w:rsidRPr="00317ABF">
              <w:rPr>
                <w:bCs/>
                <w:sz w:val="22"/>
                <w:szCs w:val="22"/>
              </w:rPr>
              <w:t>1)</w:t>
            </w:r>
            <w:r w:rsidRPr="00317ABF">
              <w:rPr>
                <w:bCs/>
                <w:sz w:val="22"/>
                <w:szCs w:val="22"/>
              </w:rPr>
              <w:tab/>
              <w:t>usługi powszechnej;</w:t>
            </w:r>
          </w:p>
          <w:p w14:paraId="220E35D0" w14:textId="77777777" w:rsidR="00E9632D" w:rsidRPr="00317ABF" w:rsidRDefault="00E9632D" w:rsidP="00E9632D">
            <w:pPr>
              <w:pStyle w:val="Tekstpodstawowy"/>
              <w:rPr>
                <w:bCs/>
                <w:sz w:val="22"/>
                <w:szCs w:val="22"/>
              </w:rPr>
            </w:pPr>
            <w:r w:rsidRPr="00317ABF">
              <w:rPr>
                <w:bCs/>
                <w:sz w:val="22"/>
                <w:szCs w:val="22"/>
              </w:rPr>
              <w:t>2)</w:t>
            </w:r>
            <w:r w:rsidRPr="00317ABF">
              <w:rPr>
                <w:bCs/>
                <w:sz w:val="22"/>
                <w:szCs w:val="22"/>
              </w:rPr>
              <w:tab/>
              <w:t>standardowych warunków umowy o świadczenie usług komunikacji elektronicznej, w tym o zapewnienie przyłączenia do publicznej sieci telekomunikacyjnej;</w:t>
            </w:r>
          </w:p>
          <w:p w14:paraId="1633242A" w14:textId="77777777" w:rsidR="00E9632D" w:rsidRPr="00317ABF" w:rsidRDefault="00E9632D" w:rsidP="00E9632D">
            <w:pPr>
              <w:pStyle w:val="Tekstpodstawowy"/>
              <w:rPr>
                <w:bCs/>
                <w:sz w:val="22"/>
                <w:szCs w:val="22"/>
              </w:rPr>
            </w:pPr>
            <w:r w:rsidRPr="00317ABF">
              <w:rPr>
                <w:bCs/>
                <w:sz w:val="22"/>
                <w:szCs w:val="22"/>
              </w:rPr>
              <w:t>3)</w:t>
            </w:r>
            <w:r w:rsidRPr="00317ABF">
              <w:rPr>
                <w:bCs/>
                <w:sz w:val="22"/>
                <w:szCs w:val="22"/>
              </w:rPr>
              <w:tab/>
              <w:t>wskazania, jakie sposoby wykorzystania usług są niezgodne z prawem lub stanowią rozpowszechnianie szkodliwych treści, w tym przypadki naruszenia praw autorskich i pokrewnych, oraz wskazania konsekwencji prawnych tych czynów;</w:t>
            </w:r>
          </w:p>
          <w:p w14:paraId="42FF0A31" w14:textId="77777777" w:rsidR="00E9632D" w:rsidRPr="00317ABF" w:rsidRDefault="00E9632D" w:rsidP="00E9632D">
            <w:pPr>
              <w:pStyle w:val="Tekstpodstawowy"/>
              <w:rPr>
                <w:bCs/>
                <w:sz w:val="22"/>
                <w:szCs w:val="22"/>
              </w:rPr>
            </w:pPr>
            <w:r w:rsidRPr="00317ABF">
              <w:rPr>
                <w:bCs/>
                <w:sz w:val="22"/>
                <w:szCs w:val="22"/>
              </w:rPr>
              <w:t>4)</w:t>
            </w:r>
            <w:r w:rsidRPr="00317ABF">
              <w:rPr>
                <w:bCs/>
                <w:sz w:val="22"/>
                <w:szCs w:val="22"/>
              </w:rPr>
              <w:tab/>
              <w:t>sposobów ochrony bezpieczeństwa, prywatności i danych osobowych podczas korzystania z usług;</w:t>
            </w:r>
          </w:p>
          <w:p w14:paraId="4D36D6B6" w14:textId="77777777" w:rsidR="00E9632D" w:rsidRPr="00317ABF" w:rsidRDefault="00E9632D" w:rsidP="00E9632D">
            <w:pPr>
              <w:pStyle w:val="Tekstpodstawowy"/>
              <w:rPr>
                <w:bCs/>
                <w:sz w:val="22"/>
                <w:szCs w:val="22"/>
              </w:rPr>
            </w:pPr>
            <w:r w:rsidRPr="00317ABF">
              <w:rPr>
                <w:bCs/>
                <w:sz w:val="22"/>
                <w:szCs w:val="22"/>
              </w:rPr>
              <w:t>5)</w:t>
            </w:r>
            <w:r w:rsidRPr="00317ABF">
              <w:rPr>
                <w:bCs/>
                <w:sz w:val="22"/>
                <w:szCs w:val="22"/>
              </w:rPr>
              <w:tab/>
              <w:t>sposobów pozasądowego rozwiązywania sporów między konsumentami a przedsiębiorcami komunikacji elektronicznej.</w:t>
            </w:r>
          </w:p>
          <w:p w14:paraId="4BD7E6F2" w14:textId="77777777" w:rsidR="00E9632D" w:rsidRPr="00317ABF" w:rsidRDefault="00E9632D" w:rsidP="00E9632D">
            <w:pPr>
              <w:pStyle w:val="Tekstpodstawowy"/>
              <w:rPr>
                <w:bCs/>
                <w:sz w:val="22"/>
                <w:szCs w:val="22"/>
              </w:rPr>
            </w:pPr>
            <w:r w:rsidRPr="00317ABF">
              <w:rPr>
                <w:bCs/>
                <w:sz w:val="22"/>
                <w:szCs w:val="22"/>
              </w:rPr>
              <w:t>2. Prezes UKE może, w drodze decyzji, nałożyć na dostawcę usługi, o której mowa w ust. 1, obowiązek publikowania na ich stronach internetowych lub w punktach obsługi klienta informacji, o których mowa w ust. 1.</w:t>
            </w:r>
          </w:p>
          <w:p w14:paraId="3452475D" w14:textId="77777777" w:rsidR="001E1112" w:rsidRPr="00317ABF" w:rsidRDefault="001E1112" w:rsidP="00E9632D">
            <w:pPr>
              <w:pStyle w:val="Tekstpodstawowy"/>
              <w:rPr>
                <w:sz w:val="22"/>
                <w:szCs w:val="22"/>
              </w:rPr>
            </w:pPr>
          </w:p>
        </w:tc>
      </w:tr>
      <w:tr w:rsidR="001E1112" w:rsidRPr="00317ABF" w14:paraId="2489F6BC" w14:textId="77777777" w:rsidTr="7753F98D">
        <w:trPr>
          <w:gridAfter w:val="2"/>
          <w:wAfter w:w="175" w:type="dxa"/>
        </w:trPr>
        <w:tc>
          <w:tcPr>
            <w:tcW w:w="704" w:type="dxa"/>
          </w:tcPr>
          <w:p w14:paraId="32CABF07" w14:textId="77777777" w:rsidR="001E1112" w:rsidRPr="00317ABF" w:rsidRDefault="001E1112" w:rsidP="00DB3BEC">
            <w:pPr>
              <w:jc w:val="both"/>
              <w:rPr>
                <w:b/>
                <w:sz w:val="22"/>
                <w:szCs w:val="22"/>
              </w:rPr>
            </w:pPr>
            <w:r w:rsidRPr="00317ABF">
              <w:rPr>
                <w:b/>
                <w:sz w:val="22"/>
                <w:szCs w:val="22"/>
              </w:rPr>
              <w:lastRenderedPageBreak/>
              <w:t>Art. 104</w:t>
            </w:r>
          </w:p>
        </w:tc>
        <w:tc>
          <w:tcPr>
            <w:tcW w:w="4308" w:type="dxa"/>
          </w:tcPr>
          <w:p w14:paraId="32F5CB32" w14:textId="77777777" w:rsidR="001E1112" w:rsidRPr="00317ABF" w:rsidRDefault="001E1112" w:rsidP="00DB3BEC">
            <w:pPr>
              <w:spacing w:before="120"/>
              <w:jc w:val="both"/>
              <w:rPr>
                <w:sz w:val="22"/>
                <w:szCs w:val="22"/>
              </w:rPr>
            </w:pPr>
            <w:r w:rsidRPr="00317ABF">
              <w:rPr>
                <w:b/>
                <w:bCs/>
                <w:sz w:val="22"/>
                <w:szCs w:val="22"/>
              </w:rPr>
              <w:t>Jakość usług dotycząca dostępu do internetu i publicznie dostępnych usług łączności interpersonalnej</w:t>
            </w:r>
          </w:p>
        </w:tc>
        <w:tc>
          <w:tcPr>
            <w:tcW w:w="986" w:type="dxa"/>
          </w:tcPr>
          <w:p w14:paraId="51022026" w14:textId="77777777" w:rsidR="001E1112" w:rsidRPr="00317ABF" w:rsidRDefault="001E1112" w:rsidP="00DB3BEC">
            <w:pPr>
              <w:jc w:val="both"/>
              <w:rPr>
                <w:sz w:val="22"/>
                <w:szCs w:val="22"/>
              </w:rPr>
            </w:pPr>
          </w:p>
        </w:tc>
        <w:tc>
          <w:tcPr>
            <w:tcW w:w="910" w:type="dxa"/>
          </w:tcPr>
          <w:p w14:paraId="306016B9" w14:textId="77777777" w:rsidR="001E1112" w:rsidRPr="00317ABF" w:rsidRDefault="001E1112" w:rsidP="00DB3BEC">
            <w:pPr>
              <w:pStyle w:val="Tekstpodstawowy"/>
              <w:rPr>
                <w:b/>
                <w:noProof/>
                <w:sz w:val="22"/>
                <w:szCs w:val="22"/>
              </w:rPr>
            </w:pPr>
          </w:p>
        </w:tc>
        <w:tc>
          <w:tcPr>
            <w:tcW w:w="6814" w:type="dxa"/>
            <w:gridSpan w:val="2"/>
          </w:tcPr>
          <w:p w14:paraId="44D1DF13" w14:textId="77777777" w:rsidR="001E1112" w:rsidRPr="00317ABF" w:rsidRDefault="001E1112" w:rsidP="00DB3BEC">
            <w:pPr>
              <w:pStyle w:val="Tekstpodstawowy"/>
              <w:rPr>
                <w:sz w:val="22"/>
                <w:szCs w:val="22"/>
              </w:rPr>
            </w:pPr>
          </w:p>
        </w:tc>
      </w:tr>
      <w:tr w:rsidR="001E1112" w:rsidRPr="00317ABF" w14:paraId="2CBF3F20" w14:textId="77777777" w:rsidTr="7753F98D">
        <w:trPr>
          <w:gridAfter w:val="2"/>
          <w:wAfter w:w="175" w:type="dxa"/>
        </w:trPr>
        <w:tc>
          <w:tcPr>
            <w:tcW w:w="704" w:type="dxa"/>
          </w:tcPr>
          <w:p w14:paraId="03F0B269" w14:textId="77777777" w:rsidR="001E1112" w:rsidRPr="00317ABF" w:rsidRDefault="001E1112" w:rsidP="00DB3BEC">
            <w:pPr>
              <w:jc w:val="both"/>
              <w:rPr>
                <w:sz w:val="22"/>
                <w:szCs w:val="22"/>
              </w:rPr>
            </w:pPr>
            <w:r w:rsidRPr="00317ABF">
              <w:rPr>
                <w:sz w:val="22"/>
                <w:szCs w:val="22"/>
              </w:rPr>
              <w:t>Art. 104 ust. 1</w:t>
            </w:r>
          </w:p>
        </w:tc>
        <w:tc>
          <w:tcPr>
            <w:tcW w:w="4308" w:type="dxa"/>
          </w:tcPr>
          <w:p w14:paraId="22603784" w14:textId="77777777" w:rsidR="001E1112" w:rsidRPr="00317ABF" w:rsidRDefault="001E1112" w:rsidP="00DB3BEC">
            <w:pPr>
              <w:spacing w:before="120"/>
              <w:jc w:val="both"/>
              <w:rPr>
                <w:sz w:val="22"/>
                <w:szCs w:val="22"/>
              </w:rPr>
            </w:pPr>
            <w:r w:rsidRPr="00317ABF">
              <w:rPr>
                <w:sz w:val="22"/>
                <w:szCs w:val="22"/>
              </w:rPr>
              <w:t xml:space="preserve">1.   Krajowe organy regulacyjne w porozumieniu z innymi właściwymi organami mogą wymagać od podmiotów świadczących usługi dostępu do internetu i publicznie dostępne usługi łączności interpersonalnej publikowania wyczerpujących, porównywalnych, wiarygodnych, przyjaznych dla użytkownika i aktualnych informacji dla użytkowników końcowych na temat jakości swoich usług w zakresie, w jakim kontrolują one przynajmniej kilka elementów sieci albo bezpośrednio, albo na podstawie służącej do tego celu umowy o gwarantowanym poziomie usług, oraz na temat środków podjętych w celu zapewnienia równorzędnego dostępu użytkownikom końcowym z niepełnosprawnościami. Krajowe organy regulacyjne w porozumieniu w innymi właściwymi organami mogą również wymagać od podmiotów świadczących publicznie dostępne usługi łączności interpersonalnej, aby informowały konsumenta, jeżeli jakość świadczonych usług zależy od czynników </w:t>
            </w:r>
            <w:r w:rsidRPr="00317ABF">
              <w:rPr>
                <w:sz w:val="22"/>
                <w:szCs w:val="22"/>
              </w:rPr>
              <w:lastRenderedPageBreak/>
              <w:t>zewnętrznych, takich jak kontrola transmisji sygnału lub dostępność sieci.</w:t>
            </w:r>
          </w:p>
          <w:p w14:paraId="68504210" w14:textId="77777777" w:rsidR="001E1112" w:rsidRPr="00317ABF" w:rsidRDefault="001E1112" w:rsidP="00DB3BEC">
            <w:pPr>
              <w:spacing w:before="120"/>
              <w:jc w:val="both"/>
              <w:rPr>
                <w:sz w:val="22"/>
                <w:szCs w:val="22"/>
              </w:rPr>
            </w:pPr>
            <w:r w:rsidRPr="00317ABF">
              <w:rPr>
                <w:sz w:val="22"/>
                <w:szCs w:val="22"/>
              </w:rPr>
              <w:t>Informacje te dostarczane są krajowemu organowi regulacyjnemu i, w stosownych przypadkach, innym właściwym organom na wniosek, przed ich opublikowaniem.</w:t>
            </w:r>
          </w:p>
          <w:p w14:paraId="7776ACCD" w14:textId="77777777" w:rsidR="001E1112" w:rsidRPr="00317ABF" w:rsidRDefault="001E1112" w:rsidP="00DB3BEC">
            <w:pPr>
              <w:spacing w:before="120"/>
              <w:jc w:val="both"/>
              <w:rPr>
                <w:sz w:val="22"/>
                <w:szCs w:val="22"/>
              </w:rPr>
            </w:pPr>
            <w:r w:rsidRPr="00317ABF">
              <w:rPr>
                <w:sz w:val="22"/>
                <w:szCs w:val="22"/>
              </w:rPr>
              <w:t>Środki mające na celu zapewnienie jakości usług muszą być zgodne z rozporządzeniem (UE) 2015/2120.</w:t>
            </w:r>
          </w:p>
        </w:tc>
        <w:tc>
          <w:tcPr>
            <w:tcW w:w="986" w:type="dxa"/>
          </w:tcPr>
          <w:p w14:paraId="4DCC34CF" w14:textId="4BA78309" w:rsidR="001E1112" w:rsidRPr="00317ABF" w:rsidRDefault="001E1112" w:rsidP="00DB3BEC">
            <w:pPr>
              <w:jc w:val="both"/>
              <w:rPr>
                <w:sz w:val="22"/>
                <w:szCs w:val="22"/>
              </w:rPr>
            </w:pPr>
            <w:r w:rsidRPr="00317ABF">
              <w:rPr>
                <w:sz w:val="22"/>
                <w:szCs w:val="22"/>
              </w:rPr>
              <w:lastRenderedPageBreak/>
              <w:t>T</w:t>
            </w:r>
          </w:p>
        </w:tc>
        <w:tc>
          <w:tcPr>
            <w:tcW w:w="910" w:type="dxa"/>
          </w:tcPr>
          <w:p w14:paraId="48DDB96B" w14:textId="3CDD8B03" w:rsidR="001E1112" w:rsidRPr="00317ABF" w:rsidRDefault="001E1112" w:rsidP="00BE3A19">
            <w:pPr>
              <w:pStyle w:val="Tekstpodstawowy"/>
              <w:rPr>
                <w:b/>
                <w:noProof/>
                <w:sz w:val="22"/>
                <w:szCs w:val="22"/>
              </w:rPr>
            </w:pPr>
            <w:r w:rsidRPr="00317ABF">
              <w:rPr>
                <w:b/>
                <w:noProof/>
                <w:sz w:val="22"/>
                <w:szCs w:val="22"/>
              </w:rPr>
              <w:t xml:space="preserve">Art. </w:t>
            </w:r>
            <w:r w:rsidR="00BE3A19" w:rsidRPr="00317ABF">
              <w:rPr>
                <w:b/>
                <w:noProof/>
                <w:sz w:val="22"/>
                <w:szCs w:val="22"/>
              </w:rPr>
              <w:t>310 ust. 1-3</w:t>
            </w:r>
          </w:p>
        </w:tc>
        <w:tc>
          <w:tcPr>
            <w:tcW w:w="6814" w:type="dxa"/>
            <w:gridSpan w:val="2"/>
          </w:tcPr>
          <w:p w14:paraId="236603C8" w14:textId="77777777" w:rsidR="00BE3A19" w:rsidRPr="00317ABF" w:rsidRDefault="00BE3A19" w:rsidP="00BE3A19">
            <w:pPr>
              <w:jc w:val="both"/>
              <w:rPr>
                <w:sz w:val="22"/>
                <w:szCs w:val="22"/>
              </w:rPr>
            </w:pPr>
            <w:r w:rsidRPr="00317ABF">
              <w:rPr>
                <w:b/>
                <w:sz w:val="22"/>
                <w:szCs w:val="22"/>
              </w:rPr>
              <w:t>Art. 310.</w:t>
            </w:r>
            <w:r w:rsidRPr="00317ABF">
              <w:rPr>
                <w:sz w:val="22"/>
                <w:szCs w:val="22"/>
              </w:rPr>
              <w:t xml:space="preserve"> </w:t>
            </w:r>
          </w:p>
          <w:p w14:paraId="37FB501C" w14:textId="1BABE41A" w:rsidR="00BE3A19" w:rsidRPr="00317ABF" w:rsidRDefault="00BE3A19" w:rsidP="00BE3A19">
            <w:pPr>
              <w:jc w:val="both"/>
              <w:rPr>
                <w:sz w:val="22"/>
                <w:szCs w:val="22"/>
              </w:rPr>
            </w:pPr>
            <w:r w:rsidRPr="00317ABF">
              <w:rPr>
                <w:sz w:val="22"/>
                <w:szCs w:val="22"/>
              </w:rPr>
              <w:t>1. Prezes UKE może, w drodze decyzji, nałożyć na dostawcę usługi dostępu do internetu lub usługi komunikacji interpersonalnej, który kontroluje bezpośrednio lub na podstawie umowy o gwarantowanym poziomie jakości usług co najmniej kilka elementów sieci, obowiązek publikowania w jasny i zrozumiały sposób rzetelnych i aktualnych informacji o jakości świadczonych usług oraz o środkach zapewniających użytkownikom końcowym z niepełnosprawnościami równorzędny dostęp do tych usług.</w:t>
            </w:r>
          </w:p>
          <w:p w14:paraId="3F3D1BF0" w14:textId="77777777" w:rsidR="00BE3A19" w:rsidRPr="00317ABF" w:rsidRDefault="00BE3A19" w:rsidP="00BE3A19">
            <w:pPr>
              <w:jc w:val="both"/>
              <w:rPr>
                <w:bCs/>
                <w:sz w:val="22"/>
                <w:szCs w:val="22"/>
              </w:rPr>
            </w:pPr>
            <w:r w:rsidRPr="00317ABF">
              <w:rPr>
                <w:bCs/>
                <w:sz w:val="22"/>
                <w:szCs w:val="22"/>
              </w:rPr>
              <w:t>2. Jeżeli jakość usług komunikacji interpersonalnej zależy od czynników zewnętrznych Prezes UKE może w decyzji, o której mowa w ust. 1, nałożyć na dostawcę tych usług obowiązek informowania konsumenta o wpływie czynników zewnętrznych na jakość tych usług.</w:t>
            </w:r>
          </w:p>
          <w:p w14:paraId="266590E5" w14:textId="77777777" w:rsidR="00BE3A19" w:rsidRPr="00317ABF" w:rsidRDefault="00BE3A19" w:rsidP="00BE3A19">
            <w:pPr>
              <w:jc w:val="both"/>
              <w:rPr>
                <w:bCs/>
                <w:sz w:val="22"/>
                <w:szCs w:val="22"/>
              </w:rPr>
            </w:pPr>
            <w:r w:rsidRPr="00317ABF">
              <w:rPr>
                <w:bCs/>
                <w:sz w:val="22"/>
                <w:szCs w:val="22"/>
              </w:rPr>
              <w:t>3. W decyzji, o której mowa w ust. 1, Prezes UKE:</w:t>
            </w:r>
          </w:p>
          <w:p w14:paraId="21745857" w14:textId="77777777" w:rsidR="00BE3A19" w:rsidRPr="00317ABF" w:rsidRDefault="00BE3A19" w:rsidP="00BE3A19">
            <w:pPr>
              <w:jc w:val="both"/>
              <w:rPr>
                <w:bCs/>
                <w:sz w:val="22"/>
                <w:szCs w:val="22"/>
              </w:rPr>
            </w:pPr>
            <w:r w:rsidRPr="00317ABF">
              <w:rPr>
                <w:bCs/>
                <w:sz w:val="22"/>
                <w:szCs w:val="22"/>
              </w:rPr>
              <w:t>1)</w:t>
            </w:r>
            <w:r w:rsidRPr="00317ABF">
              <w:rPr>
                <w:bCs/>
                <w:sz w:val="22"/>
                <w:szCs w:val="22"/>
              </w:rPr>
              <w:tab/>
              <w:t>określa termin publikacji informacji, o których mowa w ust. 1 i 2;</w:t>
            </w:r>
          </w:p>
          <w:p w14:paraId="076DCF76" w14:textId="77777777" w:rsidR="00BE3A19" w:rsidRPr="00317ABF" w:rsidRDefault="00BE3A19" w:rsidP="00BE3A19">
            <w:pPr>
              <w:jc w:val="both"/>
              <w:rPr>
                <w:bCs/>
                <w:sz w:val="22"/>
                <w:szCs w:val="22"/>
              </w:rPr>
            </w:pPr>
            <w:r w:rsidRPr="00317ABF">
              <w:rPr>
                <w:bCs/>
                <w:sz w:val="22"/>
                <w:szCs w:val="22"/>
              </w:rPr>
              <w:t>2)</w:t>
            </w:r>
            <w:r w:rsidRPr="00317ABF">
              <w:rPr>
                <w:bCs/>
                <w:sz w:val="22"/>
                <w:szCs w:val="22"/>
              </w:rPr>
              <w:tab/>
              <w:t>może zażądać przekazania informacji, o których mowa w ust. 1 i 2, przed ich opublikowaniem.</w:t>
            </w:r>
          </w:p>
          <w:p w14:paraId="07BD4E4E" w14:textId="44B2ED0E" w:rsidR="001E1112" w:rsidRPr="00317ABF" w:rsidRDefault="00BE3A19" w:rsidP="00BE3A19">
            <w:pPr>
              <w:jc w:val="both"/>
              <w:rPr>
                <w:sz w:val="22"/>
                <w:szCs w:val="22"/>
              </w:rPr>
            </w:pPr>
            <w:r w:rsidRPr="00317ABF">
              <w:rPr>
                <w:bCs/>
                <w:sz w:val="22"/>
                <w:szCs w:val="22"/>
              </w:rPr>
              <w:t>(…)</w:t>
            </w:r>
          </w:p>
        </w:tc>
      </w:tr>
      <w:tr w:rsidR="001E1112" w:rsidRPr="00317ABF" w14:paraId="49B1520C" w14:textId="77777777" w:rsidTr="7753F98D">
        <w:trPr>
          <w:gridAfter w:val="2"/>
          <w:wAfter w:w="175" w:type="dxa"/>
        </w:trPr>
        <w:tc>
          <w:tcPr>
            <w:tcW w:w="704" w:type="dxa"/>
          </w:tcPr>
          <w:p w14:paraId="7720C08B" w14:textId="77777777" w:rsidR="001E1112" w:rsidRPr="00317ABF" w:rsidRDefault="001E1112" w:rsidP="00DB3BEC">
            <w:pPr>
              <w:jc w:val="both"/>
              <w:rPr>
                <w:sz w:val="22"/>
                <w:szCs w:val="22"/>
              </w:rPr>
            </w:pPr>
            <w:r w:rsidRPr="00317ABF">
              <w:rPr>
                <w:sz w:val="22"/>
                <w:szCs w:val="22"/>
              </w:rPr>
              <w:lastRenderedPageBreak/>
              <w:t>Art. 104 ust. 2</w:t>
            </w:r>
          </w:p>
        </w:tc>
        <w:tc>
          <w:tcPr>
            <w:tcW w:w="4308" w:type="dxa"/>
          </w:tcPr>
          <w:p w14:paraId="671E0313" w14:textId="77777777" w:rsidR="001E1112" w:rsidRPr="00317ABF" w:rsidRDefault="001E1112" w:rsidP="00DB3BEC">
            <w:pPr>
              <w:spacing w:before="120"/>
              <w:jc w:val="both"/>
              <w:rPr>
                <w:sz w:val="22"/>
                <w:szCs w:val="22"/>
              </w:rPr>
            </w:pPr>
            <w:r w:rsidRPr="00317ABF">
              <w:rPr>
                <w:sz w:val="22"/>
                <w:szCs w:val="22"/>
              </w:rPr>
              <w:t>2.   Krajowe organy regulacyjne w porozumieniu z innymi właściwymi organami określają, uwzględniając w jak największym stopniu wytyczne BEREC, wskaźniki jakości usług, które mają być mierzone, odnośne metody ich pomiaru oraz treść, formę i sposób podawania informacji przeznaczonych do opublikowania, w tym ewentualne mechanizmy certyfikacji jakości. W stosownych przypadkach stosuje się wskaźniki, definicje i metody pomiaru określone w załączniku X.</w:t>
            </w:r>
          </w:p>
          <w:p w14:paraId="061D9240" w14:textId="77777777" w:rsidR="001E1112" w:rsidRPr="00317ABF" w:rsidRDefault="001E1112" w:rsidP="00DB3BEC">
            <w:pPr>
              <w:spacing w:before="120"/>
              <w:jc w:val="both"/>
              <w:rPr>
                <w:sz w:val="22"/>
                <w:szCs w:val="22"/>
              </w:rPr>
            </w:pPr>
            <w:r w:rsidRPr="00317ABF">
              <w:rPr>
                <w:sz w:val="22"/>
                <w:szCs w:val="22"/>
              </w:rPr>
              <w:t>Do dnia 21 czerwca 2020 r., aby przyczynić się do spójnego stosowania przepisów niniejszego ustępu oraz załącznika X, BEREC przyjmuje, po przeprowadzeniu konsultacji z zainteresowanymi stronami oraz w ścisłej współpracy z Komisją, wytyczne wyszczególniające odnośne wskaźniki jakości usług, w tym wskaźniki istotne dla użytkowników końcowych z niepełnosprawnościami, odnośne metody pomiaru, treść i formę publikacji informacji, a także w sprawie mechanizmów certyfikacji jakości.</w:t>
            </w:r>
          </w:p>
        </w:tc>
        <w:tc>
          <w:tcPr>
            <w:tcW w:w="986" w:type="dxa"/>
          </w:tcPr>
          <w:p w14:paraId="1E87A056" w14:textId="12A859BE" w:rsidR="001E1112" w:rsidRPr="00317ABF" w:rsidRDefault="001E1112" w:rsidP="00DB3BEC">
            <w:pPr>
              <w:jc w:val="both"/>
              <w:rPr>
                <w:sz w:val="22"/>
                <w:szCs w:val="22"/>
              </w:rPr>
            </w:pPr>
            <w:r w:rsidRPr="00317ABF">
              <w:rPr>
                <w:sz w:val="22"/>
                <w:szCs w:val="22"/>
              </w:rPr>
              <w:t>T</w:t>
            </w:r>
          </w:p>
        </w:tc>
        <w:tc>
          <w:tcPr>
            <w:tcW w:w="910" w:type="dxa"/>
          </w:tcPr>
          <w:p w14:paraId="4D078B8E" w14:textId="5ED0F58D" w:rsidR="001E1112" w:rsidRPr="00317ABF" w:rsidRDefault="00737033" w:rsidP="00DB3BEC">
            <w:pPr>
              <w:pStyle w:val="Tekstpodstawowy"/>
              <w:rPr>
                <w:b/>
                <w:noProof/>
                <w:sz w:val="22"/>
                <w:szCs w:val="22"/>
              </w:rPr>
            </w:pPr>
            <w:r w:rsidRPr="00317ABF">
              <w:rPr>
                <w:b/>
                <w:noProof/>
                <w:sz w:val="22"/>
                <w:szCs w:val="22"/>
              </w:rPr>
              <w:t>Art. 310</w:t>
            </w:r>
            <w:r w:rsidR="001E1112" w:rsidRPr="00317ABF">
              <w:rPr>
                <w:b/>
                <w:noProof/>
                <w:sz w:val="22"/>
                <w:szCs w:val="22"/>
              </w:rPr>
              <w:t xml:space="preserve"> ust. 4</w:t>
            </w:r>
          </w:p>
        </w:tc>
        <w:tc>
          <w:tcPr>
            <w:tcW w:w="6814" w:type="dxa"/>
            <w:gridSpan w:val="2"/>
          </w:tcPr>
          <w:p w14:paraId="5589B559" w14:textId="77777777" w:rsidR="00737033" w:rsidRPr="00317ABF" w:rsidRDefault="00737033" w:rsidP="00737033">
            <w:pPr>
              <w:jc w:val="both"/>
              <w:rPr>
                <w:b/>
                <w:sz w:val="22"/>
                <w:szCs w:val="22"/>
              </w:rPr>
            </w:pPr>
            <w:r w:rsidRPr="00317ABF">
              <w:rPr>
                <w:b/>
                <w:sz w:val="22"/>
                <w:szCs w:val="22"/>
              </w:rPr>
              <w:t>Art. 310</w:t>
            </w:r>
          </w:p>
          <w:p w14:paraId="326FE504" w14:textId="77777777" w:rsidR="00737033" w:rsidRPr="00317ABF" w:rsidRDefault="00737033" w:rsidP="00737033">
            <w:pPr>
              <w:jc w:val="both"/>
              <w:rPr>
                <w:sz w:val="22"/>
                <w:szCs w:val="22"/>
              </w:rPr>
            </w:pPr>
            <w:r w:rsidRPr="00317ABF">
              <w:rPr>
                <w:sz w:val="22"/>
                <w:szCs w:val="22"/>
              </w:rPr>
              <w:t>(…)</w:t>
            </w:r>
          </w:p>
          <w:p w14:paraId="6F40656A" w14:textId="77777777" w:rsidR="00737033" w:rsidRPr="00317ABF" w:rsidRDefault="00737033" w:rsidP="00737033">
            <w:pPr>
              <w:jc w:val="both"/>
              <w:rPr>
                <w:bCs/>
                <w:sz w:val="22"/>
                <w:szCs w:val="22"/>
              </w:rPr>
            </w:pPr>
            <w:r w:rsidRPr="00317ABF">
              <w:rPr>
                <w:bCs/>
                <w:sz w:val="22"/>
                <w:szCs w:val="22"/>
              </w:rPr>
              <w:t>4. Minister właściwy do spraw informatyzacji może określić, w drodze rozporządzenia, wskaźniki dotyczące jakości poszczególnych usług, metody pomiaru jakości usług oraz zakres informacji, formę i sposób ich publikowania, o których mowa w ust. 1, kierując się potrzebą zapewnienia użytkownikom końcowym dostępu do jasnych i zrozumiałych informacji.</w:t>
            </w:r>
          </w:p>
          <w:p w14:paraId="621DBB35" w14:textId="641FC906" w:rsidR="001E1112" w:rsidRPr="00317ABF" w:rsidRDefault="001E1112" w:rsidP="00737033">
            <w:pPr>
              <w:jc w:val="both"/>
              <w:rPr>
                <w:sz w:val="22"/>
                <w:szCs w:val="22"/>
              </w:rPr>
            </w:pPr>
          </w:p>
        </w:tc>
      </w:tr>
      <w:tr w:rsidR="001E1112" w:rsidRPr="00317ABF" w14:paraId="6B66F0B9" w14:textId="77777777" w:rsidTr="7753F98D">
        <w:trPr>
          <w:gridAfter w:val="2"/>
          <w:wAfter w:w="175" w:type="dxa"/>
        </w:trPr>
        <w:tc>
          <w:tcPr>
            <w:tcW w:w="704" w:type="dxa"/>
          </w:tcPr>
          <w:p w14:paraId="04C002D1" w14:textId="09B18B45" w:rsidR="001E1112" w:rsidRPr="00317ABF" w:rsidRDefault="001E1112" w:rsidP="00DB3BEC">
            <w:pPr>
              <w:jc w:val="both"/>
              <w:rPr>
                <w:b/>
                <w:sz w:val="22"/>
                <w:szCs w:val="22"/>
              </w:rPr>
            </w:pPr>
            <w:r w:rsidRPr="00317ABF">
              <w:rPr>
                <w:b/>
                <w:sz w:val="22"/>
                <w:szCs w:val="22"/>
              </w:rPr>
              <w:t>Art. 105</w:t>
            </w:r>
          </w:p>
        </w:tc>
        <w:tc>
          <w:tcPr>
            <w:tcW w:w="4308" w:type="dxa"/>
          </w:tcPr>
          <w:p w14:paraId="4370BDE3" w14:textId="77777777" w:rsidR="001E1112" w:rsidRPr="00317ABF" w:rsidRDefault="001E1112" w:rsidP="00DB3BEC">
            <w:pPr>
              <w:spacing w:before="120"/>
              <w:jc w:val="both"/>
              <w:rPr>
                <w:sz w:val="22"/>
                <w:szCs w:val="22"/>
              </w:rPr>
            </w:pPr>
            <w:r w:rsidRPr="00317ABF">
              <w:rPr>
                <w:b/>
                <w:bCs/>
                <w:sz w:val="22"/>
                <w:szCs w:val="22"/>
              </w:rPr>
              <w:t>Okres obowiązywania umowy i rozwiązanie umowy</w:t>
            </w:r>
          </w:p>
        </w:tc>
        <w:tc>
          <w:tcPr>
            <w:tcW w:w="986" w:type="dxa"/>
          </w:tcPr>
          <w:p w14:paraId="4C12438A" w14:textId="77777777" w:rsidR="001E1112" w:rsidRPr="00317ABF" w:rsidRDefault="001E1112" w:rsidP="00DB3BEC">
            <w:pPr>
              <w:jc w:val="both"/>
              <w:rPr>
                <w:sz w:val="22"/>
                <w:szCs w:val="22"/>
              </w:rPr>
            </w:pPr>
          </w:p>
        </w:tc>
        <w:tc>
          <w:tcPr>
            <w:tcW w:w="910" w:type="dxa"/>
          </w:tcPr>
          <w:p w14:paraId="3FCC4F5F" w14:textId="77777777" w:rsidR="001E1112" w:rsidRPr="00317ABF" w:rsidRDefault="001E1112" w:rsidP="00DB3BEC">
            <w:pPr>
              <w:pStyle w:val="Tekstpodstawowy"/>
              <w:rPr>
                <w:b/>
                <w:noProof/>
                <w:sz w:val="22"/>
                <w:szCs w:val="22"/>
              </w:rPr>
            </w:pPr>
          </w:p>
        </w:tc>
        <w:tc>
          <w:tcPr>
            <w:tcW w:w="6814" w:type="dxa"/>
            <w:gridSpan w:val="2"/>
          </w:tcPr>
          <w:p w14:paraId="64F4B3CC" w14:textId="77777777" w:rsidR="001E1112" w:rsidRPr="00317ABF" w:rsidRDefault="001E1112" w:rsidP="00DB3BEC">
            <w:pPr>
              <w:pStyle w:val="Tekstpodstawowy"/>
              <w:rPr>
                <w:sz w:val="22"/>
                <w:szCs w:val="22"/>
              </w:rPr>
            </w:pPr>
          </w:p>
        </w:tc>
      </w:tr>
      <w:tr w:rsidR="001E1112" w:rsidRPr="00317ABF" w14:paraId="7F3737F4" w14:textId="77777777" w:rsidTr="7753F98D">
        <w:trPr>
          <w:gridAfter w:val="2"/>
          <w:wAfter w:w="175" w:type="dxa"/>
        </w:trPr>
        <w:tc>
          <w:tcPr>
            <w:tcW w:w="704" w:type="dxa"/>
          </w:tcPr>
          <w:p w14:paraId="76550D79" w14:textId="77777777" w:rsidR="001E1112" w:rsidRPr="00317ABF" w:rsidRDefault="001E1112" w:rsidP="00DB3BEC">
            <w:pPr>
              <w:jc w:val="both"/>
              <w:rPr>
                <w:sz w:val="22"/>
                <w:szCs w:val="22"/>
              </w:rPr>
            </w:pPr>
            <w:r w:rsidRPr="00317ABF">
              <w:rPr>
                <w:sz w:val="22"/>
                <w:szCs w:val="22"/>
              </w:rPr>
              <w:lastRenderedPageBreak/>
              <w:t>Art. 105 ust. 1</w:t>
            </w:r>
          </w:p>
        </w:tc>
        <w:tc>
          <w:tcPr>
            <w:tcW w:w="4308" w:type="dxa"/>
          </w:tcPr>
          <w:p w14:paraId="049E9EB7" w14:textId="578B1799" w:rsidR="001E1112" w:rsidRPr="00317ABF" w:rsidRDefault="001E1112" w:rsidP="00DB3BEC">
            <w:pPr>
              <w:spacing w:before="120"/>
              <w:jc w:val="both"/>
              <w:rPr>
                <w:sz w:val="22"/>
                <w:szCs w:val="22"/>
              </w:rPr>
            </w:pPr>
            <w:r w:rsidRPr="00317ABF">
              <w:rPr>
                <w:sz w:val="22"/>
                <w:szCs w:val="22"/>
              </w:rPr>
              <w:t>1.   Państwa członkowskie zapewn</w:t>
            </w:r>
            <w:r w:rsidR="00FE5E2A" w:rsidRPr="00317ABF">
              <w:rPr>
                <w:sz w:val="22"/>
                <w:szCs w:val="22"/>
              </w:rPr>
              <w:t>iają, aby warunki i procedury regulujące</w:t>
            </w:r>
            <w:r w:rsidRPr="00317ABF">
              <w:rPr>
                <w:sz w:val="22"/>
                <w:szCs w:val="22"/>
              </w:rPr>
              <w:t xml:space="preserve"> rozwiązanie umowy nie zniechęcały do zmiany podmiotu świadczącego usługi oraz aby umowy zawierane między konsumentami a dostawcami świadczącymi publicznie dostępne usługi łączności elektronicznej inne niż usługi łączności interpersonalnej niewykorzystujące numerów oraz inne niż usługi transmisji używane do świadczenia usług łączności maszyna–maszyna przewidywały okres zobowiązania nie dłuższy niż 24 miesiące. Państwa członkowskie mogą przyjąć lub utrzymać przepisy zezwalające na krótsze maksymalne okresy zobowiązania umownego.</w:t>
            </w:r>
          </w:p>
          <w:p w14:paraId="3129C157" w14:textId="77777777" w:rsidR="001E1112" w:rsidRPr="00317ABF" w:rsidRDefault="001E1112" w:rsidP="00DB3BEC">
            <w:pPr>
              <w:spacing w:before="120"/>
              <w:jc w:val="both"/>
              <w:rPr>
                <w:sz w:val="22"/>
                <w:szCs w:val="22"/>
              </w:rPr>
            </w:pPr>
            <w:r w:rsidRPr="00317ABF">
              <w:rPr>
                <w:sz w:val="22"/>
                <w:szCs w:val="22"/>
              </w:rPr>
              <w:t>Niniejszy ustęp nie ma zastosowania do okresu obowiązywania umowy ratalnej, w sytuacji gdy konsument zgodził się w odrębnej umowie na płatności ratalne wyłącznie za uruchomienie fizycznego łącza, w szczególności do sieci o bardzo dużej przepustowości. Umowa ratalna o uruchomienie fizycznego łącza nie obejmuje urządzeń końcowych, takich jak router lub modem, i nie uniemożliwia konsumentom korzystania z praw przysługujących im na mocy niniejszego artykułu.</w:t>
            </w:r>
          </w:p>
        </w:tc>
        <w:tc>
          <w:tcPr>
            <w:tcW w:w="986" w:type="dxa"/>
          </w:tcPr>
          <w:p w14:paraId="3D42F08D" w14:textId="42D1B926" w:rsidR="001E1112" w:rsidRPr="00317ABF" w:rsidRDefault="001E1112" w:rsidP="00DB3BEC">
            <w:pPr>
              <w:jc w:val="both"/>
              <w:rPr>
                <w:sz w:val="22"/>
                <w:szCs w:val="22"/>
              </w:rPr>
            </w:pPr>
            <w:r w:rsidRPr="00317ABF">
              <w:rPr>
                <w:sz w:val="22"/>
                <w:szCs w:val="22"/>
              </w:rPr>
              <w:t>T</w:t>
            </w:r>
          </w:p>
        </w:tc>
        <w:tc>
          <w:tcPr>
            <w:tcW w:w="910" w:type="dxa"/>
          </w:tcPr>
          <w:p w14:paraId="2CB7085F" w14:textId="7DCAD913" w:rsidR="001E1112" w:rsidRPr="00317ABF" w:rsidRDefault="00FE5E2A" w:rsidP="00DB3BEC">
            <w:pPr>
              <w:pStyle w:val="Tekstpodstawowy"/>
              <w:rPr>
                <w:b/>
                <w:noProof/>
                <w:sz w:val="22"/>
                <w:szCs w:val="22"/>
              </w:rPr>
            </w:pPr>
            <w:r w:rsidRPr="00317ABF">
              <w:rPr>
                <w:b/>
                <w:noProof/>
                <w:sz w:val="22"/>
                <w:szCs w:val="22"/>
              </w:rPr>
              <w:t>Art. 29</w:t>
            </w:r>
            <w:r w:rsidR="001E1112" w:rsidRPr="00317ABF">
              <w:rPr>
                <w:b/>
                <w:noProof/>
                <w:sz w:val="22"/>
                <w:szCs w:val="22"/>
              </w:rPr>
              <w:t>5</w:t>
            </w:r>
          </w:p>
        </w:tc>
        <w:tc>
          <w:tcPr>
            <w:tcW w:w="6814" w:type="dxa"/>
            <w:gridSpan w:val="2"/>
          </w:tcPr>
          <w:p w14:paraId="3DC238E2" w14:textId="77777777" w:rsidR="00FE5E2A" w:rsidRPr="00317ABF" w:rsidRDefault="00FE5E2A" w:rsidP="00FE5E2A">
            <w:pPr>
              <w:jc w:val="both"/>
              <w:rPr>
                <w:sz w:val="22"/>
                <w:szCs w:val="22"/>
                <w:lang w:eastAsia="en-US"/>
              </w:rPr>
            </w:pPr>
            <w:r w:rsidRPr="00317ABF">
              <w:rPr>
                <w:b/>
                <w:sz w:val="22"/>
                <w:szCs w:val="22"/>
                <w:lang w:eastAsia="en-US"/>
              </w:rPr>
              <w:t>Art. 295.</w:t>
            </w:r>
            <w:r w:rsidRPr="00317ABF">
              <w:rPr>
                <w:sz w:val="22"/>
                <w:szCs w:val="22"/>
                <w:lang w:eastAsia="en-US"/>
              </w:rPr>
              <w:t xml:space="preserve"> </w:t>
            </w:r>
          </w:p>
          <w:p w14:paraId="5572DA88" w14:textId="5F0D0BF8" w:rsidR="00FE5E2A" w:rsidRPr="00317ABF" w:rsidRDefault="00FE5E2A" w:rsidP="00FE5E2A">
            <w:pPr>
              <w:jc w:val="both"/>
              <w:rPr>
                <w:sz w:val="22"/>
                <w:szCs w:val="22"/>
                <w:lang w:eastAsia="en-US"/>
              </w:rPr>
            </w:pPr>
            <w:r w:rsidRPr="00317ABF">
              <w:rPr>
                <w:sz w:val="22"/>
                <w:szCs w:val="22"/>
                <w:lang w:eastAsia="en-US"/>
              </w:rPr>
              <w:t>1. W przypadku konsumenta okres obowiązywania umowy określony w umowie o świadczenie usług komunikacji elektronicznej w zakresie usług telekomunikacyjnych, z wyłączeniem usług transmisji danych używanych do świadczenia usług komunikacji maszyna-maszyna, zawieranej na czas określony nie może być dłuższy niż 24 miesiące.</w:t>
            </w:r>
          </w:p>
          <w:p w14:paraId="32366FDE" w14:textId="77777777" w:rsidR="00FE5E2A" w:rsidRPr="00317ABF" w:rsidRDefault="00FE5E2A" w:rsidP="00FE5E2A">
            <w:pPr>
              <w:jc w:val="both"/>
              <w:rPr>
                <w:bCs/>
                <w:sz w:val="22"/>
                <w:szCs w:val="22"/>
                <w:lang w:eastAsia="en-US"/>
              </w:rPr>
            </w:pPr>
            <w:r w:rsidRPr="00317ABF">
              <w:rPr>
                <w:bCs/>
                <w:sz w:val="22"/>
                <w:szCs w:val="22"/>
                <w:lang w:eastAsia="en-US"/>
              </w:rPr>
              <w:t>2. Dostawca usług telekomunikacyjnych zapewnia użytkownikowi końcowemu możliwość zawarcia umowy, o której mowa w ust. 1, również na okres nie dłuższy niż 12 miesięcy.</w:t>
            </w:r>
          </w:p>
          <w:p w14:paraId="768FAEA2" w14:textId="77777777" w:rsidR="001E1112" w:rsidRPr="00317ABF" w:rsidRDefault="001E1112" w:rsidP="00DB3BEC">
            <w:pPr>
              <w:jc w:val="both"/>
              <w:rPr>
                <w:sz w:val="22"/>
                <w:szCs w:val="22"/>
              </w:rPr>
            </w:pPr>
          </w:p>
        </w:tc>
      </w:tr>
      <w:tr w:rsidR="001E1112" w:rsidRPr="00317ABF" w14:paraId="317B7F1A" w14:textId="77777777" w:rsidTr="7753F98D">
        <w:trPr>
          <w:gridAfter w:val="2"/>
          <w:wAfter w:w="175" w:type="dxa"/>
        </w:trPr>
        <w:tc>
          <w:tcPr>
            <w:tcW w:w="704" w:type="dxa"/>
          </w:tcPr>
          <w:p w14:paraId="79439DE1" w14:textId="77777777" w:rsidR="001E1112" w:rsidRPr="00317ABF" w:rsidRDefault="001E1112" w:rsidP="00DB3BEC">
            <w:pPr>
              <w:jc w:val="both"/>
              <w:rPr>
                <w:sz w:val="22"/>
                <w:szCs w:val="22"/>
              </w:rPr>
            </w:pPr>
            <w:r w:rsidRPr="00317ABF">
              <w:rPr>
                <w:sz w:val="22"/>
                <w:szCs w:val="22"/>
              </w:rPr>
              <w:t>Art. 105 ust. 2</w:t>
            </w:r>
          </w:p>
        </w:tc>
        <w:tc>
          <w:tcPr>
            <w:tcW w:w="4308" w:type="dxa"/>
          </w:tcPr>
          <w:p w14:paraId="44227E00" w14:textId="77777777" w:rsidR="001E1112" w:rsidRPr="00317ABF" w:rsidRDefault="001E1112" w:rsidP="00DB3BEC">
            <w:pPr>
              <w:spacing w:before="120"/>
              <w:jc w:val="both"/>
              <w:rPr>
                <w:sz w:val="22"/>
                <w:szCs w:val="22"/>
              </w:rPr>
            </w:pPr>
            <w:r w:rsidRPr="00317ABF">
              <w:rPr>
                <w:sz w:val="22"/>
                <w:szCs w:val="22"/>
              </w:rPr>
              <w:t>2.   Ust. 1 stosuje się również do użytkowników końcowych, którzy są mikroprzedsiębiorstwami, małymi przedsiębiorstwami lub organizacjami non-profit, chyba że wyraźnie zgodzili się oni, by odnośne przepisy nie miały do nich zastosowania.</w:t>
            </w:r>
          </w:p>
        </w:tc>
        <w:tc>
          <w:tcPr>
            <w:tcW w:w="986" w:type="dxa"/>
          </w:tcPr>
          <w:p w14:paraId="5615A601" w14:textId="1DECBFFF" w:rsidR="001E1112" w:rsidRPr="00317ABF" w:rsidRDefault="001E1112" w:rsidP="00DB3BEC">
            <w:pPr>
              <w:jc w:val="both"/>
              <w:rPr>
                <w:sz w:val="22"/>
                <w:szCs w:val="22"/>
              </w:rPr>
            </w:pPr>
            <w:r w:rsidRPr="00317ABF">
              <w:rPr>
                <w:sz w:val="22"/>
                <w:szCs w:val="22"/>
              </w:rPr>
              <w:t>T</w:t>
            </w:r>
          </w:p>
        </w:tc>
        <w:tc>
          <w:tcPr>
            <w:tcW w:w="910" w:type="dxa"/>
          </w:tcPr>
          <w:p w14:paraId="5ED1B1AC" w14:textId="249A94DB" w:rsidR="001E1112" w:rsidRPr="00317ABF" w:rsidRDefault="00F5352E" w:rsidP="00DB3BEC">
            <w:pPr>
              <w:pStyle w:val="Tekstpodstawowy"/>
              <w:rPr>
                <w:b/>
                <w:noProof/>
                <w:sz w:val="22"/>
                <w:szCs w:val="22"/>
              </w:rPr>
            </w:pPr>
            <w:r w:rsidRPr="00317ABF">
              <w:rPr>
                <w:b/>
                <w:noProof/>
                <w:sz w:val="22"/>
                <w:szCs w:val="22"/>
              </w:rPr>
              <w:t>Art. 287</w:t>
            </w:r>
          </w:p>
        </w:tc>
        <w:tc>
          <w:tcPr>
            <w:tcW w:w="6814" w:type="dxa"/>
            <w:gridSpan w:val="2"/>
          </w:tcPr>
          <w:p w14:paraId="29A9E0D2" w14:textId="77777777" w:rsidR="00F5352E" w:rsidRPr="00317ABF" w:rsidRDefault="00F5352E" w:rsidP="00F5352E">
            <w:pPr>
              <w:jc w:val="both"/>
              <w:rPr>
                <w:sz w:val="22"/>
                <w:szCs w:val="22"/>
              </w:rPr>
            </w:pPr>
            <w:r w:rsidRPr="00317ABF">
              <w:rPr>
                <w:b/>
                <w:sz w:val="22"/>
                <w:szCs w:val="22"/>
              </w:rPr>
              <w:t>Art. 287.</w:t>
            </w:r>
            <w:r w:rsidRPr="00317ABF">
              <w:rPr>
                <w:sz w:val="22"/>
                <w:szCs w:val="22"/>
              </w:rPr>
              <w:t xml:space="preserve"> </w:t>
            </w:r>
          </w:p>
          <w:p w14:paraId="121DD064" w14:textId="7522A670" w:rsidR="00F5352E" w:rsidRPr="00317ABF" w:rsidRDefault="00F5352E" w:rsidP="00F5352E">
            <w:pPr>
              <w:jc w:val="both"/>
              <w:rPr>
                <w:sz w:val="22"/>
                <w:szCs w:val="22"/>
              </w:rPr>
            </w:pPr>
            <w:r w:rsidRPr="00317ABF">
              <w:rPr>
                <w:sz w:val="22"/>
                <w:szCs w:val="22"/>
              </w:rPr>
              <w:t xml:space="preserve">1. Przepisy z </w:t>
            </w:r>
            <w:r w:rsidRPr="00317ABF" w:rsidDel="003A08F8">
              <w:rPr>
                <w:sz w:val="22"/>
                <w:szCs w:val="22"/>
              </w:rPr>
              <w:t xml:space="preserve">art. </w:t>
            </w:r>
            <w:r w:rsidRPr="00317ABF">
              <w:rPr>
                <w:sz w:val="22"/>
                <w:szCs w:val="22"/>
              </w:rPr>
              <w:t xml:space="preserve">279-282, art. 286, art. 296 ust. 1, art. 299 ust. 1 i 3 oraz art. 311 stosuje się odpowiednio do użytkownika końcowego będącego mikroprzedsiębiorcą, małym przedsiębiorcą lub organizacją pozarządową w rozumieniu art. 3 ust. 2 ustawy z dnia 24 kwietnia 2003 r. o działalności pożytku publicznego i o wolontariacie (Dz. U. z 2019 r. poz. 688), chyba że wyraził on, najpóźniej w chwili zawarcia umowy o świadczenie usług komunikacji elektronicznej, zgodę na to, że przepisy te nie będą miały do niego zastosowania. </w:t>
            </w:r>
          </w:p>
          <w:p w14:paraId="0C9EB1CA" w14:textId="4D5801D6" w:rsidR="001E1112" w:rsidRPr="00317ABF" w:rsidRDefault="00F5352E" w:rsidP="00DB3BEC">
            <w:pPr>
              <w:jc w:val="both"/>
              <w:rPr>
                <w:sz w:val="22"/>
                <w:szCs w:val="22"/>
              </w:rPr>
            </w:pPr>
            <w:r w:rsidRPr="00317ABF">
              <w:rPr>
                <w:sz w:val="22"/>
                <w:szCs w:val="22"/>
              </w:rPr>
              <w:t>2. Zgoda, o której mowa w ust. 1, może zostać wyrażona w umowie o świadczenie usług komunikacji elektronicznej.</w:t>
            </w:r>
          </w:p>
        </w:tc>
      </w:tr>
      <w:tr w:rsidR="001E1112" w:rsidRPr="00317ABF" w14:paraId="750D988F" w14:textId="77777777" w:rsidTr="7753F98D">
        <w:trPr>
          <w:gridAfter w:val="2"/>
          <w:wAfter w:w="175" w:type="dxa"/>
        </w:trPr>
        <w:tc>
          <w:tcPr>
            <w:tcW w:w="704" w:type="dxa"/>
          </w:tcPr>
          <w:p w14:paraId="7C422BA2" w14:textId="77777777" w:rsidR="001E1112" w:rsidRPr="00317ABF" w:rsidRDefault="001E1112" w:rsidP="00DB3BEC">
            <w:pPr>
              <w:jc w:val="both"/>
              <w:rPr>
                <w:sz w:val="22"/>
                <w:szCs w:val="22"/>
              </w:rPr>
            </w:pPr>
            <w:r w:rsidRPr="00317ABF">
              <w:rPr>
                <w:sz w:val="22"/>
                <w:szCs w:val="22"/>
              </w:rPr>
              <w:lastRenderedPageBreak/>
              <w:t>Art. 105 ust. 3</w:t>
            </w:r>
          </w:p>
        </w:tc>
        <w:tc>
          <w:tcPr>
            <w:tcW w:w="4308" w:type="dxa"/>
          </w:tcPr>
          <w:p w14:paraId="5CB974DC" w14:textId="77777777" w:rsidR="001E1112" w:rsidRPr="00317ABF" w:rsidRDefault="001E1112" w:rsidP="00DB3BEC">
            <w:pPr>
              <w:spacing w:before="120"/>
              <w:jc w:val="both"/>
              <w:rPr>
                <w:sz w:val="22"/>
                <w:szCs w:val="22"/>
              </w:rPr>
            </w:pPr>
            <w:r w:rsidRPr="00317ABF">
              <w:rPr>
                <w:sz w:val="22"/>
                <w:szCs w:val="22"/>
              </w:rPr>
              <w:t>3.   W przypadku gdy postanowienia umowy lub przepisy prawa krajowego przewidują automatyczne przedłużenie zawartej na czas określony umowy o usługę łączności elektronicznej inną niż usługi łączności interpersonalnej niewykorzystujące numerów oraz inną niż usługi transmisji używane do świadczenia usług łączności maszyna–maszyna, państwa członkowskie zapewniają, aby po takim przedłużeniu z zastosowaniem okresu wypowiedzenia określonego przez państwa członkowskie, nie dłuższego nić miesiąc, bez ponoszenia jakichkolwiek kosztów, z wyjątkiem kosztu otrzymywania usługi podczas okresu wypowiedzenia. Przed automatycznym przedłużeniem umowy dostawcy – w sposób wyraźny i w odpowiednim czasie oraz na trwałym nośniku – informują użytkowników końcowych o wygaśnięciu zobowiązania umownego i o sposobach rozwiązania umowy. Ponadto dostawca jednocześnie udziela użytkownikom końcowym porad na temat najlepszych taryf dotyczących jego usług. Dostawcy przekazują użytkownikom końcowym informacje o najlepszych taryfach co najmniej raz do roku.</w:t>
            </w:r>
          </w:p>
        </w:tc>
        <w:tc>
          <w:tcPr>
            <w:tcW w:w="986" w:type="dxa"/>
          </w:tcPr>
          <w:p w14:paraId="5BF51BBB" w14:textId="50D7CA94" w:rsidR="001E1112" w:rsidRPr="00317ABF" w:rsidRDefault="001E1112" w:rsidP="00DB3BEC">
            <w:pPr>
              <w:jc w:val="both"/>
              <w:rPr>
                <w:sz w:val="22"/>
                <w:szCs w:val="22"/>
              </w:rPr>
            </w:pPr>
            <w:r w:rsidRPr="00317ABF">
              <w:rPr>
                <w:sz w:val="22"/>
                <w:szCs w:val="22"/>
              </w:rPr>
              <w:t>T</w:t>
            </w:r>
          </w:p>
        </w:tc>
        <w:tc>
          <w:tcPr>
            <w:tcW w:w="910" w:type="dxa"/>
          </w:tcPr>
          <w:p w14:paraId="6AF0C08D" w14:textId="3E9EAA22" w:rsidR="001E1112" w:rsidRPr="00317ABF" w:rsidRDefault="007B2500" w:rsidP="00DB3BEC">
            <w:pPr>
              <w:pStyle w:val="Tekstpodstawowy"/>
              <w:rPr>
                <w:b/>
                <w:noProof/>
                <w:sz w:val="22"/>
                <w:szCs w:val="22"/>
              </w:rPr>
            </w:pPr>
            <w:r w:rsidRPr="00317ABF">
              <w:rPr>
                <w:b/>
                <w:noProof/>
                <w:sz w:val="22"/>
                <w:szCs w:val="22"/>
              </w:rPr>
              <w:t>Art. 29</w:t>
            </w:r>
            <w:r w:rsidR="001E1112" w:rsidRPr="00317ABF">
              <w:rPr>
                <w:b/>
                <w:noProof/>
                <w:sz w:val="22"/>
                <w:szCs w:val="22"/>
              </w:rPr>
              <w:t>6</w:t>
            </w:r>
          </w:p>
        </w:tc>
        <w:tc>
          <w:tcPr>
            <w:tcW w:w="6814" w:type="dxa"/>
            <w:gridSpan w:val="2"/>
          </w:tcPr>
          <w:p w14:paraId="2C112B24" w14:textId="77777777" w:rsidR="007B2500" w:rsidRPr="00317ABF" w:rsidRDefault="007B2500" w:rsidP="007B2500">
            <w:pPr>
              <w:pStyle w:val="Tekstpodstawowy"/>
              <w:rPr>
                <w:sz w:val="22"/>
                <w:szCs w:val="22"/>
              </w:rPr>
            </w:pPr>
            <w:r w:rsidRPr="00317ABF">
              <w:rPr>
                <w:rFonts w:ascii="Times" w:eastAsiaTheme="minorEastAsia" w:hAnsi="Times" w:cs="Times"/>
                <w:b/>
                <w:sz w:val="24"/>
              </w:rPr>
              <w:t xml:space="preserve"> </w:t>
            </w:r>
            <w:r w:rsidRPr="00317ABF">
              <w:rPr>
                <w:b/>
                <w:sz w:val="22"/>
                <w:szCs w:val="22"/>
              </w:rPr>
              <w:t>Art. 296.</w:t>
            </w:r>
            <w:r w:rsidRPr="00317ABF">
              <w:rPr>
                <w:sz w:val="22"/>
                <w:szCs w:val="22"/>
              </w:rPr>
              <w:t xml:space="preserve"> </w:t>
            </w:r>
          </w:p>
          <w:p w14:paraId="507C40A8" w14:textId="7C75C922" w:rsidR="007B2500" w:rsidRPr="00317ABF" w:rsidRDefault="007B2500" w:rsidP="007B2500">
            <w:pPr>
              <w:pStyle w:val="Tekstpodstawowy"/>
              <w:rPr>
                <w:sz w:val="22"/>
                <w:szCs w:val="22"/>
              </w:rPr>
            </w:pPr>
            <w:r w:rsidRPr="00317ABF">
              <w:rPr>
                <w:sz w:val="22"/>
                <w:szCs w:val="22"/>
              </w:rPr>
              <w:t>1. Abonent może wypowiedzieć w każdym czasie z zachowaniem miesięcznego okresu wypowiedzenia, umowę o świadczenie usług komunikacji elektronicznej w zakresie usług telekomunikacyjnych, z wyłączeniem usług transmisji danych używanych do świadczenia usług komunikacji maszyna-maszyna, która po upływie okresu, na jaki została zawarta, ze względu na brak przeciwnego oświadczenia abonenta, uległa automatycznemu przedłużeniu. W okresie wypowiedzenia abonent ponosi jedynie opłaty za świadczenie usług telekomunikacyjnych objętych umową lub zamówionych w czasie trwania umowy pakietów taryfowych lub dodatkowych opcji usług.</w:t>
            </w:r>
          </w:p>
          <w:p w14:paraId="49C95ED9" w14:textId="77777777" w:rsidR="007B2500" w:rsidRPr="00317ABF" w:rsidRDefault="007B2500" w:rsidP="007B2500">
            <w:pPr>
              <w:pStyle w:val="Tekstpodstawowy"/>
              <w:rPr>
                <w:bCs/>
                <w:sz w:val="22"/>
                <w:szCs w:val="22"/>
              </w:rPr>
            </w:pPr>
            <w:r w:rsidRPr="00317ABF">
              <w:rPr>
                <w:bCs/>
                <w:sz w:val="22"/>
                <w:szCs w:val="22"/>
              </w:rPr>
              <w:t>2. Przed automatycznym przedłużeniem umowy, o której mowa w ust. 1</w:t>
            </w:r>
            <w:r w:rsidRPr="00317ABF" w:rsidDel="00AD775D">
              <w:rPr>
                <w:bCs/>
                <w:sz w:val="22"/>
                <w:szCs w:val="22"/>
              </w:rPr>
              <w:t>,</w:t>
            </w:r>
            <w:r w:rsidRPr="00317ABF">
              <w:rPr>
                <w:bCs/>
                <w:sz w:val="22"/>
                <w:szCs w:val="22"/>
              </w:rPr>
              <w:t xml:space="preserve"> dostawca usług telekomunikacyjnych doręcza abonentowi na trwałym nośniku, w terminie nie później niż 30 dni przed upływem okresu na jaki umowa została zawarta, jasne i zrozumiałe informacje o automatycznym przedłużeniu umowy, sposobach jej wypowiedzenia, a także najkorzystniejszych oferowanych przez siebie pakietach taryfowych.</w:t>
            </w:r>
          </w:p>
          <w:p w14:paraId="4D48814C" w14:textId="77777777" w:rsidR="007B2500" w:rsidRPr="00317ABF" w:rsidRDefault="007B2500" w:rsidP="007B2500">
            <w:pPr>
              <w:pStyle w:val="Tekstpodstawowy"/>
              <w:rPr>
                <w:bCs/>
                <w:sz w:val="22"/>
                <w:szCs w:val="22"/>
              </w:rPr>
            </w:pPr>
            <w:r w:rsidRPr="00317ABF">
              <w:rPr>
                <w:bCs/>
                <w:sz w:val="22"/>
                <w:szCs w:val="22"/>
              </w:rPr>
              <w:t>3. W przypadku, gdy umowa, o której mowa w ust. 1, uległa automatycznemu przedłużeniu dostawca usług telekomunikacyjnych, co najmniej raz w roku, informuje abonenta o najkorzystniejszych oferowanych przez siebie pakietach taryfowych.</w:t>
            </w:r>
          </w:p>
          <w:p w14:paraId="160DCD02" w14:textId="238ADFBC" w:rsidR="001E1112" w:rsidRPr="00317ABF" w:rsidRDefault="001E1112" w:rsidP="00DB3BEC">
            <w:pPr>
              <w:jc w:val="both"/>
              <w:rPr>
                <w:sz w:val="22"/>
                <w:szCs w:val="22"/>
              </w:rPr>
            </w:pPr>
          </w:p>
        </w:tc>
      </w:tr>
      <w:tr w:rsidR="001E1112" w:rsidRPr="00317ABF" w14:paraId="2E4EC3CE" w14:textId="77777777" w:rsidTr="7753F98D">
        <w:trPr>
          <w:gridAfter w:val="2"/>
          <w:wAfter w:w="175" w:type="dxa"/>
        </w:trPr>
        <w:tc>
          <w:tcPr>
            <w:tcW w:w="704" w:type="dxa"/>
          </w:tcPr>
          <w:p w14:paraId="5790FFE6" w14:textId="77777777" w:rsidR="001E1112" w:rsidRPr="00317ABF" w:rsidRDefault="001E1112" w:rsidP="00DB3BEC">
            <w:pPr>
              <w:jc w:val="both"/>
              <w:rPr>
                <w:sz w:val="22"/>
                <w:szCs w:val="22"/>
              </w:rPr>
            </w:pPr>
            <w:r w:rsidRPr="00317ABF">
              <w:rPr>
                <w:sz w:val="22"/>
                <w:szCs w:val="22"/>
              </w:rPr>
              <w:t>Art. 105 ust. 4</w:t>
            </w:r>
          </w:p>
        </w:tc>
        <w:tc>
          <w:tcPr>
            <w:tcW w:w="4308" w:type="dxa"/>
          </w:tcPr>
          <w:p w14:paraId="2E07A1FF" w14:textId="77777777" w:rsidR="001E1112" w:rsidRPr="00317ABF" w:rsidRDefault="001E1112" w:rsidP="00DB3BEC">
            <w:pPr>
              <w:spacing w:before="120"/>
              <w:jc w:val="both"/>
              <w:rPr>
                <w:sz w:val="22"/>
                <w:szCs w:val="22"/>
              </w:rPr>
            </w:pPr>
            <w:r w:rsidRPr="00317ABF">
              <w:rPr>
                <w:sz w:val="22"/>
                <w:szCs w:val="22"/>
              </w:rPr>
              <w:t xml:space="preserve">4.   Użytkownicy końcowi mają prawo rozwiązać swoją umowę bez ponoszenia jakichkolwiek dalszych kosztów z chwilą otrzymania zawiadomienia o zmianach warunków umownych proponowanych przez podmiot świadczący publicznie dostępne usługi łączności elektronicznej inne niż usługi łączności interpersonalnej niewykorzystujące numerów, chyba że proponowane zmiany są wyłącznie na korzyść użytkowników końcowych, mają charakter czysto administracyjny i nie wywołują negatywnych </w:t>
            </w:r>
            <w:r w:rsidRPr="00317ABF">
              <w:rPr>
                <w:sz w:val="22"/>
                <w:szCs w:val="22"/>
              </w:rPr>
              <w:lastRenderedPageBreak/>
              <w:t>skutków dla użytkowników końcowych lub są bezpośrednio nakładane przez przepisy unijne lub krajowe.</w:t>
            </w:r>
          </w:p>
          <w:p w14:paraId="1884516A" w14:textId="1F2AD762" w:rsidR="001E1112" w:rsidRPr="00317ABF" w:rsidRDefault="001E1112" w:rsidP="00DB3BEC">
            <w:pPr>
              <w:spacing w:before="120"/>
              <w:jc w:val="both"/>
              <w:rPr>
                <w:sz w:val="22"/>
                <w:szCs w:val="22"/>
              </w:rPr>
            </w:pPr>
            <w:r w:rsidRPr="00317ABF">
              <w:rPr>
                <w:sz w:val="22"/>
                <w:szCs w:val="22"/>
              </w:rPr>
              <w:t>Dostawcy zawiadamiają użytkowników końcowych z przynajmniej miesięcznym wyprzedzeniem o każdej zmianie warunków umownych oraz jednocześnie informują ich o przysługującym im prawie rozwiązania umowy bez ponoszenia jakichkolwiek dalszych kosztów w przypadku niezaakceptowania nowych warunków. Z prawa do rozwiązania umowy można skorzystać w terminie jednego miesiąca od zawiadomienia. Państwa członkowskie mogą przedłużyć ten termin o kolejne trzy miesiące. Państwa członkowskie zapewniają, aby zawiadomienia dokonywano w jasny i zrozumiały sposób na trwałym nośniku.</w:t>
            </w:r>
          </w:p>
        </w:tc>
        <w:tc>
          <w:tcPr>
            <w:tcW w:w="986" w:type="dxa"/>
          </w:tcPr>
          <w:p w14:paraId="415D6BEF" w14:textId="47178856" w:rsidR="001E1112" w:rsidRPr="00317ABF" w:rsidRDefault="001E1112" w:rsidP="00DB3BEC">
            <w:pPr>
              <w:jc w:val="both"/>
              <w:rPr>
                <w:sz w:val="22"/>
                <w:szCs w:val="22"/>
              </w:rPr>
            </w:pPr>
            <w:r w:rsidRPr="00317ABF">
              <w:rPr>
                <w:sz w:val="22"/>
                <w:szCs w:val="22"/>
              </w:rPr>
              <w:lastRenderedPageBreak/>
              <w:t>T</w:t>
            </w:r>
          </w:p>
        </w:tc>
        <w:tc>
          <w:tcPr>
            <w:tcW w:w="910" w:type="dxa"/>
          </w:tcPr>
          <w:p w14:paraId="1D486FC5" w14:textId="6884A674" w:rsidR="001E1112" w:rsidRPr="00317ABF" w:rsidRDefault="004210F8" w:rsidP="00DB3BEC">
            <w:pPr>
              <w:pStyle w:val="Tekstpodstawowy"/>
              <w:rPr>
                <w:b/>
                <w:noProof/>
                <w:sz w:val="22"/>
                <w:szCs w:val="22"/>
              </w:rPr>
            </w:pPr>
            <w:r w:rsidRPr="00317ABF">
              <w:rPr>
                <w:b/>
                <w:noProof/>
                <w:sz w:val="22"/>
                <w:szCs w:val="22"/>
              </w:rPr>
              <w:t>Art. 300-302</w:t>
            </w:r>
          </w:p>
        </w:tc>
        <w:tc>
          <w:tcPr>
            <w:tcW w:w="6814" w:type="dxa"/>
            <w:gridSpan w:val="2"/>
          </w:tcPr>
          <w:p w14:paraId="479438ED" w14:textId="77777777" w:rsidR="004210F8" w:rsidRPr="00317ABF" w:rsidRDefault="004210F8" w:rsidP="004210F8">
            <w:pPr>
              <w:pStyle w:val="Tekstpodstawowy"/>
              <w:rPr>
                <w:bCs/>
                <w:sz w:val="22"/>
                <w:szCs w:val="22"/>
              </w:rPr>
            </w:pPr>
            <w:r w:rsidRPr="00317ABF">
              <w:rPr>
                <w:rFonts w:ascii="Times" w:eastAsiaTheme="minorEastAsia" w:hAnsi="Times" w:cs="Times"/>
                <w:b/>
                <w:bCs/>
                <w:szCs w:val="20"/>
              </w:rPr>
              <w:t xml:space="preserve"> </w:t>
            </w:r>
            <w:r w:rsidRPr="00317ABF">
              <w:rPr>
                <w:b/>
                <w:bCs/>
                <w:sz w:val="22"/>
                <w:szCs w:val="22"/>
              </w:rPr>
              <w:t>Art. 300.</w:t>
            </w:r>
            <w:r w:rsidRPr="00317ABF">
              <w:rPr>
                <w:bCs/>
                <w:sz w:val="22"/>
                <w:szCs w:val="22"/>
              </w:rPr>
              <w:t xml:space="preserve"> </w:t>
            </w:r>
          </w:p>
          <w:p w14:paraId="336C224F" w14:textId="1C58B0D8" w:rsidR="004210F8" w:rsidRPr="00317ABF" w:rsidRDefault="004210F8" w:rsidP="004210F8">
            <w:pPr>
              <w:pStyle w:val="Tekstpodstawowy"/>
              <w:rPr>
                <w:bCs/>
                <w:sz w:val="22"/>
                <w:szCs w:val="22"/>
              </w:rPr>
            </w:pPr>
            <w:r w:rsidRPr="00317ABF">
              <w:rPr>
                <w:bCs/>
                <w:sz w:val="22"/>
                <w:szCs w:val="22"/>
              </w:rPr>
              <w:t>1. Dostawca usług komunikacji elektronicznej może dokonać jednostronnej zmiany warunków umowy o świadczenie usług komunikacji elektronicznej w przypadku, gdy:</w:t>
            </w:r>
          </w:p>
          <w:p w14:paraId="566CEF57" w14:textId="77777777" w:rsidR="004210F8" w:rsidRPr="00317ABF" w:rsidRDefault="004210F8" w:rsidP="004210F8">
            <w:pPr>
              <w:pStyle w:val="Tekstpodstawowy"/>
              <w:rPr>
                <w:bCs/>
                <w:sz w:val="22"/>
                <w:szCs w:val="22"/>
              </w:rPr>
            </w:pPr>
            <w:r w:rsidRPr="00317ABF">
              <w:rPr>
                <w:bCs/>
                <w:sz w:val="22"/>
                <w:szCs w:val="22"/>
              </w:rPr>
              <w:t>1)</w:t>
            </w:r>
            <w:r w:rsidRPr="00317ABF">
              <w:rPr>
                <w:bCs/>
                <w:sz w:val="22"/>
                <w:szCs w:val="22"/>
              </w:rPr>
              <w:tab/>
              <w:t>konieczność wprowadzenia zmian wynika:</w:t>
            </w:r>
          </w:p>
          <w:p w14:paraId="2C26B0C0" w14:textId="77777777" w:rsidR="004210F8" w:rsidRPr="00317ABF" w:rsidRDefault="004210F8" w:rsidP="004210F8">
            <w:pPr>
              <w:pStyle w:val="Tekstpodstawowy"/>
              <w:rPr>
                <w:bCs/>
                <w:sz w:val="22"/>
                <w:szCs w:val="22"/>
              </w:rPr>
            </w:pPr>
            <w:r w:rsidRPr="00317ABF">
              <w:rPr>
                <w:bCs/>
                <w:sz w:val="22"/>
                <w:szCs w:val="22"/>
              </w:rPr>
              <w:t>a)</w:t>
            </w:r>
            <w:r w:rsidRPr="00317ABF">
              <w:rPr>
                <w:bCs/>
                <w:sz w:val="22"/>
                <w:szCs w:val="22"/>
              </w:rPr>
              <w:tab/>
              <w:t>bezpośrednio ze zmiany przepisów prawa, w szczególności ze zmiany stawek podatku od towarów i usług;</w:t>
            </w:r>
          </w:p>
          <w:p w14:paraId="63578EEA" w14:textId="77777777" w:rsidR="004210F8" w:rsidRPr="00317ABF" w:rsidRDefault="004210F8" w:rsidP="004210F8">
            <w:pPr>
              <w:pStyle w:val="Tekstpodstawowy"/>
              <w:rPr>
                <w:bCs/>
                <w:sz w:val="22"/>
                <w:szCs w:val="22"/>
              </w:rPr>
            </w:pPr>
            <w:r w:rsidRPr="00317ABF">
              <w:rPr>
                <w:bCs/>
                <w:sz w:val="22"/>
                <w:szCs w:val="22"/>
              </w:rPr>
              <w:t>b)</w:t>
            </w:r>
            <w:r w:rsidRPr="00317ABF">
              <w:rPr>
                <w:bCs/>
                <w:sz w:val="22"/>
                <w:szCs w:val="22"/>
              </w:rPr>
              <w:tab/>
              <w:t>z decyzji Prezesa UKE,</w:t>
            </w:r>
          </w:p>
          <w:p w14:paraId="311286B1" w14:textId="77777777" w:rsidR="004210F8" w:rsidRPr="00317ABF" w:rsidRDefault="004210F8" w:rsidP="004210F8">
            <w:pPr>
              <w:pStyle w:val="Tekstpodstawowy"/>
              <w:rPr>
                <w:bCs/>
                <w:sz w:val="22"/>
                <w:szCs w:val="22"/>
              </w:rPr>
            </w:pPr>
            <w:r w:rsidRPr="00317ABF">
              <w:rPr>
                <w:bCs/>
                <w:sz w:val="22"/>
                <w:szCs w:val="22"/>
              </w:rPr>
              <w:t>2)</w:t>
            </w:r>
            <w:r w:rsidRPr="00317ABF">
              <w:rPr>
                <w:bCs/>
                <w:sz w:val="22"/>
                <w:szCs w:val="22"/>
              </w:rPr>
              <w:tab/>
              <w:t>proponowane zmiany:</w:t>
            </w:r>
          </w:p>
          <w:p w14:paraId="2EC60C6B" w14:textId="77777777" w:rsidR="004210F8" w:rsidRPr="00317ABF" w:rsidRDefault="004210F8" w:rsidP="004210F8">
            <w:pPr>
              <w:pStyle w:val="Tekstpodstawowy"/>
              <w:rPr>
                <w:bCs/>
                <w:sz w:val="22"/>
                <w:szCs w:val="22"/>
              </w:rPr>
            </w:pPr>
            <w:r w:rsidRPr="00317ABF">
              <w:rPr>
                <w:bCs/>
                <w:sz w:val="22"/>
                <w:szCs w:val="22"/>
              </w:rPr>
              <w:t>a)</w:t>
            </w:r>
            <w:r w:rsidRPr="00317ABF">
              <w:rPr>
                <w:bCs/>
                <w:sz w:val="22"/>
                <w:szCs w:val="22"/>
              </w:rPr>
              <w:tab/>
              <w:t>są wyłącznie na korzyść abonentów, w tym powodują obniżenie cen usług komunikacji elektronicznej lub dodanie nowej usługi,</w:t>
            </w:r>
          </w:p>
          <w:p w14:paraId="7ED72FB9" w14:textId="77777777" w:rsidR="004210F8" w:rsidRPr="00317ABF" w:rsidRDefault="004210F8" w:rsidP="004210F8">
            <w:pPr>
              <w:pStyle w:val="Tekstpodstawowy"/>
              <w:rPr>
                <w:bCs/>
                <w:sz w:val="22"/>
                <w:szCs w:val="22"/>
              </w:rPr>
            </w:pPr>
            <w:r w:rsidRPr="00317ABF">
              <w:rPr>
                <w:bCs/>
                <w:sz w:val="22"/>
                <w:szCs w:val="22"/>
              </w:rPr>
              <w:lastRenderedPageBreak/>
              <w:t>b)</w:t>
            </w:r>
            <w:r w:rsidRPr="00317ABF">
              <w:rPr>
                <w:bCs/>
                <w:sz w:val="22"/>
                <w:szCs w:val="22"/>
              </w:rPr>
              <w:tab/>
              <w:t>mają charakter wyłącznie administracyjny i nie pociągają za sobą negatywnych skutków dla abonentów.</w:t>
            </w:r>
          </w:p>
          <w:p w14:paraId="204EB7A8" w14:textId="77777777" w:rsidR="004210F8" w:rsidRPr="00317ABF" w:rsidDel="001B4914" w:rsidRDefault="004210F8" w:rsidP="004210F8">
            <w:pPr>
              <w:pStyle w:val="Tekstpodstawowy"/>
              <w:rPr>
                <w:bCs/>
                <w:sz w:val="22"/>
                <w:szCs w:val="22"/>
              </w:rPr>
            </w:pPr>
            <w:r w:rsidRPr="00317ABF">
              <w:rPr>
                <w:bCs/>
                <w:sz w:val="22"/>
                <w:szCs w:val="22"/>
              </w:rPr>
              <w:t>2. W przypadku braku akceptacji zmian, o których mowa w ust. 1, abonent może wypowiedzieć umowę z zastrzeżeniem konieczności zapłaty odszkodowania, o którym mowa w art. 298 ust. 1, przy czym termin na realizację tego prawa nie może być krótszy niż do dnia wejścia tych zmian w życie.</w:t>
            </w:r>
          </w:p>
          <w:p w14:paraId="06E86DCB" w14:textId="77777777" w:rsidR="004210F8" w:rsidRPr="00317ABF" w:rsidRDefault="004210F8" w:rsidP="004210F8">
            <w:pPr>
              <w:pStyle w:val="Tekstpodstawowy"/>
              <w:rPr>
                <w:bCs/>
                <w:sz w:val="22"/>
                <w:szCs w:val="22"/>
              </w:rPr>
            </w:pPr>
            <w:r w:rsidRPr="00317ABF">
              <w:rPr>
                <w:bCs/>
                <w:sz w:val="22"/>
                <w:szCs w:val="22"/>
              </w:rPr>
              <w:t>3. Dostawca usług komunikacji elektronicznej, w przypadku, o którym mowa w ust.1, podaje do publicznej wiadomości przez publikację na swojej stronie internetowej treść proponowanych zmian, z wyprzedzeniem co najmniej jednego miesiąca przed wprowadzeniem ich w życie. Okres ten może być krótszy, jeśli publikacja aktu prawnego, z którego wynika konieczność wprowadzenia zmian następuje z wyprzedzeniem krótszym niż miesiąc przed jego wejściem w życie lub okres taki wynika z decyzji Prezesa UKE, przy czym termin na realizację tego prawa nie może być krótszy niż do dnia wejścia tych zmian w życie. Jednocześnie dostawca usług informuje abonenta o uprawnieniu, o którym mowa w ust. 2.</w:t>
            </w:r>
          </w:p>
          <w:p w14:paraId="1DC8BC58" w14:textId="77777777" w:rsidR="004210F8" w:rsidRPr="00317ABF" w:rsidRDefault="004210F8" w:rsidP="004210F8">
            <w:pPr>
              <w:pStyle w:val="Tekstpodstawowy"/>
              <w:rPr>
                <w:bCs/>
                <w:sz w:val="22"/>
                <w:szCs w:val="22"/>
              </w:rPr>
            </w:pPr>
            <w:r w:rsidRPr="00317ABF">
              <w:rPr>
                <w:bCs/>
                <w:sz w:val="22"/>
                <w:szCs w:val="22"/>
              </w:rPr>
              <w:t>4. Dostawca usług komunikacji elektronicznej niezwłocznie informuje abonentów będących stroną umowy zawartej w formie pisemnej, elektronicznej lub dokumentowej o zmianie swoich danych identyfikujących lub kontaktowych na trwałym nośniku w postaci odpowiadającej formie, w jakiej została zawarta umowa, chyba że abonent złożył żądanie otrzymywania tych informacji na piśmie na wskazany adres korespondencyjny lub drogą elektroniczną na wskazany przez abonenta adres poczty elektronicznej lub adres elektroniczny innego środka komunikacji elektronicznej. Informacja o powyższych zmianach nie stanowi zmiany warunków umowy.</w:t>
            </w:r>
          </w:p>
          <w:p w14:paraId="38EE4D44" w14:textId="77777777" w:rsidR="004210F8" w:rsidRPr="00317ABF" w:rsidRDefault="004210F8" w:rsidP="004210F8">
            <w:pPr>
              <w:pStyle w:val="Tekstpodstawowy"/>
              <w:rPr>
                <w:bCs/>
                <w:sz w:val="22"/>
                <w:szCs w:val="22"/>
              </w:rPr>
            </w:pPr>
            <w:r w:rsidRPr="00317ABF">
              <w:rPr>
                <w:bCs/>
                <w:sz w:val="22"/>
                <w:szCs w:val="22"/>
              </w:rPr>
              <w:t>5. Dostawca usług komunikacji elektronicznej dla abonentów niebędących stroną umowy zawartej w formie pisemnej, elektronicznej lub dokumentowej niezwłocznie podaje do publicznej wiadomości przez publikację na swojej stronie internetowej informacje o zmianie swoich danych identyfikujących lub kontaktowych. Informacja o powyższych zmianach nie stanowi zmiany warunków umowy.</w:t>
            </w:r>
          </w:p>
          <w:p w14:paraId="43F29B96" w14:textId="77777777" w:rsidR="004210F8" w:rsidRPr="00317ABF" w:rsidRDefault="004210F8" w:rsidP="004210F8">
            <w:pPr>
              <w:pStyle w:val="Tekstpodstawowy"/>
              <w:rPr>
                <w:bCs/>
                <w:sz w:val="22"/>
                <w:szCs w:val="22"/>
              </w:rPr>
            </w:pPr>
            <w:r w:rsidRPr="00317ABF">
              <w:rPr>
                <w:b/>
                <w:bCs/>
                <w:sz w:val="22"/>
                <w:szCs w:val="22"/>
              </w:rPr>
              <w:t>Art. 301</w:t>
            </w:r>
            <w:r w:rsidRPr="00317ABF">
              <w:rPr>
                <w:bCs/>
                <w:sz w:val="22"/>
                <w:szCs w:val="22"/>
              </w:rPr>
              <w:t xml:space="preserve"> </w:t>
            </w:r>
          </w:p>
          <w:p w14:paraId="28E92905" w14:textId="4D47B577" w:rsidR="004210F8" w:rsidRPr="00317ABF" w:rsidRDefault="004210F8" w:rsidP="004210F8">
            <w:pPr>
              <w:pStyle w:val="Tekstpodstawowy"/>
              <w:rPr>
                <w:bCs/>
                <w:sz w:val="22"/>
                <w:szCs w:val="22"/>
                <w:u w:val="single"/>
              </w:rPr>
            </w:pPr>
            <w:r w:rsidRPr="00317ABF">
              <w:rPr>
                <w:bCs/>
                <w:sz w:val="22"/>
                <w:szCs w:val="22"/>
              </w:rPr>
              <w:t xml:space="preserve">1. Dostawca usług komunikacji elektronicznej może dokonać jednostronnej zmiany warunków umowy o świadczenie usług komunikacji elektronicznej zawartej na czas określony, jeżeli konieczność wprowadzenia zmiany wynika z innych obiektywnych okoliczności, niż wskazane w art. 300 ust.  </w:t>
            </w:r>
            <w:r w:rsidRPr="00317ABF">
              <w:rPr>
                <w:bCs/>
                <w:sz w:val="22"/>
                <w:szCs w:val="22"/>
              </w:rPr>
              <w:lastRenderedPageBreak/>
              <w:t>1, na które dostawca usług komunikacji elektronicznej nie ma wpływu jeżeli możliwość wprowadzania zmiany przewidziano w treści umowy.</w:t>
            </w:r>
          </w:p>
          <w:p w14:paraId="13D76D6D" w14:textId="77777777" w:rsidR="004210F8" w:rsidRPr="00317ABF" w:rsidRDefault="004210F8" w:rsidP="004210F8">
            <w:pPr>
              <w:pStyle w:val="Tekstpodstawowy"/>
              <w:rPr>
                <w:bCs/>
                <w:sz w:val="22"/>
                <w:szCs w:val="22"/>
              </w:rPr>
            </w:pPr>
            <w:r w:rsidRPr="00317ABF">
              <w:rPr>
                <w:bCs/>
                <w:sz w:val="22"/>
                <w:szCs w:val="22"/>
              </w:rPr>
              <w:t>2. W przypadku braku akceptacji zmian, o których mowa w ust. 1, abonent może wypowiedzieć umowę bez konieczności zapłaty odszkodowania, o którym mowa w art. 298 ust. 1, przy czym termin na realizację tego prawa nie może być krótszy niż do dnia wejścia tych zmian w życie.</w:t>
            </w:r>
          </w:p>
          <w:p w14:paraId="4A8DA273" w14:textId="77777777" w:rsidR="004210F8" w:rsidRPr="00317ABF" w:rsidRDefault="004210F8" w:rsidP="004210F8">
            <w:pPr>
              <w:pStyle w:val="Tekstpodstawowy"/>
              <w:rPr>
                <w:bCs/>
                <w:sz w:val="22"/>
                <w:szCs w:val="22"/>
              </w:rPr>
            </w:pPr>
            <w:r w:rsidRPr="00317ABF">
              <w:rPr>
                <w:bCs/>
                <w:sz w:val="22"/>
                <w:szCs w:val="22"/>
              </w:rPr>
              <w:t>3. Dostawca usług komunikacji elektronicznej, w przypadku, o którym mowa w ust. 1:</w:t>
            </w:r>
          </w:p>
          <w:p w14:paraId="369DE3EE" w14:textId="77777777" w:rsidR="004210F8" w:rsidRPr="00317ABF" w:rsidRDefault="004210F8" w:rsidP="004210F8">
            <w:pPr>
              <w:pStyle w:val="Tekstpodstawowy"/>
              <w:rPr>
                <w:bCs/>
                <w:sz w:val="22"/>
                <w:szCs w:val="22"/>
              </w:rPr>
            </w:pPr>
            <w:r w:rsidRPr="00317ABF">
              <w:rPr>
                <w:bCs/>
                <w:sz w:val="22"/>
                <w:szCs w:val="22"/>
              </w:rPr>
              <w:t>1)</w:t>
            </w:r>
            <w:r w:rsidRPr="00317ABF">
              <w:rPr>
                <w:bCs/>
                <w:sz w:val="22"/>
                <w:szCs w:val="22"/>
              </w:rPr>
              <w:tab/>
              <w:t>doręcza abonentowi będącemu stroną umowy zawartej w formie pisemnej, elektronicznej lub dokumentowej treść każdej proponowanej zmiany na trwałym nośniku w postaci odpowiadającej formie, w jakiej zawarta została umowa, chyba że abonent złożył żądanie określone w ust. 4,</w:t>
            </w:r>
          </w:p>
          <w:p w14:paraId="623DE63E" w14:textId="77777777" w:rsidR="004210F8" w:rsidRPr="00317ABF" w:rsidRDefault="004210F8" w:rsidP="004210F8">
            <w:pPr>
              <w:pStyle w:val="Tekstpodstawowy"/>
              <w:rPr>
                <w:bCs/>
                <w:sz w:val="22"/>
                <w:szCs w:val="22"/>
              </w:rPr>
            </w:pPr>
            <w:r w:rsidRPr="00317ABF">
              <w:rPr>
                <w:bCs/>
                <w:sz w:val="22"/>
                <w:szCs w:val="22"/>
              </w:rPr>
              <w:t>2)</w:t>
            </w:r>
            <w:r w:rsidRPr="00317ABF">
              <w:rPr>
                <w:bCs/>
                <w:sz w:val="22"/>
                <w:szCs w:val="22"/>
              </w:rPr>
              <w:tab/>
              <w:t>doręcza na piśmie abonentowi niebędącemu stroną umowy zawartej w formie pisemnej, elektronicznej lub dokumentowej, który udostępnił adres korespondencyjny zgodnie z art. 284 ust. 2 lub art. 285 ust. 2, na ten adres, treść każdej proponowanej zmiany, chyba że abonent złożył żądanie określone w ust. 4,</w:t>
            </w:r>
          </w:p>
          <w:p w14:paraId="7BB6CEFB" w14:textId="77777777" w:rsidR="004210F8" w:rsidRPr="00317ABF" w:rsidRDefault="004210F8" w:rsidP="004210F8">
            <w:pPr>
              <w:pStyle w:val="Tekstpodstawowy"/>
              <w:rPr>
                <w:bCs/>
                <w:sz w:val="22"/>
                <w:szCs w:val="22"/>
              </w:rPr>
            </w:pPr>
            <w:r w:rsidRPr="00317ABF">
              <w:rPr>
                <w:bCs/>
                <w:sz w:val="22"/>
                <w:szCs w:val="22"/>
              </w:rPr>
              <w:t>3)</w:t>
            </w:r>
            <w:r w:rsidRPr="00317ABF">
              <w:rPr>
                <w:bCs/>
                <w:sz w:val="22"/>
                <w:szCs w:val="22"/>
              </w:rPr>
              <w:tab/>
              <w:t>podaje do publicznej wiadomości przez publikację na swojej stronie internetowej treść każdej proponowanej zmiany</w:t>
            </w:r>
          </w:p>
          <w:p w14:paraId="2F2F7A0E" w14:textId="77777777" w:rsidR="004210F8" w:rsidRPr="00317ABF" w:rsidRDefault="004210F8" w:rsidP="004210F8">
            <w:pPr>
              <w:pStyle w:val="Tekstpodstawowy"/>
              <w:rPr>
                <w:bCs/>
                <w:sz w:val="22"/>
                <w:szCs w:val="22"/>
              </w:rPr>
            </w:pPr>
            <w:r w:rsidRPr="00317ABF">
              <w:rPr>
                <w:bCs/>
                <w:sz w:val="22"/>
                <w:szCs w:val="22"/>
              </w:rPr>
              <w:t>- z wyprzedzeniem co najmniej miesiąca przed wprowadzeniem tych zmian w życie. Jednocześnie dostawca usług informuje abonenta o uprawnieniu, o którym mowa w ust. 2.</w:t>
            </w:r>
          </w:p>
          <w:p w14:paraId="4B6A4320" w14:textId="77777777" w:rsidR="004210F8" w:rsidRPr="00317ABF" w:rsidRDefault="004210F8" w:rsidP="004210F8">
            <w:pPr>
              <w:pStyle w:val="Tekstpodstawowy"/>
              <w:rPr>
                <w:bCs/>
                <w:sz w:val="22"/>
                <w:szCs w:val="22"/>
              </w:rPr>
            </w:pPr>
            <w:r w:rsidRPr="00317ABF">
              <w:rPr>
                <w:bCs/>
                <w:sz w:val="22"/>
                <w:szCs w:val="22"/>
              </w:rPr>
              <w:t>4. Abonent może żądać doręczania treści każdej proponowanej zmiany w formie innej niż wskazana w ust. 3, wskazując w tym celu adres korespondencyjny, adres poczty elektronicznej lub adres elektroniczny innego środka komunikacji elektronicznej, o ile dostawca usług komunikacji elektronicznej umożliwia korzystanie z innego środka komunikacji elektronicznej</w:t>
            </w:r>
            <w:r w:rsidRPr="00317ABF" w:rsidDel="00B567C3">
              <w:rPr>
                <w:bCs/>
                <w:sz w:val="22"/>
                <w:szCs w:val="22"/>
              </w:rPr>
              <w:t xml:space="preserve"> </w:t>
            </w:r>
            <w:r w:rsidRPr="00317ABF">
              <w:rPr>
                <w:bCs/>
                <w:sz w:val="22"/>
                <w:szCs w:val="22"/>
              </w:rPr>
              <w:t xml:space="preserve">. </w:t>
            </w:r>
          </w:p>
          <w:p w14:paraId="469E0CE0" w14:textId="77777777" w:rsidR="004210F8" w:rsidRPr="00317ABF" w:rsidRDefault="004210F8" w:rsidP="004210F8">
            <w:pPr>
              <w:pStyle w:val="Tekstpodstawowy"/>
              <w:rPr>
                <w:bCs/>
                <w:sz w:val="22"/>
                <w:szCs w:val="22"/>
              </w:rPr>
            </w:pPr>
            <w:r w:rsidRPr="00317ABF">
              <w:rPr>
                <w:bCs/>
                <w:sz w:val="22"/>
                <w:szCs w:val="22"/>
              </w:rPr>
              <w:t xml:space="preserve">5. W przypadku usługi transmisji danych używanej do świadczenia usług komunikacji maszyna-maszyna uprawnienie, o którym mowa w ust. 2, przysługuje wyłącznie użytkownikom końcowym będącym konsumentami, mikroprzedsiębiorcami, małymi przedsiębiorcami lub organizacjami pozarządowymi w rozumieniu art. 3 ust. </w:t>
            </w:r>
            <w:r w:rsidRPr="00317ABF" w:rsidDel="00FC7B6C">
              <w:rPr>
                <w:bCs/>
                <w:sz w:val="22"/>
                <w:szCs w:val="22"/>
              </w:rPr>
              <w:t xml:space="preserve">2 </w:t>
            </w:r>
            <w:r w:rsidRPr="00317ABF">
              <w:rPr>
                <w:bCs/>
                <w:sz w:val="22"/>
                <w:szCs w:val="22"/>
              </w:rPr>
              <w:t>ustawy z dnia 24 kwietnia 2003 r. o działalności pożytku publicznego i o wolontariacie (Dz. U. z 2019 r. poz. 688, 1570, 2020 i 284).</w:t>
            </w:r>
          </w:p>
          <w:p w14:paraId="53096641" w14:textId="77777777" w:rsidR="004210F8" w:rsidRPr="00317ABF" w:rsidRDefault="004210F8" w:rsidP="004210F8">
            <w:pPr>
              <w:pStyle w:val="Tekstpodstawowy"/>
              <w:rPr>
                <w:bCs/>
                <w:sz w:val="22"/>
                <w:szCs w:val="22"/>
              </w:rPr>
            </w:pPr>
            <w:r w:rsidRPr="00317ABF">
              <w:rPr>
                <w:b/>
                <w:bCs/>
                <w:sz w:val="22"/>
                <w:szCs w:val="22"/>
              </w:rPr>
              <w:t>Art. 302.</w:t>
            </w:r>
            <w:r w:rsidRPr="00317ABF">
              <w:rPr>
                <w:bCs/>
                <w:sz w:val="22"/>
                <w:szCs w:val="22"/>
              </w:rPr>
              <w:t xml:space="preserve"> </w:t>
            </w:r>
          </w:p>
          <w:p w14:paraId="3860B695" w14:textId="2AA4A527" w:rsidR="004210F8" w:rsidRPr="00317ABF" w:rsidRDefault="004210F8" w:rsidP="004210F8">
            <w:pPr>
              <w:pStyle w:val="Tekstpodstawowy"/>
              <w:rPr>
                <w:bCs/>
                <w:sz w:val="22"/>
                <w:szCs w:val="22"/>
              </w:rPr>
            </w:pPr>
            <w:r w:rsidRPr="00317ABF">
              <w:rPr>
                <w:bCs/>
                <w:sz w:val="22"/>
                <w:szCs w:val="22"/>
              </w:rPr>
              <w:t xml:space="preserve">1. Dostawca usług komunikacji elektronicznej może dokonać jednostronnej zmiany warunków umowy o świadczenie usług komunikacji elektronicznej zawartej na czas nieokreślony lub umowy, o której mowa w art. 296 ust. 1, </w:t>
            </w:r>
            <w:r w:rsidRPr="00317ABF">
              <w:rPr>
                <w:bCs/>
                <w:sz w:val="22"/>
                <w:szCs w:val="22"/>
              </w:rPr>
              <w:lastRenderedPageBreak/>
              <w:t>jeżeli możliwość wprowadzania zmiany przewidziano w treści umowy, określając w umowie okoliczności, w których zmiana może nastąpić.</w:t>
            </w:r>
          </w:p>
          <w:p w14:paraId="7149375C" w14:textId="77777777" w:rsidR="004210F8" w:rsidRPr="00317ABF" w:rsidRDefault="004210F8" w:rsidP="004210F8">
            <w:pPr>
              <w:pStyle w:val="Tekstpodstawowy"/>
              <w:rPr>
                <w:bCs/>
                <w:sz w:val="22"/>
                <w:szCs w:val="22"/>
              </w:rPr>
            </w:pPr>
            <w:r w:rsidRPr="00317ABF">
              <w:rPr>
                <w:bCs/>
                <w:sz w:val="22"/>
                <w:szCs w:val="22"/>
              </w:rPr>
              <w:t>2. W przypadku braku akceptacji zmian, o których mowa w ust. 1, abonent może wypowiedzieć umowę, przy czym termin na realizację tego prawa nie może być krótszy niż do dnia wejścia tych zmian w życie.</w:t>
            </w:r>
          </w:p>
          <w:p w14:paraId="20DDBE55" w14:textId="77777777" w:rsidR="004210F8" w:rsidRPr="00317ABF" w:rsidRDefault="004210F8" w:rsidP="004210F8">
            <w:pPr>
              <w:pStyle w:val="Tekstpodstawowy"/>
              <w:rPr>
                <w:bCs/>
                <w:sz w:val="22"/>
                <w:szCs w:val="22"/>
              </w:rPr>
            </w:pPr>
            <w:r w:rsidRPr="00317ABF">
              <w:rPr>
                <w:bCs/>
                <w:sz w:val="22"/>
                <w:szCs w:val="22"/>
              </w:rPr>
              <w:t>3. Dostawca usług komunikacji elektronicznej, w przypadku, o którym mowa w ust. 1:</w:t>
            </w:r>
          </w:p>
          <w:p w14:paraId="75DB8ABB" w14:textId="77777777" w:rsidR="004210F8" w:rsidRPr="00317ABF" w:rsidRDefault="004210F8" w:rsidP="004210F8">
            <w:pPr>
              <w:pStyle w:val="Tekstpodstawowy"/>
              <w:rPr>
                <w:bCs/>
                <w:sz w:val="22"/>
                <w:szCs w:val="22"/>
              </w:rPr>
            </w:pPr>
            <w:r w:rsidRPr="00317ABF">
              <w:rPr>
                <w:bCs/>
                <w:sz w:val="22"/>
                <w:szCs w:val="22"/>
              </w:rPr>
              <w:t>1)</w:t>
            </w:r>
            <w:r w:rsidRPr="00317ABF">
              <w:rPr>
                <w:bCs/>
                <w:sz w:val="22"/>
                <w:szCs w:val="22"/>
              </w:rPr>
              <w:tab/>
              <w:t>doręcza abonentowi będącemu stroną umowy zawartej w formie pisemnej, elektronicznej lub dokumentowej treść każdej proponowanej zmiany na trwałym nośniku w postaci odpowiadającej formie, w jakiej zawarta została umowa, chyba że abonent złożył żądanie określone w art. 301 ust. 4,</w:t>
            </w:r>
          </w:p>
          <w:p w14:paraId="02662F8F" w14:textId="77777777" w:rsidR="004210F8" w:rsidRPr="00317ABF" w:rsidRDefault="004210F8" w:rsidP="004210F8">
            <w:pPr>
              <w:pStyle w:val="Tekstpodstawowy"/>
              <w:rPr>
                <w:bCs/>
                <w:sz w:val="22"/>
                <w:szCs w:val="22"/>
              </w:rPr>
            </w:pPr>
            <w:r w:rsidRPr="00317ABF">
              <w:rPr>
                <w:bCs/>
                <w:sz w:val="22"/>
                <w:szCs w:val="22"/>
              </w:rPr>
              <w:t>2)</w:t>
            </w:r>
            <w:r w:rsidRPr="00317ABF">
              <w:rPr>
                <w:bCs/>
                <w:sz w:val="22"/>
                <w:szCs w:val="22"/>
              </w:rPr>
              <w:tab/>
              <w:t>doręcza na piśmie abonentowi niebędącemu stroną umowy zawartej w formie pisemnej, elektronicznej lub dokumentowej, który udostępnił adres korespondencyjny zgodnie z art. 284 ust. 2 lub art. 285 ust. 2, na ten adres, treść każdej proponowanej zmiany, chyba że abonent złożył żądanie określone w art. 301 ust. 4,</w:t>
            </w:r>
          </w:p>
          <w:p w14:paraId="253B2BBC" w14:textId="77777777" w:rsidR="004210F8" w:rsidRPr="00317ABF" w:rsidRDefault="004210F8" w:rsidP="004210F8">
            <w:pPr>
              <w:pStyle w:val="Tekstpodstawowy"/>
              <w:rPr>
                <w:bCs/>
                <w:sz w:val="22"/>
                <w:szCs w:val="22"/>
              </w:rPr>
            </w:pPr>
            <w:r w:rsidRPr="00317ABF">
              <w:rPr>
                <w:bCs/>
                <w:sz w:val="22"/>
                <w:szCs w:val="22"/>
              </w:rPr>
              <w:t>3)</w:t>
            </w:r>
            <w:r w:rsidRPr="00317ABF">
              <w:rPr>
                <w:bCs/>
                <w:sz w:val="22"/>
                <w:szCs w:val="22"/>
              </w:rPr>
              <w:tab/>
              <w:t>podaje do publicznej wiadomości przez publikację na swojej stronie internetowej treść każdej proponowanej zmiany</w:t>
            </w:r>
          </w:p>
          <w:p w14:paraId="162F96A9" w14:textId="71EC0CD2" w:rsidR="001E1112" w:rsidRPr="00317ABF" w:rsidRDefault="004210F8" w:rsidP="00F956FF">
            <w:pPr>
              <w:pStyle w:val="Tekstpodstawowy"/>
              <w:rPr>
                <w:bCs/>
                <w:sz w:val="22"/>
                <w:szCs w:val="22"/>
              </w:rPr>
            </w:pPr>
            <w:bookmarkStart w:id="174" w:name="mip49430176"/>
            <w:bookmarkEnd w:id="174"/>
            <w:r w:rsidRPr="00317ABF">
              <w:rPr>
                <w:bCs/>
                <w:sz w:val="22"/>
                <w:szCs w:val="22"/>
              </w:rPr>
              <w:t>- z wyprzedzeniem co najmniej miesiąca przed wprowadzeniem tych zmian w życie. Jednocześnie dostawca usług informuje abonenta o upraw</w:t>
            </w:r>
            <w:r w:rsidR="00F956FF" w:rsidRPr="00317ABF">
              <w:rPr>
                <w:bCs/>
                <w:sz w:val="22"/>
                <w:szCs w:val="22"/>
              </w:rPr>
              <w:t>nieniu, o którym mowa w ust. 2.</w:t>
            </w:r>
          </w:p>
        </w:tc>
      </w:tr>
      <w:tr w:rsidR="001E1112" w:rsidRPr="00317ABF" w14:paraId="626AACD1" w14:textId="77777777" w:rsidTr="7753F98D">
        <w:trPr>
          <w:gridAfter w:val="2"/>
          <w:wAfter w:w="175" w:type="dxa"/>
        </w:trPr>
        <w:tc>
          <w:tcPr>
            <w:tcW w:w="704" w:type="dxa"/>
          </w:tcPr>
          <w:p w14:paraId="6A40F68C" w14:textId="77777777" w:rsidR="001E1112" w:rsidRPr="00317ABF" w:rsidRDefault="001E1112" w:rsidP="00DB3BEC">
            <w:pPr>
              <w:jc w:val="both"/>
              <w:rPr>
                <w:sz w:val="22"/>
                <w:szCs w:val="22"/>
              </w:rPr>
            </w:pPr>
            <w:r w:rsidRPr="00317ABF">
              <w:rPr>
                <w:sz w:val="22"/>
                <w:szCs w:val="22"/>
              </w:rPr>
              <w:lastRenderedPageBreak/>
              <w:t>Art. 105 ust. 5</w:t>
            </w:r>
          </w:p>
        </w:tc>
        <w:tc>
          <w:tcPr>
            <w:tcW w:w="4308" w:type="dxa"/>
          </w:tcPr>
          <w:p w14:paraId="4C1CEFFD" w14:textId="77777777" w:rsidR="001E1112" w:rsidRPr="00317ABF" w:rsidRDefault="001E1112" w:rsidP="00DB3BEC">
            <w:pPr>
              <w:spacing w:before="120"/>
              <w:jc w:val="both"/>
              <w:rPr>
                <w:sz w:val="22"/>
                <w:szCs w:val="22"/>
              </w:rPr>
            </w:pPr>
            <w:r w:rsidRPr="00317ABF">
              <w:rPr>
                <w:sz w:val="22"/>
                <w:szCs w:val="22"/>
              </w:rPr>
              <w:t>5.   Wszelkie znaczące rozbieżności, stałe lub występujące często, między rzeczywistym wykonaniem usługi łączności elektronicznej innej niż usługa dostępu do internetu lub usługa łączności interpersonalnej niewykorzystująca numerów a wykonaniem wskazanymi w umowie są uznawane za podstawę do uruchomienia środków ochrony prawnej dostępnych dla konsumenta zgodnie z prawem krajowym, łącznie z prawem do bezpłatnego rozwiązania umowy.</w:t>
            </w:r>
          </w:p>
        </w:tc>
        <w:tc>
          <w:tcPr>
            <w:tcW w:w="986" w:type="dxa"/>
          </w:tcPr>
          <w:p w14:paraId="460CDC00" w14:textId="72C9ED4B" w:rsidR="001E1112" w:rsidRPr="00317ABF" w:rsidRDefault="001E1112" w:rsidP="00DB3BEC">
            <w:pPr>
              <w:jc w:val="both"/>
              <w:rPr>
                <w:sz w:val="22"/>
                <w:szCs w:val="22"/>
              </w:rPr>
            </w:pPr>
            <w:r w:rsidRPr="00317ABF">
              <w:rPr>
                <w:sz w:val="22"/>
                <w:szCs w:val="22"/>
              </w:rPr>
              <w:t>T</w:t>
            </w:r>
          </w:p>
        </w:tc>
        <w:tc>
          <w:tcPr>
            <w:tcW w:w="910" w:type="dxa"/>
          </w:tcPr>
          <w:p w14:paraId="308EEC77" w14:textId="705DBD6C" w:rsidR="001E1112" w:rsidRPr="00317ABF" w:rsidRDefault="00891546" w:rsidP="00DB3BEC">
            <w:pPr>
              <w:pStyle w:val="Tekstpodstawowy"/>
              <w:rPr>
                <w:b/>
                <w:noProof/>
                <w:sz w:val="22"/>
                <w:szCs w:val="22"/>
              </w:rPr>
            </w:pPr>
            <w:r w:rsidRPr="00317ABF">
              <w:rPr>
                <w:b/>
                <w:noProof/>
                <w:sz w:val="22"/>
                <w:szCs w:val="22"/>
              </w:rPr>
              <w:t>Art. 375</w:t>
            </w:r>
          </w:p>
        </w:tc>
        <w:tc>
          <w:tcPr>
            <w:tcW w:w="6814" w:type="dxa"/>
            <w:gridSpan w:val="2"/>
          </w:tcPr>
          <w:p w14:paraId="32C58F07" w14:textId="77777777" w:rsidR="00891546" w:rsidRPr="00317ABF" w:rsidRDefault="00891546" w:rsidP="00891546">
            <w:pPr>
              <w:jc w:val="both"/>
              <w:rPr>
                <w:sz w:val="22"/>
                <w:szCs w:val="22"/>
              </w:rPr>
            </w:pPr>
            <w:r w:rsidRPr="00317ABF">
              <w:rPr>
                <w:b/>
                <w:sz w:val="22"/>
                <w:szCs w:val="22"/>
              </w:rPr>
              <w:t>Art. 375.</w:t>
            </w:r>
            <w:r w:rsidRPr="00317ABF">
              <w:rPr>
                <w:sz w:val="22"/>
                <w:szCs w:val="22"/>
              </w:rPr>
              <w:t xml:space="preserve"> </w:t>
            </w:r>
          </w:p>
          <w:p w14:paraId="05F75FAF" w14:textId="600CC706" w:rsidR="00891546" w:rsidRPr="00317ABF" w:rsidRDefault="00891546" w:rsidP="00891546">
            <w:pPr>
              <w:jc w:val="both"/>
              <w:rPr>
                <w:sz w:val="22"/>
                <w:szCs w:val="22"/>
              </w:rPr>
            </w:pPr>
            <w:r w:rsidRPr="00317ABF">
              <w:rPr>
                <w:sz w:val="22"/>
                <w:szCs w:val="22"/>
              </w:rPr>
              <w:t xml:space="preserve">W przypadku występowania znaczących, stałych lub częstych, rozbieżności między rzeczywistym wykonaniem usług telekomunikacyjnych, z wyłączeniem usługi dostępu do internetu, a warunkami określonymi w umowie, konsument po wyczerpaniu drogi postępowania reklamacyjnego, może, poza uprawnieniem do dochodzenia roszczenia z nienależytego wykonania umowy, wypowiedzieć umowę z winy dostawcy usług telekomunikacyjnych. W takim przypadku dostawcy usług nie przysługuje odszkodowanie, o którym mowa w art. 298 ust. 1. </w:t>
            </w:r>
          </w:p>
          <w:p w14:paraId="2A35338E" w14:textId="74D40CAE" w:rsidR="001E1112" w:rsidRPr="00317ABF" w:rsidRDefault="001E1112" w:rsidP="00DB3BEC">
            <w:pPr>
              <w:jc w:val="both"/>
              <w:rPr>
                <w:sz w:val="22"/>
                <w:szCs w:val="22"/>
              </w:rPr>
            </w:pPr>
          </w:p>
        </w:tc>
      </w:tr>
      <w:tr w:rsidR="001E1112" w:rsidRPr="00317ABF" w14:paraId="3BF9BE71" w14:textId="77777777" w:rsidTr="7753F98D">
        <w:trPr>
          <w:gridAfter w:val="2"/>
          <w:wAfter w:w="175" w:type="dxa"/>
        </w:trPr>
        <w:tc>
          <w:tcPr>
            <w:tcW w:w="704" w:type="dxa"/>
          </w:tcPr>
          <w:p w14:paraId="60D67F76" w14:textId="77777777" w:rsidR="001E1112" w:rsidRPr="00317ABF" w:rsidRDefault="001E1112" w:rsidP="00DB3BEC">
            <w:pPr>
              <w:jc w:val="both"/>
              <w:rPr>
                <w:sz w:val="22"/>
                <w:szCs w:val="22"/>
              </w:rPr>
            </w:pPr>
            <w:r w:rsidRPr="00317ABF">
              <w:rPr>
                <w:sz w:val="22"/>
                <w:szCs w:val="22"/>
              </w:rPr>
              <w:t>Art. 105 ust. 6</w:t>
            </w:r>
          </w:p>
        </w:tc>
        <w:tc>
          <w:tcPr>
            <w:tcW w:w="4308" w:type="dxa"/>
          </w:tcPr>
          <w:p w14:paraId="2E3D8254" w14:textId="77777777" w:rsidR="001E1112" w:rsidRPr="00317ABF" w:rsidRDefault="001E1112" w:rsidP="00DB3BEC">
            <w:pPr>
              <w:spacing w:before="120"/>
              <w:jc w:val="both"/>
              <w:rPr>
                <w:sz w:val="22"/>
                <w:szCs w:val="22"/>
              </w:rPr>
            </w:pPr>
            <w:r w:rsidRPr="00317ABF">
              <w:rPr>
                <w:sz w:val="22"/>
                <w:szCs w:val="22"/>
              </w:rPr>
              <w:t xml:space="preserve">6.   W przypadku gdy użytkownik końcowy ma prawo rozwiązać umowę o publicznie dostępną usługę łączności elektronicznej inną niż usługa łączności interpersonalnej niewykorzystująca numerów przed końcem uzgodnionego okresu </w:t>
            </w:r>
            <w:r w:rsidRPr="00317ABF">
              <w:rPr>
                <w:sz w:val="22"/>
                <w:szCs w:val="22"/>
              </w:rPr>
              <w:lastRenderedPageBreak/>
              <w:t>umowy na podstawie niniejszej dyrektywy lub innych przepisów prawa unijnego lub krajowego, od użytkownika końcowego nie można domagać się żadnej rekompensaty z wyjątkiem rekompensaty za zachowane dotowane urządzenie końcowe.</w:t>
            </w:r>
          </w:p>
          <w:p w14:paraId="774F93DA" w14:textId="77777777" w:rsidR="001E1112" w:rsidRPr="00317ABF" w:rsidRDefault="001E1112" w:rsidP="00DB3BEC">
            <w:pPr>
              <w:spacing w:before="120"/>
              <w:jc w:val="both"/>
              <w:rPr>
                <w:sz w:val="22"/>
                <w:szCs w:val="22"/>
              </w:rPr>
            </w:pPr>
            <w:r w:rsidRPr="00317ABF">
              <w:rPr>
                <w:sz w:val="22"/>
                <w:szCs w:val="22"/>
              </w:rPr>
              <w:t>Jeżeli użytkownik końcowy decyduje się na zachowanie urządzenia końcowego stanowiącego element oferty w momencie zawarcia umowy, należna rekompensata nie przekracza wartości obliczonej pro rata temporis uzgodnionej w momencie zawarcia umowy lub części opłaty za usługę pozostałej do zakończenia umowy w zależności od tego, która z tych kwot jest niższa.</w:t>
            </w:r>
          </w:p>
          <w:p w14:paraId="2459088A" w14:textId="77777777" w:rsidR="001E1112" w:rsidRPr="00317ABF" w:rsidRDefault="001E1112" w:rsidP="00DB3BEC">
            <w:pPr>
              <w:spacing w:before="120"/>
              <w:jc w:val="both"/>
              <w:rPr>
                <w:sz w:val="22"/>
                <w:szCs w:val="22"/>
              </w:rPr>
            </w:pPr>
            <w:r w:rsidRPr="00317ABF">
              <w:rPr>
                <w:sz w:val="22"/>
                <w:szCs w:val="22"/>
              </w:rPr>
              <w:t>Państwa członkowskie mogą określić inne metody obliczania stawki rekompensaty, pod warunkiem że taka metoda nie spowoduje, że poziom rekompensaty będzie przewyższał rekompensatę obliczoną zgodnie z drugim akapitem.</w:t>
            </w:r>
          </w:p>
          <w:p w14:paraId="6A997991" w14:textId="77777777" w:rsidR="001E1112" w:rsidRPr="00317ABF" w:rsidRDefault="001E1112" w:rsidP="00DB3BEC">
            <w:pPr>
              <w:spacing w:before="120"/>
              <w:jc w:val="both"/>
              <w:rPr>
                <w:sz w:val="22"/>
                <w:szCs w:val="22"/>
              </w:rPr>
            </w:pPr>
            <w:r w:rsidRPr="00317ABF">
              <w:rPr>
                <w:sz w:val="22"/>
                <w:szCs w:val="22"/>
              </w:rPr>
              <w:t>Dostawca znosi nieodpłatnie wszelkie ograniczenia użytkowania tych urządzeń końcowych w innych sieciach w momencie określonym przez państwa członkowskie, a najpóźniej w momencie uiszczenia tej rekompensaty.</w:t>
            </w:r>
          </w:p>
        </w:tc>
        <w:tc>
          <w:tcPr>
            <w:tcW w:w="986" w:type="dxa"/>
          </w:tcPr>
          <w:p w14:paraId="27C90077" w14:textId="57D50ED8" w:rsidR="001E1112" w:rsidRPr="00317ABF" w:rsidRDefault="001E1112" w:rsidP="00DB3BEC">
            <w:pPr>
              <w:jc w:val="both"/>
              <w:rPr>
                <w:sz w:val="22"/>
                <w:szCs w:val="22"/>
              </w:rPr>
            </w:pPr>
            <w:r w:rsidRPr="00317ABF">
              <w:rPr>
                <w:sz w:val="22"/>
                <w:szCs w:val="22"/>
              </w:rPr>
              <w:lastRenderedPageBreak/>
              <w:t>T</w:t>
            </w:r>
          </w:p>
        </w:tc>
        <w:tc>
          <w:tcPr>
            <w:tcW w:w="910" w:type="dxa"/>
          </w:tcPr>
          <w:p w14:paraId="010CF0F2" w14:textId="3CB22E7D" w:rsidR="001E1112" w:rsidRPr="00317ABF" w:rsidRDefault="001E1112" w:rsidP="00684831">
            <w:pPr>
              <w:pStyle w:val="Tekstpodstawowy"/>
              <w:rPr>
                <w:b/>
                <w:noProof/>
                <w:sz w:val="22"/>
                <w:szCs w:val="22"/>
              </w:rPr>
            </w:pPr>
            <w:r w:rsidRPr="00317ABF">
              <w:rPr>
                <w:b/>
                <w:noProof/>
                <w:sz w:val="22"/>
                <w:szCs w:val="22"/>
              </w:rPr>
              <w:t>Art. 2</w:t>
            </w:r>
            <w:r w:rsidR="00684831" w:rsidRPr="00317ABF">
              <w:rPr>
                <w:b/>
                <w:noProof/>
                <w:sz w:val="22"/>
                <w:szCs w:val="22"/>
              </w:rPr>
              <w:t>98, 303, 304</w:t>
            </w:r>
          </w:p>
        </w:tc>
        <w:tc>
          <w:tcPr>
            <w:tcW w:w="6814" w:type="dxa"/>
            <w:gridSpan w:val="2"/>
          </w:tcPr>
          <w:p w14:paraId="6FC16BB0" w14:textId="77777777" w:rsidR="00684831" w:rsidRPr="00317ABF" w:rsidRDefault="00684831" w:rsidP="00684831">
            <w:pPr>
              <w:jc w:val="both"/>
              <w:rPr>
                <w:bCs/>
                <w:sz w:val="22"/>
                <w:szCs w:val="22"/>
              </w:rPr>
            </w:pPr>
            <w:r w:rsidRPr="00317ABF">
              <w:rPr>
                <w:b/>
                <w:bCs/>
                <w:sz w:val="22"/>
                <w:szCs w:val="22"/>
              </w:rPr>
              <w:t>Art. 298.</w:t>
            </w:r>
            <w:r w:rsidRPr="00317ABF">
              <w:rPr>
                <w:bCs/>
                <w:sz w:val="22"/>
                <w:szCs w:val="22"/>
              </w:rPr>
              <w:t xml:space="preserve"> </w:t>
            </w:r>
          </w:p>
          <w:p w14:paraId="28906A02" w14:textId="6A4D286F" w:rsidR="00684831" w:rsidRPr="00317ABF" w:rsidRDefault="00684831" w:rsidP="00684831">
            <w:pPr>
              <w:jc w:val="both"/>
              <w:rPr>
                <w:bCs/>
                <w:sz w:val="22"/>
                <w:szCs w:val="22"/>
              </w:rPr>
            </w:pPr>
            <w:r w:rsidRPr="00317ABF">
              <w:rPr>
                <w:bCs/>
                <w:sz w:val="22"/>
                <w:szCs w:val="22"/>
              </w:rPr>
              <w:t xml:space="preserve">1. Dostawca usług telekomunikacyjnych może dochodzić odszkodowania w przypadku, gdy umowa o świadczenie usług komunikacji elektronicznej, w tym o zapewnienie przyłączenia do publicznej sieci telekomunikacyjnej, </w:t>
            </w:r>
            <w:r w:rsidRPr="00317ABF">
              <w:rPr>
                <w:bCs/>
                <w:sz w:val="22"/>
                <w:szCs w:val="22"/>
              </w:rPr>
              <w:lastRenderedPageBreak/>
              <w:t>została wypowiedziana przez abonenta lub przez tego dostawcę z winy abonenta, przed upływem okresu na jaki została zawarta.</w:t>
            </w:r>
          </w:p>
          <w:p w14:paraId="473FA14C" w14:textId="77777777" w:rsidR="00684831" w:rsidRPr="00317ABF" w:rsidRDefault="00684831" w:rsidP="00684831">
            <w:pPr>
              <w:jc w:val="both"/>
              <w:rPr>
                <w:bCs/>
                <w:sz w:val="22"/>
                <w:szCs w:val="22"/>
              </w:rPr>
            </w:pPr>
            <w:r w:rsidRPr="00317ABF">
              <w:rPr>
                <w:bCs/>
                <w:sz w:val="22"/>
                <w:szCs w:val="22"/>
              </w:rPr>
              <w:t>2. Odszkodowanie, o którym mowa w ust. 1 nie przysługuje:</w:t>
            </w:r>
          </w:p>
          <w:p w14:paraId="6F1BC0E4" w14:textId="77777777" w:rsidR="00684831" w:rsidRPr="00317ABF" w:rsidRDefault="00684831" w:rsidP="00684831">
            <w:pPr>
              <w:jc w:val="both"/>
              <w:rPr>
                <w:bCs/>
                <w:sz w:val="22"/>
                <w:szCs w:val="22"/>
              </w:rPr>
            </w:pPr>
            <w:r w:rsidRPr="00317ABF">
              <w:rPr>
                <w:bCs/>
                <w:sz w:val="22"/>
                <w:szCs w:val="22"/>
              </w:rPr>
              <w:t>1)</w:t>
            </w:r>
            <w:r w:rsidRPr="00317ABF">
              <w:rPr>
                <w:bCs/>
                <w:sz w:val="22"/>
                <w:szCs w:val="22"/>
              </w:rPr>
              <w:tab/>
              <w:t>w przypadku wypowiedzenia przez konsumenta umowy o świadczenie usług komunikacji elektronicznej przed rozpoczęciem przyłączenia go do publicznej sieci telekomunikacyjnej, a w przypadku gdy przyłączenie nie jest wykonywane przed rozpoczęciem świadczenia usług telekomunikacyjnych, chyba że przedmiotem odszkodowania jest promocyjne urządzenie końcowe;</w:t>
            </w:r>
          </w:p>
          <w:p w14:paraId="16C3D454" w14:textId="77777777" w:rsidR="00684831" w:rsidRPr="00317ABF" w:rsidRDefault="00684831" w:rsidP="00684831">
            <w:pPr>
              <w:jc w:val="both"/>
              <w:rPr>
                <w:bCs/>
                <w:sz w:val="22"/>
                <w:szCs w:val="22"/>
              </w:rPr>
            </w:pPr>
            <w:r w:rsidRPr="00317ABF">
              <w:rPr>
                <w:bCs/>
                <w:sz w:val="22"/>
                <w:szCs w:val="22"/>
              </w:rPr>
              <w:t>2)</w:t>
            </w:r>
            <w:r w:rsidRPr="00317ABF">
              <w:rPr>
                <w:bCs/>
                <w:sz w:val="22"/>
                <w:szCs w:val="22"/>
              </w:rPr>
              <w:tab/>
              <w:t>w przypadku przeniesienia numeru w następstwie sytuacji, o której mowa w art. 161 ust. 2.</w:t>
            </w:r>
          </w:p>
          <w:p w14:paraId="71B56AC3" w14:textId="77777777" w:rsidR="00684831" w:rsidRPr="00317ABF" w:rsidRDefault="00684831" w:rsidP="00684831">
            <w:pPr>
              <w:jc w:val="both"/>
              <w:rPr>
                <w:bCs/>
                <w:sz w:val="22"/>
                <w:szCs w:val="22"/>
              </w:rPr>
            </w:pPr>
            <w:r w:rsidRPr="00317ABF">
              <w:rPr>
                <w:bCs/>
                <w:sz w:val="22"/>
                <w:szCs w:val="22"/>
              </w:rPr>
              <w:t>3. Odszkodowanie, o którym mowa w ust. 1, nie może przekroczyć:</w:t>
            </w:r>
          </w:p>
          <w:p w14:paraId="57CDA948" w14:textId="77777777" w:rsidR="00684831" w:rsidRPr="00317ABF" w:rsidRDefault="00684831" w:rsidP="00684831">
            <w:pPr>
              <w:jc w:val="both"/>
              <w:rPr>
                <w:bCs/>
                <w:sz w:val="22"/>
                <w:szCs w:val="22"/>
              </w:rPr>
            </w:pPr>
            <w:r w:rsidRPr="00317ABF">
              <w:rPr>
                <w:bCs/>
                <w:sz w:val="22"/>
                <w:szCs w:val="22"/>
              </w:rPr>
              <w:t>1)</w:t>
            </w:r>
            <w:r w:rsidRPr="00317ABF">
              <w:rPr>
                <w:bCs/>
                <w:sz w:val="22"/>
                <w:szCs w:val="22"/>
              </w:rPr>
              <w:tab/>
              <w:t>z tytułu usługi telekomunikacyjnej - połowy sumy części opłaty abonamentowej lub innej okresowej opłaty stanowiącej opłatę za tę usługę wskazanej w art. 282 ust. 1 pkt 6 lit a lub art. 288 ust. 1 pkt 3 lit a, które abonent powinien</w:t>
            </w:r>
            <w:r w:rsidRPr="00317ABF" w:rsidDel="00B95C4A">
              <w:rPr>
                <w:bCs/>
                <w:sz w:val="22"/>
                <w:szCs w:val="22"/>
              </w:rPr>
              <w:t xml:space="preserve"> </w:t>
            </w:r>
            <w:r w:rsidRPr="00317ABF">
              <w:rPr>
                <w:bCs/>
                <w:sz w:val="22"/>
                <w:szCs w:val="22"/>
              </w:rPr>
              <w:t xml:space="preserve">uiścić do czasu zakończenia obowiązywania umowy, </w:t>
            </w:r>
          </w:p>
          <w:p w14:paraId="07E42579" w14:textId="77777777" w:rsidR="00684831" w:rsidRPr="00317ABF" w:rsidRDefault="00684831" w:rsidP="00684831">
            <w:pPr>
              <w:jc w:val="both"/>
              <w:rPr>
                <w:bCs/>
                <w:sz w:val="22"/>
                <w:szCs w:val="22"/>
              </w:rPr>
            </w:pPr>
            <w:r w:rsidRPr="00317ABF">
              <w:rPr>
                <w:bCs/>
                <w:sz w:val="22"/>
                <w:szCs w:val="22"/>
              </w:rPr>
              <w:t>2)</w:t>
            </w:r>
            <w:r w:rsidRPr="00317ABF">
              <w:rPr>
                <w:bCs/>
                <w:sz w:val="22"/>
                <w:szCs w:val="22"/>
              </w:rPr>
              <w:tab/>
              <w:t>z tytułu promocyjnego urządzenia końcowego - sumy części opłaty abonamentowej lub innej okresowej opłaty stanowiącej opłatę za to urządzenie wskazanej w art. 282 ust. 1 pkt 6 lit c lub art. 288 ust. 1 pkt 3 lit c, które abonent powinien uiścić do czasu zakończenia obowiązywania umowy.</w:t>
            </w:r>
          </w:p>
          <w:p w14:paraId="785B91DE" w14:textId="77777777" w:rsidR="00684831" w:rsidRPr="00317ABF" w:rsidRDefault="00684831" w:rsidP="00684831">
            <w:pPr>
              <w:jc w:val="both"/>
              <w:rPr>
                <w:sz w:val="22"/>
                <w:szCs w:val="22"/>
              </w:rPr>
            </w:pPr>
            <w:r w:rsidRPr="00317ABF">
              <w:rPr>
                <w:rFonts w:ascii="Times" w:eastAsiaTheme="minorEastAsia" w:hAnsi="Times" w:cs="Arial"/>
                <w:b/>
              </w:rPr>
              <w:t xml:space="preserve"> </w:t>
            </w:r>
            <w:r w:rsidRPr="00317ABF">
              <w:rPr>
                <w:b/>
                <w:sz w:val="22"/>
                <w:szCs w:val="22"/>
              </w:rPr>
              <w:t>Art. 303.</w:t>
            </w:r>
            <w:r w:rsidRPr="00317ABF">
              <w:rPr>
                <w:sz w:val="22"/>
                <w:szCs w:val="22"/>
              </w:rPr>
              <w:t xml:space="preserve"> </w:t>
            </w:r>
          </w:p>
          <w:p w14:paraId="64DBADC3" w14:textId="6BF7E87B" w:rsidR="00684831" w:rsidRPr="00317ABF" w:rsidRDefault="00684831" w:rsidP="00684831">
            <w:pPr>
              <w:jc w:val="both"/>
              <w:rPr>
                <w:sz w:val="22"/>
                <w:szCs w:val="22"/>
              </w:rPr>
            </w:pPr>
            <w:r w:rsidRPr="00317ABF">
              <w:rPr>
                <w:sz w:val="22"/>
                <w:szCs w:val="22"/>
              </w:rPr>
              <w:t>1. Jeżeli abonent korzystając z uprawnienia, o którym mowa w art. 301 ust. 2 lub art. 375, decyduje się zachować promocyjne urządzenie końcowe dostawca usług telekomunikacyjnych może żądać od abonenta:</w:t>
            </w:r>
          </w:p>
          <w:p w14:paraId="5AA600CF" w14:textId="77777777" w:rsidR="00684831" w:rsidRPr="00317ABF" w:rsidRDefault="00684831" w:rsidP="00684831">
            <w:pPr>
              <w:jc w:val="both"/>
              <w:rPr>
                <w:bCs/>
                <w:sz w:val="22"/>
                <w:szCs w:val="22"/>
              </w:rPr>
            </w:pPr>
            <w:r w:rsidRPr="00317ABF">
              <w:rPr>
                <w:bCs/>
                <w:sz w:val="22"/>
                <w:szCs w:val="22"/>
              </w:rPr>
              <w:t>1)</w:t>
            </w:r>
            <w:r w:rsidRPr="00317ABF">
              <w:rPr>
                <w:bCs/>
                <w:sz w:val="22"/>
                <w:szCs w:val="22"/>
              </w:rPr>
              <w:tab/>
              <w:t>odszkodowania</w:t>
            </w:r>
            <w:r w:rsidRPr="00317ABF">
              <w:rPr>
                <w:sz w:val="22"/>
                <w:szCs w:val="22"/>
              </w:rPr>
              <w:t xml:space="preserve"> w wysokości </w:t>
            </w:r>
            <w:r w:rsidRPr="00317ABF">
              <w:rPr>
                <w:bCs/>
                <w:sz w:val="22"/>
                <w:szCs w:val="22"/>
              </w:rPr>
              <w:t>sumy części opłaty abonamentowej lub innej okresowej opłaty stanowiącej opłatę za usługę telekomunikacyjną wskazanej w art. 282 ust. 1 pkt 6 lit a lub art. 288 ust. 1 pkt 3 lit a, które abonent powinien uiścić do czasu zakończenia obowiązywania umowy albo</w:t>
            </w:r>
          </w:p>
          <w:p w14:paraId="2D79DF6A" w14:textId="77777777" w:rsidR="00684831" w:rsidRPr="00317ABF" w:rsidRDefault="00684831" w:rsidP="00684831">
            <w:pPr>
              <w:jc w:val="both"/>
              <w:rPr>
                <w:bCs/>
                <w:sz w:val="22"/>
                <w:szCs w:val="22"/>
              </w:rPr>
            </w:pPr>
            <w:r w:rsidRPr="00317ABF">
              <w:rPr>
                <w:bCs/>
                <w:sz w:val="22"/>
                <w:szCs w:val="22"/>
              </w:rPr>
              <w:t>2)</w:t>
            </w:r>
            <w:r w:rsidRPr="00317ABF">
              <w:rPr>
                <w:bCs/>
                <w:sz w:val="22"/>
                <w:szCs w:val="22"/>
              </w:rPr>
              <w:tab/>
              <w:t>odszkodowania, o którym mowa w art. 298 ust. 3 pkt 2,</w:t>
            </w:r>
          </w:p>
          <w:p w14:paraId="377CB3A9" w14:textId="77777777" w:rsidR="00684831" w:rsidRPr="00317ABF" w:rsidRDefault="00684831" w:rsidP="00684831">
            <w:pPr>
              <w:jc w:val="both"/>
              <w:rPr>
                <w:bCs/>
                <w:sz w:val="22"/>
                <w:szCs w:val="22"/>
              </w:rPr>
            </w:pPr>
            <w:r w:rsidRPr="00317ABF">
              <w:rPr>
                <w:bCs/>
                <w:sz w:val="22"/>
                <w:szCs w:val="22"/>
              </w:rPr>
              <w:t>– w zależności od tego, które z tych odszkodowań jest niższe.</w:t>
            </w:r>
          </w:p>
          <w:p w14:paraId="54AF612A" w14:textId="03358B7F" w:rsidR="00684831" w:rsidRPr="00317ABF" w:rsidRDefault="00684831" w:rsidP="00684831">
            <w:pPr>
              <w:jc w:val="both"/>
              <w:rPr>
                <w:bCs/>
                <w:sz w:val="22"/>
                <w:szCs w:val="22"/>
              </w:rPr>
            </w:pPr>
            <w:r w:rsidRPr="00317ABF">
              <w:rPr>
                <w:bCs/>
                <w:sz w:val="22"/>
                <w:szCs w:val="22"/>
              </w:rPr>
              <w:t xml:space="preserve">2. W przypadku usługi transmisji danych używanej do świadczenia usług komunikacji maszyna-maszyna przepisy ust. 1, stosuje się wyłącznie wobec użytkowników końcowych będących konsumentami, mikroprzedsiębiorcami, małymi przedsiębiorcami lub organizacjami pozarządowymi w rozumieniu art. 3 ust. </w:t>
            </w:r>
            <w:r w:rsidRPr="00317ABF" w:rsidDel="00FC7B6C">
              <w:rPr>
                <w:bCs/>
                <w:sz w:val="22"/>
                <w:szCs w:val="22"/>
              </w:rPr>
              <w:t xml:space="preserve">2 </w:t>
            </w:r>
            <w:r w:rsidRPr="00317ABF">
              <w:rPr>
                <w:bCs/>
                <w:sz w:val="22"/>
                <w:szCs w:val="22"/>
              </w:rPr>
              <w:t>ustawy z dnia 24 kwietnia 2003 r. o działalności pożytku publicznego i o wolontariacie (Dz. U. z 2019 r. poz. 688).</w:t>
            </w:r>
          </w:p>
          <w:p w14:paraId="5FC79BD9" w14:textId="77777777" w:rsidR="00684831" w:rsidRPr="00317ABF" w:rsidRDefault="00684831" w:rsidP="00684831">
            <w:pPr>
              <w:rPr>
                <w:sz w:val="22"/>
                <w:szCs w:val="22"/>
              </w:rPr>
            </w:pPr>
            <w:r w:rsidRPr="00317ABF">
              <w:rPr>
                <w:b/>
                <w:sz w:val="22"/>
                <w:szCs w:val="22"/>
              </w:rPr>
              <w:t>Art. 304.</w:t>
            </w:r>
            <w:r w:rsidRPr="00317ABF">
              <w:rPr>
                <w:sz w:val="22"/>
                <w:szCs w:val="22"/>
              </w:rPr>
              <w:t xml:space="preserve"> </w:t>
            </w:r>
          </w:p>
          <w:p w14:paraId="7E970BD4" w14:textId="07B2B937" w:rsidR="00684831" w:rsidRPr="00317ABF" w:rsidRDefault="00684831" w:rsidP="00684831">
            <w:pPr>
              <w:rPr>
                <w:sz w:val="22"/>
                <w:szCs w:val="22"/>
              </w:rPr>
            </w:pPr>
            <w:r w:rsidRPr="00317ABF">
              <w:rPr>
                <w:sz w:val="22"/>
                <w:szCs w:val="22"/>
              </w:rPr>
              <w:lastRenderedPageBreak/>
              <w:t>1. Dostawca usług telekomunikacyjnych bezpłatnie usuwa wszelkie ograniczenia w zakresie korzystania z promocyjnego urządzenia końcowego, o ile zostały one wprowadzone przez dostawcę usług lub na jego zlecenie, w przypadku:</w:t>
            </w:r>
          </w:p>
          <w:p w14:paraId="03ADCFB0" w14:textId="77777777" w:rsidR="00684831" w:rsidRPr="00317ABF" w:rsidRDefault="00684831" w:rsidP="00684831">
            <w:pPr>
              <w:rPr>
                <w:bCs/>
                <w:sz w:val="22"/>
                <w:szCs w:val="22"/>
              </w:rPr>
            </w:pPr>
            <w:r w:rsidRPr="00317ABF">
              <w:rPr>
                <w:bCs/>
                <w:sz w:val="22"/>
                <w:szCs w:val="22"/>
              </w:rPr>
              <w:t>1) upływu okresu na jaki została zawarta umowa o świadczenie usług komunikacji elektronicznej w ramach której sprzedano urządzenie,</w:t>
            </w:r>
          </w:p>
          <w:p w14:paraId="3E05363B" w14:textId="77777777" w:rsidR="00684831" w:rsidRPr="00317ABF" w:rsidRDefault="00684831" w:rsidP="00684831">
            <w:pPr>
              <w:rPr>
                <w:bCs/>
                <w:sz w:val="22"/>
                <w:szCs w:val="22"/>
              </w:rPr>
            </w:pPr>
            <w:r w:rsidRPr="00317ABF">
              <w:rPr>
                <w:bCs/>
                <w:sz w:val="22"/>
                <w:szCs w:val="22"/>
              </w:rPr>
              <w:t>2) zapłaty odszkodowania, o którym mowa w art. 298 ust. 1,</w:t>
            </w:r>
          </w:p>
          <w:p w14:paraId="68FE3E1D" w14:textId="77777777" w:rsidR="00684831" w:rsidRPr="00317ABF" w:rsidRDefault="00684831" w:rsidP="00684831">
            <w:pPr>
              <w:rPr>
                <w:bCs/>
                <w:sz w:val="22"/>
                <w:szCs w:val="22"/>
              </w:rPr>
            </w:pPr>
            <w:r w:rsidRPr="00317ABF">
              <w:rPr>
                <w:bCs/>
                <w:sz w:val="22"/>
                <w:szCs w:val="22"/>
              </w:rPr>
              <w:t>3) zapłaty odszkodowania, o którym mowa w art. 303 ust. 1.</w:t>
            </w:r>
          </w:p>
          <w:p w14:paraId="22628D45" w14:textId="292CBB73" w:rsidR="001E1112" w:rsidRPr="00317ABF" w:rsidRDefault="00684831" w:rsidP="00684831">
            <w:pPr>
              <w:rPr>
                <w:bCs/>
                <w:sz w:val="22"/>
                <w:szCs w:val="22"/>
              </w:rPr>
            </w:pPr>
            <w:r w:rsidRPr="00317ABF">
              <w:rPr>
                <w:bCs/>
                <w:sz w:val="22"/>
                <w:szCs w:val="22"/>
              </w:rPr>
              <w:t xml:space="preserve">2. W przypadku usługi transmisji danych używanej do świadczenia usług komunikacji maszyna-maszyna przepisy ust. 1 pkt 3, stosuje się wyłącznie wobec użytkowników końcowych będących konsumentami, mikroprzedsiębiorcami, małymi przedsiębiorcami lub organizacjami pozarządowymi w rozumieniu art. 3 ust. </w:t>
            </w:r>
            <w:r w:rsidRPr="00317ABF" w:rsidDel="00FC7B6C">
              <w:rPr>
                <w:bCs/>
                <w:sz w:val="22"/>
                <w:szCs w:val="22"/>
              </w:rPr>
              <w:t xml:space="preserve">2 </w:t>
            </w:r>
            <w:r w:rsidRPr="00317ABF">
              <w:rPr>
                <w:bCs/>
                <w:sz w:val="22"/>
                <w:szCs w:val="22"/>
              </w:rPr>
              <w:t>ustawy z dnia 24 kwietnia 2003 r. o działalności pożytku publicznego i o wolontariacie (Dz. U. z 2019 r. poz. 688).</w:t>
            </w:r>
          </w:p>
        </w:tc>
      </w:tr>
      <w:tr w:rsidR="001E1112" w:rsidRPr="00317ABF" w14:paraId="2E0D521A" w14:textId="77777777" w:rsidTr="7753F98D">
        <w:trPr>
          <w:gridAfter w:val="2"/>
          <w:wAfter w:w="175" w:type="dxa"/>
        </w:trPr>
        <w:tc>
          <w:tcPr>
            <w:tcW w:w="704" w:type="dxa"/>
          </w:tcPr>
          <w:p w14:paraId="79F42AFB" w14:textId="77777777" w:rsidR="001E1112" w:rsidRPr="00317ABF" w:rsidRDefault="001E1112" w:rsidP="00DB3BEC">
            <w:pPr>
              <w:jc w:val="both"/>
              <w:rPr>
                <w:sz w:val="22"/>
                <w:szCs w:val="22"/>
              </w:rPr>
            </w:pPr>
            <w:r w:rsidRPr="00317ABF">
              <w:rPr>
                <w:sz w:val="22"/>
                <w:szCs w:val="22"/>
              </w:rPr>
              <w:lastRenderedPageBreak/>
              <w:t>Art. 105 ust. 7</w:t>
            </w:r>
          </w:p>
        </w:tc>
        <w:tc>
          <w:tcPr>
            <w:tcW w:w="4308" w:type="dxa"/>
          </w:tcPr>
          <w:p w14:paraId="7BA6C35A" w14:textId="77777777" w:rsidR="001E1112" w:rsidRPr="00317ABF" w:rsidRDefault="001E1112" w:rsidP="00DB3BEC">
            <w:pPr>
              <w:spacing w:before="120"/>
              <w:jc w:val="both"/>
              <w:rPr>
                <w:sz w:val="22"/>
                <w:szCs w:val="22"/>
              </w:rPr>
            </w:pPr>
            <w:r w:rsidRPr="00317ABF">
              <w:rPr>
                <w:sz w:val="22"/>
                <w:szCs w:val="22"/>
              </w:rPr>
              <w:t>7.   Jeżeli chodzi o usługi transmisji używane do usług łączności maszyna–maszyna, prawa wymienione w ust. 4 i 6 przysługują jedynie użytkownikom końcowym, którzy są konsumentami, mikroprzedsiębiorstwami, małymi przedsiębiorstwami lub organizacjami non-profit.</w:t>
            </w:r>
          </w:p>
        </w:tc>
        <w:tc>
          <w:tcPr>
            <w:tcW w:w="986" w:type="dxa"/>
          </w:tcPr>
          <w:p w14:paraId="5E161A15" w14:textId="004B54EF" w:rsidR="001E1112" w:rsidRPr="00317ABF" w:rsidRDefault="001E1112" w:rsidP="00DB3BEC">
            <w:pPr>
              <w:jc w:val="both"/>
              <w:rPr>
                <w:sz w:val="22"/>
                <w:szCs w:val="22"/>
              </w:rPr>
            </w:pPr>
            <w:r w:rsidRPr="00317ABF">
              <w:rPr>
                <w:sz w:val="22"/>
                <w:szCs w:val="22"/>
              </w:rPr>
              <w:t>T</w:t>
            </w:r>
          </w:p>
        </w:tc>
        <w:tc>
          <w:tcPr>
            <w:tcW w:w="910" w:type="dxa"/>
          </w:tcPr>
          <w:p w14:paraId="732D2247" w14:textId="0F2739DB" w:rsidR="001E1112" w:rsidRPr="00317ABF" w:rsidRDefault="007A6EDE" w:rsidP="007A6EDE">
            <w:pPr>
              <w:pStyle w:val="Tekstpodstawowy"/>
              <w:rPr>
                <w:b/>
                <w:noProof/>
                <w:sz w:val="22"/>
                <w:szCs w:val="22"/>
              </w:rPr>
            </w:pPr>
            <w:r w:rsidRPr="00317ABF">
              <w:rPr>
                <w:b/>
                <w:noProof/>
                <w:sz w:val="22"/>
                <w:szCs w:val="22"/>
              </w:rPr>
              <w:t>Art. 303 ust. 2</w:t>
            </w:r>
          </w:p>
        </w:tc>
        <w:tc>
          <w:tcPr>
            <w:tcW w:w="6814" w:type="dxa"/>
            <w:gridSpan w:val="2"/>
          </w:tcPr>
          <w:p w14:paraId="0B7BEC10" w14:textId="77777777" w:rsidR="007A6EDE" w:rsidRPr="00317ABF" w:rsidRDefault="007A6EDE" w:rsidP="007A6EDE">
            <w:pPr>
              <w:pStyle w:val="Tekstpodstawowy"/>
              <w:rPr>
                <w:b/>
                <w:sz w:val="22"/>
                <w:szCs w:val="22"/>
              </w:rPr>
            </w:pPr>
            <w:r w:rsidRPr="00317ABF">
              <w:rPr>
                <w:b/>
                <w:sz w:val="22"/>
                <w:szCs w:val="22"/>
              </w:rPr>
              <w:t>Art. 303</w:t>
            </w:r>
          </w:p>
          <w:p w14:paraId="46B0BD3F" w14:textId="77777777" w:rsidR="007A6EDE" w:rsidRPr="00317ABF" w:rsidRDefault="007A6EDE" w:rsidP="007A6EDE">
            <w:pPr>
              <w:pStyle w:val="Tekstpodstawowy"/>
              <w:rPr>
                <w:sz w:val="22"/>
                <w:szCs w:val="22"/>
              </w:rPr>
            </w:pPr>
            <w:r w:rsidRPr="00317ABF">
              <w:rPr>
                <w:sz w:val="22"/>
                <w:szCs w:val="22"/>
              </w:rPr>
              <w:t>(…)</w:t>
            </w:r>
          </w:p>
          <w:p w14:paraId="4B3A6967" w14:textId="2D73C138" w:rsidR="001E1112" w:rsidRPr="00317ABF" w:rsidRDefault="007A6EDE" w:rsidP="007A6EDE">
            <w:pPr>
              <w:pStyle w:val="Tekstpodstawowy"/>
              <w:rPr>
                <w:bCs/>
                <w:sz w:val="22"/>
                <w:szCs w:val="22"/>
              </w:rPr>
            </w:pPr>
            <w:r w:rsidRPr="00317ABF">
              <w:rPr>
                <w:bCs/>
                <w:sz w:val="22"/>
                <w:szCs w:val="22"/>
              </w:rPr>
              <w:t xml:space="preserve">2. W przypadku usługi transmisji danych używanej do świadczenia usług komunikacji maszyna-maszyna przepisy ust. 1, stosuje się wyłącznie wobec użytkowników końcowych będących konsumentami, mikroprzedsiębiorcami, małymi przedsiębiorcami lub organizacjami pozarządowymi w rozumieniu art. 3 ust. </w:t>
            </w:r>
            <w:r w:rsidRPr="00317ABF" w:rsidDel="00FC7B6C">
              <w:rPr>
                <w:bCs/>
                <w:sz w:val="22"/>
                <w:szCs w:val="22"/>
              </w:rPr>
              <w:t xml:space="preserve">2 </w:t>
            </w:r>
            <w:r w:rsidRPr="00317ABF">
              <w:rPr>
                <w:bCs/>
                <w:sz w:val="22"/>
                <w:szCs w:val="22"/>
              </w:rPr>
              <w:t>ustawy z dnia 24 kwietnia 2003 r. o działalności pożytku publicznego i o wolontariacie (Dz. U. z 2019 r. poz. 688).</w:t>
            </w:r>
          </w:p>
        </w:tc>
      </w:tr>
      <w:tr w:rsidR="001E1112" w:rsidRPr="00317ABF" w14:paraId="4449E42D" w14:textId="77777777" w:rsidTr="7753F98D">
        <w:trPr>
          <w:gridAfter w:val="2"/>
          <w:wAfter w:w="175" w:type="dxa"/>
        </w:trPr>
        <w:tc>
          <w:tcPr>
            <w:tcW w:w="704" w:type="dxa"/>
          </w:tcPr>
          <w:p w14:paraId="0E3C7B63" w14:textId="2C1BD5AA" w:rsidR="001E1112" w:rsidRPr="00317ABF" w:rsidRDefault="001E1112" w:rsidP="00DB3BEC">
            <w:pPr>
              <w:jc w:val="both"/>
              <w:rPr>
                <w:b/>
                <w:sz w:val="22"/>
                <w:szCs w:val="22"/>
              </w:rPr>
            </w:pPr>
            <w:r w:rsidRPr="00317ABF">
              <w:rPr>
                <w:b/>
                <w:sz w:val="22"/>
                <w:szCs w:val="22"/>
              </w:rPr>
              <w:t>Art. 106</w:t>
            </w:r>
          </w:p>
        </w:tc>
        <w:tc>
          <w:tcPr>
            <w:tcW w:w="4308" w:type="dxa"/>
          </w:tcPr>
          <w:p w14:paraId="3C3CACA9" w14:textId="77777777" w:rsidR="001E1112" w:rsidRPr="00317ABF" w:rsidRDefault="001E1112" w:rsidP="00DB3BEC">
            <w:pPr>
              <w:spacing w:before="120"/>
              <w:jc w:val="both"/>
              <w:rPr>
                <w:sz w:val="22"/>
                <w:szCs w:val="22"/>
              </w:rPr>
            </w:pPr>
            <w:r w:rsidRPr="00317ABF">
              <w:rPr>
                <w:b/>
                <w:bCs/>
                <w:sz w:val="22"/>
                <w:szCs w:val="22"/>
              </w:rPr>
              <w:t>Zmiana dostawcy i przenoszenie numerów</w:t>
            </w:r>
          </w:p>
        </w:tc>
        <w:tc>
          <w:tcPr>
            <w:tcW w:w="986" w:type="dxa"/>
          </w:tcPr>
          <w:p w14:paraId="4E874E90" w14:textId="77777777" w:rsidR="001E1112" w:rsidRPr="00317ABF" w:rsidRDefault="001E1112" w:rsidP="00DB3BEC">
            <w:pPr>
              <w:jc w:val="both"/>
              <w:rPr>
                <w:sz w:val="22"/>
                <w:szCs w:val="22"/>
              </w:rPr>
            </w:pPr>
          </w:p>
        </w:tc>
        <w:tc>
          <w:tcPr>
            <w:tcW w:w="910" w:type="dxa"/>
          </w:tcPr>
          <w:p w14:paraId="2FC8E8A3" w14:textId="77777777" w:rsidR="001E1112" w:rsidRPr="00317ABF" w:rsidRDefault="001E1112" w:rsidP="00DB3BEC">
            <w:pPr>
              <w:pStyle w:val="Tekstpodstawowy"/>
              <w:rPr>
                <w:b/>
                <w:noProof/>
                <w:sz w:val="22"/>
                <w:szCs w:val="22"/>
              </w:rPr>
            </w:pPr>
          </w:p>
        </w:tc>
        <w:tc>
          <w:tcPr>
            <w:tcW w:w="6814" w:type="dxa"/>
            <w:gridSpan w:val="2"/>
          </w:tcPr>
          <w:p w14:paraId="6FA49B4B" w14:textId="77777777" w:rsidR="001E1112" w:rsidRPr="00317ABF" w:rsidRDefault="001E1112" w:rsidP="00DB3BEC">
            <w:pPr>
              <w:pStyle w:val="Tekstpodstawowy"/>
              <w:rPr>
                <w:sz w:val="22"/>
                <w:szCs w:val="22"/>
              </w:rPr>
            </w:pPr>
          </w:p>
        </w:tc>
      </w:tr>
      <w:tr w:rsidR="001E1112" w:rsidRPr="00317ABF" w14:paraId="00F10EC2" w14:textId="77777777" w:rsidTr="7753F98D">
        <w:trPr>
          <w:gridAfter w:val="2"/>
          <w:wAfter w:w="175" w:type="dxa"/>
        </w:trPr>
        <w:tc>
          <w:tcPr>
            <w:tcW w:w="704" w:type="dxa"/>
          </w:tcPr>
          <w:p w14:paraId="578B67F6" w14:textId="77777777" w:rsidR="001E1112" w:rsidRPr="00317ABF" w:rsidRDefault="001E1112" w:rsidP="00DB3BEC">
            <w:pPr>
              <w:jc w:val="both"/>
              <w:rPr>
                <w:sz w:val="22"/>
                <w:szCs w:val="22"/>
              </w:rPr>
            </w:pPr>
            <w:r w:rsidRPr="00317ABF">
              <w:rPr>
                <w:sz w:val="22"/>
                <w:szCs w:val="22"/>
              </w:rPr>
              <w:t>Art. 106 ust. 1</w:t>
            </w:r>
          </w:p>
        </w:tc>
        <w:tc>
          <w:tcPr>
            <w:tcW w:w="4308" w:type="dxa"/>
          </w:tcPr>
          <w:p w14:paraId="3A8D97CB" w14:textId="77777777" w:rsidR="001E1112" w:rsidRPr="00317ABF" w:rsidRDefault="001E1112" w:rsidP="00DB3BEC">
            <w:pPr>
              <w:spacing w:before="120"/>
              <w:jc w:val="both"/>
              <w:rPr>
                <w:sz w:val="22"/>
                <w:szCs w:val="22"/>
              </w:rPr>
            </w:pPr>
            <w:r w:rsidRPr="00317ABF">
              <w:rPr>
                <w:sz w:val="22"/>
                <w:szCs w:val="22"/>
              </w:rPr>
              <w:t xml:space="preserve">1.   W przypadku zmiany dostawcy usług dostępu do internetu dostawcy, których to dotyczy, przekazują użytkownikowi końcowemu odpowiednie informacje przed rozpoczęciem procesu zmiany dostawcy oraz w jego trakcie oraz zapewniają ciągłość usługi dostępu do internetu, chyba że jest to technicznie niewykonalne. Przejmujący dostawca zapewnia aktywację usługi dostępu do internetu w najkrótszym możliwym terminie w dniu i terminie wyraźnie uzgodnionym z użytkownikiem końcowym. Dotychczasowy </w:t>
            </w:r>
            <w:r w:rsidRPr="00317ABF">
              <w:rPr>
                <w:sz w:val="22"/>
                <w:szCs w:val="22"/>
              </w:rPr>
              <w:lastRenderedPageBreak/>
              <w:t>dostawca dalej świadczy swoje usługi dostępu do internetu na tych samych warunkach do czasu aktywacji usług dostępu do internetu przez przejmującego dostawcę. Utrata dostępu do usługi w trakcie procesu zmiany dostawcy nie może trwać dłużej niż jeden dzień roboczy.</w:t>
            </w:r>
          </w:p>
          <w:p w14:paraId="63314FF0" w14:textId="77777777" w:rsidR="001E1112" w:rsidRPr="00317ABF" w:rsidRDefault="001E1112" w:rsidP="00DB3BEC">
            <w:pPr>
              <w:spacing w:before="120"/>
              <w:jc w:val="both"/>
              <w:rPr>
                <w:sz w:val="22"/>
                <w:szCs w:val="22"/>
              </w:rPr>
            </w:pPr>
            <w:r w:rsidRPr="00317ABF">
              <w:rPr>
                <w:sz w:val="22"/>
                <w:szCs w:val="22"/>
              </w:rPr>
              <w:t>Krajowe organy regulacyjne zapewniają wydajny i prosty przebieg procesu zmiany dostawcy z perspektywy użytkownika końcowego.</w:t>
            </w:r>
          </w:p>
        </w:tc>
        <w:tc>
          <w:tcPr>
            <w:tcW w:w="986" w:type="dxa"/>
          </w:tcPr>
          <w:p w14:paraId="59596E08" w14:textId="031380D6" w:rsidR="001E1112" w:rsidRPr="00317ABF" w:rsidRDefault="001E1112" w:rsidP="00DB3BEC">
            <w:pPr>
              <w:jc w:val="both"/>
              <w:rPr>
                <w:sz w:val="22"/>
                <w:szCs w:val="22"/>
              </w:rPr>
            </w:pPr>
            <w:r w:rsidRPr="00317ABF">
              <w:rPr>
                <w:sz w:val="22"/>
                <w:szCs w:val="22"/>
              </w:rPr>
              <w:lastRenderedPageBreak/>
              <w:t>T</w:t>
            </w:r>
          </w:p>
        </w:tc>
        <w:tc>
          <w:tcPr>
            <w:tcW w:w="910" w:type="dxa"/>
          </w:tcPr>
          <w:p w14:paraId="5F8515DE" w14:textId="21FD72E7" w:rsidR="001E1112" w:rsidRPr="00317ABF" w:rsidRDefault="001E1112" w:rsidP="006C5CDC">
            <w:pPr>
              <w:pStyle w:val="Tekstpodstawowy"/>
              <w:rPr>
                <w:b/>
                <w:noProof/>
                <w:sz w:val="22"/>
                <w:szCs w:val="22"/>
              </w:rPr>
            </w:pPr>
            <w:r w:rsidRPr="00317ABF">
              <w:rPr>
                <w:b/>
                <w:noProof/>
                <w:sz w:val="22"/>
                <w:szCs w:val="22"/>
              </w:rPr>
              <w:t xml:space="preserve">Art. </w:t>
            </w:r>
            <w:r w:rsidR="00D03280" w:rsidRPr="00317ABF">
              <w:rPr>
                <w:b/>
                <w:noProof/>
                <w:sz w:val="22"/>
                <w:szCs w:val="22"/>
              </w:rPr>
              <w:t>312-314</w:t>
            </w:r>
          </w:p>
        </w:tc>
        <w:tc>
          <w:tcPr>
            <w:tcW w:w="6814" w:type="dxa"/>
            <w:gridSpan w:val="2"/>
          </w:tcPr>
          <w:p w14:paraId="7DECC1C4" w14:textId="696C1103" w:rsidR="006C5CDC" w:rsidRPr="00317ABF" w:rsidRDefault="006C5CDC" w:rsidP="006C5CDC">
            <w:pPr>
              <w:pStyle w:val="Tekstpodstawowy"/>
              <w:rPr>
                <w:sz w:val="22"/>
                <w:szCs w:val="22"/>
              </w:rPr>
            </w:pPr>
            <w:r w:rsidRPr="00317ABF">
              <w:rPr>
                <w:b/>
                <w:sz w:val="22"/>
                <w:szCs w:val="22"/>
              </w:rPr>
              <w:t>Art. 312.</w:t>
            </w:r>
            <w:r w:rsidRPr="00317ABF">
              <w:rPr>
                <w:sz w:val="22"/>
                <w:szCs w:val="22"/>
              </w:rPr>
              <w:t xml:space="preserve"> </w:t>
            </w:r>
          </w:p>
          <w:p w14:paraId="0FA352E3" w14:textId="7ED26B51" w:rsidR="006C5CDC" w:rsidRPr="00317ABF" w:rsidRDefault="006C5CDC" w:rsidP="006C5CDC">
            <w:pPr>
              <w:pStyle w:val="Tekstpodstawowy"/>
              <w:rPr>
                <w:sz w:val="22"/>
                <w:szCs w:val="22"/>
              </w:rPr>
            </w:pPr>
            <w:r w:rsidRPr="00317ABF">
              <w:rPr>
                <w:sz w:val="22"/>
                <w:szCs w:val="22"/>
              </w:rPr>
              <w:t>1. Abonent będący stroną umowy z dostawcą usługi dostępu do internetu w przypadku zmiany dostawcy tej usługi ma prawo do zachowania ciągłości świadczenia usługi, chyba że nie jest to technicznie wykonalne.</w:t>
            </w:r>
          </w:p>
          <w:p w14:paraId="07AF8145" w14:textId="77777777" w:rsidR="006C5CDC" w:rsidRPr="00317ABF" w:rsidRDefault="006C5CDC" w:rsidP="006C5CDC">
            <w:pPr>
              <w:pStyle w:val="Tekstpodstawowy"/>
              <w:rPr>
                <w:bCs/>
                <w:sz w:val="22"/>
                <w:szCs w:val="22"/>
              </w:rPr>
            </w:pPr>
            <w:r w:rsidRPr="00317ABF">
              <w:rPr>
                <w:bCs/>
                <w:sz w:val="22"/>
                <w:szCs w:val="22"/>
              </w:rPr>
              <w:t xml:space="preserve">2. Nowy dostawca usługi dostępu do internetu rozpoczyna świadczenie tej usługi w terminie uzgodnionym z abonentem określonym w umowie o świadczenie usług komunikacji elektronicznej z tym dostawcą. </w:t>
            </w:r>
          </w:p>
          <w:p w14:paraId="72FEED62" w14:textId="77777777" w:rsidR="006C5CDC" w:rsidRPr="00317ABF" w:rsidRDefault="006C5CDC" w:rsidP="006C5CDC">
            <w:pPr>
              <w:pStyle w:val="Tekstpodstawowy"/>
              <w:rPr>
                <w:bCs/>
                <w:sz w:val="22"/>
                <w:szCs w:val="22"/>
              </w:rPr>
            </w:pPr>
            <w:r w:rsidRPr="00317ABF">
              <w:rPr>
                <w:bCs/>
                <w:sz w:val="22"/>
                <w:szCs w:val="22"/>
              </w:rPr>
              <w:t xml:space="preserve">3. Abonent żądając zmiany dostawcy usługi dostępu do internetu może wypowiedzieć umowę z dotychczasowym dostawcą usługi dostępu do internetu bez zachowania terminów wypowiedzenia określonych w rozwiązywanej umowie. W takim przypadku abonent jest obowiązany do uiszczenia opłaty dotychczasowemu dostawcy usług w wysokości nieprzekraczającej opłaty abonamentowej za okres wypowiedzenia, nie </w:t>
            </w:r>
            <w:r w:rsidRPr="00317ABF">
              <w:rPr>
                <w:bCs/>
                <w:sz w:val="22"/>
                <w:szCs w:val="22"/>
              </w:rPr>
              <w:lastRenderedPageBreak/>
              <w:t>wyższej jednak niż opłata abonamentowa za jeden okres rozliczeniowy, powiększonej o odszkodowanie, o którym mowa w</w:t>
            </w:r>
            <w:r w:rsidRPr="00317ABF" w:rsidDel="009602FB">
              <w:rPr>
                <w:bCs/>
                <w:sz w:val="22"/>
                <w:szCs w:val="22"/>
              </w:rPr>
              <w:t xml:space="preserve"> </w:t>
            </w:r>
            <w:r w:rsidRPr="00317ABF">
              <w:rPr>
                <w:bCs/>
                <w:sz w:val="22"/>
                <w:szCs w:val="22"/>
              </w:rPr>
              <w:t xml:space="preserve">art. 298. </w:t>
            </w:r>
          </w:p>
          <w:p w14:paraId="38E5C715" w14:textId="77777777" w:rsidR="006C5CDC" w:rsidRPr="00317ABF" w:rsidRDefault="006C5CDC" w:rsidP="006C5CDC">
            <w:pPr>
              <w:pStyle w:val="Tekstpodstawowy"/>
              <w:rPr>
                <w:bCs/>
                <w:sz w:val="22"/>
                <w:szCs w:val="22"/>
              </w:rPr>
            </w:pPr>
            <w:r w:rsidRPr="00317ABF">
              <w:rPr>
                <w:bCs/>
                <w:sz w:val="22"/>
                <w:szCs w:val="22"/>
              </w:rPr>
              <w:t>4. W przypadku skorzystania przez abonenta z uprawnienia, o którym mowa w ust. 1, abonent określa tryb zmiany dostawcy usługi:</w:t>
            </w:r>
          </w:p>
          <w:p w14:paraId="62133B7B" w14:textId="77777777" w:rsidR="006C5CDC" w:rsidRPr="00317ABF" w:rsidRDefault="006C5CDC" w:rsidP="006C5CDC">
            <w:pPr>
              <w:pStyle w:val="Tekstpodstawowy"/>
              <w:rPr>
                <w:bCs/>
                <w:sz w:val="22"/>
                <w:szCs w:val="22"/>
              </w:rPr>
            </w:pPr>
            <w:r w:rsidRPr="00317ABF">
              <w:rPr>
                <w:bCs/>
                <w:sz w:val="22"/>
                <w:szCs w:val="22"/>
              </w:rPr>
              <w:t xml:space="preserve">1) z zachowaniem okresu wypowiedzenia przewidzianego umową z dotychczasowym dostawcą usługi, </w:t>
            </w:r>
          </w:p>
          <w:p w14:paraId="16DDC922" w14:textId="77777777" w:rsidR="006C5CDC" w:rsidRPr="00317ABF" w:rsidRDefault="006C5CDC" w:rsidP="006C5CDC">
            <w:pPr>
              <w:pStyle w:val="Tekstpodstawowy"/>
              <w:rPr>
                <w:bCs/>
                <w:sz w:val="22"/>
                <w:szCs w:val="22"/>
              </w:rPr>
            </w:pPr>
            <w:r w:rsidRPr="00317ABF">
              <w:rPr>
                <w:bCs/>
                <w:sz w:val="22"/>
                <w:szCs w:val="22"/>
              </w:rPr>
              <w:t>2) bez zachowania okresu wypowiedzenia przewidzianego umową z dotychczasowym dostawcą usługi dostępu do internetu, ze wskazaniem konkretnego terminu przeniesienia;</w:t>
            </w:r>
          </w:p>
          <w:p w14:paraId="5579E2F5" w14:textId="77777777" w:rsidR="006C5CDC" w:rsidRPr="00317ABF" w:rsidDel="00E75857" w:rsidRDefault="006C5CDC" w:rsidP="006C5CDC">
            <w:pPr>
              <w:pStyle w:val="Tekstpodstawowy"/>
              <w:rPr>
                <w:sz w:val="22"/>
                <w:szCs w:val="22"/>
              </w:rPr>
            </w:pPr>
            <w:r w:rsidRPr="00317ABF">
              <w:rPr>
                <w:sz w:val="22"/>
                <w:szCs w:val="22"/>
              </w:rPr>
              <w:t>3) na koniec okresu obowiązywania umowy wymaganego do skorzystania z warunków promocyjnych wynikającego z umowy z dotychczasowym dostawcą usługi dostępu do internetu.</w:t>
            </w:r>
          </w:p>
          <w:p w14:paraId="4004C764" w14:textId="77777777" w:rsidR="006C5CDC" w:rsidRPr="00317ABF" w:rsidRDefault="006C5CDC" w:rsidP="006C5CDC">
            <w:pPr>
              <w:pStyle w:val="Tekstpodstawowy"/>
              <w:rPr>
                <w:bCs/>
                <w:sz w:val="22"/>
                <w:szCs w:val="22"/>
              </w:rPr>
            </w:pPr>
            <w:r w:rsidRPr="00317ABF">
              <w:rPr>
                <w:bCs/>
                <w:sz w:val="22"/>
                <w:szCs w:val="22"/>
              </w:rPr>
              <w:t>5. Wypowiedzenie umowy z dotychczasowym dostawcą usługi dostępu do internetu staje się skuteczne z chwilą rozpoczęcia świadczenia usługi przez nowego dostawcę usługi dostępu do internetu.</w:t>
            </w:r>
          </w:p>
          <w:p w14:paraId="126220DF" w14:textId="77777777" w:rsidR="006C5CDC" w:rsidRPr="00317ABF" w:rsidRDefault="006C5CDC" w:rsidP="006C5CDC">
            <w:pPr>
              <w:pStyle w:val="Tekstpodstawowy"/>
              <w:rPr>
                <w:bCs/>
                <w:sz w:val="22"/>
                <w:szCs w:val="22"/>
              </w:rPr>
            </w:pPr>
            <w:r w:rsidRPr="00317ABF">
              <w:rPr>
                <w:bCs/>
                <w:sz w:val="22"/>
                <w:szCs w:val="22"/>
              </w:rPr>
              <w:t>6. Nowy dostawca usługi dostępu do internetu potwierdza abonentowi niezwłocznie rozpoczęcie świadczenia usługi na trwałym nośniku.</w:t>
            </w:r>
          </w:p>
          <w:p w14:paraId="5993C0CF" w14:textId="77777777" w:rsidR="006C5CDC" w:rsidRPr="00317ABF" w:rsidRDefault="006C5CDC" w:rsidP="006C5CDC">
            <w:pPr>
              <w:pStyle w:val="Tekstpodstawowy"/>
              <w:rPr>
                <w:bCs/>
                <w:sz w:val="22"/>
                <w:szCs w:val="22"/>
              </w:rPr>
            </w:pPr>
            <w:r w:rsidRPr="00317ABF">
              <w:rPr>
                <w:bCs/>
                <w:sz w:val="22"/>
                <w:szCs w:val="22"/>
              </w:rPr>
              <w:t>7. Zmiana dostawcy usługi dostępu do internetu nie może powodować przerwy w świadczeniu tej usługi dłuższej niż 1 dzień roboczy.</w:t>
            </w:r>
          </w:p>
          <w:p w14:paraId="1458AF13" w14:textId="77777777" w:rsidR="006C5CDC" w:rsidRPr="00317ABF" w:rsidRDefault="006C5CDC" w:rsidP="006C5CDC">
            <w:pPr>
              <w:pStyle w:val="Tekstpodstawowy"/>
              <w:rPr>
                <w:bCs/>
                <w:sz w:val="22"/>
                <w:szCs w:val="22"/>
              </w:rPr>
            </w:pPr>
            <w:r w:rsidRPr="00317ABF">
              <w:rPr>
                <w:bCs/>
                <w:sz w:val="22"/>
                <w:szCs w:val="22"/>
              </w:rPr>
              <w:t>8. Za czynności związane z realizacją uprawnienia, o którym mowa w ust. 1, nie pobiera się opłat od abonenta.</w:t>
            </w:r>
          </w:p>
          <w:p w14:paraId="294138A1" w14:textId="77777777" w:rsidR="006C5CDC" w:rsidRPr="00317ABF" w:rsidRDefault="006C5CDC" w:rsidP="006C5CDC">
            <w:pPr>
              <w:pStyle w:val="Tekstpodstawowy"/>
              <w:rPr>
                <w:bCs/>
                <w:sz w:val="22"/>
                <w:szCs w:val="22"/>
              </w:rPr>
            </w:pPr>
            <w:r w:rsidRPr="00317ABF">
              <w:rPr>
                <w:bCs/>
                <w:sz w:val="22"/>
                <w:szCs w:val="22"/>
              </w:rPr>
              <w:t xml:space="preserve">9. Nowy dostawca usługi dostępu do internetu oraz dotychczasowy dostawca usługi dostępu do internetu współpracują ze sobą w dobrej wierze podczas procesu zmiany dostawcy usługi dostępu do internetu, tak aby zapewnić zachowanie ciągłości usługi dostępu internetu w terminie określonym w ust. 2, przy czym procesem tym kieruje nowy dostawca usługi. </w:t>
            </w:r>
          </w:p>
          <w:p w14:paraId="46265254" w14:textId="77777777" w:rsidR="006C5CDC" w:rsidRPr="00317ABF" w:rsidRDefault="006C5CDC" w:rsidP="006C5CDC">
            <w:pPr>
              <w:pStyle w:val="Tekstpodstawowy"/>
              <w:rPr>
                <w:bCs/>
                <w:sz w:val="22"/>
                <w:szCs w:val="22"/>
              </w:rPr>
            </w:pPr>
            <w:r w:rsidRPr="00317ABF">
              <w:rPr>
                <w:bCs/>
                <w:sz w:val="22"/>
                <w:szCs w:val="22"/>
              </w:rPr>
              <w:t xml:space="preserve">10.Wymiana informacji pomiędzy operatorami lub dostawcami usługi dostępu do internetu w zakresie realizacji uprawnienia, o którym mowa w ust. 1, odbywa się drogą elektroniczną za pośrednictwem systemu, o którym mowa w art. 315. </w:t>
            </w:r>
          </w:p>
          <w:p w14:paraId="47313230" w14:textId="77777777" w:rsidR="006C5CDC" w:rsidRPr="00317ABF" w:rsidRDefault="006C5CDC" w:rsidP="006C5CDC">
            <w:pPr>
              <w:pStyle w:val="Tekstpodstawowy"/>
              <w:rPr>
                <w:bCs/>
                <w:sz w:val="22"/>
                <w:szCs w:val="22"/>
              </w:rPr>
            </w:pPr>
            <w:r w:rsidRPr="00317ABF">
              <w:rPr>
                <w:bCs/>
                <w:sz w:val="22"/>
                <w:szCs w:val="22"/>
              </w:rPr>
              <w:t>11. W przypadku zakończenia obowiązywania umowy o świadczenie usługi komunikacji elektronicznej, w zakresie usługi dostępu do internetu, w ramach której dostawca usługi zapewniał dostęp do poczty elektronicznej, której adres związany jest z nazwą handlową lub znakiem towarowym tego dostawcy usługi, abonent może żądać od dostawcy zapewnienia bezpłatnego dostępu do tej poczty przez okres 6 miesięcy od dnia rozwiązania zakończenia umowy.</w:t>
            </w:r>
          </w:p>
          <w:p w14:paraId="71D59367" w14:textId="77777777" w:rsidR="006C5CDC" w:rsidRPr="00317ABF" w:rsidRDefault="006C5CDC" w:rsidP="006C5CDC">
            <w:pPr>
              <w:pStyle w:val="Tekstpodstawowy"/>
              <w:rPr>
                <w:b/>
                <w:bCs/>
                <w:sz w:val="22"/>
                <w:szCs w:val="22"/>
              </w:rPr>
            </w:pPr>
            <w:r w:rsidRPr="00317ABF">
              <w:rPr>
                <w:b/>
                <w:bCs/>
                <w:sz w:val="22"/>
                <w:szCs w:val="22"/>
              </w:rPr>
              <w:t>Art. 313.</w:t>
            </w:r>
          </w:p>
          <w:p w14:paraId="455F34D4" w14:textId="658CA1B7" w:rsidR="006C5CDC" w:rsidRPr="00317ABF" w:rsidRDefault="006C5CDC" w:rsidP="006C5CDC">
            <w:pPr>
              <w:pStyle w:val="Tekstpodstawowy"/>
              <w:rPr>
                <w:bCs/>
                <w:sz w:val="22"/>
                <w:szCs w:val="22"/>
              </w:rPr>
            </w:pPr>
            <w:r w:rsidRPr="00317ABF">
              <w:rPr>
                <w:bCs/>
                <w:sz w:val="22"/>
                <w:szCs w:val="22"/>
              </w:rPr>
              <w:lastRenderedPageBreak/>
              <w:t xml:space="preserve">1. W przypadku gdy rozpoczęcie świadczenia usług przez nowego dostawcę usługi dostępu do internetu nie nastąpiło w terminie, o którym mowa w art. 312 ust. 2, dotychczasowy dostawca usługi dostępu do internetu kontynuuje świadczenie usługi na dotychczasowych warunkach do czasu rozpoczęcia świadczenia usługi przez nowego dostawcę usługi dostępu do internetu. </w:t>
            </w:r>
          </w:p>
          <w:p w14:paraId="707A773D" w14:textId="77777777" w:rsidR="006C5CDC" w:rsidRPr="00317ABF" w:rsidRDefault="006C5CDC" w:rsidP="006C5CDC">
            <w:pPr>
              <w:pStyle w:val="Tekstpodstawowy"/>
              <w:rPr>
                <w:bCs/>
                <w:sz w:val="22"/>
                <w:szCs w:val="22"/>
              </w:rPr>
            </w:pPr>
            <w:r w:rsidRPr="00317ABF">
              <w:rPr>
                <w:bCs/>
                <w:sz w:val="22"/>
                <w:szCs w:val="22"/>
              </w:rPr>
              <w:t>2. Jeżeli rozpoczęcie świadczenia usługi przez nowego dostawcę usługi dostępu do internetu nie nastąpiło w terminie 30 dni od terminu, o którym mowa w art. 312 ust. 2:</w:t>
            </w:r>
          </w:p>
          <w:p w14:paraId="253D5147" w14:textId="77777777" w:rsidR="006C5CDC" w:rsidRPr="00317ABF" w:rsidRDefault="006C5CDC" w:rsidP="006C5CDC">
            <w:pPr>
              <w:pStyle w:val="Tekstpodstawowy"/>
              <w:rPr>
                <w:bCs/>
                <w:sz w:val="22"/>
                <w:szCs w:val="22"/>
              </w:rPr>
            </w:pPr>
            <w:r w:rsidRPr="00317ABF">
              <w:rPr>
                <w:bCs/>
                <w:sz w:val="22"/>
                <w:szCs w:val="22"/>
              </w:rPr>
              <w:t xml:space="preserve">1) wypowiedzenie umowy z dotychczasowym dostawcą usługi dostępu do internetu ze względu na brak przeciwnego oświadczenia abonenta staje się bezskuteczne; </w:t>
            </w:r>
          </w:p>
          <w:p w14:paraId="3C63DCD9" w14:textId="77777777" w:rsidR="006C5CDC" w:rsidRPr="00317ABF" w:rsidRDefault="006C5CDC" w:rsidP="006C5CDC">
            <w:pPr>
              <w:pStyle w:val="Tekstpodstawowy"/>
              <w:rPr>
                <w:bCs/>
                <w:sz w:val="22"/>
                <w:szCs w:val="22"/>
              </w:rPr>
            </w:pPr>
            <w:r w:rsidRPr="00317ABF">
              <w:rPr>
                <w:bCs/>
                <w:sz w:val="22"/>
                <w:szCs w:val="22"/>
              </w:rPr>
              <w:t>2) umowę z nowym dostawcą usługi dostępu do internetu uważa się za niezawartą</w:t>
            </w:r>
          </w:p>
          <w:p w14:paraId="5E1C3251" w14:textId="77777777" w:rsidR="006C5CDC" w:rsidRPr="00317ABF" w:rsidRDefault="006C5CDC" w:rsidP="006C5CDC">
            <w:pPr>
              <w:pStyle w:val="Tekstpodstawowy"/>
              <w:rPr>
                <w:bCs/>
                <w:sz w:val="22"/>
                <w:szCs w:val="22"/>
              </w:rPr>
            </w:pPr>
            <w:r w:rsidRPr="00317ABF">
              <w:rPr>
                <w:bCs/>
                <w:sz w:val="22"/>
                <w:szCs w:val="22"/>
              </w:rPr>
              <w:t>- o czym dotychczasowy dostawca usługi informuje abonenta.</w:t>
            </w:r>
          </w:p>
          <w:p w14:paraId="7AC3442F" w14:textId="77777777" w:rsidR="006C5CDC" w:rsidRPr="00317ABF" w:rsidRDefault="006C5CDC" w:rsidP="006C5CDC">
            <w:pPr>
              <w:pStyle w:val="Tekstpodstawowy"/>
              <w:rPr>
                <w:sz w:val="22"/>
                <w:szCs w:val="22"/>
              </w:rPr>
            </w:pPr>
            <w:r w:rsidRPr="00317ABF">
              <w:rPr>
                <w:sz w:val="22"/>
                <w:szCs w:val="22"/>
              </w:rPr>
              <w:t xml:space="preserve">3.  </w:t>
            </w:r>
            <w:r w:rsidRPr="00317ABF" w:rsidDel="00296114">
              <w:rPr>
                <w:sz w:val="22"/>
                <w:szCs w:val="22"/>
              </w:rPr>
              <w:t>Jeżeli nie doszło do zmiany dostawcy usługi dostępu do internetu</w:t>
            </w:r>
            <w:r w:rsidRPr="00317ABF" w:rsidDel="00CB3577">
              <w:rPr>
                <w:sz w:val="22"/>
                <w:szCs w:val="22"/>
              </w:rPr>
              <w:t xml:space="preserve">, </w:t>
            </w:r>
            <w:r w:rsidRPr="00317ABF">
              <w:rPr>
                <w:sz w:val="22"/>
                <w:szCs w:val="22"/>
              </w:rPr>
              <w:t xml:space="preserve">w terminie, </w:t>
            </w:r>
            <w:r w:rsidRPr="00317ABF" w:rsidDel="00CB3577">
              <w:rPr>
                <w:sz w:val="22"/>
                <w:szCs w:val="22"/>
              </w:rPr>
              <w:t xml:space="preserve">o </w:t>
            </w:r>
            <w:r w:rsidRPr="00317ABF">
              <w:rPr>
                <w:sz w:val="22"/>
                <w:szCs w:val="22"/>
              </w:rPr>
              <w:t>którym</w:t>
            </w:r>
            <w:r w:rsidRPr="00317ABF" w:rsidDel="00CB3577">
              <w:rPr>
                <w:sz w:val="22"/>
                <w:szCs w:val="22"/>
              </w:rPr>
              <w:t xml:space="preserve"> mowa w art. </w:t>
            </w:r>
            <w:r w:rsidRPr="00317ABF">
              <w:rPr>
                <w:sz w:val="22"/>
                <w:szCs w:val="22"/>
              </w:rPr>
              <w:t>312 ust. 2,</w:t>
            </w:r>
            <w:r w:rsidRPr="00317ABF" w:rsidDel="00296114">
              <w:rPr>
                <w:sz w:val="22"/>
                <w:szCs w:val="22"/>
              </w:rPr>
              <w:t xml:space="preserve"> </w:t>
            </w:r>
            <w:r w:rsidRPr="00317ABF">
              <w:rPr>
                <w:sz w:val="22"/>
                <w:szCs w:val="22"/>
              </w:rPr>
              <w:t>abonentowi przysługuje jednorazowe odszkodowanie od nowego dostawcy usługi za każdy rozpoczęty dzień opóźnienia w wysokości 1/4 sumy opłat miesięcznych za usługi komunikacji elektronicznej liczonej według rachunków z ostatnich trzech okresów rozliczeniowych, chyba że opóźnienie nie przekroczyło 1 dnia roboczego lub brak możliwości realizacji zmiany dostawcy usługi dostępu do internetu nastąpił z przyczyn leżących po stronie systemu, o którym mowa w art. 315.</w:t>
            </w:r>
          </w:p>
          <w:p w14:paraId="301BBB75" w14:textId="77777777" w:rsidR="006C5CDC" w:rsidRPr="00317ABF" w:rsidRDefault="006C5CDC" w:rsidP="006C5CDC">
            <w:pPr>
              <w:pStyle w:val="Tekstpodstawowy"/>
              <w:rPr>
                <w:bCs/>
                <w:sz w:val="22"/>
                <w:szCs w:val="22"/>
              </w:rPr>
            </w:pPr>
            <w:r w:rsidRPr="00317ABF">
              <w:rPr>
                <w:bCs/>
                <w:sz w:val="22"/>
                <w:szCs w:val="22"/>
              </w:rPr>
              <w:t>4.W przypadku gdy opóźnienie, o którym mowa w ust. 3, nastąpiło z przyczyn nieleżących po stronie nowego dostawcy usługi dostępu do internetu, dostawcy temu przysługuje zwrot wypłaconego odszkodowania lub jego części od podmiotu, po którego stronie leżały przyczyny opóźnienia.</w:t>
            </w:r>
          </w:p>
          <w:p w14:paraId="32F33F10" w14:textId="77777777" w:rsidR="006C5CDC" w:rsidRPr="00317ABF" w:rsidDel="004B1B44" w:rsidRDefault="006C5CDC" w:rsidP="006C5CDC">
            <w:pPr>
              <w:pStyle w:val="Tekstpodstawowy"/>
              <w:rPr>
                <w:sz w:val="22"/>
                <w:szCs w:val="22"/>
              </w:rPr>
            </w:pPr>
            <w:r w:rsidRPr="00317ABF">
              <w:rPr>
                <w:sz w:val="22"/>
                <w:szCs w:val="22"/>
              </w:rPr>
              <w:t xml:space="preserve">5. W przypadku, o którym mowa w ust. 3, kwotę odszkodowania oblicza się na podstawie liczby rozpoczętych dni, które upłynęły </w:t>
            </w:r>
            <w:r w:rsidRPr="00317ABF" w:rsidDel="006074E5">
              <w:rPr>
                <w:sz w:val="22"/>
                <w:szCs w:val="22"/>
              </w:rPr>
              <w:t xml:space="preserve">od </w:t>
            </w:r>
            <w:r w:rsidRPr="00317ABF">
              <w:rPr>
                <w:sz w:val="22"/>
                <w:szCs w:val="22"/>
              </w:rPr>
              <w:t>terminu</w:t>
            </w:r>
            <w:r w:rsidRPr="00317ABF" w:rsidDel="00745341">
              <w:rPr>
                <w:sz w:val="22"/>
                <w:szCs w:val="22"/>
              </w:rPr>
              <w:t xml:space="preserve">, o którym mowa w art. </w:t>
            </w:r>
            <w:r w:rsidRPr="00317ABF">
              <w:rPr>
                <w:sz w:val="22"/>
                <w:szCs w:val="22"/>
              </w:rPr>
              <w:t>312</w:t>
            </w:r>
            <w:r w:rsidRPr="00317ABF" w:rsidDel="00745341">
              <w:rPr>
                <w:sz w:val="22"/>
                <w:szCs w:val="22"/>
              </w:rPr>
              <w:t xml:space="preserve"> ust. 2 do dnia</w:t>
            </w:r>
            <w:r w:rsidRPr="00317ABF">
              <w:rPr>
                <w:sz w:val="22"/>
                <w:szCs w:val="22"/>
              </w:rPr>
              <w:t xml:space="preserve"> rozpoczęcia świadczenia usługi przez nowego dostawcę usługi dostępu do internetu lub upływu terminu, o którym mowa w ust. 2. </w:t>
            </w:r>
          </w:p>
          <w:p w14:paraId="5F24D1EE" w14:textId="77777777" w:rsidR="006C5CDC" w:rsidRPr="00317ABF" w:rsidRDefault="006C5CDC" w:rsidP="006C5CDC">
            <w:pPr>
              <w:pStyle w:val="Tekstpodstawowy"/>
              <w:rPr>
                <w:sz w:val="22"/>
                <w:szCs w:val="22"/>
              </w:rPr>
            </w:pPr>
            <w:r w:rsidRPr="00317ABF">
              <w:rPr>
                <w:b/>
                <w:sz w:val="22"/>
                <w:szCs w:val="22"/>
              </w:rPr>
              <w:t>Art. 314.</w:t>
            </w:r>
            <w:r w:rsidRPr="00317ABF">
              <w:rPr>
                <w:sz w:val="22"/>
                <w:szCs w:val="22"/>
              </w:rPr>
              <w:t xml:space="preserve"> </w:t>
            </w:r>
          </w:p>
          <w:p w14:paraId="38C70E32" w14:textId="2296793F" w:rsidR="006C5CDC" w:rsidRPr="00317ABF" w:rsidRDefault="006C5CDC" w:rsidP="006C5CDC">
            <w:pPr>
              <w:pStyle w:val="Tekstpodstawowy"/>
              <w:rPr>
                <w:sz w:val="22"/>
                <w:szCs w:val="22"/>
              </w:rPr>
            </w:pPr>
            <w:r w:rsidRPr="00317ABF">
              <w:rPr>
                <w:sz w:val="22"/>
                <w:szCs w:val="22"/>
              </w:rPr>
              <w:t xml:space="preserve">1. Dostawca usług telekomunikacyjnych będący stroną umowy o świadczenie usług komunikacji elektronicznej, w zakresie usługi dostępu do internetu, nowy dostawca usługi dostępu do internetu oraz operator są obowiązani zapewnić możliwość realizacji uprawnienia abonenta, o którym mowa w art. 312, polegającą na stworzeniu odpowiednich warunków </w:t>
            </w:r>
            <w:r w:rsidRPr="00317ABF">
              <w:rPr>
                <w:sz w:val="22"/>
                <w:szCs w:val="22"/>
              </w:rPr>
              <w:lastRenderedPageBreak/>
              <w:t>organizacyjnych i technicznych, a jeżeli możliwości takie istnieją – zapewnić ich realizację.</w:t>
            </w:r>
          </w:p>
          <w:p w14:paraId="477875A5" w14:textId="77777777" w:rsidR="006C5CDC" w:rsidRPr="00317ABF" w:rsidRDefault="006C5CDC" w:rsidP="006C5CDC">
            <w:pPr>
              <w:pStyle w:val="Tekstpodstawowy"/>
              <w:rPr>
                <w:bCs/>
                <w:sz w:val="22"/>
                <w:szCs w:val="22"/>
              </w:rPr>
            </w:pPr>
            <w:r w:rsidRPr="00317ABF">
              <w:rPr>
                <w:bCs/>
                <w:sz w:val="22"/>
                <w:szCs w:val="22"/>
              </w:rPr>
              <w:t>2. Na wniosek dostawcy usługi dostępu do internetu albo operatora, o których mowa w ust. 1, Prezes UKE może, w drodze decyzji, zawiesić na czas określony realizację lub ograniczyć zakres realizacji uprawnienia, o którym mowa w art. 312, jeżeli techniczne możliwości sieci wnioskodawcy nie pozwalają na realizację uprawnienia w całości lub części, określając harmonogram przystosowania tej sieci do realizacji uprawnienia objętego wnioskiem.</w:t>
            </w:r>
          </w:p>
          <w:p w14:paraId="60431708" w14:textId="18660E3F" w:rsidR="001E1112" w:rsidRPr="00317ABF" w:rsidRDefault="006C5CDC" w:rsidP="006C5CDC">
            <w:pPr>
              <w:pStyle w:val="Tekstpodstawowy"/>
              <w:rPr>
                <w:sz w:val="22"/>
                <w:szCs w:val="22"/>
              </w:rPr>
            </w:pPr>
            <w:r w:rsidRPr="00317ABF">
              <w:rPr>
                <w:sz w:val="22"/>
                <w:szCs w:val="22"/>
              </w:rPr>
              <w:t>3. Prezes UKE może z urzędu w drodze decyzji zawiesić realizację lub ograniczyć zakres realizacji określonego uprawnienia, o którym mowa w art. 312, dostawcy usługi oraz operatorowi, który uporczywie w sposób wadliwy lub niezgodnie z wolą abonenta realizuje proces zmiany dostawcy usługi dostępu do internetu. Zawieszenie lub ograniczenie uprawnień pozostaje bez wpływu na proces zmiany dostawcy usługi dostępu do internetu, w których dany dostawca jest dawcą.</w:t>
            </w:r>
            <w:r w:rsidRPr="00317ABF">
              <w:rPr>
                <w:b/>
                <w:bCs/>
                <w:sz w:val="22"/>
                <w:szCs w:val="22"/>
              </w:rPr>
              <w:t xml:space="preserve"> </w:t>
            </w:r>
          </w:p>
        </w:tc>
      </w:tr>
      <w:tr w:rsidR="001E1112" w:rsidRPr="00317ABF" w14:paraId="170F1B8D" w14:textId="77777777" w:rsidTr="7753F98D">
        <w:trPr>
          <w:gridAfter w:val="2"/>
          <w:wAfter w:w="175" w:type="dxa"/>
        </w:trPr>
        <w:tc>
          <w:tcPr>
            <w:tcW w:w="704" w:type="dxa"/>
          </w:tcPr>
          <w:p w14:paraId="4A2DFA5C" w14:textId="77777777" w:rsidR="001E1112" w:rsidRPr="00317ABF" w:rsidRDefault="001E1112" w:rsidP="00DB3BEC">
            <w:pPr>
              <w:jc w:val="both"/>
              <w:rPr>
                <w:sz w:val="22"/>
                <w:szCs w:val="22"/>
              </w:rPr>
            </w:pPr>
            <w:r w:rsidRPr="00317ABF">
              <w:rPr>
                <w:sz w:val="22"/>
                <w:szCs w:val="22"/>
              </w:rPr>
              <w:lastRenderedPageBreak/>
              <w:t>Art. 106 ust. 2</w:t>
            </w:r>
          </w:p>
        </w:tc>
        <w:tc>
          <w:tcPr>
            <w:tcW w:w="4308" w:type="dxa"/>
          </w:tcPr>
          <w:p w14:paraId="108843B8" w14:textId="77777777" w:rsidR="001E1112" w:rsidRPr="00317ABF" w:rsidRDefault="001E1112" w:rsidP="00DB3BEC">
            <w:pPr>
              <w:spacing w:before="120"/>
              <w:jc w:val="both"/>
              <w:rPr>
                <w:sz w:val="22"/>
                <w:szCs w:val="22"/>
              </w:rPr>
            </w:pPr>
            <w:r w:rsidRPr="00317ABF">
              <w:rPr>
                <w:sz w:val="22"/>
                <w:szCs w:val="22"/>
              </w:rPr>
              <w:t>2.   Państwa członkowskie zapewniają, aby wszyscy użytkownicy końcowi posiadający numery należące do krajowego planu numeracji mieli na swój wniosek prawo zachowania dotychczasowego numeru lub dotychczasowych numerów niezależnie od tego, które przedsiębiorstwo świadczy usługę, zgodnie z załącznikiem VI część C.</w:t>
            </w:r>
          </w:p>
        </w:tc>
        <w:tc>
          <w:tcPr>
            <w:tcW w:w="986" w:type="dxa"/>
          </w:tcPr>
          <w:p w14:paraId="77681779" w14:textId="251EF33E" w:rsidR="001E1112" w:rsidRPr="00317ABF" w:rsidRDefault="001E1112" w:rsidP="00DB3BEC">
            <w:pPr>
              <w:jc w:val="both"/>
              <w:rPr>
                <w:sz w:val="22"/>
                <w:szCs w:val="22"/>
              </w:rPr>
            </w:pPr>
            <w:r w:rsidRPr="00317ABF">
              <w:rPr>
                <w:sz w:val="22"/>
                <w:szCs w:val="22"/>
              </w:rPr>
              <w:t>T</w:t>
            </w:r>
          </w:p>
        </w:tc>
        <w:tc>
          <w:tcPr>
            <w:tcW w:w="910" w:type="dxa"/>
          </w:tcPr>
          <w:p w14:paraId="3F2B47F6" w14:textId="1C5EEEB8" w:rsidR="001E1112" w:rsidRPr="00317ABF" w:rsidRDefault="001E1112" w:rsidP="00C632A5">
            <w:pPr>
              <w:pStyle w:val="Tekstpodstawowy"/>
              <w:rPr>
                <w:b/>
                <w:noProof/>
                <w:sz w:val="22"/>
                <w:szCs w:val="22"/>
              </w:rPr>
            </w:pPr>
            <w:r w:rsidRPr="00317ABF">
              <w:rPr>
                <w:b/>
                <w:noProof/>
                <w:sz w:val="22"/>
                <w:szCs w:val="22"/>
              </w:rPr>
              <w:t xml:space="preserve">Art. </w:t>
            </w:r>
            <w:r w:rsidR="006C5CDC" w:rsidRPr="00317ABF">
              <w:rPr>
                <w:b/>
                <w:noProof/>
                <w:sz w:val="22"/>
                <w:szCs w:val="22"/>
              </w:rPr>
              <w:t>319 ust. 1</w:t>
            </w:r>
            <w:r w:rsidR="00FC0F82" w:rsidRPr="00317ABF">
              <w:rPr>
                <w:b/>
                <w:noProof/>
                <w:sz w:val="22"/>
                <w:szCs w:val="22"/>
              </w:rPr>
              <w:t xml:space="preserve"> i 3</w:t>
            </w:r>
          </w:p>
        </w:tc>
        <w:tc>
          <w:tcPr>
            <w:tcW w:w="6814" w:type="dxa"/>
            <w:gridSpan w:val="2"/>
          </w:tcPr>
          <w:p w14:paraId="5E9D9BC1" w14:textId="77777777" w:rsidR="006C5CDC" w:rsidRPr="00317ABF" w:rsidRDefault="006C5CDC" w:rsidP="006C5CDC">
            <w:pPr>
              <w:jc w:val="both"/>
              <w:rPr>
                <w:sz w:val="22"/>
                <w:szCs w:val="22"/>
              </w:rPr>
            </w:pPr>
            <w:r w:rsidRPr="00317ABF">
              <w:rPr>
                <w:b/>
                <w:sz w:val="22"/>
                <w:szCs w:val="22"/>
              </w:rPr>
              <w:t>Art. 319.</w:t>
            </w:r>
            <w:r w:rsidRPr="00317ABF">
              <w:rPr>
                <w:sz w:val="22"/>
                <w:szCs w:val="22"/>
              </w:rPr>
              <w:t xml:space="preserve"> </w:t>
            </w:r>
          </w:p>
          <w:p w14:paraId="4999058D" w14:textId="5F6D1CBE" w:rsidR="006C5CDC" w:rsidRPr="00317ABF" w:rsidRDefault="006C5CDC" w:rsidP="006C5CDC">
            <w:pPr>
              <w:jc w:val="both"/>
              <w:rPr>
                <w:sz w:val="22"/>
                <w:szCs w:val="22"/>
              </w:rPr>
            </w:pPr>
            <w:r w:rsidRPr="00317ABF">
              <w:rPr>
                <w:sz w:val="22"/>
                <w:szCs w:val="22"/>
              </w:rPr>
              <w:t>1. Abonent będący stroną umowy z dostawcą usługi komunikacji głosowej, w której przydzielany jest abonentowi numer z planu numeracji krajowej dla publicznych sieci telekomunikacyjnych, może żądać przy zmianie dostawcy usługi komunikacji głosowej przeniesieni</w:t>
            </w:r>
            <w:r w:rsidRPr="00317ABF" w:rsidDel="00F13E1C">
              <w:rPr>
                <w:sz w:val="22"/>
                <w:szCs w:val="22"/>
              </w:rPr>
              <w:t>a</w:t>
            </w:r>
            <w:r w:rsidRPr="00317ABF">
              <w:rPr>
                <w:sz w:val="22"/>
                <w:szCs w:val="22"/>
              </w:rPr>
              <w:t xml:space="preserve"> przydzielonego numeru do istniejącej sieci operatora na:</w:t>
            </w:r>
          </w:p>
          <w:p w14:paraId="0E76DCA0" w14:textId="77777777" w:rsidR="006C5CDC" w:rsidRPr="00317ABF" w:rsidRDefault="006C5CDC" w:rsidP="006C5CDC">
            <w:pPr>
              <w:jc w:val="both"/>
              <w:rPr>
                <w:bCs/>
                <w:sz w:val="22"/>
                <w:szCs w:val="22"/>
              </w:rPr>
            </w:pPr>
            <w:r w:rsidRPr="00317ABF">
              <w:rPr>
                <w:bCs/>
                <w:sz w:val="22"/>
                <w:szCs w:val="22"/>
              </w:rPr>
              <w:t>1)</w:t>
            </w:r>
            <w:r w:rsidRPr="00317ABF">
              <w:rPr>
                <w:bCs/>
                <w:sz w:val="22"/>
                <w:szCs w:val="22"/>
              </w:rPr>
              <w:tab/>
              <w:t>obszarze geograficznym - w przypadku numerów geograficznych;</w:t>
            </w:r>
          </w:p>
          <w:p w14:paraId="00FA96E8" w14:textId="77777777" w:rsidR="006C5CDC" w:rsidRPr="00317ABF" w:rsidRDefault="006C5CDC" w:rsidP="006C5CDC">
            <w:pPr>
              <w:jc w:val="both"/>
              <w:rPr>
                <w:bCs/>
                <w:sz w:val="22"/>
                <w:szCs w:val="22"/>
              </w:rPr>
            </w:pPr>
            <w:r w:rsidRPr="00317ABF">
              <w:rPr>
                <w:bCs/>
                <w:sz w:val="22"/>
                <w:szCs w:val="22"/>
              </w:rPr>
              <w:t>2)</w:t>
            </w:r>
            <w:r w:rsidRPr="00317ABF">
              <w:rPr>
                <w:bCs/>
                <w:sz w:val="22"/>
                <w:szCs w:val="22"/>
              </w:rPr>
              <w:tab/>
              <w:t>terenie całego kraju - w przypadku numerów niegeograficznych.</w:t>
            </w:r>
          </w:p>
          <w:p w14:paraId="6F46CF78" w14:textId="77777777" w:rsidR="001E1112" w:rsidRPr="00317ABF" w:rsidRDefault="006C5CDC" w:rsidP="00DB3BEC">
            <w:pPr>
              <w:jc w:val="both"/>
              <w:rPr>
                <w:sz w:val="22"/>
                <w:szCs w:val="22"/>
              </w:rPr>
            </w:pPr>
            <w:r w:rsidRPr="00317ABF">
              <w:rPr>
                <w:sz w:val="22"/>
                <w:szCs w:val="22"/>
              </w:rPr>
              <w:t>(…)</w:t>
            </w:r>
          </w:p>
          <w:p w14:paraId="3D8E2E78" w14:textId="1EA2C95C" w:rsidR="00FC0F82" w:rsidRPr="00317ABF" w:rsidRDefault="00FC0F82" w:rsidP="00DB3BEC">
            <w:pPr>
              <w:jc w:val="both"/>
              <w:rPr>
                <w:bCs/>
                <w:sz w:val="22"/>
                <w:szCs w:val="22"/>
              </w:rPr>
            </w:pPr>
            <w:r w:rsidRPr="00317ABF">
              <w:rPr>
                <w:bCs/>
                <w:sz w:val="22"/>
                <w:szCs w:val="22"/>
              </w:rPr>
              <w:t>3. Przepisu ust. 1 nie stosuje się do przenoszenia numerów pomiędzy stacjonarnymi i ruchomymi publicznymi sieciami telekomunikacyjnymi.</w:t>
            </w:r>
          </w:p>
        </w:tc>
      </w:tr>
      <w:tr w:rsidR="001E1112" w:rsidRPr="00317ABF" w14:paraId="64842C02" w14:textId="77777777" w:rsidTr="7753F98D">
        <w:trPr>
          <w:gridAfter w:val="2"/>
          <w:wAfter w:w="175" w:type="dxa"/>
        </w:trPr>
        <w:tc>
          <w:tcPr>
            <w:tcW w:w="704" w:type="dxa"/>
          </w:tcPr>
          <w:p w14:paraId="0A95D9DA" w14:textId="77777777" w:rsidR="001E1112" w:rsidRPr="00317ABF" w:rsidRDefault="001E1112" w:rsidP="00DB3BEC">
            <w:pPr>
              <w:jc w:val="both"/>
              <w:rPr>
                <w:sz w:val="22"/>
                <w:szCs w:val="22"/>
              </w:rPr>
            </w:pPr>
            <w:r w:rsidRPr="00317ABF">
              <w:rPr>
                <w:sz w:val="22"/>
                <w:szCs w:val="22"/>
              </w:rPr>
              <w:t>Art. 106 ust. 3</w:t>
            </w:r>
          </w:p>
        </w:tc>
        <w:tc>
          <w:tcPr>
            <w:tcW w:w="4308" w:type="dxa"/>
          </w:tcPr>
          <w:p w14:paraId="3467F631" w14:textId="77777777" w:rsidR="001E1112" w:rsidRPr="00317ABF" w:rsidRDefault="001E1112" w:rsidP="00DB3BEC">
            <w:pPr>
              <w:spacing w:before="120"/>
              <w:jc w:val="both"/>
              <w:rPr>
                <w:sz w:val="22"/>
                <w:szCs w:val="22"/>
              </w:rPr>
            </w:pPr>
            <w:r w:rsidRPr="00317ABF">
              <w:rPr>
                <w:sz w:val="22"/>
                <w:szCs w:val="22"/>
              </w:rPr>
              <w:t>3.   W przypadku gdy użytkownik końcowy rozwiązuje umowę, państwa członkowskie zapewniają, aby użytkownik końcowy mógł zachować prawo do przeniesienia numeru z krajowego planu numeracji do innego dostawcy przez minimalnie jeden miesiąc od daty rozwiązania umowy, chyba że użytkownik końcowy zrzeknie się tego prawa.</w:t>
            </w:r>
          </w:p>
        </w:tc>
        <w:tc>
          <w:tcPr>
            <w:tcW w:w="986" w:type="dxa"/>
          </w:tcPr>
          <w:p w14:paraId="76B32791" w14:textId="2FF556E7" w:rsidR="001E1112" w:rsidRPr="00317ABF" w:rsidRDefault="001E1112" w:rsidP="00DB3BEC">
            <w:pPr>
              <w:jc w:val="both"/>
              <w:rPr>
                <w:sz w:val="22"/>
                <w:szCs w:val="22"/>
              </w:rPr>
            </w:pPr>
            <w:r w:rsidRPr="00317ABF">
              <w:rPr>
                <w:sz w:val="22"/>
                <w:szCs w:val="22"/>
              </w:rPr>
              <w:t>T</w:t>
            </w:r>
          </w:p>
        </w:tc>
        <w:tc>
          <w:tcPr>
            <w:tcW w:w="910" w:type="dxa"/>
          </w:tcPr>
          <w:p w14:paraId="18914FEF" w14:textId="093E78A7" w:rsidR="001E1112" w:rsidRPr="00317ABF" w:rsidRDefault="00876F30" w:rsidP="00DB3BEC">
            <w:pPr>
              <w:pStyle w:val="Tekstpodstawowy"/>
              <w:rPr>
                <w:b/>
                <w:noProof/>
                <w:sz w:val="22"/>
                <w:szCs w:val="22"/>
              </w:rPr>
            </w:pPr>
            <w:r w:rsidRPr="00317ABF">
              <w:rPr>
                <w:b/>
                <w:noProof/>
                <w:sz w:val="22"/>
                <w:szCs w:val="22"/>
              </w:rPr>
              <w:t>Art. 319</w:t>
            </w:r>
            <w:r w:rsidR="001E1112" w:rsidRPr="00317ABF">
              <w:rPr>
                <w:b/>
                <w:noProof/>
                <w:sz w:val="22"/>
                <w:szCs w:val="22"/>
              </w:rPr>
              <w:t xml:space="preserve"> ust. 2</w:t>
            </w:r>
          </w:p>
        </w:tc>
        <w:tc>
          <w:tcPr>
            <w:tcW w:w="6814" w:type="dxa"/>
            <w:gridSpan w:val="2"/>
          </w:tcPr>
          <w:p w14:paraId="40AAC4AF" w14:textId="77777777" w:rsidR="00876F30" w:rsidRPr="00317ABF" w:rsidRDefault="00876F30" w:rsidP="00876F30">
            <w:pPr>
              <w:jc w:val="both"/>
              <w:rPr>
                <w:bCs/>
                <w:sz w:val="22"/>
                <w:szCs w:val="22"/>
              </w:rPr>
            </w:pPr>
            <w:r w:rsidRPr="00317ABF">
              <w:rPr>
                <w:bCs/>
                <w:sz w:val="22"/>
                <w:szCs w:val="22"/>
              </w:rPr>
              <w:t>2. Abonent zachowuje prawo do przeniesienia przydzielonego numeru również w terminie 1 miesiąca od daty:</w:t>
            </w:r>
          </w:p>
          <w:p w14:paraId="724851FA" w14:textId="77777777" w:rsidR="00876F30" w:rsidRPr="00317ABF" w:rsidRDefault="00876F30" w:rsidP="00876F30">
            <w:pPr>
              <w:jc w:val="both"/>
              <w:rPr>
                <w:bCs/>
                <w:sz w:val="22"/>
                <w:szCs w:val="22"/>
              </w:rPr>
            </w:pPr>
            <w:r w:rsidRPr="00317ABF">
              <w:rPr>
                <w:bCs/>
                <w:sz w:val="22"/>
                <w:szCs w:val="22"/>
              </w:rPr>
              <w:t>1)</w:t>
            </w:r>
            <w:r w:rsidRPr="00317ABF">
              <w:rPr>
                <w:bCs/>
                <w:sz w:val="22"/>
                <w:szCs w:val="22"/>
              </w:rPr>
              <w:tab/>
              <w:t>zakończenia obowiązywania umowy z dotychczasowym dostawcą usługi komunikacji głosowej – chyba że abonent zrzekł się tego prawa;</w:t>
            </w:r>
          </w:p>
          <w:p w14:paraId="5B7DCCF2" w14:textId="77777777" w:rsidR="00876F30" w:rsidRPr="00317ABF" w:rsidRDefault="00876F30" w:rsidP="00876F30">
            <w:pPr>
              <w:jc w:val="both"/>
              <w:rPr>
                <w:bCs/>
                <w:sz w:val="22"/>
                <w:szCs w:val="22"/>
              </w:rPr>
            </w:pPr>
            <w:r w:rsidRPr="00317ABF">
              <w:rPr>
                <w:bCs/>
                <w:sz w:val="22"/>
                <w:szCs w:val="22"/>
              </w:rPr>
              <w:t>2)</w:t>
            </w:r>
            <w:r w:rsidRPr="00317ABF">
              <w:rPr>
                <w:bCs/>
                <w:sz w:val="22"/>
                <w:szCs w:val="22"/>
              </w:rPr>
              <w:tab/>
              <w:t>doręczenia informacji o przejęciu zobowiązań dostawcy usług, któremu Prezes UKE cofnął prawo do wykorzystania zasobów numeracji na podstawie art. 161 ust. 2.</w:t>
            </w:r>
          </w:p>
          <w:p w14:paraId="020E4C42" w14:textId="1AAB8219" w:rsidR="001E1112" w:rsidRPr="00317ABF" w:rsidRDefault="001E1112" w:rsidP="00DB3BEC">
            <w:pPr>
              <w:jc w:val="both"/>
              <w:rPr>
                <w:sz w:val="22"/>
                <w:szCs w:val="22"/>
              </w:rPr>
            </w:pPr>
          </w:p>
        </w:tc>
      </w:tr>
      <w:tr w:rsidR="001E1112" w:rsidRPr="00317ABF" w14:paraId="78BB4CCE" w14:textId="77777777" w:rsidTr="7753F98D">
        <w:trPr>
          <w:gridAfter w:val="2"/>
          <w:wAfter w:w="175" w:type="dxa"/>
        </w:trPr>
        <w:tc>
          <w:tcPr>
            <w:tcW w:w="704" w:type="dxa"/>
          </w:tcPr>
          <w:p w14:paraId="58B5D2CD" w14:textId="77777777" w:rsidR="001E1112" w:rsidRPr="00317ABF" w:rsidRDefault="001E1112" w:rsidP="00DB3BEC">
            <w:pPr>
              <w:jc w:val="both"/>
              <w:rPr>
                <w:sz w:val="22"/>
                <w:szCs w:val="22"/>
              </w:rPr>
            </w:pPr>
            <w:r w:rsidRPr="00317ABF">
              <w:rPr>
                <w:sz w:val="22"/>
                <w:szCs w:val="22"/>
              </w:rPr>
              <w:t>Art. 106 ust. 4</w:t>
            </w:r>
          </w:p>
        </w:tc>
        <w:tc>
          <w:tcPr>
            <w:tcW w:w="4308" w:type="dxa"/>
          </w:tcPr>
          <w:p w14:paraId="67BCBAD0" w14:textId="77777777" w:rsidR="001E1112" w:rsidRPr="00317ABF" w:rsidRDefault="001E1112" w:rsidP="00DB3BEC">
            <w:pPr>
              <w:spacing w:before="120"/>
              <w:jc w:val="both"/>
              <w:rPr>
                <w:sz w:val="22"/>
                <w:szCs w:val="22"/>
              </w:rPr>
            </w:pPr>
            <w:r w:rsidRPr="00317ABF">
              <w:rPr>
                <w:sz w:val="22"/>
                <w:szCs w:val="22"/>
              </w:rPr>
              <w:t xml:space="preserve">4.   Krajowe organy regulacyjne zapewniają, aby ceny, jakie wobec siebie stosują dostawcy, związane z przenoszeniem numerów </w:t>
            </w:r>
            <w:r w:rsidRPr="00317ABF">
              <w:rPr>
                <w:sz w:val="22"/>
                <w:szCs w:val="22"/>
              </w:rPr>
              <w:lastRenderedPageBreak/>
              <w:t>odzwierciedlały ponoszone koszty oraz aby wobec użytkowników końcowych nie stosowano żadnych bezpośrednich opłat.</w:t>
            </w:r>
          </w:p>
        </w:tc>
        <w:tc>
          <w:tcPr>
            <w:tcW w:w="986" w:type="dxa"/>
          </w:tcPr>
          <w:p w14:paraId="5AD00175" w14:textId="31911836" w:rsidR="001E1112" w:rsidRPr="00317ABF" w:rsidRDefault="001E1112" w:rsidP="00DB3BEC">
            <w:pPr>
              <w:jc w:val="both"/>
              <w:rPr>
                <w:sz w:val="22"/>
                <w:szCs w:val="22"/>
              </w:rPr>
            </w:pPr>
            <w:r w:rsidRPr="00317ABF">
              <w:rPr>
                <w:sz w:val="22"/>
                <w:szCs w:val="22"/>
              </w:rPr>
              <w:lastRenderedPageBreak/>
              <w:t>T</w:t>
            </w:r>
          </w:p>
        </w:tc>
        <w:tc>
          <w:tcPr>
            <w:tcW w:w="910" w:type="dxa"/>
          </w:tcPr>
          <w:p w14:paraId="1E568636" w14:textId="56B48574" w:rsidR="001E1112" w:rsidRPr="00317ABF" w:rsidRDefault="001E1112" w:rsidP="009156C6">
            <w:pPr>
              <w:pStyle w:val="Tekstpodstawowy"/>
              <w:rPr>
                <w:b/>
                <w:noProof/>
                <w:sz w:val="22"/>
                <w:szCs w:val="22"/>
              </w:rPr>
            </w:pPr>
            <w:r w:rsidRPr="00317ABF">
              <w:rPr>
                <w:b/>
                <w:noProof/>
                <w:sz w:val="22"/>
                <w:szCs w:val="22"/>
              </w:rPr>
              <w:t xml:space="preserve">Art. </w:t>
            </w:r>
            <w:r w:rsidR="009156C6" w:rsidRPr="00317ABF">
              <w:rPr>
                <w:b/>
                <w:noProof/>
                <w:sz w:val="22"/>
                <w:szCs w:val="22"/>
              </w:rPr>
              <w:t>218, 319 ust. 9</w:t>
            </w:r>
          </w:p>
        </w:tc>
        <w:tc>
          <w:tcPr>
            <w:tcW w:w="6814" w:type="dxa"/>
            <w:gridSpan w:val="2"/>
          </w:tcPr>
          <w:p w14:paraId="3C877020" w14:textId="77777777" w:rsidR="009156C6" w:rsidRPr="00317ABF" w:rsidRDefault="009156C6" w:rsidP="009156C6">
            <w:pPr>
              <w:pStyle w:val="ARTartustawynprozporzdzenia"/>
              <w:spacing w:line="240" w:lineRule="auto"/>
              <w:ind w:firstLine="0"/>
              <w:rPr>
                <w:sz w:val="22"/>
                <w:szCs w:val="22"/>
              </w:rPr>
            </w:pPr>
            <w:r w:rsidRPr="00317ABF">
              <w:rPr>
                <w:b/>
                <w:sz w:val="22"/>
                <w:szCs w:val="22"/>
              </w:rPr>
              <w:t>Art. 218.</w:t>
            </w:r>
            <w:r w:rsidRPr="00317ABF">
              <w:rPr>
                <w:sz w:val="22"/>
                <w:szCs w:val="22"/>
              </w:rPr>
              <w:t xml:space="preserve"> </w:t>
            </w:r>
          </w:p>
          <w:p w14:paraId="33843D9A" w14:textId="32E549B4" w:rsidR="009156C6" w:rsidRPr="00317ABF" w:rsidRDefault="009156C6" w:rsidP="009156C6">
            <w:pPr>
              <w:pStyle w:val="ARTartustawynprozporzdzenia"/>
              <w:spacing w:line="240" w:lineRule="auto"/>
              <w:ind w:firstLine="0"/>
              <w:rPr>
                <w:sz w:val="22"/>
                <w:szCs w:val="22"/>
              </w:rPr>
            </w:pPr>
            <w:r w:rsidRPr="00317ABF">
              <w:rPr>
                <w:sz w:val="22"/>
                <w:szCs w:val="22"/>
              </w:rPr>
              <w:lastRenderedPageBreak/>
              <w:t>1. Opłaty za wzajemne korzystanie z połączonych sieci związane z realizacją przenoszenia numerów między sieciami powinny uwzględniać ponoszone koszty.</w:t>
            </w:r>
          </w:p>
          <w:p w14:paraId="733C0B2B" w14:textId="77777777" w:rsidR="009156C6" w:rsidRPr="00317ABF" w:rsidRDefault="009156C6" w:rsidP="009156C6">
            <w:pPr>
              <w:pStyle w:val="ARTartustawynprozporzdzenia"/>
              <w:spacing w:line="240" w:lineRule="auto"/>
              <w:ind w:firstLine="0"/>
              <w:rPr>
                <w:bCs/>
                <w:sz w:val="22"/>
                <w:szCs w:val="22"/>
              </w:rPr>
            </w:pPr>
            <w:r w:rsidRPr="00317ABF">
              <w:rPr>
                <w:bCs/>
                <w:sz w:val="22"/>
                <w:szCs w:val="22"/>
              </w:rPr>
              <w:t>2. Opłaty za wzajemne korzystanie z połączonych sieci i za dostęp telekomunikacyjny związane z realizacją wyboru dostawcy usług telekomunikacyjnych powinny uwzględniać ponoszone koszty.</w:t>
            </w:r>
          </w:p>
          <w:p w14:paraId="7F355D41" w14:textId="77777777" w:rsidR="001E1112" w:rsidRPr="00317ABF" w:rsidRDefault="001E1112" w:rsidP="009156C6">
            <w:pPr>
              <w:pStyle w:val="USTustnpkodeksu"/>
              <w:spacing w:line="240" w:lineRule="auto"/>
              <w:ind w:firstLine="0"/>
              <w:rPr>
                <w:rFonts w:ascii="Times New Roman" w:hAnsi="Times New Roman" w:cs="Times New Roman"/>
                <w:sz w:val="22"/>
                <w:szCs w:val="22"/>
              </w:rPr>
            </w:pPr>
          </w:p>
          <w:p w14:paraId="6021636C" w14:textId="0B2CBFA0" w:rsidR="001E1112" w:rsidRPr="00317ABF" w:rsidRDefault="009156C6" w:rsidP="00DB3BEC">
            <w:pPr>
              <w:jc w:val="both"/>
              <w:rPr>
                <w:b/>
                <w:sz w:val="22"/>
                <w:szCs w:val="22"/>
              </w:rPr>
            </w:pPr>
            <w:r w:rsidRPr="00317ABF">
              <w:rPr>
                <w:b/>
                <w:sz w:val="22"/>
                <w:szCs w:val="22"/>
              </w:rPr>
              <w:t xml:space="preserve">Art. 319 </w:t>
            </w:r>
          </w:p>
          <w:p w14:paraId="4EC01F70" w14:textId="463AE165" w:rsidR="009156C6" w:rsidRPr="00317ABF" w:rsidRDefault="009156C6" w:rsidP="00DB3BEC">
            <w:pPr>
              <w:jc w:val="both"/>
              <w:rPr>
                <w:sz w:val="22"/>
                <w:szCs w:val="22"/>
              </w:rPr>
            </w:pPr>
            <w:r w:rsidRPr="00317ABF">
              <w:rPr>
                <w:sz w:val="22"/>
                <w:szCs w:val="22"/>
              </w:rPr>
              <w:t>(…)</w:t>
            </w:r>
          </w:p>
          <w:p w14:paraId="60D531CF" w14:textId="77777777" w:rsidR="001E1112" w:rsidRPr="00317ABF" w:rsidRDefault="009156C6" w:rsidP="00DB3BEC">
            <w:pPr>
              <w:jc w:val="both"/>
              <w:rPr>
                <w:sz w:val="22"/>
                <w:szCs w:val="22"/>
              </w:rPr>
            </w:pPr>
            <w:r w:rsidRPr="00317ABF">
              <w:rPr>
                <w:sz w:val="22"/>
                <w:szCs w:val="22"/>
              </w:rPr>
              <w:t>9</w:t>
            </w:r>
            <w:r w:rsidR="001E1112" w:rsidRPr="00317ABF">
              <w:rPr>
                <w:sz w:val="22"/>
                <w:szCs w:val="22"/>
              </w:rPr>
              <w:t>. Za przeniesienie</w:t>
            </w:r>
            <w:r w:rsidRPr="00317ABF">
              <w:rPr>
                <w:sz w:val="22"/>
                <w:szCs w:val="22"/>
              </w:rPr>
              <w:t xml:space="preserve"> przydzielonego</w:t>
            </w:r>
            <w:r w:rsidR="001E1112" w:rsidRPr="00317ABF">
              <w:rPr>
                <w:sz w:val="22"/>
                <w:szCs w:val="22"/>
              </w:rPr>
              <w:t xml:space="preserve"> numeru nie pobiera się opłat od abonenta.</w:t>
            </w:r>
          </w:p>
          <w:p w14:paraId="47E76056" w14:textId="7BB84DBF" w:rsidR="009156C6" w:rsidRPr="00317ABF" w:rsidRDefault="009156C6" w:rsidP="00DB3BEC">
            <w:pPr>
              <w:jc w:val="both"/>
              <w:rPr>
                <w:sz w:val="22"/>
                <w:szCs w:val="22"/>
              </w:rPr>
            </w:pPr>
            <w:r w:rsidRPr="00317ABF">
              <w:rPr>
                <w:sz w:val="22"/>
                <w:szCs w:val="22"/>
              </w:rPr>
              <w:t>(…)</w:t>
            </w:r>
          </w:p>
        </w:tc>
      </w:tr>
      <w:tr w:rsidR="001E1112" w:rsidRPr="00317ABF" w14:paraId="686B8361" w14:textId="77777777" w:rsidTr="7753F98D">
        <w:trPr>
          <w:gridAfter w:val="2"/>
          <w:wAfter w:w="175" w:type="dxa"/>
        </w:trPr>
        <w:tc>
          <w:tcPr>
            <w:tcW w:w="704" w:type="dxa"/>
          </w:tcPr>
          <w:p w14:paraId="249126B1" w14:textId="3B82DC03" w:rsidR="001E1112" w:rsidRPr="00317ABF" w:rsidRDefault="001E1112" w:rsidP="00DB3BEC">
            <w:pPr>
              <w:jc w:val="both"/>
              <w:rPr>
                <w:sz w:val="22"/>
                <w:szCs w:val="22"/>
              </w:rPr>
            </w:pPr>
            <w:r w:rsidRPr="00317ABF">
              <w:rPr>
                <w:sz w:val="22"/>
                <w:szCs w:val="22"/>
              </w:rPr>
              <w:lastRenderedPageBreak/>
              <w:t>Art. 106 ust. 5</w:t>
            </w:r>
          </w:p>
        </w:tc>
        <w:tc>
          <w:tcPr>
            <w:tcW w:w="4308" w:type="dxa"/>
          </w:tcPr>
          <w:p w14:paraId="130BCF7B" w14:textId="77777777" w:rsidR="001E1112" w:rsidRPr="00317ABF" w:rsidRDefault="001E1112" w:rsidP="00DB3BEC">
            <w:pPr>
              <w:spacing w:before="120"/>
              <w:jc w:val="both"/>
              <w:rPr>
                <w:sz w:val="22"/>
                <w:szCs w:val="22"/>
              </w:rPr>
            </w:pPr>
            <w:r w:rsidRPr="00317ABF">
              <w:rPr>
                <w:sz w:val="22"/>
                <w:szCs w:val="22"/>
              </w:rPr>
              <w:t xml:space="preserve">5.   Przenoszenie numerów, a następnie ich aktywacja przeprowadzane są w jak najkrótszym czasie w dniu wyraźnie uzgodnionym z użytkownikiem końcowym. W każdym przypadku użytkownikom końcowym, którzy zawarli umowę w sprawie przeniesienia numeru do nowego dostawcy, aktywuje się numer w ciągu jednego dnia roboczego od daty uzgodnionej z użytkownikiem końcowym. W przypadku nieudanego przebiegu procesu przeniesienia numeru dotychczasowy dostawca ponownie aktywuje numer oraz powiązane usługi użytkownika końcowego do czasu pomyślnego przeniesienia. Dotychczasowy dostawca dalej świadczy swoje usługi na tych samych warunkach do czasu aktywacji usług przejmującego dostawcy. W każdym przypadku utrata dostępu do usługi w trakcie procesu przenoszenia numerów i zmiany dostawcy nie może trwać dłużej niż jeden dzień roboczy. Operatorzy, których sieci lub urządzenia dostępu są używane przez albo dostawcę dotychczasowego, albo przejmującego, albo przez obu z nich, </w:t>
            </w:r>
            <w:r w:rsidRPr="00317ABF">
              <w:rPr>
                <w:sz w:val="22"/>
                <w:szCs w:val="22"/>
              </w:rPr>
              <w:lastRenderedPageBreak/>
              <w:t>zapewniają, aby nie nastąpiła utrata usługi, która opóźniłaby proces zmiany i przeniesienia numeru.</w:t>
            </w:r>
          </w:p>
        </w:tc>
        <w:tc>
          <w:tcPr>
            <w:tcW w:w="986" w:type="dxa"/>
          </w:tcPr>
          <w:p w14:paraId="545ED2F9" w14:textId="2B0473BE" w:rsidR="001E1112" w:rsidRPr="00317ABF" w:rsidRDefault="001E1112" w:rsidP="00DB3BEC">
            <w:pPr>
              <w:jc w:val="both"/>
              <w:rPr>
                <w:sz w:val="22"/>
                <w:szCs w:val="22"/>
              </w:rPr>
            </w:pPr>
            <w:r w:rsidRPr="00317ABF">
              <w:rPr>
                <w:sz w:val="22"/>
                <w:szCs w:val="22"/>
              </w:rPr>
              <w:lastRenderedPageBreak/>
              <w:t>T</w:t>
            </w:r>
          </w:p>
        </w:tc>
        <w:tc>
          <w:tcPr>
            <w:tcW w:w="910" w:type="dxa"/>
          </w:tcPr>
          <w:p w14:paraId="74F06619" w14:textId="12E40851" w:rsidR="00674FC9" w:rsidRPr="00317ABF" w:rsidRDefault="001E1112" w:rsidP="00674FC9">
            <w:pPr>
              <w:pStyle w:val="Tekstpodstawowy"/>
              <w:rPr>
                <w:b/>
                <w:noProof/>
                <w:sz w:val="22"/>
                <w:szCs w:val="22"/>
              </w:rPr>
            </w:pPr>
            <w:r w:rsidRPr="00317ABF">
              <w:rPr>
                <w:b/>
                <w:noProof/>
                <w:sz w:val="22"/>
                <w:szCs w:val="22"/>
              </w:rPr>
              <w:t xml:space="preserve">Art. </w:t>
            </w:r>
            <w:r w:rsidR="00674FC9" w:rsidRPr="00317ABF">
              <w:rPr>
                <w:b/>
                <w:noProof/>
                <w:sz w:val="22"/>
                <w:szCs w:val="22"/>
              </w:rPr>
              <w:t xml:space="preserve">319 ust. </w:t>
            </w:r>
            <w:r w:rsidR="009620B0" w:rsidRPr="00317ABF">
              <w:rPr>
                <w:b/>
                <w:noProof/>
                <w:sz w:val="22"/>
                <w:szCs w:val="22"/>
              </w:rPr>
              <w:t>4-</w:t>
            </w:r>
            <w:r w:rsidR="00674FC9" w:rsidRPr="00317ABF">
              <w:rPr>
                <w:b/>
                <w:noProof/>
                <w:sz w:val="22"/>
                <w:szCs w:val="22"/>
              </w:rPr>
              <w:t>6,</w:t>
            </w:r>
          </w:p>
          <w:p w14:paraId="389B2468" w14:textId="0E3C11B5" w:rsidR="001E1112" w:rsidRPr="00317ABF" w:rsidRDefault="00674FC9" w:rsidP="00674FC9">
            <w:pPr>
              <w:pStyle w:val="Tekstpodstawowy"/>
              <w:rPr>
                <w:b/>
                <w:noProof/>
                <w:sz w:val="22"/>
                <w:szCs w:val="22"/>
              </w:rPr>
            </w:pPr>
            <w:r w:rsidRPr="00317ABF">
              <w:rPr>
                <w:b/>
                <w:noProof/>
                <w:sz w:val="22"/>
                <w:szCs w:val="22"/>
              </w:rPr>
              <w:t xml:space="preserve">Art. 320 ust. 1 i 2 </w:t>
            </w:r>
          </w:p>
        </w:tc>
        <w:tc>
          <w:tcPr>
            <w:tcW w:w="6814" w:type="dxa"/>
            <w:gridSpan w:val="2"/>
          </w:tcPr>
          <w:p w14:paraId="39484AFF" w14:textId="15BF5984" w:rsidR="00674FC9" w:rsidRPr="00317ABF" w:rsidRDefault="001E1112" w:rsidP="00674FC9">
            <w:pPr>
              <w:jc w:val="both"/>
              <w:rPr>
                <w:b/>
                <w:sz w:val="22"/>
                <w:szCs w:val="22"/>
              </w:rPr>
            </w:pPr>
            <w:r w:rsidRPr="00317ABF">
              <w:rPr>
                <w:b/>
                <w:sz w:val="22"/>
                <w:szCs w:val="22"/>
              </w:rPr>
              <w:t xml:space="preserve">Art. </w:t>
            </w:r>
            <w:r w:rsidR="00674FC9" w:rsidRPr="00317ABF">
              <w:rPr>
                <w:b/>
                <w:sz w:val="22"/>
                <w:szCs w:val="22"/>
              </w:rPr>
              <w:t>319</w:t>
            </w:r>
          </w:p>
          <w:p w14:paraId="5E7B9FE3" w14:textId="0AE925EF" w:rsidR="00674FC9" w:rsidRPr="00317ABF" w:rsidRDefault="00674FC9" w:rsidP="00674FC9">
            <w:pPr>
              <w:jc w:val="both"/>
              <w:rPr>
                <w:sz w:val="22"/>
                <w:szCs w:val="22"/>
              </w:rPr>
            </w:pPr>
            <w:r w:rsidRPr="00317ABF">
              <w:rPr>
                <w:sz w:val="22"/>
                <w:szCs w:val="22"/>
              </w:rPr>
              <w:t>(…)</w:t>
            </w:r>
          </w:p>
          <w:p w14:paraId="59539B1C" w14:textId="77777777" w:rsidR="009620B0" w:rsidRPr="00317ABF" w:rsidRDefault="009620B0" w:rsidP="009620B0">
            <w:pPr>
              <w:jc w:val="both"/>
              <w:rPr>
                <w:bCs/>
                <w:sz w:val="22"/>
                <w:szCs w:val="22"/>
              </w:rPr>
            </w:pPr>
            <w:r w:rsidRPr="00317ABF">
              <w:rPr>
                <w:bCs/>
                <w:sz w:val="22"/>
                <w:szCs w:val="22"/>
              </w:rPr>
              <w:t>4. Abonent żądając przeniesienia przydzielonego numeru może wypowiedzieć umowę z dotychczasowym dostawcą usługi komunikacji głosowej bez zachowania terminów wypowiedzenia określonych w rozwiązywanej umowie. W takim przypadku abonent jest obowiązany do uiszczenia opłaty dotychczasowemu dostawcy usługi w wysokości nieprzekraczającej opłaty abonamentowej za okres wypowiedzenia, nie wyższej jednak niż opłata abonamentowa za jeden okres rozliczeniowy, powiększonej o odszkodowanie, o którym mowa w art. 298.</w:t>
            </w:r>
          </w:p>
          <w:p w14:paraId="77726619" w14:textId="77777777" w:rsidR="009620B0" w:rsidRPr="00317ABF" w:rsidRDefault="009620B0" w:rsidP="009620B0">
            <w:pPr>
              <w:jc w:val="both"/>
              <w:rPr>
                <w:bCs/>
                <w:sz w:val="22"/>
                <w:szCs w:val="22"/>
              </w:rPr>
            </w:pPr>
            <w:r w:rsidRPr="00317ABF">
              <w:rPr>
                <w:bCs/>
                <w:sz w:val="22"/>
                <w:szCs w:val="22"/>
              </w:rPr>
              <w:t>5. Abonent żądając przeniesienia przydzielonego numeru określa tryb tego przeniesienia:</w:t>
            </w:r>
          </w:p>
          <w:p w14:paraId="7AC3C09E" w14:textId="77777777" w:rsidR="009620B0" w:rsidRPr="00317ABF" w:rsidRDefault="009620B0" w:rsidP="009620B0">
            <w:pPr>
              <w:jc w:val="both"/>
              <w:rPr>
                <w:bCs/>
                <w:sz w:val="22"/>
                <w:szCs w:val="22"/>
              </w:rPr>
            </w:pPr>
            <w:r w:rsidRPr="00317ABF">
              <w:rPr>
                <w:bCs/>
                <w:sz w:val="22"/>
                <w:szCs w:val="22"/>
              </w:rPr>
              <w:t>1) z zachowaniem okresu wypowiedzenia przewidzianego umową z dotychczasowym dostawcą usługi komunikacji głosowej;</w:t>
            </w:r>
          </w:p>
          <w:p w14:paraId="42C17133" w14:textId="77777777" w:rsidR="009620B0" w:rsidRPr="00317ABF" w:rsidRDefault="009620B0" w:rsidP="009620B0">
            <w:pPr>
              <w:jc w:val="both"/>
              <w:rPr>
                <w:bCs/>
                <w:sz w:val="22"/>
                <w:szCs w:val="22"/>
              </w:rPr>
            </w:pPr>
            <w:r w:rsidRPr="00317ABF">
              <w:rPr>
                <w:bCs/>
                <w:sz w:val="22"/>
                <w:szCs w:val="22"/>
              </w:rPr>
              <w:t>2) bez zachowania okresu wypowiedzenia przewidzianego umową z dotychczasowym dostawcą usługi komunikacji głosowej, ze wskazaniem konkretnego terminu przeniesienia;</w:t>
            </w:r>
          </w:p>
          <w:p w14:paraId="1220787D" w14:textId="77777777" w:rsidR="009620B0" w:rsidRPr="00317ABF" w:rsidDel="00E15FB0" w:rsidRDefault="009620B0" w:rsidP="009620B0">
            <w:pPr>
              <w:jc w:val="both"/>
              <w:rPr>
                <w:bCs/>
                <w:sz w:val="22"/>
                <w:szCs w:val="22"/>
              </w:rPr>
            </w:pPr>
            <w:r w:rsidRPr="00317ABF">
              <w:rPr>
                <w:bCs/>
                <w:sz w:val="22"/>
                <w:szCs w:val="22"/>
              </w:rPr>
              <w:t>3) na koniec okresu obowiązywania umowy wymaganego do skorzystania z warunków promocyjnych wynikającego z umowy z dotychczasowym dostawcą usługi komunikacji głosowej.</w:t>
            </w:r>
          </w:p>
          <w:p w14:paraId="41FA03A4" w14:textId="77777777" w:rsidR="009620B0" w:rsidRPr="00317ABF" w:rsidRDefault="009620B0" w:rsidP="00674FC9">
            <w:pPr>
              <w:jc w:val="both"/>
              <w:rPr>
                <w:sz w:val="22"/>
                <w:szCs w:val="22"/>
              </w:rPr>
            </w:pPr>
          </w:p>
          <w:p w14:paraId="3D098CF2" w14:textId="77777777" w:rsidR="00674FC9" w:rsidRPr="00317ABF" w:rsidRDefault="00674FC9" w:rsidP="00674FC9">
            <w:pPr>
              <w:jc w:val="both"/>
              <w:rPr>
                <w:sz w:val="22"/>
                <w:szCs w:val="22"/>
              </w:rPr>
            </w:pPr>
            <w:r w:rsidRPr="00317ABF">
              <w:rPr>
                <w:sz w:val="22"/>
                <w:szCs w:val="22"/>
              </w:rPr>
              <w:t>6. Przeniesienie przydzielonego numeru</w:t>
            </w:r>
            <w:r w:rsidRPr="00317ABF" w:rsidDel="00B86D1E">
              <w:rPr>
                <w:sz w:val="22"/>
                <w:szCs w:val="22"/>
              </w:rPr>
              <w:t xml:space="preserve"> </w:t>
            </w:r>
            <w:r w:rsidRPr="00317ABF">
              <w:rPr>
                <w:sz w:val="22"/>
                <w:szCs w:val="22"/>
              </w:rPr>
              <w:t>następuje nie później niż w terminie 1 dnia roboczego od uzgodnionego z abonentem dnia rozpoczęcia świadczenia usługi przez nowego dostawcę usługi komunikacji głosowej</w:t>
            </w:r>
            <w:r w:rsidRPr="00317ABF" w:rsidDel="00EF72CE">
              <w:rPr>
                <w:sz w:val="22"/>
                <w:szCs w:val="22"/>
              </w:rPr>
              <w:t xml:space="preserve">, </w:t>
            </w:r>
            <w:r w:rsidRPr="00317ABF">
              <w:rPr>
                <w:sz w:val="22"/>
                <w:szCs w:val="22"/>
              </w:rPr>
              <w:t xml:space="preserve">wskazanego w umowie o świadczenie usług komunikacji elektronicznej z przeniesieniem przydzielonego numeru. Termin rozpoczęcia świadczenia </w:t>
            </w:r>
            <w:r w:rsidRPr="00317ABF">
              <w:rPr>
                <w:sz w:val="22"/>
                <w:szCs w:val="22"/>
              </w:rPr>
              <w:lastRenderedPageBreak/>
              <w:t>usługi przez nowego dostawcę usługi komunikacji głosowej powinien być zgodny z terminem rozwiązania umowy z dotychczasowym dostawcą usługi komunikacji głosowej.</w:t>
            </w:r>
          </w:p>
          <w:p w14:paraId="2D61069C" w14:textId="77777777" w:rsidR="00674FC9" w:rsidRPr="00317ABF" w:rsidRDefault="00674FC9" w:rsidP="00674FC9">
            <w:pPr>
              <w:jc w:val="both"/>
              <w:rPr>
                <w:sz w:val="22"/>
                <w:szCs w:val="22"/>
              </w:rPr>
            </w:pPr>
          </w:p>
          <w:p w14:paraId="5C74177A" w14:textId="77777777" w:rsidR="00674FC9" w:rsidRPr="00317ABF" w:rsidRDefault="00674FC9" w:rsidP="00674FC9">
            <w:pPr>
              <w:jc w:val="both"/>
              <w:rPr>
                <w:sz w:val="22"/>
                <w:szCs w:val="22"/>
              </w:rPr>
            </w:pPr>
            <w:r w:rsidRPr="00317ABF">
              <w:rPr>
                <w:b/>
                <w:sz w:val="22"/>
                <w:szCs w:val="22"/>
              </w:rPr>
              <w:t>Art. 320.</w:t>
            </w:r>
            <w:r w:rsidRPr="00317ABF">
              <w:rPr>
                <w:sz w:val="22"/>
                <w:szCs w:val="22"/>
              </w:rPr>
              <w:t xml:space="preserve"> </w:t>
            </w:r>
          </w:p>
          <w:p w14:paraId="4A98AC0A" w14:textId="6CB59AFA" w:rsidR="00674FC9" w:rsidRPr="00317ABF" w:rsidRDefault="00674FC9" w:rsidP="00674FC9">
            <w:pPr>
              <w:jc w:val="both"/>
              <w:rPr>
                <w:sz w:val="22"/>
                <w:szCs w:val="22"/>
              </w:rPr>
            </w:pPr>
            <w:r w:rsidRPr="00317ABF">
              <w:rPr>
                <w:sz w:val="22"/>
                <w:szCs w:val="22"/>
              </w:rPr>
              <w:t>1. W przypadku gdy przeniesienie przydzielonego numeru nie doszło do skutku w terminie, o którym mowa w art. 319 ust. 6, dotychczasowy dostawca usługi komunikacji głosowej wznawia lub kontynuuje świadczenie usługi na dotychczasowych warunkach do czasu przeniesienia numeru. Wznowienie świadczenia usługi następuje w takim terminie, aby utrata dostępu przez abonenta do świadczonych usług nie przekroczyła 1 dnia roboczego.</w:t>
            </w:r>
          </w:p>
          <w:p w14:paraId="5E0CD89E" w14:textId="77777777" w:rsidR="00674FC9" w:rsidRPr="00317ABF" w:rsidRDefault="00674FC9" w:rsidP="00674FC9">
            <w:pPr>
              <w:jc w:val="both"/>
              <w:rPr>
                <w:bCs/>
                <w:sz w:val="22"/>
                <w:szCs w:val="22"/>
              </w:rPr>
            </w:pPr>
            <w:r w:rsidRPr="00317ABF">
              <w:rPr>
                <w:bCs/>
                <w:sz w:val="22"/>
                <w:szCs w:val="22"/>
              </w:rPr>
              <w:t xml:space="preserve">2. W przypadku gdy dotychczasowy dostawca usługi wznawia lub kontynuuje świadczenie usługi na podstawie wypowiedzianej umowy, zakończenie jej obowiązywania następuje z chwilą rozpoczęcia świadczenia usługi przez nowego dostawcę usługi, jednak w terminie nie dłuższym niż przez 30 dni od dnia, w którym nastąpić miało przeniesienie numeru. </w:t>
            </w:r>
          </w:p>
          <w:p w14:paraId="1F914A36" w14:textId="5B02946E" w:rsidR="006E2BAF" w:rsidRPr="00317ABF" w:rsidRDefault="006E2BAF" w:rsidP="00674FC9">
            <w:pPr>
              <w:jc w:val="both"/>
              <w:rPr>
                <w:bCs/>
                <w:sz w:val="22"/>
                <w:szCs w:val="22"/>
              </w:rPr>
            </w:pPr>
            <w:r w:rsidRPr="00317ABF">
              <w:rPr>
                <w:bCs/>
                <w:sz w:val="22"/>
                <w:szCs w:val="22"/>
              </w:rPr>
              <w:t>(…)</w:t>
            </w:r>
          </w:p>
          <w:p w14:paraId="67B01BDE" w14:textId="494A7261" w:rsidR="001E1112" w:rsidRPr="00317ABF" w:rsidRDefault="001E1112" w:rsidP="00DB3BEC">
            <w:pPr>
              <w:jc w:val="both"/>
              <w:rPr>
                <w:sz w:val="22"/>
                <w:szCs w:val="22"/>
              </w:rPr>
            </w:pPr>
          </w:p>
        </w:tc>
      </w:tr>
      <w:tr w:rsidR="001E1112" w:rsidRPr="00317ABF" w14:paraId="29FF0244" w14:textId="77777777" w:rsidTr="7753F98D">
        <w:trPr>
          <w:gridAfter w:val="2"/>
          <w:wAfter w:w="175" w:type="dxa"/>
        </w:trPr>
        <w:tc>
          <w:tcPr>
            <w:tcW w:w="704" w:type="dxa"/>
          </w:tcPr>
          <w:p w14:paraId="447928B0" w14:textId="4589D108" w:rsidR="001E1112" w:rsidRPr="00317ABF" w:rsidRDefault="001E1112" w:rsidP="00DB3BEC">
            <w:pPr>
              <w:jc w:val="both"/>
              <w:rPr>
                <w:sz w:val="22"/>
                <w:szCs w:val="22"/>
              </w:rPr>
            </w:pPr>
            <w:r w:rsidRPr="00317ABF">
              <w:rPr>
                <w:sz w:val="22"/>
                <w:szCs w:val="22"/>
              </w:rPr>
              <w:lastRenderedPageBreak/>
              <w:t>Art. 106 ust. 6</w:t>
            </w:r>
          </w:p>
        </w:tc>
        <w:tc>
          <w:tcPr>
            <w:tcW w:w="4308" w:type="dxa"/>
          </w:tcPr>
          <w:p w14:paraId="66931EDE" w14:textId="77777777" w:rsidR="001E1112" w:rsidRPr="00317ABF" w:rsidRDefault="001E1112" w:rsidP="00DB3BEC">
            <w:pPr>
              <w:spacing w:before="120"/>
              <w:jc w:val="both"/>
              <w:rPr>
                <w:sz w:val="22"/>
                <w:szCs w:val="22"/>
              </w:rPr>
            </w:pPr>
            <w:r w:rsidRPr="00317ABF">
              <w:rPr>
                <w:sz w:val="22"/>
                <w:szCs w:val="22"/>
              </w:rPr>
              <w:t>6.   Przejmujący dostawca kieruje procesem zmiany dostawcy i przeniesienia numeru określonym w ust. 1 i 5, a zarówno przejmujący dostawca, jak i dotychczasowy dostawca współpracują w dobrej wierze. Nie opóźniają oni ani nie utrudniają procesów zmiany dostawcy i przeniesienia numeru, nie przenoszą oni także numerów ani nie przełączają użytkowników końcowych bez ich wyraźnej zgody. Umowy użytkowników końcowych zawarte z dotychczasowym dostawcą ulegają automatycznemu rozwiązaniu po ukończeniu procesu zmiany dostawcy.</w:t>
            </w:r>
          </w:p>
          <w:p w14:paraId="5EB7DD27" w14:textId="77777777" w:rsidR="001E1112" w:rsidRPr="00317ABF" w:rsidRDefault="001E1112" w:rsidP="00DB3BEC">
            <w:pPr>
              <w:spacing w:before="120"/>
              <w:jc w:val="both"/>
              <w:rPr>
                <w:sz w:val="22"/>
                <w:szCs w:val="22"/>
              </w:rPr>
            </w:pPr>
            <w:r w:rsidRPr="00317ABF">
              <w:rPr>
                <w:sz w:val="22"/>
                <w:szCs w:val="22"/>
              </w:rPr>
              <w:t xml:space="preserve">Krajowe organy regulacyjne mogą ustanowić szczegóły procesów zmiany dostawcy i przenoszenia numerów, uwzględniając krajowe przepisy o umowach, możliwości techniczne oraz potrzebę zachowania ciągłości usług świadczonych na rzecz użytkownika </w:t>
            </w:r>
            <w:r w:rsidRPr="00317ABF">
              <w:rPr>
                <w:sz w:val="22"/>
                <w:szCs w:val="22"/>
              </w:rPr>
              <w:lastRenderedPageBreak/>
              <w:t>końcowego. Obejmuje to, jeżeli jest to technicznie wykonalne, możliwość zrealizowania procesu przeniesienia numeru zdalnie, chyba że użytkownik końcowy wystąpi z innym wnioskiem. Krajowe organy regulacyjne wprowadzają także odpowiednie środki zapewniające ochronę i odpowiednie informowanie użytkowników końcowych w trakcie zmiany i przenoszenia numeru oraz zapewniają, aby ich numery nie były przenoszone do innego dostawcy wbrew ich woli.</w:t>
            </w:r>
          </w:p>
          <w:p w14:paraId="1E6D5191" w14:textId="77777777" w:rsidR="001E1112" w:rsidRPr="00317ABF" w:rsidRDefault="001E1112" w:rsidP="00DB3BEC">
            <w:pPr>
              <w:spacing w:before="120"/>
              <w:jc w:val="both"/>
              <w:rPr>
                <w:sz w:val="22"/>
                <w:szCs w:val="22"/>
              </w:rPr>
            </w:pPr>
            <w:r w:rsidRPr="00317ABF">
              <w:rPr>
                <w:sz w:val="22"/>
                <w:szCs w:val="22"/>
              </w:rPr>
              <w:t>Dotychczasowi dostawcy dokonują na wniosek zwrotu wszelkiego pozostałego salda na rzecz konsumentów korzystających z usług w systemie przedpłat. Zwrot może podlegać opłacie, jedynie jeżeli zostało to określone w umowie. Wszelkie takie opłaty są proporcjonalne i współmierne do rzeczywistych kosztów ponoszonych przez dotychczasowego dostawcę w związku ze zwrotem.</w:t>
            </w:r>
          </w:p>
        </w:tc>
        <w:tc>
          <w:tcPr>
            <w:tcW w:w="986" w:type="dxa"/>
          </w:tcPr>
          <w:p w14:paraId="5A5437E5" w14:textId="270FAE96" w:rsidR="001E1112" w:rsidRPr="00317ABF" w:rsidRDefault="001E1112" w:rsidP="00DB3BEC">
            <w:pPr>
              <w:jc w:val="both"/>
              <w:rPr>
                <w:sz w:val="22"/>
                <w:szCs w:val="22"/>
              </w:rPr>
            </w:pPr>
            <w:r w:rsidRPr="00317ABF">
              <w:rPr>
                <w:sz w:val="22"/>
                <w:szCs w:val="22"/>
              </w:rPr>
              <w:lastRenderedPageBreak/>
              <w:t>T</w:t>
            </w:r>
          </w:p>
        </w:tc>
        <w:tc>
          <w:tcPr>
            <w:tcW w:w="910" w:type="dxa"/>
          </w:tcPr>
          <w:p w14:paraId="426098D1" w14:textId="03F56007" w:rsidR="0008639D" w:rsidRPr="00317ABF" w:rsidRDefault="002C4B89" w:rsidP="00DB3BEC">
            <w:pPr>
              <w:pStyle w:val="Tekstpodstawowy"/>
              <w:rPr>
                <w:b/>
                <w:noProof/>
                <w:sz w:val="22"/>
                <w:szCs w:val="22"/>
              </w:rPr>
            </w:pPr>
            <w:r w:rsidRPr="00317ABF">
              <w:rPr>
                <w:b/>
                <w:noProof/>
                <w:sz w:val="22"/>
                <w:szCs w:val="22"/>
              </w:rPr>
              <w:t xml:space="preserve">Art. 319 ust. </w:t>
            </w:r>
            <w:r w:rsidR="00186DE1" w:rsidRPr="00317ABF">
              <w:rPr>
                <w:b/>
                <w:noProof/>
                <w:sz w:val="22"/>
                <w:szCs w:val="22"/>
              </w:rPr>
              <w:t>7-8</w:t>
            </w:r>
            <w:r w:rsidR="0008639D" w:rsidRPr="00317ABF">
              <w:rPr>
                <w:b/>
                <w:noProof/>
                <w:sz w:val="22"/>
                <w:szCs w:val="22"/>
              </w:rPr>
              <w:t xml:space="preserve"> </w:t>
            </w:r>
          </w:p>
          <w:p w14:paraId="3E315857" w14:textId="356D4F33" w:rsidR="001E1112" w:rsidRPr="00317ABF" w:rsidRDefault="0008639D" w:rsidP="00DB3BEC">
            <w:pPr>
              <w:pStyle w:val="Tekstpodstawowy"/>
              <w:rPr>
                <w:b/>
                <w:noProof/>
                <w:sz w:val="22"/>
                <w:szCs w:val="22"/>
              </w:rPr>
            </w:pPr>
            <w:r w:rsidRPr="00317ABF">
              <w:rPr>
                <w:b/>
                <w:noProof/>
                <w:sz w:val="22"/>
                <w:szCs w:val="22"/>
              </w:rPr>
              <w:t>Art. 325</w:t>
            </w:r>
          </w:p>
          <w:p w14:paraId="0616CE09" w14:textId="77777777" w:rsidR="001E1112" w:rsidRPr="00317ABF" w:rsidRDefault="001E1112" w:rsidP="00DB3BEC">
            <w:pPr>
              <w:pStyle w:val="Tekstpodstawowy"/>
              <w:rPr>
                <w:b/>
                <w:noProof/>
                <w:sz w:val="22"/>
                <w:szCs w:val="22"/>
              </w:rPr>
            </w:pPr>
          </w:p>
          <w:p w14:paraId="33EAED3C" w14:textId="77777777" w:rsidR="001E1112" w:rsidRPr="00317ABF" w:rsidRDefault="001E1112" w:rsidP="00DB3BEC">
            <w:pPr>
              <w:pStyle w:val="Tekstpodstawowy"/>
              <w:rPr>
                <w:b/>
                <w:noProof/>
                <w:sz w:val="22"/>
                <w:szCs w:val="22"/>
              </w:rPr>
            </w:pPr>
          </w:p>
          <w:p w14:paraId="569BF8F4" w14:textId="77777777" w:rsidR="001E1112" w:rsidRPr="00317ABF" w:rsidRDefault="001E1112" w:rsidP="00DB3BEC">
            <w:pPr>
              <w:pStyle w:val="Tekstpodstawowy"/>
              <w:rPr>
                <w:b/>
                <w:noProof/>
                <w:sz w:val="22"/>
                <w:szCs w:val="22"/>
              </w:rPr>
            </w:pPr>
          </w:p>
          <w:p w14:paraId="38AA8088" w14:textId="77777777" w:rsidR="001E1112" w:rsidRPr="00317ABF" w:rsidRDefault="001E1112" w:rsidP="00DB3BEC">
            <w:pPr>
              <w:pStyle w:val="Tekstpodstawowy"/>
              <w:rPr>
                <w:b/>
                <w:noProof/>
                <w:sz w:val="22"/>
                <w:szCs w:val="22"/>
              </w:rPr>
            </w:pPr>
          </w:p>
          <w:p w14:paraId="0011BDB9" w14:textId="77777777" w:rsidR="001E1112" w:rsidRPr="00317ABF" w:rsidRDefault="001E1112" w:rsidP="00DB3BEC">
            <w:pPr>
              <w:pStyle w:val="Tekstpodstawowy"/>
              <w:rPr>
                <w:b/>
                <w:noProof/>
                <w:sz w:val="22"/>
                <w:szCs w:val="22"/>
              </w:rPr>
            </w:pPr>
          </w:p>
          <w:p w14:paraId="43A80D4A" w14:textId="77777777" w:rsidR="001E1112" w:rsidRPr="00317ABF" w:rsidRDefault="001E1112" w:rsidP="00DB3BEC">
            <w:pPr>
              <w:pStyle w:val="Tekstpodstawowy"/>
              <w:rPr>
                <w:b/>
                <w:noProof/>
                <w:sz w:val="22"/>
                <w:szCs w:val="22"/>
              </w:rPr>
            </w:pPr>
          </w:p>
          <w:p w14:paraId="2112BABC" w14:textId="77777777" w:rsidR="001E1112" w:rsidRPr="00317ABF" w:rsidRDefault="001E1112" w:rsidP="00DB3BEC">
            <w:pPr>
              <w:pStyle w:val="Tekstpodstawowy"/>
              <w:rPr>
                <w:b/>
                <w:noProof/>
                <w:sz w:val="22"/>
                <w:szCs w:val="22"/>
              </w:rPr>
            </w:pPr>
          </w:p>
          <w:p w14:paraId="66928028" w14:textId="77777777" w:rsidR="001E1112" w:rsidRPr="00317ABF" w:rsidRDefault="001E1112" w:rsidP="00DB3BEC">
            <w:pPr>
              <w:pStyle w:val="Tekstpodstawowy"/>
              <w:rPr>
                <w:b/>
                <w:noProof/>
                <w:sz w:val="22"/>
                <w:szCs w:val="22"/>
              </w:rPr>
            </w:pPr>
          </w:p>
          <w:p w14:paraId="1D4B71C6" w14:textId="77777777" w:rsidR="001E1112" w:rsidRPr="00317ABF" w:rsidRDefault="001E1112" w:rsidP="00DB3BEC">
            <w:pPr>
              <w:pStyle w:val="Tekstpodstawowy"/>
              <w:rPr>
                <w:b/>
                <w:noProof/>
                <w:sz w:val="22"/>
                <w:szCs w:val="22"/>
              </w:rPr>
            </w:pPr>
          </w:p>
          <w:p w14:paraId="72587A57" w14:textId="77777777" w:rsidR="001E1112" w:rsidRPr="00317ABF" w:rsidRDefault="001E1112" w:rsidP="00DB3BEC">
            <w:pPr>
              <w:pStyle w:val="Tekstpodstawowy"/>
              <w:rPr>
                <w:b/>
                <w:noProof/>
                <w:sz w:val="22"/>
                <w:szCs w:val="22"/>
              </w:rPr>
            </w:pPr>
          </w:p>
          <w:p w14:paraId="475A4B66" w14:textId="77777777" w:rsidR="001E1112" w:rsidRPr="00317ABF" w:rsidRDefault="001E1112" w:rsidP="00DB3BEC">
            <w:pPr>
              <w:pStyle w:val="Tekstpodstawowy"/>
              <w:rPr>
                <w:b/>
                <w:noProof/>
                <w:sz w:val="22"/>
                <w:szCs w:val="22"/>
              </w:rPr>
            </w:pPr>
          </w:p>
          <w:p w14:paraId="6E0B6231" w14:textId="77777777" w:rsidR="001E1112" w:rsidRPr="00317ABF" w:rsidRDefault="001E1112" w:rsidP="00DB3BEC">
            <w:pPr>
              <w:pStyle w:val="Tekstpodstawowy"/>
              <w:rPr>
                <w:b/>
                <w:noProof/>
                <w:sz w:val="22"/>
                <w:szCs w:val="22"/>
              </w:rPr>
            </w:pPr>
          </w:p>
          <w:p w14:paraId="45C2DF59" w14:textId="77777777" w:rsidR="001E1112" w:rsidRPr="00317ABF" w:rsidRDefault="001E1112" w:rsidP="00DB3BEC">
            <w:pPr>
              <w:pStyle w:val="Tekstpodstawowy"/>
              <w:rPr>
                <w:b/>
                <w:noProof/>
                <w:sz w:val="22"/>
                <w:szCs w:val="22"/>
              </w:rPr>
            </w:pPr>
          </w:p>
          <w:p w14:paraId="5FFF2263" w14:textId="77777777" w:rsidR="001E1112" w:rsidRPr="00317ABF" w:rsidRDefault="001E1112" w:rsidP="00DB3BEC">
            <w:pPr>
              <w:pStyle w:val="Tekstpodstawowy"/>
              <w:rPr>
                <w:b/>
                <w:noProof/>
                <w:sz w:val="22"/>
                <w:szCs w:val="22"/>
              </w:rPr>
            </w:pPr>
          </w:p>
          <w:p w14:paraId="59D70DA0" w14:textId="77777777" w:rsidR="001E1112" w:rsidRPr="00317ABF" w:rsidRDefault="001E1112" w:rsidP="00DB3BEC">
            <w:pPr>
              <w:pStyle w:val="Tekstpodstawowy"/>
              <w:rPr>
                <w:b/>
                <w:noProof/>
                <w:sz w:val="22"/>
                <w:szCs w:val="22"/>
              </w:rPr>
            </w:pPr>
          </w:p>
          <w:p w14:paraId="2A328EEA" w14:textId="77777777" w:rsidR="001E1112" w:rsidRPr="00317ABF" w:rsidRDefault="001E1112" w:rsidP="00DB3BEC">
            <w:pPr>
              <w:pStyle w:val="Tekstpodstawowy"/>
              <w:rPr>
                <w:b/>
                <w:noProof/>
                <w:sz w:val="22"/>
                <w:szCs w:val="22"/>
              </w:rPr>
            </w:pPr>
          </w:p>
          <w:p w14:paraId="70A16E0A" w14:textId="77777777" w:rsidR="001E1112" w:rsidRPr="00317ABF" w:rsidRDefault="001E1112" w:rsidP="00DB3BEC">
            <w:pPr>
              <w:pStyle w:val="Tekstpodstawowy"/>
              <w:rPr>
                <w:b/>
                <w:noProof/>
                <w:sz w:val="22"/>
                <w:szCs w:val="22"/>
              </w:rPr>
            </w:pPr>
          </w:p>
          <w:p w14:paraId="7C0756F6" w14:textId="77777777" w:rsidR="001E1112" w:rsidRPr="00317ABF" w:rsidRDefault="001E1112" w:rsidP="00DB3BEC">
            <w:pPr>
              <w:pStyle w:val="Tekstpodstawowy"/>
              <w:rPr>
                <w:b/>
                <w:noProof/>
                <w:sz w:val="22"/>
                <w:szCs w:val="22"/>
              </w:rPr>
            </w:pPr>
          </w:p>
          <w:p w14:paraId="40A019C6" w14:textId="77777777" w:rsidR="001E1112" w:rsidRPr="00317ABF" w:rsidRDefault="001E1112" w:rsidP="00DB3BEC">
            <w:pPr>
              <w:pStyle w:val="Tekstpodstawowy"/>
              <w:rPr>
                <w:b/>
                <w:noProof/>
                <w:sz w:val="22"/>
                <w:szCs w:val="22"/>
              </w:rPr>
            </w:pPr>
          </w:p>
          <w:p w14:paraId="590984E3" w14:textId="77777777" w:rsidR="001E1112" w:rsidRPr="00317ABF" w:rsidRDefault="001E1112" w:rsidP="00DB3BEC">
            <w:pPr>
              <w:pStyle w:val="Tekstpodstawowy"/>
              <w:rPr>
                <w:b/>
                <w:noProof/>
                <w:sz w:val="22"/>
                <w:szCs w:val="22"/>
              </w:rPr>
            </w:pPr>
          </w:p>
          <w:p w14:paraId="5D3BEF00" w14:textId="77777777" w:rsidR="001E1112" w:rsidRPr="00317ABF" w:rsidRDefault="001E1112" w:rsidP="00DB3BEC">
            <w:pPr>
              <w:pStyle w:val="Tekstpodstawowy"/>
              <w:rPr>
                <w:b/>
                <w:noProof/>
                <w:sz w:val="22"/>
                <w:szCs w:val="22"/>
              </w:rPr>
            </w:pPr>
          </w:p>
          <w:p w14:paraId="5F4CBA79" w14:textId="77777777" w:rsidR="001E1112" w:rsidRPr="00317ABF" w:rsidRDefault="001E1112" w:rsidP="00DB3BEC">
            <w:pPr>
              <w:pStyle w:val="Tekstpodstawowy"/>
              <w:rPr>
                <w:b/>
                <w:noProof/>
                <w:sz w:val="22"/>
                <w:szCs w:val="22"/>
              </w:rPr>
            </w:pPr>
          </w:p>
          <w:p w14:paraId="1D9AAE3E" w14:textId="77777777" w:rsidR="001E1112" w:rsidRPr="00317ABF" w:rsidRDefault="001E1112" w:rsidP="00DB3BEC">
            <w:pPr>
              <w:pStyle w:val="Tekstpodstawowy"/>
              <w:rPr>
                <w:b/>
                <w:noProof/>
                <w:sz w:val="22"/>
                <w:szCs w:val="22"/>
              </w:rPr>
            </w:pPr>
          </w:p>
          <w:p w14:paraId="521B44C8" w14:textId="77777777" w:rsidR="001E1112" w:rsidRPr="00317ABF" w:rsidRDefault="001E1112" w:rsidP="00DB3BEC">
            <w:pPr>
              <w:pStyle w:val="Tekstpodstawowy"/>
              <w:rPr>
                <w:b/>
                <w:noProof/>
                <w:sz w:val="22"/>
                <w:szCs w:val="22"/>
              </w:rPr>
            </w:pPr>
          </w:p>
          <w:p w14:paraId="7B2A98B3" w14:textId="77777777" w:rsidR="001E1112" w:rsidRPr="00317ABF" w:rsidRDefault="001E1112" w:rsidP="00DB3BEC">
            <w:pPr>
              <w:pStyle w:val="Tekstpodstawowy"/>
              <w:rPr>
                <w:b/>
                <w:noProof/>
                <w:sz w:val="22"/>
                <w:szCs w:val="22"/>
              </w:rPr>
            </w:pPr>
          </w:p>
          <w:p w14:paraId="117BE60B" w14:textId="77777777" w:rsidR="001E1112" w:rsidRPr="00317ABF" w:rsidRDefault="001E1112" w:rsidP="00DB3BEC">
            <w:pPr>
              <w:pStyle w:val="Tekstpodstawowy"/>
              <w:rPr>
                <w:b/>
                <w:noProof/>
                <w:sz w:val="22"/>
                <w:szCs w:val="22"/>
              </w:rPr>
            </w:pPr>
          </w:p>
          <w:p w14:paraId="5934F781" w14:textId="77777777" w:rsidR="001E1112" w:rsidRPr="00317ABF" w:rsidRDefault="001E1112" w:rsidP="00DB3BEC">
            <w:pPr>
              <w:pStyle w:val="Tekstpodstawowy"/>
              <w:rPr>
                <w:b/>
                <w:noProof/>
                <w:sz w:val="22"/>
                <w:szCs w:val="22"/>
              </w:rPr>
            </w:pPr>
          </w:p>
          <w:p w14:paraId="600802F4" w14:textId="77777777" w:rsidR="001E1112" w:rsidRPr="00317ABF" w:rsidRDefault="001E1112" w:rsidP="00DB3BEC">
            <w:pPr>
              <w:pStyle w:val="Tekstpodstawowy"/>
              <w:rPr>
                <w:b/>
                <w:noProof/>
                <w:sz w:val="22"/>
                <w:szCs w:val="22"/>
              </w:rPr>
            </w:pPr>
          </w:p>
          <w:p w14:paraId="2E66247B" w14:textId="77777777" w:rsidR="001E1112" w:rsidRPr="00317ABF" w:rsidRDefault="001E1112" w:rsidP="00DB3BEC">
            <w:pPr>
              <w:pStyle w:val="Tekstpodstawowy"/>
              <w:rPr>
                <w:b/>
                <w:noProof/>
                <w:sz w:val="22"/>
                <w:szCs w:val="22"/>
              </w:rPr>
            </w:pPr>
          </w:p>
          <w:p w14:paraId="2C310862" w14:textId="77777777" w:rsidR="001E1112" w:rsidRPr="00317ABF" w:rsidRDefault="001E1112" w:rsidP="00DB3BEC">
            <w:pPr>
              <w:pStyle w:val="Tekstpodstawowy"/>
              <w:rPr>
                <w:b/>
                <w:noProof/>
                <w:sz w:val="22"/>
                <w:szCs w:val="22"/>
              </w:rPr>
            </w:pPr>
          </w:p>
          <w:p w14:paraId="21A494EC" w14:textId="7128965F" w:rsidR="001E1112" w:rsidRPr="00317ABF" w:rsidRDefault="001E1112" w:rsidP="00DB3BEC">
            <w:pPr>
              <w:pStyle w:val="Tekstpodstawowy"/>
              <w:rPr>
                <w:b/>
                <w:noProof/>
                <w:sz w:val="22"/>
                <w:szCs w:val="22"/>
              </w:rPr>
            </w:pPr>
          </w:p>
        </w:tc>
        <w:tc>
          <w:tcPr>
            <w:tcW w:w="6814" w:type="dxa"/>
            <w:gridSpan w:val="2"/>
          </w:tcPr>
          <w:p w14:paraId="39461DC4" w14:textId="77777777" w:rsidR="002C4B89" w:rsidRPr="00317ABF" w:rsidRDefault="002C4B89" w:rsidP="00186DE1">
            <w:pPr>
              <w:jc w:val="both"/>
              <w:rPr>
                <w:b/>
                <w:bCs/>
                <w:sz w:val="22"/>
                <w:szCs w:val="22"/>
              </w:rPr>
            </w:pPr>
            <w:r w:rsidRPr="00317ABF">
              <w:rPr>
                <w:b/>
                <w:bCs/>
                <w:sz w:val="22"/>
                <w:szCs w:val="22"/>
              </w:rPr>
              <w:lastRenderedPageBreak/>
              <w:t xml:space="preserve">Art. 319 </w:t>
            </w:r>
          </w:p>
          <w:p w14:paraId="5E81C3BD" w14:textId="51F0C4AA" w:rsidR="0008639D" w:rsidRPr="00317ABF" w:rsidDel="00E15FB0" w:rsidRDefault="002C4B89" w:rsidP="00186DE1">
            <w:pPr>
              <w:jc w:val="both"/>
              <w:rPr>
                <w:b/>
                <w:bCs/>
                <w:sz w:val="22"/>
                <w:szCs w:val="22"/>
              </w:rPr>
            </w:pPr>
            <w:r w:rsidRPr="00317ABF">
              <w:rPr>
                <w:bCs/>
                <w:sz w:val="22"/>
                <w:szCs w:val="22"/>
              </w:rPr>
              <w:t xml:space="preserve"> </w:t>
            </w:r>
            <w:r w:rsidR="0008639D" w:rsidRPr="00317ABF">
              <w:rPr>
                <w:bCs/>
                <w:sz w:val="22"/>
                <w:szCs w:val="22"/>
              </w:rPr>
              <w:t>(…)</w:t>
            </w:r>
          </w:p>
          <w:p w14:paraId="6B25FEEB" w14:textId="2792145E" w:rsidR="00186DE1" w:rsidRPr="00317ABF" w:rsidRDefault="00186DE1" w:rsidP="00186DE1">
            <w:pPr>
              <w:jc w:val="both"/>
              <w:rPr>
                <w:bCs/>
                <w:sz w:val="22"/>
                <w:szCs w:val="22"/>
              </w:rPr>
            </w:pPr>
            <w:r w:rsidRPr="00317ABF">
              <w:rPr>
                <w:bCs/>
                <w:sz w:val="22"/>
                <w:szCs w:val="22"/>
              </w:rPr>
              <w:t xml:space="preserve">7. Nowy dostawca usługi komunikacji głosowej doręcza abonentowi na trwałym nośniku potwierdzenie przeniesienia numeru. </w:t>
            </w:r>
          </w:p>
          <w:p w14:paraId="1A2F9B9F" w14:textId="51469C19" w:rsidR="00186DE1" w:rsidRPr="00317ABF" w:rsidRDefault="00186DE1" w:rsidP="00186DE1">
            <w:pPr>
              <w:jc w:val="both"/>
              <w:rPr>
                <w:bCs/>
                <w:sz w:val="22"/>
                <w:szCs w:val="22"/>
              </w:rPr>
            </w:pPr>
            <w:r w:rsidRPr="00317ABF">
              <w:rPr>
                <w:bCs/>
                <w:sz w:val="22"/>
                <w:szCs w:val="22"/>
              </w:rPr>
              <w:t>8. Nowy dostawca usługi komunikacji głosowej oraz dotychczasowy dostawca usługi komunikacji głosowej współpracują ze sobą w dobrej wierze podczas procesu przeniesienia numeru, tak aby zapewnić przeniesienie numeru w terminie określonym w ust. 6, przy czym procesem tym kieruje nowy dostawca usługi. Wymiana informacji pomiędzy dostawcami usług w zakresie obsługi wniosków o przeniesienie przydzielonego numeru odbywa się drogą elektroniczną za pośrednictwem systemu, o którym mowa w art. 331 ust. 3.</w:t>
            </w:r>
          </w:p>
          <w:p w14:paraId="2FA4686B" w14:textId="56CC5EE8" w:rsidR="00186DE1" w:rsidRPr="00317ABF" w:rsidRDefault="0008639D" w:rsidP="00186DE1">
            <w:pPr>
              <w:jc w:val="both"/>
              <w:rPr>
                <w:bCs/>
                <w:sz w:val="22"/>
                <w:szCs w:val="22"/>
              </w:rPr>
            </w:pPr>
            <w:r w:rsidRPr="00317ABF">
              <w:rPr>
                <w:bCs/>
                <w:sz w:val="22"/>
                <w:szCs w:val="22"/>
              </w:rPr>
              <w:t>(…)</w:t>
            </w:r>
          </w:p>
          <w:p w14:paraId="5996F567" w14:textId="77777777" w:rsidR="0008639D" w:rsidRPr="00317ABF" w:rsidRDefault="0008639D" w:rsidP="00186DE1">
            <w:pPr>
              <w:jc w:val="both"/>
              <w:rPr>
                <w:b/>
                <w:bCs/>
                <w:sz w:val="22"/>
                <w:szCs w:val="22"/>
              </w:rPr>
            </w:pPr>
          </w:p>
          <w:p w14:paraId="40501DB1" w14:textId="77777777" w:rsidR="0008639D" w:rsidRPr="00317ABF" w:rsidRDefault="0008639D" w:rsidP="0008639D">
            <w:pPr>
              <w:jc w:val="both"/>
              <w:rPr>
                <w:bCs/>
                <w:sz w:val="22"/>
                <w:szCs w:val="22"/>
              </w:rPr>
            </w:pPr>
            <w:r w:rsidRPr="00317ABF">
              <w:rPr>
                <w:b/>
                <w:bCs/>
                <w:sz w:val="22"/>
                <w:szCs w:val="22"/>
              </w:rPr>
              <w:t>Art. 325</w:t>
            </w:r>
            <w:r w:rsidRPr="00317ABF">
              <w:rPr>
                <w:bCs/>
                <w:sz w:val="22"/>
                <w:szCs w:val="22"/>
              </w:rPr>
              <w:t xml:space="preserve"> </w:t>
            </w:r>
          </w:p>
          <w:p w14:paraId="1412173B" w14:textId="5C8FE0E5" w:rsidR="0008639D" w:rsidRPr="00317ABF" w:rsidRDefault="0008639D" w:rsidP="0008639D">
            <w:pPr>
              <w:jc w:val="both"/>
              <w:rPr>
                <w:bCs/>
                <w:sz w:val="22"/>
                <w:szCs w:val="22"/>
              </w:rPr>
            </w:pPr>
            <w:r w:rsidRPr="00317ABF">
              <w:rPr>
                <w:bCs/>
                <w:sz w:val="22"/>
                <w:szCs w:val="22"/>
              </w:rPr>
              <w:t>1. W przypadku wygaśnięcia ważności konta, rozumianej jako utrata możliwości odbierania połączeń przychodzących w ramach umowy o świadczenie usług przedpłaconych, oraz w przypadku zmiany dostawcy</w:t>
            </w:r>
            <w:r w:rsidRPr="00317ABF" w:rsidDel="007A2A52">
              <w:rPr>
                <w:bCs/>
                <w:sz w:val="22"/>
                <w:szCs w:val="22"/>
              </w:rPr>
              <w:t xml:space="preserve"> </w:t>
            </w:r>
            <w:r w:rsidRPr="00317ABF">
              <w:rPr>
                <w:bCs/>
                <w:sz w:val="22"/>
                <w:szCs w:val="22"/>
              </w:rPr>
              <w:t xml:space="preserve">usługi komunikacji głosowej wraz z przeniesieniem przydzielonego numeru, </w:t>
            </w:r>
            <w:r w:rsidRPr="00317ABF">
              <w:rPr>
                <w:bCs/>
                <w:sz w:val="22"/>
                <w:szCs w:val="22"/>
              </w:rPr>
              <w:lastRenderedPageBreak/>
              <w:t>dostawca</w:t>
            </w:r>
            <w:r w:rsidRPr="00317ABF" w:rsidDel="00AE74F8">
              <w:rPr>
                <w:bCs/>
                <w:sz w:val="22"/>
                <w:szCs w:val="22"/>
              </w:rPr>
              <w:t xml:space="preserve"> </w:t>
            </w:r>
            <w:r w:rsidRPr="00317ABF">
              <w:rPr>
                <w:bCs/>
                <w:sz w:val="22"/>
                <w:szCs w:val="22"/>
              </w:rPr>
              <w:t xml:space="preserve">usługi komunikacji głosowej zwraca konsumentowi, na jego wniosek, pozostałe na koncie środki z doładowań. </w:t>
            </w:r>
          </w:p>
          <w:p w14:paraId="1511E59D" w14:textId="77777777" w:rsidR="0008639D" w:rsidRPr="00317ABF" w:rsidRDefault="0008639D" w:rsidP="0008639D">
            <w:pPr>
              <w:jc w:val="both"/>
              <w:rPr>
                <w:bCs/>
                <w:sz w:val="22"/>
                <w:szCs w:val="22"/>
              </w:rPr>
            </w:pPr>
            <w:r w:rsidRPr="00317ABF">
              <w:rPr>
                <w:bCs/>
                <w:sz w:val="22"/>
                <w:szCs w:val="22"/>
              </w:rPr>
              <w:t xml:space="preserve">2. Zwrot środków, o którym mowa w ust. 1, może podlegać opłacie. Opłata ta powinna być proporcjonalna i odpowiadać ponoszonym kosztom zwrotu oraz jest potrącana ze środków podlegających zwrotowi. </w:t>
            </w:r>
          </w:p>
          <w:p w14:paraId="6AA26DD5" w14:textId="77777777" w:rsidR="0008639D" w:rsidRPr="00317ABF" w:rsidRDefault="0008639D" w:rsidP="0008639D">
            <w:pPr>
              <w:jc w:val="both"/>
              <w:rPr>
                <w:bCs/>
                <w:sz w:val="22"/>
                <w:szCs w:val="22"/>
              </w:rPr>
            </w:pPr>
            <w:r w:rsidRPr="00317ABF">
              <w:rPr>
                <w:bCs/>
                <w:sz w:val="22"/>
                <w:szCs w:val="22"/>
              </w:rPr>
              <w:t>3. Konsument dokonuje wyboru sposobu uzyskania zwrotu pozostałych na koncie środków z doładowań spośród form dostępnych u danego dostawcy usługi komunikacji głosowej. Dostawca usługi zobowiązany jest do umożliwienia konsumentowi uzyskania zwrotu na jego rachunek bankowy lub</w:t>
            </w:r>
            <w:r w:rsidRPr="00317ABF" w:rsidDel="00AE74F8">
              <w:rPr>
                <w:bCs/>
                <w:sz w:val="22"/>
                <w:szCs w:val="22"/>
              </w:rPr>
              <w:t xml:space="preserve"> </w:t>
            </w:r>
            <w:r w:rsidRPr="00317ABF">
              <w:rPr>
                <w:bCs/>
                <w:sz w:val="22"/>
                <w:szCs w:val="22"/>
              </w:rPr>
              <w:t>rachunek w spółdzielczej kasie oszczędnościowo-kredytowej.</w:t>
            </w:r>
          </w:p>
          <w:p w14:paraId="745C6E40" w14:textId="77777777" w:rsidR="0008639D" w:rsidRPr="00317ABF" w:rsidRDefault="0008639D" w:rsidP="0008639D">
            <w:pPr>
              <w:jc w:val="both"/>
              <w:rPr>
                <w:bCs/>
                <w:sz w:val="22"/>
                <w:szCs w:val="22"/>
              </w:rPr>
            </w:pPr>
            <w:r w:rsidRPr="00317ABF">
              <w:rPr>
                <w:bCs/>
                <w:sz w:val="22"/>
                <w:szCs w:val="22"/>
              </w:rPr>
              <w:t>4. W przypadku zmiany</w:t>
            </w:r>
            <w:r w:rsidRPr="00317ABF" w:rsidDel="00AE74F8">
              <w:rPr>
                <w:bCs/>
                <w:sz w:val="22"/>
                <w:szCs w:val="22"/>
              </w:rPr>
              <w:t xml:space="preserve"> </w:t>
            </w:r>
            <w:r w:rsidRPr="00317ABF">
              <w:rPr>
                <w:bCs/>
                <w:sz w:val="22"/>
                <w:szCs w:val="22"/>
              </w:rPr>
              <w:t>dostawcy</w:t>
            </w:r>
            <w:r w:rsidRPr="00317ABF" w:rsidDel="00B84C7D">
              <w:rPr>
                <w:bCs/>
                <w:sz w:val="22"/>
                <w:szCs w:val="22"/>
              </w:rPr>
              <w:t xml:space="preserve"> </w:t>
            </w:r>
            <w:r w:rsidRPr="00317ABF">
              <w:rPr>
                <w:bCs/>
                <w:sz w:val="22"/>
                <w:szCs w:val="22"/>
              </w:rPr>
              <w:t>usługi komunikacji głosowej wraz z przeniesieniem numeru zwrot pozostałych na koncie środków z doładowań następuje po przeniesieniu numeru.</w:t>
            </w:r>
          </w:p>
          <w:p w14:paraId="18FE8058" w14:textId="77777777" w:rsidR="0008639D" w:rsidRPr="00317ABF" w:rsidRDefault="0008639D" w:rsidP="0008639D">
            <w:pPr>
              <w:jc w:val="both"/>
              <w:rPr>
                <w:bCs/>
                <w:sz w:val="22"/>
                <w:szCs w:val="22"/>
              </w:rPr>
            </w:pPr>
            <w:r w:rsidRPr="00317ABF">
              <w:rPr>
                <w:bCs/>
                <w:sz w:val="22"/>
                <w:szCs w:val="22"/>
              </w:rPr>
              <w:t>5. Uprawnienie konsumenta, o którym mowa w ust. 1, wygasa po upływie 6 miesięcy od wygaśnięcia ważności konta lub przeniesienia numeru.</w:t>
            </w:r>
          </w:p>
          <w:p w14:paraId="6A5959D6" w14:textId="5CF557D1" w:rsidR="0008639D" w:rsidRPr="00317ABF" w:rsidRDefault="0008639D" w:rsidP="00DB3BEC">
            <w:pPr>
              <w:jc w:val="both"/>
              <w:rPr>
                <w:bCs/>
                <w:sz w:val="22"/>
                <w:szCs w:val="22"/>
              </w:rPr>
            </w:pPr>
          </w:p>
        </w:tc>
      </w:tr>
      <w:tr w:rsidR="001E1112" w:rsidRPr="00317ABF" w14:paraId="5915BE4D" w14:textId="77777777" w:rsidTr="7753F98D">
        <w:trPr>
          <w:gridAfter w:val="2"/>
          <w:wAfter w:w="175" w:type="dxa"/>
        </w:trPr>
        <w:tc>
          <w:tcPr>
            <w:tcW w:w="704" w:type="dxa"/>
          </w:tcPr>
          <w:p w14:paraId="4A9A3E08" w14:textId="0F3201DA" w:rsidR="001E1112" w:rsidRPr="00317ABF" w:rsidRDefault="001E1112" w:rsidP="00DB3BEC">
            <w:pPr>
              <w:jc w:val="both"/>
              <w:rPr>
                <w:sz w:val="22"/>
                <w:szCs w:val="22"/>
              </w:rPr>
            </w:pPr>
            <w:r w:rsidRPr="00317ABF">
              <w:rPr>
                <w:sz w:val="22"/>
                <w:szCs w:val="22"/>
              </w:rPr>
              <w:lastRenderedPageBreak/>
              <w:t>Art. 106 ust. 7</w:t>
            </w:r>
          </w:p>
        </w:tc>
        <w:tc>
          <w:tcPr>
            <w:tcW w:w="4308" w:type="dxa"/>
          </w:tcPr>
          <w:p w14:paraId="1EBE7893" w14:textId="77777777" w:rsidR="001E1112" w:rsidRPr="00317ABF" w:rsidRDefault="001E1112" w:rsidP="00DB3BEC">
            <w:pPr>
              <w:spacing w:before="120"/>
              <w:jc w:val="both"/>
              <w:rPr>
                <w:sz w:val="22"/>
                <w:szCs w:val="22"/>
              </w:rPr>
            </w:pPr>
            <w:r w:rsidRPr="00317ABF">
              <w:rPr>
                <w:sz w:val="22"/>
                <w:szCs w:val="22"/>
              </w:rPr>
              <w:t>7.   Państwa członkowskie ustanawiają przepisy dotyczące nakładania kar, w przypadku niespełnienia przez dostawcę obowiązków wynikających z niniejszego artykułu, w tym opóźnień i nadużyć w przenoszeniu, spowodowanych przez dostawcę lub w jego imieniu.</w:t>
            </w:r>
          </w:p>
        </w:tc>
        <w:tc>
          <w:tcPr>
            <w:tcW w:w="986" w:type="dxa"/>
          </w:tcPr>
          <w:p w14:paraId="2EE2F279" w14:textId="5E19E639" w:rsidR="001E1112" w:rsidRPr="00317ABF" w:rsidRDefault="001E1112" w:rsidP="00DB3BEC">
            <w:pPr>
              <w:jc w:val="both"/>
              <w:rPr>
                <w:sz w:val="22"/>
                <w:szCs w:val="22"/>
              </w:rPr>
            </w:pPr>
            <w:r w:rsidRPr="00317ABF">
              <w:rPr>
                <w:sz w:val="22"/>
                <w:szCs w:val="22"/>
              </w:rPr>
              <w:t>T</w:t>
            </w:r>
          </w:p>
        </w:tc>
        <w:tc>
          <w:tcPr>
            <w:tcW w:w="910" w:type="dxa"/>
          </w:tcPr>
          <w:p w14:paraId="4F0CF5C6" w14:textId="77777777" w:rsidR="004F635F" w:rsidRPr="00317ABF" w:rsidRDefault="001E1112" w:rsidP="004F635F">
            <w:pPr>
              <w:pStyle w:val="Tekstpodstawowy"/>
              <w:rPr>
                <w:b/>
                <w:bCs/>
                <w:noProof/>
                <w:sz w:val="22"/>
                <w:szCs w:val="22"/>
              </w:rPr>
            </w:pPr>
            <w:r w:rsidRPr="00317ABF">
              <w:rPr>
                <w:b/>
                <w:bCs/>
                <w:noProof/>
                <w:sz w:val="22"/>
                <w:szCs w:val="22"/>
              </w:rPr>
              <w:t xml:space="preserve">Art. </w:t>
            </w:r>
            <w:r w:rsidR="004F635F" w:rsidRPr="00317ABF">
              <w:rPr>
                <w:b/>
                <w:bCs/>
                <w:noProof/>
                <w:sz w:val="22"/>
                <w:szCs w:val="22"/>
              </w:rPr>
              <w:t>441</w:t>
            </w:r>
          </w:p>
          <w:p w14:paraId="2C64AF1D" w14:textId="15352F17" w:rsidR="001E1112" w:rsidRPr="00317ABF" w:rsidRDefault="004F635F" w:rsidP="004F635F">
            <w:pPr>
              <w:pStyle w:val="Tekstpodstawowy"/>
              <w:rPr>
                <w:b/>
                <w:bCs/>
                <w:noProof/>
                <w:sz w:val="22"/>
                <w:szCs w:val="22"/>
              </w:rPr>
            </w:pPr>
            <w:r w:rsidRPr="00317ABF">
              <w:rPr>
                <w:b/>
                <w:bCs/>
                <w:noProof/>
                <w:sz w:val="22"/>
                <w:szCs w:val="22"/>
              </w:rPr>
              <w:t>Pkt 56 i 57</w:t>
            </w:r>
          </w:p>
        </w:tc>
        <w:tc>
          <w:tcPr>
            <w:tcW w:w="6814" w:type="dxa"/>
            <w:gridSpan w:val="2"/>
          </w:tcPr>
          <w:p w14:paraId="1AAA3804" w14:textId="77777777" w:rsidR="004F635F" w:rsidRPr="00317ABF" w:rsidRDefault="004F635F" w:rsidP="004F635F">
            <w:pPr>
              <w:jc w:val="both"/>
              <w:rPr>
                <w:bCs/>
                <w:sz w:val="22"/>
                <w:szCs w:val="22"/>
              </w:rPr>
            </w:pPr>
            <w:r w:rsidRPr="00317ABF">
              <w:rPr>
                <w:bCs/>
                <w:sz w:val="22"/>
                <w:szCs w:val="22"/>
              </w:rPr>
              <w:t>56)</w:t>
            </w:r>
            <w:r w:rsidRPr="00317ABF">
              <w:rPr>
                <w:bCs/>
                <w:sz w:val="22"/>
                <w:szCs w:val="22"/>
              </w:rPr>
              <w:tab/>
              <w:t>uniemożliwia lub utrudnia korzystanie z uprawnień abonenckich, o których mowa w art. 312-313, art. 317-320 lub art. 322,</w:t>
            </w:r>
          </w:p>
          <w:p w14:paraId="0F33A622" w14:textId="77777777" w:rsidR="004F635F" w:rsidRPr="00317ABF" w:rsidRDefault="004F635F" w:rsidP="004F635F">
            <w:pPr>
              <w:jc w:val="both"/>
              <w:rPr>
                <w:bCs/>
                <w:sz w:val="22"/>
                <w:szCs w:val="22"/>
              </w:rPr>
            </w:pPr>
            <w:r w:rsidRPr="00317ABF">
              <w:rPr>
                <w:bCs/>
                <w:sz w:val="22"/>
                <w:szCs w:val="22"/>
              </w:rPr>
              <w:t>57)</w:t>
            </w:r>
            <w:r w:rsidRPr="00317ABF">
              <w:rPr>
                <w:bCs/>
                <w:sz w:val="22"/>
                <w:szCs w:val="22"/>
              </w:rPr>
              <w:tab/>
              <w:t>nie realizuje lub nienależycie realizuje uprawnienia abonenta oraz obowiązki, o których mowa w art. 312-313, art. 317-320 lub art. 322,</w:t>
            </w:r>
          </w:p>
          <w:p w14:paraId="4CAE9C23" w14:textId="300DC0CD" w:rsidR="001E1112" w:rsidRPr="00317ABF" w:rsidRDefault="001E1112" w:rsidP="00DB3BEC">
            <w:pPr>
              <w:jc w:val="both"/>
              <w:rPr>
                <w:sz w:val="22"/>
                <w:szCs w:val="22"/>
              </w:rPr>
            </w:pPr>
          </w:p>
        </w:tc>
      </w:tr>
      <w:tr w:rsidR="001E1112" w:rsidRPr="00317ABF" w14:paraId="08BEC7B6" w14:textId="77777777" w:rsidTr="7753F98D">
        <w:trPr>
          <w:gridAfter w:val="2"/>
          <w:wAfter w:w="175" w:type="dxa"/>
        </w:trPr>
        <w:tc>
          <w:tcPr>
            <w:tcW w:w="704" w:type="dxa"/>
          </w:tcPr>
          <w:p w14:paraId="3658F8E4" w14:textId="77777777" w:rsidR="001E1112" w:rsidRPr="00317ABF" w:rsidRDefault="001E1112" w:rsidP="00DB3BEC">
            <w:pPr>
              <w:jc w:val="both"/>
              <w:rPr>
                <w:sz w:val="22"/>
                <w:szCs w:val="22"/>
              </w:rPr>
            </w:pPr>
            <w:r w:rsidRPr="00317ABF">
              <w:rPr>
                <w:sz w:val="22"/>
                <w:szCs w:val="22"/>
              </w:rPr>
              <w:t>Art. 106 ust. 8</w:t>
            </w:r>
          </w:p>
        </w:tc>
        <w:tc>
          <w:tcPr>
            <w:tcW w:w="4308" w:type="dxa"/>
          </w:tcPr>
          <w:p w14:paraId="2EC7C965" w14:textId="77777777" w:rsidR="001E1112" w:rsidRPr="00317ABF" w:rsidRDefault="001E1112" w:rsidP="00DB3BEC">
            <w:pPr>
              <w:spacing w:before="120"/>
              <w:jc w:val="both"/>
              <w:rPr>
                <w:sz w:val="22"/>
                <w:szCs w:val="22"/>
              </w:rPr>
            </w:pPr>
            <w:r w:rsidRPr="00317ABF">
              <w:rPr>
                <w:sz w:val="22"/>
                <w:szCs w:val="22"/>
              </w:rPr>
              <w:t xml:space="preserve">8.   Państwa członkowskie ustanawiają zasady przyznawania przez dostawców rekompensaty użytkownikom końcowym w łatwy sposób w odpowiednim czasie w przypadku niespełnienia przez dostawców obowiązków wynikających z niniejszego artykułu, jak również w przypadku opóźnień lub nadużyć podczas procesu przenoszenia i zmiany </w:t>
            </w:r>
            <w:r w:rsidRPr="00317ABF">
              <w:rPr>
                <w:sz w:val="22"/>
                <w:szCs w:val="22"/>
              </w:rPr>
              <w:lastRenderedPageBreak/>
              <w:t>dostawcy oraz gdy nie dojdzie do wizyty serwisowej i instalacyjnej.</w:t>
            </w:r>
          </w:p>
        </w:tc>
        <w:tc>
          <w:tcPr>
            <w:tcW w:w="986" w:type="dxa"/>
          </w:tcPr>
          <w:p w14:paraId="601F73C9" w14:textId="6E9D2EDD" w:rsidR="001E1112" w:rsidRPr="00317ABF" w:rsidRDefault="001E1112" w:rsidP="00DB3BEC">
            <w:pPr>
              <w:jc w:val="both"/>
              <w:rPr>
                <w:sz w:val="22"/>
                <w:szCs w:val="22"/>
              </w:rPr>
            </w:pPr>
            <w:r w:rsidRPr="00317ABF">
              <w:rPr>
                <w:sz w:val="22"/>
                <w:szCs w:val="22"/>
              </w:rPr>
              <w:lastRenderedPageBreak/>
              <w:t>T</w:t>
            </w:r>
          </w:p>
        </w:tc>
        <w:tc>
          <w:tcPr>
            <w:tcW w:w="910" w:type="dxa"/>
          </w:tcPr>
          <w:p w14:paraId="17C88968" w14:textId="69CF630D" w:rsidR="001E1112" w:rsidRPr="00317ABF" w:rsidRDefault="001E1112" w:rsidP="00DB3BEC">
            <w:pPr>
              <w:pStyle w:val="Tekstpodstawowy"/>
              <w:rPr>
                <w:b/>
                <w:bCs/>
                <w:noProof/>
                <w:sz w:val="22"/>
                <w:szCs w:val="22"/>
              </w:rPr>
            </w:pPr>
            <w:r w:rsidRPr="00317ABF">
              <w:rPr>
                <w:b/>
                <w:bCs/>
                <w:noProof/>
                <w:sz w:val="22"/>
                <w:szCs w:val="22"/>
              </w:rPr>
              <w:t xml:space="preserve">Art. </w:t>
            </w:r>
            <w:r w:rsidR="00515E2A" w:rsidRPr="00317ABF">
              <w:rPr>
                <w:b/>
                <w:bCs/>
                <w:noProof/>
                <w:sz w:val="22"/>
                <w:szCs w:val="22"/>
              </w:rPr>
              <w:t xml:space="preserve">313 ust. 3-5, art. 320 </w:t>
            </w:r>
            <w:r w:rsidRPr="00317ABF">
              <w:rPr>
                <w:b/>
                <w:bCs/>
                <w:noProof/>
                <w:sz w:val="22"/>
                <w:szCs w:val="22"/>
              </w:rPr>
              <w:t>ust. 3-6</w:t>
            </w:r>
          </w:p>
          <w:p w14:paraId="6896CE02" w14:textId="386DA697" w:rsidR="001E1112" w:rsidRPr="00317ABF" w:rsidRDefault="001E1112" w:rsidP="00DB3BEC">
            <w:pPr>
              <w:pStyle w:val="Tekstpodstawowy"/>
              <w:rPr>
                <w:b/>
                <w:bCs/>
                <w:noProof/>
                <w:sz w:val="22"/>
                <w:szCs w:val="22"/>
              </w:rPr>
            </w:pPr>
          </w:p>
        </w:tc>
        <w:tc>
          <w:tcPr>
            <w:tcW w:w="6814" w:type="dxa"/>
            <w:gridSpan w:val="2"/>
          </w:tcPr>
          <w:p w14:paraId="02A3DA6B" w14:textId="77777777" w:rsidR="00515E2A" w:rsidRPr="00317ABF" w:rsidRDefault="00515E2A" w:rsidP="00515E2A">
            <w:pPr>
              <w:pStyle w:val="Tekstpodstawowy"/>
              <w:rPr>
                <w:b/>
                <w:sz w:val="22"/>
                <w:szCs w:val="22"/>
              </w:rPr>
            </w:pPr>
            <w:r w:rsidRPr="00317ABF">
              <w:rPr>
                <w:b/>
                <w:sz w:val="22"/>
                <w:szCs w:val="22"/>
              </w:rPr>
              <w:t>Art. 313</w:t>
            </w:r>
          </w:p>
          <w:p w14:paraId="683027D5" w14:textId="4A0E4AC2" w:rsidR="00515E2A" w:rsidRPr="00317ABF" w:rsidRDefault="00515E2A" w:rsidP="00515E2A">
            <w:pPr>
              <w:pStyle w:val="Tekstpodstawowy"/>
              <w:rPr>
                <w:sz w:val="22"/>
                <w:szCs w:val="22"/>
              </w:rPr>
            </w:pPr>
            <w:r w:rsidRPr="00317ABF">
              <w:rPr>
                <w:sz w:val="22"/>
                <w:szCs w:val="22"/>
              </w:rPr>
              <w:t>(…)</w:t>
            </w:r>
          </w:p>
          <w:p w14:paraId="607104D5" w14:textId="6B49A09F" w:rsidR="00515E2A" w:rsidRPr="00317ABF" w:rsidRDefault="00515E2A" w:rsidP="00515E2A">
            <w:pPr>
              <w:pStyle w:val="Tekstpodstawowy"/>
              <w:rPr>
                <w:sz w:val="22"/>
                <w:szCs w:val="22"/>
              </w:rPr>
            </w:pPr>
            <w:r w:rsidRPr="00317ABF">
              <w:rPr>
                <w:sz w:val="22"/>
                <w:szCs w:val="22"/>
              </w:rPr>
              <w:t xml:space="preserve">3.  </w:t>
            </w:r>
            <w:r w:rsidRPr="00317ABF" w:rsidDel="00296114">
              <w:rPr>
                <w:sz w:val="22"/>
                <w:szCs w:val="22"/>
              </w:rPr>
              <w:t>Jeżeli nie doszło do zmiany dostawcy usługi dostępu do internetu</w:t>
            </w:r>
            <w:r w:rsidRPr="00317ABF" w:rsidDel="00CB3577">
              <w:rPr>
                <w:sz w:val="22"/>
                <w:szCs w:val="22"/>
              </w:rPr>
              <w:t xml:space="preserve">, </w:t>
            </w:r>
            <w:r w:rsidRPr="00317ABF">
              <w:rPr>
                <w:sz w:val="22"/>
                <w:szCs w:val="22"/>
              </w:rPr>
              <w:t xml:space="preserve">w terminie, </w:t>
            </w:r>
            <w:r w:rsidRPr="00317ABF" w:rsidDel="00CB3577">
              <w:rPr>
                <w:sz w:val="22"/>
                <w:szCs w:val="22"/>
              </w:rPr>
              <w:t xml:space="preserve">o </w:t>
            </w:r>
            <w:r w:rsidRPr="00317ABF">
              <w:rPr>
                <w:sz w:val="22"/>
                <w:szCs w:val="22"/>
              </w:rPr>
              <w:t>którym</w:t>
            </w:r>
            <w:r w:rsidRPr="00317ABF" w:rsidDel="00CB3577">
              <w:rPr>
                <w:sz w:val="22"/>
                <w:szCs w:val="22"/>
              </w:rPr>
              <w:t xml:space="preserve"> mowa w art. </w:t>
            </w:r>
            <w:r w:rsidRPr="00317ABF">
              <w:rPr>
                <w:sz w:val="22"/>
                <w:szCs w:val="22"/>
              </w:rPr>
              <w:t>312 ust. 2,</w:t>
            </w:r>
            <w:r w:rsidRPr="00317ABF" w:rsidDel="00296114">
              <w:rPr>
                <w:sz w:val="22"/>
                <w:szCs w:val="22"/>
              </w:rPr>
              <w:t xml:space="preserve"> </w:t>
            </w:r>
            <w:r w:rsidRPr="00317ABF">
              <w:rPr>
                <w:sz w:val="22"/>
                <w:szCs w:val="22"/>
              </w:rPr>
              <w:t xml:space="preserve">abonentowi przysługuje jednorazowe odszkodowanie od nowego dostawcy usługi za każdy rozpoczęty dzień opóźnienia w wysokości 1/4 sumy opłat miesięcznych za usługi komunikacji elektronicznej liczonej według rachunków z ostatnich trzech okresów rozliczeniowych, chyba że opóźnienie nie przekroczyło 1 dnia roboczego lub brak możliwości realizacji zmiany dostawcy usługi </w:t>
            </w:r>
            <w:r w:rsidRPr="00317ABF">
              <w:rPr>
                <w:sz w:val="22"/>
                <w:szCs w:val="22"/>
              </w:rPr>
              <w:lastRenderedPageBreak/>
              <w:t>dostępu do internetu nastąpił z przyczyn leżących po stronie systemu, o którym mowa w art. 315.</w:t>
            </w:r>
          </w:p>
          <w:p w14:paraId="6AD3395E" w14:textId="77777777" w:rsidR="00515E2A" w:rsidRPr="00317ABF" w:rsidRDefault="00515E2A" w:rsidP="00515E2A">
            <w:pPr>
              <w:pStyle w:val="Tekstpodstawowy"/>
              <w:rPr>
                <w:bCs/>
                <w:sz w:val="22"/>
                <w:szCs w:val="22"/>
              </w:rPr>
            </w:pPr>
            <w:r w:rsidRPr="00317ABF">
              <w:rPr>
                <w:bCs/>
                <w:sz w:val="22"/>
                <w:szCs w:val="22"/>
              </w:rPr>
              <w:t>4.W przypadku gdy opóźnienie, o którym mowa w ust. 3, nastąpiło z przyczyn nieleżących po stronie nowego dostawcy usługi dostępu do internetu, dostawcy temu przysługuje zwrot wypłaconego odszkodowania lub jego części od podmiotu, po którego stronie leżały przyczyny opóźnienia.</w:t>
            </w:r>
          </w:p>
          <w:p w14:paraId="444CAAC2" w14:textId="77777777" w:rsidR="00515E2A" w:rsidRPr="00317ABF" w:rsidDel="004B1B44" w:rsidRDefault="00515E2A" w:rsidP="00515E2A">
            <w:pPr>
              <w:pStyle w:val="Tekstpodstawowy"/>
              <w:rPr>
                <w:sz w:val="22"/>
                <w:szCs w:val="22"/>
              </w:rPr>
            </w:pPr>
            <w:r w:rsidRPr="00317ABF">
              <w:rPr>
                <w:sz w:val="22"/>
                <w:szCs w:val="22"/>
              </w:rPr>
              <w:t xml:space="preserve">5. W przypadku, o którym mowa w ust. 3, kwotę odszkodowania oblicza się na podstawie liczby rozpoczętych dni, które upłynęły </w:t>
            </w:r>
            <w:r w:rsidRPr="00317ABF" w:rsidDel="006074E5">
              <w:rPr>
                <w:sz w:val="22"/>
                <w:szCs w:val="22"/>
              </w:rPr>
              <w:t xml:space="preserve">od </w:t>
            </w:r>
            <w:r w:rsidRPr="00317ABF">
              <w:rPr>
                <w:sz w:val="22"/>
                <w:szCs w:val="22"/>
              </w:rPr>
              <w:t>terminu</w:t>
            </w:r>
            <w:r w:rsidRPr="00317ABF" w:rsidDel="00745341">
              <w:rPr>
                <w:sz w:val="22"/>
                <w:szCs w:val="22"/>
              </w:rPr>
              <w:t xml:space="preserve">, o którym mowa w art. </w:t>
            </w:r>
            <w:r w:rsidRPr="00317ABF">
              <w:rPr>
                <w:sz w:val="22"/>
                <w:szCs w:val="22"/>
              </w:rPr>
              <w:t>312</w:t>
            </w:r>
            <w:r w:rsidRPr="00317ABF" w:rsidDel="00745341">
              <w:rPr>
                <w:sz w:val="22"/>
                <w:szCs w:val="22"/>
              </w:rPr>
              <w:t xml:space="preserve"> ust. 2 do dnia</w:t>
            </w:r>
            <w:r w:rsidRPr="00317ABF">
              <w:rPr>
                <w:sz w:val="22"/>
                <w:szCs w:val="22"/>
              </w:rPr>
              <w:t xml:space="preserve"> rozpoczęcia świadczenia usługi przez nowego dostawcę usługi dostępu do internetu lub upływu terminu, o którym mowa w ust. 2. </w:t>
            </w:r>
          </w:p>
          <w:p w14:paraId="6110B846" w14:textId="4BB8F92E" w:rsidR="00515E2A" w:rsidRPr="00317ABF" w:rsidRDefault="00515E2A" w:rsidP="00515E2A">
            <w:pPr>
              <w:pStyle w:val="Tekstpodstawowy"/>
              <w:rPr>
                <w:b/>
                <w:bCs/>
                <w:sz w:val="22"/>
                <w:szCs w:val="22"/>
              </w:rPr>
            </w:pPr>
            <w:r w:rsidRPr="00317ABF">
              <w:rPr>
                <w:b/>
                <w:bCs/>
                <w:sz w:val="22"/>
                <w:szCs w:val="22"/>
              </w:rPr>
              <w:t xml:space="preserve"> </w:t>
            </w:r>
          </w:p>
          <w:p w14:paraId="467A5CFE" w14:textId="36186613" w:rsidR="00515E2A" w:rsidRPr="00317ABF" w:rsidRDefault="00515E2A" w:rsidP="00515E2A">
            <w:pPr>
              <w:pStyle w:val="Tekstpodstawowy"/>
              <w:rPr>
                <w:b/>
                <w:bCs/>
                <w:sz w:val="22"/>
                <w:szCs w:val="22"/>
              </w:rPr>
            </w:pPr>
            <w:r w:rsidRPr="00317ABF">
              <w:rPr>
                <w:b/>
                <w:bCs/>
                <w:sz w:val="22"/>
                <w:szCs w:val="22"/>
              </w:rPr>
              <w:t>Art. 320.</w:t>
            </w:r>
          </w:p>
          <w:p w14:paraId="5F4E60AD" w14:textId="77777777" w:rsidR="00515E2A" w:rsidRPr="00317ABF" w:rsidRDefault="00515E2A" w:rsidP="00515E2A">
            <w:pPr>
              <w:pStyle w:val="Tekstpodstawowy"/>
              <w:rPr>
                <w:bCs/>
                <w:sz w:val="22"/>
                <w:szCs w:val="22"/>
              </w:rPr>
            </w:pPr>
            <w:r w:rsidRPr="00317ABF">
              <w:rPr>
                <w:bCs/>
                <w:sz w:val="22"/>
                <w:szCs w:val="22"/>
              </w:rPr>
              <w:t>(…)</w:t>
            </w:r>
          </w:p>
          <w:p w14:paraId="5CDFB5F8" w14:textId="77777777" w:rsidR="00515E2A" w:rsidRPr="00317ABF" w:rsidRDefault="00515E2A" w:rsidP="00515E2A">
            <w:pPr>
              <w:pStyle w:val="Tekstpodstawowy"/>
              <w:rPr>
                <w:bCs/>
                <w:sz w:val="22"/>
                <w:szCs w:val="22"/>
              </w:rPr>
            </w:pPr>
            <w:r w:rsidRPr="00317ABF">
              <w:rPr>
                <w:bCs/>
                <w:sz w:val="22"/>
                <w:szCs w:val="22"/>
              </w:rPr>
              <w:t>3. W przypadku niedotrzymania terminu przeniesienia numeru, o którym mowa w art. 319 ust. 6, abonentowi przysługuje od dotychczasowego dostawcy usługi jednorazowe odszkodowanie za każdy rozpoczęty dzień opóźnienia w wysokości 1/4 sumy opłat miesięcznych liczonej według rachunków za usługi telekomunikacyjne z ostatnich trzech okresów rozliczeniowych, a w przypadku abonentów usługi przedpłaconej w wysokości 1/4 sumy wartości doładowań konta z ostatnich trzech miesięcy, chyba że brak możliwości realizacji przeniesienia numeru nastąpił z przyczyn leżących po stronie systemu, o którym mowa w art. 331 ust. 3.</w:t>
            </w:r>
          </w:p>
          <w:p w14:paraId="0D54E53B" w14:textId="77777777" w:rsidR="00515E2A" w:rsidRPr="00317ABF" w:rsidRDefault="00515E2A" w:rsidP="00515E2A">
            <w:pPr>
              <w:pStyle w:val="Tekstpodstawowy"/>
              <w:rPr>
                <w:bCs/>
                <w:sz w:val="22"/>
                <w:szCs w:val="22"/>
              </w:rPr>
            </w:pPr>
            <w:r w:rsidRPr="00317ABF">
              <w:rPr>
                <w:bCs/>
                <w:sz w:val="22"/>
                <w:szCs w:val="22"/>
              </w:rPr>
              <w:t>4. W przypadku gdy opóźnienie w przeniesieniu numeru nastąpiło z przyczyn nieleżących po stronie dotychczasowego dostawcy usługi komunikacji głosowej, dostawcy temu przysługuje</w:t>
            </w:r>
            <w:r w:rsidRPr="00317ABF" w:rsidDel="00CB3577">
              <w:rPr>
                <w:bCs/>
                <w:sz w:val="22"/>
                <w:szCs w:val="22"/>
              </w:rPr>
              <w:t xml:space="preserve"> </w:t>
            </w:r>
            <w:r w:rsidRPr="00317ABF">
              <w:rPr>
                <w:bCs/>
                <w:sz w:val="22"/>
                <w:szCs w:val="22"/>
              </w:rPr>
              <w:t>zwrot wypłaconego odszkodowania lub jego części od podmiotu, po którego stronie leżały przyczyny opóźnienia.</w:t>
            </w:r>
          </w:p>
          <w:p w14:paraId="0CEABEC3" w14:textId="77777777" w:rsidR="00515E2A" w:rsidRPr="00317ABF" w:rsidRDefault="00515E2A" w:rsidP="00515E2A">
            <w:pPr>
              <w:pStyle w:val="Tekstpodstawowy"/>
              <w:rPr>
                <w:bCs/>
                <w:sz w:val="22"/>
                <w:szCs w:val="22"/>
              </w:rPr>
            </w:pPr>
            <w:r w:rsidRPr="00317ABF">
              <w:rPr>
                <w:bCs/>
                <w:sz w:val="22"/>
                <w:szCs w:val="22"/>
              </w:rPr>
              <w:t>5. W przypadku przeniesienia numeru bez zgody abonenta, abonentowi przysługuje od nowego dostawcy usługi komunikacji głosowej jednorazowe odszkodowanie za każdy rozpoczęty dzień od dnia przeniesienia numeru, w wysokości 1/2 średniej opłaty miesięcznej liczonej według rachunków za usługi telekomunikacyjne z ostatnich trzech okresów rozliczeniowych, a w przypadku abonentów usługi przedpłaconej w wysokości 1/2 sumy wartości doładowań konta z ostatnich trzech miesięcy.</w:t>
            </w:r>
          </w:p>
          <w:p w14:paraId="24A4E667" w14:textId="77777777" w:rsidR="00515E2A" w:rsidRPr="00317ABF" w:rsidRDefault="00515E2A" w:rsidP="00515E2A">
            <w:pPr>
              <w:pStyle w:val="Tekstpodstawowy"/>
              <w:rPr>
                <w:bCs/>
                <w:sz w:val="22"/>
                <w:szCs w:val="22"/>
              </w:rPr>
            </w:pPr>
            <w:r w:rsidRPr="00317ABF">
              <w:rPr>
                <w:bCs/>
                <w:sz w:val="22"/>
                <w:szCs w:val="22"/>
              </w:rPr>
              <w:t>6. Kwotę odszkodowania, o którym mowa w ust. 3 i 5, oblicza się na podstawie liczby rozpoczętych dni, które upłynęły:</w:t>
            </w:r>
          </w:p>
          <w:p w14:paraId="6527D3A9" w14:textId="77777777" w:rsidR="00515E2A" w:rsidRPr="00317ABF" w:rsidRDefault="00515E2A" w:rsidP="00515E2A">
            <w:pPr>
              <w:pStyle w:val="Tekstpodstawowy"/>
              <w:rPr>
                <w:bCs/>
                <w:sz w:val="22"/>
                <w:szCs w:val="22"/>
              </w:rPr>
            </w:pPr>
            <w:r w:rsidRPr="00317ABF">
              <w:rPr>
                <w:bCs/>
                <w:sz w:val="22"/>
                <w:szCs w:val="22"/>
              </w:rPr>
              <w:lastRenderedPageBreak/>
              <w:t>1)</w:t>
            </w:r>
            <w:r w:rsidRPr="00317ABF">
              <w:rPr>
                <w:bCs/>
                <w:sz w:val="22"/>
                <w:szCs w:val="22"/>
              </w:rPr>
              <w:tab/>
              <w:t>w przypadku, o którym mowa w ust. 3 - do dnia przeniesienia numeru lub dnia zakończenia obowiązywania kontynuowanej lub wznowionej umowy, o której mowa w ust. 2, z dotychczasowym dostawcą usługi;</w:t>
            </w:r>
          </w:p>
          <w:p w14:paraId="1F70EA85" w14:textId="3159BE98" w:rsidR="001E1112" w:rsidRPr="00317ABF" w:rsidRDefault="00515E2A" w:rsidP="00515E2A">
            <w:pPr>
              <w:pStyle w:val="Tekstpodstawowy"/>
              <w:rPr>
                <w:bCs/>
                <w:sz w:val="22"/>
                <w:szCs w:val="22"/>
              </w:rPr>
            </w:pPr>
            <w:r w:rsidRPr="00317ABF">
              <w:rPr>
                <w:bCs/>
                <w:sz w:val="22"/>
                <w:szCs w:val="22"/>
              </w:rPr>
              <w:t>2)</w:t>
            </w:r>
            <w:r w:rsidRPr="00317ABF">
              <w:rPr>
                <w:bCs/>
                <w:sz w:val="22"/>
                <w:szCs w:val="22"/>
              </w:rPr>
              <w:tab/>
              <w:t>w przypadku, o którym mowa w ust. 5 - do dnia przeniesienia numeru do sieci dotychczasowego dostawcy usługi komunikacji głosowej</w:t>
            </w:r>
            <w:r w:rsidRPr="00317ABF" w:rsidDel="009F0BE2">
              <w:rPr>
                <w:bCs/>
                <w:sz w:val="22"/>
                <w:szCs w:val="22"/>
              </w:rPr>
              <w:t xml:space="preserve"> </w:t>
            </w:r>
            <w:r w:rsidRPr="00317ABF">
              <w:rPr>
                <w:bCs/>
                <w:sz w:val="22"/>
                <w:szCs w:val="22"/>
              </w:rPr>
              <w:t>lub uzyskania zgody abonenta na świadczenie usług przez nowego dostawcę usługi komunikacji głosowej</w:t>
            </w:r>
            <w:r w:rsidRPr="00317ABF" w:rsidDel="009F0BE2">
              <w:rPr>
                <w:bCs/>
                <w:sz w:val="22"/>
                <w:szCs w:val="22"/>
              </w:rPr>
              <w:t xml:space="preserve"> </w:t>
            </w:r>
            <w:r w:rsidRPr="00317ABF">
              <w:rPr>
                <w:bCs/>
                <w:sz w:val="22"/>
                <w:szCs w:val="22"/>
              </w:rPr>
              <w:t>z wykorzystaniem dotychczasowego numeru.</w:t>
            </w:r>
          </w:p>
        </w:tc>
      </w:tr>
      <w:tr w:rsidR="001E1112" w:rsidRPr="00317ABF" w14:paraId="33D8E3C7" w14:textId="77777777" w:rsidTr="7753F98D">
        <w:trPr>
          <w:gridAfter w:val="2"/>
          <w:wAfter w:w="175" w:type="dxa"/>
        </w:trPr>
        <w:tc>
          <w:tcPr>
            <w:tcW w:w="704" w:type="dxa"/>
          </w:tcPr>
          <w:p w14:paraId="389B5C38" w14:textId="62FEE8A7" w:rsidR="001E1112" w:rsidRPr="00317ABF" w:rsidRDefault="001E1112" w:rsidP="00DB3BEC">
            <w:pPr>
              <w:jc w:val="both"/>
              <w:rPr>
                <w:sz w:val="22"/>
                <w:szCs w:val="22"/>
              </w:rPr>
            </w:pPr>
            <w:r w:rsidRPr="00317ABF">
              <w:rPr>
                <w:sz w:val="22"/>
                <w:szCs w:val="22"/>
              </w:rPr>
              <w:lastRenderedPageBreak/>
              <w:t>Art. 106 ust. 9</w:t>
            </w:r>
          </w:p>
        </w:tc>
        <w:tc>
          <w:tcPr>
            <w:tcW w:w="4308" w:type="dxa"/>
          </w:tcPr>
          <w:p w14:paraId="68B42A54" w14:textId="77777777" w:rsidR="001E1112" w:rsidRPr="00317ABF" w:rsidRDefault="001E1112" w:rsidP="00DB3BEC">
            <w:pPr>
              <w:spacing w:before="120"/>
              <w:jc w:val="both"/>
              <w:rPr>
                <w:sz w:val="22"/>
                <w:szCs w:val="22"/>
              </w:rPr>
            </w:pPr>
            <w:r w:rsidRPr="00317ABF">
              <w:rPr>
                <w:sz w:val="22"/>
                <w:szCs w:val="22"/>
              </w:rPr>
              <w:t>9.   Oprócz informacji wymaganych na mocy załącznika VIII państwa członkowskie zapewniają, aby użytkownicy końcowi byli odpowiednio informowani o istnieniu tego prawa do rekompensaty, o których mowa w ust. 7 i 8.</w:t>
            </w:r>
          </w:p>
        </w:tc>
        <w:tc>
          <w:tcPr>
            <w:tcW w:w="986" w:type="dxa"/>
          </w:tcPr>
          <w:p w14:paraId="241AD2E3" w14:textId="24132D46" w:rsidR="001E1112" w:rsidRPr="00317ABF" w:rsidRDefault="001E1112" w:rsidP="00DB3BEC">
            <w:pPr>
              <w:jc w:val="both"/>
              <w:rPr>
                <w:sz w:val="22"/>
                <w:szCs w:val="22"/>
              </w:rPr>
            </w:pPr>
            <w:r w:rsidRPr="00317ABF">
              <w:rPr>
                <w:sz w:val="22"/>
                <w:szCs w:val="22"/>
              </w:rPr>
              <w:t>T</w:t>
            </w:r>
          </w:p>
        </w:tc>
        <w:tc>
          <w:tcPr>
            <w:tcW w:w="910" w:type="dxa"/>
          </w:tcPr>
          <w:p w14:paraId="456D26C8" w14:textId="79F68AD4" w:rsidR="001E1112" w:rsidRPr="00317ABF" w:rsidRDefault="00B93E29" w:rsidP="00DB3BEC">
            <w:pPr>
              <w:pStyle w:val="Tekstpodstawowy"/>
              <w:rPr>
                <w:b/>
                <w:sz w:val="22"/>
                <w:szCs w:val="22"/>
                <w:lang w:val="en-US"/>
              </w:rPr>
            </w:pPr>
            <w:r w:rsidRPr="00317ABF">
              <w:rPr>
                <w:b/>
                <w:sz w:val="22"/>
                <w:szCs w:val="22"/>
                <w:lang w:val="en-US"/>
              </w:rPr>
              <w:t>Art. 279 ust. 2 pkt 3 lit. b)</w:t>
            </w:r>
          </w:p>
        </w:tc>
        <w:tc>
          <w:tcPr>
            <w:tcW w:w="6814" w:type="dxa"/>
            <w:gridSpan w:val="2"/>
          </w:tcPr>
          <w:p w14:paraId="2B47CF11" w14:textId="77777777" w:rsidR="00B93E29" w:rsidRPr="00317ABF" w:rsidRDefault="00B93E29" w:rsidP="00B93E29">
            <w:pPr>
              <w:pStyle w:val="Tekstpodstawowy"/>
              <w:rPr>
                <w:b/>
                <w:bCs/>
                <w:sz w:val="22"/>
                <w:szCs w:val="22"/>
              </w:rPr>
            </w:pPr>
            <w:r w:rsidRPr="00317ABF">
              <w:rPr>
                <w:b/>
                <w:bCs/>
                <w:sz w:val="22"/>
                <w:szCs w:val="22"/>
              </w:rPr>
              <w:t>Art. 279</w:t>
            </w:r>
          </w:p>
          <w:p w14:paraId="2BDB959D" w14:textId="77777777" w:rsidR="00B93E29" w:rsidRPr="00317ABF" w:rsidRDefault="00B93E29" w:rsidP="00B93E29">
            <w:pPr>
              <w:pStyle w:val="Tekstpodstawowy"/>
              <w:rPr>
                <w:bCs/>
                <w:sz w:val="22"/>
                <w:szCs w:val="22"/>
              </w:rPr>
            </w:pPr>
            <w:r w:rsidRPr="00317ABF">
              <w:rPr>
                <w:bCs/>
                <w:sz w:val="22"/>
                <w:szCs w:val="22"/>
              </w:rPr>
              <w:t>(…)</w:t>
            </w:r>
          </w:p>
          <w:p w14:paraId="430C60C0" w14:textId="5F932ABE" w:rsidR="00B93E29" w:rsidRPr="00317ABF" w:rsidRDefault="00B93E29" w:rsidP="00B93E29">
            <w:pPr>
              <w:pStyle w:val="Tekstpodstawowy"/>
              <w:rPr>
                <w:bCs/>
                <w:sz w:val="22"/>
                <w:szCs w:val="22"/>
              </w:rPr>
            </w:pPr>
            <w:r w:rsidRPr="00317ABF">
              <w:rPr>
                <w:bCs/>
                <w:sz w:val="22"/>
                <w:szCs w:val="22"/>
              </w:rPr>
              <w:t>2. Informacje przedumowne określają:</w:t>
            </w:r>
          </w:p>
          <w:p w14:paraId="1AE7FAA6" w14:textId="4CE87865" w:rsidR="00B93E29" w:rsidRPr="00317ABF" w:rsidRDefault="00B93E29" w:rsidP="00B93E29">
            <w:pPr>
              <w:pStyle w:val="Tekstpodstawowy"/>
              <w:rPr>
                <w:bCs/>
                <w:sz w:val="22"/>
                <w:szCs w:val="22"/>
              </w:rPr>
            </w:pPr>
            <w:r w:rsidRPr="00317ABF">
              <w:rPr>
                <w:bCs/>
                <w:sz w:val="22"/>
                <w:szCs w:val="22"/>
              </w:rPr>
              <w:t>3)</w:t>
            </w:r>
            <w:r w:rsidRPr="00317ABF">
              <w:rPr>
                <w:bCs/>
                <w:sz w:val="22"/>
                <w:szCs w:val="22"/>
              </w:rPr>
              <w:tab/>
              <w:t>okres obowiązywania umowy oraz warunki przedłużenia i sposób zakończenia obowiązywania umowy, w tym:</w:t>
            </w:r>
          </w:p>
          <w:p w14:paraId="5087766A" w14:textId="1EDB833F" w:rsidR="00B93E29" w:rsidRPr="00317ABF" w:rsidRDefault="00B93E29" w:rsidP="00B93E29">
            <w:pPr>
              <w:pStyle w:val="Tekstpodstawowy"/>
              <w:rPr>
                <w:bCs/>
                <w:sz w:val="22"/>
                <w:szCs w:val="22"/>
              </w:rPr>
            </w:pPr>
            <w:r w:rsidRPr="00317ABF">
              <w:rPr>
                <w:bCs/>
                <w:sz w:val="22"/>
                <w:szCs w:val="22"/>
              </w:rPr>
              <w:t>a)</w:t>
            </w:r>
            <w:r w:rsidRPr="00317ABF">
              <w:rPr>
                <w:bCs/>
                <w:sz w:val="22"/>
                <w:szCs w:val="22"/>
              </w:rPr>
              <w:tab/>
              <w:t>(…)</w:t>
            </w:r>
          </w:p>
          <w:p w14:paraId="30819BFE" w14:textId="6646C1A8" w:rsidR="001E1112" w:rsidRPr="00317ABF" w:rsidRDefault="00B93E29" w:rsidP="00DB3BEC">
            <w:pPr>
              <w:pStyle w:val="Tekstpodstawowy"/>
              <w:rPr>
                <w:bCs/>
                <w:sz w:val="22"/>
                <w:szCs w:val="22"/>
              </w:rPr>
            </w:pPr>
            <w:r w:rsidRPr="00317ABF">
              <w:rPr>
                <w:bCs/>
                <w:sz w:val="22"/>
                <w:szCs w:val="22"/>
              </w:rPr>
              <w:t>b)</w:t>
            </w:r>
            <w:r w:rsidRPr="00317ABF">
              <w:rPr>
                <w:bCs/>
                <w:sz w:val="22"/>
                <w:szCs w:val="22"/>
              </w:rPr>
              <w:tab/>
              <w:t>warunki zmiany dostawcy usług komunikacji elektronicznej oraz wysokość i zasady wypłaty odszkodowania za opóźnienia lub nadużycia związane ze zmianą dostawcy usług komunikacji elektronicznej, a także procedury stosowane w tym zakresie,</w:t>
            </w:r>
          </w:p>
        </w:tc>
      </w:tr>
      <w:tr w:rsidR="001E1112" w:rsidRPr="00317ABF" w14:paraId="36CC64AA" w14:textId="77777777" w:rsidTr="7753F98D">
        <w:trPr>
          <w:gridAfter w:val="2"/>
          <w:wAfter w:w="175" w:type="dxa"/>
        </w:trPr>
        <w:tc>
          <w:tcPr>
            <w:tcW w:w="704" w:type="dxa"/>
          </w:tcPr>
          <w:p w14:paraId="2E1C0CB4" w14:textId="220772AA" w:rsidR="001E1112" w:rsidRPr="00317ABF" w:rsidRDefault="001E1112" w:rsidP="00DB3BEC">
            <w:pPr>
              <w:jc w:val="both"/>
              <w:rPr>
                <w:b/>
                <w:sz w:val="22"/>
                <w:szCs w:val="22"/>
              </w:rPr>
            </w:pPr>
            <w:r w:rsidRPr="00317ABF">
              <w:rPr>
                <w:b/>
                <w:sz w:val="22"/>
                <w:szCs w:val="22"/>
              </w:rPr>
              <w:t>Art. 107</w:t>
            </w:r>
          </w:p>
        </w:tc>
        <w:tc>
          <w:tcPr>
            <w:tcW w:w="4308" w:type="dxa"/>
          </w:tcPr>
          <w:p w14:paraId="50BF4920" w14:textId="77777777" w:rsidR="001E1112" w:rsidRPr="00317ABF" w:rsidRDefault="001E1112" w:rsidP="00DB3BEC">
            <w:pPr>
              <w:spacing w:before="60" w:after="120"/>
              <w:jc w:val="both"/>
              <w:rPr>
                <w:b/>
                <w:bCs/>
                <w:sz w:val="22"/>
                <w:szCs w:val="22"/>
              </w:rPr>
            </w:pPr>
            <w:r w:rsidRPr="00317ABF">
              <w:rPr>
                <w:b/>
                <w:bCs/>
                <w:sz w:val="22"/>
                <w:szCs w:val="22"/>
              </w:rPr>
              <w:t>Oferty wiązane</w:t>
            </w:r>
          </w:p>
        </w:tc>
        <w:tc>
          <w:tcPr>
            <w:tcW w:w="986" w:type="dxa"/>
          </w:tcPr>
          <w:p w14:paraId="573161E5" w14:textId="77777777" w:rsidR="001E1112" w:rsidRPr="00317ABF" w:rsidRDefault="001E1112" w:rsidP="00DB3BEC">
            <w:pPr>
              <w:jc w:val="both"/>
              <w:rPr>
                <w:sz w:val="22"/>
                <w:szCs w:val="22"/>
              </w:rPr>
            </w:pPr>
          </w:p>
        </w:tc>
        <w:tc>
          <w:tcPr>
            <w:tcW w:w="910" w:type="dxa"/>
          </w:tcPr>
          <w:p w14:paraId="71155479" w14:textId="77777777" w:rsidR="001E1112" w:rsidRPr="00317ABF" w:rsidRDefault="001E1112" w:rsidP="00DB3BEC">
            <w:pPr>
              <w:pStyle w:val="Tekstpodstawowy"/>
              <w:rPr>
                <w:b/>
                <w:noProof/>
                <w:sz w:val="22"/>
                <w:szCs w:val="22"/>
              </w:rPr>
            </w:pPr>
          </w:p>
        </w:tc>
        <w:tc>
          <w:tcPr>
            <w:tcW w:w="6814" w:type="dxa"/>
            <w:gridSpan w:val="2"/>
          </w:tcPr>
          <w:p w14:paraId="242B5F89" w14:textId="77777777" w:rsidR="001E1112" w:rsidRPr="00317ABF" w:rsidRDefault="001E1112" w:rsidP="00DB3BEC">
            <w:pPr>
              <w:pStyle w:val="Tekstpodstawowy"/>
              <w:rPr>
                <w:sz w:val="22"/>
                <w:szCs w:val="22"/>
              </w:rPr>
            </w:pPr>
          </w:p>
        </w:tc>
      </w:tr>
      <w:tr w:rsidR="001E1112" w:rsidRPr="00317ABF" w14:paraId="3FA43370" w14:textId="77777777" w:rsidTr="7753F98D">
        <w:trPr>
          <w:gridAfter w:val="2"/>
          <w:wAfter w:w="175" w:type="dxa"/>
        </w:trPr>
        <w:tc>
          <w:tcPr>
            <w:tcW w:w="704" w:type="dxa"/>
          </w:tcPr>
          <w:p w14:paraId="40669A6B" w14:textId="77777777" w:rsidR="001E1112" w:rsidRPr="00317ABF" w:rsidRDefault="001E1112" w:rsidP="00DB3BEC">
            <w:pPr>
              <w:jc w:val="both"/>
              <w:rPr>
                <w:sz w:val="22"/>
                <w:szCs w:val="22"/>
              </w:rPr>
            </w:pPr>
            <w:r w:rsidRPr="00317ABF">
              <w:rPr>
                <w:sz w:val="22"/>
                <w:szCs w:val="22"/>
              </w:rPr>
              <w:t>Art. 107 ust. 1</w:t>
            </w:r>
          </w:p>
        </w:tc>
        <w:tc>
          <w:tcPr>
            <w:tcW w:w="4308" w:type="dxa"/>
          </w:tcPr>
          <w:p w14:paraId="0CF64DBB" w14:textId="77777777" w:rsidR="001E1112" w:rsidRPr="00317ABF" w:rsidRDefault="001E1112" w:rsidP="00DB3BEC">
            <w:pPr>
              <w:spacing w:before="120"/>
              <w:jc w:val="both"/>
              <w:rPr>
                <w:sz w:val="22"/>
                <w:szCs w:val="22"/>
              </w:rPr>
            </w:pPr>
            <w:r w:rsidRPr="00317ABF">
              <w:rPr>
                <w:sz w:val="22"/>
                <w:szCs w:val="22"/>
              </w:rPr>
              <w:t>1.   Jeżeli pakiet usług lub pakiet usług i urządzeń końcowych oferowany konsumentowi zawiera co najmniej usługę dostępu do internetu lub publicznie dostępną usługę łączności interpersonalnej wykorzystującą numery, art. 102 ust. 3, art. 103 ust. 1, art. 105 i art. 106 ust. 1 mają zastosowanie do wszystkich elementów pakietu, w tym odpowiednio do tych elementów, które w przeciwnym razie nie byłyby objęte tymi przepisami.</w:t>
            </w:r>
          </w:p>
        </w:tc>
        <w:tc>
          <w:tcPr>
            <w:tcW w:w="986" w:type="dxa"/>
          </w:tcPr>
          <w:p w14:paraId="7E20212D" w14:textId="3CB9A551" w:rsidR="001E1112" w:rsidRPr="00317ABF" w:rsidRDefault="001E1112" w:rsidP="00DB3BEC">
            <w:pPr>
              <w:jc w:val="both"/>
              <w:rPr>
                <w:sz w:val="22"/>
                <w:szCs w:val="22"/>
              </w:rPr>
            </w:pPr>
            <w:r w:rsidRPr="00317ABF">
              <w:rPr>
                <w:sz w:val="22"/>
                <w:szCs w:val="22"/>
              </w:rPr>
              <w:t>T</w:t>
            </w:r>
          </w:p>
        </w:tc>
        <w:tc>
          <w:tcPr>
            <w:tcW w:w="910" w:type="dxa"/>
          </w:tcPr>
          <w:p w14:paraId="756A6F7C" w14:textId="3E5A921E" w:rsidR="001E1112" w:rsidRPr="00317ABF" w:rsidRDefault="00B93E29" w:rsidP="00DB3BEC">
            <w:pPr>
              <w:pStyle w:val="Tekstpodstawowy"/>
              <w:rPr>
                <w:b/>
                <w:noProof/>
                <w:sz w:val="22"/>
                <w:szCs w:val="22"/>
              </w:rPr>
            </w:pPr>
            <w:r w:rsidRPr="00317ABF">
              <w:rPr>
                <w:b/>
                <w:noProof/>
                <w:sz w:val="22"/>
                <w:szCs w:val="22"/>
              </w:rPr>
              <w:t>Art. 299</w:t>
            </w:r>
            <w:r w:rsidR="001E1112" w:rsidRPr="00317ABF">
              <w:rPr>
                <w:b/>
                <w:noProof/>
                <w:sz w:val="22"/>
                <w:szCs w:val="22"/>
              </w:rPr>
              <w:t xml:space="preserve"> ust. 1</w:t>
            </w:r>
          </w:p>
        </w:tc>
        <w:tc>
          <w:tcPr>
            <w:tcW w:w="6814" w:type="dxa"/>
            <w:gridSpan w:val="2"/>
          </w:tcPr>
          <w:p w14:paraId="6210DFB5" w14:textId="77777777" w:rsidR="00B93E29" w:rsidRPr="00317ABF" w:rsidRDefault="00B93E29" w:rsidP="00B93E29">
            <w:pPr>
              <w:jc w:val="both"/>
              <w:rPr>
                <w:sz w:val="22"/>
                <w:szCs w:val="22"/>
              </w:rPr>
            </w:pPr>
            <w:r w:rsidRPr="00317ABF">
              <w:rPr>
                <w:b/>
                <w:sz w:val="22"/>
                <w:szCs w:val="22"/>
              </w:rPr>
              <w:t>Art. 299.</w:t>
            </w:r>
            <w:r w:rsidRPr="00317ABF">
              <w:rPr>
                <w:sz w:val="22"/>
                <w:szCs w:val="22"/>
              </w:rPr>
              <w:t xml:space="preserve"> </w:t>
            </w:r>
          </w:p>
          <w:p w14:paraId="70C381EB" w14:textId="2ACB21FB" w:rsidR="00B93E29" w:rsidRPr="00317ABF" w:rsidRDefault="00B93E29" w:rsidP="00B93E29">
            <w:pPr>
              <w:jc w:val="both"/>
              <w:rPr>
                <w:sz w:val="22"/>
                <w:szCs w:val="22"/>
              </w:rPr>
            </w:pPr>
            <w:r w:rsidRPr="00317ABF">
              <w:rPr>
                <w:sz w:val="22"/>
                <w:szCs w:val="22"/>
              </w:rPr>
              <w:t>1. Jeżeli konsument zawiera umowę o świadczenie usług komunikacji elektronicznej obejmującą co najmniej usługę dostępu do internetu lub usługę komunikacji interpersonalnej wykorzystującą numery wraz z inną usługą komunikacji elektronicznej lub  promocyjnym urządzeniem końcowym, przepisy art. 281, art. 294, art. 295, art. 296, art. 300-304, art. 312 oraz art. 375 dostawca usług stosuje odpowiednio do wszystkich usług objętych tą umową.</w:t>
            </w:r>
          </w:p>
          <w:p w14:paraId="6D8BE488" w14:textId="61BD5149" w:rsidR="00B93E29" w:rsidRPr="00317ABF" w:rsidRDefault="00B93E29" w:rsidP="00B93E29">
            <w:pPr>
              <w:jc w:val="both"/>
              <w:rPr>
                <w:sz w:val="22"/>
                <w:szCs w:val="22"/>
              </w:rPr>
            </w:pPr>
            <w:r w:rsidRPr="00317ABF">
              <w:rPr>
                <w:sz w:val="22"/>
                <w:szCs w:val="22"/>
              </w:rPr>
              <w:t>(…)</w:t>
            </w:r>
          </w:p>
          <w:p w14:paraId="765960D1" w14:textId="2846BE55" w:rsidR="001E1112" w:rsidRPr="00317ABF" w:rsidRDefault="001E1112" w:rsidP="00DB3BEC">
            <w:pPr>
              <w:jc w:val="both"/>
              <w:rPr>
                <w:bCs/>
                <w:sz w:val="22"/>
                <w:szCs w:val="22"/>
              </w:rPr>
            </w:pPr>
          </w:p>
        </w:tc>
      </w:tr>
      <w:tr w:rsidR="001E1112" w:rsidRPr="00317ABF" w14:paraId="5ED8CE0D" w14:textId="77777777" w:rsidTr="7753F98D">
        <w:trPr>
          <w:gridAfter w:val="2"/>
          <w:wAfter w:w="175" w:type="dxa"/>
        </w:trPr>
        <w:tc>
          <w:tcPr>
            <w:tcW w:w="704" w:type="dxa"/>
          </w:tcPr>
          <w:p w14:paraId="1ACD5E9F" w14:textId="77777777" w:rsidR="001E1112" w:rsidRPr="00317ABF" w:rsidRDefault="001E1112" w:rsidP="00DB3BEC">
            <w:pPr>
              <w:jc w:val="both"/>
              <w:rPr>
                <w:sz w:val="22"/>
                <w:szCs w:val="22"/>
              </w:rPr>
            </w:pPr>
            <w:r w:rsidRPr="00317ABF">
              <w:rPr>
                <w:sz w:val="22"/>
                <w:szCs w:val="22"/>
              </w:rPr>
              <w:t>Art. 107 ust. 2</w:t>
            </w:r>
          </w:p>
        </w:tc>
        <w:tc>
          <w:tcPr>
            <w:tcW w:w="4308" w:type="dxa"/>
          </w:tcPr>
          <w:p w14:paraId="7542AF51" w14:textId="77777777" w:rsidR="001E1112" w:rsidRPr="00317ABF" w:rsidRDefault="001E1112" w:rsidP="00DB3BEC">
            <w:pPr>
              <w:spacing w:before="120"/>
              <w:jc w:val="both"/>
              <w:rPr>
                <w:sz w:val="22"/>
                <w:szCs w:val="22"/>
              </w:rPr>
            </w:pPr>
            <w:r w:rsidRPr="00317ABF">
              <w:rPr>
                <w:sz w:val="22"/>
                <w:szCs w:val="22"/>
              </w:rPr>
              <w:t xml:space="preserve">2.   W przypadku gdy konsument – na mocy prawa Unii lub prawa krajowego zgodnie z prawem Unii – ma prawo do rozwiązania umowy w odniesieniu do któregokolwiek z elementów pakietu, o którym mowa w ust. 1przed upływem uzgodnionego okresu obowiązywania umowy ze względu na brak </w:t>
            </w:r>
            <w:r w:rsidRPr="00317ABF">
              <w:rPr>
                <w:sz w:val="22"/>
                <w:szCs w:val="22"/>
              </w:rPr>
              <w:lastRenderedPageBreak/>
              <w:t>zgodności z umową lub niezrealizowanie dostawy, państwa członkowskie dają konsumentowi prawo do rozwiązania umowy w odniesieniu do wszystkich elementów tego pakietu.</w:t>
            </w:r>
          </w:p>
        </w:tc>
        <w:tc>
          <w:tcPr>
            <w:tcW w:w="986" w:type="dxa"/>
          </w:tcPr>
          <w:p w14:paraId="3BEE6F59" w14:textId="404A0782" w:rsidR="001E1112" w:rsidRPr="00317ABF" w:rsidRDefault="001E1112" w:rsidP="00DB3BEC">
            <w:pPr>
              <w:jc w:val="both"/>
              <w:rPr>
                <w:sz w:val="22"/>
                <w:szCs w:val="22"/>
              </w:rPr>
            </w:pPr>
            <w:r w:rsidRPr="00317ABF">
              <w:rPr>
                <w:sz w:val="22"/>
                <w:szCs w:val="22"/>
              </w:rPr>
              <w:lastRenderedPageBreak/>
              <w:t>T</w:t>
            </w:r>
          </w:p>
        </w:tc>
        <w:tc>
          <w:tcPr>
            <w:tcW w:w="910" w:type="dxa"/>
          </w:tcPr>
          <w:p w14:paraId="4D8F2C3F" w14:textId="04C73ACE" w:rsidR="001E1112" w:rsidRPr="00317ABF" w:rsidRDefault="00B93E29" w:rsidP="00DB3BEC">
            <w:pPr>
              <w:pStyle w:val="Tekstpodstawowy"/>
              <w:rPr>
                <w:b/>
                <w:noProof/>
                <w:sz w:val="22"/>
                <w:szCs w:val="22"/>
              </w:rPr>
            </w:pPr>
            <w:r w:rsidRPr="00317ABF">
              <w:rPr>
                <w:b/>
                <w:noProof/>
                <w:sz w:val="22"/>
                <w:szCs w:val="22"/>
              </w:rPr>
              <w:t>Art. 29</w:t>
            </w:r>
            <w:r w:rsidR="001E1112" w:rsidRPr="00317ABF">
              <w:rPr>
                <w:b/>
                <w:noProof/>
                <w:sz w:val="22"/>
                <w:szCs w:val="22"/>
              </w:rPr>
              <w:t>9 ust. 2</w:t>
            </w:r>
          </w:p>
        </w:tc>
        <w:tc>
          <w:tcPr>
            <w:tcW w:w="6814" w:type="dxa"/>
            <w:gridSpan w:val="2"/>
          </w:tcPr>
          <w:p w14:paraId="53A53BE8" w14:textId="77777777" w:rsidR="00B93E29" w:rsidRPr="00317ABF" w:rsidRDefault="00B93E29" w:rsidP="00B93E29">
            <w:pPr>
              <w:jc w:val="both"/>
              <w:rPr>
                <w:b/>
                <w:sz w:val="22"/>
                <w:szCs w:val="22"/>
              </w:rPr>
            </w:pPr>
            <w:r w:rsidRPr="00317ABF">
              <w:rPr>
                <w:b/>
                <w:sz w:val="22"/>
                <w:szCs w:val="22"/>
              </w:rPr>
              <w:t>Art. 299</w:t>
            </w:r>
          </w:p>
          <w:p w14:paraId="36E439E8" w14:textId="77777777" w:rsidR="00B93E29" w:rsidRPr="00317ABF" w:rsidRDefault="00B93E29" w:rsidP="00B93E29">
            <w:pPr>
              <w:jc w:val="both"/>
              <w:rPr>
                <w:sz w:val="22"/>
                <w:szCs w:val="22"/>
              </w:rPr>
            </w:pPr>
            <w:r w:rsidRPr="00317ABF">
              <w:rPr>
                <w:sz w:val="22"/>
                <w:szCs w:val="22"/>
              </w:rPr>
              <w:t>(…)</w:t>
            </w:r>
          </w:p>
          <w:p w14:paraId="5DCAFF39" w14:textId="77777777" w:rsidR="00B93E29" w:rsidRPr="00317ABF" w:rsidRDefault="00B93E29" w:rsidP="00B93E29">
            <w:pPr>
              <w:jc w:val="both"/>
              <w:rPr>
                <w:bCs/>
                <w:sz w:val="22"/>
                <w:szCs w:val="22"/>
              </w:rPr>
            </w:pPr>
            <w:r w:rsidRPr="00317ABF">
              <w:rPr>
                <w:bCs/>
                <w:sz w:val="22"/>
                <w:szCs w:val="22"/>
              </w:rPr>
              <w:t>2. Jeżeli konsument ma prawo do wypowiedzenia umowy przed upływem okresu jej obowiązywania ze względu na niewykonanie lub nienależyte wykonanie umowy uprawnienie to obejmuje wszystkie usługi objęte umową.</w:t>
            </w:r>
          </w:p>
          <w:p w14:paraId="47ED8F16" w14:textId="52D2182F" w:rsidR="001E1112" w:rsidRPr="00317ABF" w:rsidRDefault="00B93E29" w:rsidP="00B93E29">
            <w:pPr>
              <w:jc w:val="both"/>
              <w:rPr>
                <w:sz w:val="22"/>
                <w:szCs w:val="22"/>
              </w:rPr>
            </w:pPr>
            <w:r w:rsidRPr="00317ABF">
              <w:rPr>
                <w:sz w:val="22"/>
                <w:szCs w:val="22"/>
              </w:rPr>
              <w:t>(…)</w:t>
            </w:r>
          </w:p>
        </w:tc>
      </w:tr>
      <w:tr w:rsidR="001E1112" w:rsidRPr="00317ABF" w14:paraId="1CF0300E" w14:textId="77777777" w:rsidTr="7753F98D">
        <w:trPr>
          <w:gridAfter w:val="2"/>
          <w:wAfter w:w="175" w:type="dxa"/>
        </w:trPr>
        <w:tc>
          <w:tcPr>
            <w:tcW w:w="704" w:type="dxa"/>
          </w:tcPr>
          <w:p w14:paraId="645F6C9F" w14:textId="04F80927" w:rsidR="001E1112" w:rsidRPr="00317ABF" w:rsidRDefault="001E1112" w:rsidP="00DB3BEC">
            <w:pPr>
              <w:jc w:val="both"/>
              <w:rPr>
                <w:sz w:val="22"/>
                <w:szCs w:val="22"/>
              </w:rPr>
            </w:pPr>
            <w:r w:rsidRPr="00317ABF">
              <w:rPr>
                <w:sz w:val="22"/>
                <w:szCs w:val="22"/>
              </w:rPr>
              <w:lastRenderedPageBreak/>
              <w:t>Art. 107 ust. 3</w:t>
            </w:r>
          </w:p>
        </w:tc>
        <w:tc>
          <w:tcPr>
            <w:tcW w:w="4308" w:type="dxa"/>
          </w:tcPr>
          <w:p w14:paraId="009DBC74" w14:textId="77777777" w:rsidR="001E1112" w:rsidRPr="00317ABF" w:rsidRDefault="001E1112" w:rsidP="00DB3BEC">
            <w:pPr>
              <w:spacing w:before="120"/>
              <w:jc w:val="both"/>
              <w:rPr>
                <w:sz w:val="22"/>
                <w:szCs w:val="22"/>
              </w:rPr>
            </w:pPr>
            <w:r w:rsidRPr="00317ABF">
              <w:rPr>
                <w:sz w:val="22"/>
                <w:szCs w:val="22"/>
              </w:rPr>
              <w:t>3.   Wykupienie dodatkowych usług lub urządzeń końcowych udostępnianych lub rozpowszechnianych przez ten sam podmiot świadczący usługi dostępu do internetu lub publicznie dostępne usługi łączności interpersonalnej wykorzystujące numery nie powoduje przedłużenia pierwotnego okresu trwania umowy, do której dodawane są takie usługi lub urządzenia końcowe, chyba że konsument wyraźnie zgodzi się na takie przedłużenie przy wykupowaniu dodatkowych usług lub urządzeń końcowych.</w:t>
            </w:r>
          </w:p>
        </w:tc>
        <w:tc>
          <w:tcPr>
            <w:tcW w:w="986" w:type="dxa"/>
          </w:tcPr>
          <w:p w14:paraId="30066DAC" w14:textId="5ADDE450" w:rsidR="001E1112" w:rsidRPr="00317ABF" w:rsidRDefault="001E1112" w:rsidP="00DB3BEC">
            <w:pPr>
              <w:jc w:val="both"/>
              <w:rPr>
                <w:sz w:val="22"/>
                <w:szCs w:val="22"/>
              </w:rPr>
            </w:pPr>
            <w:r w:rsidRPr="00317ABF">
              <w:rPr>
                <w:sz w:val="22"/>
                <w:szCs w:val="22"/>
              </w:rPr>
              <w:t>T</w:t>
            </w:r>
          </w:p>
        </w:tc>
        <w:tc>
          <w:tcPr>
            <w:tcW w:w="910" w:type="dxa"/>
          </w:tcPr>
          <w:p w14:paraId="6065E8CC" w14:textId="30B5E350" w:rsidR="001E1112" w:rsidRPr="00317ABF" w:rsidRDefault="00B93E29" w:rsidP="00DB3BEC">
            <w:pPr>
              <w:pStyle w:val="Tekstpodstawowy"/>
              <w:rPr>
                <w:b/>
                <w:noProof/>
                <w:sz w:val="22"/>
                <w:szCs w:val="22"/>
              </w:rPr>
            </w:pPr>
            <w:r w:rsidRPr="00317ABF">
              <w:rPr>
                <w:b/>
                <w:noProof/>
                <w:sz w:val="22"/>
                <w:szCs w:val="22"/>
              </w:rPr>
              <w:t>Art. 29</w:t>
            </w:r>
            <w:r w:rsidR="001E1112" w:rsidRPr="00317ABF">
              <w:rPr>
                <w:b/>
                <w:noProof/>
                <w:sz w:val="22"/>
                <w:szCs w:val="22"/>
              </w:rPr>
              <w:t>9 ust. 3</w:t>
            </w:r>
          </w:p>
        </w:tc>
        <w:tc>
          <w:tcPr>
            <w:tcW w:w="6814" w:type="dxa"/>
            <w:gridSpan w:val="2"/>
          </w:tcPr>
          <w:p w14:paraId="112B7181" w14:textId="77777777" w:rsidR="00B93E29" w:rsidRPr="00317ABF" w:rsidRDefault="00B93E29" w:rsidP="00B93E29">
            <w:pPr>
              <w:jc w:val="both"/>
              <w:rPr>
                <w:b/>
                <w:sz w:val="22"/>
                <w:szCs w:val="22"/>
              </w:rPr>
            </w:pPr>
            <w:r w:rsidRPr="00317ABF">
              <w:rPr>
                <w:b/>
                <w:sz w:val="22"/>
                <w:szCs w:val="22"/>
              </w:rPr>
              <w:t>Art. 299</w:t>
            </w:r>
          </w:p>
          <w:p w14:paraId="60F6ADC5" w14:textId="77777777" w:rsidR="00B93E29" w:rsidRPr="00317ABF" w:rsidRDefault="00B93E29" w:rsidP="00B93E29">
            <w:pPr>
              <w:jc w:val="both"/>
              <w:rPr>
                <w:sz w:val="22"/>
                <w:szCs w:val="22"/>
              </w:rPr>
            </w:pPr>
            <w:r w:rsidRPr="00317ABF">
              <w:rPr>
                <w:sz w:val="22"/>
                <w:szCs w:val="22"/>
              </w:rPr>
              <w:t>(…)</w:t>
            </w:r>
          </w:p>
          <w:p w14:paraId="1EAEF4B7" w14:textId="586F9980" w:rsidR="001E1112" w:rsidRPr="00317ABF" w:rsidRDefault="00B93E29" w:rsidP="00B93E29">
            <w:pPr>
              <w:jc w:val="both"/>
              <w:rPr>
                <w:sz w:val="22"/>
                <w:szCs w:val="22"/>
              </w:rPr>
            </w:pPr>
            <w:r w:rsidRPr="00317ABF">
              <w:rPr>
                <w:bCs/>
                <w:sz w:val="22"/>
                <w:szCs w:val="22"/>
              </w:rPr>
              <w:t>3. W przypadku złożenia zamówienia na dodatkowe usługi lub promocyjne urządzenie końcowe, termin obowiązywania umowy, o której mowa w ust. 1, nie ulega przedłużeniu, chyba że konsument wyraził na to zgodę.</w:t>
            </w:r>
          </w:p>
        </w:tc>
      </w:tr>
      <w:tr w:rsidR="001E1112" w:rsidRPr="00317ABF" w14:paraId="31496B9F" w14:textId="77777777" w:rsidTr="7753F98D">
        <w:trPr>
          <w:gridAfter w:val="2"/>
          <w:wAfter w:w="175" w:type="dxa"/>
        </w:trPr>
        <w:tc>
          <w:tcPr>
            <w:tcW w:w="704" w:type="dxa"/>
          </w:tcPr>
          <w:p w14:paraId="1A6F5C54" w14:textId="4AAE2200" w:rsidR="001E1112" w:rsidRPr="00317ABF" w:rsidRDefault="001E1112" w:rsidP="00DB3BEC">
            <w:pPr>
              <w:jc w:val="both"/>
              <w:rPr>
                <w:sz w:val="22"/>
                <w:szCs w:val="22"/>
              </w:rPr>
            </w:pPr>
            <w:r w:rsidRPr="00317ABF">
              <w:rPr>
                <w:sz w:val="22"/>
                <w:szCs w:val="22"/>
              </w:rPr>
              <w:t>Art. 107 ust. 4</w:t>
            </w:r>
          </w:p>
        </w:tc>
        <w:tc>
          <w:tcPr>
            <w:tcW w:w="4308" w:type="dxa"/>
          </w:tcPr>
          <w:p w14:paraId="4FDC2787" w14:textId="77777777" w:rsidR="001E1112" w:rsidRPr="00317ABF" w:rsidRDefault="001E1112" w:rsidP="00DB3BEC">
            <w:pPr>
              <w:spacing w:before="120"/>
              <w:jc w:val="both"/>
              <w:rPr>
                <w:sz w:val="22"/>
                <w:szCs w:val="22"/>
              </w:rPr>
            </w:pPr>
            <w:r w:rsidRPr="00317ABF">
              <w:rPr>
                <w:sz w:val="22"/>
                <w:szCs w:val="22"/>
              </w:rPr>
              <w:t>4.   Ust. 1 i 3 stosuje się również do użytkowników końcowych, którzy są mikroprzedsiębiorstwami, małymi przedsiębiorstwami lub organizacjami non-profit, chyba że wyraźnie zgodzili się oni, by odnośne przepisy w całości lub w części nie miały do nich zastosowania.</w:t>
            </w:r>
          </w:p>
        </w:tc>
        <w:tc>
          <w:tcPr>
            <w:tcW w:w="986" w:type="dxa"/>
          </w:tcPr>
          <w:p w14:paraId="616A8910" w14:textId="173D43AE" w:rsidR="001E1112" w:rsidRPr="00317ABF" w:rsidRDefault="001E1112" w:rsidP="00DB3BEC">
            <w:pPr>
              <w:jc w:val="both"/>
              <w:rPr>
                <w:sz w:val="22"/>
                <w:szCs w:val="22"/>
              </w:rPr>
            </w:pPr>
            <w:r w:rsidRPr="00317ABF">
              <w:rPr>
                <w:sz w:val="22"/>
                <w:szCs w:val="22"/>
              </w:rPr>
              <w:t>T</w:t>
            </w:r>
          </w:p>
        </w:tc>
        <w:tc>
          <w:tcPr>
            <w:tcW w:w="910" w:type="dxa"/>
          </w:tcPr>
          <w:p w14:paraId="35642D6F" w14:textId="13986E53" w:rsidR="001E1112" w:rsidRPr="00317ABF" w:rsidRDefault="00067295" w:rsidP="00DB3BEC">
            <w:pPr>
              <w:pStyle w:val="Tekstpodstawowy"/>
              <w:rPr>
                <w:b/>
                <w:noProof/>
                <w:sz w:val="22"/>
                <w:szCs w:val="22"/>
              </w:rPr>
            </w:pPr>
            <w:r w:rsidRPr="00317ABF">
              <w:rPr>
                <w:b/>
                <w:noProof/>
                <w:sz w:val="22"/>
                <w:szCs w:val="22"/>
              </w:rPr>
              <w:t>Art. 287</w:t>
            </w:r>
          </w:p>
        </w:tc>
        <w:tc>
          <w:tcPr>
            <w:tcW w:w="6814" w:type="dxa"/>
            <w:gridSpan w:val="2"/>
          </w:tcPr>
          <w:p w14:paraId="6047C4EC" w14:textId="77777777" w:rsidR="00067295" w:rsidRPr="00317ABF" w:rsidRDefault="00067295" w:rsidP="00067295">
            <w:pPr>
              <w:pStyle w:val="Tekstpodstawowy"/>
              <w:rPr>
                <w:sz w:val="22"/>
                <w:szCs w:val="22"/>
              </w:rPr>
            </w:pPr>
            <w:r w:rsidRPr="00317ABF">
              <w:rPr>
                <w:rFonts w:ascii="Times" w:eastAsiaTheme="minorEastAsia" w:hAnsi="Times" w:cs="Times"/>
                <w:b/>
                <w:sz w:val="24"/>
              </w:rPr>
              <w:t xml:space="preserve"> </w:t>
            </w:r>
            <w:r w:rsidRPr="00317ABF">
              <w:rPr>
                <w:b/>
                <w:sz w:val="22"/>
                <w:szCs w:val="22"/>
              </w:rPr>
              <w:t>Art. 287.</w:t>
            </w:r>
            <w:r w:rsidRPr="00317ABF">
              <w:rPr>
                <w:sz w:val="22"/>
                <w:szCs w:val="22"/>
              </w:rPr>
              <w:t xml:space="preserve"> </w:t>
            </w:r>
          </w:p>
          <w:p w14:paraId="6247768A" w14:textId="3C5A6D39" w:rsidR="00067295" w:rsidRPr="00317ABF" w:rsidRDefault="00067295" w:rsidP="00067295">
            <w:pPr>
              <w:pStyle w:val="Tekstpodstawowy"/>
              <w:rPr>
                <w:sz w:val="22"/>
                <w:szCs w:val="22"/>
              </w:rPr>
            </w:pPr>
            <w:r w:rsidRPr="00317ABF">
              <w:rPr>
                <w:sz w:val="22"/>
                <w:szCs w:val="22"/>
              </w:rPr>
              <w:t xml:space="preserve">1. Przepisy z </w:t>
            </w:r>
            <w:r w:rsidRPr="00317ABF" w:rsidDel="003A08F8">
              <w:rPr>
                <w:sz w:val="22"/>
                <w:szCs w:val="22"/>
              </w:rPr>
              <w:t xml:space="preserve">art. </w:t>
            </w:r>
            <w:r w:rsidRPr="00317ABF">
              <w:rPr>
                <w:sz w:val="22"/>
                <w:szCs w:val="22"/>
              </w:rPr>
              <w:t xml:space="preserve">279-282, art. 286, art. 296 ust. 1, art. 299 ust. 1 i 3 oraz art. 311 stosuje się odpowiednio do użytkownika końcowego będącego mikroprzedsiębiorcą, małym przedsiębiorcą lub organizacją pozarządową w rozumieniu art. 3 ust. 2 ustawy z dnia 24 kwietnia 2003 r. o działalności pożytku publicznego i o wolontariacie (Dz. U. z 2019 r. poz. 688), chyba że wyraził on, najpóźniej w chwili zawarcia umowy o świadczenie usług komunikacji elektronicznej, zgodę na to, że przepisy te nie będą miały do niego zastosowania. </w:t>
            </w:r>
          </w:p>
          <w:p w14:paraId="7BE55542" w14:textId="741CF53A" w:rsidR="001E1112" w:rsidRPr="00317ABF" w:rsidRDefault="00067295" w:rsidP="00067295">
            <w:pPr>
              <w:pStyle w:val="Tekstpodstawowy"/>
              <w:rPr>
                <w:sz w:val="22"/>
                <w:szCs w:val="22"/>
              </w:rPr>
            </w:pPr>
            <w:r w:rsidRPr="00317ABF">
              <w:rPr>
                <w:sz w:val="22"/>
                <w:szCs w:val="22"/>
              </w:rPr>
              <w:t>2. Zgoda, o której mowa w ust. 1, może zostać wyrażona w umowie o świadczenie usług komunikacji elektronicznej.</w:t>
            </w:r>
          </w:p>
        </w:tc>
      </w:tr>
      <w:tr w:rsidR="001E1112" w:rsidRPr="00317ABF" w14:paraId="22DFE35F" w14:textId="77777777" w:rsidTr="7753F98D">
        <w:trPr>
          <w:gridAfter w:val="2"/>
          <w:wAfter w:w="175" w:type="dxa"/>
        </w:trPr>
        <w:tc>
          <w:tcPr>
            <w:tcW w:w="704" w:type="dxa"/>
          </w:tcPr>
          <w:p w14:paraId="34D08708" w14:textId="77777777" w:rsidR="001E1112" w:rsidRPr="00317ABF" w:rsidRDefault="001E1112" w:rsidP="00DB3BEC">
            <w:pPr>
              <w:jc w:val="both"/>
              <w:rPr>
                <w:sz w:val="22"/>
                <w:szCs w:val="22"/>
              </w:rPr>
            </w:pPr>
            <w:r w:rsidRPr="00317ABF">
              <w:rPr>
                <w:sz w:val="22"/>
                <w:szCs w:val="22"/>
              </w:rPr>
              <w:t>Art. 107 ust. 5</w:t>
            </w:r>
          </w:p>
        </w:tc>
        <w:tc>
          <w:tcPr>
            <w:tcW w:w="4308" w:type="dxa"/>
          </w:tcPr>
          <w:p w14:paraId="7840CD2B" w14:textId="77777777" w:rsidR="001E1112" w:rsidRPr="00317ABF" w:rsidRDefault="001E1112" w:rsidP="00DB3BEC">
            <w:pPr>
              <w:spacing w:before="120"/>
              <w:jc w:val="both"/>
              <w:rPr>
                <w:sz w:val="22"/>
                <w:szCs w:val="22"/>
              </w:rPr>
            </w:pPr>
            <w:r w:rsidRPr="00317ABF">
              <w:rPr>
                <w:sz w:val="22"/>
                <w:szCs w:val="22"/>
              </w:rPr>
              <w:t>5.   Państwa członkowskie mogą też stosować ust. 1 w odniesieniu do innych przepisów określonych w niniejszym tytule.</w:t>
            </w:r>
          </w:p>
        </w:tc>
        <w:tc>
          <w:tcPr>
            <w:tcW w:w="986" w:type="dxa"/>
          </w:tcPr>
          <w:p w14:paraId="51D0BCCE" w14:textId="6BFFB8D7" w:rsidR="001E1112" w:rsidRPr="00317ABF" w:rsidRDefault="001E1112" w:rsidP="00DB3BEC">
            <w:pPr>
              <w:jc w:val="both"/>
              <w:rPr>
                <w:sz w:val="22"/>
                <w:szCs w:val="22"/>
              </w:rPr>
            </w:pPr>
            <w:r w:rsidRPr="00317ABF">
              <w:rPr>
                <w:sz w:val="22"/>
                <w:szCs w:val="22"/>
              </w:rPr>
              <w:t>N</w:t>
            </w:r>
          </w:p>
        </w:tc>
        <w:tc>
          <w:tcPr>
            <w:tcW w:w="910" w:type="dxa"/>
          </w:tcPr>
          <w:p w14:paraId="46B030AD" w14:textId="77777777" w:rsidR="001E1112" w:rsidRPr="00317ABF" w:rsidRDefault="001E1112" w:rsidP="00DB3BEC">
            <w:pPr>
              <w:pStyle w:val="Tekstpodstawowy"/>
              <w:rPr>
                <w:b/>
                <w:noProof/>
                <w:sz w:val="22"/>
                <w:szCs w:val="22"/>
              </w:rPr>
            </w:pPr>
          </w:p>
        </w:tc>
        <w:tc>
          <w:tcPr>
            <w:tcW w:w="6814" w:type="dxa"/>
            <w:gridSpan w:val="2"/>
          </w:tcPr>
          <w:p w14:paraId="308BD3F8" w14:textId="2063CC01" w:rsidR="001E1112" w:rsidRPr="00317ABF" w:rsidRDefault="00067295" w:rsidP="00DB3BEC">
            <w:pPr>
              <w:pStyle w:val="Tekstpodstawowy"/>
              <w:rPr>
                <w:sz w:val="22"/>
                <w:szCs w:val="22"/>
              </w:rPr>
            </w:pPr>
            <w:r w:rsidRPr="00317ABF">
              <w:rPr>
                <w:sz w:val="22"/>
                <w:szCs w:val="22"/>
              </w:rPr>
              <w:t>Przepis o charakterze fakultatywnym nie wymagający wdrożenia.</w:t>
            </w:r>
          </w:p>
        </w:tc>
      </w:tr>
      <w:tr w:rsidR="001E1112" w:rsidRPr="00317ABF" w14:paraId="73C0C4B6" w14:textId="77777777" w:rsidTr="7753F98D">
        <w:trPr>
          <w:gridAfter w:val="2"/>
          <w:wAfter w:w="175" w:type="dxa"/>
        </w:trPr>
        <w:tc>
          <w:tcPr>
            <w:tcW w:w="704" w:type="dxa"/>
          </w:tcPr>
          <w:p w14:paraId="606CDD4C" w14:textId="77777777" w:rsidR="001E1112" w:rsidRPr="00317ABF" w:rsidRDefault="001E1112" w:rsidP="00DB3BEC">
            <w:pPr>
              <w:jc w:val="both"/>
              <w:rPr>
                <w:b/>
                <w:sz w:val="22"/>
                <w:szCs w:val="22"/>
              </w:rPr>
            </w:pPr>
            <w:r w:rsidRPr="00317ABF">
              <w:rPr>
                <w:b/>
                <w:sz w:val="22"/>
                <w:szCs w:val="22"/>
              </w:rPr>
              <w:t>Art. 108</w:t>
            </w:r>
          </w:p>
        </w:tc>
        <w:tc>
          <w:tcPr>
            <w:tcW w:w="4308" w:type="dxa"/>
          </w:tcPr>
          <w:p w14:paraId="267BDCEB" w14:textId="77777777" w:rsidR="001E1112" w:rsidRPr="00317ABF" w:rsidRDefault="001E1112" w:rsidP="00DB3BEC">
            <w:pPr>
              <w:spacing w:before="60" w:after="120"/>
              <w:jc w:val="both"/>
              <w:rPr>
                <w:b/>
                <w:bCs/>
                <w:sz w:val="22"/>
                <w:szCs w:val="22"/>
              </w:rPr>
            </w:pPr>
            <w:r w:rsidRPr="00317ABF">
              <w:rPr>
                <w:b/>
                <w:bCs/>
                <w:sz w:val="22"/>
                <w:szCs w:val="22"/>
              </w:rPr>
              <w:t>Dostępność usług</w:t>
            </w:r>
          </w:p>
          <w:p w14:paraId="3F22CFD2" w14:textId="77777777" w:rsidR="001E1112" w:rsidRPr="00317ABF" w:rsidRDefault="001E1112" w:rsidP="00DB3BEC">
            <w:pPr>
              <w:spacing w:before="120"/>
              <w:jc w:val="both"/>
              <w:rPr>
                <w:sz w:val="22"/>
                <w:szCs w:val="22"/>
              </w:rPr>
            </w:pPr>
            <w:r w:rsidRPr="00317ABF">
              <w:rPr>
                <w:sz w:val="22"/>
                <w:szCs w:val="22"/>
              </w:rPr>
              <w:t xml:space="preserve">Państwa członkowskie przyjmują wszelkie niezbędne środki, aby zapewnić jak największą dostępność usług łączności głosowej i usług dostępu do internetu świadczonych za pośrednictwem publicznych sieci łączności </w:t>
            </w:r>
            <w:r w:rsidRPr="00317ABF">
              <w:rPr>
                <w:sz w:val="22"/>
                <w:szCs w:val="22"/>
              </w:rPr>
              <w:lastRenderedPageBreak/>
              <w:t xml:space="preserve">elektronicznej w przypadku awarii sieci w wyniku katastrofy lub w przypadku działania siły wyższej. </w:t>
            </w:r>
          </w:p>
          <w:p w14:paraId="1CDB8B88" w14:textId="358B935E" w:rsidR="001E1112" w:rsidRPr="00317ABF" w:rsidRDefault="001E1112" w:rsidP="00DB3BEC">
            <w:pPr>
              <w:spacing w:before="120"/>
              <w:jc w:val="both"/>
              <w:rPr>
                <w:sz w:val="22"/>
                <w:szCs w:val="22"/>
              </w:rPr>
            </w:pPr>
            <w:r w:rsidRPr="00317ABF">
              <w:rPr>
                <w:sz w:val="22"/>
                <w:szCs w:val="22"/>
              </w:rPr>
              <w:t>Państwa członkowskie zapewniają, aby dostawcy usług łączności głosowej podejmowali wszelkie niezbędne środki w celu zapewnienia nieprzerwanego dostępu do służb ratunkowych i nieprzerwanej transmisji publicznych ostrzeżeń.</w:t>
            </w:r>
          </w:p>
        </w:tc>
        <w:tc>
          <w:tcPr>
            <w:tcW w:w="986" w:type="dxa"/>
          </w:tcPr>
          <w:p w14:paraId="5A6F69D5" w14:textId="58BC0D23" w:rsidR="001E1112" w:rsidRPr="00317ABF" w:rsidRDefault="001E1112" w:rsidP="00DB3BEC">
            <w:pPr>
              <w:jc w:val="both"/>
              <w:rPr>
                <w:sz w:val="22"/>
                <w:szCs w:val="22"/>
              </w:rPr>
            </w:pPr>
            <w:r w:rsidRPr="00317ABF">
              <w:rPr>
                <w:sz w:val="22"/>
                <w:szCs w:val="22"/>
              </w:rPr>
              <w:lastRenderedPageBreak/>
              <w:t>T</w:t>
            </w:r>
          </w:p>
        </w:tc>
        <w:tc>
          <w:tcPr>
            <w:tcW w:w="910" w:type="dxa"/>
          </w:tcPr>
          <w:p w14:paraId="6092BB65" w14:textId="10FDEE2F" w:rsidR="001E1112" w:rsidRPr="00317ABF" w:rsidRDefault="001E1112" w:rsidP="00DB3BEC">
            <w:pPr>
              <w:pStyle w:val="Tekstpodstawowy"/>
              <w:rPr>
                <w:b/>
                <w:noProof/>
                <w:sz w:val="22"/>
                <w:szCs w:val="22"/>
              </w:rPr>
            </w:pPr>
            <w:r w:rsidRPr="00317ABF">
              <w:rPr>
                <w:b/>
                <w:noProof/>
                <w:sz w:val="22"/>
                <w:szCs w:val="22"/>
              </w:rPr>
              <w:t>Art. 39, 48</w:t>
            </w:r>
          </w:p>
        </w:tc>
        <w:tc>
          <w:tcPr>
            <w:tcW w:w="6814" w:type="dxa"/>
            <w:gridSpan w:val="2"/>
          </w:tcPr>
          <w:p w14:paraId="69818580" w14:textId="77777777" w:rsidR="001E1112" w:rsidRPr="00317ABF" w:rsidRDefault="001E1112" w:rsidP="00DB3BEC">
            <w:pPr>
              <w:widowControl w:val="0"/>
              <w:autoSpaceDE w:val="0"/>
              <w:autoSpaceDN w:val="0"/>
              <w:adjustRightInd w:val="0"/>
              <w:spacing w:before="240"/>
              <w:jc w:val="both"/>
              <w:rPr>
                <w:sz w:val="22"/>
                <w:szCs w:val="22"/>
              </w:rPr>
            </w:pPr>
            <w:r w:rsidRPr="00317ABF">
              <w:rPr>
                <w:sz w:val="22"/>
                <w:szCs w:val="22"/>
              </w:rPr>
              <w:t>Art. 39. 1. Przedsiębiorca komunikacji elektronicznej, w celu zapewnienia ciągłości świadczenia usług komunikacji elektronicznej lub dostarczania sieci telekomunikacyjnej, jest obowiązany uwzględniać możliwość wystąpienia sytuacji szczególnego zagrożenia.</w:t>
            </w:r>
          </w:p>
          <w:p w14:paraId="28EB724B" w14:textId="77777777" w:rsidR="001E1112" w:rsidRPr="00317ABF" w:rsidRDefault="001E1112" w:rsidP="00DB3BEC">
            <w:pPr>
              <w:widowControl w:val="0"/>
              <w:autoSpaceDE w:val="0"/>
              <w:autoSpaceDN w:val="0"/>
              <w:adjustRightInd w:val="0"/>
              <w:ind w:firstLine="426"/>
              <w:jc w:val="both"/>
              <w:rPr>
                <w:sz w:val="22"/>
                <w:szCs w:val="22"/>
              </w:rPr>
            </w:pPr>
            <w:r w:rsidRPr="00317ABF">
              <w:rPr>
                <w:sz w:val="22"/>
                <w:szCs w:val="22"/>
              </w:rPr>
              <w:t xml:space="preserve">2. Przedsiębiorca komunikacji elektronicznej: </w:t>
            </w:r>
          </w:p>
          <w:p w14:paraId="6B8C6536" w14:textId="77777777" w:rsidR="001E1112" w:rsidRPr="00317ABF" w:rsidRDefault="001E1112" w:rsidP="00DB3BEC">
            <w:pPr>
              <w:widowControl w:val="0"/>
              <w:autoSpaceDE w:val="0"/>
              <w:autoSpaceDN w:val="0"/>
              <w:adjustRightInd w:val="0"/>
              <w:ind w:left="360"/>
              <w:jc w:val="both"/>
              <w:rPr>
                <w:sz w:val="22"/>
                <w:szCs w:val="22"/>
              </w:rPr>
            </w:pPr>
            <w:r w:rsidRPr="00317ABF">
              <w:rPr>
                <w:sz w:val="22"/>
                <w:szCs w:val="22"/>
              </w:rPr>
              <w:t xml:space="preserve">1) przeprowadza systematyczną ocenę ryzyka wystąpienia sytuacji </w:t>
            </w:r>
            <w:r w:rsidRPr="00317ABF">
              <w:rPr>
                <w:sz w:val="22"/>
                <w:szCs w:val="22"/>
              </w:rPr>
              <w:lastRenderedPageBreak/>
              <w:t>szczególnego zagrożenia;</w:t>
            </w:r>
          </w:p>
          <w:p w14:paraId="0413AAC7" w14:textId="77777777" w:rsidR="001E1112" w:rsidRPr="00317ABF" w:rsidRDefault="001E1112" w:rsidP="00DB3BEC">
            <w:pPr>
              <w:widowControl w:val="0"/>
              <w:autoSpaceDE w:val="0"/>
              <w:autoSpaceDN w:val="0"/>
              <w:adjustRightInd w:val="0"/>
              <w:ind w:left="360"/>
              <w:jc w:val="both"/>
              <w:rPr>
                <w:sz w:val="22"/>
                <w:szCs w:val="22"/>
              </w:rPr>
            </w:pPr>
            <w:r w:rsidRPr="00317ABF">
              <w:rPr>
                <w:sz w:val="22"/>
                <w:szCs w:val="22"/>
              </w:rPr>
              <w:t>2) podejmuje środki techniczne i organizacyjne zapewniające poziom bezpieczeństwa adekwatny do poziomu zidentyfikowanego ryzyka, minimalizujące w szczególności wpływ jaki na sieci telekomunikacyjne, usługi komunikacji elektronicznej lub podmioty korzystające z tych sieci lub usług może mieć wystąpienie sytuacji szczególnego zagrożenia, dotyczące następujących obszarów:</w:t>
            </w:r>
          </w:p>
          <w:p w14:paraId="018B45F9" w14:textId="77777777" w:rsidR="001E1112" w:rsidRPr="00317ABF" w:rsidRDefault="001E1112" w:rsidP="00DB3BEC">
            <w:pPr>
              <w:widowControl w:val="0"/>
              <w:autoSpaceDE w:val="0"/>
              <w:autoSpaceDN w:val="0"/>
              <w:adjustRightInd w:val="0"/>
              <w:ind w:left="340"/>
              <w:jc w:val="both"/>
              <w:rPr>
                <w:sz w:val="22"/>
                <w:szCs w:val="22"/>
              </w:rPr>
            </w:pPr>
            <w:r w:rsidRPr="00317ABF">
              <w:rPr>
                <w:sz w:val="22"/>
                <w:szCs w:val="22"/>
              </w:rPr>
              <w:t>a) zapewnienia bezpieczeństwa infrastruktury telekomunikacyjnej,</w:t>
            </w:r>
          </w:p>
          <w:p w14:paraId="57082557" w14:textId="77777777" w:rsidR="001E1112" w:rsidRPr="00317ABF" w:rsidRDefault="001E1112" w:rsidP="00DB3BEC">
            <w:pPr>
              <w:widowControl w:val="0"/>
              <w:autoSpaceDE w:val="0"/>
              <w:autoSpaceDN w:val="0"/>
              <w:adjustRightInd w:val="0"/>
              <w:ind w:left="340"/>
              <w:jc w:val="both"/>
              <w:rPr>
                <w:sz w:val="22"/>
                <w:szCs w:val="22"/>
              </w:rPr>
            </w:pPr>
            <w:r w:rsidRPr="00317ABF">
              <w:rPr>
                <w:sz w:val="22"/>
                <w:szCs w:val="22"/>
              </w:rPr>
              <w:t>b) postępowania w przypadku wystąpienia sytuacji szczególnego zagrożenia,</w:t>
            </w:r>
          </w:p>
          <w:p w14:paraId="6E8D6A2C" w14:textId="77777777" w:rsidR="001E1112" w:rsidRPr="00317ABF" w:rsidRDefault="001E1112" w:rsidP="00DB3BEC">
            <w:pPr>
              <w:widowControl w:val="0"/>
              <w:autoSpaceDE w:val="0"/>
              <w:autoSpaceDN w:val="0"/>
              <w:adjustRightInd w:val="0"/>
              <w:ind w:left="340"/>
              <w:jc w:val="both"/>
              <w:rPr>
                <w:sz w:val="22"/>
                <w:szCs w:val="22"/>
              </w:rPr>
            </w:pPr>
            <w:r w:rsidRPr="00317ABF">
              <w:rPr>
                <w:sz w:val="22"/>
                <w:szCs w:val="22"/>
              </w:rPr>
              <w:t>c) odtwarzania dostarczania sieci telekomunikacyjnych lub przywracnia świadczenia usług komunikacji elektronicznej,</w:t>
            </w:r>
          </w:p>
          <w:p w14:paraId="422F110C" w14:textId="77777777" w:rsidR="001E1112" w:rsidRPr="00317ABF" w:rsidRDefault="001E1112" w:rsidP="00DB3BEC">
            <w:pPr>
              <w:widowControl w:val="0"/>
              <w:autoSpaceDE w:val="0"/>
              <w:autoSpaceDN w:val="0"/>
              <w:adjustRightInd w:val="0"/>
              <w:ind w:left="340"/>
              <w:jc w:val="both"/>
              <w:rPr>
                <w:sz w:val="22"/>
                <w:szCs w:val="22"/>
              </w:rPr>
            </w:pPr>
            <w:r w:rsidRPr="00317ABF">
              <w:rPr>
                <w:sz w:val="22"/>
                <w:szCs w:val="22"/>
              </w:rPr>
              <w:t>d) monitorowania, kontroli i testowania sieci telekomunikacyjnych lub usług komunikacji elektronicznej,</w:t>
            </w:r>
          </w:p>
          <w:p w14:paraId="22ADC4F7" w14:textId="77777777" w:rsidR="001E1112" w:rsidRPr="00317ABF" w:rsidRDefault="001E1112" w:rsidP="00DB3BEC">
            <w:pPr>
              <w:widowControl w:val="0"/>
              <w:autoSpaceDE w:val="0"/>
              <w:autoSpaceDN w:val="0"/>
              <w:adjustRightInd w:val="0"/>
              <w:ind w:left="141" w:hanging="141"/>
              <w:jc w:val="both"/>
              <w:rPr>
                <w:sz w:val="22"/>
                <w:szCs w:val="22"/>
              </w:rPr>
            </w:pPr>
            <w:r w:rsidRPr="00317ABF">
              <w:rPr>
                <w:sz w:val="22"/>
                <w:szCs w:val="22"/>
              </w:rPr>
              <w:t xml:space="preserve"> przy uwzględnieniu aktualnego stanu wiedzy technicznej oraz kosztów wprowadzenia tych środków;</w:t>
            </w:r>
          </w:p>
          <w:p w14:paraId="7F69F5C4" w14:textId="77777777" w:rsidR="001E1112" w:rsidRPr="00317ABF" w:rsidRDefault="001E1112" w:rsidP="00DB3BEC">
            <w:pPr>
              <w:widowControl w:val="0"/>
              <w:autoSpaceDE w:val="0"/>
              <w:autoSpaceDN w:val="0"/>
              <w:adjustRightInd w:val="0"/>
              <w:ind w:left="360"/>
              <w:jc w:val="both"/>
              <w:rPr>
                <w:sz w:val="22"/>
                <w:szCs w:val="22"/>
              </w:rPr>
            </w:pPr>
            <w:r w:rsidRPr="00317ABF">
              <w:rPr>
                <w:sz w:val="22"/>
                <w:szCs w:val="22"/>
              </w:rPr>
              <w:t>3) z zastrzeżeniem ust. 3, dokumentuje czynności, o których mowa w pkt 1 i 2.</w:t>
            </w:r>
          </w:p>
          <w:p w14:paraId="1F066FB1" w14:textId="77777777" w:rsidR="001E1112" w:rsidRPr="00317ABF" w:rsidRDefault="001E1112" w:rsidP="00DB3BEC">
            <w:pPr>
              <w:widowControl w:val="0"/>
              <w:autoSpaceDE w:val="0"/>
              <w:autoSpaceDN w:val="0"/>
              <w:adjustRightInd w:val="0"/>
              <w:ind w:firstLine="426"/>
              <w:jc w:val="both"/>
              <w:rPr>
                <w:sz w:val="22"/>
                <w:szCs w:val="22"/>
              </w:rPr>
            </w:pPr>
            <w:r w:rsidRPr="00317ABF">
              <w:rPr>
                <w:sz w:val="22"/>
                <w:szCs w:val="22"/>
              </w:rPr>
              <w:t xml:space="preserve"> 3. Przedsiębiorca telekomunikacyjny sporządzający plan, o którym mowa w art. 47 ust. 1 dokumentuje w tym planie czynności, o których mowa w ust. 2 pkt 1 i 2.</w:t>
            </w:r>
          </w:p>
          <w:p w14:paraId="54F7AD25" w14:textId="77777777" w:rsidR="001E1112" w:rsidRPr="00317ABF" w:rsidRDefault="001E1112" w:rsidP="00DB3BEC">
            <w:pPr>
              <w:widowControl w:val="0"/>
              <w:autoSpaceDE w:val="0"/>
              <w:autoSpaceDN w:val="0"/>
              <w:adjustRightInd w:val="0"/>
              <w:ind w:firstLine="426"/>
              <w:jc w:val="both"/>
              <w:rPr>
                <w:sz w:val="22"/>
                <w:szCs w:val="22"/>
              </w:rPr>
            </w:pPr>
            <w:r w:rsidRPr="00317ABF">
              <w:rPr>
                <w:sz w:val="22"/>
                <w:szCs w:val="22"/>
              </w:rPr>
              <w:t>4. Minister właściwy do spraw informatyzacji może, w drodze rozporządzenia, określić dla danego rodzaju działalności wykonywanej przez przedsiębiorcę komunikacji elektronicznej minimalny zakres środków, o których mowa w ust. 2 pkt 2, lub sposób ich dokumentowania, biorąc pod uwagę rekomendacje międzynarodowe o charakterze specjalistycznym oraz mając na uwadze potrzebę podejmowania przez tego przedsiębiorcę działań zapewniających bezpieczeństwo sieci i usług.</w:t>
            </w:r>
          </w:p>
          <w:p w14:paraId="7DDFE854" w14:textId="77777777" w:rsidR="001E1112" w:rsidRPr="00317ABF" w:rsidRDefault="001E1112" w:rsidP="00DB3BEC">
            <w:pPr>
              <w:widowControl w:val="0"/>
              <w:autoSpaceDE w:val="0"/>
              <w:autoSpaceDN w:val="0"/>
              <w:adjustRightInd w:val="0"/>
              <w:ind w:firstLine="426"/>
              <w:jc w:val="both"/>
              <w:rPr>
                <w:sz w:val="22"/>
                <w:szCs w:val="22"/>
              </w:rPr>
            </w:pPr>
          </w:p>
          <w:p w14:paraId="3451B9F5" w14:textId="77777777" w:rsidR="001E1112" w:rsidRPr="00317ABF" w:rsidRDefault="001E1112" w:rsidP="00DB3BEC">
            <w:pPr>
              <w:pStyle w:val="Tekstpodstawowy"/>
              <w:rPr>
                <w:sz w:val="22"/>
                <w:szCs w:val="22"/>
              </w:rPr>
            </w:pPr>
            <w:r w:rsidRPr="00317ABF">
              <w:rPr>
                <w:sz w:val="22"/>
                <w:szCs w:val="22"/>
              </w:rPr>
              <w:t>Art. 48. 1. Prezes UKE w sytuacji szczególnego zagrożenia, może w drodze decyzji, nałożyć na przedsiębiorcę telekomunikacyjnego obowiązki dotyczące:</w:t>
            </w:r>
          </w:p>
          <w:p w14:paraId="3E57CACA" w14:textId="77777777" w:rsidR="001E1112" w:rsidRPr="00317ABF" w:rsidRDefault="001E1112" w:rsidP="00DB3BEC">
            <w:pPr>
              <w:pStyle w:val="Tekstpodstawowy"/>
              <w:rPr>
                <w:sz w:val="22"/>
                <w:szCs w:val="22"/>
              </w:rPr>
            </w:pPr>
            <w:r w:rsidRPr="00317ABF">
              <w:rPr>
                <w:sz w:val="22"/>
                <w:szCs w:val="22"/>
              </w:rPr>
              <w:t>1) utrzymania ciągłości dostarczania sieci telekomunikacyjnych lub świadczenia usług telekomunikacyjnych;</w:t>
            </w:r>
          </w:p>
          <w:p w14:paraId="490B789B" w14:textId="77777777" w:rsidR="001E1112" w:rsidRPr="00317ABF" w:rsidRDefault="001E1112" w:rsidP="00DB3BEC">
            <w:pPr>
              <w:pStyle w:val="Tekstpodstawowy"/>
              <w:rPr>
                <w:sz w:val="22"/>
                <w:szCs w:val="22"/>
              </w:rPr>
            </w:pPr>
            <w:r w:rsidRPr="00317ABF">
              <w:rPr>
                <w:sz w:val="22"/>
                <w:szCs w:val="22"/>
              </w:rPr>
              <w:t>2) odtwarzania dostarczania sieci telekomunikacyjnych lub przywrócenia świadczenia usług telekomunikacyjnych, z uwzględnieniem pierwszeństwa dla:</w:t>
            </w:r>
          </w:p>
          <w:p w14:paraId="581EA840" w14:textId="77777777" w:rsidR="001E1112" w:rsidRPr="00317ABF" w:rsidRDefault="001E1112" w:rsidP="00DB3BEC">
            <w:pPr>
              <w:pStyle w:val="Tekstpodstawowy"/>
              <w:rPr>
                <w:sz w:val="22"/>
                <w:szCs w:val="22"/>
              </w:rPr>
            </w:pPr>
            <w:r w:rsidRPr="00317ABF">
              <w:rPr>
                <w:sz w:val="22"/>
                <w:szCs w:val="22"/>
              </w:rPr>
              <w:t xml:space="preserve">a) podmiotów wykonujących zadania w zakresie ratownictwa, niesienia pomocy ludności, a także zadania na rzecz obronności, </w:t>
            </w:r>
            <w:r w:rsidRPr="00317ABF">
              <w:rPr>
                <w:sz w:val="22"/>
                <w:szCs w:val="22"/>
              </w:rPr>
              <w:lastRenderedPageBreak/>
              <w:t>cyberbezpieczeństwa, bezpieczeństwa państwa oraz bezpieczeństwa i porządku publicznego oraz podmiotów właściwych w sprawach zarządzania kryzysowego,</w:t>
            </w:r>
          </w:p>
          <w:p w14:paraId="2B298634" w14:textId="77777777" w:rsidR="001E1112" w:rsidRPr="00317ABF" w:rsidRDefault="001E1112" w:rsidP="00DB3BEC">
            <w:pPr>
              <w:pStyle w:val="Tekstpodstawowy"/>
              <w:rPr>
                <w:sz w:val="22"/>
                <w:szCs w:val="22"/>
              </w:rPr>
            </w:pPr>
            <w:r w:rsidRPr="00317ABF">
              <w:rPr>
                <w:sz w:val="22"/>
                <w:szCs w:val="22"/>
              </w:rPr>
              <w:t>b) operatorów usług kluczowych, o których mowa w ustawie o krajowym systemie cyberbezpieczeństwa,</w:t>
            </w:r>
          </w:p>
          <w:p w14:paraId="730E4264" w14:textId="77777777" w:rsidR="001E1112" w:rsidRPr="00317ABF" w:rsidRDefault="001E1112" w:rsidP="00DB3BEC">
            <w:pPr>
              <w:pStyle w:val="Tekstpodstawowy"/>
              <w:rPr>
                <w:sz w:val="22"/>
                <w:szCs w:val="22"/>
              </w:rPr>
            </w:pPr>
            <w:r w:rsidRPr="00317ABF">
              <w:rPr>
                <w:sz w:val="22"/>
                <w:szCs w:val="22"/>
              </w:rPr>
              <w:t xml:space="preserve">c) operatorów infrastruktury krytycznej, o których mowa w ustawie o zarządzaniu kryzysowym </w:t>
            </w:r>
          </w:p>
          <w:p w14:paraId="0515FDCD" w14:textId="77777777" w:rsidR="001E1112" w:rsidRPr="00317ABF" w:rsidRDefault="001E1112" w:rsidP="00DB3BEC">
            <w:pPr>
              <w:pStyle w:val="Tekstpodstawowy"/>
              <w:rPr>
                <w:sz w:val="22"/>
                <w:szCs w:val="22"/>
              </w:rPr>
            </w:pPr>
            <w:r w:rsidRPr="00317ABF">
              <w:rPr>
                <w:sz w:val="22"/>
                <w:szCs w:val="22"/>
              </w:rPr>
              <w:t>- w przypadku utraty ciągłości dostarczania tych sieci lub usług;</w:t>
            </w:r>
          </w:p>
          <w:p w14:paraId="37B66489" w14:textId="77777777" w:rsidR="001E1112" w:rsidRPr="00317ABF" w:rsidRDefault="001E1112" w:rsidP="00DB3BEC">
            <w:pPr>
              <w:pStyle w:val="Tekstpodstawowy"/>
              <w:rPr>
                <w:sz w:val="22"/>
                <w:szCs w:val="22"/>
              </w:rPr>
            </w:pPr>
            <w:r w:rsidRPr="00317ABF">
              <w:rPr>
                <w:sz w:val="22"/>
                <w:szCs w:val="22"/>
              </w:rPr>
              <w:t>3)     ograniczenia zakresu lub obszaru:</w:t>
            </w:r>
          </w:p>
          <w:p w14:paraId="6B3BA50C" w14:textId="77777777" w:rsidR="001E1112" w:rsidRPr="00317ABF" w:rsidRDefault="001E1112" w:rsidP="00DB3BEC">
            <w:pPr>
              <w:pStyle w:val="Tekstpodstawowy"/>
              <w:rPr>
                <w:sz w:val="22"/>
                <w:szCs w:val="22"/>
              </w:rPr>
            </w:pPr>
            <w:r w:rsidRPr="00317ABF">
              <w:rPr>
                <w:sz w:val="22"/>
                <w:szCs w:val="22"/>
              </w:rPr>
              <w:t>a)     eksploatacji sieci telekomunikacyjnych i urządzeń telekomunikacyjnych,</w:t>
            </w:r>
          </w:p>
          <w:p w14:paraId="6A37AFEC" w14:textId="77777777" w:rsidR="001E1112" w:rsidRPr="00317ABF" w:rsidRDefault="001E1112" w:rsidP="00DB3BEC">
            <w:pPr>
              <w:pStyle w:val="Tekstpodstawowy"/>
              <w:rPr>
                <w:sz w:val="22"/>
                <w:szCs w:val="22"/>
              </w:rPr>
            </w:pPr>
            <w:r w:rsidRPr="00317ABF">
              <w:rPr>
                <w:sz w:val="22"/>
                <w:szCs w:val="22"/>
              </w:rPr>
              <w:t>b)     świadczenia niektórych usług komunikacji elektronicznej,</w:t>
            </w:r>
          </w:p>
          <w:p w14:paraId="7564E698" w14:textId="77777777" w:rsidR="001E1112" w:rsidRPr="00317ABF" w:rsidRDefault="001E1112" w:rsidP="00DB3BEC">
            <w:pPr>
              <w:pStyle w:val="Tekstpodstawowy"/>
              <w:rPr>
                <w:sz w:val="22"/>
                <w:szCs w:val="22"/>
              </w:rPr>
            </w:pPr>
            <w:r w:rsidRPr="00317ABF">
              <w:rPr>
                <w:sz w:val="22"/>
                <w:szCs w:val="22"/>
              </w:rPr>
              <w:t>c)     używania urządzeń radiowych,</w:t>
            </w:r>
          </w:p>
          <w:p w14:paraId="3AEF4AB5" w14:textId="77777777" w:rsidR="001E1112" w:rsidRPr="00317ABF" w:rsidRDefault="001E1112" w:rsidP="00DB3BEC">
            <w:pPr>
              <w:pStyle w:val="Tekstpodstawowy"/>
              <w:rPr>
                <w:sz w:val="22"/>
                <w:szCs w:val="22"/>
              </w:rPr>
            </w:pPr>
            <w:r w:rsidRPr="00317ABF">
              <w:rPr>
                <w:sz w:val="22"/>
                <w:szCs w:val="22"/>
              </w:rPr>
              <w:t>kierując się rozmiarem zagrożenia i potrzebą ograniczenia jego skutków, uwzględniając zasady minimalizowania negatywnych skutków nałożonych obowiązków dla ciągłości świadczenia usług i dla działalności gospodarczej przedsiębiorcy komunikacji elektronicznej. Decyzji nadaje się rygor natychmiastowej wykonalności.</w:t>
            </w:r>
          </w:p>
          <w:p w14:paraId="0911D467" w14:textId="77777777" w:rsidR="001E1112" w:rsidRPr="00317ABF" w:rsidRDefault="001E1112" w:rsidP="00DB3BEC">
            <w:pPr>
              <w:pStyle w:val="Tekstpodstawowy"/>
              <w:rPr>
                <w:sz w:val="22"/>
                <w:szCs w:val="22"/>
              </w:rPr>
            </w:pPr>
            <w:r w:rsidRPr="00317ABF">
              <w:rPr>
                <w:sz w:val="22"/>
                <w:szCs w:val="22"/>
              </w:rPr>
              <w:t>2. Decyzja Prezesa UKE, o której mowa w ust. 1, wydawana jest z urzędu lub na wniosek Komendanta Głównego Policji, komendanta wojewódzkiego Policji, Komendanta Głównego Straży Granicznej, Komendanta Głównego Żandarmerii Wojskowej, Szefa Agencji Bezpieczeństwa Wewnętrznego, Szefa Służby Kontrwywiadu Wojskowego lub Komendanta Służby Ochrony Państwa, oraz może być ogłoszona ustnie przedsiębiorcy komunikacji elektronicznej, bez uzasadnienia, w całości lub części, jeżeli wymagają tego względy bezpieczeństwa państwa. Decyzja doręczana jest stronie na piśmie w terminie 14 dni od dnia jej ogłoszenia.</w:t>
            </w:r>
          </w:p>
          <w:p w14:paraId="3FE8298A" w14:textId="77777777" w:rsidR="001E1112" w:rsidRPr="00317ABF" w:rsidRDefault="001E1112" w:rsidP="00DB3BEC">
            <w:pPr>
              <w:pStyle w:val="Tekstpodstawowy"/>
              <w:rPr>
                <w:sz w:val="22"/>
                <w:szCs w:val="22"/>
              </w:rPr>
            </w:pPr>
          </w:p>
        </w:tc>
      </w:tr>
      <w:tr w:rsidR="001E1112" w:rsidRPr="00317ABF" w14:paraId="06F44279" w14:textId="77777777" w:rsidTr="7753F98D">
        <w:trPr>
          <w:gridAfter w:val="2"/>
          <w:wAfter w:w="175" w:type="dxa"/>
        </w:trPr>
        <w:tc>
          <w:tcPr>
            <w:tcW w:w="704" w:type="dxa"/>
          </w:tcPr>
          <w:p w14:paraId="12A801D8" w14:textId="77777777" w:rsidR="001E1112" w:rsidRPr="00317ABF" w:rsidRDefault="001E1112" w:rsidP="00DB3BEC">
            <w:pPr>
              <w:jc w:val="both"/>
              <w:rPr>
                <w:b/>
                <w:sz w:val="22"/>
                <w:szCs w:val="22"/>
              </w:rPr>
            </w:pPr>
            <w:r w:rsidRPr="00317ABF">
              <w:rPr>
                <w:b/>
                <w:sz w:val="22"/>
                <w:szCs w:val="22"/>
              </w:rPr>
              <w:lastRenderedPageBreak/>
              <w:t>Art. 109</w:t>
            </w:r>
          </w:p>
        </w:tc>
        <w:tc>
          <w:tcPr>
            <w:tcW w:w="4308" w:type="dxa"/>
          </w:tcPr>
          <w:p w14:paraId="7F8C9456" w14:textId="77777777" w:rsidR="001E1112" w:rsidRPr="00317ABF" w:rsidRDefault="001E1112" w:rsidP="00DB3BEC">
            <w:pPr>
              <w:spacing w:before="120"/>
              <w:jc w:val="both"/>
              <w:rPr>
                <w:sz w:val="22"/>
                <w:szCs w:val="22"/>
              </w:rPr>
            </w:pPr>
            <w:r w:rsidRPr="00317ABF">
              <w:rPr>
                <w:b/>
                <w:bCs/>
                <w:sz w:val="22"/>
                <w:szCs w:val="22"/>
              </w:rPr>
              <w:t>Zgłoszenia alarmowe i jednolity europejski numer alarmowy</w:t>
            </w:r>
          </w:p>
        </w:tc>
        <w:tc>
          <w:tcPr>
            <w:tcW w:w="986" w:type="dxa"/>
          </w:tcPr>
          <w:p w14:paraId="2F80DB33" w14:textId="77777777" w:rsidR="001E1112" w:rsidRPr="00317ABF" w:rsidRDefault="001E1112" w:rsidP="00DB3BEC">
            <w:pPr>
              <w:jc w:val="both"/>
              <w:rPr>
                <w:sz w:val="22"/>
                <w:szCs w:val="22"/>
              </w:rPr>
            </w:pPr>
          </w:p>
        </w:tc>
        <w:tc>
          <w:tcPr>
            <w:tcW w:w="910" w:type="dxa"/>
          </w:tcPr>
          <w:p w14:paraId="71C0DA1D" w14:textId="77777777" w:rsidR="001E1112" w:rsidRPr="00317ABF" w:rsidRDefault="001E1112" w:rsidP="00DB3BEC">
            <w:pPr>
              <w:pStyle w:val="Tekstpodstawowy"/>
              <w:rPr>
                <w:b/>
                <w:noProof/>
                <w:sz w:val="22"/>
                <w:szCs w:val="22"/>
              </w:rPr>
            </w:pPr>
          </w:p>
        </w:tc>
        <w:tc>
          <w:tcPr>
            <w:tcW w:w="6814" w:type="dxa"/>
            <w:gridSpan w:val="2"/>
          </w:tcPr>
          <w:p w14:paraId="053C55BC" w14:textId="77777777" w:rsidR="001E1112" w:rsidRPr="00317ABF" w:rsidRDefault="001E1112" w:rsidP="00DB3BEC">
            <w:pPr>
              <w:pStyle w:val="Tekstpodstawowy"/>
              <w:rPr>
                <w:sz w:val="22"/>
                <w:szCs w:val="22"/>
              </w:rPr>
            </w:pPr>
          </w:p>
        </w:tc>
      </w:tr>
      <w:tr w:rsidR="001E1112" w:rsidRPr="00317ABF" w14:paraId="1F0C6116" w14:textId="77777777" w:rsidTr="7753F98D">
        <w:trPr>
          <w:gridAfter w:val="2"/>
          <w:wAfter w:w="175" w:type="dxa"/>
        </w:trPr>
        <w:tc>
          <w:tcPr>
            <w:tcW w:w="704" w:type="dxa"/>
          </w:tcPr>
          <w:p w14:paraId="763A98C2" w14:textId="77777777" w:rsidR="001E1112" w:rsidRPr="00317ABF" w:rsidRDefault="001E1112" w:rsidP="00DB3BEC">
            <w:pPr>
              <w:jc w:val="both"/>
              <w:rPr>
                <w:sz w:val="22"/>
                <w:szCs w:val="22"/>
              </w:rPr>
            </w:pPr>
            <w:r w:rsidRPr="00317ABF">
              <w:rPr>
                <w:sz w:val="22"/>
                <w:szCs w:val="22"/>
              </w:rPr>
              <w:t>Art. 109 ust. 1</w:t>
            </w:r>
          </w:p>
        </w:tc>
        <w:tc>
          <w:tcPr>
            <w:tcW w:w="4308" w:type="dxa"/>
          </w:tcPr>
          <w:p w14:paraId="7E9304A7" w14:textId="77777777" w:rsidR="001E1112" w:rsidRPr="00317ABF" w:rsidRDefault="001E1112" w:rsidP="00DB3BEC">
            <w:pPr>
              <w:spacing w:before="120"/>
              <w:jc w:val="both"/>
              <w:rPr>
                <w:sz w:val="22"/>
                <w:szCs w:val="22"/>
              </w:rPr>
            </w:pPr>
            <w:r w:rsidRPr="00317ABF">
              <w:rPr>
                <w:sz w:val="22"/>
                <w:szCs w:val="22"/>
              </w:rPr>
              <w:t>1.   Państwa członkowskie zapewniają, aby wszyscy użytkownicy końcowi usług, o których mowa w ust. 2, w tym także użytkownicy publicznych automatów telefonicznych, mogli uzyskać dostęp do służb ratunkowych za pomocą zgłoszeń alarmowych bezpłatnie i bez konieczności użycia jakiegokolwiek środka płatniczego, za pośrednictwem jednolitego europejskiego numeru alarmowego „112” oraz za pośrednictwem jakiegokolwiek krajowego numeru alarmowego określonego przez państwa członkowskie.</w:t>
            </w:r>
          </w:p>
          <w:p w14:paraId="7CE54D4A" w14:textId="77777777" w:rsidR="001E1112" w:rsidRPr="00317ABF" w:rsidRDefault="001E1112" w:rsidP="00DB3BEC">
            <w:pPr>
              <w:spacing w:before="120"/>
              <w:jc w:val="both"/>
              <w:rPr>
                <w:sz w:val="22"/>
                <w:szCs w:val="22"/>
              </w:rPr>
            </w:pPr>
          </w:p>
          <w:p w14:paraId="5433C11E" w14:textId="77777777" w:rsidR="001E1112" w:rsidRPr="00317ABF" w:rsidRDefault="001E1112" w:rsidP="00DB3BEC">
            <w:pPr>
              <w:spacing w:before="120"/>
              <w:jc w:val="both"/>
              <w:rPr>
                <w:sz w:val="22"/>
                <w:szCs w:val="22"/>
              </w:rPr>
            </w:pPr>
          </w:p>
          <w:p w14:paraId="1CAF22D4" w14:textId="03D3175B" w:rsidR="001E1112" w:rsidRPr="00317ABF" w:rsidRDefault="001E1112" w:rsidP="00DB3BEC">
            <w:pPr>
              <w:spacing w:before="120"/>
              <w:jc w:val="both"/>
              <w:rPr>
                <w:sz w:val="22"/>
                <w:szCs w:val="22"/>
              </w:rPr>
            </w:pPr>
            <w:r w:rsidRPr="00317ABF">
              <w:rPr>
                <w:sz w:val="22"/>
                <w:szCs w:val="22"/>
              </w:rPr>
              <w:t>Państwa członkowskie promują dostęp do służb ratunkowych za pomocą jednolitego europejskiego numeru alarmowego „112” z sieci łączności elektronicznej, które nie są publiczne, ale które umożliwiają połączenia z sieciami publicznymi, w szczególności gdy przedsiębiorstwo odpowiedzialne za tę sieć nie zapewnia alternatywnego i łatwego dostępu do służb ratunkowych.</w:t>
            </w:r>
          </w:p>
        </w:tc>
        <w:tc>
          <w:tcPr>
            <w:tcW w:w="986" w:type="dxa"/>
          </w:tcPr>
          <w:p w14:paraId="60848B8A" w14:textId="77777777" w:rsidR="001E1112" w:rsidRPr="00317ABF" w:rsidRDefault="001E1112" w:rsidP="00DB3BEC">
            <w:pPr>
              <w:jc w:val="both"/>
              <w:rPr>
                <w:sz w:val="22"/>
                <w:szCs w:val="22"/>
              </w:rPr>
            </w:pPr>
            <w:r w:rsidRPr="00317ABF">
              <w:rPr>
                <w:sz w:val="22"/>
                <w:szCs w:val="22"/>
              </w:rPr>
              <w:t>T</w:t>
            </w:r>
          </w:p>
          <w:p w14:paraId="57EA1FB2" w14:textId="77777777" w:rsidR="001E1112" w:rsidRPr="00317ABF" w:rsidRDefault="001E1112" w:rsidP="00DB3BEC">
            <w:pPr>
              <w:jc w:val="both"/>
              <w:rPr>
                <w:sz w:val="22"/>
                <w:szCs w:val="22"/>
              </w:rPr>
            </w:pPr>
          </w:p>
          <w:p w14:paraId="683384A6" w14:textId="77777777" w:rsidR="001E1112" w:rsidRPr="00317ABF" w:rsidRDefault="001E1112" w:rsidP="00DB3BEC">
            <w:pPr>
              <w:jc w:val="both"/>
              <w:rPr>
                <w:sz w:val="22"/>
                <w:szCs w:val="22"/>
              </w:rPr>
            </w:pPr>
          </w:p>
          <w:p w14:paraId="67FE7F74" w14:textId="77777777" w:rsidR="001E1112" w:rsidRPr="00317ABF" w:rsidRDefault="001E1112" w:rsidP="00DB3BEC">
            <w:pPr>
              <w:jc w:val="both"/>
              <w:rPr>
                <w:sz w:val="22"/>
                <w:szCs w:val="22"/>
              </w:rPr>
            </w:pPr>
          </w:p>
          <w:p w14:paraId="296C784F" w14:textId="77777777" w:rsidR="001E1112" w:rsidRPr="00317ABF" w:rsidRDefault="001E1112" w:rsidP="00DB3BEC">
            <w:pPr>
              <w:jc w:val="both"/>
              <w:rPr>
                <w:sz w:val="22"/>
                <w:szCs w:val="22"/>
              </w:rPr>
            </w:pPr>
          </w:p>
          <w:p w14:paraId="41502925" w14:textId="77777777" w:rsidR="001E1112" w:rsidRPr="00317ABF" w:rsidRDefault="001E1112" w:rsidP="00DB3BEC">
            <w:pPr>
              <w:jc w:val="both"/>
              <w:rPr>
                <w:sz w:val="22"/>
                <w:szCs w:val="22"/>
              </w:rPr>
            </w:pPr>
          </w:p>
          <w:p w14:paraId="3B473DFE" w14:textId="77777777" w:rsidR="001E1112" w:rsidRPr="00317ABF" w:rsidRDefault="001E1112" w:rsidP="00DB3BEC">
            <w:pPr>
              <w:jc w:val="both"/>
              <w:rPr>
                <w:sz w:val="22"/>
                <w:szCs w:val="22"/>
              </w:rPr>
            </w:pPr>
          </w:p>
          <w:p w14:paraId="3722130A" w14:textId="77777777" w:rsidR="001E1112" w:rsidRPr="00317ABF" w:rsidRDefault="001E1112" w:rsidP="00DB3BEC">
            <w:pPr>
              <w:jc w:val="both"/>
              <w:rPr>
                <w:sz w:val="22"/>
                <w:szCs w:val="22"/>
              </w:rPr>
            </w:pPr>
          </w:p>
          <w:p w14:paraId="31413156" w14:textId="77777777" w:rsidR="001E1112" w:rsidRPr="00317ABF" w:rsidRDefault="001E1112" w:rsidP="00DB3BEC">
            <w:pPr>
              <w:jc w:val="both"/>
              <w:rPr>
                <w:sz w:val="22"/>
                <w:szCs w:val="22"/>
              </w:rPr>
            </w:pPr>
          </w:p>
          <w:p w14:paraId="2D0E8DC1" w14:textId="77777777" w:rsidR="001E1112" w:rsidRPr="00317ABF" w:rsidRDefault="001E1112" w:rsidP="00DB3BEC">
            <w:pPr>
              <w:jc w:val="both"/>
              <w:rPr>
                <w:sz w:val="22"/>
                <w:szCs w:val="22"/>
              </w:rPr>
            </w:pPr>
          </w:p>
          <w:p w14:paraId="2260F2F7" w14:textId="77777777" w:rsidR="001E1112" w:rsidRPr="00317ABF" w:rsidRDefault="001E1112" w:rsidP="00DB3BEC">
            <w:pPr>
              <w:jc w:val="both"/>
              <w:rPr>
                <w:sz w:val="22"/>
                <w:szCs w:val="22"/>
              </w:rPr>
            </w:pPr>
          </w:p>
          <w:p w14:paraId="7C55BD00" w14:textId="77777777" w:rsidR="001E1112" w:rsidRPr="00317ABF" w:rsidRDefault="001E1112" w:rsidP="00DB3BEC">
            <w:pPr>
              <w:jc w:val="both"/>
              <w:rPr>
                <w:sz w:val="22"/>
                <w:szCs w:val="22"/>
              </w:rPr>
            </w:pPr>
          </w:p>
          <w:p w14:paraId="0040AFF3" w14:textId="77777777" w:rsidR="001E1112" w:rsidRPr="00317ABF" w:rsidRDefault="001E1112" w:rsidP="00DB3BEC">
            <w:pPr>
              <w:jc w:val="both"/>
              <w:rPr>
                <w:sz w:val="22"/>
                <w:szCs w:val="22"/>
              </w:rPr>
            </w:pPr>
          </w:p>
          <w:p w14:paraId="4CAAB5FF" w14:textId="77777777" w:rsidR="001E1112" w:rsidRPr="00317ABF" w:rsidRDefault="001E1112" w:rsidP="00DB3BEC">
            <w:pPr>
              <w:jc w:val="both"/>
              <w:rPr>
                <w:sz w:val="22"/>
                <w:szCs w:val="22"/>
              </w:rPr>
            </w:pPr>
          </w:p>
          <w:p w14:paraId="4C14E4BC" w14:textId="77777777" w:rsidR="001E1112" w:rsidRPr="00317ABF" w:rsidRDefault="001E1112" w:rsidP="00DB3BEC">
            <w:pPr>
              <w:jc w:val="both"/>
              <w:rPr>
                <w:sz w:val="22"/>
                <w:szCs w:val="22"/>
              </w:rPr>
            </w:pPr>
          </w:p>
          <w:p w14:paraId="5897D424" w14:textId="77777777" w:rsidR="001E1112" w:rsidRPr="00317ABF" w:rsidRDefault="001E1112" w:rsidP="00DB3BEC">
            <w:pPr>
              <w:jc w:val="both"/>
              <w:rPr>
                <w:sz w:val="22"/>
                <w:szCs w:val="22"/>
              </w:rPr>
            </w:pPr>
          </w:p>
          <w:p w14:paraId="53B24CBB" w14:textId="77777777" w:rsidR="001E1112" w:rsidRPr="00317ABF" w:rsidRDefault="001E1112" w:rsidP="00DB3BEC">
            <w:pPr>
              <w:jc w:val="both"/>
              <w:rPr>
                <w:sz w:val="22"/>
                <w:szCs w:val="22"/>
              </w:rPr>
            </w:pPr>
          </w:p>
          <w:p w14:paraId="0C82401A" w14:textId="77777777" w:rsidR="001E1112" w:rsidRPr="00317ABF" w:rsidRDefault="001E1112" w:rsidP="00DB3BEC">
            <w:pPr>
              <w:jc w:val="both"/>
              <w:rPr>
                <w:sz w:val="22"/>
                <w:szCs w:val="22"/>
              </w:rPr>
            </w:pPr>
          </w:p>
          <w:p w14:paraId="52A4ACBC" w14:textId="77777777" w:rsidR="001E1112" w:rsidRPr="00317ABF" w:rsidRDefault="001E1112" w:rsidP="00DB3BEC">
            <w:pPr>
              <w:jc w:val="both"/>
              <w:rPr>
                <w:sz w:val="22"/>
                <w:szCs w:val="22"/>
              </w:rPr>
            </w:pPr>
          </w:p>
          <w:p w14:paraId="5BD656DB" w14:textId="77777777" w:rsidR="001E1112" w:rsidRPr="00317ABF" w:rsidRDefault="001E1112" w:rsidP="00DB3BEC">
            <w:pPr>
              <w:jc w:val="both"/>
              <w:rPr>
                <w:sz w:val="22"/>
                <w:szCs w:val="22"/>
              </w:rPr>
            </w:pPr>
          </w:p>
          <w:p w14:paraId="48CF06D8" w14:textId="77777777" w:rsidR="001E1112" w:rsidRPr="00317ABF" w:rsidRDefault="001E1112" w:rsidP="00DB3BEC">
            <w:pPr>
              <w:jc w:val="both"/>
              <w:rPr>
                <w:sz w:val="22"/>
                <w:szCs w:val="22"/>
              </w:rPr>
            </w:pPr>
          </w:p>
          <w:p w14:paraId="49466CE7" w14:textId="77777777" w:rsidR="001E1112" w:rsidRPr="00317ABF" w:rsidRDefault="001E1112" w:rsidP="00DB3BEC">
            <w:pPr>
              <w:jc w:val="both"/>
              <w:rPr>
                <w:sz w:val="22"/>
                <w:szCs w:val="22"/>
              </w:rPr>
            </w:pPr>
          </w:p>
          <w:p w14:paraId="2DCCAAFE" w14:textId="77777777" w:rsidR="001E1112" w:rsidRPr="00317ABF" w:rsidRDefault="001E1112" w:rsidP="00DB3BEC">
            <w:pPr>
              <w:jc w:val="both"/>
              <w:rPr>
                <w:sz w:val="22"/>
                <w:szCs w:val="22"/>
              </w:rPr>
            </w:pPr>
          </w:p>
          <w:p w14:paraId="5793EE9D" w14:textId="12838D74" w:rsidR="001E1112" w:rsidRPr="00317ABF" w:rsidRDefault="001E1112" w:rsidP="00DB3BEC">
            <w:pPr>
              <w:jc w:val="both"/>
              <w:rPr>
                <w:sz w:val="22"/>
                <w:szCs w:val="22"/>
              </w:rPr>
            </w:pPr>
            <w:r w:rsidRPr="00317ABF">
              <w:rPr>
                <w:sz w:val="22"/>
                <w:szCs w:val="22"/>
              </w:rPr>
              <w:t>N</w:t>
            </w:r>
          </w:p>
        </w:tc>
        <w:tc>
          <w:tcPr>
            <w:tcW w:w="910" w:type="dxa"/>
          </w:tcPr>
          <w:p w14:paraId="6B924805" w14:textId="1B799D5B" w:rsidR="001E1112" w:rsidRPr="00317ABF" w:rsidRDefault="004A4D8F" w:rsidP="00DB3BEC">
            <w:pPr>
              <w:pStyle w:val="Tekstpodstawowy"/>
              <w:spacing w:line="259" w:lineRule="auto"/>
              <w:rPr>
                <w:b/>
                <w:bCs/>
                <w:noProof/>
                <w:sz w:val="22"/>
                <w:szCs w:val="22"/>
              </w:rPr>
            </w:pPr>
            <w:r w:rsidRPr="00317ABF">
              <w:rPr>
                <w:b/>
                <w:bCs/>
                <w:noProof/>
                <w:sz w:val="22"/>
                <w:szCs w:val="22"/>
              </w:rPr>
              <w:t>Art. 16</w:t>
            </w:r>
            <w:r w:rsidR="001E1112" w:rsidRPr="00317ABF">
              <w:rPr>
                <w:b/>
                <w:bCs/>
                <w:noProof/>
                <w:sz w:val="22"/>
                <w:szCs w:val="22"/>
              </w:rPr>
              <w:t>5 ust. 1</w:t>
            </w:r>
          </w:p>
          <w:p w14:paraId="1C587427" w14:textId="3209A899" w:rsidR="001E1112" w:rsidRPr="00317ABF" w:rsidRDefault="001E1112" w:rsidP="00DB3BEC">
            <w:pPr>
              <w:pStyle w:val="Tekstpodstawowy"/>
              <w:spacing w:line="259" w:lineRule="auto"/>
              <w:rPr>
                <w:b/>
                <w:bCs/>
                <w:noProof/>
                <w:sz w:val="22"/>
                <w:szCs w:val="22"/>
              </w:rPr>
            </w:pPr>
          </w:p>
          <w:p w14:paraId="4E674475" w14:textId="01C63D95" w:rsidR="001E1112" w:rsidRPr="00317ABF" w:rsidRDefault="001E1112" w:rsidP="00DB3BEC">
            <w:pPr>
              <w:pStyle w:val="Tekstpodstawowy"/>
              <w:spacing w:line="259" w:lineRule="auto"/>
              <w:rPr>
                <w:b/>
                <w:bCs/>
                <w:noProof/>
                <w:sz w:val="22"/>
                <w:szCs w:val="22"/>
              </w:rPr>
            </w:pPr>
          </w:p>
          <w:p w14:paraId="1C0377B2" w14:textId="77777777" w:rsidR="004A4D8F" w:rsidRPr="00317ABF" w:rsidRDefault="004A4D8F" w:rsidP="00DB3BEC">
            <w:pPr>
              <w:pStyle w:val="Tekstpodstawowy"/>
              <w:spacing w:line="259" w:lineRule="auto"/>
              <w:rPr>
                <w:b/>
                <w:bCs/>
                <w:noProof/>
                <w:sz w:val="22"/>
                <w:szCs w:val="22"/>
              </w:rPr>
            </w:pPr>
          </w:p>
          <w:p w14:paraId="01DD48F0" w14:textId="4F891037" w:rsidR="001E1112" w:rsidRPr="00317ABF" w:rsidRDefault="001E1112" w:rsidP="00DB3BEC">
            <w:pPr>
              <w:pStyle w:val="Tekstpodstawowy"/>
              <w:spacing w:line="259" w:lineRule="auto"/>
              <w:rPr>
                <w:b/>
                <w:bCs/>
                <w:noProof/>
                <w:sz w:val="22"/>
                <w:szCs w:val="22"/>
              </w:rPr>
            </w:pPr>
            <w:r w:rsidRPr="00317ABF">
              <w:rPr>
                <w:b/>
                <w:bCs/>
                <w:noProof/>
                <w:sz w:val="22"/>
                <w:szCs w:val="22"/>
              </w:rPr>
              <w:t xml:space="preserve">Art. </w:t>
            </w:r>
            <w:r w:rsidR="00F819C5" w:rsidRPr="00317ABF">
              <w:rPr>
                <w:b/>
                <w:bCs/>
                <w:noProof/>
                <w:sz w:val="22"/>
                <w:szCs w:val="22"/>
              </w:rPr>
              <w:t>38 pkt 13 ustawy</w:t>
            </w:r>
            <w:r w:rsidR="00F819C5" w:rsidRPr="00317ABF">
              <w:rPr>
                <w:rFonts w:eastAsiaTheme="minorEastAsia"/>
                <w:sz w:val="24"/>
                <w:szCs w:val="20"/>
              </w:rPr>
              <w:t xml:space="preserve"> </w:t>
            </w:r>
            <w:r w:rsidR="00F819C5" w:rsidRPr="00317ABF">
              <w:rPr>
                <w:b/>
                <w:bCs/>
                <w:noProof/>
                <w:sz w:val="22"/>
                <w:szCs w:val="22"/>
              </w:rPr>
              <w:t xml:space="preserve">Przepisy wprowadzające ustawę – Prawo komunikacji elektronicznej – w zakresie zmiany art. </w:t>
            </w:r>
            <w:r w:rsidRPr="00317ABF">
              <w:rPr>
                <w:b/>
                <w:bCs/>
                <w:noProof/>
                <w:sz w:val="22"/>
                <w:szCs w:val="22"/>
              </w:rPr>
              <w:t>20 ustawy o systemiepowiadamiania ratunkowego</w:t>
            </w:r>
          </w:p>
        </w:tc>
        <w:tc>
          <w:tcPr>
            <w:tcW w:w="6814" w:type="dxa"/>
            <w:gridSpan w:val="2"/>
          </w:tcPr>
          <w:p w14:paraId="24D948BC" w14:textId="77777777" w:rsidR="004A4D8F" w:rsidRPr="00317ABF" w:rsidRDefault="004A4D8F" w:rsidP="004A4D8F">
            <w:pPr>
              <w:jc w:val="both"/>
              <w:rPr>
                <w:sz w:val="22"/>
                <w:szCs w:val="22"/>
              </w:rPr>
            </w:pPr>
            <w:r w:rsidRPr="00317ABF">
              <w:rPr>
                <w:b/>
                <w:sz w:val="22"/>
                <w:szCs w:val="22"/>
              </w:rPr>
              <w:t>Art. 165.</w:t>
            </w:r>
            <w:r w:rsidRPr="00317ABF">
              <w:rPr>
                <w:sz w:val="22"/>
                <w:szCs w:val="22"/>
              </w:rPr>
              <w:t xml:space="preserve"> </w:t>
            </w:r>
            <w:bookmarkStart w:id="175" w:name="mip44758663"/>
            <w:bookmarkEnd w:id="175"/>
          </w:p>
          <w:p w14:paraId="24B9237F" w14:textId="23CD0047" w:rsidR="004A4D8F" w:rsidRPr="00317ABF" w:rsidRDefault="004A4D8F" w:rsidP="004A4D8F">
            <w:pPr>
              <w:jc w:val="both"/>
              <w:rPr>
                <w:sz w:val="22"/>
                <w:szCs w:val="22"/>
              </w:rPr>
            </w:pPr>
            <w:r w:rsidRPr="00317ABF">
              <w:rPr>
                <w:sz w:val="22"/>
                <w:szCs w:val="22"/>
              </w:rPr>
              <w:t>1. Ustala się numer „112” jako wspólny numer alarmowy dla wszystkich służb ustawowo powołanych do niesienia pomocy.</w:t>
            </w:r>
          </w:p>
          <w:p w14:paraId="201D6C35" w14:textId="445FB25F" w:rsidR="004A4D8F" w:rsidRPr="00317ABF" w:rsidRDefault="004A4D8F" w:rsidP="004A4D8F">
            <w:pPr>
              <w:jc w:val="both"/>
              <w:rPr>
                <w:sz w:val="22"/>
                <w:szCs w:val="22"/>
              </w:rPr>
            </w:pPr>
            <w:r w:rsidRPr="00317ABF">
              <w:rPr>
                <w:sz w:val="22"/>
                <w:szCs w:val="22"/>
              </w:rPr>
              <w:t>(…)</w:t>
            </w:r>
          </w:p>
          <w:p w14:paraId="5ADD2AAA" w14:textId="22F178EF" w:rsidR="001E1112" w:rsidRPr="00317ABF" w:rsidRDefault="001E1112" w:rsidP="00DB3BEC">
            <w:pPr>
              <w:jc w:val="both"/>
              <w:rPr>
                <w:sz w:val="22"/>
                <w:szCs w:val="22"/>
              </w:rPr>
            </w:pPr>
          </w:p>
          <w:p w14:paraId="15C1F53A" w14:textId="77777777" w:rsidR="00F819C5" w:rsidRPr="00317ABF" w:rsidRDefault="00F819C5" w:rsidP="00DB3BEC">
            <w:pPr>
              <w:jc w:val="both"/>
              <w:rPr>
                <w:sz w:val="22"/>
                <w:szCs w:val="22"/>
              </w:rPr>
            </w:pPr>
            <w:r w:rsidRPr="00317ABF">
              <w:rPr>
                <w:b/>
                <w:sz w:val="22"/>
                <w:szCs w:val="22"/>
              </w:rPr>
              <w:t>Art. 38 pkt 13</w:t>
            </w:r>
            <w:r w:rsidRPr="00317ABF">
              <w:rPr>
                <w:rFonts w:eastAsiaTheme="minorEastAsia"/>
                <w:szCs w:val="20"/>
              </w:rPr>
              <w:t xml:space="preserve"> ustawy </w:t>
            </w:r>
            <w:r w:rsidRPr="00317ABF">
              <w:rPr>
                <w:sz w:val="22"/>
                <w:szCs w:val="22"/>
              </w:rPr>
              <w:t>Przepisy wprowadzające ustawę – Prawo komunikacji elektronicznej:</w:t>
            </w:r>
          </w:p>
          <w:p w14:paraId="2FC99F46" w14:textId="77777777" w:rsidR="00F819C5" w:rsidRPr="00317ABF" w:rsidRDefault="00F819C5" w:rsidP="00F819C5">
            <w:pPr>
              <w:jc w:val="both"/>
              <w:rPr>
                <w:sz w:val="22"/>
                <w:szCs w:val="22"/>
              </w:rPr>
            </w:pPr>
            <w:r w:rsidRPr="00317ABF">
              <w:rPr>
                <w:sz w:val="22"/>
                <w:szCs w:val="22"/>
              </w:rPr>
              <w:t xml:space="preserve"> 13)  art. 20 ust. 1 otrzymuje następujące brzmienie:</w:t>
            </w:r>
          </w:p>
          <w:p w14:paraId="64F007FC" w14:textId="77777777" w:rsidR="00F819C5" w:rsidRPr="00317ABF" w:rsidRDefault="00F819C5" w:rsidP="00F819C5">
            <w:pPr>
              <w:jc w:val="both"/>
              <w:rPr>
                <w:sz w:val="22"/>
                <w:szCs w:val="22"/>
              </w:rPr>
            </w:pPr>
            <w:r w:rsidRPr="00317ABF">
              <w:rPr>
                <w:sz w:val="22"/>
                <w:szCs w:val="22"/>
              </w:rPr>
              <w:t>„1. Dostawca publicznie dostępnych usług komunikacji interpersonalnej wykorzystujących numery z planu numeracji krajowej lub międzynarodowych planów numeracji i umożliwiających nawiązywanie połączeń z numerami z tych planów zapewnia:</w:t>
            </w:r>
          </w:p>
          <w:p w14:paraId="676F3A4B" w14:textId="77777777" w:rsidR="00F819C5" w:rsidRPr="00317ABF" w:rsidRDefault="00F819C5" w:rsidP="00F819C5">
            <w:pPr>
              <w:jc w:val="both"/>
              <w:rPr>
                <w:sz w:val="22"/>
                <w:szCs w:val="22"/>
              </w:rPr>
            </w:pPr>
            <w:r w:rsidRPr="00317ABF">
              <w:rPr>
                <w:sz w:val="22"/>
                <w:szCs w:val="22"/>
              </w:rPr>
              <w:t>1) swoim użytkownikom końcowym, w tym korzystającym z aparatów publicznych, bezpłatne połączenia z numerami alarmowymi;</w:t>
            </w:r>
          </w:p>
          <w:p w14:paraId="311C30BB" w14:textId="77777777" w:rsidR="00F819C5" w:rsidRPr="00317ABF" w:rsidRDefault="00F819C5" w:rsidP="00F819C5">
            <w:pPr>
              <w:jc w:val="both"/>
              <w:rPr>
                <w:sz w:val="22"/>
                <w:szCs w:val="22"/>
              </w:rPr>
            </w:pPr>
            <w:r w:rsidRPr="00317ABF">
              <w:rPr>
                <w:sz w:val="22"/>
                <w:szCs w:val="22"/>
              </w:rPr>
              <w:t>2) kierowanie:</w:t>
            </w:r>
          </w:p>
          <w:p w14:paraId="2186357A" w14:textId="77777777" w:rsidR="00F819C5" w:rsidRPr="00317ABF" w:rsidRDefault="00F819C5" w:rsidP="00F819C5">
            <w:pPr>
              <w:jc w:val="both"/>
              <w:rPr>
                <w:sz w:val="22"/>
                <w:szCs w:val="22"/>
              </w:rPr>
            </w:pPr>
            <w:r w:rsidRPr="00317ABF">
              <w:rPr>
                <w:sz w:val="22"/>
                <w:szCs w:val="22"/>
              </w:rPr>
              <w:t>a) połączeń głosowych do numerów alarmowych 112, 997, 998 i 999 do właściwego terytorialnie centrum powiadamiania ratunkowego oraz połączeń głosowych do innych numerów alarmowych do właściwych terytorialnie jednostek służb ustawowo powołanych do niesienia pomocy,</w:t>
            </w:r>
          </w:p>
          <w:p w14:paraId="34BE3DFF" w14:textId="77777777" w:rsidR="00F819C5" w:rsidRPr="00317ABF" w:rsidRDefault="00F819C5" w:rsidP="00F819C5">
            <w:pPr>
              <w:jc w:val="both"/>
              <w:rPr>
                <w:sz w:val="22"/>
                <w:szCs w:val="22"/>
              </w:rPr>
            </w:pPr>
            <w:r w:rsidRPr="00317ABF">
              <w:rPr>
                <w:sz w:val="22"/>
                <w:szCs w:val="22"/>
              </w:rPr>
              <w:t>b) krótkich wiadomości tekstowych (sms) do numeru alarmowego 112 do centralnego punktu systemu powiadamiania ratunkowego.”;</w:t>
            </w:r>
          </w:p>
          <w:p w14:paraId="59FD4F38" w14:textId="311535E9" w:rsidR="001E1112" w:rsidRPr="00317ABF" w:rsidRDefault="001E1112" w:rsidP="00DB3BEC">
            <w:pPr>
              <w:jc w:val="both"/>
              <w:rPr>
                <w:sz w:val="22"/>
                <w:szCs w:val="22"/>
              </w:rPr>
            </w:pPr>
          </w:p>
          <w:p w14:paraId="2A8CF46F" w14:textId="44AAF298" w:rsidR="00F819C5" w:rsidRPr="00317ABF" w:rsidRDefault="00F819C5" w:rsidP="00F819C5">
            <w:pPr>
              <w:jc w:val="both"/>
              <w:rPr>
                <w:sz w:val="22"/>
                <w:szCs w:val="22"/>
              </w:rPr>
            </w:pPr>
          </w:p>
          <w:p w14:paraId="19F3E82D" w14:textId="6D29952C" w:rsidR="001E1112" w:rsidRPr="00317ABF" w:rsidRDefault="001E1112" w:rsidP="00DB3BEC">
            <w:pPr>
              <w:jc w:val="both"/>
              <w:rPr>
                <w:sz w:val="22"/>
                <w:szCs w:val="22"/>
              </w:rPr>
            </w:pPr>
          </w:p>
        </w:tc>
      </w:tr>
      <w:tr w:rsidR="001E1112" w:rsidRPr="00317ABF" w14:paraId="22910680" w14:textId="77777777" w:rsidTr="7753F98D">
        <w:trPr>
          <w:gridAfter w:val="2"/>
          <w:wAfter w:w="175" w:type="dxa"/>
        </w:trPr>
        <w:tc>
          <w:tcPr>
            <w:tcW w:w="704" w:type="dxa"/>
          </w:tcPr>
          <w:p w14:paraId="7D123185" w14:textId="4CE973C8" w:rsidR="001E1112" w:rsidRPr="00317ABF" w:rsidRDefault="001E1112" w:rsidP="00DB3BEC">
            <w:pPr>
              <w:jc w:val="both"/>
              <w:rPr>
                <w:sz w:val="22"/>
                <w:szCs w:val="22"/>
              </w:rPr>
            </w:pPr>
            <w:r w:rsidRPr="00317ABF">
              <w:rPr>
                <w:sz w:val="22"/>
                <w:szCs w:val="22"/>
              </w:rPr>
              <w:t>Art. 109 ust. 2</w:t>
            </w:r>
          </w:p>
        </w:tc>
        <w:tc>
          <w:tcPr>
            <w:tcW w:w="4308" w:type="dxa"/>
          </w:tcPr>
          <w:p w14:paraId="4B2BD3DE" w14:textId="1823037F" w:rsidR="001E1112" w:rsidRPr="00317ABF" w:rsidRDefault="001E1112" w:rsidP="00DB3BEC">
            <w:pPr>
              <w:spacing w:before="120"/>
              <w:jc w:val="both"/>
              <w:rPr>
                <w:sz w:val="22"/>
                <w:szCs w:val="22"/>
              </w:rPr>
            </w:pPr>
            <w:r w:rsidRPr="00317ABF">
              <w:rPr>
                <w:sz w:val="22"/>
                <w:szCs w:val="22"/>
              </w:rPr>
              <w:t>2.   Po konsultacji z krajowymi organami regulacyjnymi i służbami ratunkowymi oraz dostawcami usług łączności elektronicznej państwa członkowskie zapewniają, aby dostawcy publicznie dostępnych usług łączności interpersonalnej wykorzystujących numery, w przypadku gdy te usługi umożliwiają użytkownikom końcowym nawiązywanie połączeń z numerem należącym do krajowego lub międzynarodowego planu numeracji, zapewniali dostęp do służb ratunkowych za pomocą zgłoszeń alarmowych kierowanych do najwłaściwszego PSAP.</w:t>
            </w:r>
          </w:p>
        </w:tc>
        <w:tc>
          <w:tcPr>
            <w:tcW w:w="986" w:type="dxa"/>
          </w:tcPr>
          <w:p w14:paraId="6EA8B16A" w14:textId="50AA5D47" w:rsidR="001E1112" w:rsidRPr="00317ABF" w:rsidRDefault="001E1112" w:rsidP="00DB3BEC">
            <w:pPr>
              <w:jc w:val="both"/>
              <w:rPr>
                <w:sz w:val="22"/>
                <w:szCs w:val="22"/>
              </w:rPr>
            </w:pPr>
            <w:r w:rsidRPr="00317ABF">
              <w:rPr>
                <w:sz w:val="22"/>
                <w:szCs w:val="22"/>
              </w:rPr>
              <w:t>T</w:t>
            </w:r>
          </w:p>
        </w:tc>
        <w:tc>
          <w:tcPr>
            <w:tcW w:w="910" w:type="dxa"/>
          </w:tcPr>
          <w:p w14:paraId="66CE31F7" w14:textId="52F6EE7B" w:rsidR="001E1112" w:rsidRPr="00317ABF" w:rsidRDefault="001E1112" w:rsidP="00860724">
            <w:pPr>
              <w:pStyle w:val="Tekstpodstawowy"/>
              <w:rPr>
                <w:b/>
                <w:noProof/>
                <w:sz w:val="22"/>
                <w:szCs w:val="22"/>
              </w:rPr>
            </w:pPr>
            <w:r w:rsidRPr="00317ABF">
              <w:rPr>
                <w:b/>
                <w:noProof/>
                <w:sz w:val="22"/>
                <w:szCs w:val="22"/>
              </w:rPr>
              <w:t xml:space="preserve">Art. </w:t>
            </w:r>
            <w:r w:rsidR="00860724" w:rsidRPr="00317ABF">
              <w:rPr>
                <w:b/>
                <w:bCs/>
                <w:noProof/>
                <w:sz w:val="22"/>
                <w:szCs w:val="22"/>
              </w:rPr>
              <w:t xml:space="preserve"> 38 ustawy</w:t>
            </w:r>
            <w:r w:rsidR="00860724" w:rsidRPr="00317ABF">
              <w:rPr>
                <w:b/>
                <w:noProof/>
                <w:sz w:val="22"/>
                <w:szCs w:val="22"/>
              </w:rPr>
              <w:t xml:space="preserve"> </w:t>
            </w:r>
            <w:r w:rsidR="00860724" w:rsidRPr="00317ABF">
              <w:rPr>
                <w:b/>
                <w:bCs/>
                <w:noProof/>
                <w:sz w:val="22"/>
                <w:szCs w:val="22"/>
              </w:rPr>
              <w:t>Przepisy wprowadzające ustawę – Prawo komunikacji elektronicznej – w zakresie zmiany art. 20</w:t>
            </w:r>
            <w:r w:rsidR="0026678B" w:rsidRPr="00317ABF">
              <w:rPr>
                <w:b/>
                <w:bCs/>
                <w:noProof/>
                <w:sz w:val="22"/>
                <w:szCs w:val="22"/>
              </w:rPr>
              <w:t xml:space="preserve"> ust. 1</w:t>
            </w:r>
            <w:r w:rsidR="00860724" w:rsidRPr="00317ABF">
              <w:rPr>
                <w:b/>
                <w:bCs/>
                <w:noProof/>
                <w:sz w:val="22"/>
                <w:szCs w:val="22"/>
              </w:rPr>
              <w:t xml:space="preserve"> ustawy o systemiepowiadamiania ratunkowego</w:t>
            </w:r>
          </w:p>
        </w:tc>
        <w:tc>
          <w:tcPr>
            <w:tcW w:w="6814" w:type="dxa"/>
            <w:gridSpan w:val="2"/>
          </w:tcPr>
          <w:p w14:paraId="6F5C1E41" w14:textId="77777777" w:rsidR="00860724" w:rsidRPr="00317ABF" w:rsidRDefault="00860724" w:rsidP="00860724">
            <w:pPr>
              <w:jc w:val="both"/>
              <w:rPr>
                <w:b/>
                <w:bCs/>
                <w:sz w:val="22"/>
                <w:szCs w:val="22"/>
              </w:rPr>
            </w:pPr>
            <w:r w:rsidRPr="00317ABF">
              <w:rPr>
                <w:b/>
                <w:bCs/>
                <w:sz w:val="22"/>
                <w:szCs w:val="22"/>
              </w:rPr>
              <w:t>Art. 38 pkt 13 ustawy Przepisy wprowadzające ustawę – Prawo komunikacji elektronicznej:</w:t>
            </w:r>
          </w:p>
          <w:p w14:paraId="3C01A099" w14:textId="77777777" w:rsidR="00860724" w:rsidRPr="00317ABF" w:rsidRDefault="00860724" w:rsidP="00860724">
            <w:pPr>
              <w:jc w:val="both"/>
              <w:rPr>
                <w:bCs/>
                <w:sz w:val="22"/>
                <w:szCs w:val="22"/>
              </w:rPr>
            </w:pPr>
            <w:r w:rsidRPr="00317ABF">
              <w:rPr>
                <w:b/>
                <w:bCs/>
                <w:sz w:val="22"/>
                <w:szCs w:val="22"/>
              </w:rPr>
              <w:t xml:space="preserve"> </w:t>
            </w:r>
            <w:r w:rsidRPr="00317ABF">
              <w:rPr>
                <w:bCs/>
                <w:sz w:val="22"/>
                <w:szCs w:val="22"/>
              </w:rPr>
              <w:t>13)  art. 20 ust. 1 otrzymuje następujące brzmienie:</w:t>
            </w:r>
          </w:p>
          <w:p w14:paraId="257AD73D" w14:textId="77777777" w:rsidR="00860724" w:rsidRPr="00317ABF" w:rsidRDefault="00860724" w:rsidP="00860724">
            <w:pPr>
              <w:jc w:val="both"/>
              <w:rPr>
                <w:bCs/>
                <w:sz w:val="22"/>
                <w:szCs w:val="22"/>
              </w:rPr>
            </w:pPr>
            <w:r w:rsidRPr="00317ABF">
              <w:rPr>
                <w:bCs/>
                <w:sz w:val="22"/>
                <w:szCs w:val="22"/>
              </w:rPr>
              <w:t>„1. Dostawca publicznie dostępnych usług komunikacji interpersonalnej wykorzystujących numery z planu numeracji krajowej lub międzynarodowych planów numeracji i umożliwiających nawiązywanie połączeń z numerami z tych planów zapewnia:</w:t>
            </w:r>
          </w:p>
          <w:p w14:paraId="74A007D6" w14:textId="77777777" w:rsidR="00860724" w:rsidRPr="00317ABF" w:rsidRDefault="00860724" w:rsidP="00860724">
            <w:pPr>
              <w:jc w:val="both"/>
              <w:rPr>
                <w:bCs/>
                <w:sz w:val="22"/>
                <w:szCs w:val="22"/>
              </w:rPr>
            </w:pPr>
            <w:r w:rsidRPr="00317ABF">
              <w:rPr>
                <w:bCs/>
                <w:sz w:val="22"/>
                <w:szCs w:val="22"/>
              </w:rPr>
              <w:t>1) swoim użytkownikom końcowym, w tym korzystającym z aparatów publicznych, bezpłatne połączenia z numerami alarmowymi;</w:t>
            </w:r>
          </w:p>
          <w:p w14:paraId="140777DB" w14:textId="11305489" w:rsidR="001E1112" w:rsidRPr="00317ABF" w:rsidRDefault="000E246E" w:rsidP="000E246E">
            <w:pPr>
              <w:jc w:val="both"/>
              <w:rPr>
                <w:sz w:val="22"/>
                <w:szCs w:val="22"/>
              </w:rPr>
            </w:pPr>
            <w:r w:rsidRPr="00317ABF">
              <w:rPr>
                <w:bCs/>
                <w:sz w:val="22"/>
                <w:szCs w:val="22"/>
              </w:rPr>
              <w:t>(…)</w:t>
            </w:r>
          </w:p>
        </w:tc>
      </w:tr>
      <w:tr w:rsidR="001E1112" w:rsidRPr="00317ABF" w14:paraId="4E80D645" w14:textId="77777777" w:rsidTr="7753F98D">
        <w:trPr>
          <w:gridAfter w:val="2"/>
          <w:wAfter w:w="175" w:type="dxa"/>
        </w:trPr>
        <w:tc>
          <w:tcPr>
            <w:tcW w:w="704" w:type="dxa"/>
          </w:tcPr>
          <w:p w14:paraId="746A09ED" w14:textId="77777777" w:rsidR="001E1112" w:rsidRPr="00317ABF" w:rsidRDefault="001E1112" w:rsidP="00DB3BEC">
            <w:pPr>
              <w:jc w:val="both"/>
              <w:rPr>
                <w:sz w:val="22"/>
                <w:szCs w:val="22"/>
              </w:rPr>
            </w:pPr>
            <w:r w:rsidRPr="00317ABF">
              <w:rPr>
                <w:sz w:val="22"/>
                <w:szCs w:val="22"/>
              </w:rPr>
              <w:t>Art. 109 ust. 3</w:t>
            </w:r>
          </w:p>
        </w:tc>
        <w:tc>
          <w:tcPr>
            <w:tcW w:w="4308" w:type="dxa"/>
          </w:tcPr>
          <w:p w14:paraId="000287D5" w14:textId="77777777" w:rsidR="001E1112" w:rsidRPr="00317ABF" w:rsidRDefault="001E1112" w:rsidP="00DB3BEC">
            <w:pPr>
              <w:spacing w:before="120"/>
              <w:jc w:val="both"/>
              <w:rPr>
                <w:sz w:val="22"/>
                <w:szCs w:val="22"/>
              </w:rPr>
            </w:pPr>
            <w:r w:rsidRPr="00317ABF">
              <w:rPr>
                <w:sz w:val="22"/>
                <w:szCs w:val="22"/>
              </w:rPr>
              <w:t>3.   Państwa członkowskie zapewniają właściwe odbieranie i obsługę wszystkich zgłoszeń alarmowych kierowanych pod jednolity europejski numer alarmowy „112” w sposób najlepiej odpowiadający krajowej organizacji systemów alarmowych. Takie zgłoszenia alarmowe odbiera się i obsługuje co najmniej z taką samą sprawnością i skutecznością jak zgłoszenia alarmowe kierowane pod krajowe numery alarmowe, jeżeli są one w dalszym ciągu wykorzystywane.</w:t>
            </w:r>
          </w:p>
        </w:tc>
        <w:tc>
          <w:tcPr>
            <w:tcW w:w="986" w:type="dxa"/>
          </w:tcPr>
          <w:p w14:paraId="6F0DE740" w14:textId="683C54A4" w:rsidR="001E1112" w:rsidRPr="00317ABF" w:rsidRDefault="001E1112" w:rsidP="00DB3BEC">
            <w:pPr>
              <w:jc w:val="both"/>
              <w:rPr>
                <w:sz w:val="22"/>
                <w:szCs w:val="22"/>
              </w:rPr>
            </w:pPr>
            <w:r w:rsidRPr="00317ABF">
              <w:rPr>
                <w:sz w:val="22"/>
                <w:szCs w:val="22"/>
              </w:rPr>
              <w:t>T</w:t>
            </w:r>
          </w:p>
        </w:tc>
        <w:tc>
          <w:tcPr>
            <w:tcW w:w="910" w:type="dxa"/>
          </w:tcPr>
          <w:p w14:paraId="2E6FFCB5" w14:textId="6F766342" w:rsidR="001E1112" w:rsidRPr="00317ABF" w:rsidRDefault="001E1112" w:rsidP="00DB3BEC">
            <w:pPr>
              <w:pStyle w:val="Tekstpodstawowy"/>
              <w:rPr>
                <w:b/>
                <w:noProof/>
                <w:sz w:val="22"/>
                <w:szCs w:val="22"/>
              </w:rPr>
            </w:pPr>
            <w:r w:rsidRPr="00317ABF">
              <w:rPr>
                <w:b/>
                <w:noProof/>
                <w:sz w:val="22"/>
                <w:szCs w:val="22"/>
              </w:rPr>
              <w:t>Art. 3 ustawy o systemie powiadamiania ratunkowego</w:t>
            </w:r>
          </w:p>
        </w:tc>
        <w:tc>
          <w:tcPr>
            <w:tcW w:w="6814" w:type="dxa"/>
            <w:gridSpan w:val="2"/>
          </w:tcPr>
          <w:p w14:paraId="20240BAC" w14:textId="0F38C3F1" w:rsidR="001E1112" w:rsidRPr="00317ABF" w:rsidRDefault="001E1112" w:rsidP="00DB3BEC">
            <w:pPr>
              <w:jc w:val="both"/>
              <w:rPr>
                <w:sz w:val="22"/>
                <w:szCs w:val="22"/>
              </w:rPr>
            </w:pPr>
            <w:r w:rsidRPr="00317ABF">
              <w:rPr>
                <w:b/>
                <w:bCs/>
                <w:sz w:val="22"/>
                <w:szCs w:val="22"/>
              </w:rPr>
              <w:t>Art. 3</w:t>
            </w:r>
          </w:p>
          <w:p w14:paraId="21E094C3" w14:textId="77777777" w:rsidR="001E1112" w:rsidRPr="00317ABF" w:rsidRDefault="001E1112" w:rsidP="00DB3BEC">
            <w:pPr>
              <w:jc w:val="both"/>
              <w:rPr>
                <w:sz w:val="22"/>
                <w:szCs w:val="22"/>
              </w:rPr>
            </w:pPr>
            <w:bookmarkStart w:id="176" w:name="mip49296944"/>
            <w:bookmarkEnd w:id="176"/>
            <w:r w:rsidRPr="00317ABF">
              <w:rPr>
                <w:sz w:val="22"/>
                <w:szCs w:val="22"/>
              </w:rPr>
              <w:t>1. Tworzy się system powiadamiania ratunkowego, zwany dalej „systemem”.</w:t>
            </w:r>
          </w:p>
          <w:p w14:paraId="3FB7B70F" w14:textId="77777777" w:rsidR="001E1112" w:rsidRPr="00317ABF" w:rsidRDefault="001E1112" w:rsidP="00DB3BEC">
            <w:pPr>
              <w:jc w:val="both"/>
              <w:rPr>
                <w:sz w:val="22"/>
                <w:szCs w:val="22"/>
              </w:rPr>
            </w:pPr>
            <w:bookmarkStart w:id="177" w:name="mip49296945"/>
            <w:bookmarkEnd w:id="177"/>
            <w:r w:rsidRPr="00317ABF">
              <w:rPr>
                <w:sz w:val="22"/>
                <w:szCs w:val="22"/>
              </w:rPr>
              <w:t>2. System składa się z centrów powiadamiania ratunkowego, zwanych dalej „centrami”, tworzących jednolity system do obsługi zgłoszeń alarmowych, kierowanych do numerów alarmowych 112, 997, 998 i 999, umożliwiający przekazanie zgłoszenia alarmowego w celu zaangażowania właściwych zasobów ratowniczych.</w:t>
            </w:r>
          </w:p>
          <w:p w14:paraId="5538FA41" w14:textId="67653938" w:rsidR="00A62799" w:rsidRPr="00317ABF" w:rsidRDefault="00A62799" w:rsidP="00DB3BEC">
            <w:pPr>
              <w:jc w:val="both"/>
              <w:rPr>
                <w:sz w:val="22"/>
                <w:szCs w:val="22"/>
              </w:rPr>
            </w:pPr>
            <w:r w:rsidRPr="00317ABF">
              <w:rPr>
                <w:sz w:val="22"/>
                <w:szCs w:val="22"/>
              </w:rPr>
              <w:t>(…)</w:t>
            </w:r>
          </w:p>
          <w:p w14:paraId="06F16068" w14:textId="77777777" w:rsidR="001E1112" w:rsidRPr="00317ABF" w:rsidRDefault="001E1112" w:rsidP="00DB3BEC">
            <w:pPr>
              <w:jc w:val="both"/>
              <w:rPr>
                <w:sz w:val="22"/>
                <w:szCs w:val="22"/>
              </w:rPr>
            </w:pPr>
          </w:p>
        </w:tc>
      </w:tr>
      <w:tr w:rsidR="001E1112" w:rsidRPr="00317ABF" w14:paraId="53081413" w14:textId="77777777" w:rsidTr="7753F98D">
        <w:trPr>
          <w:gridAfter w:val="2"/>
          <w:wAfter w:w="175" w:type="dxa"/>
        </w:trPr>
        <w:tc>
          <w:tcPr>
            <w:tcW w:w="704" w:type="dxa"/>
          </w:tcPr>
          <w:p w14:paraId="6E9DD65C" w14:textId="77777777" w:rsidR="001E1112" w:rsidRPr="00317ABF" w:rsidRDefault="001E1112" w:rsidP="00DB3BEC">
            <w:pPr>
              <w:jc w:val="both"/>
              <w:rPr>
                <w:sz w:val="22"/>
                <w:szCs w:val="22"/>
              </w:rPr>
            </w:pPr>
            <w:r w:rsidRPr="00317ABF">
              <w:rPr>
                <w:sz w:val="22"/>
                <w:szCs w:val="22"/>
              </w:rPr>
              <w:t>Art. 109 ust. 4</w:t>
            </w:r>
          </w:p>
        </w:tc>
        <w:tc>
          <w:tcPr>
            <w:tcW w:w="4308" w:type="dxa"/>
          </w:tcPr>
          <w:p w14:paraId="7372A7FF" w14:textId="77777777" w:rsidR="001E1112" w:rsidRPr="00317ABF" w:rsidRDefault="001E1112" w:rsidP="00DB3BEC">
            <w:pPr>
              <w:spacing w:before="120"/>
              <w:jc w:val="both"/>
              <w:rPr>
                <w:sz w:val="22"/>
                <w:szCs w:val="22"/>
              </w:rPr>
            </w:pPr>
            <w:r w:rsidRPr="00317ABF">
              <w:rPr>
                <w:sz w:val="22"/>
                <w:szCs w:val="22"/>
              </w:rPr>
              <w:t>4.   Do dnia 21 grudnia 2020 r., a następnie co dwa lata, Komisja przedstawia Parlamentowi Europejskiemu i Radzie sprawozdanie w sprawie skuteczności wdrożenia jednolitego europejskiego numeru alarmowego „112”.</w:t>
            </w:r>
          </w:p>
        </w:tc>
        <w:tc>
          <w:tcPr>
            <w:tcW w:w="986" w:type="dxa"/>
          </w:tcPr>
          <w:p w14:paraId="0491A6C8" w14:textId="0FC1A64E" w:rsidR="001E1112" w:rsidRPr="00317ABF" w:rsidRDefault="001E1112" w:rsidP="00DB3BEC">
            <w:pPr>
              <w:jc w:val="both"/>
              <w:rPr>
                <w:sz w:val="22"/>
                <w:szCs w:val="22"/>
              </w:rPr>
            </w:pPr>
            <w:r w:rsidRPr="00317ABF">
              <w:rPr>
                <w:sz w:val="22"/>
                <w:szCs w:val="22"/>
              </w:rPr>
              <w:t>N</w:t>
            </w:r>
          </w:p>
        </w:tc>
        <w:tc>
          <w:tcPr>
            <w:tcW w:w="910" w:type="dxa"/>
          </w:tcPr>
          <w:p w14:paraId="64CF8DAF" w14:textId="77777777" w:rsidR="001E1112" w:rsidRPr="00317ABF" w:rsidRDefault="001E1112" w:rsidP="00DB3BEC">
            <w:pPr>
              <w:pStyle w:val="Tekstpodstawowy"/>
              <w:rPr>
                <w:b/>
                <w:noProof/>
                <w:sz w:val="22"/>
                <w:szCs w:val="22"/>
              </w:rPr>
            </w:pPr>
          </w:p>
        </w:tc>
        <w:tc>
          <w:tcPr>
            <w:tcW w:w="6814" w:type="dxa"/>
            <w:gridSpan w:val="2"/>
          </w:tcPr>
          <w:p w14:paraId="7F9E1BBA" w14:textId="77777777" w:rsidR="001E1112" w:rsidRPr="00317ABF" w:rsidRDefault="001E1112" w:rsidP="00DB3BEC">
            <w:pPr>
              <w:pStyle w:val="Tekstpodstawowy"/>
              <w:rPr>
                <w:sz w:val="22"/>
                <w:szCs w:val="22"/>
              </w:rPr>
            </w:pPr>
          </w:p>
        </w:tc>
      </w:tr>
      <w:tr w:rsidR="001E1112" w:rsidRPr="00317ABF" w14:paraId="145AD500" w14:textId="77777777" w:rsidTr="7753F98D">
        <w:trPr>
          <w:gridAfter w:val="2"/>
          <w:wAfter w:w="175" w:type="dxa"/>
        </w:trPr>
        <w:tc>
          <w:tcPr>
            <w:tcW w:w="704" w:type="dxa"/>
          </w:tcPr>
          <w:p w14:paraId="5D4A284B" w14:textId="77777777" w:rsidR="001E1112" w:rsidRPr="00317ABF" w:rsidRDefault="001E1112" w:rsidP="00DB3BEC">
            <w:pPr>
              <w:jc w:val="both"/>
              <w:rPr>
                <w:sz w:val="22"/>
                <w:szCs w:val="22"/>
              </w:rPr>
            </w:pPr>
            <w:r w:rsidRPr="00317ABF">
              <w:rPr>
                <w:sz w:val="22"/>
                <w:szCs w:val="22"/>
              </w:rPr>
              <w:t>Art. 109 ust. 5</w:t>
            </w:r>
          </w:p>
        </w:tc>
        <w:tc>
          <w:tcPr>
            <w:tcW w:w="4308" w:type="dxa"/>
          </w:tcPr>
          <w:p w14:paraId="2D2DEB94" w14:textId="77777777" w:rsidR="001E1112" w:rsidRPr="00317ABF" w:rsidRDefault="001E1112" w:rsidP="00DB3BEC">
            <w:pPr>
              <w:spacing w:before="120"/>
              <w:jc w:val="both"/>
              <w:rPr>
                <w:sz w:val="22"/>
                <w:szCs w:val="22"/>
              </w:rPr>
            </w:pPr>
            <w:r w:rsidRPr="00317ABF">
              <w:rPr>
                <w:sz w:val="22"/>
                <w:szCs w:val="22"/>
              </w:rPr>
              <w:t xml:space="preserve">5.   Państwa członkowskie zapewniają dostęp użytkowników końcowych z niepełnosprawnościami do służb ratunkowych za pomocą zgłoszeń alarmowych, równoważny dostępowi, który mają inni użytkownicy końcowi zgodnie z prawem Unii harmonizującym wymogi dotyczące dostępności produktów i usług. </w:t>
            </w:r>
          </w:p>
          <w:p w14:paraId="08671BED" w14:textId="55B345DC" w:rsidR="001E1112" w:rsidRPr="00317ABF" w:rsidRDefault="001E1112" w:rsidP="00DB3BEC">
            <w:pPr>
              <w:spacing w:before="120"/>
              <w:jc w:val="both"/>
              <w:rPr>
                <w:sz w:val="22"/>
                <w:szCs w:val="22"/>
              </w:rPr>
            </w:pPr>
            <w:r w:rsidRPr="00317ABF">
              <w:rPr>
                <w:sz w:val="22"/>
                <w:szCs w:val="22"/>
              </w:rPr>
              <w:t>Komisja oraz krajowe organy regulacyjne lub inne właściwe organy podejmują odpowiednie środki w celu zapewnienia, aby użytkownicy końcowi z niepełnosprawnościami, gdy podróżują do innego państwa członkowskiego mogli mieć dostęp do służb ratunkowych na takich samych zasadach co pozostali użytkownicy końcowi, w miarę możliwości bez wcześniejszej rejestracji. Środki te mają zapewnić interoperacyjność we wszystkich państwach członkowskich i opierają się w jak największym stopniu na europejskich normach lub specyfikacjach ustanowionych zgodnie z art. 39. Takie środki nie uniemożliwiają państwom członkowskim przyjmowania dodatkowych wymogów zmierzających do realizacji celów określonych w niniejszym artykule.</w:t>
            </w:r>
          </w:p>
        </w:tc>
        <w:tc>
          <w:tcPr>
            <w:tcW w:w="986" w:type="dxa"/>
          </w:tcPr>
          <w:p w14:paraId="4AE90920" w14:textId="28FF220A" w:rsidR="001E1112" w:rsidRPr="00317ABF" w:rsidRDefault="001E1112" w:rsidP="00DB3BEC">
            <w:pPr>
              <w:jc w:val="both"/>
              <w:rPr>
                <w:sz w:val="22"/>
                <w:szCs w:val="22"/>
              </w:rPr>
            </w:pPr>
            <w:r w:rsidRPr="00317ABF">
              <w:rPr>
                <w:sz w:val="22"/>
                <w:szCs w:val="22"/>
              </w:rPr>
              <w:t>T</w:t>
            </w:r>
          </w:p>
        </w:tc>
        <w:tc>
          <w:tcPr>
            <w:tcW w:w="910" w:type="dxa"/>
          </w:tcPr>
          <w:p w14:paraId="0DCD6872" w14:textId="1B2EEA6E" w:rsidR="001E1112" w:rsidRPr="00317ABF" w:rsidRDefault="0026678B" w:rsidP="0026678B">
            <w:pPr>
              <w:pStyle w:val="Tekstpodstawowy"/>
              <w:rPr>
                <w:b/>
                <w:sz w:val="22"/>
                <w:szCs w:val="22"/>
              </w:rPr>
            </w:pPr>
            <w:r w:rsidRPr="00317ABF">
              <w:rPr>
                <w:b/>
                <w:noProof/>
                <w:sz w:val="22"/>
                <w:szCs w:val="22"/>
              </w:rPr>
              <w:t xml:space="preserve"> Art. </w:t>
            </w:r>
            <w:r w:rsidRPr="00317ABF">
              <w:rPr>
                <w:b/>
                <w:bCs/>
                <w:noProof/>
                <w:sz w:val="22"/>
                <w:szCs w:val="22"/>
              </w:rPr>
              <w:t xml:space="preserve"> 38 ustawy</w:t>
            </w:r>
            <w:r w:rsidRPr="00317ABF">
              <w:rPr>
                <w:b/>
                <w:noProof/>
                <w:sz w:val="22"/>
                <w:szCs w:val="22"/>
              </w:rPr>
              <w:t xml:space="preserve"> </w:t>
            </w:r>
            <w:r w:rsidRPr="00317ABF">
              <w:rPr>
                <w:b/>
                <w:bCs/>
                <w:noProof/>
                <w:sz w:val="22"/>
                <w:szCs w:val="22"/>
              </w:rPr>
              <w:t>Przepisy wprowadzające ustawę – Prawo komunikacji elektronicznej – w zakresie zmiany art</w:t>
            </w:r>
            <w:r w:rsidRPr="00317ABF">
              <w:rPr>
                <w:b/>
                <w:noProof/>
                <w:sz w:val="22"/>
                <w:szCs w:val="22"/>
              </w:rPr>
              <w:t xml:space="preserve">. </w:t>
            </w:r>
            <w:r w:rsidRPr="00317ABF">
              <w:rPr>
                <w:b/>
                <w:bCs/>
                <w:noProof/>
                <w:sz w:val="22"/>
                <w:szCs w:val="22"/>
              </w:rPr>
              <w:t xml:space="preserve"> </w:t>
            </w:r>
            <w:r w:rsidR="001E1112" w:rsidRPr="00317ABF">
              <w:rPr>
                <w:b/>
                <w:noProof/>
                <w:sz w:val="22"/>
                <w:szCs w:val="22"/>
              </w:rPr>
              <w:t>20</w:t>
            </w:r>
            <w:r w:rsidRPr="00317ABF">
              <w:rPr>
                <w:b/>
                <w:noProof/>
                <w:sz w:val="22"/>
                <w:szCs w:val="22"/>
              </w:rPr>
              <w:t xml:space="preserve"> ust. 1 pkt 2 lit. b </w:t>
            </w:r>
            <w:r w:rsidR="001E1112" w:rsidRPr="00317ABF">
              <w:rPr>
                <w:b/>
                <w:noProof/>
                <w:sz w:val="22"/>
                <w:szCs w:val="22"/>
              </w:rPr>
              <w:t xml:space="preserve"> ustawy o systemie powiadamiania ratunkowego </w:t>
            </w:r>
          </w:p>
        </w:tc>
        <w:tc>
          <w:tcPr>
            <w:tcW w:w="6814" w:type="dxa"/>
            <w:gridSpan w:val="2"/>
          </w:tcPr>
          <w:p w14:paraId="4BECA007" w14:textId="77777777" w:rsidR="0026678B" w:rsidRPr="00317ABF" w:rsidRDefault="0026678B" w:rsidP="0026678B">
            <w:pPr>
              <w:jc w:val="both"/>
              <w:rPr>
                <w:b/>
                <w:bCs/>
                <w:sz w:val="22"/>
                <w:szCs w:val="22"/>
              </w:rPr>
            </w:pPr>
            <w:r w:rsidRPr="00317ABF">
              <w:rPr>
                <w:b/>
                <w:bCs/>
                <w:sz w:val="22"/>
                <w:szCs w:val="22"/>
              </w:rPr>
              <w:t>Art. 38 pkt 13 ustawy Przepisy wprowadzające ustawę – Prawo komunikacji elektronicznej:</w:t>
            </w:r>
          </w:p>
          <w:p w14:paraId="4FC3F992" w14:textId="77777777" w:rsidR="0026678B" w:rsidRPr="00317ABF" w:rsidRDefault="0026678B" w:rsidP="0026678B">
            <w:pPr>
              <w:jc w:val="both"/>
              <w:rPr>
                <w:bCs/>
                <w:sz w:val="22"/>
                <w:szCs w:val="22"/>
              </w:rPr>
            </w:pPr>
            <w:r w:rsidRPr="00317ABF">
              <w:rPr>
                <w:b/>
                <w:bCs/>
                <w:sz w:val="22"/>
                <w:szCs w:val="22"/>
              </w:rPr>
              <w:t xml:space="preserve"> </w:t>
            </w:r>
            <w:r w:rsidRPr="00317ABF">
              <w:rPr>
                <w:bCs/>
                <w:sz w:val="22"/>
                <w:szCs w:val="22"/>
              </w:rPr>
              <w:t>13)  art. 20 ust. 1 otrzymuje następujące brzmienie:</w:t>
            </w:r>
          </w:p>
          <w:p w14:paraId="2C4A2564" w14:textId="77777777" w:rsidR="0026678B" w:rsidRPr="00317ABF" w:rsidRDefault="0026678B" w:rsidP="0026678B">
            <w:pPr>
              <w:jc w:val="both"/>
              <w:rPr>
                <w:bCs/>
                <w:sz w:val="22"/>
                <w:szCs w:val="22"/>
              </w:rPr>
            </w:pPr>
            <w:r w:rsidRPr="00317ABF">
              <w:rPr>
                <w:bCs/>
                <w:sz w:val="22"/>
                <w:szCs w:val="22"/>
              </w:rPr>
              <w:t>„1. Dostawca publicznie dostępnych usług komunikacji interpersonalnej wykorzystujących numery z planu numeracji krajowej lub międzynarodowych planów numeracji i umożliwiających nawiązywanie połączeń z numerami z tych planów zapewnia:</w:t>
            </w:r>
          </w:p>
          <w:p w14:paraId="33892E84" w14:textId="4342E1BA" w:rsidR="0026678B" w:rsidRPr="00317ABF" w:rsidRDefault="0026678B" w:rsidP="0026678B">
            <w:pPr>
              <w:jc w:val="both"/>
              <w:rPr>
                <w:bCs/>
                <w:sz w:val="22"/>
                <w:szCs w:val="22"/>
              </w:rPr>
            </w:pPr>
            <w:r w:rsidRPr="00317ABF">
              <w:rPr>
                <w:bCs/>
                <w:sz w:val="22"/>
                <w:szCs w:val="22"/>
              </w:rPr>
              <w:t>1) (…)</w:t>
            </w:r>
          </w:p>
          <w:p w14:paraId="30CA58D8" w14:textId="77777777" w:rsidR="0026678B" w:rsidRPr="00317ABF" w:rsidRDefault="0026678B" w:rsidP="0026678B">
            <w:pPr>
              <w:jc w:val="both"/>
              <w:rPr>
                <w:bCs/>
                <w:sz w:val="22"/>
                <w:szCs w:val="22"/>
              </w:rPr>
            </w:pPr>
            <w:r w:rsidRPr="00317ABF">
              <w:rPr>
                <w:bCs/>
                <w:sz w:val="22"/>
                <w:szCs w:val="22"/>
              </w:rPr>
              <w:t>2) kierowanie:</w:t>
            </w:r>
          </w:p>
          <w:p w14:paraId="5DBF169B" w14:textId="5AD83A10" w:rsidR="0026678B" w:rsidRPr="00317ABF" w:rsidRDefault="0026678B" w:rsidP="0026678B">
            <w:pPr>
              <w:jc w:val="both"/>
              <w:rPr>
                <w:bCs/>
                <w:sz w:val="22"/>
                <w:szCs w:val="22"/>
              </w:rPr>
            </w:pPr>
            <w:r w:rsidRPr="00317ABF">
              <w:rPr>
                <w:bCs/>
                <w:sz w:val="22"/>
                <w:szCs w:val="22"/>
              </w:rPr>
              <w:t>a) (…)</w:t>
            </w:r>
          </w:p>
          <w:p w14:paraId="06D324BC" w14:textId="77777777" w:rsidR="0026678B" w:rsidRPr="00317ABF" w:rsidRDefault="0026678B" w:rsidP="0026678B">
            <w:pPr>
              <w:jc w:val="both"/>
              <w:rPr>
                <w:bCs/>
                <w:sz w:val="22"/>
                <w:szCs w:val="22"/>
              </w:rPr>
            </w:pPr>
            <w:r w:rsidRPr="00317ABF">
              <w:rPr>
                <w:bCs/>
                <w:sz w:val="22"/>
                <w:szCs w:val="22"/>
              </w:rPr>
              <w:t>b) krótkich wiadomości tekstowych (sms) do numeru alarmowego 112 do centralnego punktu systemu powiadamiania ratunkowego.”;</w:t>
            </w:r>
          </w:p>
          <w:p w14:paraId="5BDE7808" w14:textId="77777777" w:rsidR="001E1112" w:rsidRPr="00317ABF" w:rsidRDefault="001E1112" w:rsidP="0026678B">
            <w:pPr>
              <w:jc w:val="both"/>
              <w:rPr>
                <w:sz w:val="22"/>
                <w:szCs w:val="22"/>
              </w:rPr>
            </w:pPr>
          </w:p>
        </w:tc>
      </w:tr>
      <w:tr w:rsidR="001E1112" w:rsidRPr="00317ABF" w14:paraId="21573909" w14:textId="77777777" w:rsidTr="7753F98D">
        <w:trPr>
          <w:gridAfter w:val="2"/>
          <w:wAfter w:w="175" w:type="dxa"/>
        </w:trPr>
        <w:tc>
          <w:tcPr>
            <w:tcW w:w="704" w:type="dxa"/>
          </w:tcPr>
          <w:p w14:paraId="1FDC3BED" w14:textId="77777777" w:rsidR="001E1112" w:rsidRPr="00317ABF" w:rsidRDefault="001E1112" w:rsidP="00DB3BEC">
            <w:pPr>
              <w:jc w:val="both"/>
              <w:rPr>
                <w:sz w:val="22"/>
                <w:szCs w:val="22"/>
              </w:rPr>
            </w:pPr>
            <w:r w:rsidRPr="00317ABF">
              <w:rPr>
                <w:sz w:val="22"/>
                <w:szCs w:val="22"/>
              </w:rPr>
              <w:t>Art. 109 ust. 6</w:t>
            </w:r>
          </w:p>
        </w:tc>
        <w:tc>
          <w:tcPr>
            <w:tcW w:w="4308" w:type="dxa"/>
          </w:tcPr>
          <w:p w14:paraId="3B678980" w14:textId="77777777" w:rsidR="001E1112" w:rsidRPr="00317ABF" w:rsidRDefault="001E1112" w:rsidP="00DB3BEC">
            <w:pPr>
              <w:spacing w:before="120"/>
              <w:jc w:val="both"/>
              <w:rPr>
                <w:sz w:val="22"/>
                <w:szCs w:val="22"/>
              </w:rPr>
            </w:pPr>
            <w:r w:rsidRPr="00317ABF">
              <w:rPr>
                <w:sz w:val="22"/>
                <w:szCs w:val="22"/>
              </w:rPr>
              <w:t xml:space="preserve">6.   Państwa członkowskie zapewniają, aby informacje o lokalizacji osoby wykonującej połączenie były udostępniane najodpowiedniejszemu PSAP bezzwłocznie po otrzymaniu zgłoszenia alarmowego. </w:t>
            </w:r>
          </w:p>
          <w:p w14:paraId="6E63E41C" w14:textId="77777777" w:rsidR="001E1112" w:rsidRPr="00317ABF" w:rsidRDefault="001E1112" w:rsidP="00DB3BEC">
            <w:pPr>
              <w:spacing w:before="120"/>
              <w:jc w:val="both"/>
              <w:rPr>
                <w:sz w:val="22"/>
                <w:szCs w:val="22"/>
              </w:rPr>
            </w:pPr>
          </w:p>
          <w:p w14:paraId="1F2F1961" w14:textId="77777777" w:rsidR="001E1112" w:rsidRPr="00317ABF" w:rsidRDefault="001E1112" w:rsidP="00DB3BEC">
            <w:pPr>
              <w:spacing w:before="120"/>
              <w:jc w:val="both"/>
              <w:rPr>
                <w:sz w:val="22"/>
                <w:szCs w:val="22"/>
              </w:rPr>
            </w:pPr>
          </w:p>
          <w:p w14:paraId="764F6907" w14:textId="77777777" w:rsidR="001E1112" w:rsidRPr="00317ABF" w:rsidRDefault="001E1112" w:rsidP="00DB3BEC">
            <w:pPr>
              <w:spacing w:before="120"/>
              <w:jc w:val="both"/>
              <w:rPr>
                <w:sz w:val="22"/>
                <w:szCs w:val="22"/>
              </w:rPr>
            </w:pPr>
          </w:p>
          <w:p w14:paraId="5F7D1CB0" w14:textId="77777777" w:rsidR="001E1112" w:rsidRPr="00317ABF" w:rsidRDefault="001E1112" w:rsidP="00DB3BEC">
            <w:pPr>
              <w:spacing w:before="120"/>
              <w:jc w:val="both"/>
              <w:rPr>
                <w:sz w:val="22"/>
                <w:szCs w:val="22"/>
              </w:rPr>
            </w:pPr>
          </w:p>
          <w:p w14:paraId="5DC2828C" w14:textId="77777777" w:rsidR="001E1112" w:rsidRPr="00317ABF" w:rsidRDefault="001E1112" w:rsidP="00DB3BEC">
            <w:pPr>
              <w:spacing w:before="120"/>
              <w:jc w:val="both"/>
              <w:rPr>
                <w:sz w:val="22"/>
                <w:szCs w:val="22"/>
              </w:rPr>
            </w:pPr>
          </w:p>
          <w:p w14:paraId="0A17234F" w14:textId="77777777" w:rsidR="001E1112" w:rsidRPr="00317ABF" w:rsidRDefault="001E1112" w:rsidP="00DB3BEC">
            <w:pPr>
              <w:spacing w:before="120"/>
              <w:jc w:val="both"/>
              <w:rPr>
                <w:sz w:val="22"/>
                <w:szCs w:val="22"/>
              </w:rPr>
            </w:pPr>
          </w:p>
          <w:p w14:paraId="057FF955" w14:textId="77777777" w:rsidR="001E1112" w:rsidRPr="00317ABF" w:rsidRDefault="001E1112" w:rsidP="00DB3BEC">
            <w:pPr>
              <w:spacing w:before="120"/>
              <w:jc w:val="both"/>
              <w:rPr>
                <w:sz w:val="22"/>
                <w:szCs w:val="22"/>
              </w:rPr>
            </w:pPr>
          </w:p>
          <w:p w14:paraId="78E30319" w14:textId="77777777" w:rsidR="001E1112" w:rsidRPr="00317ABF" w:rsidRDefault="001E1112" w:rsidP="00DB3BEC">
            <w:pPr>
              <w:spacing w:before="120"/>
              <w:jc w:val="both"/>
              <w:rPr>
                <w:sz w:val="22"/>
                <w:szCs w:val="22"/>
              </w:rPr>
            </w:pPr>
          </w:p>
          <w:p w14:paraId="2A9CFB7B" w14:textId="77777777" w:rsidR="001E1112" w:rsidRPr="00317ABF" w:rsidRDefault="001E1112" w:rsidP="00DB3BEC">
            <w:pPr>
              <w:spacing w:before="120"/>
              <w:jc w:val="both"/>
              <w:rPr>
                <w:sz w:val="22"/>
                <w:szCs w:val="22"/>
              </w:rPr>
            </w:pPr>
          </w:p>
          <w:p w14:paraId="63686A42" w14:textId="77777777" w:rsidR="001E1112" w:rsidRPr="00317ABF" w:rsidRDefault="001E1112" w:rsidP="00DB3BEC">
            <w:pPr>
              <w:spacing w:before="120"/>
              <w:jc w:val="both"/>
              <w:rPr>
                <w:sz w:val="22"/>
                <w:szCs w:val="22"/>
              </w:rPr>
            </w:pPr>
          </w:p>
          <w:p w14:paraId="37C1583E" w14:textId="77777777" w:rsidR="001E1112" w:rsidRPr="00317ABF" w:rsidRDefault="001E1112" w:rsidP="00DB3BEC">
            <w:pPr>
              <w:spacing w:before="120"/>
              <w:jc w:val="both"/>
              <w:rPr>
                <w:sz w:val="22"/>
                <w:szCs w:val="22"/>
              </w:rPr>
            </w:pPr>
          </w:p>
          <w:p w14:paraId="0F631C71" w14:textId="77777777" w:rsidR="001E1112" w:rsidRPr="00317ABF" w:rsidRDefault="001E1112" w:rsidP="00DB3BEC">
            <w:pPr>
              <w:spacing w:before="120"/>
              <w:jc w:val="both"/>
              <w:rPr>
                <w:sz w:val="22"/>
                <w:szCs w:val="22"/>
              </w:rPr>
            </w:pPr>
          </w:p>
          <w:p w14:paraId="6846CD53" w14:textId="77777777" w:rsidR="001E1112" w:rsidRPr="00317ABF" w:rsidRDefault="001E1112" w:rsidP="00DB3BEC">
            <w:pPr>
              <w:spacing w:before="120"/>
              <w:jc w:val="both"/>
              <w:rPr>
                <w:sz w:val="22"/>
                <w:szCs w:val="22"/>
              </w:rPr>
            </w:pPr>
          </w:p>
          <w:p w14:paraId="7F3FE4C8" w14:textId="77777777" w:rsidR="001E1112" w:rsidRPr="00317ABF" w:rsidRDefault="001E1112" w:rsidP="00DB3BEC">
            <w:pPr>
              <w:spacing w:before="120"/>
              <w:jc w:val="both"/>
              <w:rPr>
                <w:sz w:val="22"/>
                <w:szCs w:val="22"/>
              </w:rPr>
            </w:pPr>
          </w:p>
          <w:p w14:paraId="3CF852A8" w14:textId="77777777" w:rsidR="001E1112" w:rsidRPr="00317ABF" w:rsidRDefault="001E1112" w:rsidP="00DB3BEC">
            <w:pPr>
              <w:spacing w:before="120"/>
              <w:jc w:val="both"/>
              <w:rPr>
                <w:sz w:val="22"/>
                <w:szCs w:val="22"/>
              </w:rPr>
            </w:pPr>
          </w:p>
          <w:p w14:paraId="1A294892" w14:textId="77777777" w:rsidR="001E1112" w:rsidRPr="00317ABF" w:rsidRDefault="001E1112" w:rsidP="00DB3BEC">
            <w:pPr>
              <w:spacing w:before="120"/>
              <w:jc w:val="both"/>
              <w:rPr>
                <w:sz w:val="22"/>
                <w:szCs w:val="22"/>
              </w:rPr>
            </w:pPr>
          </w:p>
          <w:p w14:paraId="558D41E0" w14:textId="77777777" w:rsidR="001E1112" w:rsidRPr="00317ABF" w:rsidRDefault="001E1112" w:rsidP="00DB3BEC">
            <w:pPr>
              <w:spacing w:before="120"/>
              <w:jc w:val="both"/>
              <w:rPr>
                <w:sz w:val="22"/>
                <w:szCs w:val="22"/>
              </w:rPr>
            </w:pPr>
          </w:p>
          <w:p w14:paraId="27250358" w14:textId="77777777" w:rsidR="001E1112" w:rsidRPr="00317ABF" w:rsidRDefault="001E1112" w:rsidP="00DB3BEC">
            <w:pPr>
              <w:spacing w:before="120"/>
              <w:jc w:val="both"/>
              <w:rPr>
                <w:sz w:val="22"/>
                <w:szCs w:val="22"/>
              </w:rPr>
            </w:pPr>
          </w:p>
          <w:p w14:paraId="51FE200F" w14:textId="77777777" w:rsidR="001E1112" w:rsidRPr="00317ABF" w:rsidRDefault="001E1112" w:rsidP="00DB3BEC">
            <w:pPr>
              <w:spacing w:before="120"/>
              <w:jc w:val="both"/>
              <w:rPr>
                <w:sz w:val="22"/>
                <w:szCs w:val="22"/>
              </w:rPr>
            </w:pPr>
          </w:p>
          <w:p w14:paraId="1D20B82B" w14:textId="77777777" w:rsidR="001E1112" w:rsidRPr="00317ABF" w:rsidRDefault="001E1112" w:rsidP="00DB3BEC">
            <w:pPr>
              <w:spacing w:before="120"/>
              <w:jc w:val="both"/>
              <w:rPr>
                <w:sz w:val="22"/>
                <w:szCs w:val="22"/>
              </w:rPr>
            </w:pPr>
          </w:p>
          <w:p w14:paraId="0B45FF80" w14:textId="77777777" w:rsidR="001E1112" w:rsidRPr="00317ABF" w:rsidRDefault="001E1112" w:rsidP="00DB3BEC">
            <w:pPr>
              <w:spacing w:before="120"/>
              <w:jc w:val="both"/>
              <w:rPr>
                <w:sz w:val="22"/>
                <w:szCs w:val="22"/>
              </w:rPr>
            </w:pPr>
          </w:p>
          <w:p w14:paraId="1767759E" w14:textId="77777777" w:rsidR="001E1112" w:rsidRPr="00317ABF" w:rsidRDefault="001E1112" w:rsidP="00DB3BEC">
            <w:pPr>
              <w:spacing w:before="120"/>
              <w:jc w:val="both"/>
              <w:rPr>
                <w:sz w:val="22"/>
                <w:szCs w:val="22"/>
              </w:rPr>
            </w:pPr>
          </w:p>
          <w:p w14:paraId="7717F700" w14:textId="77777777" w:rsidR="001E1112" w:rsidRPr="00317ABF" w:rsidRDefault="001E1112" w:rsidP="00DB3BEC">
            <w:pPr>
              <w:spacing w:before="120"/>
              <w:jc w:val="both"/>
              <w:rPr>
                <w:sz w:val="22"/>
                <w:szCs w:val="22"/>
              </w:rPr>
            </w:pPr>
          </w:p>
          <w:p w14:paraId="6D6BBB93" w14:textId="77777777" w:rsidR="001E1112" w:rsidRPr="00317ABF" w:rsidRDefault="001E1112" w:rsidP="00DB3BEC">
            <w:pPr>
              <w:spacing w:before="120"/>
              <w:jc w:val="both"/>
              <w:rPr>
                <w:sz w:val="22"/>
                <w:szCs w:val="22"/>
              </w:rPr>
            </w:pPr>
          </w:p>
          <w:p w14:paraId="5907EAEA" w14:textId="77777777" w:rsidR="001E1112" w:rsidRPr="00317ABF" w:rsidRDefault="001E1112" w:rsidP="00DB3BEC">
            <w:pPr>
              <w:spacing w:before="120"/>
              <w:jc w:val="both"/>
              <w:rPr>
                <w:sz w:val="22"/>
                <w:szCs w:val="22"/>
              </w:rPr>
            </w:pPr>
          </w:p>
          <w:p w14:paraId="1FCBFE3C" w14:textId="77777777" w:rsidR="001E1112" w:rsidRPr="00317ABF" w:rsidRDefault="001E1112" w:rsidP="00DB3BEC">
            <w:pPr>
              <w:spacing w:before="120"/>
              <w:jc w:val="both"/>
              <w:rPr>
                <w:sz w:val="22"/>
                <w:szCs w:val="22"/>
              </w:rPr>
            </w:pPr>
          </w:p>
          <w:p w14:paraId="6FE4F47F" w14:textId="77777777" w:rsidR="001E1112" w:rsidRPr="00317ABF" w:rsidRDefault="001E1112" w:rsidP="00DB3BEC">
            <w:pPr>
              <w:spacing w:before="120"/>
              <w:jc w:val="both"/>
              <w:rPr>
                <w:sz w:val="22"/>
                <w:szCs w:val="22"/>
              </w:rPr>
            </w:pPr>
          </w:p>
          <w:p w14:paraId="7E17167D" w14:textId="3CD1BEB0" w:rsidR="001E1112" w:rsidRPr="00317ABF" w:rsidRDefault="001E1112" w:rsidP="00DB3BEC">
            <w:pPr>
              <w:spacing w:before="120"/>
              <w:jc w:val="both"/>
              <w:rPr>
                <w:sz w:val="22"/>
                <w:szCs w:val="22"/>
              </w:rPr>
            </w:pPr>
            <w:r w:rsidRPr="00317ABF">
              <w:rPr>
                <w:sz w:val="22"/>
                <w:szCs w:val="22"/>
              </w:rPr>
              <w:t xml:space="preserve">Informacje te obejmują informacje o lokalizacji oparte na sieci i informacje o lokalizacji osoby wykonującej połączenie pochodzące z urządzenia telefonicznego, jeżeli jest to technicznie wykonalne. </w:t>
            </w:r>
          </w:p>
          <w:p w14:paraId="713F1F13" w14:textId="77777777" w:rsidR="001E1112" w:rsidRPr="00317ABF" w:rsidRDefault="001E1112" w:rsidP="00DB3BEC">
            <w:pPr>
              <w:spacing w:before="120"/>
              <w:jc w:val="both"/>
              <w:rPr>
                <w:sz w:val="22"/>
                <w:szCs w:val="22"/>
              </w:rPr>
            </w:pPr>
          </w:p>
          <w:p w14:paraId="1D98119E" w14:textId="77777777" w:rsidR="001E1112" w:rsidRPr="00317ABF" w:rsidRDefault="001E1112" w:rsidP="00DB3BEC">
            <w:pPr>
              <w:spacing w:before="120"/>
              <w:jc w:val="both"/>
              <w:rPr>
                <w:sz w:val="22"/>
                <w:szCs w:val="22"/>
              </w:rPr>
            </w:pPr>
          </w:p>
          <w:p w14:paraId="6DE89BA9" w14:textId="77777777" w:rsidR="001E1112" w:rsidRPr="00317ABF" w:rsidRDefault="001E1112" w:rsidP="00DB3BEC">
            <w:pPr>
              <w:spacing w:before="120"/>
              <w:jc w:val="both"/>
              <w:rPr>
                <w:sz w:val="22"/>
                <w:szCs w:val="22"/>
              </w:rPr>
            </w:pPr>
          </w:p>
          <w:p w14:paraId="0FA88441" w14:textId="77777777" w:rsidR="001E1112" w:rsidRPr="00317ABF" w:rsidRDefault="001E1112" w:rsidP="00DB3BEC">
            <w:pPr>
              <w:spacing w:before="120"/>
              <w:jc w:val="both"/>
              <w:rPr>
                <w:sz w:val="22"/>
                <w:szCs w:val="22"/>
              </w:rPr>
            </w:pPr>
          </w:p>
          <w:p w14:paraId="790E6606" w14:textId="77777777" w:rsidR="001E1112" w:rsidRPr="00317ABF" w:rsidRDefault="001E1112" w:rsidP="00DB3BEC">
            <w:pPr>
              <w:spacing w:before="120"/>
              <w:jc w:val="both"/>
              <w:rPr>
                <w:sz w:val="22"/>
                <w:szCs w:val="22"/>
              </w:rPr>
            </w:pPr>
          </w:p>
          <w:p w14:paraId="3DF8715F" w14:textId="77777777" w:rsidR="001E1112" w:rsidRPr="00317ABF" w:rsidRDefault="001E1112" w:rsidP="00DB3BEC">
            <w:pPr>
              <w:spacing w:before="120"/>
              <w:jc w:val="both"/>
              <w:rPr>
                <w:sz w:val="22"/>
                <w:szCs w:val="22"/>
              </w:rPr>
            </w:pPr>
          </w:p>
          <w:p w14:paraId="47C7DB45" w14:textId="77777777" w:rsidR="001E1112" w:rsidRPr="00317ABF" w:rsidRDefault="001E1112" w:rsidP="00DB3BEC">
            <w:pPr>
              <w:spacing w:before="120"/>
              <w:jc w:val="both"/>
              <w:rPr>
                <w:sz w:val="22"/>
                <w:szCs w:val="22"/>
              </w:rPr>
            </w:pPr>
          </w:p>
          <w:p w14:paraId="2F36B166" w14:textId="77777777" w:rsidR="001E1112" w:rsidRPr="00317ABF" w:rsidRDefault="001E1112" w:rsidP="00DB3BEC">
            <w:pPr>
              <w:spacing w:before="120"/>
              <w:jc w:val="both"/>
              <w:rPr>
                <w:sz w:val="22"/>
                <w:szCs w:val="22"/>
              </w:rPr>
            </w:pPr>
          </w:p>
          <w:p w14:paraId="604054B1" w14:textId="77777777" w:rsidR="001E1112" w:rsidRPr="00317ABF" w:rsidRDefault="001E1112" w:rsidP="00DB3BEC">
            <w:pPr>
              <w:spacing w:before="120"/>
              <w:jc w:val="both"/>
              <w:rPr>
                <w:sz w:val="22"/>
                <w:szCs w:val="22"/>
              </w:rPr>
            </w:pPr>
          </w:p>
          <w:p w14:paraId="1EFE04D0" w14:textId="77777777" w:rsidR="001E1112" w:rsidRPr="00317ABF" w:rsidRDefault="001E1112" w:rsidP="00DB3BEC">
            <w:pPr>
              <w:spacing w:before="120"/>
              <w:jc w:val="both"/>
              <w:rPr>
                <w:sz w:val="22"/>
                <w:szCs w:val="22"/>
              </w:rPr>
            </w:pPr>
          </w:p>
          <w:p w14:paraId="120B525E" w14:textId="77777777" w:rsidR="001E1112" w:rsidRPr="00317ABF" w:rsidRDefault="001E1112" w:rsidP="00DB3BEC">
            <w:pPr>
              <w:spacing w:before="120"/>
              <w:jc w:val="both"/>
              <w:rPr>
                <w:sz w:val="22"/>
                <w:szCs w:val="22"/>
              </w:rPr>
            </w:pPr>
          </w:p>
          <w:p w14:paraId="57639978" w14:textId="77777777" w:rsidR="001E1112" w:rsidRPr="00317ABF" w:rsidRDefault="001E1112" w:rsidP="00DB3BEC">
            <w:pPr>
              <w:spacing w:before="120"/>
              <w:jc w:val="both"/>
              <w:rPr>
                <w:sz w:val="22"/>
                <w:szCs w:val="22"/>
              </w:rPr>
            </w:pPr>
          </w:p>
          <w:p w14:paraId="230368B6" w14:textId="77777777" w:rsidR="001E1112" w:rsidRPr="00317ABF" w:rsidRDefault="001E1112" w:rsidP="00DB3BEC">
            <w:pPr>
              <w:spacing w:before="120"/>
              <w:jc w:val="both"/>
              <w:rPr>
                <w:sz w:val="22"/>
                <w:szCs w:val="22"/>
              </w:rPr>
            </w:pPr>
          </w:p>
          <w:p w14:paraId="54D4D8F8" w14:textId="77777777" w:rsidR="001E1112" w:rsidRPr="00317ABF" w:rsidRDefault="001E1112" w:rsidP="00DB3BEC">
            <w:pPr>
              <w:spacing w:before="120"/>
              <w:jc w:val="both"/>
              <w:rPr>
                <w:sz w:val="22"/>
                <w:szCs w:val="22"/>
              </w:rPr>
            </w:pPr>
          </w:p>
          <w:p w14:paraId="726541C1" w14:textId="56C6B929" w:rsidR="001E1112" w:rsidRPr="00317ABF" w:rsidRDefault="001E1112" w:rsidP="00DB3BEC">
            <w:pPr>
              <w:spacing w:before="120"/>
              <w:jc w:val="both"/>
              <w:rPr>
                <w:sz w:val="22"/>
                <w:szCs w:val="22"/>
              </w:rPr>
            </w:pPr>
            <w:r w:rsidRPr="00317ABF">
              <w:rPr>
                <w:sz w:val="22"/>
                <w:szCs w:val="22"/>
              </w:rPr>
              <w:t>Państwa członkowskie zapewniają, aby ustalenie i przekazanie informacji o lokalizacji osoby wykonującej połączenie nie wiązało się z żadnymi kosztami dla użytkownika końcowego i PSAP w odniesieniu do wszystkich zgłoszeń alarmowych kierowanych pod jednolity europejski numer alarmowy „112”. Państwa członkowskie mogą rozszerzyć ten obowiązek na zgłoszenia alarmowe kierowane pod krajowe numery alarmowe. Właściwe organy regulacyjne, w razie konieczności po konsultacji z BEREC, określają kryteria dokładności i niezawodności podanych informacji o lokalizacji osoby wykonującej połączenie.</w:t>
            </w:r>
          </w:p>
        </w:tc>
        <w:tc>
          <w:tcPr>
            <w:tcW w:w="986" w:type="dxa"/>
          </w:tcPr>
          <w:p w14:paraId="49453582" w14:textId="77777777" w:rsidR="001E1112" w:rsidRPr="00317ABF" w:rsidRDefault="001E1112" w:rsidP="00DB3BEC">
            <w:pPr>
              <w:jc w:val="both"/>
              <w:rPr>
                <w:sz w:val="22"/>
                <w:szCs w:val="22"/>
              </w:rPr>
            </w:pPr>
            <w:r w:rsidRPr="00317ABF">
              <w:rPr>
                <w:sz w:val="22"/>
                <w:szCs w:val="22"/>
              </w:rPr>
              <w:t>T</w:t>
            </w:r>
          </w:p>
          <w:p w14:paraId="6D767540" w14:textId="77777777" w:rsidR="001E1112" w:rsidRPr="00317ABF" w:rsidRDefault="001E1112" w:rsidP="00DB3BEC">
            <w:pPr>
              <w:jc w:val="both"/>
              <w:rPr>
                <w:sz w:val="22"/>
                <w:szCs w:val="22"/>
              </w:rPr>
            </w:pPr>
          </w:p>
          <w:p w14:paraId="747D05B8" w14:textId="77777777" w:rsidR="001E1112" w:rsidRPr="00317ABF" w:rsidRDefault="001E1112" w:rsidP="00DB3BEC">
            <w:pPr>
              <w:jc w:val="both"/>
              <w:rPr>
                <w:sz w:val="22"/>
                <w:szCs w:val="22"/>
              </w:rPr>
            </w:pPr>
          </w:p>
          <w:p w14:paraId="7B514C37" w14:textId="77777777" w:rsidR="001E1112" w:rsidRPr="00317ABF" w:rsidRDefault="001E1112" w:rsidP="00DB3BEC">
            <w:pPr>
              <w:jc w:val="both"/>
              <w:rPr>
                <w:sz w:val="22"/>
                <w:szCs w:val="22"/>
              </w:rPr>
            </w:pPr>
          </w:p>
          <w:p w14:paraId="78E5DB3B" w14:textId="77777777" w:rsidR="001E1112" w:rsidRPr="00317ABF" w:rsidRDefault="001E1112" w:rsidP="00DB3BEC">
            <w:pPr>
              <w:jc w:val="both"/>
              <w:rPr>
                <w:sz w:val="22"/>
                <w:szCs w:val="22"/>
              </w:rPr>
            </w:pPr>
          </w:p>
          <w:p w14:paraId="25184D03" w14:textId="77777777" w:rsidR="001E1112" w:rsidRPr="00317ABF" w:rsidRDefault="001E1112" w:rsidP="00DB3BEC">
            <w:pPr>
              <w:jc w:val="both"/>
              <w:rPr>
                <w:sz w:val="22"/>
                <w:szCs w:val="22"/>
              </w:rPr>
            </w:pPr>
          </w:p>
          <w:p w14:paraId="304F3931" w14:textId="77777777" w:rsidR="001E1112" w:rsidRPr="00317ABF" w:rsidRDefault="001E1112" w:rsidP="00DB3BEC">
            <w:pPr>
              <w:jc w:val="both"/>
              <w:rPr>
                <w:sz w:val="22"/>
                <w:szCs w:val="22"/>
              </w:rPr>
            </w:pPr>
          </w:p>
          <w:p w14:paraId="6A51E31E" w14:textId="77777777" w:rsidR="001E1112" w:rsidRPr="00317ABF" w:rsidRDefault="001E1112" w:rsidP="00DB3BEC">
            <w:pPr>
              <w:jc w:val="both"/>
              <w:rPr>
                <w:sz w:val="22"/>
                <w:szCs w:val="22"/>
              </w:rPr>
            </w:pPr>
          </w:p>
          <w:p w14:paraId="6282D954" w14:textId="77777777" w:rsidR="001E1112" w:rsidRPr="00317ABF" w:rsidRDefault="001E1112" w:rsidP="00DB3BEC">
            <w:pPr>
              <w:jc w:val="both"/>
              <w:rPr>
                <w:sz w:val="22"/>
                <w:szCs w:val="22"/>
              </w:rPr>
            </w:pPr>
          </w:p>
          <w:p w14:paraId="50D846C7" w14:textId="77777777" w:rsidR="001E1112" w:rsidRPr="00317ABF" w:rsidRDefault="001E1112" w:rsidP="00DB3BEC">
            <w:pPr>
              <w:jc w:val="both"/>
              <w:rPr>
                <w:sz w:val="22"/>
                <w:szCs w:val="22"/>
              </w:rPr>
            </w:pPr>
          </w:p>
          <w:p w14:paraId="14202347" w14:textId="77777777" w:rsidR="001E1112" w:rsidRPr="00317ABF" w:rsidRDefault="001E1112" w:rsidP="00DB3BEC">
            <w:pPr>
              <w:jc w:val="both"/>
              <w:rPr>
                <w:sz w:val="22"/>
                <w:szCs w:val="22"/>
              </w:rPr>
            </w:pPr>
          </w:p>
          <w:p w14:paraId="2FF60C3F" w14:textId="77777777" w:rsidR="001E1112" w:rsidRPr="00317ABF" w:rsidRDefault="001E1112" w:rsidP="00DB3BEC">
            <w:pPr>
              <w:jc w:val="both"/>
              <w:rPr>
                <w:sz w:val="22"/>
                <w:szCs w:val="22"/>
              </w:rPr>
            </w:pPr>
          </w:p>
          <w:p w14:paraId="0D40A23C" w14:textId="77777777" w:rsidR="001E1112" w:rsidRPr="00317ABF" w:rsidRDefault="001E1112" w:rsidP="00DB3BEC">
            <w:pPr>
              <w:jc w:val="both"/>
              <w:rPr>
                <w:sz w:val="22"/>
                <w:szCs w:val="22"/>
              </w:rPr>
            </w:pPr>
          </w:p>
          <w:p w14:paraId="039C8701" w14:textId="77777777" w:rsidR="001E1112" w:rsidRPr="00317ABF" w:rsidRDefault="001E1112" w:rsidP="00DB3BEC">
            <w:pPr>
              <w:jc w:val="both"/>
              <w:rPr>
                <w:sz w:val="22"/>
                <w:szCs w:val="22"/>
              </w:rPr>
            </w:pPr>
          </w:p>
          <w:p w14:paraId="20BA4E8F" w14:textId="40ED38CF" w:rsidR="001E1112" w:rsidRPr="00317ABF" w:rsidRDefault="001E1112" w:rsidP="00DB3BEC">
            <w:pPr>
              <w:jc w:val="both"/>
              <w:rPr>
                <w:sz w:val="22"/>
                <w:szCs w:val="22"/>
              </w:rPr>
            </w:pPr>
          </w:p>
          <w:p w14:paraId="7BF50C56" w14:textId="77777777" w:rsidR="001E1112" w:rsidRPr="00317ABF" w:rsidRDefault="001E1112" w:rsidP="00DB3BEC">
            <w:pPr>
              <w:jc w:val="both"/>
              <w:rPr>
                <w:sz w:val="22"/>
                <w:szCs w:val="22"/>
              </w:rPr>
            </w:pPr>
          </w:p>
          <w:p w14:paraId="02E746DE" w14:textId="77777777" w:rsidR="001E1112" w:rsidRPr="00317ABF" w:rsidRDefault="001E1112" w:rsidP="00DB3BEC">
            <w:pPr>
              <w:jc w:val="both"/>
              <w:rPr>
                <w:sz w:val="22"/>
                <w:szCs w:val="22"/>
              </w:rPr>
            </w:pPr>
          </w:p>
          <w:p w14:paraId="7D965D6E" w14:textId="77777777" w:rsidR="001E1112" w:rsidRPr="00317ABF" w:rsidRDefault="001E1112" w:rsidP="00DB3BEC">
            <w:pPr>
              <w:jc w:val="both"/>
              <w:rPr>
                <w:sz w:val="22"/>
                <w:szCs w:val="22"/>
              </w:rPr>
            </w:pPr>
          </w:p>
          <w:p w14:paraId="0C8B3A4E" w14:textId="77777777" w:rsidR="001E1112" w:rsidRPr="00317ABF" w:rsidRDefault="001E1112" w:rsidP="00DB3BEC">
            <w:pPr>
              <w:jc w:val="both"/>
              <w:rPr>
                <w:sz w:val="22"/>
                <w:szCs w:val="22"/>
              </w:rPr>
            </w:pPr>
          </w:p>
          <w:p w14:paraId="544877C2" w14:textId="77777777" w:rsidR="001E1112" w:rsidRPr="00317ABF" w:rsidRDefault="001E1112" w:rsidP="00DB3BEC">
            <w:pPr>
              <w:jc w:val="both"/>
              <w:rPr>
                <w:sz w:val="22"/>
                <w:szCs w:val="22"/>
              </w:rPr>
            </w:pPr>
          </w:p>
          <w:p w14:paraId="5138C19E" w14:textId="77777777" w:rsidR="001E1112" w:rsidRPr="00317ABF" w:rsidRDefault="001E1112" w:rsidP="00DB3BEC">
            <w:pPr>
              <w:jc w:val="both"/>
              <w:rPr>
                <w:sz w:val="22"/>
                <w:szCs w:val="22"/>
              </w:rPr>
            </w:pPr>
          </w:p>
          <w:p w14:paraId="79A0D03A" w14:textId="77777777" w:rsidR="001E1112" w:rsidRPr="00317ABF" w:rsidRDefault="001E1112" w:rsidP="00DB3BEC">
            <w:pPr>
              <w:jc w:val="both"/>
              <w:rPr>
                <w:sz w:val="22"/>
                <w:szCs w:val="22"/>
              </w:rPr>
            </w:pPr>
          </w:p>
          <w:p w14:paraId="11432113" w14:textId="77777777" w:rsidR="001E1112" w:rsidRPr="00317ABF" w:rsidRDefault="001E1112" w:rsidP="00DB3BEC">
            <w:pPr>
              <w:jc w:val="both"/>
              <w:rPr>
                <w:sz w:val="22"/>
                <w:szCs w:val="22"/>
              </w:rPr>
            </w:pPr>
          </w:p>
          <w:p w14:paraId="5758A22E" w14:textId="77777777" w:rsidR="001E1112" w:rsidRPr="00317ABF" w:rsidRDefault="001E1112" w:rsidP="00DB3BEC">
            <w:pPr>
              <w:jc w:val="both"/>
              <w:rPr>
                <w:sz w:val="22"/>
                <w:szCs w:val="22"/>
              </w:rPr>
            </w:pPr>
          </w:p>
          <w:p w14:paraId="7E52951A" w14:textId="77777777" w:rsidR="001E1112" w:rsidRPr="00317ABF" w:rsidRDefault="001E1112" w:rsidP="00DB3BEC">
            <w:pPr>
              <w:jc w:val="both"/>
              <w:rPr>
                <w:sz w:val="22"/>
                <w:szCs w:val="22"/>
              </w:rPr>
            </w:pPr>
          </w:p>
          <w:p w14:paraId="412EF0D8" w14:textId="77777777" w:rsidR="001E1112" w:rsidRPr="00317ABF" w:rsidRDefault="001E1112" w:rsidP="00DB3BEC">
            <w:pPr>
              <w:jc w:val="both"/>
              <w:rPr>
                <w:sz w:val="22"/>
                <w:szCs w:val="22"/>
              </w:rPr>
            </w:pPr>
          </w:p>
          <w:p w14:paraId="40DA659C" w14:textId="77777777" w:rsidR="001E1112" w:rsidRPr="00317ABF" w:rsidRDefault="001E1112" w:rsidP="00DB3BEC">
            <w:pPr>
              <w:jc w:val="both"/>
              <w:rPr>
                <w:sz w:val="22"/>
                <w:szCs w:val="22"/>
              </w:rPr>
            </w:pPr>
          </w:p>
          <w:p w14:paraId="1578F508" w14:textId="77777777" w:rsidR="001E1112" w:rsidRPr="00317ABF" w:rsidRDefault="001E1112" w:rsidP="00DB3BEC">
            <w:pPr>
              <w:jc w:val="both"/>
              <w:rPr>
                <w:sz w:val="22"/>
                <w:szCs w:val="22"/>
              </w:rPr>
            </w:pPr>
          </w:p>
          <w:p w14:paraId="5C5CE1D6" w14:textId="77777777" w:rsidR="001E1112" w:rsidRPr="00317ABF" w:rsidRDefault="001E1112" w:rsidP="00DB3BEC">
            <w:pPr>
              <w:jc w:val="both"/>
              <w:rPr>
                <w:sz w:val="22"/>
                <w:szCs w:val="22"/>
              </w:rPr>
            </w:pPr>
          </w:p>
          <w:p w14:paraId="667359D3" w14:textId="2B0A5E58" w:rsidR="001E1112" w:rsidRPr="00317ABF" w:rsidRDefault="001E1112" w:rsidP="00DB3BEC">
            <w:pPr>
              <w:jc w:val="both"/>
              <w:rPr>
                <w:sz w:val="22"/>
                <w:szCs w:val="22"/>
              </w:rPr>
            </w:pPr>
            <w:r w:rsidRPr="00317ABF">
              <w:rPr>
                <w:sz w:val="22"/>
                <w:szCs w:val="22"/>
              </w:rPr>
              <w:t>T</w:t>
            </w:r>
          </w:p>
        </w:tc>
        <w:tc>
          <w:tcPr>
            <w:tcW w:w="910" w:type="dxa"/>
          </w:tcPr>
          <w:p w14:paraId="257C7F79" w14:textId="77777777" w:rsidR="001E1112" w:rsidRPr="00317ABF" w:rsidRDefault="001E1112" w:rsidP="00DB3BEC">
            <w:pPr>
              <w:pStyle w:val="Tekstpodstawowy"/>
              <w:rPr>
                <w:b/>
                <w:noProof/>
                <w:sz w:val="22"/>
                <w:szCs w:val="22"/>
              </w:rPr>
            </w:pPr>
            <w:r w:rsidRPr="00317ABF">
              <w:rPr>
                <w:b/>
                <w:noProof/>
                <w:sz w:val="22"/>
                <w:szCs w:val="22"/>
              </w:rPr>
              <w:t>Art. 14 ustawy o systemie powiadania ratunkowego</w:t>
            </w:r>
          </w:p>
          <w:p w14:paraId="6DB09C21" w14:textId="77777777" w:rsidR="001E1112" w:rsidRPr="00317ABF" w:rsidRDefault="001E1112" w:rsidP="00DB3BEC">
            <w:pPr>
              <w:jc w:val="both"/>
              <w:rPr>
                <w:sz w:val="22"/>
                <w:szCs w:val="22"/>
              </w:rPr>
            </w:pPr>
          </w:p>
          <w:p w14:paraId="4ED5C8D9" w14:textId="77777777" w:rsidR="001E1112" w:rsidRPr="00317ABF" w:rsidRDefault="001E1112" w:rsidP="00DB3BEC">
            <w:pPr>
              <w:jc w:val="both"/>
              <w:rPr>
                <w:b/>
                <w:sz w:val="22"/>
                <w:szCs w:val="22"/>
              </w:rPr>
            </w:pPr>
          </w:p>
          <w:p w14:paraId="09CBE124" w14:textId="77777777" w:rsidR="001E1112" w:rsidRPr="00317ABF" w:rsidRDefault="001E1112" w:rsidP="00DB3BEC">
            <w:pPr>
              <w:jc w:val="both"/>
              <w:rPr>
                <w:b/>
                <w:sz w:val="22"/>
                <w:szCs w:val="22"/>
              </w:rPr>
            </w:pPr>
          </w:p>
          <w:p w14:paraId="08255479" w14:textId="77777777" w:rsidR="009E6325" w:rsidRPr="00317ABF" w:rsidRDefault="009E6325" w:rsidP="00DB3BEC">
            <w:pPr>
              <w:jc w:val="both"/>
              <w:rPr>
                <w:b/>
                <w:sz w:val="22"/>
                <w:szCs w:val="22"/>
              </w:rPr>
            </w:pPr>
          </w:p>
          <w:p w14:paraId="7B606BB0" w14:textId="1B266593" w:rsidR="001E1112" w:rsidRPr="00317ABF" w:rsidRDefault="009E6325" w:rsidP="00DB3BEC">
            <w:pPr>
              <w:jc w:val="both"/>
              <w:rPr>
                <w:b/>
                <w:sz w:val="22"/>
                <w:szCs w:val="22"/>
              </w:rPr>
            </w:pPr>
            <w:r w:rsidRPr="00317ABF">
              <w:rPr>
                <w:b/>
                <w:sz w:val="22"/>
                <w:szCs w:val="22"/>
              </w:rPr>
              <w:t>Art.330 ust. 2-4</w:t>
            </w:r>
          </w:p>
          <w:p w14:paraId="020527FF" w14:textId="77777777" w:rsidR="001E1112" w:rsidRPr="00317ABF" w:rsidRDefault="001E1112" w:rsidP="00DB3BEC">
            <w:pPr>
              <w:jc w:val="both"/>
              <w:rPr>
                <w:sz w:val="22"/>
                <w:szCs w:val="22"/>
              </w:rPr>
            </w:pPr>
          </w:p>
          <w:p w14:paraId="0836EA4F" w14:textId="77777777" w:rsidR="001E1112" w:rsidRPr="00317ABF" w:rsidRDefault="001E1112" w:rsidP="00DB3BEC">
            <w:pPr>
              <w:jc w:val="both"/>
              <w:rPr>
                <w:sz w:val="22"/>
                <w:szCs w:val="22"/>
              </w:rPr>
            </w:pPr>
          </w:p>
          <w:p w14:paraId="2A67F6E2" w14:textId="77777777" w:rsidR="001E1112" w:rsidRPr="00317ABF" w:rsidRDefault="001E1112" w:rsidP="00DB3BEC">
            <w:pPr>
              <w:jc w:val="both"/>
              <w:rPr>
                <w:sz w:val="22"/>
                <w:szCs w:val="22"/>
              </w:rPr>
            </w:pPr>
          </w:p>
          <w:p w14:paraId="7250B5D7" w14:textId="77777777" w:rsidR="001E1112" w:rsidRPr="00317ABF" w:rsidRDefault="001E1112" w:rsidP="00DB3BEC">
            <w:pPr>
              <w:jc w:val="both"/>
              <w:rPr>
                <w:b/>
                <w:sz w:val="22"/>
                <w:szCs w:val="22"/>
              </w:rPr>
            </w:pPr>
          </w:p>
          <w:p w14:paraId="12792196" w14:textId="77777777" w:rsidR="001E1112" w:rsidRPr="00317ABF" w:rsidRDefault="001E1112" w:rsidP="00DB3BEC">
            <w:pPr>
              <w:jc w:val="both"/>
              <w:rPr>
                <w:b/>
                <w:sz w:val="22"/>
                <w:szCs w:val="22"/>
              </w:rPr>
            </w:pPr>
          </w:p>
          <w:p w14:paraId="4C0A4245" w14:textId="77777777" w:rsidR="001E1112" w:rsidRPr="00317ABF" w:rsidRDefault="001E1112" w:rsidP="00DB3BEC">
            <w:pPr>
              <w:jc w:val="both"/>
              <w:rPr>
                <w:b/>
                <w:sz w:val="22"/>
                <w:szCs w:val="22"/>
              </w:rPr>
            </w:pPr>
          </w:p>
          <w:p w14:paraId="409D358C" w14:textId="77777777" w:rsidR="001E1112" w:rsidRPr="00317ABF" w:rsidRDefault="001E1112" w:rsidP="00DB3BEC">
            <w:pPr>
              <w:jc w:val="both"/>
              <w:rPr>
                <w:b/>
                <w:sz w:val="22"/>
                <w:szCs w:val="22"/>
              </w:rPr>
            </w:pPr>
          </w:p>
          <w:p w14:paraId="6A1C0596" w14:textId="77777777" w:rsidR="001E1112" w:rsidRPr="00317ABF" w:rsidRDefault="001E1112" w:rsidP="00DB3BEC">
            <w:pPr>
              <w:jc w:val="both"/>
              <w:rPr>
                <w:b/>
                <w:sz w:val="22"/>
                <w:szCs w:val="22"/>
              </w:rPr>
            </w:pPr>
          </w:p>
          <w:p w14:paraId="500F4181" w14:textId="77777777" w:rsidR="001E1112" w:rsidRPr="00317ABF" w:rsidRDefault="001E1112" w:rsidP="00DB3BEC">
            <w:pPr>
              <w:jc w:val="both"/>
              <w:rPr>
                <w:b/>
                <w:sz w:val="22"/>
                <w:szCs w:val="22"/>
              </w:rPr>
            </w:pPr>
          </w:p>
          <w:p w14:paraId="6A397375" w14:textId="77777777" w:rsidR="001E1112" w:rsidRPr="00317ABF" w:rsidRDefault="001E1112" w:rsidP="00DB3BEC">
            <w:pPr>
              <w:jc w:val="both"/>
              <w:rPr>
                <w:b/>
                <w:sz w:val="22"/>
                <w:szCs w:val="22"/>
              </w:rPr>
            </w:pPr>
          </w:p>
          <w:p w14:paraId="723393ED" w14:textId="77777777" w:rsidR="001E1112" w:rsidRPr="00317ABF" w:rsidRDefault="001E1112" w:rsidP="00DB3BEC">
            <w:pPr>
              <w:jc w:val="both"/>
              <w:rPr>
                <w:b/>
                <w:sz w:val="22"/>
                <w:szCs w:val="22"/>
              </w:rPr>
            </w:pPr>
          </w:p>
          <w:p w14:paraId="6EF9A9FC" w14:textId="77777777" w:rsidR="001E1112" w:rsidRPr="00317ABF" w:rsidRDefault="001E1112" w:rsidP="00DB3BEC">
            <w:pPr>
              <w:jc w:val="both"/>
              <w:rPr>
                <w:b/>
                <w:sz w:val="22"/>
                <w:szCs w:val="22"/>
              </w:rPr>
            </w:pPr>
          </w:p>
          <w:p w14:paraId="0D6041A4" w14:textId="77777777" w:rsidR="001E1112" w:rsidRPr="00317ABF" w:rsidRDefault="001E1112" w:rsidP="00DB3BEC">
            <w:pPr>
              <w:jc w:val="both"/>
              <w:rPr>
                <w:b/>
                <w:sz w:val="22"/>
                <w:szCs w:val="22"/>
              </w:rPr>
            </w:pPr>
          </w:p>
          <w:p w14:paraId="40C2F86F" w14:textId="77777777" w:rsidR="001E1112" w:rsidRPr="00317ABF" w:rsidRDefault="001E1112" w:rsidP="00DB3BEC">
            <w:pPr>
              <w:jc w:val="both"/>
              <w:rPr>
                <w:b/>
                <w:sz w:val="22"/>
                <w:szCs w:val="22"/>
              </w:rPr>
            </w:pPr>
          </w:p>
          <w:p w14:paraId="12C19B96" w14:textId="77777777" w:rsidR="001E1112" w:rsidRPr="00317ABF" w:rsidRDefault="001E1112" w:rsidP="00DB3BEC">
            <w:pPr>
              <w:jc w:val="both"/>
              <w:rPr>
                <w:b/>
                <w:sz w:val="22"/>
                <w:szCs w:val="22"/>
              </w:rPr>
            </w:pPr>
          </w:p>
          <w:p w14:paraId="287A7421" w14:textId="77777777" w:rsidR="001E1112" w:rsidRPr="00317ABF" w:rsidRDefault="001E1112" w:rsidP="00DB3BEC">
            <w:pPr>
              <w:jc w:val="both"/>
              <w:rPr>
                <w:b/>
                <w:sz w:val="22"/>
                <w:szCs w:val="22"/>
              </w:rPr>
            </w:pPr>
          </w:p>
          <w:p w14:paraId="7CC5D706" w14:textId="77777777" w:rsidR="001E1112" w:rsidRPr="00317ABF" w:rsidRDefault="001E1112" w:rsidP="00DB3BEC">
            <w:pPr>
              <w:jc w:val="both"/>
              <w:rPr>
                <w:b/>
                <w:sz w:val="22"/>
                <w:szCs w:val="22"/>
              </w:rPr>
            </w:pPr>
          </w:p>
          <w:p w14:paraId="4CD6F47E" w14:textId="77777777" w:rsidR="001E1112" w:rsidRPr="00317ABF" w:rsidRDefault="001E1112" w:rsidP="00DB3BEC">
            <w:pPr>
              <w:jc w:val="both"/>
              <w:rPr>
                <w:b/>
                <w:sz w:val="22"/>
                <w:szCs w:val="22"/>
              </w:rPr>
            </w:pPr>
          </w:p>
          <w:p w14:paraId="6D6E7497" w14:textId="77777777" w:rsidR="001E1112" w:rsidRPr="00317ABF" w:rsidRDefault="001E1112" w:rsidP="00DB3BEC">
            <w:pPr>
              <w:jc w:val="both"/>
              <w:rPr>
                <w:b/>
                <w:sz w:val="22"/>
                <w:szCs w:val="22"/>
              </w:rPr>
            </w:pPr>
          </w:p>
          <w:p w14:paraId="417BB77F" w14:textId="77777777" w:rsidR="001E1112" w:rsidRPr="00317ABF" w:rsidRDefault="001E1112" w:rsidP="00DB3BEC">
            <w:pPr>
              <w:jc w:val="both"/>
              <w:rPr>
                <w:b/>
                <w:sz w:val="22"/>
                <w:szCs w:val="22"/>
              </w:rPr>
            </w:pPr>
          </w:p>
          <w:p w14:paraId="7680EBF9" w14:textId="77777777" w:rsidR="001E1112" w:rsidRPr="00317ABF" w:rsidRDefault="001E1112" w:rsidP="00DB3BEC">
            <w:pPr>
              <w:jc w:val="both"/>
              <w:rPr>
                <w:b/>
                <w:sz w:val="22"/>
                <w:szCs w:val="22"/>
              </w:rPr>
            </w:pPr>
          </w:p>
          <w:p w14:paraId="7450CEEC" w14:textId="4F8A3B38" w:rsidR="001E1112" w:rsidRPr="00317ABF" w:rsidRDefault="009E6325" w:rsidP="00DB3BEC">
            <w:pPr>
              <w:jc w:val="both"/>
              <w:rPr>
                <w:b/>
                <w:sz w:val="22"/>
                <w:szCs w:val="22"/>
              </w:rPr>
            </w:pPr>
            <w:r w:rsidRPr="00317ABF">
              <w:rPr>
                <w:b/>
                <w:sz w:val="22"/>
                <w:szCs w:val="22"/>
              </w:rPr>
              <w:t>Art. 331</w:t>
            </w:r>
          </w:p>
          <w:p w14:paraId="5B1F2480" w14:textId="77777777" w:rsidR="001E1112" w:rsidRPr="00317ABF" w:rsidRDefault="001E1112" w:rsidP="00DB3BEC">
            <w:pPr>
              <w:jc w:val="both"/>
              <w:rPr>
                <w:b/>
                <w:sz w:val="22"/>
                <w:szCs w:val="22"/>
              </w:rPr>
            </w:pPr>
          </w:p>
          <w:p w14:paraId="54C82A93" w14:textId="77777777" w:rsidR="001E1112" w:rsidRPr="00317ABF" w:rsidRDefault="001E1112" w:rsidP="00DB3BEC">
            <w:pPr>
              <w:jc w:val="both"/>
              <w:rPr>
                <w:b/>
                <w:sz w:val="22"/>
                <w:szCs w:val="22"/>
              </w:rPr>
            </w:pPr>
          </w:p>
          <w:p w14:paraId="1E162EB5" w14:textId="77777777" w:rsidR="001E1112" w:rsidRPr="00317ABF" w:rsidRDefault="001E1112" w:rsidP="00DB3BEC">
            <w:pPr>
              <w:jc w:val="both"/>
              <w:rPr>
                <w:b/>
                <w:sz w:val="22"/>
                <w:szCs w:val="22"/>
              </w:rPr>
            </w:pPr>
          </w:p>
          <w:p w14:paraId="2209743A" w14:textId="77777777" w:rsidR="001E1112" w:rsidRPr="00317ABF" w:rsidRDefault="001E1112" w:rsidP="00DB3BEC">
            <w:pPr>
              <w:jc w:val="both"/>
              <w:rPr>
                <w:b/>
                <w:sz w:val="22"/>
                <w:szCs w:val="22"/>
              </w:rPr>
            </w:pPr>
          </w:p>
          <w:p w14:paraId="5DABB04D" w14:textId="77777777" w:rsidR="001E1112" w:rsidRPr="00317ABF" w:rsidRDefault="001E1112" w:rsidP="00DB3BEC">
            <w:pPr>
              <w:jc w:val="both"/>
              <w:rPr>
                <w:b/>
                <w:sz w:val="22"/>
                <w:szCs w:val="22"/>
              </w:rPr>
            </w:pPr>
          </w:p>
          <w:p w14:paraId="3112063B" w14:textId="77777777" w:rsidR="001E1112" w:rsidRPr="00317ABF" w:rsidRDefault="001E1112" w:rsidP="00DB3BEC">
            <w:pPr>
              <w:jc w:val="both"/>
              <w:rPr>
                <w:b/>
                <w:sz w:val="22"/>
                <w:szCs w:val="22"/>
              </w:rPr>
            </w:pPr>
          </w:p>
          <w:p w14:paraId="1B85E1D3" w14:textId="77777777" w:rsidR="001E1112" w:rsidRPr="00317ABF" w:rsidRDefault="001E1112" w:rsidP="00DB3BEC">
            <w:pPr>
              <w:jc w:val="both"/>
              <w:rPr>
                <w:b/>
                <w:sz w:val="22"/>
                <w:szCs w:val="22"/>
              </w:rPr>
            </w:pPr>
          </w:p>
          <w:p w14:paraId="7A350DB4" w14:textId="77777777" w:rsidR="001E1112" w:rsidRPr="00317ABF" w:rsidRDefault="001E1112" w:rsidP="00DB3BEC">
            <w:pPr>
              <w:jc w:val="both"/>
              <w:rPr>
                <w:b/>
                <w:sz w:val="22"/>
                <w:szCs w:val="22"/>
              </w:rPr>
            </w:pPr>
          </w:p>
          <w:p w14:paraId="605B991E" w14:textId="77777777" w:rsidR="001E1112" w:rsidRPr="00317ABF" w:rsidRDefault="001E1112" w:rsidP="00DB3BEC">
            <w:pPr>
              <w:jc w:val="both"/>
              <w:rPr>
                <w:b/>
                <w:sz w:val="22"/>
                <w:szCs w:val="22"/>
              </w:rPr>
            </w:pPr>
          </w:p>
          <w:p w14:paraId="350DEEF0" w14:textId="77777777" w:rsidR="001E1112" w:rsidRPr="00317ABF" w:rsidRDefault="001E1112" w:rsidP="00DB3BEC">
            <w:pPr>
              <w:jc w:val="both"/>
              <w:rPr>
                <w:b/>
                <w:sz w:val="22"/>
                <w:szCs w:val="22"/>
              </w:rPr>
            </w:pPr>
          </w:p>
          <w:p w14:paraId="72943B43" w14:textId="77777777" w:rsidR="001E1112" w:rsidRPr="00317ABF" w:rsidRDefault="001E1112" w:rsidP="00DB3BEC">
            <w:pPr>
              <w:jc w:val="both"/>
              <w:rPr>
                <w:b/>
                <w:sz w:val="22"/>
                <w:szCs w:val="22"/>
              </w:rPr>
            </w:pPr>
          </w:p>
          <w:p w14:paraId="3BB25D85" w14:textId="77777777" w:rsidR="001E1112" w:rsidRPr="00317ABF" w:rsidRDefault="001E1112" w:rsidP="00DB3BEC">
            <w:pPr>
              <w:jc w:val="both"/>
              <w:rPr>
                <w:b/>
                <w:sz w:val="22"/>
                <w:szCs w:val="22"/>
              </w:rPr>
            </w:pPr>
          </w:p>
          <w:p w14:paraId="44BA8B9C" w14:textId="77777777" w:rsidR="001E1112" w:rsidRPr="00317ABF" w:rsidRDefault="001E1112" w:rsidP="00DB3BEC">
            <w:pPr>
              <w:jc w:val="both"/>
              <w:rPr>
                <w:b/>
                <w:sz w:val="22"/>
                <w:szCs w:val="22"/>
              </w:rPr>
            </w:pPr>
          </w:p>
          <w:p w14:paraId="438AC6C6" w14:textId="77777777" w:rsidR="001E1112" w:rsidRPr="00317ABF" w:rsidRDefault="001E1112" w:rsidP="00DB3BEC">
            <w:pPr>
              <w:jc w:val="both"/>
              <w:rPr>
                <w:b/>
                <w:sz w:val="22"/>
                <w:szCs w:val="22"/>
              </w:rPr>
            </w:pPr>
          </w:p>
          <w:p w14:paraId="7E04ED78" w14:textId="77777777" w:rsidR="001E1112" w:rsidRPr="00317ABF" w:rsidRDefault="001E1112" w:rsidP="00DB3BEC">
            <w:pPr>
              <w:jc w:val="both"/>
              <w:rPr>
                <w:b/>
                <w:sz w:val="22"/>
                <w:szCs w:val="22"/>
              </w:rPr>
            </w:pPr>
          </w:p>
          <w:p w14:paraId="65118152" w14:textId="77777777" w:rsidR="001E1112" w:rsidRPr="00317ABF" w:rsidRDefault="001E1112" w:rsidP="00DB3BEC">
            <w:pPr>
              <w:jc w:val="both"/>
              <w:rPr>
                <w:b/>
                <w:sz w:val="22"/>
                <w:szCs w:val="22"/>
              </w:rPr>
            </w:pPr>
          </w:p>
          <w:p w14:paraId="3537695E" w14:textId="77777777" w:rsidR="001E1112" w:rsidRPr="00317ABF" w:rsidRDefault="001E1112" w:rsidP="00DB3BEC">
            <w:pPr>
              <w:jc w:val="both"/>
              <w:rPr>
                <w:b/>
                <w:sz w:val="22"/>
                <w:szCs w:val="22"/>
              </w:rPr>
            </w:pPr>
          </w:p>
          <w:p w14:paraId="29D20900" w14:textId="77777777" w:rsidR="001E1112" w:rsidRPr="00317ABF" w:rsidRDefault="001E1112" w:rsidP="00DB3BEC">
            <w:pPr>
              <w:jc w:val="both"/>
              <w:rPr>
                <w:b/>
                <w:sz w:val="22"/>
                <w:szCs w:val="22"/>
              </w:rPr>
            </w:pPr>
          </w:p>
          <w:p w14:paraId="52CAB0F5" w14:textId="71771663" w:rsidR="001E1112" w:rsidRPr="00317ABF" w:rsidRDefault="001E1112" w:rsidP="00DB3BEC">
            <w:pPr>
              <w:jc w:val="both"/>
              <w:rPr>
                <w:b/>
                <w:sz w:val="22"/>
                <w:szCs w:val="22"/>
              </w:rPr>
            </w:pPr>
          </w:p>
          <w:p w14:paraId="2D60A648" w14:textId="77777777" w:rsidR="001E1112" w:rsidRPr="00317ABF" w:rsidRDefault="001E1112" w:rsidP="00DB3BEC">
            <w:pPr>
              <w:jc w:val="both"/>
              <w:rPr>
                <w:b/>
                <w:sz w:val="22"/>
                <w:szCs w:val="22"/>
              </w:rPr>
            </w:pPr>
          </w:p>
          <w:p w14:paraId="4B1AED6B" w14:textId="77777777" w:rsidR="001E1112" w:rsidRPr="00317ABF" w:rsidRDefault="001E1112" w:rsidP="00DB3BEC">
            <w:pPr>
              <w:jc w:val="both"/>
              <w:rPr>
                <w:b/>
                <w:sz w:val="22"/>
                <w:szCs w:val="22"/>
              </w:rPr>
            </w:pPr>
          </w:p>
          <w:p w14:paraId="63130C7E" w14:textId="77777777" w:rsidR="001E1112" w:rsidRPr="00317ABF" w:rsidRDefault="001E1112" w:rsidP="00DB3BEC">
            <w:pPr>
              <w:jc w:val="both"/>
              <w:rPr>
                <w:b/>
                <w:sz w:val="22"/>
                <w:szCs w:val="22"/>
              </w:rPr>
            </w:pPr>
          </w:p>
          <w:p w14:paraId="6CD329D1" w14:textId="77777777" w:rsidR="001E1112" w:rsidRPr="00317ABF" w:rsidRDefault="001E1112" w:rsidP="00DB3BEC">
            <w:pPr>
              <w:jc w:val="both"/>
              <w:rPr>
                <w:b/>
                <w:sz w:val="22"/>
                <w:szCs w:val="22"/>
              </w:rPr>
            </w:pPr>
          </w:p>
          <w:p w14:paraId="7BF83447" w14:textId="77777777" w:rsidR="001E1112" w:rsidRPr="00317ABF" w:rsidRDefault="001E1112" w:rsidP="00DB3BEC">
            <w:pPr>
              <w:jc w:val="both"/>
              <w:rPr>
                <w:b/>
                <w:sz w:val="22"/>
                <w:szCs w:val="22"/>
              </w:rPr>
            </w:pPr>
          </w:p>
          <w:p w14:paraId="7BFA83A5" w14:textId="77777777" w:rsidR="001E1112" w:rsidRPr="00317ABF" w:rsidRDefault="001E1112" w:rsidP="00DB3BEC">
            <w:pPr>
              <w:jc w:val="both"/>
              <w:rPr>
                <w:b/>
                <w:sz w:val="22"/>
                <w:szCs w:val="22"/>
              </w:rPr>
            </w:pPr>
          </w:p>
          <w:p w14:paraId="54995AE2" w14:textId="77777777" w:rsidR="001E1112" w:rsidRPr="00317ABF" w:rsidRDefault="001E1112" w:rsidP="00DB3BEC">
            <w:pPr>
              <w:jc w:val="both"/>
              <w:rPr>
                <w:b/>
                <w:sz w:val="22"/>
                <w:szCs w:val="22"/>
              </w:rPr>
            </w:pPr>
          </w:p>
          <w:p w14:paraId="1A407961" w14:textId="77777777" w:rsidR="001E1112" w:rsidRPr="00317ABF" w:rsidRDefault="001E1112" w:rsidP="00DB3BEC">
            <w:pPr>
              <w:jc w:val="both"/>
              <w:rPr>
                <w:b/>
                <w:sz w:val="22"/>
                <w:szCs w:val="22"/>
              </w:rPr>
            </w:pPr>
          </w:p>
          <w:p w14:paraId="367D3995" w14:textId="77777777" w:rsidR="001E1112" w:rsidRPr="00317ABF" w:rsidRDefault="001E1112" w:rsidP="00DB3BEC">
            <w:pPr>
              <w:jc w:val="both"/>
              <w:rPr>
                <w:b/>
                <w:sz w:val="22"/>
                <w:szCs w:val="22"/>
              </w:rPr>
            </w:pPr>
          </w:p>
          <w:p w14:paraId="00A2CF73" w14:textId="24C5D743" w:rsidR="001E1112" w:rsidRPr="00317ABF" w:rsidRDefault="001E1112" w:rsidP="00DB3BEC">
            <w:pPr>
              <w:pStyle w:val="Tekstpodstawowy"/>
              <w:rPr>
                <w:b/>
                <w:noProof/>
                <w:sz w:val="22"/>
                <w:szCs w:val="22"/>
              </w:rPr>
            </w:pPr>
          </w:p>
        </w:tc>
        <w:tc>
          <w:tcPr>
            <w:tcW w:w="6814" w:type="dxa"/>
            <w:gridSpan w:val="2"/>
          </w:tcPr>
          <w:p w14:paraId="379245BC" w14:textId="255F19D1" w:rsidR="001E1112" w:rsidRPr="00317ABF" w:rsidRDefault="001E1112" w:rsidP="00DB3BEC">
            <w:pPr>
              <w:jc w:val="both"/>
              <w:rPr>
                <w:sz w:val="22"/>
                <w:szCs w:val="22"/>
              </w:rPr>
            </w:pPr>
            <w:r w:rsidRPr="00317ABF">
              <w:rPr>
                <w:b/>
                <w:bCs/>
                <w:sz w:val="22"/>
                <w:szCs w:val="22"/>
              </w:rPr>
              <w:t>Art. 14</w:t>
            </w:r>
          </w:p>
          <w:p w14:paraId="018A0755" w14:textId="6175F09C" w:rsidR="001E1112" w:rsidRPr="00317ABF" w:rsidRDefault="001E1112" w:rsidP="00DB3BEC">
            <w:pPr>
              <w:jc w:val="both"/>
              <w:rPr>
                <w:sz w:val="22"/>
                <w:szCs w:val="22"/>
              </w:rPr>
            </w:pPr>
            <w:bookmarkStart w:id="178" w:name="mip49297063"/>
            <w:bookmarkEnd w:id="178"/>
            <w:r w:rsidRPr="00317ABF">
              <w:rPr>
                <w:sz w:val="22"/>
                <w:szCs w:val="22"/>
              </w:rPr>
              <w:t>1. Centrum uzyskuje nieodpłatnie, za pośrednictwem centralnego punktu systemu powiadamiania ratunkowego, o którym mowa w art. 78 ust. 4 pkt 1 ustawy z dnia 16 lipca 2004 r. - Prawo telekomunikacyjne, informacje dotyczące lokalizacji zakończenia sieci, z którego zostało wykonane połączenie do numeru alarmowego 112 albo innego numeru alarmowego, oraz dane dotyczące abonenta, o których mowa w art. 78 ust. 2 ustawy z dnia 16 lipca 2004 r. - Prawo telekomunikacyjne.</w:t>
            </w:r>
          </w:p>
          <w:p w14:paraId="2747E6AD" w14:textId="1CCC8DAD" w:rsidR="001E1112" w:rsidRPr="00317ABF" w:rsidRDefault="001E1112" w:rsidP="00DB3BEC">
            <w:pPr>
              <w:jc w:val="both"/>
              <w:rPr>
                <w:sz w:val="22"/>
                <w:szCs w:val="22"/>
              </w:rPr>
            </w:pPr>
            <w:bookmarkStart w:id="179" w:name="mip49297064"/>
            <w:bookmarkEnd w:id="179"/>
            <w:r w:rsidRPr="00317ABF">
              <w:rPr>
                <w:sz w:val="22"/>
                <w:szCs w:val="22"/>
              </w:rPr>
              <w:t>2. Centrum uzyskuje nieodpłatnie dostęp do danych przestrzennych i związanych z nimi usług, udostępnianych za pośrednictwem systemu, o którym mowa w art. 40 ust. 3e ustawy z dnia 17 maja 1989 r. - Prawo geodezyjne i kartograficzne (Dz.U. z 2019 r. poz. 725 i 730).</w:t>
            </w:r>
          </w:p>
          <w:p w14:paraId="22D34EDE" w14:textId="77777777" w:rsidR="001E1112" w:rsidRPr="00317ABF" w:rsidRDefault="001E1112" w:rsidP="00DB3BEC">
            <w:pPr>
              <w:jc w:val="both"/>
              <w:rPr>
                <w:sz w:val="22"/>
                <w:szCs w:val="22"/>
              </w:rPr>
            </w:pPr>
          </w:p>
          <w:p w14:paraId="064AD48B" w14:textId="77777777" w:rsidR="009E6325" w:rsidRPr="00317ABF" w:rsidRDefault="009E6325" w:rsidP="009E6325">
            <w:pPr>
              <w:jc w:val="both"/>
              <w:rPr>
                <w:b/>
                <w:sz w:val="22"/>
                <w:szCs w:val="22"/>
              </w:rPr>
            </w:pPr>
            <w:r w:rsidRPr="00317ABF">
              <w:rPr>
                <w:b/>
                <w:sz w:val="22"/>
                <w:szCs w:val="22"/>
              </w:rPr>
              <w:t>Art. 330</w:t>
            </w:r>
          </w:p>
          <w:p w14:paraId="4DD0C88E" w14:textId="08F40ED4" w:rsidR="009E6325" w:rsidRPr="00317ABF" w:rsidRDefault="009E6325" w:rsidP="009E6325">
            <w:pPr>
              <w:jc w:val="both"/>
              <w:rPr>
                <w:sz w:val="22"/>
                <w:szCs w:val="22"/>
              </w:rPr>
            </w:pPr>
            <w:r w:rsidRPr="00317ABF">
              <w:rPr>
                <w:sz w:val="22"/>
                <w:szCs w:val="22"/>
              </w:rPr>
              <w:t>(…)</w:t>
            </w:r>
          </w:p>
          <w:p w14:paraId="2235F13B" w14:textId="72E2EA7E" w:rsidR="009E6325" w:rsidRPr="00317ABF" w:rsidRDefault="009E6325" w:rsidP="009E6325">
            <w:pPr>
              <w:jc w:val="both"/>
              <w:rPr>
                <w:bCs/>
                <w:sz w:val="22"/>
                <w:szCs w:val="22"/>
              </w:rPr>
            </w:pPr>
            <w:r w:rsidRPr="00317ABF">
              <w:rPr>
                <w:bCs/>
                <w:sz w:val="22"/>
                <w:szCs w:val="22"/>
              </w:rPr>
              <w:t>2. Informacja o lokalizacji zakończenia sieci pochodząca z sieci telekomunikacyjnej przekazywana jest do systemu gromadzącego i udostępniającego informacje i dane od przedsiębiorcy telekomunikacyjnego, o którym mowa w art. 331 ust. 3.</w:t>
            </w:r>
          </w:p>
          <w:p w14:paraId="0A7424CD" w14:textId="77777777" w:rsidR="009E6325" w:rsidRPr="00317ABF" w:rsidRDefault="009E6325" w:rsidP="009E6325">
            <w:pPr>
              <w:jc w:val="both"/>
              <w:rPr>
                <w:bCs/>
                <w:sz w:val="22"/>
                <w:szCs w:val="22"/>
              </w:rPr>
            </w:pPr>
            <w:r w:rsidRPr="00317ABF">
              <w:rPr>
                <w:bCs/>
                <w:sz w:val="22"/>
                <w:szCs w:val="22"/>
              </w:rPr>
              <w:t>3. Informacja o lokalizacji zakończenia sieci pochodząca z telekomunikacyjnego urządzenia końcowego użytkownika usług telekomunikacyjnych przekazywana jest do systemu powiadamiania ratunkowego w rozumieniu ustawy z dnia 22 listopada 2013 r. o systemie powiadamiania ratunkowego (Dz. U. z 2019 r. poz. 1077 oraz z 2020 r. poz. 568 i 695).</w:t>
            </w:r>
          </w:p>
          <w:p w14:paraId="24B48113" w14:textId="77777777" w:rsidR="009E6325" w:rsidRPr="00317ABF" w:rsidRDefault="009E6325" w:rsidP="009E6325">
            <w:pPr>
              <w:jc w:val="both"/>
              <w:rPr>
                <w:bCs/>
                <w:sz w:val="22"/>
                <w:szCs w:val="22"/>
              </w:rPr>
            </w:pPr>
            <w:r w:rsidRPr="00317ABF">
              <w:rPr>
                <w:bCs/>
                <w:sz w:val="22"/>
                <w:szCs w:val="22"/>
              </w:rPr>
              <w:t>4. Prezes UKE może określić, w drodze decyzji, dla danego operatora, szczegółowe wymagania dotyczące dokładności i niezawodności lokalizacji zakończenia sieci dla ruchomej publicznej sieci telekomunikacyjnej, biorąc pod uwagę możliwości techniczne i perspektywy rozwoju sieci danego operatora oraz potrzebę dokładnego lokalizowania zakończenia sieci w celu efektywnego niesienia pomocy przez służby ustawowo do tego powołane. W decyzji określa się także harmonogram dostosowania sieci do określonych w decyzji wymagań w zakresie dokładności i niezawodności lokalizacji zakończenia sieci.</w:t>
            </w:r>
          </w:p>
          <w:p w14:paraId="1316DA2A" w14:textId="77777777" w:rsidR="009E6325" w:rsidRPr="00317ABF" w:rsidRDefault="009E6325" w:rsidP="00DB3BEC">
            <w:pPr>
              <w:jc w:val="both"/>
              <w:rPr>
                <w:sz w:val="22"/>
                <w:szCs w:val="22"/>
              </w:rPr>
            </w:pPr>
          </w:p>
          <w:p w14:paraId="04E16C8C" w14:textId="77777777" w:rsidR="001E1112" w:rsidRPr="00317ABF" w:rsidRDefault="001E1112" w:rsidP="00DB3BEC">
            <w:pPr>
              <w:jc w:val="both"/>
              <w:rPr>
                <w:sz w:val="22"/>
                <w:szCs w:val="22"/>
              </w:rPr>
            </w:pPr>
          </w:p>
          <w:p w14:paraId="424E7C4C" w14:textId="77777777" w:rsidR="009E6325" w:rsidRPr="00317ABF" w:rsidRDefault="009E6325" w:rsidP="009E6325">
            <w:pPr>
              <w:jc w:val="both"/>
              <w:rPr>
                <w:sz w:val="22"/>
                <w:szCs w:val="22"/>
              </w:rPr>
            </w:pPr>
            <w:r w:rsidRPr="00317ABF">
              <w:rPr>
                <w:b/>
                <w:sz w:val="22"/>
                <w:szCs w:val="22"/>
              </w:rPr>
              <w:t>Art. 331.</w:t>
            </w:r>
            <w:r w:rsidRPr="00317ABF">
              <w:rPr>
                <w:sz w:val="22"/>
                <w:szCs w:val="22"/>
              </w:rPr>
              <w:t xml:space="preserve"> </w:t>
            </w:r>
          </w:p>
          <w:p w14:paraId="4D659FFC" w14:textId="58033E22" w:rsidR="009E6325" w:rsidRPr="00317ABF" w:rsidRDefault="009E6325" w:rsidP="009E6325">
            <w:pPr>
              <w:jc w:val="both"/>
              <w:rPr>
                <w:sz w:val="22"/>
                <w:szCs w:val="22"/>
              </w:rPr>
            </w:pPr>
            <w:r w:rsidRPr="00317ABF">
              <w:rPr>
                <w:sz w:val="22"/>
                <w:szCs w:val="22"/>
              </w:rPr>
              <w:t>1. Operator publicznej sieci telekomunikacyjnej jest obowiązany nieodpłatnie udostępniać Prezesowi UKE pochodzące z sieci telekomunikacyjnej informacje dotyczące lokalizacji zakończenia sieci, z którego zostało wykonane połączenie do numeru alarmowego:</w:t>
            </w:r>
          </w:p>
          <w:p w14:paraId="4EB75CF0" w14:textId="77777777" w:rsidR="009E6325" w:rsidRPr="00317ABF" w:rsidRDefault="009E6325" w:rsidP="009E6325">
            <w:pPr>
              <w:jc w:val="both"/>
              <w:rPr>
                <w:bCs/>
                <w:sz w:val="22"/>
                <w:szCs w:val="22"/>
              </w:rPr>
            </w:pPr>
            <w:r w:rsidRPr="00317ABF">
              <w:rPr>
                <w:bCs/>
                <w:sz w:val="22"/>
                <w:szCs w:val="22"/>
              </w:rPr>
              <w:t>1)</w:t>
            </w:r>
            <w:r w:rsidRPr="00317ABF">
              <w:rPr>
                <w:bCs/>
                <w:sz w:val="22"/>
                <w:szCs w:val="22"/>
              </w:rPr>
              <w:tab/>
              <w:t>w czasie rzeczywistym - w przypadku operatora ruchomej publicznej sieci telekomunikacyjnej,</w:t>
            </w:r>
          </w:p>
          <w:p w14:paraId="6B754D95" w14:textId="77777777" w:rsidR="009E6325" w:rsidRPr="00317ABF" w:rsidRDefault="009E6325" w:rsidP="009E6325">
            <w:pPr>
              <w:jc w:val="both"/>
              <w:rPr>
                <w:bCs/>
                <w:sz w:val="22"/>
                <w:szCs w:val="22"/>
              </w:rPr>
            </w:pPr>
            <w:r w:rsidRPr="00317ABF">
              <w:rPr>
                <w:bCs/>
                <w:sz w:val="22"/>
                <w:szCs w:val="22"/>
              </w:rPr>
              <w:t>2)</w:t>
            </w:r>
            <w:r w:rsidRPr="00317ABF">
              <w:rPr>
                <w:bCs/>
                <w:sz w:val="22"/>
                <w:szCs w:val="22"/>
              </w:rPr>
              <w:tab/>
              <w:t>w trybie wsadowym - w przypadku operatora stacjonarnej publicznej sieci telekomunikacyjnej</w:t>
            </w:r>
          </w:p>
          <w:p w14:paraId="0E2E4AA3" w14:textId="77777777" w:rsidR="009E6325" w:rsidRPr="00317ABF" w:rsidRDefault="009E6325" w:rsidP="009E6325">
            <w:pPr>
              <w:jc w:val="both"/>
              <w:rPr>
                <w:bCs/>
                <w:sz w:val="22"/>
                <w:szCs w:val="22"/>
              </w:rPr>
            </w:pPr>
            <w:r w:rsidRPr="00317ABF">
              <w:rPr>
                <w:bCs/>
                <w:sz w:val="22"/>
                <w:szCs w:val="22"/>
              </w:rPr>
              <w:t>- w celu udostępnienia tych danych, za pośrednictwem systemu, o którym mowa w ust. 3, odpowiednio do właściwego terytorialnie centrum powiadamiania ratunkowego albo właściwym terytorialnie jednostkom służb ustawowo powołanych do niesienia pomocy.</w:t>
            </w:r>
          </w:p>
          <w:p w14:paraId="20F20C49" w14:textId="77777777" w:rsidR="009E6325" w:rsidRPr="00317ABF" w:rsidRDefault="009E6325" w:rsidP="009E6325">
            <w:pPr>
              <w:jc w:val="both"/>
              <w:rPr>
                <w:bCs/>
                <w:sz w:val="22"/>
                <w:szCs w:val="22"/>
              </w:rPr>
            </w:pPr>
            <w:r w:rsidRPr="00317ABF">
              <w:rPr>
                <w:bCs/>
                <w:sz w:val="22"/>
                <w:szCs w:val="22"/>
              </w:rPr>
              <w:t>2. Dostawca usługi komunikacji głosowej jest obowiązany, dla zapewnienia funkcjonalności systemu, o którym mowa w ust. 3, nieodpłatnie przekazywać Prezesowi UKE:</w:t>
            </w:r>
          </w:p>
          <w:p w14:paraId="00CE016C" w14:textId="77777777" w:rsidR="009E6325" w:rsidRPr="00317ABF" w:rsidRDefault="009E6325" w:rsidP="009E6325">
            <w:pPr>
              <w:jc w:val="both"/>
              <w:rPr>
                <w:bCs/>
                <w:sz w:val="22"/>
                <w:szCs w:val="22"/>
              </w:rPr>
            </w:pPr>
            <w:r w:rsidRPr="00317ABF">
              <w:rPr>
                <w:bCs/>
                <w:sz w:val="22"/>
                <w:szCs w:val="22"/>
              </w:rPr>
              <w:t>1)</w:t>
            </w:r>
            <w:r w:rsidRPr="00317ABF">
              <w:rPr>
                <w:bCs/>
                <w:sz w:val="22"/>
                <w:szCs w:val="22"/>
              </w:rPr>
              <w:tab/>
              <w:t xml:space="preserve">w przypadku abonenta będącego </w:t>
            </w:r>
            <w:r w:rsidRPr="00317ABF" w:rsidDel="00B21EC4">
              <w:rPr>
                <w:bCs/>
                <w:sz w:val="22"/>
                <w:szCs w:val="22"/>
              </w:rPr>
              <w:t>konsumentem</w:t>
            </w:r>
            <w:r w:rsidRPr="00317ABF">
              <w:rPr>
                <w:bCs/>
                <w:sz w:val="22"/>
                <w:szCs w:val="22"/>
              </w:rPr>
              <w:t>:</w:t>
            </w:r>
          </w:p>
          <w:p w14:paraId="7A1948D9" w14:textId="77777777" w:rsidR="009E6325" w:rsidRPr="00317ABF" w:rsidRDefault="009E6325" w:rsidP="009E6325">
            <w:pPr>
              <w:jc w:val="both"/>
              <w:rPr>
                <w:bCs/>
                <w:sz w:val="22"/>
                <w:szCs w:val="22"/>
              </w:rPr>
            </w:pPr>
            <w:r w:rsidRPr="00317ABF">
              <w:rPr>
                <w:bCs/>
                <w:sz w:val="22"/>
                <w:szCs w:val="22"/>
              </w:rPr>
              <w:t>a)</w:t>
            </w:r>
            <w:r w:rsidRPr="00317ABF">
              <w:rPr>
                <w:bCs/>
                <w:sz w:val="22"/>
                <w:szCs w:val="22"/>
              </w:rPr>
              <w:tab/>
              <w:t>dane, o których mowa w art. 390 ust. 1,</w:t>
            </w:r>
          </w:p>
          <w:p w14:paraId="370CAB03" w14:textId="77777777" w:rsidR="009E6325" w:rsidRPr="00317ABF" w:rsidRDefault="009E6325" w:rsidP="009E6325">
            <w:pPr>
              <w:jc w:val="both"/>
              <w:rPr>
                <w:bCs/>
                <w:sz w:val="22"/>
                <w:szCs w:val="22"/>
              </w:rPr>
            </w:pPr>
            <w:r w:rsidRPr="00317ABF">
              <w:rPr>
                <w:bCs/>
                <w:sz w:val="22"/>
                <w:szCs w:val="22"/>
              </w:rPr>
              <w:t>b)</w:t>
            </w:r>
            <w:r w:rsidRPr="00317ABF">
              <w:rPr>
                <w:bCs/>
                <w:sz w:val="22"/>
                <w:szCs w:val="22"/>
              </w:rPr>
              <w:tab/>
              <w:t>adres miejsca zamieszkania i adres korespondencyjny - jeżeli jest on inny niż adres miejsca zamieszkania,</w:t>
            </w:r>
          </w:p>
          <w:p w14:paraId="7C0972F8" w14:textId="77777777" w:rsidR="009E6325" w:rsidRPr="00317ABF" w:rsidRDefault="009E6325" w:rsidP="009E6325">
            <w:pPr>
              <w:jc w:val="both"/>
              <w:rPr>
                <w:bCs/>
                <w:sz w:val="22"/>
                <w:szCs w:val="22"/>
              </w:rPr>
            </w:pPr>
            <w:r w:rsidRPr="00317ABF">
              <w:rPr>
                <w:bCs/>
                <w:sz w:val="22"/>
                <w:szCs w:val="22"/>
              </w:rPr>
              <w:t>c)</w:t>
            </w:r>
            <w:r w:rsidRPr="00317ABF">
              <w:rPr>
                <w:bCs/>
                <w:sz w:val="22"/>
                <w:szCs w:val="22"/>
              </w:rPr>
              <w:tab/>
              <w:t>numer PESEL - w przypadku obywatela Rzeczypospolitej Polskiej,</w:t>
            </w:r>
          </w:p>
          <w:p w14:paraId="118C8EFB" w14:textId="77777777" w:rsidR="009E6325" w:rsidRPr="00317ABF" w:rsidRDefault="009E6325" w:rsidP="009E6325">
            <w:pPr>
              <w:jc w:val="both"/>
              <w:rPr>
                <w:bCs/>
                <w:sz w:val="22"/>
                <w:szCs w:val="22"/>
              </w:rPr>
            </w:pPr>
            <w:r w:rsidRPr="00317ABF">
              <w:rPr>
                <w:bCs/>
                <w:sz w:val="22"/>
                <w:szCs w:val="22"/>
              </w:rPr>
              <w:t>d)</w:t>
            </w:r>
            <w:r w:rsidRPr="00317ABF">
              <w:rPr>
                <w:bCs/>
                <w:sz w:val="22"/>
                <w:szCs w:val="22"/>
              </w:rPr>
              <w:tab/>
              <w:t>nazwę, serię i numeru dokumentu potwierdzającego tożsamość, a w przypadku cudzoziemca, który nie jest obywatelem państwa członkowskiego albo Konfederacji Szwajcarskiej - numer paszportu lub karty pobytu,</w:t>
            </w:r>
          </w:p>
          <w:p w14:paraId="5855E276" w14:textId="77777777" w:rsidR="009E6325" w:rsidRPr="00317ABF" w:rsidRDefault="009E6325" w:rsidP="009E6325">
            <w:pPr>
              <w:jc w:val="both"/>
              <w:rPr>
                <w:bCs/>
                <w:sz w:val="22"/>
                <w:szCs w:val="22"/>
              </w:rPr>
            </w:pPr>
            <w:r w:rsidRPr="00317ABF">
              <w:rPr>
                <w:bCs/>
                <w:sz w:val="22"/>
                <w:szCs w:val="22"/>
              </w:rPr>
              <w:t>2)</w:t>
            </w:r>
            <w:r w:rsidRPr="00317ABF">
              <w:rPr>
                <w:bCs/>
                <w:sz w:val="22"/>
                <w:szCs w:val="22"/>
              </w:rPr>
              <w:tab/>
              <w:t xml:space="preserve">w przypadku abonenta niebędącego </w:t>
            </w:r>
            <w:r w:rsidRPr="00317ABF" w:rsidDel="00C72B88">
              <w:rPr>
                <w:bCs/>
                <w:sz w:val="22"/>
                <w:szCs w:val="22"/>
              </w:rPr>
              <w:t>konsumentem</w:t>
            </w:r>
            <w:r w:rsidRPr="00317ABF">
              <w:rPr>
                <w:bCs/>
                <w:sz w:val="22"/>
                <w:szCs w:val="22"/>
              </w:rPr>
              <w:t xml:space="preserve"> - numer abonenta oraz siedzibę lub miejsce wykonywania działalności gospodarczej, firmę lub nazwę i formę organizacyjną tego abonenta, a w przypadku stacjonarnej publicznej sieci telekomunikacyjnej - także nazwę miejscowości oraz ulicy, przy której znajduje się zakończenie sieci, udostępnione abonentowi</w:t>
            </w:r>
          </w:p>
          <w:p w14:paraId="71DDBA4E" w14:textId="77777777" w:rsidR="009E6325" w:rsidRPr="00317ABF" w:rsidRDefault="009E6325" w:rsidP="009E6325">
            <w:pPr>
              <w:jc w:val="both"/>
              <w:rPr>
                <w:bCs/>
                <w:sz w:val="22"/>
                <w:szCs w:val="22"/>
              </w:rPr>
            </w:pPr>
            <w:r w:rsidRPr="00317ABF">
              <w:rPr>
                <w:bCs/>
                <w:sz w:val="22"/>
                <w:szCs w:val="22"/>
              </w:rPr>
              <w:t>- o ile abonent udostępnił te dane.</w:t>
            </w:r>
          </w:p>
          <w:p w14:paraId="624142B0" w14:textId="77777777" w:rsidR="009E6325" w:rsidRPr="00317ABF" w:rsidRDefault="009E6325" w:rsidP="009E6325">
            <w:pPr>
              <w:jc w:val="both"/>
              <w:rPr>
                <w:bCs/>
                <w:sz w:val="22"/>
                <w:szCs w:val="22"/>
              </w:rPr>
            </w:pPr>
            <w:r w:rsidRPr="00317ABF">
              <w:rPr>
                <w:bCs/>
                <w:sz w:val="22"/>
                <w:szCs w:val="22"/>
              </w:rPr>
              <w:t>3. Informacje i dane, o których mowa w ust. 1 i 2, powinny być przekazywane do systemu, w którym są gromadzone i nieodpłatnie udostępniane:</w:t>
            </w:r>
          </w:p>
          <w:p w14:paraId="7CA8399E" w14:textId="77777777" w:rsidR="009E6325" w:rsidRPr="00317ABF" w:rsidRDefault="009E6325" w:rsidP="009E6325">
            <w:pPr>
              <w:jc w:val="both"/>
              <w:rPr>
                <w:bCs/>
                <w:sz w:val="22"/>
                <w:szCs w:val="22"/>
              </w:rPr>
            </w:pPr>
            <w:r w:rsidRPr="00317ABF">
              <w:rPr>
                <w:bCs/>
                <w:sz w:val="22"/>
                <w:szCs w:val="22"/>
              </w:rPr>
              <w:t>1)</w:t>
            </w:r>
            <w:r w:rsidRPr="00317ABF">
              <w:rPr>
                <w:bCs/>
                <w:sz w:val="22"/>
                <w:szCs w:val="22"/>
              </w:rPr>
              <w:tab/>
              <w:t>centralnemu punktowi systemu powiadamiania ratunkowego - w przypadku połączeń do numeru alarmowego „112” oraz do numerów alarmowych ustalonych dla Policji, Państwowej Straży Pożarnej i dysponenta zespołów ratownictwa medycznego, chyba że służba ustawowo powołana do niesienia pomocy, wykorzystująca dany numer alarmowy, posiada własny punkt centralny mogący współpracować z systemem albo</w:t>
            </w:r>
          </w:p>
          <w:p w14:paraId="5CB760E0" w14:textId="77777777" w:rsidR="009E6325" w:rsidRPr="00317ABF" w:rsidRDefault="009E6325" w:rsidP="009E6325">
            <w:pPr>
              <w:jc w:val="both"/>
              <w:rPr>
                <w:bCs/>
                <w:sz w:val="22"/>
                <w:szCs w:val="22"/>
              </w:rPr>
            </w:pPr>
            <w:r w:rsidRPr="00317ABF">
              <w:rPr>
                <w:bCs/>
                <w:sz w:val="22"/>
                <w:szCs w:val="22"/>
              </w:rPr>
              <w:t>2)</w:t>
            </w:r>
            <w:r w:rsidRPr="00317ABF">
              <w:rPr>
                <w:bCs/>
                <w:sz w:val="22"/>
                <w:szCs w:val="22"/>
              </w:rPr>
              <w:tab/>
              <w:t>innym niż wymienione w pkt 1 służbom ustawowo powołanym do niesienia pomocy - w przypadku połączeń do innych numerów alarmowych.</w:t>
            </w:r>
          </w:p>
          <w:p w14:paraId="020C6299" w14:textId="77777777" w:rsidR="009E6325" w:rsidRPr="00317ABF" w:rsidRDefault="009E6325" w:rsidP="009E6325">
            <w:pPr>
              <w:jc w:val="both"/>
              <w:rPr>
                <w:bCs/>
                <w:sz w:val="22"/>
                <w:szCs w:val="22"/>
              </w:rPr>
            </w:pPr>
            <w:r w:rsidRPr="00317ABF">
              <w:rPr>
                <w:bCs/>
                <w:sz w:val="22"/>
                <w:szCs w:val="22"/>
              </w:rPr>
              <w:t>4. Dostawca usługi komunikacji głosowej przekazuje, dla zapewnienia funkcjonalności systemu, o którym mowa w ust. 3, aktualne dane, o których mowa w ust. 2, niezwłocznie, jednak nie później niż w ciągu 24 godzin od dnia zaistnienia ich zmiany, a jeżeli zmiany takie nie nastąpiły nie rzadziej niż raz w miesiącu.</w:t>
            </w:r>
          </w:p>
          <w:p w14:paraId="302F264E" w14:textId="77777777" w:rsidR="009E6325" w:rsidRPr="00317ABF" w:rsidRDefault="009E6325" w:rsidP="009E6325">
            <w:pPr>
              <w:jc w:val="both"/>
              <w:rPr>
                <w:bCs/>
                <w:sz w:val="22"/>
                <w:szCs w:val="22"/>
              </w:rPr>
            </w:pPr>
            <w:r w:rsidRPr="00317ABF">
              <w:rPr>
                <w:bCs/>
                <w:sz w:val="22"/>
                <w:szCs w:val="22"/>
              </w:rPr>
              <w:t>5. Prezes UKE zarządza systemem, o którym mowa w ust. 3, oraz jest uprawniony do przetwarzania zgromadzonych w nim informacji i danych w celach związanych z zapewnieniem funkcjonalności systemu.</w:t>
            </w:r>
          </w:p>
          <w:p w14:paraId="1BDD43F3" w14:textId="77777777" w:rsidR="009E6325" w:rsidRPr="00317ABF" w:rsidRDefault="009E6325" w:rsidP="009E6325">
            <w:pPr>
              <w:jc w:val="both"/>
              <w:rPr>
                <w:bCs/>
                <w:sz w:val="22"/>
                <w:szCs w:val="22"/>
              </w:rPr>
            </w:pPr>
            <w:r w:rsidRPr="00317ABF">
              <w:rPr>
                <w:bCs/>
                <w:sz w:val="22"/>
                <w:szCs w:val="22"/>
              </w:rPr>
              <w:t>6. Rada Ministrów określi, w drodze rozporządzenia, organizację i funkcjonowanie systemu, o którym mowa w ust. 3, warunki gromadzenia i przekazywania do tego systemu informacji i danych od przedsiębiorcy telekomunikacyjnego i ich udostępniania odpowiednio centrom powiadamiania ratunkowego oraz jednostkom terytorialnym służb ustawowo powołanych do niesienia pomocy oraz sposób wymiany informacji pomiędzy dostawcami usług w zakresie obsługi wniosków o przeniesienie numeru, biorąc pod uwagę sprawność działania systemu, a także potrzebę wspierania obsługi przenoszenia numerów oraz efektywność niesienia pomocy przez te służby i zapewnienie ciągłości świadczenia przez przedsiębiorcę telekomunikacyjnego usług telekomunikacyjnych, dostarczania sieci telekomunikacyjnych lub świadczenia powiązanych usług.</w:t>
            </w:r>
          </w:p>
          <w:p w14:paraId="050ADA11" w14:textId="6217140C" w:rsidR="001E1112" w:rsidRPr="00317ABF" w:rsidRDefault="009E6325" w:rsidP="00DB3BEC">
            <w:pPr>
              <w:jc w:val="both"/>
              <w:rPr>
                <w:bCs/>
                <w:sz w:val="22"/>
                <w:szCs w:val="22"/>
              </w:rPr>
            </w:pPr>
            <w:r w:rsidRPr="00317ABF">
              <w:rPr>
                <w:bCs/>
                <w:sz w:val="22"/>
                <w:szCs w:val="22"/>
              </w:rPr>
              <w:t>7. Przekazywanie danych, o którym mowa w ust. 2, nie wymaga zgody abonenta.</w:t>
            </w:r>
          </w:p>
        </w:tc>
      </w:tr>
      <w:tr w:rsidR="001E1112" w:rsidRPr="00317ABF" w14:paraId="6517B1EE" w14:textId="77777777" w:rsidTr="7753F98D">
        <w:trPr>
          <w:gridAfter w:val="2"/>
          <w:wAfter w:w="175" w:type="dxa"/>
        </w:trPr>
        <w:tc>
          <w:tcPr>
            <w:tcW w:w="704" w:type="dxa"/>
          </w:tcPr>
          <w:p w14:paraId="3A800D46" w14:textId="7FC89A34" w:rsidR="001E1112" w:rsidRPr="00317ABF" w:rsidRDefault="001E1112" w:rsidP="00DB3BEC">
            <w:pPr>
              <w:jc w:val="both"/>
              <w:rPr>
                <w:sz w:val="22"/>
                <w:szCs w:val="22"/>
              </w:rPr>
            </w:pPr>
            <w:r w:rsidRPr="00317ABF">
              <w:rPr>
                <w:sz w:val="22"/>
                <w:szCs w:val="22"/>
              </w:rPr>
              <w:t>Art. 109 ust. 7</w:t>
            </w:r>
          </w:p>
        </w:tc>
        <w:tc>
          <w:tcPr>
            <w:tcW w:w="4308" w:type="dxa"/>
          </w:tcPr>
          <w:p w14:paraId="5599A0EF" w14:textId="77777777" w:rsidR="001E1112" w:rsidRPr="00317ABF" w:rsidRDefault="001E1112" w:rsidP="00DB3BEC">
            <w:pPr>
              <w:spacing w:before="120"/>
              <w:jc w:val="both"/>
              <w:rPr>
                <w:sz w:val="22"/>
                <w:szCs w:val="22"/>
              </w:rPr>
            </w:pPr>
            <w:r w:rsidRPr="00317ABF">
              <w:rPr>
                <w:sz w:val="22"/>
                <w:szCs w:val="22"/>
              </w:rPr>
              <w:t>7.   Państwa członkowskie zapewniają, aby użytkownicy końcowi byli odpowiednio informowani o istnieniu jednolitego europejskiego numeru alarmowego „112” oraz o korzystaniu z niego, a także o funkcjach dostępu do tego numeru, w tym poprzez podejmowanie inicjatyw skierowanych do osób podróżujących między państwami członkowskimi oraz użytkowników końcowych z niepełnosprawnościami. Informacje te są przekazywane w przystępnych formatach dostosowanych do różnych rodzajów niepełnosprawności. Komisja wspiera i uzupełnia działania państw członkowskich.</w:t>
            </w:r>
          </w:p>
        </w:tc>
        <w:tc>
          <w:tcPr>
            <w:tcW w:w="986" w:type="dxa"/>
          </w:tcPr>
          <w:p w14:paraId="4EB700BF" w14:textId="0E0CFE69" w:rsidR="001E1112" w:rsidRPr="00317ABF" w:rsidRDefault="001E1112" w:rsidP="00DB3BEC">
            <w:pPr>
              <w:jc w:val="both"/>
              <w:rPr>
                <w:sz w:val="22"/>
                <w:szCs w:val="22"/>
              </w:rPr>
            </w:pPr>
            <w:r w:rsidRPr="00317ABF">
              <w:rPr>
                <w:sz w:val="22"/>
                <w:szCs w:val="22"/>
              </w:rPr>
              <w:t>T</w:t>
            </w:r>
          </w:p>
        </w:tc>
        <w:tc>
          <w:tcPr>
            <w:tcW w:w="910" w:type="dxa"/>
          </w:tcPr>
          <w:p w14:paraId="2213D20B" w14:textId="171F86F3" w:rsidR="001E1112" w:rsidRPr="00317ABF" w:rsidRDefault="001E1112" w:rsidP="00DB3BEC">
            <w:pPr>
              <w:pStyle w:val="Tekstpodstawowy"/>
              <w:rPr>
                <w:b/>
                <w:noProof/>
                <w:sz w:val="22"/>
                <w:szCs w:val="22"/>
              </w:rPr>
            </w:pPr>
            <w:r w:rsidRPr="00317ABF">
              <w:rPr>
                <w:b/>
                <w:noProof/>
                <w:sz w:val="22"/>
                <w:szCs w:val="22"/>
              </w:rPr>
              <w:t>Art. 4 pkt 2 ustawy o systemie powiadamiania ratunkowego</w:t>
            </w:r>
          </w:p>
        </w:tc>
        <w:tc>
          <w:tcPr>
            <w:tcW w:w="6814" w:type="dxa"/>
            <w:gridSpan w:val="2"/>
          </w:tcPr>
          <w:p w14:paraId="3B123D00" w14:textId="53DA8C05" w:rsidR="001E1112" w:rsidRPr="00317ABF" w:rsidRDefault="001E1112" w:rsidP="00DB3BEC">
            <w:pPr>
              <w:pStyle w:val="Tekstpodstawowy"/>
              <w:rPr>
                <w:sz w:val="22"/>
                <w:szCs w:val="22"/>
              </w:rPr>
            </w:pPr>
            <w:r w:rsidRPr="00317ABF">
              <w:rPr>
                <w:sz w:val="22"/>
                <w:szCs w:val="22"/>
              </w:rPr>
              <w:t>Art. 4 Minister właściwy do spraw administracji publicznej:</w:t>
            </w:r>
          </w:p>
          <w:p w14:paraId="3972971D" w14:textId="33B634C7" w:rsidR="001E1112" w:rsidRPr="00317ABF" w:rsidRDefault="001E1112" w:rsidP="00DB3BEC">
            <w:pPr>
              <w:pStyle w:val="Tekstpodstawowy"/>
              <w:rPr>
                <w:sz w:val="22"/>
                <w:szCs w:val="22"/>
              </w:rPr>
            </w:pPr>
            <w:r w:rsidRPr="00317ABF">
              <w:rPr>
                <w:sz w:val="22"/>
                <w:szCs w:val="22"/>
              </w:rPr>
              <w:t>2) zapewnia upowszechnianie wiedzy o numerach alarmowych;</w:t>
            </w:r>
          </w:p>
        </w:tc>
      </w:tr>
      <w:tr w:rsidR="001E1112" w:rsidRPr="00317ABF" w14:paraId="7CF24A49" w14:textId="77777777" w:rsidTr="7753F98D">
        <w:trPr>
          <w:gridAfter w:val="2"/>
          <w:wAfter w:w="175" w:type="dxa"/>
        </w:trPr>
        <w:tc>
          <w:tcPr>
            <w:tcW w:w="704" w:type="dxa"/>
          </w:tcPr>
          <w:p w14:paraId="5DAFFC59" w14:textId="77777777" w:rsidR="001E1112" w:rsidRPr="00317ABF" w:rsidRDefault="001E1112" w:rsidP="00DB3BEC">
            <w:pPr>
              <w:jc w:val="both"/>
              <w:rPr>
                <w:sz w:val="22"/>
                <w:szCs w:val="22"/>
              </w:rPr>
            </w:pPr>
            <w:r w:rsidRPr="00317ABF">
              <w:rPr>
                <w:sz w:val="22"/>
                <w:szCs w:val="22"/>
              </w:rPr>
              <w:t>Art. 109 ust. 8</w:t>
            </w:r>
          </w:p>
        </w:tc>
        <w:tc>
          <w:tcPr>
            <w:tcW w:w="4308" w:type="dxa"/>
          </w:tcPr>
          <w:p w14:paraId="20BA4A7B" w14:textId="77777777" w:rsidR="001E1112" w:rsidRPr="00317ABF" w:rsidRDefault="001E1112" w:rsidP="00DB3BEC">
            <w:pPr>
              <w:spacing w:before="120"/>
              <w:jc w:val="both"/>
              <w:rPr>
                <w:sz w:val="22"/>
                <w:szCs w:val="22"/>
              </w:rPr>
            </w:pPr>
            <w:r w:rsidRPr="00317ABF">
              <w:rPr>
                <w:sz w:val="22"/>
                <w:szCs w:val="22"/>
              </w:rPr>
              <w:t>8.   W celu zapewnienia skutecznego dostępu do służb ratunkowych za pomocą zgłoszeń alarmowych kierowanych pod jednolity europejski numer alarmowy „112” w państwach członkowskich Komisja, po konsultacji z BEREC, przyjmuje akty delegowane zgodnie z art. 117, uzupełniające ust. 2, 5 i 6 niniejszego artykułu, w sprawie środków koniecznych, aby zapewnić kompatybilność, interoperacyjność, jakość, niezawodność i ciągłość obsługi zgłoszeń alarmowych w Unii w odniesieniu do rozwiązań służących określaniu lokalizacji osoby wykonującej połączenie, dostępu dla użytkowników końcowych z niepełnosprawnościami i przekierowywania zgłoszeń do najwłaściwszego PSAP. Pierwsze takie akty delegowane przyjmuje się do dnia 21 grudnia 2022 r.</w:t>
            </w:r>
          </w:p>
          <w:p w14:paraId="2C3ACA13" w14:textId="77777777" w:rsidR="001E1112" w:rsidRPr="00317ABF" w:rsidRDefault="001E1112" w:rsidP="00DB3BEC">
            <w:pPr>
              <w:spacing w:before="120"/>
              <w:jc w:val="both"/>
              <w:rPr>
                <w:sz w:val="22"/>
                <w:szCs w:val="22"/>
              </w:rPr>
            </w:pPr>
            <w:r w:rsidRPr="00317ABF">
              <w:rPr>
                <w:sz w:val="22"/>
                <w:szCs w:val="22"/>
              </w:rPr>
              <w:t>Te akty delegowane przyjmuje się jednak bez uszczerbku dla organizacji służb ratunkowych i nie wywierają one żadnego wpływu na tę organizację, która pozostaje w wyłącznej kompetencji państw członkowskich.</w:t>
            </w:r>
          </w:p>
          <w:p w14:paraId="4854B01E" w14:textId="77777777" w:rsidR="001E1112" w:rsidRPr="00317ABF" w:rsidRDefault="001E1112" w:rsidP="00DB3BEC">
            <w:pPr>
              <w:spacing w:before="120"/>
              <w:jc w:val="both"/>
              <w:rPr>
                <w:sz w:val="22"/>
                <w:szCs w:val="22"/>
              </w:rPr>
            </w:pPr>
            <w:r w:rsidRPr="00317ABF">
              <w:rPr>
                <w:sz w:val="22"/>
                <w:szCs w:val="22"/>
              </w:rPr>
              <w:t>BEREC prowadzi bazę danych zawierającą numery służb ratunkowych państw członkowskich zgodnie z zaleceniem E.164, jeżeli taka baza danych nie jest prowadzona przez inną organizację, w celu zapewnienia, aby służby ratunkowe z różnych państw członkowskich mogły się ze sobą kontaktować.</w:t>
            </w:r>
          </w:p>
        </w:tc>
        <w:tc>
          <w:tcPr>
            <w:tcW w:w="986" w:type="dxa"/>
          </w:tcPr>
          <w:p w14:paraId="5BDFBB19" w14:textId="75D403CE" w:rsidR="001E1112" w:rsidRPr="00317ABF" w:rsidRDefault="001E1112" w:rsidP="00DB3BEC">
            <w:pPr>
              <w:jc w:val="both"/>
              <w:rPr>
                <w:sz w:val="22"/>
                <w:szCs w:val="22"/>
              </w:rPr>
            </w:pPr>
            <w:r w:rsidRPr="00317ABF">
              <w:rPr>
                <w:sz w:val="22"/>
                <w:szCs w:val="22"/>
              </w:rPr>
              <w:t>N</w:t>
            </w:r>
          </w:p>
        </w:tc>
        <w:tc>
          <w:tcPr>
            <w:tcW w:w="910" w:type="dxa"/>
          </w:tcPr>
          <w:p w14:paraId="4F65F854" w14:textId="73350D13" w:rsidR="001E1112" w:rsidRPr="00317ABF" w:rsidRDefault="001F2544" w:rsidP="00DB3BEC">
            <w:pPr>
              <w:pStyle w:val="Tekstpodstawowy"/>
              <w:rPr>
                <w:b/>
                <w:noProof/>
                <w:sz w:val="22"/>
                <w:szCs w:val="22"/>
              </w:rPr>
            </w:pPr>
            <w:r w:rsidRPr="00317ABF">
              <w:rPr>
                <w:b/>
                <w:noProof/>
                <w:sz w:val="22"/>
                <w:szCs w:val="22"/>
              </w:rPr>
              <w:t>Art. 407</w:t>
            </w:r>
            <w:r w:rsidR="001E1112" w:rsidRPr="00317ABF">
              <w:rPr>
                <w:b/>
                <w:noProof/>
                <w:sz w:val="22"/>
                <w:szCs w:val="22"/>
              </w:rPr>
              <w:t xml:space="preserve"> ust. 2 pkt 5 lit. g</w:t>
            </w:r>
          </w:p>
          <w:p w14:paraId="15F48A28" w14:textId="77777777" w:rsidR="001E1112" w:rsidRPr="00317ABF" w:rsidRDefault="001E1112" w:rsidP="00DB3BEC">
            <w:pPr>
              <w:pStyle w:val="Tekstpodstawowy"/>
              <w:rPr>
                <w:b/>
                <w:noProof/>
                <w:sz w:val="22"/>
                <w:szCs w:val="22"/>
              </w:rPr>
            </w:pPr>
          </w:p>
          <w:p w14:paraId="57514B01" w14:textId="77777777" w:rsidR="001E1112" w:rsidRPr="00317ABF" w:rsidRDefault="001E1112" w:rsidP="00DB3BEC">
            <w:pPr>
              <w:pStyle w:val="Tekstpodstawowy"/>
              <w:rPr>
                <w:b/>
                <w:noProof/>
                <w:sz w:val="22"/>
                <w:szCs w:val="22"/>
              </w:rPr>
            </w:pPr>
          </w:p>
          <w:p w14:paraId="573F1C85" w14:textId="77777777" w:rsidR="001E1112" w:rsidRPr="00317ABF" w:rsidRDefault="001E1112" w:rsidP="00DB3BEC">
            <w:pPr>
              <w:pStyle w:val="Tekstpodstawowy"/>
              <w:rPr>
                <w:b/>
                <w:noProof/>
                <w:sz w:val="22"/>
                <w:szCs w:val="22"/>
              </w:rPr>
            </w:pPr>
          </w:p>
          <w:p w14:paraId="2B35F14F" w14:textId="77777777" w:rsidR="001E1112" w:rsidRPr="00317ABF" w:rsidRDefault="001E1112" w:rsidP="00DB3BEC">
            <w:pPr>
              <w:pStyle w:val="Tekstpodstawowy"/>
              <w:rPr>
                <w:b/>
                <w:noProof/>
                <w:sz w:val="22"/>
                <w:szCs w:val="22"/>
              </w:rPr>
            </w:pPr>
          </w:p>
          <w:p w14:paraId="4F77391E" w14:textId="77777777" w:rsidR="001E1112" w:rsidRPr="00317ABF" w:rsidRDefault="001E1112" w:rsidP="00DB3BEC">
            <w:pPr>
              <w:pStyle w:val="Tekstpodstawowy"/>
              <w:rPr>
                <w:b/>
                <w:noProof/>
                <w:sz w:val="22"/>
                <w:szCs w:val="22"/>
              </w:rPr>
            </w:pPr>
          </w:p>
          <w:p w14:paraId="03B6AA2A" w14:textId="6526DC4C" w:rsidR="001E1112" w:rsidRPr="00317ABF" w:rsidRDefault="001E1112" w:rsidP="00DB3BEC">
            <w:pPr>
              <w:pStyle w:val="Tekstpodstawowy"/>
              <w:rPr>
                <w:b/>
                <w:noProof/>
                <w:sz w:val="22"/>
                <w:szCs w:val="22"/>
              </w:rPr>
            </w:pPr>
            <w:r w:rsidRPr="00317ABF">
              <w:rPr>
                <w:b/>
                <w:noProof/>
                <w:sz w:val="22"/>
                <w:szCs w:val="22"/>
              </w:rPr>
              <w:t>Art. 4 pkt 2 ustawy o systemie powiadamiania ratunkowego</w:t>
            </w:r>
          </w:p>
        </w:tc>
        <w:tc>
          <w:tcPr>
            <w:tcW w:w="6814" w:type="dxa"/>
            <w:gridSpan w:val="2"/>
          </w:tcPr>
          <w:p w14:paraId="68F548D8" w14:textId="7156AED8" w:rsidR="001E1112" w:rsidRPr="00317ABF" w:rsidRDefault="001E1112" w:rsidP="00DB3BEC">
            <w:pPr>
              <w:jc w:val="both"/>
              <w:rPr>
                <w:b/>
                <w:sz w:val="22"/>
                <w:szCs w:val="22"/>
              </w:rPr>
            </w:pPr>
            <w:r w:rsidRPr="00317ABF">
              <w:rPr>
                <w:b/>
                <w:sz w:val="22"/>
                <w:szCs w:val="22"/>
              </w:rPr>
              <w:t xml:space="preserve">Art. </w:t>
            </w:r>
            <w:r w:rsidR="001F2544" w:rsidRPr="00317ABF">
              <w:rPr>
                <w:b/>
                <w:sz w:val="22"/>
                <w:szCs w:val="22"/>
              </w:rPr>
              <w:t>407</w:t>
            </w:r>
          </w:p>
          <w:p w14:paraId="24F8778A" w14:textId="77777777" w:rsidR="001E1112" w:rsidRPr="00317ABF" w:rsidRDefault="001E1112" w:rsidP="00DB3BEC">
            <w:pPr>
              <w:jc w:val="both"/>
              <w:rPr>
                <w:sz w:val="22"/>
                <w:szCs w:val="22"/>
              </w:rPr>
            </w:pPr>
            <w:r w:rsidRPr="00317ABF">
              <w:rPr>
                <w:sz w:val="22"/>
                <w:szCs w:val="22"/>
              </w:rPr>
              <w:t>2. Organy właściwe w sprawach telekomunikacji prowadzą politykę regulacyjną, mając na celu w szczególności:</w:t>
            </w:r>
          </w:p>
          <w:p w14:paraId="6B0EA047" w14:textId="77777777" w:rsidR="001E1112" w:rsidRPr="00317ABF" w:rsidRDefault="001E1112" w:rsidP="00DB3BEC">
            <w:pPr>
              <w:jc w:val="both"/>
              <w:rPr>
                <w:sz w:val="22"/>
                <w:szCs w:val="22"/>
              </w:rPr>
            </w:pPr>
            <w:r w:rsidRPr="00317ABF">
              <w:rPr>
                <w:sz w:val="22"/>
                <w:szCs w:val="22"/>
              </w:rPr>
              <w:t>5)</w:t>
            </w:r>
          </w:p>
          <w:p w14:paraId="6E2061B0" w14:textId="53E78090" w:rsidR="001F2544" w:rsidRPr="00317ABF" w:rsidRDefault="001F2544" w:rsidP="001F2544">
            <w:pPr>
              <w:jc w:val="both"/>
              <w:rPr>
                <w:bCs/>
                <w:sz w:val="22"/>
                <w:szCs w:val="22"/>
              </w:rPr>
            </w:pPr>
            <w:r w:rsidRPr="00317ABF">
              <w:rPr>
                <w:bCs/>
                <w:sz w:val="22"/>
                <w:szCs w:val="22"/>
              </w:rPr>
              <w:t>g)</w:t>
            </w:r>
            <w:r w:rsidRPr="00317ABF">
              <w:rPr>
                <w:bCs/>
                <w:sz w:val="22"/>
                <w:szCs w:val="22"/>
              </w:rPr>
              <w:tab/>
              <w:t>wspieranie procesu harmonizacji określonych numerów lub zakresów numeracji w obrębie Unii Europejskiej oraz zapewnienie informacji o istnieniu europejskiego numeru alarmowego 112 i innych europejskich numerów zharmonizowanych, skierowanej do obywateli, w szczególności podróżujących między państwami członkowskimi,</w:t>
            </w:r>
          </w:p>
          <w:p w14:paraId="2B27B802" w14:textId="5577C07D" w:rsidR="001E1112" w:rsidRPr="00317ABF" w:rsidRDefault="001E1112" w:rsidP="00DB3BEC">
            <w:pPr>
              <w:jc w:val="both"/>
              <w:rPr>
                <w:sz w:val="22"/>
                <w:szCs w:val="22"/>
              </w:rPr>
            </w:pPr>
          </w:p>
          <w:p w14:paraId="749E58AC" w14:textId="79BCC354" w:rsidR="001E1112" w:rsidRPr="00317ABF" w:rsidRDefault="001E1112" w:rsidP="00DB3BEC">
            <w:pPr>
              <w:jc w:val="both"/>
              <w:rPr>
                <w:sz w:val="22"/>
                <w:szCs w:val="22"/>
              </w:rPr>
            </w:pPr>
          </w:p>
          <w:p w14:paraId="08843A2E" w14:textId="7DF51809" w:rsidR="001E1112" w:rsidRPr="00317ABF" w:rsidRDefault="001E1112" w:rsidP="00DB3BEC">
            <w:pPr>
              <w:jc w:val="both"/>
              <w:rPr>
                <w:sz w:val="22"/>
                <w:szCs w:val="22"/>
              </w:rPr>
            </w:pPr>
            <w:r w:rsidRPr="00317ABF">
              <w:rPr>
                <w:bCs/>
                <w:sz w:val="22"/>
                <w:szCs w:val="22"/>
              </w:rPr>
              <w:t>Art. 4 </w:t>
            </w:r>
            <w:r w:rsidRPr="00317ABF">
              <w:rPr>
                <w:sz w:val="22"/>
                <w:szCs w:val="22"/>
              </w:rPr>
              <w:t>Minister właściwy do spraw administracji publicznej:</w:t>
            </w:r>
          </w:p>
          <w:p w14:paraId="70DE28A8" w14:textId="3297A815" w:rsidR="001E1112" w:rsidRPr="00317ABF" w:rsidRDefault="001F2544" w:rsidP="00DB3BEC">
            <w:pPr>
              <w:jc w:val="both"/>
              <w:rPr>
                <w:bCs/>
                <w:sz w:val="22"/>
                <w:szCs w:val="22"/>
              </w:rPr>
            </w:pPr>
            <w:bookmarkStart w:id="180" w:name="mip49296953"/>
            <w:bookmarkEnd w:id="180"/>
            <w:r w:rsidRPr="00317ABF">
              <w:rPr>
                <w:bCs/>
                <w:sz w:val="22"/>
                <w:szCs w:val="22"/>
              </w:rPr>
              <w:t>(…)</w:t>
            </w:r>
          </w:p>
          <w:p w14:paraId="18E2FB39" w14:textId="2D2AB014" w:rsidR="001E1112" w:rsidRPr="00317ABF" w:rsidRDefault="001E1112" w:rsidP="00DB3BEC">
            <w:pPr>
              <w:jc w:val="both"/>
              <w:rPr>
                <w:b/>
                <w:bCs/>
                <w:sz w:val="22"/>
                <w:szCs w:val="22"/>
              </w:rPr>
            </w:pPr>
            <w:bookmarkStart w:id="181" w:name="mip49296954"/>
            <w:bookmarkEnd w:id="181"/>
            <w:r w:rsidRPr="00317ABF">
              <w:rPr>
                <w:bCs/>
                <w:sz w:val="22"/>
                <w:szCs w:val="22"/>
              </w:rPr>
              <w:t>2)</w:t>
            </w:r>
            <w:r w:rsidRPr="00317ABF">
              <w:rPr>
                <w:b/>
                <w:bCs/>
                <w:sz w:val="22"/>
                <w:szCs w:val="22"/>
              </w:rPr>
              <w:t xml:space="preserve"> </w:t>
            </w:r>
            <w:r w:rsidRPr="00317ABF">
              <w:rPr>
                <w:sz w:val="22"/>
                <w:szCs w:val="22"/>
              </w:rPr>
              <w:t>zapewnia upowszechnianie wiedzy o numerach alarmowych;</w:t>
            </w:r>
          </w:p>
          <w:p w14:paraId="599E6FAA" w14:textId="77777777" w:rsidR="001E1112" w:rsidRPr="00317ABF" w:rsidRDefault="001E1112" w:rsidP="00DB3BEC">
            <w:pPr>
              <w:jc w:val="both"/>
              <w:rPr>
                <w:sz w:val="22"/>
                <w:szCs w:val="22"/>
              </w:rPr>
            </w:pPr>
          </w:p>
        </w:tc>
      </w:tr>
      <w:tr w:rsidR="001E1112" w:rsidRPr="00317ABF" w14:paraId="4B5C863D" w14:textId="77777777" w:rsidTr="7753F98D">
        <w:trPr>
          <w:gridAfter w:val="2"/>
          <w:wAfter w:w="175" w:type="dxa"/>
        </w:trPr>
        <w:tc>
          <w:tcPr>
            <w:tcW w:w="704" w:type="dxa"/>
          </w:tcPr>
          <w:p w14:paraId="5D1B29DA" w14:textId="77777777" w:rsidR="001E1112" w:rsidRPr="00317ABF" w:rsidRDefault="001E1112" w:rsidP="00DB3BEC">
            <w:pPr>
              <w:jc w:val="both"/>
              <w:rPr>
                <w:b/>
                <w:sz w:val="22"/>
                <w:szCs w:val="22"/>
              </w:rPr>
            </w:pPr>
            <w:r w:rsidRPr="00317ABF">
              <w:rPr>
                <w:b/>
                <w:sz w:val="22"/>
                <w:szCs w:val="22"/>
              </w:rPr>
              <w:t>Art. 110</w:t>
            </w:r>
          </w:p>
        </w:tc>
        <w:tc>
          <w:tcPr>
            <w:tcW w:w="4308" w:type="dxa"/>
          </w:tcPr>
          <w:p w14:paraId="321D3C68" w14:textId="77777777" w:rsidR="001E1112" w:rsidRPr="00317ABF" w:rsidRDefault="001E1112" w:rsidP="00DB3BEC">
            <w:pPr>
              <w:spacing w:before="120"/>
              <w:jc w:val="both"/>
              <w:rPr>
                <w:sz w:val="22"/>
                <w:szCs w:val="22"/>
              </w:rPr>
            </w:pPr>
            <w:r w:rsidRPr="00317ABF">
              <w:rPr>
                <w:b/>
                <w:bCs/>
                <w:sz w:val="22"/>
                <w:szCs w:val="22"/>
              </w:rPr>
              <w:t>Publiczny system ostrzegania</w:t>
            </w:r>
          </w:p>
        </w:tc>
        <w:tc>
          <w:tcPr>
            <w:tcW w:w="986" w:type="dxa"/>
          </w:tcPr>
          <w:p w14:paraId="18DD8ABA" w14:textId="77777777" w:rsidR="001E1112" w:rsidRPr="00317ABF" w:rsidRDefault="001E1112" w:rsidP="00DB3BEC">
            <w:pPr>
              <w:jc w:val="both"/>
              <w:rPr>
                <w:sz w:val="22"/>
                <w:szCs w:val="22"/>
              </w:rPr>
            </w:pPr>
          </w:p>
        </w:tc>
        <w:tc>
          <w:tcPr>
            <w:tcW w:w="910" w:type="dxa"/>
          </w:tcPr>
          <w:p w14:paraId="13567484" w14:textId="77777777" w:rsidR="001E1112" w:rsidRPr="00317ABF" w:rsidRDefault="001E1112" w:rsidP="00DB3BEC">
            <w:pPr>
              <w:pStyle w:val="Tekstpodstawowy"/>
              <w:rPr>
                <w:b/>
                <w:noProof/>
                <w:sz w:val="22"/>
                <w:szCs w:val="22"/>
              </w:rPr>
            </w:pPr>
          </w:p>
        </w:tc>
        <w:tc>
          <w:tcPr>
            <w:tcW w:w="6814" w:type="dxa"/>
            <w:gridSpan w:val="2"/>
          </w:tcPr>
          <w:p w14:paraId="108CB3EA" w14:textId="77777777" w:rsidR="001E1112" w:rsidRPr="00317ABF" w:rsidRDefault="001E1112" w:rsidP="00DB3BEC">
            <w:pPr>
              <w:pStyle w:val="Tekstpodstawowy"/>
              <w:rPr>
                <w:sz w:val="22"/>
                <w:szCs w:val="22"/>
              </w:rPr>
            </w:pPr>
          </w:p>
        </w:tc>
      </w:tr>
      <w:tr w:rsidR="001E1112" w:rsidRPr="00317ABF" w14:paraId="11BD1855" w14:textId="77777777" w:rsidTr="7753F98D">
        <w:trPr>
          <w:gridAfter w:val="2"/>
          <w:wAfter w:w="175" w:type="dxa"/>
        </w:trPr>
        <w:tc>
          <w:tcPr>
            <w:tcW w:w="704" w:type="dxa"/>
          </w:tcPr>
          <w:p w14:paraId="00D76100" w14:textId="77777777" w:rsidR="001E1112" w:rsidRPr="00317ABF" w:rsidRDefault="001E1112" w:rsidP="00DB3BEC">
            <w:pPr>
              <w:jc w:val="both"/>
              <w:rPr>
                <w:sz w:val="22"/>
                <w:szCs w:val="22"/>
              </w:rPr>
            </w:pPr>
            <w:r w:rsidRPr="00317ABF">
              <w:rPr>
                <w:sz w:val="22"/>
                <w:szCs w:val="22"/>
              </w:rPr>
              <w:t>Art. 110 ust. 1</w:t>
            </w:r>
          </w:p>
        </w:tc>
        <w:tc>
          <w:tcPr>
            <w:tcW w:w="4308" w:type="dxa"/>
          </w:tcPr>
          <w:p w14:paraId="230D6062" w14:textId="77777777" w:rsidR="001E1112" w:rsidRPr="00317ABF" w:rsidRDefault="001E1112" w:rsidP="00DB3BEC">
            <w:pPr>
              <w:spacing w:before="120"/>
              <w:jc w:val="both"/>
              <w:rPr>
                <w:sz w:val="22"/>
                <w:szCs w:val="22"/>
              </w:rPr>
            </w:pPr>
            <w:r w:rsidRPr="00317ABF">
              <w:rPr>
                <w:sz w:val="22"/>
                <w:szCs w:val="22"/>
              </w:rPr>
              <w:t>1.   Do dnia 21 czerwca 2022 r. państwa członkowskie zapewnią, aby w przypadku działania publicznych systemów ostrzegania w odniesieniu do zbliżających się lub pogłębiających się stanów wyjątkowych i katastrof publiczne ostrzeżenia były przekazywane użytkownikom końcowym, których to dotyczy, przez podmioty świadczące usługi ruchomej łączności interpersonalnej wykorzystujące numery.</w:t>
            </w:r>
          </w:p>
        </w:tc>
        <w:tc>
          <w:tcPr>
            <w:tcW w:w="986" w:type="dxa"/>
          </w:tcPr>
          <w:p w14:paraId="511AFA27" w14:textId="2E4802BF" w:rsidR="001E1112" w:rsidRPr="00317ABF" w:rsidRDefault="001E1112" w:rsidP="00DB3BEC">
            <w:pPr>
              <w:jc w:val="both"/>
              <w:rPr>
                <w:sz w:val="22"/>
                <w:szCs w:val="22"/>
              </w:rPr>
            </w:pPr>
            <w:r w:rsidRPr="00317ABF">
              <w:rPr>
                <w:sz w:val="22"/>
                <w:szCs w:val="22"/>
              </w:rPr>
              <w:t>T</w:t>
            </w:r>
          </w:p>
        </w:tc>
        <w:tc>
          <w:tcPr>
            <w:tcW w:w="910" w:type="dxa"/>
          </w:tcPr>
          <w:p w14:paraId="3AECAB5C" w14:textId="41E94273" w:rsidR="001E1112" w:rsidRPr="00317ABF" w:rsidRDefault="001E1112" w:rsidP="00DB3BEC">
            <w:pPr>
              <w:pStyle w:val="Tekstpodstawowy"/>
              <w:rPr>
                <w:b/>
                <w:noProof/>
                <w:sz w:val="22"/>
                <w:szCs w:val="22"/>
              </w:rPr>
            </w:pPr>
            <w:r w:rsidRPr="00317ABF">
              <w:rPr>
                <w:b/>
                <w:noProof/>
                <w:sz w:val="22"/>
                <w:szCs w:val="22"/>
              </w:rPr>
              <w:t>Art. 21a ust. 3 ustawy o zarządzaniu kryzysowym</w:t>
            </w:r>
          </w:p>
        </w:tc>
        <w:tc>
          <w:tcPr>
            <w:tcW w:w="6814" w:type="dxa"/>
            <w:gridSpan w:val="2"/>
          </w:tcPr>
          <w:p w14:paraId="35798CD7" w14:textId="77777777" w:rsidR="001E1112" w:rsidRPr="00317ABF" w:rsidRDefault="001E1112" w:rsidP="00DB3BEC">
            <w:pPr>
              <w:jc w:val="both"/>
              <w:rPr>
                <w:sz w:val="22"/>
                <w:szCs w:val="22"/>
              </w:rPr>
            </w:pPr>
            <w:r w:rsidRPr="00317ABF">
              <w:rPr>
                <w:sz w:val="22"/>
                <w:szCs w:val="22"/>
              </w:rPr>
              <w:t>Art. 21a</w:t>
            </w:r>
          </w:p>
          <w:p w14:paraId="1F368FB7" w14:textId="00C8741E" w:rsidR="001E1112" w:rsidRPr="00317ABF" w:rsidRDefault="001E1112" w:rsidP="00DB3BEC">
            <w:pPr>
              <w:jc w:val="both"/>
              <w:rPr>
                <w:sz w:val="22"/>
                <w:szCs w:val="22"/>
              </w:rPr>
            </w:pPr>
            <w:r w:rsidRPr="00317ABF">
              <w:rPr>
                <w:sz w:val="22"/>
                <w:szCs w:val="22"/>
              </w:rPr>
              <w:t>3. Operator ruchomej publicznej sieci telekomunikacyjnej w rozumieniu przepisów </w:t>
            </w:r>
            <w:bookmarkStart w:id="182" w:name="highlightHit_103"/>
            <w:bookmarkEnd w:id="182"/>
            <w:r w:rsidRPr="00317ABF">
              <w:rPr>
                <w:sz w:val="22"/>
                <w:szCs w:val="22"/>
              </w:rPr>
              <w:t>ustawy z dnia 16 lipca 2004 r. - Prawo telekomunikacyjne (Dz.U. z 2019 r. poz. 2460 oraz z 2020 r. poz. 374), zwany dalej „operatorem”, jest obowiązany, na żądanie dyrektora Centrum, do niezwłocznego, nieodpłatnego wysłania lub wysyłania, komunikatów do wszystkich lub określonych przez dyrektora Centrum grup użytkowników końcowych, w szczególności przebywających na określonym przez niego obszarze, jednorazowo lub przez wskazany przez dyrektora Centrum okres.</w:t>
            </w:r>
          </w:p>
        </w:tc>
      </w:tr>
      <w:tr w:rsidR="001E1112" w:rsidRPr="00317ABF" w14:paraId="78598984" w14:textId="77777777" w:rsidTr="7753F98D">
        <w:trPr>
          <w:gridAfter w:val="2"/>
          <w:wAfter w:w="175" w:type="dxa"/>
        </w:trPr>
        <w:tc>
          <w:tcPr>
            <w:tcW w:w="704" w:type="dxa"/>
          </w:tcPr>
          <w:p w14:paraId="412E4B88" w14:textId="77777777" w:rsidR="001E1112" w:rsidRPr="00317ABF" w:rsidRDefault="001E1112" w:rsidP="00DB3BEC">
            <w:pPr>
              <w:jc w:val="both"/>
              <w:rPr>
                <w:sz w:val="22"/>
                <w:szCs w:val="22"/>
              </w:rPr>
            </w:pPr>
            <w:r w:rsidRPr="00317ABF">
              <w:rPr>
                <w:sz w:val="22"/>
                <w:szCs w:val="22"/>
              </w:rPr>
              <w:t>Art. 110 ust. 2</w:t>
            </w:r>
          </w:p>
        </w:tc>
        <w:tc>
          <w:tcPr>
            <w:tcW w:w="4308" w:type="dxa"/>
          </w:tcPr>
          <w:p w14:paraId="6A3B65B4" w14:textId="77777777" w:rsidR="001E1112" w:rsidRPr="00317ABF" w:rsidRDefault="001E1112" w:rsidP="00DB3BEC">
            <w:pPr>
              <w:spacing w:before="120"/>
              <w:jc w:val="both"/>
              <w:rPr>
                <w:sz w:val="22"/>
                <w:szCs w:val="22"/>
              </w:rPr>
            </w:pPr>
            <w:r w:rsidRPr="00317ABF">
              <w:rPr>
                <w:sz w:val="22"/>
                <w:szCs w:val="22"/>
              </w:rPr>
              <w:t>2.   Niezależnie od ust. 1 państwa członkowskie mogą, uwzględniając w jak największym stopniu wytyczne BEREC, ustalić, aby publiczne ostrzeżenia były przekazywane za pomocą publicznie dostępnych usług łączności elektronicznej innych niż usługi, o których mowa w ust. 1, i innych niż usługi nadawcze, lub za pomocą aplikacji mobilnej polegającej na usłudze dostępu do internetu, pod warunkiem że skuteczność publicznego systemu ostrzegania jest równoważna pod względem zakresu i zdolności docierania do użytkowników końcowych, w tym tych jedynie czasowo obecnych na danym obszarze. Użytkownicy końcowi mogą w łatwy sposób otrzymywać publiczne ostrzeżenia.</w:t>
            </w:r>
          </w:p>
          <w:p w14:paraId="3556CADF" w14:textId="77777777" w:rsidR="001E1112" w:rsidRPr="00317ABF" w:rsidRDefault="001E1112" w:rsidP="00DB3BEC">
            <w:pPr>
              <w:spacing w:before="120"/>
              <w:jc w:val="both"/>
              <w:rPr>
                <w:sz w:val="22"/>
                <w:szCs w:val="22"/>
              </w:rPr>
            </w:pPr>
            <w:r w:rsidRPr="00317ABF">
              <w:rPr>
                <w:sz w:val="22"/>
                <w:szCs w:val="22"/>
              </w:rPr>
              <w:t>Do dnia 21 czerwca 2020 r. i po konsultacji z organami odpowiedzialnymi za PSAP, BEREC opublikuje wytyczne na temat sposobu oceny tego, czy skuteczność publicznych ostrzeżeń na mocy niniejszego ustępu jest równoważna skuteczności ostrzeżeń na mocy ust. 1.</w:t>
            </w:r>
          </w:p>
        </w:tc>
        <w:tc>
          <w:tcPr>
            <w:tcW w:w="986" w:type="dxa"/>
          </w:tcPr>
          <w:p w14:paraId="6CA5A973" w14:textId="13953802" w:rsidR="001E1112" w:rsidRPr="00317ABF" w:rsidRDefault="001E1112" w:rsidP="00DB3BEC">
            <w:pPr>
              <w:jc w:val="both"/>
              <w:rPr>
                <w:sz w:val="22"/>
                <w:szCs w:val="22"/>
              </w:rPr>
            </w:pPr>
            <w:r w:rsidRPr="00317ABF">
              <w:rPr>
                <w:sz w:val="22"/>
                <w:szCs w:val="22"/>
              </w:rPr>
              <w:t>N</w:t>
            </w:r>
          </w:p>
        </w:tc>
        <w:tc>
          <w:tcPr>
            <w:tcW w:w="910" w:type="dxa"/>
          </w:tcPr>
          <w:p w14:paraId="43D43260" w14:textId="77777777" w:rsidR="001E1112" w:rsidRPr="00317ABF" w:rsidRDefault="001E1112" w:rsidP="00DB3BEC">
            <w:pPr>
              <w:pStyle w:val="Tekstpodstawowy"/>
              <w:rPr>
                <w:b/>
                <w:noProof/>
                <w:sz w:val="22"/>
                <w:szCs w:val="22"/>
              </w:rPr>
            </w:pPr>
          </w:p>
        </w:tc>
        <w:tc>
          <w:tcPr>
            <w:tcW w:w="6814" w:type="dxa"/>
            <w:gridSpan w:val="2"/>
          </w:tcPr>
          <w:p w14:paraId="4AC4D8CC" w14:textId="77777777" w:rsidR="001E1112" w:rsidRPr="00317ABF" w:rsidRDefault="001E1112" w:rsidP="00DB3BEC">
            <w:pPr>
              <w:pStyle w:val="Tekstpodstawowy"/>
              <w:rPr>
                <w:sz w:val="22"/>
                <w:szCs w:val="22"/>
              </w:rPr>
            </w:pPr>
          </w:p>
        </w:tc>
      </w:tr>
      <w:tr w:rsidR="001E1112" w:rsidRPr="00317ABF" w14:paraId="2DBEF998" w14:textId="77777777" w:rsidTr="7753F98D">
        <w:trPr>
          <w:gridAfter w:val="2"/>
          <w:wAfter w:w="175" w:type="dxa"/>
        </w:trPr>
        <w:tc>
          <w:tcPr>
            <w:tcW w:w="704" w:type="dxa"/>
          </w:tcPr>
          <w:p w14:paraId="5F1396BA" w14:textId="77777777" w:rsidR="001E1112" w:rsidRPr="00317ABF" w:rsidRDefault="001E1112" w:rsidP="00DB3BEC">
            <w:pPr>
              <w:jc w:val="both"/>
              <w:rPr>
                <w:b/>
                <w:sz w:val="22"/>
                <w:szCs w:val="22"/>
              </w:rPr>
            </w:pPr>
            <w:r w:rsidRPr="00317ABF">
              <w:rPr>
                <w:b/>
                <w:sz w:val="22"/>
                <w:szCs w:val="22"/>
              </w:rPr>
              <w:t>Art. 111</w:t>
            </w:r>
          </w:p>
        </w:tc>
        <w:tc>
          <w:tcPr>
            <w:tcW w:w="4308" w:type="dxa"/>
          </w:tcPr>
          <w:p w14:paraId="22B0D1B7" w14:textId="77777777" w:rsidR="001E1112" w:rsidRPr="00317ABF" w:rsidRDefault="001E1112" w:rsidP="00DB3BEC">
            <w:pPr>
              <w:spacing w:before="120"/>
              <w:jc w:val="both"/>
              <w:rPr>
                <w:sz w:val="22"/>
                <w:szCs w:val="22"/>
              </w:rPr>
            </w:pPr>
            <w:r w:rsidRPr="00317ABF">
              <w:rPr>
                <w:b/>
                <w:bCs/>
                <w:sz w:val="22"/>
                <w:szCs w:val="22"/>
              </w:rPr>
              <w:t>Równoważny dostęp i wybór dla użytkowników końcowych z niepełnosprawnościami</w:t>
            </w:r>
          </w:p>
        </w:tc>
        <w:tc>
          <w:tcPr>
            <w:tcW w:w="986" w:type="dxa"/>
          </w:tcPr>
          <w:p w14:paraId="3F4FC146" w14:textId="77777777" w:rsidR="001E1112" w:rsidRPr="00317ABF" w:rsidRDefault="001E1112" w:rsidP="00DB3BEC">
            <w:pPr>
              <w:jc w:val="both"/>
              <w:rPr>
                <w:sz w:val="22"/>
                <w:szCs w:val="22"/>
              </w:rPr>
            </w:pPr>
          </w:p>
        </w:tc>
        <w:tc>
          <w:tcPr>
            <w:tcW w:w="910" w:type="dxa"/>
          </w:tcPr>
          <w:p w14:paraId="71FDA5BA" w14:textId="77777777" w:rsidR="001E1112" w:rsidRPr="00317ABF" w:rsidRDefault="001E1112" w:rsidP="00DB3BEC">
            <w:pPr>
              <w:pStyle w:val="Tekstpodstawowy"/>
              <w:rPr>
                <w:b/>
                <w:noProof/>
                <w:sz w:val="22"/>
                <w:szCs w:val="22"/>
              </w:rPr>
            </w:pPr>
          </w:p>
        </w:tc>
        <w:tc>
          <w:tcPr>
            <w:tcW w:w="6814" w:type="dxa"/>
            <w:gridSpan w:val="2"/>
          </w:tcPr>
          <w:p w14:paraId="4A4CE9E0" w14:textId="77777777" w:rsidR="001E1112" w:rsidRPr="00317ABF" w:rsidRDefault="001E1112" w:rsidP="00DB3BEC">
            <w:pPr>
              <w:pStyle w:val="Tekstpodstawowy"/>
              <w:rPr>
                <w:sz w:val="22"/>
                <w:szCs w:val="22"/>
              </w:rPr>
            </w:pPr>
          </w:p>
        </w:tc>
      </w:tr>
      <w:tr w:rsidR="001E1112" w:rsidRPr="00317ABF" w14:paraId="12C5C921" w14:textId="77777777" w:rsidTr="7753F98D">
        <w:trPr>
          <w:gridAfter w:val="2"/>
          <w:wAfter w:w="175" w:type="dxa"/>
        </w:trPr>
        <w:tc>
          <w:tcPr>
            <w:tcW w:w="704" w:type="dxa"/>
          </w:tcPr>
          <w:p w14:paraId="4633DBBC" w14:textId="77777777" w:rsidR="001E1112" w:rsidRPr="00317ABF" w:rsidRDefault="001E1112" w:rsidP="00DB3BEC">
            <w:pPr>
              <w:jc w:val="both"/>
              <w:rPr>
                <w:sz w:val="22"/>
                <w:szCs w:val="22"/>
              </w:rPr>
            </w:pPr>
            <w:r w:rsidRPr="00317ABF">
              <w:rPr>
                <w:sz w:val="22"/>
                <w:szCs w:val="22"/>
              </w:rPr>
              <w:t>Art. 111 ust. 1</w:t>
            </w:r>
          </w:p>
        </w:tc>
        <w:tc>
          <w:tcPr>
            <w:tcW w:w="4308" w:type="dxa"/>
          </w:tcPr>
          <w:p w14:paraId="7A9E8797" w14:textId="77777777" w:rsidR="001E1112" w:rsidRPr="00317ABF" w:rsidRDefault="001E1112" w:rsidP="00DB3BEC">
            <w:pPr>
              <w:spacing w:before="120"/>
              <w:jc w:val="both"/>
              <w:rPr>
                <w:sz w:val="22"/>
                <w:szCs w:val="22"/>
              </w:rPr>
            </w:pPr>
            <w:r w:rsidRPr="00317ABF">
              <w:rPr>
                <w:sz w:val="22"/>
                <w:szCs w:val="22"/>
              </w:rPr>
              <w:t>1.   Państwa członkowskie zapewniają, aby właściwe organy określiły wymogi, które mają spełniać podmioty świadczące publicznie dostępne usługi łączności elektronicznej, aby zapewnić użytkownikom końcowym z niepełnosprawnościami:</w:t>
            </w:r>
          </w:p>
          <w:tbl>
            <w:tblPr>
              <w:tblW w:w="5000" w:type="pct"/>
              <w:tblCellSpacing w:w="0" w:type="dxa"/>
              <w:tblLayout w:type="fixed"/>
              <w:tblCellMar>
                <w:left w:w="0" w:type="dxa"/>
                <w:right w:w="0" w:type="dxa"/>
              </w:tblCellMar>
              <w:tblLook w:val="04A0" w:firstRow="1" w:lastRow="0" w:firstColumn="1" w:lastColumn="0" w:noHBand="0" w:noVBand="1"/>
            </w:tblPr>
            <w:tblGrid>
              <w:gridCol w:w="20"/>
              <w:gridCol w:w="4148"/>
            </w:tblGrid>
            <w:tr w:rsidR="001E1112" w:rsidRPr="00317ABF" w14:paraId="45D70779" w14:textId="77777777" w:rsidTr="006B6841">
              <w:trPr>
                <w:tblCellSpacing w:w="0" w:type="dxa"/>
              </w:trPr>
              <w:tc>
                <w:tcPr>
                  <w:tcW w:w="6" w:type="dxa"/>
                  <w:hideMark/>
                </w:tcPr>
                <w:p w14:paraId="0D33AF47" w14:textId="77777777" w:rsidR="001E1112" w:rsidRPr="00317ABF" w:rsidRDefault="001E1112" w:rsidP="00EE0AC3">
                  <w:pPr>
                    <w:framePr w:hSpace="141" w:wrap="around" w:vAnchor="text" w:hAnchor="text" w:xAlign="right" w:y="1"/>
                    <w:spacing w:before="120"/>
                    <w:suppressOverlap/>
                    <w:jc w:val="both"/>
                    <w:rPr>
                      <w:sz w:val="22"/>
                      <w:szCs w:val="22"/>
                    </w:rPr>
                  </w:pPr>
                </w:p>
              </w:tc>
              <w:tc>
                <w:tcPr>
                  <w:tcW w:w="9066" w:type="dxa"/>
                  <w:hideMark/>
                </w:tcPr>
                <w:p w14:paraId="354E2286" w14:textId="77777777" w:rsidR="001E1112" w:rsidRPr="00317ABF" w:rsidRDefault="001E1112" w:rsidP="00EE0AC3">
                  <w:pPr>
                    <w:framePr w:hSpace="141" w:wrap="around" w:vAnchor="text" w:hAnchor="text" w:xAlign="right" w:y="1"/>
                    <w:numPr>
                      <w:ilvl w:val="0"/>
                      <w:numId w:val="80"/>
                    </w:numPr>
                    <w:spacing w:before="120"/>
                    <w:suppressOverlap/>
                    <w:jc w:val="both"/>
                    <w:rPr>
                      <w:sz w:val="22"/>
                      <w:szCs w:val="22"/>
                    </w:rPr>
                  </w:pPr>
                  <w:r w:rsidRPr="00317ABF">
                    <w:rPr>
                      <w:sz w:val="22"/>
                      <w:szCs w:val="22"/>
                    </w:rPr>
                    <w:t>dostęp do usług łączności elektronicznej, w tym powiązanych informacji umownych przekazanych zgodnie z art. 102, równoważny dostępowi, jaki ma większość użytkowników końcowych; oraz</w:t>
                  </w:r>
                </w:p>
              </w:tc>
            </w:tr>
          </w:tbl>
          <w:p w14:paraId="4FB224C0" w14:textId="77777777" w:rsidR="001E1112" w:rsidRPr="00317ABF" w:rsidRDefault="001E1112" w:rsidP="00DB3BEC">
            <w:pPr>
              <w:jc w:val="both"/>
              <w:rPr>
                <w:vanish/>
                <w:sz w:val="22"/>
                <w:szCs w:val="22"/>
              </w:rPr>
            </w:pPr>
          </w:p>
          <w:tbl>
            <w:tblPr>
              <w:tblW w:w="5000" w:type="pct"/>
              <w:tblCellSpacing w:w="0" w:type="dxa"/>
              <w:tblLayout w:type="fixed"/>
              <w:tblCellMar>
                <w:left w:w="0" w:type="dxa"/>
                <w:right w:w="0" w:type="dxa"/>
              </w:tblCellMar>
              <w:tblLook w:val="04A0" w:firstRow="1" w:lastRow="0" w:firstColumn="1" w:lastColumn="0" w:noHBand="0" w:noVBand="1"/>
            </w:tblPr>
            <w:tblGrid>
              <w:gridCol w:w="20"/>
              <w:gridCol w:w="4148"/>
            </w:tblGrid>
            <w:tr w:rsidR="001E1112" w:rsidRPr="00317ABF" w14:paraId="0BCE83B5" w14:textId="77777777" w:rsidTr="006B6841">
              <w:trPr>
                <w:trHeight w:val="60"/>
                <w:tblCellSpacing w:w="0" w:type="dxa"/>
              </w:trPr>
              <w:tc>
                <w:tcPr>
                  <w:tcW w:w="6" w:type="dxa"/>
                  <w:hideMark/>
                </w:tcPr>
                <w:p w14:paraId="0D5ECEDF" w14:textId="77777777" w:rsidR="001E1112" w:rsidRPr="00317ABF" w:rsidRDefault="001E1112" w:rsidP="00EE0AC3">
                  <w:pPr>
                    <w:framePr w:hSpace="141" w:wrap="around" w:vAnchor="text" w:hAnchor="text" w:xAlign="right" w:y="1"/>
                    <w:spacing w:before="120"/>
                    <w:suppressOverlap/>
                    <w:jc w:val="both"/>
                    <w:rPr>
                      <w:sz w:val="22"/>
                      <w:szCs w:val="22"/>
                    </w:rPr>
                  </w:pPr>
                </w:p>
              </w:tc>
              <w:tc>
                <w:tcPr>
                  <w:tcW w:w="9066" w:type="dxa"/>
                  <w:hideMark/>
                </w:tcPr>
                <w:p w14:paraId="514ECE52" w14:textId="77777777" w:rsidR="001E1112" w:rsidRPr="00317ABF" w:rsidRDefault="001E1112" w:rsidP="00EE0AC3">
                  <w:pPr>
                    <w:framePr w:hSpace="141" w:wrap="around" w:vAnchor="text" w:hAnchor="text" w:xAlign="right" w:y="1"/>
                    <w:numPr>
                      <w:ilvl w:val="0"/>
                      <w:numId w:val="80"/>
                    </w:numPr>
                    <w:spacing w:before="120"/>
                    <w:suppressOverlap/>
                    <w:jc w:val="both"/>
                    <w:rPr>
                      <w:sz w:val="22"/>
                      <w:szCs w:val="22"/>
                    </w:rPr>
                  </w:pPr>
                  <w:r w:rsidRPr="00317ABF">
                    <w:rPr>
                      <w:sz w:val="22"/>
                      <w:szCs w:val="22"/>
                    </w:rPr>
                    <w:t>korzystanie z możliwości wyboru przedsiębiorstw i usług dostępnych dla większości użytkowników końcowych.</w:t>
                  </w:r>
                </w:p>
              </w:tc>
            </w:tr>
          </w:tbl>
          <w:p w14:paraId="250A8485" w14:textId="77777777" w:rsidR="001E1112" w:rsidRPr="00317ABF" w:rsidRDefault="001E1112" w:rsidP="00DB3BEC">
            <w:pPr>
              <w:spacing w:before="120"/>
              <w:jc w:val="both"/>
              <w:rPr>
                <w:sz w:val="22"/>
                <w:szCs w:val="22"/>
              </w:rPr>
            </w:pPr>
          </w:p>
        </w:tc>
        <w:tc>
          <w:tcPr>
            <w:tcW w:w="986" w:type="dxa"/>
          </w:tcPr>
          <w:p w14:paraId="62FC8BFB" w14:textId="1965FB64" w:rsidR="001E1112" w:rsidRPr="00317ABF" w:rsidRDefault="001E1112" w:rsidP="00DB3BEC">
            <w:pPr>
              <w:jc w:val="both"/>
              <w:rPr>
                <w:sz w:val="22"/>
                <w:szCs w:val="22"/>
              </w:rPr>
            </w:pPr>
            <w:r w:rsidRPr="00317ABF">
              <w:rPr>
                <w:sz w:val="22"/>
                <w:szCs w:val="22"/>
              </w:rPr>
              <w:t>T</w:t>
            </w:r>
          </w:p>
        </w:tc>
        <w:tc>
          <w:tcPr>
            <w:tcW w:w="910" w:type="dxa"/>
          </w:tcPr>
          <w:p w14:paraId="382F1053" w14:textId="3F1C7A3C" w:rsidR="001E1112" w:rsidRPr="00317ABF" w:rsidRDefault="003E641F" w:rsidP="00DB3BEC">
            <w:pPr>
              <w:pStyle w:val="Tekstpodstawowy"/>
              <w:rPr>
                <w:b/>
                <w:noProof/>
                <w:sz w:val="22"/>
                <w:szCs w:val="22"/>
              </w:rPr>
            </w:pPr>
            <w:r w:rsidRPr="00317ABF">
              <w:rPr>
                <w:b/>
                <w:noProof/>
                <w:sz w:val="22"/>
                <w:szCs w:val="22"/>
              </w:rPr>
              <w:t>Art. 334 ust. 1 i 3</w:t>
            </w:r>
          </w:p>
        </w:tc>
        <w:tc>
          <w:tcPr>
            <w:tcW w:w="6814" w:type="dxa"/>
            <w:gridSpan w:val="2"/>
          </w:tcPr>
          <w:p w14:paraId="7A92AA8D" w14:textId="46265426" w:rsidR="003E641F" w:rsidRPr="00317ABF" w:rsidRDefault="003E641F" w:rsidP="003E641F">
            <w:pPr>
              <w:pStyle w:val="Tekstpodstawowy"/>
              <w:rPr>
                <w:sz w:val="22"/>
                <w:szCs w:val="22"/>
              </w:rPr>
            </w:pPr>
            <w:r w:rsidRPr="00317ABF">
              <w:rPr>
                <w:b/>
                <w:sz w:val="22"/>
                <w:szCs w:val="22"/>
              </w:rPr>
              <w:t>Art. 334.</w:t>
            </w:r>
            <w:r w:rsidRPr="00317ABF">
              <w:rPr>
                <w:sz w:val="22"/>
                <w:szCs w:val="22"/>
              </w:rPr>
              <w:t xml:space="preserve"> 1. Dostawca usług komunikacji elektronicznej zapewnia użytkownikom końcowym z niepełnosprawnościami dostęp do świadczonych przez siebie udogodnień i dostęp do świadczonych przez siebie usług równoważny dostępowi do usług komunikacji elektronicznej z jakiego korzysta większość użytkowników końcowych.</w:t>
            </w:r>
          </w:p>
          <w:p w14:paraId="67A5DAA8" w14:textId="5A16FE09" w:rsidR="003E641F" w:rsidRPr="00317ABF" w:rsidRDefault="003E641F" w:rsidP="003E641F">
            <w:pPr>
              <w:pStyle w:val="Tekstpodstawowy"/>
              <w:rPr>
                <w:bCs/>
                <w:sz w:val="22"/>
                <w:szCs w:val="22"/>
              </w:rPr>
            </w:pPr>
            <w:r w:rsidRPr="00317ABF">
              <w:rPr>
                <w:bCs/>
                <w:sz w:val="22"/>
                <w:szCs w:val="22"/>
              </w:rPr>
              <w:t>(…)</w:t>
            </w:r>
          </w:p>
          <w:p w14:paraId="60C24D8C" w14:textId="77777777" w:rsidR="003E641F" w:rsidRPr="00317ABF" w:rsidRDefault="003E641F" w:rsidP="003E641F">
            <w:pPr>
              <w:pStyle w:val="Tekstpodstawowy"/>
              <w:rPr>
                <w:bCs/>
                <w:sz w:val="22"/>
                <w:szCs w:val="22"/>
              </w:rPr>
            </w:pPr>
            <w:r w:rsidRPr="00317ABF">
              <w:rPr>
                <w:bCs/>
                <w:sz w:val="22"/>
                <w:szCs w:val="22"/>
              </w:rPr>
              <w:t>3. Minister właściwy do spraw informatyzacji określi, w drodze rozporządzenia, szczegółowe wymagania dotyczące świadczenia udogodnień i usług dla osób z niepełnosprawnościami przez dostawców publicznie dostępnych usług komunikacji elektronicznej, biorąc pod uwagę potrzebę zapewnienia użytkownikom końcowym z niepełnosprawnościami dostępu równoważnego dostępowi do usług komunikacji elektronicznej z jakiego korzysta większość użytkowników końcowych.</w:t>
            </w:r>
          </w:p>
          <w:p w14:paraId="37E2B9A4" w14:textId="00E672F6" w:rsidR="001E1112" w:rsidRPr="00317ABF" w:rsidRDefault="001E1112" w:rsidP="00DB3BEC">
            <w:pPr>
              <w:jc w:val="both"/>
              <w:rPr>
                <w:sz w:val="22"/>
                <w:szCs w:val="22"/>
              </w:rPr>
            </w:pPr>
          </w:p>
        </w:tc>
      </w:tr>
      <w:tr w:rsidR="001E1112" w:rsidRPr="00317ABF" w14:paraId="70337AE6" w14:textId="77777777" w:rsidTr="7753F98D">
        <w:trPr>
          <w:gridAfter w:val="2"/>
          <w:wAfter w:w="175" w:type="dxa"/>
        </w:trPr>
        <w:tc>
          <w:tcPr>
            <w:tcW w:w="704" w:type="dxa"/>
          </w:tcPr>
          <w:p w14:paraId="207A2701" w14:textId="77777777" w:rsidR="001E1112" w:rsidRPr="00317ABF" w:rsidRDefault="001E1112" w:rsidP="00DB3BEC">
            <w:pPr>
              <w:jc w:val="both"/>
              <w:rPr>
                <w:sz w:val="22"/>
                <w:szCs w:val="22"/>
              </w:rPr>
            </w:pPr>
            <w:r w:rsidRPr="00317ABF">
              <w:rPr>
                <w:sz w:val="22"/>
                <w:szCs w:val="22"/>
              </w:rPr>
              <w:t>Art. 111 ust. 2</w:t>
            </w:r>
          </w:p>
        </w:tc>
        <w:tc>
          <w:tcPr>
            <w:tcW w:w="4308" w:type="dxa"/>
          </w:tcPr>
          <w:p w14:paraId="594A36F4" w14:textId="77777777" w:rsidR="001E1112" w:rsidRPr="00317ABF" w:rsidRDefault="001E1112" w:rsidP="00DB3BEC">
            <w:pPr>
              <w:spacing w:before="120"/>
              <w:jc w:val="both"/>
              <w:rPr>
                <w:sz w:val="22"/>
                <w:szCs w:val="22"/>
              </w:rPr>
            </w:pPr>
            <w:r w:rsidRPr="00317ABF">
              <w:rPr>
                <w:sz w:val="22"/>
                <w:szCs w:val="22"/>
              </w:rPr>
              <w:t>2.   Wprowadzając środki, o których mowa w ust. 1 niniejszego artykułu, państwa członkowskie zachęcają do przestrzegania odnośnych norm lub specyfikacji ustanowionych zgodnie z art. 39.</w:t>
            </w:r>
          </w:p>
        </w:tc>
        <w:tc>
          <w:tcPr>
            <w:tcW w:w="986" w:type="dxa"/>
          </w:tcPr>
          <w:p w14:paraId="554E7659" w14:textId="7CC14BB8" w:rsidR="001E1112" w:rsidRPr="00317ABF" w:rsidRDefault="001E1112" w:rsidP="00DB3BEC">
            <w:pPr>
              <w:jc w:val="both"/>
              <w:rPr>
                <w:sz w:val="22"/>
                <w:szCs w:val="22"/>
              </w:rPr>
            </w:pPr>
            <w:r w:rsidRPr="00317ABF">
              <w:rPr>
                <w:sz w:val="22"/>
                <w:szCs w:val="22"/>
              </w:rPr>
              <w:t>T</w:t>
            </w:r>
          </w:p>
        </w:tc>
        <w:tc>
          <w:tcPr>
            <w:tcW w:w="910" w:type="dxa"/>
          </w:tcPr>
          <w:p w14:paraId="23918E39" w14:textId="62F90752" w:rsidR="001E1112" w:rsidRPr="00317ABF" w:rsidRDefault="003E641F" w:rsidP="00DB3BEC">
            <w:pPr>
              <w:pStyle w:val="Tekstpodstawowy"/>
              <w:rPr>
                <w:b/>
                <w:noProof/>
                <w:sz w:val="22"/>
                <w:szCs w:val="22"/>
              </w:rPr>
            </w:pPr>
            <w:r w:rsidRPr="00317ABF">
              <w:rPr>
                <w:b/>
                <w:noProof/>
                <w:sz w:val="22"/>
                <w:szCs w:val="22"/>
              </w:rPr>
              <w:t>Art. 334</w:t>
            </w:r>
            <w:r w:rsidR="001E1112" w:rsidRPr="00317ABF">
              <w:rPr>
                <w:b/>
                <w:noProof/>
                <w:sz w:val="22"/>
                <w:szCs w:val="22"/>
              </w:rPr>
              <w:t xml:space="preserve"> ust. 2</w:t>
            </w:r>
          </w:p>
        </w:tc>
        <w:tc>
          <w:tcPr>
            <w:tcW w:w="6814" w:type="dxa"/>
            <w:gridSpan w:val="2"/>
          </w:tcPr>
          <w:p w14:paraId="0138F4E2" w14:textId="40C2F841" w:rsidR="001E1112" w:rsidRPr="00317ABF" w:rsidRDefault="003E641F" w:rsidP="00DB3BEC">
            <w:pPr>
              <w:pStyle w:val="Tekstpodstawowy"/>
              <w:rPr>
                <w:b/>
                <w:sz w:val="22"/>
                <w:szCs w:val="22"/>
              </w:rPr>
            </w:pPr>
            <w:r w:rsidRPr="00317ABF">
              <w:rPr>
                <w:b/>
                <w:sz w:val="22"/>
                <w:szCs w:val="22"/>
              </w:rPr>
              <w:t>Art. 334</w:t>
            </w:r>
          </w:p>
          <w:p w14:paraId="09A00BB1" w14:textId="121EF8D5" w:rsidR="001E1112" w:rsidRPr="00317ABF" w:rsidRDefault="003E641F" w:rsidP="00DB3BEC">
            <w:pPr>
              <w:pStyle w:val="Tekstpodstawowy"/>
              <w:rPr>
                <w:sz w:val="22"/>
                <w:szCs w:val="22"/>
              </w:rPr>
            </w:pPr>
            <w:r w:rsidRPr="00317ABF">
              <w:rPr>
                <w:bCs/>
                <w:sz w:val="22"/>
                <w:szCs w:val="22"/>
              </w:rPr>
              <w:t>2. Prezes UKE udostępnia na stronie podmiotowej BIP UKE informacje o normach i specyfikacjach opublikowanych przez Komisję Europejską w Dzienniku Urzędowym Unii Europejskiej, dotyczących udogodnień i usług dla użytkowników końcowych z niepełnosprawnościami</w:t>
            </w:r>
            <w:r w:rsidRPr="00317ABF">
              <w:rPr>
                <w:sz w:val="22"/>
                <w:szCs w:val="22"/>
              </w:rPr>
              <w:t xml:space="preserve"> </w:t>
            </w:r>
            <w:r w:rsidR="00CE3398" w:rsidRPr="00317ABF">
              <w:rPr>
                <w:sz w:val="22"/>
                <w:szCs w:val="22"/>
              </w:rPr>
              <w:t>.</w:t>
            </w:r>
          </w:p>
        </w:tc>
      </w:tr>
      <w:tr w:rsidR="001E1112" w:rsidRPr="00317ABF" w14:paraId="3721E28B" w14:textId="77777777" w:rsidTr="7753F98D">
        <w:trPr>
          <w:gridAfter w:val="2"/>
          <w:wAfter w:w="175" w:type="dxa"/>
        </w:trPr>
        <w:tc>
          <w:tcPr>
            <w:tcW w:w="704" w:type="dxa"/>
          </w:tcPr>
          <w:p w14:paraId="7358F029" w14:textId="77777777" w:rsidR="001E1112" w:rsidRPr="00317ABF" w:rsidRDefault="001E1112" w:rsidP="00DB3BEC">
            <w:pPr>
              <w:jc w:val="both"/>
              <w:rPr>
                <w:b/>
                <w:sz w:val="22"/>
                <w:szCs w:val="22"/>
              </w:rPr>
            </w:pPr>
            <w:r w:rsidRPr="00317ABF">
              <w:rPr>
                <w:b/>
                <w:sz w:val="22"/>
                <w:szCs w:val="22"/>
              </w:rPr>
              <w:t>Art. 112</w:t>
            </w:r>
          </w:p>
        </w:tc>
        <w:tc>
          <w:tcPr>
            <w:tcW w:w="4308" w:type="dxa"/>
          </w:tcPr>
          <w:p w14:paraId="6937B01C" w14:textId="77777777" w:rsidR="001E1112" w:rsidRPr="00317ABF" w:rsidRDefault="001E1112" w:rsidP="00DB3BEC">
            <w:pPr>
              <w:spacing w:before="120"/>
              <w:jc w:val="both"/>
              <w:rPr>
                <w:sz w:val="22"/>
                <w:szCs w:val="22"/>
              </w:rPr>
            </w:pPr>
            <w:r w:rsidRPr="00317ABF">
              <w:rPr>
                <w:b/>
                <w:bCs/>
                <w:sz w:val="22"/>
                <w:szCs w:val="22"/>
              </w:rPr>
              <w:t>Usługi biura numerów i spisu abonentów</w:t>
            </w:r>
          </w:p>
        </w:tc>
        <w:tc>
          <w:tcPr>
            <w:tcW w:w="986" w:type="dxa"/>
          </w:tcPr>
          <w:p w14:paraId="7EEC7BC1" w14:textId="77777777" w:rsidR="001E1112" w:rsidRPr="00317ABF" w:rsidRDefault="001E1112" w:rsidP="00DB3BEC">
            <w:pPr>
              <w:jc w:val="both"/>
              <w:rPr>
                <w:sz w:val="22"/>
                <w:szCs w:val="22"/>
              </w:rPr>
            </w:pPr>
          </w:p>
        </w:tc>
        <w:tc>
          <w:tcPr>
            <w:tcW w:w="910" w:type="dxa"/>
          </w:tcPr>
          <w:p w14:paraId="7E387066" w14:textId="77777777" w:rsidR="001E1112" w:rsidRPr="00317ABF" w:rsidRDefault="001E1112" w:rsidP="00DB3BEC">
            <w:pPr>
              <w:pStyle w:val="Tekstpodstawowy"/>
              <w:rPr>
                <w:b/>
                <w:noProof/>
                <w:sz w:val="22"/>
                <w:szCs w:val="22"/>
              </w:rPr>
            </w:pPr>
          </w:p>
        </w:tc>
        <w:tc>
          <w:tcPr>
            <w:tcW w:w="6814" w:type="dxa"/>
            <w:gridSpan w:val="2"/>
          </w:tcPr>
          <w:p w14:paraId="2A541089" w14:textId="77777777" w:rsidR="001E1112" w:rsidRPr="00317ABF" w:rsidRDefault="001E1112" w:rsidP="00DB3BEC">
            <w:pPr>
              <w:pStyle w:val="Tekstpodstawowy"/>
              <w:rPr>
                <w:sz w:val="22"/>
                <w:szCs w:val="22"/>
              </w:rPr>
            </w:pPr>
          </w:p>
        </w:tc>
      </w:tr>
      <w:tr w:rsidR="001E1112" w:rsidRPr="00317ABF" w14:paraId="106D2B51" w14:textId="77777777" w:rsidTr="7753F98D">
        <w:trPr>
          <w:gridAfter w:val="2"/>
          <w:wAfter w:w="175" w:type="dxa"/>
        </w:trPr>
        <w:tc>
          <w:tcPr>
            <w:tcW w:w="704" w:type="dxa"/>
          </w:tcPr>
          <w:p w14:paraId="21ABD239" w14:textId="77777777" w:rsidR="001E1112" w:rsidRPr="00317ABF" w:rsidRDefault="001E1112" w:rsidP="00DB3BEC">
            <w:pPr>
              <w:jc w:val="both"/>
              <w:rPr>
                <w:sz w:val="22"/>
                <w:szCs w:val="22"/>
              </w:rPr>
            </w:pPr>
            <w:r w:rsidRPr="00317ABF">
              <w:rPr>
                <w:sz w:val="22"/>
                <w:szCs w:val="22"/>
              </w:rPr>
              <w:t>Art. 112 ust. 1</w:t>
            </w:r>
          </w:p>
        </w:tc>
        <w:tc>
          <w:tcPr>
            <w:tcW w:w="4308" w:type="dxa"/>
          </w:tcPr>
          <w:p w14:paraId="19993B9B" w14:textId="77777777" w:rsidR="001E1112" w:rsidRPr="00317ABF" w:rsidRDefault="001E1112" w:rsidP="00DB3BEC">
            <w:pPr>
              <w:spacing w:before="120"/>
              <w:jc w:val="both"/>
              <w:rPr>
                <w:sz w:val="22"/>
                <w:szCs w:val="22"/>
              </w:rPr>
            </w:pPr>
            <w:r w:rsidRPr="00317ABF">
              <w:rPr>
                <w:sz w:val="22"/>
                <w:szCs w:val="22"/>
              </w:rPr>
              <w:t>1.   Państwa członkowskie zapewniają, aby wszystkie podmioty świadczące usługi łączności interpersonalnej wykorzystujące numery, które przydzielają numery z planu numeracji, spełniały wszystkie racjonalne wnioski o udostępnienie do celów świadczenia publicznie dostępnych usług biura numerów i spisów abonentów ważnych informacji w uzgodnionym formacie i na uczciwych, obiektywnych, odzwierciedlających koszty i niedyskryminacyjnych warunkach.</w:t>
            </w:r>
          </w:p>
        </w:tc>
        <w:tc>
          <w:tcPr>
            <w:tcW w:w="986" w:type="dxa"/>
          </w:tcPr>
          <w:p w14:paraId="5A3CC687" w14:textId="1C5B4BE2" w:rsidR="001E1112" w:rsidRPr="00317ABF" w:rsidRDefault="001E1112" w:rsidP="00DB3BEC">
            <w:pPr>
              <w:jc w:val="both"/>
              <w:rPr>
                <w:sz w:val="22"/>
                <w:szCs w:val="22"/>
              </w:rPr>
            </w:pPr>
            <w:r w:rsidRPr="00317ABF">
              <w:rPr>
                <w:sz w:val="22"/>
                <w:szCs w:val="22"/>
              </w:rPr>
              <w:t>T</w:t>
            </w:r>
          </w:p>
        </w:tc>
        <w:tc>
          <w:tcPr>
            <w:tcW w:w="910" w:type="dxa"/>
          </w:tcPr>
          <w:p w14:paraId="120EBB78" w14:textId="1A02F6B8" w:rsidR="001E1112" w:rsidRPr="00317ABF" w:rsidRDefault="00C61355" w:rsidP="00DB3BEC">
            <w:pPr>
              <w:pStyle w:val="Tekstpodstawowy"/>
              <w:rPr>
                <w:b/>
                <w:noProof/>
                <w:sz w:val="22"/>
                <w:szCs w:val="22"/>
              </w:rPr>
            </w:pPr>
            <w:r w:rsidRPr="00317ABF">
              <w:rPr>
                <w:b/>
                <w:noProof/>
                <w:sz w:val="22"/>
                <w:szCs w:val="22"/>
              </w:rPr>
              <w:t>Art. 327</w:t>
            </w:r>
          </w:p>
        </w:tc>
        <w:tc>
          <w:tcPr>
            <w:tcW w:w="6814" w:type="dxa"/>
            <w:gridSpan w:val="2"/>
          </w:tcPr>
          <w:p w14:paraId="0DCBD093" w14:textId="77777777" w:rsidR="00C61355" w:rsidRPr="00317ABF" w:rsidRDefault="00C61355" w:rsidP="00C61355">
            <w:pPr>
              <w:pStyle w:val="Tekstpodstawowy"/>
              <w:rPr>
                <w:sz w:val="22"/>
                <w:szCs w:val="22"/>
              </w:rPr>
            </w:pPr>
            <w:r w:rsidRPr="00317ABF">
              <w:rPr>
                <w:rFonts w:ascii="Times" w:eastAsiaTheme="minorEastAsia" w:hAnsi="Times" w:cs="Times"/>
                <w:b/>
                <w:sz w:val="24"/>
              </w:rPr>
              <w:t xml:space="preserve"> </w:t>
            </w:r>
            <w:r w:rsidRPr="00317ABF">
              <w:rPr>
                <w:b/>
                <w:sz w:val="22"/>
                <w:szCs w:val="22"/>
              </w:rPr>
              <w:t>Art. 327.</w:t>
            </w:r>
            <w:r w:rsidRPr="00317ABF">
              <w:rPr>
                <w:sz w:val="22"/>
                <w:szCs w:val="22"/>
              </w:rPr>
              <w:t xml:space="preserve"> </w:t>
            </w:r>
          </w:p>
          <w:p w14:paraId="61E63545" w14:textId="5F0D56A4" w:rsidR="00C61355" w:rsidRPr="00317ABF" w:rsidRDefault="00C61355" w:rsidP="00C61355">
            <w:pPr>
              <w:pStyle w:val="Tekstpodstawowy"/>
              <w:rPr>
                <w:sz w:val="22"/>
                <w:szCs w:val="22"/>
              </w:rPr>
            </w:pPr>
            <w:r w:rsidRPr="00317ABF">
              <w:rPr>
                <w:sz w:val="22"/>
                <w:szCs w:val="22"/>
              </w:rPr>
              <w:t>1. Dostawca usługi komunikacji głosowej udostępnia niezbędne dane dla celów prowadzenia spisów abonentów i informacji o numerach innym dostawcom usługi komunikacji głosowej, prowadzącym spisy abonentów lub świadczącym usługę informacji o numerach telefonicznych, w tym usługę ogólnokrajowego spisu abonentów oraz usługę informacji o numerach obejmującej wszystkich abonentów usług komunikacji głosowej na terytorium Rzeczypospolitej Polskiej.</w:t>
            </w:r>
          </w:p>
          <w:p w14:paraId="5796884F" w14:textId="77777777" w:rsidR="00C61355" w:rsidRPr="00317ABF" w:rsidRDefault="00C61355" w:rsidP="00C61355">
            <w:pPr>
              <w:pStyle w:val="Tekstpodstawowy"/>
              <w:rPr>
                <w:bCs/>
                <w:sz w:val="22"/>
                <w:szCs w:val="22"/>
              </w:rPr>
            </w:pPr>
            <w:r w:rsidRPr="00317ABF">
              <w:rPr>
                <w:bCs/>
                <w:sz w:val="22"/>
                <w:szCs w:val="22"/>
              </w:rPr>
              <w:t>2. Udostępnienie danych następuje na podstawie umowy, do której stosuje się odpowiednio przepisy działu III rozdziału 3. W umowie określa się w szczególności formę udostępnienia danych.</w:t>
            </w:r>
          </w:p>
          <w:p w14:paraId="5F7928A8" w14:textId="44F8334A" w:rsidR="001E1112" w:rsidRPr="00317ABF" w:rsidRDefault="00C61355" w:rsidP="00C61355">
            <w:pPr>
              <w:jc w:val="both"/>
              <w:rPr>
                <w:sz w:val="22"/>
                <w:szCs w:val="22"/>
              </w:rPr>
            </w:pPr>
            <w:r w:rsidRPr="00317ABF">
              <w:rPr>
                <w:sz w:val="22"/>
                <w:szCs w:val="22"/>
              </w:rPr>
              <w:t>3. Do usługi informacji o numerach telefonicznych oraz do sporządzania spisu abonentów i związanego z tym udostępniania danych stosuje się odpowiednio przepisy art. 384 i art. 390</w:t>
            </w:r>
          </w:p>
        </w:tc>
      </w:tr>
      <w:tr w:rsidR="001E1112" w:rsidRPr="00317ABF" w14:paraId="510B5146" w14:textId="77777777" w:rsidTr="7753F98D">
        <w:trPr>
          <w:gridAfter w:val="2"/>
          <w:wAfter w:w="175" w:type="dxa"/>
        </w:trPr>
        <w:tc>
          <w:tcPr>
            <w:tcW w:w="704" w:type="dxa"/>
          </w:tcPr>
          <w:p w14:paraId="62D1CBD6" w14:textId="77777777" w:rsidR="001E1112" w:rsidRPr="00317ABF" w:rsidRDefault="001E1112" w:rsidP="00DB3BEC">
            <w:pPr>
              <w:jc w:val="both"/>
              <w:rPr>
                <w:sz w:val="22"/>
                <w:szCs w:val="22"/>
              </w:rPr>
            </w:pPr>
            <w:r w:rsidRPr="00317ABF">
              <w:rPr>
                <w:sz w:val="22"/>
                <w:szCs w:val="22"/>
              </w:rPr>
              <w:t>Art. 112 ust. 2</w:t>
            </w:r>
          </w:p>
        </w:tc>
        <w:tc>
          <w:tcPr>
            <w:tcW w:w="4308" w:type="dxa"/>
          </w:tcPr>
          <w:p w14:paraId="354C2774" w14:textId="77777777" w:rsidR="001E1112" w:rsidRPr="00317ABF" w:rsidRDefault="001E1112" w:rsidP="00DB3BEC">
            <w:pPr>
              <w:spacing w:before="120"/>
              <w:jc w:val="both"/>
              <w:rPr>
                <w:sz w:val="22"/>
                <w:szCs w:val="22"/>
              </w:rPr>
            </w:pPr>
            <w:r w:rsidRPr="00317ABF">
              <w:rPr>
                <w:sz w:val="22"/>
                <w:szCs w:val="22"/>
              </w:rPr>
              <w:t>2.   Krajowe organy regulacyjne są upoważnione do nakładania obowiązki i warunki na przedsiębiorstwa kontrolujące dostęp użytkowników końcowych do usług biura numerów, zgodnie z art. 61. Takie obowiązki i warunki muszą być obiektywne, sprawiedliwe, niedyskryminacyjne i przejrzyste.</w:t>
            </w:r>
          </w:p>
        </w:tc>
        <w:tc>
          <w:tcPr>
            <w:tcW w:w="986" w:type="dxa"/>
          </w:tcPr>
          <w:p w14:paraId="2D78E1E7" w14:textId="77777777" w:rsidR="001E1112" w:rsidRPr="00317ABF" w:rsidRDefault="001E1112" w:rsidP="00DB3BEC">
            <w:pPr>
              <w:jc w:val="both"/>
              <w:rPr>
                <w:sz w:val="22"/>
                <w:szCs w:val="22"/>
              </w:rPr>
            </w:pPr>
          </w:p>
        </w:tc>
        <w:tc>
          <w:tcPr>
            <w:tcW w:w="910" w:type="dxa"/>
          </w:tcPr>
          <w:p w14:paraId="2525C5AB" w14:textId="77777777" w:rsidR="001E1112" w:rsidRPr="00317ABF" w:rsidRDefault="001E1112" w:rsidP="00DB3BEC">
            <w:pPr>
              <w:pStyle w:val="Tekstpodstawowy"/>
              <w:rPr>
                <w:b/>
                <w:noProof/>
                <w:sz w:val="22"/>
                <w:szCs w:val="22"/>
              </w:rPr>
            </w:pPr>
          </w:p>
        </w:tc>
        <w:tc>
          <w:tcPr>
            <w:tcW w:w="6814" w:type="dxa"/>
            <w:gridSpan w:val="2"/>
          </w:tcPr>
          <w:p w14:paraId="7613E1E9" w14:textId="77777777" w:rsidR="001E1112" w:rsidRPr="00317ABF" w:rsidRDefault="001E1112" w:rsidP="00DB3BEC">
            <w:pPr>
              <w:pStyle w:val="Tekstpodstawowy"/>
              <w:rPr>
                <w:sz w:val="22"/>
                <w:szCs w:val="22"/>
              </w:rPr>
            </w:pPr>
          </w:p>
        </w:tc>
      </w:tr>
      <w:tr w:rsidR="001E1112" w:rsidRPr="00317ABF" w14:paraId="466BD504" w14:textId="77777777" w:rsidTr="7753F98D">
        <w:trPr>
          <w:gridAfter w:val="2"/>
          <w:wAfter w:w="175" w:type="dxa"/>
        </w:trPr>
        <w:tc>
          <w:tcPr>
            <w:tcW w:w="704" w:type="dxa"/>
          </w:tcPr>
          <w:p w14:paraId="262D4A19" w14:textId="363306FB" w:rsidR="00BD3AC8" w:rsidRPr="00317ABF" w:rsidRDefault="001E1112" w:rsidP="00DB3BEC">
            <w:pPr>
              <w:jc w:val="both"/>
              <w:rPr>
                <w:sz w:val="22"/>
                <w:szCs w:val="22"/>
              </w:rPr>
            </w:pPr>
            <w:r w:rsidRPr="00317ABF">
              <w:rPr>
                <w:sz w:val="22"/>
                <w:szCs w:val="22"/>
              </w:rPr>
              <w:t>Art. 112 ust. 3</w:t>
            </w:r>
          </w:p>
          <w:p w14:paraId="5E9F8D7E" w14:textId="77777777" w:rsidR="001E1112" w:rsidRPr="00317ABF" w:rsidRDefault="001E1112" w:rsidP="00BD3AC8">
            <w:pPr>
              <w:rPr>
                <w:sz w:val="22"/>
                <w:szCs w:val="22"/>
              </w:rPr>
            </w:pPr>
          </w:p>
        </w:tc>
        <w:tc>
          <w:tcPr>
            <w:tcW w:w="4308" w:type="dxa"/>
          </w:tcPr>
          <w:p w14:paraId="11897CB3" w14:textId="77777777" w:rsidR="001E1112" w:rsidRPr="00317ABF" w:rsidRDefault="001E1112" w:rsidP="00DB3BEC">
            <w:pPr>
              <w:spacing w:before="120"/>
              <w:jc w:val="both"/>
              <w:rPr>
                <w:sz w:val="22"/>
                <w:szCs w:val="22"/>
              </w:rPr>
            </w:pPr>
            <w:r w:rsidRPr="00317ABF">
              <w:rPr>
                <w:sz w:val="22"/>
                <w:szCs w:val="22"/>
              </w:rPr>
              <w:t>3.   Państwa członkowskie nie utrzymują żadnych ograniczeń regulacyjnych, które uniemożliwiałyby użytkownikom końcowym w jednym państwie członkowskim bezpośredni dostęp do biura numerów w innym państwie członkowskim w drodze wywołania głosowego lub wiadomości SMS oraz podejmują środki zapewniające taki dostęp zgodnie z art. 97.</w:t>
            </w:r>
          </w:p>
        </w:tc>
        <w:tc>
          <w:tcPr>
            <w:tcW w:w="986" w:type="dxa"/>
          </w:tcPr>
          <w:p w14:paraId="1BA43548" w14:textId="1D72070C" w:rsidR="001E1112" w:rsidRPr="00317ABF" w:rsidRDefault="001E1112" w:rsidP="00DB3BEC">
            <w:pPr>
              <w:jc w:val="both"/>
              <w:rPr>
                <w:sz w:val="22"/>
                <w:szCs w:val="22"/>
              </w:rPr>
            </w:pPr>
            <w:r w:rsidRPr="00317ABF">
              <w:rPr>
                <w:sz w:val="22"/>
                <w:szCs w:val="22"/>
              </w:rPr>
              <w:t>T</w:t>
            </w:r>
          </w:p>
        </w:tc>
        <w:tc>
          <w:tcPr>
            <w:tcW w:w="910" w:type="dxa"/>
          </w:tcPr>
          <w:p w14:paraId="30D99F44" w14:textId="4ABE30DD" w:rsidR="001E1112" w:rsidRPr="00317ABF" w:rsidRDefault="00BD3AC8" w:rsidP="00DB3BEC">
            <w:pPr>
              <w:pStyle w:val="Tekstpodstawowy"/>
              <w:rPr>
                <w:b/>
                <w:noProof/>
                <w:sz w:val="22"/>
                <w:szCs w:val="22"/>
              </w:rPr>
            </w:pPr>
            <w:r w:rsidRPr="00317ABF">
              <w:rPr>
                <w:b/>
                <w:noProof/>
                <w:sz w:val="22"/>
                <w:szCs w:val="22"/>
              </w:rPr>
              <w:t>Art. 332</w:t>
            </w:r>
          </w:p>
        </w:tc>
        <w:tc>
          <w:tcPr>
            <w:tcW w:w="6814" w:type="dxa"/>
            <w:gridSpan w:val="2"/>
          </w:tcPr>
          <w:p w14:paraId="7472A4C6" w14:textId="77777777" w:rsidR="00BD3AC8" w:rsidRPr="00317ABF" w:rsidRDefault="00BD3AC8" w:rsidP="00BD3AC8">
            <w:pPr>
              <w:jc w:val="both"/>
              <w:rPr>
                <w:bCs/>
                <w:sz w:val="22"/>
                <w:szCs w:val="22"/>
              </w:rPr>
            </w:pPr>
            <w:r w:rsidRPr="00317ABF">
              <w:rPr>
                <w:b/>
                <w:bCs/>
                <w:sz w:val="22"/>
                <w:szCs w:val="22"/>
              </w:rPr>
              <w:t>Art. 332.</w:t>
            </w:r>
            <w:r w:rsidRPr="00317ABF">
              <w:rPr>
                <w:bCs/>
                <w:sz w:val="22"/>
                <w:szCs w:val="22"/>
              </w:rPr>
              <w:t xml:space="preserve"> </w:t>
            </w:r>
          </w:p>
          <w:p w14:paraId="7CFC3026" w14:textId="6D2838DD" w:rsidR="00BD3AC8" w:rsidRPr="00317ABF" w:rsidRDefault="00BD3AC8" w:rsidP="00BD3AC8">
            <w:pPr>
              <w:jc w:val="both"/>
              <w:rPr>
                <w:bCs/>
                <w:sz w:val="22"/>
                <w:szCs w:val="22"/>
              </w:rPr>
            </w:pPr>
            <w:r w:rsidRPr="00317ABF">
              <w:rPr>
                <w:bCs/>
                <w:sz w:val="22"/>
                <w:szCs w:val="22"/>
              </w:rPr>
              <w:t>1. Operator publicznej sieci telekomunikacyjnej, w której świadczone są usługi komunikacji głosowej, zapewnia użytkownikom końcowym swojej sieci oraz użytkownikom końcowym z innych państw członkowskich, w przypadku gdy jest to technicznie i ekonomicznie wykonalne, możliwość dostępu:</w:t>
            </w:r>
          </w:p>
          <w:p w14:paraId="71D019E9" w14:textId="77777777" w:rsidR="00BD3AC8" w:rsidRPr="00317ABF" w:rsidRDefault="00BD3AC8" w:rsidP="00BD3AC8">
            <w:pPr>
              <w:jc w:val="both"/>
              <w:rPr>
                <w:bCs/>
                <w:sz w:val="22"/>
                <w:szCs w:val="22"/>
              </w:rPr>
            </w:pPr>
            <w:r w:rsidRPr="00317ABF">
              <w:rPr>
                <w:bCs/>
                <w:sz w:val="22"/>
                <w:szCs w:val="22"/>
              </w:rPr>
              <w:t>1)</w:t>
            </w:r>
            <w:r w:rsidRPr="00317ABF">
              <w:rPr>
                <w:bCs/>
                <w:sz w:val="22"/>
                <w:szCs w:val="22"/>
              </w:rPr>
              <w:tab/>
              <w:t>w Unii Europejskiej do usług wykorzystujących numery niegeograficzne oraz możliwość korzystania z takich usług, oraz</w:t>
            </w:r>
          </w:p>
          <w:p w14:paraId="577F0670" w14:textId="77777777" w:rsidR="00BD3AC8" w:rsidRPr="00317ABF" w:rsidRDefault="00BD3AC8" w:rsidP="00BD3AC8">
            <w:pPr>
              <w:jc w:val="both"/>
              <w:rPr>
                <w:bCs/>
                <w:sz w:val="22"/>
                <w:szCs w:val="22"/>
              </w:rPr>
            </w:pPr>
            <w:r w:rsidRPr="00317ABF">
              <w:rPr>
                <w:bCs/>
                <w:sz w:val="22"/>
                <w:szCs w:val="22"/>
              </w:rPr>
              <w:t>2)</w:t>
            </w:r>
            <w:r w:rsidRPr="00317ABF">
              <w:rPr>
                <w:bCs/>
                <w:sz w:val="22"/>
                <w:szCs w:val="22"/>
              </w:rPr>
              <w:tab/>
              <w:t>do wszystkich numerów w Unii Europejskiej, w tym numerów uwzględnionych w krajowych planach numeracji i należących do powszechnej międzynarodowej sieci bezpłatnych numerów telefonicznych (UIFN), niezależnie od technologii i urządzeń wykorzystywanych przez operatora.</w:t>
            </w:r>
          </w:p>
          <w:p w14:paraId="3F26EE33" w14:textId="77777777" w:rsidR="00BD3AC8" w:rsidRPr="00317ABF" w:rsidRDefault="00BD3AC8" w:rsidP="00BD3AC8">
            <w:pPr>
              <w:jc w:val="both"/>
              <w:rPr>
                <w:bCs/>
                <w:sz w:val="22"/>
                <w:szCs w:val="22"/>
              </w:rPr>
            </w:pPr>
            <w:r w:rsidRPr="00317ABF">
              <w:rPr>
                <w:bCs/>
                <w:sz w:val="22"/>
                <w:szCs w:val="22"/>
              </w:rPr>
              <w:t>2. Przepisu ust. 1 nie stosuje się do przypadków, gdy wywoływany abonent ograniczył połączenia przychodzące od użytkowników końcowych zlokalizowanych w poszczególnych obszarach geograficznych.</w:t>
            </w:r>
          </w:p>
          <w:p w14:paraId="54D2483E" w14:textId="7D656726" w:rsidR="001E1112" w:rsidRPr="00317ABF" w:rsidRDefault="00BD3AC8" w:rsidP="00DB3BEC">
            <w:pPr>
              <w:jc w:val="both"/>
              <w:rPr>
                <w:bCs/>
                <w:sz w:val="22"/>
                <w:szCs w:val="22"/>
              </w:rPr>
            </w:pPr>
            <w:r w:rsidRPr="00317ABF">
              <w:rPr>
                <w:bCs/>
                <w:sz w:val="22"/>
                <w:szCs w:val="22"/>
              </w:rPr>
              <w:t>3. Prezes UKE na wniosek operatora publicznej sieci telekomunikacyjnej, w której świadczone są usługi komunikacji głosowej może, w drodze decyzji, zawiesić realizację lub ograniczyć zakres realizacji obowiązku, o którym mowa w ust. 1, jeżeli ze względów technicznych lub ekonomicznych wnioskodawca nie ma możliwości realizacji tego obowiązku w całości lub części. W przypadku zawieszenia realizacji obowiązku na czas oznaczony, Prezes UKE określi harmonogram przystosowania sieci wnioskodawcy do realizacji obowiązku objętego wnioskiem.</w:t>
            </w:r>
          </w:p>
        </w:tc>
      </w:tr>
      <w:tr w:rsidR="001E1112" w:rsidRPr="00317ABF" w14:paraId="7D7F19E5" w14:textId="77777777" w:rsidTr="7753F98D">
        <w:trPr>
          <w:gridAfter w:val="2"/>
          <w:wAfter w:w="175" w:type="dxa"/>
        </w:trPr>
        <w:tc>
          <w:tcPr>
            <w:tcW w:w="704" w:type="dxa"/>
          </w:tcPr>
          <w:p w14:paraId="5029CF4E" w14:textId="77777777" w:rsidR="001E1112" w:rsidRPr="00317ABF" w:rsidRDefault="001E1112" w:rsidP="00DB3BEC">
            <w:pPr>
              <w:jc w:val="both"/>
              <w:rPr>
                <w:sz w:val="22"/>
                <w:szCs w:val="22"/>
              </w:rPr>
            </w:pPr>
            <w:r w:rsidRPr="00317ABF">
              <w:rPr>
                <w:sz w:val="22"/>
                <w:szCs w:val="22"/>
              </w:rPr>
              <w:t>Art. 112 ust. 4</w:t>
            </w:r>
          </w:p>
        </w:tc>
        <w:tc>
          <w:tcPr>
            <w:tcW w:w="4308" w:type="dxa"/>
          </w:tcPr>
          <w:p w14:paraId="1D10D107" w14:textId="77777777" w:rsidR="001E1112" w:rsidRPr="00317ABF" w:rsidRDefault="001E1112" w:rsidP="00DB3BEC">
            <w:pPr>
              <w:spacing w:before="120"/>
              <w:jc w:val="both"/>
              <w:rPr>
                <w:sz w:val="22"/>
                <w:szCs w:val="22"/>
              </w:rPr>
            </w:pPr>
            <w:r w:rsidRPr="00317ABF">
              <w:rPr>
                <w:sz w:val="22"/>
                <w:szCs w:val="22"/>
              </w:rPr>
              <w:t>4.   Niniejszy artykuł stosuje się z zastrzeżeniem wymogów zawartych w prawie Unii dotyczących ochrony danych osobowych i prywatności oraz, w szczególności, art. 12 dyrektywy 2002/58/WE.</w:t>
            </w:r>
          </w:p>
        </w:tc>
        <w:tc>
          <w:tcPr>
            <w:tcW w:w="986" w:type="dxa"/>
          </w:tcPr>
          <w:p w14:paraId="73104430" w14:textId="7241FCAC" w:rsidR="001E1112" w:rsidRPr="00317ABF" w:rsidRDefault="001E1112" w:rsidP="00DB3BEC">
            <w:pPr>
              <w:jc w:val="both"/>
              <w:rPr>
                <w:sz w:val="22"/>
                <w:szCs w:val="22"/>
              </w:rPr>
            </w:pPr>
            <w:r w:rsidRPr="00317ABF">
              <w:rPr>
                <w:sz w:val="22"/>
                <w:szCs w:val="22"/>
              </w:rPr>
              <w:t>T</w:t>
            </w:r>
          </w:p>
        </w:tc>
        <w:tc>
          <w:tcPr>
            <w:tcW w:w="910" w:type="dxa"/>
          </w:tcPr>
          <w:p w14:paraId="16EAD8FD" w14:textId="2DD24D99" w:rsidR="001E1112" w:rsidRPr="00317ABF" w:rsidRDefault="001E1112" w:rsidP="00DB3BEC">
            <w:pPr>
              <w:pStyle w:val="Tekstpodstawowy"/>
              <w:rPr>
                <w:b/>
                <w:noProof/>
                <w:sz w:val="22"/>
                <w:szCs w:val="22"/>
              </w:rPr>
            </w:pPr>
            <w:r w:rsidRPr="00317ABF">
              <w:rPr>
                <w:b/>
                <w:noProof/>
                <w:sz w:val="22"/>
                <w:szCs w:val="22"/>
              </w:rPr>
              <w:t>Art. 357 ust. 2-7</w:t>
            </w:r>
          </w:p>
        </w:tc>
        <w:tc>
          <w:tcPr>
            <w:tcW w:w="6814" w:type="dxa"/>
            <w:gridSpan w:val="2"/>
          </w:tcPr>
          <w:p w14:paraId="246DF50E" w14:textId="77777777" w:rsidR="001E1112" w:rsidRPr="00317ABF" w:rsidRDefault="001E1112" w:rsidP="00DB3BEC">
            <w:pPr>
              <w:jc w:val="both"/>
              <w:rPr>
                <w:b/>
                <w:sz w:val="22"/>
                <w:szCs w:val="22"/>
              </w:rPr>
            </w:pPr>
            <w:r w:rsidRPr="00317ABF">
              <w:rPr>
                <w:b/>
                <w:sz w:val="22"/>
                <w:szCs w:val="22"/>
              </w:rPr>
              <w:t>Art. 357</w:t>
            </w:r>
          </w:p>
          <w:p w14:paraId="084D7FDA" w14:textId="77777777" w:rsidR="001E1112" w:rsidRPr="00317ABF" w:rsidRDefault="001E1112" w:rsidP="00DB3BEC">
            <w:pPr>
              <w:jc w:val="both"/>
              <w:rPr>
                <w:sz w:val="22"/>
                <w:szCs w:val="22"/>
              </w:rPr>
            </w:pPr>
            <w:r w:rsidRPr="00317ABF">
              <w:rPr>
                <w:sz w:val="22"/>
                <w:szCs w:val="22"/>
              </w:rPr>
              <w:t>2. Abonenci, przed umieszczeniem ich danych w spisie, są informowani nieodpłatnie o celu spisu lub telefonicznej informacji o numerach, w których ich dane osobowe mogą się znajdować, a także o możliwości wykorzystywania spisu, za pomocą funkcji wyszukiwania dostępnych w jego elektronicznej formie.</w:t>
            </w:r>
          </w:p>
          <w:p w14:paraId="4384B437" w14:textId="5EF15489" w:rsidR="001E1112" w:rsidRPr="00317ABF" w:rsidRDefault="001E1112" w:rsidP="00DB3BEC">
            <w:pPr>
              <w:jc w:val="both"/>
              <w:rPr>
                <w:sz w:val="22"/>
                <w:szCs w:val="22"/>
              </w:rPr>
            </w:pPr>
            <w:r w:rsidRPr="00317ABF">
              <w:rPr>
                <w:sz w:val="22"/>
                <w:szCs w:val="22"/>
              </w:rPr>
              <w:t>3. Zamieszczenie w spisie danych identyfikujących abonenta będącego osobą fizyczną może nastąpić wyłącznie po uprzednim wyrażeniu przez niego zgody na dokonanie tych czynności.</w:t>
            </w:r>
          </w:p>
          <w:p w14:paraId="5502820A" w14:textId="77777777" w:rsidR="001E1112" w:rsidRPr="00317ABF" w:rsidRDefault="001E1112" w:rsidP="00DB3BEC">
            <w:pPr>
              <w:jc w:val="both"/>
              <w:rPr>
                <w:sz w:val="22"/>
                <w:szCs w:val="22"/>
              </w:rPr>
            </w:pPr>
            <w:r w:rsidRPr="00317ABF">
              <w:rPr>
                <w:sz w:val="22"/>
                <w:szCs w:val="22"/>
              </w:rPr>
              <w:t>4. Rozszerzenie zakresu danych, o których mowa w ust. 1, wymaga zgody abonenta.</w:t>
            </w:r>
          </w:p>
          <w:p w14:paraId="67C9B787" w14:textId="50DE3F9C" w:rsidR="001E1112" w:rsidRPr="00317ABF" w:rsidRDefault="001E1112" w:rsidP="00DB3BEC">
            <w:pPr>
              <w:jc w:val="both"/>
              <w:rPr>
                <w:sz w:val="22"/>
                <w:szCs w:val="22"/>
              </w:rPr>
            </w:pPr>
            <w:r w:rsidRPr="00317ABF">
              <w:rPr>
                <w:sz w:val="22"/>
                <w:szCs w:val="22"/>
              </w:rPr>
              <w:t>5. Udostępnianie w spisie lub za pośrednictwem służb informacyjnych danych identyfikujących abonentów innych niż wymienieni w ust. 3 nie może naruszać słusznych interesów tych podmiotów.</w:t>
            </w:r>
          </w:p>
          <w:p w14:paraId="11800C94" w14:textId="13137255" w:rsidR="001E1112" w:rsidRPr="00317ABF" w:rsidRDefault="001E1112" w:rsidP="00DB3BEC">
            <w:pPr>
              <w:jc w:val="both"/>
              <w:rPr>
                <w:sz w:val="22"/>
                <w:szCs w:val="22"/>
              </w:rPr>
            </w:pPr>
            <w:r w:rsidRPr="00317ABF">
              <w:rPr>
                <w:sz w:val="22"/>
                <w:szCs w:val="22"/>
              </w:rPr>
              <w:t>6. Przedsiębiorca telekomunikacyjny jest obowiązany zabezpieczyć spisy wydawane w formie elektronicznej w sposób uniemożliwiający wykorzystanie zawartych w nich danych niezgodnie z przeznaczeniem.</w:t>
            </w:r>
          </w:p>
          <w:p w14:paraId="7E4EF6E6" w14:textId="494316E6" w:rsidR="001E1112" w:rsidRPr="00317ABF" w:rsidRDefault="001E1112" w:rsidP="00DB3BEC">
            <w:pPr>
              <w:jc w:val="both"/>
              <w:rPr>
                <w:sz w:val="22"/>
                <w:szCs w:val="22"/>
              </w:rPr>
            </w:pPr>
            <w:r w:rsidRPr="00317ABF">
              <w:rPr>
                <w:sz w:val="22"/>
                <w:szCs w:val="22"/>
              </w:rPr>
              <w:t>7. Przedsiębiorca telekomunikacyjny jest obowiązany informować abonenta o przekazaniu jego danych innym przedsiębiorcom, w celu publikacji spisu lub świadczenia usługi informacji o numerach telefonicznych.</w:t>
            </w:r>
          </w:p>
        </w:tc>
      </w:tr>
      <w:tr w:rsidR="001E1112" w:rsidRPr="00317ABF" w14:paraId="0B4C7A86" w14:textId="77777777" w:rsidTr="7753F98D">
        <w:trPr>
          <w:gridAfter w:val="2"/>
          <w:wAfter w:w="175" w:type="dxa"/>
        </w:trPr>
        <w:tc>
          <w:tcPr>
            <w:tcW w:w="704" w:type="dxa"/>
          </w:tcPr>
          <w:p w14:paraId="6AEFBEB5" w14:textId="77777777" w:rsidR="001E1112" w:rsidRPr="00317ABF" w:rsidRDefault="001E1112" w:rsidP="00DB3BEC">
            <w:pPr>
              <w:jc w:val="both"/>
              <w:rPr>
                <w:b/>
                <w:sz w:val="22"/>
                <w:szCs w:val="22"/>
              </w:rPr>
            </w:pPr>
            <w:r w:rsidRPr="00317ABF">
              <w:rPr>
                <w:b/>
                <w:sz w:val="22"/>
                <w:szCs w:val="22"/>
              </w:rPr>
              <w:t>Art. 113</w:t>
            </w:r>
          </w:p>
        </w:tc>
        <w:tc>
          <w:tcPr>
            <w:tcW w:w="4308" w:type="dxa"/>
          </w:tcPr>
          <w:p w14:paraId="6A527E87" w14:textId="77777777" w:rsidR="001E1112" w:rsidRPr="00317ABF" w:rsidRDefault="001E1112" w:rsidP="00DB3BEC">
            <w:pPr>
              <w:spacing w:before="60" w:after="120"/>
              <w:jc w:val="both"/>
              <w:rPr>
                <w:b/>
                <w:bCs/>
                <w:sz w:val="22"/>
                <w:szCs w:val="22"/>
              </w:rPr>
            </w:pPr>
            <w:r w:rsidRPr="00317ABF">
              <w:rPr>
                <w:b/>
                <w:bCs/>
                <w:sz w:val="22"/>
                <w:szCs w:val="22"/>
              </w:rPr>
              <w:t>Interoperacyjność samochodowych odbiorników radiowych oraz odbiorników radiowych i sprzętu telewizji cyfrowej dostępnych dla konsumentów</w:t>
            </w:r>
          </w:p>
        </w:tc>
        <w:tc>
          <w:tcPr>
            <w:tcW w:w="986" w:type="dxa"/>
          </w:tcPr>
          <w:p w14:paraId="3DCA56E3" w14:textId="77777777" w:rsidR="001E1112" w:rsidRPr="00317ABF" w:rsidRDefault="001E1112" w:rsidP="00DB3BEC">
            <w:pPr>
              <w:jc w:val="both"/>
              <w:rPr>
                <w:sz w:val="22"/>
                <w:szCs w:val="22"/>
              </w:rPr>
            </w:pPr>
          </w:p>
        </w:tc>
        <w:tc>
          <w:tcPr>
            <w:tcW w:w="910" w:type="dxa"/>
          </w:tcPr>
          <w:p w14:paraId="4DBDE098" w14:textId="77777777" w:rsidR="001E1112" w:rsidRPr="00317ABF" w:rsidRDefault="001E1112" w:rsidP="00DB3BEC">
            <w:pPr>
              <w:pStyle w:val="Tekstpodstawowy"/>
              <w:rPr>
                <w:b/>
                <w:noProof/>
                <w:sz w:val="22"/>
                <w:szCs w:val="22"/>
              </w:rPr>
            </w:pPr>
          </w:p>
        </w:tc>
        <w:tc>
          <w:tcPr>
            <w:tcW w:w="6814" w:type="dxa"/>
            <w:gridSpan w:val="2"/>
          </w:tcPr>
          <w:p w14:paraId="77900250" w14:textId="77777777" w:rsidR="001E1112" w:rsidRPr="00317ABF" w:rsidRDefault="001E1112" w:rsidP="00DB3BEC">
            <w:pPr>
              <w:pStyle w:val="Tekstpodstawowy"/>
              <w:rPr>
                <w:sz w:val="22"/>
                <w:szCs w:val="22"/>
              </w:rPr>
            </w:pPr>
          </w:p>
        </w:tc>
      </w:tr>
      <w:tr w:rsidR="001E1112" w:rsidRPr="00317ABF" w14:paraId="0F5290D6" w14:textId="77777777" w:rsidTr="7753F98D">
        <w:trPr>
          <w:gridAfter w:val="2"/>
          <w:wAfter w:w="175" w:type="dxa"/>
        </w:trPr>
        <w:tc>
          <w:tcPr>
            <w:tcW w:w="704" w:type="dxa"/>
          </w:tcPr>
          <w:p w14:paraId="02C465B4" w14:textId="77777777" w:rsidR="001E1112" w:rsidRPr="00317ABF" w:rsidRDefault="001E1112" w:rsidP="00DB3BEC">
            <w:pPr>
              <w:jc w:val="both"/>
              <w:rPr>
                <w:sz w:val="22"/>
                <w:szCs w:val="22"/>
              </w:rPr>
            </w:pPr>
            <w:r w:rsidRPr="00317ABF">
              <w:rPr>
                <w:sz w:val="22"/>
                <w:szCs w:val="22"/>
              </w:rPr>
              <w:t>Art. 113 ust. 1</w:t>
            </w:r>
          </w:p>
        </w:tc>
        <w:tc>
          <w:tcPr>
            <w:tcW w:w="4308" w:type="dxa"/>
          </w:tcPr>
          <w:p w14:paraId="7191EFC7" w14:textId="77777777" w:rsidR="001E1112" w:rsidRPr="00317ABF" w:rsidRDefault="001E1112" w:rsidP="00DB3BEC">
            <w:pPr>
              <w:spacing w:before="120"/>
              <w:jc w:val="both"/>
              <w:rPr>
                <w:sz w:val="22"/>
                <w:szCs w:val="22"/>
              </w:rPr>
            </w:pPr>
            <w:r w:rsidRPr="00317ABF">
              <w:rPr>
                <w:sz w:val="22"/>
                <w:szCs w:val="22"/>
              </w:rPr>
              <w:t>1.   Państwa członkowskie zapewniają interoperacyjność samochodowych odbiorników radiowych oraz konsumenckiego sprzętu telewizji cyfrowej zgodnie z załącznikiem XI.</w:t>
            </w:r>
          </w:p>
        </w:tc>
        <w:tc>
          <w:tcPr>
            <w:tcW w:w="986" w:type="dxa"/>
          </w:tcPr>
          <w:p w14:paraId="3E2DDC69" w14:textId="47BF7582" w:rsidR="001E1112" w:rsidRPr="00317ABF" w:rsidRDefault="001E1112" w:rsidP="00DB3BEC">
            <w:pPr>
              <w:jc w:val="both"/>
              <w:rPr>
                <w:b/>
                <w:sz w:val="22"/>
                <w:szCs w:val="22"/>
              </w:rPr>
            </w:pPr>
            <w:r w:rsidRPr="00317ABF">
              <w:rPr>
                <w:b/>
                <w:sz w:val="22"/>
                <w:szCs w:val="22"/>
              </w:rPr>
              <w:t>T</w:t>
            </w:r>
          </w:p>
        </w:tc>
        <w:tc>
          <w:tcPr>
            <w:tcW w:w="910" w:type="dxa"/>
          </w:tcPr>
          <w:p w14:paraId="6E316054" w14:textId="6626BD22" w:rsidR="001E1112" w:rsidRPr="00317ABF" w:rsidRDefault="00BD3AC8" w:rsidP="00DB3BEC">
            <w:pPr>
              <w:pStyle w:val="Tekstpodstawowy"/>
              <w:rPr>
                <w:b/>
                <w:noProof/>
                <w:sz w:val="22"/>
                <w:szCs w:val="22"/>
              </w:rPr>
            </w:pPr>
            <w:r w:rsidRPr="00317ABF">
              <w:rPr>
                <w:b/>
                <w:noProof/>
                <w:sz w:val="22"/>
                <w:szCs w:val="22"/>
              </w:rPr>
              <w:t>Art. 401</w:t>
            </w:r>
          </w:p>
          <w:p w14:paraId="53381AED" w14:textId="2A6DD662" w:rsidR="001E1112" w:rsidRPr="00317ABF" w:rsidRDefault="001E1112" w:rsidP="00DB3BEC">
            <w:pPr>
              <w:jc w:val="both"/>
              <w:rPr>
                <w:sz w:val="22"/>
                <w:szCs w:val="22"/>
              </w:rPr>
            </w:pPr>
          </w:p>
          <w:p w14:paraId="52C630BD" w14:textId="3D1BC246" w:rsidR="001E1112" w:rsidRPr="00317ABF" w:rsidRDefault="001E1112" w:rsidP="00DB3BEC">
            <w:pPr>
              <w:jc w:val="both"/>
              <w:rPr>
                <w:sz w:val="22"/>
                <w:szCs w:val="22"/>
              </w:rPr>
            </w:pPr>
          </w:p>
        </w:tc>
        <w:tc>
          <w:tcPr>
            <w:tcW w:w="6814" w:type="dxa"/>
            <w:gridSpan w:val="2"/>
          </w:tcPr>
          <w:p w14:paraId="6B3DA661" w14:textId="77777777" w:rsidR="00BD3AC8" w:rsidRPr="00317ABF" w:rsidRDefault="00BD3AC8" w:rsidP="00BD3AC8">
            <w:pPr>
              <w:pStyle w:val="Tekstpodstawowy"/>
              <w:rPr>
                <w:b/>
                <w:bCs/>
                <w:sz w:val="22"/>
                <w:szCs w:val="22"/>
              </w:rPr>
            </w:pPr>
            <w:r w:rsidRPr="00317ABF">
              <w:rPr>
                <w:b/>
                <w:bCs/>
                <w:sz w:val="22"/>
                <w:szCs w:val="22"/>
              </w:rPr>
              <w:t>Art. 401</w:t>
            </w:r>
          </w:p>
          <w:p w14:paraId="735FCE55" w14:textId="0043F71C" w:rsidR="002F23F6" w:rsidRPr="00317ABF" w:rsidRDefault="002F23F6" w:rsidP="002F23F6">
            <w:pPr>
              <w:pStyle w:val="Tekstpodstawowy"/>
              <w:rPr>
                <w:bCs/>
                <w:sz w:val="22"/>
                <w:szCs w:val="22"/>
              </w:rPr>
            </w:pPr>
            <w:r w:rsidRPr="00317ABF">
              <w:rPr>
                <w:bCs/>
                <w:sz w:val="22"/>
                <w:szCs w:val="22"/>
              </w:rPr>
              <w:t>1. Publiczne sieci telekomunikacyjne używane do cyfrowych transmisji radiofonicznych i telewizyjnych oraz odbiorniki sygnału telewizyjnego i odbiorniki radiofonii cyfrowej zapewniają interoperacyjność usług cyfrowych transmisji radiofonicznych i telewizyjnych, w szczególności przez stosowanie otwartego interfejsu programistycznego aplikacji.</w:t>
            </w:r>
          </w:p>
          <w:p w14:paraId="3D7B7EED" w14:textId="77777777" w:rsidR="002F23F6" w:rsidRPr="00317ABF" w:rsidRDefault="002F23F6" w:rsidP="002F23F6">
            <w:pPr>
              <w:pStyle w:val="Tekstpodstawowy"/>
              <w:rPr>
                <w:bCs/>
                <w:sz w:val="22"/>
                <w:szCs w:val="22"/>
              </w:rPr>
            </w:pPr>
            <w:r w:rsidRPr="00317ABF">
              <w:rPr>
                <w:bCs/>
                <w:sz w:val="22"/>
                <w:szCs w:val="22"/>
              </w:rPr>
              <w:t>2. Stosowanie otwartego interfejsu programistycznego aplikacji nie jest wymagane w przypadku samochodowych odbiorników radiofonicznych.</w:t>
            </w:r>
          </w:p>
          <w:p w14:paraId="45C1213D" w14:textId="77777777" w:rsidR="002F23F6" w:rsidRPr="00317ABF" w:rsidRDefault="002F23F6" w:rsidP="002F23F6">
            <w:pPr>
              <w:pStyle w:val="Tekstpodstawowy"/>
              <w:rPr>
                <w:bCs/>
                <w:sz w:val="22"/>
                <w:szCs w:val="22"/>
              </w:rPr>
            </w:pPr>
            <w:r w:rsidRPr="00317ABF">
              <w:rPr>
                <w:bCs/>
                <w:sz w:val="22"/>
                <w:szCs w:val="22"/>
              </w:rPr>
              <w:t>3. Dostawca usług telekomunikacyjnych, po okresie obowiązywania umowy, umożliwia darmowy i dogodny dla użytkownika końcowego zwrot odbiornika sygnału telewizyjnego udostępnionego przez tego dostawcę, chyba że dostawca usług wykaże, że odbiornik sygnału telewizyjnego umożliwia odbiór usług cyfrowych transmisji telewizyjnych świadczonych przez innych dostawców.</w:t>
            </w:r>
          </w:p>
          <w:p w14:paraId="1D250484" w14:textId="77777777" w:rsidR="002F23F6" w:rsidRPr="00317ABF" w:rsidRDefault="002F23F6" w:rsidP="002F23F6">
            <w:pPr>
              <w:pStyle w:val="Tekstpodstawowy"/>
              <w:rPr>
                <w:bCs/>
                <w:sz w:val="22"/>
                <w:szCs w:val="22"/>
              </w:rPr>
            </w:pPr>
            <w:bookmarkStart w:id="183" w:name="mip44758717"/>
            <w:bookmarkStart w:id="184" w:name="mip44758718"/>
            <w:bookmarkEnd w:id="183"/>
            <w:bookmarkEnd w:id="184"/>
            <w:r w:rsidRPr="00317ABF">
              <w:rPr>
                <w:bCs/>
                <w:sz w:val="22"/>
                <w:szCs w:val="22"/>
              </w:rPr>
              <w:t>4. Odbiornik sygnału telewizyjnego umożliwia:</w:t>
            </w:r>
          </w:p>
          <w:p w14:paraId="302B1040" w14:textId="77777777" w:rsidR="002F23F6" w:rsidRPr="00317ABF" w:rsidRDefault="002F23F6" w:rsidP="002F23F6">
            <w:pPr>
              <w:pStyle w:val="Tekstpodstawowy"/>
              <w:rPr>
                <w:bCs/>
                <w:sz w:val="22"/>
                <w:szCs w:val="22"/>
              </w:rPr>
            </w:pPr>
            <w:bookmarkStart w:id="185" w:name="mip44758720"/>
            <w:bookmarkEnd w:id="185"/>
            <w:r w:rsidRPr="00317ABF">
              <w:rPr>
                <w:bCs/>
                <w:sz w:val="22"/>
                <w:szCs w:val="22"/>
              </w:rPr>
              <w:t>1)</w:t>
            </w:r>
            <w:r w:rsidRPr="00317ABF">
              <w:rPr>
                <w:bCs/>
                <w:sz w:val="22"/>
                <w:szCs w:val="22"/>
              </w:rPr>
              <w:tab/>
              <w:t>odbiór niekodowanych cyfrowych transmisji telewizyjnych;</w:t>
            </w:r>
          </w:p>
          <w:p w14:paraId="17915822" w14:textId="4A6BA84A" w:rsidR="00BD3AC8" w:rsidRPr="00317ABF" w:rsidRDefault="002F23F6" w:rsidP="00BD3AC8">
            <w:pPr>
              <w:pStyle w:val="Tekstpodstawowy"/>
              <w:rPr>
                <w:bCs/>
                <w:sz w:val="22"/>
                <w:szCs w:val="22"/>
              </w:rPr>
            </w:pPr>
            <w:bookmarkStart w:id="186" w:name="mip44758721"/>
            <w:bookmarkEnd w:id="186"/>
            <w:r w:rsidRPr="00317ABF">
              <w:rPr>
                <w:bCs/>
                <w:sz w:val="22"/>
                <w:szCs w:val="22"/>
              </w:rPr>
              <w:t>2)</w:t>
            </w:r>
            <w:r w:rsidRPr="00317ABF">
              <w:rPr>
                <w:bCs/>
                <w:sz w:val="22"/>
                <w:szCs w:val="22"/>
              </w:rPr>
              <w:tab/>
              <w:t>dekodowanie za pomocą jednolitego algorytmu kodowania cyfrowych transmisji telewizyjnych kodowanych, określonego w przepisach wydanych na podstawie ust. 6.</w:t>
            </w:r>
            <w:bookmarkStart w:id="187" w:name="mip44758722"/>
            <w:bookmarkEnd w:id="187"/>
          </w:p>
          <w:p w14:paraId="5420C4E8" w14:textId="23B17E0E" w:rsidR="00BD3AC8" w:rsidRPr="00317ABF" w:rsidRDefault="00BD3AC8" w:rsidP="00BD3AC8">
            <w:pPr>
              <w:pStyle w:val="Tekstpodstawowy"/>
              <w:rPr>
                <w:bCs/>
                <w:sz w:val="22"/>
                <w:szCs w:val="22"/>
              </w:rPr>
            </w:pPr>
            <w:r w:rsidRPr="00317ABF">
              <w:rPr>
                <w:bCs/>
                <w:sz w:val="22"/>
                <w:szCs w:val="22"/>
              </w:rPr>
              <w:t>5. Samochodowe odbiorniki radiofoniczne umożliwiają odbiór i odtwarzanie co najmniej usług radiofonii cyfrowej świadczonych za pośrednictwem naziemnych cyfrowych transmisji radiofonicznych.</w:t>
            </w:r>
          </w:p>
          <w:p w14:paraId="5BBE3BF4" w14:textId="299A6CF4" w:rsidR="00BD3AC8" w:rsidRPr="00317ABF" w:rsidRDefault="002F23F6" w:rsidP="00BD3AC8">
            <w:pPr>
              <w:pStyle w:val="Tekstpodstawowy"/>
              <w:rPr>
                <w:bCs/>
                <w:sz w:val="22"/>
                <w:szCs w:val="22"/>
              </w:rPr>
            </w:pPr>
            <w:bookmarkStart w:id="188" w:name="mip44758723"/>
            <w:bookmarkStart w:id="189" w:name="mip44758724"/>
            <w:bookmarkEnd w:id="188"/>
            <w:bookmarkEnd w:id="189"/>
            <w:r w:rsidRPr="00317ABF">
              <w:rPr>
                <w:bCs/>
                <w:sz w:val="22"/>
                <w:szCs w:val="22"/>
              </w:rPr>
              <w:t>6. Minister właściwy do spraw informatyzacji określi, w drodze rozporządzenia, wymagania techniczne i eksploatacyjne dla odbiorników sygnału telewizyjnego, mając na uwadze zapewnienie interoperacyjności usług oraz ułatwienie dostępu dla osób z niepełnosprawnościami.</w:t>
            </w:r>
          </w:p>
          <w:p w14:paraId="7A417CEA" w14:textId="0CF5762C" w:rsidR="001E1112" w:rsidRPr="00317ABF" w:rsidRDefault="00BD3AC8" w:rsidP="002F23F6">
            <w:pPr>
              <w:pStyle w:val="Tekstpodstawowy"/>
              <w:rPr>
                <w:bCs/>
                <w:sz w:val="22"/>
                <w:szCs w:val="22"/>
              </w:rPr>
            </w:pPr>
            <w:r w:rsidRPr="00317ABF">
              <w:rPr>
                <w:bCs/>
                <w:sz w:val="22"/>
                <w:szCs w:val="22"/>
              </w:rPr>
              <w:t>7. Minister właściwy do spraw informatyzacji określi, w drodze rozporządzenia, wymagania techniczne i eksploatacyjne dla odbiorników radiofonii cyfrowej, w tym samochodowych odbiorników radiofonicznych, mając na uwadze efektywne wykorzystanie częstotliwości oraz zapewnienie interoperacyjności usług.</w:t>
            </w:r>
          </w:p>
        </w:tc>
      </w:tr>
      <w:tr w:rsidR="001E1112" w:rsidRPr="00317ABF" w14:paraId="10548D43" w14:textId="77777777" w:rsidTr="7753F98D">
        <w:trPr>
          <w:gridAfter w:val="2"/>
          <w:wAfter w:w="175" w:type="dxa"/>
        </w:trPr>
        <w:tc>
          <w:tcPr>
            <w:tcW w:w="704" w:type="dxa"/>
          </w:tcPr>
          <w:p w14:paraId="41D8D2C1" w14:textId="3724BDC7" w:rsidR="001E1112" w:rsidRPr="00317ABF" w:rsidRDefault="001E1112" w:rsidP="00DB3BEC">
            <w:pPr>
              <w:jc w:val="both"/>
              <w:rPr>
                <w:sz w:val="22"/>
                <w:szCs w:val="22"/>
              </w:rPr>
            </w:pPr>
            <w:r w:rsidRPr="00317ABF">
              <w:rPr>
                <w:sz w:val="22"/>
                <w:szCs w:val="22"/>
              </w:rPr>
              <w:t>Art. 113 ust. 2</w:t>
            </w:r>
          </w:p>
        </w:tc>
        <w:tc>
          <w:tcPr>
            <w:tcW w:w="4308" w:type="dxa"/>
          </w:tcPr>
          <w:p w14:paraId="078FAA86" w14:textId="77777777" w:rsidR="001E1112" w:rsidRPr="00317ABF" w:rsidRDefault="001E1112" w:rsidP="00DB3BEC">
            <w:pPr>
              <w:spacing w:before="120"/>
              <w:jc w:val="both"/>
              <w:rPr>
                <w:sz w:val="22"/>
                <w:szCs w:val="22"/>
              </w:rPr>
            </w:pPr>
            <w:r w:rsidRPr="00317ABF">
              <w:rPr>
                <w:sz w:val="22"/>
                <w:szCs w:val="22"/>
              </w:rPr>
              <w:t>2.   Państwa członkowskie mogą przyjąć środki zapewniające interoperacyjność innych konsumenckich odbiorników radiowych, ograniczając wpływ na rynek odbiorników radiowych niskiej klasy i zapewniając, aby takie środki nie były stosowane do produktów, w których odbiornik radiowy ma charakter jedynie pomocniczy (takich jak smartfony), i do urządzeń używanych przez radioamatorów.</w:t>
            </w:r>
          </w:p>
        </w:tc>
        <w:tc>
          <w:tcPr>
            <w:tcW w:w="986" w:type="dxa"/>
          </w:tcPr>
          <w:p w14:paraId="2CC9C433" w14:textId="54B3C5B3" w:rsidR="001E1112" w:rsidRPr="00317ABF" w:rsidRDefault="001E1112" w:rsidP="00DB3BEC">
            <w:pPr>
              <w:jc w:val="both"/>
              <w:rPr>
                <w:sz w:val="22"/>
                <w:szCs w:val="22"/>
              </w:rPr>
            </w:pPr>
            <w:r w:rsidRPr="00317ABF">
              <w:rPr>
                <w:b/>
                <w:sz w:val="22"/>
                <w:szCs w:val="22"/>
              </w:rPr>
              <w:t>N</w:t>
            </w:r>
          </w:p>
        </w:tc>
        <w:tc>
          <w:tcPr>
            <w:tcW w:w="910" w:type="dxa"/>
          </w:tcPr>
          <w:p w14:paraId="29318817" w14:textId="7C1A8887" w:rsidR="001E1112" w:rsidRPr="00317ABF" w:rsidRDefault="002F23F6" w:rsidP="00DB3BEC">
            <w:pPr>
              <w:pStyle w:val="Tekstpodstawowy"/>
              <w:rPr>
                <w:b/>
                <w:bCs/>
                <w:noProof/>
                <w:sz w:val="22"/>
                <w:szCs w:val="22"/>
              </w:rPr>
            </w:pPr>
            <w:r w:rsidRPr="00317ABF">
              <w:rPr>
                <w:b/>
                <w:noProof/>
                <w:sz w:val="22"/>
                <w:szCs w:val="22"/>
              </w:rPr>
              <w:t>Art. 401 ust. 7</w:t>
            </w:r>
          </w:p>
          <w:p w14:paraId="3CC3E5C2" w14:textId="2CBF85A8" w:rsidR="001E1112" w:rsidRPr="00317ABF" w:rsidRDefault="001E1112" w:rsidP="00DB3BEC">
            <w:pPr>
              <w:pStyle w:val="Tekstpodstawowy"/>
              <w:rPr>
                <w:b/>
                <w:bCs/>
                <w:noProof/>
                <w:sz w:val="22"/>
                <w:szCs w:val="22"/>
              </w:rPr>
            </w:pPr>
          </w:p>
          <w:p w14:paraId="72C9ABAA" w14:textId="1D538A4A" w:rsidR="001E1112" w:rsidRPr="00317ABF" w:rsidRDefault="001E1112" w:rsidP="00DB3BEC">
            <w:pPr>
              <w:pStyle w:val="Tekstpodstawowy"/>
              <w:rPr>
                <w:b/>
                <w:bCs/>
                <w:noProof/>
                <w:sz w:val="22"/>
                <w:szCs w:val="22"/>
              </w:rPr>
            </w:pPr>
          </w:p>
          <w:p w14:paraId="4D5EC483" w14:textId="59A7E36F" w:rsidR="001E1112" w:rsidRPr="00317ABF" w:rsidRDefault="001E1112" w:rsidP="00DB3BEC">
            <w:pPr>
              <w:pStyle w:val="Tekstpodstawowy"/>
              <w:rPr>
                <w:b/>
                <w:noProof/>
                <w:sz w:val="22"/>
                <w:szCs w:val="22"/>
              </w:rPr>
            </w:pPr>
          </w:p>
        </w:tc>
        <w:tc>
          <w:tcPr>
            <w:tcW w:w="6814" w:type="dxa"/>
            <w:gridSpan w:val="2"/>
          </w:tcPr>
          <w:p w14:paraId="2779E39F" w14:textId="77777777" w:rsidR="002F23F6" w:rsidRPr="00317ABF" w:rsidRDefault="002F23F6" w:rsidP="00DB3BEC">
            <w:pPr>
              <w:pStyle w:val="Tekstpodstawowy"/>
              <w:rPr>
                <w:b/>
                <w:bCs/>
                <w:sz w:val="22"/>
                <w:szCs w:val="22"/>
              </w:rPr>
            </w:pPr>
            <w:r w:rsidRPr="00317ABF">
              <w:rPr>
                <w:b/>
                <w:bCs/>
                <w:sz w:val="22"/>
                <w:szCs w:val="22"/>
              </w:rPr>
              <w:t>Art. 401</w:t>
            </w:r>
          </w:p>
          <w:p w14:paraId="761E1011" w14:textId="77777777" w:rsidR="002F23F6" w:rsidRPr="00317ABF" w:rsidRDefault="002F23F6" w:rsidP="00DB3BEC">
            <w:pPr>
              <w:pStyle w:val="Tekstpodstawowy"/>
              <w:rPr>
                <w:bCs/>
                <w:sz w:val="22"/>
                <w:szCs w:val="22"/>
              </w:rPr>
            </w:pPr>
            <w:r w:rsidRPr="00317ABF">
              <w:rPr>
                <w:bCs/>
                <w:sz w:val="22"/>
                <w:szCs w:val="22"/>
              </w:rPr>
              <w:t>(…)</w:t>
            </w:r>
          </w:p>
          <w:p w14:paraId="76B6AAC5" w14:textId="7A5B5E79" w:rsidR="002F23F6" w:rsidRPr="00317ABF" w:rsidRDefault="002F23F6" w:rsidP="00DB3BEC">
            <w:pPr>
              <w:pStyle w:val="Tekstpodstawowy"/>
              <w:rPr>
                <w:bCs/>
                <w:sz w:val="22"/>
                <w:szCs w:val="22"/>
              </w:rPr>
            </w:pPr>
            <w:r w:rsidRPr="00317ABF">
              <w:rPr>
                <w:bCs/>
                <w:sz w:val="22"/>
                <w:szCs w:val="22"/>
              </w:rPr>
              <w:t>7. Minister właściwy do spraw informatyzacji określi, w drodze rozporządzenia, wymagania techniczne i eksploatacyjne dla odbiorników radiofonii cyfrowej, w tym samochodowych odbiorników radiofonicznych, mając na uwadze efektywne wykorzystanie częstotliwości oraz zapewnienie interoperacyjności usług.</w:t>
            </w:r>
          </w:p>
          <w:p w14:paraId="1BBBB306" w14:textId="6C28DD17" w:rsidR="001E1112" w:rsidRPr="00317ABF" w:rsidRDefault="001E1112" w:rsidP="00DB3BEC">
            <w:pPr>
              <w:pStyle w:val="Tekstpodstawowy"/>
              <w:rPr>
                <w:sz w:val="22"/>
                <w:szCs w:val="22"/>
              </w:rPr>
            </w:pPr>
          </w:p>
        </w:tc>
      </w:tr>
      <w:tr w:rsidR="001E1112" w:rsidRPr="00317ABF" w14:paraId="1AA032DC" w14:textId="77777777" w:rsidTr="7753F98D">
        <w:trPr>
          <w:gridAfter w:val="2"/>
          <w:wAfter w:w="175" w:type="dxa"/>
        </w:trPr>
        <w:tc>
          <w:tcPr>
            <w:tcW w:w="704" w:type="dxa"/>
          </w:tcPr>
          <w:p w14:paraId="4E98B835" w14:textId="0A1E1698" w:rsidR="001E1112" w:rsidRPr="00317ABF" w:rsidRDefault="001E1112" w:rsidP="00DB3BEC">
            <w:pPr>
              <w:jc w:val="both"/>
              <w:rPr>
                <w:sz w:val="22"/>
                <w:szCs w:val="22"/>
              </w:rPr>
            </w:pPr>
            <w:r w:rsidRPr="00317ABF">
              <w:rPr>
                <w:sz w:val="22"/>
                <w:szCs w:val="22"/>
              </w:rPr>
              <w:t>Art. 113 ust. 3</w:t>
            </w:r>
          </w:p>
        </w:tc>
        <w:tc>
          <w:tcPr>
            <w:tcW w:w="4308" w:type="dxa"/>
          </w:tcPr>
          <w:p w14:paraId="53D6C9C9" w14:textId="77777777" w:rsidR="001E1112" w:rsidRPr="00317ABF" w:rsidRDefault="001E1112" w:rsidP="00DB3BEC">
            <w:pPr>
              <w:spacing w:before="120"/>
              <w:jc w:val="both"/>
              <w:rPr>
                <w:sz w:val="22"/>
                <w:szCs w:val="22"/>
              </w:rPr>
            </w:pPr>
            <w:r w:rsidRPr="00317ABF">
              <w:rPr>
                <w:sz w:val="22"/>
                <w:szCs w:val="22"/>
              </w:rPr>
              <w:t>3.   Państwa członkowskie zachęcają podmioty świadczące cyfrowe usługi telewizyjne do zapewnienia, w stosownych przypadkach, aby sprzęt telewizji cyfrowej, który oni przekazują swoim użytkownikom końcowym, był interoperacyjny, tak aby sprzęt telewizji cyfrowej mógł być, gdy jest to technicznie wykonalne, ponownie wykorzystany przez inne podmioty świadczące cyfrowe usługi telewizyjne.</w:t>
            </w:r>
          </w:p>
          <w:p w14:paraId="03098F58" w14:textId="77777777" w:rsidR="001E1112" w:rsidRPr="00317ABF" w:rsidRDefault="001E1112" w:rsidP="00DB3BEC">
            <w:pPr>
              <w:spacing w:before="120"/>
              <w:jc w:val="both"/>
              <w:rPr>
                <w:sz w:val="22"/>
                <w:szCs w:val="22"/>
              </w:rPr>
            </w:pPr>
            <w:r w:rsidRPr="00317ABF">
              <w:rPr>
                <w:sz w:val="22"/>
                <w:szCs w:val="22"/>
              </w:rPr>
              <w:t>Bez uszczerbku dla art. 5 ust. 2 dyrektywy Parlamentu Europejskiego i Rady2012/19/UE </w:t>
            </w:r>
            <w:hyperlink r:id="rId41" w:anchor="ntr47-L_2018321PL.01003601-E0047" w:history="1">
              <w:r w:rsidRPr="00317ABF">
                <w:rPr>
                  <w:sz w:val="22"/>
                  <w:szCs w:val="22"/>
                  <w:u w:val="single"/>
                </w:rPr>
                <w:t>(</w:t>
              </w:r>
              <w:r w:rsidRPr="00317ABF">
                <w:rPr>
                  <w:sz w:val="22"/>
                  <w:szCs w:val="22"/>
                  <w:u w:val="single"/>
                  <w:vertAlign w:val="superscript"/>
                </w:rPr>
                <w:t>47</w:t>
              </w:r>
              <w:r w:rsidRPr="00317ABF">
                <w:rPr>
                  <w:sz w:val="22"/>
                  <w:szCs w:val="22"/>
                  <w:u w:val="single"/>
                </w:rPr>
                <w:t>)</w:t>
              </w:r>
            </w:hyperlink>
            <w:r w:rsidRPr="00317ABF">
              <w:rPr>
                <w:sz w:val="22"/>
                <w:szCs w:val="22"/>
              </w:rPr>
              <w:t xml:space="preserve"> państwa członkowskie zapewniają, aby po zakończeniu umowy użytkownicy końcowi mieli możliwość oddania sprzętu telewizji cyfrowej w ramach darmowej i łatwej procedury, chyba że dostawca wykaże, że nie jest on w pełni interoperacyjny z usługami telewizji cyfrowej innych dostawców, w tym tych, do których przeszedł użytkownik końcowy.</w:t>
            </w:r>
          </w:p>
          <w:p w14:paraId="4B1CC007" w14:textId="77777777" w:rsidR="001E1112" w:rsidRPr="00317ABF" w:rsidRDefault="001E1112" w:rsidP="00DB3BEC">
            <w:pPr>
              <w:spacing w:before="120"/>
              <w:jc w:val="both"/>
              <w:rPr>
                <w:sz w:val="22"/>
                <w:szCs w:val="22"/>
              </w:rPr>
            </w:pPr>
            <w:r w:rsidRPr="00317ABF">
              <w:rPr>
                <w:sz w:val="22"/>
                <w:szCs w:val="22"/>
              </w:rPr>
              <w:t>Zakłada się, że sprzęt telewizji cyfrowej, który jest zgodny ze zharmonizowanymi normami, do których odniesienia zostały opublikowane w Dzienniku Urzędowym Unii Europejskiej, lub z częścią takich norm, spełnia wymóg interoperacyjności określony w akapicie drugim objęty tymi normami lub ich częścią.</w:t>
            </w:r>
          </w:p>
        </w:tc>
        <w:tc>
          <w:tcPr>
            <w:tcW w:w="986" w:type="dxa"/>
          </w:tcPr>
          <w:p w14:paraId="775708FD" w14:textId="41CEDA25" w:rsidR="001E1112" w:rsidRPr="00317ABF" w:rsidRDefault="001E1112" w:rsidP="00DB3BEC">
            <w:pPr>
              <w:jc w:val="both"/>
              <w:rPr>
                <w:b/>
                <w:sz w:val="22"/>
                <w:szCs w:val="22"/>
              </w:rPr>
            </w:pPr>
            <w:r w:rsidRPr="00317ABF">
              <w:rPr>
                <w:b/>
                <w:sz w:val="22"/>
                <w:szCs w:val="22"/>
              </w:rPr>
              <w:t>T</w:t>
            </w:r>
          </w:p>
        </w:tc>
        <w:tc>
          <w:tcPr>
            <w:tcW w:w="910" w:type="dxa"/>
          </w:tcPr>
          <w:p w14:paraId="31FAD901" w14:textId="193DB464" w:rsidR="001E1112" w:rsidRPr="00317ABF" w:rsidRDefault="002F23F6" w:rsidP="00DB3BEC">
            <w:pPr>
              <w:pStyle w:val="Tekstpodstawowy"/>
              <w:rPr>
                <w:b/>
                <w:noProof/>
                <w:sz w:val="22"/>
                <w:szCs w:val="22"/>
              </w:rPr>
            </w:pPr>
            <w:r w:rsidRPr="00317ABF">
              <w:rPr>
                <w:b/>
                <w:noProof/>
                <w:sz w:val="22"/>
                <w:szCs w:val="22"/>
              </w:rPr>
              <w:t>Art. 401 ust. 3</w:t>
            </w:r>
          </w:p>
        </w:tc>
        <w:tc>
          <w:tcPr>
            <w:tcW w:w="6814" w:type="dxa"/>
            <w:gridSpan w:val="2"/>
          </w:tcPr>
          <w:p w14:paraId="1E82C121" w14:textId="77777777" w:rsidR="002F23F6" w:rsidRPr="00317ABF" w:rsidRDefault="002F23F6" w:rsidP="00DB3BEC">
            <w:pPr>
              <w:pStyle w:val="Tekstpodstawowy"/>
              <w:rPr>
                <w:b/>
                <w:sz w:val="22"/>
                <w:szCs w:val="22"/>
              </w:rPr>
            </w:pPr>
            <w:r w:rsidRPr="00317ABF">
              <w:rPr>
                <w:b/>
                <w:sz w:val="22"/>
                <w:szCs w:val="22"/>
              </w:rPr>
              <w:t>Art. 401</w:t>
            </w:r>
          </w:p>
          <w:p w14:paraId="6F3E2602" w14:textId="77777777" w:rsidR="002F23F6" w:rsidRPr="00317ABF" w:rsidRDefault="002F23F6" w:rsidP="00DB3BEC">
            <w:pPr>
              <w:pStyle w:val="Tekstpodstawowy"/>
              <w:rPr>
                <w:sz w:val="22"/>
                <w:szCs w:val="22"/>
              </w:rPr>
            </w:pPr>
            <w:r w:rsidRPr="00317ABF">
              <w:rPr>
                <w:sz w:val="22"/>
                <w:szCs w:val="22"/>
              </w:rPr>
              <w:t>(…)</w:t>
            </w:r>
          </w:p>
          <w:p w14:paraId="70C1652E" w14:textId="77777777" w:rsidR="002F23F6" w:rsidRPr="00317ABF" w:rsidRDefault="002F23F6" w:rsidP="002F23F6">
            <w:pPr>
              <w:pStyle w:val="Tekstpodstawowy"/>
              <w:rPr>
                <w:bCs/>
                <w:sz w:val="22"/>
                <w:szCs w:val="22"/>
              </w:rPr>
            </w:pPr>
            <w:r w:rsidRPr="00317ABF">
              <w:rPr>
                <w:bCs/>
                <w:sz w:val="22"/>
                <w:szCs w:val="22"/>
              </w:rPr>
              <w:t>3. Dostawca usług telekomunikacyjnych, po okresie obowiązywania umowy, umożliwia darmowy i dogodny dla użytkownika końcowego zwrot odbiornika sygnału telewizyjnego udostępnionego przez tego dostawcę, chyba że dostawca usług wykaże, że odbiornik sygnału telewizyjnego umożliwia odbiór usług cyfrowych transmisji telewizyjnych świadczonych przez innych dostawców.</w:t>
            </w:r>
          </w:p>
          <w:p w14:paraId="12755743" w14:textId="3F9CA6D2" w:rsidR="001E1112" w:rsidRPr="00317ABF" w:rsidRDefault="002F23F6" w:rsidP="00DB3BEC">
            <w:pPr>
              <w:pStyle w:val="Tekstpodstawowy"/>
              <w:rPr>
                <w:sz w:val="22"/>
                <w:szCs w:val="22"/>
              </w:rPr>
            </w:pPr>
            <w:r w:rsidRPr="00317ABF">
              <w:rPr>
                <w:sz w:val="22"/>
                <w:szCs w:val="22"/>
              </w:rPr>
              <w:t>(…)</w:t>
            </w:r>
          </w:p>
        </w:tc>
      </w:tr>
      <w:tr w:rsidR="001E1112" w:rsidRPr="00317ABF" w14:paraId="6A8B96D1" w14:textId="77777777" w:rsidTr="7753F98D">
        <w:trPr>
          <w:gridAfter w:val="2"/>
          <w:wAfter w:w="175" w:type="dxa"/>
        </w:trPr>
        <w:tc>
          <w:tcPr>
            <w:tcW w:w="704" w:type="dxa"/>
          </w:tcPr>
          <w:p w14:paraId="200BD3A8" w14:textId="1937D8DF" w:rsidR="001E1112" w:rsidRPr="00317ABF" w:rsidRDefault="001E1112" w:rsidP="00DB3BEC">
            <w:pPr>
              <w:jc w:val="both"/>
              <w:rPr>
                <w:b/>
                <w:sz w:val="22"/>
                <w:szCs w:val="22"/>
              </w:rPr>
            </w:pPr>
            <w:r w:rsidRPr="00317ABF">
              <w:rPr>
                <w:b/>
                <w:sz w:val="22"/>
                <w:szCs w:val="22"/>
              </w:rPr>
              <w:t>Art. 114</w:t>
            </w:r>
          </w:p>
        </w:tc>
        <w:tc>
          <w:tcPr>
            <w:tcW w:w="4308" w:type="dxa"/>
          </w:tcPr>
          <w:p w14:paraId="56CBC99C" w14:textId="77777777" w:rsidR="001E1112" w:rsidRPr="00317ABF" w:rsidRDefault="001E1112" w:rsidP="00DB3BEC">
            <w:pPr>
              <w:spacing w:before="120"/>
              <w:jc w:val="both"/>
              <w:rPr>
                <w:sz w:val="22"/>
                <w:szCs w:val="22"/>
              </w:rPr>
            </w:pPr>
            <w:r w:rsidRPr="00317ABF">
              <w:rPr>
                <w:b/>
                <w:bCs/>
                <w:sz w:val="22"/>
                <w:szCs w:val="22"/>
              </w:rPr>
              <w:t>Transmisja obowiązkowa</w:t>
            </w:r>
          </w:p>
        </w:tc>
        <w:tc>
          <w:tcPr>
            <w:tcW w:w="986" w:type="dxa"/>
          </w:tcPr>
          <w:p w14:paraId="511858FA" w14:textId="77777777" w:rsidR="001E1112" w:rsidRPr="00317ABF" w:rsidRDefault="001E1112" w:rsidP="00DB3BEC">
            <w:pPr>
              <w:jc w:val="both"/>
              <w:rPr>
                <w:sz w:val="22"/>
                <w:szCs w:val="22"/>
              </w:rPr>
            </w:pPr>
          </w:p>
        </w:tc>
        <w:tc>
          <w:tcPr>
            <w:tcW w:w="910" w:type="dxa"/>
          </w:tcPr>
          <w:p w14:paraId="3AA4D03A" w14:textId="77777777" w:rsidR="001E1112" w:rsidRPr="00317ABF" w:rsidRDefault="001E1112" w:rsidP="00DB3BEC">
            <w:pPr>
              <w:pStyle w:val="Tekstpodstawowy"/>
              <w:rPr>
                <w:b/>
                <w:noProof/>
                <w:sz w:val="22"/>
                <w:szCs w:val="22"/>
              </w:rPr>
            </w:pPr>
          </w:p>
        </w:tc>
        <w:tc>
          <w:tcPr>
            <w:tcW w:w="6814" w:type="dxa"/>
            <w:gridSpan w:val="2"/>
          </w:tcPr>
          <w:p w14:paraId="64B26319" w14:textId="77777777" w:rsidR="001E1112" w:rsidRPr="00317ABF" w:rsidRDefault="001E1112" w:rsidP="00DB3BEC">
            <w:pPr>
              <w:pStyle w:val="Tekstpodstawowy"/>
              <w:rPr>
                <w:sz w:val="22"/>
                <w:szCs w:val="22"/>
              </w:rPr>
            </w:pPr>
          </w:p>
        </w:tc>
      </w:tr>
      <w:tr w:rsidR="001E1112" w:rsidRPr="00317ABF" w14:paraId="077D0AC9" w14:textId="77777777" w:rsidTr="7753F98D">
        <w:trPr>
          <w:gridAfter w:val="2"/>
          <w:wAfter w:w="175" w:type="dxa"/>
        </w:trPr>
        <w:tc>
          <w:tcPr>
            <w:tcW w:w="704" w:type="dxa"/>
          </w:tcPr>
          <w:p w14:paraId="1F3334FF" w14:textId="77777777" w:rsidR="001E1112" w:rsidRPr="00317ABF" w:rsidRDefault="001E1112" w:rsidP="00DB3BEC">
            <w:pPr>
              <w:jc w:val="both"/>
              <w:rPr>
                <w:sz w:val="22"/>
                <w:szCs w:val="22"/>
              </w:rPr>
            </w:pPr>
            <w:r w:rsidRPr="00317ABF">
              <w:rPr>
                <w:sz w:val="22"/>
                <w:szCs w:val="22"/>
              </w:rPr>
              <w:t>Art. 114 ust. 1</w:t>
            </w:r>
          </w:p>
        </w:tc>
        <w:tc>
          <w:tcPr>
            <w:tcW w:w="4308" w:type="dxa"/>
          </w:tcPr>
          <w:p w14:paraId="203617C3" w14:textId="77777777" w:rsidR="001E1112" w:rsidRPr="00317ABF" w:rsidRDefault="001E1112" w:rsidP="00DB3BEC">
            <w:pPr>
              <w:spacing w:before="120"/>
              <w:jc w:val="both"/>
              <w:rPr>
                <w:sz w:val="22"/>
                <w:szCs w:val="22"/>
              </w:rPr>
            </w:pPr>
            <w:r w:rsidRPr="00317ABF">
              <w:rPr>
                <w:sz w:val="22"/>
                <w:szCs w:val="22"/>
              </w:rPr>
              <w:t>1.   Państwa członkowskie mogą nakładać uzasadnione obowiązki dotyczące transmisji obowiązkowej związane z nadawaniem określonych kanałów radiowych i telewizyjnych oraz powiązanych usług uzupełniających, w szczególności usług ułatwiających odpowiedni dostęp użytkownikom końcowym z niepełnosprawnościami i zapewniających dane wspierające usługi telewizji hybrydowej i elektroniczne przewodniki po programach, na przedsiębiorstwa, które podlegają ich jurysdykcji i udostępniają sieci i świadczą usługi łączności elektronicznej wykorzystywane do rozpowszechniania wśród ogółu obywateli kanałów radiowych lub telewizyjnych, w przypadku gdy dla znacznej liczby użytkowników końcowych takie sieci i usługi są głównym sposobem odbierania kanałów radiowych i telewizyjnych. Takie obowiązki nakłada się jedynie wtedy, gdy są one niezbędne do realizacji celów leżących w interesie ogólnym, wyraźnie określonych przez każde państwo członkowskie, przy czym obowiązki te muszą być proporcjonalne i przejrzyste.</w:t>
            </w:r>
          </w:p>
        </w:tc>
        <w:tc>
          <w:tcPr>
            <w:tcW w:w="986" w:type="dxa"/>
          </w:tcPr>
          <w:p w14:paraId="1E51C427" w14:textId="47EC00EB" w:rsidR="001E1112" w:rsidRPr="00317ABF" w:rsidRDefault="001E1112" w:rsidP="00DB3BEC">
            <w:pPr>
              <w:jc w:val="both"/>
              <w:rPr>
                <w:b/>
                <w:sz w:val="22"/>
                <w:szCs w:val="22"/>
              </w:rPr>
            </w:pPr>
            <w:r w:rsidRPr="00317ABF">
              <w:rPr>
                <w:b/>
                <w:sz w:val="22"/>
                <w:szCs w:val="22"/>
              </w:rPr>
              <w:t>T</w:t>
            </w:r>
          </w:p>
        </w:tc>
        <w:tc>
          <w:tcPr>
            <w:tcW w:w="910" w:type="dxa"/>
          </w:tcPr>
          <w:p w14:paraId="30C8D416" w14:textId="098C0EA0" w:rsidR="001E1112" w:rsidRPr="00317ABF" w:rsidRDefault="001E1112" w:rsidP="00DB3BEC">
            <w:pPr>
              <w:pStyle w:val="Tekstpodstawowy"/>
              <w:rPr>
                <w:b/>
                <w:noProof/>
                <w:sz w:val="22"/>
                <w:szCs w:val="22"/>
              </w:rPr>
            </w:pPr>
            <w:r w:rsidRPr="00317ABF">
              <w:rPr>
                <w:b/>
                <w:noProof/>
                <w:sz w:val="22"/>
                <w:szCs w:val="22"/>
              </w:rPr>
              <w:t xml:space="preserve">Art. 43 ust. 1 i 2 ustawy o radiofonii i telewizji </w:t>
            </w:r>
          </w:p>
        </w:tc>
        <w:tc>
          <w:tcPr>
            <w:tcW w:w="6814" w:type="dxa"/>
            <w:gridSpan w:val="2"/>
          </w:tcPr>
          <w:p w14:paraId="42C1937A" w14:textId="77777777" w:rsidR="001E1112" w:rsidRPr="00317ABF" w:rsidRDefault="001E1112" w:rsidP="00DB3BEC">
            <w:pPr>
              <w:shd w:val="clear" w:color="auto" w:fill="FFFFFF"/>
              <w:jc w:val="both"/>
              <w:rPr>
                <w:sz w:val="22"/>
                <w:szCs w:val="22"/>
              </w:rPr>
            </w:pPr>
            <w:r w:rsidRPr="00317ABF">
              <w:rPr>
                <w:sz w:val="22"/>
                <w:szCs w:val="22"/>
              </w:rPr>
              <w:t>1. Operator rozprowadzający program, z wyłączeniem podmiotu rozprowadzającego program w sposób cyfrowy drogą rozsiewczą naziemną w multipleksie, jest obowiązany do rozprowadzania programów "Telewizja Polska I", "Telewizja Polska II" i jednego regionalnego programu telewizyjnego rozpowszechnianego przez Telewizję Polską S.A. oraz programów rozpowszechnianych w dniu wejścia w życie ustawy z dnia 30 czerwca 2011 r. o wdrożeniu naziemnej telewizji cyfrowej (Dz.U. z 2016 r. </w:t>
            </w:r>
            <w:hyperlink r:id="rId42" w:history="1">
              <w:r w:rsidRPr="00317ABF">
                <w:rPr>
                  <w:rStyle w:val="Hipercze"/>
                  <w:color w:val="auto"/>
                  <w:sz w:val="22"/>
                  <w:szCs w:val="22"/>
                </w:rPr>
                <w:t>poz. 649</w:t>
              </w:r>
            </w:hyperlink>
            <w:r w:rsidRPr="00317ABF">
              <w:rPr>
                <w:sz w:val="22"/>
                <w:szCs w:val="22"/>
              </w:rPr>
              <w:t>) na podstawie koncesji na rozpowszechnianie tych programów w sposób analogowy drogą rozsiewczą naziemną przez Telewizję Polsat S.A., TVN S.A., Polskie Media S.A., Telewizję Puls Sp. z o.o. W przypadku operatora rozprowadzającego programy w sieciach telekomunikacyjnych innych niż wykorzystywane do rozpowszechniania rozsiewczego naziemnego lub rozsiewczego satelitarnego obowiązek rozprowadzania regionalnego programu telewizyjnego dotyczy regionalnego programu telewizyjnego właściwego dla danego obszaru.</w:t>
            </w:r>
          </w:p>
          <w:p w14:paraId="17437CE0" w14:textId="77777777" w:rsidR="001E1112" w:rsidRPr="00317ABF" w:rsidRDefault="001E1112" w:rsidP="00DB3BEC">
            <w:pPr>
              <w:shd w:val="clear" w:color="auto" w:fill="FFFFFF"/>
              <w:jc w:val="both"/>
              <w:rPr>
                <w:sz w:val="22"/>
                <w:szCs w:val="22"/>
              </w:rPr>
            </w:pPr>
            <w:bookmarkStart w:id="190" w:name="mip54145687"/>
            <w:bookmarkEnd w:id="190"/>
            <w:r w:rsidRPr="00317ABF">
              <w:rPr>
                <w:sz w:val="22"/>
                <w:szCs w:val="22"/>
              </w:rPr>
              <w:t>2. Nadawca, który rozpowszechnia program, wymieniony w ust. 1, nie może odmówić operatorowi rozprowadzającemu program w sieci telekomunikacyjnej, o której mowa w ust. 1, zgody na rozprowadzanie tego programu, ani też nie może uzależnić udzielenia takiej zgody od uiszczania jakiegokolwiek wynagrodzenia, w tym w szczególności z tytułu udzielenia licencji za korzystanie z nadania.</w:t>
            </w:r>
          </w:p>
          <w:p w14:paraId="3C290CD0" w14:textId="77777777" w:rsidR="001E1112" w:rsidRPr="00317ABF" w:rsidRDefault="001E1112" w:rsidP="00DB3BEC">
            <w:pPr>
              <w:shd w:val="clear" w:color="auto" w:fill="FFFFFF"/>
              <w:jc w:val="both"/>
              <w:rPr>
                <w:sz w:val="22"/>
                <w:szCs w:val="22"/>
              </w:rPr>
            </w:pPr>
            <w:bookmarkStart w:id="191" w:name="mip54145688"/>
            <w:bookmarkEnd w:id="191"/>
          </w:p>
        </w:tc>
      </w:tr>
      <w:tr w:rsidR="001E1112" w:rsidRPr="00317ABF" w14:paraId="3E7ABF90" w14:textId="77777777" w:rsidTr="7753F98D">
        <w:trPr>
          <w:gridAfter w:val="2"/>
          <w:wAfter w:w="175" w:type="dxa"/>
        </w:trPr>
        <w:tc>
          <w:tcPr>
            <w:tcW w:w="704" w:type="dxa"/>
          </w:tcPr>
          <w:p w14:paraId="4FCA4119" w14:textId="77777777" w:rsidR="001E1112" w:rsidRPr="00317ABF" w:rsidRDefault="001E1112" w:rsidP="00DB3BEC">
            <w:pPr>
              <w:jc w:val="both"/>
              <w:rPr>
                <w:sz w:val="22"/>
                <w:szCs w:val="22"/>
              </w:rPr>
            </w:pPr>
            <w:r w:rsidRPr="00317ABF">
              <w:rPr>
                <w:sz w:val="22"/>
                <w:szCs w:val="22"/>
              </w:rPr>
              <w:t>Art. 114 ust. 2</w:t>
            </w:r>
          </w:p>
        </w:tc>
        <w:tc>
          <w:tcPr>
            <w:tcW w:w="4308" w:type="dxa"/>
          </w:tcPr>
          <w:p w14:paraId="01718A1B" w14:textId="77777777" w:rsidR="001E1112" w:rsidRPr="00317ABF" w:rsidRDefault="001E1112" w:rsidP="00DB3BEC">
            <w:pPr>
              <w:spacing w:before="120"/>
              <w:jc w:val="both"/>
              <w:rPr>
                <w:sz w:val="22"/>
                <w:szCs w:val="22"/>
              </w:rPr>
            </w:pPr>
            <w:r w:rsidRPr="00317ABF">
              <w:rPr>
                <w:sz w:val="22"/>
                <w:szCs w:val="22"/>
              </w:rPr>
              <w:t>2.   Do dnia 21 grudnia 2019 r., a następnie co pięć lat, państwa członkowskie dokonują przeglądu obowiązków, o których mowa w ust. 1, z wyjątkiem przypadków, w których państwa członkowskie przeprowadziły taki przegląd w ciągu czterech poprzednich lat.</w:t>
            </w:r>
          </w:p>
        </w:tc>
        <w:tc>
          <w:tcPr>
            <w:tcW w:w="986" w:type="dxa"/>
          </w:tcPr>
          <w:p w14:paraId="312EE851" w14:textId="3A7C5752" w:rsidR="001E1112" w:rsidRPr="00317ABF" w:rsidRDefault="001E1112" w:rsidP="00DB3BEC">
            <w:pPr>
              <w:jc w:val="both"/>
              <w:rPr>
                <w:sz w:val="22"/>
                <w:szCs w:val="22"/>
              </w:rPr>
            </w:pPr>
            <w:r w:rsidRPr="00317ABF">
              <w:rPr>
                <w:sz w:val="22"/>
                <w:szCs w:val="22"/>
              </w:rPr>
              <w:t>T</w:t>
            </w:r>
          </w:p>
        </w:tc>
        <w:tc>
          <w:tcPr>
            <w:tcW w:w="910" w:type="dxa"/>
          </w:tcPr>
          <w:p w14:paraId="5CCF058C" w14:textId="45E2E876" w:rsidR="001E1112" w:rsidRPr="00317ABF" w:rsidRDefault="001E1112" w:rsidP="00DB3BEC">
            <w:pPr>
              <w:pStyle w:val="Tekstpodstawowy"/>
              <w:rPr>
                <w:b/>
                <w:noProof/>
                <w:sz w:val="22"/>
                <w:szCs w:val="22"/>
              </w:rPr>
            </w:pPr>
            <w:r w:rsidRPr="00317ABF">
              <w:rPr>
                <w:b/>
                <w:noProof/>
                <w:sz w:val="22"/>
                <w:szCs w:val="22"/>
              </w:rPr>
              <w:t>Art. 43 ust. 3 ustawy o radiofonii i telewizji</w:t>
            </w:r>
          </w:p>
        </w:tc>
        <w:tc>
          <w:tcPr>
            <w:tcW w:w="6814" w:type="dxa"/>
            <w:gridSpan w:val="2"/>
          </w:tcPr>
          <w:p w14:paraId="02551E8E" w14:textId="77777777" w:rsidR="001E1112" w:rsidRPr="00317ABF" w:rsidRDefault="001E1112" w:rsidP="00DB3BEC">
            <w:pPr>
              <w:shd w:val="clear" w:color="auto" w:fill="FFFFFF"/>
              <w:jc w:val="both"/>
              <w:rPr>
                <w:sz w:val="22"/>
                <w:szCs w:val="22"/>
              </w:rPr>
            </w:pPr>
            <w:r w:rsidRPr="00317ABF">
              <w:rPr>
                <w:sz w:val="22"/>
                <w:szCs w:val="22"/>
              </w:rPr>
              <w:t>Przewodniczący Krajowej Rady przeprowadza ocenę realizacji obowiązku, o którym mowa w ust. 1, nie rzadziej niż raz na dwa lata, kierując się interesem społecznym w zakresie dostarczania informacji, udostępniania dóbr kultury i sztuki, ułatwiania korzystania z oświaty, sportu i dorobku nauki i upowszechniania edukacji obywatelskiej.</w:t>
            </w:r>
          </w:p>
          <w:p w14:paraId="6E9B8FD6" w14:textId="77777777" w:rsidR="001E1112" w:rsidRPr="00317ABF" w:rsidRDefault="001E1112" w:rsidP="00DB3BEC">
            <w:pPr>
              <w:pStyle w:val="Tekstpodstawowy"/>
              <w:rPr>
                <w:sz w:val="22"/>
                <w:szCs w:val="22"/>
              </w:rPr>
            </w:pPr>
          </w:p>
        </w:tc>
      </w:tr>
      <w:tr w:rsidR="001E1112" w:rsidRPr="00317ABF" w14:paraId="4DFD7FC8" w14:textId="77777777" w:rsidTr="7753F98D">
        <w:trPr>
          <w:gridAfter w:val="2"/>
          <w:wAfter w:w="175" w:type="dxa"/>
        </w:trPr>
        <w:tc>
          <w:tcPr>
            <w:tcW w:w="704" w:type="dxa"/>
          </w:tcPr>
          <w:p w14:paraId="0FD04CFA" w14:textId="77777777" w:rsidR="001E1112" w:rsidRPr="00317ABF" w:rsidRDefault="001E1112" w:rsidP="00DB3BEC">
            <w:pPr>
              <w:jc w:val="both"/>
              <w:rPr>
                <w:sz w:val="22"/>
                <w:szCs w:val="22"/>
              </w:rPr>
            </w:pPr>
            <w:r w:rsidRPr="00317ABF">
              <w:rPr>
                <w:sz w:val="22"/>
                <w:szCs w:val="22"/>
              </w:rPr>
              <w:t>Art. 114 ust. 3</w:t>
            </w:r>
          </w:p>
        </w:tc>
        <w:tc>
          <w:tcPr>
            <w:tcW w:w="4308" w:type="dxa"/>
          </w:tcPr>
          <w:p w14:paraId="61E5ECD1" w14:textId="77777777" w:rsidR="001E1112" w:rsidRPr="00317ABF" w:rsidRDefault="001E1112" w:rsidP="00DB3BEC">
            <w:pPr>
              <w:spacing w:before="120"/>
              <w:jc w:val="both"/>
              <w:rPr>
                <w:sz w:val="22"/>
                <w:szCs w:val="22"/>
              </w:rPr>
            </w:pPr>
            <w:r w:rsidRPr="00317ABF">
              <w:rPr>
                <w:sz w:val="22"/>
                <w:szCs w:val="22"/>
              </w:rPr>
              <w:t>3.   Ani ust. 1 niniejszego artykułu, ani art. 59 ust. 2 nie naruszają zdolności państw członkowskich do ustalania odpowiedniego wynagrodzenia, jeśli takie się określa, odnośnie do środków podejmowanych zgodnie z niniejszym artykułem, jednocześnie zapewniając, aby w podobnych okolicznościach dostawcy sieci i usług łączności elektronicznej byli traktowani w równy sposób. W przypadku gdy przewidziano wynagrodzenie, państwa członkowskie zapewniają, aby w prawie krajowym wyraźnie określony został obowiązek wypłaty wynagrodzenia, a także, w stosownych przypadkach, kryteria obliczania tego wynagrodzenia. Państwa członkowskie zapewniają także, aby obowiązek ten stosowano w proporcjonalny i przejrzysty sposób.</w:t>
            </w:r>
          </w:p>
        </w:tc>
        <w:tc>
          <w:tcPr>
            <w:tcW w:w="986" w:type="dxa"/>
          </w:tcPr>
          <w:p w14:paraId="70EA292B" w14:textId="218FD34B" w:rsidR="001E1112" w:rsidRPr="00317ABF" w:rsidRDefault="001E1112" w:rsidP="00DB3BEC">
            <w:pPr>
              <w:jc w:val="both"/>
              <w:rPr>
                <w:b/>
                <w:sz w:val="22"/>
                <w:szCs w:val="22"/>
              </w:rPr>
            </w:pPr>
            <w:r w:rsidRPr="00317ABF">
              <w:rPr>
                <w:b/>
                <w:sz w:val="22"/>
                <w:szCs w:val="22"/>
              </w:rPr>
              <w:t>N</w:t>
            </w:r>
          </w:p>
        </w:tc>
        <w:tc>
          <w:tcPr>
            <w:tcW w:w="910" w:type="dxa"/>
          </w:tcPr>
          <w:p w14:paraId="40ED4967" w14:textId="77777777" w:rsidR="001E1112" w:rsidRPr="00317ABF" w:rsidRDefault="001E1112" w:rsidP="00DB3BEC">
            <w:pPr>
              <w:pStyle w:val="Tekstpodstawowy"/>
              <w:rPr>
                <w:b/>
                <w:noProof/>
                <w:sz w:val="22"/>
                <w:szCs w:val="22"/>
              </w:rPr>
            </w:pPr>
          </w:p>
        </w:tc>
        <w:tc>
          <w:tcPr>
            <w:tcW w:w="6814" w:type="dxa"/>
            <w:gridSpan w:val="2"/>
          </w:tcPr>
          <w:p w14:paraId="4D775C05" w14:textId="77777777" w:rsidR="001E1112" w:rsidRPr="00317ABF" w:rsidRDefault="001E1112" w:rsidP="00DB3BEC">
            <w:pPr>
              <w:pStyle w:val="Tekstpodstawowy"/>
              <w:rPr>
                <w:sz w:val="22"/>
                <w:szCs w:val="22"/>
              </w:rPr>
            </w:pPr>
          </w:p>
        </w:tc>
      </w:tr>
      <w:tr w:rsidR="001E1112" w:rsidRPr="00317ABF" w14:paraId="3CC10503" w14:textId="77777777" w:rsidTr="7753F98D">
        <w:trPr>
          <w:gridAfter w:val="2"/>
          <w:wAfter w:w="175" w:type="dxa"/>
        </w:trPr>
        <w:tc>
          <w:tcPr>
            <w:tcW w:w="704" w:type="dxa"/>
          </w:tcPr>
          <w:p w14:paraId="7287002C" w14:textId="77777777" w:rsidR="001E1112" w:rsidRPr="00317ABF" w:rsidRDefault="001E1112" w:rsidP="00DB3BEC">
            <w:pPr>
              <w:jc w:val="both"/>
              <w:rPr>
                <w:b/>
                <w:sz w:val="22"/>
                <w:szCs w:val="22"/>
              </w:rPr>
            </w:pPr>
            <w:r w:rsidRPr="00317ABF">
              <w:rPr>
                <w:b/>
                <w:sz w:val="22"/>
                <w:szCs w:val="22"/>
              </w:rPr>
              <w:t>Art. 115</w:t>
            </w:r>
          </w:p>
        </w:tc>
        <w:tc>
          <w:tcPr>
            <w:tcW w:w="4308" w:type="dxa"/>
          </w:tcPr>
          <w:p w14:paraId="1626FA98" w14:textId="77777777" w:rsidR="001E1112" w:rsidRPr="00317ABF" w:rsidRDefault="001E1112" w:rsidP="00DB3BEC">
            <w:pPr>
              <w:spacing w:before="120"/>
              <w:jc w:val="both"/>
              <w:rPr>
                <w:sz w:val="22"/>
                <w:szCs w:val="22"/>
              </w:rPr>
            </w:pPr>
            <w:r w:rsidRPr="00317ABF">
              <w:rPr>
                <w:b/>
                <w:bCs/>
                <w:sz w:val="22"/>
                <w:szCs w:val="22"/>
              </w:rPr>
              <w:t>Zapewnienie dodatkowych usług</w:t>
            </w:r>
          </w:p>
        </w:tc>
        <w:tc>
          <w:tcPr>
            <w:tcW w:w="986" w:type="dxa"/>
          </w:tcPr>
          <w:p w14:paraId="6D0ECE8C" w14:textId="77777777" w:rsidR="001E1112" w:rsidRPr="00317ABF" w:rsidRDefault="001E1112" w:rsidP="00DB3BEC">
            <w:pPr>
              <w:jc w:val="both"/>
              <w:rPr>
                <w:sz w:val="22"/>
                <w:szCs w:val="22"/>
              </w:rPr>
            </w:pPr>
          </w:p>
        </w:tc>
        <w:tc>
          <w:tcPr>
            <w:tcW w:w="910" w:type="dxa"/>
          </w:tcPr>
          <w:p w14:paraId="3D3FEB64" w14:textId="77777777" w:rsidR="001E1112" w:rsidRPr="00317ABF" w:rsidRDefault="001E1112" w:rsidP="00DB3BEC">
            <w:pPr>
              <w:pStyle w:val="Tekstpodstawowy"/>
              <w:rPr>
                <w:b/>
                <w:noProof/>
                <w:sz w:val="22"/>
                <w:szCs w:val="22"/>
              </w:rPr>
            </w:pPr>
          </w:p>
        </w:tc>
        <w:tc>
          <w:tcPr>
            <w:tcW w:w="6814" w:type="dxa"/>
            <w:gridSpan w:val="2"/>
          </w:tcPr>
          <w:p w14:paraId="255B9A72" w14:textId="77777777" w:rsidR="001E1112" w:rsidRPr="00317ABF" w:rsidRDefault="001E1112" w:rsidP="00DB3BEC">
            <w:pPr>
              <w:pStyle w:val="Tekstpodstawowy"/>
              <w:rPr>
                <w:sz w:val="22"/>
                <w:szCs w:val="22"/>
              </w:rPr>
            </w:pPr>
          </w:p>
        </w:tc>
      </w:tr>
      <w:tr w:rsidR="001E1112" w:rsidRPr="00317ABF" w14:paraId="30B22989" w14:textId="77777777" w:rsidTr="7753F98D">
        <w:trPr>
          <w:gridAfter w:val="2"/>
          <w:wAfter w:w="175" w:type="dxa"/>
        </w:trPr>
        <w:tc>
          <w:tcPr>
            <w:tcW w:w="704" w:type="dxa"/>
          </w:tcPr>
          <w:p w14:paraId="5279EE0F" w14:textId="77777777" w:rsidR="001E1112" w:rsidRPr="00317ABF" w:rsidRDefault="001E1112" w:rsidP="00DB3BEC">
            <w:pPr>
              <w:jc w:val="both"/>
              <w:rPr>
                <w:sz w:val="22"/>
                <w:szCs w:val="22"/>
              </w:rPr>
            </w:pPr>
            <w:r w:rsidRPr="00317ABF">
              <w:rPr>
                <w:sz w:val="22"/>
                <w:szCs w:val="22"/>
              </w:rPr>
              <w:t>Art. 115 ust. 1</w:t>
            </w:r>
          </w:p>
        </w:tc>
        <w:tc>
          <w:tcPr>
            <w:tcW w:w="4308" w:type="dxa"/>
          </w:tcPr>
          <w:p w14:paraId="3A824CCE" w14:textId="77777777" w:rsidR="001E1112" w:rsidRPr="00317ABF" w:rsidRDefault="001E1112" w:rsidP="00DB3BEC">
            <w:pPr>
              <w:spacing w:before="120"/>
              <w:jc w:val="both"/>
              <w:rPr>
                <w:sz w:val="22"/>
                <w:szCs w:val="22"/>
              </w:rPr>
            </w:pPr>
            <w:r w:rsidRPr="00317ABF">
              <w:rPr>
                <w:sz w:val="22"/>
                <w:szCs w:val="22"/>
              </w:rPr>
              <w:t>1.   Bez uszczerbku dla art. 88 ust. 2, państwa członkowskie zapewniają, aby właściwe organy w porozumieniu, w stosownych przypadkach, z krajowymi organami regulacyjnymi mogły wymagać od wszystkich podmiotów świadczących usługi dostępu do internetu lub publicznie dostępne usługi łączności interpersonalnej wykorzystujące numery udostępniania bezpłatnie całości lub części usług dodatkowych wymienionych w załączniku VI część B, z zastrzeżeniem możliwości technicznych, jak również całości lub części usług dodatkowych wymienionych w załączniku VI część A.</w:t>
            </w:r>
          </w:p>
        </w:tc>
        <w:tc>
          <w:tcPr>
            <w:tcW w:w="986" w:type="dxa"/>
          </w:tcPr>
          <w:p w14:paraId="037F5658" w14:textId="1AE311EB" w:rsidR="001E1112" w:rsidRPr="00317ABF" w:rsidRDefault="001E1112" w:rsidP="00DB3BEC">
            <w:pPr>
              <w:jc w:val="both"/>
              <w:rPr>
                <w:sz w:val="22"/>
                <w:szCs w:val="22"/>
              </w:rPr>
            </w:pPr>
            <w:r w:rsidRPr="00317ABF">
              <w:rPr>
                <w:sz w:val="22"/>
                <w:szCs w:val="22"/>
              </w:rPr>
              <w:t>T</w:t>
            </w:r>
          </w:p>
        </w:tc>
        <w:tc>
          <w:tcPr>
            <w:tcW w:w="910" w:type="dxa"/>
          </w:tcPr>
          <w:p w14:paraId="3651D428" w14:textId="3804FFEE" w:rsidR="001E1112" w:rsidRPr="00317ABF" w:rsidRDefault="002F23F6" w:rsidP="00DB3BEC">
            <w:pPr>
              <w:pStyle w:val="Tekstpodstawowy"/>
              <w:rPr>
                <w:b/>
                <w:noProof/>
                <w:sz w:val="22"/>
                <w:szCs w:val="22"/>
              </w:rPr>
            </w:pPr>
            <w:r w:rsidRPr="00317ABF">
              <w:rPr>
                <w:b/>
                <w:noProof/>
                <w:sz w:val="22"/>
                <w:szCs w:val="22"/>
              </w:rPr>
              <w:t>Art. 347, 337</w:t>
            </w:r>
            <w:r w:rsidR="001E1112" w:rsidRPr="00317ABF">
              <w:rPr>
                <w:b/>
                <w:noProof/>
                <w:sz w:val="22"/>
                <w:szCs w:val="22"/>
              </w:rPr>
              <w:t>,</w:t>
            </w:r>
          </w:p>
          <w:p w14:paraId="1ABAC36B" w14:textId="03765A61" w:rsidR="001E1112" w:rsidRPr="00317ABF" w:rsidRDefault="002F23F6" w:rsidP="00DB3BEC">
            <w:pPr>
              <w:pStyle w:val="Tekstpodstawowy"/>
              <w:rPr>
                <w:b/>
                <w:noProof/>
                <w:sz w:val="22"/>
                <w:szCs w:val="22"/>
              </w:rPr>
            </w:pPr>
            <w:r w:rsidRPr="00317ABF">
              <w:rPr>
                <w:b/>
                <w:noProof/>
                <w:sz w:val="22"/>
                <w:szCs w:val="22"/>
              </w:rPr>
              <w:t>293</w:t>
            </w:r>
            <w:r w:rsidR="001E1112" w:rsidRPr="00317ABF">
              <w:rPr>
                <w:b/>
                <w:noProof/>
                <w:sz w:val="22"/>
                <w:szCs w:val="22"/>
              </w:rPr>
              <w:t xml:space="preserve"> ust. 2,</w:t>
            </w:r>
          </w:p>
          <w:p w14:paraId="0AD17F05" w14:textId="1D1C96CA" w:rsidR="001E1112" w:rsidRPr="00317ABF" w:rsidRDefault="002F23F6" w:rsidP="00DB3BEC">
            <w:pPr>
              <w:pStyle w:val="Tekstpodstawowy"/>
              <w:rPr>
                <w:b/>
                <w:noProof/>
                <w:sz w:val="22"/>
                <w:szCs w:val="22"/>
              </w:rPr>
            </w:pPr>
            <w:r w:rsidRPr="00317ABF">
              <w:rPr>
                <w:b/>
                <w:noProof/>
                <w:sz w:val="22"/>
                <w:szCs w:val="22"/>
              </w:rPr>
              <w:t>377</w:t>
            </w:r>
            <w:r w:rsidR="001E1112" w:rsidRPr="00317ABF">
              <w:rPr>
                <w:b/>
                <w:noProof/>
                <w:sz w:val="22"/>
                <w:szCs w:val="22"/>
              </w:rPr>
              <w:t>,</w:t>
            </w:r>
          </w:p>
          <w:p w14:paraId="57B7C23C" w14:textId="3302AF7C" w:rsidR="001E1112" w:rsidRPr="00317ABF" w:rsidRDefault="00BB4972" w:rsidP="00DB3BEC">
            <w:pPr>
              <w:pStyle w:val="Tekstpodstawowy"/>
              <w:rPr>
                <w:b/>
                <w:noProof/>
                <w:sz w:val="22"/>
                <w:szCs w:val="22"/>
              </w:rPr>
            </w:pPr>
            <w:r w:rsidRPr="00317ABF">
              <w:rPr>
                <w:b/>
                <w:noProof/>
                <w:sz w:val="22"/>
                <w:szCs w:val="22"/>
              </w:rPr>
              <w:t>297</w:t>
            </w:r>
            <w:r w:rsidR="001E1112" w:rsidRPr="00317ABF">
              <w:rPr>
                <w:b/>
                <w:noProof/>
                <w:sz w:val="22"/>
                <w:szCs w:val="22"/>
              </w:rPr>
              <w:t>,</w:t>
            </w:r>
          </w:p>
          <w:p w14:paraId="25333F82" w14:textId="09F091AA" w:rsidR="001E1112" w:rsidRPr="00317ABF" w:rsidRDefault="00BB4972" w:rsidP="00DB3BEC">
            <w:pPr>
              <w:pStyle w:val="Tekstpodstawowy"/>
              <w:rPr>
                <w:b/>
                <w:noProof/>
                <w:sz w:val="22"/>
                <w:szCs w:val="22"/>
              </w:rPr>
            </w:pPr>
            <w:r w:rsidRPr="00317ABF">
              <w:rPr>
                <w:b/>
                <w:noProof/>
                <w:sz w:val="22"/>
                <w:szCs w:val="22"/>
              </w:rPr>
              <w:t>311</w:t>
            </w:r>
            <w:r w:rsidR="001E1112" w:rsidRPr="00317ABF">
              <w:rPr>
                <w:b/>
                <w:noProof/>
                <w:sz w:val="22"/>
                <w:szCs w:val="22"/>
              </w:rPr>
              <w:t>,</w:t>
            </w:r>
          </w:p>
          <w:p w14:paraId="4A1844CB" w14:textId="24F48B86" w:rsidR="001E1112" w:rsidRPr="00317ABF" w:rsidRDefault="00BB4972" w:rsidP="00DB3BEC">
            <w:pPr>
              <w:pStyle w:val="Tekstpodstawowy"/>
              <w:rPr>
                <w:b/>
                <w:noProof/>
                <w:sz w:val="22"/>
                <w:szCs w:val="22"/>
              </w:rPr>
            </w:pPr>
            <w:r w:rsidRPr="00317ABF">
              <w:rPr>
                <w:b/>
                <w:noProof/>
                <w:sz w:val="22"/>
                <w:szCs w:val="22"/>
              </w:rPr>
              <w:t>392</w:t>
            </w:r>
            <w:r w:rsidR="001E1112" w:rsidRPr="00317ABF">
              <w:rPr>
                <w:b/>
                <w:noProof/>
                <w:sz w:val="22"/>
                <w:szCs w:val="22"/>
              </w:rPr>
              <w:t>,</w:t>
            </w:r>
          </w:p>
          <w:p w14:paraId="7E3E758D" w14:textId="54994714" w:rsidR="001E1112" w:rsidRPr="00317ABF" w:rsidRDefault="001E1112" w:rsidP="00DB3BEC">
            <w:pPr>
              <w:pStyle w:val="Tekstpodstawowy"/>
              <w:rPr>
                <w:b/>
                <w:noProof/>
                <w:sz w:val="22"/>
                <w:szCs w:val="22"/>
              </w:rPr>
            </w:pPr>
          </w:p>
        </w:tc>
        <w:tc>
          <w:tcPr>
            <w:tcW w:w="6814" w:type="dxa"/>
            <w:gridSpan w:val="2"/>
          </w:tcPr>
          <w:p w14:paraId="3786A56A" w14:textId="4AD2613B" w:rsidR="001E1112" w:rsidRPr="00317ABF" w:rsidRDefault="001E1112" w:rsidP="00DB3BEC">
            <w:pPr>
              <w:jc w:val="both"/>
              <w:rPr>
                <w:sz w:val="22"/>
                <w:szCs w:val="22"/>
              </w:rPr>
            </w:pPr>
            <w:r w:rsidRPr="00317ABF">
              <w:rPr>
                <w:sz w:val="22"/>
                <w:szCs w:val="22"/>
              </w:rPr>
              <w:t>Treść artykułów przy załączniku VI</w:t>
            </w:r>
          </w:p>
        </w:tc>
      </w:tr>
      <w:tr w:rsidR="001E1112" w:rsidRPr="00317ABF" w14:paraId="27A593C5" w14:textId="77777777" w:rsidTr="7753F98D">
        <w:trPr>
          <w:gridAfter w:val="2"/>
          <w:wAfter w:w="175" w:type="dxa"/>
        </w:trPr>
        <w:tc>
          <w:tcPr>
            <w:tcW w:w="704" w:type="dxa"/>
          </w:tcPr>
          <w:p w14:paraId="52C58161" w14:textId="77777777" w:rsidR="001E1112" w:rsidRPr="00317ABF" w:rsidRDefault="001E1112" w:rsidP="00DB3BEC">
            <w:pPr>
              <w:jc w:val="both"/>
              <w:rPr>
                <w:sz w:val="22"/>
                <w:szCs w:val="22"/>
              </w:rPr>
            </w:pPr>
            <w:r w:rsidRPr="00317ABF">
              <w:rPr>
                <w:sz w:val="22"/>
                <w:szCs w:val="22"/>
              </w:rPr>
              <w:t>Art. 115 ust. 2</w:t>
            </w:r>
          </w:p>
        </w:tc>
        <w:tc>
          <w:tcPr>
            <w:tcW w:w="4308" w:type="dxa"/>
          </w:tcPr>
          <w:p w14:paraId="761975D0" w14:textId="23F8E247" w:rsidR="001E1112" w:rsidRPr="00317ABF" w:rsidRDefault="001E1112" w:rsidP="00DB3BEC">
            <w:pPr>
              <w:spacing w:before="120"/>
              <w:jc w:val="both"/>
              <w:rPr>
                <w:sz w:val="22"/>
                <w:szCs w:val="22"/>
              </w:rPr>
            </w:pPr>
            <w:r w:rsidRPr="00317ABF">
              <w:rPr>
                <w:sz w:val="22"/>
                <w:szCs w:val="22"/>
              </w:rPr>
              <w:t>2.   W celu zapewnienia wyższego poziomu ochrony konsumenta państwa członkowskie mogą rozszerzyć wykaz dodat</w:t>
            </w:r>
            <w:r w:rsidR="002F23F6" w:rsidRPr="00317ABF">
              <w:rPr>
                <w:sz w:val="22"/>
                <w:szCs w:val="22"/>
              </w:rPr>
              <w:t xml:space="preserve">kowych usług zawarty w </w:t>
            </w:r>
            <w:r w:rsidRPr="00317ABF">
              <w:rPr>
                <w:sz w:val="22"/>
                <w:szCs w:val="22"/>
              </w:rPr>
              <w:t>załączniku VI części A i B w związku z ust. 1.</w:t>
            </w:r>
          </w:p>
        </w:tc>
        <w:tc>
          <w:tcPr>
            <w:tcW w:w="986" w:type="dxa"/>
          </w:tcPr>
          <w:p w14:paraId="3087506E" w14:textId="123CB01D" w:rsidR="001E1112" w:rsidRPr="00317ABF" w:rsidRDefault="001E1112" w:rsidP="00DB3BEC">
            <w:pPr>
              <w:jc w:val="both"/>
              <w:rPr>
                <w:sz w:val="22"/>
                <w:szCs w:val="22"/>
              </w:rPr>
            </w:pPr>
            <w:r w:rsidRPr="00317ABF">
              <w:rPr>
                <w:sz w:val="22"/>
                <w:szCs w:val="22"/>
              </w:rPr>
              <w:t>N</w:t>
            </w:r>
          </w:p>
        </w:tc>
        <w:tc>
          <w:tcPr>
            <w:tcW w:w="910" w:type="dxa"/>
          </w:tcPr>
          <w:p w14:paraId="4F8F558A" w14:textId="77777777" w:rsidR="001E1112" w:rsidRPr="00317ABF" w:rsidRDefault="001E1112" w:rsidP="00DB3BEC">
            <w:pPr>
              <w:pStyle w:val="Tekstpodstawowy"/>
              <w:rPr>
                <w:b/>
                <w:noProof/>
                <w:sz w:val="22"/>
                <w:szCs w:val="22"/>
              </w:rPr>
            </w:pPr>
          </w:p>
        </w:tc>
        <w:tc>
          <w:tcPr>
            <w:tcW w:w="6814" w:type="dxa"/>
            <w:gridSpan w:val="2"/>
          </w:tcPr>
          <w:p w14:paraId="195A6791" w14:textId="77777777" w:rsidR="001E1112" w:rsidRPr="00317ABF" w:rsidRDefault="001E1112" w:rsidP="00DB3BEC">
            <w:pPr>
              <w:pStyle w:val="Tekstpodstawowy"/>
              <w:rPr>
                <w:sz w:val="22"/>
                <w:szCs w:val="22"/>
              </w:rPr>
            </w:pPr>
          </w:p>
        </w:tc>
      </w:tr>
      <w:tr w:rsidR="001E1112" w:rsidRPr="00317ABF" w14:paraId="7061C3A6" w14:textId="77777777" w:rsidTr="7753F98D">
        <w:trPr>
          <w:gridAfter w:val="2"/>
          <w:wAfter w:w="175" w:type="dxa"/>
        </w:trPr>
        <w:tc>
          <w:tcPr>
            <w:tcW w:w="704" w:type="dxa"/>
          </w:tcPr>
          <w:p w14:paraId="408EFA51" w14:textId="77777777" w:rsidR="001E1112" w:rsidRPr="00317ABF" w:rsidRDefault="001E1112" w:rsidP="00DB3BEC">
            <w:pPr>
              <w:jc w:val="both"/>
              <w:rPr>
                <w:sz w:val="22"/>
                <w:szCs w:val="22"/>
              </w:rPr>
            </w:pPr>
            <w:r w:rsidRPr="00317ABF">
              <w:rPr>
                <w:sz w:val="22"/>
                <w:szCs w:val="22"/>
              </w:rPr>
              <w:t>Art. 115 ust. 3</w:t>
            </w:r>
          </w:p>
        </w:tc>
        <w:tc>
          <w:tcPr>
            <w:tcW w:w="4308" w:type="dxa"/>
          </w:tcPr>
          <w:p w14:paraId="3176F385" w14:textId="77777777" w:rsidR="001E1112" w:rsidRPr="00317ABF" w:rsidRDefault="001E1112" w:rsidP="00DB3BEC">
            <w:pPr>
              <w:spacing w:before="120"/>
              <w:jc w:val="both"/>
              <w:rPr>
                <w:sz w:val="22"/>
                <w:szCs w:val="22"/>
              </w:rPr>
            </w:pPr>
            <w:r w:rsidRPr="00317ABF">
              <w:rPr>
                <w:sz w:val="22"/>
                <w:szCs w:val="22"/>
              </w:rPr>
              <w:t>3.   Państwo członkowskie może podjąć decyzję o odstąpieniu od stosowania ust. 1 na całości lub części swojego terytorium, jeśli uważa, po wzięciu pod uwagę stanowisk zainteresowanych stron, że istnieje wystarczający dostęp do tych dodatkowych usług.</w:t>
            </w:r>
          </w:p>
        </w:tc>
        <w:tc>
          <w:tcPr>
            <w:tcW w:w="986" w:type="dxa"/>
          </w:tcPr>
          <w:p w14:paraId="161DAC7C" w14:textId="54A2A807" w:rsidR="001E1112" w:rsidRPr="00317ABF" w:rsidRDefault="001E1112" w:rsidP="00DB3BEC">
            <w:pPr>
              <w:jc w:val="both"/>
              <w:rPr>
                <w:sz w:val="22"/>
                <w:szCs w:val="22"/>
              </w:rPr>
            </w:pPr>
            <w:r w:rsidRPr="00317ABF">
              <w:rPr>
                <w:sz w:val="22"/>
                <w:szCs w:val="22"/>
              </w:rPr>
              <w:t>N</w:t>
            </w:r>
          </w:p>
        </w:tc>
        <w:tc>
          <w:tcPr>
            <w:tcW w:w="910" w:type="dxa"/>
          </w:tcPr>
          <w:p w14:paraId="1940DFA0" w14:textId="77777777" w:rsidR="001E1112" w:rsidRPr="00317ABF" w:rsidRDefault="001E1112" w:rsidP="00DB3BEC">
            <w:pPr>
              <w:pStyle w:val="Tekstpodstawowy"/>
              <w:rPr>
                <w:b/>
                <w:noProof/>
                <w:sz w:val="22"/>
                <w:szCs w:val="22"/>
              </w:rPr>
            </w:pPr>
          </w:p>
        </w:tc>
        <w:tc>
          <w:tcPr>
            <w:tcW w:w="6814" w:type="dxa"/>
            <w:gridSpan w:val="2"/>
          </w:tcPr>
          <w:p w14:paraId="781D8F56" w14:textId="77777777" w:rsidR="001E1112" w:rsidRPr="00317ABF" w:rsidRDefault="001E1112" w:rsidP="00DB3BEC">
            <w:pPr>
              <w:pStyle w:val="Tekstpodstawowy"/>
              <w:rPr>
                <w:sz w:val="22"/>
                <w:szCs w:val="22"/>
              </w:rPr>
            </w:pPr>
          </w:p>
        </w:tc>
      </w:tr>
      <w:tr w:rsidR="001E1112" w:rsidRPr="00317ABF" w14:paraId="65310E36" w14:textId="77777777" w:rsidTr="7753F98D">
        <w:trPr>
          <w:gridAfter w:val="2"/>
          <w:wAfter w:w="175" w:type="dxa"/>
        </w:trPr>
        <w:tc>
          <w:tcPr>
            <w:tcW w:w="704" w:type="dxa"/>
          </w:tcPr>
          <w:p w14:paraId="6B00AC9F" w14:textId="77777777" w:rsidR="001E1112" w:rsidRPr="00317ABF" w:rsidRDefault="001E1112" w:rsidP="00DB3BEC">
            <w:pPr>
              <w:jc w:val="both"/>
              <w:rPr>
                <w:b/>
                <w:sz w:val="22"/>
                <w:szCs w:val="22"/>
              </w:rPr>
            </w:pPr>
            <w:r w:rsidRPr="00317ABF">
              <w:rPr>
                <w:b/>
                <w:sz w:val="22"/>
                <w:szCs w:val="22"/>
              </w:rPr>
              <w:t>Art. 116</w:t>
            </w:r>
          </w:p>
        </w:tc>
        <w:tc>
          <w:tcPr>
            <w:tcW w:w="4308" w:type="dxa"/>
          </w:tcPr>
          <w:p w14:paraId="43D33486" w14:textId="77777777" w:rsidR="001E1112" w:rsidRPr="00317ABF" w:rsidRDefault="001E1112" w:rsidP="00DB3BEC">
            <w:pPr>
              <w:spacing w:before="60" w:after="120"/>
              <w:jc w:val="both"/>
              <w:rPr>
                <w:b/>
                <w:bCs/>
                <w:sz w:val="22"/>
                <w:szCs w:val="22"/>
              </w:rPr>
            </w:pPr>
            <w:r w:rsidRPr="00317ABF">
              <w:rPr>
                <w:b/>
                <w:bCs/>
                <w:sz w:val="22"/>
                <w:szCs w:val="22"/>
              </w:rPr>
              <w:t>Dostosowanie załączników</w:t>
            </w:r>
          </w:p>
          <w:p w14:paraId="2B822013" w14:textId="77777777" w:rsidR="001E1112" w:rsidRPr="00317ABF" w:rsidRDefault="001E1112" w:rsidP="00DB3BEC">
            <w:pPr>
              <w:spacing w:before="120"/>
              <w:jc w:val="both"/>
              <w:rPr>
                <w:sz w:val="22"/>
                <w:szCs w:val="22"/>
              </w:rPr>
            </w:pPr>
            <w:r w:rsidRPr="00317ABF">
              <w:rPr>
                <w:sz w:val="22"/>
                <w:szCs w:val="22"/>
              </w:rPr>
              <w:t>Komisja jest uprawniona do przyjęcia aktów delegowanych zgodnie z art. 117 dotyczących zmiany załączników V, VI, IX, X oraz XI, aby uwzględnić rozwój technologiczny i społeczny lub zmiany popytu na rynku.</w:t>
            </w:r>
          </w:p>
        </w:tc>
        <w:tc>
          <w:tcPr>
            <w:tcW w:w="986" w:type="dxa"/>
          </w:tcPr>
          <w:p w14:paraId="3FE81597" w14:textId="77777777" w:rsidR="001E1112" w:rsidRPr="00317ABF" w:rsidRDefault="001E1112" w:rsidP="00DB3BEC">
            <w:pPr>
              <w:jc w:val="both"/>
              <w:rPr>
                <w:sz w:val="22"/>
                <w:szCs w:val="22"/>
              </w:rPr>
            </w:pPr>
            <w:r w:rsidRPr="00317ABF">
              <w:rPr>
                <w:sz w:val="22"/>
                <w:szCs w:val="22"/>
              </w:rPr>
              <w:t>N</w:t>
            </w:r>
          </w:p>
        </w:tc>
        <w:tc>
          <w:tcPr>
            <w:tcW w:w="910" w:type="dxa"/>
          </w:tcPr>
          <w:p w14:paraId="79641153" w14:textId="77777777" w:rsidR="001E1112" w:rsidRPr="00317ABF" w:rsidRDefault="001E1112" w:rsidP="00DB3BEC">
            <w:pPr>
              <w:pStyle w:val="Tekstpodstawowy"/>
              <w:rPr>
                <w:b/>
                <w:noProof/>
                <w:sz w:val="22"/>
                <w:szCs w:val="22"/>
              </w:rPr>
            </w:pPr>
          </w:p>
        </w:tc>
        <w:tc>
          <w:tcPr>
            <w:tcW w:w="6814" w:type="dxa"/>
            <w:gridSpan w:val="2"/>
          </w:tcPr>
          <w:p w14:paraId="0C52309A" w14:textId="77777777" w:rsidR="001E1112" w:rsidRPr="00317ABF" w:rsidRDefault="001E1112" w:rsidP="00DB3BEC">
            <w:pPr>
              <w:pStyle w:val="Tekstpodstawowy"/>
              <w:rPr>
                <w:sz w:val="22"/>
                <w:szCs w:val="22"/>
              </w:rPr>
            </w:pPr>
          </w:p>
        </w:tc>
      </w:tr>
      <w:tr w:rsidR="001E1112" w:rsidRPr="00317ABF" w14:paraId="79DBE876" w14:textId="77777777" w:rsidTr="7753F98D">
        <w:trPr>
          <w:gridAfter w:val="2"/>
          <w:wAfter w:w="175" w:type="dxa"/>
        </w:trPr>
        <w:tc>
          <w:tcPr>
            <w:tcW w:w="704" w:type="dxa"/>
          </w:tcPr>
          <w:p w14:paraId="169C706E" w14:textId="77777777" w:rsidR="001E1112" w:rsidRPr="00317ABF" w:rsidRDefault="001E1112" w:rsidP="00DB3BEC">
            <w:pPr>
              <w:jc w:val="both"/>
              <w:rPr>
                <w:b/>
                <w:sz w:val="22"/>
                <w:szCs w:val="22"/>
              </w:rPr>
            </w:pPr>
            <w:r w:rsidRPr="00317ABF">
              <w:rPr>
                <w:b/>
                <w:sz w:val="22"/>
                <w:szCs w:val="22"/>
              </w:rPr>
              <w:t>Art. 117</w:t>
            </w:r>
          </w:p>
        </w:tc>
        <w:tc>
          <w:tcPr>
            <w:tcW w:w="4308" w:type="dxa"/>
          </w:tcPr>
          <w:p w14:paraId="51C67121" w14:textId="77777777" w:rsidR="001E1112" w:rsidRPr="00317ABF" w:rsidRDefault="001E1112" w:rsidP="00DB3BEC">
            <w:pPr>
              <w:spacing w:before="120"/>
              <w:jc w:val="both"/>
              <w:rPr>
                <w:sz w:val="22"/>
                <w:szCs w:val="22"/>
              </w:rPr>
            </w:pPr>
            <w:r w:rsidRPr="00317ABF">
              <w:rPr>
                <w:b/>
                <w:bCs/>
                <w:sz w:val="22"/>
                <w:szCs w:val="22"/>
              </w:rPr>
              <w:t>Wykonywanie przekazanych uprawnień</w:t>
            </w:r>
          </w:p>
        </w:tc>
        <w:tc>
          <w:tcPr>
            <w:tcW w:w="986" w:type="dxa"/>
          </w:tcPr>
          <w:p w14:paraId="5AE72330" w14:textId="77777777" w:rsidR="001E1112" w:rsidRPr="00317ABF" w:rsidRDefault="001E1112" w:rsidP="00DB3BEC">
            <w:pPr>
              <w:jc w:val="both"/>
              <w:rPr>
                <w:sz w:val="22"/>
                <w:szCs w:val="22"/>
              </w:rPr>
            </w:pPr>
          </w:p>
        </w:tc>
        <w:tc>
          <w:tcPr>
            <w:tcW w:w="910" w:type="dxa"/>
          </w:tcPr>
          <w:p w14:paraId="70E89BAA" w14:textId="77777777" w:rsidR="001E1112" w:rsidRPr="00317ABF" w:rsidRDefault="001E1112" w:rsidP="00DB3BEC">
            <w:pPr>
              <w:pStyle w:val="Tekstpodstawowy"/>
              <w:rPr>
                <w:b/>
                <w:noProof/>
                <w:sz w:val="22"/>
                <w:szCs w:val="22"/>
              </w:rPr>
            </w:pPr>
          </w:p>
        </w:tc>
        <w:tc>
          <w:tcPr>
            <w:tcW w:w="6814" w:type="dxa"/>
            <w:gridSpan w:val="2"/>
          </w:tcPr>
          <w:p w14:paraId="0EC5C7D4" w14:textId="77777777" w:rsidR="001E1112" w:rsidRPr="00317ABF" w:rsidRDefault="001E1112" w:rsidP="00DB3BEC">
            <w:pPr>
              <w:pStyle w:val="Tekstpodstawowy"/>
              <w:rPr>
                <w:sz w:val="22"/>
                <w:szCs w:val="22"/>
              </w:rPr>
            </w:pPr>
          </w:p>
        </w:tc>
      </w:tr>
      <w:tr w:rsidR="001E1112" w:rsidRPr="00317ABF" w14:paraId="20AF84C2" w14:textId="77777777" w:rsidTr="7753F98D">
        <w:trPr>
          <w:gridAfter w:val="2"/>
          <w:wAfter w:w="175" w:type="dxa"/>
        </w:trPr>
        <w:tc>
          <w:tcPr>
            <w:tcW w:w="704" w:type="dxa"/>
          </w:tcPr>
          <w:p w14:paraId="253D7152" w14:textId="77777777" w:rsidR="001E1112" w:rsidRPr="00317ABF" w:rsidRDefault="001E1112" w:rsidP="00DB3BEC">
            <w:pPr>
              <w:jc w:val="both"/>
              <w:rPr>
                <w:sz w:val="22"/>
                <w:szCs w:val="22"/>
              </w:rPr>
            </w:pPr>
            <w:r w:rsidRPr="00317ABF">
              <w:rPr>
                <w:sz w:val="22"/>
                <w:szCs w:val="22"/>
              </w:rPr>
              <w:t>Art. 117 ust. 1</w:t>
            </w:r>
          </w:p>
        </w:tc>
        <w:tc>
          <w:tcPr>
            <w:tcW w:w="4308" w:type="dxa"/>
          </w:tcPr>
          <w:p w14:paraId="61072367" w14:textId="77777777" w:rsidR="001E1112" w:rsidRPr="00317ABF" w:rsidRDefault="001E1112" w:rsidP="00DB3BEC">
            <w:pPr>
              <w:spacing w:before="120"/>
              <w:jc w:val="both"/>
              <w:rPr>
                <w:sz w:val="22"/>
                <w:szCs w:val="22"/>
              </w:rPr>
            </w:pPr>
            <w:r w:rsidRPr="00317ABF">
              <w:rPr>
                <w:sz w:val="22"/>
                <w:szCs w:val="22"/>
              </w:rPr>
              <w:t>1.   Powierzenie Komisji uprawnień do przyjęcia aktów delegowanych podlega warunkom określonym w niniejszym artykule.</w:t>
            </w:r>
          </w:p>
        </w:tc>
        <w:tc>
          <w:tcPr>
            <w:tcW w:w="986" w:type="dxa"/>
          </w:tcPr>
          <w:p w14:paraId="477717CD" w14:textId="77777777" w:rsidR="001E1112" w:rsidRPr="00317ABF" w:rsidRDefault="001E1112" w:rsidP="00DB3BEC">
            <w:pPr>
              <w:jc w:val="both"/>
              <w:rPr>
                <w:sz w:val="22"/>
                <w:szCs w:val="22"/>
              </w:rPr>
            </w:pPr>
            <w:r w:rsidRPr="00317ABF">
              <w:rPr>
                <w:sz w:val="22"/>
                <w:szCs w:val="22"/>
              </w:rPr>
              <w:t>N</w:t>
            </w:r>
          </w:p>
        </w:tc>
        <w:tc>
          <w:tcPr>
            <w:tcW w:w="910" w:type="dxa"/>
          </w:tcPr>
          <w:p w14:paraId="06E4C58B" w14:textId="77777777" w:rsidR="001E1112" w:rsidRPr="00317ABF" w:rsidRDefault="001E1112" w:rsidP="00DB3BEC">
            <w:pPr>
              <w:pStyle w:val="Tekstpodstawowy"/>
              <w:rPr>
                <w:b/>
                <w:noProof/>
                <w:sz w:val="22"/>
                <w:szCs w:val="22"/>
              </w:rPr>
            </w:pPr>
          </w:p>
        </w:tc>
        <w:tc>
          <w:tcPr>
            <w:tcW w:w="6814" w:type="dxa"/>
            <w:gridSpan w:val="2"/>
          </w:tcPr>
          <w:p w14:paraId="32925941" w14:textId="77777777" w:rsidR="001E1112" w:rsidRPr="00317ABF" w:rsidRDefault="001E1112" w:rsidP="00DB3BEC">
            <w:pPr>
              <w:pStyle w:val="Tekstpodstawowy"/>
              <w:rPr>
                <w:sz w:val="22"/>
                <w:szCs w:val="22"/>
              </w:rPr>
            </w:pPr>
          </w:p>
        </w:tc>
      </w:tr>
      <w:tr w:rsidR="001E1112" w:rsidRPr="00317ABF" w14:paraId="5FFB88B8" w14:textId="77777777" w:rsidTr="7753F98D">
        <w:trPr>
          <w:gridAfter w:val="2"/>
          <w:wAfter w:w="175" w:type="dxa"/>
        </w:trPr>
        <w:tc>
          <w:tcPr>
            <w:tcW w:w="704" w:type="dxa"/>
          </w:tcPr>
          <w:p w14:paraId="2E2D738A" w14:textId="77777777" w:rsidR="001E1112" w:rsidRPr="00317ABF" w:rsidRDefault="001E1112" w:rsidP="00DB3BEC">
            <w:pPr>
              <w:jc w:val="both"/>
              <w:rPr>
                <w:sz w:val="22"/>
                <w:szCs w:val="22"/>
              </w:rPr>
            </w:pPr>
            <w:r w:rsidRPr="00317ABF">
              <w:rPr>
                <w:sz w:val="22"/>
                <w:szCs w:val="22"/>
              </w:rPr>
              <w:t>Art. 117 ust. 2</w:t>
            </w:r>
          </w:p>
        </w:tc>
        <w:tc>
          <w:tcPr>
            <w:tcW w:w="4308" w:type="dxa"/>
          </w:tcPr>
          <w:p w14:paraId="12F258CD" w14:textId="77777777" w:rsidR="001E1112" w:rsidRPr="00317ABF" w:rsidRDefault="001E1112" w:rsidP="00DB3BEC">
            <w:pPr>
              <w:spacing w:before="120"/>
              <w:jc w:val="both"/>
              <w:rPr>
                <w:sz w:val="22"/>
                <w:szCs w:val="22"/>
              </w:rPr>
            </w:pPr>
            <w:r w:rsidRPr="00317ABF">
              <w:rPr>
                <w:sz w:val="22"/>
                <w:szCs w:val="22"/>
              </w:rPr>
              <w:t>2.   Uprawnienia do przyjęcia aktów delegowanych, o których mowa w art. 75, 109 i 116, powierza się Komisji na pięć lat od dnia 20 grudnia 2018 r. Komisja sporządza sprawozdanie dotyczące przekazania uprawnień nie później niż dziewięć miesięcy przed końcem okresu pięciu lat. Przekazanie uprawnień zostaje automatycznie przedłużone na takie same okresy, chyba że Parlament Europejski lub Rada sprzeciwią się takiemu przedłużeniu nie później niż trzy miesiące przed końcem każdego okresu.</w:t>
            </w:r>
          </w:p>
        </w:tc>
        <w:tc>
          <w:tcPr>
            <w:tcW w:w="986" w:type="dxa"/>
          </w:tcPr>
          <w:p w14:paraId="10C809F6" w14:textId="77777777" w:rsidR="001E1112" w:rsidRPr="00317ABF" w:rsidRDefault="001E1112" w:rsidP="00DB3BEC">
            <w:pPr>
              <w:jc w:val="both"/>
              <w:rPr>
                <w:sz w:val="22"/>
                <w:szCs w:val="22"/>
              </w:rPr>
            </w:pPr>
            <w:r w:rsidRPr="00317ABF">
              <w:rPr>
                <w:sz w:val="22"/>
                <w:szCs w:val="22"/>
              </w:rPr>
              <w:t>N</w:t>
            </w:r>
          </w:p>
        </w:tc>
        <w:tc>
          <w:tcPr>
            <w:tcW w:w="910" w:type="dxa"/>
          </w:tcPr>
          <w:p w14:paraId="552BB431" w14:textId="77777777" w:rsidR="001E1112" w:rsidRPr="00317ABF" w:rsidRDefault="001E1112" w:rsidP="00DB3BEC">
            <w:pPr>
              <w:pStyle w:val="Tekstpodstawowy"/>
              <w:rPr>
                <w:b/>
                <w:noProof/>
                <w:sz w:val="22"/>
                <w:szCs w:val="22"/>
              </w:rPr>
            </w:pPr>
          </w:p>
        </w:tc>
        <w:tc>
          <w:tcPr>
            <w:tcW w:w="6814" w:type="dxa"/>
            <w:gridSpan w:val="2"/>
          </w:tcPr>
          <w:p w14:paraId="2554E76F" w14:textId="77777777" w:rsidR="001E1112" w:rsidRPr="00317ABF" w:rsidRDefault="001E1112" w:rsidP="00DB3BEC">
            <w:pPr>
              <w:pStyle w:val="Tekstpodstawowy"/>
              <w:rPr>
                <w:sz w:val="22"/>
                <w:szCs w:val="22"/>
              </w:rPr>
            </w:pPr>
          </w:p>
        </w:tc>
      </w:tr>
      <w:tr w:rsidR="001E1112" w:rsidRPr="00317ABF" w14:paraId="6C8F1022" w14:textId="77777777" w:rsidTr="7753F98D">
        <w:trPr>
          <w:gridAfter w:val="2"/>
          <w:wAfter w:w="175" w:type="dxa"/>
        </w:trPr>
        <w:tc>
          <w:tcPr>
            <w:tcW w:w="704" w:type="dxa"/>
          </w:tcPr>
          <w:p w14:paraId="6B8D9424" w14:textId="77777777" w:rsidR="001E1112" w:rsidRPr="00317ABF" w:rsidRDefault="001E1112" w:rsidP="00DB3BEC">
            <w:pPr>
              <w:jc w:val="both"/>
              <w:rPr>
                <w:sz w:val="22"/>
                <w:szCs w:val="22"/>
              </w:rPr>
            </w:pPr>
            <w:r w:rsidRPr="00317ABF">
              <w:rPr>
                <w:sz w:val="22"/>
                <w:szCs w:val="22"/>
              </w:rPr>
              <w:t>Art. 117 ust. 3</w:t>
            </w:r>
          </w:p>
        </w:tc>
        <w:tc>
          <w:tcPr>
            <w:tcW w:w="4308" w:type="dxa"/>
          </w:tcPr>
          <w:p w14:paraId="6C96D182" w14:textId="77777777" w:rsidR="001E1112" w:rsidRPr="00317ABF" w:rsidRDefault="001E1112" w:rsidP="00DB3BEC">
            <w:pPr>
              <w:spacing w:before="120"/>
              <w:jc w:val="both"/>
              <w:rPr>
                <w:sz w:val="22"/>
                <w:szCs w:val="22"/>
              </w:rPr>
            </w:pPr>
            <w:r w:rsidRPr="00317ABF">
              <w:rPr>
                <w:sz w:val="22"/>
                <w:szCs w:val="22"/>
              </w:rPr>
              <w:t>3.   Przekazanie uprawnień, o którym mowa w art. 75, 109 i 116, może zostać w dowolnym momencie odwołane przez Parlament Europejski lub przez Radę. Decyzja o odwołaniu kończy przekazanie określonych w niej uprawnień. Decyzja o odwołaniu staje się skuteczna od następnego dnia po jej opublikowaniu w Dzienniku Urzędowym Unii Europejskiej lub w określonym w tej decyzji późniejszym terminie. Nie wpływa ona na ważność jakichkolwiek już obowiązujących aktów delegowanych.</w:t>
            </w:r>
          </w:p>
        </w:tc>
        <w:tc>
          <w:tcPr>
            <w:tcW w:w="986" w:type="dxa"/>
          </w:tcPr>
          <w:p w14:paraId="5E0144E4" w14:textId="77777777" w:rsidR="001E1112" w:rsidRPr="00317ABF" w:rsidRDefault="001E1112" w:rsidP="00DB3BEC">
            <w:pPr>
              <w:jc w:val="both"/>
              <w:rPr>
                <w:sz w:val="22"/>
                <w:szCs w:val="22"/>
              </w:rPr>
            </w:pPr>
            <w:r w:rsidRPr="00317ABF">
              <w:rPr>
                <w:sz w:val="22"/>
                <w:szCs w:val="22"/>
              </w:rPr>
              <w:t>N</w:t>
            </w:r>
          </w:p>
        </w:tc>
        <w:tc>
          <w:tcPr>
            <w:tcW w:w="910" w:type="dxa"/>
          </w:tcPr>
          <w:p w14:paraId="089D19A0" w14:textId="77777777" w:rsidR="001E1112" w:rsidRPr="00317ABF" w:rsidRDefault="001E1112" w:rsidP="00DB3BEC">
            <w:pPr>
              <w:pStyle w:val="Tekstpodstawowy"/>
              <w:rPr>
                <w:b/>
                <w:noProof/>
                <w:sz w:val="22"/>
                <w:szCs w:val="22"/>
              </w:rPr>
            </w:pPr>
          </w:p>
        </w:tc>
        <w:tc>
          <w:tcPr>
            <w:tcW w:w="6814" w:type="dxa"/>
            <w:gridSpan w:val="2"/>
          </w:tcPr>
          <w:p w14:paraId="67FA0F78" w14:textId="77777777" w:rsidR="001E1112" w:rsidRPr="00317ABF" w:rsidRDefault="001E1112" w:rsidP="00DB3BEC">
            <w:pPr>
              <w:pStyle w:val="Tekstpodstawowy"/>
              <w:rPr>
                <w:sz w:val="22"/>
                <w:szCs w:val="22"/>
              </w:rPr>
            </w:pPr>
          </w:p>
        </w:tc>
      </w:tr>
      <w:tr w:rsidR="001E1112" w:rsidRPr="00317ABF" w14:paraId="20BA2D0E" w14:textId="77777777" w:rsidTr="7753F98D">
        <w:trPr>
          <w:gridAfter w:val="2"/>
          <w:wAfter w:w="175" w:type="dxa"/>
        </w:trPr>
        <w:tc>
          <w:tcPr>
            <w:tcW w:w="704" w:type="dxa"/>
          </w:tcPr>
          <w:p w14:paraId="0E36FE10" w14:textId="77777777" w:rsidR="001E1112" w:rsidRPr="00317ABF" w:rsidRDefault="001E1112" w:rsidP="00DB3BEC">
            <w:pPr>
              <w:jc w:val="both"/>
              <w:rPr>
                <w:sz w:val="22"/>
                <w:szCs w:val="22"/>
              </w:rPr>
            </w:pPr>
            <w:r w:rsidRPr="00317ABF">
              <w:rPr>
                <w:sz w:val="22"/>
                <w:szCs w:val="22"/>
              </w:rPr>
              <w:t>Art. 117 ust. 4</w:t>
            </w:r>
          </w:p>
        </w:tc>
        <w:tc>
          <w:tcPr>
            <w:tcW w:w="4308" w:type="dxa"/>
          </w:tcPr>
          <w:p w14:paraId="7B28F625" w14:textId="77777777" w:rsidR="001E1112" w:rsidRPr="00317ABF" w:rsidRDefault="001E1112" w:rsidP="00DB3BEC">
            <w:pPr>
              <w:spacing w:before="120"/>
              <w:jc w:val="both"/>
              <w:rPr>
                <w:sz w:val="22"/>
                <w:szCs w:val="22"/>
              </w:rPr>
            </w:pPr>
            <w:r w:rsidRPr="00317ABF">
              <w:rPr>
                <w:sz w:val="22"/>
                <w:szCs w:val="22"/>
              </w:rPr>
              <w:t>4.   Przed przyjęciem aktu delegowanego Komisja konsultuje się z ekspertami wyznaczonymi przez wszystkie państwa członkowskie zgodnie z zasadami określonymi w Porozumieniu międzyinstytucjonalnym z dnia 13 kwietnia 2016 r. w sprawie lepszego stanowienia prawa.</w:t>
            </w:r>
          </w:p>
        </w:tc>
        <w:tc>
          <w:tcPr>
            <w:tcW w:w="986" w:type="dxa"/>
          </w:tcPr>
          <w:p w14:paraId="1D604441" w14:textId="77777777" w:rsidR="001E1112" w:rsidRPr="00317ABF" w:rsidRDefault="001E1112" w:rsidP="00DB3BEC">
            <w:pPr>
              <w:jc w:val="both"/>
              <w:rPr>
                <w:sz w:val="22"/>
                <w:szCs w:val="22"/>
              </w:rPr>
            </w:pPr>
            <w:r w:rsidRPr="00317ABF">
              <w:rPr>
                <w:sz w:val="22"/>
                <w:szCs w:val="22"/>
              </w:rPr>
              <w:t>N</w:t>
            </w:r>
          </w:p>
        </w:tc>
        <w:tc>
          <w:tcPr>
            <w:tcW w:w="910" w:type="dxa"/>
          </w:tcPr>
          <w:p w14:paraId="0FA49C94" w14:textId="77777777" w:rsidR="001E1112" w:rsidRPr="00317ABF" w:rsidRDefault="001E1112" w:rsidP="00DB3BEC">
            <w:pPr>
              <w:pStyle w:val="Tekstpodstawowy"/>
              <w:rPr>
                <w:b/>
                <w:noProof/>
                <w:sz w:val="22"/>
                <w:szCs w:val="22"/>
              </w:rPr>
            </w:pPr>
          </w:p>
        </w:tc>
        <w:tc>
          <w:tcPr>
            <w:tcW w:w="6814" w:type="dxa"/>
            <w:gridSpan w:val="2"/>
          </w:tcPr>
          <w:p w14:paraId="77E53291" w14:textId="77777777" w:rsidR="001E1112" w:rsidRPr="00317ABF" w:rsidRDefault="001E1112" w:rsidP="00DB3BEC">
            <w:pPr>
              <w:pStyle w:val="Tekstpodstawowy"/>
              <w:rPr>
                <w:sz w:val="22"/>
                <w:szCs w:val="22"/>
              </w:rPr>
            </w:pPr>
          </w:p>
        </w:tc>
      </w:tr>
      <w:tr w:rsidR="001E1112" w:rsidRPr="00317ABF" w14:paraId="0289F2E3" w14:textId="77777777" w:rsidTr="7753F98D">
        <w:trPr>
          <w:gridAfter w:val="2"/>
          <w:wAfter w:w="175" w:type="dxa"/>
        </w:trPr>
        <w:tc>
          <w:tcPr>
            <w:tcW w:w="704" w:type="dxa"/>
          </w:tcPr>
          <w:p w14:paraId="441B5602" w14:textId="77777777" w:rsidR="001E1112" w:rsidRPr="00317ABF" w:rsidRDefault="001E1112" w:rsidP="00DB3BEC">
            <w:pPr>
              <w:jc w:val="both"/>
              <w:rPr>
                <w:sz w:val="22"/>
                <w:szCs w:val="22"/>
              </w:rPr>
            </w:pPr>
            <w:r w:rsidRPr="00317ABF">
              <w:rPr>
                <w:sz w:val="22"/>
                <w:szCs w:val="22"/>
              </w:rPr>
              <w:t>Art. 117 ust. 5</w:t>
            </w:r>
          </w:p>
        </w:tc>
        <w:tc>
          <w:tcPr>
            <w:tcW w:w="4308" w:type="dxa"/>
          </w:tcPr>
          <w:p w14:paraId="00AC0557" w14:textId="77777777" w:rsidR="001E1112" w:rsidRPr="00317ABF" w:rsidRDefault="001E1112" w:rsidP="00DB3BEC">
            <w:pPr>
              <w:spacing w:before="120"/>
              <w:jc w:val="both"/>
              <w:rPr>
                <w:sz w:val="22"/>
                <w:szCs w:val="22"/>
              </w:rPr>
            </w:pPr>
            <w:r w:rsidRPr="00317ABF">
              <w:rPr>
                <w:sz w:val="22"/>
                <w:szCs w:val="22"/>
              </w:rPr>
              <w:t>5.   Niezwłocznie po przyjęciu aktu delegowanego Komisja przekazuje go równocześnie Parlamentowi Europejskiemu i Radzie.</w:t>
            </w:r>
          </w:p>
        </w:tc>
        <w:tc>
          <w:tcPr>
            <w:tcW w:w="986" w:type="dxa"/>
          </w:tcPr>
          <w:p w14:paraId="4AAD8633" w14:textId="77777777" w:rsidR="001E1112" w:rsidRPr="00317ABF" w:rsidRDefault="001E1112" w:rsidP="00DB3BEC">
            <w:pPr>
              <w:jc w:val="both"/>
              <w:rPr>
                <w:sz w:val="22"/>
                <w:szCs w:val="22"/>
              </w:rPr>
            </w:pPr>
            <w:r w:rsidRPr="00317ABF">
              <w:rPr>
                <w:sz w:val="22"/>
                <w:szCs w:val="22"/>
              </w:rPr>
              <w:t>N</w:t>
            </w:r>
          </w:p>
        </w:tc>
        <w:tc>
          <w:tcPr>
            <w:tcW w:w="910" w:type="dxa"/>
          </w:tcPr>
          <w:p w14:paraId="10BAD92C" w14:textId="77777777" w:rsidR="001E1112" w:rsidRPr="00317ABF" w:rsidRDefault="001E1112" w:rsidP="00DB3BEC">
            <w:pPr>
              <w:pStyle w:val="Tekstpodstawowy"/>
              <w:rPr>
                <w:b/>
                <w:noProof/>
                <w:sz w:val="22"/>
                <w:szCs w:val="22"/>
              </w:rPr>
            </w:pPr>
          </w:p>
        </w:tc>
        <w:tc>
          <w:tcPr>
            <w:tcW w:w="6814" w:type="dxa"/>
            <w:gridSpan w:val="2"/>
          </w:tcPr>
          <w:p w14:paraId="1B972EC6" w14:textId="77777777" w:rsidR="001E1112" w:rsidRPr="00317ABF" w:rsidRDefault="001E1112" w:rsidP="00DB3BEC">
            <w:pPr>
              <w:pStyle w:val="Tekstpodstawowy"/>
              <w:rPr>
                <w:sz w:val="22"/>
                <w:szCs w:val="22"/>
              </w:rPr>
            </w:pPr>
          </w:p>
        </w:tc>
      </w:tr>
      <w:tr w:rsidR="001E1112" w:rsidRPr="00317ABF" w14:paraId="003EBC29" w14:textId="77777777" w:rsidTr="7753F98D">
        <w:trPr>
          <w:gridAfter w:val="2"/>
          <w:wAfter w:w="175" w:type="dxa"/>
        </w:trPr>
        <w:tc>
          <w:tcPr>
            <w:tcW w:w="704" w:type="dxa"/>
          </w:tcPr>
          <w:p w14:paraId="28270C93" w14:textId="77777777" w:rsidR="001E1112" w:rsidRPr="00317ABF" w:rsidRDefault="001E1112" w:rsidP="00DB3BEC">
            <w:pPr>
              <w:jc w:val="both"/>
              <w:rPr>
                <w:sz w:val="22"/>
                <w:szCs w:val="22"/>
              </w:rPr>
            </w:pPr>
            <w:r w:rsidRPr="00317ABF">
              <w:rPr>
                <w:sz w:val="22"/>
                <w:szCs w:val="22"/>
              </w:rPr>
              <w:t>Art. 117 ust. 6</w:t>
            </w:r>
          </w:p>
        </w:tc>
        <w:tc>
          <w:tcPr>
            <w:tcW w:w="4308" w:type="dxa"/>
          </w:tcPr>
          <w:p w14:paraId="6671F55B" w14:textId="77777777" w:rsidR="001E1112" w:rsidRPr="00317ABF" w:rsidRDefault="001E1112" w:rsidP="00DB3BEC">
            <w:pPr>
              <w:spacing w:before="120"/>
              <w:jc w:val="both"/>
              <w:rPr>
                <w:sz w:val="22"/>
                <w:szCs w:val="22"/>
              </w:rPr>
            </w:pPr>
            <w:r w:rsidRPr="00317ABF">
              <w:rPr>
                <w:sz w:val="22"/>
                <w:szCs w:val="22"/>
              </w:rPr>
              <w:t>6.   Akt delegowany przyjęty na podstawie art. 75, 109 i 116 wchodzi w życie tylko wówczas, gdy Parlament Europejski albo Rada nie wyraziły sprzeciwu w terminie dwóch miesięcy od przekazania tego aktu Parlamentowi Europejskiemu i Radzie, lub gdy, przed upływem tego terminu, zarówno Parlament Europejski, jak i Rada poinformowały Komisję, że nie wniosą sprzeciwu. Termin ten przedłuża się o dwa miesiące z inicjatywy Parlamentu Europejskiego lub Rady.</w:t>
            </w:r>
          </w:p>
        </w:tc>
        <w:tc>
          <w:tcPr>
            <w:tcW w:w="986" w:type="dxa"/>
          </w:tcPr>
          <w:p w14:paraId="5679441B" w14:textId="77777777" w:rsidR="001E1112" w:rsidRPr="00317ABF" w:rsidRDefault="001E1112" w:rsidP="00DB3BEC">
            <w:pPr>
              <w:jc w:val="both"/>
              <w:rPr>
                <w:sz w:val="22"/>
                <w:szCs w:val="22"/>
              </w:rPr>
            </w:pPr>
            <w:r w:rsidRPr="00317ABF">
              <w:rPr>
                <w:sz w:val="22"/>
                <w:szCs w:val="22"/>
              </w:rPr>
              <w:t>N</w:t>
            </w:r>
          </w:p>
        </w:tc>
        <w:tc>
          <w:tcPr>
            <w:tcW w:w="910" w:type="dxa"/>
          </w:tcPr>
          <w:p w14:paraId="68600BFA" w14:textId="77777777" w:rsidR="001E1112" w:rsidRPr="00317ABF" w:rsidRDefault="001E1112" w:rsidP="00DB3BEC">
            <w:pPr>
              <w:pStyle w:val="Tekstpodstawowy"/>
              <w:rPr>
                <w:b/>
                <w:noProof/>
                <w:sz w:val="22"/>
                <w:szCs w:val="22"/>
              </w:rPr>
            </w:pPr>
          </w:p>
        </w:tc>
        <w:tc>
          <w:tcPr>
            <w:tcW w:w="6814" w:type="dxa"/>
            <w:gridSpan w:val="2"/>
          </w:tcPr>
          <w:p w14:paraId="47EA53B7" w14:textId="77777777" w:rsidR="001E1112" w:rsidRPr="00317ABF" w:rsidRDefault="001E1112" w:rsidP="00DB3BEC">
            <w:pPr>
              <w:pStyle w:val="Tekstpodstawowy"/>
              <w:rPr>
                <w:sz w:val="22"/>
                <w:szCs w:val="22"/>
              </w:rPr>
            </w:pPr>
          </w:p>
        </w:tc>
      </w:tr>
      <w:tr w:rsidR="001E1112" w:rsidRPr="00317ABF" w14:paraId="1BF0CAD8" w14:textId="77777777" w:rsidTr="7753F98D">
        <w:trPr>
          <w:gridAfter w:val="2"/>
          <w:wAfter w:w="175" w:type="dxa"/>
        </w:trPr>
        <w:tc>
          <w:tcPr>
            <w:tcW w:w="704" w:type="dxa"/>
          </w:tcPr>
          <w:p w14:paraId="59405F7C" w14:textId="77777777" w:rsidR="001E1112" w:rsidRPr="00317ABF" w:rsidRDefault="001E1112" w:rsidP="00DB3BEC">
            <w:pPr>
              <w:jc w:val="both"/>
              <w:rPr>
                <w:b/>
                <w:sz w:val="22"/>
                <w:szCs w:val="22"/>
              </w:rPr>
            </w:pPr>
            <w:r w:rsidRPr="00317ABF">
              <w:rPr>
                <w:b/>
                <w:sz w:val="22"/>
                <w:szCs w:val="22"/>
              </w:rPr>
              <w:t>Art. 118</w:t>
            </w:r>
          </w:p>
        </w:tc>
        <w:tc>
          <w:tcPr>
            <w:tcW w:w="4308" w:type="dxa"/>
          </w:tcPr>
          <w:p w14:paraId="1FCE7D54" w14:textId="77777777" w:rsidR="001E1112" w:rsidRPr="00317ABF" w:rsidRDefault="001E1112" w:rsidP="00DB3BEC">
            <w:pPr>
              <w:spacing w:before="120"/>
              <w:jc w:val="both"/>
              <w:rPr>
                <w:sz w:val="22"/>
                <w:szCs w:val="22"/>
              </w:rPr>
            </w:pPr>
            <w:r w:rsidRPr="00317ABF">
              <w:rPr>
                <w:b/>
                <w:bCs/>
                <w:sz w:val="22"/>
                <w:szCs w:val="22"/>
              </w:rPr>
              <w:t>Komitet</w:t>
            </w:r>
          </w:p>
        </w:tc>
        <w:tc>
          <w:tcPr>
            <w:tcW w:w="986" w:type="dxa"/>
          </w:tcPr>
          <w:p w14:paraId="4941EADF" w14:textId="77777777" w:rsidR="001E1112" w:rsidRPr="00317ABF" w:rsidRDefault="001E1112" w:rsidP="00DB3BEC">
            <w:pPr>
              <w:jc w:val="both"/>
              <w:rPr>
                <w:sz w:val="22"/>
                <w:szCs w:val="22"/>
              </w:rPr>
            </w:pPr>
          </w:p>
        </w:tc>
        <w:tc>
          <w:tcPr>
            <w:tcW w:w="910" w:type="dxa"/>
          </w:tcPr>
          <w:p w14:paraId="4A583890" w14:textId="77777777" w:rsidR="001E1112" w:rsidRPr="00317ABF" w:rsidRDefault="001E1112" w:rsidP="00DB3BEC">
            <w:pPr>
              <w:pStyle w:val="Tekstpodstawowy"/>
              <w:rPr>
                <w:b/>
                <w:noProof/>
                <w:sz w:val="22"/>
                <w:szCs w:val="22"/>
              </w:rPr>
            </w:pPr>
          </w:p>
        </w:tc>
        <w:tc>
          <w:tcPr>
            <w:tcW w:w="6814" w:type="dxa"/>
            <w:gridSpan w:val="2"/>
          </w:tcPr>
          <w:p w14:paraId="0E057695" w14:textId="77777777" w:rsidR="001E1112" w:rsidRPr="00317ABF" w:rsidRDefault="001E1112" w:rsidP="00DB3BEC">
            <w:pPr>
              <w:pStyle w:val="Tekstpodstawowy"/>
              <w:rPr>
                <w:sz w:val="22"/>
                <w:szCs w:val="22"/>
              </w:rPr>
            </w:pPr>
          </w:p>
        </w:tc>
      </w:tr>
      <w:tr w:rsidR="001E1112" w:rsidRPr="00317ABF" w14:paraId="06690F1F" w14:textId="77777777" w:rsidTr="7753F98D">
        <w:trPr>
          <w:gridAfter w:val="2"/>
          <w:wAfter w:w="175" w:type="dxa"/>
        </w:trPr>
        <w:tc>
          <w:tcPr>
            <w:tcW w:w="704" w:type="dxa"/>
          </w:tcPr>
          <w:p w14:paraId="41622260" w14:textId="77777777" w:rsidR="001E1112" w:rsidRPr="00317ABF" w:rsidRDefault="001E1112" w:rsidP="00DB3BEC">
            <w:pPr>
              <w:jc w:val="both"/>
              <w:rPr>
                <w:sz w:val="22"/>
                <w:szCs w:val="22"/>
              </w:rPr>
            </w:pPr>
            <w:r w:rsidRPr="00317ABF">
              <w:rPr>
                <w:sz w:val="22"/>
                <w:szCs w:val="22"/>
              </w:rPr>
              <w:t>Art. 118 ust. 1</w:t>
            </w:r>
          </w:p>
        </w:tc>
        <w:tc>
          <w:tcPr>
            <w:tcW w:w="4308" w:type="dxa"/>
          </w:tcPr>
          <w:p w14:paraId="3318B722" w14:textId="77777777" w:rsidR="001E1112" w:rsidRPr="00317ABF" w:rsidRDefault="001E1112" w:rsidP="00DB3BEC">
            <w:pPr>
              <w:spacing w:before="120"/>
              <w:jc w:val="both"/>
              <w:rPr>
                <w:sz w:val="22"/>
                <w:szCs w:val="22"/>
              </w:rPr>
            </w:pPr>
            <w:r w:rsidRPr="00317ABF">
              <w:rPr>
                <w:sz w:val="22"/>
                <w:szCs w:val="22"/>
              </w:rPr>
              <w:t>1.   Komisję wspomaga komitet („Komitet ds. Łączności”). Komitet ten jest komitetem w rozumieniu rozporządzenia (UE) nr 182/2011.</w:t>
            </w:r>
          </w:p>
        </w:tc>
        <w:tc>
          <w:tcPr>
            <w:tcW w:w="986" w:type="dxa"/>
          </w:tcPr>
          <w:p w14:paraId="03FACA86" w14:textId="77777777" w:rsidR="001E1112" w:rsidRPr="00317ABF" w:rsidRDefault="001E1112" w:rsidP="00DB3BEC">
            <w:pPr>
              <w:jc w:val="both"/>
              <w:rPr>
                <w:sz w:val="22"/>
                <w:szCs w:val="22"/>
              </w:rPr>
            </w:pPr>
            <w:r w:rsidRPr="00317ABF">
              <w:rPr>
                <w:sz w:val="22"/>
                <w:szCs w:val="22"/>
              </w:rPr>
              <w:t>N</w:t>
            </w:r>
          </w:p>
        </w:tc>
        <w:tc>
          <w:tcPr>
            <w:tcW w:w="910" w:type="dxa"/>
          </w:tcPr>
          <w:p w14:paraId="400E5D2E" w14:textId="77777777" w:rsidR="001E1112" w:rsidRPr="00317ABF" w:rsidRDefault="001E1112" w:rsidP="00DB3BEC">
            <w:pPr>
              <w:pStyle w:val="Tekstpodstawowy"/>
              <w:rPr>
                <w:b/>
                <w:noProof/>
                <w:sz w:val="22"/>
                <w:szCs w:val="22"/>
              </w:rPr>
            </w:pPr>
          </w:p>
        </w:tc>
        <w:tc>
          <w:tcPr>
            <w:tcW w:w="6814" w:type="dxa"/>
            <w:gridSpan w:val="2"/>
          </w:tcPr>
          <w:p w14:paraId="0563C62F" w14:textId="77777777" w:rsidR="001E1112" w:rsidRPr="00317ABF" w:rsidRDefault="001E1112" w:rsidP="00DB3BEC">
            <w:pPr>
              <w:pStyle w:val="Tekstpodstawowy"/>
              <w:rPr>
                <w:sz w:val="22"/>
                <w:szCs w:val="22"/>
              </w:rPr>
            </w:pPr>
          </w:p>
        </w:tc>
      </w:tr>
      <w:tr w:rsidR="001E1112" w:rsidRPr="00317ABF" w14:paraId="55E9E8CE" w14:textId="77777777" w:rsidTr="7753F98D">
        <w:trPr>
          <w:gridAfter w:val="2"/>
          <w:wAfter w:w="175" w:type="dxa"/>
        </w:trPr>
        <w:tc>
          <w:tcPr>
            <w:tcW w:w="704" w:type="dxa"/>
          </w:tcPr>
          <w:p w14:paraId="77DB5BA9" w14:textId="77777777" w:rsidR="001E1112" w:rsidRPr="00317ABF" w:rsidRDefault="001E1112" w:rsidP="00DB3BEC">
            <w:pPr>
              <w:jc w:val="both"/>
              <w:rPr>
                <w:sz w:val="22"/>
                <w:szCs w:val="22"/>
              </w:rPr>
            </w:pPr>
            <w:r w:rsidRPr="00317ABF">
              <w:rPr>
                <w:sz w:val="22"/>
                <w:szCs w:val="22"/>
              </w:rPr>
              <w:t>Art. 118 ust. 2</w:t>
            </w:r>
          </w:p>
        </w:tc>
        <w:tc>
          <w:tcPr>
            <w:tcW w:w="4308" w:type="dxa"/>
          </w:tcPr>
          <w:p w14:paraId="3530A7CA" w14:textId="77777777" w:rsidR="001E1112" w:rsidRPr="00317ABF" w:rsidRDefault="001E1112" w:rsidP="00DB3BEC">
            <w:pPr>
              <w:spacing w:before="120"/>
              <w:jc w:val="both"/>
              <w:rPr>
                <w:sz w:val="22"/>
                <w:szCs w:val="22"/>
              </w:rPr>
            </w:pPr>
            <w:r w:rsidRPr="00317ABF">
              <w:rPr>
                <w:sz w:val="22"/>
                <w:szCs w:val="22"/>
              </w:rPr>
              <w:t>2.   W odniesieniu do aktów wykonawczych, o których mowa w art. 28 ust. 4 akapit drugi, Komisję wspomaga Komitet ds. Spektrum Radiowego ustanowiony na podstawie art. 3 ust. 1 decyzji nr 676/2002/WE. Komitet ten jest komitetem w rozumieniu rozporządzenia (UE) nr 182/2011.</w:t>
            </w:r>
          </w:p>
        </w:tc>
        <w:tc>
          <w:tcPr>
            <w:tcW w:w="986" w:type="dxa"/>
          </w:tcPr>
          <w:p w14:paraId="11C34C58" w14:textId="77777777" w:rsidR="001E1112" w:rsidRPr="00317ABF" w:rsidRDefault="001E1112" w:rsidP="00DB3BEC">
            <w:pPr>
              <w:jc w:val="both"/>
              <w:rPr>
                <w:sz w:val="22"/>
                <w:szCs w:val="22"/>
              </w:rPr>
            </w:pPr>
            <w:r w:rsidRPr="00317ABF">
              <w:rPr>
                <w:sz w:val="22"/>
                <w:szCs w:val="22"/>
              </w:rPr>
              <w:t>N</w:t>
            </w:r>
          </w:p>
        </w:tc>
        <w:tc>
          <w:tcPr>
            <w:tcW w:w="910" w:type="dxa"/>
          </w:tcPr>
          <w:p w14:paraId="50E6AE38" w14:textId="77777777" w:rsidR="001E1112" w:rsidRPr="00317ABF" w:rsidRDefault="001E1112" w:rsidP="00DB3BEC">
            <w:pPr>
              <w:pStyle w:val="Tekstpodstawowy"/>
              <w:rPr>
                <w:b/>
                <w:noProof/>
                <w:sz w:val="22"/>
                <w:szCs w:val="22"/>
              </w:rPr>
            </w:pPr>
          </w:p>
        </w:tc>
        <w:tc>
          <w:tcPr>
            <w:tcW w:w="6814" w:type="dxa"/>
            <w:gridSpan w:val="2"/>
          </w:tcPr>
          <w:p w14:paraId="2B70741B" w14:textId="77777777" w:rsidR="001E1112" w:rsidRPr="00317ABF" w:rsidRDefault="001E1112" w:rsidP="00DB3BEC">
            <w:pPr>
              <w:pStyle w:val="Tekstpodstawowy"/>
              <w:rPr>
                <w:sz w:val="22"/>
                <w:szCs w:val="22"/>
              </w:rPr>
            </w:pPr>
          </w:p>
        </w:tc>
      </w:tr>
      <w:tr w:rsidR="001E1112" w:rsidRPr="00317ABF" w14:paraId="686AB862" w14:textId="77777777" w:rsidTr="7753F98D">
        <w:trPr>
          <w:gridAfter w:val="2"/>
          <w:wAfter w:w="175" w:type="dxa"/>
        </w:trPr>
        <w:tc>
          <w:tcPr>
            <w:tcW w:w="704" w:type="dxa"/>
          </w:tcPr>
          <w:p w14:paraId="6ACC6084" w14:textId="77777777" w:rsidR="001E1112" w:rsidRPr="00317ABF" w:rsidRDefault="001E1112" w:rsidP="00DB3BEC">
            <w:pPr>
              <w:jc w:val="both"/>
              <w:rPr>
                <w:sz w:val="22"/>
                <w:szCs w:val="22"/>
              </w:rPr>
            </w:pPr>
            <w:r w:rsidRPr="00317ABF">
              <w:rPr>
                <w:sz w:val="22"/>
                <w:szCs w:val="22"/>
              </w:rPr>
              <w:t>Art. 118 ust. 3</w:t>
            </w:r>
          </w:p>
        </w:tc>
        <w:tc>
          <w:tcPr>
            <w:tcW w:w="4308" w:type="dxa"/>
          </w:tcPr>
          <w:p w14:paraId="6C4B605B" w14:textId="77777777" w:rsidR="001E1112" w:rsidRPr="00317ABF" w:rsidRDefault="001E1112" w:rsidP="00DB3BEC">
            <w:pPr>
              <w:spacing w:before="120"/>
              <w:jc w:val="both"/>
              <w:rPr>
                <w:sz w:val="22"/>
                <w:szCs w:val="22"/>
              </w:rPr>
            </w:pPr>
            <w:r w:rsidRPr="00317ABF">
              <w:rPr>
                <w:sz w:val="22"/>
                <w:szCs w:val="22"/>
              </w:rPr>
              <w:t>3.   W przypadku odesłania do niniejszego ustępu stosuje się art. 4 rozporządzenia (UE) nr 182/2011.</w:t>
            </w:r>
          </w:p>
          <w:p w14:paraId="526C9E26" w14:textId="77777777" w:rsidR="001E1112" w:rsidRPr="00317ABF" w:rsidRDefault="001E1112" w:rsidP="00DB3BEC">
            <w:pPr>
              <w:spacing w:before="120"/>
              <w:jc w:val="both"/>
              <w:rPr>
                <w:sz w:val="22"/>
                <w:szCs w:val="22"/>
              </w:rPr>
            </w:pPr>
            <w:r w:rsidRPr="00317ABF">
              <w:rPr>
                <w:sz w:val="22"/>
                <w:szCs w:val="22"/>
              </w:rPr>
              <w:t>W przypadku gdy opinia komitetu ma być uzyskana w drodze procedury pisemnej, procedura ta kończy się bez osiągnięcia rezultatu, jeżeli przed upływem terminu na wydanie opinii zdecyduje o tym przewodniczący komitetu lub wniosą o to członkowie komitetu. W takim przypadku przewodniczący w rozsądnym terminie zwołuje posiedzenie komitetu.</w:t>
            </w:r>
          </w:p>
        </w:tc>
        <w:tc>
          <w:tcPr>
            <w:tcW w:w="986" w:type="dxa"/>
          </w:tcPr>
          <w:p w14:paraId="35D76407" w14:textId="77777777" w:rsidR="001E1112" w:rsidRPr="00317ABF" w:rsidRDefault="001E1112" w:rsidP="00DB3BEC">
            <w:pPr>
              <w:jc w:val="both"/>
              <w:rPr>
                <w:sz w:val="22"/>
                <w:szCs w:val="22"/>
              </w:rPr>
            </w:pPr>
            <w:r w:rsidRPr="00317ABF">
              <w:rPr>
                <w:sz w:val="22"/>
                <w:szCs w:val="22"/>
              </w:rPr>
              <w:t>N</w:t>
            </w:r>
          </w:p>
        </w:tc>
        <w:tc>
          <w:tcPr>
            <w:tcW w:w="910" w:type="dxa"/>
          </w:tcPr>
          <w:p w14:paraId="27479C2B" w14:textId="77777777" w:rsidR="001E1112" w:rsidRPr="00317ABF" w:rsidRDefault="001E1112" w:rsidP="00DB3BEC">
            <w:pPr>
              <w:pStyle w:val="Tekstpodstawowy"/>
              <w:rPr>
                <w:b/>
                <w:noProof/>
                <w:sz w:val="22"/>
                <w:szCs w:val="22"/>
              </w:rPr>
            </w:pPr>
          </w:p>
        </w:tc>
        <w:tc>
          <w:tcPr>
            <w:tcW w:w="6814" w:type="dxa"/>
            <w:gridSpan w:val="2"/>
          </w:tcPr>
          <w:p w14:paraId="0D9EAB41" w14:textId="77777777" w:rsidR="001E1112" w:rsidRPr="00317ABF" w:rsidRDefault="001E1112" w:rsidP="00DB3BEC">
            <w:pPr>
              <w:pStyle w:val="Tekstpodstawowy"/>
              <w:rPr>
                <w:sz w:val="22"/>
                <w:szCs w:val="22"/>
              </w:rPr>
            </w:pPr>
          </w:p>
        </w:tc>
      </w:tr>
      <w:tr w:rsidR="001E1112" w:rsidRPr="00317ABF" w14:paraId="11AF204E" w14:textId="77777777" w:rsidTr="7753F98D">
        <w:trPr>
          <w:gridAfter w:val="2"/>
          <w:wAfter w:w="175" w:type="dxa"/>
        </w:trPr>
        <w:tc>
          <w:tcPr>
            <w:tcW w:w="704" w:type="dxa"/>
          </w:tcPr>
          <w:p w14:paraId="22F67C22" w14:textId="77777777" w:rsidR="001E1112" w:rsidRPr="00317ABF" w:rsidRDefault="001E1112" w:rsidP="00DB3BEC">
            <w:pPr>
              <w:jc w:val="both"/>
              <w:rPr>
                <w:sz w:val="22"/>
                <w:szCs w:val="22"/>
              </w:rPr>
            </w:pPr>
            <w:r w:rsidRPr="00317ABF">
              <w:rPr>
                <w:sz w:val="22"/>
                <w:szCs w:val="22"/>
              </w:rPr>
              <w:t>Art. 118 ust. 4</w:t>
            </w:r>
          </w:p>
        </w:tc>
        <w:tc>
          <w:tcPr>
            <w:tcW w:w="4308" w:type="dxa"/>
          </w:tcPr>
          <w:p w14:paraId="4F284BCB" w14:textId="77777777" w:rsidR="001E1112" w:rsidRPr="00317ABF" w:rsidRDefault="001E1112" w:rsidP="00DB3BEC">
            <w:pPr>
              <w:spacing w:before="120"/>
              <w:jc w:val="both"/>
              <w:rPr>
                <w:sz w:val="22"/>
                <w:szCs w:val="22"/>
              </w:rPr>
            </w:pPr>
            <w:r w:rsidRPr="00317ABF">
              <w:rPr>
                <w:sz w:val="22"/>
                <w:szCs w:val="22"/>
              </w:rPr>
              <w:t>4.   W przypadku odesłania do niniejszego ustępu stosuje się art. 5 rozporządzenia (UE) nr 182/2011, przy uwzględnieniu art. 8 tego rozporządzenia.</w:t>
            </w:r>
          </w:p>
          <w:p w14:paraId="781846FF" w14:textId="77777777" w:rsidR="001E1112" w:rsidRPr="00317ABF" w:rsidRDefault="001E1112" w:rsidP="00DB3BEC">
            <w:pPr>
              <w:spacing w:before="120"/>
              <w:jc w:val="both"/>
              <w:rPr>
                <w:sz w:val="22"/>
                <w:szCs w:val="22"/>
              </w:rPr>
            </w:pPr>
            <w:r w:rsidRPr="00317ABF">
              <w:rPr>
                <w:sz w:val="22"/>
                <w:szCs w:val="22"/>
              </w:rPr>
              <w:t>W przypadku gdy opinia komitetu ma być uzyskana w drodze procedury pisemnej, procedura ta kończy się bez osiągnięcia rezultatu, jeżeli przed upływem terminu na wydanie opinii zdecyduje o tym przewodniczący komitetu lub wniosą o to członkowie komitetu. W takim przypadku przewodniczący w rozsądnym terminie zwołuje posiedzenie komitetu.</w:t>
            </w:r>
          </w:p>
        </w:tc>
        <w:tc>
          <w:tcPr>
            <w:tcW w:w="986" w:type="dxa"/>
          </w:tcPr>
          <w:p w14:paraId="56F76A39" w14:textId="77777777" w:rsidR="001E1112" w:rsidRPr="00317ABF" w:rsidRDefault="001E1112" w:rsidP="00DB3BEC">
            <w:pPr>
              <w:jc w:val="both"/>
              <w:rPr>
                <w:sz w:val="22"/>
                <w:szCs w:val="22"/>
              </w:rPr>
            </w:pPr>
            <w:r w:rsidRPr="00317ABF">
              <w:rPr>
                <w:sz w:val="22"/>
                <w:szCs w:val="22"/>
              </w:rPr>
              <w:t>N</w:t>
            </w:r>
          </w:p>
        </w:tc>
        <w:tc>
          <w:tcPr>
            <w:tcW w:w="910" w:type="dxa"/>
          </w:tcPr>
          <w:p w14:paraId="5DB3D5FA" w14:textId="77777777" w:rsidR="001E1112" w:rsidRPr="00317ABF" w:rsidRDefault="001E1112" w:rsidP="00DB3BEC">
            <w:pPr>
              <w:pStyle w:val="Tekstpodstawowy"/>
              <w:rPr>
                <w:b/>
                <w:noProof/>
                <w:sz w:val="22"/>
                <w:szCs w:val="22"/>
              </w:rPr>
            </w:pPr>
          </w:p>
        </w:tc>
        <w:tc>
          <w:tcPr>
            <w:tcW w:w="6814" w:type="dxa"/>
            <w:gridSpan w:val="2"/>
          </w:tcPr>
          <w:p w14:paraId="65D9661F" w14:textId="77777777" w:rsidR="001E1112" w:rsidRPr="00317ABF" w:rsidRDefault="001E1112" w:rsidP="00DB3BEC">
            <w:pPr>
              <w:pStyle w:val="Tekstpodstawowy"/>
              <w:rPr>
                <w:sz w:val="22"/>
                <w:szCs w:val="22"/>
              </w:rPr>
            </w:pPr>
          </w:p>
        </w:tc>
      </w:tr>
      <w:tr w:rsidR="001E1112" w:rsidRPr="00317ABF" w14:paraId="1421CBCA" w14:textId="77777777" w:rsidTr="7753F98D">
        <w:trPr>
          <w:gridAfter w:val="2"/>
          <w:wAfter w:w="175" w:type="dxa"/>
        </w:trPr>
        <w:tc>
          <w:tcPr>
            <w:tcW w:w="704" w:type="dxa"/>
          </w:tcPr>
          <w:p w14:paraId="3C9A0A46" w14:textId="77777777" w:rsidR="001E1112" w:rsidRPr="00317ABF" w:rsidRDefault="001E1112" w:rsidP="00DB3BEC">
            <w:pPr>
              <w:jc w:val="both"/>
              <w:rPr>
                <w:b/>
                <w:sz w:val="22"/>
                <w:szCs w:val="22"/>
              </w:rPr>
            </w:pPr>
            <w:r w:rsidRPr="00317ABF">
              <w:rPr>
                <w:b/>
                <w:sz w:val="22"/>
                <w:szCs w:val="22"/>
              </w:rPr>
              <w:t>Art. 119</w:t>
            </w:r>
          </w:p>
        </w:tc>
        <w:tc>
          <w:tcPr>
            <w:tcW w:w="4308" w:type="dxa"/>
          </w:tcPr>
          <w:p w14:paraId="4A31AD5C" w14:textId="77777777" w:rsidR="001E1112" w:rsidRPr="00317ABF" w:rsidRDefault="001E1112" w:rsidP="00DB3BEC">
            <w:pPr>
              <w:spacing w:before="120"/>
              <w:jc w:val="both"/>
              <w:rPr>
                <w:sz w:val="22"/>
                <w:szCs w:val="22"/>
              </w:rPr>
            </w:pPr>
            <w:r w:rsidRPr="00317ABF">
              <w:rPr>
                <w:b/>
                <w:bCs/>
                <w:sz w:val="22"/>
                <w:szCs w:val="22"/>
              </w:rPr>
              <w:t>Wymiana informacji</w:t>
            </w:r>
          </w:p>
        </w:tc>
        <w:tc>
          <w:tcPr>
            <w:tcW w:w="986" w:type="dxa"/>
          </w:tcPr>
          <w:p w14:paraId="4E995B57" w14:textId="77777777" w:rsidR="001E1112" w:rsidRPr="00317ABF" w:rsidRDefault="001E1112" w:rsidP="00DB3BEC">
            <w:pPr>
              <w:jc w:val="both"/>
              <w:rPr>
                <w:sz w:val="22"/>
                <w:szCs w:val="22"/>
              </w:rPr>
            </w:pPr>
          </w:p>
        </w:tc>
        <w:tc>
          <w:tcPr>
            <w:tcW w:w="910" w:type="dxa"/>
          </w:tcPr>
          <w:p w14:paraId="33DA7CFC" w14:textId="77777777" w:rsidR="001E1112" w:rsidRPr="00317ABF" w:rsidRDefault="001E1112" w:rsidP="00DB3BEC">
            <w:pPr>
              <w:pStyle w:val="Tekstpodstawowy"/>
              <w:rPr>
                <w:b/>
                <w:noProof/>
                <w:sz w:val="22"/>
                <w:szCs w:val="22"/>
              </w:rPr>
            </w:pPr>
          </w:p>
        </w:tc>
        <w:tc>
          <w:tcPr>
            <w:tcW w:w="6814" w:type="dxa"/>
            <w:gridSpan w:val="2"/>
          </w:tcPr>
          <w:p w14:paraId="54B70834" w14:textId="77777777" w:rsidR="001E1112" w:rsidRPr="00317ABF" w:rsidRDefault="001E1112" w:rsidP="00DB3BEC">
            <w:pPr>
              <w:pStyle w:val="Tekstpodstawowy"/>
              <w:rPr>
                <w:sz w:val="22"/>
                <w:szCs w:val="22"/>
              </w:rPr>
            </w:pPr>
          </w:p>
        </w:tc>
      </w:tr>
      <w:tr w:rsidR="001E1112" w:rsidRPr="00317ABF" w14:paraId="1DD00C21" w14:textId="77777777" w:rsidTr="7753F98D">
        <w:trPr>
          <w:gridAfter w:val="2"/>
          <w:wAfter w:w="175" w:type="dxa"/>
        </w:trPr>
        <w:tc>
          <w:tcPr>
            <w:tcW w:w="704" w:type="dxa"/>
          </w:tcPr>
          <w:p w14:paraId="018C48C5" w14:textId="77777777" w:rsidR="001E1112" w:rsidRPr="00317ABF" w:rsidRDefault="001E1112" w:rsidP="00DB3BEC">
            <w:pPr>
              <w:jc w:val="both"/>
              <w:rPr>
                <w:sz w:val="22"/>
                <w:szCs w:val="22"/>
              </w:rPr>
            </w:pPr>
            <w:r w:rsidRPr="00317ABF">
              <w:rPr>
                <w:sz w:val="22"/>
                <w:szCs w:val="22"/>
              </w:rPr>
              <w:t>Art. 119 ust. 1</w:t>
            </w:r>
          </w:p>
        </w:tc>
        <w:tc>
          <w:tcPr>
            <w:tcW w:w="4308" w:type="dxa"/>
          </w:tcPr>
          <w:p w14:paraId="216834B6" w14:textId="77777777" w:rsidR="001E1112" w:rsidRPr="00317ABF" w:rsidRDefault="001E1112" w:rsidP="00DB3BEC">
            <w:pPr>
              <w:spacing w:before="120"/>
              <w:jc w:val="both"/>
              <w:rPr>
                <w:sz w:val="22"/>
                <w:szCs w:val="22"/>
              </w:rPr>
            </w:pPr>
            <w:r w:rsidRPr="00317ABF">
              <w:rPr>
                <w:sz w:val="22"/>
                <w:szCs w:val="22"/>
              </w:rPr>
              <w:t>1.   Komisja udostępnia Komitetowi ds. Łączności wszelkie odpowiednie informacje uzyskane w wyniku regularnie prowadzonych konsultacji z przedstawicielami operatorów sieciowych, dostawców usług, użytkowników, konsumentów, producentów oraz związków zawodowych, jak również krajów trzecich i międzynarodowych organizacji.</w:t>
            </w:r>
          </w:p>
        </w:tc>
        <w:tc>
          <w:tcPr>
            <w:tcW w:w="986" w:type="dxa"/>
          </w:tcPr>
          <w:p w14:paraId="0BC219EE" w14:textId="77777777" w:rsidR="001E1112" w:rsidRPr="00317ABF" w:rsidRDefault="001E1112" w:rsidP="00DB3BEC">
            <w:pPr>
              <w:jc w:val="both"/>
              <w:rPr>
                <w:sz w:val="22"/>
                <w:szCs w:val="22"/>
              </w:rPr>
            </w:pPr>
            <w:r w:rsidRPr="00317ABF">
              <w:rPr>
                <w:sz w:val="22"/>
                <w:szCs w:val="22"/>
              </w:rPr>
              <w:t>N</w:t>
            </w:r>
          </w:p>
        </w:tc>
        <w:tc>
          <w:tcPr>
            <w:tcW w:w="910" w:type="dxa"/>
          </w:tcPr>
          <w:p w14:paraId="7D6F9CDF" w14:textId="77777777" w:rsidR="001E1112" w:rsidRPr="00317ABF" w:rsidRDefault="001E1112" w:rsidP="00DB3BEC">
            <w:pPr>
              <w:pStyle w:val="Tekstpodstawowy"/>
              <w:rPr>
                <w:b/>
                <w:noProof/>
                <w:sz w:val="22"/>
                <w:szCs w:val="22"/>
              </w:rPr>
            </w:pPr>
          </w:p>
        </w:tc>
        <w:tc>
          <w:tcPr>
            <w:tcW w:w="6814" w:type="dxa"/>
            <w:gridSpan w:val="2"/>
          </w:tcPr>
          <w:p w14:paraId="5D7B754B" w14:textId="77777777" w:rsidR="001E1112" w:rsidRPr="00317ABF" w:rsidRDefault="001E1112" w:rsidP="00DB3BEC">
            <w:pPr>
              <w:pStyle w:val="Tekstpodstawowy"/>
              <w:rPr>
                <w:sz w:val="22"/>
                <w:szCs w:val="22"/>
              </w:rPr>
            </w:pPr>
          </w:p>
        </w:tc>
      </w:tr>
      <w:tr w:rsidR="001E1112" w:rsidRPr="00317ABF" w14:paraId="4B065FF6" w14:textId="77777777" w:rsidTr="7753F98D">
        <w:trPr>
          <w:gridAfter w:val="2"/>
          <w:wAfter w:w="175" w:type="dxa"/>
        </w:trPr>
        <w:tc>
          <w:tcPr>
            <w:tcW w:w="704" w:type="dxa"/>
          </w:tcPr>
          <w:p w14:paraId="6F3D18A1" w14:textId="77777777" w:rsidR="001E1112" w:rsidRPr="00317ABF" w:rsidRDefault="001E1112" w:rsidP="00DB3BEC">
            <w:pPr>
              <w:jc w:val="both"/>
              <w:rPr>
                <w:sz w:val="22"/>
                <w:szCs w:val="22"/>
              </w:rPr>
            </w:pPr>
            <w:r w:rsidRPr="00317ABF">
              <w:rPr>
                <w:sz w:val="22"/>
                <w:szCs w:val="22"/>
              </w:rPr>
              <w:t>Art. 119 ust. 2</w:t>
            </w:r>
          </w:p>
        </w:tc>
        <w:tc>
          <w:tcPr>
            <w:tcW w:w="4308" w:type="dxa"/>
          </w:tcPr>
          <w:p w14:paraId="550E54DC" w14:textId="77777777" w:rsidR="001E1112" w:rsidRPr="00317ABF" w:rsidRDefault="001E1112" w:rsidP="00DB3BEC">
            <w:pPr>
              <w:spacing w:before="120"/>
              <w:jc w:val="both"/>
              <w:rPr>
                <w:sz w:val="22"/>
                <w:szCs w:val="22"/>
              </w:rPr>
            </w:pPr>
            <w:r w:rsidRPr="00317ABF">
              <w:rPr>
                <w:sz w:val="22"/>
                <w:szCs w:val="22"/>
              </w:rPr>
              <w:t>2.   Mając na uwadze politykę Unii w dziedzinie łączności elektronicznej, Komitet ds. Łączności wspiera wymianę informacji pomiędzy państwami członkowskimi oraz pomiędzy państwami członkowskimi a Komisją, dotyczących sytuacji i rozwoju działalności regulacyjnej w zakresie sieci i usług łączności elektronicznej.</w:t>
            </w:r>
          </w:p>
        </w:tc>
        <w:tc>
          <w:tcPr>
            <w:tcW w:w="986" w:type="dxa"/>
          </w:tcPr>
          <w:p w14:paraId="2D3C338A" w14:textId="77777777" w:rsidR="001E1112" w:rsidRPr="00317ABF" w:rsidRDefault="001E1112" w:rsidP="00DB3BEC">
            <w:pPr>
              <w:jc w:val="both"/>
              <w:rPr>
                <w:sz w:val="22"/>
                <w:szCs w:val="22"/>
              </w:rPr>
            </w:pPr>
            <w:r w:rsidRPr="00317ABF">
              <w:rPr>
                <w:sz w:val="22"/>
                <w:szCs w:val="22"/>
              </w:rPr>
              <w:t>N</w:t>
            </w:r>
          </w:p>
        </w:tc>
        <w:tc>
          <w:tcPr>
            <w:tcW w:w="910" w:type="dxa"/>
          </w:tcPr>
          <w:p w14:paraId="43DA004D" w14:textId="77777777" w:rsidR="001E1112" w:rsidRPr="00317ABF" w:rsidRDefault="001E1112" w:rsidP="00DB3BEC">
            <w:pPr>
              <w:pStyle w:val="Tekstpodstawowy"/>
              <w:rPr>
                <w:b/>
                <w:noProof/>
                <w:sz w:val="22"/>
                <w:szCs w:val="22"/>
              </w:rPr>
            </w:pPr>
          </w:p>
        </w:tc>
        <w:tc>
          <w:tcPr>
            <w:tcW w:w="6814" w:type="dxa"/>
            <w:gridSpan w:val="2"/>
          </w:tcPr>
          <w:p w14:paraId="22664858" w14:textId="77777777" w:rsidR="001E1112" w:rsidRPr="00317ABF" w:rsidRDefault="001E1112" w:rsidP="00DB3BEC">
            <w:pPr>
              <w:pStyle w:val="Tekstpodstawowy"/>
              <w:rPr>
                <w:sz w:val="22"/>
                <w:szCs w:val="22"/>
              </w:rPr>
            </w:pPr>
          </w:p>
        </w:tc>
      </w:tr>
      <w:tr w:rsidR="001E1112" w:rsidRPr="00317ABF" w14:paraId="47D5A01E" w14:textId="77777777" w:rsidTr="7753F98D">
        <w:trPr>
          <w:gridAfter w:val="2"/>
          <w:wAfter w:w="175" w:type="dxa"/>
        </w:trPr>
        <w:tc>
          <w:tcPr>
            <w:tcW w:w="704" w:type="dxa"/>
          </w:tcPr>
          <w:p w14:paraId="0A98D115" w14:textId="77777777" w:rsidR="001E1112" w:rsidRPr="00317ABF" w:rsidRDefault="001E1112" w:rsidP="00DB3BEC">
            <w:pPr>
              <w:jc w:val="both"/>
              <w:rPr>
                <w:b/>
                <w:sz w:val="22"/>
                <w:szCs w:val="22"/>
              </w:rPr>
            </w:pPr>
            <w:r w:rsidRPr="00317ABF">
              <w:rPr>
                <w:b/>
                <w:sz w:val="22"/>
                <w:szCs w:val="22"/>
              </w:rPr>
              <w:t>Art. 120</w:t>
            </w:r>
          </w:p>
        </w:tc>
        <w:tc>
          <w:tcPr>
            <w:tcW w:w="4308" w:type="dxa"/>
          </w:tcPr>
          <w:p w14:paraId="0B8C4881" w14:textId="77777777" w:rsidR="001E1112" w:rsidRPr="00317ABF" w:rsidRDefault="001E1112" w:rsidP="00DB3BEC">
            <w:pPr>
              <w:spacing w:before="120"/>
              <w:jc w:val="both"/>
              <w:rPr>
                <w:sz w:val="22"/>
                <w:szCs w:val="22"/>
              </w:rPr>
            </w:pPr>
            <w:r w:rsidRPr="00317ABF">
              <w:rPr>
                <w:b/>
                <w:bCs/>
                <w:sz w:val="22"/>
                <w:szCs w:val="22"/>
              </w:rPr>
              <w:t>Publikacja informacji</w:t>
            </w:r>
          </w:p>
        </w:tc>
        <w:tc>
          <w:tcPr>
            <w:tcW w:w="986" w:type="dxa"/>
          </w:tcPr>
          <w:p w14:paraId="2F8457EF" w14:textId="77777777" w:rsidR="001E1112" w:rsidRPr="00317ABF" w:rsidRDefault="001E1112" w:rsidP="00DB3BEC">
            <w:pPr>
              <w:jc w:val="both"/>
              <w:rPr>
                <w:sz w:val="22"/>
                <w:szCs w:val="22"/>
              </w:rPr>
            </w:pPr>
          </w:p>
        </w:tc>
        <w:tc>
          <w:tcPr>
            <w:tcW w:w="910" w:type="dxa"/>
          </w:tcPr>
          <w:p w14:paraId="48ECA40E" w14:textId="77777777" w:rsidR="001E1112" w:rsidRPr="00317ABF" w:rsidRDefault="001E1112" w:rsidP="00DB3BEC">
            <w:pPr>
              <w:pStyle w:val="Tekstpodstawowy"/>
              <w:rPr>
                <w:b/>
                <w:noProof/>
                <w:sz w:val="22"/>
                <w:szCs w:val="22"/>
              </w:rPr>
            </w:pPr>
          </w:p>
        </w:tc>
        <w:tc>
          <w:tcPr>
            <w:tcW w:w="6814" w:type="dxa"/>
            <w:gridSpan w:val="2"/>
          </w:tcPr>
          <w:p w14:paraId="1E416C9E" w14:textId="77777777" w:rsidR="001E1112" w:rsidRPr="00317ABF" w:rsidRDefault="001E1112" w:rsidP="00DB3BEC">
            <w:pPr>
              <w:pStyle w:val="Tekstpodstawowy"/>
              <w:rPr>
                <w:sz w:val="22"/>
                <w:szCs w:val="22"/>
              </w:rPr>
            </w:pPr>
          </w:p>
        </w:tc>
      </w:tr>
      <w:tr w:rsidR="001E1112" w:rsidRPr="00317ABF" w14:paraId="1D2FFCDC" w14:textId="77777777" w:rsidTr="7753F98D">
        <w:trPr>
          <w:gridAfter w:val="2"/>
          <w:wAfter w:w="175" w:type="dxa"/>
        </w:trPr>
        <w:tc>
          <w:tcPr>
            <w:tcW w:w="704" w:type="dxa"/>
          </w:tcPr>
          <w:p w14:paraId="620FAA21" w14:textId="77777777" w:rsidR="001E1112" w:rsidRPr="00317ABF" w:rsidRDefault="001E1112" w:rsidP="00DB3BEC">
            <w:pPr>
              <w:jc w:val="both"/>
              <w:rPr>
                <w:sz w:val="22"/>
                <w:szCs w:val="22"/>
              </w:rPr>
            </w:pPr>
            <w:r w:rsidRPr="00317ABF">
              <w:rPr>
                <w:sz w:val="22"/>
                <w:szCs w:val="22"/>
              </w:rPr>
              <w:t>Art. 120 ust. 1</w:t>
            </w:r>
          </w:p>
        </w:tc>
        <w:tc>
          <w:tcPr>
            <w:tcW w:w="4308" w:type="dxa"/>
          </w:tcPr>
          <w:p w14:paraId="032866CE" w14:textId="77777777" w:rsidR="001E1112" w:rsidRPr="00317ABF" w:rsidRDefault="001E1112" w:rsidP="00DB3BEC">
            <w:pPr>
              <w:spacing w:before="120"/>
              <w:jc w:val="both"/>
              <w:rPr>
                <w:sz w:val="22"/>
                <w:szCs w:val="22"/>
              </w:rPr>
            </w:pPr>
            <w:r w:rsidRPr="00317ABF">
              <w:rPr>
                <w:sz w:val="22"/>
                <w:szCs w:val="22"/>
              </w:rPr>
              <w:t>1.   Państwa członkowskie zapewniają, by bieżąca informacja dotycząca wdrażania niniejszej dyrektywy była publicznie dostępna w sposób zapewniający wszystkim zainteresowanym stronom łatwy dostęp do niej. Państwa członkowskie zamieszczają w krajowym dzienniku urzędowym odpowiednią wzmiankę na temat miejsca i sposobu opublikowania tej informacji. Pierwsza taka wzmianka publikowana jest przed dniem 21 grudnia 2020 r., po czym kolejne wzmianki publikuje się każdorazowo w przypadku zmian zawartych w niej informacji.</w:t>
            </w:r>
          </w:p>
        </w:tc>
        <w:tc>
          <w:tcPr>
            <w:tcW w:w="986" w:type="dxa"/>
          </w:tcPr>
          <w:p w14:paraId="32564413" w14:textId="18034D3B" w:rsidR="001E1112" w:rsidRPr="00317ABF" w:rsidRDefault="001E1112" w:rsidP="00DB3BEC">
            <w:pPr>
              <w:jc w:val="both"/>
              <w:rPr>
                <w:sz w:val="22"/>
                <w:szCs w:val="22"/>
              </w:rPr>
            </w:pPr>
            <w:r w:rsidRPr="00317ABF">
              <w:rPr>
                <w:sz w:val="22"/>
                <w:szCs w:val="22"/>
              </w:rPr>
              <w:t>N</w:t>
            </w:r>
          </w:p>
        </w:tc>
        <w:tc>
          <w:tcPr>
            <w:tcW w:w="910" w:type="dxa"/>
          </w:tcPr>
          <w:p w14:paraId="3799A510" w14:textId="77777777" w:rsidR="001E1112" w:rsidRPr="00317ABF" w:rsidRDefault="001E1112" w:rsidP="00DB3BEC">
            <w:pPr>
              <w:pStyle w:val="Tekstpodstawowy"/>
              <w:rPr>
                <w:b/>
                <w:noProof/>
                <w:sz w:val="22"/>
                <w:szCs w:val="22"/>
              </w:rPr>
            </w:pPr>
          </w:p>
        </w:tc>
        <w:tc>
          <w:tcPr>
            <w:tcW w:w="6814" w:type="dxa"/>
            <w:gridSpan w:val="2"/>
          </w:tcPr>
          <w:p w14:paraId="7CD66F12" w14:textId="77777777" w:rsidR="001E1112" w:rsidRPr="00317ABF" w:rsidRDefault="001E1112" w:rsidP="00DB3BEC">
            <w:pPr>
              <w:pStyle w:val="Tekstpodstawowy"/>
              <w:rPr>
                <w:sz w:val="22"/>
                <w:szCs w:val="22"/>
              </w:rPr>
            </w:pPr>
          </w:p>
        </w:tc>
      </w:tr>
      <w:tr w:rsidR="001E1112" w:rsidRPr="00317ABF" w14:paraId="0A6049B5" w14:textId="77777777" w:rsidTr="7753F98D">
        <w:trPr>
          <w:gridAfter w:val="2"/>
          <w:wAfter w:w="175" w:type="dxa"/>
        </w:trPr>
        <w:tc>
          <w:tcPr>
            <w:tcW w:w="704" w:type="dxa"/>
          </w:tcPr>
          <w:p w14:paraId="00DC2F28" w14:textId="77777777" w:rsidR="001E1112" w:rsidRPr="00317ABF" w:rsidRDefault="001E1112" w:rsidP="00DB3BEC">
            <w:pPr>
              <w:jc w:val="both"/>
              <w:rPr>
                <w:sz w:val="22"/>
                <w:szCs w:val="22"/>
              </w:rPr>
            </w:pPr>
            <w:r w:rsidRPr="00317ABF">
              <w:rPr>
                <w:sz w:val="22"/>
                <w:szCs w:val="22"/>
              </w:rPr>
              <w:t>Art. 120 ust. 2</w:t>
            </w:r>
          </w:p>
        </w:tc>
        <w:tc>
          <w:tcPr>
            <w:tcW w:w="4308" w:type="dxa"/>
          </w:tcPr>
          <w:p w14:paraId="3E593CA4" w14:textId="77777777" w:rsidR="001E1112" w:rsidRPr="00317ABF" w:rsidRDefault="001E1112" w:rsidP="00DB3BEC">
            <w:pPr>
              <w:spacing w:before="120"/>
              <w:jc w:val="both"/>
              <w:rPr>
                <w:sz w:val="22"/>
                <w:szCs w:val="22"/>
              </w:rPr>
            </w:pPr>
            <w:r w:rsidRPr="00317ABF">
              <w:rPr>
                <w:sz w:val="22"/>
                <w:szCs w:val="22"/>
              </w:rPr>
              <w:t>2.   Państwa członkowskie przedkładają Komisji kopie takich wzmianek z chwilą ich publikacji. Komisja przekazuje te informacje w razie potrzeby Komitetowi ds. Łączności.</w:t>
            </w:r>
          </w:p>
        </w:tc>
        <w:tc>
          <w:tcPr>
            <w:tcW w:w="986" w:type="dxa"/>
          </w:tcPr>
          <w:p w14:paraId="389A41D0" w14:textId="257C2547" w:rsidR="001E1112" w:rsidRPr="00317ABF" w:rsidRDefault="001E1112" w:rsidP="00DB3BEC">
            <w:pPr>
              <w:jc w:val="both"/>
              <w:rPr>
                <w:sz w:val="22"/>
                <w:szCs w:val="22"/>
              </w:rPr>
            </w:pPr>
            <w:r w:rsidRPr="00317ABF">
              <w:rPr>
                <w:sz w:val="22"/>
                <w:szCs w:val="22"/>
              </w:rPr>
              <w:t>N</w:t>
            </w:r>
          </w:p>
        </w:tc>
        <w:tc>
          <w:tcPr>
            <w:tcW w:w="910" w:type="dxa"/>
          </w:tcPr>
          <w:p w14:paraId="4854BA12" w14:textId="77777777" w:rsidR="001E1112" w:rsidRPr="00317ABF" w:rsidRDefault="001E1112" w:rsidP="00DB3BEC">
            <w:pPr>
              <w:pStyle w:val="Tekstpodstawowy"/>
              <w:rPr>
                <w:b/>
                <w:noProof/>
                <w:sz w:val="22"/>
                <w:szCs w:val="22"/>
              </w:rPr>
            </w:pPr>
          </w:p>
        </w:tc>
        <w:tc>
          <w:tcPr>
            <w:tcW w:w="6814" w:type="dxa"/>
            <w:gridSpan w:val="2"/>
          </w:tcPr>
          <w:p w14:paraId="08FF76B9" w14:textId="77777777" w:rsidR="001E1112" w:rsidRPr="00317ABF" w:rsidRDefault="001E1112" w:rsidP="00DB3BEC">
            <w:pPr>
              <w:pStyle w:val="Tekstpodstawowy"/>
              <w:rPr>
                <w:sz w:val="22"/>
                <w:szCs w:val="22"/>
              </w:rPr>
            </w:pPr>
          </w:p>
        </w:tc>
      </w:tr>
      <w:tr w:rsidR="001E1112" w:rsidRPr="00317ABF" w14:paraId="2977781E" w14:textId="77777777" w:rsidTr="7753F98D">
        <w:trPr>
          <w:gridAfter w:val="2"/>
          <w:wAfter w:w="175" w:type="dxa"/>
        </w:trPr>
        <w:tc>
          <w:tcPr>
            <w:tcW w:w="704" w:type="dxa"/>
          </w:tcPr>
          <w:p w14:paraId="0B49750F" w14:textId="77777777" w:rsidR="001E1112" w:rsidRPr="00317ABF" w:rsidRDefault="001E1112" w:rsidP="00DB3BEC">
            <w:pPr>
              <w:jc w:val="both"/>
              <w:rPr>
                <w:sz w:val="22"/>
                <w:szCs w:val="22"/>
              </w:rPr>
            </w:pPr>
            <w:r w:rsidRPr="00317ABF">
              <w:rPr>
                <w:sz w:val="22"/>
                <w:szCs w:val="22"/>
              </w:rPr>
              <w:t>Art. 120 ust. 3</w:t>
            </w:r>
          </w:p>
        </w:tc>
        <w:tc>
          <w:tcPr>
            <w:tcW w:w="4308" w:type="dxa"/>
          </w:tcPr>
          <w:p w14:paraId="2C764CED" w14:textId="77777777" w:rsidR="001E1112" w:rsidRPr="00317ABF" w:rsidRDefault="001E1112" w:rsidP="00DB3BEC">
            <w:pPr>
              <w:spacing w:before="120"/>
              <w:jc w:val="both"/>
              <w:rPr>
                <w:sz w:val="22"/>
                <w:szCs w:val="22"/>
              </w:rPr>
            </w:pPr>
            <w:r w:rsidRPr="00317ABF">
              <w:rPr>
                <w:sz w:val="22"/>
                <w:szCs w:val="22"/>
              </w:rPr>
              <w:t>3.   Państwa członkowskie zapewniają, aby wszystkie odpowiednie informacje na temat praw, warunków, procedur, kosztów, opłat i decyzji związanych z ogólnymi zezwoleniami, prawami użytkowania i prawami instalowania urządzeń były publikowane oraz uaktualniane w odpowiedni sposób, tak aby zapewnić łatwy dostęp do tych informacji wszystkim zainteresowanym stronom.</w:t>
            </w:r>
          </w:p>
        </w:tc>
        <w:tc>
          <w:tcPr>
            <w:tcW w:w="986" w:type="dxa"/>
          </w:tcPr>
          <w:p w14:paraId="2EB43085" w14:textId="758A52AD" w:rsidR="001E1112" w:rsidRPr="00317ABF" w:rsidRDefault="001E1112" w:rsidP="00DB3BEC">
            <w:pPr>
              <w:jc w:val="both"/>
              <w:rPr>
                <w:sz w:val="22"/>
                <w:szCs w:val="22"/>
              </w:rPr>
            </w:pPr>
            <w:r w:rsidRPr="00317ABF">
              <w:rPr>
                <w:sz w:val="22"/>
                <w:szCs w:val="22"/>
              </w:rPr>
              <w:t>N</w:t>
            </w:r>
          </w:p>
        </w:tc>
        <w:tc>
          <w:tcPr>
            <w:tcW w:w="910" w:type="dxa"/>
          </w:tcPr>
          <w:p w14:paraId="2182871C" w14:textId="41FC42E6" w:rsidR="001E1112" w:rsidRPr="00317ABF" w:rsidRDefault="001E1112" w:rsidP="00DB3BEC">
            <w:pPr>
              <w:pStyle w:val="Tekstpodstawowy"/>
              <w:rPr>
                <w:b/>
                <w:bCs/>
                <w:noProof/>
                <w:sz w:val="22"/>
                <w:szCs w:val="22"/>
              </w:rPr>
            </w:pPr>
            <w:r w:rsidRPr="00317ABF">
              <w:rPr>
                <w:b/>
                <w:bCs/>
                <w:noProof/>
                <w:sz w:val="22"/>
                <w:szCs w:val="22"/>
              </w:rPr>
              <w:t>Art. 5 ust. 4 i 5</w:t>
            </w:r>
          </w:p>
        </w:tc>
        <w:tc>
          <w:tcPr>
            <w:tcW w:w="6814" w:type="dxa"/>
            <w:gridSpan w:val="2"/>
          </w:tcPr>
          <w:p w14:paraId="1C8640FB" w14:textId="0BF60A5F" w:rsidR="001E1112" w:rsidRPr="00317ABF" w:rsidRDefault="001E1112" w:rsidP="00DB3BEC">
            <w:pPr>
              <w:spacing w:line="360" w:lineRule="auto"/>
              <w:jc w:val="both"/>
              <w:rPr>
                <w:sz w:val="22"/>
                <w:szCs w:val="22"/>
              </w:rPr>
            </w:pPr>
            <w:r w:rsidRPr="00317ABF">
              <w:rPr>
                <w:rFonts w:eastAsia="Times"/>
                <w:sz w:val="22"/>
                <w:szCs w:val="22"/>
              </w:rPr>
              <w:t>4. Prezes UKE prowadzi rejestr PT oraz rejestr JST w systemie teleinformatycznym.</w:t>
            </w:r>
          </w:p>
          <w:p w14:paraId="39E3055F" w14:textId="6DDA832C" w:rsidR="001E1112" w:rsidRPr="00317ABF" w:rsidRDefault="001E1112" w:rsidP="00DB3BEC">
            <w:pPr>
              <w:pStyle w:val="Tekstpodstawowy"/>
              <w:rPr>
                <w:sz w:val="22"/>
                <w:szCs w:val="22"/>
              </w:rPr>
            </w:pPr>
            <w:r w:rsidRPr="00317ABF">
              <w:rPr>
                <w:sz w:val="22"/>
                <w:szCs w:val="22"/>
              </w:rPr>
              <w:t>5. Rejestr PT i rejestr JST są jawne i udostępniane w Biuletynie Informacji Publicznej na stronie podmiotowej Prezesa Urzędu Komunikacji Elektronicznej, zwanej dalej „stroną podmiotową BIP UKE”</w:t>
            </w:r>
          </w:p>
        </w:tc>
      </w:tr>
      <w:tr w:rsidR="001E1112" w:rsidRPr="00317ABF" w14:paraId="4E73E849" w14:textId="77777777" w:rsidTr="7753F98D">
        <w:trPr>
          <w:gridAfter w:val="2"/>
          <w:wAfter w:w="175" w:type="dxa"/>
        </w:trPr>
        <w:tc>
          <w:tcPr>
            <w:tcW w:w="704" w:type="dxa"/>
          </w:tcPr>
          <w:p w14:paraId="5354C8C1" w14:textId="77777777" w:rsidR="001E1112" w:rsidRPr="00317ABF" w:rsidRDefault="001E1112" w:rsidP="00DB3BEC">
            <w:pPr>
              <w:jc w:val="both"/>
              <w:rPr>
                <w:sz w:val="22"/>
                <w:szCs w:val="22"/>
              </w:rPr>
            </w:pPr>
            <w:r w:rsidRPr="00317ABF">
              <w:rPr>
                <w:sz w:val="22"/>
                <w:szCs w:val="22"/>
              </w:rPr>
              <w:t>Art. 120 ust. 4</w:t>
            </w:r>
          </w:p>
        </w:tc>
        <w:tc>
          <w:tcPr>
            <w:tcW w:w="4308" w:type="dxa"/>
          </w:tcPr>
          <w:p w14:paraId="39D15E7F" w14:textId="77777777" w:rsidR="001E1112" w:rsidRPr="00317ABF" w:rsidRDefault="001E1112" w:rsidP="00DB3BEC">
            <w:pPr>
              <w:spacing w:before="120"/>
              <w:jc w:val="both"/>
              <w:rPr>
                <w:sz w:val="22"/>
                <w:szCs w:val="22"/>
              </w:rPr>
            </w:pPr>
            <w:r w:rsidRPr="00317ABF">
              <w:rPr>
                <w:sz w:val="22"/>
                <w:szCs w:val="22"/>
              </w:rPr>
              <w:t>4.   Jeżeli informacja, o której mowa w ust. 3, pochodzi z różnych szczebli władzy państwowej, a w szczególności jeżeli jest to informacja o procedurach i warunkach przyznawania prawa instalowania urządzeń, właściwy organ, uwzględniając związane z tym koszty, podejmuje stosowne wysiłki, ażeby zagwarantować łatwo zrozumiały dla użytkowników przegląd takich informacji, zawierający informację na temat poszczególnych szczebli władzy państwowej oraz odpowiedzialnych organów, celem ułatwienia składania wniosków o przyznanie prawa instalowania urządzeń.</w:t>
            </w:r>
          </w:p>
        </w:tc>
        <w:tc>
          <w:tcPr>
            <w:tcW w:w="986" w:type="dxa"/>
          </w:tcPr>
          <w:p w14:paraId="62900FE8" w14:textId="2978A9CE" w:rsidR="001E1112" w:rsidRPr="00317ABF" w:rsidRDefault="001E1112" w:rsidP="00DB3BEC">
            <w:pPr>
              <w:jc w:val="both"/>
              <w:rPr>
                <w:b/>
                <w:sz w:val="22"/>
                <w:szCs w:val="22"/>
              </w:rPr>
            </w:pPr>
            <w:r w:rsidRPr="00317ABF">
              <w:rPr>
                <w:b/>
                <w:sz w:val="22"/>
                <w:szCs w:val="22"/>
              </w:rPr>
              <w:t>N</w:t>
            </w:r>
          </w:p>
        </w:tc>
        <w:tc>
          <w:tcPr>
            <w:tcW w:w="910" w:type="dxa"/>
          </w:tcPr>
          <w:p w14:paraId="484D76FD" w14:textId="094B7BC5" w:rsidR="001E1112" w:rsidRPr="00317ABF" w:rsidRDefault="001E1112" w:rsidP="00DB3BEC">
            <w:pPr>
              <w:pStyle w:val="Tekstpodstawowy"/>
              <w:rPr>
                <w:b/>
                <w:noProof/>
                <w:sz w:val="22"/>
                <w:szCs w:val="22"/>
              </w:rPr>
            </w:pPr>
            <w:r w:rsidRPr="00317ABF">
              <w:rPr>
                <w:b/>
                <w:noProof/>
                <w:sz w:val="22"/>
                <w:szCs w:val="22"/>
              </w:rPr>
              <w:t>Art. 29b pkt 1 pkt 1ustawy o wspieraniu rozwoju</w:t>
            </w:r>
          </w:p>
        </w:tc>
        <w:tc>
          <w:tcPr>
            <w:tcW w:w="6814" w:type="dxa"/>
            <w:gridSpan w:val="2"/>
          </w:tcPr>
          <w:p w14:paraId="56BB258D" w14:textId="12B8F0C3" w:rsidR="001E1112" w:rsidRPr="00317ABF" w:rsidRDefault="001E1112" w:rsidP="00DB3BEC">
            <w:pPr>
              <w:pStyle w:val="Tekstpodstawowy"/>
              <w:rPr>
                <w:sz w:val="22"/>
                <w:szCs w:val="22"/>
              </w:rPr>
            </w:pPr>
            <w:r w:rsidRPr="00317ABF">
              <w:rPr>
                <w:sz w:val="22"/>
                <w:szCs w:val="22"/>
              </w:rPr>
              <w:t>Art. 29b</w:t>
            </w:r>
          </w:p>
          <w:p w14:paraId="68B1838D" w14:textId="649C8529" w:rsidR="001E1112" w:rsidRPr="00317ABF" w:rsidRDefault="001E1112" w:rsidP="00DB3BEC">
            <w:pPr>
              <w:pStyle w:val="Tekstpodstawowy"/>
              <w:rPr>
                <w:sz w:val="22"/>
                <w:szCs w:val="22"/>
              </w:rPr>
            </w:pPr>
            <w:r w:rsidRPr="00317ABF">
              <w:rPr>
                <w:sz w:val="22"/>
                <w:szCs w:val="22"/>
              </w:rPr>
              <w:t xml:space="preserve">1. W ramach punktu informacyjnego do spraw telekomunikacji zapewnia się każdemu operatorowi sieci, o ile nie zagraża to bezpieczeństwu państwa, dostęp do posiadanych przez Prezesa UKE informacji: </w:t>
            </w:r>
          </w:p>
          <w:p w14:paraId="179632F5" w14:textId="0A559AF5" w:rsidR="001E1112" w:rsidRPr="00317ABF" w:rsidRDefault="001E1112" w:rsidP="00DB3BEC">
            <w:pPr>
              <w:pStyle w:val="Tekstpodstawowy"/>
              <w:rPr>
                <w:sz w:val="22"/>
                <w:szCs w:val="22"/>
              </w:rPr>
            </w:pPr>
            <w:bookmarkStart w:id="192" w:name="mip52010515"/>
            <w:bookmarkEnd w:id="192"/>
            <w:r w:rsidRPr="00317ABF">
              <w:rPr>
                <w:sz w:val="22"/>
                <w:szCs w:val="22"/>
              </w:rPr>
              <w:t>1) w zakresie procedur i formalności wymaganych przed rozpoczęciem robót budowlanych dotyczących infrastruktury telekomunikacyjnej, w trakcie ich wykonywania oraz do ich zakończenia i rozpoczęcia użytkowania tej infrastruktury, w tym informacji o wymaganych decyzjach, zgłoszeniach i zawiadomieniach do właściwych organów, a także zwolnieniach z obowiązku ich uzyskania lub dokonania;</w:t>
            </w:r>
            <w:bookmarkStart w:id="193" w:name="mip52010516"/>
            <w:bookmarkEnd w:id="193"/>
          </w:p>
        </w:tc>
      </w:tr>
      <w:tr w:rsidR="001E1112" w:rsidRPr="00317ABF" w14:paraId="6F48C539" w14:textId="77777777" w:rsidTr="7753F98D">
        <w:trPr>
          <w:gridAfter w:val="2"/>
          <w:wAfter w:w="175" w:type="dxa"/>
        </w:trPr>
        <w:tc>
          <w:tcPr>
            <w:tcW w:w="704" w:type="dxa"/>
          </w:tcPr>
          <w:p w14:paraId="4F549B14" w14:textId="77777777" w:rsidR="001E1112" w:rsidRPr="00317ABF" w:rsidRDefault="001E1112" w:rsidP="00DB3BEC">
            <w:pPr>
              <w:jc w:val="both"/>
              <w:rPr>
                <w:sz w:val="22"/>
                <w:szCs w:val="22"/>
              </w:rPr>
            </w:pPr>
            <w:r w:rsidRPr="00317ABF">
              <w:rPr>
                <w:sz w:val="22"/>
                <w:szCs w:val="22"/>
              </w:rPr>
              <w:t>Art. 120 ust. 5</w:t>
            </w:r>
          </w:p>
        </w:tc>
        <w:tc>
          <w:tcPr>
            <w:tcW w:w="4308" w:type="dxa"/>
          </w:tcPr>
          <w:p w14:paraId="132B3AD8" w14:textId="77777777" w:rsidR="001E1112" w:rsidRPr="00317ABF" w:rsidRDefault="001E1112" w:rsidP="00DB3BEC">
            <w:pPr>
              <w:spacing w:before="120"/>
              <w:jc w:val="both"/>
              <w:rPr>
                <w:sz w:val="22"/>
                <w:szCs w:val="22"/>
              </w:rPr>
            </w:pPr>
            <w:r w:rsidRPr="00317ABF">
              <w:rPr>
                <w:sz w:val="22"/>
                <w:szCs w:val="22"/>
              </w:rPr>
              <w:t>5.   Państwa członkowskie zapewniają, by szczegółowe obowiązki nałożone na przedsiębiorstwa na mocy przepisów niniejszej dyrektywy podlegały publikacji oraz aby określono odnośne rynki towarów i usług oraz rynki geograficzne. Z zastrzeżeniem potrzeby ochrony tajemnicy handlowej państwa członkowskie zapewniają, by uaktualniona informacja była publicznie dostępna w sposób zapewniający wszystkim zainteresowanym stronom łatwy dostęp do tej informacji.</w:t>
            </w:r>
          </w:p>
        </w:tc>
        <w:tc>
          <w:tcPr>
            <w:tcW w:w="986" w:type="dxa"/>
          </w:tcPr>
          <w:p w14:paraId="626E9035" w14:textId="7A772731" w:rsidR="001E1112" w:rsidRPr="00317ABF" w:rsidRDefault="001E1112" w:rsidP="00DB3BEC">
            <w:pPr>
              <w:jc w:val="both"/>
              <w:rPr>
                <w:sz w:val="22"/>
                <w:szCs w:val="22"/>
              </w:rPr>
            </w:pPr>
            <w:r w:rsidRPr="00317ABF">
              <w:rPr>
                <w:sz w:val="22"/>
                <w:szCs w:val="22"/>
              </w:rPr>
              <w:t>N</w:t>
            </w:r>
          </w:p>
        </w:tc>
        <w:tc>
          <w:tcPr>
            <w:tcW w:w="910" w:type="dxa"/>
          </w:tcPr>
          <w:p w14:paraId="01CDF220" w14:textId="77777777" w:rsidR="001E1112" w:rsidRPr="00317ABF" w:rsidRDefault="001E1112" w:rsidP="00DB3BEC">
            <w:pPr>
              <w:pStyle w:val="Tekstpodstawowy"/>
              <w:rPr>
                <w:b/>
                <w:noProof/>
                <w:sz w:val="22"/>
                <w:szCs w:val="22"/>
              </w:rPr>
            </w:pPr>
          </w:p>
        </w:tc>
        <w:tc>
          <w:tcPr>
            <w:tcW w:w="6814" w:type="dxa"/>
            <w:gridSpan w:val="2"/>
          </w:tcPr>
          <w:p w14:paraId="1248DBB4" w14:textId="77777777" w:rsidR="001E1112" w:rsidRPr="00317ABF" w:rsidRDefault="001E1112" w:rsidP="00DB3BEC">
            <w:pPr>
              <w:pStyle w:val="Tekstpodstawowy"/>
              <w:rPr>
                <w:sz w:val="22"/>
                <w:szCs w:val="22"/>
              </w:rPr>
            </w:pPr>
          </w:p>
        </w:tc>
      </w:tr>
      <w:tr w:rsidR="001E1112" w:rsidRPr="00317ABF" w14:paraId="0AE3F9F1" w14:textId="77777777" w:rsidTr="7753F98D">
        <w:trPr>
          <w:gridAfter w:val="2"/>
          <w:wAfter w:w="175" w:type="dxa"/>
        </w:trPr>
        <w:tc>
          <w:tcPr>
            <w:tcW w:w="704" w:type="dxa"/>
          </w:tcPr>
          <w:p w14:paraId="48D134F7" w14:textId="77777777" w:rsidR="001E1112" w:rsidRPr="00317ABF" w:rsidRDefault="001E1112" w:rsidP="00DB3BEC">
            <w:pPr>
              <w:jc w:val="both"/>
              <w:rPr>
                <w:sz w:val="22"/>
                <w:szCs w:val="22"/>
              </w:rPr>
            </w:pPr>
            <w:r w:rsidRPr="00317ABF">
              <w:rPr>
                <w:sz w:val="22"/>
                <w:szCs w:val="22"/>
              </w:rPr>
              <w:t>Art. 120 ust. 6</w:t>
            </w:r>
          </w:p>
        </w:tc>
        <w:tc>
          <w:tcPr>
            <w:tcW w:w="4308" w:type="dxa"/>
          </w:tcPr>
          <w:p w14:paraId="6EB2FCF6" w14:textId="77777777" w:rsidR="001E1112" w:rsidRPr="00317ABF" w:rsidRDefault="001E1112" w:rsidP="00DB3BEC">
            <w:pPr>
              <w:spacing w:before="120"/>
              <w:jc w:val="both"/>
              <w:rPr>
                <w:sz w:val="22"/>
                <w:szCs w:val="22"/>
              </w:rPr>
            </w:pPr>
            <w:r w:rsidRPr="00317ABF">
              <w:rPr>
                <w:sz w:val="22"/>
                <w:szCs w:val="22"/>
              </w:rPr>
              <w:t>6.   Państwa członkowskie dostarczają Komisji informacje, które udostępniają publicznie zgodnie z ust. 5. Komisja udostępnia te informacje w przystępny sposób oraz przekazuje je w razie potrzeby Komitetowi ds. Łączności.</w:t>
            </w:r>
          </w:p>
        </w:tc>
        <w:tc>
          <w:tcPr>
            <w:tcW w:w="986" w:type="dxa"/>
          </w:tcPr>
          <w:p w14:paraId="577DBF0D" w14:textId="533D9F55" w:rsidR="001E1112" w:rsidRPr="00317ABF" w:rsidRDefault="001E1112" w:rsidP="00DB3BEC">
            <w:pPr>
              <w:jc w:val="both"/>
              <w:rPr>
                <w:sz w:val="22"/>
                <w:szCs w:val="22"/>
              </w:rPr>
            </w:pPr>
            <w:r w:rsidRPr="00317ABF">
              <w:rPr>
                <w:sz w:val="22"/>
                <w:szCs w:val="22"/>
              </w:rPr>
              <w:t>N</w:t>
            </w:r>
          </w:p>
        </w:tc>
        <w:tc>
          <w:tcPr>
            <w:tcW w:w="910" w:type="dxa"/>
          </w:tcPr>
          <w:p w14:paraId="31A351F8" w14:textId="77777777" w:rsidR="001E1112" w:rsidRPr="00317ABF" w:rsidRDefault="001E1112" w:rsidP="00DB3BEC">
            <w:pPr>
              <w:pStyle w:val="Tekstpodstawowy"/>
              <w:rPr>
                <w:b/>
                <w:noProof/>
                <w:sz w:val="22"/>
                <w:szCs w:val="22"/>
              </w:rPr>
            </w:pPr>
          </w:p>
        </w:tc>
        <w:tc>
          <w:tcPr>
            <w:tcW w:w="6814" w:type="dxa"/>
            <w:gridSpan w:val="2"/>
          </w:tcPr>
          <w:p w14:paraId="4514DB07" w14:textId="77777777" w:rsidR="001E1112" w:rsidRPr="00317ABF" w:rsidRDefault="001E1112" w:rsidP="00DB3BEC">
            <w:pPr>
              <w:pStyle w:val="Tekstpodstawowy"/>
              <w:rPr>
                <w:sz w:val="22"/>
                <w:szCs w:val="22"/>
              </w:rPr>
            </w:pPr>
          </w:p>
        </w:tc>
      </w:tr>
      <w:tr w:rsidR="001E1112" w:rsidRPr="00317ABF" w14:paraId="5202B4C8" w14:textId="77777777" w:rsidTr="7753F98D">
        <w:trPr>
          <w:gridAfter w:val="2"/>
          <w:wAfter w:w="175" w:type="dxa"/>
        </w:trPr>
        <w:tc>
          <w:tcPr>
            <w:tcW w:w="704" w:type="dxa"/>
          </w:tcPr>
          <w:p w14:paraId="1589063D" w14:textId="77777777" w:rsidR="001E1112" w:rsidRPr="00317ABF" w:rsidRDefault="001E1112" w:rsidP="00DB3BEC">
            <w:pPr>
              <w:jc w:val="both"/>
              <w:rPr>
                <w:b/>
                <w:sz w:val="22"/>
                <w:szCs w:val="22"/>
              </w:rPr>
            </w:pPr>
            <w:r w:rsidRPr="00317ABF">
              <w:rPr>
                <w:b/>
                <w:sz w:val="22"/>
                <w:szCs w:val="22"/>
              </w:rPr>
              <w:t>Art. 121</w:t>
            </w:r>
          </w:p>
        </w:tc>
        <w:tc>
          <w:tcPr>
            <w:tcW w:w="4308" w:type="dxa"/>
          </w:tcPr>
          <w:p w14:paraId="2CC72FE3" w14:textId="77777777" w:rsidR="001E1112" w:rsidRPr="00317ABF" w:rsidRDefault="001E1112" w:rsidP="00DB3BEC">
            <w:pPr>
              <w:spacing w:before="120"/>
              <w:jc w:val="both"/>
              <w:rPr>
                <w:sz w:val="22"/>
                <w:szCs w:val="22"/>
              </w:rPr>
            </w:pPr>
            <w:r w:rsidRPr="00317ABF">
              <w:rPr>
                <w:b/>
                <w:bCs/>
                <w:sz w:val="22"/>
                <w:szCs w:val="22"/>
              </w:rPr>
              <w:t>Powiadamianie i monitorowanie</w:t>
            </w:r>
          </w:p>
        </w:tc>
        <w:tc>
          <w:tcPr>
            <w:tcW w:w="986" w:type="dxa"/>
          </w:tcPr>
          <w:p w14:paraId="171D9CA0" w14:textId="77777777" w:rsidR="001E1112" w:rsidRPr="00317ABF" w:rsidRDefault="001E1112" w:rsidP="00DB3BEC">
            <w:pPr>
              <w:jc w:val="both"/>
              <w:rPr>
                <w:sz w:val="22"/>
                <w:szCs w:val="22"/>
              </w:rPr>
            </w:pPr>
          </w:p>
        </w:tc>
        <w:tc>
          <w:tcPr>
            <w:tcW w:w="910" w:type="dxa"/>
          </w:tcPr>
          <w:p w14:paraId="6CBF5FA5" w14:textId="77777777" w:rsidR="001E1112" w:rsidRPr="00317ABF" w:rsidRDefault="001E1112" w:rsidP="00DB3BEC">
            <w:pPr>
              <w:pStyle w:val="Tekstpodstawowy"/>
              <w:rPr>
                <w:b/>
                <w:noProof/>
                <w:sz w:val="22"/>
                <w:szCs w:val="22"/>
              </w:rPr>
            </w:pPr>
          </w:p>
        </w:tc>
        <w:tc>
          <w:tcPr>
            <w:tcW w:w="6814" w:type="dxa"/>
            <w:gridSpan w:val="2"/>
          </w:tcPr>
          <w:p w14:paraId="5EB90A49" w14:textId="77777777" w:rsidR="001E1112" w:rsidRPr="00317ABF" w:rsidRDefault="001E1112" w:rsidP="00DB3BEC">
            <w:pPr>
              <w:pStyle w:val="Tekstpodstawowy"/>
              <w:rPr>
                <w:sz w:val="22"/>
                <w:szCs w:val="22"/>
              </w:rPr>
            </w:pPr>
          </w:p>
        </w:tc>
      </w:tr>
      <w:tr w:rsidR="001E1112" w:rsidRPr="00317ABF" w14:paraId="07C045EA" w14:textId="77777777" w:rsidTr="7753F98D">
        <w:trPr>
          <w:gridAfter w:val="2"/>
          <w:wAfter w:w="175" w:type="dxa"/>
        </w:trPr>
        <w:tc>
          <w:tcPr>
            <w:tcW w:w="704" w:type="dxa"/>
          </w:tcPr>
          <w:p w14:paraId="2152DB13" w14:textId="77777777" w:rsidR="001E1112" w:rsidRPr="00317ABF" w:rsidRDefault="001E1112" w:rsidP="00DB3BEC">
            <w:pPr>
              <w:jc w:val="both"/>
              <w:rPr>
                <w:sz w:val="22"/>
                <w:szCs w:val="22"/>
              </w:rPr>
            </w:pPr>
            <w:r w:rsidRPr="00317ABF">
              <w:rPr>
                <w:sz w:val="22"/>
                <w:szCs w:val="22"/>
              </w:rPr>
              <w:t>Art. 121 ust. 1</w:t>
            </w:r>
          </w:p>
        </w:tc>
        <w:tc>
          <w:tcPr>
            <w:tcW w:w="4308" w:type="dxa"/>
          </w:tcPr>
          <w:p w14:paraId="040ABA56" w14:textId="77777777" w:rsidR="001E1112" w:rsidRPr="00317ABF" w:rsidRDefault="001E1112" w:rsidP="00DB3BEC">
            <w:pPr>
              <w:spacing w:before="120"/>
              <w:jc w:val="both"/>
              <w:rPr>
                <w:sz w:val="22"/>
                <w:szCs w:val="22"/>
              </w:rPr>
            </w:pPr>
            <w:r w:rsidRPr="00317ABF">
              <w:rPr>
                <w:sz w:val="22"/>
                <w:szCs w:val="22"/>
              </w:rPr>
              <w:t>1.   Krajowe organy regulacyjne powiadamiają Komisję najpóźniej do dnia 21 grudnia 2020 r., oraz następnie niezwłocznie w okresie późniejszym, o nazwach przedsiębiorstw mających obowiązek świadczenia usług powszechnych na mocy art. 85 ust. 2, art. 86 lub 87.</w:t>
            </w:r>
          </w:p>
        </w:tc>
        <w:tc>
          <w:tcPr>
            <w:tcW w:w="986" w:type="dxa"/>
          </w:tcPr>
          <w:p w14:paraId="3AC38E8F" w14:textId="5674AFD8" w:rsidR="001E1112" w:rsidRPr="00317ABF" w:rsidRDefault="00D5109C" w:rsidP="00DB3BEC">
            <w:pPr>
              <w:jc w:val="both"/>
              <w:rPr>
                <w:sz w:val="22"/>
                <w:szCs w:val="22"/>
              </w:rPr>
            </w:pPr>
            <w:r w:rsidRPr="00317ABF">
              <w:rPr>
                <w:sz w:val="22"/>
                <w:szCs w:val="22"/>
              </w:rPr>
              <w:t>T</w:t>
            </w:r>
          </w:p>
        </w:tc>
        <w:tc>
          <w:tcPr>
            <w:tcW w:w="910" w:type="dxa"/>
          </w:tcPr>
          <w:p w14:paraId="66DFB2A5" w14:textId="7DB1E527" w:rsidR="001E1112" w:rsidRPr="00317ABF" w:rsidRDefault="00D5109C" w:rsidP="00DB3BEC">
            <w:pPr>
              <w:pStyle w:val="Tekstpodstawowy"/>
              <w:rPr>
                <w:b/>
                <w:noProof/>
                <w:sz w:val="22"/>
                <w:szCs w:val="22"/>
              </w:rPr>
            </w:pPr>
            <w:r w:rsidRPr="00317ABF">
              <w:rPr>
                <w:b/>
                <w:noProof/>
                <w:sz w:val="22"/>
                <w:szCs w:val="22"/>
              </w:rPr>
              <w:t>Art. 358</w:t>
            </w:r>
          </w:p>
        </w:tc>
        <w:tc>
          <w:tcPr>
            <w:tcW w:w="6814" w:type="dxa"/>
            <w:gridSpan w:val="2"/>
          </w:tcPr>
          <w:p w14:paraId="3C5AF539" w14:textId="77777777" w:rsidR="00D5109C" w:rsidRPr="00317ABF" w:rsidRDefault="00D5109C" w:rsidP="00D5109C">
            <w:pPr>
              <w:pStyle w:val="Tekstpodstawowy"/>
              <w:rPr>
                <w:sz w:val="22"/>
                <w:szCs w:val="22"/>
              </w:rPr>
            </w:pPr>
            <w:r w:rsidRPr="00317ABF">
              <w:rPr>
                <w:b/>
                <w:sz w:val="22"/>
                <w:szCs w:val="22"/>
              </w:rPr>
              <w:t>Art. 358.</w:t>
            </w:r>
            <w:r w:rsidRPr="00317ABF">
              <w:rPr>
                <w:sz w:val="22"/>
                <w:szCs w:val="22"/>
              </w:rPr>
              <w:t xml:space="preserve"> 1. Prezes UKE niezwłocznie przekazuje Komisji Europejskiej listę przedsiębiorców telekomunikacyjnych, na których nałożono obowiązek w zakresie usługi powszechnej.</w:t>
            </w:r>
          </w:p>
          <w:p w14:paraId="087E50A5" w14:textId="77777777" w:rsidR="00D5109C" w:rsidRPr="00317ABF" w:rsidRDefault="00D5109C" w:rsidP="00D5109C">
            <w:pPr>
              <w:pStyle w:val="Tekstpodstawowy"/>
              <w:rPr>
                <w:bCs/>
                <w:sz w:val="22"/>
                <w:szCs w:val="22"/>
              </w:rPr>
            </w:pPr>
            <w:r w:rsidRPr="00317ABF">
              <w:rPr>
                <w:bCs/>
                <w:sz w:val="22"/>
                <w:szCs w:val="22"/>
              </w:rPr>
              <w:t>2. Prezes UKE udostępnia na stronie podmiotowej BIP UKE listę, o której mowa w ust. 1, wraz ze wskazaniem zakresu obowiązku realizowanego przez każdego z przedsiębiorców telekomunikacyjnych.</w:t>
            </w:r>
          </w:p>
          <w:p w14:paraId="566B1958" w14:textId="77777777" w:rsidR="001E1112" w:rsidRPr="00317ABF" w:rsidRDefault="001E1112" w:rsidP="00DB3BEC">
            <w:pPr>
              <w:pStyle w:val="Tekstpodstawowy"/>
              <w:rPr>
                <w:sz w:val="22"/>
                <w:szCs w:val="22"/>
              </w:rPr>
            </w:pPr>
          </w:p>
        </w:tc>
      </w:tr>
      <w:tr w:rsidR="001E1112" w:rsidRPr="00317ABF" w14:paraId="37AA1974" w14:textId="77777777" w:rsidTr="7753F98D">
        <w:trPr>
          <w:gridAfter w:val="2"/>
          <w:wAfter w:w="175" w:type="dxa"/>
        </w:trPr>
        <w:tc>
          <w:tcPr>
            <w:tcW w:w="704" w:type="dxa"/>
          </w:tcPr>
          <w:p w14:paraId="6AB42C59" w14:textId="77777777" w:rsidR="001E1112" w:rsidRPr="00317ABF" w:rsidRDefault="001E1112" w:rsidP="00DB3BEC">
            <w:pPr>
              <w:jc w:val="both"/>
              <w:rPr>
                <w:sz w:val="22"/>
                <w:szCs w:val="22"/>
              </w:rPr>
            </w:pPr>
            <w:r w:rsidRPr="00317ABF">
              <w:rPr>
                <w:sz w:val="22"/>
                <w:szCs w:val="22"/>
              </w:rPr>
              <w:t>Art. 121 ust. 2</w:t>
            </w:r>
          </w:p>
        </w:tc>
        <w:tc>
          <w:tcPr>
            <w:tcW w:w="4308" w:type="dxa"/>
          </w:tcPr>
          <w:p w14:paraId="27D093B8" w14:textId="77777777" w:rsidR="001E1112" w:rsidRPr="00317ABF" w:rsidRDefault="001E1112" w:rsidP="00DB3BEC">
            <w:pPr>
              <w:spacing w:before="120"/>
              <w:jc w:val="both"/>
              <w:rPr>
                <w:sz w:val="22"/>
                <w:szCs w:val="22"/>
              </w:rPr>
            </w:pPr>
            <w:r w:rsidRPr="00317ABF">
              <w:rPr>
                <w:sz w:val="22"/>
                <w:szCs w:val="22"/>
              </w:rPr>
              <w:t>2.   Krajowe organy regulacyjne przekazują Komisji nazwy przedsiębiorstw wyznaczonych jako posiadające znaczącą pozycję rynkową dla celów niniejszej dyrektywy oraz obowiązki, jakie zostały na nich nałożone na mocy niniejszej dyrektywy. Jakakolwiek zmiana obowiązków nałożonych na przedsiębiorstwa lub przedsiębiorstwa objęte niniejszą dyrektywą musi być niezwłocznie notyfikowana Komisji.</w:t>
            </w:r>
          </w:p>
        </w:tc>
        <w:tc>
          <w:tcPr>
            <w:tcW w:w="986" w:type="dxa"/>
          </w:tcPr>
          <w:p w14:paraId="141D6FA2" w14:textId="2CB0FC8F" w:rsidR="001E1112" w:rsidRPr="00317ABF" w:rsidRDefault="001E1112" w:rsidP="00DB3BEC">
            <w:pPr>
              <w:jc w:val="both"/>
              <w:rPr>
                <w:sz w:val="22"/>
                <w:szCs w:val="22"/>
              </w:rPr>
            </w:pPr>
          </w:p>
        </w:tc>
        <w:tc>
          <w:tcPr>
            <w:tcW w:w="910" w:type="dxa"/>
          </w:tcPr>
          <w:p w14:paraId="3DFB72D7" w14:textId="77777777" w:rsidR="001E1112" w:rsidRPr="00317ABF" w:rsidRDefault="001E1112" w:rsidP="00DB3BEC">
            <w:pPr>
              <w:pStyle w:val="Tekstpodstawowy"/>
              <w:rPr>
                <w:b/>
                <w:noProof/>
                <w:sz w:val="22"/>
                <w:szCs w:val="22"/>
              </w:rPr>
            </w:pPr>
          </w:p>
        </w:tc>
        <w:tc>
          <w:tcPr>
            <w:tcW w:w="6814" w:type="dxa"/>
            <w:gridSpan w:val="2"/>
          </w:tcPr>
          <w:p w14:paraId="225EE481" w14:textId="77777777" w:rsidR="001E1112" w:rsidRPr="00317ABF" w:rsidRDefault="001E1112" w:rsidP="00DB3BEC">
            <w:pPr>
              <w:pStyle w:val="Tekstpodstawowy"/>
              <w:rPr>
                <w:sz w:val="22"/>
                <w:szCs w:val="22"/>
              </w:rPr>
            </w:pPr>
          </w:p>
        </w:tc>
      </w:tr>
      <w:tr w:rsidR="001E1112" w:rsidRPr="00317ABF" w14:paraId="26A80E97" w14:textId="77777777" w:rsidTr="7753F98D">
        <w:trPr>
          <w:gridAfter w:val="2"/>
          <w:wAfter w:w="175" w:type="dxa"/>
        </w:trPr>
        <w:tc>
          <w:tcPr>
            <w:tcW w:w="704" w:type="dxa"/>
          </w:tcPr>
          <w:p w14:paraId="72D39E9B" w14:textId="77777777" w:rsidR="001E1112" w:rsidRPr="00317ABF" w:rsidRDefault="001E1112" w:rsidP="00DB3BEC">
            <w:pPr>
              <w:jc w:val="both"/>
              <w:rPr>
                <w:b/>
                <w:sz w:val="22"/>
                <w:szCs w:val="22"/>
              </w:rPr>
            </w:pPr>
            <w:r w:rsidRPr="00317ABF">
              <w:rPr>
                <w:b/>
                <w:sz w:val="22"/>
                <w:szCs w:val="22"/>
              </w:rPr>
              <w:t>Art. 122</w:t>
            </w:r>
          </w:p>
        </w:tc>
        <w:tc>
          <w:tcPr>
            <w:tcW w:w="4308" w:type="dxa"/>
          </w:tcPr>
          <w:p w14:paraId="3F3122F7" w14:textId="77777777" w:rsidR="001E1112" w:rsidRPr="00317ABF" w:rsidRDefault="001E1112" w:rsidP="00DB3BEC">
            <w:pPr>
              <w:spacing w:before="120"/>
              <w:jc w:val="both"/>
              <w:rPr>
                <w:sz w:val="22"/>
                <w:szCs w:val="22"/>
              </w:rPr>
            </w:pPr>
            <w:r w:rsidRPr="00317ABF">
              <w:rPr>
                <w:b/>
                <w:bCs/>
                <w:sz w:val="22"/>
                <w:szCs w:val="22"/>
              </w:rPr>
              <w:t>Procedura przeglądu</w:t>
            </w:r>
          </w:p>
        </w:tc>
        <w:tc>
          <w:tcPr>
            <w:tcW w:w="986" w:type="dxa"/>
          </w:tcPr>
          <w:p w14:paraId="3A467B4F" w14:textId="77777777" w:rsidR="001E1112" w:rsidRPr="00317ABF" w:rsidRDefault="001E1112" w:rsidP="00DB3BEC">
            <w:pPr>
              <w:jc w:val="both"/>
              <w:rPr>
                <w:sz w:val="22"/>
                <w:szCs w:val="22"/>
              </w:rPr>
            </w:pPr>
          </w:p>
        </w:tc>
        <w:tc>
          <w:tcPr>
            <w:tcW w:w="910" w:type="dxa"/>
          </w:tcPr>
          <w:p w14:paraId="6FC43A58" w14:textId="77777777" w:rsidR="001E1112" w:rsidRPr="00317ABF" w:rsidRDefault="001E1112" w:rsidP="00DB3BEC">
            <w:pPr>
              <w:pStyle w:val="Tekstpodstawowy"/>
              <w:rPr>
                <w:b/>
                <w:noProof/>
                <w:sz w:val="22"/>
                <w:szCs w:val="22"/>
              </w:rPr>
            </w:pPr>
          </w:p>
        </w:tc>
        <w:tc>
          <w:tcPr>
            <w:tcW w:w="6814" w:type="dxa"/>
            <w:gridSpan w:val="2"/>
          </w:tcPr>
          <w:p w14:paraId="7A90292A" w14:textId="77777777" w:rsidR="001E1112" w:rsidRPr="00317ABF" w:rsidRDefault="001E1112" w:rsidP="00DB3BEC">
            <w:pPr>
              <w:pStyle w:val="Tekstpodstawowy"/>
              <w:rPr>
                <w:sz w:val="22"/>
                <w:szCs w:val="22"/>
              </w:rPr>
            </w:pPr>
          </w:p>
        </w:tc>
      </w:tr>
      <w:tr w:rsidR="001E1112" w:rsidRPr="00317ABF" w14:paraId="6F40491E" w14:textId="77777777" w:rsidTr="7753F98D">
        <w:trPr>
          <w:gridAfter w:val="2"/>
          <w:wAfter w:w="175" w:type="dxa"/>
        </w:trPr>
        <w:tc>
          <w:tcPr>
            <w:tcW w:w="704" w:type="dxa"/>
          </w:tcPr>
          <w:p w14:paraId="7172F06B" w14:textId="77777777" w:rsidR="001E1112" w:rsidRPr="00317ABF" w:rsidRDefault="001E1112" w:rsidP="00DB3BEC">
            <w:pPr>
              <w:jc w:val="both"/>
              <w:rPr>
                <w:sz w:val="22"/>
                <w:szCs w:val="22"/>
              </w:rPr>
            </w:pPr>
            <w:r w:rsidRPr="00317ABF">
              <w:rPr>
                <w:sz w:val="22"/>
                <w:szCs w:val="22"/>
              </w:rPr>
              <w:t>Art. 122 ust. 1</w:t>
            </w:r>
          </w:p>
        </w:tc>
        <w:tc>
          <w:tcPr>
            <w:tcW w:w="4308" w:type="dxa"/>
          </w:tcPr>
          <w:p w14:paraId="598093E4" w14:textId="77777777" w:rsidR="001E1112" w:rsidRPr="00317ABF" w:rsidRDefault="001E1112" w:rsidP="00DB3BEC">
            <w:pPr>
              <w:spacing w:before="120"/>
              <w:jc w:val="both"/>
              <w:rPr>
                <w:sz w:val="22"/>
                <w:szCs w:val="22"/>
              </w:rPr>
            </w:pPr>
            <w:r w:rsidRPr="00317ABF">
              <w:rPr>
                <w:sz w:val="22"/>
                <w:szCs w:val="22"/>
              </w:rPr>
              <w:t>1.   Do dnia 21 grudnia 2025 r., a następnie co pięć lat, Komisja dokonuje przeglądu stosowania niniejszej dyrektywy oraz składa Parlamentowi Europejskiemu oraz Radzie sprawozdania.</w:t>
            </w:r>
          </w:p>
          <w:p w14:paraId="4091FE11" w14:textId="77777777" w:rsidR="001E1112" w:rsidRPr="00317ABF" w:rsidRDefault="001E1112" w:rsidP="00DB3BEC">
            <w:pPr>
              <w:spacing w:before="120"/>
              <w:jc w:val="both"/>
              <w:rPr>
                <w:sz w:val="22"/>
                <w:szCs w:val="22"/>
              </w:rPr>
            </w:pPr>
            <w:r w:rsidRPr="00317ABF">
              <w:rPr>
                <w:sz w:val="22"/>
                <w:szCs w:val="22"/>
              </w:rPr>
              <w:t>Przeglądy te ocenią w szczególności wpływ art. 61 ust. 3 oraz art. 76, 78 i 79 na rynek oraz to, czy uprawnienia ex ante i inne uprawnienia interwencyjne na podstawie niniejszej dyrektywy są wystarczające, aby umożliwić krajowym organom regulacyjnym zajęcie się problemem niekonkurencyjnych oligopolistycznych struktur rynkowych oraz zapewnić, aby konkurencja na rynkach łączności elektronicznej nadal się rozwijała z korzyścią dla użytkowników końcowych.</w:t>
            </w:r>
          </w:p>
          <w:p w14:paraId="0419B721" w14:textId="77777777" w:rsidR="001E1112" w:rsidRPr="00317ABF" w:rsidRDefault="001E1112" w:rsidP="00DB3BEC">
            <w:pPr>
              <w:spacing w:before="120"/>
              <w:jc w:val="both"/>
              <w:rPr>
                <w:sz w:val="22"/>
                <w:szCs w:val="22"/>
              </w:rPr>
            </w:pPr>
            <w:r w:rsidRPr="00317ABF">
              <w:rPr>
                <w:sz w:val="22"/>
                <w:szCs w:val="22"/>
              </w:rPr>
              <w:t>W tym celu Komisja może zażądać od państw członkowskich informacji, które winny zostać dostarczone bez nieuzasadnionej zwłoki.</w:t>
            </w:r>
          </w:p>
        </w:tc>
        <w:tc>
          <w:tcPr>
            <w:tcW w:w="986" w:type="dxa"/>
          </w:tcPr>
          <w:p w14:paraId="7ADA41D6" w14:textId="77777777" w:rsidR="001E1112" w:rsidRPr="00317ABF" w:rsidRDefault="001E1112" w:rsidP="00DB3BEC">
            <w:pPr>
              <w:jc w:val="both"/>
              <w:rPr>
                <w:sz w:val="22"/>
                <w:szCs w:val="22"/>
              </w:rPr>
            </w:pPr>
            <w:r w:rsidRPr="00317ABF">
              <w:rPr>
                <w:sz w:val="22"/>
                <w:szCs w:val="22"/>
              </w:rPr>
              <w:t>N</w:t>
            </w:r>
          </w:p>
        </w:tc>
        <w:tc>
          <w:tcPr>
            <w:tcW w:w="910" w:type="dxa"/>
          </w:tcPr>
          <w:p w14:paraId="1ECBA369" w14:textId="77777777" w:rsidR="001E1112" w:rsidRPr="00317ABF" w:rsidRDefault="001E1112" w:rsidP="00DB3BEC">
            <w:pPr>
              <w:pStyle w:val="Tekstpodstawowy"/>
              <w:rPr>
                <w:b/>
                <w:noProof/>
                <w:sz w:val="22"/>
                <w:szCs w:val="22"/>
              </w:rPr>
            </w:pPr>
          </w:p>
        </w:tc>
        <w:tc>
          <w:tcPr>
            <w:tcW w:w="6814" w:type="dxa"/>
            <w:gridSpan w:val="2"/>
          </w:tcPr>
          <w:p w14:paraId="2E90E154" w14:textId="77777777" w:rsidR="001E1112" w:rsidRPr="00317ABF" w:rsidRDefault="001E1112" w:rsidP="00DB3BEC">
            <w:pPr>
              <w:pStyle w:val="Tekstpodstawowy"/>
              <w:rPr>
                <w:sz w:val="22"/>
                <w:szCs w:val="22"/>
              </w:rPr>
            </w:pPr>
          </w:p>
        </w:tc>
      </w:tr>
      <w:tr w:rsidR="001E1112" w:rsidRPr="00317ABF" w14:paraId="0CAAB243" w14:textId="77777777" w:rsidTr="7753F98D">
        <w:trPr>
          <w:gridAfter w:val="2"/>
          <w:wAfter w:w="175" w:type="dxa"/>
        </w:trPr>
        <w:tc>
          <w:tcPr>
            <w:tcW w:w="704" w:type="dxa"/>
          </w:tcPr>
          <w:p w14:paraId="758EFF3D" w14:textId="77777777" w:rsidR="001E1112" w:rsidRPr="00317ABF" w:rsidRDefault="001E1112" w:rsidP="00DB3BEC">
            <w:pPr>
              <w:jc w:val="both"/>
              <w:rPr>
                <w:sz w:val="22"/>
                <w:szCs w:val="22"/>
              </w:rPr>
            </w:pPr>
            <w:r w:rsidRPr="00317ABF">
              <w:rPr>
                <w:sz w:val="22"/>
                <w:szCs w:val="22"/>
              </w:rPr>
              <w:t>Art. 122 ust. 2</w:t>
            </w:r>
          </w:p>
        </w:tc>
        <w:tc>
          <w:tcPr>
            <w:tcW w:w="4308" w:type="dxa"/>
          </w:tcPr>
          <w:p w14:paraId="56E80B24" w14:textId="77777777" w:rsidR="001E1112" w:rsidRPr="00317ABF" w:rsidRDefault="001E1112" w:rsidP="00DB3BEC">
            <w:pPr>
              <w:spacing w:before="120"/>
              <w:jc w:val="both"/>
              <w:rPr>
                <w:sz w:val="22"/>
                <w:szCs w:val="22"/>
              </w:rPr>
            </w:pPr>
            <w:r w:rsidRPr="00317ABF">
              <w:rPr>
                <w:sz w:val="22"/>
                <w:szCs w:val="22"/>
              </w:rPr>
              <w:t>2.   Do dnia 21 grudnia 2025 r., a następnie co pięć lat, Komisja dokonuje przeglądu zakresu usługi powszechnej, w szczególności w celu zaproponowania Parlamentowi Europejskiemu i Radzie zmian i określenia na nowo tego zakresu.</w:t>
            </w:r>
          </w:p>
          <w:p w14:paraId="23FC6FB1" w14:textId="77777777" w:rsidR="001E1112" w:rsidRPr="00317ABF" w:rsidRDefault="001E1112" w:rsidP="00DB3BEC">
            <w:pPr>
              <w:spacing w:before="120"/>
              <w:jc w:val="both"/>
              <w:rPr>
                <w:sz w:val="22"/>
                <w:szCs w:val="22"/>
              </w:rPr>
            </w:pPr>
            <w:r w:rsidRPr="00317ABF">
              <w:rPr>
                <w:sz w:val="22"/>
                <w:szCs w:val="22"/>
              </w:rPr>
              <w:t>Taki przegląd przeprowadza się z uwzględnieniem zmian społecznych, ekonomicznych i technologicznych, biorąc pod uwagę, między innymi, mobilność i szybkość przesyłania danych w świetle dominujących technologii wykorzystywanych przez większość użytkowników końcowych. Komisja przedkłada Parlamentowi Europejskiemu i Radzie sprawozdanie dotyczące wyników tego przeglądu.</w:t>
            </w:r>
          </w:p>
        </w:tc>
        <w:tc>
          <w:tcPr>
            <w:tcW w:w="986" w:type="dxa"/>
          </w:tcPr>
          <w:p w14:paraId="2D480BE1" w14:textId="77777777" w:rsidR="001E1112" w:rsidRPr="00317ABF" w:rsidRDefault="001E1112" w:rsidP="00DB3BEC">
            <w:pPr>
              <w:jc w:val="both"/>
              <w:rPr>
                <w:sz w:val="22"/>
                <w:szCs w:val="22"/>
              </w:rPr>
            </w:pPr>
            <w:r w:rsidRPr="00317ABF">
              <w:rPr>
                <w:sz w:val="22"/>
                <w:szCs w:val="22"/>
              </w:rPr>
              <w:t>N</w:t>
            </w:r>
          </w:p>
        </w:tc>
        <w:tc>
          <w:tcPr>
            <w:tcW w:w="910" w:type="dxa"/>
          </w:tcPr>
          <w:p w14:paraId="1659240D" w14:textId="77777777" w:rsidR="001E1112" w:rsidRPr="00317ABF" w:rsidRDefault="001E1112" w:rsidP="00DB3BEC">
            <w:pPr>
              <w:pStyle w:val="Tekstpodstawowy"/>
              <w:rPr>
                <w:b/>
                <w:noProof/>
                <w:sz w:val="22"/>
                <w:szCs w:val="22"/>
              </w:rPr>
            </w:pPr>
          </w:p>
        </w:tc>
        <w:tc>
          <w:tcPr>
            <w:tcW w:w="6814" w:type="dxa"/>
            <w:gridSpan w:val="2"/>
          </w:tcPr>
          <w:p w14:paraId="1D012D42" w14:textId="77777777" w:rsidR="001E1112" w:rsidRPr="00317ABF" w:rsidRDefault="001E1112" w:rsidP="00DB3BEC">
            <w:pPr>
              <w:pStyle w:val="Tekstpodstawowy"/>
              <w:rPr>
                <w:sz w:val="22"/>
                <w:szCs w:val="22"/>
              </w:rPr>
            </w:pPr>
          </w:p>
        </w:tc>
      </w:tr>
      <w:tr w:rsidR="001E1112" w:rsidRPr="00317ABF" w14:paraId="44186EB3" w14:textId="77777777" w:rsidTr="7753F98D">
        <w:trPr>
          <w:gridAfter w:val="2"/>
          <w:wAfter w:w="175" w:type="dxa"/>
        </w:trPr>
        <w:tc>
          <w:tcPr>
            <w:tcW w:w="704" w:type="dxa"/>
          </w:tcPr>
          <w:p w14:paraId="5114E4D2" w14:textId="77777777" w:rsidR="001E1112" w:rsidRPr="00317ABF" w:rsidRDefault="001E1112" w:rsidP="00DB3BEC">
            <w:pPr>
              <w:jc w:val="both"/>
              <w:rPr>
                <w:sz w:val="22"/>
                <w:szCs w:val="22"/>
              </w:rPr>
            </w:pPr>
            <w:r w:rsidRPr="00317ABF">
              <w:rPr>
                <w:sz w:val="22"/>
                <w:szCs w:val="22"/>
              </w:rPr>
              <w:t>Art. 122 ust. 3</w:t>
            </w:r>
          </w:p>
        </w:tc>
        <w:tc>
          <w:tcPr>
            <w:tcW w:w="4308" w:type="dxa"/>
          </w:tcPr>
          <w:p w14:paraId="5A758C60" w14:textId="77777777" w:rsidR="001E1112" w:rsidRPr="00317ABF" w:rsidRDefault="001E1112" w:rsidP="00DB3BEC">
            <w:pPr>
              <w:spacing w:before="120"/>
              <w:jc w:val="both"/>
              <w:rPr>
                <w:sz w:val="22"/>
                <w:szCs w:val="22"/>
              </w:rPr>
            </w:pPr>
            <w:r w:rsidRPr="00317ABF">
              <w:rPr>
                <w:sz w:val="22"/>
                <w:szCs w:val="22"/>
              </w:rPr>
              <w:t>3.   Do dnia 21 grudnia 2021 r., a następnie co trzy lata, BEREC publikuje opinię na temat krajowego wdrażania i funkcjonowania ogólnego zezwolenia oraz na temat ich wpływu na funkcjonowanie rynku wewnętrznego.</w:t>
            </w:r>
          </w:p>
          <w:p w14:paraId="6467546E" w14:textId="77777777" w:rsidR="001E1112" w:rsidRPr="00317ABF" w:rsidRDefault="001E1112" w:rsidP="00DB3BEC">
            <w:pPr>
              <w:spacing w:before="120"/>
              <w:jc w:val="both"/>
              <w:rPr>
                <w:sz w:val="22"/>
                <w:szCs w:val="22"/>
              </w:rPr>
            </w:pPr>
            <w:r w:rsidRPr="00317ABF">
              <w:rPr>
                <w:sz w:val="22"/>
                <w:szCs w:val="22"/>
              </w:rPr>
              <w:t>Komisja może, uwzględniając w jak największym stopniu opinię BEREC opublikować sprawozdanie na temat stosowania tytułu II rozdział II części I oraz załącznika I i może przedstawić wniosek ustawodawczy służący zmianie tych przepisów, w przypadku gdy uzna to za konieczne w celu usunięcia przeszkód w prawidłowym funkcjonowaniu rynku wewnętrznego.</w:t>
            </w:r>
          </w:p>
        </w:tc>
        <w:tc>
          <w:tcPr>
            <w:tcW w:w="986" w:type="dxa"/>
          </w:tcPr>
          <w:p w14:paraId="39F7EE5D" w14:textId="77777777" w:rsidR="001E1112" w:rsidRPr="00317ABF" w:rsidRDefault="001E1112" w:rsidP="00DB3BEC">
            <w:pPr>
              <w:jc w:val="both"/>
              <w:rPr>
                <w:sz w:val="22"/>
                <w:szCs w:val="22"/>
              </w:rPr>
            </w:pPr>
            <w:r w:rsidRPr="00317ABF">
              <w:rPr>
                <w:sz w:val="22"/>
                <w:szCs w:val="22"/>
              </w:rPr>
              <w:t>N</w:t>
            </w:r>
          </w:p>
        </w:tc>
        <w:tc>
          <w:tcPr>
            <w:tcW w:w="910" w:type="dxa"/>
          </w:tcPr>
          <w:p w14:paraId="0EF79826" w14:textId="77777777" w:rsidR="001E1112" w:rsidRPr="00317ABF" w:rsidRDefault="001E1112" w:rsidP="00DB3BEC">
            <w:pPr>
              <w:pStyle w:val="Tekstpodstawowy"/>
              <w:rPr>
                <w:b/>
                <w:noProof/>
                <w:sz w:val="22"/>
                <w:szCs w:val="22"/>
              </w:rPr>
            </w:pPr>
          </w:p>
        </w:tc>
        <w:tc>
          <w:tcPr>
            <w:tcW w:w="6814" w:type="dxa"/>
            <w:gridSpan w:val="2"/>
          </w:tcPr>
          <w:p w14:paraId="6783A9DD" w14:textId="77777777" w:rsidR="001E1112" w:rsidRPr="00317ABF" w:rsidRDefault="001E1112" w:rsidP="00DB3BEC">
            <w:pPr>
              <w:pStyle w:val="Tekstpodstawowy"/>
              <w:rPr>
                <w:sz w:val="22"/>
                <w:szCs w:val="22"/>
              </w:rPr>
            </w:pPr>
          </w:p>
        </w:tc>
      </w:tr>
      <w:tr w:rsidR="001E1112" w:rsidRPr="00317ABF" w14:paraId="0B49BF1F" w14:textId="77777777" w:rsidTr="7753F98D">
        <w:trPr>
          <w:gridAfter w:val="2"/>
          <w:wAfter w:w="175" w:type="dxa"/>
        </w:trPr>
        <w:tc>
          <w:tcPr>
            <w:tcW w:w="704" w:type="dxa"/>
          </w:tcPr>
          <w:p w14:paraId="272A924A" w14:textId="77777777" w:rsidR="001E1112" w:rsidRPr="00317ABF" w:rsidRDefault="001E1112" w:rsidP="00DB3BEC">
            <w:pPr>
              <w:jc w:val="both"/>
              <w:rPr>
                <w:b/>
                <w:sz w:val="22"/>
                <w:szCs w:val="22"/>
              </w:rPr>
            </w:pPr>
            <w:r w:rsidRPr="00317ABF">
              <w:rPr>
                <w:b/>
                <w:sz w:val="22"/>
                <w:szCs w:val="22"/>
              </w:rPr>
              <w:t>Art. 123</w:t>
            </w:r>
          </w:p>
        </w:tc>
        <w:tc>
          <w:tcPr>
            <w:tcW w:w="4308" w:type="dxa"/>
          </w:tcPr>
          <w:p w14:paraId="4C96FB82" w14:textId="77777777" w:rsidR="001E1112" w:rsidRPr="00317ABF" w:rsidRDefault="001E1112" w:rsidP="00DB3BEC">
            <w:pPr>
              <w:spacing w:before="120"/>
              <w:jc w:val="both"/>
              <w:rPr>
                <w:sz w:val="22"/>
                <w:szCs w:val="22"/>
              </w:rPr>
            </w:pPr>
            <w:r w:rsidRPr="00317ABF">
              <w:rPr>
                <w:b/>
                <w:bCs/>
                <w:sz w:val="22"/>
                <w:szCs w:val="22"/>
              </w:rPr>
              <w:t>Szczególna procedura przeglądowa dotycząca praw użytkowników końcowych</w:t>
            </w:r>
          </w:p>
        </w:tc>
        <w:tc>
          <w:tcPr>
            <w:tcW w:w="986" w:type="dxa"/>
          </w:tcPr>
          <w:p w14:paraId="11BDC3CA" w14:textId="77777777" w:rsidR="001E1112" w:rsidRPr="00317ABF" w:rsidRDefault="001E1112" w:rsidP="00DB3BEC">
            <w:pPr>
              <w:jc w:val="both"/>
              <w:rPr>
                <w:sz w:val="22"/>
                <w:szCs w:val="22"/>
              </w:rPr>
            </w:pPr>
          </w:p>
        </w:tc>
        <w:tc>
          <w:tcPr>
            <w:tcW w:w="910" w:type="dxa"/>
          </w:tcPr>
          <w:p w14:paraId="60C36AE4" w14:textId="77777777" w:rsidR="001E1112" w:rsidRPr="00317ABF" w:rsidRDefault="001E1112" w:rsidP="00DB3BEC">
            <w:pPr>
              <w:pStyle w:val="Tekstpodstawowy"/>
              <w:rPr>
                <w:b/>
                <w:noProof/>
                <w:sz w:val="22"/>
                <w:szCs w:val="22"/>
              </w:rPr>
            </w:pPr>
          </w:p>
        </w:tc>
        <w:tc>
          <w:tcPr>
            <w:tcW w:w="6814" w:type="dxa"/>
            <w:gridSpan w:val="2"/>
          </w:tcPr>
          <w:p w14:paraId="2F2221F0" w14:textId="77777777" w:rsidR="001E1112" w:rsidRPr="00317ABF" w:rsidRDefault="001E1112" w:rsidP="00DB3BEC">
            <w:pPr>
              <w:pStyle w:val="Tekstpodstawowy"/>
              <w:rPr>
                <w:sz w:val="22"/>
                <w:szCs w:val="22"/>
              </w:rPr>
            </w:pPr>
          </w:p>
        </w:tc>
      </w:tr>
      <w:tr w:rsidR="001E1112" w:rsidRPr="00317ABF" w14:paraId="3161906E" w14:textId="77777777" w:rsidTr="7753F98D">
        <w:trPr>
          <w:gridAfter w:val="2"/>
          <w:wAfter w:w="175" w:type="dxa"/>
        </w:trPr>
        <w:tc>
          <w:tcPr>
            <w:tcW w:w="704" w:type="dxa"/>
          </w:tcPr>
          <w:p w14:paraId="192C5D31" w14:textId="77777777" w:rsidR="001E1112" w:rsidRPr="00317ABF" w:rsidRDefault="001E1112" w:rsidP="00DB3BEC">
            <w:pPr>
              <w:jc w:val="both"/>
              <w:rPr>
                <w:sz w:val="22"/>
                <w:szCs w:val="22"/>
              </w:rPr>
            </w:pPr>
            <w:r w:rsidRPr="00317ABF">
              <w:rPr>
                <w:sz w:val="22"/>
                <w:szCs w:val="22"/>
              </w:rPr>
              <w:t>Art. 123 ust. 1</w:t>
            </w:r>
          </w:p>
        </w:tc>
        <w:tc>
          <w:tcPr>
            <w:tcW w:w="4308" w:type="dxa"/>
          </w:tcPr>
          <w:p w14:paraId="3B42AB05" w14:textId="77777777" w:rsidR="001E1112" w:rsidRPr="00317ABF" w:rsidRDefault="001E1112" w:rsidP="00DB3BEC">
            <w:pPr>
              <w:spacing w:before="120"/>
              <w:jc w:val="both"/>
              <w:rPr>
                <w:sz w:val="22"/>
                <w:szCs w:val="22"/>
              </w:rPr>
            </w:pPr>
            <w:r w:rsidRPr="00317ABF">
              <w:rPr>
                <w:sz w:val="22"/>
                <w:szCs w:val="22"/>
              </w:rPr>
              <w:t>1.   BEREC monitoruje rozwój rynku i rozwój technologiczny w odniesieniu do różnych rodzajów usług łączności elektronicznej oraz publikuje, do dnia 21 grudnia 2021 r., a następnie co trzy lata lub na uzasadniony wniosek co najmniej dwóch swoich członków państw członkowskich, opinię w sprawie tego rozwoju i jego wpływu na stosowanie tytułu III części III.</w:t>
            </w:r>
          </w:p>
          <w:p w14:paraId="42D5D3B0" w14:textId="77777777" w:rsidR="001E1112" w:rsidRPr="00317ABF" w:rsidRDefault="001E1112" w:rsidP="00DB3BEC">
            <w:pPr>
              <w:spacing w:before="120"/>
              <w:jc w:val="both"/>
              <w:rPr>
                <w:sz w:val="22"/>
                <w:szCs w:val="22"/>
              </w:rPr>
            </w:pPr>
            <w:r w:rsidRPr="00317ABF">
              <w:rPr>
                <w:sz w:val="22"/>
                <w:szCs w:val="22"/>
              </w:rPr>
              <w:t>W tej opinii BEREC ocenia, w jakim stopniu tytuł III części III spełnia cele określone w art. 3. Opinia ta uwzględnia w szczególności zakres stosowania tytułu III części III, jeżeli chodzi o rodzaje objętych usług łączności elektronicznej. Na podstawie opinii BEREC analizuje w szczególności:</w:t>
            </w:r>
          </w:p>
          <w:tbl>
            <w:tblPr>
              <w:tblW w:w="5000" w:type="pct"/>
              <w:tblCellSpacing w:w="0" w:type="dxa"/>
              <w:tblLayout w:type="fixed"/>
              <w:tblCellMar>
                <w:left w:w="0" w:type="dxa"/>
                <w:right w:w="0" w:type="dxa"/>
              </w:tblCellMar>
              <w:tblLook w:val="04A0" w:firstRow="1" w:lastRow="0" w:firstColumn="1" w:lastColumn="0" w:noHBand="0" w:noVBand="1"/>
            </w:tblPr>
            <w:tblGrid>
              <w:gridCol w:w="20"/>
              <w:gridCol w:w="4148"/>
            </w:tblGrid>
            <w:tr w:rsidR="001E1112" w:rsidRPr="00317ABF" w14:paraId="1026BEB9" w14:textId="77777777" w:rsidTr="006B6841">
              <w:trPr>
                <w:tblCellSpacing w:w="0" w:type="dxa"/>
              </w:trPr>
              <w:tc>
                <w:tcPr>
                  <w:tcW w:w="6" w:type="dxa"/>
                  <w:hideMark/>
                </w:tcPr>
                <w:p w14:paraId="62016A87" w14:textId="77777777" w:rsidR="001E1112" w:rsidRPr="00317ABF" w:rsidRDefault="001E1112" w:rsidP="00EE0AC3">
                  <w:pPr>
                    <w:framePr w:hSpace="141" w:wrap="around" w:vAnchor="text" w:hAnchor="text" w:xAlign="right" w:y="1"/>
                    <w:spacing w:before="120"/>
                    <w:suppressOverlap/>
                    <w:jc w:val="both"/>
                    <w:rPr>
                      <w:sz w:val="22"/>
                      <w:szCs w:val="22"/>
                    </w:rPr>
                  </w:pPr>
                </w:p>
              </w:tc>
              <w:tc>
                <w:tcPr>
                  <w:tcW w:w="9066" w:type="dxa"/>
                  <w:hideMark/>
                </w:tcPr>
                <w:p w14:paraId="1F602190" w14:textId="77777777" w:rsidR="001E1112" w:rsidRPr="00317ABF" w:rsidRDefault="001E1112" w:rsidP="00EE0AC3">
                  <w:pPr>
                    <w:framePr w:hSpace="141" w:wrap="around" w:vAnchor="text" w:hAnchor="text" w:xAlign="right" w:y="1"/>
                    <w:numPr>
                      <w:ilvl w:val="0"/>
                      <w:numId w:val="81"/>
                    </w:numPr>
                    <w:spacing w:before="120"/>
                    <w:suppressOverlap/>
                    <w:jc w:val="both"/>
                    <w:rPr>
                      <w:sz w:val="22"/>
                      <w:szCs w:val="22"/>
                    </w:rPr>
                  </w:pPr>
                  <w:r w:rsidRPr="00317ABF">
                    <w:rPr>
                      <w:sz w:val="22"/>
                      <w:szCs w:val="22"/>
                    </w:rPr>
                    <w:t>w jakim stopniu użytkownicy końcowi wszystkich usług łączności elektronicznej mają możliwość dokonywania swobodnych i świadomych wyborów, również na podstawie kompletnych informacji zawartych w umowie, i mają możliwość łatwej zmiany podmiotu świadczącego im usługi łączności elektronicznej;</w:t>
                  </w:r>
                </w:p>
              </w:tc>
            </w:tr>
          </w:tbl>
          <w:p w14:paraId="7C4C54D1" w14:textId="77777777" w:rsidR="001E1112" w:rsidRPr="00317ABF" w:rsidRDefault="001E1112" w:rsidP="00DB3BEC">
            <w:pPr>
              <w:jc w:val="both"/>
              <w:rPr>
                <w:vanish/>
                <w:sz w:val="22"/>
                <w:szCs w:val="22"/>
              </w:rPr>
            </w:pPr>
          </w:p>
          <w:tbl>
            <w:tblPr>
              <w:tblW w:w="5000" w:type="pct"/>
              <w:tblCellSpacing w:w="0" w:type="dxa"/>
              <w:tblLayout w:type="fixed"/>
              <w:tblCellMar>
                <w:left w:w="0" w:type="dxa"/>
                <w:right w:w="0" w:type="dxa"/>
              </w:tblCellMar>
              <w:tblLook w:val="04A0" w:firstRow="1" w:lastRow="0" w:firstColumn="1" w:lastColumn="0" w:noHBand="0" w:noVBand="1"/>
            </w:tblPr>
            <w:tblGrid>
              <w:gridCol w:w="20"/>
              <w:gridCol w:w="4148"/>
            </w:tblGrid>
            <w:tr w:rsidR="001E1112" w:rsidRPr="00317ABF" w14:paraId="03EC2440" w14:textId="77777777" w:rsidTr="006B6841">
              <w:trPr>
                <w:tblCellSpacing w:w="0" w:type="dxa"/>
              </w:trPr>
              <w:tc>
                <w:tcPr>
                  <w:tcW w:w="6" w:type="dxa"/>
                  <w:hideMark/>
                </w:tcPr>
                <w:p w14:paraId="41FB58C8" w14:textId="77777777" w:rsidR="001E1112" w:rsidRPr="00317ABF" w:rsidRDefault="001E1112" w:rsidP="00EE0AC3">
                  <w:pPr>
                    <w:framePr w:hSpace="141" w:wrap="around" w:vAnchor="text" w:hAnchor="text" w:xAlign="right" w:y="1"/>
                    <w:spacing w:before="120"/>
                    <w:suppressOverlap/>
                    <w:jc w:val="both"/>
                    <w:rPr>
                      <w:sz w:val="22"/>
                      <w:szCs w:val="22"/>
                    </w:rPr>
                  </w:pPr>
                </w:p>
              </w:tc>
              <w:tc>
                <w:tcPr>
                  <w:tcW w:w="9066" w:type="dxa"/>
                  <w:hideMark/>
                </w:tcPr>
                <w:p w14:paraId="534B740E" w14:textId="77777777" w:rsidR="001E1112" w:rsidRPr="00317ABF" w:rsidRDefault="001E1112" w:rsidP="00EE0AC3">
                  <w:pPr>
                    <w:framePr w:hSpace="141" w:wrap="around" w:vAnchor="text" w:hAnchor="text" w:xAlign="right" w:y="1"/>
                    <w:numPr>
                      <w:ilvl w:val="0"/>
                      <w:numId w:val="81"/>
                    </w:numPr>
                    <w:spacing w:before="120"/>
                    <w:suppressOverlap/>
                    <w:jc w:val="both"/>
                    <w:rPr>
                      <w:sz w:val="22"/>
                      <w:szCs w:val="22"/>
                    </w:rPr>
                  </w:pPr>
                  <w:r w:rsidRPr="00317ABF">
                    <w:rPr>
                      <w:sz w:val="22"/>
                      <w:szCs w:val="22"/>
                    </w:rPr>
                    <w:t>w jakim stopniu jakikolwiek brak zdolności, o których mowa w lit. a) doprowadził do zakłóceń na rynku lub szkody dla użytkownika końcowego;</w:t>
                  </w:r>
                </w:p>
              </w:tc>
            </w:tr>
          </w:tbl>
          <w:p w14:paraId="2803D369" w14:textId="77777777" w:rsidR="001E1112" w:rsidRPr="00317ABF" w:rsidRDefault="001E1112" w:rsidP="00DB3BEC">
            <w:pPr>
              <w:jc w:val="both"/>
              <w:rPr>
                <w:vanish/>
                <w:sz w:val="22"/>
                <w:szCs w:val="22"/>
              </w:rPr>
            </w:pPr>
          </w:p>
          <w:tbl>
            <w:tblPr>
              <w:tblW w:w="5000" w:type="pct"/>
              <w:tblCellSpacing w:w="0" w:type="dxa"/>
              <w:tblLayout w:type="fixed"/>
              <w:tblCellMar>
                <w:left w:w="0" w:type="dxa"/>
                <w:right w:w="0" w:type="dxa"/>
              </w:tblCellMar>
              <w:tblLook w:val="04A0" w:firstRow="1" w:lastRow="0" w:firstColumn="1" w:lastColumn="0" w:noHBand="0" w:noVBand="1"/>
            </w:tblPr>
            <w:tblGrid>
              <w:gridCol w:w="20"/>
              <w:gridCol w:w="4148"/>
            </w:tblGrid>
            <w:tr w:rsidR="001E1112" w:rsidRPr="00317ABF" w14:paraId="784046CD" w14:textId="77777777" w:rsidTr="006B6841">
              <w:trPr>
                <w:tblCellSpacing w:w="0" w:type="dxa"/>
              </w:trPr>
              <w:tc>
                <w:tcPr>
                  <w:tcW w:w="6" w:type="dxa"/>
                  <w:hideMark/>
                </w:tcPr>
                <w:p w14:paraId="484CC189" w14:textId="77777777" w:rsidR="001E1112" w:rsidRPr="00317ABF" w:rsidRDefault="001E1112" w:rsidP="00EE0AC3">
                  <w:pPr>
                    <w:framePr w:hSpace="141" w:wrap="around" w:vAnchor="text" w:hAnchor="text" w:xAlign="right" w:y="1"/>
                    <w:spacing w:before="120"/>
                    <w:suppressOverlap/>
                    <w:jc w:val="both"/>
                    <w:rPr>
                      <w:sz w:val="22"/>
                      <w:szCs w:val="22"/>
                    </w:rPr>
                  </w:pPr>
                </w:p>
              </w:tc>
              <w:tc>
                <w:tcPr>
                  <w:tcW w:w="9066" w:type="dxa"/>
                  <w:hideMark/>
                </w:tcPr>
                <w:p w14:paraId="0A68480A" w14:textId="77777777" w:rsidR="001E1112" w:rsidRPr="00317ABF" w:rsidRDefault="001E1112" w:rsidP="00EE0AC3">
                  <w:pPr>
                    <w:framePr w:hSpace="141" w:wrap="around" w:vAnchor="text" w:hAnchor="text" w:xAlign="right" w:y="1"/>
                    <w:numPr>
                      <w:ilvl w:val="0"/>
                      <w:numId w:val="81"/>
                    </w:numPr>
                    <w:spacing w:before="120"/>
                    <w:suppressOverlap/>
                    <w:jc w:val="both"/>
                    <w:rPr>
                      <w:sz w:val="22"/>
                      <w:szCs w:val="22"/>
                    </w:rPr>
                  </w:pPr>
                  <w:r w:rsidRPr="00317ABF">
                    <w:rPr>
                      <w:sz w:val="22"/>
                      <w:szCs w:val="22"/>
                    </w:rPr>
                    <w:t>w jakim stopniu skuteczny dostęp do służb ratunkowych jest znacznie zagrożony, w szczególności ze względu na większe wykorzystanie usług łączności interpersonalnej niewykorzystujących numerów, brak interoperacyjności lub rozwój technologiczny;</w:t>
                  </w:r>
                </w:p>
              </w:tc>
            </w:tr>
          </w:tbl>
          <w:p w14:paraId="0FD5E3A7" w14:textId="77777777" w:rsidR="001E1112" w:rsidRPr="00317ABF" w:rsidRDefault="001E1112" w:rsidP="00DB3BEC">
            <w:pPr>
              <w:jc w:val="both"/>
              <w:rPr>
                <w:vanish/>
                <w:sz w:val="22"/>
                <w:szCs w:val="22"/>
              </w:rPr>
            </w:pPr>
          </w:p>
          <w:tbl>
            <w:tblPr>
              <w:tblW w:w="5000" w:type="pct"/>
              <w:tblCellSpacing w:w="0" w:type="dxa"/>
              <w:tblLayout w:type="fixed"/>
              <w:tblCellMar>
                <w:left w:w="0" w:type="dxa"/>
                <w:right w:w="0" w:type="dxa"/>
              </w:tblCellMar>
              <w:tblLook w:val="04A0" w:firstRow="1" w:lastRow="0" w:firstColumn="1" w:lastColumn="0" w:noHBand="0" w:noVBand="1"/>
            </w:tblPr>
            <w:tblGrid>
              <w:gridCol w:w="20"/>
              <w:gridCol w:w="4148"/>
            </w:tblGrid>
            <w:tr w:rsidR="001E1112" w:rsidRPr="00317ABF" w14:paraId="3097B50A" w14:textId="77777777" w:rsidTr="006B6841">
              <w:trPr>
                <w:tblCellSpacing w:w="0" w:type="dxa"/>
              </w:trPr>
              <w:tc>
                <w:tcPr>
                  <w:tcW w:w="6" w:type="dxa"/>
                  <w:hideMark/>
                </w:tcPr>
                <w:p w14:paraId="503DED6F" w14:textId="77777777" w:rsidR="001E1112" w:rsidRPr="00317ABF" w:rsidRDefault="001E1112" w:rsidP="00EE0AC3">
                  <w:pPr>
                    <w:framePr w:hSpace="141" w:wrap="around" w:vAnchor="text" w:hAnchor="text" w:xAlign="right" w:y="1"/>
                    <w:spacing w:before="120"/>
                    <w:suppressOverlap/>
                    <w:jc w:val="both"/>
                    <w:rPr>
                      <w:sz w:val="22"/>
                      <w:szCs w:val="22"/>
                    </w:rPr>
                  </w:pPr>
                </w:p>
              </w:tc>
              <w:tc>
                <w:tcPr>
                  <w:tcW w:w="9066" w:type="dxa"/>
                  <w:hideMark/>
                </w:tcPr>
                <w:p w14:paraId="665C1FD5" w14:textId="77777777" w:rsidR="001E1112" w:rsidRPr="00317ABF" w:rsidRDefault="001E1112" w:rsidP="00EE0AC3">
                  <w:pPr>
                    <w:framePr w:hSpace="141" w:wrap="around" w:vAnchor="text" w:hAnchor="text" w:xAlign="right" w:y="1"/>
                    <w:numPr>
                      <w:ilvl w:val="0"/>
                      <w:numId w:val="81"/>
                    </w:numPr>
                    <w:spacing w:before="120"/>
                    <w:suppressOverlap/>
                    <w:jc w:val="both"/>
                    <w:rPr>
                      <w:sz w:val="22"/>
                      <w:szCs w:val="22"/>
                    </w:rPr>
                  </w:pPr>
                  <w:r w:rsidRPr="00317ABF">
                    <w:rPr>
                      <w:sz w:val="22"/>
                      <w:szCs w:val="22"/>
                    </w:rPr>
                    <w:t>prawdopodobny koszt wszelkich potencjalnych dostosowań obowiązków określonych w tytule III części III lub wpływ na innowacje dla dostawców usług łączności elektronicznej.</w:t>
                  </w:r>
                </w:p>
              </w:tc>
            </w:tr>
          </w:tbl>
          <w:p w14:paraId="23DD2F65" w14:textId="77777777" w:rsidR="001E1112" w:rsidRPr="00317ABF" w:rsidRDefault="001E1112" w:rsidP="00DB3BEC">
            <w:pPr>
              <w:spacing w:before="120"/>
              <w:jc w:val="both"/>
              <w:rPr>
                <w:sz w:val="22"/>
                <w:szCs w:val="22"/>
              </w:rPr>
            </w:pPr>
          </w:p>
        </w:tc>
        <w:tc>
          <w:tcPr>
            <w:tcW w:w="986" w:type="dxa"/>
          </w:tcPr>
          <w:p w14:paraId="448C954B" w14:textId="77777777" w:rsidR="001E1112" w:rsidRPr="00317ABF" w:rsidRDefault="001E1112" w:rsidP="00DB3BEC">
            <w:pPr>
              <w:jc w:val="both"/>
              <w:rPr>
                <w:sz w:val="22"/>
                <w:szCs w:val="22"/>
              </w:rPr>
            </w:pPr>
            <w:r w:rsidRPr="00317ABF">
              <w:rPr>
                <w:sz w:val="22"/>
                <w:szCs w:val="22"/>
              </w:rPr>
              <w:t>N</w:t>
            </w:r>
          </w:p>
        </w:tc>
        <w:tc>
          <w:tcPr>
            <w:tcW w:w="910" w:type="dxa"/>
          </w:tcPr>
          <w:p w14:paraId="61D280DC" w14:textId="77777777" w:rsidR="001E1112" w:rsidRPr="00317ABF" w:rsidRDefault="001E1112" w:rsidP="00DB3BEC">
            <w:pPr>
              <w:pStyle w:val="Tekstpodstawowy"/>
              <w:rPr>
                <w:b/>
                <w:noProof/>
                <w:sz w:val="22"/>
                <w:szCs w:val="22"/>
              </w:rPr>
            </w:pPr>
          </w:p>
        </w:tc>
        <w:tc>
          <w:tcPr>
            <w:tcW w:w="6814" w:type="dxa"/>
            <w:gridSpan w:val="2"/>
          </w:tcPr>
          <w:p w14:paraId="779A11C6" w14:textId="77777777" w:rsidR="001E1112" w:rsidRPr="00317ABF" w:rsidRDefault="001E1112" w:rsidP="00DB3BEC">
            <w:pPr>
              <w:pStyle w:val="Tekstpodstawowy"/>
              <w:rPr>
                <w:sz w:val="22"/>
                <w:szCs w:val="22"/>
              </w:rPr>
            </w:pPr>
          </w:p>
        </w:tc>
      </w:tr>
      <w:tr w:rsidR="001E1112" w:rsidRPr="00317ABF" w14:paraId="2F22A870" w14:textId="77777777" w:rsidTr="7753F98D">
        <w:trPr>
          <w:gridAfter w:val="2"/>
          <w:wAfter w:w="175" w:type="dxa"/>
        </w:trPr>
        <w:tc>
          <w:tcPr>
            <w:tcW w:w="704" w:type="dxa"/>
          </w:tcPr>
          <w:p w14:paraId="47929BCC" w14:textId="77777777" w:rsidR="001E1112" w:rsidRPr="00317ABF" w:rsidRDefault="001E1112" w:rsidP="00DB3BEC">
            <w:pPr>
              <w:jc w:val="both"/>
              <w:rPr>
                <w:sz w:val="22"/>
                <w:szCs w:val="22"/>
              </w:rPr>
            </w:pPr>
            <w:r w:rsidRPr="00317ABF">
              <w:rPr>
                <w:sz w:val="22"/>
                <w:szCs w:val="22"/>
              </w:rPr>
              <w:t>Art. 123 ust. 2</w:t>
            </w:r>
          </w:p>
        </w:tc>
        <w:tc>
          <w:tcPr>
            <w:tcW w:w="4308" w:type="dxa"/>
          </w:tcPr>
          <w:p w14:paraId="27087036" w14:textId="77777777" w:rsidR="001E1112" w:rsidRPr="00317ABF" w:rsidRDefault="001E1112" w:rsidP="00DB3BEC">
            <w:pPr>
              <w:spacing w:before="120"/>
              <w:jc w:val="both"/>
              <w:rPr>
                <w:sz w:val="22"/>
                <w:szCs w:val="22"/>
              </w:rPr>
            </w:pPr>
            <w:r w:rsidRPr="00317ABF">
              <w:rPr>
                <w:sz w:val="22"/>
                <w:szCs w:val="22"/>
              </w:rPr>
              <w:t>2.   Komisja, uwzględniając w jak największym stopniu opinię BEREC, publikuje sprawozdanie dotyczące stosowania tytułu III części III i przekazuje wniosek ustawodawczy w sprawie zmiany tego tytułu, w przypadku gdy uzna, że jest to konieczne do zapewnienia, aby cele określone w art. 3 mogły być nadal spełniane.</w:t>
            </w:r>
          </w:p>
        </w:tc>
        <w:tc>
          <w:tcPr>
            <w:tcW w:w="986" w:type="dxa"/>
          </w:tcPr>
          <w:p w14:paraId="61B29347" w14:textId="77777777" w:rsidR="001E1112" w:rsidRPr="00317ABF" w:rsidRDefault="001E1112" w:rsidP="00DB3BEC">
            <w:pPr>
              <w:jc w:val="both"/>
              <w:rPr>
                <w:sz w:val="22"/>
                <w:szCs w:val="22"/>
              </w:rPr>
            </w:pPr>
            <w:r w:rsidRPr="00317ABF">
              <w:rPr>
                <w:sz w:val="22"/>
                <w:szCs w:val="22"/>
              </w:rPr>
              <w:t>N</w:t>
            </w:r>
          </w:p>
        </w:tc>
        <w:tc>
          <w:tcPr>
            <w:tcW w:w="910" w:type="dxa"/>
          </w:tcPr>
          <w:p w14:paraId="28D0C426" w14:textId="77777777" w:rsidR="001E1112" w:rsidRPr="00317ABF" w:rsidRDefault="001E1112" w:rsidP="00DB3BEC">
            <w:pPr>
              <w:pStyle w:val="Tekstpodstawowy"/>
              <w:rPr>
                <w:b/>
                <w:noProof/>
                <w:sz w:val="22"/>
                <w:szCs w:val="22"/>
              </w:rPr>
            </w:pPr>
          </w:p>
        </w:tc>
        <w:tc>
          <w:tcPr>
            <w:tcW w:w="6814" w:type="dxa"/>
            <w:gridSpan w:val="2"/>
          </w:tcPr>
          <w:p w14:paraId="02272E2C" w14:textId="77777777" w:rsidR="001E1112" w:rsidRPr="00317ABF" w:rsidRDefault="001E1112" w:rsidP="00DB3BEC">
            <w:pPr>
              <w:pStyle w:val="Tekstpodstawowy"/>
              <w:rPr>
                <w:sz w:val="22"/>
                <w:szCs w:val="22"/>
              </w:rPr>
            </w:pPr>
          </w:p>
        </w:tc>
      </w:tr>
      <w:tr w:rsidR="001E1112" w:rsidRPr="00317ABF" w14:paraId="2C0A4B5C" w14:textId="77777777" w:rsidTr="7753F98D">
        <w:trPr>
          <w:gridAfter w:val="2"/>
          <w:wAfter w:w="175" w:type="dxa"/>
        </w:trPr>
        <w:tc>
          <w:tcPr>
            <w:tcW w:w="704" w:type="dxa"/>
          </w:tcPr>
          <w:p w14:paraId="5FAF5667" w14:textId="77777777" w:rsidR="001E1112" w:rsidRPr="00317ABF" w:rsidRDefault="001E1112" w:rsidP="00DB3BEC">
            <w:pPr>
              <w:jc w:val="both"/>
              <w:rPr>
                <w:b/>
                <w:sz w:val="22"/>
                <w:szCs w:val="22"/>
              </w:rPr>
            </w:pPr>
            <w:r w:rsidRPr="00317ABF">
              <w:rPr>
                <w:b/>
                <w:sz w:val="22"/>
                <w:szCs w:val="22"/>
              </w:rPr>
              <w:t>Art. 124</w:t>
            </w:r>
          </w:p>
        </w:tc>
        <w:tc>
          <w:tcPr>
            <w:tcW w:w="4308" w:type="dxa"/>
          </w:tcPr>
          <w:p w14:paraId="4A3DA810" w14:textId="77777777" w:rsidR="001E1112" w:rsidRPr="00317ABF" w:rsidRDefault="001E1112" w:rsidP="00DB3BEC">
            <w:pPr>
              <w:spacing w:before="120"/>
              <w:jc w:val="both"/>
              <w:rPr>
                <w:sz w:val="22"/>
                <w:szCs w:val="22"/>
              </w:rPr>
            </w:pPr>
            <w:r w:rsidRPr="00317ABF">
              <w:rPr>
                <w:b/>
                <w:bCs/>
                <w:sz w:val="22"/>
                <w:szCs w:val="22"/>
              </w:rPr>
              <w:t>Transpozycja</w:t>
            </w:r>
          </w:p>
        </w:tc>
        <w:tc>
          <w:tcPr>
            <w:tcW w:w="986" w:type="dxa"/>
          </w:tcPr>
          <w:p w14:paraId="67BC47F1" w14:textId="77777777" w:rsidR="001E1112" w:rsidRPr="00317ABF" w:rsidRDefault="001E1112" w:rsidP="00DB3BEC">
            <w:pPr>
              <w:jc w:val="both"/>
              <w:rPr>
                <w:sz w:val="22"/>
                <w:szCs w:val="22"/>
              </w:rPr>
            </w:pPr>
          </w:p>
        </w:tc>
        <w:tc>
          <w:tcPr>
            <w:tcW w:w="910" w:type="dxa"/>
          </w:tcPr>
          <w:p w14:paraId="421C5F19" w14:textId="77777777" w:rsidR="001E1112" w:rsidRPr="00317ABF" w:rsidRDefault="001E1112" w:rsidP="00DB3BEC">
            <w:pPr>
              <w:pStyle w:val="Tekstpodstawowy"/>
              <w:rPr>
                <w:b/>
                <w:noProof/>
                <w:sz w:val="22"/>
                <w:szCs w:val="22"/>
              </w:rPr>
            </w:pPr>
          </w:p>
        </w:tc>
        <w:tc>
          <w:tcPr>
            <w:tcW w:w="6814" w:type="dxa"/>
            <w:gridSpan w:val="2"/>
          </w:tcPr>
          <w:p w14:paraId="2A6F52D7" w14:textId="77777777" w:rsidR="001E1112" w:rsidRPr="00317ABF" w:rsidRDefault="001E1112" w:rsidP="00DB3BEC">
            <w:pPr>
              <w:pStyle w:val="Tekstpodstawowy"/>
              <w:rPr>
                <w:sz w:val="22"/>
                <w:szCs w:val="22"/>
              </w:rPr>
            </w:pPr>
          </w:p>
        </w:tc>
      </w:tr>
      <w:tr w:rsidR="001E1112" w:rsidRPr="00317ABF" w14:paraId="6514E3FE" w14:textId="77777777" w:rsidTr="7753F98D">
        <w:trPr>
          <w:gridAfter w:val="2"/>
          <w:wAfter w:w="175" w:type="dxa"/>
        </w:trPr>
        <w:tc>
          <w:tcPr>
            <w:tcW w:w="704" w:type="dxa"/>
          </w:tcPr>
          <w:p w14:paraId="10C864D2" w14:textId="77777777" w:rsidR="001E1112" w:rsidRPr="00317ABF" w:rsidRDefault="001E1112" w:rsidP="00DB3BEC">
            <w:pPr>
              <w:jc w:val="both"/>
              <w:rPr>
                <w:sz w:val="22"/>
                <w:szCs w:val="22"/>
              </w:rPr>
            </w:pPr>
            <w:r w:rsidRPr="00317ABF">
              <w:rPr>
                <w:sz w:val="22"/>
                <w:szCs w:val="22"/>
              </w:rPr>
              <w:t>Art. 124 ust. 1</w:t>
            </w:r>
          </w:p>
        </w:tc>
        <w:tc>
          <w:tcPr>
            <w:tcW w:w="4308" w:type="dxa"/>
          </w:tcPr>
          <w:p w14:paraId="7DABD93E" w14:textId="77777777" w:rsidR="001E1112" w:rsidRPr="00317ABF" w:rsidRDefault="001E1112" w:rsidP="00DB3BEC">
            <w:pPr>
              <w:spacing w:before="120"/>
              <w:jc w:val="both"/>
              <w:rPr>
                <w:sz w:val="22"/>
                <w:szCs w:val="22"/>
              </w:rPr>
            </w:pPr>
            <w:r w:rsidRPr="00317ABF">
              <w:rPr>
                <w:sz w:val="22"/>
                <w:szCs w:val="22"/>
              </w:rPr>
              <w:t>1.   Państwa członkowskie przyjmują i publikują, najpóźniej do dnia 21 grudnia 2020 r., przepisy ustawowe, wykonawcze i administracyjne niezbędne do wykonania niniejszej dyrektywy. Niezwłocznie przekazują Komisji tekst tych przepisów.</w:t>
            </w:r>
          </w:p>
          <w:p w14:paraId="47769E22" w14:textId="77777777" w:rsidR="001E1112" w:rsidRPr="00317ABF" w:rsidRDefault="001E1112" w:rsidP="00DB3BEC">
            <w:pPr>
              <w:spacing w:before="120"/>
              <w:jc w:val="both"/>
              <w:rPr>
                <w:sz w:val="22"/>
                <w:szCs w:val="22"/>
              </w:rPr>
            </w:pPr>
            <w:r w:rsidRPr="00317ABF">
              <w:rPr>
                <w:sz w:val="22"/>
                <w:szCs w:val="22"/>
              </w:rPr>
              <w:t>Państwa członkowskie stosują te przepisy od dnia 21 grudnia 2020 r.</w:t>
            </w:r>
          </w:p>
          <w:p w14:paraId="782689B2" w14:textId="77777777" w:rsidR="001E1112" w:rsidRPr="00317ABF" w:rsidRDefault="001E1112" w:rsidP="00DB3BEC">
            <w:pPr>
              <w:spacing w:before="120"/>
              <w:jc w:val="both"/>
              <w:rPr>
                <w:sz w:val="22"/>
                <w:szCs w:val="22"/>
              </w:rPr>
            </w:pPr>
            <w:r w:rsidRPr="00317ABF">
              <w:rPr>
                <w:sz w:val="22"/>
                <w:szCs w:val="22"/>
              </w:rPr>
              <w:t>Przepisy przyjęte przez państwa członkowskie zawierają odniesienie do niniejszej dyrektywy lub odniesienie takie towarzyszy ich urzędowej publikacji. Przepisy te zawierają także wskazanie, że w istniejących przepisach ustawowych, wykonawczych i administracyjnych odniesienia do dyrektyw uchylonych niniejszą dyrektywą należy odczytywać jako odniesienia do niniejszej dyrektywy. Metody dokonywania takiego odniesienia i formułowania takiego wskazania określane są przez państwa członkowskie.</w:t>
            </w:r>
          </w:p>
        </w:tc>
        <w:tc>
          <w:tcPr>
            <w:tcW w:w="986" w:type="dxa"/>
          </w:tcPr>
          <w:p w14:paraId="1AC6DD4E" w14:textId="77777777" w:rsidR="001E1112" w:rsidRPr="00317ABF" w:rsidRDefault="001E1112" w:rsidP="00DB3BEC">
            <w:pPr>
              <w:jc w:val="both"/>
              <w:rPr>
                <w:sz w:val="22"/>
                <w:szCs w:val="22"/>
              </w:rPr>
            </w:pPr>
            <w:r w:rsidRPr="00317ABF">
              <w:rPr>
                <w:sz w:val="22"/>
                <w:szCs w:val="22"/>
              </w:rPr>
              <w:t>N</w:t>
            </w:r>
          </w:p>
        </w:tc>
        <w:tc>
          <w:tcPr>
            <w:tcW w:w="910" w:type="dxa"/>
          </w:tcPr>
          <w:p w14:paraId="72883D27" w14:textId="5D809937" w:rsidR="001E1112" w:rsidRPr="00317ABF" w:rsidRDefault="001E1112" w:rsidP="00DB3BEC">
            <w:pPr>
              <w:pStyle w:val="Tekstpodstawowy"/>
              <w:rPr>
                <w:b/>
                <w:bCs/>
                <w:noProof/>
                <w:sz w:val="22"/>
                <w:szCs w:val="22"/>
              </w:rPr>
            </w:pPr>
            <w:r w:rsidRPr="00317ABF">
              <w:rPr>
                <w:b/>
                <w:bCs/>
                <w:noProof/>
                <w:sz w:val="22"/>
                <w:szCs w:val="22"/>
              </w:rPr>
              <w:t>Art. 1 ustawy wprowadzającej Pke</w:t>
            </w:r>
          </w:p>
        </w:tc>
        <w:tc>
          <w:tcPr>
            <w:tcW w:w="6814" w:type="dxa"/>
            <w:gridSpan w:val="2"/>
          </w:tcPr>
          <w:p w14:paraId="686E6E0E" w14:textId="77777777" w:rsidR="001A3CA6" w:rsidRPr="00317ABF" w:rsidRDefault="001A3CA6" w:rsidP="001A3CA6">
            <w:pPr>
              <w:pStyle w:val="ARTartustawynprozporzdzenia"/>
              <w:spacing w:before="0" w:line="240" w:lineRule="auto"/>
              <w:rPr>
                <w:rFonts w:ascii="Times New Roman" w:hAnsi="Times New Roman" w:cs="Times New Roman"/>
                <w:sz w:val="22"/>
                <w:szCs w:val="22"/>
              </w:rPr>
            </w:pPr>
            <w:r w:rsidRPr="00317ABF">
              <w:rPr>
                <w:rFonts w:ascii="Times New Roman" w:hAnsi="Times New Roman" w:cs="Times New Roman"/>
                <w:b/>
                <w:bCs/>
                <w:sz w:val="22"/>
                <w:szCs w:val="22"/>
              </w:rPr>
              <w:t>Art.  1.</w:t>
            </w:r>
            <w:r w:rsidRPr="00317ABF">
              <w:rPr>
                <w:rFonts w:ascii="Times New Roman" w:hAnsi="Times New Roman" w:cs="Times New Roman"/>
                <w:sz w:val="22"/>
                <w:szCs w:val="22"/>
              </w:rPr>
              <w:t xml:space="preserve"> Ustawa z dnia … 2021 r. – Prawo komunikacji elektronicznej (Dz. U. poz. ...) wchodzi w życie po upływie 6 miesięcy od dnia ogłoszenia, z wyjątkiem:</w:t>
            </w:r>
          </w:p>
          <w:p w14:paraId="6F8110A2" w14:textId="77777777" w:rsidR="001A3CA6" w:rsidRPr="00317ABF" w:rsidRDefault="001A3CA6" w:rsidP="001A3CA6">
            <w:pPr>
              <w:pStyle w:val="ARTartustawynprozporzdzenia"/>
              <w:spacing w:before="0" w:line="240" w:lineRule="auto"/>
              <w:rPr>
                <w:rFonts w:ascii="Times New Roman" w:hAnsi="Times New Roman" w:cs="Times New Roman"/>
                <w:sz w:val="22"/>
                <w:szCs w:val="22"/>
              </w:rPr>
            </w:pPr>
            <w:r w:rsidRPr="00317ABF">
              <w:rPr>
                <w:rFonts w:ascii="Times New Roman" w:hAnsi="Times New Roman" w:cs="Times New Roman"/>
                <w:sz w:val="22"/>
                <w:szCs w:val="22"/>
              </w:rPr>
              <w:t>1) art. 295 ust. 1 oraz art. 417 ust. 1 pkt 3, które wchodzą w życie, z dniem ogłoszenia ustawy;</w:t>
            </w:r>
          </w:p>
          <w:p w14:paraId="54BF9105" w14:textId="4568193A" w:rsidR="001E1112" w:rsidRPr="00317ABF" w:rsidRDefault="001A3CA6" w:rsidP="001A3CA6">
            <w:pPr>
              <w:jc w:val="both"/>
              <w:rPr>
                <w:sz w:val="22"/>
                <w:szCs w:val="22"/>
              </w:rPr>
            </w:pPr>
            <w:r w:rsidRPr="00317ABF">
              <w:rPr>
                <w:sz w:val="22"/>
                <w:szCs w:val="22"/>
              </w:rPr>
              <w:t>2) art. 417 ust. 1 pkt 5 oraz ust. 2 pkt 1, które wchodzą w życie z dniem 1 marca 2021 r.</w:t>
            </w:r>
            <w:r w:rsidRPr="00317ABF">
              <w:t xml:space="preserve"> </w:t>
            </w:r>
            <w:r w:rsidR="001E1112" w:rsidRPr="00317ABF">
              <w:rPr>
                <w:sz w:val="22"/>
                <w:szCs w:val="22"/>
              </w:rPr>
              <w:br/>
            </w:r>
          </w:p>
          <w:p w14:paraId="2B53900C" w14:textId="7D65944C" w:rsidR="001E1112" w:rsidRPr="00317ABF" w:rsidRDefault="001E1112" w:rsidP="00DB3BEC">
            <w:pPr>
              <w:pStyle w:val="Tekstpodstawowy"/>
              <w:rPr>
                <w:sz w:val="22"/>
                <w:szCs w:val="22"/>
              </w:rPr>
            </w:pPr>
          </w:p>
        </w:tc>
      </w:tr>
      <w:tr w:rsidR="001E1112" w:rsidRPr="00317ABF" w14:paraId="6921BB8A" w14:textId="77777777" w:rsidTr="7753F98D">
        <w:trPr>
          <w:gridAfter w:val="2"/>
          <w:wAfter w:w="175" w:type="dxa"/>
        </w:trPr>
        <w:tc>
          <w:tcPr>
            <w:tcW w:w="704" w:type="dxa"/>
          </w:tcPr>
          <w:p w14:paraId="06665626" w14:textId="77777777" w:rsidR="001E1112" w:rsidRPr="00317ABF" w:rsidRDefault="001E1112" w:rsidP="00DB3BEC">
            <w:pPr>
              <w:jc w:val="both"/>
              <w:rPr>
                <w:sz w:val="22"/>
                <w:szCs w:val="22"/>
              </w:rPr>
            </w:pPr>
            <w:r w:rsidRPr="00317ABF">
              <w:rPr>
                <w:sz w:val="22"/>
                <w:szCs w:val="22"/>
              </w:rPr>
              <w:t>Art. 124 ust. 2</w:t>
            </w:r>
          </w:p>
        </w:tc>
        <w:tc>
          <w:tcPr>
            <w:tcW w:w="4308" w:type="dxa"/>
          </w:tcPr>
          <w:p w14:paraId="2D022A2A" w14:textId="77777777" w:rsidR="001E1112" w:rsidRPr="00317ABF" w:rsidRDefault="001E1112" w:rsidP="00DB3BEC">
            <w:pPr>
              <w:spacing w:before="120"/>
              <w:jc w:val="both"/>
              <w:rPr>
                <w:sz w:val="22"/>
                <w:szCs w:val="22"/>
              </w:rPr>
            </w:pPr>
            <w:r w:rsidRPr="00317ABF">
              <w:rPr>
                <w:sz w:val="22"/>
                <w:szCs w:val="22"/>
              </w:rPr>
              <w:t>2.   W drodze odstępstwa od ust. 1 niniejszego artykułu, art. 53 ust. 2, 3 i 4 niniejszej dyrektywy ma zastosowanie od dnia 20 grudnia 2018 r., w przypadku gdy ustanowiono zharmonizowane warunki w drodze technicznych środków wykonawczych zgodnie z decyzją nr 676/2002/WE, celem umożliwienia użytkowania widma radiowego w bezprzewodowych sieciach i usługach szerokopasmowych. W odniesieniu do pasm widma radiowego, dla których zharmonizowane warunki nie zostały ustanowione do dnia 20 grudnia 2018 r., zastosowanie ma art. 53 ust. 2, 3 i 4 niniejszej dyrektywy od daty przyjęcia technicznych środków wykonawczych zgodnie z art. 4 decyzji nr 676/2002/WE.</w:t>
            </w:r>
          </w:p>
          <w:p w14:paraId="6451BD76" w14:textId="77777777" w:rsidR="001E1112" w:rsidRPr="00317ABF" w:rsidRDefault="001E1112" w:rsidP="00DB3BEC">
            <w:pPr>
              <w:spacing w:before="120"/>
              <w:jc w:val="both"/>
              <w:rPr>
                <w:sz w:val="22"/>
                <w:szCs w:val="22"/>
              </w:rPr>
            </w:pPr>
            <w:r w:rsidRPr="00317ABF">
              <w:rPr>
                <w:sz w:val="22"/>
                <w:szCs w:val="22"/>
              </w:rPr>
              <w:t>W drodze odstępstwa od ust. 1 niniejszego artykułu, państwa członkowskie stosują środki konieczne do zapewnienia zgodności z art. 54 od dnia 31 grudnia 2020 r.</w:t>
            </w:r>
          </w:p>
        </w:tc>
        <w:tc>
          <w:tcPr>
            <w:tcW w:w="986" w:type="dxa"/>
          </w:tcPr>
          <w:p w14:paraId="097AEA3F" w14:textId="4EFAA4A6" w:rsidR="001E1112" w:rsidRPr="00317ABF" w:rsidRDefault="001E1112" w:rsidP="00DB3BEC">
            <w:pPr>
              <w:jc w:val="both"/>
              <w:rPr>
                <w:sz w:val="22"/>
                <w:szCs w:val="22"/>
              </w:rPr>
            </w:pPr>
            <w:r w:rsidRPr="00317ABF">
              <w:rPr>
                <w:sz w:val="22"/>
                <w:szCs w:val="22"/>
              </w:rPr>
              <w:t>N</w:t>
            </w:r>
          </w:p>
        </w:tc>
        <w:tc>
          <w:tcPr>
            <w:tcW w:w="910" w:type="dxa"/>
          </w:tcPr>
          <w:p w14:paraId="411DF495" w14:textId="77777777" w:rsidR="001E1112" w:rsidRPr="00317ABF" w:rsidRDefault="001E1112" w:rsidP="00DB3BEC">
            <w:pPr>
              <w:pStyle w:val="Tekstpodstawowy"/>
              <w:rPr>
                <w:b/>
                <w:noProof/>
                <w:sz w:val="22"/>
                <w:szCs w:val="22"/>
              </w:rPr>
            </w:pPr>
          </w:p>
        </w:tc>
        <w:tc>
          <w:tcPr>
            <w:tcW w:w="6814" w:type="dxa"/>
            <w:gridSpan w:val="2"/>
          </w:tcPr>
          <w:p w14:paraId="76A68B42" w14:textId="77777777" w:rsidR="001E1112" w:rsidRPr="00317ABF" w:rsidRDefault="001E1112" w:rsidP="00DB3BEC">
            <w:pPr>
              <w:pStyle w:val="Tekstpodstawowy"/>
              <w:rPr>
                <w:sz w:val="22"/>
                <w:szCs w:val="22"/>
              </w:rPr>
            </w:pPr>
          </w:p>
        </w:tc>
      </w:tr>
      <w:tr w:rsidR="001E1112" w:rsidRPr="00317ABF" w14:paraId="59B69EFA" w14:textId="77777777" w:rsidTr="7753F98D">
        <w:trPr>
          <w:gridAfter w:val="2"/>
          <w:wAfter w:w="175" w:type="dxa"/>
        </w:trPr>
        <w:tc>
          <w:tcPr>
            <w:tcW w:w="704" w:type="dxa"/>
          </w:tcPr>
          <w:p w14:paraId="5D341ED5" w14:textId="77777777" w:rsidR="001E1112" w:rsidRPr="00317ABF" w:rsidRDefault="001E1112" w:rsidP="00DB3BEC">
            <w:pPr>
              <w:jc w:val="both"/>
              <w:rPr>
                <w:sz w:val="22"/>
                <w:szCs w:val="22"/>
              </w:rPr>
            </w:pPr>
            <w:r w:rsidRPr="00317ABF">
              <w:rPr>
                <w:sz w:val="22"/>
                <w:szCs w:val="22"/>
              </w:rPr>
              <w:t>Art. 124 ust. 3</w:t>
            </w:r>
          </w:p>
        </w:tc>
        <w:tc>
          <w:tcPr>
            <w:tcW w:w="4308" w:type="dxa"/>
          </w:tcPr>
          <w:p w14:paraId="1D3D9005" w14:textId="77777777" w:rsidR="001E1112" w:rsidRPr="00317ABF" w:rsidRDefault="001E1112" w:rsidP="00DB3BEC">
            <w:pPr>
              <w:spacing w:before="120"/>
              <w:jc w:val="both"/>
              <w:rPr>
                <w:sz w:val="22"/>
                <w:szCs w:val="22"/>
              </w:rPr>
            </w:pPr>
            <w:r w:rsidRPr="00317ABF">
              <w:rPr>
                <w:sz w:val="22"/>
                <w:szCs w:val="22"/>
              </w:rPr>
              <w:t>3.   Państwa członkowskie przekazują Komisji tekst podstawowych przepisów prawa krajowego, przyjętych w dziedzinie objętej niniejszą dyrektywą.</w:t>
            </w:r>
          </w:p>
        </w:tc>
        <w:tc>
          <w:tcPr>
            <w:tcW w:w="986" w:type="dxa"/>
          </w:tcPr>
          <w:p w14:paraId="74EA359F" w14:textId="77777777" w:rsidR="001E1112" w:rsidRPr="00317ABF" w:rsidRDefault="001E1112" w:rsidP="00DB3BEC">
            <w:pPr>
              <w:jc w:val="both"/>
              <w:rPr>
                <w:sz w:val="22"/>
                <w:szCs w:val="22"/>
              </w:rPr>
            </w:pPr>
            <w:r w:rsidRPr="00317ABF">
              <w:rPr>
                <w:sz w:val="22"/>
                <w:szCs w:val="22"/>
              </w:rPr>
              <w:t>N</w:t>
            </w:r>
          </w:p>
        </w:tc>
        <w:tc>
          <w:tcPr>
            <w:tcW w:w="910" w:type="dxa"/>
          </w:tcPr>
          <w:p w14:paraId="17740577" w14:textId="77777777" w:rsidR="001E1112" w:rsidRPr="00317ABF" w:rsidRDefault="001E1112" w:rsidP="00DB3BEC">
            <w:pPr>
              <w:pStyle w:val="Tekstpodstawowy"/>
              <w:rPr>
                <w:b/>
                <w:noProof/>
                <w:sz w:val="22"/>
                <w:szCs w:val="22"/>
              </w:rPr>
            </w:pPr>
          </w:p>
        </w:tc>
        <w:tc>
          <w:tcPr>
            <w:tcW w:w="6814" w:type="dxa"/>
            <w:gridSpan w:val="2"/>
          </w:tcPr>
          <w:p w14:paraId="2BEF1B7D" w14:textId="77777777" w:rsidR="001E1112" w:rsidRPr="00317ABF" w:rsidRDefault="001E1112" w:rsidP="00DB3BEC">
            <w:pPr>
              <w:pStyle w:val="Tekstpodstawowy"/>
              <w:rPr>
                <w:sz w:val="22"/>
                <w:szCs w:val="22"/>
              </w:rPr>
            </w:pPr>
          </w:p>
        </w:tc>
      </w:tr>
      <w:tr w:rsidR="001E1112" w:rsidRPr="00317ABF" w14:paraId="3C321388" w14:textId="77777777" w:rsidTr="7753F98D">
        <w:trPr>
          <w:gridAfter w:val="2"/>
          <w:wAfter w:w="175" w:type="dxa"/>
        </w:trPr>
        <w:tc>
          <w:tcPr>
            <w:tcW w:w="704" w:type="dxa"/>
          </w:tcPr>
          <w:p w14:paraId="0A8E56CD" w14:textId="77777777" w:rsidR="001E1112" w:rsidRPr="00317ABF" w:rsidRDefault="001E1112" w:rsidP="00DB3BEC">
            <w:pPr>
              <w:jc w:val="both"/>
              <w:rPr>
                <w:b/>
                <w:sz w:val="22"/>
                <w:szCs w:val="22"/>
              </w:rPr>
            </w:pPr>
            <w:r w:rsidRPr="00317ABF">
              <w:rPr>
                <w:b/>
                <w:sz w:val="22"/>
                <w:szCs w:val="22"/>
              </w:rPr>
              <w:t>Art. 125</w:t>
            </w:r>
          </w:p>
        </w:tc>
        <w:tc>
          <w:tcPr>
            <w:tcW w:w="4308" w:type="dxa"/>
          </w:tcPr>
          <w:p w14:paraId="016092B1" w14:textId="77777777" w:rsidR="001E1112" w:rsidRPr="00317ABF" w:rsidRDefault="001E1112" w:rsidP="00DB3BEC">
            <w:pPr>
              <w:spacing w:before="60" w:after="120"/>
              <w:jc w:val="both"/>
              <w:rPr>
                <w:b/>
                <w:bCs/>
                <w:sz w:val="22"/>
                <w:szCs w:val="22"/>
              </w:rPr>
            </w:pPr>
            <w:r w:rsidRPr="00317ABF">
              <w:rPr>
                <w:b/>
                <w:bCs/>
                <w:sz w:val="22"/>
                <w:szCs w:val="22"/>
              </w:rPr>
              <w:t>Uchylenie</w:t>
            </w:r>
          </w:p>
          <w:p w14:paraId="447367A3" w14:textId="77777777" w:rsidR="001E1112" w:rsidRPr="00317ABF" w:rsidRDefault="001E1112" w:rsidP="00DB3BEC">
            <w:pPr>
              <w:spacing w:before="120"/>
              <w:jc w:val="both"/>
              <w:rPr>
                <w:sz w:val="22"/>
                <w:szCs w:val="22"/>
              </w:rPr>
            </w:pPr>
            <w:r w:rsidRPr="00317ABF">
              <w:rPr>
                <w:sz w:val="22"/>
                <w:szCs w:val="22"/>
              </w:rPr>
              <w:t>Dyrektywy 2002/19/WE, 2002/20/WE, 2002/21/WE, 2002/22/WE, wymienione w załączniku XII część A, tracą moc od dnia 21 grudnia 2020 r., bez uszczerbku dla zobowiązań państw członkowskich dotyczących terminów przeniesienia do prawa krajowego i stosowania dyrektyw określonych w załączniku XII część B.</w:t>
            </w:r>
          </w:p>
          <w:p w14:paraId="4DD5C546" w14:textId="77777777" w:rsidR="001E1112" w:rsidRPr="00317ABF" w:rsidRDefault="001E1112" w:rsidP="00DB3BEC">
            <w:pPr>
              <w:spacing w:before="120"/>
              <w:jc w:val="both"/>
              <w:rPr>
                <w:sz w:val="22"/>
                <w:szCs w:val="22"/>
              </w:rPr>
            </w:pPr>
            <w:r w:rsidRPr="00317ABF">
              <w:rPr>
                <w:sz w:val="22"/>
                <w:szCs w:val="22"/>
              </w:rPr>
              <w:t>Art. 5 decyzji nr 243/2012/UE zostaje skreślony ze skutkiem od dnia 21 grudnia 2020 r.</w:t>
            </w:r>
          </w:p>
          <w:p w14:paraId="51DCD40A" w14:textId="77777777" w:rsidR="001E1112" w:rsidRPr="00317ABF" w:rsidRDefault="001E1112" w:rsidP="00DB3BEC">
            <w:pPr>
              <w:spacing w:before="120"/>
              <w:jc w:val="both"/>
              <w:rPr>
                <w:sz w:val="22"/>
                <w:szCs w:val="22"/>
              </w:rPr>
            </w:pPr>
            <w:r w:rsidRPr="00317ABF">
              <w:rPr>
                <w:sz w:val="22"/>
                <w:szCs w:val="22"/>
              </w:rPr>
              <w:t>Odesłanie do uchylonych dyrektyw należy odczytywać jako odesłanie do niniejszej dyrektywy, zgodnie z tabelą korelacji w załączniku XIII.</w:t>
            </w:r>
          </w:p>
        </w:tc>
        <w:tc>
          <w:tcPr>
            <w:tcW w:w="986" w:type="dxa"/>
          </w:tcPr>
          <w:p w14:paraId="3CAA49B1" w14:textId="77777777" w:rsidR="001E1112" w:rsidRPr="00317ABF" w:rsidRDefault="001E1112" w:rsidP="00DB3BEC">
            <w:pPr>
              <w:jc w:val="both"/>
              <w:rPr>
                <w:sz w:val="22"/>
                <w:szCs w:val="22"/>
              </w:rPr>
            </w:pPr>
            <w:r w:rsidRPr="00317ABF">
              <w:rPr>
                <w:sz w:val="22"/>
                <w:szCs w:val="22"/>
              </w:rPr>
              <w:t>N</w:t>
            </w:r>
          </w:p>
        </w:tc>
        <w:tc>
          <w:tcPr>
            <w:tcW w:w="910" w:type="dxa"/>
          </w:tcPr>
          <w:p w14:paraId="10E10F51" w14:textId="77777777" w:rsidR="001E1112" w:rsidRPr="00317ABF" w:rsidRDefault="001E1112" w:rsidP="00DB3BEC">
            <w:pPr>
              <w:pStyle w:val="Tekstpodstawowy"/>
              <w:rPr>
                <w:b/>
                <w:noProof/>
                <w:sz w:val="22"/>
                <w:szCs w:val="22"/>
              </w:rPr>
            </w:pPr>
          </w:p>
        </w:tc>
        <w:tc>
          <w:tcPr>
            <w:tcW w:w="6814" w:type="dxa"/>
            <w:gridSpan w:val="2"/>
          </w:tcPr>
          <w:p w14:paraId="673ACA81" w14:textId="77777777" w:rsidR="001E1112" w:rsidRPr="00317ABF" w:rsidRDefault="001E1112" w:rsidP="00DB3BEC">
            <w:pPr>
              <w:pStyle w:val="Tekstpodstawowy"/>
              <w:rPr>
                <w:sz w:val="22"/>
                <w:szCs w:val="22"/>
              </w:rPr>
            </w:pPr>
          </w:p>
        </w:tc>
      </w:tr>
      <w:tr w:rsidR="001E1112" w:rsidRPr="00317ABF" w14:paraId="738F5971" w14:textId="77777777" w:rsidTr="7753F98D">
        <w:trPr>
          <w:gridAfter w:val="2"/>
          <w:wAfter w:w="175" w:type="dxa"/>
        </w:trPr>
        <w:tc>
          <w:tcPr>
            <w:tcW w:w="704" w:type="dxa"/>
          </w:tcPr>
          <w:p w14:paraId="77AA6A4F" w14:textId="77777777" w:rsidR="001E1112" w:rsidRPr="00317ABF" w:rsidRDefault="001E1112" w:rsidP="00DB3BEC">
            <w:pPr>
              <w:jc w:val="both"/>
              <w:rPr>
                <w:b/>
                <w:sz w:val="22"/>
                <w:szCs w:val="22"/>
              </w:rPr>
            </w:pPr>
            <w:r w:rsidRPr="00317ABF">
              <w:rPr>
                <w:b/>
                <w:sz w:val="22"/>
                <w:szCs w:val="22"/>
              </w:rPr>
              <w:t>Art. 126</w:t>
            </w:r>
          </w:p>
        </w:tc>
        <w:tc>
          <w:tcPr>
            <w:tcW w:w="4308" w:type="dxa"/>
          </w:tcPr>
          <w:p w14:paraId="490593A5" w14:textId="77777777" w:rsidR="001E1112" w:rsidRPr="00317ABF" w:rsidRDefault="001E1112" w:rsidP="00DB3BEC">
            <w:pPr>
              <w:spacing w:before="60" w:after="120"/>
              <w:jc w:val="both"/>
              <w:rPr>
                <w:b/>
                <w:bCs/>
                <w:sz w:val="22"/>
                <w:szCs w:val="22"/>
              </w:rPr>
            </w:pPr>
            <w:r w:rsidRPr="00317ABF">
              <w:rPr>
                <w:b/>
                <w:bCs/>
                <w:sz w:val="22"/>
                <w:szCs w:val="22"/>
              </w:rPr>
              <w:t>Wejście w życie</w:t>
            </w:r>
          </w:p>
          <w:p w14:paraId="159F7949" w14:textId="77777777" w:rsidR="001E1112" w:rsidRPr="00317ABF" w:rsidRDefault="001E1112" w:rsidP="00DB3BEC">
            <w:pPr>
              <w:spacing w:before="120"/>
              <w:jc w:val="both"/>
              <w:rPr>
                <w:sz w:val="22"/>
                <w:szCs w:val="22"/>
              </w:rPr>
            </w:pPr>
            <w:r w:rsidRPr="00317ABF">
              <w:rPr>
                <w:sz w:val="22"/>
                <w:szCs w:val="22"/>
              </w:rPr>
              <w:t>Niniejsza dyrektywa wchodzi w życie trzeciego dnia po jej opublikowaniu w Dzienniku Urzędowym Unii Europejskiej.</w:t>
            </w:r>
          </w:p>
        </w:tc>
        <w:tc>
          <w:tcPr>
            <w:tcW w:w="986" w:type="dxa"/>
          </w:tcPr>
          <w:p w14:paraId="3FA2DA86" w14:textId="77777777" w:rsidR="001E1112" w:rsidRPr="00317ABF" w:rsidRDefault="001E1112" w:rsidP="00DB3BEC">
            <w:pPr>
              <w:jc w:val="both"/>
              <w:rPr>
                <w:sz w:val="22"/>
                <w:szCs w:val="22"/>
              </w:rPr>
            </w:pPr>
            <w:r w:rsidRPr="00317ABF">
              <w:rPr>
                <w:sz w:val="22"/>
                <w:szCs w:val="22"/>
              </w:rPr>
              <w:t>N</w:t>
            </w:r>
          </w:p>
        </w:tc>
        <w:tc>
          <w:tcPr>
            <w:tcW w:w="910" w:type="dxa"/>
          </w:tcPr>
          <w:p w14:paraId="352BE31E" w14:textId="77777777" w:rsidR="001E1112" w:rsidRPr="00317ABF" w:rsidRDefault="001E1112" w:rsidP="00DB3BEC">
            <w:pPr>
              <w:pStyle w:val="Tekstpodstawowy"/>
              <w:rPr>
                <w:b/>
                <w:noProof/>
                <w:sz w:val="22"/>
                <w:szCs w:val="22"/>
              </w:rPr>
            </w:pPr>
          </w:p>
        </w:tc>
        <w:tc>
          <w:tcPr>
            <w:tcW w:w="6814" w:type="dxa"/>
            <w:gridSpan w:val="2"/>
          </w:tcPr>
          <w:p w14:paraId="653C9E7B" w14:textId="77777777" w:rsidR="001E1112" w:rsidRPr="00317ABF" w:rsidRDefault="001E1112" w:rsidP="00DB3BEC">
            <w:pPr>
              <w:pStyle w:val="Tekstpodstawowy"/>
              <w:rPr>
                <w:sz w:val="22"/>
                <w:szCs w:val="22"/>
              </w:rPr>
            </w:pPr>
          </w:p>
        </w:tc>
      </w:tr>
      <w:tr w:rsidR="001E1112" w:rsidRPr="00317ABF" w14:paraId="61BAC3A2" w14:textId="77777777" w:rsidTr="7753F98D">
        <w:trPr>
          <w:gridAfter w:val="2"/>
          <w:wAfter w:w="175" w:type="dxa"/>
        </w:trPr>
        <w:tc>
          <w:tcPr>
            <w:tcW w:w="704" w:type="dxa"/>
          </w:tcPr>
          <w:p w14:paraId="71966952" w14:textId="77777777" w:rsidR="001E1112" w:rsidRPr="00317ABF" w:rsidRDefault="001E1112" w:rsidP="00DB3BEC">
            <w:pPr>
              <w:jc w:val="both"/>
              <w:rPr>
                <w:b/>
                <w:sz w:val="22"/>
                <w:szCs w:val="22"/>
              </w:rPr>
            </w:pPr>
            <w:r w:rsidRPr="00317ABF">
              <w:rPr>
                <w:b/>
                <w:sz w:val="22"/>
                <w:szCs w:val="22"/>
              </w:rPr>
              <w:t>Art. 127</w:t>
            </w:r>
          </w:p>
        </w:tc>
        <w:tc>
          <w:tcPr>
            <w:tcW w:w="4308" w:type="dxa"/>
          </w:tcPr>
          <w:p w14:paraId="58B26C8D" w14:textId="77777777" w:rsidR="001E1112" w:rsidRPr="00317ABF" w:rsidRDefault="001E1112" w:rsidP="00DB3BEC">
            <w:pPr>
              <w:spacing w:before="60" w:after="120"/>
              <w:jc w:val="both"/>
              <w:rPr>
                <w:b/>
                <w:bCs/>
                <w:sz w:val="22"/>
                <w:szCs w:val="22"/>
              </w:rPr>
            </w:pPr>
            <w:r w:rsidRPr="00317ABF">
              <w:rPr>
                <w:b/>
                <w:bCs/>
                <w:sz w:val="22"/>
                <w:szCs w:val="22"/>
              </w:rPr>
              <w:t>Adresaci</w:t>
            </w:r>
          </w:p>
          <w:p w14:paraId="7199C52B" w14:textId="77777777" w:rsidR="001E1112" w:rsidRPr="00317ABF" w:rsidRDefault="001E1112" w:rsidP="00DB3BEC">
            <w:pPr>
              <w:spacing w:before="120"/>
              <w:jc w:val="both"/>
              <w:rPr>
                <w:sz w:val="22"/>
                <w:szCs w:val="22"/>
              </w:rPr>
            </w:pPr>
            <w:r w:rsidRPr="00317ABF">
              <w:rPr>
                <w:sz w:val="22"/>
                <w:szCs w:val="22"/>
              </w:rPr>
              <w:t>Niniejsza dyrektywa skierowana jest do państw członkowskich.</w:t>
            </w:r>
          </w:p>
          <w:p w14:paraId="37F7CDDB" w14:textId="77777777" w:rsidR="001E1112" w:rsidRPr="00317ABF" w:rsidRDefault="001E1112" w:rsidP="00DB3BEC">
            <w:pPr>
              <w:jc w:val="both"/>
              <w:rPr>
                <w:sz w:val="22"/>
                <w:szCs w:val="22"/>
              </w:rPr>
            </w:pPr>
            <w:r w:rsidRPr="00317ABF">
              <w:rPr>
                <w:sz w:val="22"/>
                <w:szCs w:val="22"/>
              </w:rPr>
              <w:t>Sporządzono w Strasburgu dnia 11 grudnia 2018 r.</w:t>
            </w:r>
          </w:p>
        </w:tc>
        <w:tc>
          <w:tcPr>
            <w:tcW w:w="986" w:type="dxa"/>
          </w:tcPr>
          <w:p w14:paraId="4295050E" w14:textId="77777777" w:rsidR="001E1112" w:rsidRPr="00317ABF" w:rsidRDefault="001E1112" w:rsidP="00DB3BEC">
            <w:pPr>
              <w:jc w:val="both"/>
              <w:rPr>
                <w:sz w:val="22"/>
                <w:szCs w:val="22"/>
              </w:rPr>
            </w:pPr>
            <w:r w:rsidRPr="00317ABF">
              <w:rPr>
                <w:sz w:val="22"/>
                <w:szCs w:val="22"/>
              </w:rPr>
              <w:t>N</w:t>
            </w:r>
          </w:p>
        </w:tc>
        <w:tc>
          <w:tcPr>
            <w:tcW w:w="910" w:type="dxa"/>
          </w:tcPr>
          <w:p w14:paraId="47A2C910" w14:textId="77777777" w:rsidR="001E1112" w:rsidRPr="00317ABF" w:rsidRDefault="001E1112" w:rsidP="00DB3BEC">
            <w:pPr>
              <w:pStyle w:val="Tekstpodstawowy"/>
              <w:rPr>
                <w:b/>
                <w:noProof/>
                <w:sz w:val="22"/>
                <w:szCs w:val="22"/>
              </w:rPr>
            </w:pPr>
          </w:p>
        </w:tc>
        <w:tc>
          <w:tcPr>
            <w:tcW w:w="6814" w:type="dxa"/>
            <w:gridSpan w:val="2"/>
          </w:tcPr>
          <w:p w14:paraId="10BEE8EC" w14:textId="77777777" w:rsidR="001E1112" w:rsidRPr="00317ABF" w:rsidRDefault="001E1112" w:rsidP="00DB3BEC">
            <w:pPr>
              <w:pStyle w:val="Tekstpodstawowy"/>
              <w:rPr>
                <w:sz w:val="22"/>
                <w:szCs w:val="22"/>
              </w:rPr>
            </w:pPr>
          </w:p>
        </w:tc>
      </w:tr>
      <w:tr w:rsidR="001E1112" w:rsidRPr="00317ABF" w14:paraId="21FBD606" w14:textId="77777777" w:rsidTr="7753F98D">
        <w:trPr>
          <w:gridAfter w:val="2"/>
          <w:wAfter w:w="175" w:type="dxa"/>
        </w:trPr>
        <w:tc>
          <w:tcPr>
            <w:tcW w:w="704" w:type="dxa"/>
          </w:tcPr>
          <w:p w14:paraId="7B1D7A5A" w14:textId="77777777" w:rsidR="001E1112" w:rsidRPr="00317ABF" w:rsidRDefault="001E1112" w:rsidP="00DB3BEC">
            <w:pPr>
              <w:jc w:val="both"/>
              <w:rPr>
                <w:b/>
                <w:sz w:val="22"/>
                <w:szCs w:val="22"/>
              </w:rPr>
            </w:pPr>
            <w:r w:rsidRPr="00317ABF">
              <w:rPr>
                <w:b/>
                <w:sz w:val="22"/>
                <w:szCs w:val="22"/>
              </w:rPr>
              <w:t>Załącznik I</w:t>
            </w:r>
          </w:p>
        </w:tc>
        <w:tc>
          <w:tcPr>
            <w:tcW w:w="4308" w:type="dxa"/>
          </w:tcPr>
          <w:p w14:paraId="129C6DFA" w14:textId="77777777" w:rsidR="001E1112" w:rsidRPr="00317ABF" w:rsidRDefault="001E1112" w:rsidP="00DB3BEC">
            <w:pPr>
              <w:spacing w:before="240" w:after="120"/>
              <w:jc w:val="both"/>
              <w:rPr>
                <w:b/>
                <w:bCs/>
                <w:sz w:val="22"/>
                <w:szCs w:val="22"/>
              </w:rPr>
            </w:pPr>
            <w:r w:rsidRPr="00317ABF">
              <w:rPr>
                <w:b/>
                <w:bCs/>
                <w:sz w:val="22"/>
                <w:szCs w:val="22"/>
              </w:rPr>
              <w:t>WYKAZ WARUNKÓW, KTÓRYMI MOGĄ ZOSTAĆ OBWAROWANE OGÓLNE ZEZWOLENIA, PRAWA UŻYTKOWANIA WIDMA RADIOWEGO I PRAWA UŻYTKOWANIA ZASOBÓW NUMERACYJNYCH</w:t>
            </w:r>
          </w:p>
        </w:tc>
        <w:tc>
          <w:tcPr>
            <w:tcW w:w="986" w:type="dxa"/>
          </w:tcPr>
          <w:p w14:paraId="274012B1" w14:textId="77777777" w:rsidR="001E1112" w:rsidRPr="00317ABF" w:rsidRDefault="001E1112" w:rsidP="00DB3BEC">
            <w:pPr>
              <w:jc w:val="both"/>
              <w:rPr>
                <w:sz w:val="22"/>
                <w:szCs w:val="22"/>
              </w:rPr>
            </w:pPr>
          </w:p>
        </w:tc>
        <w:tc>
          <w:tcPr>
            <w:tcW w:w="910" w:type="dxa"/>
          </w:tcPr>
          <w:p w14:paraId="1EF1CF08" w14:textId="77777777" w:rsidR="001E1112" w:rsidRPr="00317ABF" w:rsidRDefault="001E1112" w:rsidP="00DB3BEC">
            <w:pPr>
              <w:pStyle w:val="Tekstpodstawowy"/>
              <w:rPr>
                <w:b/>
                <w:noProof/>
                <w:sz w:val="22"/>
                <w:szCs w:val="22"/>
              </w:rPr>
            </w:pPr>
          </w:p>
        </w:tc>
        <w:tc>
          <w:tcPr>
            <w:tcW w:w="6814" w:type="dxa"/>
            <w:gridSpan w:val="2"/>
          </w:tcPr>
          <w:p w14:paraId="495A833F" w14:textId="77777777" w:rsidR="001E1112" w:rsidRPr="00317ABF" w:rsidRDefault="001E1112" w:rsidP="00DB3BEC">
            <w:pPr>
              <w:pStyle w:val="Tekstpodstawowy"/>
              <w:rPr>
                <w:sz w:val="22"/>
                <w:szCs w:val="22"/>
              </w:rPr>
            </w:pPr>
          </w:p>
        </w:tc>
      </w:tr>
      <w:tr w:rsidR="001E1112" w:rsidRPr="00317ABF" w14:paraId="5ED18D4B" w14:textId="77777777" w:rsidTr="7753F98D">
        <w:trPr>
          <w:gridAfter w:val="2"/>
          <w:wAfter w:w="175" w:type="dxa"/>
        </w:trPr>
        <w:tc>
          <w:tcPr>
            <w:tcW w:w="704" w:type="dxa"/>
          </w:tcPr>
          <w:p w14:paraId="06A18424" w14:textId="77777777" w:rsidR="001E1112" w:rsidRPr="00317ABF" w:rsidRDefault="001E1112" w:rsidP="00DB3BEC">
            <w:pPr>
              <w:jc w:val="both"/>
              <w:rPr>
                <w:sz w:val="22"/>
                <w:szCs w:val="22"/>
              </w:rPr>
            </w:pPr>
            <w:r w:rsidRPr="00317ABF">
              <w:rPr>
                <w:sz w:val="22"/>
                <w:szCs w:val="22"/>
              </w:rPr>
              <w:t>Część A.</w:t>
            </w:r>
          </w:p>
        </w:tc>
        <w:tc>
          <w:tcPr>
            <w:tcW w:w="4308" w:type="dxa"/>
          </w:tcPr>
          <w:p w14:paraId="50B31B19" w14:textId="77777777" w:rsidR="001E1112" w:rsidRPr="00317ABF" w:rsidRDefault="001E1112" w:rsidP="00DB3BEC">
            <w:pPr>
              <w:spacing w:before="120"/>
              <w:jc w:val="both"/>
              <w:rPr>
                <w:sz w:val="22"/>
                <w:szCs w:val="22"/>
              </w:rPr>
            </w:pPr>
            <w:r w:rsidRPr="00317ABF">
              <w:rPr>
                <w:bCs/>
                <w:sz w:val="22"/>
                <w:szCs w:val="22"/>
              </w:rPr>
              <w:t>Ogólne warunki, którymi mogą zostać obwarowane ogólne zezwolenia</w:t>
            </w:r>
          </w:p>
        </w:tc>
        <w:tc>
          <w:tcPr>
            <w:tcW w:w="986" w:type="dxa"/>
          </w:tcPr>
          <w:p w14:paraId="0B74D533" w14:textId="64AF46F4" w:rsidR="001E1112" w:rsidRPr="00317ABF" w:rsidRDefault="001E1112" w:rsidP="00DB3BEC">
            <w:pPr>
              <w:jc w:val="both"/>
              <w:rPr>
                <w:sz w:val="22"/>
                <w:szCs w:val="22"/>
              </w:rPr>
            </w:pPr>
            <w:r w:rsidRPr="00317ABF">
              <w:rPr>
                <w:sz w:val="22"/>
                <w:szCs w:val="22"/>
              </w:rPr>
              <w:t>N</w:t>
            </w:r>
          </w:p>
        </w:tc>
        <w:tc>
          <w:tcPr>
            <w:tcW w:w="910" w:type="dxa"/>
          </w:tcPr>
          <w:p w14:paraId="331BF345" w14:textId="55C4733D" w:rsidR="001E1112" w:rsidRPr="00317ABF" w:rsidRDefault="001E1112" w:rsidP="00DB3BEC">
            <w:pPr>
              <w:pStyle w:val="Tekstpodstawowy"/>
              <w:rPr>
                <w:b/>
                <w:bCs/>
                <w:noProof/>
                <w:sz w:val="22"/>
                <w:szCs w:val="22"/>
              </w:rPr>
            </w:pPr>
            <w:r w:rsidRPr="00317ABF">
              <w:rPr>
                <w:b/>
                <w:bCs/>
                <w:noProof/>
                <w:sz w:val="22"/>
                <w:szCs w:val="22"/>
              </w:rPr>
              <w:t>warunki fakultatywne – Przepisyustawy nie wykraczają poza te warunki</w:t>
            </w:r>
          </w:p>
        </w:tc>
        <w:tc>
          <w:tcPr>
            <w:tcW w:w="6814" w:type="dxa"/>
            <w:gridSpan w:val="2"/>
          </w:tcPr>
          <w:p w14:paraId="04BE59BF" w14:textId="77777777" w:rsidR="001E1112" w:rsidRPr="00317ABF" w:rsidRDefault="001E1112" w:rsidP="00DB3BEC">
            <w:pPr>
              <w:pStyle w:val="Tekstpodstawowy"/>
              <w:rPr>
                <w:sz w:val="22"/>
                <w:szCs w:val="22"/>
              </w:rPr>
            </w:pPr>
          </w:p>
        </w:tc>
      </w:tr>
      <w:tr w:rsidR="001E1112" w:rsidRPr="00317ABF" w14:paraId="1470DC38" w14:textId="77777777" w:rsidTr="7753F98D">
        <w:trPr>
          <w:gridAfter w:val="2"/>
          <w:wAfter w:w="175" w:type="dxa"/>
        </w:trPr>
        <w:tc>
          <w:tcPr>
            <w:tcW w:w="704" w:type="dxa"/>
          </w:tcPr>
          <w:p w14:paraId="342AE83A" w14:textId="77777777" w:rsidR="001E1112" w:rsidRPr="00317ABF" w:rsidRDefault="001E1112" w:rsidP="00DB3BEC">
            <w:pPr>
              <w:jc w:val="both"/>
              <w:rPr>
                <w:sz w:val="22"/>
                <w:szCs w:val="22"/>
              </w:rPr>
            </w:pPr>
            <w:r w:rsidRPr="00317ABF">
              <w:rPr>
                <w:sz w:val="22"/>
                <w:szCs w:val="22"/>
              </w:rPr>
              <w:t>Część B.</w:t>
            </w:r>
          </w:p>
        </w:tc>
        <w:tc>
          <w:tcPr>
            <w:tcW w:w="4308" w:type="dxa"/>
          </w:tcPr>
          <w:p w14:paraId="18551653" w14:textId="77777777" w:rsidR="001E1112" w:rsidRPr="00317ABF" w:rsidRDefault="001E1112" w:rsidP="00DB3BEC">
            <w:pPr>
              <w:spacing w:before="120"/>
              <w:jc w:val="both"/>
              <w:rPr>
                <w:sz w:val="22"/>
                <w:szCs w:val="22"/>
              </w:rPr>
            </w:pPr>
            <w:r w:rsidRPr="00317ABF">
              <w:rPr>
                <w:bCs/>
                <w:sz w:val="22"/>
                <w:szCs w:val="22"/>
              </w:rPr>
              <w:t>Szczegółowe warunki, którymi może zostać obwarowane ogólne zezwolenie na dostarczanie sieci łączności elektronicznej</w:t>
            </w:r>
          </w:p>
        </w:tc>
        <w:tc>
          <w:tcPr>
            <w:tcW w:w="986" w:type="dxa"/>
          </w:tcPr>
          <w:p w14:paraId="507BF6D0" w14:textId="77777777" w:rsidR="001E1112" w:rsidRPr="00317ABF" w:rsidRDefault="001E1112" w:rsidP="00DB3BEC">
            <w:pPr>
              <w:jc w:val="both"/>
              <w:rPr>
                <w:sz w:val="22"/>
                <w:szCs w:val="22"/>
              </w:rPr>
            </w:pPr>
          </w:p>
        </w:tc>
        <w:tc>
          <w:tcPr>
            <w:tcW w:w="910" w:type="dxa"/>
          </w:tcPr>
          <w:p w14:paraId="30284F2B" w14:textId="55C4733D" w:rsidR="001E1112" w:rsidRPr="00317ABF" w:rsidRDefault="001E1112" w:rsidP="00DB3BEC">
            <w:pPr>
              <w:pStyle w:val="Tekstpodstawowy"/>
              <w:rPr>
                <w:b/>
                <w:bCs/>
                <w:noProof/>
                <w:sz w:val="22"/>
                <w:szCs w:val="22"/>
              </w:rPr>
            </w:pPr>
            <w:r w:rsidRPr="00317ABF">
              <w:rPr>
                <w:b/>
                <w:bCs/>
                <w:noProof/>
                <w:sz w:val="22"/>
                <w:szCs w:val="22"/>
              </w:rPr>
              <w:t>warunki fakultatywne – Przepisyustawy nie wykraczają poza te warunki</w:t>
            </w:r>
          </w:p>
          <w:p w14:paraId="7DCD5188" w14:textId="35398FB3" w:rsidR="001E1112" w:rsidRPr="00317ABF" w:rsidRDefault="001E1112" w:rsidP="00DB3BEC">
            <w:pPr>
              <w:pStyle w:val="Tekstpodstawowy"/>
              <w:rPr>
                <w:b/>
                <w:bCs/>
                <w:noProof/>
                <w:sz w:val="22"/>
                <w:szCs w:val="22"/>
              </w:rPr>
            </w:pPr>
          </w:p>
        </w:tc>
        <w:tc>
          <w:tcPr>
            <w:tcW w:w="6814" w:type="dxa"/>
            <w:gridSpan w:val="2"/>
          </w:tcPr>
          <w:p w14:paraId="60DFC3C0" w14:textId="77777777" w:rsidR="001E1112" w:rsidRPr="00317ABF" w:rsidRDefault="001E1112" w:rsidP="00DB3BEC">
            <w:pPr>
              <w:pStyle w:val="Tekstpodstawowy"/>
              <w:rPr>
                <w:sz w:val="22"/>
                <w:szCs w:val="22"/>
              </w:rPr>
            </w:pPr>
          </w:p>
        </w:tc>
      </w:tr>
      <w:tr w:rsidR="001E1112" w:rsidRPr="00317ABF" w14:paraId="44E44E9D" w14:textId="77777777" w:rsidTr="7753F98D">
        <w:trPr>
          <w:gridAfter w:val="2"/>
          <w:wAfter w:w="175" w:type="dxa"/>
        </w:trPr>
        <w:tc>
          <w:tcPr>
            <w:tcW w:w="704" w:type="dxa"/>
          </w:tcPr>
          <w:p w14:paraId="406E7DB3" w14:textId="77777777" w:rsidR="001E1112" w:rsidRPr="00317ABF" w:rsidRDefault="001E1112" w:rsidP="00DB3BEC">
            <w:pPr>
              <w:jc w:val="both"/>
              <w:rPr>
                <w:sz w:val="22"/>
                <w:szCs w:val="22"/>
              </w:rPr>
            </w:pPr>
            <w:r w:rsidRPr="00317ABF">
              <w:rPr>
                <w:sz w:val="22"/>
                <w:szCs w:val="22"/>
              </w:rPr>
              <w:t>Część C.</w:t>
            </w:r>
          </w:p>
        </w:tc>
        <w:tc>
          <w:tcPr>
            <w:tcW w:w="4308" w:type="dxa"/>
          </w:tcPr>
          <w:p w14:paraId="0CA664D2" w14:textId="77777777" w:rsidR="001E1112" w:rsidRPr="00317ABF" w:rsidRDefault="001E1112" w:rsidP="00DB3BEC">
            <w:pPr>
              <w:spacing w:before="120"/>
              <w:jc w:val="both"/>
              <w:rPr>
                <w:sz w:val="22"/>
                <w:szCs w:val="22"/>
              </w:rPr>
            </w:pPr>
            <w:r w:rsidRPr="00317ABF">
              <w:rPr>
                <w:bCs/>
                <w:sz w:val="22"/>
                <w:szCs w:val="22"/>
              </w:rPr>
              <w:t>Szczegółowe warunki, którymi może zostać obwarowane ogólne zezwolenie na świadczenie usług łączności elektronicznej z wyjątkiem usług łączności interpersonalnej niewykorzystujących numerów</w:t>
            </w:r>
          </w:p>
        </w:tc>
        <w:tc>
          <w:tcPr>
            <w:tcW w:w="986" w:type="dxa"/>
          </w:tcPr>
          <w:p w14:paraId="71F87C62" w14:textId="77777777" w:rsidR="001E1112" w:rsidRPr="00317ABF" w:rsidRDefault="001E1112" w:rsidP="00DB3BEC">
            <w:pPr>
              <w:jc w:val="both"/>
              <w:rPr>
                <w:sz w:val="22"/>
                <w:szCs w:val="22"/>
              </w:rPr>
            </w:pPr>
          </w:p>
        </w:tc>
        <w:tc>
          <w:tcPr>
            <w:tcW w:w="910" w:type="dxa"/>
          </w:tcPr>
          <w:p w14:paraId="65B34E98" w14:textId="77777777" w:rsidR="001E1112" w:rsidRPr="00317ABF" w:rsidRDefault="001E1112" w:rsidP="00DB3BEC">
            <w:pPr>
              <w:pStyle w:val="Tekstpodstawowy"/>
              <w:rPr>
                <w:b/>
                <w:bCs/>
                <w:noProof/>
                <w:sz w:val="22"/>
                <w:szCs w:val="22"/>
              </w:rPr>
            </w:pPr>
            <w:r w:rsidRPr="00317ABF">
              <w:rPr>
                <w:b/>
                <w:bCs/>
                <w:noProof/>
                <w:sz w:val="22"/>
                <w:szCs w:val="22"/>
              </w:rPr>
              <w:t>warunki fakultatywne – Przepisyustawy nie wykraczają poza te warunki</w:t>
            </w:r>
          </w:p>
          <w:p w14:paraId="3301E1C1" w14:textId="77777777" w:rsidR="001E1112" w:rsidRPr="00317ABF" w:rsidRDefault="001E1112" w:rsidP="00DB3BEC">
            <w:pPr>
              <w:pStyle w:val="Tekstpodstawowy"/>
              <w:rPr>
                <w:b/>
                <w:noProof/>
                <w:sz w:val="22"/>
                <w:szCs w:val="22"/>
              </w:rPr>
            </w:pPr>
          </w:p>
        </w:tc>
        <w:tc>
          <w:tcPr>
            <w:tcW w:w="6814" w:type="dxa"/>
            <w:gridSpan w:val="2"/>
          </w:tcPr>
          <w:p w14:paraId="7A1107E0" w14:textId="77777777" w:rsidR="001E1112" w:rsidRPr="00317ABF" w:rsidRDefault="001E1112" w:rsidP="00DB3BEC">
            <w:pPr>
              <w:pStyle w:val="Tekstpodstawowy"/>
              <w:rPr>
                <w:sz w:val="22"/>
                <w:szCs w:val="22"/>
              </w:rPr>
            </w:pPr>
          </w:p>
        </w:tc>
      </w:tr>
      <w:tr w:rsidR="001E1112" w:rsidRPr="00317ABF" w14:paraId="1317FA7A" w14:textId="77777777" w:rsidTr="7753F98D">
        <w:trPr>
          <w:gridAfter w:val="2"/>
          <w:wAfter w:w="175" w:type="dxa"/>
        </w:trPr>
        <w:tc>
          <w:tcPr>
            <w:tcW w:w="704" w:type="dxa"/>
          </w:tcPr>
          <w:p w14:paraId="328C58EC" w14:textId="77777777" w:rsidR="001E1112" w:rsidRPr="00317ABF" w:rsidRDefault="001E1112" w:rsidP="00DB3BEC">
            <w:pPr>
              <w:jc w:val="both"/>
              <w:rPr>
                <w:sz w:val="22"/>
                <w:szCs w:val="22"/>
              </w:rPr>
            </w:pPr>
            <w:r w:rsidRPr="00317ABF">
              <w:rPr>
                <w:sz w:val="22"/>
                <w:szCs w:val="22"/>
              </w:rPr>
              <w:t>Część D.</w:t>
            </w:r>
          </w:p>
        </w:tc>
        <w:tc>
          <w:tcPr>
            <w:tcW w:w="4308" w:type="dxa"/>
          </w:tcPr>
          <w:p w14:paraId="7407C6C4" w14:textId="77777777" w:rsidR="001E1112" w:rsidRPr="00317ABF" w:rsidRDefault="001E1112" w:rsidP="00DB3BEC">
            <w:pPr>
              <w:spacing w:before="120"/>
              <w:jc w:val="both"/>
              <w:rPr>
                <w:sz w:val="22"/>
                <w:szCs w:val="22"/>
              </w:rPr>
            </w:pPr>
            <w:r w:rsidRPr="00317ABF">
              <w:rPr>
                <w:bCs/>
                <w:sz w:val="22"/>
                <w:szCs w:val="22"/>
              </w:rPr>
              <w:t>Wymogi, którymi mogą zostać obwarowane prawa użytkowania widma radiowego</w:t>
            </w:r>
          </w:p>
        </w:tc>
        <w:tc>
          <w:tcPr>
            <w:tcW w:w="986" w:type="dxa"/>
          </w:tcPr>
          <w:p w14:paraId="66072FD6" w14:textId="77777777" w:rsidR="001E1112" w:rsidRPr="00317ABF" w:rsidRDefault="001E1112" w:rsidP="00DB3BEC">
            <w:pPr>
              <w:jc w:val="both"/>
              <w:rPr>
                <w:sz w:val="22"/>
                <w:szCs w:val="22"/>
              </w:rPr>
            </w:pPr>
          </w:p>
        </w:tc>
        <w:tc>
          <w:tcPr>
            <w:tcW w:w="910" w:type="dxa"/>
          </w:tcPr>
          <w:p w14:paraId="5BB39817" w14:textId="6132351A" w:rsidR="001E1112" w:rsidRPr="00317ABF" w:rsidRDefault="001E1112" w:rsidP="00DB3BEC">
            <w:pPr>
              <w:pStyle w:val="Tekstpodstawowy"/>
              <w:rPr>
                <w:b/>
                <w:bCs/>
                <w:noProof/>
                <w:sz w:val="22"/>
                <w:szCs w:val="22"/>
              </w:rPr>
            </w:pPr>
            <w:r w:rsidRPr="00317ABF">
              <w:rPr>
                <w:b/>
                <w:bCs/>
                <w:noProof/>
                <w:sz w:val="22"/>
                <w:szCs w:val="22"/>
              </w:rPr>
              <w:t>warunki fakultatywne – Przepisyustawy nie wykraczają poza te warunki</w:t>
            </w:r>
          </w:p>
        </w:tc>
        <w:tc>
          <w:tcPr>
            <w:tcW w:w="6814" w:type="dxa"/>
            <w:gridSpan w:val="2"/>
          </w:tcPr>
          <w:p w14:paraId="075B066A" w14:textId="77777777" w:rsidR="001E1112" w:rsidRPr="00317ABF" w:rsidRDefault="001E1112" w:rsidP="00DB3BEC">
            <w:pPr>
              <w:pStyle w:val="Tekstpodstawowy"/>
              <w:rPr>
                <w:sz w:val="22"/>
                <w:szCs w:val="22"/>
              </w:rPr>
            </w:pPr>
          </w:p>
        </w:tc>
      </w:tr>
      <w:tr w:rsidR="001E1112" w:rsidRPr="00317ABF" w14:paraId="04E3719E" w14:textId="77777777" w:rsidTr="7753F98D">
        <w:trPr>
          <w:gridAfter w:val="2"/>
          <w:wAfter w:w="175" w:type="dxa"/>
        </w:trPr>
        <w:tc>
          <w:tcPr>
            <w:tcW w:w="704" w:type="dxa"/>
          </w:tcPr>
          <w:p w14:paraId="49E87115" w14:textId="27A72489" w:rsidR="001E1112" w:rsidRPr="00317ABF" w:rsidRDefault="001E1112" w:rsidP="00DB3BEC">
            <w:pPr>
              <w:jc w:val="both"/>
              <w:rPr>
                <w:sz w:val="22"/>
                <w:szCs w:val="22"/>
              </w:rPr>
            </w:pPr>
            <w:r w:rsidRPr="00317ABF">
              <w:rPr>
                <w:sz w:val="22"/>
                <w:szCs w:val="22"/>
              </w:rPr>
              <w:t>Część E.</w:t>
            </w:r>
          </w:p>
        </w:tc>
        <w:tc>
          <w:tcPr>
            <w:tcW w:w="4308" w:type="dxa"/>
          </w:tcPr>
          <w:p w14:paraId="70DE7371" w14:textId="77777777" w:rsidR="001E1112" w:rsidRPr="00317ABF" w:rsidRDefault="001E1112" w:rsidP="00DB3BEC">
            <w:pPr>
              <w:spacing w:before="120"/>
              <w:jc w:val="both"/>
              <w:rPr>
                <w:sz w:val="22"/>
                <w:szCs w:val="22"/>
              </w:rPr>
            </w:pPr>
            <w:r w:rsidRPr="00317ABF">
              <w:rPr>
                <w:bCs/>
                <w:sz w:val="22"/>
                <w:szCs w:val="22"/>
              </w:rPr>
              <w:t>Warunki, którymi mogą zostać obwarowane prawa użytkowania zasobów numeracyjnych</w:t>
            </w:r>
          </w:p>
        </w:tc>
        <w:tc>
          <w:tcPr>
            <w:tcW w:w="986" w:type="dxa"/>
          </w:tcPr>
          <w:p w14:paraId="58F1115E" w14:textId="77777777" w:rsidR="001E1112" w:rsidRPr="00317ABF" w:rsidRDefault="001E1112" w:rsidP="00DB3BEC">
            <w:pPr>
              <w:jc w:val="both"/>
              <w:rPr>
                <w:sz w:val="22"/>
                <w:szCs w:val="22"/>
              </w:rPr>
            </w:pPr>
          </w:p>
        </w:tc>
        <w:tc>
          <w:tcPr>
            <w:tcW w:w="910" w:type="dxa"/>
          </w:tcPr>
          <w:p w14:paraId="00B25AAC" w14:textId="77777777" w:rsidR="001E1112" w:rsidRPr="00317ABF" w:rsidRDefault="001E1112" w:rsidP="00DB3BEC">
            <w:pPr>
              <w:pStyle w:val="Tekstpodstawowy"/>
              <w:rPr>
                <w:b/>
                <w:bCs/>
                <w:noProof/>
                <w:sz w:val="22"/>
                <w:szCs w:val="22"/>
              </w:rPr>
            </w:pPr>
            <w:r w:rsidRPr="00317ABF">
              <w:rPr>
                <w:b/>
                <w:bCs/>
                <w:noProof/>
                <w:sz w:val="22"/>
                <w:szCs w:val="22"/>
              </w:rPr>
              <w:t>warunki fakultatywne – Przepisyustawy nie wykraczają poza te warunki</w:t>
            </w:r>
          </w:p>
          <w:p w14:paraId="012A99F1" w14:textId="77777777" w:rsidR="001E1112" w:rsidRPr="00317ABF" w:rsidRDefault="001E1112" w:rsidP="00DB3BEC">
            <w:pPr>
              <w:pStyle w:val="Tekstpodstawowy"/>
              <w:rPr>
                <w:b/>
                <w:noProof/>
                <w:sz w:val="22"/>
                <w:szCs w:val="22"/>
              </w:rPr>
            </w:pPr>
          </w:p>
        </w:tc>
        <w:tc>
          <w:tcPr>
            <w:tcW w:w="6814" w:type="dxa"/>
            <w:gridSpan w:val="2"/>
          </w:tcPr>
          <w:p w14:paraId="54D6D97E" w14:textId="1EC5DC75" w:rsidR="001E1112" w:rsidRPr="00317ABF" w:rsidRDefault="001E1112" w:rsidP="00DB3BEC">
            <w:pPr>
              <w:pStyle w:val="Tekstpodstawowy"/>
              <w:rPr>
                <w:sz w:val="22"/>
                <w:szCs w:val="22"/>
              </w:rPr>
            </w:pPr>
          </w:p>
        </w:tc>
      </w:tr>
      <w:tr w:rsidR="001E1112" w:rsidRPr="00317ABF" w14:paraId="7822789B" w14:textId="77777777" w:rsidTr="7753F98D">
        <w:trPr>
          <w:gridAfter w:val="2"/>
          <w:wAfter w:w="175" w:type="dxa"/>
        </w:trPr>
        <w:tc>
          <w:tcPr>
            <w:tcW w:w="704" w:type="dxa"/>
          </w:tcPr>
          <w:p w14:paraId="033E196D" w14:textId="7E766321" w:rsidR="001E1112" w:rsidRPr="00317ABF" w:rsidRDefault="001E1112" w:rsidP="00DB3BEC">
            <w:pPr>
              <w:jc w:val="both"/>
              <w:rPr>
                <w:b/>
                <w:sz w:val="22"/>
                <w:szCs w:val="22"/>
              </w:rPr>
            </w:pPr>
            <w:r w:rsidRPr="00317ABF">
              <w:rPr>
                <w:b/>
                <w:sz w:val="22"/>
                <w:szCs w:val="22"/>
              </w:rPr>
              <w:t>Załącznik II</w:t>
            </w:r>
          </w:p>
        </w:tc>
        <w:tc>
          <w:tcPr>
            <w:tcW w:w="4308" w:type="dxa"/>
          </w:tcPr>
          <w:p w14:paraId="52D83B86" w14:textId="77777777" w:rsidR="001E1112" w:rsidRPr="00317ABF" w:rsidRDefault="001E1112" w:rsidP="00DB3BEC">
            <w:pPr>
              <w:spacing w:before="120"/>
              <w:jc w:val="both"/>
              <w:rPr>
                <w:sz w:val="22"/>
                <w:szCs w:val="22"/>
              </w:rPr>
            </w:pPr>
            <w:r w:rsidRPr="00317ABF">
              <w:rPr>
                <w:b/>
                <w:bCs/>
                <w:sz w:val="22"/>
                <w:szCs w:val="22"/>
              </w:rPr>
              <w:t>WARUNKI DOSTĘPU TELEWIDZÓW I RADIOSŁUCHACZY Z UNII DO CYFROWYCH USŁUG TELEWIZYJNYCH I RADIOWYCH</w:t>
            </w:r>
          </w:p>
        </w:tc>
        <w:tc>
          <w:tcPr>
            <w:tcW w:w="986" w:type="dxa"/>
          </w:tcPr>
          <w:p w14:paraId="157F1E50" w14:textId="77777777" w:rsidR="001E1112" w:rsidRPr="00317ABF" w:rsidRDefault="001E1112" w:rsidP="00DB3BEC">
            <w:pPr>
              <w:jc w:val="both"/>
              <w:rPr>
                <w:sz w:val="22"/>
                <w:szCs w:val="22"/>
              </w:rPr>
            </w:pPr>
          </w:p>
        </w:tc>
        <w:tc>
          <w:tcPr>
            <w:tcW w:w="910" w:type="dxa"/>
          </w:tcPr>
          <w:p w14:paraId="17619CE3" w14:textId="77777777" w:rsidR="001E1112" w:rsidRPr="00317ABF" w:rsidRDefault="001E1112" w:rsidP="00DB3BEC">
            <w:pPr>
              <w:pStyle w:val="Tekstpodstawowy"/>
              <w:rPr>
                <w:b/>
                <w:noProof/>
                <w:sz w:val="22"/>
                <w:szCs w:val="22"/>
              </w:rPr>
            </w:pPr>
          </w:p>
        </w:tc>
        <w:tc>
          <w:tcPr>
            <w:tcW w:w="6814" w:type="dxa"/>
            <w:gridSpan w:val="2"/>
          </w:tcPr>
          <w:p w14:paraId="6460D3AE" w14:textId="5A72BAD5" w:rsidR="001E1112" w:rsidRPr="00317ABF" w:rsidRDefault="001E1112" w:rsidP="00DB3BEC">
            <w:pPr>
              <w:pStyle w:val="Tekstpodstawowy"/>
              <w:rPr>
                <w:sz w:val="22"/>
                <w:szCs w:val="22"/>
              </w:rPr>
            </w:pPr>
          </w:p>
        </w:tc>
      </w:tr>
      <w:tr w:rsidR="001E1112" w:rsidRPr="00317ABF" w14:paraId="0C42FD6A" w14:textId="77777777" w:rsidTr="7753F98D">
        <w:trPr>
          <w:gridAfter w:val="2"/>
          <w:wAfter w:w="175" w:type="dxa"/>
        </w:trPr>
        <w:tc>
          <w:tcPr>
            <w:tcW w:w="704" w:type="dxa"/>
          </w:tcPr>
          <w:p w14:paraId="235DBBFC" w14:textId="08E1D345" w:rsidR="001E1112" w:rsidRPr="00317ABF" w:rsidRDefault="001E1112" w:rsidP="00DB3BEC">
            <w:pPr>
              <w:jc w:val="both"/>
              <w:rPr>
                <w:sz w:val="22"/>
                <w:szCs w:val="22"/>
              </w:rPr>
            </w:pPr>
            <w:r w:rsidRPr="00317ABF">
              <w:rPr>
                <w:sz w:val="22"/>
                <w:szCs w:val="22"/>
              </w:rPr>
              <w:t>Część I</w:t>
            </w:r>
          </w:p>
        </w:tc>
        <w:tc>
          <w:tcPr>
            <w:tcW w:w="4308" w:type="dxa"/>
          </w:tcPr>
          <w:p w14:paraId="313D6E97" w14:textId="77777777" w:rsidR="001E1112" w:rsidRPr="00317ABF" w:rsidRDefault="001E1112" w:rsidP="00DB3BEC">
            <w:pPr>
              <w:spacing w:before="120"/>
              <w:jc w:val="both"/>
              <w:rPr>
                <w:sz w:val="22"/>
                <w:szCs w:val="22"/>
              </w:rPr>
            </w:pPr>
            <w:r w:rsidRPr="00317ABF">
              <w:rPr>
                <w:bCs/>
                <w:sz w:val="22"/>
                <w:szCs w:val="22"/>
              </w:rPr>
              <w:t>Warunki związane z systemami dostępu warunkowego stosowane zgodnie z art. 62 ust. 1</w:t>
            </w:r>
          </w:p>
        </w:tc>
        <w:tc>
          <w:tcPr>
            <w:tcW w:w="986" w:type="dxa"/>
          </w:tcPr>
          <w:p w14:paraId="7DCB1561" w14:textId="50B00902" w:rsidR="001E1112" w:rsidRPr="00317ABF" w:rsidRDefault="001E1112" w:rsidP="00DB3BEC">
            <w:pPr>
              <w:jc w:val="both"/>
              <w:rPr>
                <w:b/>
                <w:sz w:val="22"/>
                <w:szCs w:val="22"/>
              </w:rPr>
            </w:pPr>
            <w:r w:rsidRPr="00317ABF">
              <w:rPr>
                <w:b/>
                <w:sz w:val="22"/>
                <w:szCs w:val="22"/>
              </w:rPr>
              <w:t>T</w:t>
            </w:r>
          </w:p>
        </w:tc>
        <w:tc>
          <w:tcPr>
            <w:tcW w:w="910" w:type="dxa"/>
          </w:tcPr>
          <w:p w14:paraId="75FEBA7F" w14:textId="3AF338BF" w:rsidR="001E1112" w:rsidRPr="00317ABF" w:rsidRDefault="001E1112" w:rsidP="004F546D">
            <w:pPr>
              <w:pStyle w:val="Tekstpodstawowy"/>
              <w:rPr>
                <w:b/>
                <w:noProof/>
                <w:sz w:val="22"/>
                <w:szCs w:val="22"/>
              </w:rPr>
            </w:pPr>
            <w:r w:rsidRPr="00317ABF">
              <w:rPr>
                <w:b/>
                <w:noProof/>
                <w:sz w:val="22"/>
                <w:szCs w:val="22"/>
              </w:rPr>
              <w:t xml:space="preserve">Art. </w:t>
            </w:r>
            <w:r w:rsidR="004F546D" w:rsidRPr="00317ABF">
              <w:rPr>
                <w:b/>
                <w:noProof/>
                <w:sz w:val="22"/>
                <w:szCs w:val="22"/>
              </w:rPr>
              <w:t>402</w:t>
            </w:r>
            <w:r w:rsidRPr="00317ABF">
              <w:rPr>
                <w:b/>
                <w:noProof/>
                <w:sz w:val="22"/>
                <w:szCs w:val="22"/>
              </w:rPr>
              <w:t xml:space="preserve"> ust. 1 i art. </w:t>
            </w:r>
            <w:r w:rsidR="004F546D" w:rsidRPr="00317ABF">
              <w:rPr>
                <w:b/>
                <w:noProof/>
                <w:sz w:val="22"/>
                <w:szCs w:val="22"/>
              </w:rPr>
              <w:t>404 ust. 1, 2 i 3</w:t>
            </w:r>
          </w:p>
        </w:tc>
        <w:tc>
          <w:tcPr>
            <w:tcW w:w="6814" w:type="dxa"/>
            <w:gridSpan w:val="2"/>
          </w:tcPr>
          <w:p w14:paraId="7F914D2C" w14:textId="2283FC1A" w:rsidR="001E1112" w:rsidRPr="00317ABF" w:rsidRDefault="001E1112" w:rsidP="00DB3BEC">
            <w:pPr>
              <w:pStyle w:val="Tekstpodstawowy"/>
              <w:rPr>
                <w:sz w:val="22"/>
                <w:szCs w:val="22"/>
              </w:rPr>
            </w:pPr>
            <w:r w:rsidRPr="00317ABF">
              <w:rPr>
                <w:sz w:val="22"/>
                <w:szCs w:val="22"/>
              </w:rPr>
              <w:t xml:space="preserve">Art. </w:t>
            </w:r>
            <w:r w:rsidR="004F546D" w:rsidRPr="00317ABF">
              <w:rPr>
                <w:sz w:val="22"/>
                <w:szCs w:val="22"/>
              </w:rPr>
              <w:t>402</w:t>
            </w:r>
            <w:r w:rsidRPr="00317ABF">
              <w:rPr>
                <w:sz w:val="22"/>
                <w:szCs w:val="22"/>
              </w:rPr>
              <w:t>. 1 Przedsiębiorca telekomunikacyjny dostarczający system dostępu warunkowego powinien oferować nadawcom na równych i niedyskryminujących warunkach usługi techniczne umożliwiające odbiór cyfrowych transmisji radiofonicznych i telewizyjnych za pomocą dekoderów zainstalowanych w sieciach lub u abonentów.</w:t>
            </w:r>
          </w:p>
          <w:p w14:paraId="6921E4A0" w14:textId="77777777" w:rsidR="001E1112" w:rsidRPr="00317ABF" w:rsidRDefault="001E1112" w:rsidP="00DB3BEC">
            <w:pPr>
              <w:pStyle w:val="Tekstpodstawowy"/>
              <w:rPr>
                <w:sz w:val="22"/>
                <w:szCs w:val="22"/>
              </w:rPr>
            </w:pPr>
            <w:r w:rsidRPr="00317ABF">
              <w:rPr>
                <w:sz w:val="22"/>
                <w:szCs w:val="22"/>
              </w:rPr>
              <w:t>Art. 371. 1. Posiadacze praw własności przemysłowej obejmujących systemy dostępu warunkowego oraz usługi świadczone za ich pomocą są obowiązani do zawierania umów licencyjnych z producentami odbiorników sygnału telewizyjnego i odbiorników radiofonii cyfrowej na równych i niedyskryminujących warunkach.</w:t>
            </w:r>
          </w:p>
          <w:p w14:paraId="544CBC1E" w14:textId="77777777" w:rsidR="001E1112" w:rsidRPr="00317ABF" w:rsidRDefault="001E1112" w:rsidP="00DB3BEC">
            <w:pPr>
              <w:pStyle w:val="Tekstpodstawowy"/>
              <w:rPr>
                <w:sz w:val="22"/>
                <w:szCs w:val="22"/>
              </w:rPr>
            </w:pPr>
            <w:r w:rsidRPr="00317ABF">
              <w:rPr>
                <w:sz w:val="22"/>
                <w:szCs w:val="22"/>
              </w:rPr>
              <w:t>2. Postanowienia umów licencyjnych, o których mowa w ust. 1, nie powinny zabraniać, ograniczać lub zniechęcać do umieszczenia w urządzeniach, o których mowa w ust. 1:</w:t>
            </w:r>
          </w:p>
          <w:p w14:paraId="1ED9BD9E" w14:textId="77777777" w:rsidR="001E1112" w:rsidRPr="00317ABF" w:rsidRDefault="001E1112" w:rsidP="00DB3BEC">
            <w:pPr>
              <w:pStyle w:val="Tekstpodstawowy"/>
              <w:rPr>
                <w:sz w:val="22"/>
                <w:szCs w:val="22"/>
              </w:rPr>
            </w:pPr>
            <w:r w:rsidRPr="00317ABF">
              <w:rPr>
                <w:sz w:val="22"/>
                <w:szCs w:val="22"/>
              </w:rPr>
              <w:t>1)</w:t>
            </w:r>
            <w:r w:rsidRPr="00317ABF">
              <w:rPr>
                <w:sz w:val="22"/>
                <w:szCs w:val="22"/>
              </w:rPr>
              <w:tab/>
              <w:t>wspólnego interfejsu pozwalającego na połączenie z innymi systemami dostępu warunkowego,</w:t>
            </w:r>
          </w:p>
          <w:p w14:paraId="224C0D66" w14:textId="77777777" w:rsidR="001E1112" w:rsidRPr="00317ABF" w:rsidRDefault="001E1112" w:rsidP="00DB3BEC">
            <w:pPr>
              <w:pStyle w:val="Tekstpodstawowy"/>
              <w:rPr>
                <w:sz w:val="22"/>
                <w:szCs w:val="22"/>
              </w:rPr>
            </w:pPr>
            <w:r w:rsidRPr="00317ABF">
              <w:rPr>
                <w:sz w:val="22"/>
                <w:szCs w:val="22"/>
              </w:rPr>
              <w:t>2)</w:t>
            </w:r>
            <w:r w:rsidRPr="00317ABF">
              <w:rPr>
                <w:sz w:val="22"/>
                <w:szCs w:val="22"/>
              </w:rPr>
              <w:tab/>
              <w:t>elementów właściwych dla innych systemów dostępu warunkowego, jeżeli licencjobiorca przestrzega warunków gwarantujących bezpieczeństwo transakcji dokonywanych przez operatorów systemów dostępu warunkowego</w:t>
            </w:r>
          </w:p>
          <w:p w14:paraId="5AAAC1F8" w14:textId="77777777" w:rsidR="001E1112" w:rsidRPr="00317ABF" w:rsidRDefault="001E1112" w:rsidP="00DB3BEC">
            <w:pPr>
              <w:pStyle w:val="Tekstpodstawowy"/>
              <w:rPr>
                <w:sz w:val="22"/>
                <w:szCs w:val="22"/>
              </w:rPr>
            </w:pPr>
            <w:r w:rsidRPr="00317ABF">
              <w:rPr>
                <w:sz w:val="22"/>
                <w:szCs w:val="22"/>
              </w:rPr>
              <w:t>- z uwzględnieniem czynników technicznych i ekonomicznych.</w:t>
            </w:r>
          </w:p>
          <w:p w14:paraId="11F5F7D2" w14:textId="091F17D4" w:rsidR="001E1112" w:rsidRPr="00317ABF" w:rsidRDefault="001E1112" w:rsidP="00DB3BEC">
            <w:pPr>
              <w:pStyle w:val="Tekstpodstawowy"/>
              <w:rPr>
                <w:sz w:val="22"/>
                <w:szCs w:val="22"/>
              </w:rPr>
            </w:pPr>
            <w:r w:rsidRPr="00317ABF">
              <w:rPr>
                <w:sz w:val="22"/>
                <w:szCs w:val="22"/>
              </w:rPr>
              <w:t>3. W zakresie nieuregulowanym w ust. 1 i 2 do umów licencyjnych stosuje się przepisy ustawy z dnia 30 czerwca 2000 r. - Prawo własności przemysłowej (Dz. U. z 2020 r. poz. 286, 2309, 1086 i 288 ).d</w:t>
            </w:r>
          </w:p>
        </w:tc>
      </w:tr>
      <w:tr w:rsidR="001E1112" w:rsidRPr="00317ABF" w14:paraId="277A4980" w14:textId="77777777" w:rsidTr="7753F98D">
        <w:trPr>
          <w:gridAfter w:val="2"/>
          <w:wAfter w:w="175" w:type="dxa"/>
        </w:trPr>
        <w:tc>
          <w:tcPr>
            <w:tcW w:w="704" w:type="dxa"/>
          </w:tcPr>
          <w:p w14:paraId="4328B3F2" w14:textId="433CA8A8" w:rsidR="001E1112" w:rsidRPr="00317ABF" w:rsidRDefault="001E1112" w:rsidP="00DB3BEC">
            <w:pPr>
              <w:jc w:val="both"/>
              <w:rPr>
                <w:sz w:val="22"/>
                <w:szCs w:val="22"/>
              </w:rPr>
            </w:pPr>
            <w:r w:rsidRPr="00317ABF">
              <w:rPr>
                <w:sz w:val="22"/>
                <w:szCs w:val="22"/>
              </w:rPr>
              <w:t>Część II</w:t>
            </w:r>
          </w:p>
        </w:tc>
        <w:tc>
          <w:tcPr>
            <w:tcW w:w="4308" w:type="dxa"/>
          </w:tcPr>
          <w:p w14:paraId="4F34B128" w14:textId="77777777" w:rsidR="001E1112" w:rsidRPr="00317ABF" w:rsidRDefault="001E1112" w:rsidP="00DB3BEC">
            <w:pPr>
              <w:spacing w:before="120"/>
              <w:jc w:val="both"/>
              <w:rPr>
                <w:sz w:val="22"/>
                <w:szCs w:val="22"/>
              </w:rPr>
            </w:pPr>
            <w:r w:rsidRPr="00317ABF">
              <w:rPr>
                <w:bCs/>
                <w:sz w:val="22"/>
                <w:szCs w:val="22"/>
              </w:rPr>
              <w:t>Inne urządzenia, w stosunku do których mogą być zastosowane warunki określone w art. 61 ust. 2 lit. d)</w:t>
            </w:r>
          </w:p>
        </w:tc>
        <w:tc>
          <w:tcPr>
            <w:tcW w:w="986" w:type="dxa"/>
          </w:tcPr>
          <w:p w14:paraId="16D2454A" w14:textId="1C3F5E1C" w:rsidR="001E1112" w:rsidRPr="00317ABF" w:rsidRDefault="001E1112" w:rsidP="00DB3BEC">
            <w:pPr>
              <w:jc w:val="both"/>
              <w:rPr>
                <w:b/>
                <w:sz w:val="22"/>
                <w:szCs w:val="22"/>
              </w:rPr>
            </w:pPr>
            <w:r w:rsidRPr="00317ABF">
              <w:rPr>
                <w:b/>
                <w:sz w:val="22"/>
                <w:szCs w:val="22"/>
              </w:rPr>
              <w:t>T</w:t>
            </w:r>
          </w:p>
        </w:tc>
        <w:tc>
          <w:tcPr>
            <w:tcW w:w="910" w:type="dxa"/>
          </w:tcPr>
          <w:p w14:paraId="59DDECE8" w14:textId="3303BD2C" w:rsidR="001E1112" w:rsidRPr="00317ABF" w:rsidRDefault="001E1112" w:rsidP="004F546D">
            <w:pPr>
              <w:pStyle w:val="Tekstpodstawowy"/>
              <w:rPr>
                <w:b/>
                <w:noProof/>
                <w:sz w:val="22"/>
                <w:szCs w:val="22"/>
              </w:rPr>
            </w:pPr>
            <w:r w:rsidRPr="00317ABF">
              <w:rPr>
                <w:b/>
                <w:noProof/>
                <w:sz w:val="22"/>
                <w:szCs w:val="22"/>
              </w:rPr>
              <w:t xml:space="preserve">Art. </w:t>
            </w:r>
            <w:r w:rsidR="004F546D" w:rsidRPr="00317ABF">
              <w:rPr>
                <w:b/>
                <w:noProof/>
                <w:sz w:val="22"/>
                <w:szCs w:val="22"/>
              </w:rPr>
              <w:t>401</w:t>
            </w:r>
            <w:r w:rsidRPr="00317ABF">
              <w:rPr>
                <w:b/>
                <w:noProof/>
                <w:sz w:val="22"/>
                <w:szCs w:val="22"/>
              </w:rPr>
              <w:t xml:space="preserve"> </w:t>
            </w:r>
            <w:r w:rsidR="00DB3BEC" w:rsidRPr="00317ABF">
              <w:rPr>
                <w:b/>
                <w:noProof/>
                <w:sz w:val="22"/>
                <w:szCs w:val="22"/>
              </w:rPr>
              <w:t xml:space="preserve">ust. </w:t>
            </w:r>
            <w:r w:rsidR="004F546D" w:rsidRPr="00317ABF">
              <w:rPr>
                <w:b/>
                <w:noProof/>
                <w:sz w:val="22"/>
                <w:szCs w:val="22"/>
              </w:rPr>
              <w:t>4</w:t>
            </w:r>
          </w:p>
        </w:tc>
        <w:tc>
          <w:tcPr>
            <w:tcW w:w="6814" w:type="dxa"/>
            <w:gridSpan w:val="2"/>
          </w:tcPr>
          <w:p w14:paraId="29A4AAD6" w14:textId="77777777" w:rsidR="001E1112" w:rsidRPr="00317ABF" w:rsidRDefault="001E1112" w:rsidP="00DB3BEC">
            <w:pPr>
              <w:pStyle w:val="Tekstpodstawowy"/>
              <w:rPr>
                <w:sz w:val="22"/>
                <w:szCs w:val="22"/>
              </w:rPr>
            </w:pPr>
            <w:r w:rsidRPr="00317ABF">
              <w:rPr>
                <w:sz w:val="22"/>
                <w:szCs w:val="22"/>
              </w:rPr>
              <w:t>3. Odbiornik sygnału telewizyjnego umożliwia:</w:t>
            </w:r>
          </w:p>
          <w:p w14:paraId="2D3A9DFF" w14:textId="77777777" w:rsidR="001E1112" w:rsidRPr="00317ABF" w:rsidRDefault="001E1112" w:rsidP="00DB3BEC">
            <w:pPr>
              <w:pStyle w:val="Tekstpodstawowy"/>
              <w:rPr>
                <w:sz w:val="22"/>
                <w:szCs w:val="22"/>
              </w:rPr>
            </w:pPr>
            <w:r w:rsidRPr="00317ABF">
              <w:rPr>
                <w:sz w:val="22"/>
                <w:szCs w:val="22"/>
              </w:rPr>
              <w:t>1)</w:t>
            </w:r>
            <w:r w:rsidRPr="00317ABF">
              <w:rPr>
                <w:sz w:val="22"/>
                <w:szCs w:val="22"/>
              </w:rPr>
              <w:tab/>
              <w:t>odbiór niekodowanych cyfrowych transmisji telewizyjnych;</w:t>
            </w:r>
          </w:p>
          <w:p w14:paraId="7B6B4F1F" w14:textId="1145F109" w:rsidR="001E1112" w:rsidRPr="00317ABF" w:rsidRDefault="001E1112" w:rsidP="00DB3BEC">
            <w:pPr>
              <w:pStyle w:val="Tekstpodstawowy"/>
              <w:rPr>
                <w:sz w:val="22"/>
                <w:szCs w:val="22"/>
              </w:rPr>
            </w:pPr>
            <w:r w:rsidRPr="00317ABF">
              <w:rPr>
                <w:sz w:val="22"/>
                <w:szCs w:val="22"/>
              </w:rPr>
              <w:t>2)</w:t>
            </w:r>
            <w:r w:rsidRPr="00317ABF">
              <w:rPr>
                <w:sz w:val="22"/>
                <w:szCs w:val="22"/>
              </w:rPr>
              <w:tab/>
              <w:t>dekodowanie za pomocą jednolitego algorytmu kodowania cyfrowych transmisji telewizyjnych kodowanych, określonego w przepisach wydanych na podstawie ust. 5.</w:t>
            </w:r>
          </w:p>
        </w:tc>
      </w:tr>
      <w:tr w:rsidR="001E1112" w:rsidRPr="00317ABF" w14:paraId="3A012004" w14:textId="77777777" w:rsidTr="7753F98D">
        <w:trPr>
          <w:gridAfter w:val="2"/>
          <w:wAfter w:w="175" w:type="dxa"/>
        </w:trPr>
        <w:tc>
          <w:tcPr>
            <w:tcW w:w="704" w:type="dxa"/>
          </w:tcPr>
          <w:p w14:paraId="0E07D441" w14:textId="012F5E6B" w:rsidR="001E1112" w:rsidRPr="00317ABF" w:rsidRDefault="001E1112" w:rsidP="00DB3BEC">
            <w:pPr>
              <w:jc w:val="both"/>
              <w:rPr>
                <w:b/>
                <w:sz w:val="22"/>
                <w:szCs w:val="22"/>
              </w:rPr>
            </w:pPr>
            <w:r w:rsidRPr="00317ABF">
              <w:rPr>
                <w:b/>
                <w:sz w:val="22"/>
                <w:szCs w:val="22"/>
              </w:rPr>
              <w:t>Załącznik III</w:t>
            </w:r>
          </w:p>
        </w:tc>
        <w:tc>
          <w:tcPr>
            <w:tcW w:w="4308" w:type="dxa"/>
          </w:tcPr>
          <w:p w14:paraId="2EC7DD8C" w14:textId="77777777" w:rsidR="001E1112" w:rsidRPr="00317ABF" w:rsidRDefault="001E1112" w:rsidP="00DB3BEC">
            <w:pPr>
              <w:spacing w:before="120"/>
              <w:jc w:val="both"/>
              <w:rPr>
                <w:sz w:val="22"/>
                <w:szCs w:val="22"/>
              </w:rPr>
            </w:pPr>
            <w:r w:rsidRPr="00317ABF">
              <w:rPr>
                <w:b/>
                <w:bCs/>
                <w:sz w:val="22"/>
                <w:szCs w:val="22"/>
              </w:rPr>
              <w:t>KRYTERIA USTALANIA HURTOWYCH STAWEK ZA ZAKAŃCZANIE POŁĄCZEŃ GŁOSOWYCH</w:t>
            </w:r>
          </w:p>
        </w:tc>
        <w:tc>
          <w:tcPr>
            <w:tcW w:w="986" w:type="dxa"/>
          </w:tcPr>
          <w:p w14:paraId="2DF911E7" w14:textId="77777777" w:rsidR="001E1112" w:rsidRPr="00317ABF" w:rsidRDefault="001E1112" w:rsidP="00DB3BEC">
            <w:pPr>
              <w:jc w:val="both"/>
              <w:rPr>
                <w:sz w:val="22"/>
                <w:szCs w:val="22"/>
              </w:rPr>
            </w:pPr>
          </w:p>
        </w:tc>
        <w:tc>
          <w:tcPr>
            <w:tcW w:w="910" w:type="dxa"/>
          </w:tcPr>
          <w:p w14:paraId="6865DF4C" w14:textId="3A28DA3F" w:rsidR="001E1112" w:rsidRPr="00317ABF" w:rsidRDefault="001E1112" w:rsidP="00DB3BEC">
            <w:pPr>
              <w:pStyle w:val="Tekstpodstawowy"/>
              <w:rPr>
                <w:b/>
                <w:noProof/>
                <w:sz w:val="22"/>
                <w:szCs w:val="22"/>
              </w:rPr>
            </w:pPr>
            <w:r w:rsidRPr="00317ABF">
              <w:rPr>
                <w:b/>
                <w:noProof/>
                <w:sz w:val="22"/>
                <w:szCs w:val="22"/>
              </w:rPr>
              <w:t xml:space="preserve">Art. </w:t>
            </w:r>
            <w:r w:rsidR="009A6419" w:rsidRPr="00317ABF">
              <w:rPr>
                <w:b/>
                <w:noProof/>
                <w:sz w:val="22"/>
                <w:szCs w:val="22"/>
              </w:rPr>
              <w:t>219</w:t>
            </w:r>
            <w:r w:rsidRPr="00317ABF">
              <w:rPr>
                <w:b/>
                <w:noProof/>
                <w:sz w:val="22"/>
                <w:szCs w:val="22"/>
              </w:rPr>
              <w:t xml:space="preserve"> ust. 3</w:t>
            </w:r>
          </w:p>
        </w:tc>
        <w:tc>
          <w:tcPr>
            <w:tcW w:w="6814" w:type="dxa"/>
            <w:gridSpan w:val="2"/>
          </w:tcPr>
          <w:p w14:paraId="328E0011" w14:textId="6300A672" w:rsidR="001E1112" w:rsidRPr="00317ABF" w:rsidRDefault="001E1112" w:rsidP="00DB3BEC">
            <w:pPr>
              <w:pStyle w:val="USTustnpkodeksu"/>
              <w:spacing w:line="240" w:lineRule="auto"/>
              <w:rPr>
                <w:rFonts w:ascii="Times New Roman" w:hAnsi="Times New Roman" w:cs="Times New Roman"/>
                <w:b/>
                <w:sz w:val="22"/>
                <w:szCs w:val="22"/>
              </w:rPr>
            </w:pPr>
            <w:r w:rsidRPr="00317ABF">
              <w:rPr>
                <w:rFonts w:ascii="Times New Roman" w:hAnsi="Times New Roman" w:cs="Times New Roman"/>
                <w:b/>
                <w:sz w:val="22"/>
                <w:szCs w:val="22"/>
              </w:rPr>
              <w:t xml:space="preserve">Art. </w:t>
            </w:r>
            <w:r w:rsidR="009A6419" w:rsidRPr="00317ABF">
              <w:rPr>
                <w:rFonts w:ascii="Times New Roman" w:hAnsi="Times New Roman" w:cs="Times New Roman"/>
                <w:b/>
                <w:sz w:val="22"/>
                <w:szCs w:val="22"/>
              </w:rPr>
              <w:t>219</w:t>
            </w:r>
            <w:r w:rsidRPr="00317ABF">
              <w:rPr>
                <w:rFonts w:ascii="Times New Roman" w:hAnsi="Times New Roman" w:cs="Times New Roman"/>
                <w:b/>
                <w:sz w:val="22"/>
                <w:szCs w:val="22"/>
              </w:rPr>
              <w:t xml:space="preserve"> ust. 3</w:t>
            </w:r>
          </w:p>
          <w:p w14:paraId="70A76134" w14:textId="11D645B1" w:rsidR="001E1112" w:rsidRPr="00317ABF" w:rsidRDefault="001E1112" w:rsidP="00DB3BEC">
            <w:pPr>
              <w:pStyle w:val="USTustnpkodeksu"/>
              <w:spacing w:line="240" w:lineRule="auto"/>
              <w:rPr>
                <w:rFonts w:ascii="Times New Roman" w:hAnsi="Times New Roman" w:cs="Times New Roman"/>
                <w:sz w:val="22"/>
                <w:szCs w:val="22"/>
              </w:rPr>
            </w:pPr>
            <w:r w:rsidRPr="00317ABF">
              <w:rPr>
                <w:rFonts w:ascii="Times New Roman" w:hAnsi="Times New Roman" w:cs="Times New Roman"/>
                <w:sz w:val="22"/>
                <w:szCs w:val="22"/>
              </w:rPr>
              <w:t xml:space="preserve">3. </w:t>
            </w:r>
            <w:r w:rsidRPr="00317ABF">
              <w:rPr>
                <w:sz w:val="22"/>
                <w:szCs w:val="22"/>
              </w:rPr>
              <w:t xml:space="preserve"> </w:t>
            </w:r>
            <w:r w:rsidRPr="00317ABF">
              <w:rPr>
                <w:rFonts w:ascii="Times New Roman" w:hAnsi="Times New Roman" w:cs="Times New Roman"/>
                <w:sz w:val="22"/>
                <w:szCs w:val="22"/>
              </w:rPr>
              <w:t>Prezes UKE określając opłaty, o których mowa w ust. 2, uwzględnia:</w:t>
            </w:r>
          </w:p>
          <w:p w14:paraId="6048F236" w14:textId="77777777" w:rsidR="001E1112" w:rsidRPr="00317ABF" w:rsidRDefault="001E1112" w:rsidP="00DB3BEC">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1)</w:t>
            </w:r>
            <w:r w:rsidRPr="00317ABF">
              <w:rPr>
                <w:rFonts w:ascii="Times New Roman" w:hAnsi="Times New Roman" w:cs="Times New Roman"/>
                <w:sz w:val="22"/>
                <w:szCs w:val="22"/>
              </w:rPr>
              <w:tab/>
              <w:t>koszty ponoszone przez efektywnie działającego przedsiębiorcę komunikacji elektronicznej ujmowane w wartościach bieżących, jako podstawę wyznaczania opłat z tytułu usług zakańczania połączeń głosowych, przy czym metoda kalkulacji kosztów stosowana do wyliczania kosztów efektywnie działającego przedsiębiorcy komunikacji elektronicznej opiera się na modelowaniu oddolnym (bottom-up) i wykorzystuje długookresowe koszty przyrostowe związane z ruchem sieciowym ponoszone w celu świadczenia na rzecz innych podmiotów hurtowej usługi zakańczania połączeń głosowych;</w:t>
            </w:r>
          </w:p>
          <w:p w14:paraId="6980F83A" w14:textId="77777777" w:rsidR="001E1112" w:rsidRPr="00317ABF" w:rsidRDefault="001E1112" w:rsidP="00DB3BEC">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2)</w:t>
            </w:r>
            <w:r w:rsidRPr="00317ABF">
              <w:rPr>
                <w:rFonts w:ascii="Times New Roman" w:hAnsi="Times New Roman" w:cs="Times New Roman"/>
                <w:sz w:val="22"/>
                <w:szCs w:val="22"/>
              </w:rPr>
              <w:tab/>
              <w:t>długookresowe koszty przyrostowe usługi zakańczania połączeń głosowych ustalone jako różnica między całkowitymi długookresowymi kosztami świadczenia wszystkich usług przez przedsiębiorcę komunikacji elektronicznej, a całkowitymi długookresowymi kosztami tego przedsiębiorcy w przypadku nieświadczenia usługi zakańczania połączeń głosowych na rzecz innych podmiotów;</w:t>
            </w:r>
          </w:p>
          <w:p w14:paraId="41448EDA" w14:textId="77777777" w:rsidR="00E42C98" w:rsidRPr="00317ABF" w:rsidRDefault="00E42C98" w:rsidP="00E42C98">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3)</w:t>
            </w:r>
            <w:r w:rsidRPr="00317ABF">
              <w:rPr>
                <w:rFonts w:ascii="Times New Roman" w:hAnsi="Times New Roman" w:cs="Times New Roman"/>
                <w:sz w:val="22"/>
                <w:szCs w:val="22"/>
              </w:rPr>
              <w:tab/>
              <w:t>do kosztów przyrostowych tylko te koszty związane z ruchem sieciowym, których by uniknięto gdyby usługa zakańczania połączeń głosowych na rzecz innych podmiotów nie była świadczona;</w:t>
            </w:r>
          </w:p>
          <w:p w14:paraId="3CF012C1" w14:textId="77777777" w:rsidR="001E1112" w:rsidRPr="00317ABF" w:rsidRDefault="001E1112" w:rsidP="00DB3BEC">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4)</w:t>
            </w:r>
            <w:r w:rsidRPr="00317ABF">
              <w:rPr>
                <w:rFonts w:ascii="Times New Roman" w:hAnsi="Times New Roman" w:cs="Times New Roman"/>
                <w:sz w:val="22"/>
                <w:szCs w:val="22"/>
              </w:rPr>
              <w:tab/>
              <w:t>koszty związane z dodatkową pojemnością sieci tylko w zakresie, w jakim wynikają one z konieczności zwiększenia pojemności sieci w celu obsługi dodatkowego ruchu związanego z zakańczaniem połączeń głosowych na rzecz innych podmiotów;</w:t>
            </w:r>
          </w:p>
          <w:p w14:paraId="610C3ABF" w14:textId="77777777" w:rsidR="001E1112" w:rsidRPr="00317ABF" w:rsidRDefault="001E1112" w:rsidP="00DB3BEC">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5)</w:t>
            </w:r>
            <w:r w:rsidRPr="00317ABF">
              <w:rPr>
                <w:rFonts w:ascii="Times New Roman" w:hAnsi="Times New Roman" w:cs="Times New Roman"/>
                <w:sz w:val="22"/>
                <w:szCs w:val="22"/>
              </w:rPr>
              <w:tab/>
              <w:t>okoliczność, że do kosztów przyrostowych zakańczania połączeń w sieciach ruchomych nie zalicza się opłat, o których mowa w art. 24;</w:t>
            </w:r>
          </w:p>
          <w:p w14:paraId="2D3699EA" w14:textId="77777777" w:rsidR="001E1112" w:rsidRPr="00317ABF" w:rsidRDefault="001E1112" w:rsidP="00DB3BEC">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6)</w:t>
            </w:r>
            <w:r w:rsidRPr="00317ABF">
              <w:rPr>
                <w:rFonts w:ascii="Times New Roman" w:hAnsi="Times New Roman" w:cs="Times New Roman"/>
                <w:sz w:val="22"/>
                <w:szCs w:val="22"/>
              </w:rPr>
              <w:tab/>
              <w:t>wyłącznie koszty rozliczeń międzyoperatorskich, koszty związane z zawieraniem umów międzyoperatorskich oraz inne koszty związane bezpośrednio ze świadczeniem usługi zakańczania połączeń na rzecz innych podmiotów;</w:t>
            </w:r>
          </w:p>
          <w:p w14:paraId="22BB6865" w14:textId="77777777" w:rsidR="001E1112" w:rsidRPr="00317ABF" w:rsidRDefault="001E1112" w:rsidP="00DB3BEC">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7)</w:t>
            </w:r>
            <w:r w:rsidRPr="00317ABF">
              <w:rPr>
                <w:rFonts w:ascii="Times New Roman" w:hAnsi="Times New Roman" w:cs="Times New Roman"/>
                <w:sz w:val="22"/>
                <w:szCs w:val="22"/>
              </w:rPr>
              <w:tab/>
              <w:t>domniemanie, że wszyscy przedsiębiorcy komunikacji elektronicznej świadczący usługi zakańczania połączeń głosowych w stacjonarnej publicznej sieci telekomunikacyjnej, bez względu na ich skalę działalności, ponoszą takie same koszty jednostkowe jak efektywnie działający przedsiębiorca komunikacji elektronicznej;</w:t>
            </w:r>
          </w:p>
          <w:p w14:paraId="0AA0C1FD" w14:textId="77777777" w:rsidR="001E1112" w:rsidRPr="00317ABF" w:rsidRDefault="001E1112" w:rsidP="00DB3BEC">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8)</w:t>
            </w:r>
            <w:r w:rsidRPr="00317ABF">
              <w:rPr>
                <w:rFonts w:ascii="Times New Roman" w:hAnsi="Times New Roman" w:cs="Times New Roman"/>
                <w:sz w:val="22"/>
                <w:szCs w:val="22"/>
              </w:rPr>
              <w:tab/>
              <w:t>w przypadku przedsiębiorców komunikacji elektronicznej świadczących usługi telekomunikacyjne w ruchomej publicznej sieci telekomunikacyjnej, minimalną skalę działalności jako udział w rynku na poziomie nie mniejszym niż 20%;</w:t>
            </w:r>
          </w:p>
          <w:p w14:paraId="543EAB79" w14:textId="77777777" w:rsidR="001E1112" w:rsidRPr="00317ABF" w:rsidRDefault="001E1112" w:rsidP="00DB3BEC">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9)</w:t>
            </w:r>
            <w:r w:rsidRPr="00317ABF">
              <w:rPr>
                <w:rFonts w:ascii="Times New Roman" w:hAnsi="Times New Roman" w:cs="Times New Roman"/>
                <w:sz w:val="22"/>
                <w:szCs w:val="22"/>
              </w:rPr>
              <w:tab/>
              <w:t>amortyzację ekonomiczną jako właściwą metodą amortyzacji aktywów;</w:t>
            </w:r>
          </w:p>
          <w:p w14:paraId="3BF04951" w14:textId="1B28FD7E" w:rsidR="001E1112" w:rsidRPr="00317ABF" w:rsidRDefault="001E1112" w:rsidP="002F520C">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10)</w:t>
            </w:r>
            <w:r w:rsidR="00E42C98" w:rsidRPr="00317ABF">
              <w:rPr>
                <w:rFonts w:ascii="Times New Roman" w:hAnsi="Times New Roman" w:cs="Times New Roman"/>
                <w:sz w:val="22"/>
                <w:szCs w:val="22"/>
              </w:rPr>
              <w:t xml:space="preserve"> </w:t>
            </w:r>
            <w:r w:rsidRPr="00317ABF">
              <w:rPr>
                <w:rFonts w:ascii="Times New Roman" w:hAnsi="Times New Roman" w:cs="Times New Roman"/>
                <w:sz w:val="22"/>
                <w:szCs w:val="22"/>
              </w:rPr>
              <w:tab/>
              <w:t>koszty usług zakańczania połączeń głosowych odzwierciedlające koszty efektywnie działającego przedsiębiorcy komunikacji elektronicznej stosującego nowoczesne i wydajne technologie oraz sieć szkieletową opartą na protokole IP uwzględniającą technologie, które z dużym prawdopodobieństwem będą wykorzystywane w okresie obowiązywania maksymalnych opłat za usługi zakańczania połączeń głosowych, przy czym w przypadku stacjonarnych publicznych sieci telekomunikacyjnych przyjmuje się, że połączenia opierają się wyłącznie na komutacji pakietów.</w:t>
            </w:r>
          </w:p>
        </w:tc>
      </w:tr>
      <w:tr w:rsidR="001E1112" w:rsidRPr="00317ABF" w14:paraId="361A36A1" w14:textId="77777777" w:rsidTr="7753F98D">
        <w:trPr>
          <w:gridAfter w:val="2"/>
          <w:wAfter w:w="175" w:type="dxa"/>
        </w:trPr>
        <w:tc>
          <w:tcPr>
            <w:tcW w:w="704" w:type="dxa"/>
          </w:tcPr>
          <w:p w14:paraId="1EC42991" w14:textId="359B3757" w:rsidR="001E1112" w:rsidRPr="00317ABF" w:rsidRDefault="001E1112" w:rsidP="00DB3BEC">
            <w:pPr>
              <w:jc w:val="both"/>
              <w:rPr>
                <w:sz w:val="22"/>
                <w:szCs w:val="22"/>
              </w:rPr>
            </w:pPr>
            <w:r w:rsidRPr="00317ABF">
              <w:rPr>
                <w:b/>
                <w:sz w:val="22"/>
                <w:szCs w:val="22"/>
              </w:rPr>
              <w:t>Załącznik IV</w:t>
            </w:r>
          </w:p>
        </w:tc>
        <w:tc>
          <w:tcPr>
            <w:tcW w:w="4308" w:type="dxa"/>
          </w:tcPr>
          <w:p w14:paraId="75DE0C0A" w14:textId="77777777" w:rsidR="001E1112" w:rsidRPr="00317ABF" w:rsidRDefault="001E1112" w:rsidP="00DB3BEC">
            <w:pPr>
              <w:spacing w:before="120"/>
              <w:jc w:val="both"/>
              <w:rPr>
                <w:sz w:val="22"/>
                <w:szCs w:val="22"/>
              </w:rPr>
            </w:pPr>
            <w:r w:rsidRPr="00317ABF">
              <w:rPr>
                <w:b/>
                <w:bCs/>
                <w:sz w:val="22"/>
                <w:szCs w:val="22"/>
              </w:rPr>
              <w:t>KRYTERIA OCENY OFERT DOTYCZĄCYCH WSPÓŁINWESTYCJI</w:t>
            </w:r>
          </w:p>
        </w:tc>
        <w:tc>
          <w:tcPr>
            <w:tcW w:w="986" w:type="dxa"/>
          </w:tcPr>
          <w:p w14:paraId="20D6D3D2" w14:textId="77777777" w:rsidR="001E1112" w:rsidRPr="00317ABF" w:rsidRDefault="001E1112" w:rsidP="00DB3BEC">
            <w:pPr>
              <w:jc w:val="both"/>
              <w:rPr>
                <w:sz w:val="22"/>
                <w:szCs w:val="22"/>
              </w:rPr>
            </w:pPr>
          </w:p>
        </w:tc>
        <w:tc>
          <w:tcPr>
            <w:tcW w:w="910" w:type="dxa"/>
          </w:tcPr>
          <w:p w14:paraId="71688755" w14:textId="0A46631B" w:rsidR="001E1112" w:rsidRPr="00317ABF" w:rsidRDefault="00550765" w:rsidP="00550765">
            <w:pPr>
              <w:pStyle w:val="Tekstpodstawowy"/>
              <w:rPr>
                <w:b/>
                <w:noProof/>
                <w:sz w:val="22"/>
                <w:szCs w:val="22"/>
              </w:rPr>
            </w:pPr>
            <w:r w:rsidRPr="00317ABF">
              <w:rPr>
                <w:b/>
                <w:bCs/>
                <w:noProof/>
                <w:sz w:val="22"/>
                <w:szCs w:val="22"/>
              </w:rPr>
              <w:t>Art. 244</w:t>
            </w:r>
            <w:r w:rsidR="001E1112" w:rsidRPr="00317ABF">
              <w:rPr>
                <w:b/>
                <w:bCs/>
                <w:noProof/>
                <w:sz w:val="22"/>
                <w:szCs w:val="22"/>
              </w:rPr>
              <w:t>-2</w:t>
            </w:r>
            <w:r w:rsidRPr="00317ABF">
              <w:rPr>
                <w:b/>
                <w:bCs/>
                <w:noProof/>
                <w:sz w:val="22"/>
                <w:szCs w:val="22"/>
              </w:rPr>
              <w:t>49</w:t>
            </w:r>
          </w:p>
        </w:tc>
        <w:tc>
          <w:tcPr>
            <w:tcW w:w="6814" w:type="dxa"/>
            <w:gridSpan w:val="2"/>
          </w:tcPr>
          <w:p w14:paraId="7F7EEF44" w14:textId="77777777" w:rsidR="00550765" w:rsidRPr="00317ABF" w:rsidRDefault="00550765" w:rsidP="00550765">
            <w:pPr>
              <w:ind w:firstLine="510"/>
              <w:jc w:val="both"/>
              <w:rPr>
                <w:rFonts w:eastAsia="Times"/>
                <w:bCs/>
                <w:sz w:val="22"/>
                <w:szCs w:val="22"/>
              </w:rPr>
            </w:pPr>
            <w:r w:rsidRPr="00317ABF">
              <w:rPr>
                <w:rFonts w:eastAsia="Times"/>
                <w:bCs/>
                <w:sz w:val="22"/>
                <w:szCs w:val="22"/>
              </w:rPr>
              <w:t>Art. 244. W przypadku, gdy propozycja zobowiązań, o której mowa w art. 237 ust. 1 pkt 2, dotyczy rozpoczęcia realizacji nowej sieci, o której mowa w art. 2 pkt 58 lit. a lub b,  w tym przez zaoferowanie współwłasności, długoterminowego dzielenia ryzyka przez współfinansowanie lub umowy zakupu prowadzącej do uzyskania szczególnych praw o charakterze strukturalnym przez innych przedsiębiorców komunikacji elektronicznej, Prezes UKE:</w:t>
            </w:r>
          </w:p>
          <w:p w14:paraId="43ADF6F1" w14:textId="77777777" w:rsidR="00550765" w:rsidRPr="00317ABF" w:rsidRDefault="00550765" w:rsidP="00550765">
            <w:pPr>
              <w:ind w:firstLine="510"/>
              <w:jc w:val="both"/>
              <w:rPr>
                <w:rFonts w:eastAsia="Times"/>
                <w:bCs/>
                <w:sz w:val="22"/>
                <w:szCs w:val="22"/>
              </w:rPr>
            </w:pPr>
            <w:r w:rsidRPr="00317ABF">
              <w:rPr>
                <w:rFonts w:eastAsia="Times"/>
                <w:bCs/>
                <w:sz w:val="22"/>
                <w:szCs w:val="22"/>
              </w:rPr>
              <w:t>1)</w:t>
            </w:r>
            <w:r w:rsidRPr="00317ABF">
              <w:rPr>
                <w:rFonts w:eastAsia="Times"/>
                <w:bCs/>
                <w:sz w:val="22"/>
                <w:szCs w:val="22"/>
              </w:rPr>
              <w:tab/>
              <w:t>weryfikuje udostępnienie na stronie internetowej przedsiębiorcy komunikacji elektronicznej posiadającego znaczącą pozycję rynkową, ofertę współinwestycji i łatwość  zapoznania się z nią;</w:t>
            </w:r>
          </w:p>
          <w:p w14:paraId="03E7637B" w14:textId="77777777" w:rsidR="00550765" w:rsidRPr="00317ABF" w:rsidRDefault="00550765" w:rsidP="00550765">
            <w:pPr>
              <w:ind w:firstLine="510"/>
              <w:jc w:val="both"/>
              <w:rPr>
                <w:rFonts w:eastAsia="Times"/>
                <w:bCs/>
                <w:sz w:val="22"/>
                <w:szCs w:val="22"/>
              </w:rPr>
            </w:pPr>
            <w:r w:rsidRPr="00317ABF">
              <w:rPr>
                <w:rFonts w:eastAsia="Times"/>
                <w:bCs/>
                <w:sz w:val="22"/>
                <w:szCs w:val="22"/>
              </w:rPr>
              <w:t>2)</w:t>
            </w:r>
            <w:r w:rsidRPr="00317ABF">
              <w:rPr>
                <w:rFonts w:eastAsia="Times"/>
                <w:bCs/>
                <w:sz w:val="22"/>
                <w:szCs w:val="22"/>
              </w:rPr>
              <w:tab/>
              <w:t>ocenia otwartość oferty współinwestycji dla wszystkich przedsiębiorców komunikacji elektronicznej przez cały okres eksploatacji sieci, o której mowa w art. 2 pkt 58 lit. a lub b;</w:t>
            </w:r>
          </w:p>
          <w:p w14:paraId="5EE016AF" w14:textId="77777777" w:rsidR="00550765" w:rsidRPr="00317ABF" w:rsidRDefault="00550765" w:rsidP="00550765">
            <w:pPr>
              <w:ind w:firstLine="510"/>
              <w:jc w:val="both"/>
              <w:rPr>
                <w:rFonts w:eastAsia="Times"/>
                <w:bCs/>
                <w:sz w:val="22"/>
                <w:szCs w:val="22"/>
              </w:rPr>
            </w:pPr>
            <w:r w:rsidRPr="00317ABF">
              <w:rPr>
                <w:rFonts w:eastAsia="Times"/>
                <w:bCs/>
                <w:sz w:val="22"/>
                <w:szCs w:val="22"/>
              </w:rPr>
              <w:t>3)</w:t>
            </w:r>
            <w:r w:rsidRPr="00317ABF">
              <w:rPr>
                <w:rFonts w:eastAsia="Times"/>
                <w:bCs/>
                <w:sz w:val="22"/>
                <w:szCs w:val="22"/>
              </w:rPr>
              <w:tab/>
              <w:t>weryfikuje możliwość zachowania skutecznej i zrównoważonej konkurencji w długiej perspektywie czasowej na rynkach detalicznych, na których działa przedsiębiorca komunikacji elektronicznej posiadający znaczącą pozycję rynkową, innym współinwestującym przedsiębiorcom komunikacji elektronicznej;</w:t>
            </w:r>
          </w:p>
          <w:p w14:paraId="55D32FD5" w14:textId="77777777" w:rsidR="00550765" w:rsidRPr="00317ABF" w:rsidRDefault="00550765" w:rsidP="00550765">
            <w:pPr>
              <w:ind w:firstLine="510"/>
              <w:jc w:val="both"/>
              <w:rPr>
                <w:rFonts w:eastAsia="Times"/>
                <w:bCs/>
                <w:sz w:val="22"/>
                <w:szCs w:val="22"/>
              </w:rPr>
            </w:pPr>
            <w:r w:rsidRPr="00317ABF">
              <w:rPr>
                <w:rFonts w:eastAsia="Times"/>
                <w:bCs/>
                <w:sz w:val="22"/>
                <w:szCs w:val="22"/>
              </w:rPr>
              <w:t>4)</w:t>
            </w:r>
            <w:r w:rsidRPr="00317ABF">
              <w:rPr>
                <w:rFonts w:eastAsia="Times"/>
                <w:bCs/>
                <w:sz w:val="22"/>
                <w:szCs w:val="22"/>
              </w:rPr>
              <w:tab/>
              <w:t>weryfikuje podanie do publicznej wiadomości oferty współinwestycji na co najmniej 6 miesięcy przed datą planowanego rozpoczęcia realizacji nowej sieci, o której mowa w art. 2 pkt 58 lit. a lub b;</w:t>
            </w:r>
          </w:p>
          <w:p w14:paraId="21DEECAD" w14:textId="77777777" w:rsidR="00550765" w:rsidRPr="00317ABF" w:rsidRDefault="00550765" w:rsidP="00550765">
            <w:pPr>
              <w:ind w:firstLine="510"/>
              <w:jc w:val="both"/>
              <w:rPr>
                <w:rFonts w:eastAsia="Times"/>
                <w:bCs/>
                <w:sz w:val="22"/>
                <w:szCs w:val="22"/>
              </w:rPr>
            </w:pPr>
            <w:r w:rsidRPr="00317ABF">
              <w:rPr>
                <w:rFonts w:eastAsia="Times"/>
                <w:bCs/>
                <w:sz w:val="22"/>
                <w:szCs w:val="22"/>
              </w:rPr>
              <w:t>5)</w:t>
            </w:r>
            <w:r w:rsidRPr="00317ABF">
              <w:rPr>
                <w:rFonts w:eastAsia="Times"/>
                <w:bCs/>
                <w:sz w:val="22"/>
                <w:szCs w:val="22"/>
              </w:rPr>
              <w:tab/>
              <w:t>weryfikuje możliwość korzystania przez współinwestorów od początku realizacji współinwestycji w sieci, umożliwiającej świadczenie usług o co najmniej porównywalnej jakości;</w:t>
            </w:r>
          </w:p>
          <w:p w14:paraId="002A6AB7" w14:textId="77777777" w:rsidR="00550765" w:rsidRPr="00317ABF" w:rsidRDefault="00550765" w:rsidP="00550765">
            <w:pPr>
              <w:ind w:firstLine="510"/>
              <w:jc w:val="both"/>
              <w:rPr>
                <w:rFonts w:eastAsia="Times"/>
                <w:bCs/>
                <w:sz w:val="22"/>
                <w:szCs w:val="22"/>
              </w:rPr>
            </w:pPr>
            <w:r w:rsidRPr="00317ABF">
              <w:rPr>
                <w:rFonts w:eastAsia="Times"/>
                <w:bCs/>
                <w:sz w:val="22"/>
                <w:szCs w:val="22"/>
              </w:rPr>
              <w:t>6)</w:t>
            </w:r>
            <w:r w:rsidRPr="00317ABF">
              <w:rPr>
                <w:rFonts w:eastAsia="Times"/>
                <w:bCs/>
                <w:sz w:val="22"/>
                <w:szCs w:val="22"/>
              </w:rPr>
              <w:tab/>
              <w:t>weryfikuje warunki współinwestycji pod względem możliwości dotarcia do użytkowników końcowych przez przedsiębiorców komunikacji elektronicznej ubiegających się o dostęp telekomunikacyjny, którzy nie uczestniczą we współinwestycji;</w:t>
            </w:r>
          </w:p>
          <w:p w14:paraId="764C94FE" w14:textId="77777777" w:rsidR="00550765" w:rsidRPr="00317ABF" w:rsidRDefault="00550765" w:rsidP="00550765">
            <w:pPr>
              <w:ind w:firstLine="510"/>
              <w:jc w:val="both"/>
              <w:rPr>
                <w:rFonts w:eastAsia="Times"/>
                <w:bCs/>
                <w:sz w:val="22"/>
                <w:szCs w:val="22"/>
              </w:rPr>
            </w:pPr>
            <w:r w:rsidRPr="00317ABF">
              <w:rPr>
                <w:rFonts w:eastAsia="Times"/>
                <w:bCs/>
                <w:sz w:val="22"/>
                <w:szCs w:val="22"/>
              </w:rPr>
              <w:t>7)</w:t>
            </w:r>
            <w:r w:rsidRPr="00317ABF">
              <w:rPr>
                <w:rFonts w:eastAsia="Times"/>
                <w:bCs/>
                <w:sz w:val="22"/>
                <w:szCs w:val="22"/>
              </w:rPr>
              <w:tab/>
              <w:t>weryfikuje zawarte w ofercie współinwestycji warunki dotyczące zdolności finansowej podmiotu przystępującego, związane z:</w:t>
            </w:r>
          </w:p>
          <w:p w14:paraId="72FCBC0C" w14:textId="77777777" w:rsidR="00550765" w:rsidRPr="00317ABF" w:rsidRDefault="00550765" w:rsidP="00550765">
            <w:pPr>
              <w:ind w:firstLine="510"/>
              <w:jc w:val="both"/>
              <w:rPr>
                <w:rFonts w:eastAsia="Times"/>
                <w:bCs/>
                <w:sz w:val="22"/>
                <w:szCs w:val="22"/>
              </w:rPr>
            </w:pPr>
            <w:r w:rsidRPr="00317ABF">
              <w:rPr>
                <w:rFonts w:eastAsia="Times"/>
                <w:bCs/>
                <w:sz w:val="22"/>
                <w:szCs w:val="22"/>
              </w:rPr>
              <w:t xml:space="preserve">a) </w:t>
            </w:r>
            <w:r w:rsidRPr="00317ABF">
              <w:rPr>
                <w:rFonts w:eastAsia="Times"/>
                <w:bCs/>
                <w:sz w:val="22"/>
                <w:szCs w:val="22"/>
              </w:rPr>
              <w:tab/>
              <w:t>wykazaniem zdolności do realizowania płatności etapowych, w oparciu, o które zaplanowano świadczenie usług z użyciem infrastruktury wybudowanej w ramach współinwestycji,</w:t>
            </w:r>
          </w:p>
          <w:p w14:paraId="16FE9A1D" w14:textId="77777777" w:rsidR="00550765" w:rsidRPr="00317ABF" w:rsidRDefault="00550765" w:rsidP="00550765">
            <w:pPr>
              <w:ind w:firstLine="510"/>
              <w:jc w:val="both"/>
              <w:rPr>
                <w:rFonts w:eastAsia="Times"/>
                <w:bCs/>
                <w:sz w:val="22"/>
                <w:szCs w:val="22"/>
              </w:rPr>
            </w:pPr>
            <w:r w:rsidRPr="00317ABF">
              <w:rPr>
                <w:rFonts w:eastAsia="Times"/>
                <w:bCs/>
                <w:sz w:val="22"/>
                <w:szCs w:val="22"/>
              </w:rPr>
              <w:t xml:space="preserve">b) </w:t>
            </w:r>
            <w:r w:rsidRPr="00317ABF">
              <w:rPr>
                <w:rFonts w:eastAsia="Times"/>
                <w:bCs/>
                <w:sz w:val="22"/>
                <w:szCs w:val="22"/>
              </w:rPr>
              <w:tab/>
              <w:t>akceptacją planu strategicznego, w oparciu o który opracowano w szczególności średniookresowe plany świadczenia usług z użyciem infrastruktury wybudowanej w ramach współinwestycji</w:t>
            </w:r>
          </w:p>
          <w:p w14:paraId="7E1960F9" w14:textId="7F424CA2" w:rsidR="00550765" w:rsidRPr="00317ABF" w:rsidRDefault="00550765" w:rsidP="00550765">
            <w:pPr>
              <w:ind w:firstLine="510"/>
              <w:jc w:val="both"/>
              <w:rPr>
                <w:rFonts w:eastAsia="Times"/>
                <w:sz w:val="22"/>
                <w:szCs w:val="22"/>
              </w:rPr>
            </w:pPr>
            <w:r w:rsidRPr="00317ABF">
              <w:rPr>
                <w:rFonts w:eastAsia="Times"/>
                <w:bCs/>
                <w:sz w:val="22"/>
                <w:szCs w:val="22"/>
              </w:rPr>
              <w:t>– o ile warunki takie zostały w ofercie współinwestycji zawarte;</w:t>
            </w:r>
          </w:p>
          <w:p w14:paraId="639544A6" w14:textId="77777777" w:rsidR="00550765" w:rsidRPr="00317ABF" w:rsidRDefault="00550765" w:rsidP="00550765">
            <w:pPr>
              <w:ind w:firstLine="510"/>
              <w:jc w:val="both"/>
              <w:rPr>
                <w:rFonts w:eastAsia="Times"/>
                <w:bCs/>
                <w:sz w:val="22"/>
                <w:szCs w:val="22"/>
              </w:rPr>
            </w:pPr>
            <w:r w:rsidRPr="00317ABF">
              <w:rPr>
                <w:rFonts w:eastAsia="Times"/>
                <w:bCs/>
                <w:sz w:val="22"/>
                <w:szCs w:val="22"/>
              </w:rPr>
              <w:t>8)</w:t>
            </w:r>
            <w:r w:rsidRPr="00317ABF">
              <w:rPr>
                <w:rFonts w:eastAsia="Times"/>
                <w:bCs/>
                <w:sz w:val="22"/>
                <w:szCs w:val="22"/>
              </w:rPr>
              <w:tab/>
              <w:t>ocenia wpływ współinwestycji na poziom konkurencji, w tym analizuje zaspokojenie przyszłego popytu przez wybudowanie nowych elementów sieci, które w znacznym stopniu przyczynią się do uruchomienia sieci, o której mowa w art. 2 pkt 58 lit. a lub b.</w:t>
            </w:r>
          </w:p>
          <w:p w14:paraId="70777B07" w14:textId="77777777" w:rsidR="00550765" w:rsidRPr="00317ABF" w:rsidRDefault="00550765" w:rsidP="00550765">
            <w:pPr>
              <w:ind w:firstLine="510"/>
              <w:jc w:val="both"/>
              <w:rPr>
                <w:rFonts w:eastAsia="Times"/>
                <w:bCs/>
                <w:sz w:val="22"/>
                <w:szCs w:val="22"/>
              </w:rPr>
            </w:pPr>
            <w:r w:rsidRPr="00317ABF">
              <w:rPr>
                <w:rFonts w:eastAsia="Times"/>
                <w:bCs/>
                <w:sz w:val="22"/>
                <w:szCs w:val="22"/>
              </w:rPr>
              <w:t>Art. 245. Prezes UKE dokonując oceny, o której mowa w art. 244 pkt 2:</w:t>
            </w:r>
          </w:p>
          <w:p w14:paraId="32B7BCDF" w14:textId="77777777" w:rsidR="00550765" w:rsidRPr="00317ABF" w:rsidRDefault="00550765" w:rsidP="00550765">
            <w:pPr>
              <w:ind w:firstLine="510"/>
              <w:jc w:val="both"/>
              <w:rPr>
                <w:rFonts w:eastAsia="Times"/>
                <w:bCs/>
                <w:sz w:val="22"/>
                <w:szCs w:val="22"/>
              </w:rPr>
            </w:pPr>
            <w:r w:rsidRPr="00317ABF">
              <w:rPr>
                <w:rFonts w:eastAsia="Times"/>
                <w:bCs/>
                <w:sz w:val="22"/>
                <w:szCs w:val="22"/>
              </w:rPr>
              <w:t>1)</w:t>
            </w:r>
            <w:r w:rsidRPr="00317ABF">
              <w:rPr>
                <w:rFonts w:eastAsia="Times"/>
                <w:bCs/>
                <w:sz w:val="22"/>
                <w:szCs w:val="22"/>
              </w:rPr>
              <w:tab/>
              <w:t>weryfikuje przejrzystość i niedyskryminacyjny charakter planu zawiązania i dalszej realizacji współinwestycji;</w:t>
            </w:r>
          </w:p>
          <w:p w14:paraId="4DD57E45" w14:textId="77777777" w:rsidR="00550765" w:rsidRPr="00317ABF" w:rsidRDefault="00550765" w:rsidP="00550765">
            <w:pPr>
              <w:ind w:firstLine="510"/>
              <w:jc w:val="both"/>
              <w:rPr>
                <w:rFonts w:eastAsia="Times"/>
                <w:bCs/>
                <w:sz w:val="22"/>
                <w:szCs w:val="22"/>
              </w:rPr>
            </w:pPr>
            <w:r w:rsidRPr="00317ABF">
              <w:rPr>
                <w:rFonts w:eastAsia="Times"/>
                <w:bCs/>
                <w:sz w:val="22"/>
                <w:szCs w:val="22"/>
              </w:rPr>
              <w:t>2)</w:t>
            </w:r>
            <w:r w:rsidRPr="00317ABF">
              <w:rPr>
                <w:rFonts w:eastAsia="Times"/>
                <w:bCs/>
                <w:sz w:val="22"/>
                <w:szCs w:val="22"/>
              </w:rPr>
              <w:tab/>
              <w:t>weryfikuje możliwość ubiegania się o dostęp telekomunikacyjny przez podmioty niebędące współinwestorami do elementów sieci o bardzo dużej przepustowości na podstawie przejrzystych i niedyskryminacyjnych warunków;</w:t>
            </w:r>
          </w:p>
          <w:p w14:paraId="1259ECF1" w14:textId="77777777" w:rsidR="00550765" w:rsidRPr="00317ABF" w:rsidRDefault="00550765" w:rsidP="00550765">
            <w:pPr>
              <w:ind w:firstLine="510"/>
              <w:jc w:val="both"/>
              <w:rPr>
                <w:rFonts w:eastAsia="Times"/>
                <w:bCs/>
                <w:sz w:val="22"/>
                <w:szCs w:val="22"/>
              </w:rPr>
            </w:pPr>
            <w:r w:rsidRPr="00317ABF">
              <w:rPr>
                <w:rFonts w:eastAsia="Times"/>
                <w:bCs/>
                <w:sz w:val="22"/>
                <w:szCs w:val="22"/>
              </w:rPr>
              <w:t>3)</w:t>
            </w:r>
            <w:r w:rsidRPr="00317ABF">
              <w:rPr>
                <w:rFonts w:eastAsia="Times"/>
                <w:bCs/>
                <w:sz w:val="22"/>
                <w:szCs w:val="22"/>
              </w:rPr>
              <w:tab/>
              <w:t>weryfikuje postanowienia oferty współinwestycji, w tym dotyczące kosztów ponoszonych przez każdego współinwestora oraz postanowienia dotyczące osiąganych przez nich przychodów pod kątem:</w:t>
            </w:r>
          </w:p>
          <w:p w14:paraId="1EE3A528" w14:textId="77777777" w:rsidR="00550765" w:rsidRPr="00317ABF" w:rsidRDefault="00550765" w:rsidP="00550765">
            <w:pPr>
              <w:ind w:firstLine="510"/>
              <w:jc w:val="both"/>
              <w:rPr>
                <w:rFonts w:eastAsia="Times"/>
                <w:bCs/>
                <w:sz w:val="22"/>
                <w:szCs w:val="22"/>
              </w:rPr>
            </w:pPr>
            <w:r w:rsidRPr="00317ABF">
              <w:rPr>
                <w:rFonts w:eastAsia="Times"/>
                <w:bCs/>
                <w:sz w:val="22"/>
                <w:szCs w:val="22"/>
              </w:rPr>
              <w:t>a)</w:t>
            </w:r>
            <w:r w:rsidRPr="00317ABF">
              <w:rPr>
                <w:rFonts w:eastAsia="Times"/>
                <w:bCs/>
                <w:sz w:val="22"/>
                <w:szCs w:val="22"/>
              </w:rPr>
              <w:tab/>
              <w:t>uwzględnienia stopni ryzyka ponoszonego przez poszczególnych współinwestorów na różnych etapach realizacji oraz sytuacji na rynkach detalicznych pod kątem poziomu konkurencji,</w:t>
            </w:r>
          </w:p>
          <w:p w14:paraId="1E43AD93" w14:textId="77777777" w:rsidR="00550765" w:rsidRPr="00317ABF" w:rsidRDefault="00550765" w:rsidP="00550765">
            <w:pPr>
              <w:ind w:firstLine="510"/>
              <w:jc w:val="both"/>
              <w:rPr>
                <w:rFonts w:eastAsia="Times"/>
                <w:bCs/>
                <w:sz w:val="22"/>
                <w:szCs w:val="22"/>
              </w:rPr>
            </w:pPr>
            <w:r w:rsidRPr="00317ABF">
              <w:rPr>
                <w:rFonts w:eastAsia="Times"/>
                <w:bCs/>
                <w:sz w:val="22"/>
                <w:szCs w:val="22"/>
              </w:rPr>
              <w:t>b)</w:t>
            </w:r>
            <w:r w:rsidRPr="00317ABF">
              <w:rPr>
                <w:rFonts w:eastAsia="Times"/>
                <w:bCs/>
                <w:sz w:val="22"/>
                <w:szCs w:val="22"/>
              </w:rPr>
              <w:tab/>
              <w:t>zachowania zachęt do udziału we współinwestycji na różnych jej etapach.</w:t>
            </w:r>
          </w:p>
          <w:p w14:paraId="2566A32A" w14:textId="77777777" w:rsidR="00550765" w:rsidRPr="00317ABF" w:rsidRDefault="00550765" w:rsidP="00550765">
            <w:pPr>
              <w:ind w:firstLine="510"/>
              <w:jc w:val="both"/>
              <w:rPr>
                <w:rFonts w:eastAsia="Times"/>
                <w:bCs/>
                <w:sz w:val="22"/>
                <w:szCs w:val="22"/>
              </w:rPr>
            </w:pPr>
            <w:r w:rsidRPr="00317ABF">
              <w:rPr>
                <w:rFonts w:eastAsia="Times"/>
                <w:bCs/>
                <w:sz w:val="22"/>
                <w:szCs w:val="22"/>
              </w:rPr>
              <w:t>Art. 246. Prezes UKE weryfikuje postanowienia oferty współinwestycji, w zakresie o którym mowa w art. 244 pkt 3, pod kątem:</w:t>
            </w:r>
          </w:p>
          <w:p w14:paraId="6D8E5606" w14:textId="77777777" w:rsidR="00550765" w:rsidRPr="00317ABF" w:rsidRDefault="00550765" w:rsidP="00550765">
            <w:pPr>
              <w:ind w:firstLine="510"/>
              <w:jc w:val="both"/>
              <w:rPr>
                <w:rFonts w:eastAsia="Times"/>
                <w:bCs/>
                <w:sz w:val="22"/>
                <w:szCs w:val="22"/>
              </w:rPr>
            </w:pPr>
            <w:r w:rsidRPr="00317ABF">
              <w:rPr>
                <w:rFonts w:eastAsia="Times"/>
                <w:bCs/>
                <w:sz w:val="22"/>
                <w:szCs w:val="22"/>
              </w:rPr>
              <w:t>1)</w:t>
            </w:r>
            <w:r w:rsidRPr="00317ABF">
              <w:rPr>
                <w:rFonts w:eastAsia="Times"/>
                <w:bCs/>
                <w:sz w:val="22"/>
                <w:szCs w:val="22"/>
              </w:rPr>
              <w:tab/>
              <w:t>racjonalności i niedyskryminacji oraz godziwych warunków, uwzględniając moment przystąpienia do współinwestycji oraz możliwość dostępu do pełnych przepustowości sieci, w zakresie w jakim podlega ona współinwestycji;</w:t>
            </w:r>
          </w:p>
          <w:p w14:paraId="0887273C" w14:textId="77777777" w:rsidR="00550765" w:rsidRPr="00317ABF" w:rsidRDefault="00550765" w:rsidP="00550765">
            <w:pPr>
              <w:ind w:firstLine="510"/>
              <w:jc w:val="both"/>
              <w:rPr>
                <w:rFonts w:eastAsia="Times"/>
                <w:bCs/>
                <w:sz w:val="22"/>
                <w:szCs w:val="22"/>
              </w:rPr>
            </w:pPr>
            <w:r w:rsidRPr="00317ABF">
              <w:rPr>
                <w:rFonts w:eastAsia="Times"/>
                <w:bCs/>
                <w:sz w:val="22"/>
                <w:szCs w:val="22"/>
              </w:rPr>
              <w:t>2)</w:t>
            </w:r>
            <w:r w:rsidRPr="00317ABF">
              <w:rPr>
                <w:rFonts w:eastAsia="Times"/>
                <w:bCs/>
                <w:sz w:val="22"/>
                <w:szCs w:val="22"/>
              </w:rPr>
              <w:tab/>
              <w:t>adekwatności wartości wymaganego wkładu finansowego do skali inwestycji lub do momentu przystąpienia do udziału we współinwestycji każdego współinwestora w celu nabycia praw;</w:t>
            </w:r>
          </w:p>
          <w:p w14:paraId="620DDB0A" w14:textId="77777777" w:rsidR="00550765" w:rsidRPr="00317ABF" w:rsidRDefault="00550765" w:rsidP="00550765">
            <w:pPr>
              <w:ind w:firstLine="510"/>
              <w:jc w:val="both"/>
              <w:rPr>
                <w:rFonts w:eastAsia="Times"/>
                <w:sz w:val="22"/>
                <w:szCs w:val="22"/>
              </w:rPr>
            </w:pPr>
            <w:r w:rsidRPr="00317ABF">
              <w:rPr>
                <w:rFonts w:eastAsia="Times"/>
                <w:bCs/>
                <w:sz w:val="22"/>
                <w:szCs w:val="22"/>
              </w:rPr>
              <w:t>3)</w:t>
            </w:r>
            <w:r w:rsidRPr="00317ABF">
              <w:rPr>
                <w:rFonts w:eastAsia="Times"/>
                <w:bCs/>
                <w:sz w:val="22"/>
                <w:szCs w:val="22"/>
              </w:rPr>
              <w:tab/>
              <w:t>możliwości zwiększenia udziału we współinwestycji, przy jednoczesnym zapewnieniu odpowiedniego poziomu zaangażowania na początku realizacji inwestycji z uwzględnieniem pozycji rynkowej współinwestorów.</w:t>
            </w:r>
          </w:p>
          <w:p w14:paraId="3F8DF6F5" w14:textId="77777777" w:rsidR="00550765" w:rsidRPr="00317ABF" w:rsidRDefault="00550765" w:rsidP="00550765">
            <w:pPr>
              <w:ind w:firstLine="510"/>
              <w:jc w:val="both"/>
              <w:rPr>
                <w:rFonts w:eastAsia="Times"/>
                <w:sz w:val="22"/>
                <w:szCs w:val="22"/>
              </w:rPr>
            </w:pPr>
            <w:r w:rsidRPr="00317ABF">
              <w:rPr>
                <w:rFonts w:eastAsia="Times"/>
                <w:bCs/>
                <w:sz w:val="22"/>
                <w:szCs w:val="22"/>
              </w:rPr>
              <w:t>Art. 247. W przypadku zawiązania spółki celowej utworzonej na potrzeby realizacji współinwestycji, spółka ta zapewnia dostęp telekomunikacyjny do sieci wszystkim współinwestorom, bezpośrednio lub pośrednio, na zasadzie równoważności produktów oraz na godziwych i racjonalnych warunkach, uwzględniając warunki finansowe odzwierciedlające różne poziomy ryzyka ponoszonego przez poszczególnych współinwestorów.</w:t>
            </w:r>
          </w:p>
          <w:p w14:paraId="159DD31D" w14:textId="77777777" w:rsidR="00550765" w:rsidRPr="00317ABF" w:rsidRDefault="00550765" w:rsidP="00550765">
            <w:pPr>
              <w:ind w:firstLine="510"/>
              <w:jc w:val="both"/>
              <w:rPr>
                <w:rFonts w:eastAsia="Times"/>
                <w:bCs/>
                <w:sz w:val="22"/>
                <w:szCs w:val="22"/>
              </w:rPr>
            </w:pPr>
            <w:r w:rsidRPr="00317ABF">
              <w:rPr>
                <w:rFonts w:eastAsia="Times"/>
                <w:bCs/>
                <w:sz w:val="22"/>
                <w:szCs w:val="22"/>
              </w:rPr>
              <w:t>Art. 248. 1. Oferta współinwestycji zawiera przejrzyste, godziwe i racjonalne warunki wzajemnego prawa dostępu do sieci telekomunikacyjnej, elementów sieci i powiązanych zasobów, będących przedmiotem współinwestycji, do celów świadczenia usług na rynku detalicznym.</w:t>
            </w:r>
          </w:p>
          <w:p w14:paraId="215FAC51" w14:textId="4000BE70" w:rsidR="00550765" w:rsidRPr="00317ABF" w:rsidRDefault="00550765" w:rsidP="00550765">
            <w:pPr>
              <w:ind w:firstLine="510"/>
              <w:jc w:val="both"/>
              <w:rPr>
                <w:rFonts w:eastAsia="Times"/>
                <w:sz w:val="22"/>
                <w:szCs w:val="22"/>
              </w:rPr>
            </w:pPr>
            <w:r w:rsidRPr="00317ABF">
              <w:rPr>
                <w:rFonts w:eastAsia="Times"/>
                <w:bCs/>
                <w:sz w:val="22"/>
                <w:szCs w:val="22"/>
              </w:rPr>
              <w:t>2. Współinwestorzy przyznają sobie dostęp do przedmiotu współinwestycji na podstawie umowy współinwestycji spełniającej warunki, o których mowa w ust. 1.</w:t>
            </w:r>
          </w:p>
          <w:p w14:paraId="29F440B2" w14:textId="77777777" w:rsidR="00550765" w:rsidRPr="00317ABF" w:rsidRDefault="00550765" w:rsidP="00550765">
            <w:pPr>
              <w:ind w:firstLine="510"/>
              <w:jc w:val="both"/>
              <w:rPr>
                <w:rFonts w:eastAsia="Times"/>
                <w:sz w:val="22"/>
                <w:szCs w:val="22"/>
              </w:rPr>
            </w:pPr>
            <w:r w:rsidRPr="00317ABF">
              <w:rPr>
                <w:rFonts w:eastAsia="Times"/>
                <w:bCs/>
                <w:sz w:val="22"/>
                <w:szCs w:val="22"/>
              </w:rPr>
              <w:t xml:space="preserve">Art. 249. 1. </w:t>
            </w:r>
            <w:r w:rsidRPr="00317ABF">
              <w:rPr>
                <w:rFonts w:eastAsia="Times"/>
                <w:bCs/>
                <w:sz w:val="22"/>
                <w:szCs w:val="22"/>
              </w:rPr>
              <w:tab/>
              <w:t>Przenoszenie praw nabytych, wynikających z zawarcia umowy współinwestycji na innego współinwestora lub inny podmiot gotowy przystąpić do tej umowy jest dozwolone, z zastrzeżeniem ust. 2.</w:t>
            </w:r>
          </w:p>
          <w:p w14:paraId="5AF9FE97" w14:textId="77777777" w:rsidR="00550765" w:rsidRPr="00317ABF" w:rsidRDefault="00550765" w:rsidP="00550765">
            <w:pPr>
              <w:ind w:firstLine="510"/>
              <w:jc w:val="both"/>
              <w:rPr>
                <w:rFonts w:eastAsia="Times"/>
                <w:bCs/>
                <w:sz w:val="22"/>
                <w:szCs w:val="22"/>
              </w:rPr>
            </w:pPr>
            <w:r w:rsidRPr="00317ABF">
              <w:rPr>
                <w:rFonts w:eastAsia="Times"/>
                <w:bCs/>
                <w:sz w:val="22"/>
                <w:szCs w:val="22"/>
              </w:rPr>
              <w:t>2.</w:t>
            </w:r>
            <w:r w:rsidRPr="00317ABF">
              <w:rPr>
                <w:rFonts w:eastAsia="Times"/>
                <w:bCs/>
                <w:sz w:val="22"/>
                <w:szCs w:val="22"/>
              </w:rPr>
              <w:tab/>
              <w:t>Warunkiem przeniesienia praw, o których mowa w ust. 1, jest zobowiązanie się podmiotu, na który przenoszone są prawa, do wypełniania wszystkich pierwotnych zobowiązań wynikających z umowy współinwestycji, a spoczywających na podmiocie przenoszącym prawa.</w:t>
            </w:r>
          </w:p>
          <w:p w14:paraId="4386B799" w14:textId="43A8D2AD" w:rsidR="001E1112" w:rsidRPr="00317ABF" w:rsidRDefault="00550765" w:rsidP="00550765">
            <w:pPr>
              <w:pStyle w:val="Tekstpodstawowy"/>
              <w:rPr>
                <w:sz w:val="22"/>
                <w:szCs w:val="22"/>
              </w:rPr>
            </w:pPr>
            <w:r w:rsidRPr="00317ABF">
              <w:rPr>
                <w:rFonts w:eastAsia="Times"/>
                <w:bCs/>
                <w:sz w:val="22"/>
                <w:szCs w:val="22"/>
              </w:rPr>
              <w:t>3. Czynność prawna polegająca na przenoszeniu praw nabytych  wynikających z zawarcia umowy współinwestycji na podmioty, o których mowa w ust. 1, z naruszeniem ust. 2 jest nieważna.</w:t>
            </w:r>
          </w:p>
        </w:tc>
      </w:tr>
      <w:tr w:rsidR="001E1112" w:rsidRPr="00317ABF" w14:paraId="41BFD2EA" w14:textId="77777777" w:rsidTr="7753F98D">
        <w:trPr>
          <w:gridAfter w:val="2"/>
          <w:wAfter w:w="175" w:type="dxa"/>
        </w:trPr>
        <w:tc>
          <w:tcPr>
            <w:tcW w:w="704" w:type="dxa"/>
          </w:tcPr>
          <w:p w14:paraId="7E5DA648" w14:textId="22E9537C" w:rsidR="001E1112" w:rsidRPr="00317ABF" w:rsidRDefault="001E1112" w:rsidP="00DB3BEC">
            <w:pPr>
              <w:jc w:val="both"/>
              <w:rPr>
                <w:sz w:val="22"/>
                <w:szCs w:val="22"/>
              </w:rPr>
            </w:pPr>
            <w:r w:rsidRPr="00317ABF">
              <w:rPr>
                <w:b/>
                <w:sz w:val="22"/>
                <w:szCs w:val="22"/>
              </w:rPr>
              <w:t>Załącznik V</w:t>
            </w:r>
          </w:p>
        </w:tc>
        <w:tc>
          <w:tcPr>
            <w:tcW w:w="4308" w:type="dxa"/>
          </w:tcPr>
          <w:p w14:paraId="375ADF4E" w14:textId="77777777" w:rsidR="001E1112" w:rsidRPr="00317ABF" w:rsidRDefault="001E1112" w:rsidP="00DB3BEC">
            <w:pPr>
              <w:spacing w:before="120"/>
              <w:jc w:val="both"/>
              <w:rPr>
                <w:sz w:val="22"/>
                <w:szCs w:val="22"/>
              </w:rPr>
            </w:pPr>
            <w:r w:rsidRPr="00317ABF">
              <w:rPr>
                <w:b/>
                <w:bCs/>
                <w:sz w:val="22"/>
                <w:szCs w:val="22"/>
              </w:rPr>
              <w:t>MINIMALNY ZESTAW USŁUG, KTÓRE USŁUGA ADEKWATNEGO SZEROKOPASMOWEGO DOSTĘPU DO INTERNETU MUSI BYĆ W STANIE WSPIERAĆ ZGODNIE Z ART. 84 ust. 3</w:t>
            </w:r>
          </w:p>
        </w:tc>
        <w:tc>
          <w:tcPr>
            <w:tcW w:w="986" w:type="dxa"/>
          </w:tcPr>
          <w:p w14:paraId="6519FFAC" w14:textId="3AD7DB84" w:rsidR="001E1112" w:rsidRPr="00317ABF" w:rsidRDefault="001E1112" w:rsidP="00DB3BEC">
            <w:pPr>
              <w:jc w:val="both"/>
              <w:rPr>
                <w:sz w:val="22"/>
                <w:szCs w:val="22"/>
              </w:rPr>
            </w:pPr>
            <w:r w:rsidRPr="00317ABF">
              <w:rPr>
                <w:sz w:val="22"/>
                <w:szCs w:val="22"/>
              </w:rPr>
              <w:t>T</w:t>
            </w:r>
          </w:p>
        </w:tc>
        <w:tc>
          <w:tcPr>
            <w:tcW w:w="910" w:type="dxa"/>
          </w:tcPr>
          <w:p w14:paraId="6DC517F8" w14:textId="77777777" w:rsidR="001E1112" w:rsidRPr="00317ABF" w:rsidRDefault="001E1112" w:rsidP="00DB3BEC">
            <w:pPr>
              <w:pStyle w:val="Tekstpodstawowy"/>
              <w:rPr>
                <w:b/>
                <w:noProof/>
                <w:sz w:val="22"/>
                <w:szCs w:val="22"/>
              </w:rPr>
            </w:pPr>
          </w:p>
        </w:tc>
        <w:tc>
          <w:tcPr>
            <w:tcW w:w="6814" w:type="dxa"/>
            <w:gridSpan w:val="2"/>
          </w:tcPr>
          <w:p w14:paraId="63903793" w14:textId="09191939" w:rsidR="001E1112" w:rsidRPr="00317ABF" w:rsidRDefault="001E1112" w:rsidP="00DB3BEC">
            <w:pPr>
              <w:pStyle w:val="Tekstpodstawowy"/>
              <w:rPr>
                <w:sz w:val="22"/>
                <w:szCs w:val="22"/>
              </w:rPr>
            </w:pPr>
          </w:p>
        </w:tc>
      </w:tr>
      <w:tr w:rsidR="001E1112" w:rsidRPr="00317ABF" w14:paraId="294A1D59" w14:textId="77777777" w:rsidTr="7753F98D">
        <w:trPr>
          <w:gridAfter w:val="2"/>
          <w:wAfter w:w="175" w:type="dxa"/>
        </w:trPr>
        <w:tc>
          <w:tcPr>
            <w:tcW w:w="704" w:type="dxa"/>
          </w:tcPr>
          <w:p w14:paraId="0175087F" w14:textId="6E09CD62" w:rsidR="001E1112" w:rsidRPr="00317ABF" w:rsidRDefault="001E1112" w:rsidP="00DB3BEC">
            <w:pPr>
              <w:jc w:val="both"/>
              <w:rPr>
                <w:b/>
                <w:sz w:val="22"/>
                <w:szCs w:val="22"/>
              </w:rPr>
            </w:pPr>
          </w:p>
        </w:tc>
        <w:tc>
          <w:tcPr>
            <w:tcW w:w="4308" w:type="dxa"/>
          </w:tcPr>
          <w:p w14:paraId="38CB991B" w14:textId="77777777" w:rsidR="001E1112" w:rsidRPr="00317ABF" w:rsidRDefault="001E1112" w:rsidP="00DB3BEC">
            <w:pPr>
              <w:spacing w:before="120" w:after="160"/>
              <w:jc w:val="both"/>
              <w:rPr>
                <w:sz w:val="22"/>
                <w:szCs w:val="22"/>
              </w:rPr>
            </w:pPr>
            <w:r w:rsidRPr="00317ABF">
              <w:rPr>
                <w:sz w:val="22"/>
                <w:szCs w:val="22"/>
              </w:rPr>
              <w:t>1) poczta elektroniczna;</w:t>
            </w:r>
          </w:p>
          <w:p w14:paraId="75BD789F" w14:textId="77777777" w:rsidR="001E1112" w:rsidRPr="00317ABF" w:rsidRDefault="001E1112" w:rsidP="00DB3BEC">
            <w:pPr>
              <w:spacing w:before="120" w:after="160"/>
              <w:jc w:val="both"/>
              <w:rPr>
                <w:sz w:val="22"/>
                <w:szCs w:val="22"/>
              </w:rPr>
            </w:pPr>
            <w:r w:rsidRPr="00317ABF">
              <w:rPr>
                <w:sz w:val="22"/>
                <w:szCs w:val="22"/>
              </w:rPr>
              <w:t>2) wyszukiwarki umożliwiające wyszukiwanie i znajdywanie wszelkiego rodzaju informacji;</w:t>
            </w:r>
          </w:p>
          <w:p w14:paraId="00C96779" w14:textId="77777777" w:rsidR="001E1112" w:rsidRPr="00317ABF" w:rsidRDefault="001E1112" w:rsidP="00DB3BEC">
            <w:pPr>
              <w:spacing w:before="120" w:after="160"/>
              <w:jc w:val="both"/>
              <w:rPr>
                <w:sz w:val="22"/>
                <w:szCs w:val="22"/>
              </w:rPr>
            </w:pPr>
            <w:r w:rsidRPr="00317ABF">
              <w:rPr>
                <w:sz w:val="22"/>
                <w:szCs w:val="22"/>
              </w:rPr>
              <w:t>3) podstawowe internetowe narzędzia na potrzeby szkolenia i kształcenia;</w:t>
            </w:r>
          </w:p>
          <w:p w14:paraId="49933C3D" w14:textId="77777777" w:rsidR="001E1112" w:rsidRPr="00317ABF" w:rsidRDefault="001E1112" w:rsidP="00DB3BEC">
            <w:pPr>
              <w:spacing w:before="120"/>
              <w:jc w:val="both"/>
              <w:rPr>
                <w:sz w:val="22"/>
                <w:szCs w:val="22"/>
              </w:rPr>
            </w:pPr>
            <w:r w:rsidRPr="00317ABF">
              <w:rPr>
                <w:sz w:val="22"/>
                <w:szCs w:val="22"/>
              </w:rPr>
              <w:t>4) gazety lub wiadomości internetowe; 5) zakupy lub zamawianie towarów lub usług w internecie;</w:t>
            </w:r>
          </w:p>
          <w:p w14:paraId="307ABB3E" w14:textId="77777777" w:rsidR="001E1112" w:rsidRPr="00317ABF" w:rsidRDefault="001E1112" w:rsidP="00DB3BEC">
            <w:pPr>
              <w:spacing w:before="120" w:after="160"/>
              <w:jc w:val="both"/>
              <w:rPr>
                <w:sz w:val="22"/>
                <w:szCs w:val="22"/>
              </w:rPr>
            </w:pPr>
            <w:r w:rsidRPr="00317ABF">
              <w:rPr>
                <w:sz w:val="22"/>
                <w:szCs w:val="22"/>
              </w:rPr>
              <w:t>6) poszukiwanie pracy i narzędzia służące poszukiwaniu pracy;</w:t>
            </w:r>
          </w:p>
          <w:p w14:paraId="6F6DF89C" w14:textId="77777777" w:rsidR="001E1112" w:rsidRPr="00317ABF" w:rsidRDefault="001E1112" w:rsidP="00DB3BEC">
            <w:pPr>
              <w:spacing w:before="120" w:after="160"/>
              <w:jc w:val="both"/>
              <w:rPr>
                <w:sz w:val="22"/>
                <w:szCs w:val="22"/>
              </w:rPr>
            </w:pPr>
            <w:r w:rsidRPr="00317ABF">
              <w:rPr>
                <w:sz w:val="22"/>
                <w:szCs w:val="22"/>
              </w:rPr>
              <w:t>7) sieci kontaktów zawodowych;</w:t>
            </w:r>
          </w:p>
          <w:p w14:paraId="68E776A0" w14:textId="77777777" w:rsidR="001E1112" w:rsidRPr="00317ABF" w:rsidRDefault="001E1112" w:rsidP="00DB3BEC">
            <w:pPr>
              <w:spacing w:before="120" w:after="160"/>
              <w:jc w:val="both"/>
              <w:rPr>
                <w:sz w:val="22"/>
                <w:szCs w:val="22"/>
              </w:rPr>
            </w:pPr>
            <w:r w:rsidRPr="00317ABF">
              <w:rPr>
                <w:sz w:val="22"/>
                <w:szCs w:val="22"/>
              </w:rPr>
              <w:t>8) bankowość internetowa;</w:t>
            </w:r>
          </w:p>
          <w:p w14:paraId="12BEBF01" w14:textId="77777777" w:rsidR="001E1112" w:rsidRPr="00317ABF" w:rsidRDefault="001E1112" w:rsidP="00DB3BEC">
            <w:pPr>
              <w:spacing w:before="120" w:after="160"/>
              <w:jc w:val="both"/>
              <w:rPr>
                <w:sz w:val="22"/>
                <w:szCs w:val="22"/>
              </w:rPr>
            </w:pPr>
            <w:r w:rsidRPr="00317ABF">
              <w:rPr>
                <w:sz w:val="22"/>
                <w:szCs w:val="22"/>
              </w:rPr>
              <w:t>9) korzystanie z usług administracji elektronicznej;</w:t>
            </w:r>
          </w:p>
          <w:p w14:paraId="3AB24BE6" w14:textId="77777777" w:rsidR="001E1112" w:rsidRPr="00317ABF" w:rsidRDefault="001E1112" w:rsidP="00DB3BEC">
            <w:pPr>
              <w:spacing w:before="120" w:after="160"/>
              <w:jc w:val="both"/>
              <w:rPr>
                <w:sz w:val="22"/>
                <w:szCs w:val="22"/>
              </w:rPr>
            </w:pPr>
            <w:r w:rsidRPr="00317ABF">
              <w:rPr>
                <w:sz w:val="22"/>
                <w:szCs w:val="22"/>
              </w:rPr>
              <w:t>10) media społecznościowe i komunikatory internetowe;</w:t>
            </w:r>
          </w:p>
          <w:p w14:paraId="01D3935B" w14:textId="65169BC8" w:rsidR="001E1112" w:rsidRPr="00317ABF" w:rsidRDefault="001E1112" w:rsidP="00DB3BEC">
            <w:pPr>
              <w:spacing w:before="240" w:after="120"/>
              <w:jc w:val="both"/>
              <w:rPr>
                <w:b/>
                <w:bCs/>
                <w:sz w:val="22"/>
                <w:szCs w:val="22"/>
              </w:rPr>
            </w:pPr>
            <w:r w:rsidRPr="00317ABF">
              <w:rPr>
                <w:sz w:val="22"/>
                <w:szCs w:val="22"/>
              </w:rPr>
              <w:t>11) połączenia głosowe i wideo (jakość standardowa).</w:t>
            </w:r>
          </w:p>
        </w:tc>
        <w:tc>
          <w:tcPr>
            <w:tcW w:w="986" w:type="dxa"/>
          </w:tcPr>
          <w:p w14:paraId="2CC8CBC6" w14:textId="77777777" w:rsidR="001E1112" w:rsidRPr="00317ABF" w:rsidRDefault="001E1112" w:rsidP="00DB3BEC">
            <w:pPr>
              <w:jc w:val="both"/>
              <w:rPr>
                <w:sz w:val="22"/>
                <w:szCs w:val="22"/>
              </w:rPr>
            </w:pPr>
          </w:p>
        </w:tc>
        <w:tc>
          <w:tcPr>
            <w:tcW w:w="910" w:type="dxa"/>
          </w:tcPr>
          <w:p w14:paraId="2E3E355F" w14:textId="38250E6D" w:rsidR="001E1112" w:rsidRPr="00317ABF" w:rsidRDefault="001E1112" w:rsidP="00BB4972">
            <w:pPr>
              <w:pStyle w:val="Tekstpodstawowy"/>
              <w:rPr>
                <w:b/>
                <w:noProof/>
                <w:sz w:val="22"/>
                <w:szCs w:val="22"/>
              </w:rPr>
            </w:pPr>
            <w:r w:rsidRPr="00317ABF">
              <w:rPr>
                <w:rStyle w:val="Ppogrubienie"/>
                <w:sz w:val="22"/>
                <w:szCs w:val="22"/>
              </w:rPr>
              <w:t>Art. </w:t>
            </w:r>
            <w:r w:rsidR="00BB4972" w:rsidRPr="00317ABF">
              <w:rPr>
                <w:rStyle w:val="Ppogrubienie"/>
                <w:sz w:val="22"/>
                <w:szCs w:val="22"/>
              </w:rPr>
              <w:t>350 ust. 2</w:t>
            </w:r>
          </w:p>
        </w:tc>
        <w:tc>
          <w:tcPr>
            <w:tcW w:w="6814" w:type="dxa"/>
            <w:gridSpan w:val="2"/>
          </w:tcPr>
          <w:p w14:paraId="67C247D7" w14:textId="77777777" w:rsidR="00BB4972" w:rsidRPr="00317ABF" w:rsidRDefault="00BB4972" w:rsidP="00BB4972">
            <w:pPr>
              <w:pStyle w:val="USTustnpkodeksu"/>
              <w:keepNext/>
              <w:spacing w:line="240" w:lineRule="auto"/>
              <w:ind w:firstLine="0"/>
              <w:rPr>
                <w:rFonts w:ascii="Times New Roman" w:hAnsi="Times New Roman" w:cs="Times New Roman"/>
                <w:b/>
                <w:sz w:val="22"/>
                <w:szCs w:val="22"/>
              </w:rPr>
            </w:pPr>
            <w:r w:rsidRPr="00317ABF">
              <w:rPr>
                <w:rFonts w:ascii="Times New Roman" w:hAnsi="Times New Roman" w:cs="Times New Roman"/>
                <w:b/>
                <w:sz w:val="22"/>
                <w:szCs w:val="22"/>
              </w:rPr>
              <w:t>Art. 350</w:t>
            </w:r>
          </w:p>
          <w:p w14:paraId="0E43D0F6" w14:textId="31224C7A" w:rsidR="00BB4972" w:rsidRPr="00317ABF" w:rsidRDefault="00BB4972" w:rsidP="00BB4972">
            <w:pPr>
              <w:pStyle w:val="USTustnpkodeksu"/>
              <w:keepNext/>
              <w:spacing w:line="240" w:lineRule="auto"/>
              <w:ind w:firstLine="0"/>
              <w:rPr>
                <w:rFonts w:ascii="Times New Roman" w:hAnsi="Times New Roman" w:cs="Times New Roman"/>
                <w:sz w:val="22"/>
                <w:szCs w:val="22"/>
              </w:rPr>
            </w:pPr>
            <w:r w:rsidRPr="00317ABF">
              <w:rPr>
                <w:rFonts w:ascii="Times New Roman" w:hAnsi="Times New Roman" w:cs="Times New Roman"/>
                <w:sz w:val="22"/>
                <w:szCs w:val="22"/>
              </w:rPr>
              <w:t>(…)</w:t>
            </w:r>
          </w:p>
          <w:p w14:paraId="3D889692" w14:textId="77777777" w:rsidR="00BB4972" w:rsidRPr="00317ABF" w:rsidRDefault="00BB4972" w:rsidP="00BB4972">
            <w:pPr>
              <w:pStyle w:val="USTustnpkodeksu"/>
              <w:spacing w:line="240" w:lineRule="auto"/>
              <w:ind w:firstLine="0"/>
              <w:rPr>
                <w:sz w:val="22"/>
                <w:szCs w:val="22"/>
              </w:rPr>
            </w:pPr>
            <w:r w:rsidRPr="00317ABF">
              <w:rPr>
                <w:sz w:val="22"/>
                <w:szCs w:val="22"/>
              </w:rPr>
              <w:t>2. Usługa adekwatnego szerokopasmowego dostępu do internetu umożliwia korzystanie z aplikacji używanych powszechnie w bieżących sprawach życia codziennego, takich jak:</w:t>
            </w:r>
          </w:p>
          <w:p w14:paraId="3C052D44" w14:textId="77777777" w:rsidR="00BB4972" w:rsidRPr="00317ABF" w:rsidRDefault="00BB4972" w:rsidP="00BB4972">
            <w:pPr>
              <w:pStyle w:val="USTustnpkodeksu"/>
              <w:keepNext/>
              <w:spacing w:line="240" w:lineRule="auto"/>
              <w:ind w:firstLine="0"/>
              <w:rPr>
                <w:sz w:val="22"/>
                <w:szCs w:val="22"/>
              </w:rPr>
            </w:pPr>
            <w:r w:rsidRPr="00317ABF">
              <w:rPr>
                <w:sz w:val="22"/>
                <w:szCs w:val="22"/>
              </w:rPr>
              <w:t>1)</w:t>
            </w:r>
            <w:r w:rsidRPr="00317ABF">
              <w:rPr>
                <w:sz w:val="22"/>
                <w:szCs w:val="22"/>
              </w:rPr>
              <w:tab/>
              <w:t>poczta elektroniczna;</w:t>
            </w:r>
          </w:p>
          <w:p w14:paraId="2DA66C76" w14:textId="77777777" w:rsidR="00BB4972" w:rsidRPr="00317ABF" w:rsidRDefault="00BB4972" w:rsidP="00BB4972">
            <w:pPr>
              <w:pStyle w:val="USTustnpkodeksu"/>
              <w:keepNext/>
              <w:spacing w:line="240" w:lineRule="auto"/>
              <w:ind w:firstLine="0"/>
              <w:rPr>
                <w:sz w:val="22"/>
                <w:szCs w:val="22"/>
              </w:rPr>
            </w:pPr>
            <w:r w:rsidRPr="00317ABF">
              <w:rPr>
                <w:sz w:val="22"/>
                <w:szCs w:val="22"/>
              </w:rPr>
              <w:t>2)</w:t>
            </w:r>
            <w:r w:rsidRPr="00317ABF">
              <w:rPr>
                <w:sz w:val="22"/>
                <w:szCs w:val="22"/>
              </w:rPr>
              <w:tab/>
              <w:t>wyszukiwarki informacji;</w:t>
            </w:r>
          </w:p>
          <w:p w14:paraId="649BADC7" w14:textId="77777777" w:rsidR="00BB4972" w:rsidRPr="00317ABF" w:rsidRDefault="00BB4972" w:rsidP="00BB4972">
            <w:pPr>
              <w:pStyle w:val="USTustnpkodeksu"/>
              <w:keepNext/>
              <w:spacing w:line="240" w:lineRule="auto"/>
              <w:ind w:firstLine="0"/>
              <w:rPr>
                <w:sz w:val="22"/>
                <w:szCs w:val="22"/>
              </w:rPr>
            </w:pPr>
            <w:r w:rsidRPr="00317ABF">
              <w:rPr>
                <w:sz w:val="22"/>
                <w:szCs w:val="22"/>
              </w:rPr>
              <w:t>3)</w:t>
            </w:r>
            <w:r w:rsidRPr="00317ABF">
              <w:rPr>
                <w:sz w:val="22"/>
                <w:szCs w:val="22"/>
              </w:rPr>
              <w:tab/>
              <w:t>podstawowe internetowe narzędzia na potrzeby szkolenia i kształcenia;</w:t>
            </w:r>
          </w:p>
          <w:p w14:paraId="43668D00" w14:textId="77777777" w:rsidR="00BB4972" w:rsidRPr="00317ABF" w:rsidRDefault="00BB4972" w:rsidP="00BB4972">
            <w:pPr>
              <w:pStyle w:val="USTustnpkodeksu"/>
              <w:keepNext/>
              <w:spacing w:line="240" w:lineRule="auto"/>
              <w:ind w:firstLine="0"/>
              <w:rPr>
                <w:sz w:val="22"/>
                <w:szCs w:val="22"/>
              </w:rPr>
            </w:pPr>
            <w:r w:rsidRPr="00317ABF">
              <w:rPr>
                <w:sz w:val="22"/>
                <w:szCs w:val="22"/>
              </w:rPr>
              <w:t>4)</w:t>
            </w:r>
            <w:r w:rsidRPr="00317ABF">
              <w:rPr>
                <w:sz w:val="22"/>
                <w:szCs w:val="22"/>
              </w:rPr>
              <w:tab/>
              <w:t>gazety lub wiadomości internetowe;</w:t>
            </w:r>
          </w:p>
          <w:p w14:paraId="503C0D72" w14:textId="77777777" w:rsidR="00BB4972" w:rsidRPr="00317ABF" w:rsidRDefault="00BB4972" w:rsidP="00BB4972">
            <w:pPr>
              <w:pStyle w:val="USTustnpkodeksu"/>
              <w:keepNext/>
              <w:spacing w:line="240" w:lineRule="auto"/>
              <w:ind w:firstLine="0"/>
              <w:rPr>
                <w:sz w:val="22"/>
                <w:szCs w:val="22"/>
              </w:rPr>
            </w:pPr>
            <w:r w:rsidRPr="00317ABF">
              <w:rPr>
                <w:sz w:val="22"/>
                <w:szCs w:val="22"/>
              </w:rPr>
              <w:t>5)</w:t>
            </w:r>
            <w:r w:rsidRPr="00317ABF">
              <w:rPr>
                <w:sz w:val="22"/>
                <w:szCs w:val="22"/>
              </w:rPr>
              <w:tab/>
              <w:t>zakupy lub zamawianie towarów lub usług w internecie;</w:t>
            </w:r>
          </w:p>
          <w:p w14:paraId="2ADC9D17" w14:textId="77777777" w:rsidR="00BB4972" w:rsidRPr="00317ABF" w:rsidRDefault="00BB4972" w:rsidP="00BB4972">
            <w:pPr>
              <w:pStyle w:val="USTustnpkodeksu"/>
              <w:keepNext/>
              <w:spacing w:line="240" w:lineRule="auto"/>
              <w:ind w:firstLine="0"/>
              <w:rPr>
                <w:sz w:val="22"/>
                <w:szCs w:val="22"/>
              </w:rPr>
            </w:pPr>
            <w:r w:rsidRPr="00317ABF">
              <w:rPr>
                <w:sz w:val="22"/>
                <w:szCs w:val="22"/>
              </w:rPr>
              <w:t>6)</w:t>
            </w:r>
            <w:r w:rsidRPr="00317ABF">
              <w:rPr>
                <w:sz w:val="22"/>
                <w:szCs w:val="22"/>
              </w:rPr>
              <w:tab/>
              <w:t>poszukiwanie pracy i narzędzia służące poszukiwaniu pracy;</w:t>
            </w:r>
          </w:p>
          <w:p w14:paraId="6C834A8D" w14:textId="77777777" w:rsidR="00BB4972" w:rsidRPr="00317ABF" w:rsidRDefault="00BB4972" w:rsidP="00BB4972">
            <w:pPr>
              <w:pStyle w:val="USTustnpkodeksu"/>
              <w:keepNext/>
              <w:spacing w:line="240" w:lineRule="auto"/>
              <w:ind w:firstLine="0"/>
              <w:rPr>
                <w:sz w:val="22"/>
                <w:szCs w:val="22"/>
              </w:rPr>
            </w:pPr>
            <w:r w:rsidRPr="00317ABF">
              <w:rPr>
                <w:sz w:val="22"/>
                <w:szCs w:val="22"/>
              </w:rPr>
              <w:t>7)</w:t>
            </w:r>
            <w:r w:rsidRPr="00317ABF">
              <w:rPr>
                <w:sz w:val="22"/>
                <w:szCs w:val="22"/>
              </w:rPr>
              <w:tab/>
              <w:t>sieci kontaktów zawodowych;</w:t>
            </w:r>
          </w:p>
          <w:p w14:paraId="03D00334" w14:textId="77777777" w:rsidR="00BB4972" w:rsidRPr="00317ABF" w:rsidRDefault="00BB4972" w:rsidP="00BB4972">
            <w:pPr>
              <w:pStyle w:val="USTustnpkodeksu"/>
              <w:keepNext/>
              <w:spacing w:line="240" w:lineRule="auto"/>
              <w:ind w:firstLine="0"/>
              <w:rPr>
                <w:sz w:val="22"/>
                <w:szCs w:val="22"/>
              </w:rPr>
            </w:pPr>
            <w:r w:rsidRPr="00317ABF">
              <w:rPr>
                <w:sz w:val="22"/>
                <w:szCs w:val="22"/>
              </w:rPr>
              <w:t>8)</w:t>
            </w:r>
            <w:r w:rsidRPr="00317ABF">
              <w:rPr>
                <w:sz w:val="22"/>
                <w:szCs w:val="22"/>
              </w:rPr>
              <w:tab/>
              <w:t>bankowość internetowa;</w:t>
            </w:r>
          </w:p>
          <w:p w14:paraId="5E179EA8" w14:textId="77777777" w:rsidR="00BB4972" w:rsidRPr="00317ABF" w:rsidRDefault="00BB4972" w:rsidP="00BB4972">
            <w:pPr>
              <w:pStyle w:val="USTustnpkodeksu"/>
              <w:keepNext/>
              <w:spacing w:line="240" w:lineRule="auto"/>
              <w:ind w:firstLine="0"/>
              <w:rPr>
                <w:sz w:val="22"/>
                <w:szCs w:val="22"/>
              </w:rPr>
            </w:pPr>
            <w:r w:rsidRPr="00317ABF">
              <w:rPr>
                <w:sz w:val="22"/>
                <w:szCs w:val="22"/>
              </w:rPr>
              <w:t>9)</w:t>
            </w:r>
            <w:r w:rsidRPr="00317ABF">
              <w:rPr>
                <w:sz w:val="22"/>
                <w:szCs w:val="22"/>
              </w:rPr>
              <w:tab/>
              <w:t>usługi organów administracji publicznej;</w:t>
            </w:r>
          </w:p>
          <w:p w14:paraId="4B2E78C9" w14:textId="77777777" w:rsidR="00BB4972" w:rsidRPr="00317ABF" w:rsidRDefault="00BB4972" w:rsidP="00BB4972">
            <w:pPr>
              <w:pStyle w:val="USTustnpkodeksu"/>
              <w:keepNext/>
              <w:spacing w:line="240" w:lineRule="auto"/>
              <w:ind w:firstLine="0"/>
              <w:rPr>
                <w:sz w:val="22"/>
                <w:szCs w:val="22"/>
              </w:rPr>
            </w:pPr>
            <w:r w:rsidRPr="00317ABF">
              <w:rPr>
                <w:sz w:val="22"/>
                <w:szCs w:val="22"/>
              </w:rPr>
              <w:t>10)</w:t>
            </w:r>
            <w:r w:rsidRPr="00317ABF">
              <w:rPr>
                <w:sz w:val="22"/>
                <w:szCs w:val="22"/>
              </w:rPr>
              <w:tab/>
              <w:t>media społecznościowe i komunikatory internetowe;</w:t>
            </w:r>
          </w:p>
          <w:p w14:paraId="50DC841F" w14:textId="77777777" w:rsidR="00BB4972" w:rsidRPr="00317ABF" w:rsidRDefault="00BB4972" w:rsidP="00BB4972">
            <w:pPr>
              <w:pStyle w:val="USTustnpkodeksu"/>
              <w:keepNext/>
              <w:spacing w:line="240" w:lineRule="auto"/>
              <w:ind w:firstLine="0"/>
              <w:rPr>
                <w:sz w:val="22"/>
                <w:szCs w:val="22"/>
              </w:rPr>
            </w:pPr>
            <w:r w:rsidRPr="00317ABF">
              <w:rPr>
                <w:sz w:val="22"/>
                <w:szCs w:val="22"/>
              </w:rPr>
              <w:t>11)</w:t>
            </w:r>
            <w:r w:rsidRPr="00317ABF">
              <w:rPr>
                <w:sz w:val="22"/>
                <w:szCs w:val="22"/>
              </w:rPr>
              <w:tab/>
              <w:t>połączenia głosowe i wideo w jakości standardowej.</w:t>
            </w:r>
          </w:p>
          <w:p w14:paraId="3C8083B9" w14:textId="5F79D91D" w:rsidR="001E1112" w:rsidRPr="00317ABF" w:rsidRDefault="00BB4972" w:rsidP="00DB3BEC">
            <w:pPr>
              <w:pStyle w:val="Tekstpodstawowy"/>
              <w:rPr>
                <w:sz w:val="22"/>
                <w:szCs w:val="22"/>
              </w:rPr>
            </w:pPr>
            <w:r w:rsidRPr="00317ABF">
              <w:rPr>
                <w:sz w:val="22"/>
                <w:szCs w:val="22"/>
              </w:rPr>
              <w:t>(…)</w:t>
            </w:r>
          </w:p>
        </w:tc>
      </w:tr>
      <w:tr w:rsidR="001E1112" w:rsidRPr="00317ABF" w14:paraId="6D5327A5" w14:textId="77777777" w:rsidTr="7753F98D">
        <w:trPr>
          <w:gridAfter w:val="2"/>
          <w:wAfter w:w="175" w:type="dxa"/>
        </w:trPr>
        <w:tc>
          <w:tcPr>
            <w:tcW w:w="704" w:type="dxa"/>
          </w:tcPr>
          <w:p w14:paraId="4000156F" w14:textId="234AF91F" w:rsidR="001E1112" w:rsidRPr="00317ABF" w:rsidRDefault="001E1112" w:rsidP="00DB3BEC">
            <w:pPr>
              <w:jc w:val="both"/>
              <w:rPr>
                <w:sz w:val="22"/>
                <w:szCs w:val="22"/>
              </w:rPr>
            </w:pPr>
            <w:r w:rsidRPr="00317ABF">
              <w:rPr>
                <w:b/>
                <w:sz w:val="22"/>
                <w:szCs w:val="22"/>
              </w:rPr>
              <w:t>Załącznik VI</w:t>
            </w:r>
          </w:p>
        </w:tc>
        <w:tc>
          <w:tcPr>
            <w:tcW w:w="4308" w:type="dxa"/>
          </w:tcPr>
          <w:p w14:paraId="2B3A86FE" w14:textId="77777777" w:rsidR="001E1112" w:rsidRPr="00317ABF" w:rsidRDefault="001E1112" w:rsidP="00DB3BEC">
            <w:pPr>
              <w:spacing w:before="240" w:after="120"/>
              <w:jc w:val="both"/>
              <w:rPr>
                <w:b/>
                <w:bCs/>
                <w:sz w:val="22"/>
                <w:szCs w:val="22"/>
              </w:rPr>
            </w:pPr>
            <w:r w:rsidRPr="00317ABF">
              <w:rPr>
                <w:b/>
                <w:bCs/>
                <w:sz w:val="22"/>
                <w:szCs w:val="22"/>
              </w:rPr>
              <w:t>OPIS USŁUG DODATKOWYCH I USŁUG, O KTÓRYCH MOWA W ART. 88 (KONTROLA WYDATKÓW), W ART. 115 (ZAPEWNIENIE USŁUG DODATKOWYCH) I W ART. 106 (ZMIANA DOSTAWCY I PRZENOSZENIE NUMERÓW)</w:t>
            </w:r>
          </w:p>
        </w:tc>
        <w:tc>
          <w:tcPr>
            <w:tcW w:w="986" w:type="dxa"/>
          </w:tcPr>
          <w:p w14:paraId="1D9F6F01" w14:textId="3E6DF3CC" w:rsidR="001E1112" w:rsidRPr="00317ABF" w:rsidRDefault="001E1112" w:rsidP="00DB3BEC">
            <w:pPr>
              <w:jc w:val="both"/>
              <w:rPr>
                <w:sz w:val="22"/>
                <w:szCs w:val="22"/>
              </w:rPr>
            </w:pPr>
            <w:r w:rsidRPr="00317ABF">
              <w:rPr>
                <w:sz w:val="22"/>
                <w:szCs w:val="22"/>
              </w:rPr>
              <w:t>T</w:t>
            </w:r>
          </w:p>
        </w:tc>
        <w:tc>
          <w:tcPr>
            <w:tcW w:w="910" w:type="dxa"/>
          </w:tcPr>
          <w:p w14:paraId="3F51A1FC" w14:textId="77777777" w:rsidR="001E1112" w:rsidRPr="00317ABF" w:rsidRDefault="001E1112" w:rsidP="00DB3BEC">
            <w:pPr>
              <w:pStyle w:val="Tekstpodstawowy"/>
              <w:rPr>
                <w:b/>
                <w:noProof/>
                <w:sz w:val="22"/>
                <w:szCs w:val="22"/>
              </w:rPr>
            </w:pPr>
          </w:p>
        </w:tc>
        <w:tc>
          <w:tcPr>
            <w:tcW w:w="6814" w:type="dxa"/>
            <w:gridSpan w:val="2"/>
          </w:tcPr>
          <w:p w14:paraId="770860FE" w14:textId="66BEEF62" w:rsidR="001E1112" w:rsidRPr="00317ABF" w:rsidRDefault="001E1112" w:rsidP="00DB3BEC">
            <w:pPr>
              <w:pStyle w:val="Tekstpodstawowy"/>
              <w:rPr>
                <w:sz w:val="22"/>
                <w:szCs w:val="22"/>
              </w:rPr>
            </w:pPr>
          </w:p>
        </w:tc>
      </w:tr>
      <w:tr w:rsidR="001E1112" w:rsidRPr="00317ABF" w14:paraId="6AAB8409" w14:textId="77777777" w:rsidTr="7753F98D">
        <w:trPr>
          <w:gridAfter w:val="2"/>
          <w:wAfter w:w="175" w:type="dxa"/>
          <w:trHeight w:val="1534"/>
        </w:trPr>
        <w:tc>
          <w:tcPr>
            <w:tcW w:w="704" w:type="dxa"/>
          </w:tcPr>
          <w:p w14:paraId="1890AEBC" w14:textId="4CD6C7E1" w:rsidR="001E1112" w:rsidRPr="00317ABF" w:rsidRDefault="001E1112" w:rsidP="00DB3BEC">
            <w:pPr>
              <w:jc w:val="both"/>
              <w:rPr>
                <w:sz w:val="22"/>
                <w:szCs w:val="22"/>
              </w:rPr>
            </w:pPr>
            <w:r w:rsidRPr="00317ABF">
              <w:rPr>
                <w:sz w:val="22"/>
                <w:szCs w:val="22"/>
              </w:rPr>
              <w:t>Część A</w:t>
            </w:r>
          </w:p>
        </w:tc>
        <w:tc>
          <w:tcPr>
            <w:tcW w:w="4308" w:type="dxa"/>
          </w:tcPr>
          <w:p w14:paraId="61453502" w14:textId="77777777" w:rsidR="001E1112" w:rsidRPr="00317ABF" w:rsidRDefault="001E1112" w:rsidP="00DB3BEC">
            <w:pPr>
              <w:spacing w:before="120"/>
              <w:jc w:val="both"/>
              <w:rPr>
                <w:sz w:val="22"/>
                <w:szCs w:val="22"/>
              </w:rPr>
            </w:pPr>
            <w:r w:rsidRPr="00317ABF">
              <w:rPr>
                <w:bCs/>
                <w:sz w:val="22"/>
                <w:szCs w:val="22"/>
              </w:rPr>
              <w:t>Usługi dodatkowe i usługi, o których mowa w art. 88 i 115</w:t>
            </w:r>
          </w:p>
        </w:tc>
        <w:tc>
          <w:tcPr>
            <w:tcW w:w="986" w:type="dxa"/>
          </w:tcPr>
          <w:p w14:paraId="5D5A9BD6" w14:textId="74FB5444" w:rsidR="001E1112" w:rsidRPr="00317ABF" w:rsidRDefault="001E1112" w:rsidP="00DB3BEC">
            <w:pPr>
              <w:jc w:val="both"/>
              <w:rPr>
                <w:sz w:val="22"/>
                <w:szCs w:val="22"/>
              </w:rPr>
            </w:pPr>
            <w:r w:rsidRPr="00317ABF">
              <w:rPr>
                <w:sz w:val="22"/>
                <w:szCs w:val="22"/>
              </w:rPr>
              <w:t xml:space="preserve">T/N </w:t>
            </w:r>
            <w:r w:rsidR="00BB4972" w:rsidRPr="00317ABF">
              <w:rPr>
                <w:sz w:val="22"/>
                <w:szCs w:val="22"/>
              </w:rPr>
              <w:t>– zakres usług dodatkowych do d</w:t>
            </w:r>
            <w:r w:rsidRPr="00317ABF">
              <w:rPr>
                <w:sz w:val="22"/>
                <w:szCs w:val="22"/>
              </w:rPr>
              <w:t>e</w:t>
            </w:r>
            <w:r w:rsidR="00BB4972" w:rsidRPr="00317ABF">
              <w:rPr>
                <w:sz w:val="22"/>
                <w:szCs w:val="22"/>
              </w:rPr>
              <w:t>c</w:t>
            </w:r>
            <w:r w:rsidRPr="00317ABF">
              <w:rPr>
                <w:sz w:val="22"/>
                <w:szCs w:val="22"/>
              </w:rPr>
              <w:t>ycji p. czł.</w:t>
            </w:r>
          </w:p>
        </w:tc>
        <w:tc>
          <w:tcPr>
            <w:tcW w:w="910" w:type="dxa"/>
          </w:tcPr>
          <w:p w14:paraId="1A95C1F4" w14:textId="5D48EDD7" w:rsidR="001E1112" w:rsidRPr="00317ABF" w:rsidRDefault="00FD1390" w:rsidP="00DB3BEC">
            <w:pPr>
              <w:pStyle w:val="Tekstpodstawowy"/>
              <w:rPr>
                <w:b/>
                <w:sz w:val="22"/>
                <w:szCs w:val="22"/>
                <w:lang w:val="en-US"/>
              </w:rPr>
            </w:pPr>
            <w:r w:rsidRPr="00317ABF">
              <w:rPr>
                <w:b/>
                <w:sz w:val="22"/>
                <w:szCs w:val="22"/>
                <w:lang w:val="en-US"/>
              </w:rPr>
              <w:t>Lit. a) -Art. 346 i 347</w:t>
            </w:r>
          </w:p>
          <w:p w14:paraId="3C7672AC" w14:textId="68AF53AC" w:rsidR="001E1112" w:rsidRPr="00317ABF" w:rsidRDefault="001E1112" w:rsidP="00DB3BEC">
            <w:pPr>
              <w:pStyle w:val="Tekstpodstawowy"/>
              <w:rPr>
                <w:b/>
                <w:sz w:val="22"/>
                <w:szCs w:val="22"/>
                <w:lang w:val="en-US"/>
              </w:rPr>
            </w:pPr>
          </w:p>
          <w:p w14:paraId="2719FCD7" w14:textId="68AF53AC" w:rsidR="001E1112" w:rsidRPr="00317ABF" w:rsidRDefault="001E1112" w:rsidP="00DB3BEC">
            <w:pPr>
              <w:pStyle w:val="Tekstpodstawowy"/>
              <w:rPr>
                <w:b/>
                <w:sz w:val="22"/>
                <w:szCs w:val="22"/>
                <w:lang w:val="en-US"/>
              </w:rPr>
            </w:pPr>
          </w:p>
          <w:p w14:paraId="2B057B1B" w14:textId="68AF53AC" w:rsidR="001E1112" w:rsidRPr="00317ABF" w:rsidRDefault="001E1112" w:rsidP="00DB3BEC">
            <w:pPr>
              <w:pStyle w:val="Tekstpodstawowy"/>
              <w:rPr>
                <w:b/>
                <w:sz w:val="22"/>
                <w:szCs w:val="22"/>
                <w:lang w:val="en-US"/>
              </w:rPr>
            </w:pPr>
          </w:p>
          <w:p w14:paraId="0C507ABA" w14:textId="68AF53AC" w:rsidR="001E1112" w:rsidRPr="00317ABF" w:rsidRDefault="001E1112" w:rsidP="00DB3BEC">
            <w:pPr>
              <w:pStyle w:val="Tekstpodstawowy"/>
              <w:rPr>
                <w:b/>
                <w:sz w:val="22"/>
                <w:szCs w:val="22"/>
                <w:lang w:val="en-US"/>
              </w:rPr>
            </w:pPr>
          </w:p>
          <w:p w14:paraId="0680E2BA" w14:textId="68AF53AC" w:rsidR="001E1112" w:rsidRPr="00317ABF" w:rsidRDefault="001E1112" w:rsidP="00DB3BEC">
            <w:pPr>
              <w:pStyle w:val="Tekstpodstawowy"/>
              <w:rPr>
                <w:b/>
                <w:sz w:val="22"/>
                <w:szCs w:val="22"/>
                <w:lang w:val="en-US"/>
              </w:rPr>
            </w:pPr>
          </w:p>
          <w:p w14:paraId="1986B30B" w14:textId="68AF53AC" w:rsidR="001E1112" w:rsidRPr="00317ABF" w:rsidRDefault="001E1112" w:rsidP="00DB3BEC">
            <w:pPr>
              <w:pStyle w:val="Tekstpodstawowy"/>
              <w:rPr>
                <w:b/>
                <w:sz w:val="22"/>
                <w:szCs w:val="22"/>
                <w:lang w:val="en-US"/>
              </w:rPr>
            </w:pPr>
          </w:p>
          <w:p w14:paraId="5F8F6CAF" w14:textId="68AF53AC" w:rsidR="001E1112" w:rsidRPr="00317ABF" w:rsidRDefault="001E1112" w:rsidP="00DB3BEC">
            <w:pPr>
              <w:pStyle w:val="Tekstpodstawowy"/>
              <w:rPr>
                <w:b/>
                <w:sz w:val="22"/>
                <w:szCs w:val="22"/>
                <w:lang w:val="en-US"/>
              </w:rPr>
            </w:pPr>
          </w:p>
          <w:p w14:paraId="1C495E8D" w14:textId="68AF53AC" w:rsidR="001E1112" w:rsidRPr="00317ABF" w:rsidRDefault="001E1112" w:rsidP="00DB3BEC">
            <w:pPr>
              <w:pStyle w:val="Tekstpodstawowy"/>
              <w:rPr>
                <w:b/>
                <w:sz w:val="22"/>
                <w:szCs w:val="22"/>
                <w:lang w:val="en-US"/>
              </w:rPr>
            </w:pPr>
          </w:p>
          <w:p w14:paraId="45BD0D0E" w14:textId="68AF53AC" w:rsidR="001E1112" w:rsidRPr="00317ABF" w:rsidRDefault="001E1112" w:rsidP="00DB3BEC">
            <w:pPr>
              <w:pStyle w:val="Tekstpodstawowy"/>
              <w:rPr>
                <w:b/>
                <w:sz w:val="22"/>
                <w:szCs w:val="22"/>
                <w:lang w:val="en-US"/>
              </w:rPr>
            </w:pPr>
          </w:p>
          <w:p w14:paraId="00AAB705" w14:textId="68AF53AC" w:rsidR="001E1112" w:rsidRPr="00317ABF" w:rsidRDefault="001E1112" w:rsidP="00DB3BEC">
            <w:pPr>
              <w:pStyle w:val="Tekstpodstawowy"/>
              <w:rPr>
                <w:b/>
                <w:sz w:val="22"/>
                <w:szCs w:val="22"/>
                <w:lang w:val="en-US"/>
              </w:rPr>
            </w:pPr>
          </w:p>
          <w:p w14:paraId="303BE1A1" w14:textId="68AF53AC" w:rsidR="001E1112" w:rsidRPr="00317ABF" w:rsidRDefault="001E1112" w:rsidP="00DB3BEC">
            <w:pPr>
              <w:pStyle w:val="Tekstpodstawowy"/>
              <w:rPr>
                <w:b/>
                <w:sz w:val="22"/>
                <w:szCs w:val="22"/>
                <w:lang w:val="en-US"/>
              </w:rPr>
            </w:pPr>
          </w:p>
          <w:p w14:paraId="044BBAC7" w14:textId="68AF53AC" w:rsidR="001E1112" w:rsidRPr="00317ABF" w:rsidRDefault="001E1112" w:rsidP="00DB3BEC">
            <w:pPr>
              <w:pStyle w:val="Tekstpodstawowy"/>
              <w:rPr>
                <w:b/>
                <w:sz w:val="22"/>
                <w:szCs w:val="22"/>
                <w:lang w:val="en-US"/>
              </w:rPr>
            </w:pPr>
          </w:p>
          <w:p w14:paraId="684928BD" w14:textId="68AF53AC" w:rsidR="001E1112" w:rsidRPr="00317ABF" w:rsidRDefault="001E1112" w:rsidP="00DB3BEC">
            <w:pPr>
              <w:pStyle w:val="Tekstpodstawowy"/>
              <w:rPr>
                <w:b/>
                <w:sz w:val="22"/>
                <w:szCs w:val="22"/>
                <w:lang w:val="en-US"/>
              </w:rPr>
            </w:pPr>
          </w:p>
          <w:p w14:paraId="59ACC4F2" w14:textId="68AF53AC" w:rsidR="001E1112" w:rsidRPr="00317ABF" w:rsidRDefault="001E1112" w:rsidP="00DB3BEC">
            <w:pPr>
              <w:pStyle w:val="Tekstpodstawowy"/>
              <w:rPr>
                <w:b/>
                <w:sz w:val="22"/>
                <w:szCs w:val="22"/>
                <w:lang w:val="en-US"/>
              </w:rPr>
            </w:pPr>
          </w:p>
          <w:p w14:paraId="540C57D2" w14:textId="68AF53AC" w:rsidR="001E1112" w:rsidRPr="00317ABF" w:rsidRDefault="001E1112" w:rsidP="00DB3BEC">
            <w:pPr>
              <w:pStyle w:val="Tekstpodstawowy"/>
              <w:rPr>
                <w:b/>
                <w:sz w:val="22"/>
                <w:szCs w:val="22"/>
                <w:lang w:val="en-US"/>
              </w:rPr>
            </w:pPr>
          </w:p>
          <w:p w14:paraId="7892004E" w14:textId="68AF53AC" w:rsidR="001E1112" w:rsidRPr="00317ABF" w:rsidRDefault="001E1112" w:rsidP="00DB3BEC">
            <w:pPr>
              <w:pStyle w:val="Tekstpodstawowy"/>
              <w:rPr>
                <w:b/>
                <w:sz w:val="22"/>
                <w:szCs w:val="22"/>
                <w:lang w:val="en-US"/>
              </w:rPr>
            </w:pPr>
          </w:p>
          <w:p w14:paraId="1422BB8E" w14:textId="68AF53AC" w:rsidR="001E1112" w:rsidRPr="00317ABF" w:rsidRDefault="001E1112" w:rsidP="00DB3BEC">
            <w:pPr>
              <w:pStyle w:val="Tekstpodstawowy"/>
              <w:rPr>
                <w:b/>
                <w:sz w:val="22"/>
                <w:szCs w:val="22"/>
                <w:lang w:val="en-US"/>
              </w:rPr>
            </w:pPr>
          </w:p>
          <w:p w14:paraId="1381FCF2" w14:textId="68AF53AC" w:rsidR="001E1112" w:rsidRPr="00317ABF" w:rsidRDefault="001E1112" w:rsidP="00DB3BEC">
            <w:pPr>
              <w:pStyle w:val="Tekstpodstawowy"/>
              <w:rPr>
                <w:b/>
                <w:sz w:val="22"/>
                <w:szCs w:val="22"/>
                <w:lang w:val="en-US"/>
              </w:rPr>
            </w:pPr>
          </w:p>
          <w:p w14:paraId="7CD198E4" w14:textId="68AF53AC" w:rsidR="001E1112" w:rsidRPr="00317ABF" w:rsidRDefault="001E1112" w:rsidP="00DB3BEC">
            <w:pPr>
              <w:pStyle w:val="Tekstpodstawowy"/>
              <w:rPr>
                <w:b/>
                <w:sz w:val="22"/>
                <w:szCs w:val="22"/>
                <w:lang w:val="en-US"/>
              </w:rPr>
            </w:pPr>
          </w:p>
          <w:p w14:paraId="0FE35FE3" w14:textId="68AF53AC" w:rsidR="001E1112" w:rsidRPr="00317ABF" w:rsidRDefault="001E1112" w:rsidP="00DB3BEC">
            <w:pPr>
              <w:pStyle w:val="Tekstpodstawowy"/>
              <w:rPr>
                <w:b/>
                <w:sz w:val="22"/>
                <w:szCs w:val="22"/>
                <w:lang w:val="en-US"/>
              </w:rPr>
            </w:pPr>
          </w:p>
          <w:p w14:paraId="20E24116" w14:textId="68AF53AC" w:rsidR="001E1112" w:rsidRPr="00317ABF" w:rsidRDefault="001E1112" w:rsidP="00DB3BEC">
            <w:pPr>
              <w:pStyle w:val="Tekstpodstawowy"/>
              <w:rPr>
                <w:b/>
                <w:sz w:val="22"/>
                <w:szCs w:val="22"/>
                <w:lang w:val="en-US"/>
              </w:rPr>
            </w:pPr>
          </w:p>
          <w:p w14:paraId="22E7B69F" w14:textId="68AF53AC" w:rsidR="001E1112" w:rsidRPr="00317ABF" w:rsidRDefault="001E1112" w:rsidP="00DB3BEC">
            <w:pPr>
              <w:pStyle w:val="Tekstpodstawowy"/>
              <w:rPr>
                <w:b/>
                <w:sz w:val="22"/>
                <w:szCs w:val="22"/>
                <w:lang w:val="en-US"/>
              </w:rPr>
            </w:pPr>
          </w:p>
          <w:p w14:paraId="2E55AC22" w14:textId="68AF53AC" w:rsidR="001E1112" w:rsidRPr="00317ABF" w:rsidRDefault="001E1112" w:rsidP="00DB3BEC">
            <w:pPr>
              <w:pStyle w:val="Tekstpodstawowy"/>
              <w:rPr>
                <w:b/>
                <w:sz w:val="22"/>
                <w:szCs w:val="22"/>
                <w:lang w:val="en-US"/>
              </w:rPr>
            </w:pPr>
          </w:p>
          <w:p w14:paraId="27B95AF0" w14:textId="68AF53AC" w:rsidR="001E1112" w:rsidRPr="00317ABF" w:rsidRDefault="001E1112" w:rsidP="00DB3BEC">
            <w:pPr>
              <w:pStyle w:val="Tekstpodstawowy"/>
              <w:rPr>
                <w:b/>
                <w:sz w:val="22"/>
                <w:szCs w:val="22"/>
                <w:lang w:val="en-US"/>
              </w:rPr>
            </w:pPr>
          </w:p>
          <w:p w14:paraId="0CE260B6" w14:textId="68AF53AC" w:rsidR="001E1112" w:rsidRPr="00317ABF" w:rsidRDefault="001E1112" w:rsidP="00DB3BEC">
            <w:pPr>
              <w:pStyle w:val="Tekstpodstawowy"/>
              <w:rPr>
                <w:b/>
                <w:sz w:val="22"/>
                <w:szCs w:val="22"/>
                <w:lang w:val="en-US"/>
              </w:rPr>
            </w:pPr>
          </w:p>
          <w:p w14:paraId="63A4F072" w14:textId="68AF53AC" w:rsidR="001E1112" w:rsidRPr="00317ABF" w:rsidRDefault="001E1112" w:rsidP="00DB3BEC">
            <w:pPr>
              <w:pStyle w:val="Tekstpodstawowy"/>
              <w:rPr>
                <w:b/>
                <w:sz w:val="22"/>
                <w:szCs w:val="22"/>
                <w:lang w:val="en-US"/>
              </w:rPr>
            </w:pPr>
          </w:p>
          <w:p w14:paraId="49A92672" w14:textId="68AF53AC" w:rsidR="001E1112" w:rsidRPr="00317ABF" w:rsidRDefault="001E1112" w:rsidP="00DB3BEC">
            <w:pPr>
              <w:pStyle w:val="Tekstpodstawowy"/>
              <w:rPr>
                <w:b/>
                <w:sz w:val="22"/>
                <w:szCs w:val="22"/>
                <w:lang w:val="en-US"/>
              </w:rPr>
            </w:pPr>
          </w:p>
          <w:p w14:paraId="7934C5DE" w14:textId="68AF53AC" w:rsidR="001E1112" w:rsidRPr="00317ABF" w:rsidRDefault="001E1112" w:rsidP="00DB3BEC">
            <w:pPr>
              <w:pStyle w:val="Tekstpodstawowy"/>
              <w:rPr>
                <w:b/>
                <w:sz w:val="22"/>
                <w:szCs w:val="22"/>
                <w:lang w:val="en-US"/>
              </w:rPr>
            </w:pPr>
          </w:p>
          <w:p w14:paraId="7897C969" w14:textId="68AF53AC" w:rsidR="001E1112" w:rsidRPr="00317ABF" w:rsidRDefault="001E1112" w:rsidP="00DB3BEC">
            <w:pPr>
              <w:pStyle w:val="Tekstpodstawowy"/>
              <w:rPr>
                <w:b/>
                <w:sz w:val="22"/>
                <w:szCs w:val="22"/>
                <w:lang w:val="en-US"/>
              </w:rPr>
            </w:pPr>
          </w:p>
          <w:p w14:paraId="7216B368" w14:textId="68AF53AC" w:rsidR="001E1112" w:rsidRPr="00317ABF" w:rsidRDefault="001E1112" w:rsidP="00DB3BEC">
            <w:pPr>
              <w:pStyle w:val="Tekstpodstawowy"/>
              <w:rPr>
                <w:b/>
                <w:sz w:val="22"/>
                <w:szCs w:val="22"/>
                <w:lang w:val="en-US"/>
              </w:rPr>
            </w:pPr>
          </w:p>
          <w:p w14:paraId="6BED9D22" w14:textId="68AF53AC" w:rsidR="001E1112" w:rsidRPr="00317ABF" w:rsidRDefault="001E1112" w:rsidP="00DB3BEC">
            <w:pPr>
              <w:pStyle w:val="Tekstpodstawowy"/>
              <w:rPr>
                <w:b/>
                <w:sz w:val="22"/>
                <w:szCs w:val="22"/>
                <w:lang w:val="en-US"/>
              </w:rPr>
            </w:pPr>
          </w:p>
          <w:p w14:paraId="15B2010A" w14:textId="68AF53AC" w:rsidR="001E1112" w:rsidRPr="00317ABF" w:rsidRDefault="001E1112" w:rsidP="00DB3BEC">
            <w:pPr>
              <w:pStyle w:val="Tekstpodstawowy"/>
              <w:rPr>
                <w:b/>
                <w:sz w:val="22"/>
                <w:szCs w:val="22"/>
                <w:lang w:val="en-US"/>
              </w:rPr>
            </w:pPr>
          </w:p>
          <w:p w14:paraId="68DE8E75" w14:textId="68AF53AC" w:rsidR="001E1112" w:rsidRPr="00317ABF" w:rsidRDefault="001E1112" w:rsidP="00DB3BEC">
            <w:pPr>
              <w:pStyle w:val="Tekstpodstawowy"/>
              <w:rPr>
                <w:b/>
                <w:sz w:val="22"/>
                <w:szCs w:val="22"/>
                <w:lang w:val="en-US"/>
              </w:rPr>
            </w:pPr>
          </w:p>
          <w:p w14:paraId="3D0C16B0" w14:textId="68AF53AC" w:rsidR="001E1112" w:rsidRPr="00317ABF" w:rsidRDefault="001E1112" w:rsidP="00DB3BEC">
            <w:pPr>
              <w:pStyle w:val="Tekstpodstawowy"/>
              <w:rPr>
                <w:b/>
                <w:sz w:val="22"/>
                <w:szCs w:val="22"/>
                <w:lang w:val="en-US"/>
              </w:rPr>
            </w:pPr>
          </w:p>
          <w:p w14:paraId="1DD88570" w14:textId="68AF53AC" w:rsidR="001E1112" w:rsidRPr="00317ABF" w:rsidRDefault="001E1112" w:rsidP="00DB3BEC">
            <w:pPr>
              <w:pStyle w:val="Tekstpodstawowy"/>
              <w:rPr>
                <w:b/>
                <w:sz w:val="22"/>
                <w:szCs w:val="22"/>
                <w:lang w:val="en-US"/>
              </w:rPr>
            </w:pPr>
          </w:p>
          <w:p w14:paraId="0ABE4634" w14:textId="77777777" w:rsidR="00BE0E14" w:rsidRPr="00317ABF" w:rsidRDefault="00BE0E14" w:rsidP="00DB3BEC">
            <w:pPr>
              <w:pStyle w:val="Tekstpodstawowy"/>
              <w:rPr>
                <w:b/>
                <w:sz w:val="22"/>
                <w:szCs w:val="22"/>
                <w:lang w:val="en-US"/>
              </w:rPr>
            </w:pPr>
          </w:p>
          <w:p w14:paraId="5FE1D8A0" w14:textId="77777777" w:rsidR="00BE0E14" w:rsidRPr="00317ABF" w:rsidRDefault="00BE0E14" w:rsidP="00DB3BEC">
            <w:pPr>
              <w:pStyle w:val="Tekstpodstawowy"/>
              <w:rPr>
                <w:b/>
                <w:sz w:val="22"/>
                <w:szCs w:val="22"/>
                <w:lang w:val="en-US"/>
              </w:rPr>
            </w:pPr>
          </w:p>
          <w:p w14:paraId="1FC28576" w14:textId="77777777" w:rsidR="00BE0E14" w:rsidRPr="00317ABF" w:rsidRDefault="00BE0E14" w:rsidP="00DB3BEC">
            <w:pPr>
              <w:pStyle w:val="Tekstpodstawowy"/>
              <w:rPr>
                <w:b/>
                <w:sz w:val="22"/>
                <w:szCs w:val="22"/>
                <w:lang w:val="en-US"/>
              </w:rPr>
            </w:pPr>
          </w:p>
          <w:p w14:paraId="0486B332" w14:textId="77777777" w:rsidR="00BE0E14" w:rsidRPr="00317ABF" w:rsidRDefault="00BE0E14" w:rsidP="00DB3BEC">
            <w:pPr>
              <w:pStyle w:val="Tekstpodstawowy"/>
              <w:rPr>
                <w:b/>
                <w:sz w:val="22"/>
                <w:szCs w:val="22"/>
                <w:lang w:val="en-US"/>
              </w:rPr>
            </w:pPr>
          </w:p>
          <w:p w14:paraId="3E9548E6" w14:textId="77777777" w:rsidR="00BE0E14" w:rsidRPr="00317ABF" w:rsidRDefault="00BE0E14" w:rsidP="00DB3BEC">
            <w:pPr>
              <w:pStyle w:val="Tekstpodstawowy"/>
              <w:rPr>
                <w:b/>
                <w:sz w:val="22"/>
                <w:szCs w:val="22"/>
                <w:lang w:val="en-US"/>
              </w:rPr>
            </w:pPr>
          </w:p>
          <w:p w14:paraId="001A8131" w14:textId="77777777" w:rsidR="00BE0E14" w:rsidRPr="00317ABF" w:rsidRDefault="00BE0E14" w:rsidP="00DB3BEC">
            <w:pPr>
              <w:pStyle w:val="Tekstpodstawowy"/>
              <w:rPr>
                <w:b/>
                <w:sz w:val="22"/>
                <w:szCs w:val="22"/>
                <w:lang w:val="en-US"/>
              </w:rPr>
            </w:pPr>
          </w:p>
          <w:p w14:paraId="13DADBEB" w14:textId="77777777" w:rsidR="00BE0E14" w:rsidRPr="00317ABF" w:rsidRDefault="00BE0E14" w:rsidP="00DB3BEC">
            <w:pPr>
              <w:pStyle w:val="Tekstpodstawowy"/>
              <w:rPr>
                <w:b/>
                <w:sz w:val="22"/>
                <w:szCs w:val="22"/>
                <w:lang w:val="en-US"/>
              </w:rPr>
            </w:pPr>
          </w:p>
          <w:p w14:paraId="4E3372CE" w14:textId="77777777" w:rsidR="00BE0E14" w:rsidRPr="00317ABF" w:rsidRDefault="00BE0E14" w:rsidP="00DB3BEC">
            <w:pPr>
              <w:pStyle w:val="Tekstpodstawowy"/>
              <w:rPr>
                <w:b/>
                <w:sz w:val="22"/>
                <w:szCs w:val="22"/>
                <w:lang w:val="en-US"/>
              </w:rPr>
            </w:pPr>
          </w:p>
          <w:p w14:paraId="26C82608" w14:textId="77777777" w:rsidR="00BE0E14" w:rsidRPr="00317ABF" w:rsidRDefault="00BE0E14" w:rsidP="00DB3BEC">
            <w:pPr>
              <w:pStyle w:val="Tekstpodstawowy"/>
              <w:rPr>
                <w:b/>
                <w:sz w:val="22"/>
                <w:szCs w:val="22"/>
                <w:lang w:val="en-US"/>
              </w:rPr>
            </w:pPr>
          </w:p>
          <w:p w14:paraId="6767BAC0" w14:textId="77777777" w:rsidR="00BE0E14" w:rsidRPr="00317ABF" w:rsidRDefault="00BE0E14" w:rsidP="00DB3BEC">
            <w:pPr>
              <w:pStyle w:val="Tekstpodstawowy"/>
              <w:rPr>
                <w:b/>
                <w:sz w:val="22"/>
                <w:szCs w:val="22"/>
                <w:lang w:val="en-US"/>
              </w:rPr>
            </w:pPr>
          </w:p>
          <w:p w14:paraId="11743A49" w14:textId="77777777" w:rsidR="00BE0E14" w:rsidRPr="00317ABF" w:rsidRDefault="00BE0E14" w:rsidP="00DB3BEC">
            <w:pPr>
              <w:pStyle w:val="Tekstpodstawowy"/>
              <w:rPr>
                <w:b/>
                <w:sz w:val="22"/>
                <w:szCs w:val="22"/>
                <w:lang w:val="en-US"/>
              </w:rPr>
            </w:pPr>
          </w:p>
          <w:p w14:paraId="32ECB087" w14:textId="77777777" w:rsidR="00BE0E14" w:rsidRPr="00317ABF" w:rsidRDefault="00BE0E14" w:rsidP="00DB3BEC">
            <w:pPr>
              <w:pStyle w:val="Tekstpodstawowy"/>
              <w:rPr>
                <w:b/>
                <w:sz w:val="22"/>
                <w:szCs w:val="22"/>
                <w:lang w:val="en-US"/>
              </w:rPr>
            </w:pPr>
          </w:p>
          <w:p w14:paraId="3D3CF2C0" w14:textId="77777777" w:rsidR="00BE0E14" w:rsidRPr="00317ABF" w:rsidRDefault="00BE0E14" w:rsidP="00DB3BEC">
            <w:pPr>
              <w:pStyle w:val="Tekstpodstawowy"/>
              <w:rPr>
                <w:b/>
                <w:sz w:val="22"/>
                <w:szCs w:val="22"/>
                <w:lang w:val="en-US"/>
              </w:rPr>
            </w:pPr>
          </w:p>
          <w:p w14:paraId="66398311" w14:textId="77777777" w:rsidR="00BE0E14" w:rsidRPr="00317ABF" w:rsidRDefault="00BE0E14" w:rsidP="00DB3BEC">
            <w:pPr>
              <w:pStyle w:val="Tekstpodstawowy"/>
              <w:rPr>
                <w:b/>
                <w:sz w:val="22"/>
                <w:szCs w:val="22"/>
                <w:lang w:val="en-US"/>
              </w:rPr>
            </w:pPr>
          </w:p>
          <w:p w14:paraId="476622C7" w14:textId="77777777" w:rsidR="00BE0E14" w:rsidRPr="00317ABF" w:rsidRDefault="00BE0E14" w:rsidP="00DB3BEC">
            <w:pPr>
              <w:pStyle w:val="Tekstpodstawowy"/>
              <w:rPr>
                <w:b/>
                <w:sz w:val="22"/>
                <w:szCs w:val="22"/>
                <w:lang w:val="en-US"/>
              </w:rPr>
            </w:pPr>
          </w:p>
          <w:p w14:paraId="345112F2" w14:textId="77777777" w:rsidR="00BE0E14" w:rsidRPr="00317ABF" w:rsidRDefault="00BE0E14" w:rsidP="00DB3BEC">
            <w:pPr>
              <w:pStyle w:val="Tekstpodstawowy"/>
              <w:rPr>
                <w:b/>
                <w:sz w:val="22"/>
                <w:szCs w:val="22"/>
                <w:lang w:val="en-US"/>
              </w:rPr>
            </w:pPr>
          </w:p>
          <w:p w14:paraId="2550A1E9" w14:textId="77777777" w:rsidR="00BE0E14" w:rsidRPr="00317ABF" w:rsidRDefault="00BE0E14" w:rsidP="00DB3BEC">
            <w:pPr>
              <w:pStyle w:val="Tekstpodstawowy"/>
              <w:rPr>
                <w:b/>
                <w:sz w:val="22"/>
                <w:szCs w:val="22"/>
                <w:lang w:val="en-US"/>
              </w:rPr>
            </w:pPr>
          </w:p>
          <w:p w14:paraId="216032E0" w14:textId="77777777" w:rsidR="00BE0E14" w:rsidRPr="00317ABF" w:rsidRDefault="00BE0E14" w:rsidP="00DB3BEC">
            <w:pPr>
              <w:pStyle w:val="Tekstpodstawowy"/>
              <w:rPr>
                <w:b/>
                <w:sz w:val="22"/>
                <w:szCs w:val="22"/>
                <w:lang w:val="en-US"/>
              </w:rPr>
            </w:pPr>
          </w:p>
          <w:p w14:paraId="028C7CF1" w14:textId="77777777" w:rsidR="00BE0E14" w:rsidRPr="00317ABF" w:rsidRDefault="00BE0E14" w:rsidP="00DB3BEC">
            <w:pPr>
              <w:pStyle w:val="Tekstpodstawowy"/>
              <w:rPr>
                <w:b/>
                <w:sz w:val="22"/>
                <w:szCs w:val="22"/>
                <w:lang w:val="en-US"/>
              </w:rPr>
            </w:pPr>
          </w:p>
          <w:p w14:paraId="4F65266B" w14:textId="77777777" w:rsidR="00BE0E14" w:rsidRPr="00317ABF" w:rsidRDefault="00BE0E14" w:rsidP="00DB3BEC">
            <w:pPr>
              <w:pStyle w:val="Tekstpodstawowy"/>
              <w:rPr>
                <w:b/>
                <w:sz w:val="22"/>
                <w:szCs w:val="22"/>
                <w:lang w:val="en-US"/>
              </w:rPr>
            </w:pPr>
          </w:p>
          <w:p w14:paraId="767FAB89" w14:textId="77777777" w:rsidR="00BE0E14" w:rsidRPr="00317ABF" w:rsidRDefault="00BE0E14" w:rsidP="00DB3BEC">
            <w:pPr>
              <w:pStyle w:val="Tekstpodstawowy"/>
              <w:rPr>
                <w:b/>
                <w:sz w:val="22"/>
                <w:szCs w:val="22"/>
                <w:lang w:val="en-US"/>
              </w:rPr>
            </w:pPr>
          </w:p>
          <w:p w14:paraId="1AE4B0B7" w14:textId="77777777" w:rsidR="00BE0E14" w:rsidRPr="00317ABF" w:rsidRDefault="00BE0E14" w:rsidP="00DB3BEC">
            <w:pPr>
              <w:pStyle w:val="Tekstpodstawowy"/>
              <w:rPr>
                <w:b/>
                <w:sz w:val="22"/>
                <w:szCs w:val="22"/>
                <w:lang w:val="en-US"/>
              </w:rPr>
            </w:pPr>
          </w:p>
          <w:p w14:paraId="525C1F64" w14:textId="77777777" w:rsidR="00BE0E14" w:rsidRPr="00317ABF" w:rsidRDefault="00BE0E14" w:rsidP="00DB3BEC">
            <w:pPr>
              <w:pStyle w:val="Tekstpodstawowy"/>
              <w:rPr>
                <w:b/>
                <w:sz w:val="22"/>
                <w:szCs w:val="22"/>
                <w:lang w:val="en-US"/>
              </w:rPr>
            </w:pPr>
          </w:p>
          <w:p w14:paraId="332D2109" w14:textId="77777777" w:rsidR="00BE0E14" w:rsidRPr="00317ABF" w:rsidRDefault="00BE0E14" w:rsidP="00DB3BEC">
            <w:pPr>
              <w:pStyle w:val="Tekstpodstawowy"/>
              <w:rPr>
                <w:b/>
                <w:sz w:val="22"/>
                <w:szCs w:val="22"/>
                <w:lang w:val="en-US"/>
              </w:rPr>
            </w:pPr>
          </w:p>
          <w:p w14:paraId="65592AB6" w14:textId="77777777" w:rsidR="00BE0E14" w:rsidRPr="00317ABF" w:rsidRDefault="00BE0E14" w:rsidP="00DB3BEC">
            <w:pPr>
              <w:pStyle w:val="Tekstpodstawowy"/>
              <w:rPr>
                <w:b/>
                <w:sz w:val="22"/>
                <w:szCs w:val="22"/>
                <w:lang w:val="en-US"/>
              </w:rPr>
            </w:pPr>
          </w:p>
          <w:p w14:paraId="28C87D28" w14:textId="77777777" w:rsidR="00BE0E14" w:rsidRPr="00317ABF" w:rsidRDefault="00BE0E14" w:rsidP="00DB3BEC">
            <w:pPr>
              <w:pStyle w:val="Tekstpodstawowy"/>
              <w:rPr>
                <w:b/>
                <w:sz w:val="22"/>
                <w:szCs w:val="22"/>
                <w:lang w:val="en-US"/>
              </w:rPr>
            </w:pPr>
          </w:p>
          <w:p w14:paraId="2E7636BB" w14:textId="77777777" w:rsidR="00BE0E14" w:rsidRPr="00317ABF" w:rsidRDefault="00BE0E14" w:rsidP="00DB3BEC">
            <w:pPr>
              <w:pStyle w:val="Tekstpodstawowy"/>
              <w:rPr>
                <w:b/>
                <w:sz w:val="22"/>
                <w:szCs w:val="22"/>
                <w:lang w:val="en-US"/>
              </w:rPr>
            </w:pPr>
          </w:p>
          <w:p w14:paraId="081E7D8D" w14:textId="77777777" w:rsidR="00BE0E14" w:rsidRPr="00317ABF" w:rsidRDefault="00BE0E14" w:rsidP="00DB3BEC">
            <w:pPr>
              <w:pStyle w:val="Tekstpodstawowy"/>
              <w:rPr>
                <w:b/>
                <w:sz w:val="22"/>
                <w:szCs w:val="22"/>
                <w:lang w:val="en-US"/>
              </w:rPr>
            </w:pPr>
          </w:p>
          <w:p w14:paraId="13CF4544" w14:textId="76406729" w:rsidR="001E1112" w:rsidRPr="00317ABF" w:rsidRDefault="001E1112" w:rsidP="00DB3BEC">
            <w:pPr>
              <w:pStyle w:val="Tekstpodstawowy"/>
              <w:rPr>
                <w:b/>
                <w:sz w:val="22"/>
                <w:szCs w:val="22"/>
                <w:lang w:val="en-US"/>
              </w:rPr>
            </w:pPr>
            <w:r w:rsidRPr="00317ABF">
              <w:rPr>
                <w:b/>
                <w:sz w:val="22"/>
                <w:szCs w:val="22"/>
                <w:lang w:val="en-US"/>
              </w:rPr>
              <w:t>Lit. b) -</w:t>
            </w:r>
          </w:p>
          <w:p w14:paraId="2B38CC37" w14:textId="338E9436" w:rsidR="001E1112" w:rsidRPr="00317ABF" w:rsidRDefault="0000279B" w:rsidP="00DB3BEC">
            <w:pPr>
              <w:pStyle w:val="Tekstpodstawowy"/>
              <w:rPr>
                <w:b/>
                <w:noProof/>
                <w:sz w:val="22"/>
                <w:szCs w:val="22"/>
              </w:rPr>
            </w:pPr>
            <w:r w:rsidRPr="00317ABF">
              <w:rPr>
                <w:b/>
                <w:noProof/>
                <w:sz w:val="22"/>
                <w:szCs w:val="22"/>
              </w:rPr>
              <w:t>Art. 337</w:t>
            </w:r>
          </w:p>
          <w:p w14:paraId="24AD79E3" w14:textId="68AF53AC" w:rsidR="001E1112" w:rsidRPr="00317ABF" w:rsidRDefault="001E1112" w:rsidP="00DB3BEC">
            <w:pPr>
              <w:pStyle w:val="Tekstpodstawowy"/>
              <w:rPr>
                <w:b/>
                <w:noProof/>
                <w:sz w:val="22"/>
                <w:szCs w:val="22"/>
              </w:rPr>
            </w:pPr>
          </w:p>
          <w:p w14:paraId="2E29BC4D" w14:textId="68AF53AC" w:rsidR="001E1112" w:rsidRPr="00317ABF" w:rsidRDefault="001E1112" w:rsidP="00DB3BEC">
            <w:pPr>
              <w:pStyle w:val="Tekstpodstawowy"/>
              <w:rPr>
                <w:b/>
                <w:noProof/>
                <w:sz w:val="22"/>
                <w:szCs w:val="22"/>
              </w:rPr>
            </w:pPr>
          </w:p>
          <w:p w14:paraId="1229B0B7" w14:textId="68AF53AC" w:rsidR="001E1112" w:rsidRPr="00317ABF" w:rsidRDefault="001E1112" w:rsidP="00DB3BEC">
            <w:pPr>
              <w:pStyle w:val="Tekstpodstawowy"/>
              <w:rPr>
                <w:b/>
                <w:noProof/>
                <w:sz w:val="22"/>
                <w:szCs w:val="22"/>
              </w:rPr>
            </w:pPr>
          </w:p>
          <w:p w14:paraId="646D0EAE" w14:textId="68AF53AC" w:rsidR="001E1112" w:rsidRPr="00317ABF" w:rsidRDefault="001E1112" w:rsidP="00DB3BEC">
            <w:pPr>
              <w:pStyle w:val="Tekstpodstawowy"/>
              <w:rPr>
                <w:b/>
                <w:noProof/>
                <w:sz w:val="22"/>
                <w:szCs w:val="22"/>
              </w:rPr>
            </w:pPr>
          </w:p>
          <w:p w14:paraId="46D91DE0" w14:textId="68AF53AC" w:rsidR="001E1112" w:rsidRPr="00317ABF" w:rsidRDefault="001E1112" w:rsidP="00DB3BEC">
            <w:pPr>
              <w:pStyle w:val="Tekstpodstawowy"/>
              <w:rPr>
                <w:b/>
                <w:noProof/>
                <w:sz w:val="22"/>
                <w:szCs w:val="22"/>
              </w:rPr>
            </w:pPr>
          </w:p>
          <w:p w14:paraId="125BED19" w14:textId="68AF53AC" w:rsidR="001E1112" w:rsidRPr="00317ABF" w:rsidRDefault="001E1112" w:rsidP="00DB3BEC">
            <w:pPr>
              <w:pStyle w:val="Tekstpodstawowy"/>
              <w:rPr>
                <w:b/>
                <w:noProof/>
                <w:sz w:val="22"/>
                <w:szCs w:val="22"/>
              </w:rPr>
            </w:pPr>
          </w:p>
          <w:p w14:paraId="6BA39FF0" w14:textId="68AF53AC" w:rsidR="001E1112" w:rsidRPr="00317ABF" w:rsidRDefault="001E1112" w:rsidP="00DB3BEC">
            <w:pPr>
              <w:pStyle w:val="Tekstpodstawowy"/>
              <w:rPr>
                <w:b/>
                <w:noProof/>
                <w:sz w:val="22"/>
                <w:szCs w:val="22"/>
              </w:rPr>
            </w:pPr>
          </w:p>
          <w:p w14:paraId="7F3B9B71" w14:textId="68AF53AC" w:rsidR="001E1112" w:rsidRPr="00317ABF" w:rsidRDefault="001E1112" w:rsidP="00DB3BEC">
            <w:pPr>
              <w:pStyle w:val="Tekstpodstawowy"/>
              <w:rPr>
                <w:b/>
                <w:noProof/>
                <w:sz w:val="22"/>
                <w:szCs w:val="22"/>
              </w:rPr>
            </w:pPr>
          </w:p>
          <w:p w14:paraId="2CC73590" w14:textId="68AF53AC" w:rsidR="001E1112" w:rsidRPr="00317ABF" w:rsidRDefault="001E1112" w:rsidP="00DB3BEC">
            <w:pPr>
              <w:pStyle w:val="Tekstpodstawowy"/>
              <w:rPr>
                <w:b/>
                <w:noProof/>
                <w:sz w:val="22"/>
                <w:szCs w:val="22"/>
              </w:rPr>
            </w:pPr>
          </w:p>
          <w:p w14:paraId="7522804E" w14:textId="77777777" w:rsidR="001E1112" w:rsidRPr="00317ABF" w:rsidRDefault="001E1112" w:rsidP="00DB3BEC">
            <w:pPr>
              <w:pStyle w:val="Tekstpodstawowy"/>
              <w:rPr>
                <w:b/>
                <w:noProof/>
                <w:sz w:val="22"/>
                <w:szCs w:val="22"/>
              </w:rPr>
            </w:pPr>
          </w:p>
          <w:p w14:paraId="3FDACDD8" w14:textId="77777777" w:rsidR="001F43F0" w:rsidRPr="00317ABF" w:rsidRDefault="001F43F0" w:rsidP="00DB3BEC">
            <w:pPr>
              <w:pStyle w:val="Tekstpodstawowy"/>
              <w:rPr>
                <w:b/>
                <w:noProof/>
                <w:sz w:val="22"/>
                <w:szCs w:val="22"/>
              </w:rPr>
            </w:pPr>
          </w:p>
          <w:p w14:paraId="2E81F1DF" w14:textId="77777777" w:rsidR="001F43F0" w:rsidRPr="00317ABF" w:rsidRDefault="001F43F0" w:rsidP="00DB3BEC">
            <w:pPr>
              <w:pStyle w:val="Tekstpodstawowy"/>
              <w:rPr>
                <w:b/>
                <w:noProof/>
                <w:sz w:val="22"/>
                <w:szCs w:val="22"/>
              </w:rPr>
            </w:pPr>
          </w:p>
          <w:p w14:paraId="1752D48C" w14:textId="77777777" w:rsidR="001F43F0" w:rsidRPr="00317ABF" w:rsidRDefault="001F43F0" w:rsidP="00DB3BEC">
            <w:pPr>
              <w:pStyle w:val="Tekstpodstawowy"/>
              <w:rPr>
                <w:b/>
                <w:noProof/>
                <w:sz w:val="22"/>
                <w:szCs w:val="22"/>
              </w:rPr>
            </w:pPr>
          </w:p>
          <w:p w14:paraId="7DD7115F" w14:textId="4A28B920" w:rsidR="001E1112" w:rsidRPr="00317ABF" w:rsidRDefault="001E1112" w:rsidP="00DB3BEC">
            <w:pPr>
              <w:pStyle w:val="Tekstpodstawowy"/>
              <w:rPr>
                <w:b/>
                <w:noProof/>
                <w:sz w:val="22"/>
                <w:szCs w:val="22"/>
              </w:rPr>
            </w:pPr>
            <w:r w:rsidRPr="00317ABF">
              <w:rPr>
                <w:b/>
                <w:noProof/>
                <w:sz w:val="22"/>
                <w:szCs w:val="22"/>
              </w:rPr>
              <w:t>Lit. c) – decyzja o niewdrażaniu</w:t>
            </w:r>
          </w:p>
          <w:p w14:paraId="40BAE18B" w14:textId="68AF53AC" w:rsidR="001E1112" w:rsidRPr="00317ABF" w:rsidRDefault="001E1112" w:rsidP="00DB3BEC">
            <w:pPr>
              <w:pStyle w:val="Tekstpodstawowy"/>
              <w:rPr>
                <w:b/>
                <w:noProof/>
                <w:sz w:val="22"/>
                <w:szCs w:val="22"/>
              </w:rPr>
            </w:pPr>
          </w:p>
          <w:p w14:paraId="5220B0D5" w14:textId="0900712F" w:rsidR="001E1112" w:rsidRPr="00317ABF" w:rsidRDefault="006F3F35" w:rsidP="00DB3BEC">
            <w:pPr>
              <w:pStyle w:val="Tekstpodstawowy"/>
              <w:rPr>
                <w:b/>
                <w:sz w:val="22"/>
                <w:szCs w:val="22"/>
                <w:lang w:val="en-US"/>
              </w:rPr>
            </w:pPr>
            <w:r w:rsidRPr="00317ABF">
              <w:rPr>
                <w:b/>
                <w:sz w:val="22"/>
                <w:szCs w:val="22"/>
                <w:lang w:val="en-US"/>
              </w:rPr>
              <w:t>Lit. d) – art. 293 ust. 2</w:t>
            </w:r>
          </w:p>
          <w:p w14:paraId="0D9B523C" w14:textId="68AF53AC" w:rsidR="001E1112" w:rsidRPr="00317ABF" w:rsidRDefault="001E1112" w:rsidP="00DB3BEC">
            <w:pPr>
              <w:pStyle w:val="Tekstpodstawowy"/>
              <w:rPr>
                <w:b/>
                <w:sz w:val="22"/>
                <w:szCs w:val="22"/>
                <w:lang w:val="en-US"/>
              </w:rPr>
            </w:pPr>
          </w:p>
          <w:p w14:paraId="1AAE7BCD" w14:textId="68AF53AC" w:rsidR="001E1112" w:rsidRPr="00317ABF" w:rsidRDefault="001E1112" w:rsidP="00DB3BEC">
            <w:pPr>
              <w:pStyle w:val="Tekstpodstawowy"/>
              <w:rPr>
                <w:b/>
                <w:sz w:val="22"/>
                <w:szCs w:val="22"/>
                <w:lang w:val="en-US"/>
              </w:rPr>
            </w:pPr>
          </w:p>
          <w:p w14:paraId="32D01D33" w14:textId="68AF53AC" w:rsidR="001E1112" w:rsidRPr="00317ABF" w:rsidRDefault="001E1112" w:rsidP="00DB3BEC">
            <w:pPr>
              <w:pStyle w:val="Tekstpodstawowy"/>
              <w:rPr>
                <w:b/>
                <w:sz w:val="22"/>
                <w:szCs w:val="22"/>
                <w:lang w:val="en-US"/>
              </w:rPr>
            </w:pPr>
          </w:p>
          <w:p w14:paraId="74FCEA11" w14:textId="68AF53AC" w:rsidR="001E1112" w:rsidRPr="00317ABF" w:rsidRDefault="001E1112" w:rsidP="00DB3BEC">
            <w:pPr>
              <w:pStyle w:val="Tekstpodstawowy"/>
              <w:rPr>
                <w:b/>
                <w:sz w:val="22"/>
                <w:szCs w:val="22"/>
                <w:lang w:val="en-US"/>
              </w:rPr>
            </w:pPr>
          </w:p>
          <w:p w14:paraId="25AC8563" w14:textId="68AF53AC" w:rsidR="001E1112" w:rsidRPr="00317ABF" w:rsidRDefault="001E1112" w:rsidP="00DB3BEC">
            <w:pPr>
              <w:pStyle w:val="Tekstpodstawowy"/>
              <w:rPr>
                <w:b/>
                <w:sz w:val="22"/>
                <w:szCs w:val="22"/>
                <w:lang w:val="en-US"/>
              </w:rPr>
            </w:pPr>
          </w:p>
          <w:p w14:paraId="2A3B9D0E" w14:textId="4F61B979" w:rsidR="001E1112" w:rsidRPr="00317ABF" w:rsidRDefault="001E1112" w:rsidP="00DB3BEC">
            <w:pPr>
              <w:pStyle w:val="Tekstpodstawowy"/>
              <w:rPr>
                <w:b/>
                <w:sz w:val="22"/>
                <w:szCs w:val="22"/>
                <w:lang w:val="en-US"/>
              </w:rPr>
            </w:pPr>
            <w:r w:rsidRPr="00317ABF">
              <w:rPr>
                <w:b/>
                <w:sz w:val="22"/>
                <w:szCs w:val="22"/>
                <w:lang w:val="en-US"/>
              </w:rPr>
              <w:t>Lit. e)- a</w:t>
            </w:r>
            <w:r w:rsidR="006F3F35" w:rsidRPr="00317ABF">
              <w:rPr>
                <w:b/>
                <w:sz w:val="22"/>
                <w:szCs w:val="22"/>
                <w:lang w:val="en-US"/>
              </w:rPr>
              <w:t>rt. 377</w:t>
            </w:r>
          </w:p>
          <w:p w14:paraId="3078119F" w14:textId="68AF53AC" w:rsidR="001E1112" w:rsidRPr="00317ABF" w:rsidRDefault="001E1112" w:rsidP="00DB3BEC">
            <w:pPr>
              <w:pStyle w:val="Tekstpodstawowy"/>
              <w:rPr>
                <w:b/>
                <w:sz w:val="22"/>
                <w:szCs w:val="22"/>
                <w:lang w:val="en-US"/>
              </w:rPr>
            </w:pPr>
          </w:p>
          <w:p w14:paraId="0948BE35" w14:textId="68AF53AC" w:rsidR="001E1112" w:rsidRPr="00317ABF" w:rsidRDefault="001E1112" w:rsidP="00DB3BEC">
            <w:pPr>
              <w:pStyle w:val="Tekstpodstawowy"/>
              <w:rPr>
                <w:b/>
                <w:sz w:val="22"/>
                <w:szCs w:val="22"/>
                <w:lang w:val="en-US"/>
              </w:rPr>
            </w:pPr>
          </w:p>
          <w:p w14:paraId="46B5A8A2" w14:textId="68AF53AC" w:rsidR="001E1112" w:rsidRPr="00317ABF" w:rsidRDefault="001E1112" w:rsidP="00DB3BEC">
            <w:pPr>
              <w:pStyle w:val="Tekstpodstawowy"/>
              <w:rPr>
                <w:b/>
                <w:sz w:val="22"/>
                <w:szCs w:val="22"/>
                <w:lang w:val="en-US"/>
              </w:rPr>
            </w:pPr>
          </w:p>
          <w:p w14:paraId="42131D3A" w14:textId="68AF53AC" w:rsidR="001E1112" w:rsidRPr="00317ABF" w:rsidRDefault="001E1112" w:rsidP="00DB3BEC">
            <w:pPr>
              <w:pStyle w:val="Tekstpodstawowy"/>
              <w:rPr>
                <w:b/>
                <w:sz w:val="22"/>
                <w:szCs w:val="22"/>
                <w:lang w:val="en-US"/>
              </w:rPr>
            </w:pPr>
          </w:p>
          <w:p w14:paraId="725513C2" w14:textId="68AF53AC" w:rsidR="001E1112" w:rsidRPr="00317ABF" w:rsidRDefault="001E1112" w:rsidP="00DB3BEC">
            <w:pPr>
              <w:pStyle w:val="Tekstpodstawowy"/>
              <w:rPr>
                <w:b/>
                <w:sz w:val="22"/>
                <w:szCs w:val="22"/>
                <w:lang w:val="en-US"/>
              </w:rPr>
            </w:pPr>
          </w:p>
          <w:p w14:paraId="44E3E393" w14:textId="68AF53AC" w:rsidR="001E1112" w:rsidRPr="00317ABF" w:rsidRDefault="001E1112" w:rsidP="00DB3BEC">
            <w:pPr>
              <w:pStyle w:val="Tekstpodstawowy"/>
              <w:rPr>
                <w:b/>
                <w:sz w:val="22"/>
                <w:szCs w:val="22"/>
                <w:lang w:val="en-US"/>
              </w:rPr>
            </w:pPr>
          </w:p>
          <w:p w14:paraId="759E6008" w14:textId="68AF53AC" w:rsidR="001E1112" w:rsidRPr="00317ABF" w:rsidRDefault="001E1112" w:rsidP="00DB3BEC">
            <w:pPr>
              <w:pStyle w:val="Tekstpodstawowy"/>
              <w:rPr>
                <w:b/>
                <w:sz w:val="22"/>
                <w:szCs w:val="22"/>
                <w:lang w:val="en-US"/>
              </w:rPr>
            </w:pPr>
          </w:p>
          <w:p w14:paraId="57D706BF" w14:textId="68AF53AC" w:rsidR="001E1112" w:rsidRPr="00317ABF" w:rsidRDefault="001E1112" w:rsidP="00DB3BEC">
            <w:pPr>
              <w:pStyle w:val="Tekstpodstawowy"/>
              <w:rPr>
                <w:b/>
                <w:sz w:val="22"/>
                <w:szCs w:val="22"/>
                <w:lang w:val="en-US"/>
              </w:rPr>
            </w:pPr>
          </w:p>
          <w:p w14:paraId="6F2AA054" w14:textId="68AF53AC" w:rsidR="001E1112" w:rsidRPr="00317ABF" w:rsidRDefault="001E1112" w:rsidP="00DB3BEC">
            <w:pPr>
              <w:pStyle w:val="Tekstpodstawowy"/>
              <w:rPr>
                <w:b/>
                <w:sz w:val="22"/>
                <w:szCs w:val="22"/>
                <w:lang w:val="en-US"/>
              </w:rPr>
            </w:pPr>
          </w:p>
          <w:p w14:paraId="5155B9A4" w14:textId="68AF53AC" w:rsidR="001E1112" w:rsidRPr="00317ABF" w:rsidRDefault="001E1112" w:rsidP="00DB3BEC">
            <w:pPr>
              <w:pStyle w:val="Tekstpodstawowy"/>
              <w:rPr>
                <w:b/>
                <w:sz w:val="22"/>
                <w:szCs w:val="22"/>
                <w:lang w:val="en-US"/>
              </w:rPr>
            </w:pPr>
          </w:p>
          <w:p w14:paraId="60BF9D9F" w14:textId="68AF53AC" w:rsidR="001E1112" w:rsidRPr="00317ABF" w:rsidRDefault="001E1112" w:rsidP="00DB3BEC">
            <w:pPr>
              <w:pStyle w:val="Tekstpodstawowy"/>
              <w:rPr>
                <w:b/>
                <w:sz w:val="22"/>
                <w:szCs w:val="22"/>
                <w:lang w:val="en-US"/>
              </w:rPr>
            </w:pPr>
          </w:p>
          <w:p w14:paraId="320EBCD2" w14:textId="68AF53AC" w:rsidR="001E1112" w:rsidRPr="00317ABF" w:rsidRDefault="001E1112" w:rsidP="00DB3BEC">
            <w:pPr>
              <w:pStyle w:val="Tekstpodstawowy"/>
              <w:rPr>
                <w:b/>
                <w:sz w:val="22"/>
                <w:szCs w:val="22"/>
                <w:lang w:val="en-US"/>
              </w:rPr>
            </w:pPr>
          </w:p>
          <w:p w14:paraId="7A6E98E1" w14:textId="68AF53AC" w:rsidR="001E1112" w:rsidRPr="00317ABF" w:rsidRDefault="001E1112" w:rsidP="00DB3BEC">
            <w:pPr>
              <w:pStyle w:val="Tekstpodstawowy"/>
              <w:rPr>
                <w:b/>
                <w:sz w:val="22"/>
                <w:szCs w:val="22"/>
                <w:lang w:val="en-US"/>
              </w:rPr>
            </w:pPr>
          </w:p>
          <w:p w14:paraId="26BE41D0" w14:textId="77777777" w:rsidR="006F3F35" w:rsidRPr="00317ABF" w:rsidRDefault="006F3F35" w:rsidP="00DB3BEC">
            <w:pPr>
              <w:pStyle w:val="Tekstpodstawowy"/>
              <w:rPr>
                <w:b/>
                <w:sz w:val="22"/>
                <w:szCs w:val="22"/>
                <w:lang w:val="en-US"/>
              </w:rPr>
            </w:pPr>
          </w:p>
          <w:p w14:paraId="204CCE67" w14:textId="77777777" w:rsidR="006F3F35" w:rsidRPr="00317ABF" w:rsidRDefault="006F3F35" w:rsidP="00DB3BEC">
            <w:pPr>
              <w:pStyle w:val="Tekstpodstawowy"/>
              <w:rPr>
                <w:b/>
                <w:sz w:val="22"/>
                <w:szCs w:val="22"/>
                <w:lang w:val="en-US"/>
              </w:rPr>
            </w:pPr>
          </w:p>
          <w:p w14:paraId="679FEF47" w14:textId="77777777" w:rsidR="006F3F35" w:rsidRPr="00317ABF" w:rsidRDefault="006F3F35" w:rsidP="00DB3BEC">
            <w:pPr>
              <w:pStyle w:val="Tekstpodstawowy"/>
              <w:rPr>
                <w:b/>
                <w:sz w:val="22"/>
                <w:szCs w:val="22"/>
                <w:lang w:val="en-US"/>
              </w:rPr>
            </w:pPr>
          </w:p>
          <w:p w14:paraId="7DAB6ED3" w14:textId="77777777" w:rsidR="006F3F35" w:rsidRPr="00317ABF" w:rsidRDefault="006F3F35" w:rsidP="00DB3BEC">
            <w:pPr>
              <w:pStyle w:val="Tekstpodstawowy"/>
              <w:rPr>
                <w:b/>
                <w:sz w:val="22"/>
                <w:szCs w:val="22"/>
                <w:lang w:val="en-US"/>
              </w:rPr>
            </w:pPr>
          </w:p>
          <w:p w14:paraId="34C79468" w14:textId="77777777" w:rsidR="006F3F35" w:rsidRPr="00317ABF" w:rsidRDefault="006F3F35" w:rsidP="00DB3BEC">
            <w:pPr>
              <w:pStyle w:val="Tekstpodstawowy"/>
              <w:rPr>
                <w:b/>
                <w:sz w:val="22"/>
                <w:szCs w:val="22"/>
                <w:lang w:val="en-US"/>
              </w:rPr>
            </w:pPr>
          </w:p>
          <w:p w14:paraId="67952814" w14:textId="77777777" w:rsidR="006F3F35" w:rsidRPr="00317ABF" w:rsidRDefault="006F3F35" w:rsidP="00DB3BEC">
            <w:pPr>
              <w:pStyle w:val="Tekstpodstawowy"/>
              <w:rPr>
                <w:b/>
                <w:sz w:val="22"/>
                <w:szCs w:val="22"/>
                <w:lang w:val="en-US"/>
              </w:rPr>
            </w:pPr>
          </w:p>
          <w:p w14:paraId="602F8059" w14:textId="77777777" w:rsidR="006F3F35" w:rsidRPr="00317ABF" w:rsidRDefault="006F3F35" w:rsidP="00DB3BEC">
            <w:pPr>
              <w:pStyle w:val="Tekstpodstawowy"/>
              <w:rPr>
                <w:b/>
                <w:sz w:val="22"/>
                <w:szCs w:val="22"/>
                <w:lang w:val="en-US"/>
              </w:rPr>
            </w:pPr>
          </w:p>
          <w:p w14:paraId="195BC48E" w14:textId="77777777" w:rsidR="006F3F35" w:rsidRPr="00317ABF" w:rsidRDefault="006F3F35" w:rsidP="00DB3BEC">
            <w:pPr>
              <w:pStyle w:val="Tekstpodstawowy"/>
              <w:rPr>
                <w:b/>
                <w:sz w:val="22"/>
                <w:szCs w:val="22"/>
                <w:lang w:val="en-US"/>
              </w:rPr>
            </w:pPr>
          </w:p>
          <w:p w14:paraId="7090367A" w14:textId="77777777" w:rsidR="006F3F35" w:rsidRPr="00317ABF" w:rsidRDefault="006F3F35" w:rsidP="00DB3BEC">
            <w:pPr>
              <w:pStyle w:val="Tekstpodstawowy"/>
              <w:rPr>
                <w:b/>
                <w:sz w:val="22"/>
                <w:szCs w:val="22"/>
                <w:lang w:val="en-US"/>
              </w:rPr>
            </w:pPr>
          </w:p>
          <w:p w14:paraId="6786DDAE" w14:textId="77777777" w:rsidR="006F3F35" w:rsidRPr="00317ABF" w:rsidRDefault="006F3F35" w:rsidP="00DB3BEC">
            <w:pPr>
              <w:pStyle w:val="Tekstpodstawowy"/>
              <w:rPr>
                <w:b/>
                <w:sz w:val="22"/>
                <w:szCs w:val="22"/>
                <w:lang w:val="en-US"/>
              </w:rPr>
            </w:pPr>
          </w:p>
          <w:p w14:paraId="3BF343B0" w14:textId="77777777" w:rsidR="006F3F35" w:rsidRPr="00317ABF" w:rsidRDefault="006F3F35" w:rsidP="00DB3BEC">
            <w:pPr>
              <w:pStyle w:val="Tekstpodstawowy"/>
              <w:rPr>
                <w:b/>
                <w:sz w:val="22"/>
                <w:szCs w:val="22"/>
                <w:lang w:val="en-US"/>
              </w:rPr>
            </w:pPr>
          </w:p>
          <w:p w14:paraId="7E788ADB" w14:textId="77777777" w:rsidR="006F3F35" w:rsidRPr="00317ABF" w:rsidRDefault="006F3F35" w:rsidP="00DB3BEC">
            <w:pPr>
              <w:pStyle w:val="Tekstpodstawowy"/>
              <w:rPr>
                <w:b/>
                <w:sz w:val="22"/>
                <w:szCs w:val="22"/>
                <w:lang w:val="en-US"/>
              </w:rPr>
            </w:pPr>
          </w:p>
          <w:p w14:paraId="7173DE2E" w14:textId="77777777" w:rsidR="006F3F35" w:rsidRPr="00317ABF" w:rsidRDefault="006F3F35" w:rsidP="00DB3BEC">
            <w:pPr>
              <w:pStyle w:val="Tekstpodstawowy"/>
              <w:rPr>
                <w:b/>
                <w:sz w:val="22"/>
                <w:szCs w:val="22"/>
                <w:lang w:val="en-US"/>
              </w:rPr>
            </w:pPr>
          </w:p>
          <w:p w14:paraId="051F76D6" w14:textId="77777777" w:rsidR="006F3F35" w:rsidRPr="00317ABF" w:rsidRDefault="006F3F35" w:rsidP="00DB3BEC">
            <w:pPr>
              <w:pStyle w:val="Tekstpodstawowy"/>
              <w:rPr>
                <w:b/>
                <w:sz w:val="22"/>
                <w:szCs w:val="22"/>
                <w:lang w:val="en-US"/>
              </w:rPr>
            </w:pPr>
          </w:p>
          <w:p w14:paraId="231EA76A" w14:textId="77777777" w:rsidR="006F3F35" w:rsidRPr="00317ABF" w:rsidRDefault="006F3F35" w:rsidP="00DB3BEC">
            <w:pPr>
              <w:pStyle w:val="Tekstpodstawowy"/>
              <w:rPr>
                <w:b/>
                <w:sz w:val="22"/>
                <w:szCs w:val="22"/>
                <w:lang w:val="en-US"/>
              </w:rPr>
            </w:pPr>
          </w:p>
          <w:p w14:paraId="5D9DDD26" w14:textId="77777777" w:rsidR="006F3F35" w:rsidRPr="00317ABF" w:rsidRDefault="006F3F35" w:rsidP="00DB3BEC">
            <w:pPr>
              <w:pStyle w:val="Tekstpodstawowy"/>
              <w:rPr>
                <w:b/>
                <w:sz w:val="22"/>
                <w:szCs w:val="22"/>
                <w:lang w:val="en-US"/>
              </w:rPr>
            </w:pPr>
          </w:p>
          <w:p w14:paraId="7FEBF2B6" w14:textId="5CAE44AD" w:rsidR="001E1112" w:rsidRPr="00317ABF" w:rsidRDefault="006F3F35" w:rsidP="00DB3BEC">
            <w:pPr>
              <w:pStyle w:val="Tekstpodstawowy"/>
              <w:rPr>
                <w:b/>
                <w:sz w:val="22"/>
                <w:szCs w:val="22"/>
                <w:lang w:val="en-US"/>
              </w:rPr>
            </w:pPr>
            <w:r w:rsidRPr="00317ABF">
              <w:rPr>
                <w:b/>
                <w:sz w:val="22"/>
                <w:szCs w:val="22"/>
                <w:lang w:val="en-US"/>
              </w:rPr>
              <w:t>Lit. f) – art. 29</w:t>
            </w:r>
            <w:r w:rsidR="001E1112" w:rsidRPr="00317ABF">
              <w:rPr>
                <w:b/>
                <w:sz w:val="22"/>
                <w:szCs w:val="22"/>
                <w:lang w:val="en-US"/>
              </w:rPr>
              <w:t>7</w:t>
            </w:r>
          </w:p>
          <w:p w14:paraId="65A94CB4" w14:textId="68AF53AC" w:rsidR="001E1112" w:rsidRPr="00317ABF" w:rsidRDefault="001E1112" w:rsidP="00DB3BEC">
            <w:pPr>
              <w:pStyle w:val="Tekstpodstawowy"/>
              <w:rPr>
                <w:b/>
                <w:sz w:val="22"/>
                <w:szCs w:val="22"/>
                <w:lang w:val="en-US"/>
              </w:rPr>
            </w:pPr>
          </w:p>
          <w:p w14:paraId="2AF0802A" w14:textId="68AF53AC" w:rsidR="001E1112" w:rsidRPr="00317ABF" w:rsidRDefault="001E1112" w:rsidP="00DB3BEC">
            <w:pPr>
              <w:pStyle w:val="Tekstpodstawowy"/>
              <w:rPr>
                <w:b/>
                <w:sz w:val="22"/>
                <w:szCs w:val="22"/>
                <w:lang w:val="en-US"/>
              </w:rPr>
            </w:pPr>
          </w:p>
          <w:p w14:paraId="67719EE0" w14:textId="68AF53AC" w:rsidR="001E1112" w:rsidRPr="00317ABF" w:rsidRDefault="001E1112" w:rsidP="00DB3BEC">
            <w:pPr>
              <w:pStyle w:val="Tekstpodstawowy"/>
              <w:rPr>
                <w:b/>
                <w:sz w:val="22"/>
                <w:szCs w:val="22"/>
                <w:lang w:val="en-US"/>
              </w:rPr>
            </w:pPr>
          </w:p>
          <w:p w14:paraId="755ED8F9" w14:textId="77777777" w:rsidR="006F3F35" w:rsidRPr="00317ABF" w:rsidRDefault="006F3F35" w:rsidP="00DB3BEC">
            <w:pPr>
              <w:pStyle w:val="Tekstpodstawowy"/>
              <w:rPr>
                <w:b/>
                <w:sz w:val="22"/>
                <w:szCs w:val="22"/>
                <w:lang w:val="en-US"/>
              </w:rPr>
            </w:pPr>
          </w:p>
          <w:p w14:paraId="0CE8EC7E" w14:textId="2471A5BE" w:rsidR="001E1112" w:rsidRPr="00317ABF" w:rsidRDefault="00EA67D9" w:rsidP="00DB3BEC">
            <w:pPr>
              <w:pStyle w:val="Tekstpodstawowy"/>
              <w:rPr>
                <w:b/>
                <w:sz w:val="22"/>
                <w:szCs w:val="22"/>
                <w:lang w:val="en-US"/>
              </w:rPr>
            </w:pPr>
            <w:r w:rsidRPr="00317ABF">
              <w:rPr>
                <w:b/>
                <w:sz w:val="22"/>
                <w:szCs w:val="22"/>
                <w:lang w:val="en-US"/>
              </w:rPr>
              <w:t>Lit. g) – art. 311</w:t>
            </w:r>
            <w:r w:rsidR="001E1112" w:rsidRPr="00317ABF">
              <w:rPr>
                <w:b/>
                <w:sz w:val="22"/>
                <w:szCs w:val="22"/>
                <w:lang w:val="en-US"/>
              </w:rPr>
              <w:t xml:space="preserve"> ust. 1 i 2</w:t>
            </w:r>
          </w:p>
          <w:p w14:paraId="657BB1E7" w14:textId="407C91B3" w:rsidR="001E1112" w:rsidRPr="00317ABF" w:rsidRDefault="001E1112" w:rsidP="00DB3BEC">
            <w:pPr>
              <w:pStyle w:val="Tekstpodstawowy"/>
              <w:rPr>
                <w:b/>
                <w:sz w:val="22"/>
                <w:szCs w:val="22"/>
                <w:lang w:val="en-US"/>
              </w:rPr>
            </w:pPr>
          </w:p>
          <w:p w14:paraId="4459B4DE" w14:textId="77777777" w:rsidR="00BD743E" w:rsidRPr="00317ABF" w:rsidRDefault="00BD743E" w:rsidP="00DB3BEC">
            <w:pPr>
              <w:pStyle w:val="Tekstpodstawowy"/>
              <w:rPr>
                <w:b/>
                <w:sz w:val="22"/>
                <w:szCs w:val="22"/>
                <w:lang w:val="en-US"/>
              </w:rPr>
            </w:pPr>
          </w:p>
          <w:p w14:paraId="5EC1D8AD" w14:textId="77777777" w:rsidR="00BD743E" w:rsidRPr="00317ABF" w:rsidRDefault="00BD743E" w:rsidP="00DB3BEC">
            <w:pPr>
              <w:pStyle w:val="Tekstpodstawowy"/>
              <w:rPr>
                <w:b/>
                <w:sz w:val="22"/>
                <w:szCs w:val="22"/>
                <w:lang w:val="en-US"/>
              </w:rPr>
            </w:pPr>
          </w:p>
          <w:p w14:paraId="6553BF49" w14:textId="77777777" w:rsidR="00BD743E" w:rsidRPr="00317ABF" w:rsidRDefault="00BD743E" w:rsidP="00DB3BEC">
            <w:pPr>
              <w:pStyle w:val="Tekstpodstawowy"/>
              <w:rPr>
                <w:b/>
                <w:sz w:val="22"/>
                <w:szCs w:val="22"/>
                <w:lang w:val="en-US"/>
              </w:rPr>
            </w:pPr>
          </w:p>
          <w:p w14:paraId="0489AD36" w14:textId="77777777" w:rsidR="00BD743E" w:rsidRPr="00317ABF" w:rsidRDefault="00BD743E" w:rsidP="00DB3BEC">
            <w:pPr>
              <w:pStyle w:val="Tekstpodstawowy"/>
              <w:rPr>
                <w:b/>
                <w:sz w:val="22"/>
                <w:szCs w:val="22"/>
                <w:lang w:val="en-US"/>
              </w:rPr>
            </w:pPr>
          </w:p>
          <w:p w14:paraId="06EF4F58" w14:textId="77777777" w:rsidR="00BD743E" w:rsidRPr="00317ABF" w:rsidRDefault="00BD743E" w:rsidP="00DB3BEC">
            <w:pPr>
              <w:pStyle w:val="Tekstpodstawowy"/>
              <w:rPr>
                <w:b/>
                <w:sz w:val="22"/>
                <w:szCs w:val="22"/>
                <w:lang w:val="en-US"/>
              </w:rPr>
            </w:pPr>
          </w:p>
          <w:p w14:paraId="6FE95844" w14:textId="77777777" w:rsidR="00BD743E" w:rsidRPr="00317ABF" w:rsidRDefault="00BD743E" w:rsidP="00DB3BEC">
            <w:pPr>
              <w:pStyle w:val="Tekstpodstawowy"/>
              <w:rPr>
                <w:b/>
                <w:sz w:val="22"/>
                <w:szCs w:val="22"/>
                <w:lang w:val="en-US"/>
              </w:rPr>
            </w:pPr>
          </w:p>
          <w:p w14:paraId="5E06E1AC" w14:textId="77777777" w:rsidR="00BD743E" w:rsidRPr="00317ABF" w:rsidRDefault="00BD743E" w:rsidP="00DB3BEC">
            <w:pPr>
              <w:pStyle w:val="Tekstpodstawowy"/>
              <w:rPr>
                <w:b/>
                <w:sz w:val="22"/>
                <w:szCs w:val="22"/>
                <w:lang w:val="en-US"/>
              </w:rPr>
            </w:pPr>
          </w:p>
          <w:p w14:paraId="1CC8F41D" w14:textId="77777777" w:rsidR="00BD743E" w:rsidRPr="00317ABF" w:rsidRDefault="00BD743E" w:rsidP="00DB3BEC">
            <w:pPr>
              <w:pStyle w:val="Tekstpodstawowy"/>
              <w:rPr>
                <w:b/>
                <w:sz w:val="22"/>
                <w:szCs w:val="22"/>
                <w:lang w:val="en-US"/>
              </w:rPr>
            </w:pPr>
          </w:p>
          <w:p w14:paraId="488EF721" w14:textId="192945D2" w:rsidR="001E1112" w:rsidRPr="00317ABF" w:rsidRDefault="001E1112" w:rsidP="00DB3BEC">
            <w:pPr>
              <w:pStyle w:val="Tekstpodstawowy"/>
              <w:rPr>
                <w:b/>
                <w:sz w:val="22"/>
                <w:szCs w:val="22"/>
                <w:lang w:val="en-US"/>
              </w:rPr>
            </w:pPr>
            <w:r w:rsidRPr="00317ABF">
              <w:rPr>
                <w:b/>
                <w:sz w:val="22"/>
                <w:szCs w:val="22"/>
                <w:lang w:val="en-US"/>
              </w:rPr>
              <w:t xml:space="preserve">Lit. h) – art. </w:t>
            </w:r>
            <w:r w:rsidR="00BD743E" w:rsidRPr="00317ABF">
              <w:rPr>
                <w:b/>
                <w:sz w:val="22"/>
                <w:szCs w:val="22"/>
                <w:lang w:val="en-US"/>
              </w:rPr>
              <w:t>344 ust. 1 I 2</w:t>
            </w:r>
          </w:p>
          <w:p w14:paraId="7BBBA82B" w14:textId="2952C379" w:rsidR="001E1112" w:rsidRPr="00317ABF" w:rsidRDefault="001E1112" w:rsidP="00DB3BEC">
            <w:pPr>
              <w:pStyle w:val="Tekstpodstawowy"/>
              <w:rPr>
                <w:b/>
                <w:sz w:val="22"/>
                <w:szCs w:val="22"/>
                <w:lang w:val="en-US"/>
              </w:rPr>
            </w:pPr>
          </w:p>
          <w:p w14:paraId="4120D756" w14:textId="2952C379" w:rsidR="001E1112" w:rsidRPr="00317ABF" w:rsidRDefault="001E1112" w:rsidP="00DB3BEC">
            <w:pPr>
              <w:pStyle w:val="Tekstpodstawowy"/>
              <w:rPr>
                <w:b/>
                <w:sz w:val="22"/>
                <w:szCs w:val="22"/>
                <w:lang w:val="en-US"/>
              </w:rPr>
            </w:pPr>
          </w:p>
          <w:p w14:paraId="3E947C1B" w14:textId="2952C379" w:rsidR="001E1112" w:rsidRPr="00317ABF" w:rsidRDefault="001E1112" w:rsidP="00DB3BEC">
            <w:pPr>
              <w:pStyle w:val="Tekstpodstawowy"/>
              <w:rPr>
                <w:b/>
                <w:sz w:val="22"/>
                <w:szCs w:val="22"/>
                <w:lang w:val="en-US"/>
              </w:rPr>
            </w:pPr>
          </w:p>
          <w:p w14:paraId="1170B5FB" w14:textId="2952C379" w:rsidR="001E1112" w:rsidRPr="00317ABF" w:rsidRDefault="001E1112" w:rsidP="00DB3BEC">
            <w:pPr>
              <w:pStyle w:val="Tekstpodstawowy"/>
              <w:rPr>
                <w:b/>
                <w:sz w:val="22"/>
                <w:szCs w:val="22"/>
                <w:lang w:val="en-US"/>
              </w:rPr>
            </w:pPr>
          </w:p>
          <w:p w14:paraId="23BF78D9" w14:textId="2952C379" w:rsidR="001E1112" w:rsidRPr="00317ABF" w:rsidRDefault="001E1112" w:rsidP="00DB3BEC">
            <w:pPr>
              <w:pStyle w:val="Tekstpodstawowy"/>
              <w:rPr>
                <w:b/>
                <w:sz w:val="22"/>
                <w:szCs w:val="22"/>
                <w:lang w:val="en-US"/>
              </w:rPr>
            </w:pPr>
          </w:p>
          <w:p w14:paraId="29FECAE4" w14:textId="2952C379" w:rsidR="001E1112" w:rsidRPr="00317ABF" w:rsidRDefault="001E1112" w:rsidP="00DB3BEC">
            <w:pPr>
              <w:pStyle w:val="Tekstpodstawowy"/>
              <w:rPr>
                <w:b/>
                <w:sz w:val="22"/>
                <w:szCs w:val="22"/>
                <w:lang w:val="en-US"/>
              </w:rPr>
            </w:pPr>
          </w:p>
          <w:p w14:paraId="2E0F62E3" w14:textId="68AF53AC" w:rsidR="001E1112" w:rsidRPr="00317ABF" w:rsidRDefault="001E1112" w:rsidP="00DB3BEC">
            <w:pPr>
              <w:pStyle w:val="Tekstpodstawowy"/>
              <w:rPr>
                <w:b/>
                <w:sz w:val="22"/>
                <w:szCs w:val="22"/>
                <w:lang w:val="en-US"/>
              </w:rPr>
            </w:pPr>
          </w:p>
        </w:tc>
        <w:tc>
          <w:tcPr>
            <w:tcW w:w="910" w:type="dxa"/>
            <w:gridSpan w:val="2"/>
          </w:tcPr>
          <w:p w14:paraId="0D1311E9" w14:textId="77777777" w:rsidR="00FD1390" w:rsidRPr="00317ABF" w:rsidRDefault="001E1112" w:rsidP="00FD1390">
            <w:pPr>
              <w:jc w:val="both"/>
              <w:textAlignment w:val="baseline"/>
              <w:rPr>
                <w:sz w:val="22"/>
                <w:szCs w:val="22"/>
              </w:rPr>
            </w:pPr>
            <w:r w:rsidRPr="00317ABF">
              <w:rPr>
                <w:sz w:val="22"/>
                <w:szCs w:val="22"/>
              </w:rPr>
              <w:t xml:space="preserve"> </w:t>
            </w:r>
            <w:r w:rsidR="00FD1390" w:rsidRPr="00317ABF">
              <w:rPr>
                <w:b/>
                <w:sz w:val="22"/>
                <w:szCs w:val="22"/>
              </w:rPr>
              <w:t>Art. 346.</w:t>
            </w:r>
            <w:r w:rsidR="00FD1390" w:rsidRPr="00317ABF">
              <w:rPr>
                <w:sz w:val="22"/>
                <w:szCs w:val="22"/>
              </w:rPr>
              <w:t xml:space="preserve"> </w:t>
            </w:r>
          </w:p>
          <w:p w14:paraId="3047BDEA" w14:textId="2FA2BF95" w:rsidR="00FD1390" w:rsidRPr="00317ABF" w:rsidRDefault="00FD1390" w:rsidP="00FD1390">
            <w:pPr>
              <w:jc w:val="both"/>
              <w:textAlignment w:val="baseline"/>
              <w:rPr>
                <w:sz w:val="22"/>
                <w:szCs w:val="22"/>
              </w:rPr>
            </w:pPr>
            <w:r w:rsidRPr="00317ABF">
              <w:rPr>
                <w:sz w:val="22"/>
                <w:szCs w:val="22"/>
              </w:rPr>
              <w:t>1. Dostawca usługi dostępu do internetu lub usługi komunikacji interpersonalnej wykorzystującej numery doręcza abonentowi, nieodpłatnie z każdym rachunkiem, podstawowy wykaz wykonanych usług zawierający informację o zrealizowanych płatnych usługach, z podaniem dla każdego typu usług ilości jednostek rozliczeniowych odpowiadającej wartości usług zrealizowanych przez abonenta.</w:t>
            </w:r>
          </w:p>
          <w:p w14:paraId="4B4D8AEE" w14:textId="77777777" w:rsidR="00FD1390" w:rsidRPr="00317ABF" w:rsidRDefault="00FD1390" w:rsidP="00FD1390">
            <w:pPr>
              <w:jc w:val="both"/>
              <w:textAlignment w:val="baseline"/>
              <w:rPr>
                <w:bCs/>
                <w:sz w:val="22"/>
                <w:szCs w:val="22"/>
              </w:rPr>
            </w:pPr>
            <w:r w:rsidRPr="00317ABF">
              <w:rPr>
                <w:bCs/>
                <w:sz w:val="22"/>
                <w:szCs w:val="22"/>
              </w:rPr>
              <w:t>2. W przypadku usługi przedpłaconej dostawca usługi dostępu do internetu lub usługi komunikacji interpersonalnej wykorzystującej numery doręcza nieodpłatnie, na żądanie abonenta, który ma przydzielony numer oraz udostępnił swoje dane, o których mowa w art. 255 ust. 2, podstawowy wykaz wykonanych usług obejmujący wyłącznie usługi wykonane po złożeniu tego żądania. Pierwszy wykaz jest doręczany abonentowi w terminie 14 dni od dnia złożenia przez niego żądania, a każdy kolejny w terminie do 10. dnia miesiąca kalendarzowego.</w:t>
            </w:r>
          </w:p>
          <w:p w14:paraId="78D7ACE4" w14:textId="77777777" w:rsidR="00FD1390" w:rsidRPr="00317ABF" w:rsidRDefault="00FD1390" w:rsidP="00FD1390">
            <w:pPr>
              <w:jc w:val="both"/>
              <w:textAlignment w:val="baseline"/>
              <w:rPr>
                <w:bCs/>
                <w:sz w:val="22"/>
                <w:szCs w:val="22"/>
              </w:rPr>
            </w:pPr>
            <w:r w:rsidRPr="00317ABF">
              <w:rPr>
                <w:bCs/>
                <w:sz w:val="22"/>
                <w:szCs w:val="22"/>
              </w:rPr>
              <w:t>3. W przypadku skorzystania przez abonenta z usługi z dodatkowym świadczeniem, dostawca usług telekomunikacyjnych zawiera w podstawowym wykazie wykonanych usług:</w:t>
            </w:r>
          </w:p>
          <w:p w14:paraId="05109E45" w14:textId="77777777" w:rsidR="00FD1390" w:rsidRPr="00317ABF" w:rsidRDefault="00FD1390" w:rsidP="00FD1390">
            <w:pPr>
              <w:jc w:val="both"/>
              <w:textAlignment w:val="baseline"/>
              <w:rPr>
                <w:bCs/>
                <w:sz w:val="22"/>
                <w:szCs w:val="22"/>
              </w:rPr>
            </w:pPr>
            <w:r w:rsidRPr="00317ABF">
              <w:rPr>
                <w:bCs/>
                <w:sz w:val="22"/>
                <w:szCs w:val="22"/>
              </w:rPr>
              <w:t>1)</w:t>
            </w:r>
            <w:r w:rsidRPr="00317ABF">
              <w:rPr>
                <w:bCs/>
                <w:sz w:val="22"/>
                <w:szCs w:val="22"/>
              </w:rPr>
              <w:tab/>
              <w:t>numer wykorzystywany do świadczenia tej usługi;</w:t>
            </w:r>
          </w:p>
          <w:p w14:paraId="69945EDB" w14:textId="77777777" w:rsidR="00FD1390" w:rsidRPr="00317ABF" w:rsidRDefault="00FD1390" w:rsidP="00FD1390">
            <w:pPr>
              <w:jc w:val="both"/>
              <w:textAlignment w:val="baseline"/>
              <w:rPr>
                <w:bCs/>
                <w:sz w:val="22"/>
                <w:szCs w:val="22"/>
              </w:rPr>
            </w:pPr>
            <w:r w:rsidRPr="00317ABF">
              <w:rPr>
                <w:bCs/>
                <w:sz w:val="22"/>
                <w:szCs w:val="22"/>
              </w:rPr>
              <w:t>2)</w:t>
            </w:r>
            <w:r w:rsidRPr="00317ABF">
              <w:rPr>
                <w:bCs/>
                <w:sz w:val="22"/>
                <w:szCs w:val="22"/>
              </w:rPr>
              <w:tab/>
              <w:t>informację o stronie podmiotowej BIP UKE, na której udostępniony jest rejestr, o którym mowa w art. 339 ust. 1;</w:t>
            </w:r>
          </w:p>
          <w:p w14:paraId="7C07F4AF" w14:textId="77777777" w:rsidR="00FD1390" w:rsidRPr="00317ABF" w:rsidRDefault="00FD1390" w:rsidP="00FD1390">
            <w:pPr>
              <w:jc w:val="both"/>
              <w:textAlignment w:val="baseline"/>
              <w:rPr>
                <w:bCs/>
                <w:sz w:val="22"/>
                <w:szCs w:val="22"/>
              </w:rPr>
            </w:pPr>
            <w:r w:rsidRPr="00317ABF">
              <w:rPr>
                <w:bCs/>
                <w:sz w:val="22"/>
                <w:szCs w:val="22"/>
              </w:rPr>
              <w:t>3)</w:t>
            </w:r>
            <w:r w:rsidRPr="00317ABF">
              <w:rPr>
                <w:bCs/>
                <w:sz w:val="22"/>
                <w:szCs w:val="22"/>
              </w:rPr>
              <w:tab/>
              <w:t>informację o możliwości złożenia żądania, o którym mowa w art. 337.</w:t>
            </w:r>
          </w:p>
          <w:p w14:paraId="5842EAD0" w14:textId="77777777" w:rsidR="00FD1390" w:rsidRPr="00317ABF" w:rsidRDefault="00FD1390" w:rsidP="00FD1390">
            <w:pPr>
              <w:jc w:val="both"/>
              <w:textAlignment w:val="baseline"/>
              <w:rPr>
                <w:bCs/>
                <w:sz w:val="22"/>
                <w:szCs w:val="22"/>
              </w:rPr>
            </w:pPr>
            <w:r w:rsidRPr="00317ABF">
              <w:rPr>
                <w:bCs/>
                <w:sz w:val="22"/>
                <w:szCs w:val="22"/>
              </w:rPr>
              <w:t>4. W przypadku skorzystania przez abonenta z usługi fakultatywnego obciążania rachunku, dostawca usług komunikacji elektronicznej zawiera w podstawowym wykazie wykonanych usług:</w:t>
            </w:r>
          </w:p>
          <w:p w14:paraId="1A37168A" w14:textId="77777777" w:rsidR="00FD1390" w:rsidRPr="00317ABF" w:rsidRDefault="00FD1390" w:rsidP="00FD1390">
            <w:pPr>
              <w:jc w:val="both"/>
              <w:textAlignment w:val="baseline"/>
              <w:rPr>
                <w:bCs/>
                <w:sz w:val="22"/>
                <w:szCs w:val="22"/>
              </w:rPr>
            </w:pPr>
            <w:r w:rsidRPr="00317ABF">
              <w:rPr>
                <w:bCs/>
                <w:sz w:val="22"/>
                <w:szCs w:val="22"/>
              </w:rPr>
              <w:t>1)</w:t>
            </w:r>
            <w:r w:rsidRPr="00317ABF">
              <w:rPr>
                <w:bCs/>
                <w:sz w:val="22"/>
                <w:szCs w:val="22"/>
              </w:rPr>
              <w:tab/>
              <w:t>nazwę towaru lub usługi;</w:t>
            </w:r>
          </w:p>
          <w:p w14:paraId="4E6871F7" w14:textId="77777777" w:rsidR="00FD1390" w:rsidRPr="00317ABF" w:rsidRDefault="00FD1390" w:rsidP="00FD1390">
            <w:pPr>
              <w:jc w:val="both"/>
              <w:textAlignment w:val="baseline"/>
              <w:rPr>
                <w:bCs/>
                <w:sz w:val="22"/>
                <w:szCs w:val="22"/>
              </w:rPr>
            </w:pPr>
            <w:r w:rsidRPr="00317ABF">
              <w:rPr>
                <w:bCs/>
                <w:sz w:val="22"/>
                <w:szCs w:val="22"/>
              </w:rPr>
              <w:t>2)</w:t>
            </w:r>
            <w:r w:rsidRPr="00317ABF">
              <w:rPr>
                <w:bCs/>
                <w:sz w:val="22"/>
                <w:szCs w:val="22"/>
              </w:rPr>
              <w:tab/>
              <w:t>nazwę lub firmę podmiotu, od którego abonent nabył towary lub usługi;</w:t>
            </w:r>
          </w:p>
          <w:p w14:paraId="17E8F5A9" w14:textId="77777777" w:rsidR="00FD1390" w:rsidRPr="00317ABF" w:rsidRDefault="00FD1390" w:rsidP="00FD1390">
            <w:pPr>
              <w:jc w:val="both"/>
              <w:textAlignment w:val="baseline"/>
              <w:rPr>
                <w:bCs/>
                <w:sz w:val="22"/>
                <w:szCs w:val="22"/>
              </w:rPr>
            </w:pPr>
            <w:r w:rsidRPr="00317ABF">
              <w:rPr>
                <w:bCs/>
                <w:sz w:val="22"/>
                <w:szCs w:val="22"/>
              </w:rPr>
              <w:t>3)</w:t>
            </w:r>
            <w:r w:rsidRPr="00317ABF">
              <w:rPr>
                <w:bCs/>
                <w:sz w:val="22"/>
                <w:szCs w:val="22"/>
              </w:rPr>
              <w:tab/>
              <w:t>cenę towaru lub usługi.</w:t>
            </w:r>
          </w:p>
          <w:p w14:paraId="119C89DA" w14:textId="77777777" w:rsidR="00FD1390" w:rsidRPr="00317ABF" w:rsidRDefault="00FD1390" w:rsidP="00FD1390">
            <w:pPr>
              <w:jc w:val="both"/>
              <w:textAlignment w:val="baseline"/>
              <w:rPr>
                <w:sz w:val="22"/>
                <w:szCs w:val="22"/>
              </w:rPr>
            </w:pPr>
            <w:r w:rsidRPr="00317ABF">
              <w:rPr>
                <w:b/>
                <w:sz w:val="22"/>
                <w:szCs w:val="22"/>
              </w:rPr>
              <w:t>Art. 347.</w:t>
            </w:r>
            <w:r w:rsidRPr="00317ABF">
              <w:rPr>
                <w:sz w:val="22"/>
                <w:szCs w:val="22"/>
              </w:rPr>
              <w:t xml:space="preserve"> </w:t>
            </w:r>
          </w:p>
          <w:p w14:paraId="5F252192" w14:textId="3D61380D" w:rsidR="00FD1390" w:rsidRPr="00317ABF" w:rsidRDefault="00FD1390" w:rsidP="00FD1390">
            <w:pPr>
              <w:jc w:val="both"/>
              <w:textAlignment w:val="baseline"/>
              <w:rPr>
                <w:sz w:val="22"/>
                <w:szCs w:val="22"/>
              </w:rPr>
            </w:pPr>
            <w:r w:rsidRPr="00317ABF">
              <w:rPr>
                <w:sz w:val="22"/>
                <w:szCs w:val="22"/>
              </w:rPr>
              <w:t>1. Dostawca usługi komunikacji interpersonalnej wykorzystującej numery doręcza na żądanie abonenta, który ma przydzielony numer, szczegółowy wykaz wykonanych usług, za który może być pobierana opłata.</w:t>
            </w:r>
          </w:p>
          <w:p w14:paraId="2E85BB54" w14:textId="77777777" w:rsidR="00FD1390" w:rsidRPr="00317ABF" w:rsidRDefault="00FD1390" w:rsidP="00FD1390">
            <w:pPr>
              <w:jc w:val="both"/>
              <w:textAlignment w:val="baseline"/>
              <w:rPr>
                <w:bCs/>
                <w:sz w:val="22"/>
                <w:szCs w:val="22"/>
              </w:rPr>
            </w:pPr>
            <w:r w:rsidRPr="00317ABF">
              <w:rPr>
                <w:bCs/>
                <w:sz w:val="22"/>
                <w:szCs w:val="22"/>
              </w:rPr>
              <w:t>2. Szczegółowy wykaz wykonanych usług zawiera informację o zrealizowanych płatnych usługach, z podaniem, dla każdej usługi: numeru wywoływanego, daty oraz godziny rozpoczęcia realizacji usługi, czasu jej trwania oraz wysokości opłaty za usługę z wyszczególnieniem ceny brutto i netto.</w:t>
            </w:r>
          </w:p>
          <w:p w14:paraId="5B703E76" w14:textId="77777777" w:rsidR="00FD1390" w:rsidRPr="00317ABF" w:rsidRDefault="00FD1390" w:rsidP="00FD1390">
            <w:pPr>
              <w:jc w:val="both"/>
              <w:textAlignment w:val="baseline"/>
              <w:rPr>
                <w:bCs/>
                <w:sz w:val="22"/>
                <w:szCs w:val="22"/>
              </w:rPr>
            </w:pPr>
            <w:r w:rsidRPr="00317ABF">
              <w:rPr>
                <w:bCs/>
                <w:sz w:val="22"/>
                <w:szCs w:val="22"/>
              </w:rPr>
              <w:t>3. Dostawca usługi komunikacji interpersonalnej wykorzystującej numery doręcza abonentowi szczegółowy wykaz wykonanych usług począwszy od odpowiednio bieżącego okresu rozliczeniowego albo miesiąca, w którym abonent złożył żądanie, do końca okresu rozliczeniowego albo miesiąca, w czasie którego upływa uzgodniony z abonentem termin zaprzestania doręczania tego wykazu.</w:t>
            </w:r>
          </w:p>
          <w:p w14:paraId="7C191080" w14:textId="62A1DA8D" w:rsidR="00FD1390" w:rsidRPr="00317ABF" w:rsidRDefault="00FD1390" w:rsidP="00FD1390">
            <w:pPr>
              <w:jc w:val="both"/>
              <w:textAlignment w:val="baseline"/>
              <w:rPr>
                <w:bCs/>
                <w:sz w:val="22"/>
                <w:szCs w:val="22"/>
              </w:rPr>
            </w:pPr>
            <w:r w:rsidRPr="00317ABF">
              <w:rPr>
                <w:bCs/>
                <w:sz w:val="22"/>
                <w:szCs w:val="22"/>
              </w:rPr>
              <w:t xml:space="preserve">4. Dostawca usługi komunikacji interpersonalnej wykorzystującej numery doręcza szczegółowy wykaz wykonanych usług, w przypadku:  </w:t>
            </w:r>
          </w:p>
          <w:p w14:paraId="689B0452" w14:textId="77777777" w:rsidR="00FD1390" w:rsidRPr="00317ABF" w:rsidRDefault="00FD1390" w:rsidP="00FD1390">
            <w:pPr>
              <w:jc w:val="both"/>
              <w:textAlignment w:val="baseline"/>
              <w:rPr>
                <w:bCs/>
                <w:sz w:val="22"/>
                <w:szCs w:val="22"/>
              </w:rPr>
            </w:pPr>
            <w:r w:rsidRPr="00317ABF">
              <w:rPr>
                <w:bCs/>
                <w:sz w:val="22"/>
                <w:szCs w:val="22"/>
              </w:rPr>
              <w:t>1)</w:t>
            </w:r>
            <w:r w:rsidRPr="00317ABF">
              <w:rPr>
                <w:bCs/>
                <w:sz w:val="22"/>
                <w:szCs w:val="22"/>
              </w:rPr>
              <w:tab/>
              <w:t>abonenta będącego stroną umowy zawartej w formie pisemnej, elektronicznej lub dokumentowej - wraz z rachunkiem wystawionym za okres rozliczeniowy, którego dotyczy ten wykaz, a jeżeli nie jest to możliwe – najpóźniej w ciągu 14 dni od dnia zgłoszenia żądania;</w:t>
            </w:r>
          </w:p>
          <w:p w14:paraId="1E01A784" w14:textId="77777777" w:rsidR="00FD1390" w:rsidRPr="00317ABF" w:rsidRDefault="00FD1390" w:rsidP="00FD1390">
            <w:pPr>
              <w:jc w:val="both"/>
              <w:textAlignment w:val="baseline"/>
              <w:rPr>
                <w:bCs/>
                <w:sz w:val="22"/>
                <w:szCs w:val="22"/>
              </w:rPr>
            </w:pPr>
            <w:r w:rsidRPr="00317ABF">
              <w:rPr>
                <w:bCs/>
                <w:sz w:val="22"/>
                <w:szCs w:val="22"/>
              </w:rPr>
              <w:t>2)</w:t>
            </w:r>
            <w:r w:rsidRPr="00317ABF">
              <w:rPr>
                <w:bCs/>
                <w:sz w:val="22"/>
                <w:szCs w:val="22"/>
              </w:rPr>
              <w:tab/>
              <w:t>abonenta usługi przedpłaconej, który</w:t>
            </w:r>
            <w:r w:rsidRPr="00317ABF" w:rsidDel="00DC36D9">
              <w:rPr>
                <w:bCs/>
                <w:sz w:val="22"/>
                <w:szCs w:val="22"/>
              </w:rPr>
              <w:t xml:space="preserve"> </w:t>
            </w:r>
            <w:r w:rsidRPr="00317ABF">
              <w:rPr>
                <w:bCs/>
                <w:sz w:val="22"/>
                <w:szCs w:val="22"/>
              </w:rPr>
              <w:t>udostępnił swoje dane, o których mowa w art. 284 ust. 2 - pierwszy wykaz w terminie 14 dni od dnia złożenia przez niego żądania, a każdy kolejny w terminie do 10. dnia miesiąca kalendarzowego.</w:t>
            </w:r>
          </w:p>
          <w:p w14:paraId="408431BE" w14:textId="77777777" w:rsidR="00FD1390" w:rsidRPr="00317ABF" w:rsidRDefault="00FD1390" w:rsidP="00FD1390">
            <w:pPr>
              <w:jc w:val="both"/>
              <w:textAlignment w:val="baseline"/>
              <w:rPr>
                <w:bCs/>
                <w:sz w:val="22"/>
                <w:szCs w:val="22"/>
              </w:rPr>
            </w:pPr>
            <w:r w:rsidRPr="00317ABF">
              <w:rPr>
                <w:bCs/>
                <w:sz w:val="22"/>
                <w:szCs w:val="22"/>
              </w:rPr>
              <w:t>5. Dostawca usługi komunikacji interpersonalnej wykorzystującej numery doręcza, na żądanie abonenta, w terminie 14 dni od dnia złożenia żądania, szczegółowy wykaz usług obejmujący:</w:t>
            </w:r>
          </w:p>
          <w:p w14:paraId="2A75281B" w14:textId="77777777" w:rsidR="00FD1390" w:rsidRPr="00317ABF" w:rsidRDefault="00FD1390" w:rsidP="00FD1390">
            <w:pPr>
              <w:jc w:val="both"/>
              <w:textAlignment w:val="baseline"/>
              <w:rPr>
                <w:bCs/>
                <w:sz w:val="22"/>
                <w:szCs w:val="22"/>
              </w:rPr>
            </w:pPr>
            <w:r w:rsidRPr="00317ABF">
              <w:rPr>
                <w:bCs/>
                <w:sz w:val="22"/>
                <w:szCs w:val="22"/>
              </w:rPr>
              <w:t>1)</w:t>
            </w:r>
            <w:r w:rsidRPr="00317ABF">
              <w:rPr>
                <w:bCs/>
                <w:sz w:val="22"/>
                <w:szCs w:val="22"/>
              </w:rPr>
              <w:tab/>
              <w:t>okresy rozliczeniowe poprzedzające nie więcej niż 12 miesięcy okres rozliczeniowy, w którym abonent złożył żądanie - w przypadku abonenta będącego stroną umowy zawartej w formie pisemnej, elektronicznej lub dokumentowej z dostawcą;</w:t>
            </w:r>
          </w:p>
          <w:p w14:paraId="6CD9524C" w14:textId="6EE52DF6" w:rsidR="001E1112" w:rsidRPr="00317ABF" w:rsidRDefault="00FD1390" w:rsidP="00BE0E14">
            <w:pPr>
              <w:jc w:val="both"/>
              <w:textAlignment w:val="baseline"/>
              <w:rPr>
                <w:bCs/>
                <w:sz w:val="22"/>
                <w:szCs w:val="22"/>
              </w:rPr>
            </w:pPr>
            <w:r w:rsidRPr="00317ABF">
              <w:rPr>
                <w:bCs/>
                <w:sz w:val="22"/>
                <w:szCs w:val="22"/>
              </w:rPr>
              <w:t>2)</w:t>
            </w:r>
            <w:r w:rsidRPr="00317ABF">
              <w:rPr>
                <w:bCs/>
                <w:sz w:val="22"/>
                <w:szCs w:val="22"/>
              </w:rPr>
              <w:tab/>
              <w:t>okres nie dłuższy niż 12 miesięcy poprzedzających termin złożenia przez abonenta żądania - w przypadku abonenta usługi przedpłaconej, który udostępnił swoje dane, o których mowa w art. 284 ust. 2.</w:t>
            </w:r>
          </w:p>
          <w:p w14:paraId="4266700B" w14:textId="77777777" w:rsidR="00BE0E14" w:rsidRPr="00317ABF" w:rsidRDefault="00BE0E14" w:rsidP="00BE0E14">
            <w:pPr>
              <w:jc w:val="both"/>
              <w:textAlignment w:val="baseline"/>
              <w:rPr>
                <w:bCs/>
                <w:sz w:val="22"/>
                <w:szCs w:val="22"/>
              </w:rPr>
            </w:pPr>
          </w:p>
          <w:p w14:paraId="1E00D814" w14:textId="05489154" w:rsidR="00BE0E14" w:rsidRPr="00317ABF" w:rsidRDefault="001F43F0" w:rsidP="00BE0E14">
            <w:pPr>
              <w:jc w:val="both"/>
              <w:textAlignment w:val="baseline"/>
              <w:rPr>
                <w:b/>
                <w:bCs/>
                <w:sz w:val="22"/>
                <w:szCs w:val="22"/>
              </w:rPr>
            </w:pPr>
            <w:r w:rsidRPr="00317ABF">
              <w:rPr>
                <w:b/>
                <w:bCs/>
                <w:sz w:val="22"/>
                <w:szCs w:val="22"/>
              </w:rPr>
              <w:t>Art. 337</w:t>
            </w:r>
          </w:p>
          <w:p w14:paraId="732092A2" w14:textId="77777777" w:rsidR="001F43F0" w:rsidRPr="00317ABF" w:rsidRDefault="001F43F0" w:rsidP="001F43F0">
            <w:pPr>
              <w:jc w:val="both"/>
              <w:textAlignment w:val="baseline"/>
              <w:rPr>
                <w:bCs/>
                <w:sz w:val="22"/>
                <w:szCs w:val="22"/>
              </w:rPr>
            </w:pPr>
            <w:r w:rsidRPr="00317ABF">
              <w:rPr>
                <w:bCs/>
                <w:sz w:val="22"/>
                <w:szCs w:val="22"/>
              </w:rPr>
              <w:t>Art. 337. Dostawca usług telekomunikacyjnych jest obowiązany, na żądanie abonenta, do:</w:t>
            </w:r>
          </w:p>
          <w:p w14:paraId="43A6352E" w14:textId="77777777" w:rsidR="001F43F0" w:rsidRPr="00317ABF" w:rsidRDefault="001F43F0" w:rsidP="001F43F0">
            <w:pPr>
              <w:jc w:val="both"/>
              <w:textAlignment w:val="baseline"/>
              <w:rPr>
                <w:bCs/>
                <w:sz w:val="22"/>
                <w:szCs w:val="22"/>
              </w:rPr>
            </w:pPr>
            <w:r w:rsidRPr="00317ABF">
              <w:rPr>
                <w:bCs/>
                <w:sz w:val="22"/>
                <w:szCs w:val="22"/>
              </w:rPr>
              <w:t>1)</w:t>
            </w:r>
            <w:r w:rsidRPr="00317ABF">
              <w:rPr>
                <w:bCs/>
                <w:sz w:val="22"/>
                <w:szCs w:val="22"/>
              </w:rPr>
              <w:tab/>
              <w:t>nieodpłatnego blokowania połączeń wychodzących na numery usług z dodatkowym świadczeniem lub połączeń przychodzących z takich numerów;</w:t>
            </w:r>
          </w:p>
          <w:p w14:paraId="5A5307F1" w14:textId="77777777" w:rsidR="001F43F0" w:rsidRPr="00317ABF" w:rsidRDefault="001F43F0" w:rsidP="001F43F0">
            <w:pPr>
              <w:jc w:val="both"/>
              <w:textAlignment w:val="baseline"/>
              <w:rPr>
                <w:bCs/>
                <w:sz w:val="22"/>
                <w:szCs w:val="22"/>
              </w:rPr>
            </w:pPr>
            <w:r w:rsidRPr="00317ABF">
              <w:rPr>
                <w:bCs/>
                <w:sz w:val="22"/>
                <w:szCs w:val="22"/>
              </w:rPr>
              <w:t>2)</w:t>
            </w:r>
            <w:r w:rsidRPr="00317ABF">
              <w:rPr>
                <w:bCs/>
                <w:sz w:val="22"/>
                <w:szCs w:val="22"/>
              </w:rPr>
              <w:tab/>
              <w:t>nieodpłatnego blokowania połączeń wychodzących na numery poszczególnych rodzajów usług z dodatkowym świadczeniem lub połączeń przychodzących z takich numerów;</w:t>
            </w:r>
          </w:p>
          <w:p w14:paraId="2882FC71" w14:textId="3E648769" w:rsidR="00BE0E14" w:rsidRPr="00317ABF" w:rsidRDefault="001F43F0" w:rsidP="001F43F0">
            <w:pPr>
              <w:jc w:val="both"/>
              <w:textAlignment w:val="baseline"/>
              <w:rPr>
                <w:bCs/>
                <w:sz w:val="22"/>
                <w:szCs w:val="22"/>
              </w:rPr>
            </w:pPr>
            <w:r w:rsidRPr="00317ABF">
              <w:rPr>
                <w:bCs/>
                <w:sz w:val="22"/>
                <w:szCs w:val="22"/>
              </w:rPr>
              <w:t>3)</w:t>
            </w:r>
            <w:r w:rsidRPr="00317ABF">
              <w:rPr>
                <w:bCs/>
                <w:sz w:val="22"/>
                <w:szCs w:val="22"/>
              </w:rPr>
              <w:tab/>
              <w:t>umożliwienia abonentowi określenia maksymalnej ceny za jednostkę rozliczeniową usługi albo ceny za połączenie, w przypadku usługi taryfikowanej za całe połączenie, i nieodpłatnego blokowania połączeń wychodzących na numery usług z dodatkowym świadczeniem, których cena przekracza cenę maksymalną określoną przez abonenta w żądaniu, lub połączeń przychodzących z takich numerów.</w:t>
            </w:r>
          </w:p>
          <w:p w14:paraId="5978D47E" w14:textId="77777777" w:rsidR="001E1112" w:rsidRPr="00317ABF" w:rsidRDefault="001E1112" w:rsidP="00DB3BEC">
            <w:pPr>
              <w:jc w:val="both"/>
              <w:rPr>
                <w:sz w:val="22"/>
                <w:szCs w:val="22"/>
              </w:rPr>
            </w:pPr>
          </w:p>
          <w:p w14:paraId="0B7CBCC5" w14:textId="77777777" w:rsidR="001E1112" w:rsidRPr="00317ABF" w:rsidRDefault="001E1112" w:rsidP="00DB3BEC">
            <w:pPr>
              <w:jc w:val="both"/>
              <w:rPr>
                <w:sz w:val="22"/>
                <w:szCs w:val="22"/>
              </w:rPr>
            </w:pPr>
          </w:p>
          <w:p w14:paraId="5262B9F6" w14:textId="77777777" w:rsidR="001E1112" w:rsidRPr="00317ABF" w:rsidRDefault="001E1112" w:rsidP="00DB3BEC">
            <w:pPr>
              <w:jc w:val="both"/>
              <w:rPr>
                <w:sz w:val="22"/>
                <w:szCs w:val="22"/>
              </w:rPr>
            </w:pPr>
          </w:p>
          <w:p w14:paraId="3084F0DA" w14:textId="77777777" w:rsidR="001E1112" w:rsidRPr="00317ABF" w:rsidRDefault="001E1112" w:rsidP="00DB3BEC">
            <w:pPr>
              <w:jc w:val="both"/>
              <w:rPr>
                <w:sz w:val="22"/>
                <w:szCs w:val="22"/>
              </w:rPr>
            </w:pPr>
          </w:p>
          <w:p w14:paraId="7718B6E8" w14:textId="77777777" w:rsidR="001E1112" w:rsidRPr="00317ABF" w:rsidRDefault="001E1112" w:rsidP="00DB3BEC">
            <w:pPr>
              <w:jc w:val="both"/>
              <w:rPr>
                <w:sz w:val="22"/>
                <w:szCs w:val="22"/>
              </w:rPr>
            </w:pPr>
          </w:p>
          <w:p w14:paraId="0A2DC8B6" w14:textId="77777777" w:rsidR="001E1112" w:rsidRPr="00317ABF" w:rsidRDefault="001E1112" w:rsidP="00DB3BEC">
            <w:pPr>
              <w:jc w:val="both"/>
              <w:rPr>
                <w:sz w:val="22"/>
                <w:szCs w:val="22"/>
              </w:rPr>
            </w:pPr>
          </w:p>
          <w:p w14:paraId="4B0C70C4" w14:textId="77777777" w:rsidR="0000279B" w:rsidRPr="00317ABF" w:rsidRDefault="0000279B" w:rsidP="00DB3BEC">
            <w:pPr>
              <w:jc w:val="both"/>
              <w:rPr>
                <w:b/>
                <w:bCs/>
                <w:sz w:val="22"/>
                <w:szCs w:val="22"/>
              </w:rPr>
            </w:pPr>
          </w:p>
          <w:p w14:paraId="5B89CDCF" w14:textId="3AC1A9D3" w:rsidR="001E1112" w:rsidRPr="00317ABF" w:rsidRDefault="006F3F35" w:rsidP="00DB3BEC">
            <w:pPr>
              <w:jc w:val="both"/>
              <w:rPr>
                <w:sz w:val="22"/>
                <w:szCs w:val="22"/>
              </w:rPr>
            </w:pPr>
            <w:r w:rsidRPr="00317ABF">
              <w:rPr>
                <w:b/>
                <w:bCs/>
                <w:sz w:val="22"/>
                <w:szCs w:val="22"/>
              </w:rPr>
              <w:t>Art. 29</w:t>
            </w:r>
            <w:r w:rsidR="001E1112" w:rsidRPr="00317ABF">
              <w:rPr>
                <w:b/>
                <w:bCs/>
                <w:sz w:val="22"/>
                <w:szCs w:val="22"/>
              </w:rPr>
              <w:t xml:space="preserve">3. </w:t>
            </w:r>
          </w:p>
          <w:p w14:paraId="060E55B9" w14:textId="15C1FE6D" w:rsidR="006F3F35" w:rsidRPr="00317ABF" w:rsidRDefault="006F3F35" w:rsidP="006F3F35">
            <w:pPr>
              <w:jc w:val="both"/>
              <w:rPr>
                <w:sz w:val="22"/>
                <w:szCs w:val="22"/>
              </w:rPr>
            </w:pPr>
            <w:r w:rsidRPr="00317ABF">
              <w:rPr>
                <w:sz w:val="22"/>
                <w:szCs w:val="22"/>
              </w:rPr>
              <w:t xml:space="preserve">(…) </w:t>
            </w:r>
          </w:p>
          <w:p w14:paraId="6EFB5A45" w14:textId="77777777" w:rsidR="006F3F35" w:rsidRPr="00317ABF" w:rsidRDefault="006F3F35" w:rsidP="006F3F35">
            <w:pPr>
              <w:jc w:val="both"/>
              <w:rPr>
                <w:bCs/>
                <w:sz w:val="22"/>
                <w:szCs w:val="22"/>
              </w:rPr>
            </w:pPr>
            <w:r w:rsidRPr="00317ABF">
              <w:rPr>
                <w:bCs/>
                <w:sz w:val="22"/>
                <w:szCs w:val="22"/>
              </w:rPr>
              <w:t>2. Na żądanie konsumenta dostawca usług telekomunikacyjnych rozkłada na raty opłatę za realizację przyłącza telekomunikacyjnego w sposób uzgodniony z tym konsumentem, przy czym liczba rat w cyklu miesięcznym nie może przekroczyć 60.</w:t>
            </w:r>
          </w:p>
          <w:p w14:paraId="2CCDF425" w14:textId="775F19D2" w:rsidR="001E1112" w:rsidRPr="00317ABF" w:rsidRDefault="001E1112" w:rsidP="00DB3BEC">
            <w:pPr>
              <w:jc w:val="both"/>
              <w:rPr>
                <w:sz w:val="22"/>
                <w:szCs w:val="22"/>
              </w:rPr>
            </w:pPr>
          </w:p>
          <w:p w14:paraId="25DD5C71" w14:textId="77777777" w:rsidR="006F3F35" w:rsidRPr="00317ABF" w:rsidRDefault="006F3F35" w:rsidP="006F3F35">
            <w:pPr>
              <w:jc w:val="both"/>
              <w:rPr>
                <w:b/>
                <w:bCs/>
                <w:sz w:val="22"/>
                <w:szCs w:val="22"/>
              </w:rPr>
            </w:pPr>
            <w:r w:rsidRPr="00317ABF">
              <w:rPr>
                <w:b/>
                <w:bCs/>
                <w:sz w:val="22"/>
                <w:szCs w:val="22"/>
              </w:rPr>
              <w:t xml:space="preserve">Art. 377. </w:t>
            </w:r>
          </w:p>
          <w:p w14:paraId="3C15CEA4" w14:textId="38300F0D" w:rsidR="006F3F35" w:rsidRPr="00317ABF" w:rsidRDefault="006F3F35" w:rsidP="006F3F35">
            <w:pPr>
              <w:jc w:val="both"/>
              <w:rPr>
                <w:bCs/>
                <w:sz w:val="22"/>
                <w:szCs w:val="22"/>
              </w:rPr>
            </w:pPr>
            <w:r w:rsidRPr="00317ABF">
              <w:rPr>
                <w:bCs/>
                <w:sz w:val="22"/>
                <w:szCs w:val="22"/>
              </w:rPr>
              <w:t>1. Dostawca usług telekomunikacyjnych wobec którego abonent opóźnia się z zapłatą za świadczoną usługę powiadamia tego abonenta o zamiarze zawieszenia świadczenia tej usługi, jeżeli abonent ten nie zapłaci zaległych należności w terminie 14 dni od dnia doręczenia tego powiadomienia.</w:t>
            </w:r>
          </w:p>
          <w:p w14:paraId="2BA538DB" w14:textId="77777777" w:rsidR="006F3F35" w:rsidRPr="00317ABF" w:rsidRDefault="006F3F35" w:rsidP="006F3F35">
            <w:pPr>
              <w:jc w:val="both"/>
              <w:rPr>
                <w:bCs/>
                <w:sz w:val="22"/>
                <w:szCs w:val="22"/>
              </w:rPr>
            </w:pPr>
            <w:r w:rsidRPr="00317ABF">
              <w:rPr>
                <w:bCs/>
                <w:sz w:val="22"/>
                <w:szCs w:val="22"/>
              </w:rPr>
              <w:t>2. Po bezskutecznym upływie terminu, o którym mowa w ust. 1, dostawca usług telekomunikacyjnych może zawiesić świadczenie usługi telekomunikacyjnej co do której abonent opóźnia się z zapłatą.</w:t>
            </w:r>
          </w:p>
          <w:p w14:paraId="7C82E3C6" w14:textId="77777777" w:rsidR="006F3F35" w:rsidRPr="00317ABF" w:rsidRDefault="006F3F35" w:rsidP="006F3F35">
            <w:pPr>
              <w:jc w:val="both"/>
              <w:rPr>
                <w:bCs/>
                <w:sz w:val="22"/>
                <w:szCs w:val="22"/>
              </w:rPr>
            </w:pPr>
            <w:r w:rsidRPr="00317ABF">
              <w:rPr>
                <w:bCs/>
                <w:sz w:val="22"/>
                <w:szCs w:val="22"/>
              </w:rPr>
              <w:t>3. W przypadku złożenia reklamacji co do wysokości należności zawieszenie świadczenia usługi nie może nastąpić wcześniej niż po upływnie 7 dni od dnia wyczerpania drogi postępowania reklamacyjnego, o którym mowa w art. 374 ust. 2, pod warunkiem zapłaty bezspornych należności.</w:t>
            </w:r>
          </w:p>
          <w:p w14:paraId="4469284D" w14:textId="77777777" w:rsidR="006F3F35" w:rsidRPr="00317ABF" w:rsidRDefault="006F3F35" w:rsidP="006F3F35">
            <w:pPr>
              <w:jc w:val="both"/>
              <w:rPr>
                <w:bCs/>
                <w:sz w:val="22"/>
                <w:szCs w:val="22"/>
              </w:rPr>
            </w:pPr>
            <w:r w:rsidRPr="00317ABF">
              <w:rPr>
                <w:bCs/>
                <w:sz w:val="22"/>
                <w:szCs w:val="22"/>
              </w:rPr>
              <w:t>4. Dostawca usług telekomunikacyjnych, który zawiesił świadczenie usługi, o której mowa w ust. 2, niezwłocznie, nie później niż w terminie 3 dni od zapłaty zaległych należności z tytułu świadczenia usługi, wznawia jej świadczenie.</w:t>
            </w:r>
          </w:p>
          <w:p w14:paraId="113BF81A" w14:textId="77777777" w:rsidR="006F3F35" w:rsidRPr="00317ABF" w:rsidRDefault="006F3F35" w:rsidP="006F3F35">
            <w:pPr>
              <w:jc w:val="both"/>
              <w:rPr>
                <w:bCs/>
                <w:sz w:val="22"/>
                <w:szCs w:val="22"/>
              </w:rPr>
            </w:pPr>
            <w:r w:rsidRPr="00317ABF">
              <w:rPr>
                <w:bCs/>
                <w:sz w:val="22"/>
                <w:szCs w:val="22"/>
              </w:rPr>
              <w:t>5. Jeżeli dostawca usług przewiduje opłatę za wznowienie świadczenia usługi, opłata ta powinna odpowiadać ponoszonym kosztom wznowienia świadczenia usługi.</w:t>
            </w:r>
          </w:p>
          <w:p w14:paraId="44A9C706" w14:textId="77777777" w:rsidR="006F3F35" w:rsidRPr="00317ABF" w:rsidRDefault="006F3F35" w:rsidP="006F3F35">
            <w:pPr>
              <w:jc w:val="both"/>
              <w:rPr>
                <w:bCs/>
                <w:sz w:val="22"/>
                <w:szCs w:val="22"/>
              </w:rPr>
            </w:pPr>
            <w:r w:rsidRPr="00317ABF">
              <w:rPr>
                <w:bCs/>
                <w:sz w:val="22"/>
                <w:szCs w:val="22"/>
              </w:rPr>
              <w:t>6. Jeżeli w terminie 7 dni od daty zawieszenia świadczenia usługi telekomunikacyjnej nie ustały przyczyny ich zawieszenia, dostawca usług telekomunikacyjnych powiadamia abonenta o zamiarze wypowiedzenia umowy z winy abonenta po upływie 7 dni od dnia doręczenia tego powiadomienia, jeśli abonent nie zapłaci zaległych należności.</w:t>
            </w:r>
          </w:p>
          <w:p w14:paraId="40451941" w14:textId="77777777" w:rsidR="006F3F35" w:rsidRPr="00317ABF" w:rsidRDefault="006F3F35" w:rsidP="006F3F35">
            <w:pPr>
              <w:jc w:val="both"/>
              <w:rPr>
                <w:bCs/>
                <w:sz w:val="22"/>
                <w:szCs w:val="22"/>
              </w:rPr>
            </w:pPr>
            <w:r w:rsidRPr="00317ABF">
              <w:rPr>
                <w:bCs/>
                <w:sz w:val="22"/>
                <w:szCs w:val="22"/>
              </w:rPr>
              <w:t>7.</w:t>
            </w:r>
            <w:r w:rsidRPr="00317ABF" w:rsidDel="00447276">
              <w:rPr>
                <w:bCs/>
                <w:sz w:val="22"/>
                <w:szCs w:val="22"/>
              </w:rPr>
              <w:t xml:space="preserve"> </w:t>
            </w:r>
            <w:r w:rsidRPr="00317ABF">
              <w:rPr>
                <w:bCs/>
                <w:sz w:val="22"/>
                <w:szCs w:val="22"/>
              </w:rPr>
              <w:t>Powiadomienie, o którym mowa w ust. 1 i 6,</w:t>
            </w:r>
            <w:r w:rsidRPr="00317ABF" w:rsidDel="00447276">
              <w:rPr>
                <w:bCs/>
                <w:sz w:val="22"/>
                <w:szCs w:val="22"/>
              </w:rPr>
              <w:t xml:space="preserve"> </w:t>
            </w:r>
            <w:r w:rsidRPr="00317ABF">
              <w:rPr>
                <w:bCs/>
                <w:sz w:val="22"/>
                <w:szCs w:val="22"/>
              </w:rPr>
              <w:t>doręcza się bezpłatnie na trwałym nośniku na wskazany przez abonenta do kontaktu adres korespondencyjny,</w:t>
            </w:r>
            <w:r w:rsidRPr="00317ABF" w:rsidDel="00633C2E">
              <w:rPr>
                <w:bCs/>
                <w:sz w:val="22"/>
                <w:szCs w:val="22"/>
              </w:rPr>
              <w:t xml:space="preserve"> </w:t>
            </w:r>
            <w:r w:rsidRPr="00317ABF">
              <w:rPr>
                <w:bCs/>
                <w:sz w:val="22"/>
                <w:szCs w:val="22"/>
              </w:rPr>
              <w:t>adres poczty elektronicznej lub adres innego środka komunikacji elektronicznej, jeżeli dostawca usług umożliwia korzystanie z innego środka komunikacji elektronicznej.</w:t>
            </w:r>
          </w:p>
          <w:p w14:paraId="7D8BDABB" w14:textId="17CF3EEF" w:rsidR="001E1112" w:rsidRPr="00317ABF" w:rsidRDefault="001E1112" w:rsidP="00DB3BEC">
            <w:pPr>
              <w:jc w:val="both"/>
              <w:rPr>
                <w:b/>
                <w:bCs/>
                <w:sz w:val="22"/>
                <w:szCs w:val="22"/>
              </w:rPr>
            </w:pPr>
          </w:p>
          <w:p w14:paraId="710E138A" w14:textId="6CE05662" w:rsidR="006F3F35" w:rsidRPr="00317ABF" w:rsidRDefault="006F3F35" w:rsidP="006F3F35">
            <w:pPr>
              <w:jc w:val="both"/>
              <w:rPr>
                <w:bCs/>
                <w:sz w:val="22"/>
                <w:szCs w:val="22"/>
              </w:rPr>
            </w:pPr>
            <w:r w:rsidRPr="00317ABF">
              <w:rPr>
                <w:b/>
                <w:bCs/>
                <w:sz w:val="22"/>
                <w:szCs w:val="22"/>
              </w:rPr>
              <w:t>Art. 297.</w:t>
            </w:r>
            <w:r w:rsidRPr="00317ABF">
              <w:rPr>
                <w:bCs/>
                <w:sz w:val="22"/>
                <w:szCs w:val="22"/>
              </w:rPr>
              <w:t xml:space="preserve"> Dostawca usług telekomunikacyjnych, zapewnia abonentom możliwość uzyskania połączenia głosowego z konsultantem dostawcy usług, w tym w celu uzyskania informacji dotyczących alternatywnych taryf, jeżeli takie są dostępne.</w:t>
            </w:r>
          </w:p>
          <w:p w14:paraId="624B8124" w14:textId="1FA6AC3A" w:rsidR="006F3F35" w:rsidRPr="00317ABF" w:rsidRDefault="006F3F35" w:rsidP="00DB3BEC">
            <w:pPr>
              <w:jc w:val="both"/>
              <w:rPr>
                <w:sz w:val="22"/>
                <w:szCs w:val="22"/>
              </w:rPr>
            </w:pPr>
          </w:p>
          <w:p w14:paraId="7A066211" w14:textId="2387EA87" w:rsidR="001E1112" w:rsidRPr="00317ABF" w:rsidRDefault="001E1112" w:rsidP="00EA67D9">
            <w:pPr>
              <w:jc w:val="both"/>
              <w:rPr>
                <w:b/>
                <w:bCs/>
                <w:sz w:val="22"/>
                <w:szCs w:val="22"/>
              </w:rPr>
            </w:pPr>
            <w:r w:rsidRPr="00317ABF">
              <w:rPr>
                <w:b/>
                <w:bCs/>
                <w:sz w:val="22"/>
                <w:szCs w:val="22"/>
              </w:rPr>
              <w:t xml:space="preserve">Art. </w:t>
            </w:r>
            <w:r w:rsidR="00EA67D9" w:rsidRPr="00317ABF">
              <w:rPr>
                <w:b/>
                <w:bCs/>
                <w:sz w:val="22"/>
                <w:szCs w:val="22"/>
              </w:rPr>
              <w:t>311</w:t>
            </w:r>
          </w:p>
          <w:p w14:paraId="77356E13" w14:textId="15A61370" w:rsidR="00EA67D9" w:rsidRPr="00317ABF" w:rsidRDefault="00EA67D9" w:rsidP="00EA67D9">
            <w:pPr>
              <w:jc w:val="both"/>
              <w:rPr>
                <w:bCs/>
                <w:sz w:val="22"/>
                <w:szCs w:val="22"/>
              </w:rPr>
            </w:pPr>
            <w:r w:rsidRPr="00317ABF">
              <w:rPr>
                <w:bCs/>
                <w:sz w:val="22"/>
                <w:szCs w:val="22"/>
              </w:rPr>
              <w:t>1. Dostawca usługi dostępu do internetu lub usługi komunikacji interpersonalnej rozliczanych w oparciu o czas albo ilość wykorzystanych danych lub jednostek taryfikacyjnych zapewnia konsumentowi narzędzie umożliwiające monitorowanie oraz kontrolowanie wykorzystania tych usług, obejmujące dostęp do aktualnych informacji w tym zakresie.</w:t>
            </w:r>
          </w:p>
          <w:p w14:paraId="57CCCD75" w14:textId="77777777" w:rsidR="00EA67D9" w:rsidRPr="00317ABF" w:rsidRDefault="00EA67D9" w:rsidP="00EA67D9">
            <w:pPr>
              <w:jc w:val="both"/>
              <w:rPr>
                <w:bCs/>
                <w:sz w:val="22"/>
                <w:szCs w:val="22"/>
              </w:rPr>
            </w:pPr>
            <w:r w:rsidRPr="00317ABF">
              <w:rPr>
                <w:bCs/>
                <w:sz w:val="22"/>
                <w:szCs w:val="22"/>
              </w:rPr>
              <w:t>2. Dostawca, o którym mowa w ust. 1, powiadamia konsumenta przed osiągnieciem limitu zużycia usługi w ramach wybranego przez niego pakietu taryfowego i po całkowitym wykorzystaniu tego limitu.</w:t>
            </w:r>
          </w:p>
          <w:p w14:paraId="3A7B3408" w14:textId="77777777" w:rsidR="00EA67D9" w:rsidRPr="00317ABF" w:rsidRDefault="00EA67D9" w:rsidP="00EA67D9">
            <w:pPr>
              <w:jc w:val="both"/>
              <w:rPr>
                <w:sz w:val="22"/>
                <w:szCs w:val="22"/>
              </w:rPr>
            </w:pPr>
          </w:p>
          <w:p w14:paraId="2E54CC26" w14:textId="77777777" w:rsidR="001E1112" w:rsidRPr="00317ABF" w:rsidRDefault="001E1112" w:rsidP="00DB3BEC">
            <w:pPr>
              <w:jc w:val="both"/>
              <w:rPr>
                <w:sz w:val="22"/>
                <w:szCs w:val="22"/>
              </w:rPr>
            </w:pPr>
          </w:p>
          <w:p w14:paraId="42514AA2" w14:textId="06289AC3" w:rsidR="001E1112" w:rsidRPr="00317ABF" w:rsidRDefault="001E1112" w:rsidP="00DB3BEC">
            <w:pPr>
              <w:jc w:val="both"/>
              <w:rPr>
                <w:sz w:val="22"/>
                <w:szCs w:val="22"/>
              </w:rPr>
            </w:pPr>
          </w:p>
          <w:p w14:paraId="5E42380F" w14:textId="77777777" w:rsidR="00BD743E" w:rsidRPr="00317ABF" w:rsidRDefault="00BD743E" w:rsidP="00BD743E">
            <w:pPr>
              <w:jc w:val="both"/>
              <w:rPr>
                <w:b/>
                <w:bCs/>
                <w:sz w:val="22"/>
                <w:szCs w:val="22"/>
              </w:rPr>
            </w:pPr>
            <w:r w:rsidRPr="00317ABF">
              <w:rPr>
                <w:b/>
                <w:bCs/>
                <w:sz w:val="22"/>
                <w:szCs w:val="22"/>
              </w:rPr>
              <w:t xml:space="preserve">Art. 344. </w:t>
            </w:r>
          </w:p>
          <w:p w14:paraId="1885DA4C" w14:textId="2D6D6FCB" w:rsidR="00BD743E" w:rsidRPr="00317ABF" w:rsidRDefault="00BD743E" w:rsidP="00BD743E">
            <w:pPr>
              <w:jc w:val="both"/>
              <w:rPr>
                <w:bCs/>
                <w:sz w:val="22"/>
                <w:szCs w:val="22"/>
              </w:rPr>
            </w:pPr>
            <w:r w:rsidRPr="00317ABF">
              <w:rPr>
                <w:bCs/>
                <w:sz w:val="22"/>
                <w:szCs w:val="22"/>
              </w:rPr>
              <w:t xml:space="preserve">1. Świadczenie usługi fakultatywnego obciążania rachunku wymaga uzyskania uprzedniej zgody abonenta na uruchomienie tej usługi. Dostawca usług komunikacji elektronicznej utrwala i doręcza abonentowi, na trwałym nośniku, wyrażoną zgodę. </w:t>
            </w:r>
          </w:p>
          <w:p w14:paraId="29F4175D" w14:textId="167FD11C" w:rsidR="00C0696A" w:rsidRPr="00317ABF" w:rsidRDefault="00BD743E" w:rsidP="00C0696A">
            <w:pPr>
              <w:jc w:val="both"/>
              <w:rPr>
                <w:bCs/>
                <w:sz w:val="22"/>
                <w:szCs w:val="22"/>
              </w:rPr>
            </w:pPr>
            <w:r w:rsidRPr="00317ABF">
              <w:rPr>
                <w:bCs/>
                <w:sz w:val="22"/>
                <w:szCs w:val="22"/>
              </w:rPr>
              <w:t xml:space="preserve">2. Zgoda, o której mowa w ust. 1, może zostać udzielona poprzez wybór progu kwotowego dla usługi fakultatywnego obciążania rachunku, dla każdego okresu rozliczeniowego, a w przypadku jego braku - dla każdego miesiąca kalendarzowego. </w:t>
            </w:r>
          </w:p>
          <w:p w14:paraId="4085DE1D" w14:textId="77777777" w:rsidR="001E1112" w:rsidRPr="00317ABF" w:rsidRDefault="001E1112" w:rsidP="00C0696A">
            <w:pPr>
              <w:rPr>
                <w:sz w:val="22"/>
                <w:szCs w:val="22"/>
              </w:rPr>
            </w:pPr>
          </w:p>
        </w:tc>
      </w:tr>
      <w:tr w:rsidR="001E1112" w:rsidRPr="00317ABF" w14:paraId="034BBF5A" w14:textId="77777777" w:rsidTr="7753F98D">
        <w:trPr>
          <w:gridAfter w:val="2"/>
          <w:wAfter w:w="175" w:type="dxa"/>
        </w:trPr>
        <w:tc>
          <w:tcPr>
            <w:tcW w:w="704" w:type="dxa"/>
          </w:tcPr>
          <w:p w14:paraId="3CAB9531" w14:textId="441B4BD3" w:rsidR="001E1112" w:rsidRPr="00317ABF" w:rsidRDefault="001E1112" w:rsidP="00DB3BEC">
            <w:pPr>
              <w:jc w:val="both"/>
              <w:rPr>
                <w:sz w:val="22"/>
                <w:szCs w:val="22"/>
              </w:rPr>
            </w:pPr>
            <w:r w:rsidRPr="00317ABF">
              <w:rPr>
                <w:sz w:val="22"/>
                <w:szCs w:val="22"/>
              </w:rPr>
              <w:t>Część B</w:t>
            </w:r>
          </w:p>
        </w:tc>
        <w:tc>
          <w:tcPr>
            <w:tcW w:w="4308" w:type="dxa"/>
          </w:tcPr>
          <w:p w14:paraId="1D54F46E" w14:textId="77777777" w:rsidR="001E1112" w:rsidRPr="00317ABF" w:rsidRDefault="001E1112" w:rsidP="00DB3BEC">
            <w:pPr>
              <w:spacing w:before="120"/>
              <w:jc w:val="both"/>
              <w:rPr>
                <w:sz w:val="22"/>
                <w:szCs w:val="22"/>
              </w:rPr>
            </w:pPr>
            <w:r w:rsidRPr="00317ABF">
              <w:rPr>
                <w:bCs/>
                <w:sz w:val="22"/>
                <w:szCs w:val="22"/>
              </w:rPr>
              <w:t>Usługi dodatkowe, o których mowa w art. 115</w:t>
            </w:r>
          </w:p>
        </w:tc>
        <w:tc>
          <w:tcPr>
            <w:tcW w:w="986" w:type="dxa"/>
          </w:tcPr>
          <w:p w14:paraId="236A5EFC" w14:textId="152CD031" w:rsidR="001E1112" w:rsidRPr="00317ABF" w:rsidRDefault="001E1112" w:rsidP="00DB3BEC">
            <w:pPr>
              <w:jc w:val="both"/>
              <w:rPr>
                <w:sz w:val="22"/>
                <w:szCs w:val="22"/>
              </w:rPr>
            </w:pPr>
            <w:r w:rsidRPr="00317ABF">
              <w:rPr>
                <w:sz w:val="22"/>
                <w:szCs w:val="22"/>
              </w:rPr>
              <w:t>T</w:t>
            </w:r>
          </w:p>
        </w:tc>
        <w:tc>
          <w:tcPr>
            <w:tcW w:w="910" w:type="dxa"/>
          </w:tcPr>
          <w:p w14:paraId="3D4AEC61" w14:textId="603DF468" w:rsidR="001E1112" w:rsidRPr="00317ABF" w:rsidRDefault="00EC0AF9" w:rsidP="00DB3BEC">
            <w:pPr>
              <w:pStyle w:val="Tekstpodstawowy"/>
              <w:rPr>
                <w:b/>
                <w:sz w:val="22"/>
                <w:szCs w:val="22"/>
                <w:lang w:val="en-US"/>
              </w:rPr>
            </w:pPr>
            <w:r w:rsidRPr="00317ABF">
              <w:rPr>
                <w:b/>
                <w:sz w:val="22"/>
                <w:szCs w:val="22"/>
                <w:lang w:val="en-US"/>
              </w:rPr>
              <w:t>Lit. a) – art. 392</w:t>
            </w:r>
            <w:r w:rsidR="001E1112" w:rsidRPr="00317ABF">
              <w:rPr>
                <w:b/>
                <w:sz w:val="22"/>
                <w:szCs w:val="22"/>
                <w:lang w:val="en-US"/>
              </w:rPr>
              <w:t xml:space="preserve"> ust. 1</w:t>
            </w:r>
          </w:p>
          <w:p w14:paraId="1AA278B9" w14:textId="2952C379" w:rsidR="001E1112" w:rsidRPr="00317ABF" w:rsidRDefault="001E1112" w:rsidP="00DB3BEC">
            <w:pPr>
              <w:pStyle w:val="Tekstpodstawowy"/>
              <w:rPr>
                <w:b/>
                <w:sz w:val="22"/>
                <w:szCs w:val="22"/>
                <w:lang w:val="en-US"/>
              </w:rPr>
            </w:pPr>
          </w:p>
          <w:p w14:paraId="0A39C321" w14:textId="2952C379" w:rsidR="001E1112" w:rsidRPr="00317ABF" w:rsidRDefault="001E1112" w:rsidP="00DB3BEC">
            <w:pPr>
              <w:pStyle w:val="Tekstpodstawowy"/>
              <w:rPr>
                <w:b/>
                <w:sz w:val="22"/>
                <w:szCs w:val="22"/>
                <w:lang w:val="en-US"/>
              </w:rPr>
            </w:pPr>
          </w:p>
          <w:p w14:paraId="73E71E7E" w14:textId="77777777" w:rsidR="00EC0AF9" w:rsidRPr="00317ABF" w:rsidRDefault="00EC0AF9" w:rsidP="00DB3BEC">
            <w:pPr>
              <w:pStyle w:val="Tekstpodstawowy"/>
              <w:rPr>
                <w:b/>
                <w:sz w:val="22"/>
                <w:szCs w:val="22"/>
                <w:lang w:val="en-US"/>
              </w:rPr>
            </w:pPr>
          </w:p>
          <w:p w14:paraId="38AAD2C6" w14:textId="541AFEB1" w:rsidR="001E1112" w:rsidRPr="00317ABF" w:rsidRDefault="001E1112" w:rsidP="00EC0AF9">
            <w:pPr>
              <w:pStyle w:val="Tekstpodstawowy"/>
              <w:rPr>
                <w:b/>
                <w:sz w:val="22"/>
                <w:szCs w:val="22"/>
                <w:lang w:val="en-US"/>
              </w:rPr>
            </w:pPr>
            <w:r w:rsidRPr="00317ABF">
              <w:rPr>
                <w:b/>
                <w:sz w:val="22"/>
                <w:szCs w:val="22"/>
                <w:lang w:val="en-US"/>
              </w:rPr>
              <w:t xml:space="preserve">Lit. b) – art. </w:t>
            </w:r>
            <w:r w:rsidR="00EC0AF9" w:rsidRPr="00317ABF">
              <w:rPr>
                <w:b/>
                <w:sz w:val="22"/>
                <w:szCs w:val="22"/>
                <w:lang w:val="en-US"/>
              </w:rPr>
              <w:t>312 ust. 11</w:t>
            </w:r>
          </w:p>
        </w:tc>
        <w:tc>
          <w:tcPr>
            <w:tcW w:w="6814" w:type="dxa"/>
            <w:gridSpan w:val="2"/>
          </w:tcPr>
          <w:p w14:paraId="500F2584" w14:textId="77777777" w:rsidR="00EC0AF9" w:rsidRPr="00317ABF" w:rsidRDefault="00EC0AF9" w:rsidP="00EC0AF9">
            <w:pPr>
              <w:jc w:val="both"/>
              <w:rPr>
                <w:b/>
                <w:bCs/>
                <w:sz w:val="22"/>
                <w:szCs w:val="22"/>
              </w:rPr>
            </w:pPr>
            <w:r w:rsidRPr="00317ABF">
              <w:rPr>
                <w:b/>
                <w:bCs/>
                <w:sz w:val="22"/>
                <w:szCs w:val="22"/>
              </w:rPr>
              <w:t>Art. 392. </w:t>
            </w:r>
          </w:p>
          <w:p w14:paraId="3FC0C366" w14:textId="701F17F6" w:rsidR="00EC0AF9" w:rsidRPr="00317ABF" w:rsidRDefault="00EC0AF9" w:rsidP="00EC0AF9">
            <w:pPr>
              <w:jc w:val="both"/>
              <w:rPr>
                <w:bCs/>
                <w:sz w:val="22"/>
                <w:szCs w:val="22"/>
              </w:rPr>
            </w:pPr>
            <w:r w:rsidRPr="00317ABF">
              <w:rPr>
                <w:bCs/>
                <w:sz w:val="22"/>
                <w:szCs w:val="22"/>
              </w:rPr>
              <w:t>1. Operator, w którego sieci świadczone są usługi komunikacji głosowej, zapewnia użytkownikowi końcowemu możliwość prezentacji identyfikacji zakończenia sieci, z którego inicjowane jest połączenie, zwanej dalej „prezentacją identyfikacji linii wywołującej”, przed dokonaniem połączenia.</w:t>
            </w:r>
          </w:p>
          <w:p w14:paraId="03F9583E" w14:textId="21549ACA" w:rsidR="001E1112" w:rsidRPr="00317ABF" w:rsidRDefault="001E1112" w:rsidP="00DB3BEC">
            <w:pPr>
              <w:jc w:val="both"/>
              <w:rPr>
                <w:sz w:val="22"/>
                <w:szCs w:val="22"/>
              </w:rPr>
            </w:pPr>
          </w:p>
          <w:p w14:paraId="4C6F1FCA" w14:textId="330BD43A" w:rsidR="00EC0AF9" w:rsidRPr="00317ABF" w:rsidRDefault="00EC0AF9" w:rsidP="00EC0AF9">
            <w:pPr>
              <w:jc w:val="both"/>
              <w:rPr>
                <w:b/>
                <w:bCs/>
                <w:sz w:val="22"/>
                <w:szCs w:val="22"/>
              </w:rPr>
            </w:pPr>
            <w:r w:rsidRPr="00317ABF">
              <w:rPr>
                <w:b/>
                <w:bCs/>
                <w:sz w:val="22"/>
                <w:szCs w:val="22"/>
              </w:rPr>
              <w:t>Art. 312.</w:t>
            </w:r>
          </w:p>
          <w:p w14:paraId="661E6F8C" w14:textId="467E5733" w:rsidR="00EC0AF9" w:rsidRPr="00317ABF" w:rsidRDefault="00EC0AF9" w:rsidP="00EC0AF9">
            <w:pPr>
              <w:jc w:val="both"/>
              <w:rPr>
                <w:b/>
                <w:bCs/>
                <w:sz w:val="22"/>
                <w:szCs w:val="22"/>
              </w:rPr>
            </w:pPr>
            <w:r w:rsidRPr="00317ABF">
              <w:rPr>
                <w:b/>
                <w:bCs/>
                <w:sz w:val="22"/>
                <w:szCs w:val="22"/>
              </w:rPr>
              <w:t>(…)</w:t>
            </w:r>
          </w:p>
          <w:p w14:paraId="45C2F4FA" w14:textId="77E4299F" w:rsidR="001E1112" w:rsidRPr="00317ABF" w:rsidRDefault="00EC0AF9" w:rsidP="00DB3BEC">
            <w:pPr>
              <w:jc w:val="both"/>
              <w:rPr>
                <w:bCs/>
                <w:sz w:val="22"/>
                <w:szCs w:val="22"/>
              </w:rPr>
            </w:pPr>
            <w:r w:rsidRPr="00317ABF">
              <w:rPr>
                <w:bCs/>
                <w:sz w:val="22"/>
                <w:szCs w:val="22"/>
              </w:rPr>
              <w:t>11. W przypadku zakończenia obowiązywania umowy o świadczenie usługi komunikacji elektronicznej, w zakresie usługi dostępu do internetu, w ramach której dostawca usługi zapewniał dostęp do poczty elektronicznej, której adres związany jest z nazwą handlową lub znakiem towarowym tego dostawcy usługi, abonent może żądać od dostawcy zapewnienia bezpłatnego dostępu do tej poczty przez okres 6 miesięcy od dnia rozwiązania zakończenia umowy.</w:t>
            </w:r>
          </w:p>
        </w:tc>
      </w:tr>
      <w:tr w:rsidR="001E1112" w:rsidRPr="00317ABF" w14:paraId="42747AA5" w14:textId="77777777" w:rsidTr="7753F98D">
        <w:trPr>
          <w:gridAfter w:val="2"/>
          <w:wAfter w:w="175" w:type="dxa"/>
        </w:trPr>
        <w:tc>
          <w:tcPr>
            <w:tcW w:w="704" w:type="dxa"/>
          </w:tcPr>
          <w:p w14:paraId="011FCEDD" w14:textId="6F876F4E" w:rsidR="001E1112" w:rsidRPr="00317ABF" w:rsidRDefault="001E1112" w:rsidP="00DB3BEC">
            <w:pPr>
              <w:jc w:val="both"/>
              <w:rPr>
                <w:sz w:val="22"/>
                <w:szCs w:val="22"/>
              </w:rPr>
            </w:pPr>
            <w:r w:rsidRPr="00317ABF">
              <w:rPr>
                <w:sz w:val="22"/>
                <w:szCs w:val="22"/>
              </w:rPr>
              <w:t>Część C</w:t>
            </w:r>
          </w:p>
        </w:tc>
        <w:tc>
          <w:tcPr>
            <w:tcW w:w="4308" w:type="dxa"/>
          </w:tcPr>
          <w:p w14:paraId="4CBA3850" w14:textId="77777777" w:rsidR="001E1112" w:rsidRPr="00317ABF" w:rsidRDefault="001E1112" w:rsidP="00DB3BEC">
            <w:pPr>
              <w:spacing w:before="120"/>
              <w:jc w:val="both"/>
              <w:rPr>
                <w:sz w:val="22"/>
                <w:szCs w:val="22"/>
              </w:rPr>
            </w:pPr>
            <w:r w:rsidRPr="00317ABF">
              <w:rPr>
                <w:bCs/>
                <w:sz w:val="22"/>
                <w:szCs w:val="22"/>
              </w:rPr>
              <w:t>Wprowadzenie w życie przepisów o przenoszeniu numerów, o którym mowa w art. 106</w:t>
            </w:r>
          </w:p>
        </w:tc>
        <w:tc>
          <w:tcPr>
            <w:tcW w:w="986" w:type="dxa"/>
          </w:tcPr>
          <w:p w14:paraId="49A8D76A" w14:textId="78B3A1B4" w:rsidR="001E1112" w:rsidRPr="00317ABF" w:rsidRDefault="001E1112" w:rsidP="00DB3BEC">
            <w:pPr>
              <w:jc w:val="both"/>
              <w:rPr>
                <w:sz w:val="22"/>
                <w:szCs w:val="22"/>
              </w:rPr>
            </w:pPr>
            <w:r w:rsidRPr="00317ABF">
              <w:rPr>
                <w:sz w:val="22"/>
                <w:szCs w:val="22"/>
              </w:rPr>
              <w:t>T</w:t>
            </w:r>
          </w:p>
        </w:tc>
        <w:tc>
          <w:tcPr>
            <w:tcW w:w="910" w:type="dxa"/>
          </w:tcPr>
          <w:p w14:paraId="218B1F83" w14:textId="41FFA786" w:rsidR="001E1112" w:rsidRPr="00317ABF" w:rsidRDefault="001E1112" w:rsidP="00C001A8">
            <w:pPr>
              <w:pStyle w:val="Tekstpodstawowy"/>
              <w:rPr>
                <w:b/>
                <w:noProof/>
                <w:sz w:val="22"/>
                <w:szCs w:val="22"/>
              </w:rPr>
            </w:pPr>
            <w:r w:rsidRPr="00317ABF">
              <w:rPr>
                <w:b/>
                <w:noProof/>
                <w:sz w:val="22"/>
                <w:szCs w:val="22"/>
              </w:rPr>
              <w:t xml:space="preserve">Art. </w:t>
            </w:r>
            <w:r w:rsidR="00C001A8" w:rsidRPr="00317ABF">
              <w:rPr>
                <w:b/>
                <w:noProof/>
                <w:sz w:val="22"/>
                <w:szCs w:val="22"/>
              </w:rPr>
              <w:t xml:space="preserve">319 </w:t>
            </w:r>
            <w:r w:rsidRPr="00317ABF">
              <w:rPr>
                <w:b/>
                <w:noProof/>
                <w:sz w:val="22"/>
                <w:szCs w:val="22"/>
              </w:rPr>
              <w:t>ust. 1</w:t>
            </w:r>
          </w:p>
        </w:tc>
        <w:tc>
          <w:tcPr>
            <w:tcW w:w="6814" w:type="dxa"/>
            <w:gridSpan w:val="2"/>
          </w:tcPr>
          <w:p w14:paraId="3D1C3930" w14:textId="77777777" w:rsidR="00C001A8" w:rsidRPr="00317ABF" w:rsidRDefault="00C001A8" w:rsidP="00C001A8">
            <w:pPr>
              <w:jc w:val="both"/>
              <w:rPr>
                <w:b/>
                <w:bCs/>
                <w:sz w:val="22"/>
                <w:szCs w:val="22"/>
              </w:rPr>
            </w:pPr>
            <w:r w:rsidRPr="00317ABF">
              <w:rPr>
                <w:b/>
                <w:bCs/>
                <w:sz w:val="22"/>
                <w:szCs w:val="22"/>
              </w:rPr>
              <w:t xml:space="preserve">Art. 319. </w:t>
            </w:r>
          </w:p>
          <w:p w14:paraId="01BE8D7B" w14:textId="7ECAC1C6" w:rsidR="00C001A8" w:rsidRPr="00317ABF" w:rsidRDefault="00C001A8" w:rsidP="00C001A8">
            <w:pPr>
              <w:jc w:val="both"/>
              <w:rPr>
                <w:bCs/>
                <w:sz w:val="22"/>
                <w:szCs w:val="22"/>
              </w:rPr>
            </w:pPr>
            <w:r w:rsidRPr="00317ABF">
              <w:rPr>
                <w:bCs/>
                <w:sz w:val="22"/>
                <w:szCs w:val="22"/>
              </w:rPr>
              <w:t>1. Abonent będący stroną umowy z dostawcą usługi komunikacji głosowej, w której przydzielany jest abonentowi numer z planu numeracji krajowej dla publicznych sieci telekomunikacyjnych, może żądać przy zmianie dostawcy usługi komunikacji głosowej przeniesieni</w:t>
            </w:r>
            <w:r w:rsidRPr="00317ABF" w:rsidDel="00F13E1C">
              <w:rPr>
                <w:bCs/>
                <w:sz w:val="22"/>
                <w:szCs w:val="22"/>
              </w:rPr>
              <w:t>a</w:t>
            </w:r>
            <w:r w:rsidRPr="00317ABF">
              <w:rPr>
                <w:bCs/>
                <w:sz w:val="22"/>
                <w:szCs w:val="22"/>
              </w:rPr>
              <w:t xml:space="preserve"> przydzielonego numeru do istniejącej sieci operatora na:</w:t>
            </w:r>
          </w:p>
          <w:p w14:paraId="0646461C" w14:textId="77777777" w:rsidR="00C001A8" w:rsidRPr="00317ABF" w:rsidRDefault="00C001A8" w:rsidP="00C001A8">
            <w:pPr>
              <w:jc w:val="both"/>
              <w:rPr>
                <w:bCs/>
                <w:sz w:val="22"/>
                <w:szCs w:val="22"/>
              </w:rPr>
            </w:pPr>
            <w:r w:rsidRPr="00317ABF">
              <w:rPr>
                <w:bCs/>
                <w:sz w:val="22"/>
                <w:szCs w:val="22"/>
              </w:rPr>
              <w:t>1)</w:t>
            </w:r>
            <w:r w:rsidRPr="00317ABF">
              <w:rPr>
                <w:bCs/>
                <w:sz w:val="22"/>
                <w:szCs w:val="22"/>
              </w:rPr>
              <w:tab/>
              <w:t>obszarze geograficznym - w przypadku numerów geograficznych;</w:t>
            </w:r>
          </w:p>
          <w:p w14:paraId="10F3F067" w14:textId="4378B2E1" w:rsidR="001E1112" w:rsidRPr="00317ABF" w:rsidRDefault="00C001A8" w:rsidP="00DB3BEC">
            <w:pPr>
              <w:jc w:val="both"/>
              <w:rPr>
                <w:b/>
                <w:bCs/>
                <w:sz w:val="22"/>
                <w:szCs w:val="22"/>
              </w:rPr>
            </w:pPr>
            <w:r w:rsidRPr="00317ABF">
              <w:rPr>
                <w:bCs/>
                <w:sz w:val="22"/>
                <w:szCs w:val="22"/>
              </w:rPr>
              <w:t>2)</w:t>
            </w:r>
            <w:r w:rsidRPr="00317ABF">
              <w:rPr>
                <w:bCs/>
                <w:sz w:val="22"/>
                <w:szCs w:val="22"/>
              </w:rPr>
              <w:tab/>
              <w:t>terenie całego kraju - w przypadku numerów niegeograficznych.</w:t>
            </w:r>
          </w:p>
        </w:tc>
      </w:tr>
      <w:tr w:rsidR="001E1112" w:rsidRPr="00317ABF" w14:paraId="04B8BFC8" w14:textId="77777777" w:rsidTr="7753F98D">
        <w:trPr>
          <w:gridAfter w:val="2"/>
          <w:wAfter w:w="175" w:type="dxa"/>
        </w:trPr>
        <w:tc>
          <w:tcPr>
            <w:tcW w:w="704" w:type="dxa"/>
          </w:tcPr>
          <w:p w14:paraId="14327ECF" w14:textId="323BEE52" w:rsidR="001E1112" w:rsidRPr="00317ABF" w:rsidRDefault="001E1112" w:rsidP="00DB3BEC">
            <w:pPr>
              <w:jc w:val="both"/>
              <w:rPr>
                <w:sz w:val="22"/>
                <w:szCs w:val="22"/>
              </w:rPr>
            </w:pPr>
            <w:r w:rsidRPr="00317ABF">
              <w:rPr>
                <w:b/>
                <w:sz w:val="22"/>
                <w:szCs w:val="22"/>
              </w:rPr>
              <w:t>Załącznik VII</w:t>
            </w:r>
          </w:p>
        </w:tc>
        <w:tc>
          <w:tcPr>
            <w:tcW w:w="4308" w:type="dxa"/>
          </w:tcPr>
          <w:p w14:paraId="611BD552" w14:textId="77777777" w:rsidR="001E1112" w:rsidRPr="00317ABF" w:rsidRDefault="001E1112" w:rsidP="00DB3BEC">
            <w:pPr>
              <w:spacing w:before="120"/>
              <w:jc w:val="both"/>
              <w:rPr>
                <w:sz w:val="22"/>
                <w:szCs w:val="22"/>
              </w:rPr>
            </w:pPr>
            <w:r w:rsidRPr="00317ABF">
              <w:rPr>
                <w:b/>
                <w:bCs/>
                <w:sz w:val="22"/>
                <w:szCs w:val="22"/>
              </w:rPr>
              <w:t>OBLICZANIE KOSZTU NETTO OBOWIĄZKU ŚWIADCZENIA USŁUGI POWSZECHNEJ, JEŚLI TAKI KOSZT WYSTĘPUJE, ORAZ USTANAWIANIE MECHANIZMÓW REKOMPENSATY LUB DZIELENIA KOSZTÓW ZGODNIE Z ART. 89 I 890</w:t>
            </w:r>
          </w:p>
        </w:tc>
        <w:tc>
          <w:tcPr>
            <w:tcW w:w="986" w:type="dxa"/>
          </w:tcPr>
          <w:p w14:paraId="260EDBA0" w14:textId="77777777" w:rsidR="001E1112" w:rsidRPr="00317ABF" w:rsidRDefault="001E1112" w:rsidP="00DB3BEC">
            <w:pPr>
              <w:jc w:val="both"/>
              <w:rPr>
                <w:sz w:val="22"/>
                <w:szCs w:val="22"/>
              </w:rPr>
            </w:pPr>
          </w:p>
        </w:tc>
        <w:tc>
          <w:tcPr>
            <w:tcW w:w="910" w:type="dxa"/>
          </w:tcPr>
          <w:p w14:paraId="3C6A8BF2" w14:textId="77777777" w:rsidR="001E1112" w:rsidRPr="00317ABF" w:rsidRDefault="001E1112" w:rsidP="00DB3BEC">
            <w:pPr>
              <w:pStyle w:val="Tekstpodstawowy"/>
              <w:rPr>
                <w:b/>
                <w:noProof/>
                <w:sz w:val="22"/>
                <w:szCs w:val="22"/>
              </w:rPr>
            </w:pPr>
          </w:p>
        </w:tc>
        <w:tc>
          <w:tcPr>
            <w:tcW w:w="6814" w:type="dxa"/>
            <w:gridSpan w:val="2"/>
          </w:tcPr>
          <w:p w14:paraId="0EE1D3B7" w14:textId="5C152511" w:rsidR="001E1112" w:rsidRPr="00317ABF" w:rsidRDefault="001E1112" w:rsidP="00DB3BEC">
            <w:pPr>
              <w:pStyle w:val="Tekstpodstawowy"/>
              <w:rPr>
                <w:sz w:val="22"/>
                <w:szCs w:val="22"/>
              </w:rPr>
            </w:pPr>
          </w:p>
        </w:tc>
      </w:tr>
      <w:tr w:rsidR="001E1112" w:rsidRPr="00317ABF" w14:paraId="184335C4" w14:textId="77777777" w:rsidTr="7753F98D">
        <w:trPr>
          <w:gridAfter w:val="2"/>
          <w:wAfter w:w="175" w:type="dxa"/>
        </w:trPr>
        <w:tc>
          <w:tcPr>
            <w:tcW w:w="704" w:type="dxa"/>
          </w:tcPr>
          <w:p w14:paraId="175DD7F2" w14:textId="02AA5896" w:rsidR="001E1112" w:rsidRPr="00317ABF" w:rsidRDefault="001E1112" w:rsidP="00DB3BEC">
            <w:pPr>
              <w:jc w:val="both"/>
              <w:rPr>
                <w:sz w:val="22"/>
                <w:szCs w:val="22"/>
              </w:rPr>
            </w:pPr>
            <w:r w:rsidRPr="00317ABF">
              <w:rPr>
                <w:sz w:val="22"/>
                <w:szCs w:val="22"/>
              </w:rPr>
              <w:t>Część A</w:t>
            </w:r>
          </w:p>
        </w:tc>
        <w:tc>
          <w:tcPr>
            <w:tcW w:w="4308" w:type="dxa"/>
          </w:tcPr>
          <w:p w14:paraId="67D299C1" w14:textId="77777777" w:rsidR="001E1112" w:rsidRPr="00317ABF" w:rsidRDefault="001E1112" w:rsidP="00DB3BEC">
            <w:pPr>
              <w:spacing w:before="240" w:after="120"/>
              <w:jc w:val="both"/>
              <w:rPr>
                <w:bCs/>
                <w:sz w:val="22"/>
                <w:szCs w:val="22"/>
              </w:rPr>
            </w:pPr>
            <w:r w:rsidRPr="00317ABF">
              <w:rPr>
                <w:bCs/>
                <w:sz w:val="22"/>
                <w:szCs w:val="22"/>
              </w:rPr>
              <w:t xml:space="preserve">Kalkulacja kosztu netto </w:t>
            </w:r>
          </w:p>
        </w:tc>
        <w:tc>
          <w:tcPr>
            <w:tcW w:w="986" w:type="dxa"/>
          </w:tcPr>
          <w:p w14:paraId="46B5456C" w14:textId="77777777" w:rsidR="001E1112" w:rsidRPr="00317ABF" w:rsidRDefault="001E1112" w:rsidP="00DB3BEC">
            <w:pPr>
              <w:jc w:val="both"/>
              <w:rPr>
                <w:sz w:val="22"/>
                <w:szCs w:val="22"/>
              </w:rPr>
            </w:pPr>
          </w:p>
        </w:tc>
        <w:tc>
          <w:tcPr>
            <w:tcW w:w="910" w:type="dxa"/>
          </w:tcPr>
          <w:p w14:paraId="5A5C862D" w14:textId="60642A12" w:rsidR="001E1112" w:rsidRPr="00317ABF" w:rsidRDefault="001E1112" w:rsidP="00DB3BEC">
            <w:pPr>
              <w:pStyle w:val="Tekstpodstawowy"/>
              <w:rPr>
                <w:b/>
                <w:noProof/>
                <w:sz w:val="22"/>
                <w:szCs w:val="22"/>
              </w:rPr>
            </w:pPr>
            <w:r w:rsidRPr="00317ABF">
              <w:rPr>
                <w:b/>
                <w:noProof/>
                <w:sz w:val="22"/>
                <w:szCs w:val="22"/>
              </w:rPr>
              <w:t>Art. 3</w:t>
            </w:r>
            <w:r w:rsidR="002F520C" w:rsidRPr="00317ABF">
              <w:rPr>
                <w:b/>
                <w:noProof/>
                <w:sz w:val="22"/>
                <w:szCs w:val="22"/>
              </w:rPr>
              <w:t>64</w:t>
            </w:r>
            <w:r w:rsidRPr="00317ABF">
              <w:rPr>
                <w:b/>
                <w:noProof/>
                <w:sz w:val="22"/>
                <w:szCs w:val="22"/>
              </w:rPr>
              <w:t xml:space="preserve"> i 3</w:t>
            </w:r>
            <w:r w:rsidR="002F520C" w:rsidRPr="00317ABF">
              <w:rPr>
                <w:b/>
                <w:noProof/>
                <w:sz w:val="22"/>
                <w:szCs w:val="22"/>
              </w:rPr>
              <w:t>65</w:t>
            </w:r>
          </w:p>
        </w:tc>
        <w:tc>
          <w:tcPr>
            <w:tcW w:w="6814" w:type="dxa"/>
            <w:gridSpan w:val="2"/>
          </w:tcPr>
          <w:p w14:paraId="5AA378F7" w14:textId="77777777" w:rsidR="002F520C" w:rsidRPr="00317ABF" w:rsidRDefault="002F520C" w:rsidP="002F520C">
            <w:pPr>
              <w:pStyle w:val="ARTartustawynprozporzdzenia"/>
              <w:spacing w:before="0" w:line="240" w:lineRule="auto"/>
              <w:rPr>
                <w:rFonts w:ascii="Times New Roman" w:hAnsi="Times New Roman" w:cs="Times New Roman"/>
                <w:sz w:val="22"/>
                <w:szCs w:val="22"/>
              </w:rPr>
            </w:pPr>
            <w:r w:rsidRPr="00317ABF">
              <w:rPr>
                <w:rStyle w:val="Ppogrubienie"/>
                <w:rFonts w:ascii="Times New Roman" w:hAnsi="Times New Roman"/>
                <w:szCs w:val="24"/>
              </w:rPr>
              <w:t>A</w:t>
            </w:r>
            <w:r w:rsidRPr="00317ABF">
              <w:rPr>
                <w:rStyle w:val="Ppogrubienie"/>
                <w:rFonts w:ascii="Times New Roman" w:hAnsi="Times New Roman"/>
                <w:sz w:val="22"/>
                <w:szCs w:val="22"/>
              </w:rPr>
              <w:t>rt. 364.</w:t>
            </w:r>
            <w:r w:rsidRPr="00317ABF">
              <w:rPr>
                <w:rFonts w:ascii="Times New Roman" w:hAnsi="Times New Roman" w:cs="Times New Roman"/>
                <w:sz w:val="22"/>
                <w:szCs w:val="22"/>
              </w:rPr>
              <w:t xml:space="preserve"> 1. Przedsiębiorcy wyznaczonemu przysługuje dopłata do kosztów realizacji obowiązku, do którego został wyznaczony, zwana dalej „dopłatą”, gdy jego realizacja jest nierentowna.</w:t>
            </w:r>
          </w:p>
          <w:p w14:paraId="61EA7DD7" w14:textId="77777777" w:rsidR="001E1112" w:rsidRPr="00317ABF" w:rsidRDefault="002F520C" w:rsidP="00DB3BEC">
            <w:pPr>
              <w:pStyle w:val="USTustnpkodeksu"/>
              <w:spacing w:line="240" w:lineRule="auto"/>
              <w:rPr>
                <w:rFonts w:ascii="Times New Roman" w:hAnsi="Times New Roman" w:cs="Times New Roman"/>
                <w:sz w:val="22"/>
                <w:szCs w:val="22"/>
              </w:rPr>
            </w:pPr>
            <w:r w:rsidRPr="00317ABF">
              <w:rPr>
                <w:rFonts w:ascii="Times New Roman" w:hAnsi="Times New Roman" w:cs="Times New Roman"/>
                <w:sz w:val="22"/>
                <w:szCs w:val="22"/>
              </w:rPr>
              <w:t xml:space="preserve">2.  </w:t>
            </w:r>
            <w:r w:rsidR="001E1112" w:rsidRPr="00317ABF">
              <w:rPr>
                <w:rFonts w:ascii="Times New Roman" w:hAnsi="Times New Roman" w:cs="Times New Roman"/>
                <w:sz w:val="22"/>
                <w:szCs w:val="22"/>
              </w:rPr>
              <w:t xml:space="preserve">Prezes UKE </w:t>
            </w:r>
            <w:r w:rsidRPr="00317ABF">
              <w:rPr>
                <w:rFonts w:ascii="Times New Roman" w:hAnsi="Times New Roman" w:cs="Times New Roman"/>
                <w:sz w:val="22"/>
                <w:szCs w:val="22"/>
              </w:rPr>
              <w:t xml:space="preserve">ustala dopłatę </w:t>
            </w:r>
            <w:r w:rsidR="001E1112" w:rsidRPr="00317ABF">
              <w:rPr>
                <w:rFonts w:ascii="Times New Roman" w:hAnsi="Times New Roman" w:cs="Times New Roman"/>
                <w:sz w:val="22"/>
                <w:szCs w:val="22"/>
              </w:rPr>
              <w:t>w wysokości kosztu netto realizacji obowiązku, do którego przedsiębiorca został wyznaczony. Koszt netto realizacji tego obowiązku dotyczy tylko kosztów, których przedsiębiorca wyznaczony nie poniósłby, gdyby nie został wyznaczony do realizacji tego obowiązku.</w:t>
            </w:r>
          </w:p>
          <w:p w14:paraId="7BEA7911" w14:textId="77777777" w:rsidR="001E1112" w:rsidRPr="00317ABF" w:rsidRDefault="001E1112" w:rsidP="00DB3BEC">
            <w:pPr>
              <w:pStyle w:val="USTustnpkodeksu"/>
              <w:spacing w:line="240" w:lineRule="auto"/>
              <w:rPr>
                <w:rFonts w:ascii="Times New Roman" w:hAnsi="Times New Roman" w:cs="Times New Roman"/>
                <w:sz w:val="22"/>
                <w:szCs w:val="22"/>
              </w:rPr>
            </w:pPr>
            <w:r w:rsidRPr="00317ABF">
              <w:rPr>
                <w:rFonts w:ascii="Times New Roman" w:hAnsi="Times New Roman" w:cs="Times New Roman"/>
                <w:sz w:val="22"/>
                <w:szCs w:val="22"/>
              </w:rPr>
              <w:t>3. W przypadku wyznaczenia przedsiębiorcy w drodze decyzji, o której mowa w art. 319 ust. 5, dopłata nie może być wyższa niż zaoferowany w konkursie prognozowany koszt netto realizacji obowiązku, do którego ten przedsiębiorca został wyznaczony.</w:t>
            </w:r>
          </w:p>
          <w:p w14:paraId="6D338AD1" w14:textId="77777777" w:rsidR="001E1112" w:rsidRPr="00317ABF" w:rsidRDefault="001E1112" w:rsidP="00DB3BEC">
            <w:pPr>
              <w:pStyle w:val="USTustnpkodeksu"/>
              <w:keepNext/>
              <w:spacing w:line="240" w:lineRule="auto"/>
              <w:rPr>
                <w:rFonts w:ascii="Times New Roman" w:hAnsi="Times New Roman" w:cs="Times New Roman"/>
                <w:sz w:val="22"/>
                <w:szCs w:val="22"/>
              </w:rPr>
            </w:pPr>
            <w:r w:rsidRPr="00317ABF">
              <w:rPr>
                <w:rFonts w:ascii="Times New Roman" w:hAnsi="Times New Roman" w:cs="Times New Roman"/>
                <w:sz w:val="22"/>
                <w:szCs w:val="22"/>
              </w:rPr>
              <w:t>4. Kalkulacja kosztu netto, o którym mowa w ust. 2, dla każdego obowiązku, do którego realizacji dany przedsiębiorca został wyznaczony, uwzględnia:</w:t>
            </w:r>
          </w:p>
          <w:p w14:paraId="6D6167B0" w14:textId="77777777" w:rsidR="001E1112" w:rsidRPr="00317ABF" w:rsidRDefault="001E1112" w:rsidP="00DB3BEC">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1)</w:t>
            </w:r>
            <w:r w:rsidRPr="00317ABF">
              <w:rPr>
                <w:rFonts w:ascii="Times New Roman" w:hAnsi="Times New Roman" w:cs="Times New Roman"/>
                <w:sz w:val="22"/>
                <w:szCs w:val="22"/>
              </w:rPr>
              <w:tab/>
              <w:t>koszty bezpośrednio związane z realizacją tego obowiązku;</w:t>
            </w:r>
          </w:p>
          <w:p w14:paraId="4CD3BD34" w14:textId="77777777" w:rsidR="001E1112" w:rsidRPr="00317ABF" w:rsidRDefault="001E1112" w:rsidP="00DB3BEC">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2)</w:t>
            </w:r>
            <w:r w:rsidRPr="00317ABF">
              <w:rPr>
                <w:rFonts w:ascii="Times New Roman" w:hAnsi="Times New Roman" w:cs="Times New Roman"/>
                <w:sz w:val="22"/>
                <w:szCs w:val="22"/>
              </w:rPr>
              <w:tab/>
              <w:t>przychody z realizacji tego obowiązku;</w:t>
            </w:r>
          </w:p>
          <w:p w14:paraId="720E4DE0" w14:textId="77777777" w:rsidR="001E1112" w:rsidRPr="00317ABF" w:rsidRDefault="001E1112" w:rsidP="00DB3BEC">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3)</w:t>
            </w:r>
            <w:r w:rsidRPr="00317ABF">
              <w:rPr>
                <w:rFonts w:ascii="Times New Roman" w:hAnsi="Times New Roman" w:cs="Times New Roman"/>
                <w:sz w:val="22"/>
                <w:szCs w:val="22"/>
              </w:rPr>
              <w:tab/>
              <w:t>korzyści pośrednie związane z realizacją tego obowiązku.</w:t>
            </w:r>
          </w:p>
          <w:p w14:paraId="29CE9059" w14:textId="77777777" w:rsidR="001E1112" w:rsidRPr="00317ABF" w:rsidRDefault="001E1112" w:rsidP="00DB3BEC">
            <w:pPr>
              <w:pStyle w:val="USTustnpkodeksu"/>
              <w:spacing w:line="240" w:lineRule="auto"/>
              <w:rPr>
                <w:rFonts w:ascii="Times New Roman" w:hAnsi="Times New Roman" w:cs="Times New Roman"/>
                <w:sz w:val="22"/>
                <w:szCs w:val="22"/>
              </w:rPr>
            </w:pPr>
            <w:r w:rsidRPr="00317ABF">
              <w:rPr>
                <w:rFonts w:ascii="Times New Roman" w:hAnsi="Times New Roman" w:cs="Times New Roman"/>
                <w:sz w:val="22"/>
                <w:szCs w:val="22"/>
              </w:rPr>
              <w:t xml:space="preserve">5. Minister właściwy do spraw informatyzacji określi, w drodze rozporządzenia, sposób obliczania kosztu netto realizacji obowiązku w zakresie usługi lub usług, o których mowa w art. </w:t>
            </w:r>
            <w:r w:rsidR="002F520C" w:rsidRPr="00317ABF">
              <w:rPr>
                <w:rFonts w:ascii="Times New Roman" w:hAnsi="Times New Roman" w:cs="Times New Roman"/>
                <w:sz w:val="22"/>
                <w:szCs w:val="22"/>
              </w:rPr>
              <w:t>350</w:t>
            </w:r>
            <w:r w:rsidRPr="00317ABF">
              <w:rPr>
                <w:rFonts w:ascii="Times New Roman" w:hAnsi="Times New Roman" w:cs="Times New Roman"/>
                <w:sz w:val="22"/>
                <w:szCs w:val="22"/>
              </w:rPr>
              <w:t xml:space="preserve"> ust. 1, mając na celu konieczność ustalenia dla przedsiębiorcy wyznaczonego odpowiedniej wysokości dopłaty z uwzględnieniem zasad przejrzystości i niedyskryminacji oraz umożliwienie przez Prezesa UKE weryfikacji kosztu netto.</w:t>
            </w:r>
          </w:p>
          <w:p w14:paraId="7484777A" w14:textId="77777777" w:rsidR="001E1112" w:rsidRPr="00317ABF" w:rsidRDefault="001E1112" w:rsidP="00DB3BEC">
            <w:pPr>
              <w:pStyle w:val="ARTartustawynprozporzdzenia"/>
              <w:spacing w:before="0" w:line="240" w:lineRule="auto"/>
              <w:rPr>
                <w:rFonts w:ascii="Times New Roman" w:hAnsi="Times New Roman" w:cs="Times New Roman"/>
                <w:sz w:val="22"/>
                <w:szCs w:val="22"/>
              </w:rPr>
            </w:pPr>
            <w:r w:rsidRPr="00317ABF">
              <w:rPr>
                <w:rStyle w:val="Ppogrubienie"/>
                <w:rFonts w:ascii="Times New Roman" w:hAnsi="Times New Roman"/>
                <w:sz w:val="22"/>
                <w:szCs w:val="22"/>
              </w:rPr>
              <w:t>Art.</w:t>
            </w:r>
            <w:r w:rsidR="002F520C" w:rsidRPr="00317ABF">
              <w:rPr>
                <w:rStyle w:val="Ppogrubienie"/>
                <w:rFonts w:ascii="Times New Roman" w:hAnsi="Times New Roman"/>
                <w:sz w:val="22"/>
                <w:szCs w:val="22"/>
              </w:rPr>
              <w:t> 365.</w:t>
            </w:r>
            <w:r w:rsidRPr="00317ABF">
              <w:rPr>
                <w:rFonts w:ascii="Times New Roman" w:hAnsi="Times New Roman" w:cs="Times New Roman"/>
                <w:sz w:val="22"/>
                <w:szCs w:val="22"/>
              </w:rPr>
              <w:t xml:space="preserve"> 1. Przedsiębiorca wyznaczony może złożyć wniosek o dopłatę w terminie 6 miesięcy od zakończenia roku kalendarzowego, w którym, w ocenie tego przedsiębiorcy, wystąpił koszt netto. Prezes UKE niezwłocznie udostępnia na stronie podmiotowej BIP UKE informację o wpłynięciu wniosku przedsiębiorcy wyznaczonego o dopłatę.</w:t>
            </w:r>
          </w:p>
          <w:p w14:paraId="18E878A9" w14:textId="77777777" w:rsidR="001E1112" w:rsidRPr="00317ABF" w:rsidRDefault="001E1112" w:rsidP="00DB3BEC">
            <w:pPr>
              <w:pStyle w:val="USTustnpkodeksu"/>
              <w:spacing w:line="240" w:lineRule="auto"/>
              <w:rPr>
                <w:rFonts w:ascii="Times New Roman" w:hAnsi="Times New Roman" w:cs="Times New Roman"/>
                <w:sz w:val="22"/>
                <w:szCs w:val="22"/>
              </w:rPr>
            </w:pPr>
            <w:r w:rsidRPr="00317ABF">
              <w:rPr>
                <w:rFonts w:ascii="Times New Roman" w:hAnsi="Times New Roman" w:cs="Times New Roman"/>
                <w:sz w:val="22"/>
                <w:szCs w:val="22"/>
              </w:rPr>
              <w:t>2. Przedsiębiorca wyznaczony przedstawia Prezesowi UKE wyliczoną wysokość kosztu netto, a także rachunki lub inne dokumenty zawierające dane lub informacje służące za podstawę obliczenia tego kosztu. Do przeprowadzenia analizy tej dokumentacji Prezes UKE powołuje biegłego rewidenta.</w:t>
            </w:r>
          </w:p>
          <w:p w14:paraId="2969B041" w14:textId="77777777" w:rsidR="001E1112" w:rsidRPr="00317ABF" w:rsidRDefault="001E1112" w:rsidP="00DB3BEC">
            <w:pPr>
              <w:pStyle w:val="USTustnpkodeksu"/>
              <w:spacing w:line="240" w:lineRule="auto"/>
              <w:rPr>
                <w:rFonts w:ascii="Times New Roman" w:hAnsi="Times New Roman" w:cs="Times New Roman"/>
                <w:sz w:val="22"/>
                <w:szCs w:val="22"/>
              </w:rPr>
            </w:pPr>
            <w:r w:rsidRPr="00317ABF">
              <w:rPr>
                <w:rFonts w:ascii="Times New Roman" w:hAnsi="Times New Roman" w:cs="Times New Roman"/>
                <w:sz w:val="22"/>
                <w:szCs w:val="22"/>
              </w:rPr>
              <w:t>3.</w:t>
            </w:r>
            <w:r w:rsidR="002F520C" w:rsidRPr="00317ABF">
              <w:rPr>
                <w:rFonts w:ascii="Times New Roman" w:hAnsi="Times New Roman" w:cs="Times New Roman"/>
                <w:sz w:val="22"/>
                <w:szCs w:val="22"/>
              </w:rPr>
              <w:t> </w:t>
            </w:r>
            <w:r w:rsidRPr="00317ABF">
              <w:rPr>
                <w:rFonts w:ascii="Times New Roman" w:hAnsi="Times New Roman" w:cs="Times New Roman"/>
                <w:sz w:val="22"/>
                <w:szCs w:val="22"/>
              </w:rPr>
              <w:t>Prezes UKE, w terminie 120 dni od dnia złożenia wniosku, weryfikuje koszt netto i w zależności od wyników tej weryfikacji, przyznaje, w drodze decyzji, ustaloną kwotę dopłaty bądź odmawia jej przyznania. Prezes UKE przyznaje ustaloną kwotę dopłaty, jeżeli stwierdzi, że zweryfikowany koszt netto stanowi nieuzasadnione obciążenie przedsiębiorcy wyznaczonego.</w:t>
            </w:r>
          </w:p>
          <w:p w14:paraId="56258A44" w14:textId="72069C62" w:rsidR="001E1112" w:rsidRPr="00317ABF" w:rsidRDefault="001E1112" w:rsidP="00DB3BEC">
            <w:pPr>
              <w:pStyle w:val="Tekstpodstawowy"/>
              <w:rPr>
                <w:sz w:val="22"/>
                <w:szCs w:val="22"/>
              </w:rPr>
            </w:pPr>
          </w:p>
        </w:tc>
      </w:tr>
      <w:tr w:rsidR="001E1112" w:rsidRPr="00317ABF" w14:paraId="3DD1532A" w14:textId="77777777" w:rsidTr="7753F98D">
        <w:trPr>
          <w:gridAfter w:val="2"/>
          <w:wAfter w:w="175" w:type="dxa"/>
        </w:trPr>
        <w:tc>
          <w:tcPr>
            <w:tcW w:w="704" w:type="dxa"/>
          </w:tcPr>
          <w:p w14:paraId="3C3F23FB" w14:textId="4BD62998" w:rsidR="001E1112" w:rsidRPr="00317ABF" w:rsidRDefault="001E1112" w:rsidP="00DB3BEC">
            <w:pPr>
              <w:jc w:val="both"/>
              <w:rPr>
                <w:sz w:val="22"/>
                <w:szCs w:val="22"/>
              </w:rPr>
            </w:pPr>
            <w:r w:rsidRPr="00317ABF">
              <w:rPr>
                <w:sz w:val="22"/>
                <w:szCs w:val="22"/>
              </w:rPr>
              <w:t>Część B</w:t>
            </w:r>
          </w:p>
        </w:tc>
        <w:tc>
          <w:tcPr>
            <w:tcW w:w="4308" w:type="dxa"/>
          </w:tcPr>
          <w:p w14:paraId="58D74249" w14:textId="77777777" w:rsidR="001E1112" w:rsidRPr="00317ABF" w:rsidRDefault="001E1112" w:rsidP="00DB3BEC">
            <w:pPr>
              <w:spacing w:before="120"/>
              <w:jc w:val="both"/>
              <w:rPr>
                <w:sz w:val="22"/>
                <w:szCs w:val="22"/>
              </w:rPr>
            </w:pPr>
            <w:r w:rsidRPr="00317ABF">
              <w:rPr>
                <w:bCs/>
                <w:sz w:val="22"/>
                <w:szCs w:val="22"/>
              </w:rPr>
              <w:t>Rekompensata kosztów netto obowiązku świadczenia usług powszechnych</w:t>
            </w:r>
          </w:p>
        </w:tc>
        <w:tc>
          <w:tcPr>
            <w:tcW w:w="986" w:type="dxa"/>
          </w:tcPr>
          <w:p w14:paraId="6A47E964" w14:textId="77777777" w:rsidR="001E1112" w:rsidRPr="00317ABF" w:rsidRDefault="001E1112" w:rsidP="00DB3BEC">
            <w:pPr>
              <w:jc w:val="both"/>
              <w:rPr>
                <w:sz w:val="22"/>
                <w:szCs w:val="22"/>
              </w:rPr>
            </w:pPr>
          </w:p>
        </w:tc>
        <w:tc>
          <w:tcPr>
            <w:tcW w:w="910" w:type="dxa"/>
          </w:tcPr>
          <w:p w14:paraId="52817F8F" w14:textId="364FD321" w:rsidR="001E1112" w:rsidRPr="00317ABF" w:rsidRDefault="001E1112" w:rsidP="00DB3BEC">
            <w:pPr>
              <w:pStyle w:val="Tekstpodstawowy"/>
              <w:rPr>
                <w:b/>
                <w:noProof/>
                <w:sz w:val="22"/>
                <w:szCs w:val="22"/>
              </w:rPr>
            </w:pPr>
            <w:r w:rsidRPr="00317ABF">
              <w:rPr>
                <w:b/>
                <w:noProof/>
                <w:sz w:val="22"/>
                <w:szCs w:val="22"/>
              </w:rPr>
              <w:t xml:space="preserve">Art. </w:t>
            </w:r>
            <w:r w:rsidR="002F520C" w:rsidRPr="00317ABF">
              <w:rPr>
                <w:b/>
                <w:noProof/>
                <w:sz w:val="22"/>
                <w:szCs w:val="22"/>
              </w:rPr>
              <w:t>366-368</w:t>
            </w:r>
          </w:p>
        </w:tc>
        <w:tc>
          <w:tcPr>
            <w:tcW w:w="6814" w:type="dxa"/>
            <w:gridSpan w:val="2"/>
          </w:tcPr>
          <w:p w14:paraId="30199DE5" w14:textId="77777777" w:rsidR="001E1112" w:rsidRPr="00317ABF" w:rsidRDefault="001E1112" w:rsidP="00DB3BEC">
            <w:pPr>
              <w:pStyle w:val="ARTartustawynprozporzdzenia"/>
              <w:spacing w:before="0" w:line="240" w:lineRule="auto"/>
              <w:rPr>
                <w:rFonts w:ascii="Times New Roman" w:hAnsi="Times New Roman" w:cs="Times New Roman"/>
                <w:sz w:val="22"/>
                <w:szCs w:val="22"/>
              </w:rPr>
            </w:pPr>
            <w:r w:rsidRPr="00317ABF">
              <w:rPr>
                <w:rStyle w:val="Ppogrubienie"/>
                <w:rFonts w:ascii="Times New Roman" w:hAnsi="Times New Roman"/>
                <w:sz w:val="22"/>
                <w:szCs w:val="22"/>
              </w:rPr>
              <w:t>Art.</w:t>
            </w:r>
            <w:r w:rsidR="002F520C" w:rsidRPr="00317ABF">
              <w:rPr>
                <w:rStyle w:val="Ppogrubienie"/>
                <w:rFonts w:ascii="Times New Roman" w:hAnsi="Times New Roman"/>
                <w:sz w:val="22"/>
                <w:szCs w:val="22"/>
              </w:rPr>
              <w:t> 366.</w:t>
            </w:r>
            <w:r w:rsidRPr="00317ABF">
              <w:rPr>
                <w:rFonts w:ascii="Times New Roman" w:hAnsi="Times New Roman" w:cs="Times New Roman"/>
                <w:sz w:val="22"/>
                <w:szCs w:val="22"/>
              </w:rPr>
              <w:t xml:space="preserve"> Przedsiębiorcy telekomunikacyjni, których przychód z działalności telekomunikacyjnej w roku kalendarzowym, za który przysługuje dopłata, przekroczył 10 milionów złotych, są obowiązani do udziału w pokryciu dopłaty.</w:t>
            </w:r>
          </w:p>
          <w:p w14:paraId="61CB3527" w14:textId="77777777" w:rsidR="001E1112" w:rsidRPr="00317ABF" w:rsidRDefault="001E1112" w:rsidP="002F520C">
            <w:pPr>
              <w:pStyle w:val="USTustnpkodeksu"/>
              <w:spacing w:line="240" w:lineRule="auto"/>
              <w:rPr>
                <w:rFonts w:ascii="Times New Roman" w:hAnsi="Times New Roman" w:cs="Times New Roman"/>
                <w:sz w:val="22"/>
                <w:szCs w:val="22"/>
              </w:rPr>
            </w:pPr>
            <w:r w:rsidRPr="00317ABF">
              <w:rPr>
                <w:rStyle w:val="Ppogrubienie"/>
                <w:rFonts w:ascii="Times New Roman" w:hAnsi="Times New Roman"/>
                <w:sz w:val="22"/>
                <w:szCs w:val="22"/>
              </w:rPr>
              <w:t xml:space="preserve">Art. </w:t>
            </w:r>
            <w:r w:rsidR="002F520C" w:rsidRPr="00317ABF">
              <w:rPr>
                <w:rStyle w:val="Ppogrubienie"/>
                <w:rFonts w:ascii="Times New Roman" w:hAnsi="Times New Roman"/>
                <w:sz w:val="22"/>
                <w:szCs w:val="22"/>
              </w:rPr>
              <w:t>367</w:t>
            </w:r>
            <w:r w:rsidRPr="00317ABF">
              <w:rPr>
                <w:rStyle w:val="Ppogrubienie"/>
                <w:rFonts w:ascii="Times New Roman" w:hAnsi="Times New Roman"/>
                <w:sz w:val="22"/>
                <w:szCs w:val="22"/>
              </w:rPr>
              <w:t>.</w:t>
            </w:r>
            <w:r w:rsidRPr="00317ABF">
              <w:rPr>
                <w:rFonts w:ascii="Times New Roman" w:hAnsi="Times New Roman" w:cs="Times New Roman"/>
                <w:sz w:val="22"/>
                <w:szCs w:val="22"/>
              </w:rPr>
              <w:t xml:space="preserve"> 1. Prezes UKE, po ustaleniu należnej dopłaty, określa w drodze decyzji, przedsiębiorców telekomunikacyjnych obowiązanych do pokrycia dopłaty, jednolity wskaźnik procentowego udziału tych przedsiębiorców w pokryciu dopłaty oraz sposób ustalenia kwoty udziału poszczególnych przedsiębiorców telekomunikacyjnych w pokryciu dopłaty.</w:t>
            </w:r>
          </w:p>
          <w:p w14:paraId="27992039" w14:textId="77777777" w:rsidR="002F520C" w:rsidRPr="00317ABF" w:rsidRDefault="002F520C" w:rsidP="002F520C">
            <w:pPr>
              <w:pStyle w:val="USTustnpkodeksu"/>
              <w:spacing w:line="240" w:lineRule="auto"/>
              <w:rPr>
                <w:rFonts w:ascii="Times New Roman" w:hAnsi="Times New Roman" w:cs="Times New Roman"/>
                <w:sz w:val="22"/>
                <w:szCs w:val="22"/>
              </w:rPr>
            </w:pPr>
            <w:r w:rsidRPr="00317ABF">
              <w:rPr>
                <w:rFonts w:ascii="Times New Roman" w:hAnsi="Times New Roman" w:cs="Times New Roman"/>
                <w:sz w:val="22"/>
                <w:szCs w:val="22"/>
              </w:rPr>
              <w:t xml:space="preserve">2. Jednolity wskaźnik procentowego udziału wszystkich przedsiębiorców telekomunikacyjnych obowiązanych do udziału w pokryciu dopłaty stanowi iloraz kwoty dopłaty, która podlega pokryciu, do sumy kwot przychodów tych przedsiębiorców z działalności telekomunikacyjnej w danym roku kalendarzowym, w części przekraczającej 10 milionów złotych. </w:t>
            </w:r>
          </w:p>
          <w:p w14:paraId="3875E97F" w14:textId="77777777" w:rsidR="002F520C" w:rsidRPr="00317ABF" w:rsidRDefault="002F520C" w:rsidP="002F520C">
            <w:pPr>
              <w:pStyle w:val="USTustnpkodeksu"/>
              <w:spacing w:line="240" w:lineRule="auto"/>
              <w:rPr>
                <w:rFonts w:ascii="Times New Roman" w:hAnsi="Times New Roman" w:cs="Times New Roman"/>
                <w:sz w:val="22"/>
                <w:szCs w:val="22"/>
              </w:rPr>
            </w:pPr>
            <w:r w:rsidRPr="00317ABF">
              <w:rPr>
                <w:rFonts w:ascii="Times New Roman" w:hAnsi="Times New Roman" w:cs="Times New Roman"/>
                <w:sz w:val="22"/>
                <w:szCs w:val="22"/>
              </w:rPr>
              <w:t>3.</w:t>
            </w:r>
            <w:r w:rsidRPr="00317ABF">
              <w:rPr>
                <w:rFonts w:ascii="Times New Roman" w:hAnsi="Times New Roman" w:cs="Times New Roman"/>
                <w:sz w:val="22"/>
                <w:szCs w:val="22"/>
              </w:rPr>
              <w:tab/>
              <w:t xml:space="preserve"> W postępowaniu w sprawie wydania decyzji, o której mowa w ust. 1:</w:t>
            </w:r>
          </w:p>
          <w:p w14:paraId="1E8B8F38" w14:textId="77777777" w:rsidR="002F520C" w:rsidRPr="00317ABF" w:rsidRDefault="002F520C" w:rsidP="002F520C">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1) w przypadkach określonych w art. 97 § 1 pkt 1-3a ustawy z dnia 14 czerwca 1960 r. Kodeks postępowania administracyjnego nie zawiesza się postępowania;</w:t>
            </w:r>
          </w:p>
          <w:p w14:paraId="6B022844" w14:textId="77777777" w:rsidR="002F520C" w:rsidRPr="00317ABF" w:rsidRDefault="002F520C" w:rsidP="002F520C">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2) przepisy art. 30 § 5 i art. 34 ustawy z dnia 14 czerwca 1960 r. Kodeks postępowania administracyjnego stosuje się odpowiednio, z zastrzeżeniem, że Prezes UKE wyznacza z urzędu przedstawiciela uprawnionego do działania w postępowaniu do czasu wyznaczenia przedstawiciela lub kuratora przez sąd.</w:t>
            </w:r>
          </w:p>
          <w:p w14:paraId="4CCF9923" w14:textId="77777777" w:rsidR="002F520C" w:rsidRPr="00317ABF" w:rsidRDefault="002F520C" w:rsidP="002F520C">
            <w:pPr>
              <w:pStyle w:val="USTustnpkodeksu"/>
              <w:spacing w:line="240" w:lineRule="auto"/>
              <w:rPr>
                <w:rFonts w:ascii="Times New Roman" w:hAnsi="Times New Roman" w:cs="Times New Roman"/>
                <w:sz w:val="22"/>
                <w:szCs w:val="22"/>
              </w:rPr>
            </w:pPr>
            <w:r w:rsidRPr="00317ABF">
              <w:rPr>
                <w:rFonts w:ascii="Times New Roman" w:hAnsi="Times New Roman" w:cs="Times New Roman"/>
                <w:sz w:val="22"/>
                <w:szCs w:val="22"/>
              </w:rPr>
              <w:t>4. Wysokość udziału danego przedsiębiorcy telekomunikacyjnego w pokryciu dopłaty stanowi iloczyn jednolitego wskaźnika procentowego, o którym mowa w ust. 2, oraz kwoty przychodów tego przedsiębiorcy z działalności telekomunikacyjnej w danym roku kalendarzowym, w części przekraczającej 10 milionów złotych i nie może być wyższa niż 1% tych przychodów.</w:t>
            </w:r>
          </w:p>
          <w:p w14:paraId="5332A4DD" w14:textId="77777777" w:rsidR="002F520C" w:rsidRPr="00317ABF" w:rsidRDefault="002F520C" w:rsidP="002F520C">
            <w:pPr>
              <w:pStyle w:val="USTustnpkodeksu"/>
              <w:spacing w:line="240" w:lineRule="auto"/>
              <w:rPr>
                <w:rFonts w:ascii="Times New Roman" w:hAnsi="Times New Roman" w:cs="Times New Roman"/>
                <w:sz w:val="22"/>
                <w:szCs w:val="22"/>
              </w:rPr>
            </w:pPr>
            <w:r w:rsidRPr="00317ABF">
              <w:rPr>
                <w:rFonts w:ascii="Times New Roman" w:hAnsi="Times New Roman" w:cs="Times New Roman"/>
                <w:sz w:val="22"/>
                <w:szCs w:val="22"/>
              </w:rPr>
              <w:t>5. Prezes UKE, w terminie 30 dni od dnia, w którym decyzja, o której mowa w ust. 1, stała się ostateczna, wydaje z urzędu zaświadczenie dla przedsiębiorcy telekomunikacyjnego o kwocie udziału w pokryciu dopłaty ustalonej zgodnie z decyzją. Do zaświadczenia stosuje się odpowiednio przepisy ustawy z dnia 14 czerwca 1960 r. Kodeks postępowania administracyjnego.</w:t>
            </w:r>
          </w:p>
          <w:p w14:paraId="58EB8142" w14:textId="77777777" w:rsidR="002F520C" w:rsidRPr="00317ABF" w:rsidRDefault="002F520C" w:rsidP="002F520C">
            <w:pPr>
              <w:pStyle w:val="USTustnpkodeksu"/>
              <w:spacing w:line="240" w:lineRule="auto"/>
              <w:rPr>
                <w:rFonts w:ascii="Times New Roman" w:hAnsi="Times New Roman" w:cs="Times New Roman"/>
                <w:sz w:val="22"/>
                <w:szCs w:val="22"/>
              </w:rPr>
            </w:pPr>
            <w:r w:rsidRPr="00317ABF">
              <w:rPr>
                <w:rFonts w:ascii="Times New Roman" w:hAnsi="Times New Roman" w:cs="Times New Roman"/>
                <w:sz w:val="22"/>
                <w:szCs w:val="22"/>
              </w:rPr>
              <w:t>6. Kwota udziału w pokryciu dopłaty podlega administracyjnej egzekucji należności pieniężnych.</w:t>
            </w:r>
          </w:p>
          <w:p w14:paraId="5DCAAC0C" w14:textId="77777777" w:rsidR="002F520C" w:rsidRPr="00317ABF" w:rsidRDefault="002F520C" w:rsidP="002F520C">
            <w:pPr>
              <w:pStyle w:val="USTustnpkodeksu"/>
              <w:spacing w:line="240" w:lineRule="auto"/>
              <w:rPr>
                <w:rFonts w:ascii="Times New Roman" w:hAnsi="Times New Roman" w:cs="Times New Roman"/>
                <w:sz w:val="22"/>
                <w:szCs w:val="22"/>
              </w:rPr>
            </w:pPr>
            <w:r w:rsidRPr="00317ABF">
              <w:rPr>
                <w:rFonts w:ascii="Times New Roman" w:hAnsi="Times New Roman" w:cs="Times New Roman"/>
                <w:sz w:val="22"/>
                <w:szCs w:val="22"/>
              </w:rPr>
              <w:t>7. Jeżeli kwota udziału w pokryciu dopłaty uzyskana została od przedsiębiorcy w drodze egzekucji, kwotę wydatków związanych z przekazaniem egzekwowanej należności przedsiębiorcy wyznaczonemu, uprawnionemu do otrzymania dopłaty pokrywa przedsiębiorca telekomunikacyjny obowiązany do udziału w pokryciu dopłaty, przeciwko któremu toczyło się to postępowanie egzekucyjne.</w:t>
            </w:r>
          </w:p>
          <w:p w14:paraId="433737DA" w14:textId="77777777" w:rsidR="002F520C" w:rsidRPr="00317ABF" w:rsidRDefault="002F520C" w:rsidP="002F520C">
            <w:pPr>
              <w:pStyle w:val="ARTartustawynprozporzdzenia"/>
              <w:spacing w:before="0" w:line="240" w:lineRule="auto"/>
              <w:rPr>
                <w:rFonts w:ascii="Times New Roman" w:hAnsi="Times New Roman" w:cs="Times New Roman"/>
                <w:sz w:val="22"/>
                <w:szCs w:val="22"/>
              </w:rPr>
            </w:pPr>
            <w:r w:rsidRPr="00317ABF">
              <w:rPr>
                <w:rStyle w:val="Ppogrubienie"/>
                <w:rFonts w:ascii="Times New Roman" w:hAnsi="Times New Roman"/>
                <w:sz w:val="22"/>
                <w:szCs w:val="22"/>
              </w:rPr>
              <w:t>Art. 368.</w:t>
            </w:r>
            <w:r w:rsidRPr="00317ABF">
              <w:rPr>
                <w:rFonts w:ascii="Times New Roman" w:hAnsi="Times New Roman" w:cs="Times New Roman"/>
                <w:sz w:val="22"/>
                <w:szCs w:val="22"/>
              </w:rPr>
              <w:t xml:space="preserve"> 1. Kwotę udziału w pokryciu dopłaty wpłaca się na wyodrębniony rachunek UKE wykorzystywany do transferów pieniężnych od przedsiębiorcy telekomunikacyjnego, obowiązanego do udziału w pokryciu dopłaty, do przedsiębiorcy wyznaczonego, uprawnionego do otrzymania tej dopłaty, w terminie 30 dni od dnia otrzymania zaświadczenia o kwocie udziału w pokryciu dopłaty.</w:t>
            </w:r>
          </w:p>
          <w:p w14:paraId="2321DFB1" w14:textId="77777777" w:rsidR="001E1112" w:rsidRPr="00317ABF" w:rsidRDefault="001E1112" w:rsidP="00DB3BEC">
            <w:pPr>
              <w:pStyle w:val="USTustnpkodeksu"/>
              <w:spacing w:line="240" w:lineRule="auto"/>
              <w:rPr>
                <w:rFonts w:ascii="Times New Roman" w:hAnsi="Times New Roman" w:cs="Times New Roman"/>
                <w:sz w:val="22"/>
                <w:szCs w:val="22"/>
              </w:rPr>
            </w:pPr>
            <w:r w:rsidRPr="00317ABF">
              <w:rPr>
                <w:rFonts w:ascii="Times New Roman" w:hAnsi="Times New Roman" w:cs="Times New Roman"/>
                <w:sz w:val="22"/>
                <w:szCs w:val="22"/>
              </w:rPr>
              <w:t>2. Obowiązek, o którym mowa w ust. 1, nie dotyczy przedsiębiorcy wyznaczonego, uprawnionego do otrzymania dopłaty.</w:t>
            </w:r>
          </w:p>
          <w:p w14:paraId="658F54E7" w14:textId="77777777" w:rsidR="001E1112" w:rsidRPr="00317ABF" w:rsidRDefault="002F520C" w:rsidP="00DB3BEC">
            <w:pPr>
              <w:pStyle w:val="USTustnpkodeksu"/>
              <w:spacing w:line="240" w:lineRule="auto"/>
              <w:rPr>
                <w:rFonts w:ascii="Times New Roman" w:hAnsi="Times New Roman" w:cs="Times New Roman"/>
                <w:sz w:val="22"/>
                <w:szCs w:val="22"/>
              </w:rPr>
            </w:pPr>
            <w:r w:rsidRPr="00317ABF">
              <w:rPr>
                <w:rFonts w:ascii="Times New Roman" w:hAnsi="Times New Roman" w:cs="Times New Roman"/>
                <w:sz w:val="22"/>
                <w:szCs w:val="22"/>
              </w:rPr>
              <w:t>3. W przypadku opóźnienia we wpłacie kwoty udziału w pokryciu dopłaty w stosunku do terminu wskazanego w ust. 1, przez przedsiębiorcę telekomunikacyjnego, obowiązanego do udziału w pokryciu dopłaty, nalicza się odsetki ustawowe za opóźnienie.</w:t>
            </w:r>
          </w:p>
          <w:p w14:paraId="06284933" w14:textId="77777777" w:rsidR="002F520C" w:rsidRPr="00317ABF" w:rsidRDefault="002F520C" w:rsidP="002F520C">
            <w:pPr>
              <w:pStyle w:val="USTustnpkodeksu"/>
              <w:spacing w:line="240" w:lineRule="auto"/>
              <w:rPr>
                <w:rFonts w:ascii="Times New Roman" w:hAnsi="Times New Roman" w:cs="Times New Roman"/>
                <w:sz w:val="22"/>
                <w:szCs w:val="22"/>
              </w:rPr>
            </w:pPr>
            <w:r w:rsidRPr="00317ABF">
              <w:rPr>
                <w:rFonts w:ascii="Times New Roman" w:hAnsi="Times New Roman" w:cs="Times New Roman"/>
                <w:sz w:val="22"/>
                <w:szCs w:val="22"/>
              </w:rPr>
              <w:t>4. Odsetki od środków finansowych zgromadzonych na rachunku UKE, o którym mowa w ust. 1, powiększają kwotę zgromadzonych na nim środków finansowych.</w:t>
            </w:r>
          </w:p>
          <w:p w14:paraId="528CE0F9" w14:textId="77777777" w:rsidR="002F520C" w:rsidRPr="00317ABF" w:rsidRDefault="002F520C" w:rsidP="002F520C">
            <w:pPr>
              <w:pStyle w:val="USTustnpkodeksu"/>
              <w:spacing w:line="240" w:lineRule="auto"/>
              <w:rPr>
                <w:rFonts w:ascii="Times New Roman" w:hAnsi="Times New Roman" w:cs="Times New Roman"/>
                <w:sz w:val="22"/>
                <w:szCs w:val="22"/>
              </w:rPr>
            </w:pPr>
            <w:r w:rsidRPr="00317ABF">
              <w:rPr>
                <w:rFonts w:ascii="Times New Roman" w:hAnsi="Times New Roman" w:cs="Times New Roman"/>
                <w:sz w:val="22"/>
                <w:szCs w:val="22"/>
              </w:rPr>
              <w:t>5. Prezes UKE niezwłocznie po uzyskaniu kolejnych wpłat od przedsiębiorców na rachunek UKE przekazuje je jako dopłatę przedsiębiorcy wyznaczonemu, uprawnionemu do jej otrzymania.</w:t>
            </w:r>
          </w:p>
          <w:p w14:paraId="019F9A2F" w14:textId="77777777" w:rsidR="002F520C" w:rsidRPr="00317ABF" w:rsidRDefault="002F520C" w:rsidP="002F520C">
            <w:pPr>
              <w:pStyle w:val="USTustnpkodeksu"/>
              <w:spacing w:line="240" w:lineRule="auto"/>
              <w:rPr>
                <w:rFonts w:ascii="Times New Roman" w:hAnsi="Times New Roman" w:cs="Times New Roman"/>
                <w:sz w:val="22"/>
                <w:szCs w:val="22"/>
              </w:rPr>
            </w:pPr>
            <w:r w:rsidRPr="00317ABF">
              <w:rPr>
                <w:rFonts w:ascii="Times New Roman" w:hAnsi="Times New Roman" w:cs="Times New Roman"/>
                <w:sz w:val="22"/>
                <w:szCs w:val="22"/>
              </w:rPr>
              <w:t>6. Jeżeli ustalona kwota dopłaty przewyższa kwotę środków zgromadzonych na rachunku UKE, obowiązek dopłaty w kolejnym roku kalendarzowym powiększa się o zaległą kwotę.</w:t>
            </w:r>
          </w:p>
          <w:p w14:paraId="4B76C4C7" w14:textId="77777777" w:rsidR="001E1112" w:rsidRPr="00317ABF" w:rsidRDefault="001E1112" w:rsidP="00DB3BEC">
            <w:pPr>
              <w:pStyle w:val="USTustnpkodeksu"/>
              <w:keepNext/>
              <w:spacing w:line="240" w:lineRule="auto"/>
              <w:rPr>
                <w:rFonts w:ascii="Times New Roman" w:hAnsi="Times New Roman" w:cs="Times New Roman"/>
                <w:sz w:val="22"/>
                <w:szCs w:val="22"/>
              </w:rPr>
            </w:pPr>
            <w:r w:rsidRPr="00317ABF">
              <w:rPr>
                <w:rFonts w:ascii="Times New Roman" w:hAnsi="Times New Roman" w:cs="Times New Roman"/>
                <w:sz w:val="22"/>
                <w:szCs w:val="22"/>
              </w:rPr>
              <w:t>6. Prezes UKE, w terminie 6 miesięcy od dnia, w którym decyzja, o której mowa w art. 319 ust. 1, stała się ostateczna, sporządza i udostępnia na stronie podmiotowej BIP UKE sprawozdanie obejmujące:</w:t>
            </w:r>
          </w:p>
          <w:p w14:paraId="2667E2FB" w14:textId="77777777" w:rsidR="001E1112" w:rsidRPr="00317ABF" w:rsidRDefault="001E1112" w:rsidP="00DB3BEC">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1)</w:t>
            </w:r>
            <w:r w:rsidRPr="00317ABF">
              <w:rPr>
                <w:rFonts w:ascii="Times New Roman" w:hAnsi="Times New Roman" w:cs="Times New Roman"/>
                <w:sz w:val="22"/>
                <w:szCs w:val="22"/>
              </w:rPr>
              <w:tab/>
              <w:t>koszt netto realizacji obowiązku w zakresie usługi lub usług, o których mowa w art. 314 ust. 1;</w:t>
            </w:r>
          </w:p>
          <w:p w14:paraId="4A2CC589" w14:textId="77777777" w:rsidR="002F520C" w:rsidRPr="00317ABF" w:rsidRDefault="002F520C" w:rsidP="002F520C">
            <w:pPr>
              <w:pStyle w:val="PKTpunkt0"/>
              <w:spacing w:line="240" w:lineRule="auto"/>
              <w:rPr>
                <w:rFonts w:ascii="Times New Roman" w:hAnsi="Times New Roman" w:cs="Times New Roman"/>
                <w:i/>
                <w:iCs/>
                <w:sz w:val="22"/>
                <w:szCs w:val="22"/>
              </w:rPr>
            </w:pPr>
            <w:r w:rsidRPr="00317ABF">
              <w:rPr>
                <w:rFonts w:ascii="Times New Roman" w:hAnsi="Times New Roman" w:cs="Times New Roman"/>
                <w:sz w:val="22"/>
                <w:szCs w:val="22"/>
              </w:rPr>
              <w:t>2)</w:t>
            </w:r>
            <w:r w:rsidRPr="00317ABF">
              <w:rPr>
                <w:rFonts w:ascii="Times New Roman" w:hAnsi="Times New Roman" w:cs="Times New Roman"/>
                <w:sz w:val="22"/>
                <w:szCs w:val="22"/>
              </w:rPr>
              <w:tab/>
              <w:t>wyniki analizy i weryfikacji, o których mowa w art. 365 ust. 2 i 3, z uwzględnieniem korzyści pośrednich związanych z realizacją tego obowiązku</w:t>
            </w:r>
          </w:p>
          <w:p w14:paraId="6FAE5969" w14:textId="77777777" w:rsidR="001E1112" w:rsidRPr="00317ABF" w:rsidRDefault="001E1112" w:rsidP="00DB3BEC">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3)</w:t>
            </w:r>
            <w:r w:rsidRPr="00317ABF">
              <w:rPr>
                <w:rFonts w:ascii="Times New Roman" w:hAnsi="Times New Roman" w:cs="Times New Roman"/>
                <w:sz w:val="22"/>
                <w:szCs w:val="22"/>
              </w:rPr>
              <w:tab/>
              <w:t>udział przedsiębiorców telekomunikacyjnych obowiązanych do pokrycia dopłaty;</w:t>
            </w:r>
          </w:p>
          <w:p w14:paraId="300B7ECD" w14:textId="77777777" w:rsidR="002F520C" w:rsidRPr="00317ABF" w:rsidRDefault="002F520C" w:rsidP="002F520C">
            <w:pPr>
              <w:pStyle w:val="PKTpunkt0"/>
              <w:spacing w:line="240" w:lineRule="auto"/>
              <w:rPr>
                <w:rFonts w:ascii="Times New Roman" w:hAnsi="Times New Roman" w:cs="Times New Roman"/>
                <w:sz w:val="22"/>
                <w:szCs w:val="22"/>
              </w:rPr>
            </w:pPr>
            <w:r w:rsidRPr="00317ABF">
              <w:rPr>
                <w:rFonts w:ascii="Times New Roman" w:hAnsi="Times New Roman" w:cs="Times New Roman"/>
                <w:sz w:val="22"/>
                <w:szCs w:val="22"/>
              </w:rPr>
              <w:t>4)</w:t>
            </w:r>
            <w:r w:rsidRPr="00317ABF">
              <w:rPr>
                <w:rFonts w:ascii="Times New Roman" w:hAnsi="Times New Roman" w:cs="Times New Roman"/>
                <w:sz w:val="22"/>
                <w:szCs w:val="22"/>
              </w:rPr>
              <w:tab/>
              <w:t>wysokość dopłaty przekazanej przedsiębiorcy wyznaczonemu.</w:t>
            </w:r>
          </w:p>
          <w:p w14:paraId="32EAEF07" w14:textId="0DD1FCA6" w:rsidR="001E1112" w:rsidRPr="00317ABF" w:rsidRDefault="001E1112" w:rsidP="00DB3BEC">
            <w:pPr>
              <w:pStyle w:val="Tekstpodstawowy"/>
              <w:rPr>
                <w:sz w:val="22"/>
                <w:szCs w:val="22"/>
              </w:rPr>
            </w:pPr>
          </w:p>
        </w:tc>
      </w:tr>
      <w:tr w:rsidR="001E1112" w:rsidRPr="00317ABF" w14:paraId="7F7F1F5B" w14:textId="77777777" w:rsidTr="7753F98D">
        <w:trPr>
          <w:gridAfter w:val="2"/>
          <w:wAfter w:w="175" w:type="dxa"/>
        </w:trPr>
        <w:tc>
          <w:tcPr>
            <w:tcW w:w="704" w:type="dxa"/>
          </w:tcPr>
          <w:p w14:paraId="2C45DE38" w14:textId="5E160530" w:rsidR="001E1112" w:rsidRPr="00317ABF" w:rsidRDefault="001E1112" w:rsidP="00DB3BEC">
            <w:pPr>
              <w:jc w:val="both"/>
              <w:rPr>
                <w:sz w:val="22"/>
                <w:szCs w:val="22"/>
              </w:rPr>
            </w:pPr>
            <w:r w:rsidRPr="00317ABF">
              <w:rPr>
                <w:b/>
                <w:sz w:val="22"/>
                <w:szCs w:val="22"/>
              </w:rPr>
              <w:t>Załącznik VIII</w:t>
            </w:r>
          </w:p>
        </w:tc>
        <w:tc>
          <w:tcPr>
            <w:tcW w:w="4308" w:type="dxa"/>
          </w:tcPr>
          <w:p w14:paraId="014AFC3E" w14:textId="77777777" w:rsidR="001E1112" w:rsidRPr="00317ABF" w:rsidRDefault="001E1112" w:rsidP="00DB3BEC">
            <w:pPr>
              <w:spacing w:before="120"/>
              <w:jc w:val="both"/>
              <w:rPr>
                <w:sz w:val="22"/>
                <w:szCs w:val="22"/>
              </w:rPr>
            </w:pPr>
            <w:r w:rsidRPr="00317ABF">
              <w:rPr>
                <w:b/>
                <w:bCs/>
                <w:sz w:val="22"/>
                <w:szCs w:val="22"/>
              </w:rPr>
              <w:t>WYMOGI DOTYCZĄCE INFORMACJI, KTÓRE NALEŻY PRZEKAZAĆ ZGODNIE Z ART. 102 (WYMOGI INFORMACYJNE DOTYCZĄCE UMÓW)</w:t>
            </w:r>
          </w:p>
        </w:tc>
        <w:tc>
          <w:tcPr>
            <w:tcW w:w="986" w:type="dxa"/>
          </w:tcPr>
          <w:p w14:paraId="65834088" w14:textId="77777777" w:rsidR="001E1112" w:rsidRPr="00317ABF" w:rsidRDefault="001E1112" w:rsidP="00DB3BEC">
            <w:pPr>
              <w:jc w:val="both"/>
              <w:rPr>
                <w:sz w:val="22"/>
                <w:szCs w:val="22"/>
              </w:rPr>
            </w:pPr>
          </w:p>
        </w:tc>
        <w:tc>
          <w:tcPr>
            <w:tcW w:w="910" w:type="dxa"/>
          </w:tcPr>
          <w:p w14:paraId="6F41B4C5" w14:textId="77777777" w:rsidR="001E1112" w:rsidRPr="00317ABF" w:rsidRDefault="001E1112" w:rsidP="00DB3BEC">
            <w:pPr>
              <w:pStyle w:val="Tekstpodstawowy"/>
              <w:rPr>
                <w:b/>
                <w:noProof/>
                <w:sz w:val="22"/>
                <w:szCs w:val="22"/>
              </w:rPr>
            </w:pPr>
          </w:p>
        </w:tc>
        <w:tc>
          <w:tcPr>
            <w:tcW w:w="6814" w:type="dxa"/>
            <w:gridSpan w:val="2"/>
          </w:tcPr>
          <w:p w14:paraId="7826CA8F" w14:textId="560D7A34" w:rsidR="001E1112" w:rsidRPr="00317ABF" w:rsidRDefault="001E1112" w:rsidP="00DB3BEC">
            <w:pPr>
              <w:pStyle w:val="Tekstpodstawowy"/>
              <w:rPr>
                <w:sz w:val="22"/>
                <w:szCs w:val="22"/>
              </w:rPr>
            </w:pPr>
          </w:p>
        </w:tc>
      </w:tr>
      <w:tr w:rsidR="001E1112" w:rsidRPr="00317ABF" w14:paraId="1D3CCF57" w14:textId="77777777" w:rsidTr="7753F98D">
        <w:trPr>
          <w:gridAfter w:val="2"/>
          <w:wAfter w:w="175" w:type="dxa"/>
        </w:trPr>
        <w:tc>
          <w:tcPr>
            <w:tcW w:w="704" w:type="dxa"/>
          </w:tcPr>
          <w:p w14:paraId="6E624A54" w14:textId="1640FBED" w:rsidR="001E1112" w:rsidRPr="00317ABF" w:rsidRDefault="001E1112" w:rsidP="00DB3BEC">
            <w:pPr>
              <w:jc w:val="both"/>
              <w:rPr>
                <w:sz w:val="22"/>
                <w:szCs w:val="22"/>
              </w:rPr>
            </w:pPr>
            <w:r w:rsidRPr="00317ABF">
              <w:rPr>
                <w:sz w:val="22"/>
                <w:szCs w:val="22"/>
              </w:rPr>
              <w:t>Część A</w:t>
            </w:r>
          </w:p>
        </w:tc>
        <w:tc>
          <w:tcPr>
            <w:tcW w:w="4308" w:type="dxa"/>
          </w:tcPr>
          <w:p w14:paraId="5865F8B3" w14:textId="77777777" w:rsidR="001E1112" w:rsidRPr="00317ABF" w:rsidRDefault="001E1112" w:rsidP="00DB3BEC">
            <w:pPr>
              <w:spacing w:before="120"/>
              <w:jc w:val="both"/>
              <w:rPr>
                <w:sz w:val="22"/>
                <w:szCs w:val="22"/>
              </w:rPr>
            </w:pPr>
            <w:r w:rsidRPr="00317ABF">
              <w:rPr>
                <w:sz w:val="22"/>
                <w:szCs w:val="22"/>
              </w:rPr>
              <w:t>Wymogi informacyjne dotyczące dostawców świadczących publicznie dostępne usługi łączności elektronicznej inne niż usługi transmisji używane do świadczenia usług łączności maszyna–maszyna</w:t>
            </w:r>
          </w:p>
        </w:tc>
        <w:tc>
          <w:tcPr>
            <w:tcW w:w="986" w:type="dxa"/>
          </w:tcPr>
          <w:p w14:paraId="0944F0D4" w14:textId="1329163D" w:rsidR="001E1112" w:rsidRPr="00317ABF" w:rsidRDefault="001E1112" w:rsidP="00DB3BEC">
            <w:pPr>
              <w:jc w:val="both"/>
              <w:rPr>
                <w:sz w:val="22"/>
                <w:szCs w:val="22"/>
              </w:rPr>
            </w:pPr>
            <w:r w:rsidRPr="00317ABF">
              <w:rPr>
                <w:sz w:val="22"/>
                <w:szCs w:val="22"/>
              </w:rPr>
              <w:t>T</w:t>
            </w:r>
          </w:p>
        </w:tc>
        <w:tc>
          <w:tcPr>
            <w:tcW w:w="910" w:type="dxa"/>
          </w:tcPr>
          <w:p w14:paraId="0E8DA56E" w14:textId="00199D99" w:rsidR="001E1112" w:rsidRPr="00317ABF" w:rsidRDefault="00CF0E2D" w:rsidP="00DB3BEC">
            <w:pPr>
              <w:pStyle w:val="Tekstpodstawowy"/>
              <w:rPr>
                <w:b/>
                <w:noProof/>
                <w:sz w:val="22"/>
                <w:szCs w:val="22"/>
              </w:rPr>
            </w:pPr>
            <w:r w:rsidRPr="00317ABF">
              <w:rPr>
                <w:b/>
                <w:noProof/>
                <w:sz w:val="22"/>
                <w:szCs w:val="22"/>
              </w:rPr>
              <w:t>Art. 279 ust. 2</w:t>
            </w:r>
          </w:p>
        </w:tc>
        <w:tc>
          <w:tcPr>
            <w:tcW w:w="6814" w:type="dxa"/>
            <w:gridSpan w:val="2"/>
          </w:tcPr>
          <w:p w14:paraId="53ED2327" w14:textId="1F6A5485" w:rsidR="00CF0E2D" w:rsidRPr="00317ABF" w:rsidRDefault="00CF0E2D" w:rsidP="00CF0E2D">
            <w:pPr>
              <w:pStyle w:val="Tekstpodstawowy"/>
              <w:rPr>
                <w:sz w:val="22"/>
                <w:szCs w:val="22"/>
              </w:rPr>
            </w:pPr>
            <w:r w:rsidRPr="00317ABF">
              <w:rPr>
                <w:rFonts w:ascii="Times" w:eastAsiaTheme="minorEastAsia" w:hAnsi="Times" w:cs="Times"/>
                <w:b/>
                <w:sz w:val="24"/>
              </w:rPr>
              <w:t xml:space="preserve"> </w:t>
            </w:r>
            <w:r w:rsidRPr="00317ABF">
              <w:rPr>
                <w:b/>
                <w:sz w:val="22"/>
                <w:szCs w:val="22"/>
              </w:rPr>
              <w:t>Art. 279.</w:t>
            </w:r>
            <w:r w:rsidRPr="00317ABF">
              <w:rPr>
                <w:sz w:val="22"/>
                <w:szCs w:val="22"/>
              </w:rPr>
              <w:t xml:space="preserve"> </w:t>
            </w:r>
          </w:p>
          <w:p w14:paraId="4D393514" w14:textId="1266695B" w:rsidR="00CF0E2D" w:rsidRPr="00317ABF" w:rsidRDefault="00CF0E2D" w:rsidP="00CF0E2D">
            <w:pPr>
              <w:pStyle w:val="Tekstpodstawowy"/>
              <w:rPr>
                <w:sz w:val="22"/>
                <w:szCs w:val="22"/>
              </w:rPr>
            </w:pPr>
            <w:r w:rsidRPr="00317ABF">
              <w:rPr>
                <w:sz w:val="22"/>
                <w:szCs w:val="22"/>
              </w:rPr>
              <w:t>(…)</w:t>
            </w:r>
          </w:p>
          <w:p w14:paraId="4B6A7299" w14:textId="77777777" w:rsidR="00CF0E2D" w:rsidRPr="00317ABF" w:rsidRDefault="00CF0E2D" w:rsidP="00CF0E2D">
            <w:pPr>
              <w:pStyle w:val="Tekstpodstawowy"/>
              <w:rPr>
                <w:sz w:val="22"/>
                <w:szCs w:val="22"/>
              </w:rPr>
            </w:pPr>
            <w:r w:rsidRPr="00317ABF">
              <w:rPr>
                <w:sz w:val="22"/>
                <w:szCs w:val="22"/>
              </w:rPr>
              <w:t xml:space="preserve"> 2. Informacje przedumowne określają:</w:t>
            </w:r>
          </w:p>
          <w:p w14:paraId="4DBB32D8" w14:textId="77777777" w:rsidR="00CF0E2D" w:rsidRPr="00317ABF" w:rsidRDefault="00CF0E2D" w:rsidP="00CF0E2D">
            <w:pPr>
              <w:pStyle w:val="Tekstpodstawowy"/>
              <w:rPr>
                <w:bCs/>
                <w:sz w:val="22"/>
                <w:szCs w:val="22"/>
              </w:rPr>
            </w:pPr>
            <w:r w:rsidRPr="00317ABF">
              <w:rPr>
                <w:bCs/>
                <w:sz w:val="22"/>
                <w:szCs w:val="22"/>
              </w:rPr>
              <w:t>1)</w:t>
            </w:r>
            <w:r w:rsidRPr="00317ABF">
              <w:rPr>
                <w:bCs/>
                <w:sz w:val="22"/>
                <w:szCs w:val="22"/>
              </w:rPr>
              <w:tab/>
              <w:t>główne cechy każdej usługi, w tym wszelkie minimalne poziomy jakości usług, a w przypadku usług innych niż usługi dostępu do internetu, konkretne gwarantowane parametry jakości, albo oświadczenie o braku minimalnych poziomów jakości usług;</w:t>
            </w:r>
          </w:p>
          <w:p w14:paraId="219A6B74" w14:textId="77777777" w:rsidR="00CF0E2D" w:rsidRPr="00317ABF" w:rsidRDefault="00CF0E2D" w:rsidP="00CF0E2D">
            <w:pPr>
              <w:pStyle w:val="Tekstpodstawowy"/>
              <w:rPr>
                <w:bCs/>
                <w:sz w:val="22"/>
                <w:szCs w:val="22"/>
              </w:rPr>
            </w:pPr>
            <w:r w:rsidRPr="00317ABF">
              <w:rPr>
                <w:bCs/>
                <w:sz w:val="22"/>
                <w:szCs w:val="22"/>
              </w:rPr>
              <w:t>2)</w:t>
            </w:r>
            <w:r w:rsidRPr="00317ABF">
              <w:rPr>
                <w:bCs/>
                <w:sz w:val="22"/>
                <w:szCs w:val="22"/>
              </w:rPr>
              <w:tab/>
              <w:t>cenę usługi, w tym cenę za jej aktywację, opłatę abonamentową lub inną okresową opłatę,</w:t>
            </w:r>
            <w:r w:rsidRPr="00317ABF" w:rsidDel="00DF787B">
              <w:rPr>
                <w:bCs/>
                <w:sz w:val="22"/>
                <w:szCs w:val="22"/>
              </w:rPr>
              <w:t xml:space="preserve"> </w:t>
            </w:r>
            <w:r w:rsidRPr="00317ABF">
              <w:rPr>
                <w:bCs/>
                <w:sz w:val="22"/>
                <w:szCs w:val="22"/>
              </w:rPr>
              <w:t>cenę za jednostkę rozliczeniową usługi oraz inne</w:t>
            </w:r>
            <w:r w:rsidRPr="00317ABF">
              <w:rPr>
                <w:sz w:val="22"/>
                <w:szCs w:val="22"/>
              </w:rPr>
              <w:t xml:space="preserve"> powtarzalne lub oparte na zużyciu opłaty</w:t>
            </w:r>
            <w:r w:rsidRPr="00317ABF">
              <w:rPr>
                <w:bCs/>
                <w:sz w:val="22"/>
                <w:szCs w:val="22"/>
              </w:rPr>
              <w:t>;</w:t>
            </w:r>
          </w:p>
          <w:p w14:paraId="3C18F298" w14:textId="77777777" w:rsidR="00CF0E2D" w:rsidRPr="00317ABF" w:rsidRDefault="00CF0E2D" w:rsidP="00CF0E2D">
            <w:pPr>
              <w:pStyle w:val="Tekstpodstawowy"/>
              <w:rPr>
                <w:bCs/>
                <w:sz w:val="22"/>
                <w:szCs w:val="22"/>
              </w:rPr>
            </w:pPr>
            <w:r w:rsidRPr="00317ABF">
              <w:rPr>
                <w:bCs/>
                <w:sz w:val="22"/>
                <w:szCs w:val="22"/>
              </w:rPr>
              <w:t>3)</w:t>
            </w:r>
            <w:r w:rsidRPr="00317ABF">
              <w:rPr>
                <w:bCs/>
                <w:sz w:val="22"/>
                <w:szCs w:val="22"/>
              </w:rPr>
              <w:tab/>
              <w:t>okres obowiązywania umowy oraz warunki przedłużenia i sposób zakończenia obowiązywania umowy, w tym:</w:t>
            </w:r>
          </w:p>
          <w:p w14:paraId="241F8690" w14:textId="77777777" w:rsidR="00CF0E2D" w:rsidRPr="00317ABF" w:rsidRDefault="00CF0E2D" w:rsidP="00CF0E2D">
            <w:pPr>
              <w:pStyle w:val="Tekstpodstawowy"/>
              <w:rPr>
                <w:bCs/>
                <w:sz w:val="22"/>
                <w:szCs w:val="22"/>
              </w:rPr>
            </w:pPr>
            <w:r w:rsidRPr="00317ABF">
              <w:rPr>
                <w:bCs/>
                <w:sz w:val="22"/>
                <w:szCs w:val="22"/>
              </w:rPr>
              <w:t>a)</w:t>
            </w:r>
            <w:r w:rsidRPr="00317ABF">
              <w:rPr>
                <w:bCs/>
                <w:sz w:val="22"/>
                <w:szCs w:val="22"/>
              </w:rPr>
              <w:tab/>
              <w:t>minimalne wykorzystanie usługi lub okres obowiązywania umowy wymagany do skorzystania z warunków promocyjnych,</w:t>
            </w:r>
          </w:p>
          <w:p w14:paraId="687A17E1" w14:textId="77777777" w:rsidR="00CF0E2D" w:rsidRPr="00317ABF" w:rsidRDefault="00CF0E2D" w:rsidP="00CF0E2D">
            <w:pPr>
              <w:pStyle w:val="Tekstpodstawowy"/>
              <w:rPr>
                <w:bCs/>
                <w:sz w:val="22"/>
                <w:szCs w:val="22"/>
              </w:rPr>
            </w:pPr>
            <w:r w:rsidRPr="00317ABF">
              <w:rPr>
                <w:bCs/>
                <w:sz w:val="22"/>
                <w:szCs w:val="22"/>
              </w:rPr>
              <w:t>b)</w:t>
            </w:r>
            <w:r w:rsidRPr="00317ABF">
              <w:rPr>
                <w:bCs/>
                <w:sz w:val="22"/>
                <w:szCs w:val="22"/>
              </w:rPr>
              <w:tab/>
              <w:t>warunki zmiany dostawcy usług komunikacji elektronicznej oraz wysokość i zasady wypłaty odszkodowania za opóźnienia lub nadużycia związane ze zmianą dostawcy usług komunikacji elektronicznej, a także procedury stosowane w tym zakresie,</w:t>
            </w:r>
          </w:p>
          <w:p w14:paraId="2EF2FD36" w14:textId="77777777" w:rsidR="00CF0E2D" w:rsidRPr="00317ABF" w:rsidRDefault="00CF0E2D" w:rsidP="00CF0E2D">
            <w:pPr>
              <w:pStyle w:val="Tekstpodstawowy"/>
              <w:rPr>
                <w:bCs/>
                <w:sz w:val="22"/>
                <w:szCs w:val="22"/>
              </w:rPr>
            </w:pPr>
            <w:r w:rsidRPr="00317ABF">
              <w:rPr>
                <w:bCs/>
                <w:sz w:val="22"/>
                <w:szCs w:val="22"/>
              </w:rPr>
              <w:t>c)</w:t>
            </w:r>
            <w:r w:rsidRPr="00317ABF">
              <w:rPr>
                <w:bCs/>
                <w:sz w:val="22"/>
                <w:szCs w:val="22"/>
              </w:rPr>
              <w:tab/>
              <w:t>zasady zwrotu pozostałych na koncie środków z doładowań – w przypadku usług przedpłaconych,</w:t>
            </w:r>
          </w:p>
          <w:p w14:paraId="3AE8DEBA" w14:textId="77777777" w:rsidR="00CF0E2D" w:rsidRPr="00317ABF" w:rsidRDefault="00CF0E2D" w:rsidP="00CF0E2D">
            <w:pPr>
              <w:pStyle w:val="Tekstpodstawowy"/>
              <w:rPr>
                <w:bCs/>
                <w:sz w:val="22"/>
                <w:szCs w:val="22"/>
              </w:rPr>
            </w:pPr>
            <w:r w:rsidRPr="00317ABF">
              <w:rPr>
                <w:bCs/>
                <w:sz w:val="22"/>
                <w:szCs w:val="22"/>
              </w:rPr>
              <w:t xml:space="preserve">d) odszkodowanie należne w momencie wypowiedzenia umowy, </w:t>
            </w:r>
            <w:r w:rsidRPr="00317ABF" w:rsidDel="001007DC">
              <w:rPr>
                <w:bCs/>
                <w:sz w:val="22"/>
                <w:szCs w:val="22"/>
              </w:rPr>
              <w:t xml:space="preserve">w trybie art. </w:t>
            </w:r>
            <w:r w:rsidRPr="00317ABF">
              <w:rPr>
                <w:bCs/>
                <w:sz w:val="22"/>
                <w:szCs w:val="22"/>
              </w:rPr>
              <w:t>298</w:t>
            </w:r>
            <w:r w:rsidRPr="00317ABF" w:rsidDel="001007DC">
              <w:rPr>
                <w:bCs/>
                <w:sz w:val="22"/>
                <w:szCs w:val="22"/>
              </w:rPr>
              <w:t xml:space="preserve"> ust. 1</w:t>
            </w:r>
            <w:r w:rsidRPr="00317ABF">
              <w:rPr>
                <w:bCs/>
                <w:sz w:val="22"/>
                <w:szCs w:val="22"/>
              </w:rPr>
              <w:t>, w tym informacje na temat odblokowania telekomunikacyjnego urządzenia końcowego</w:t>
            </w:r>
            <w:r w:rsidRPr="00317ABF">
              <w:rPr>
                <w:i/>
                <w:iCs/>
                <w:sz w:val="22"/>
                <w:szCs w:val="22"/>
              </w:rPr>
              <w:t xml:space="preserve"> </w:t>
            </w:r>
            <w:r w:rsidRPr="00317ABF">
              <w:rPr>
                <w:bCs/>
                <w:iCs/>
                <w:sz w:val="22"/>
                <w:szCs w:val="22"/>
              </w:rPr>
              <w:t>zakupionego w ramach umowy o świadczenie usług komunikacji elektronicznej, zwanego dalej „promocyjnym urządzeniem końcowym”</w:t>
            </w:r>
            <w:r w:rsidRPr="00317ABF" w:rsidDel="005C1D8C">
              <w:rPr>
                <w:bCs/>
                <w:sz w:val="22"/>
                <w:szCs w:val="22"/>
              </w:rPr>
              <w:t xml:space="preserve"> </w:t>
            </w:r>
            <w:r w:rsidRPr="00317ABF">
              <w:rPr>
                <w:bCs/>
                <w:sz w:val="22"/>
                <w:szCs w:val="22"/>
              </w:rPr>
              <w:t>lub warunki jego zwrotu w przypadku nieskorzystania z uprawnienia, o którym mowa w art. 303, ze wskazaniem strony, która poniesie koszt tego zwrotu;</w:t>
            </w:r>
          </w:p>
          <w:p w14:paraId="12B564CF" w14:textId="77777777" w:rsidR="00CF0E2D" w:rsidRPr="00317ABF" w:rsidRDefault="00CF0E2D" w:rsidP="00CF0E2D">
            <w:pPr>
              <w:pStyle w:val="Tekstpodstawowy"/>
              <w:rPr>
                <w:bCs/>
                <w:sz w:val="22"/>
                <w:szCs w:val="22"/>
              </w:rPr>
            </w:pPr>
            <w:r w:rsidRPr="00317ABF">
              <w:rPr>
                <w:bCs/>
                <w:sz w:val="22"/>
                <w:szCs w:val="22"/>
              </w:rPr>
              <w:t>4)</w:t>
            </w:r>
            <w:r w:rsidRPr="00317ABF">
              <w:rPr>
                <w:bCs/>
                <w:sz w:val="22"/>
                <w:szCs w:val="22"/>
              </w:rPr>
              <w:tab/>
              <w:t>wysokość odszkodowania oraz zasady i termin jego wypłaty, w szczególności w przypadku gdy nie został osiągnięty określony w umowie poziom jakości świadczonej usługi lub jeżeli dostawca usług komunikacji elektronicznej nie zareagował odpowiednio na naruszenie bezpieczeństwa, zagrożenie lub lukę w systemie bezpieczeństwa;</w:t>
            </w:r>
          </w:p>
          <w:p w14:paraId="7D209475" w14:textId="2A405616" w:rsidR="001E1112" w:rsidRPr="00317ABF" w:rsidRDefault="00CF0E2D" w:rsidP="00CF0E2D">
            <w:pPr>
              <w:pStyle w:val="Tekstpodstawowy"/>
              <w:rPr>
                <w:bCs/>
                <w:sz w:val="22"/>
                <w:szCs w:val="22"/>
              </w:rPr>
            </w:pPr>
            <w:r w:rsidRPr="00317ABF">
              <w:rPr>
                <w:bCs/>
                <w:sz w:val="22"/>
                <w:szCs w:val="22"/>
              </w:rPr>
              <w:t>5)</w:t>
            </w:r>
            <w:r w:rsidRPr="00317ABF">
              <w:rPr>
                <w:bCs/>
                <w:sz w:val="22"/>
                <w:szCs w:val="22"/>
              </w:rPr>
              <w:tab/>
              <w:t>zakres działań podejmowanych przez dostawcę usług komunikacji elektronicznej w związku z przypadkami naruszenia bezpieczeństwa sieci lub usług, o którym mowa w ustawie z dnia 5 lipca 2018 r. o krajowym systemie cyberbezpieczeństwa, zagrożeniami takiego naruszenia lub podatnością na wystąpienie naruszenia, które mogą mieć wpływ na usługi świadczone konsumentowi.</w:t>
            </w:r>
          </w:p>
        </w:tc>
      </w:tr>
      <w:tr w:rsidR="001E1112" w:rsidRPr="00317ABF" w14:paraId="23F9C1BA" w14:textId="77777777" w:rsidTr="7753F98D">
        <w:trPr>
          <w:gridAfter w:val="2"/>
          <w:wAfter w:w="175" w:type="dxa"/>
        </w:trPr>
        <w:tc>
          <w:tcPr>
            <w:tcW w:w="704" w:type="dxa"/>
          </w:tcPr>
          <w:p w14:paraId="67090783" w14:textId="3F00FA44" w:rsidR="001E1112" w:rsidRPr="00317ABF" w:rsidRDefault="001E1112" w:rsidP="00DB3BEC">
            <w:pPr>
              <w:jc w:val="both"/>
              <w:rPr>
                <w:sz w:val="22"/>
                <w:szCs w:val="22"/>
              </w:rPr>
            </w:pPr>
            <w:r w:rsidRPr="00317ABF">
              <w:rPr>
                <w:sz w:val="22"/>
                <w:szCs w:val="22"/>
              </w:rPr>
              <w:t>Część B</w:t>
            </w:r>
          </w:p>
        </w:tc>
        <w:tc>
          <w:tcPr>
            <w:tcW w:w="4308" w:type="dxa"/>
          </w:tcPr>
          <w:p w14:paraId="1BEDACC5" w14:textId="77777777" w:rsidR="001E1112" w:rsidRPr="00317ABF" w:rsidRDefault="001E1112" w:rsidP="00DB3BEC">
            <w:pPr>
              <w:spacing w:before="120"/>
              <w:jc w:val="both"/>
              <w:rPr>
                <w:sz w:val="22"/>
                <w:szCs w:val="22"/>
              </w:rPr>
            </w:pPr>
            <w:r w:rsidRPr="00317ABF">
              <w:rPr>
                <w:sz w:val="22"/>
                <w:szCs w:val="22"/>
              </w:rPr>
              <w:t>Wymogi dotyczące informacji w przypadku dostawców usługi dostępu do internetu i publicznie dostępnych usług łączności interpersonalnej</w:t>
            </w:r>
          </w:p>
        </w:tc>
        <w:tc>
          <w:tcPr>
            <w:tcW w:w="986" w:type="dxa"/>
          </w:tcPr>
          <w:p w14:paraId="093231AA" w14:textId="1CFC3843" w:rsidR="001E1112" w:rsidRPr="00317ABF" w:rsidRDefault="001E1112" w:rsidP="00DB3BEC">
            <w:pPr>
              <w:jc w:val="both"/>
              <w:rPr>
                <w:sz w:val="22"/>
                <w:szCs w:val="22"/>
              </w:rPr>
            </w:pPr>
            <w:r w:rsidRPr="00317ABF">
              <w:rPr>
                <w:sz w:val="22"/>
                <w:szCs w:val="22"/>
              </w:rPr>
              <w:t>T</w:t>
            </w:r>
          </w:p>
        </w:tc>
        <w:tc>
          <w:tcPr>
            <w:tcW w:w="910" w:type="dxa"/>
          </w:tcPr>
          <w:p w14:paraId="344C2E79" w14:textId="0598EE6D" w:rsidR="001E1112" w:rsidRPr="00317ABF" w:rsidRDefault="00CF0E2D" w:rsidP="00DB3BEC">
            <w:pPr>
              <w:pStyle w:val="Tekstpodstawowy"/>
              <w:rPr>
                <w:b/>
                <w:noProof/>
                <w:sz w:val="22"/>
                <w:szCs w:val="22"/>
              </w:rPr>
            </w:pPr>
            <w:r w:rsidRPr="00317ABF">
              <w:rPr>
                <w:b/>
                <w:noProof/>
                <w:sz w:val="22"/>
                <w:szCs w:val="22"/>
              </w:rPr>
              <w:t>Art. 279 ust. 3-6</w:t>
            </w:r>
          </w:p>
        </w:tc>
        <w:tc>
          <w:tcPr>
            <w:tcW w:w="6814" w:type="dxa"/>
            <w:gridSpan w:val="2"/>
          </w:tcPr>
          <w:p w14:paraId="2C1432B4" w14:textId="77777777" w:rsidR="00CF0E2D" w:rsidRPr="00317ABF" w:rsidRDefault="00CF0E2D" w:rsidP="00DB3BEC">
            <w:pPr>
              <w:jc w:val="both"/>
              <w:rPr>
                <w:sz w:val="22"/>
                <w:szCs w:val="22"/>
              </w:rPr>
            </w:pPr>
            <w:r w:rsidRPr="00317ABF">
              <w:rPr>
                <w:sz w:val="22"/>
                <w:szCs w:val="22"/>
              </w:rPr>
              <w:t>Art. 279</w:t>
            </w:r>
          </w:p>
          <w:p w14:paraId="4AEB449A" w14:textId="77777777" w:rsidR="00CF0E2D" w:rsidRPr="00317ABF" w:rsidRDefault="00CF0E2D" w:rsidP="00DB3BEC">
            <w:pPr>
              <w:jc w:val="both"/>
              <w:rPr>
                <w:sz w:val="22"/>
                <w:szCs w:val="22"/>
              </w:rPr>
            </w:pPr>
            <w:r w:rsidRPr="00317ABF">
              <w:rPr>
                <w:sz w:val="22"/>
                <w:szCs w:val="22"/>
              </w:rPr>
              <w:t>(…)</w:t>
            </w:r>
          </w:p>
          <w:p w14:paraId="0EE302E2" w14:textId="77777777" w:rsidR="00CF0E2D" w:rsidRPr="00317ABF" w:rsidRDefault="00CF0E2D" w:rsidP="00CF0E2D">
            <w:pPr>
              <w:jc w:val="both"/>
              <w:rPr>
                <w:bCs/>
                <w:sz w:val="22"/>
                <w:szCs w:val="22"/>
              </w:rPr>
            </w:pPr>
            <w:r w:rsidRPr="00317ABF">
              <w:rPr>
                <w:bCs/>
                <w:sz w:val="22"/>
                <w:szCs w:val="22"/>
              </w:rPr>
              <w:t>3. W przypadku umowy o świadczenie usług komunikacji elektronicznej w zakresie usługi dostępu do internetu lub usługi komunikacji interpersonalnej dostawca tych usług w ramach informacji przedumownych doręcza również informacje o:</w:t>
            </w:r>
          </w:p>
          <w:p w14:paraId="35F255D8" w14:textId="77777777" w:rsidR="00CF0E2D" w:rsidRPr="00317ABF" w:rsidRDefault="00CF0E2D" w:rsidP="00CF0E2D">
            <w:pPr>
              <w:jc w:val="both"/>
              <w:rPr>
                <w:bCs/>
                <w:sz w:val="22"/>
                <w:szCs w:val="22"/>
              </w:rPr>
            </w:pPr>
            <w:r w:rsidRPr="00317ABF">
              <w:rPr>
                <w:bCs/>
                <w:sz w:val="22"/>
                <w:szCs w:val="22"/>
              </w:rPr>
              <w:t>1)</w:t>
            </w:r>
            <w:r w:rsidRPr="00317ABF">
              <w:rPr>
                <w:bCs/>
                <w:sz w:val="22"/>
                <w:szCs w:val="22"/>
              </w:rPr>
              <w:tab/>
              <w:t>wszelkich oferowanych minimalnych poziomach jakości usługi, z uwzględnieniem parametrów istotnych dla użytkowników końcowych z niepełnosprawnościami, metod ich pomiaru, treści i formy publikacji informacji oraz mechanizmów certyfikacji jakości, w tym o:</w:t>
            </w:r>
          </w:p>
          <w:p w14:paraId="2CD40CB9" w14:textId="77777777" w:rsidR="00CF0E2D" w:rsidRPr="00317ABF" w:rsidRDefault="00CF0E2D" w:rsidP="00CF0E2D">
            <w:pPr>
              <w:jc w:val="both"/>
              <w:rPr>
                <w:bCs/>
                <w:sz w:val="22"/>
                <w:szCs w:val="22"/>
              </w:rPr>
            </w:pPr>
            <w:r w:rsidRPr="00317ABF">
              <w:rPr>
                <w:bCs/>
                <w:sz w:val="22"/>
                <w:szCs w:val="22"/>
              </w:rPr>
              <w:t>a)</w:t>
            </w:r>
            <w:r w:rsidRPr="00317ABF">
              <w:rPr>
                <w:bCs/>
                <w:sz w:val="22"/>
                <w:szCs w:val="22"/>
              </w:rPr>
              <w:tab/>
              <w:t>opóźnieniach transmisji pakietów danych, zmienności tych opóźnień, utracie pakietów danych - w odniesieniu do usług dostępu do internetu,</w:t>
            </w:r>
          </w:p>
          <w:p w14:paraId="5DF8D319" w14:textId="77777777" w:rsidR="00CF0E2D" w:rsidRPr="00317ABF" w:rsidRDefault="00CF0E2D" w:rsidP="00CF0E2D">
            <w:pPr>
              <w:jc w:val="both"/>
              <w:rPr>
                <w:bCs/>
                <w:sz w:val="22"/>
                <w:szCs w:val="22"/>
              </w:rPr>
            </w:pPr>
            <w:r w:rsidRPr="00317ABF">
              <w:rPr>
                <w:bCs/>
                <w:sz w:val="22"/>
                <w:szCs w:val="22"/>
              </w:rPr>
              <w:t>b)</w:t>
            </w:r>
            <w:r w:rsidRPr="00317ABF">
              <w:rPr>
                <w:bCs/>
                <w:sz w:val="22"/>
                <w:szCs w:val="22"/>
              </w:rPr>
              <w:tab/>
              <w:t>czasie realizacji połączenia, prawdopodobieństwie wystąpienia nieudanego wywołania połączenia lub opóźnieniu w wywołaniu połączenia – w odniesieniu do usługi komunikacji interpersonalnej, w której dostawca kontroluje co najmniej kilka elementów sieci lub ma służącą do tego celu umowę o gwarantowaniu poziomu usług z przedsiębiorcą komunikacji elektronicznej zapewniającym dostęp do sieci,</w:t>
            </w:r>
          </w:p>
          <w:p w14:paraId="2DC74145" w14:textId="77777777" w:rsidR="00CF0E2D" w:rsidRPr="00317ABF" w:rsidRDefault="00CF0E2D" w:rsidP="00CF0E2D">
            <w:pPr>
              <w:jc w:val="both"/>
              <w:rPr>
                <w:bCs/>
                <w:sz w:val="22"/>
                <w:szCs w:val="22"/>
              </w:rPr>
            </w:pPr>
            <w:r w:rsidRPr="00317ABF">
              <w:rPr>
                <w:bCs/>
                <w:sz w:val="22"/>
                <w:szCs w:val="22"/>
              </w:rPr>
              <w:t>2)</w:t>
            </w:r>
            <w:r w:rsidRPr="00317ABF">
              <w:rPr>
                <w:bCs/>
                <w:sz w:val="22"/>
                <w:szCs w:val="22"/>
              </w:rPr>
              <w:tab/>
              <w:t>warunkach korzystania z udostępnionego przez dostawcę usług abonentowi na czas obowiązywania umowy o świadczenie usług komunikacji elektronicznej telekomunikacyjnego urządzenia końcowego, zwanego dalej „wydanym urządzeniem końcowym”, w tym o związanych z tym opłatach;</w:t>
            </w:r>
          </w:p>
          <w:p w14:paraId="501FD014" w14:textId="77777777" w:rsidR="00CF0E2D" w:rsidRPr="00317ABF" w:rsidRDefault="00CF0E2D" w:rsidP="00CF0E2D">
            <w:pPr>
              <w:jc w:val="both"/>
              <w:rPr>
                <w:bCs/>
                <w:sz w:val="22"/>
                <w:szCs w:val="22"/>
              </w:rPr>
            </w:pPr>
            <w:r w:rsidRPr="00317ABF">
              <w:rPr>
                <w:bCs/>
                <w:sz w:val="22"/>
                <w:szCs w:val="22"/>
              </w:rPr>
              <w:t>3)</w:t>
            </w:r>
            <w:r w:rsidRPr="00317ABF">
              <w:rPr>
                <w:bCs/>
                <w:sz w:val="22"/>
                <w:szCs w:val="22"/>
              </w:rPr>
              <w:tab/>
              <w:t>cenie usługi z uwzględnieniem informacji dotyczących:</w:t>
            </w:r>
          </w:p>
          <w:p w14:paraId="6F7E6B33" w14:textId="77777777" w:rsidR="00CF0E2D" w:rsidRPr="00317ABF" w:rsidRDefault="00CF0E2D" w:rsidP="00CF0E2D">
            <w:pPr>
              <w:jc w:val="both"/>
              <w:rPr>
                <w:bCs/>
                <w:sz w:val="22"/>
                <w:szCs w:val="22"/>
              </w:rPr>
            </w:pPr>
            <w:r w:rsidRPr="00317ABF">
              <w:rPr>
                <w:bCs/>
                <w:sz w:val="22"/>
                <w:szCs w:val="22"/>
              </w:rPr>
              <w:t>a)</w:t>
            </w:r>
            <w:r w:rsidRPr="00317ABF">
              <w:rPr>
                <w:bCs/>
                <w:sz w:val="22"/>
                <w:szCs w:val="22"/>
              </w:rPr>
              <w:tab/>
              <w:t>każdego z pakietów taryfowych przewidzianych umową w zakresie:</w:t>
            </w:r>
          </w:p>
          <w:p w14:paraId="5FE37EDC" w14:textId="77777777" w:rsidR="00CF0E2D" w:rsidRPr="00317ABF" w:rsidRDefault="00CF0E2D" w:rsidP="00CF0E2D">
            <w:pPr>
              <w:jc w:val="both"/>
              <w:rPr>
                <w:bCs/>
                <w:sz w:val="22"/>
                <w:szCs w:val="22"/>
              </w:rPr>
            </w:pPr>
            <w:r w:rsidRPr="00317ABF">
              <w:rPr>
                <w:bCs/>
                <w:sz w:val="22"/>
                <w:szCs w:val="22"/>
              </w:rPr>
              <w:t>–</w:t>
            </w:r>
            <w:r w:rsidRPr="00317ABF">
              <w:rPr>
                <w:bCs/>
                <w:sz w:val="22"/>
                <w:szCs w:val="22"/>
              </w:rPr>
              <w:tab/>
              <w:t>rodzaju oferowanych usług,</w:t>
            </w:r>
          </w:p>
          <w:p w14:paraId="3586972A" w14:textId="77777777" w:rsidR="00CF0E2D" w:rsidRPr="00317ABF" w:rsidRDefault="00CF0E2D" w:rsidP="00CF0E2D">
            <w:pPr>
              <w:jc w:val="both"/>
              <w:rPr>
                <w:bCs/>
                <w:sz w:val="22"/>
                <w:szCs w:val="22"/>
              </w:rPr>
            </w:pPr>
            <w:r w:rsidRPr="00317ABF">
              <w:rPr>
                <w:bCs/>
                <w:sz w:val="22"/>
                <w:szCs w:val="22"/>
              </w:rPr>
              <w:t>–</w:t>
            </w:r>
            <w:r w:rsidRPr="00317ABF">
              <w:rPr>
                <w:bCs/>
                <w:sz w:val="22"/>
                <w:szCs w:val="22"/>
              </w:rPr>
              <w:tab/>
              <w:t>ilości jednostek rozliczeniowych dostępnych w ramach pakietu taryfowego w okresie rozliczeniowym, cen za jednostkę rozliczeniową usługi po wykorzystaniu tego pakietu oraz innych powtarzalnych opłat,</w:t>
            </w:r>
          </w:p>
          <w:p w14:paraId="0761E68D" w14:textId="77777777" w:rsidR="00CF0E2D" w:rsidRPr="00317ABF" w:rsidRDefault="00CF0E2D" w:rsidP="00CF0E2D">
            <w:pPr>
              <w:jc w:val="both"/>
              <w:rPr>
                <w:bCs/>
                <w:sz w:val="22"/>
                <w:szCs w:val="22"/>
              </w:rPr>
            </w:pPr>
            <w:r w:rsidRPr="00317ABF">
              <w:rPr>
                <w:bCs/>
                <w:sz w:val="22"/>
                <w:szCs w:val="22"/>
              </w:rPr>
              <w:t>b)</w:t>
            </w:r>
            <w:r w:rsidRPr="00317ABF">
              <w:rPr>
                <w:bCs/>
                <w:sz w:val="22"/>
                <w:szCs w:val="22"/>
              </w:rPr>
              <w:tab/>
              <w:t>możliwości przeniesienia niewykorzystanej w okresie rozliczeniowym ilości jednostek rozliczeniowych na kolejny okres rozliczeniowy, jeżeli opcja ta dostępna jest w umowie - w przypadku planu taryfowego obejmującego wstępnie ustaloną ilość jednostek rozliczeniowych,</w:t>
            </w:r>
          </w:p>
          <w:p w14:paraId="51D65CDA" w14:textId="77777777" w:rsidR="00CF0E2D" w:rsidRPr="00317ABF" w:rsidRDefault="00CF0E2D" w:rsidP="00CF0E2D">
            <w:pPr>
              <w:jc w:val="both"/>
              <w:rPr>
                <w:bCs/>
                <w:sz w:val="22"/>
                <w:szCs w:val="22"/>
              </w:rPr>
            </w:pPr>
            <w:r w:rsidRPr="00317ABF">
              <w:rPr>
                <w:bCs/>
                <w:sz w:val="22"/>
                <w:szCs w:val="22"/>
              </w:rPr>
              <w:t>c)</w:t>
            </w:r>
            <w:r w:rsidRPr="00317ABF">
              <w:rPr>
                <w:bCs/>
                <w:sz w:val="22"/>
                <w:szCs w:val="22"/>
              </w:rPr>
              <w:tab/>
              <w:t>środków zapewnienia przejrzystości rachunku i monitorowania poziomu wykorzystania usługi,</w:t>
            </w:r>
          </w:p>
          <w:p w14:paraId="27B508CA" w14:textId="77777777" w:rsidR="00CF0E2D" w:rsidRPr="00317ABF" w:rsidRDefault="00CF0E2D" w:rsidP="00CF0E2D">
            <w:pPr>
              <w:jc w:val="both"/>
              <w:rPr>
                <w:bCs/>
                <w:sz w:val="22"/>
                <w:szCs w:val="22"/>
              </w:rPr>
            </w:pPr>
            <w:r w:rsidRPr="00317ABF">
              <w:rPr>
                <w:bCs/>
                <w:sz w:val="22"/>
                <w:szCs w:val="22"/>
              </w:rPr>
              <w:t>d)</w:t>
            </w:r>
            <w:r w:rsidRPr="00317ABF">
              <w:rPr>
                <w:bCs/>
                <w:sz w:val="22"/>
                <w:szCs w:val="22"/>
              </w:rPr>
              <w:tab/>
              <w:t>numerów lub usług, które podlegają szczególnym warunkom cenowym, w tym usług z dodatkowym świadczeniem, ceny za jednostkę rozliczeniową usługi albo w przypadku usługi taryfikowanej za całe połączenie - ceny za połączenie,</w:t>
            </w:r>
          </w:p>
          <w:p w14:paraId="671EEEF1" w14:textId="77777777" w:rsidR="00CF0E2D" w:rsidRPr="00317ABF" w:rsidRDefault="00CF0E2D" w:rsidP="00CF0E2D">
            <w:pPr>
              <w:jc w:val="both"/>
              <w:rPr>
                <w:bCs/>
                <w:sz w:val="22"/>
                <w:szCs w:val="22"/>
              </w:rPr>
            </w:pPr>
            <w:r w:rsidRPr="00317ABF">
              <w:rPr>
                <w:bCs/>
                <w:sz w:val="22"/>
                <w:szCs w:val="22"/>
              </w:rPr>
              <w:t>e)</w:t>
            </w:r>
            <w:r w:rsidRPr="00317ABF">
              <w:rPr>
                <w:bCs/>
                <w:sz w:val="22"/>
                <w:szCs w:val="22"/>
              </w:rPr>
              <w:tab/>
              <w:t>ceny poszczególnych elementów umowy, o której mowa w art. 299, jeżeli usługi lub urządzenia oferowane na podstawie tej umowy są również oferowane oddzielnie,</w:t>
            </w:r>
          </w:p>
          <w:p w14:paraId="28C19148" w14:textId="77777777" w:rsidR="00CF0E2D" w:rsidRPr="00317ABF" w:rsidRDefault="00CF0E2D" w:rsidP="00CF0E2D">
            <w:pPr>
              <w:jc w:val="both"/>
              <w:rPr>
                <w:bCs/>
                <w:sz w:val="22"/>
                <w:szCs w:val="22"/>
              </w:rPr>
            </w:pPr>
            <w:r w:rsidRPr="00317ABF">
              <w:rPr>
                <w:bCs/>
                <w:sz w:val="22"/>
                <w:szCs w:val="22"/>
              </w:rPr>
              <w:t>f)</w:t>
            </w:r>
            <w:r w:rsidRPr="00317ABF">
              <w:rPr>
                <w:bCs/>
                <w:sz w:val="22"/>
                <w:szCs w:val="22"/>
              </w:rPr>
              <w:tab/>
              <w:t>warunków i opłat dotyczących usług posprzedażnych, konserwacji i obsługi klienta,</w:t>
            </w:r>
          </w:p>
          <w:p w14:paraId="24EF490E" w14:textId="77777777" w:rsidR="00CF0E2D" w:rsidRPr="00317ABF" w:rsidRDefault="00CF0E2D" w:rsidP="00CF0E2D">
            <w:pPr>
              <w:jc w:val="both"/>
              <w:rPr>
                <w:bCs/>
                <w:sz w:val="22"/>
                <w:szCs w:val="22"/>
              </w:rPr>
            </w:pPr>
            <w:r w:rsidRPr="00317ABF">
              <w:rPr>
                <w:bCs/>
                <w:sz w:val="22"/>
                <w:szCs w:val="22"/>
              </w:rPr>
              <w:t>g)</w:t>
            </w:r>
            <w:r w:rsidRPr="00317ABF">
              <w:rPr>
                <w:bCs/>
                <w:sz w:val="22"/>
                <w:szCs w:val="22"/>
              </w:rPr>
              <w:tab/>
              <w:t>sposobów uzyskania informacji na temat obowiązujących cen i kosztów usług serwisowych;</w:t>
            </w:r>
          </w:p>
          <w:p w14:paraId="0AD26605" w14:textId="77777777" w:rsidR="00CF0E2D" w:rsidRPr="00317ABF" w:rsidRDefault="00CF0E2D" w:rsidP="00CF0E2D">
            <w:pPr>
              <w:jc w:val="both"/>
              <w:rPr>
                <w:bCs/>
                <w:sz w:val="22"/>
                <w:szCs w:val="22"/>
              </w:rPr>
            </w:pPr>
            <w:r w:rsidRPr="00317ABF">
              <w:rPr>
                <w:bCs/>
                <w:sz w:val="22"/>
                <w:szCs w:val="22"/>
              </w:rPr>
              <w:t>4)</w:t>
            </w:r>
            <w:r w:rsidRPr="00317ABF">
              <w:rPr>
                <w:bCs/>
                <w:sz w:val="22"/>
                <w:szCs w:val="22"/>
              </w:rPr>
              <w:tab/>
              <w:t>warunkach rezygnacji z oferty wiązanej lub jej elementów;</w:t>
            </w:r>
          </w:p>
          <w:p w14:paraId="44A08FAE" w14:textId="77777777" w:rsidR="00CF0E2D" w:rsidRPr="00317ABF" w:rsidRDefault="00CF0E2D" w:rsidP="00CF0E2D">
            <w:pPr>
              <w:jc w:val="both"/>
              <w:rPr>
                <w:bCs/>
                <w:sz w:val="22"/>
                <w:szCs w:val="22"/>
              </w:rPr>
            </w:pPr>
            <w:r w:rsidRPr="00317ABF">
              <w:rPr>
                <w:bCs/>
                <w:sz w:val="22"/>
                <w:szCs w:val="22"/>
              </w:rPr>
              <w:t>5)</w:t>
            </w:r>
            <w:r w:rsidRPr="00317ABF">
              <w:rPr>
                <w:bCs/>
                <w:sz w:val="22"/>
                <w:szCs w:val="22"/>
              </w:rPr>
              <w:tab/>
              <w:t>danych osobowych, które są przekazywane przed rozpoczęciem świadczenia usługi i przetwarzane w związku z jej świadczeniem;</w:t>
            </w:r>
          </w:p>
          <w:p w14:paraId="5EB4D316" w14:textId="77777777" w:rsidR="00CF0E2D" w:rsidRPr="00317ABF" w:rsidRDefault="00CF0E2D" w:rsidP="00CF0E2D">
            <w:pPr>
              <w:jc w:val="both"/>
              <w:rPr>
                <w:bCs/>
                <w:sz w:val="22"/>
                <w:szCs w:val="22"/>
              </w:rPr>
            </w:pPr>
            <w:r w:rsidRPr="00317ABF">
              <w:rPr>
                <w:bCs/>
                <w:sz w:val="22"/>
                <w:szCs w:val="22"/>
              </w:rPr>
              <w:t>6)</w:t>
            </w:r>
            <w:r w:rsidRPr="00317ABF">
              <w:rPr>
                <w:bCs/>
                <w:sz w:val="22"/>
                <w:szCs w:val="22"/>
              </w:rPr>
              <w:tab/>
              <w:t>udogodnieniach i usługach przeznaczonych dla użytkowników końcowych z niepełnosprawnościami oraz sposobie uzyskania aktualnych informacji;</w:t>
            </w:r>
          </w:p>
          <w:p w14:paraId="5A12DAC4" w14:textId="77777777" w:rsidR="00CF0E2D" w:rsidRPr="00317ABF" w:rsidRDefault="00CF0E2D" w:rsidP="00CF0E2D">
            <w:pPr>
              <w:jc w:val="both"/>
              <w:rPr>
                <w:bCs/>
                <w:sz w:val="22"/>
                <w:szCs w:val="22"/>
              </w:rPr>
            </w:pPr>
            <w:r w:rsidRPr="00317ABF">
              <w:rPr>
                <w:bCs/>
                <w:sz w:val="22"/>
                <w:szCs w:val="22"/>
              </w:rPr>
              <w:t>7)</w:t>
            </w:r>
            <w:r w:rsidRPr="00317ABF">
              <w:rPr>
                <w:bCs/>
                <w:sz w:val="22"/>
                <w:szCs w:val="22"/>
              </w:rPr>
              <w:tab/>
              <w:t>sposobach inicjowania procedur pozasądowego rozwiązywania sporów, w tym sporów krajowych i transgranicznych.</w:t>
            </w:r>
          </w:p>
          <w:p w14:paraId="205F8100" w14:textId="77777777" w:rsidR="00CF0E2D" w:rsidRPr="00317ABF" w:rsidRDefault="00CF0E2D" w:rsidP="00CF0E2D">
            <w:pPr>
              <w:jc w:val="both"/>
              <w:rPr>
                <w:bCs/>
                <w:sz w:val="22"/>
                <w:szCs w:val="22"/>
              </w:rPr>
            </w:pPr>
            <w:r w:rsidRPr="00317ABF">
              <w:rPr>
                <w:bCs/>
                <w:sz w:val="22"/>
                <w:szCs w:val="22"/>
              </w:rPr>
              <w:t>4. W przypadku umowy o świadczenie usług komunikacji elektronicznej w zakresie usługi komunikacji interpersonalnej wykorzystującej numery, dostawca usług komunikacji elektronicznej, w ramach informacji przedumownych, doręcza również informacje o:</w:t>
            </w:r>
          </w:p>
          <w:p w14:paraId="0AE490C7" w14:textId="77777777" w:rsidR="00CF0E2D" w:rsidRPr="00317ABF" w:rsidRDefault="00CF0E2D" w:rsidP="00CF0E2D">
            <w:pPr>
              <w:jc w:val="both"/>
              <w:rPr>
                <w:bCs/>
                <w:sz w:val="22"/>
                <w:szCs w:val="22"/>
              </w:rPr>
            </w:pPr>
            <w:r w:rsidRPr="00317ABF">
              <w:rPr>
                <w:bCs/>
                <w:sz w:val="22"/>
                <w:szCs w:val="22"/>
              </w:rPr>
              <w:t>1)</w:t>
            </w:r>
            <w:r w:rsidRPr="00317ABF">
              <w:rPr>
                <w:bCs/>
                <w:sz w:val="22"/>
                <w:szCs w:val="22"/>
              </w:rPr>
              <w:tab/>
              <w:t>ograniczeniach w kierowaniu połączeń do numerów alarmowych lub ograniczeniach w dostępie do informacji o lokalizacji dzwoniącego użytkownika końcowego ze względu na brak możliwości technicznych;</w:t>
            </w:r>
          </w:p>
          <w:p w14:paraId="7D92E979" w14:textId="77777777" w:rsidR="00CF0E2D" w:rsidRPr="00317ABF" w:rsidRDefault="00CF0E2D" w:rsidP="00CF0E2D">
            <w:pPr>
              <w:jc w:val="both"/>
              <w:rPr>
                <w:bCs/>
                <w:sz w:val="22"/>
                <w:szCs w:val="22"/>
              </w:rPr>
            </w:pPr>
            <w:r w:rsidRPr="00317ABF">
              <w:rPr>
                <w:bCs/>
                <w:sz w:val="22"/>
                <w:szCs w:val="22"/>
              </w:rPr>
              <w:t>2)</w:t>
            </w:r>
            <w:r w:rsidRPr="00317ABF">
              <w:rPr>
                <w:bCs/>
                <w:sz w:val="22"/>
                <w:szCs w:val="22"/>
              </w:rPr>
              <w:tab/>
              <w:t>prawie decydowania o umieszczaniu danych abonenta w spisie abonentów oraz rodzaju danych umieszczonych w spisie.</w:t>
            </w:r>
          </w:p>
          <w:p w14:paraId="0813B63B" w14:textId="77777777" w:rsidR="00CF0E2D" w:rsidRPr="00317ABF" w:rsidRDefault="00CF0E2D" w:rsidP="00CF0E2D">
            <w:pPr>
              <w:jc w:val="both"/>
              <w:rPr>
                <w:bCs/>
                <w:sz w:val="22"/>
                <w:szCs w:val="22"/>
              </w:rPr>
            </w:pPr>
            <w:r w:rsidRPr="00317ABF">
              <w:rPr>
                <w:bCs/>
                <w:sz w:val="22"/>
                <w:szCs w:val="22"/>
              </w:rPr>
              <w:t>5. W przypadku umowy o świadczenie usług komunikacji elektronicznej w zakresie usługi dostępu do internetu dostawca tej usługi, w ramach informacji przedumownych, doręcza również informacje, o których mowa w art. 4 ust. 1 rozporządzenia (UE) Parlamentu Europejskiego i Rady (UE) 2015/2120 z dnia 25 listopada 2015 r. ustanawiającego środki dotyczące dostępu do otwartego internetu i dotyczące opłat detalicznych za uregulowane usługi łączności wewnątrzunijnej oraz zmieniającego dyrektywę 2002/22/WE, a także rozporządzenie (UE) nr 531/2012.</w:t>
            </w:r>
          </w:p>
          <w:p w14:paraId="77429EDE" w14:textId="77777777" w:rsidR="00CF0E2D" w:rsidRPr="00317ABF" w:rsidRDefault="00CF0E2D" w:rsidP="00CF0E2D">
            <w:pPr>
              <w:jc w:val="both"/>
              <w:rPr>
                <w:bCs/>
                <w:sz w:val="22"/>
                <w:szCs w:val="22"/>
              </w:rPr>
            </w:pPr>
            <w:r w:rsidRPr="00317ABF">
              <w:rPr>
                <w:bCs/>
                <w:sz w:val="22"/>
                <w:szCs w:val="22"/>
              </w:rPr>
              <w:t>6. Informacje przedumowne w zakresie, w jakim nie zostało to uwzględnione w ust. 2-5,</w:t>
            </w:r>
            <w:r w:rsidRPr="00317ABF" w:rsidDel="002E02CB">
              <w:rPr>
                <w:bCs/>
                <w:sz w:val="22"/>
                <w:szCs w:val="22"/>
              </w:rPr>
              <w:t xml:space="preserve"> </w:t>
            </w:r>
            <w:r w:rsidRPr="00317ABF">
              <w:rPr>
                <w:bCs/>
                <w:sz w:val="22"/>
                <w:szCs w:val="22"/>
              </w:rPr>
              <w:t>zawierają pozostałe informacje wynikające z:</w:t>
            </w:r>
          </w:p>
          <w:p w14:paraId="51D595A5" w14:textId="77777777" w:rsidR="00CF0E2D" w:rsidRPr="00317ABF" w:rsidRDefault="00CF0E2D" w:rsidP="00CF0E2D">
            <w:pPr>
              <w:jc w:val="both"/>
              <w:rPr>
                <w:bCs/>
                <w:sz w:val="22"/>
                <w:szCs w:val="22"/>
              </w:rPr>
            </w:pPr>
            <w:r w:rsidRPr="00317ABF">
              <w:rPr>
                <w:bCs/>
                <w:sz w:val="22"/>
                <w:szCs w:val="22"/>
              </w:rPr>
              <w:t>1)</w:t>
            </w:r>
            <w:r w:rsidRPr="00317ABF">
              <w:rPr>
                <w:bCs/>
                <w:sz w:val="22"/>
                <w:szCs w:val="22"/>
              </w:rPr>
              <w:tab/>
              <w:t>art. 8 ustawy z dnia 30 maja 2014 r. o prawach konsumenta – w przypadku umów innych niż umowy zawierane poza lokalem przedsiębiorstwa lub na odległość;</w:t>
            </w:r>
          </w:p>
          <w:p w14:paraId="34D64E50" w14:textId="2CC8B996" w:rsidR="001E1112" w:rsidRPr="00317ABF" w:rsidRDefault="00CF0E2D" w:rsidP="00CF0E2D">
            <w:pPr>
              <w:jc w:val="both"/>
              <w:rPr>
                <w:bCs/>
                <w:sz w:val="22"/>
                <w:szCs w:val="22"/>
              </w:rPr>
            </w:pPr>
            <w:r w:rsidRPr="00317ABF">
              <w:rPr>
                <w:bCs/>
                <w:sz w:val="22"/>
                <w:szCs w:val="22"/>
              </w:rPr>
              <w:t>2)</w:t>
            </w:r>
            <w:r w:rsidRPr="00317ABF">
              <w:rPr>
                <w:bCs/>
                <w:sz w:val="22"/>
                <w:szCs w:val="22"/>
              </w:rPr>
              <w:tab/>
              <w:t>art. 12 ustawy z dnia 30 maja 2014 r. o prawach konsumenta - w przypadku umów zawieranych poza lokalem przedsiębiorstwa lub na odległość.</w:t>
            </w:r>
          </w:p>
        </w:tc>
      </w:tr>
      <w:tr w:rsidR="001E1112" w:rsidRPr="00317ABF" w14:paraId="50A8DE0A" w14:textId="77777777" w:rsidTr="7753F98D">
        <w:trPr>
          <w:gridAfter w:val="2"/>
          <w:wAfter w:w="175" w:type="dxa"/>
        </w:trPr>
        <w:tc>
          <w:tcPr>
            <w:tcW w:w="704" w:type="dxa"/>
          </w:tcPr>
          <w:p w14:paraId="62782F2B" w14:textId="3EB39F3D" w:rsidR="001E1112" w:rsidRPr="00317ABF" w:rsidRDefault="001E1112" w:rsidP="00DB3BEC">
            <w:pPr>
              <w:jc w:val="both"/>
              <w:rPr>
                <w:sz w:val="22"/>
                <w:szCs w:val="22"/>
              </w:rPr>
            </w:pPr>
            <w:r w:rsidRPr="00317ABF">
              <w:rPr>
                <w:b/>
                <w:sz w:val="22"/>
                <w:szCs w:val="22"/>
              </w:rPr>
              <w:t>Załącznik IX</w:t>
            </w:r>
          </w:p>
        </w:tc>
        <w:tc>
          <w:tcPr>
            <w:tcW w:w="4308" w:type="dxa"/>
          </w:tcPr>
          <w:p w14:paraId="0067F2FF" w14:textId="77777777" w:rsidR="001E1112" w:rsidRPr="00317ABF" w:rsidRDefault="001E1112" w:rsidP="00DB3BEC">
            <w:pPr>
              <w:spacing w:before="120"/>
              <w:jc w:val="both"/>
              <w:rPr>
                <w:sz w:val="22"/>
                <w:szCs w:val="22"/>
              </w:rPr>
            </w:pPr>
            <w:r w:rsidRPr="00317ABF">
              <w:rPr>
                <w:b/>
                <w:bCs/>
                <w:sz w:val="22"/>
                <w:szCs w:val="22"/>
              </w:rPr>
              <w:t>INFORMACJE PODLEGAJĄCE PUBLIKACJI ZGODNIE Z ART. 103 (PRZEJRZYSTOŚĆ I PUBLIKOWANIE INFORMACJI)</w:t>
            </w:r>
          </w:p>
        </w:tc>
        <w:tc>
          <w:tcPr>
            <w:tcW w:w="986" w:type="dxa"/>
          </w:tcPr>
          <w:p w14:paraId="04CEDCE7" w14:textId="5FB969AA" w:rsidR="001E1112" w:rsidRPr="00317ABF" w:rsidRDefault="001E1112" w:rsidP="00DB3BEC">
            <w:pPr>
              <w:jc w:val="both"/>
              <w:rPr>
                <w:sz w:val="22"/>
                <w:szCs w:val="22"/>
              </w:rPr>
            </w:pPr>
            <w:r w:rsidRPr="00317ABF">
              <w:rPr>
                <w:sz w:val="22"/>
                <w:szCs w:val="22"/>
              </w:rPr>
              <w:t>T</w:t>
            </w:r>
          </w:p>
        </w:tc>
        <w:tc>
          <w:tcPr>
            <w:tcW w:w="910" w:type="dxa"/>
          </w:tcPr>
          <w:p w14:paraId="7C99936F" w14:textId="2F471A87" w:rsidR="001E1112" w:rsidRPr="00317ABF" w:rsidRDefault="00CF0E2D" w:rsidP="00DB3BEC">
            <w:pPr>
              <w:pStyle w:val="Tekstpodstawowy"/>
              <w:rPr>
                <w:b/>
                <w:noProof/>
                <w:sz w:val="22"/>
                <w:szCs w:val="22"/>
              </w:rPr>
            </w:pPr>
            <w:r w:rsidRPr="00317ABF">
              <w:rPr>
                <w:b/>
                <w:noProof/>
                <w:sz w:val="22"/>
                <w:szCs w:val="22"/>
              </w:rPr>
              <w:t>Art. 29</w:t>
            </w:r>
            <w:r w:rsidR="001E1112" w:rsidRPr="00317ABF">
              <w:rPr>
                <w:b/>
                <w:noProof/>
                <w:sz w:val="22"/>
                <w:szCs w:val="22"/>
              </w:rPr>
              <w:t>4</w:t>
            </w:r>
          </w:p>
        </w:tc>
        <w:tc>
          <w:tcPr>
            <w:tcW w:w="6814" w:type="dxa"/>
            <w:gridSpan w:val="2"/>
          </w:tcPr>
          <w:p w14:paraId="5043C973" w14:textId="77777777" w:rsidR="00CF0E2D" w:rsidRPr="00317ABF" w:rsidRDefault="00CF0E2D" w:rsidP="00CF0E2D">
            <w:pPr>
              <w:pStyle w:val="Tekstpodstawowy"/>
              <w:rPr>
                <w:sz w:val="22"/>
                <w:szCs w:val="22"/>
              </w:rPr>
            </w:pPr>
            <w:r w:rsidRPr="00317ABF">
              <w:rPr>
                <w:rFonts w:ascii="Times" w:eastAsiaTheme="minorEastAsia" w:hAnsi="Times" w:cs="Times"/>
                <w:b/>
                <w:sz w:val="24"/>
              </w:rPr>
              <w:t xml:space="preserve"> </w:t>
            </w:r>
            <w:r w:rsidRPr="00317ABF">
              <w:rPr>
                <w:b/>
                <w:sz w:val="22"/>
                <w:szCs w:val="22"/>
              </w:rPr>
              <w:t>Art. 294.</w:t>
            </w:r>
            <w:r w:rsidRPr="00317ABF">
              <w:rPr>
                <w:sz w:val="22"/>
                <w:szCs w:val="22"/>
              </w:rPr>
              <w:t xml:space="preserve"> </w:t>
            </w:r>
          </w:p>
          <w:p w14:paraId="6AE4FC36" w14:textId="7388F42C" w:rsidR="00CF0E2D" w:rsidRPr="00317ABF" w:rsidRDefault="00CF0E2D" w:rsidP="00CF0E2D">
            <w:pPr>
              <w:pStyle w:val="Tekstpodstawowy"/>
              <w:rPr>
                <w:sz w:val="22"/>
                <w:szCs w:val="22"/>
              </w:rPr>
            </w:pPr>
            <w:r w:rsidRPr="00317ABF">
              <w:rPr>
                <w:sz w:val="22"/>
                <w:szCs w:val="22"/>
              </w:rPr>
              <w:t>1. Dostawca usług komunikacji elektronicznej świadczący usługę dostępu do internetu lub usługę komunikacji interpersonalnej publikuje na swojej stronie internetowej aktualne informacje w jasny, zrozumiały, umożliwiający odczyt maszynowy sposób i w formie dostępnej dla użytkowników końcowych z niepełnosprawnościami, dotyczące:</w:t>
            </w:r>
          </w:p>
          <w:p w14:paraId="6DAC8F96" w14:textId="77777777" w:rsidR="00CF0E2D" w:rsidRPr="00317ABF" w:rsidRDefault="00CF0E2D" w:rsidP="00CF0E2D">
            <w:pPr>
              <w:pStyle w:val="Tekstpodstawowy"/>
              <w:rPr>
                <w:bCs/>
                <w:sz w:val="22"/>
                <w:szCs w:val="22"/>
              </w:rPr>
            </w:pPr>
            <w:r w:rsidRPr="00317ABF">
              <w:rPr>
                <w:bCs/>
                <w:sz w:val="22"/>
                <w:szCs w:val="22"/>
              </w:rPr>
              <w:t>1)</w:t>
            </w:r>
            <w:r w:rsidRPr="00317ABF">
              <w:rPr>
                <w:bCs/>
                <w:sz w:val="22"/>
                <w:szCs w:val="22"/>
              </w:rPr>
              <w:tab/>
              <w:t>swoich danych kontaktowych, w tym</w:t>
            </w:r>
            <w:r w:rsidRPr="00317ABF">
              <w:rPr>
                <w:bCs/>
                <w:i/>
                <w:sz w:val="22"/>
                <w:szCs w:val="22"/>
              </w:rPr>
              <w:t xml:space="preserve"> </w:t>
            </w:r>
            <w:r w:rsidRPr="00317ABF">
              <w:rPr>
                <w:bCs/>
                <w:sz w:val="22"/>
                <w:szCs w:val="22"/>
              </w:rPr>
              <w:t>adres poczty elektronicznej, numery telefonu oraz adres elektroniczny innego środka komunikacji elektronicznej, jeśli dostawca korzysta z innego środka komunikacji elektronicznej</w:t>
            </w:r>
            <w:r w:rsidRPr="00317ABF" w:rsidDel="00B567C3">
              <w:rPr>
                <w:bCs/>
                <w:sz w:val="22"/>
                <w:szCs w:val="22"/>
              </w:rPr>
              <w:t xml:space="preserve"> </w:t>
            </w:r>
            <w:r w:rsidRPr="00317ABF">
              <w:rPr>
                <w:bCs/>
                <w:sz w:val="22"/>
                <w:szCs w:val="22"/>
              </w:rPr>
              <w:t>;</w:t>
            </w:r>
          </w:p>
          <w:p w14:paraId="100D63F5" w14:textId="77777777" w:rsidR="00CF0E2D" w:rsidRPr="00317ABF" w:rsidRDefault="00CF0E2D" w:rsidP="00CF0E2D">
            <w:pPr>
              <w:pStyle w:val="Tekstpodstawowy"/>
              <w:rPr>
                <w:bCs/>
                <w:sz w:val="22"/>
                <w:szCs w:val="22"/>
              </w:rPr>
            </w:pPr>
            <w:r w:rsidRPr="00317ABF">
              <w:rPr>
                <w:bCs/>
                <w:sz w:val="22"/>
                <w:szCs w:val="22"/>
              </w:rPr>
              <w:t>2)</w:t>
            </w:r>
            <w:r w:rsidRPr="00317ABF">
              <w:rPr>
                <w:bCs/>
                <w:sz w:val="22"/>
                <w:szCs w:val="22"/>
              </w:rPr>
              <w:tab/>
              <w:t>oferowanych usług dostępu do internetu i usług komunikacji interpersonalnej;</w:t>
            </w:r>
          </w:p>
          <w:p w14:paraId="6CC06839" w14:textId="77777777" w:rsidR="00CF0E2D" w:rsidRPr="00317ABF" w:rsidRDefault="00CF0E2D" w:rsidP="00CF0E2D">
            <w:pPr>
              <w:pStyle w:val="Tekstpodstawowy"/>
              <w:rPr>
                <w:bCs/>
                <w:sz w:val="22"/>
                <w:szCs w:val="22"/>
              </w:rPr>
            </w:pPr>
            <w:r w:rsidRPr="00317ABF">
              <w:rPr>
                <w:bCs/>
                <w:sz w:val="22"/>
                <w:szCs w:val="22"/>
              </w:rPr>
              <w:t>3)</w:t>
            </w:r>
            <w:r w:rsidRPr="00317ABF">
              <w:rPr>
                <w:bCs/>
                <w:sz w:val="22"/>
                <w:szCs w:val="22"/>
              </w:rPr>
              <w:tab/>
              <w:t>głównych cech każdej usługi, w tym minimalnych poziomów jakości usług, a w przypadku usług innych niż usługi dostępu do internetu, gwarantowane parametry jakości, albo oświadczenie o braku minimalnych poziomów jakości usług, a także ograniczeń w dostępie lub korzystaniu z promocyjnego urządzenia końcowego lub wydanego urządzenia końcowego;</w:t>
            </w:r>
          </w:p>
          <w:p w14:paraId="2C6B31B8" w14:textId="77777777" w:rsidR="00CF0E2D" w:rsidRPr="00317ABF" w:rsidRDefault="00CF0E2D" w:rsidP="00CF0E2D">
            <w:pPr>
              <w:pStyle w:val="Tekstpodstawowy"/>
              <w:rPr>
                <w:bCs/>
                <w:sz w:val="22"/>
                <w:szCs w:val="22"/>
              </w:rPr>
            </w:pPr>
            <w:r w:rsidRPr="00317ABF">
              <w:rPr>
                <w:bCs/>
                <w:sz w:val="22"/>
                <w:szCs w:val="22"/>
              </w:rPr>
              <w:t>4)</w:t>
            </w:r>
            <w:r w:rsidRPr="00317ABF">
              <w:rPr>
                <w:bCs/>
                <w:sz w:val="22"/>
                <w:szCs w:val="22"/>
              </w:rPr>
              <w:tab/>
              <w:t>ceny usługi, w tym ceny za jej aktywację, opłaty abonamentowej i ceny za jednostkę rozliczeniową usługi, w tym informacji o pakietach taryfowych obejmujących:</w:t>
            </w:r>
          </w:p>
          <w:p w14:paraId="275F1F9C" w14:textId="77777777" w:rsidR="00CF0E2D" w:rsidRPr="00317ABF" w:rsidRDefault="00CF0E2D" w:rsidP="00CF0E2D">
            <w:pPr>
              <w:pStyle w:val="Tekstpodstawowy"/>
              <w:rPr>
                <w:bCs/>
                <w:sz w:val="22"/>
                <w:szCs w:val="22"/>
              </w:rPr>
            </w:pPr>
            <w:r w:rsidRPr="00317ABF">
              <w:rPr>
                <w:bCs/>
                <w:sz w:val="22"/>
                <w:szCs w:val="22"/>
              </w:rPr>
              <w:t>a)</w:t>
            </w:r>
            <w:r w:rsidRPr="00317ABF">
              <w:rPr>
                <w:bCs/>
                <w:sz w:val="22"/>
                <w:szCs w:val="22"/>
              </w:rPr>
              <w:tab/>
              <w:t>rodzaj oferowanych usług,</w:t>
            </w:r>
          </w:p>
          <w:p w14:paraId="074C6D41" w14:textId="77777777" w:rsidR="00CF0E2D" w:rsidRPr="00317ABF" w:rsidRDefault="00CF0E2D" w:rsidP="00CF0E2D">
            <w:pPr>
              <w:pStyle w:val="Tekstpodstawowy"/>
              <w:rPr>
                <w:bCs/>
                <w:sz w:val="22"/>
                <w:szCs w:val="22"/>
              </w:rPr>
            </w:pPr>
            <w:r w:rsidRPr="00317ABF">
              <w:rPr>
                <w:bCs/>
                <w:sz w:val="22"/>
                <w:szCs w:val="22"/>
              </w:rPr>
              <w:t>b)</w:t>
            </w:r>
            <w:r w:rsidRPr="00317ABF">
              <w:rPr>
                <w:bCs/>
                <w:sz w:val="22"/>
                <w:szCs w:val="22"/>
              </w:rPr>
              <w:tab/>
              <w:t>ilość jednostek rozliczeniowych dostępnych w ramach pakietu taryfowego w okresie rozliczeniowym oraz cenę za jednostkę rozliczeniową usługi po ich wykorzystaniu,</w:t>
            </w:r>
          </w:p>
          <w:p w14:paraId="1A081854" w14:textId="77777777" w:rsidR="00CF0E2D" w:rsidRPr="00317ABF" w:rsidRDefault="00CF0E2D" w:rsidP="00CF0E2D">
            <w:pPr>
              <w:pStyle w:val="Tekstpodstawowy"/>
              <w:rPr>
                <w:bCs/>
                <w:sz w:val="22"/>
                <w:szCs w:val="22"/>
              </w:rPr>
            </w:pPr>
            <w:r w:rsidRPr="00317ABF">
              <w:rPr>
                <w:bCs/>
                <w:sz w:val="22"/>
                <w:szCs w:val="22"/>
              </w:rPr>
              <w:t>c)</w:t>
            </w:r>
            <w:r w:rsidRPr="00317ABF">
              <w:rPr>
                <w:bCs/>
                <w:sz w:val="22"/>
                <w:szCs w:val="22"/>
              </w:rPr>
              <w:tab/>
              <w:t>cenę w przypadku numerów lub usług, które podlegają szczególnym warunkom cenowym, w tym usług z dodatkowym świadczeniem, cenę za jednostkę rozliczeniową usługi albo w przypadku usługi taryfikowanej za całe połączenie - cenę za połączenie,</w:t>
            </w:r>
          </w:p>
          <w:p w14:paraId="439A0D75" w14:textId="77777777" w:rsidR="00CF0E2D" w:rsidRPr="00317ABF" w:rsidRDefault="00CF0E2D" w:rsidP="00CF0E2D">
            <w:pPr>
              <w:pStyle w:val="Tekstpodstawowy"/>
              <w:rPr>
                <w:bCs/>
                <w:sz w:val="22"/>
                <w:szCs w:val="22"/>
              </w:rPr>
            </w:pPr>
            <w:r w:rsidRPr="00317ABF">
              <w:rPr>
                <w:bCs/>
                <w:sz w:val="22"/>
                <w:szCs w:val="22"/>
              </w:rPr>
              <w:t>d)</w:t>
            </w:r>
            <w:r w:rsidRPr="00317ABF">
              <w:rPr>
                <w:bCs/>
                <w:sz w:val="22"/>
                <w:szCs w:val="22"/>
              </w:rPr>
              <w:tab/>
              <w:t>opłaty związane z korzystaniem z wydanego urządzenia końcowego;</w:t>
            </w:r>
          </w:p>
          <w:p w14:paraId="08030B2A" w14:textId="77777777" w:rsidR="00CF0E2D" w:rsidRPr="00317ABF" w:rsidRDefault="00CF0E2D" w:rsidP="00CF0E2D">
            <w:pPr>
              <w:pStyle w:val="Tekstpodstawowy"/>
              <w:rPr>
                <w:bCs/>
                <w:sz w:val="22"/>
                <w:szCs w:val="22"/>
              </w:rPr>
            </w:pPr>
            <w:r w:rsidRPr="00317ABF">
              <w:rPr>
                <w:bCs/>
                <w:sz w:val="22"/>
                <w:szCs w:val="22"/>
              </w:rPr>
              <w:t>5) zakresu usług posprzedażnych, konserwacji i obsługi klienta oraz dane kontaktowe świadczących je podmiotów;</w:t>
            </w:r>
          </w:p>
          <w:p w14:paraId="77CFEC92" w14:textId="77777777" w:rsidR="00CF0E2D" w:rsidRPr="00317ABF" w:rsidRDefault="00CF0E2D" w:rsidP="00CF0E2D">
            <w:pPr>
              <w:pStyle w:val="Tekstpodstawowy"/>
              <w:rPr>
                <w:bCs/>
                <w:sz w:val="22"/>
                <w:szCs w:val="22"/>
              </w:rPr>
            </w:pPr>
            <w:r w:rsidRPr="00317ABF">
              <w:rPr>
                <w:bCs/>
                <w:sz w:val="22"/>
                <w:szCs w:val="22"/>
              </w:rPr>
              <w:t>6) standardowych warunków umowy, w tym:</w:t>
            </w:r>
          </w:p>
          <w:p w14:paraId="7EB3A495" w14:textId="77777777" w:rsidR="00CF0E2D" w:rsidRPr="00317ABF" w:rsidRDefault="00CF0E2D" w:rsidP="00CF0E2D">
            <w:pPr>
              <w:pStyle w:val="Tekstpodstawowy"/>
              <w:rPr>
                <w:bCs/>
                <w:sz w:val="22"/>
                <w:szCs w:val="22"/>
              </w:rPr>
            </w:pPr>
            <w:r w:rsidRPr="00317ABF">
              <w:rPr>
                <w:bCs/>
                <w:sz w:val="22"/>
                <w:szCs w:val="22"/>
              </w:rPr>
              <w:t>a)</w:t>
            </w:r>
            <w:r w:rsidRPr="00317ABF">
              <w:rPr>
                <w:bCs/>
                <w:sz w:val="22"/>
                <w:szCs w:val="22"/>
              </w:rPr>
              <w:tab/>
              <w:t>okres obowiązywania umowy,</w:t>
            </w:r>
          </w:p>
          <w:p w14:paraId="4CBDD899" w14:textId="77777777" w:rsidR="00CF0E2D" w:rsidRPr="00317ABF" w:rsidRDefault="00CF0E2D" w:rsidP="00CF0E2D">
            <w:pPr>
              <w:pStyle w:val="Tekstpodstawowy"/>
              <w:rPr>
                <w:bCs/>
                <w:sz w:val="22"/>
                <w:szCs w:val="22"/>
              </w:rPr>
            </w:pPr>
            <w:r w:rsidRPr="00317ABF">
              <w:rPr>
                <w:bCs/>
                <w:sz w:val="22"/>
                <w:szCs w:val="22"/>
              </w:rPr>
              <w:t>b)</w:t>
            </w:r>
            <w:r w:rsidRPr="00317ABF">
              <w:rPr>
                <w:bCs/>
                <w:sz w:val="22"/>
                <w:szCs w:val="22"/>
              </w:rPr>
              <w:tab/>
              <w:t xml:space="preserve">odszkodowanie należne w momencie wypowiedzenia umowy </w:t>
            </w:r>
            <w:r w:rsidRPr="00317ABF" w:rsidDel="001007DC">
              <w:rPr>
                <w:bCs/>
                <w:sz w:val="22"/>
                <w:szCs w:val="22"/>
              </w:rPr>
              <w:t xml:space="preserve">w trybie art. </w:t>
            </w:r>
            <w:r w:rsidRPr="00317ABF">
              <w:rPr>
                <w:bCs/>
                <w:sz w:val="22"/>
                <w:szCs w:val="22"/>
              </w:rPr>
              <w:t>298</w:t>
            </w:r>
            <w:r w:rsidRPr="00317ABF" w:rsidDel="001007DC">
              <w:rPr>
                <w:bCs/>
                <w:sz w:val="22"/>
                <w:szCs w:val="22"/>
              </w:rPr>
              <w:t xml:space="preserve"> ust. 1</w:t>
            </w:r>
            <w:r w:rsidRPr="00317ABF">
              <w:rPr>
                <w:bCs/>
                <w:sz w:val="22"/>
                <w:szCs w:val="22"/>
              </w:rPr>
              <w:t>,</w:t>
            </w:r>
          </w:p>
          <w:p w14:paraId="2A2B31C9" w14:textId="77777777" w:rsidR="00CF0E2D" w:rsidRPr="00317ABF" w:rsidRDefault="00CF0E2D" w:rsidP="00CF0E2D">
            <w:pPr>
              <w:pStyle w:val="Tekstpodstawowy"/>
              <w:rPr>
                <w:bCs/>
                <w:sz w:val="22"/>
                <w:szCs w:val="22"/>
              </w:rPr>
            </w:pPr>
            <w:r w:rsidRPr="00317ABF">
              <w:rPr>
                <w:bCs/>
                <w:sz w:val="22"/>
                <w:szCs w:val="22"/>
              </w:rPr>
              <w:t>c)</w:t>
            </w:r>
            <w:r w:rsidRPr="00317ABF">
              <w:rPr>
                <w:bCs/>
                <w:sz w:val="22"/>
                <w:szCs w:val="22"/>
              </w:rPr>
              <w:tab/>
              <w:t>warunki rezygnacji z oferty wiązanej lub jej elementów,</w:t>
            </w:r>
          </w:p>
          <w:p w14:paraId="5621BB71" w14:textId="77777777" w:rsidR="00CF0E2D" w:rsidRPr="00317ABF" w:rsidRDefault="00CF0E2D" w:rsidP="00CF0E2D">
            <w:pPr>
              <w:pStyle w:val="Tekstpodstawowy"/>
              <w:rPr>
                <w:bCs/>
                <w:sz w:val="22"/>
                <w:szCs w:val="22"/>
              </w:rPr>
            </w:pPr>
            <w:r w:rsidRPr="00317ABF">
              <w:rPr>
                <w:bCs/>
                <w:sz w:val="22"/>
                <w:szCs w:val="22"/>
              </w:rPr>
              <w:t>d)</w:t>
            </w:r>
            <w:r w:rsidRPr="00317ABF">
              <w:rPr>
                <w:bCs/>
                <w:sz w:val="22"/>
                <w:szCs w:val="22"/>
              </w:rPr>
              <w:tab/>
              <w:t>procedury i opłaty związane z przeniesieniem numerów lub innych danych identyfikacyjnych;</w:t>
            </w:r>
          </w:p>
          <w:p w14:paraId="6720CC91" w14:textId="77777777" w:rsidR="00CF0E2D" w:rsidRPr="00317ABF" w:rsidRDefault="00CF0E2D" w:rsidP="00CF0E2D">
            <w:pPr>
              <w:pStyle w:val="Tekstpodstawowy"/>
              <w:rPr>
                <w:bCs/>
                <w:sz w:val="22"/>
                <w:szCs w:val="22"/>
              </w:rPr>
            </w:pPr>
            <w:r w:rsidRPr="00317ABF">
              <w:rPr>
                <w:bCs/>
                <w:sz w:val="22"/>
                <w:szCs w:val="22"/>
              </w:rPr>
              <w:t>7)</w:t>
            </w:r>
            <w:r w:rsidRPr="00317ABF">
              <w:rPr>
                <w:bCs/>
                <w:sz w:val="22"/>
                <w:szCs w:val="22"/>
              </w:rPr>
              <w:tab/>
              <w:t>informacji o możliwości kierowania połączeń do numerów alarmowych, w tym o:</w:t>
            </w:r>
          </w:p>
          <w:p w14:paraId="7054D3CE" w14:textId="77777777" w:rsidR="00CF0E2D" w:rsidRPr="00317ABF" w:rsidRDefault="00CF0E2D" w:rsidP="00CF0E2D">
            <w:pPr>
              <w:pStyle w:val="Tekstpodstawowy"/>
              <w:rPr>
                <w:bCs/>
                <w:sz w:val="22"/>
                <w:szCs w:val="22"/>
              </w:rPr>
            </w:pPr>
            <w:r w:rsidRPr="00317ABF">
              <w:rPr>
                <w:bCs/>
                <w:sz w:val="22"/>
                <w:szCs w:val="22"/>
              </w:rPr>
              <w:t>a)</w:t>
            </w:r>
            <w:r w:rsidRPr="00317ABF">
              <w:rPr>
                <w:bCs/>
                <w:sz w:val="22"/>
                <w:szCs w:val="22"/>
              </w:rPr>
              <w:tab/>
              <w:t>dostępie do służb ratunkowych oraz na temat lokalizacji dzwoniącego użytkownika końcowego – w przypadku świadczenia usług komunikacji interpersonalnej wykorzystujących numery lub wszelkich ograniczeniach lokalizacji,</w:t>
            </w:r>
          </w:p>
          <w:p w14:paraId="014E6CB7" w14:textId="77777777" w:rsidR="00CF0E2D" w:rsidRPr="00317ABF" w:rsidRDefault="00CF0E2D" w:rsidP="00CF0E2D">
            <w:pPr>
              <w:pStyle w:val="Tekstpodstawowy"/>
              <w:rPr>
                <w:bCs/>
                <w:sz w:val="22"/>
                <w:szCs w:val="22"/>
              </w:rPr>
            </w:pPr>
            <w:r w:rsidRPr="00317ABF">
              <w:rPr>
                <w:bCs/>
                <w:sz w:val="22"/>
                <w:szCs w:val="22"/>
              </w:rPr>
              <w:t>b)</w:t>
            </w:r>
            <w:r w:rsidRPr="00317ABF">
              <w:rPr>
                <w:bCs/>
                <w:sz w:val="22"/>
                <w:szCs w:val="22"/>
              </w:rPr>
              <w:tab/>
              <w:t>stopniu, w jakim zapewniony jest dostęp do służb ratunkowych – w przypadku świadczenia usług komunikacji interpersonalnej niewykorzystujących numerów;</w:t>
            </w:r>
          </w:p>
          <w:p w14:paraId="38AD6B18" w14:textId="77777777" w:rsidR="00CF0E2D" w:rsidRPr="00317ABF" w:rsidRDefault="00CF0E2D" w:rsidP="00CF0E2D">
            <w:pPr>
              <w:pStyle w:val="Tekstpodstawowy"/>
              <w:rPr>
                <w:bCs/>
                <w:sz w:val="22"/>
                <w:szCs w:val="22"/>
              </w:rPr>
            </w:pPr>
            <w:r w:rsidRPr="00317ABF">
              <w:rPr>
                <w:bCs/>
                <w:sz w:val="22"/>
                <w:szCs w:val="22"/>
              </w:rPr>
              <w:t>8)</w:t>
            </w:r>
            <w:r w:rsidRPr="00317ABF">
              <w:rPr>
                <w:bCs/>
                <w:sz w:val="22"/>
                <w:szCs w:val="22"/>
              </w:rPr>
              <w:tab/>
              <w:t>szczegółowych informacji o udogodnieniach i usługach przeznaczonych dla użytkowników końcowych z niepełnos</w:t>
            </w:r>
            <w:r w:rsidRPr="00317ABF">
              <w:rPr>
                <w:bCs/>
                <w:sz w:val="22"/>
                <w:szCs w:val="22"/>
              </w:rPr>
              <w:softHyphen/>
              <w:t>prawnościami;</w:t>
            </w:r>
          </w:p>
          <w:p w14:paraId="49822AE2" w14:textId="61619967" w:rsidR="001E1112" w:rsidRPr="00317ABF" w:rsidRDefault="00CF0E2D" w:rsidP="00CF0E2D">
            <w:pPr>
              <w:pStyle w:val="Tekstpodstawowy"/>
              <w:rPr>
                <w:bCs/>
                <w:sz w:val="22"/>
                <w:szCs w:val="22"/>
              </w:rPr>
            </w:pPr>
            <w:r w:rsidRPr="00317ABF">
              <w:rPr>
                <w:bCs/>
                <w:sz w:val="22"/>
                <w:szCs w:val="22"/>
              </w:rPr>
              <w:t>9)</w:t>
            </w:r>
            <w:r w:rsidRPr="00317ABF">
              <w:rPr>
                <w:bCs/>
                <w:sz w:val="22"/>
                <w:szCs w:val="22"/>
              </w:rPr>
              <w:tab/>
              <w:t>sposobów rozstrzygania sporów.</w:t>
            </w:r>
          </w:p>
        </w:tc>
      </w:tr>
      <w:tr w:rsidR="001E1112" w:rsidRPr="00317ABF" w14:paraId="181C6247" w14:textId="77777777" w:rsidTr="7753F98D">
        <w:trPr>
          <w:gridAfter w:val="2"/>
          <w:wAfter w:w="175" w:type="dxa"/>
        </w:trPr>
        <w:tc>
          <w:tcPr>
            <w:tcW w:w="704" w:type="dxa"/>
          </w:tcPr>
          <w:p w14:paraId="3776EB3E" w14:textId="616B57DC" w:rsidR="001E1112" w:rsidRPr="00317ABF" w:rsidRDefault="001E1112" w:rsidP="00DB3BEC">
            <w:pPr>
              <w:jc w:val="both"/>
              <w:rPr>
                <w:sz w:val="22"/>
                <w:szCs w:val="22"/>
              </w:rPr>
            </w:pPr>
            <w:r w:rsidRPr="00317ABF">
              <w:rPr>
                <w:b/>
                <w:sz w:val="22"/>
                <w:szCs w:val="22"/>
              </w:rPr>
              <w:t>Załącznik X</w:t>
            </w:r>
          </w:p>
        </w:tc>
        <w:tc>
          <w:tcPr>
            <w:tcW w:w="4308" w:type="dxa"/>
          </w:tcPr>
          <w:p w14:paraId="7DECEA52" w14:textId="77777777" w:rsidR="001E1112" w:rsidRPr="00317ABF" w:rsidRDefault="001E1112" w:rsidP="00DB3BEC">
            <w:pPr>
              <w:spacing w:before="120"/>
              <w:jc w:val="both"/>
              <w:rPr>
                <w:sz w:val="22"/>
                <w:szCs w:val="22"/>
              </w:rPr>
            </w:pPr>
            <w:r w:rsidRPr="00317ABF">
              <w:rPr>
                <w:b/>
                <w:bCs/>
                <w:sz w:val="22"/>
                <w:szCs w:val="22"/>
              </w:rPr>
              <w:t>PARAMETRY JAKOŚCI USŁUG</w:t>
            </w:r>
          </w:p>
        </w:tc>
        <w:tc>
          <w:tcPr>
            <w:tcW w:w="986" w:type="dxa"/>
          </w:tcPr>
          <w:p w14:paraId="3F21EDEB" w14:textId="2F00BF77" w:rsidR="001E1112" w:rsidRPr="00317ABF" w:rsidRDefault="001E1112" w:rsidP="00DB3BEC">
            <w:pPr>
              <w:jc w:val="both"/>
              <w:rPr>
                <w:sz w:val="22"/>
                <w:szCs w:val="22"/>
              </w:rPr>
            </w:pPr>
            <w:r w:rsidRPr="00317ABF">
              <w:rPr>
                <w:sz w:val="22"/>
                <w:szCs w:val="22"/>
              </w:rPr>
              <w:t>T</w:t>
            </w:r>
          </w:p>
        </w:tc>
        <w:tc>
          <w:tcPr>
            <w:tcW w:w="910" w:type="dxa"/>
          </w:tcPr>
          <w:p w14:paraId="7F0EB446" w14:textId="46636ADC" w:rsidR="001E1112" w:rsidRPr="00317ABF" w:rsidRDefault="00CF0E2D" w:rsidP="00DB3BEC">
            <w:pPr>
              <w:pStyle w:val="Tekstpodstawowy"/>
              <w:rPr>
                <w:b/>
                <w:noProof/>
                <w:sz w:val="22"/>
                <w:szCs w:val="22"/>
              </w:rPr>
            </w:pPr>
            <w:r w:rsidRPr="00317ABF">
              <w:rPr>
                <w:b/>
                <w:noProof/>
                <w:sz w:val="22"/>
                <w:szCs w:val="22"/>
              </w:rPr>
              <w:t xml:space="preserve">Art. 310 </w:t>
            </w:r>
            <w:r w:rsidR="001E1112" w:rsidRPr="00317ABF">
              <w:rPr>
                <w:b/>
                <w:noProof/>
                <w:sz w:val="22"/>
                <w:szCs w:val="22"/>
              </w:rPr>
              <w:t>ust. 4</w:t>
            </w:r>
          </w:p>
        </w:tc>
        <w:tc>
          <w:tcPr>
            <w:tcW w:w="6814" w:type="dxa"/>
            <w:gridSpan w:val="2"/>
          </w:tcPr>
          <w:p w14:paraId="23C903A8" w14:textId="77777777" w:rsidR="00CF0E2D" w:rsidRPr="00317ABF" w:rsidRDefault="00CF0E2D" w:rsidP="00CF0E2D">
            <w:pPr>
              <w:jc w:val="both"/>
              <w:rPr>
                <w:b/>
                <w:sz w:val="22"/>
                <w:szCs w:val="22"/>
              </w:rPr>
            </w:pPr>
            <w:r w:rsidRPr="00317ABF">
              <w:rPr>
                <w:b/>
                <w:sz w:val="22"/>
                <w:szCs w:val="22"/>
              </w:rPr>
              <w:t>Art. 310</w:t>
            </w:r>
          </w:p>
          <w:p w14:paraId="5F2E7232" w14:textId="77777777" w:rsidR="00CF0E2D" w:rsidRPr="00317ABF" w:rsidRDefault="00CF0E2D" w:rsidP="00CF0E2D">
            <w:pPr>
              <w:jc w:val="both"/>
              <w:rPr>
                <w:sz w:val="22"/>
                <w:szCs w:val="22"/>
              </w:rPr>
            </w:pPr>
            <w:r w:rsidRPr="00317ABF">
              <w:rPr>
                <w:sz w:val="22"/>
                <w:szCs w:val="22"/>
              </w:rPr>
              <w:t>(…)</w:t>
            </w:r>
          </w:p>
          <w:p w14:paraId="4D47D881" w14:textId="09CF15CA" w:rsidR="001E1112" w:rsidRPr="00317ABF" w:rsidRDefault="00CF0E2D" w:rsidP="00DB3BEC">
            <w:pPr>
              <w:jc w:val="both"/>
              <w:rPr>
                <w:bCs/>
                <w:sz w:val="22"/>
                <w:szCs w:val="22"/>
              </w:rPr>
            </w:pPr>
            <w:r w:rsidRPr="00317ABF">
              <w:rPr>
                <w:bCs/>
                <w:sz w:val="22"/>
                <w:szCs w:val="22"/>
              </w:rPr>
              <w:t>4. Minister właściwy do spraw informatyzacji może określić, w drodze rozporządzenia, wskaźniki dotyczące jakości poszczególnych usług, metody pomiaru jakości usług oraz zakres informacji, formę i sposób ich publikowania, o których mowa w ust. 1, kierując się potrzebą zapewnienia użytkownikom końcowym dostępu do jasnych i zrozumiałych informacji.</w:t>
            </w:r>
          </w:p>
        </w:tc>
      </w:tr>
      <w:tr w:rsidR="001E1112" w:rsidRPr="00317ABF" w14:paraId="4DDA47B5" w14:textId="77777777" w:rsidTr="7753F98D">
        <w:trPr>
          <w:gridAfter w:val="2"/>
          <w:wAfter w:w="175" w:type="dxa"/>
        </w:trPr>
        <w:tc>
          <w:tcPr>
            <w:tcW w:w="704" w:type="dxa"/>
          </w:tcPr>
          <w:p w14:paraId="5E67402D" w14:textId="13DFBFD5" w:rsidR="001E1112" w:rsidRPr="00317ABF" w:rsidRDefault="001E1112" w:rsidP="00DB3BEC">
            <w:pPr>
              <w:jc w:val="both"/>
              <w:rPr>
                <w:sz w:val="22"/>
                <w:szCs w:val="22"/>
              </w:rPr>
            </w:pPr>
            <w:r w:rsidRPr="00317ABF">
              <w:rPr>
                <w:b/>
                <w:sz w:val="22"/>
                <w:szCs w:val="22"/>
              </w:rPr>
              <w:t>Załącznik XI</w:t>
            </w:r>
          </w:p>
        </w:tc>
        <w:tc>
          <w:tcPr>
            <w:tcW w:w="4308" w:type="dxa"/>
          </w:tcPr>
          <w:p w14:paraId="20A0EC34" w14:textId="77777777" w:rsidR="001E1112" w:rsidRPr="00317ABF" w:rsidRDefault="001E1112" w:rsidP="00DB3BEC">
            <w:pPr>
              <w:spacing w:before="240" w:after="120"/>
              <w:jc w:val="both"/>
              <w:rPr>
                <w:b/>
                <w:bCs/>
                <w:sz w:val="22"/>
                <w:szCs w:val="22"/>
              </w:rPr>
            </w:pPr>
            <w:r w:rsidRPr="00317ABF">
              <w:rPr>
                <w:b/>
                <w:bCs/>
                <w:sz w:val="22"/>
                <w:szCs w:val="22"/>
              </w:rPr>
              <w:t>INTEROPERACYJNOŚĆ SAMOCHODOWYCH ODBIORNIKÓW RADIOWYCH I KONSUMENCKIEGO SPRZĘTU TELEWIZJI CYFROWEJ, O KTÓREJ MOWA W ART. 113</w:t>
            </w:r>
          </w:p>
        </w:tc>
        <w:tc>
          <w:tcPr>
            <w:tcW w:w="986" w:type="dxa"/>
          </w:tcPr>
          <w:p w14:paraId="2D66D429" w14:textId="3B83FB98" w:rsidR="001E1112" w:rsidRPr="00317ABF" w:rsidRDefault="001E1112" w:rsidP="00DB3BEC">
            <w:pPr>
              <w:jc w:val="both"/>
              <w:rPr>
                <w:b/>
                <w:sz w:val="22"/>
                <w:szCs w:val="22"/>
              </w:rPr>
            </w:pPr>
            <w:r w:rsidRPr="00317ABF">
              <w:rPr>
                <w:b/>
                <w:sz w:val="22"/>
                <w:szCs w:val="22"/>
              </w:rPr>
              <w:t>T</w:t>
            </w:r>
          </w:p>
        </w:tc>
        <w:tc>
          <w:tcPr>
            <w:tcW w:w="910" w:type="dxa"/>
          </w:tcPr>
          <w:p w14:paraId="5309C24E" w14:textId="63F61FFC" w:rsidR="001E1112" w:rsidRPr="00317ABF" w:rsidRDefault="001E1112" w:rsidP="00CF0E2D">
            <w:pPr>
              <w:pStyle w:val="Tekstpodstawowy"/>
              <w:rPr>
                <w:b/>
                <w:noProof/>
                <w:sz w:val="22"/>
                <w:szCs w:val="22"/>
              </w:rPr>
            </w:pPr>
            <w:r w:rsidRPr="00317ABF">
              <w:rPr>
                <w:b/>
                <w:noProof/>
                <w:sz w:val="22"/>
                <w:szCs w:val="22"/>
              </w:rPr>
              <w:t xml:space="preserve">Art. </w:t>
            </w:r>
            <w:r w:rsidR="00CF0E2D" w:rsidRPr="00317ABF">
              <w:rPr>
                <w:b/>
                <w:noProof/>
                <w:sz w:val="22"/>
                <w:szCs w:val="22"/>
              </w:rPr>
              <w:t>401 ust. 5-7</w:t>
            </w:r>
          </w:p>
        </w:tc>
        <w:tc>
          <w:tcPr>
            <w:tcW w:w="6814" w:type="dxa"/>
            <w:gridSpan w:val="2"/>
          </w:tcPr>
          <w:p w14:paraId="51215062" w14:textId="7B59401F" w:rsidR="00CF0E2D" w:rsidRPr="00317ABF" w:rsidRDefault="00CF0E2D" w:rsidP="00CF0E2D">
            <w:pPr>
              <w:pStyle w:val="Tekstpodstawowy"/>
              <w:rPr>
                <w:b/>
                <w:sz w:val="22"/>
                <w:szCs w:val="22"/>
              </w:rPr>
            </w:pPr>
            <w:r w:rsidRPr="00317ABF">
              <w:rPr>
                <w:b/>
                <w:sz w:val="22"/>
                <w:szCs w:val="22"/>
              </w:rPr>
              <w:t xml:space="preserve">Art. 401 </w:t>
            </w:r>
          </w:p>
          <w:p w14:paraId="7E9A7713" w14:textId="77777777" w:rsidR="00CF0E2D" w:rsidRPr="00317ABF" w:rsidRDefault="00CF0E2D" w:rsidP="00CF0E2D">
            <w:pPr>
              <w:pStyle w:val="Tekstpodstawowy"/>
              <w:rPr>
                <w:bCs/>
                <w:sz w:val="22"/>
                <w:szCs w:val="22"/>
              </w:rPr>
            </w:pPr>
            <w:r w:rsidRPr="00317ABF">
              <w:rPr>
                <w:bCs/>
                <w:sz w:val="22"/>
                <w:szCs w:val="22"/>
              </w:rPr>
              <w:t>5. Samochodowe odbiorniki radiofoniczne umożliwiają odbiór i odtwarzanie co najmniej usług radiofonii cyfrowej świadczonych za pośrednictwem naziemnych cyfrowych transmisji radiofonicznych.</w:t>
            </w:r>
          </w:p>
          <w:p w14:paraId="06D6FCE1" w14:textId="77777777" w:rsidR="00CF0E2D" w:rsidRPr="00317ABF" w:rsidRDefault="00CF0E2D" w:rsidP="00CF0E2D">
            <w:pPr>
              <w:pStyle w:val="Tekstpodstawowy"/>
              <w:rPr>
                <w:bCs/>
                <w:sz w:val="22"/>
                <w:szCs w:val="22"/>
              </w:rPr>
            </w:pPr>
            <w:r w:rsidRPr="00317ABF">
              <w:rPr>
                <w:bCs/>
                <w:sz w:val="22"/>
                <w:szCs w:val="22"/>
              </w:rPr>
              <w:t>6. Minister właściwy do spraw informatyzacji określi, w drodze rozporządzenia, wymagania techniczne i eksploatacyjne dla odbiorników sygnału telewizyjnego, mając na uwadze zapewnienie interoperacyjności usług oraz ułatwienie dostępu dla osób z niepełnosprawnościami.</w:t>
            </w:r>
          </w:p>
          <w:p w14:paraId="476E3855" w14:textId="7435FA02" w:rsidR="001E1112" w:rsidRPr="00317ABF" w:rsidRDefault="00CF0E2D" w:rsidP="00DB3BEC">
            <w:pPr>
              <w:pStyle w:val="Tekstpodstawowy"/>
              <w:rPr>
                <w:bCs/>
                <w:sz w:val="22"/>
                <w:szCs w:val="22"/>
              </w:rPr>
            </w:pPr>
            <w:r w:rsidRPr="00317ABF">
              <w:rPr>
                <w:bCs/>
                <w:sz w:val="22"/>
                <w:szCs w:val="22"/>
              </w:rPr>
              <w:t>7. Minister właściwy do spraw informatyzacji określi, w drodze rozporządzenia, wymagania techniczne i eksploatacyjne dla odbiorników radiofonii cyfrowej, w tym samochodowych odbiorników radiofonicznych, mając na uwadze efektywne wykorzystanie częstotliwości oraz zapewnienie interoperacyjności usług.</w:t>
            </w:r>
          </w:p>
        </w:tc>
      </w:tr>
      <w:tr w:rsidR="001E1112" w:rsidRPr="00317ABF" w14:paraId="3A03BD2A" w14:textId="77777777" w:rsidTr="7753F98D">
        <w:trPr>
          <w:gridAfter w:val="2"/>
          <w:wAfter w:w="175" w:type="dxa"/>
        </w:trPr>
        <w:tc>
          <w:tcPr>
            <w:tcW w:w="704" w:type="dxa"/>
          </w:tcPr>
          <w:p w14:paraId="77F47C29" w14:textId="0D728B4F" w:rsidR="001E1112" w:rsidRPr="00317ABF" w:rsidRDefault="001E1112" w:rsidP="00DB3BEC">
            <w:pPr>
              <w:jc w:val="both"/>
              <w:rPr>
                <w:sz w:val="22"/>
                <w:szCs w:val="22"/>
              </w:rPr>
            </w:pPr>
            <w:r w:rsidRPr="00317ABF">
              <w:rPr>
                <w:b/>
                <w:sz w:val="22"/>
                <w:szCs w:val="22"/>
              </w:rPr>
              <w:t>Załącznik XII</w:t>
            </w:r>
          </w:p>
        </w:tc>
        <w:tc>
          <w:tcPr>
            <w:tcW w:w="4308" w:type="dxa"/>
          </w:tcPr>
          <w:p w14:paraId="77E05C47" w14:textId="77777777" w:rsidR="001E1112" w:rsidRPr="00317ABF" w:rsidRDefault="001E1112" w:rsidP="00DB3BEC">
            <w:pPr>
              <w:spacing w:before="120"/>
              <w:jc w:val="both"/>
              <w:rPr>
                <w:sz w:val="22"/>
                <w:szCs w:val="22"/>
              </w:rPr>
            </w:pPr>
          </w:p>
        </w:tc>
        <w:tc>
          <w:tcPr>
            <w:tcW w:w="986" w:type="dxa"/>
          </w:tcPr>
          <w:p w14:paraId="4A5FC765" w14:textId="77777777" w:rsidR="001E1112" w:rsidRPr="00317ABF" w:rsidRDefault="001E1112" w:rsidP="00DB3BEC">
            <w:pPr>
              <w:jc w:val="both"/>
              <w:rPr>
                <w:sz w:val="22"/>
                <w:szCs w:val="22"/>
              </w:rPr>
            </w:pPr>
          </w:p>
        </w:tc>
        <w:tc>
          <w:tcPr>
            <w:tcW w:w="910" w:type="dxa"/>
          </w:tcPr>
          <w:p w14:paraId="39C50ECE" w14:textId="77777777" w:rsidR="001E1112" w:rsidRPr="00317ABF" w:rsidRDefault="001E1112" w:rsidP="00DB3BEC">
            <w:pPr>
              <w:pStyle w:val="Tekstpodstawowy"/>
              <w:rPr>
                <w:b/>
                <w:noProof/>
                <w:sz w:val="22"/>
                <w:szCs w:val="22"/>
              </w:rPr>
            </w:pPr>
          </w:p>
        </w:tc>
        <w:tc>
          <w:tcPr>
            <w:tcW w:w="6814" w:type="dxa"/>
            <w:gridSpan w:val="2"/>
          </w:tcPr>
          <w:p w14:paraId="7C486702" w14:textId="62BB956F" w:rsidR="001E1112" w:rsidRPr="00317ABF" w:rsidRDefault="001E1112" w:rsidP="00DB3BEC">
            <w:pPr>
              <w:pStyle w:val="Tekstpodstawowy"/>
              <w:rPr>
                <w:sz w:val="22"/>
                <w:szCs w:val="22"/>
              </w:rPr>
            </w:pPr>
          </w:p>
        </w:tc>
      </w:tr>
      <w:tr w:rsidR="001E1112" w:rsidRPr="00317ABF" w14:paraId="4ABE592D" w14:textId="77777777" w:rsidTr="7753F98D">
        <w:trPr>
          <w:gridAfter w:val="2"/>
          <w:wAfter w:w="175" w:type="dxa"/>
        </w:trPr>
        <w:tc>
          <w:tcPr>
            <w:tcW w:w="704" w:type="dxa"/>
          </w:tcPr>
          <w:p w14:paraId="3B4AE916" w14:textId="218ABE84" w:rsidR="001E1112" w:rsidRPr="00317ABF" w:rsidRDefault="001E1112" w:rsidP="00DB3BEC">
            <w:pPr>
              <w:jc w:val="both"/>
              <w:rPr>
                <w:sz w:val="22"/>
                <w:szCs w:val="22"/>
              </w:rPr>
            </w:pPr>
            <w:r w:rsidRPr="00317ABF">
              <w:rPr>
                <w:sz w:val="22"/>
                <w:szCs w:val="22"/>
              </w:rPr>
              <w:t>Część A</w:t>
            </w:r>
          </w:p>
        </w:tc>
        <w:tc>
          <w:tcPr>
            <w:tcW w:w="4308" w:type="dxa"/>
          </w:tcPr>
          <w:p w14:paraId="7F01845E" w14:textId="77777777" w:rsidR="001E1112" w:rsidRPr="00317ABF" w:rsidRDefault="001E1112" w:rsidP="00DB3BEC">
            <w:pPr>
              <w:spacing w:before="120"/>
              <w:jc w:val="both"/>
              <w:rPr>
                <w:sz w:val="22"/>
                <w:szCs w:val="22"/>
              </w:rPr>
            </w:pPr>
          </w:p>
        </w:tc>
        <w:tc>
          <w:tcPr>
            <w:tcW w:w="986" w:type="dxa"/>
          </w:tcPr>
          <w:p w14:paraId="7196D5B9" w14:textId="77777777" w:rsidR="001E1112" w:rsidRPr="00317ABF" w:rsidRDefault="001E1112" w:rsidP="00DB3BEC">
            <w:pPr>
              <w:jc w:val="both"/>
              <w:rPr>
                <w:sz w:val="22"/>
                <w:szCs w:val="22"/>
              </w:rPr>
            </w:pPr>
            <w:r w:rsidRPr="00317ABF">
              <w:rPr>
                <w:sz w:val="22"/>
                <w:szCs w:val="22"/>
              </w:rPr>
              <w:t>N</w:t>
            </w:r>
          </w:p>
        </w:tc>
        <w:tc>
          <w:tcPr>
            <w:tcW w:w="910" w:type="dxa"/>
          </w:tcPr>
          <w:p w14:paraId="0E31F02C" w14:textId="77777777" w:rsidR="001E1112" w:rsidRPr="00317ABF" w:rsidRDefault="001E1112" w:rsidP="00DB3BEC">
            <w:pPr>
              <w:pStyle w:val="Tekstpodstawowy"/>
              <w:rPr>
                <w:b/>
                <w:noProof/>
                <w:sz w:val="22"/>
                <w:szCs w:val="22"/>
              </w:rPr>
            </w:pPr>
          </w:p>
        </w:tc>
        <w:tc>
          <w:tcPr>
            <w:tcW w:w="6814" w:type="dxa"/>
            <w:gridSpan w:val="2"/>
          </w:tcPr>
          <w:p w14:paraId="1D43E0C1" w14:textId="49AA339C" w:rsidR="001E1112" w:rsidRPr="00317ABF" w:rsidRDefault="001E1112" w:rsidP="00DB3BEC">
            <w:pPr>
              <w:pStyle w:val="Tekstpodstawowy"/>
              <w:rPr>
                <w:sz w:val="22"/>
                <w:szCs w:val="22"/>
              </w:rPr>
            </w:pPr>
          </w:p>
        </w:tc>
      </w:tr>
      <w:tr w:rsidR="001E1112" w:rsidRPr="00317ABF" w14:paraId="693ED20F" w14:textId="77777777" w:rsidTr="7753F98D">
        <w:trPr>
          <w:gridAfter w:val="2"/>
          <w:wAfter w:w="175" w:type="dxa"/>
        </w:trPr>
        <w:tc>
          <w:tcPr>
            <w:tcW w:w="704" w:type="dxa"/>
          </w:tcPr>
          <w:p w14:paraId="7CBBB42C" w14:textId="3288EAF3" w:rsidR="001E1112" w:rsidRPr="00317ABF" w:rsidRDefault="001E1112" w:rsidP="00DB3BEC">
            <w:pPr>
              <w:jc w:val="both"/>
              <w:rPr>
                <w:sz w:val="22"/>
                <w:szCs w:val="22"/>
              </w:rPr>
            </w:pPr>
            <w:r w:rsidRPr="00317ABF">
              <w:rPr>
                <w:sz w:val="22"/>
                <w:szCs w:val="22"/>
              </w:rPr>
              <w:t>Część B</w:t>
            </w:r>
          </w:p>
        </w:tc>
        <w:tc>
          <w:tcPr>
            <w:tcW w:w="4308" w:type="dxa"/>
          </w:tcPr>
          <w:p w14:paraId="2CB8617E" w14:textId="77777777" w:rsidR="001E1112" w:rsidRPr="00317ABF" w:rsidRDefault="001E1112" w:rsidP="00DB3BEC">
            <w:pPr>
              <w:spacing w:before="120"/>
              <w:jc w:val="both"/>
              <w:rPr>
                <w:sz w:val="22"/>
                <w:szCs w:val="22"/>
              </w:rPr>
            </w:pPr>
          </w:p>
        </w:tc>
        <w:tc>
          <w:tcPr>
            <w:tcW w:w="986" w:type="dxa"/>
          </w:tcPr>
          <w:p w14:paraId="39C3E32A" w14:textId="77777777" w:rsidR="001E1112" w:rsidRPr="00317ABF" w:rsidRDefault="001E1112" w:rsidP="00DB3BEC">
            <w:pPr>
              <w:jc w:val="both"/>
              <w:rPr>
                <w:sz w:val="22"/>
                <w:szCs w:val="22"/>
              </w:rPr>
            </w:pPr>
            <w:r w:rsidRPr="00317ABF">
              <w:rPr>
                <w:sz w:val="22"/>
                <w:szCs w:val="22"/>
              </w:rPr>
              <w:t>N</w:t>
            </w:r>
          </w:p>
        </w:tc>
        <w:tc>
          <w:tcPr>
            <w:tcW w:w="910" w:type="dxa"/>
          </w:tcPr>
          <w:p w14:paraId="1117F76E" w14:textId="77777777" w:rsidR="001E1112" w:rsidRPr="00317ABF" w:rsidRDefault="001E1112" w:rsidP="00DB3BEC">
            <w:pPr>
              <w:pStyle w:val="Tekstpodstawowy"/>
              <w:rPr>
                <w:b/>
                <w:noProof/>
                <w:sz w:val="22"/>
                <w:szCs w:val="22"/>
              </w:rPr>
            </w:pPr>
          </w:p>
        </w:tc>
        <w:tc>
          <w:tcPr>
            <w:tcW w:w="6814" w:type="dxa"/>
            <w:gridSpan w:val="2"/>
          </w:tcPr>
          <w:p w14:paraId="3CB97867" w14:textId="3D81AAF9" w:rsidR="001E1112" w:rsidRPr="00317ABF" w:rsidRDefault="001E1112" w:rsidP="00DB3BEC">
            <w:pPr>
              <w:pStyle w:val="Tekstpodstawowy"/>
              <w:rPr>
                <w:sz w:val="22"/>
                <w:szCs w:val="22"/>
              </w:rPr>
            </w:pPr>
          </w:p>
        </w:tc>
      </w:tr>
      <w:tr w:rsidR="001E1112" w:rsidRPr="00317ABF" w14:paraId="4A16F234" w14:textId="77777777" w:rsidTr="7753F98D">
        <w:trPr>
          <w:gridAfter w:val="2"/>
          <w:wAfter w:w="175" w:type="dxa"/>
        </w:trPr>
        <w:tc>
          <w:tcPr>
            <w:tcW w:w="704" w:type="dxa"/>
          </w:tcPr>
          <w:p w14:paraId="33A9063D" w14:textId="2721247E" w:rsidR="001E1112" w:rsidRPr="00317ABF" w:rsidRDefault="001E1112" w:rsidP="00DB3BEC">
            <w:pPr>
              <w:jc w:val="both"/>
              <w:rPr>
                <w:sz w:val="22"/>
                <w:szCs w:val="22"/>
              </w:rPr>
            </w:pPr>
            <w:r w:rsidRPr="00317ABF">
              <w:rPr>
                <w:b/>
                <w:sz w:val="22"/>
                <w:szCs w:val="22"/>
              </w:rPr>
              <w:t>Załącznik XIII</w:t>
            </w:r>
          </w:p>
        </w:tc>
        <w:tc>
          <w:tcPr>
            <w:tcW w:w="4308" w:type="dxa"/>
          </w:tcPr>
          <w:p w14:paraId="3A86315C" w14:textId="77777777" w:rsidR="001E1112" w:rsidRPr="00317ABF" w:rsidRDefault="001E1112" w:rsidP="00DB3BEC">
            <w:pPr>
              <w:spacing w:before="240" w:after="120"/>
              <w:jc w:val="both"/>
              <w:rPr>
                <w:b/>
                <w:bCs/>
                <w:sz w:val="22"/>
                <w:szCs w:val="22"/>
              </w:rPr>
            </w:pPr>
            <w:r w:rsidRPr="00317ABF">
              <w:rPr>
                <w:b/>
                <w:bCs/>
                <w:sz w:val="22"/>
                <w:szCs w:val="22"/>
              </w:rPr>
              <w:t>TABELA KORELACJI</w:t>
            </w:r>
          </w:p>
        </w:tc>
        <w:tc>
          <w:tcPr>
            <w:tcW w:w="986" w:type="dxa"/>
          </w:tcPr>
          <w:p w14:paraId="617D75EA" w14:textId="3AAF6E04" w:rsidR="001E1112" w:rsidRPr="00317ABF" w:rsidRDefault="001E1112" w:rsidP="00DB3BEC">
            <w:pPr>
              <w:jc w:val="both"/>
              <w:rPr>
                <w:sz w:val="22"/>
                <w:szCs w:val="22"/>
              </w:rPr>
            </w:pPr>
            <w:r w:rsidRPr="00317ABF">
              <w:rPr>
                <w:sz w:val="22"/>
                <w:szCs w:val="22"/>
              </w:rPr>
              <w:t>N</w:t>
            </w:r>
          </w:p>
        </w:tc>
        <w:tc>
          <w:tcPr>
            <w:tcW w:w="910" w:type="dxa"/>
          </w:tcPr>
          <w:p w14:paraId="658FDDC1" w14:textId="77777777" w:rsidR="001E1112" w:rsidRPr="00317ABF" w:rsidRDefault="001E1112" w:rsidP="00DB3BEC">
            <w:pPr>
              <w:pStyle w:val="Tekstpodstawowy"/>
              <w:rPr>
                <w:b/>
                <w:noProof/>
                <w:sz w:val="22"/>
                <w:szCs w:val="22"/>
              </w:rPr>
            </w:pPr>
          </w:p>
        </w:tc>
        <w:tc>
          <w:tcPr>
            <w:tcW w:w="6814" w:type="dxa"/>
            <w:gridSpan w:val="2"/>
          </w:tcPr>
          <w:p w14:paraId="06A7416F" w14:textId="2362FA18" w:rsidR="001E1112" w:rsidRPr="00317ABF" w:rsidRDefault="001E1112" w:rsidP="00DB3BEC">
            <w:pPr>
              <w:pStyle w:val="Tekstpodstawowy"/>
              <w:rPr>
                <w:sz w:val="22"/>
                <w:szCs w:val="22"/>
              </w:rPr>
            </w:pPr>
          </w:p>
        </w:tc>
      </w:tr>
      <w:tr w:rsidR="001E1112" w:rsidRPr="00317ABF" w14:paraId="34941B3E" w14:textId="77777777" w:rsidTr="7753F98D">
        <w:trPr>
          <w:gridAfter w:val="2"/>
          <w:wAfter w:w="175" w:type="dxa"/>
        </w:trPr>
        <w:tc>
          <w:tcPr>
            <w:tcW w:w="704" w:type="dxa"/>
          </w:tcPr>
          <w:p w14:paraId="0A66BC52" w14:textId="6F22C16A" w:rsidR="001E1112" w:rsidRPr="00317ABF" w:rsidRDefault="001E1112" w:rsidP="00DB3BEC">
            <w:pPr>
              <w:jc w:val="both"/>
              <w:rPr>
                <w:sz w:val="22"/>
                <w:szCs w:val="22"/>
              </w:rPr>
            </w:pPr>
          </w:p>
        </w:tc>
        <w:tc>
          <w:tcPr>
            <w:tcW w:w="4308" w:type="dxa"/>
          </w:tcPr>
          <w:p w14:paraId="38FCF290" w14:textId="77777777" w:rsidR="001E1112" w:rsidRPr="00317ABF" w:rsidRDefault="001E1112" w:rsidP="00DB3BEC">
            <w:pPr>
              <w:spacing w:before="120"/>
              <w:jc w:val="both"/>
              <w:rPr>
                <w:sz w:val="22"/>
                <w:szCs w:val="22"/>
              </w:rPr>
            </w:pPr>
          </w:p>
        </w:tc>
        <w:tc>
          <w:tcPr>
            <w:tcW w:w="986" w:type="dxa"/>
          </w:tcPr>
          <w:p w14:paraId="2AB2B43E" w14:textId="77777777" w:rsidR="001E1112" w:rsidRPr="00317ABF" w:rsidRDefault="001E1112" w:rsidP="00DB3BEC">
            <w:pPr>
              <w:jc w:val="both"/>
              <w:rPr>
                <w:sz w:val="22"/>
                <w:szCs w:val="22"/>
              </w:rPr>
            </w:pPr>
          </w:p>
        </w:tc>
        <w:tc>
          <w:tcPr>
            <w:tcW w:w="910" w:type="dxa"/>
          </w:tcPr>
          <w:p w14:paraId="731ED524" w14:textId="77777777" w:rsidR="001E1112" w:rsidRPr="00317ABF" w:rsidRDefault="001E1112" w:rsidP="00DB3BEC">
            <w:pPr>
              <w:pStyle w:val="Tekstpodstawowy"/>
              <w:rPr>
                <w:b/>
                <w:noProof/>
                <w:sz w:val="22"/>
                <w:szCs w:val="22"/>
              </w:rPr>
            </w:pPr>
          </w:p>
        </w:tc>
        <w:tc>
          <w:tcPr>
            <w:tcW w:w="6814" w:type="dxa"/>
            <w:gridSpan w:val="2"/>
          </w:tcPr>
          <w:p w14:paraId="6BB69B78" w14:textId="12876462" w:rsidR="001E1112" w:rsidRPr="00317ABF" w:rsidRDefault="001E1112" w:rsidP="00DB3BEC">
            <w:pPr>
              <w:pStyle w:val="Tekstpodstawowy"/>
              <w:rPr>
                <w:sz w:val="22"/>
                <w:szCs w:val="22"/>
              </w:rPr>
            </w:pPr>
          </w:p>
        </w:tc>
      </w:tr>
    </w:tbl>
    <w:p w14:paraId="56E02AEF" w14:textId="0A1E5563" w:rsidR="00C319E7" w:rsidRPr="00317ABF" w:rsidRDefault="00725160" w:rsidP="00DB3BEC">
      <w:pPr>
        <w:jc w:val="both"/>
        <w:rPr>
          <w:sz w:val="22"/>
          <w:szCs w:val="22"/>
        </w:rPr>
      </w:pPr>
      <w:r w:rsidRPr="00317ABF">
        <w:rPr>
          <w:sz w:val="22"/>
          <w:szCs w:val="22"/>
        </w:rPr>
        <w:lastRenderedPageBreak/>
        <w:br w:type="textWrapping" w:clear="all"/>
      </w:r>
    </w:p>
    <w:p w14:paraId="626DF5E7" w14:textId="77777777" w:rsidR="00C319E7" w:rsidRPr="00317ABF" w:rsidRDefault="00C319E7" w:rsidP="00DB3BEC">
      <w:pPr>
        <w:jc w:val="both"/>
        <w:rPr>
          <w:sz w:val="22"/>
          <w:szCs w:val="22"/>
        </w:rPr>
      </w:pPr>
      <w:r w:rsidRPr="00317ABF">
        <w:rPr>
          <w:sz w:val="22"/>
          <w:szCs w:val="22"/>
        </w:rPr>
        <w:lastRenderedPageBreak/>
        <w:tab/>
      </w:r>
      <w:r w:rsidRPr="00317ABF">
        <w:rPr>
          <w:sz w:val="22"/>
          <w:szCs w:val="22"/>
        </w:rPr>
        <w:tab/>
      </w:r>
      <w:r w:rsidRPr="00317ABF">
        <w:rPr>
          <w:sz w:val="22"/>
          <w:szCs w:val="22"/>
        </w:rPr>
        <w:tab/>
      </w:r>
      <w:r w:rsidRPr="00317ABF">
        <w:rPr>
          <w:sz w:val="22"/>
          <w:szCs w:val="22"/>
        </w:rPr>
        <w:tab/>
      </w:r>
    </w:p>
    <w:p w14:paraId="7DAADEDA" w14:textId="77777777" w:rsidR="00024F2B" w:rsidRPr="00317ABF" w:rsidRDefault="00024F2B" w:rsidP="00DB3BEC">
      <w:pPr>
        <w:jc w:val="both"/>
        <w:rPr>
          <w:b/>
          <w:bCs/>
          <w:sz w:val="22"/>
          <w:szCs w:val="22"/>
        </w:rPr>
      </w:pPr>
    </w:p>
    <w:p w14:paraId="0012F6ED" w14:textId="3EC7A7C3" w:rsidR="00C319E7" w:rsidRPr="00317ABF" w:rsidRDefault="00C319E7" w:rsidP="00DB3BEC">
      <w:pPr>
        <w:pStyle w:val="Akapitzlist"/>
        <w:jc w:val="both"/>
        <w:rPr>
          <w:sz w:val="22"/>
          <w:szCs w:val="22"/>
        </w:rPr>
      </w:pPr>
      <w:r w:rsidRPr="00317ABF">
        <w:rPr>
          <w:sz w:val="22"/>
          <w:szCs w:val="22"/>
        </w:rPr>
        <w:lastRenderedPageBreak/>
        <w:tab/>
      </w:r>
    </w:p>
    <w:p w14:paraId="5B212960" w14:textId="77777777" w:rsidR="002B4A4C" w:rsidRPr="00317ABF" w:rsidRDefault="00C319E7" w:rsidP="00DB3BEC">
      <w:pPr>
        <w:jc w:val="both"/>
        <w:rPr>
          <w:sz w:val="22"/>
          <w:szCs w:val="22"/>
        </w:rPr>
      </w:pPr>
      <w:r w:rsidRPr="00317ABF">
        <w:rPr>
          <w:sz w:val="22"/>
          <w:szCs w:val="22"/>
        </w:rPr>
        <w:lastRenderedPageBreak/>
        <w:tab/>
      </w:r>
      <w:r w:rsidRPr="00317ABF">
        <w:rPr>
          <w:sz w:val="22"/>
          <w:szCs w:val="22"/>
        </w:rPr>
        <w:tab/>
      </w:r>
      <w:r w:rsidRPr="00317ABF">
        <w:rPr>
          <w:sz w:val="22"/>
          <w:szCs w:val="22"/>
        </w:rPr>
        <w:tab/>
      </w:r>
      <w:r w:rsidRPr="00317ABF">
        <w:rPr>
          <w:sz w:val="22"/>
          <w:szCs w:val="22"/>
        </w:rPr>
        <w:tab/>
      </w:r>
    </w:p>
    <w:p w14:paraId="0B7CE4FA" w14:textId="260B9D02" w:rsidR="00F9108B" w:rsidRPr="00317ABF" w:rsidRDefault="00F9108B" w:rsidP="00DB3BEC">
      <w:pPr>
        <w:jc w:val="both"/>
        <w:rPr>
          <w:sz w:val="22"/>
          <w:szCs w:val="22"/>
        </w:rPr>
      </w:pPr>
    </w:p>
    <w:p w14:paraId="555FD773" w14:textId="77777777" w:rsidR="00E73767" w:rsidRPr="00317ABF" w:rsidRDefault="00E73767" w:rsidP="00DB3BEC">
      <w:pPr>
        <w:jc w:val="both"/>
        <w:rPr>
          <w:sz w:val="22"/>
          <w:szCs w:val="22"/>
        </w:rPr>
      </w:pPr>
      <w:r w:rsidRPr="00317ABF">
        <w:rPr>
          <w:sz w:val="22"/>
          <w:szCs w:val="22"/>
        </w:rPr>
        <w:lastRenderedPageBreak/>
        <w:t>1) w wypadku projektu usuwającego naruszenie Komisji należy wpisać nr naruszenia, zaś w wypadku wykonywania orzeczeń Trybunału Sprawiedliwości (czy to w trybie prejudycjalnym czy skargowym) należy podać datę wyroku i sygnaturę sprawy.</w:t>
      </w:r>
    </w:p>
    <w:p w14:paraId="3357A42F" w14:textId="77777777" w:rsidR="00224A7D" w:rsidRPr="00317ABF" w:rsidRDefault="00224A7D" w:rsidP="00DB3BEC">
      <w:pPr>
        <w:jc w:val="both"/>
        <w:rPr>
          <w:sz w:val="22"/>
          <w:szCs w:val="22"/>
        </w:rPr>
      </w:pPr>
    </w:p>
    <w:p w14:paraId="1CDBB9C5" w14:textId="6CB04F98" w:rsidR="00E73767" w:rsidRPr="00317ABF" w:rsidRDefault="00E73767" w:rsidP="00DB3BEC">
      <w:pPr>
        <w:jc w:val="both"/>
        <w:rPr>
          <w:sz w:val="22"/>
          <w:szCs w:val="22"/>
        </w:rPr>
      </w:pPr>
      <w:r w:rsidRPr="00317ABF">
        <w:rPr>
          <w:sz w:val="22"/>
          <w:szCs w:val="22"/>
        </w:rPr>
        <w:lastRenderedPageBreak/>
        <w:t>2) tabelę zbieżności dla przepisów Unii Europejskiej można wygenerować przy pomocy systemu e-step (www.e-step.pl/urzednik). W wypadku konieczności dodania uzasadnienia dla przekroczenia minimum europejskiego należy dodać odpowiednią kolumnę.</w:t>
      </w:r>
    </w:p>
    <w:p w14:paraId="72591B91" w14:textId="77777777" w:rsidR="00E73767" w:rsidRPr="00317ABF" w:rsidRDefault="00E73767" w:rsidP="00DB3BEC">
      <w:pPr>
        <w:jc w:val="both"/>
        <w:rPr>
          <w:sz w:val="22"/>
          <w:szCs w:val="22"/>
        </w:rPr>
      </w:pPr>
      <w:r w:rsidRPr="00317ABF">
        <w:rPr>
          <w:sz w:val="22"/>
          <w:szCs w:val="22"/>
        </w:rPr>
        <w:lastRenderedPageBreak/>
        <w:t xml:space="preserve">3) w tej </w:t>
      </w:r>
      <w:r w:rsidRPr="00317ABF">
        <w:rPr>
          <w:sz w:val="22"/>
          <w:szCs w:val="22"/>
        </w:rPr>
        <w:lastRenderedPageBreak/>
        <w:t>części należy wskazać przepisy dyrektywy, decyzji ramowej, przepisy prawa UE, których naruszenie wskazała Komisja lub których wykładni dokonał Trybunał Sprawiedliwości</w:t>
      </w:r>
    </w:p>
    <w:p w14:paraId="27A7EB4D" w14:textId="77777777" w:rsidR="00E73767" w:rsidRPr="007C065D" w:rsidRDefault="00E73767" w:rsidP="00DB3BEC">
      <w:pPr>
        <w:jc w:val="both"/>
        <w:rPr>
          <w:sz w:val="22"/>
          <w:szCs w:val="22"/>
        </w:rPr>
      </w:pPr>
      <w:r w:rsidRPr="00317ABF">
        <w:rPr>
          <w:sz w:val="22"/>
          <w:szCs w:val="22"/>
        </w:rPr>
        <w:lastRenderedPageBreak/>
        <w:t>(*) jeżeli do wdrożenia danego przepisu UE potrzebne jest oprócz przepisu przenoszącego treść, także wprowadzenie przepisów zapewniających stosowanie (np. przepisy proceduralne, przepisy karne itp.), w tabeli powinny znaleźć się wszystkie te przepisy wraz z oznaczeniem ich jednostek redakcyjnych</w:t>
      </w:r>
    </w:p>
    <w:p w14:paraId="5DF88A3B" w14:textId="77777777" w:rsidR="0037741E" w:rsidRPr="007C065D" w:rsidRDefault="0037741E" w:rsidP="00DB3BEC">
      <w:pPr>
        <w:jc w:val="both"/>
        <w:rPr>
          <w:sz w:val="22"/>
          <w:szCs w:val="22"/>
          <w:vertAlign w:val="superscript"/>
        </w:rPr>
      </w:pPr>
    </w:p>
    <w:p w14:paraId="4914E017" w14:textId="77777777" w:rsidR="0037741E" w:rsidRPr="007C065D" w:rsidRDefault="0037741E" w:rsidP="00DB3BEC">
      <w:pPr>
        <w:jc w:val="both"/>
        <w:rPr>
          <w:sz w:val="22"/>
          <w:szCs w:val="22"/>
        </w:rPr>
      </w:pPr>
    </w:p>
    <w:sectPr w:rsidR="0037741E" w:rsidRPr="007C065D" w:rsidSect="00FF1630">
      <w:headerReference w:type="default" r:id="rId43"/>
      <w:footerReference w:type="default" r:id="rId44"/>
      <w:pgSz w:w="16838" w:h="11906" w:orient="landscape" w:code="9"/>
      <w:pgMar w:top="539" w:right="1134" w:bottom="851" w:left="1134" w:header="709" w:footer="709" w:gutter="0"/>
      <w:cols w:space="708"/>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636B6940" w16cex:dateUtc="2020-07-28T14:46:53.966Z"/>
  <w16cex:commentExtensible w16cex:durableId="2554586C" w16cex:dateUtc="2020-07-29T13:49:13.482Z"/>
  <w16cex:commentExtensible w16cex:durableId="23E37252" w16cex:dateUtc="2020-07-29T14:22:36.846Z"/>
</w16cex:commentsExtensible>
</file>

<file path=word/commentsIds.xml><?xml version="1.0" encoding="utf-8"?>
<w16cid:commentsIds xmlns:mc="http://schemas.openxmlformats.org/markup-compatibility/2006" xmlns:w16cid="http://schemas.microsoft.com/office/word/2016/wordml/cid" mc:Ignorable="w16cid">
  <w16cid:commentId w16cid:paraId="31844038" w16cid:durableId="61E2AE2D"/>
  <w16cid:commentId w16cid:paraId="090348ED" w16cid:durableId="505053A7"/>
  <w16cid:commentId w16cid:paraId="6359AB52" w16cid:durableId="088BF008"/>
  <w16cid:commentId w16cid:paraId="2F5EAF43" w16cid:durableId="0C1AB17D"/>
  <w16cid:commentId w16cid:paraId="58EC76F3" w16cid:durableId="636B6940"/>
  <w16cid:commentId w16cid:paraId="5EC214E8" w16cid:durableId="2554586C"/>
  <w16cid:commentId w16cid:paraId="26DDBE2A" w16cid:durableId="23E37252"/>
  <w16cid:commentId w16cid:paraId="4D57556E" w16cid:durableId="65270EAF"/>
  <w16cid:commentId w16cid:paraId="2E2F49B5" w16cid:durableId="3B92D97C"/>
  <w16cid:commentId w16cid:paraId="0BDB29CD" w16cid:durableId="7E1829AB"/>
  <w16cid:commentId w16cid:paraId="64BDC9AC" w16cid:durableId="33DA849F"/>
  <w16cid:commentId w16cid:paraId="3E602C84" w16cid:durableId="583510A2"/>
  <w16cid:commentId w16cid:paraId="59BC909E" w16cid:durableId="713CD6E8"/>
  <w16cid:commentId w16cid:paraId="021E8319" w16cid:durableId="5C022298"/>
  <w16cid:commentId w16cid:paraId="051E88B5" w16cid:durableId="29CCC687"/>
  <w16cid:commentId w16cid:paraId="362EEFE9" w16cid:durableId="26887160"/>
  <w16cid:commentId w16cid:paraId="019D9EBF" w16cid:durableId="047EDCF4"/>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E637D18" w14:textId="77777777" w:rsidR="00434E4D" w:rsidRDefault="00434E4D">
      <w:r>
        <w:separator/>
      </w:r>
    </w:p>
  </w:endnote>
  <w:endnote w:type="continuationSeparator" w:id="0">
    <w:p w14:paraId="023D1C55" w14:textId="77777777" w:rsidR="00434E4D" w:rsidRDefault="00434E4D">
      <w:r>
        <w:continuationSeparator/>
      </w:r>
    </w:p>
  </w:endnote>
  <w:endnote w:type="continuationNotice" w:id="1">
    <w:p w14:paraId="7FC707E6" w14:textId="77777777" w:rsidR="00434E4D" w:rsidRDefault="00434E4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EUAlbertina">
    <w:altName w:val="Times New Roman"/>
    <w:panose1 w:val="00000000000000000000"/>
    <w:charset w:val="00"/>
    <w:family w:val="roman"/>
    <w:notTrueType/>
    <w:pitch w:val="default"/>
    <w:sig w:usb0="00000007" w:usb1="00000000" w:usb2="00000000" w:usb3="00000000" w:csb0="00000003" w:csb1="00000000"/>
  </w:font>
  <w:font w:name="Arial">
    <w:panose1 w:val="020B0604020202020204"/>
    <w:charset w:val="EE"/>
    <w:family w:val="swiss"/>
    <w:pitch w:val="variable"/>
    <w:sig w:usb0="E0002EFF" w:usb1="C000785B" w:usb2="00000009" w:usb3="00000000" w:csb0="000001FF" w:csb1="00000000"/>
  </w:font>
  <w:font w:name="Times">
    <w:panose1 w:val="02020603050405020304"/>
    <w:charset w:val="EE"/>
    <w:family w:val="roman"/>
    <w:pitch w:val="variable"/>
    <w:sig w:usb0="E0002EFF" w:usb1="C000785B" w:usb2="00000009" w:usb3="00000000" w:csb0="000001FF" w:csb1="00000000"/>
  </w:font>
  <w:font w:name="EUAlbertina-Regular-Identity-H">
    <w:altName w:val="Arial Unicode MS"/>
    <w:panose1 w:val="00000000000000000000"/>
    <w:charset w:val="80"/>
    <w:family w:val="auto"/>
    <w:notTrueType/>
    <w:pitch w:val="default"/>
    <w:sig w:usb0="00000001" w:usb1="08070000" w:usb2="00000010" w:usb3="00000000" w:csb0="00020000" w:csb1="00000000"/>
  </w:font>
  <w:font w:name="&amp;quot">
    <w:altName w:val="Times New Roman"/>
    <w:panose1 w:val="00000000000000000000"/>
    <w:charset w:val="00"/>
    <w:family w:val="roman"/>
    <w:notTrueType/>
    <w:pitch w:val="default"/>
  </w:font>
  <w:font w:name="Trebuchet MS">
    <w:panose1 w:val="020B0603020202020204"/>
    <w:charset w:val="EE"/>
    <w:family w:val="swiss"/>
    <w:pitch w:val="variable"/>
    <w:sig w:usb0="00000687"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64BA1D" w14:textId="77777777" w:rsidR="00EE0AC3" w:rsidRDefault="00EE0AC3" w:rsidP="00BB4F0A">
    <w:pPr>
      <w:pStyle w:val="Stopka"/>
      <w:framePr w:wrap="auto"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423C93">
      <w:rPr>
        <w:rStyle w:val="Numerstrony"/>
        <w:noProof/>
      </w:rPr>
      <w:t>363</w:t>
    </w:r>
    <w:r>
      <w:rPr>
        <w:rStyle w:val="Numerstrony"/>
      </w:rPr>
      <w:fldChar w:fldCharType="end"/>
    </w:r>
  </w:p>
  <w:p w14:paraId="7FB0DCC7" w14:textId="77777777" w:rsidR="00EE0AC3" w:rsidRDefault="00EE0AC3" w:rsidP="00F41893">
    <w:pPr>
      <w:pStyle w:val="Stopk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108032D" w14:textId="77777777" w:rsidR="00434E4D" w:rsidRDefault="00434E4D">
      <w:r>
        <w:separator/>
      </w:r>
    </w:p>
  </w:footnote>
  <w:footnote w:type="continuationSeparator" w:id="0">
    <w:p w14:paraId="6A6CD95B" w14:textId="77777777" w:rsidR="00434E4D" w:rsidRDefault="00434E4D">
      <w:r>
        <w:continuationSeparator/>
      </w:r>
    </w:p>
  </w:footnote>
  <w:footnote w:type="continuationNotice" w:id="1">
    <w:p w14:paraId="39C13E1A" w14:textId="77777777" w:rsidR="00434E4D" w:rsidRDefault="00434E4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6959E7" w14:textId="77777777" w:rsidR="00EE0AC3" w:rsidRDefault="00EE0AC3">
    <w:pPr>
      <w:pStyle w:val="Nagwek"/>
    </w:pPr>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4664EC"/>
    <w:multiLevelType w:val="hybridMultilevel"/>
    <w:tmpl w:val="8488D1D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34C37B8"/>
    <w:multiLevelType w:val="hybridMultilevel"/>
    <w:tmpl w:val="CED8C86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3B55376"/>
    <w:multiLevelType w:val="hybridMultilevel"/>
    <w:tmpl w:val="2BBAD27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5513556"/>
    <w:multiLevelType w:val="hybridMultilevel"/>
    <w:tmpl w:val="0D5C038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06510219"/>
    <w:multiLevelType w:val="hybridMultilevel"/>
    <w:tmpl w:val="DEA4ED0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06BE59E0"/>
    <w:multiLevelType w:val="hybridMultilevel"/>
    <w:tmpl w:val="121C18B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07865FC9"/>
    <w:multiLevelType w:val="hybridMultilevel"/>
    <w:tmpl w:val="ED34AC5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08ED20F1"/>
    <w:multiLevelType w:val="hybridMultilevel"/>
    <w:tmpl w:val="E66AF2CE"/>
    <w:lvl w:ilvl="0" w:tplc="B142DFF2">
      <w:start w:val="1"/>
      <w:numFmt w:val="decimal"/>
      <w:lvlText w:val="%1)"/>
      <w:lvlJc w:val="left"/>
      <w:pPr>
        <w:ind w:left="870" w:hanging="360"/>
      </w:pPr>
      <w:rPr>
        <w:rFonts w:hint="default"/>
      </w:rPr>
    </w:lvl>
    <w:lvl w:ilvl="1" w:tplc="04150019" w:tentative="1">
      <w:start w:val="1"/>
      <w:numFmt w:val="lowerLetter"/>
      <w:lvlText w:val="%2."/>
      <w:lvlJc w:val="left"/>
      <w:pPr>
        <w:ind w:left="1590" w:hanging="360"/>
      </w:pPr>
    </w:lvl>
    <w:lvl w:ilvl="2" w:tplc="0415001B" w:tentative="1">
      <w:start w:val="1"/>
      <w:numFmt w:val="lowerRoman"/>
      <w:lvlText w:val="%3."/>
      <w:lvlJc w:val="right"/>
      <w:pPr>
        <w:ind w:left="2310" w:hanging="180"/>
      </w:pPr>
    </w:lvl>
    <w:lvl w:ilvl="3" w:tplc="0415000F" w:tentative="1">
      <w:start w:val="1"/>
      <w:numFmt w:val="decimal"/>
      <w:lvlText w:val="%4."/>
      <w:lvlJc w:val="left"/>
      <w:pPr>
        <w:ind w:left="3030" w:hanging="360"/>
      </w:pPr>
    </w:lvl>
    <w:lvl w:ilvl="4" w:tplc="04150019" w:tentative="1">
      <w:start w:val="1"/>
      <w:numFmt w:val="lowerLetter"/>
      <w:lvlText w:val="%5."/>
      <w:lvlJc w:val="left"/>
      <w:pPr>
        <w:ind w:left="3750" w:hanging="360"/>
      </w:pPr>
    </w:lvl>
    <w:lvl w:ilvl="5" w:tplc="0415001B" w:tentative="1">
      <w:start w:val="1"/>
      <w:numFmt w:val="lowerRoman"/>
      <w:lvlText w:val="%6."/>
      <w:lvlJc w:val="right"/>
      <w:pPr>
        <w:ind w:left="4470" w:hanging="180"/>
      </w:pPr>
    </w:lvl>
    <w:lvl w:ilvl="6" w:tplc="0415000F" w:tentative="1">
      <w:start w:val="1"/>
      <w:numFmt w:val="decimal"/>
      <w:lvlText w:val="%7."/>
      <w:lvlJc w:val="left"/>
      <w:pPr>
        <w:ind w:left="5190" w:hanging="360"/>
      </w:pPr>
    </w:lvl>
    <w:lvl w:ilvl="7" w:tplc="04150019" w:tentative="1">
      <w:start w:val="1"/>
      <w:numFmt w:val="lowerLetter"/>
      <w:lvlText w:val="%8."/>
      <w:lvlJc w:val="left"/>
      <w:pPr>
        <w:ind w:left="5910" w:hanging="360"/>
      </w:pPr>
    </w:lvl>
    <w:lvl w:ilvl="8" w:tplc="0415001B" w:tentative="1">
      <w:start w:val="1"/>
      <w:numFmt w:val="lowerRoman"/>
      <w:lvlText w:val="%9."/>
      <w:lvlJc w:val="right"/>
      <w:pPr>
        <w:ind w:left="6630" w:hanging="180"/>
      </w:pPr>
    </w:lvl>
  </w:abstractNum>
  <w:abstractNum w:abstractNumId="8">
    <w:nsid w:val="092A5012"/>
    <w:multiLevelType w:val="hybridMultilevel"/>
    <w:tmpl w:val="578C147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0A453024"/>
    <w:multiLevelType w:val="hybridMultilevel"/>
    <w:tmpl w:val="FE209D0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0F281205"/>
    <w:multiLevelType w:val="hybridMultilevel"/>
    <w:tmpl w:val="DC44CB0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10F81DB3"/>
    <w:multiLevelType w:val="hybridMultilevel"/>
    <w:tmpl w:val="8E84FC8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121E4342"/>
    <w:multiLevelType w:val="hybridMultilevel"/>
    <w:tmpl w:val="54746C0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13427443"/>
    <w:multiLevelType w:val="hybridMultilevel"/>
    <w:tmpl w:val="AF1C45A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13C17A0C"/>
    <w:multiLevelType w:val="hybridMultilevel"/>
    <w:tmpl w:val="E37EEDC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14356FF6"/>
    <w:multiLevelType w:val="hybridMultilevel"/>
    <w:tmpl w:val="AD18047C"/>
    <w:lvl w:ilvl="0" w:tplc="B086999E">
      <w:start w:val="41"/>
      <w:numFmt w:val="decimal"/>
      <w:lvlText w:val="%1)"/>
      <w:lvlJc w:val="left"/>
      <w:pPr>
        <w:ind w:left="360" w:hanging="360"/>
      </w:pPr>
      <w:rPr>
        <w:rFonts w:eastAsiaTheme="minorEastAsia" w:hint="default"/>
      </w:rPr>
    </w:lvl>
    <w:lvl w:ilvl="1" w:tplc="04150017">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nsid w:val="17001EC5"/>
    <w:multiLevelType w:val="hybridMultilevel"/>
    <w:tmpl w:val="CA92FF1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17C750A8"/>
    <w:multiLevelType w:val="hybridMultilevel"/>
    <w:tmpl w:val="A85AF48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1969060A"/>
    <w:multiLevelType w:val="hybridMultilevel"/>
    <w:tmpl w:val="7C30D31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1D77156D"/>
    <w:multiLevelType w:val="hybridMultilevel"/>
    <w:tmpl w:val="115A115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1D9772C3"/>
    <w:multiLevelType w:val="hybridMultilevel"/>
    <w:tmpl w:val="8A5C807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1FAB27DB"/>
    <w:multiLevelType w:val="hybridMultilevel"/>
    <w:tmpl w:val="D402CE6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207C6F9F"/>
    <w:multiLevelType w:val="hybridMultilevel"/>
    <w:tmpl w:val="77AED83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210D1D7D"/>
    <w:multiLevelType w:val="hybridMultilevel"/>
    <w:tmpl w:val="5F88781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237F799F"/>
    <w:multiLevelType w:val="hybridMultilevel"/>
    <w:tmpl w:val="B8DA164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238F5701"/>
    <w:multiLevelType w:val="hybridMultilevel"/>
    <w:tmpl w:val="A6FA789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24C374E2"/>
    <w:multiLevelType w:val="hybridMultilevel"/>
    <w:tmpl w:val="0C3492BC"/>
    <w:lvl w:ilvl="0" w:tplc="D6CCEB80">
      <w:start w:val="1"/>
      <w:numFmt w:val="low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26500CA8"/>
    <w:multiLevelType w:val="hybridMultilevel"/>
    <w:tmpl w:val="2110A7F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265B17F2"/>
    <w:multiLevelType w:val="hybridMultilevel"/>
    <w:tmpl w:val="1170743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2E0659EA"/>
    <w:multiLevelType w:val="hybridMultilevel"/>
    <w:tmpl w:val="3E64D9D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2E163518"/>
    <w:multiLevelType w:val="hybridMultilevel"/>
    <w:tmpl w:val="D69E10C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2EB51D35"/>
    <w:multiLevelType w:val="hybridMultilevel"/>
    <w:tmpl w:val="2026BD0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305B4055"/>
    <w:multiLevelType w:val="hybridMultilevel"/>
    <w:tmpl w:val="8526649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30BD046D"/>
    <w:multiLevelType w:val="hybridMultilevel"/>
    <w:tmpl w:val="F634F43A"/>
    <w:lvl w:ilvl="0" w:tplc="C7D6D15A">
      <w:start w:val="1"/>
      <w:numFmt w:val="lowerLetter"/>
      <w:lvlText w:val="%1)"/>
      <w:lvlJc w:val="left"/>
      <w:pPr>
        <w:ind w:left="720" w:hanging="360"/>
      </w:pPr>
      <w:rPr>
        <w:rFonts w:ascii="Times New Roman" w:eastAsia="Times New Roman" w:hAnsi="Times New Roman" w:cs="Times New Roman" w:hint="default"/>
        <w:color w:val="00000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31066950"/>
    <w:multiLevelType w:val="hybridMultilevel"/>
    <w:tmpl w:val="8F4267D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312E77D1"/>
    <w:multiLevelType w:val="hybridMultilevel"/>
    <w:tmpl w:val="5BAC540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314C5F4C"/>
    <w:multiLevelType w:val="hybridMultilevel"/>
    <w:tmpl w:val="A620B78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31567963"/>
    <w:multiLevelType w:val="hybridMultilevel"/>
    <w:tmpl w:val="BAFAB3E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31B11CD4"/>
    <w:multiLevelType w:val="hybridMultilevel"/>
    <w:tmpl w:val="E0E090C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33C96CEF"/>
    <w:multiLevelType w:val="hybridMultilevel"/>
    <w:tmpl w:val="50B8326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nsid w:val="35ED07BD"/>
    <w:multiLevelType w:val="hybridMultilevel"/>
    <w:tmpl w:val="0018D19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nsid w:val="378E09CA"/>
    <w:multiLevelType w:val="hybridMultilevel"/>
    <w:tmpl w:val="F2F8BC3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37BF5951"/>
    <w:multiLevelType w:val="hybridMultilevel"/>
    <w:tmpl w:val="D858437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nsid w:val="3B294967"/>
    <w:multiLevelType w:val="hybridMultilevel"/>
    <w:tmpl w:val="43C655F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nsid w:val="3C1E1796"/>
    <w:multiLevelType w:val="hybridMultilevel"/>
    <w:tmpl w:val="36886304"/>
    <w:lvl w:ilvl="0" w:tplc="F6C0CB74">
      <w:start w:val="1"/>
      <w:numFmt w:val="decimal"/>
      <w:lvlText w:val="%1."/>
      <w:lvlJc w:val="left"/>
      <w:pPr>
        <w:ind w:left="720" w:hanging="360"/>
      </w:pPr>
    </w:lvl>
    <w:lvl w:ilvl="1" w:tplc="C20A870A">
      <w:start w:val="1"/>
      <w:numFmt w:val="lowerLetter"/>
      <w:lvlText w:val="%2."/>
      <w:lvlJc w:val="left"/>
      <w:pPr>
        <w:ind w:left="1440" w:hanging="360"/>
      </w:pPr>
    </w:lvl>
    <w:lvl w:ilvl="2" w:tplc="FD8ECFEE">
      <w:start w:val="1"/>
      <w:numFmt w:val="lowerRoman"/>
      <w:lvlText w:val="%3."/>
      <w:lvlJc w:val="right"/>
      <w:pPr>
        <w:ind w:left="2160" w:hanging="180"/>
      </w:pPr>
    </w:lvl>
    <w:lvl w:ilvl="3" w:tplc="8FFADDC2">
      <w:start w:val="1"/>
      <w:numFmt w:val="decimal"/>
      <w:lvlText w:val="%4."/>
      <w:lvlJc w:val="left"/>
      <w:pPr>
        <w:ind w:left="2880" w:hanging="360"/>
      </w:pPr>
    </w:lvl>
    <w:lvl w:ilvl="4" w:tplc="178CD676">
      <w:start w:val="1"/>
      <w:numFmt w:val="lowerLetter"/>
      <w:lvlText w:val="%5."/>
      <w:lvlJc w:val="left"/>
      <w:pPr>
        <w:ind w:left="3600" w:hanging="360"/>
      </w:pPr>
    </w:lvl>
    <w:lvl w:ilvl="5" w:tplc="0832C230">
      <w:start w:val="1"/>
      <w:numFmt w:val="lowerRoman"/>
      <w:lvlText w:val="%6."/>
      <w:lvlJc w:val="right"/>
      <w:pPr>
        <w:ind w:left="4320" w:hanging="180"/>
      </w:pPr>
    </w:lvl>
    <w:lvl w:ilvl="6" w:tplc="279C12BA">
      <w:start w:val="1"/>
      <w:numFmt w:val="decimal"/>
      <w:lvlText w:val="%7."/>
      <w:lvlJc w:val="left"/>
      <w:pPr>
        <w:ind w:left="5040" w:hanging="360"/>
      </w:pPr>
    </w:lvl>
    <w:lvl w:ilvl="7" w:tplc="E9AE3600">
      <w:start w:val="1"/>
      <w:numFmt w:val="lowerLetter"/>
      <w:lvlText w:val="%8."/>
      <w:lvlJc w:val="left"/>
      <w:pPr>
        <w:ind w:left="5760" w:hanging="360"/>
      </w:pPr>
    </w:lvl>
    <w:lvl w:ilvl="8" w:tplc="2278BB0A">
      <w:start w:val="1"/>
      <w:numFmt w:val="lowerRoman"/>
      <w:lvlText w:val="%9."/>
      <w:lvlJc w:val="right"/>
      <w:pPr>
        <w:ind w:left="6480" w:hanging="180"/>
      </w:pPr>
    </w:lvl>
  </w:abstractNum>
  <w:abstractNum w:abstractNumId="45">
    <w:nsid w:val="3E1C7558"/>
    <w:multiLevelType w:val="hybridMultilevel"/>
    <w:tmpl w:val="16DE9B38"/>
    <w:lvl w:ilvl="0" w:tplc="B420D064">
      <w:start w:val="1"/>
      <w:numFmt w:val="low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nsid w:val="3F8C0E15"/>
    <w:multiLevelType w:val="hybridMultilevel"/>
    <w:tmpl w:val="EF4238B4"/>
    <w:lvl w:ilvl="0" w:tplc="AF14422E">
      <w:start w:val="1"/>
      <w:numFmt w:val="decimal"/>
      <w:lvlText w:val="%1."/>
      <w:lvlJc w:val="left"/>
      <w:pPr>
        <w:ind w:left="720" w:hanging="360"/>
      </w:pPr>
    </w:lvl>
    <w:lvl w:ilvl="1" w:tplc="750851E8">
      <w:start w:val="1"/>
      <w:numFmt w:val="lowerLetter"/>
      <w:lvlText w:val="%2."/>
      <w:lvlJc w:val="left"/>
      <w:pPr>
        <w:ind w:left="1440" w:hanging="360"/>
      </w:pPr>
    </w:lvl>
    <w:lvl w:ilvl="2" w:tplc="9A924866">
      <w:start w:val="1"/>
      <w:numFmt w:val="lowerRoman"/>
      <w:lvlText w:val="%3."/>
      <w:lvlJc w:val="right"/>
      <w:pPr>
        <w:ind w:left="2160" w:hanging="180"/>
      </w:pPr>
    </w:lvl>
    <w:lvl w:ilvl="3" w:tplc="F1725998">
      <w:start w:val="1"/>
      <w:numFmt w:val="decimal"/>
      <w:lvlText w:val="%4."/>
      <w:lvlJc w:val="left"/>
      <w:pPr>
        <w:ind w:left="2880" w:hanging="360"/>
      </w:pPr>
    </w:lvl>
    <w:lvl w:ilvl="4" w:tplc="765ACCD6">
      <w:start w:val="1"/>
      <w:numFmt w:val="lowerLetter"/>
      <w:lvlText w:val="%5."/>
      <w:lvlJc w:val="left"/>
      <w:pPr>
        <w:ind w:left="3600" w:hanging="360"/>
      </w:pPr>
    </w:lvl>
    <w:lvl w:ilvl="5" w:tplc="AE64CB24">
      <w:start w:val="1"/>
      <w:numFmt w:val="lowerRoman"/>
      <w:lvlText w:val="%6."/>
      <w:lvlJc w:val="right"/>
      <w:pPr>
        <w:ind w:left="4320" w:hanging="180"/>
      </w:pPr>
    </w:lvl>
    <w:lvl w:ilvl="6" w:tplc="DC34424E">
      <w:start w:val="1"/>
      <w:numFmt w:val="decimal"/>
      <w:lvlText w:val="%7."/>
      <w:lvlJc w:val="left"/>
      <w:pPr>
        <w:ind w:left="5040" w:hanging="360"/>
      </w:pPr>
    </w:lvl>
    <w:lvl w:ilvl="7" w:tplc="033E9E44">
      <w:start w:val="1"/>
      <w:numFmt w:val="lowerLetter"/>
      <w:lvlText w:val="%8."/>
      <w:lvlJc w:val="left"/>
      <w:pPr>
        <w:ind w:left="5760" w:hanging="360"/>
      </w:pPr>
    </w:lvl>
    <w:lvl w:ilvl="8" w:tplc="255C7C02">
      <w:start w:val="1"/>
      <w:numFmt w:val="lowerRoman"/>
      <w:lvlText w:val="%9."/>
      <w:lvlJc w:val="right"/>
      <w:pPr>
        <w:ind w:left="6480" w:hanging="180"/>
      </w:pPr>
    </w:lvl>
  </w:abstractNum>
  <w:abstractNum w:abstractNumId="47">
    <w:nsid w:val="404B49D5"/>
    <w:multiLevelType w:val="hybridMultilevel"/>
    <w:tmpl w:val="0AF25C9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nsid w:val="40A24A49"/>
    <w:multiLevelType w:val="hybridMultilevel"/>
    <w:tmpl w:val="55E8108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nsid w:val="4117465D"/>
    <w:multiLevelType w:val="hybridMultilevel"/>
    <w:tmpl w:val="422E61A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nsid w:val="42D51481"/>
    <w:multiLevelType w:val="hybridMultilevel"/>
    <w:tmpl w:val="3FE6E43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nsid w:val="45190C84"/>
    <w:multiLevelType w:val="hybridMultilevel"/>
    <w:tmpl w:val="444213A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nsid w:val="45C30E59"/>
    <w:multiLevelType w:val="hybridMultilevel"/>
    <w:tmpl w:val="CCE03A4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nsid w:val="45D66C47"/>
    <w:multiLevelType w:val="hybridMultilevel"/>
    <w:tmpl w:val="BF7455B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nsid w:val="46491EA3"/>
    <w:multiLevelType w:val="hybridMultilevel"/>
    <w:tmpl w:val="2F3C795C"/>
    <w:lvl w:ilvl="0" w:tplc="114035B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nsid w:val="46696098"/>
    <w:multiLevelType w:val="hybridMultilevel"/>
    <w:tmpl w:val="E950287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nsid w:val="477104D5"/>
    <w:multiLevelType w:val="hybridMultilevel"/>
    <w:tmpl w:val="E1F29DC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nsid w:val="47D45AC9"/>
    <w:multiLevelType w:val="hybridMultilevel"/>
    <w:tmpl w:val="BEEE235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nsid w:val="48024967"/>
    <w:multiLevelType w:val="hybridMultilevel"/>
    <w:tmpl w:val="DA22E716"/>
    <w:lvl w:ilvl="0" w:tplc="A878AED6">
      <w:start w:val="1"/>
      <w:numFmt w:val="decimal"/>
      <w:lvlText w:val="%1)"/>
      <w:lvlJc w:val="left"/>
      <w:pPr>
        <w:ind w:left="870" w:hanging="360"/>
      </w:pPr>
      <w:rPr>
        <w:rFonts w:hint="default"/>
      </w:rPr>
    </w:lvl>
    <w:lvl w:ilvl="1" w:tplc="04150019" w:tentative="1">
      <w:start w:val="1"/>
      <w:numFmt w:val="lowerLetter"/>
      <w:lvlText w:val="%2."/>
      <w:lvlJc w:val="left"/>
      <w:pPr>
        <w:ind w:left="1590" w:hanging="360"/>
      </w:pPr>
    </w:lvl>
    <w:lvl w:ilvl="2" w:tplc="0415001B" w:tentative="1">
      <w:start w:val="1"/>
      <w:numFmt w:val="lowerRoman"/>
      <w:lvlText w:val="%3."/>
      <w:lvlJc w:val="right"/>
      <w:pPr>
        <w:ind w:left="2310" w:hanging="180"/>
      </w:pPr>
    </w:lvl>
    <w:lvl w:ilvl="3" w:tplc="0415000F" w:tentative="1">
      <w:start w:val="1"/>
      <w:numFmt w:val="decimal"/>
      <w:lvlText w:val="%4."/>
      <w:lvlJc w:val="left"/>
      <w:pPr>
        <w:ind w:left="3030" w:hanging="360"/>
      </w:pPr>
    </w:lvl>
    <w:lvl w:ilvl="4" w:tplc="04150019" w:tentative="1">
      <w:start w:val="1"/>
      <w:numFmt w:val="lowerLetter"/>
      <w:lvlText w:val="%5."/>
      <w:lvlJc w:val="left"/>
      <w:pPr>
        <w:ind w:left="3750" w:hanging="360"/>
      </w:pPr>
    </w:lvl>
    <w:lvl w:ilvl="5" w:tplc="0415001B" w:tentative="1">
      <w:start w:val="1"/>
      <w:numFmt w:val="lowerRoman"/>
      <w:lvlText w:val="%6."/>
      <w:lvlJc w:val="right"/>
      <w:pPr>
        <w:ind w:left="4470" w:hanging="180"/>
      </w:pPr>
    </w:lvl>
    <w:lvl w:ilvl="6" w:tplc="0415000F" w:tentative="1">
      <w:start w:val="1"/>
      <w:numFmt w:val="decimal"/>
      <w:lvlText w:val="%7."/>
      <w:lvlJc w:val="left"/>
      <w:pPr>
        <w:ind w:left="5190" w:hanging="360"/>
      </w:pPr>
    </w:lvl>
    <w:lvl w:ilvl="7" w:tplc="04150019" w:tentative="1">
      <w:start w:val="1"/>
      <w:numFmt w:val="lowerLetter"/>
      <w:lvlText w:val="%8."/>
      <w:lvlJc w:val="left"/>
      <w:pPr>
        <w:ind w:left="5910" w:hanging="360"/>
      </w:pPr>
    </w:lvl>
    <w:lvl w:ilvl="8" w:tplc="0415001B" w:tentative="1">
      <w:start w:val="1"/>
      <w:numFmt w:val="lowerRoman"/>
      <w:lvlText w:val="%9."/>
      <w:lvlJc w:val="right"/>
      <w:pPr>
        <w:ind w:left="6630" w:hanging="180"/>
      </w:pPr>
    </w:lvl>
  </w:abstractNum>
  <w:abstractNum w:abstractNumId="59">
    <w:nsid w:val="498A7274"/>
    <w:multiLevelType w:val="hybridMultilevel"/>
    <w:tmpl w:val="D402CE62"/>
    <w:lvl w:ilvl="0" w:tplc="FFFFFFF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nsid w:val="4A4E5233"/>
    <w:multiLevelType w:val="hybridMultilevel"/>
    <w:tmpl w:val="905A68E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nsid w:val="4C8A1207"/>
    <w:multiLevelType w:val="hybridMultilevel"/>
    <w:tmpl w:val="F4C49C2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nsid w:val="4DF7377F"/>
    <w:multiLevelType w:val="hybridMultilevel"/>
    <w:tmpl w:val="8EBEBA4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nsid w:val="4EDB70DF"/>
    <w:multiLevelType w:val="hybridMultilevel"/>
    <w:tmpl w:val="DFECF0A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nsid w:val="5071564D"/>
    <w:multiLevelType w:val="hybridMultilevel"/>
    <w:tmpl w:val="BFF2597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nsid w:val="532D218B"/>
    <w:multiLevelType w:val="hybridMultilevel"/>
    <w:tmpl w:val="8A44F0D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nsid w:val="53D01F28"/>
    <w:multiLevelType w:val="hybridMultilevel"/>
    <w:tmpl w:val="4ADAEE7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nsid w:val="55723AD8"/>
    <w:multiLevelType w:val="hybridMultilevel"/>
    <w:tmpl w:val="64322E8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nsid w:val="58544466"/>
    <w:multiLevelType w:val="hybridMultilevel"/>
    <w:tmpl w:val="C79638D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nsid w:val="59FE1C3B"/>
    <w:multiLevelType w:val="hybridMultilevel"/>
    <w:tmpl w:val="7EA4E05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nsid w:val="5A937808"/>
    <w:multiLevelType w:val="hybridMultilevel"/>
    <w:tmpl w:val="B126ABDC"/>
    <w:lvl w:ilvl="0" w:tplc="85DA685C">
      <w:start w:val="1"/>
      <w:numFmt w:val="lowerLetter"/>
      <w:lvlText w:val="%1)"/>
      <w:lvlJc w:val="left"/>
      <w:pPr>
        <w:ind w:left="720" w:hanging="360"/>
      </w:pPr>
      <w:rPr>
        <w:rFonts w:ascii="Times New Roman" w:eastAsia="Times New Roman"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nsid w:val="5F034FDC"/>
    <w:multiLevelType w:val="hybridMultilevel"/>
    <w:tmpl w:val="E882650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nsid w:val="60BF4460"/>
    <w:multiLevelType w:val="hybridMultilevel"/>
    <w:tmpl w:val="D012E02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nsid w:val="61C623BC"/>
    <w:multiLevelType w:val="hybridMultilevel"/>
    <w:tmpl w:val="259E7396"/>
    <w:lvl w:ilvl="0" w:tplc="4C0E0B26">
      <w:start w:val="1"/>
      <w:numFmt w:val="low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nsid w:val="62C579DE"/>
    <w:multiLevelType w:val="hybridMultilevel"/>
    <w:tmpl w:val="2F6236C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nsid w:val="64124C60"/>
    <w:multiLevelType w:val="hybridMultilevel"/>
    <w:tmpl w:val="4DA4F80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nsid w:val="66DF4D5F"/>
    <w:multiLevelType w:val="hybridMultilevel"/>
    <w:tmpl w:val="5B705D1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nsid w:val="679224DB"/>
    <w:multiLevelType w:val="hybridMultilevel"/>
    <w:tmpl w:val="47DC231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nsid w:val="691F0588"/>
    <w:multiLevelType w:val="hybridMultilevel"/>
    <w:tmpl w:val="A9709F60"/>
    <w:lvl w:ilvl="0" w:tplc="973444A6">
      <w:start w:val="1"/>
      <w:numFmt w:val="bullet"/>
      <w:lvlText w:val=""/>
      <w:lvlJc w:val="left"/>
      <w:pPr>
        <w:ind w:left="720" w:hanging="360"/>
      </w:pPr>
      <w:rPr>
        <w:rFonts w:ascii="Symbol" w:hAnsi="Symbol" w:hint="default"/>
      </w:rPr>
    </w:lvl>
    <w:lvl w:ilvl="1" w:tplc="E640D280">
      <w:start w:val="1"/>
      <w:numFmt w:val="bullet"/>
      <w:lvlText w:val="o"/>
      <w:lvlJc w:val="left"/>
      <w:pPr>
        <w:ind w:left="1440" w:hanging="360"/>
      </w:pPr>
      <w:rPr>
        <w:rFonts w:ascii="Courier New" w:hAnsi="Courier New" w:hint="default"/>
      </w:rPr>
    </w:lvl>
    <w:lvl w:ilvl="2" w:tplc="03C60F7A">
      <w:start w:val="1"/>
      <w:numFmt w:val="bullet"/>
      <w:lvlText w:val=""/>
      <w:lvlJc w:val="left"/>
      <w:pPr>
        <w:ind w:left="2160" w:hanging="360"/>
      </w:pPr>
      <w:rPr>
        <w:rFonts w:ascii="Wingdings" w:hAnsi="Wingdings" w:hint="default"/>
      </w:rPr>
    </w:lvl>
    <w:lvl w:ilvl="3" w:tplc="1C264CD6">
      <w:start w:val="1"/>
      <w:numFmt w:val="bullet"/>
      <w:lvlText w:val=""/>
      <w:lvlJc w:val="left"/>
      <w:pPr>
        <w:ind w:left="2880" w:hanging="360"/>
      </w:pPr>
      <w:rPr>
        <w:rFonts w:ascii="Symbol" w:hAnsi="Symbol" w:hint="default"/>
      </w:rPr>
    </w:lvl>
    <w:lvl w:ilvl="4" w:tplc="2D00B7C0">
      <w:start w:val="1"/>
      <w:numFmt w:val="bullet"/>
      <w:lvlText w:val="o"/>
      <w:lvlJc w:val="left"/>
      <w:pPr>
        <w:ind w:left="3600" w:hanging="360"/>
      </w:pPr>
      <w:rPr>
        <w:rFonts w:ascii="Courier New" w:hAnsi="Courier New" w:hint="default"/>
      </w:rPr>
    </w:lvl>
    <w:lvl w:ilvl="5" w:tplc="D9DEAD48">
      <w:start w:val="1"/>
      <w:numFmt w:val="bullet"/>
      <w:lvlText w:val=""/>
      <w:lvlJc w:val="left"/>
      <w:pPr>
        <w:ind w:left="4320" w:hanging="360"/>
      </w:pPr>
      <w:rPr>
        <w:rFonts w:ascii="Wingdings" w:hAnsi="Wingdings" w:hint="default"/>
      </w:rPr>
    </w:lvl>
    <w:lvl w:ilvl="6" w:tplc="3D8209A4">
      <w:start w:val="1"/>
      <w:numFmt w:val="bullet"/>
      <w:lvlText w:val=""/>
      <w:lvlJc w:val="left"/>
      <w:pPr>
        <w:ind w:left="5040" w:hanging="360"/>
      </w:pPr>
      <w:rPr>
        <w:rFonts w:ascii="Symbol" w:hAnsi="Symbol" w:hint="default"/>
      </w:rPr>
    </w:lvl>
    <w:lvl w:ilvl="7" w:tplc="3AEA884C">
      <w:start w:val="1"/>
      <w:numFmt w:val="bullet"/>
      <w:lvlText w:val="o"/>
      <w:lvlJc w:val="left"/>
      <w:pPr>
        <w:ind w:left="5760" w:hanging="360"/>
      </w:pPr>
      <w:rPr>
        <w:rFonts w:ascii="Courier New" w:hAnsi="Courier New" w:hint="default"/>
      </w:rPr>
    </w:lvl>
    <w:lvl w:ilvl="8" w:tplc="38A0C10E">
      <w:start w:val="1"/>
      <w:numFmt w:val="bullet"/>
      <w:lvlText w:val=""/>
      <w:lvlJc w:val="left"/>
      <w:pPr>
        <w:ind w:left="6480" w:hanging="360"/>
      </w:pPr>
      <w:rPr>
        <w:rFonts w:ascii="Wingdings" w:hAnsi="Wingdings" w:hint="default"/>
      </w:rPr>
    </w:lvl>
  </w:abstractNum>
  <w:abstractNum w:abstractNumId="79">
    <w:nsid w:val="6A2722C4"/>
    <w:multiLevelType w:val="hybridMultilevel"/>
    <w:tmpl w:val="79809AB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nsid w:val="6AA91D67"/>
    <w:multiLevelType w:val="hybridMultilevel"/>
    <w:tmpl w:val="39E4597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nsid w:val="6EBD216B"/>
    <w:multiLevelType w:val="hybridMultilevel"/>
    <w:tmpl w:val="66FC4C9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nsid w:val="6EFB689B"/>
    <w:multiLevelType w:val="hybridMultilevel"/>
    <w:tmpl w:val="B85E9B08"/>
    <w:lvl w:ilvl="0" w:tplc="C0C83D44">
      <w:start w:val="1"/>
      <w:numFmt w:val="decimal"/>
      <w:lvlText w:val="%1)"/>
      <w:lvlJc w:val="left"/>
      <w:pPr>
        <w:ind w:left="870" w:hanging="51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nsid w:val="6F2403AC"/>
    <w:multiLevelType w:val="hybridMultilevel"/>
    <w:tmpl w:val="68B4388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nsid w:val="6FEA2AA3"/>
    <w:multiLevelType w:val="hybridMultilevel"/>
    <w:tmpl w:val="B6124F7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nsid w:val="702915D4"/>
    <w:multiLevelType w:val="hybridMultilevel"/>
    <w:tmpl w:val="1974B58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nsid w:val="727B2BC0"/>
    <w:multiLevelType w:val="hybridMultilevel"/>
    <w:tmpl w:val="A96C369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nsid w:val="76E22005"/>
    <w:multiLevelType w:val="hybridMultilevel"/>
    <w:tmpl w:val="73D2DF2E"/>
    <w:lvl w:ilvl="0" w:tplc="D54EC984">
      <w:start w:val="1"/>
      <w:numFmt w:val="low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nsid w:val="78D72616"/>
    <w:multiLevelType w:val="hybridMultilevel"/>
    <w:tmpl w:val="DDEA1B1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nsid w:val="79730C75"/>
    <w:multiLevelType w:val="hybridMultilevel"/>
    <w:tmpl w:val="160AC5C4"/>
    <w:lvl w:ilvl="0" w:tplc="6AB883A6">
      <w:start w:val="1"/>
      <w:numFmt w:val="decimal"/>
      <w:lvlText w:val="%1)"/>
      <w:lvlJc w:val="left"/>
      <w:pPr>
        <w:ind w:left="1070" w:hanging="71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nsid w:val="7A393771"/>
    <w:multiLevelType w:val="hybridMultilevel"/>
    <w:tmpl w:val="BCB0270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nsid w:val="7B262AE1"/>
    <w:multiLevelType w:val="hybridMultilevel"/>
    <w:tmpl w:val="05ACFEC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nsid w:val="7C633A40"/>
    <w:multiLevelType w:val="hybridMultilevel"/>
    <w:tmpl w:val="7520C0A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nsid w:val="7CC035B5"/>
    <w:multiLevelType w:val="hybridMultilevel"/>
    <w:tmpl w:val="60005ED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nsid w:val="7F715E7E"/>
    <w:multiLevelType w:val="hybridMultilevel"/>
    <w:tmpl w:val="04B879F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44"/>
  </w:num>
  <w:num w:numId="2">
    <w:abstractNumId w:val="46"/>
  </w:num>
  <w:num w:numId="3">
    <w:abstractNumId w:val="33"/>
  </w:num>
  <w:num w:numId="4">
    <w:abstractNumId w:val="39"/>
  </w:num>
  <w:num w:numId="5">
    <w:abstractNumId w:val="25"/>
  </w:num>
  <w:num w:numId="6">
    <w:abstractNumId w:val="79"/>
  </w:num>
  <w:num w:numId="7">
    <w:abstractNumId w:val="57"/>
  </w:num>
  <w:num w:numId="8">
    <w:abstractNumId w:val="41"/>
  </w:num>
  <w:num w:numId="9">
    <w:abstractNumId w:val="17"/>
  </w:num>
  <w:num w:numId="10">
    <w:abstractNumId w:val="22"/>
  </w:num>
  <w:num w:numId="11">
    <w:abstractNumId w:val="64"/>
  </w:num>
  <w:num w:numId="12">
    <w:abstractNumId w:val="77"/>
  </w:num>
  <w:num w:numId="13">
    <w:abstractNumId w:val="81"/>
  </w:num>
  <w:num w:numId="14">
    <w:abstractNumId w:val="37"/>
  </w:num>
  <w:num w:numId="15">
    <w:abstractNumId w:val="90"/>
  </w:num>
  <w:num w:numId="16">
    <w:abstractNumId w:val="75"/>
  </w:num>
  <w:num w:numId="17">
    <w:abstractNumId w:val="12"/>
  </w:num>
  <w:num w:numId="18">
    <w:abstractNumId w:val="31"/>
  </w:num>
  <w:num w:numId="19">
    <w:abstractNumId w:val="3"/>
  </w:num>
  <w:num w:numId="20">
    <w:abstractNumId w:val="35"/>
  </w:num>
  <w:num w:numId="21">
    <w:abstractNumId w:val="53"/>
  </w:num>
  <w:num w:numId="22">
    <w:abstractNumId w:val="85"/>
  </w:num>
  <w:num w:numId="23">
    <w:abstractNumId w:val="43"/>
  </w:num>
  <w:num w:numId="24">
    <w:abstractNumId w:val="26"/>
  </w:num>
  <w:num w:numId="25">
    <w:abstractNumId w:val="19"/>
  </w:num>
  <w:num w:numId="26">
    <w:abstractNumId w:val="20"/>
  </w:num>
  <w:num w:numId="27">
    <w:abstractNumId w:val="16"/>
  </w:num>
  <w:num w:numId="28">
    <w:abstractNumId w:val="86"/>
  </w:num>
  <w:num w:numId="29">
    <w:abstractNumId w:val="28"/>
  </w:num>
  <w:num w:numId="30">
    <w:abstractNumId w:val="93"/>
  </w:num>
  <w:num w:numId="31">
    <w:abstractNumId w:val="84"/>
  </w:num>
  <w:num w:numId="32">
    <w:abstractNumId w:val="67"/>
  </w:num>
  <w:num w:numId="33">
    <w:abstractNumId w:val="49"/>
  </w:num>
  <w:num w:numId="34">
    <w:abstractNumId w:val="62"/>
  </w:num>
  <w:num w:numId="35">
    <w:abstractNumId w:val="29"/>
  </w:num>
  <w:num w:numId="36">
    <w:abstractNumId w:val="30"/>
  </w:num>
  <w:num w:numId="37">
    <w:abstractNumId w:val="9"/>
  </w:num>
  <w:num w:numId="38">
    <w:abstractNumId w:val="69"/>
  </w:num>
  <w:num w:numId="39">
    <w:abstractNumId w:val="51"/>
  </w:num>
  <w:num w:numId="40">
    <w:abstractNumId w:val="36"/>
  </w:num>
  <w:num w:numId="41">
    <w:abstractNumId w:val="6"/>
  </w:num>
  <w:num w:numId="42">
    <w:abstractNumId w:val="74"/>
  </w:num>
  <w:num w:numId="43">
    <w:abstractNumId w:val="40"/>
  </w:num>
  <w:num w:numId="44">
    <w:abstractNumId w:val="27"/>
  </w:num>
  <w:num w:numId="45">
    <w:abstractNumId w:val="76"/>
  </w:num>
  <w:num w:numId="46">
    <w:abstractNumId w:val="1"/>
  </w:num>
  <w:num w:numId="47">
    <w:abstractNumId w:val="55"/>
  </w:num>
  <w:num w:numId="48">
    <w:abstractNumId w:val="13"/>
  </w:num>
  <w:num w:numId="49">
    <w:abstractNumId w:val="60"/>
  </w:num>
  <w:num w:numId="50">
    <w:abstractNumId w:val="73"/>
  </w:num>
  <w:num w:numId="51">
    <w:abstractNumId w:val="83"/>
  </w:num>
  <w:num w:numId="52">
    <w:abstractNumId w:val="48"/>
  </w:num>
  <w:num w:numId="53">
    <w:abstractNumId w:val="63"/>
  </w:num>
  <w:num w:numId="54">
    <w:abstractNumId w:val="34"/>
  </w:num>
  <w:num w:numId="55">
    <w:abstractNumId w:val="87"/>
  </w:num>
  <w:num w:numId="56">
    <w:abstractNumId w:val="88"/>
  </w:num>
  <w:num w:numId="57">
    <w:abstractNumId w:val="94"/>
  </w:num>
  <w:num w:numId="58">
    <w:abstractNumId w:val="18"/>
  </w:num>
  <w:num w:numId="59">
    <w:abstractNumId w:val="52"/>
  </w:num>
  <w:num w:numId="60">
    <w:abstractNumId w:val="32"/>
  </w:num>
  <w:num w:numId="61">
    <w:abstractNumId w:val="56"/>
  </w:num>
  <w:num w:numId="62">
    <w:abstractNumId w:val="38"/>
  </w:num>
  <w:num w:numId="63">
    <w:abstractNumId w:val="61"/>
  </w:num>
  <w:num w:numId="64">
    <w:abstractNumId w:val="4"/>
  </w:num>
  <w:num w:numId="65">
    <w:abstractNumId w:val="45"/>
  </w:num>
  <w:num w:numId="66">
    <w:abstractNumId w:val="66"/>
  </w:num>
  <w:num w:numId="67">
    <w:abstractNumId w:val="24"/>
  </w:num>
  <w:num w:numId="68">
    <w:abstractNumId w:val="65"/>
  </w:num>
  <w:num w:numId="69">
    <w:abstractNumId w:val="11"/>
  </w:num>
  <w:num w:numId="70">
    <w:abstractNumId w:val="68"/>
  </w:num>
  <w:num w:numId="71">
    <w:abstractNumId w:val="10"/>
  </w:num>
  <w:num w:numId="72">
    <w:abstractNumId w:val="71"/>
  </w:num>
  <w:num w:numId="73">
    <w:abstractNumId w:val="5"/>
  </w:num>
  <w:num w:numId="74">
    <w:abstractNumId w:val="8"/>
  </w:num>
  <w:num w:numId="75">
    <w:abstractNumId w:val="2"/>
  </w:num>
  <w:num w:numId="76">
    <w:abstractNumId w:val="0"/>
  </w:num>
  <w:num w:numId="77">
    <w:abstractNumId w:val="23"/>
  </w:num>
  <w:num w:numId="78">
    <w:abstractNumId w:val="14"/>
  </w:num>
  <w:num w:numId="79">
    <w:abstractNumId w:val="72"/>
  </w:num>
  <w:num w:numId="80">
    <w:abstractNumId w:val="91"/>
  </w:num>
  <w:num w:numId="81">
    <w:abstractNumId w:val="42"/>
  </w:num>
  <w:num w:numId="82">
    <w:abstractNumId w:val="50"/>
  </w:num>
  <w:num w:numId="83">
    <w:abstractNumId w:val="70"/>
  </w:num>
  <w:num w:numId="84">
    <w:abstractNumId w:val="78"/>
  </w:num>
  <w:num w:numId="85">
    <w:abstractNumId w:val="47"/>
  </w:num>
  <w:num w:numId="86">
    <w:abstractNumId w:val="92"/>
  </w:num>
  <w:num w:numId="87">
    <w:abstractNumId w:val="80"/>
  </w:num>
  <w:num w:numId="88">
    <w:abstractNumId w:val="82"/>
  </w:num>
  <w:num w:numId="89">
    <w:abstractNumId w:val="59"/>
  </w:num>
  <w:num w:numId="90">
    <w:abstractNumId w:val="21"/>
  </w:num>
  <w:num w:numId="91">
    <w:abstractNumId w:val="15"/>
  </w:num>
  <w:num w:numId="92">
    <w:abstractNumId w:val="7"/>
  </w:num>
  <w:num w:numId="93">
    <w:abstractNumId w:val="58"/>
  </w:num>
  <w:num w:numId="94">
    <w:abstractNumId w:val="89"/>
  </w:num>
  <w:num w:numId="95">
    <w:abstractNumId w:val="54"/>
  </w:num>
  <w:numIdMacAtCleanup w:val="8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hideGrammaticalErrors/>
  <w:defaultTabStop w:val="708"/>
  <w:hyphenationZone w:val="425"/>
  <w:doNotHyphenateCaps/>
  <w:noPunctuationKerning/>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701D"/>
    <w:rsid w:val="0000055E"/>
    <w:rsid w:val="0000067A"/>
    <w:rsid w:val="00000E1D"/>
    <w:rsid w:val="00000EC9"/>
    <w:rsid w:val="00000FA0"/>
    <w:rsid w:val="000013B6"/>
    <w:rsid w:val="0000154E"/>
    <w:rsid w:val="0000204C"/>
    <w:rsid w:val="0000279B"/>
    <w:rsid w:val="00002E9B"/>
    <w:rsid w:val="00003076"/>
    <w:rsid w:val="00003245"/>
    <w:rsid w:val="00003D22"/>
    <w:rsid w:val="00003E83"/>
    <w:rsid w:val="00004189"/>
    <w:rsid w:val="00004975"/>
    <w:rsid w:val="000054A3"/>
    <w:rsid w:val="0000660D"/>
    <w:rsid w:val="00007670"/>
    <w:rsid w:val="00010709"/>
    <w:rsid w:val="00010C68"/>
    <w:rsid w:val="00010CA7"/>
    <w:rsid w:val="000115FD"/>
    <w:rsid w:val="0001181F"/>
    <w:rsid w:val="00011E30"/>
    <w:rsid w:val="000129A0"/>
    <w:rsid w:val="00012B2F"/>
    <w:rsid w:val="00012DF7"/>
    <w:rsid w:val="000131B7"/>
    <w:rsid w:val="00014A63"/>
    <w:rsid w:val="00014AED"/>
    <w:rsid w:val="00015B96"/>
    <w:rsid w:val="00016353"/>
    <w:rsid w:val="0001643A"/>
    <w:rsid w:val="00016484"/>
    <w:rsid w:val="00016557"/>
    <w:rsid w:val="00016969"/>
    <w:rsid w:val="0001716B"/>
    <w:rsid w:val="0001755A"/>
    <w:rsid w:val="000179E3"/>
    <w:rsid w:val="00017E9E"/>
    <w:rsid w:val="0002139C"/>
    <w:rsid w:val="0002159B"/>
    <w:rsid w:val="000218BD"/>
    <w:rsid w:val="000232DD"/>
    <w:rsid w:val="00023B46"/>
    <w:rsid w:val="00023B54"/>
    <w:rsid w:val="00023CED"/>
    <w:rsid w:val="00023D5F"/>
    <w:rsid w:val="000240DC"/>
    <w:rsid w:val="00024724"/>
    <w:rsid w:val="00024F2B"/>
    <w:rsid w:val="000251A1"/>
    <w:rsid w:val="00025353"/>
    <w:rsid w:val="000254FF"/>
    <w:rsid w:val="00025DA1"/>
    <w:rsid w:val="00026047"/>
    <w:rsid w:val="0002633B"/>
    <w:rsid w:val="00026549"/>
    <w:rsid w:val="000273A3"/>
    <w:rsid w:val="000276E8"/>
    <w:rsid w:val="00030319"/>
    <w:rsid w:val="000306EA"/>
    <w:rsid w:val="00031001"/>
    <w:rsid w:val="00031187"/>
    <w:rsid w:val="00032B19"/>
    <w:rsid w:val="00032E71"/>
    <w:rsid w:val="00032F6C"/>
    <w:rsid w:val="00034345"/>
    <w:rsid w:val="00034CA8"/>
    <w:rsid w:val="00034FE9"/>
    <w:rsid w:val="000356CD"/>
    <w:rsid w:val="00035F0D"/>
    <w:rsid w:val="00036639"/>
    <w:rsid w:val="00036C97"/>
    <w:rsid w:val="0003770D"/>
    <w:rsid w:val="00037943"/>
    <w:rsid w:val="00040063"/>
    <w:rsid w:val="00040266"/>
    <w:rsid w:val="00041314"/>
    <w:rsid w:val="00041B0A"/>
    <w:rsid w:val="000423AA"/>
    <w:rsid w:val="000430BF"/>
    <w:rsid w:val="00043576"/>
    <w:rsid w:val="000436F3"/>
    <w:rsid w:val="000439B2"/>
    <w:rsid w:val="000439C7"/>
    <w:rsid w:val="00045102"/>
    <w:rsid w:val="00045399"/>
    <w:rsid w:val="00045672"/>
    <w:rsid w:val="000460C5"/>
    <w:rsid w:val="000462AD"/>
    <w:rsid w:val="000463A4"/>
    <w:rsid w:val="00046611"/>
    <w:rsid w:val="00047631"/>
    <w:rsid w:val="000477B5"/>
    <w:rsid w:val="000479CC"/>
    <w:rsid w:val="00047AED"/>
    <w:rsid w:val="00047B3D"/>
    <w:rsid w:val="000502B5"/>
    <w:rsid w:val="000502BD"/>
    <w:rsid w:val="0005133D"/>
    <w:rsid w:val="00051B0F"/>
    <w:rsid w:val="000526B4"/>
    <w:rsid w:val="00052BAF"/>
    <w:rsid w:val="00052DD6"/>
    <w:rsid w:val="0005332C"/>
    <w:rsid w:val="0005338A"/>
    <w:rsid w:val="000541D2"/>
    <w:rsid w:val="000543AE"/>
    <w:rsid w:val="00054548"/>
    <w:rsid w:val="00054809"/>
    <w:rsid w:val="00054C21"/>
    <w:rsid w:val="00054D55"/>
    <w:rsid w:val="000554A3"/>
    <w:rsid w:val="000555E1"/>
    <w:rsid w:val="00055E12"/>
    <w:rsid w:val="00056B9E"/>
    <w:rsid w:val="00056C41"/>
    <w:rsid w:val="00056DE4"/>
    <w:rsid w:val="000570A7"/>
    <w:rsid w:val="00057D21"/>
    <w:rsid w:val="00057FD4"/>
    <w:rsid w:val="000603B8"/>
    <w:rsid w:val="00060D46"/>
    <w:rsid w:val="00060D73"/>
    <w:rsid w:val="00061198"/>
    <w:rsid w:val="000618D4"/>
    <w:rsid w:val="000623D2"/>
    <w:rsid w:val="000632D1"/>
    <w:rsid w:val="00064337"/>
    <w:rsid w:val="00064E71"/>
    <w:rsid w:val="000650C3"/>
    <w:rsid w:val="0006577C"/>
    <w:rsid w:val="000657D1"/>
    <w:rsid w:val="00066765"/>
    <w:rsid w:val="00066E57"/>
    <w:rsid w:val="00067295"/>
    <w:rsid w:val="000679FA"/>
    <w:rsid w:val="00067E2F"/>
    <w:rsid w:val="00067FEB"/>
    <w:rsid w:val="000706BC"/>
    <w:rsid w:val="0007110E"/>
    <w:rsid w:val="00071A1E"/>
    <w:rsid w:val="00071A3B"/>
    <w:rsid w:val="0007214D"/>
    <w:rsid w:val="00073242"/>
    <w:rsid w:val="00073F5B"/>
    <w:rsid w:val="00074745"/>
    <w:rsid w:val="00074BD6"/>
    <w:rsid w:val="00074EF8"/>
    <w:rsid w:val="0007512F"/>
    <w:rsid w:val="000755DD"/>
    <w:rsid w:val="00075D4B"/>
    <w:rsid w:val="00076C51"/>
    <w:rsid w:val="0007778E"/>
    <w:rsid w:val="00077CC5"/>
    <w:rsid w:val="00077D05"/>
    <w:rsid w:val="00080F30"/>
    <w:rsid w:val="00081430"/>
    <w:rsid w:val="0008245D"/>
    <w:rsid w:val="000826CE"/>
    <w:rsid w:val="000829BC"/>
    <w:rsid w:val="00082FA4"/>
    <w:rsid w:val="000832C3"/>
    <w:rsid w:val="000841EC"/>
    <w:rsid w:val="0008451F"/>
    <w:rsid w:val="00084CE9"/>
    <w:rsid w:val="000855AE"/>
    <w:rsid w:val="000861E6"/>
    <w:rsid w:val="0008639D"/>
    <w:rsid w:val="000878A2"/>
    <w:rsid w:val="00087B69"/>
    <w:rsid w:val="00087C98"/>
    <w:rsid w:val="00090007"/>
    <w:rsid w:val="000902F1"/>
    <w:rsid w:val="0009180B"/>
    <w:rsid w:val="000922E3"/>
    <w:rsid w:val="000922EC"/>
    <w:rsid w:val="00092469"/>
    <w:rsid w:val="000924D7"/>
    <w:rsid w:val="000925A2"/>
    <w:rsid w:val="00092CC7"/>
    <w:rsid w:val="00092F67"/>
    <w:rsid w:val="00093125"/>
    <w:rsid w:val="00093918"/>
    <w:rsid w:val="00094333"/>
    <w:rsid w:val="00094A5D"/>
    <w:rsid w:val="000955A8"/>
    <w:rsid w:val="00095725"/>
    <w:rsid w:val="000962B3"/>
    <w:rsid w:val="000969DB"/>
    <w:rsid w:val="00096C97"/>
    <w:rsid w:val="000971BA"/>
    <w:rsid w:val="000A1613"/>
    <w:rsid w:val="000A341B"/>
    <w:rsid w:val="000A368C"/>
    <w:rsid w:val="000A3AA1"/>
    <w:rsid w:val="000A406B"/>
    <w:rsid w:val="000A4186"/>
    <w:rsid w:val="000A4379"/>
    <w:rsid w:val="000A44AF"/>
    <w:rsid w:val="000A45F2"/>
    <w:rsid w:val="000A4B31"/>
    <w:rsid w:val="000A4E9D"/>
    <w:rsid w:val="000A52E0"/>
    <w:rsid w:val="000A53C5"/>
    <w:rsid w:val="000A54DD"/>
    <w:rsid w:val="000A5BBD"/>
    <w:rsid w:val="000A61A7"/>
    <w:rsid w:val="000A780A"/>
    <w:rsid w:val="000A7992"/>
    <w:rsid w:val="000AD10C"/>
    <w:rsid w:val="000B0209"/>
    <w:rsid w:val="000B02A7"/>
    <w:rsid w:val="000B0482"/>
    <w:rsid w:val="000B0BE0"/>
    <w:rsid w:val="000B1136"/>
    <w:rsid w:val="000B1369"/>
    <w:rsid w:val="000B19A0"/>
    <w:rsid w:val="000B1B95"/>
    <w:rsid w:val="000B1D9B"/>
    <w:rsid w:val="000B3762"/>
    <w:rsid w:val="000B3839"/>
    <w:rsid w:val="000B3D93"/>
    <w:rsid w:val="000B3EE1"/>
    <w:rsid w:val="000B42FA"/>
    <w:rsid w:val="000B4635"/>
    <w:rsid w:val="000B4654"/>
    <w:rsid w:val="000B4B1A"/>
    <w:rsid w:val="000B4D85"/>
    <w:rsid w:val="000B5BAA"/>
    <w:rsid w:val="000B5D02"/>
    <w:rsid w:val="000B5D6A"/>
    <w:rsid w:val="000B75BE"/>
    <w:rsid w:val="000B784F"/>
    <w:rsid w:val="000C1E9C"/>
    <w:rsid w:val="000C21BD"/>
    <w:rsid w:val="000C224F"/>
    <w:rsid w:val="000C2618"/>
    <w:rsid w:val="000C2687"/>
    <w:rsid w:val="000C26A1"/>
    <w:rsid w:val="000C305B"/>
    <w:rsid w:val="000C315E"/>
    <w:rsid w:val="000C34E5"/>
    <w:rsid w:val="000C40B6"/>
    <w:rsid w:val="000C4DC7"/>
    <w:rsid w:val="000C50B5"/>
    <w:rsid w:val="000C5400"/>
    <w:rsid w:val="000C630E"/>
    <w:rsid w:val="000C639F"/>
    <w:rsid w:val="000C65E5"/>
    <w:rsid w:val="000C6B4D"/>
    <w:rsid w:val="000C6B7A"/>
    <w:rsid w:val="000C7102"/>
    <w:rsid w:val="000C78CB"/>
    <w:rsid w:val="000D0437"/>
    <w:rsid w:val="000D076C"/>
    <w:rsid w:val="000D07AD"/>
    <w:rsid w:val="000D141B"/>
    <w:rsid w:val="000D1569"/>
    <w:rsid w:val="000D1768"/>
    <w:rsid w:val="000D17A6"/>
    <w:rsid w:val="000D1811"/>
    <w:rsid w:val="000D19D5"/>
    <w:rsid w:val="000D212E"/>
    <w:rsid w:val="000D2D55"/>
    <w:rsid w:val="000D349D"/>
    <w:rsid w:val="000D3910"/>
    <w:rsid w:val="000D3C16"/>
    <w:rsid w:val="000D3ED3"/>
    <w:rsid w:val="000D4896"/>
    <w:rsid w:val="000D494E"/>
    <w:rsid w:val="000D50FB"/>
    <w:rsid w:val="000D519A"/>
    <w:rsid w:val="000D585C"/>
    <w:rsid w:val="000D5A9F"/>
    <w:rsid w:val="000D5B7C"/>
    <w:rsid w:val="000D6026"/>
    <w:rsid w:val="000D6035"/>
    <w:rsid w:val="000D626D"/>
    <w:rsid w:val="000D6853"/>
    <w:rsid w:val="000D6B37"/>
    <w:rsid w:val="000D73D0"/>
    <w:rsid w:val="000D7861"/>
    <w:rsid w:val="000D7BF7"/>
    <w:rsid w:val="000E0CA1"/>
    <w:rsid w:val="000E1AA3"/>
    <w:rsid w:val="000E1E7F"/>
    <w:rsid w:val="000E246E"/>
    <w:rsid w:val="000E2B8F"/>
    <w:rsid w:val="000E30AA"/>
    <w:rsid w:val="000E3DEE"/>
    <w:rsid w:val="000E43D1"/>
    <w:rsid w:val="000E4C0A"/>
    <w:rsid w:val="000E577C"/>
    <w:rsid w:val="000E5E7A"/>
    <w:rsid w:val="000E78D7"/>
    <w:rsid w:val="000F03A9"/>
    <w:rsid w:val="000F05CA"/>
    <w:rsid w:val="000F07A3"/>
    <w:rsid w:val="000F080E"/>
    <w:rsid w:val="000F088E"/>
    <w:rsid w:val="000F2B49"/>
    <w:rsid w:val="000F2F2F"/>
    <w:rsid w:val="000F3BF8"/>
    <w:rsid w:val="000F41EF"/>
    <w:rsid w:val="000F4330"/>
    <w:rsid w:val="000F6347"/>
    <w:rsid w:val="000F660E"/>
    <w:rsid w:val="000F6C85"/>
    <w:rsid w:val="000F7331"/>
    <w:rsid w:val="000F791E"/>
    <w:rsid w:val="000F7CB7"/>
    <w:rsid w:val="000F7DA4"/>
    <w:rsid w:val="000F7F65"/>
    <w:rsid w:val="00100420"/>
    <w:rsid w:val="001009FF"/>
    <w:rsid w:val="001010B8"/>
    <w:rsid w:val="00101B8C"/>
    <w:rsid w:val="001022AE"/>
    <w:rsid w:val="0010286F"/>
    <w:rsid w:val="00103077"/>
    <w:rsid w:val="001031F0"/>
    <w:rsid w:val="00103DA7"/>
    <w:rsid w:val="00104443"/>
    <w:rsid w:val="0010467E"/>
    <w:rsid w:val="001046B3"/>
    <w:rsid w:val="00104AD9"/>
    <w:rsid w:val="00104C92"/>
    <w:rsid w:val="001050F9"/>
    <w:rsid w:val="00105A0B"/>
    <w:rsid w:val="00106722"/>
    <w:rsid w:val="00106A57"/>
    <w:rsid w:val="00106C15"/>
    <w:rsid w:val="00107008"/>
    <w:rsid w:val="00107BBF"/>
    <w:rsid w:val="001104C0"/>
    <w:rsid w:val="001105ED"/>
    <w:rsid w:val="00111499"/>
    <w:rsid w:val="00111D83"/>
    <w:rsid w:val="001136F0"/>
    <w:rsid w:val="00113756"/>
    <w:rsid w:val="00113867"/>
    <w:rsid w:val="001138D1"/>
    <w:rsid w:val="00113935"/>
    <w:rsid w:val="00113954"/>
    <w:rsid w:val="00113C02"/>
    <w:rsid w:val="001141BE"/>
    <w:rsid w:val="001142A7"/>
    <w:rsid w:val="001144C6"/>
    <w:rsid w:val="00114964"/>
    <w:rsid w:val="00114D30"/>
    <w:rsid w:val="001154A5"/>
    <w:rsid w:val="00115D4E"/>
    <w:rsid w:val="001163CB"/>
    <w:rsid w:val="00116BED"/>
    <w:rsid w:val="001177B9"/>
    <w:rsid w:val="00117EC7"/>
    <w:rsid w:val="00117F8E"/>
    <w:rsid w:val="0012095A"/>
    <w:rsid w:val="00120E66"/>
    <w:rsid w:val="0012110E"/>
    <w:rsid w:val="00121DC8"/>
    <w:rsid w:val="00123849"/>
    <w:rsid w:val="0012420C"/>
    <w:rsid w:val="00124270"/>
    <w:rsid w:val="0012515A"/>
    <w:rsid w:val="00126174"/>
    <w:rsid w:val="001265AE"/>
    <w:rsid w:val="00126BEE"/>
    <w:rsid w:val="00127072"/>
    <w:rsid w:val="00127D04"/>
    <w:rsid w:val="001301F2"/>
    <w:rsid w:val="00130BB1"/>
    <w:rsid w:val="00130D07"/>
    <w:rsid w:val="0013112A"/>
    <w:rsid w:val="00131498"/>
    <w:rsid w:val="00131524"/>
    <w:rsid w:val="00131525"/>
    <w:rsid w:val="001316F1"/>
    <w:rsid w:val="0013171B"/>
    <w:rsid w:val="00131DFD"/>
    <w:rsid w:val="00131E9D"/>
    <w:rsid w:val="001321E7"/>
    <w:rsid w:val="0013388D"/>
    <w:rsid w:val="00134999"/>
    <w:rsid w:val="00134ED7"/>
    <w:rsid w:val="00134F3D"/>
    <w:rsid w:val="001350B0"/>
    <w:rsid w:val="001352E2"/>
    <w:rsid w:val="00135E1C"/>
    <w:rsid w:val="00136359"/>
    <w:rsid w:val="00136408"/>
    <w:rsid w:val="0013682A"/>
    <w:rsid w:val="00137036"/>
    <w:rsid w:val="001370C8"/>
    <w:rsid w:val="00137186"/>
    <w:rsid w:val="00137653"/>
    <w:rsid w:val="001409A2"/>
    <w:rsid w:val="00140E4C"/>
    <w:rsid w:val="001411F0"/>
    <w:rsid w:val="00141C54"/>
    <w:rsid w:val="00143B13"/>
    <w:rsid w:val="00143FF9"/>
    <w:rsid w:val="001445FB"/>
    <w:rsid w:val="001451B1"/>
    <w:rsid w:val="00145EF5"/>
    <w:rsid w:val="001461CA"/>
    <w:rsid w:val="00146937"/>
    <w:rsid w:val="00146B1D"/>
    <w:rsid w:val="00146B67"/>
    <w:rsid w:val="0015026F"/>
    <w:rsid w:val="0015048B"/>
    <w:rsid w:val="001513E2"/>
    <w:rsid w:val="001515CD"/>
    <w:rsid w:val="001520E5"/>
    <w:rsid w:val="00152200"/>
    <w:rsid w:val="0015298C"/>
    <w:rsid w:val="001532E1"/>
    <w:rsid w:val="001538AB"/>
    <w:rsid w:val="00154137"/>
    <w:rsid w:val="0015618C"/>
    <w:rsid w:val="00156612"/>
    <w:rsid w:val="00156B9E"/>
    <w:rsid w:val="00156E7C"/>
    <w:rsid w:val="0015720C"/>
    <w:rsid w:val="0015722F"/>
    <w:rsid w:val="00161094"/>
    <w:rsid w:val="0016176A"/>
    <w:rsid w:val="0016221F"/>
    <w:rsid w:val="00162F54"/>
    <w:rsid w:val="00163097"/>
    <w:rsid w:val="00163494"/>
    <w:rsid w:val="00163B6B"/>
    <w:rsid w:val="00163DFA"/>
    <w:rsid w:val="001640AD"/>
    <w:rsid w:val="001646F6"/>
    <w:rsid w:val="001647B4"/>
    <w:rsid w:val="0016481D"/>
    <w:rsid w:val="00165210"/>
    <w:rsid w:val="00166861"/>
    <w:rsid w:val="0016694E"/>
    <w:rsid w:val="0016713C"/>
    <w:rsid w:val="00167241"/>
    <w:rsid w:val="0017007C"/>
    <w:rsid w:val="0017052C"/>
    <w:rsid w:val="001706C6"/>
    <w:rsid w:val="001709BD"/>
    <w:rsid w:val="00170E17"/>
    <w:rsid w:val="00170E78"/>
    <w:rsid w:val="0017134F"/>
    <w:rsid w:val="00171A5F"/>
    <w:rsid w:val="0017203F"/>
    <w:rsid w:val="00173804"/>
    <w:rsid w:val="0017434A"/>
    <w:rsid w:val="00174EEC"/>
    <w:rsid w:val="0017503C"/>
    <w:rsid w:val="00175AA9"/>
    <w:rsid w:val="001766BD"/>
    <w:rsid w:val="00176B7E"/>
    <w:rsid w:val="001772EE"/>
    <w:rsid w:val="0017730D"/>
    <w:rsid w:val="00177A46"/>
    <w:rsid w:val="001800CB"/>
    <w:rsid w:val="00180874"/>
    <w:rsid w:val="00180B88"/>
    <w:rsid w:val="00180D6C"/>
    <w:rsid w:val="00181517"/>
    <w:rsid w:val="00181D2D"/>
    <w:rsid w:val="00182D13"/>
    <w:rsid w:val="001830AB"/>
    <w:rsid w:val="00184B8C"/>
    <w:rsid w:val="0018533A"/>
    <w:rsid w:val="00185672"/>
    <w:rsid w:val="00185716"/>
    <w:rsid w:val="00185A57"/>
    <w:rsid w:val="00186596"/>
    <w:rsid w:val="001868BD"/>
    <w:rsid w:val="00186DE1"/>
    <w:rsid w:val="0018754B"/>
    <w:rsid w:val="0019152D"/>
    <w:rsid w:val="00191B3A"/>
    <w:rsid w:val="00192202"/>
    <w:rsid w:val="00192F5F"/>
    <w:rsid w:val="0019351A"/>
    <w:rsid w:val="00193B10"/>
    <w:rsid w:val="00193C88"/>
    <w:rsid w:val="00193DC6"/>
    <w:rsid w:val="00194115"/>
    <w:rsid w:val="0019493A"/>
    <w:rsid w:val="00194F38"/>
    <w:rsid w:val="00196764"/>
    <w:rsid w:val="0019689A"/>
    <w:rsid w:val="00196FB9"/>
    <w:rsid w:val="001A0423"/>
    <w:rsid w:val="001A0C82"/>
    <w:rsid w:val="001A11C4"/>
    <w:rsid w:val="001A138B"/>
    <w:rsid w:val="001A142C"/>
    <w:rsid w:val="001A1701"/>
    <w:rsid w:val="001A178E"/>
    <w:rsid w:val="001A1B61"/>
    <w:rsid w:val="001A33EB"/>
    <w:rsid w:val="001A343B"/>
    <w:rsid w:val="001A36F0"/>
    <w:rsid w:val="001A3859"/>
    <w:rsid w:val="001A3CA6"/>
    <w:rsid w:val="001A3D7F"/>
    <w:rsid w:val="001A3FF4"/>
    <w:rsid w:val="001A4763"/>
    <w:rsid w:val="001A57BB"/>
    <w:rsid w:val="001A59B5"/>
    <w:rsid w:val="001A638E"/>
    <w:rsid w:val="001A675C"/>
    <w:rsid w:val="001A67F7"/>
    <w:rsid w:val="001A6A30"/>
    <w:rsid w:val="001A6BA6"/>
    <w:rsid w:val="001B0156"/>
    <w:rsid w:val="001B0606"/>
    <w:rsid w:val="001B13FB"/>
    <w:rsid w:val="001B14BE"/>
    <w:rsid w:val="001B18A0"/>
    <w:rsid w:val="001B1E5A"/>
    <w:rsid w:val="001B2887"/>
    <w:rsid w:val="001B340E"/>
    <w:rsid w:val="001B371D"/>
    <w:rsid w:val="001B3B96"/>
    <w:rsid w:val="001B40B4"/>
    <w:rsid w:val="001B4786"/>
    <w:rsid w:val="001B482D"/>
    <w:rsid w:val="001B4F14"/>
    <w:rsid w:val="001B541E"/>
    <w:rsid w:val="001B571B"/>
    <w:rsid w:val="001B57ED"/>
    <w:rsid w:val="001B5A31"/>
    <w:rsid w:val="001B5D21"/>
    <w:rsid w:val="001B5E4A"/>
    <w:rsid w:val="001B5FC4"/>
    <w:rsid w:val="001B628B"/>
    <w:rsid w:val="001B6A71"/>
    <w:rsid w:val="001B6F98"/>
    <w:rsid w:val="001B7419"/>
    <w:rsid w:val="001B7C9A"/>
    <w:rsid w:val="001C0108"/>
    <w:rsid w:val="001C042A"/>
    <w:rsid w:val="001C067B"/>
    <w:rsid w:val="001C06B3"/>
    <w:rsid w:val="001C0DD4"/>
    <w:rsid w:val="001C2488"/>
    <w:rsid w:val="001C26FA"/>
    <w:rsid w:val="001C288C"/>
    <w:rsid w:val="001C2D8E"/>
    <w:rsid w:val="001C2DAF"/>
    <w:rsid w:val="001C2E0A"/>
    <w:rsid w:val="001C3864"/>
    <w:rsid w:val="001C3D15"/>
    <w:rsid w:val="001C46A7"/>
    <w:rsid w:val="001C54EC"/>
    <w:rsid w:val="001C5A5E"/>
    <w:rsid w:val="001C5C9F"/>
    <w:rsid w:val="001C68CC"/>
    <w:rsid w:val="001C6C02"/>
    <w:rsid w:val="001C6C15"/>
    <w:rsid w:val="001C78A9"/>
    <w:rsid w:val="001C7A2C"/>
    <w:rsid w:val="001C7E20"/>
    <w:rsid w:val="001D0063"/>
    <w:rsid w:val="001D04A1"/>
    <w:rsid w:val="001D07DC"/>
    <w:rsid w:val="001D0BE6"/>
    <w:rsid w:val="001D0D5E"/>
    <w:rsid w:val="001D189F"/>
    <w:rsid w:val="001D1E48"/>
    <w:rsid w:val="001D28BB"/>
    <w:rsid w:val="001D33E7"/>
    <w:rsid w:val="001D351B"/>
    <w:rsid w:val="001D3621"/>
    <w:rsid w:val="001D3D76"/>
    <w:rsid w:val="001D4683"/>
    <w:rsid w:val="001D4891"/>
    <w:rsid w:val="001D526A"/>
    <w:rsid w:val="001D5D06"/>
    <w:rsid w:val="001D6492"/>
    <w:rsid w:val="001D6846"/>
    <w:rsid w:val="001D72FD"/>
    <w:rsid w:val="001D73A4"/>
    <w:rsid w:val="001D7402"/>
    <w:rsid w:val="001E1112"/>
    <w:rsid w:val="001E192F"/>
    <w:rsid w:val="001E1EF3"/>
    <w:rsid w:val="001E226D"/>
    <w:rsid w:val="001E27A3"/>
    <w:rsid w:val="001E3065"/>
    <w:rsid w:val="001E3C85"/>
    <w:rsid w:val="001E3EFF"/>
    <w:rsid w:val="001E3F50"/>
    <w:rsid w:val="001E4CB4"/>
    <w:rsid w:val="001E513A"/>
    <w:rsid w:val="001E537A"/>
    <w:rsid w:val="001E564D"/>
    <w:rsid w:val="001E5A92"/>
    <w:rsid w:val="001E5FB7"/>
    <w:rsid w:val="001E6CAA"/>
    <w:rsid w:val="001E71F7"/>
    <w:rsid w:val="001E7B1C"/>
    <w:rsid w:val="001F0F8A"/>
    <w:rsid w:val="001F15A5"/>
    <w:rsid w:val="001F20D2"/>
    <w:rsid w:val="001F2544"/>
    <w:rsid w:val="001F3F1B"/>
    <w:rsid w:val="001F43F0"/>
    <w:rsid w:val="001F49FC"/>
    <w:rsid w:val="001F5655"/>
    <w:rsid w:val="001F5F4D"/>
    <w:rsid w:val="001F677D"/>
    <w:rsid w:val="001F71F1"/>
    <w:rsid w:val="001F743D"/>
    <w:rsid w:val="001F7B4D"/>
    <w:rsid w:val="00200E01"/>
    <w:rsid w:val="00200EF2"/>
    <w:rsid w:val="002013EB"/>
    <w:rsid w:val="002020E4"/>
    <w:rsid w:val="0020265C"/>
    <w:rsid w:val="0020267F"/>
    <w:rsid w:val="00202C68"/>
    <w:rsid w:val="002032DE"/>
    <w:rsid w:val="002032EF"/>
    <w:rsid w:val="002032FE"/>
    <w:rsid w:val="0020427C"/>
    <w:rsid w:val="00204B5C"/>
    <w:rsid w:val="00204E78"/>
    <w:rsid w:val="002055DD"/>
    <w:rsid w:val="00206162"/>
    <w:rsid w:val="002068F8"/>
    <w:rsid w:val="00206FC0"/>
    <w:rsid w:val="002071F2"/>
    <w:rsid w:val="002075F1"/>
    <w:rsid w:val="00207E33"/>
    <w:rsid w:val="00210089"/>
    <w:rsid w:val="00210142"/>
    <w:rsid w:val="002102E4"/>
    <w:rsid w:val="00210515"/>
    <w:rsid w:val="0021137A"/>
    <w:rsid w:val="00211657"/>
    <w:rsid w:val="0021177A"/>
    <w:rsid w:val="002117E6"/>
    <w:rsid w:val="00211F91"/>
    <w:rsid w:val="002122C2"/>
    <w:rsid w:val="00212472"/>
    <w:rsid w:val="00212741"/>
    <w:rsid w:val="002129A8"/>
    <w:rsid w:val="00212B3F"/>
    <w:rsid w:val="00213B98"/>
    <w:rsid w:val="00213C27"/>
    <w:rsid w:val="00214123"/>
    <w:rsid w:val="002146DE"/>
    <w:rsid w:val="00215153"/>
    <w:rsid w:val="00215191"/>
    <w:rsid w:val="00215CE9"/>
    <w:rsid w:val="0021661A"/>
    <w:rsid w:val="00216AB9"/>
    <w:rsid w:val="00216CB5"/>
    <w:rsid w:val="00216FA7"/>
    <w:rsid w:val="00217625"/>
    <w:rsid w:val="002202AC"/>
    <w:rsid w:val="00220C2C"/>
    <w:rsid w:val="00220E83"/>
    <w:rsid w:val="002217EE"/>
    <w:rsid w:val="00222184"/>
    <w:rsid w:val="002224D9"/>
    <w:rsid w:val="0022266F"/>
    <w:rsid w:val="002236FE"/>
    <w:rsid w:val="00223D71"/>
    <w:rsid w:val="00224524"/>
    <w:rsid w:val="00224A7D"/>
    <w:rsid w:val="00225E2B"/>
    <w:rsid w:val="002271EA"/>
    <w:rsid w:val="00227A8A"/>
    <w:rsid w:val="00230862"/>
    <w:rsid w:val="002308D3"/>
    <w:rsid w:val="00232462"/>
    <w:rsid w:val="00232E42"/>
    <w:rsid w:val="002331E7"/>
    <w:rsid w:val="002335BB"/>
    <w:rsid w:val="0023364E"/>
    <w:rsid w:val="0023415E"/>
    <w:rsid w:val="002342F2"/>
    <w:rsid w:val="002343C2"/>
    <w:rsid w:val="00234B4A"/>
    <w:rsid w:val="00234CAB"/>
    <w:rsid w:val="00234E22"/>
    <w:rsid w:val="00234E71"/>
    <w:rsid w:val="00234E7C"/>
    <w:rsid w:val="002351D2"/>
    <w:rsid w:val="0023547F"/>
    <w:rsid w:val="002368A0"/>
    <w:rsid w:val="00236C0D"/>
    <w:rsid w:val="00236DCA"/>
    <w:rsid w:val="002370BC"/>
    <w:rsid w:val="00237E36"/>
    <w:rsid w:val="0024004A"/>
    <w:rsid w:val="002404A1"/>
    <w:rsid w:val="0024087B"/>
    <w:rsid w:val="00240931"/>
    <w:rsid w:val="00241077"/>
    <w:rsid w:val="002419A7"/>
    <w:rsid w:val="00242335"/>
    <w:rsid w:val="002424E5"/>
    <w:rsid w:val="00242791"/>
    <w:rsid w:val="0024294C"/>
    <w:rsid w:val="00242C8E"/>
    <w:rsid w:val="00243167"/>
    <w:rsid w:val="00244B45"/>
    <w:rsid w:val="00245488"/>
    <w:rsid w:val="002459BA"/>
    <w:rsid w:val="00245F98"/>
    <w:rsid w:val="00246483"/>
    <w:rsid w:val="0024680D"/>
    <w:rsid w:val="00246B14"/>
    <w:rsid w:val="00246E92"/>
    <w:rsid w:val="00247252"/>
    <w:rsid w:val="002473C2"/>
    <w:rsid w:val="00247E9D"/>
    <w:rsid w:val="002509BB"/>
    <w:rsid w:val="00250B30"/>
    <w:rsid w:val="002513E2"/>
    <w:rsid w:val="00251D96"/>
    <w:rsid w:val="0025277D"/>
    <w:rsid w:val="00252C75"/>
    <w:rsid w:val="00253169"/>
    <w:rsid w:val="002533FE"/>
    <w:rsid w:val="00254079"/>
    <w:rsid w:val="00254B79"/>
    <w:rsid w:val="002551D4"/>
    <w:rsid w:val="00255535"/>
    <w:rsid w:val="00256B1C"/>
    <w:rsid w:val="00256B37"/>
    <w:rsid w:val="0025747C"/>
    <w:rsid w:val="00257620"/>
    <w:rsid w:val="00257B39"/>
    <w:rsid w:val="00257CB7"/>
    <w:rsid w:val="0026042A"/>
    <w:rsid w:val="00261FA0"/>
    <w:rsid w:val="00262795"/>
    <w:rsid w:val="00263BD8"/>
    <w:rsid w:val="00264E11"/>
    <w:rsid w:val="002652BF"/>
    <w:rsid w:val="0026589B"/>
    <w:rsid w:val="00265E5E"/>
    <w:rsid w:val="00265F22"/>
    <w:rsid w:val="00266177"/>
    <w:rsid w:val="0026628D"/>
    <w:rsid w:val="0026678B"/>
    <w:rsid w:val="00266B01"/>
    <w:rsid w:val="00266C27"/>
    <w:rsid w:val="002670A9"/>
    <w:rsid w:val="00267EAD"/>
    <w:rsid w:val="002715B9"/>
    <w:rsid w:val="002715F2"/>
    <w:rsid w:val="00272871"/>
    <w:rsid w:val="00272D23"/>
    <w:rsid w:val="0027371B"/>
    <w:rsid w:val="0027383D"/>
    <w:rsid w:val="00273A8E"/>
    <w:rsid w:val="0027411B"/>
    <w:rsid w:val="00274305"/>
    <w:rsid w:val="00274397"/>
    <w:rsid w:val="002751E0"/>
    <w:rsid w:val="0027525C"/>
    <w:rsid w:val="00275736"/>
    <w:rsid w:val="002759E5"/>
    <w:rsid w:val="00276016"/>
    <w:rsid w:val="00277E26"/>
    <w:rsid w:val="00280604"/>
    <w:rsid w:val="002807A9"/>
    <w:rsid w:val="00281394"/>
    <w:rsid w:val="00281444"/>
    <w:rsid w:val="00281812"/>
    <w:rsid w:val="00281A55"/>
    <w:rsid w:val="00281D06"/>
    <w:rsid w:val="00281DE5"/>
    <w:rsid w:val="002828B9"/>
    <w:rsid w:val="00282E4B"/>
    <w:rsid w:val="0028313C"/>
    <w:rsid w:val="0028357D"/>
    <w:rsid w:val="002836EF"/>
    <w:rsid w:val="002843F7"/>
    <w:rsid w:val="002844BE"/>
    <w:rsid w:val="00284EED"/>
    <w:rsid w:val="00284FFD"/>
    <w:rsid w:val="00287028"/>
    <w:rsid w:val="002870FB"/>
    <w:rsid w:val="00287F29"/>
    <w:rsid w:val="00290E50"/>
    <w:rsid w:val="002917A0"/>
    <w:rsid w:val="00292217"/>
    <w:rsid w:val="002925B6"/>
    <w:rsid w:val="00292A93"/>
    <w:rsid w:val="00292E2E"/>
    <w:rsid w:val="002930EF"/>
    <w:rsid w:val="00293656"/>
    <w:rsid w:val="002938B0"/>
    <w:rsid w:val="00293CAC"/>
    <w:rsid w:val="00294509"/>
    <w:rsid w:val="00295321"/>
    <w:rsid w:val="00295B33"/>
    <w:rsid w:val="00295DCB"/>
    <w:rsid w:val="00295FF4"/>
    <w:rsid w:val="00296B81"/>
    <w:rsid w:val="00296C62"/>
    <w:rsid w:val="002A03C3"/>
    <w:rsid w:val="002A219B"/>
    <w:rsid w:val="002A28B3"/>
    <w:rsid w:val="002A30B7"/>
    <w:rsid w:val="002A3ECB"/>
    <w:rsid w:val="002A49D3"/>
    <w:rsid w:val="002A5DB4"/>
    <w:rsid w:val="002A5FB6"/>
    <w:rsid w:val="002A62B4"/>
    <w:rsid w:val="002B0053"/>
    <w:rsid w:val="002B01FE"/>
    <w:rsid w:val="002B09D9"/>
    <w:rsid w:val="002B0EC4"/>
    <w:rsid w:val="002B1EC3"/>
    <w:rsid w:val="002B21B1"/>
    <w:rsid w:val="002B2F5D"/>
    <w:rsid w:val="002B3300"/>
    <w:rsid w:val="002B3653"/>
    <w:rsid w:val="002B471A"/>
    <w:rsid w:val="002B4A4C"/>
    <w:rsid w:val="002B5825"/>
    <w:rsid w:val="002B690A"/>
    <w:rsid w:val="002B6BC1"/>
    <w:rsid w:val="002B70F9"/>
    <w:rsid w:val="002B7F2F"/>
    <w:rsid w:val="002C062C"/>
    <w:rsid w:val="002C0885"/>
    <w:rsid w:val="002C08D0"/>
    <w:rsid w:val="002C1062"/>
    <w:rsid w:val="002C2A9C"/>
    <w:rsid w:val="002C2EA6"/>
    <w:rsid w:val="002C315D"/>
    <w:rsid w:val="002C3524"/>
    <w:rsid w:val="002C43E8"/>
    <w:rsid w:val="002C44A6"/>
    <w:rsid w:val="002C4B89"/>
    <w:rsid w:val="002C51A3"/>
    <w:rsid w:val="002C54BC"/>
    <w:rsid w:val="002C5B91"/>
    <w:rsid w:val="002C638F"/>
    <w:rsid w:val="002C6E44"/>
    <w:rsid w:val="002D01EB"/>
    <w:rsid w:val="002D11B4"/>
    <w:rsid w:val="002D1367"/>
    <w:rsid w:val="002D1C02"/>
    <w:rsid w:val="002D2A89"/>
    <w:rsid w:val="002D36C5"/>
    <w:rsid w:val="002D376D"/>
    <w:rsid w:val="002D47EE"/>
    <w:rsid w:val="002D4C7E"/>
    <w:rsid w:val="002D501D"/>
    <w:rsid w:val="002D52CF"/>
    <w:rsid w:val="002D5313"/>
    <w:rsid w:val="002D55E6"/>
    <w:rsid w:val="002D7C72"/>
    <w:rsid w:val="002E03F9"/>
    <w:rsid w:val="002E09AF"/>
    <w:rsid w:val="002E09C5"/>
    <w:rsid w:val="002E0A92"/>
    <w:rsid w:val="002E0C18"/>
    <w:rsid w:val="002E1A38"/>
    <w:rsid w:val="002E1B04"/>
    <w:rsid w:val="002E21C9"/>
    <w:rsid w:val="002E26D9"/>
    <w:rsid w:val="002E2910"/>
    <w:rsid w:val="002E2B3A"/>
    <w:rsid w:val="002E2FA1"/>
    <w:rsid w:val="002E3072"/>
    <w:rsid w:val="002E31A7"/>
    <w:rsid w:val="002E392D"/>
    <w:rsid w:val="002E51EA"/>
    <w:rsid w:val="002E54EC"/>
    <w:rsid w:val="002E57A8"/>
    <w:rsid w:val="002E5D17"/>
    <w:rsid w:val="002E651D"/>
    <w:rsid w:val="002E665B"/>
    <w:rsid w:val="002E722D"/>
    <w:rsid w:val="002E737F"/>
    <w:rsid w:val="002E796A"/>
    <w:rsid w:val="002F157A"/>
    <w:rsid w:val="002F1CD7"/>
    <w:rsid w:val="002F1F86"/>
    <w:rsid w:val="002F23F6"/>
    <w:rsid w:val="002F305A"/>
    <w:rsid w:val="002F3889"/>
    <w:rsid w:val="002F3EAA"/>
    <w:rsid w:val="002F44DB"/>
    <w:rsid w:val="002F4842"/>
    <w:rsid w:val="002F520C"/>
    <w:rsid w:val="002F5D15"/>
    <w:rsid w:val="002F5FB7"/>
    <w:rsid w:val="002F699A"/>
    <w:rsid w:val="002F6C18"/>
    <w:rsid w:val="002F6D7F"/>
    <w:rsid w:val="002F70FB"/>
    <w:rsid w:val="002F71E5"/>
    <w:rsid w:val="002F7E30"/>
    <w:rsid w:val="002F7F98"/>
    <w:rsid w:val="003006C1"/>
    <w:rsid w:val="00300910"/>
    <w:rsid w:val="00300F67"/>
    <w:rsid w:val="003019F8"/>
    <w:rsid w:val="00301A2D"/>
    <w:rsid w:val="00301F03"/>
    <w:rsid w:val="003021AF"/>
    <w:rsid w:val="003025B7"/>
    <w:rsid w:val="00302FB0"/>
    <w:rsid w:val="0030301A"/>
    <w:rsid w:val="003030B1"/>
    <w:rsid w:val="003031FC"/>
    <w:rsid w:val="003032C4"/>
    <w:rsid w:val="003039C0"/>
    <w:rsid w:val="00303FBB"/>
    <w:rsid w:val="00303FEF"/>
    <w:rsid w:val="003041D5"/>
    <w:rsid w:val="00304454"/>
    <w:rsid w:val="00304A86"/>
    <w:rsid w:val="00304CC4"/>
    <w:rsid w:val="0030502F"/>
    <w:rsid w:val="00305125"/>
    <w:rsid w:val="0030533A"/>
    <w:rsid w:val="00306ABC"/>
    <w:rsid w:val="00307C50"/>
    <w:rsid w:val="00307D43"/>
    <w:rsid w:val="00307E2C"/>
    <w:rsid w:val="00311063"/>
    <w:rsid w:val="00311113"/>
    <w:rsid w:val="003111A9"/>
    <w:rsid w:val="0031178D"/>
    <w:rsid w:val="00311BD5"/>
    <w:rsid w:val="003127D8"/>
    <w:rsid w:val="003129E6"/>
    <w:rsid w:val="00312B07"/>
    <w:rsid w:val="0031379B"/>
    <w:rsid w:val="00314458"/>
    <w:rsid w:val="00314E85"/>
    <w:rsid w:val="0031662B"/>
    <w:rsid w:val="003166A2"/>
    <w:rsid w:val="003168EF"/>
    <w:rsid w:val="00316C29"/>
    <w:rsid w:val="00316E8D"/>
    <w:rsid w:val="00317ABF"/>
    <w:rsid w:val="00317DCF"/>
    <w:rsid w:val="003210ED"/>
    <w:rsid w:val="0032151A"/>
    <w:rsid w:val="00321A4B"/>
    <w:rsid w:val="00321D44"/>
    <w:rsid w:val="0032288C"/>
    <w:rsid w:val="00322E47"/>
    <w:rsid w:val="00323E3C"/>
    <w:rsid w:val="00324728"/>
    <w:rsid w:val="00324986"/>
    <w:rsid w:val="00325119"/>
    <w:rsid w:val="00326B8B"/>
    <w:rsid w:val="00326D3D"/>
    <w:rsid w:val="0032759E"/>
    <w:rsid w:val="00327774"/>
    <w:rsid w:val="00327CC4"/>
    <w:rsid w:val="003301F9"/>
    <w:rsid w:val="00330B08"/>
    <w:rsid w:val="00330D03"/>
    <w:rsid w:val="00331174"/>
    <w:rsid w:val="0033197D"/>
    <w:rsid w:val="00331C34"/>
    <w:rsid w:val="0033230B"/>
    <w:rsid w:val="00332743"/>
    <w:rsid w:val="00334369"/>
    <w:rsid w:val="00334B60"/>
    <w:rsid w:val="00336881"/>
    <w:rsid w:val="00336C53"/>
    <w:rsid w:val="00336CDE"/>
    <w:rsid w:val="00337130"/>
    <w:rsid w:val="003374DF"/>
    <w:rsid w:val="003377BC"/>
    <w:rsid w:val="00337E38"/>
    <w:rsid w:val="003403E6"/>
    <w:rsid w:val="003405B1"/>
    <w:rsid w:val="003406C6"/>
    <w:rsid w:val="003408DD"/>
    <w:rsid w:val="003409F3"/>
    <w:rsid w:val="003428A8"/>
    <w:rsid w:val="00342BA9"/>
    <w:rsid w:val="00342BEA"/>
    <w:rsid w:val="00343001"/>
    <w:rsid w:val="00343537"/>
    <w:rsid w:val="00344078"/>
    <w:rsid w:val="0034495D"/>
    <w:rsid w:val="00344A0B"/>
    <w:rsid w:val="0034504F"/>
    <w:rsid w:val="0034555A"/>
    <w:rsid w:val="00345B65"/>
    <w:rsid w:val="00345C93"/>
    <w:rsid w:val="003464C5"/>
    <w:rsid w:val="00346D37"/>
    <w:rsid w:val="0034742C"/>
    <w:rsid w:val="003475EE"/>
    <w:rsid w:val="00347682"/>
    <w:rsid w:val="00347AB3"/>
    <w:rsid w:val="00350461"/>
    <w:rsid w:val="00350E37"/>
    <w:rsid w:val="00350F29"/>
    <w:rsid w:val="00350F66"/>
    <w:rsid w:val="00351622"/>
    <w:rsid w:val="00351763"/>
    <w:rsid w:val="00352057"/>
    <w:rsid w:val="0035268E"/>
    <w:rsid w:val="00352C8A"/>
    <w:rsid w:val="00352DD2"/>
    <w:rsid w:val="00352FD9"/>
    <w:rsid w:val="003536BE"/>
    <w:rsid w:val="00353E87"/>
    <w:rsid w:val="00353F8F"/>
    <w:rsid w:val="003540E4"/>
    <w:rsid w:val="0035455C"/>
    <w:rsid w:val="00354D22"/>
    <w:rsid w:val="00354E2C"/>
    <w:rsid w:val="00354E83"/>
    <w:rsid w:val="00354F05"/>
    <w:rsid w:val="0035500E"/>
    <w:rsid w:val="00355034"/>
    <w:rsid w:val="00356053"/>
    <w:rsid w:val="00356D05"/>
    <w:rsid w:val="00357107"/>
    <w:rsid w:val="00357533"/>
    <w:rsid w:val="0035786B"/>
    <w:rsid w:val="00357BF6"/>
    <w:rsid w:val="003608F1"/>
    <w:rsid w:val="00360E2F"/>
    <w:rsid w:val="0036150E"/>
    <w:rsid w:val="00361643"/>
    <w:rsid w:val="00361B96"/>
    <w:rsid w:val="003623BA"/>
    <w:rsid w:val="0036270F"/>
    <w:rsid w:val="00362869"/>
    <w:rsid w:val="0036466D"/>
    <w:rsid w:val="00364D22"/>
    <w:rsid w:val="00364D66"/>
    <w:rsid w:val="00364F24"/>
    <w:rsid w:val="00365221"/>
    <w:rsid w:val="00365FF5"/>
    <w:rsid w:val="00366174"/>
    <w:rsid w:val="00366242"/>
    <w:rsid w:val="00367589"/>
    <w:rsid w:val="003676D4"/>
    <w:rsid w:val="00367C77"/>
    <w:rsid w:val="00367EFE"/>
    <w:rsid w:val="00370237"/>
    <w:rsid w:val="00370685"/>
    <w:rsid w:val="00370BF3"/>
    <w:rsid w:val="003710CE"/>
    <w:rsid w:val="00371F67"/>
    <w:rsid w:val="00372177"/>
    <w:rsid w:val="003723F2"/>
    <w:rsid w:val="00373677"/>
    <w:rsid w:val="00374656"/>
    <w:rsid w:val="0037473B"/>
    <w:rsid w:val="00374BE7"/>
    <w:rsid w:val="003752B0"/>
    <w:rsid w:val="00375469"/>
    <w:rsid w:val="0037577B"/>
    <w:rsid w:val="00375823"/>
    <w:rsid w:val="00375B58"/>
    <w:rsid w:val="00375CF5"/>
    <w:rsid w:val="00375F8D"/>
    <w:rsid w:val="00376447"/>
    <w:rsid w:val="00376ABA"/>
    <w:rsid w:val="00376B1C"/>
    <w:rsid w:val="0037728F"/>
    <w:rsid w:val="00377318"/>
    <w:rsid w:val="0037741E"/>
    <w:rsid w:val="00380280"/>
    <w:rsid w:val="0038059D"/>
    <w:rsid w:val="00380790"/>
    <w:rsid w:val="003817F9"/>
    <w:rsid w:val="00381BD6"/>
    <w:rsid w:val="003824F7"/>
    <w:rsid w:val="00382833"/>
    <w:rsid w:val="003830B4"/>
    <w:rsid w:val="00383808"/>
    <w:rsid w:val="00383A30"/>
    <w:rsid w:val="0038400B"/>
    <w:rsid w:val="0038411B"/>
    <w:rsid w:val="00384200"/>
    <w:rsid w:val="00384704"/>
    <w:rsid w:val="00384A81"/>
    <w:rsid w:val="00384EC5"/>
    <w:rsid w:val="00385911"/>
    <w:rsid w:val="00385D3F"/>
    <w:rsid w:val="0038607A"/>
    <w:rsid w:val="003861CB"/>
    <w:rsid w:val="003862A1"/>
    <w:rsid w:val="00386658"/>
    <w:rsid w:val="0038680F"/>
    <w:rsid w:val="003869E9"/>
    <w:rsid w:val="00386A24"/>
    <w:rsid w:val="0038742C"/>
    <w:rsid w:val="00387CFB"/>
    <w:rsid w:val="003902D7"/>
    <w:rsid w:val="0039046F"/>
    <w:rsid w:val="00391C88"/>
    <w:rsid w:val="003921EA"/>
    <w:rsid w:val="003923BE"/>
    <w:rsid w:val="00392F0F"/>
    <w:rsid w:val="003938DF"/>
    <w:rsid w:val="00394B0C"/>
    <w:rsid w:val="00394BB4"/>
    <w:rsid w:val="003953CE"/>
    <w:rsid w:val="0039561D"/>
    <w:rsid w:val="003968AA"/>
    <w:rsid w:val="003968AF"/>
    <w:rsid w:val="00396D27"/>
    <w:rsid w:val="00397928"/>
    <w:rsid w:val="00397A8D"/>
    <w:rsid w:val="00397CE1"/>
    <w:rsid w:val="003A060D"/>
    <w:rsid w:val="003A0C83"/>
    <w:rsid w:val="003A0D7A"/>
    <w:rsid w:val="003A1EC0"/>
    <w:rsid w:val="003A2C2B"/>
    <w:rsid w:val="003A379F"/>
    <w:rsid w:val="003A4F65"/>
    <w:rsid w:val="003A5089"/>
    <w:rsid w:val="003A5528"/>
    <w:rsid w:val="003A56F4"/>
    <w:rsid w:val="003A6094"/>
    <w:rsid w:val="003A735D"/>
    <w:rsid w:val="003A76A3"/>
    <w:rsid w:val="003A780C"/>
    <w:rsid w:val="003A78D3"/>
    <w:rsid w:val="003A7AEC"/>
    <w:rsid w:val="003B0AD6"/>
    <w:rsid w:val="003B0E94"/>
    <w:rsid w:val="003B10BE"/>
    <w:rsid w:val="003B1328"/>
    <w:rsid w:val="003B3153"/>
    <w:rsid w:val="003B3346"/>
    <w:rsid w:val="003B4072"/>
    <w:rsid w:val="003B45B2"/>
    <w:rsid w:val="003B53A5"/>
    <w:rsid w:val="003B62E5"/>
    <w:rsid w:val="003B6DF3"/>
    <w:rsid w:val="003B71E3"/>
    <w:rsid w:val="003B7480"/>
    <w:rsid w:val="003B7989"/>
    <w:rsid w:val="003B7A88"/>
    <w:rsid w:val="003C05B3"/>
    <w:rsid w:val="003C0F17"/>
    <w:rsid w:val="003C16B7"/>
    <w:rsid w:val="003C3D3B"/>
    <w:rsid w:val="003C411D"/>
    <w:rsid w:val="003C4795"/>
    <w:rsid w:val="003C4C72"/>
    <w:rsid w:val="003C548B"/>
    <w:rsid w:val="003C5EA0"/>
    <w:rsid w:val="003C5F78"/>
    <w:rsid w:val="003C6184"/>
    <w:rsid w:val="003C65C8"/>
    <w:rsid w:val="003C743A"/>
    <w:rsid w:val="003C7FBE"/>
    <w:rsid w:val="003D0A89"/>
    <w:rsid w:val="003D1A91"/>
    <w:rsid w:val="003D1DCA"/>
    <w:rsid w:val="003D211F"/>
    <w:rsid w:val="003D22D4"/>
    <w:rsid w:val="003D2665"/>
    <w:rsid w:val="003D26D5"/>
    <w:rsid w:val="003D39F0"/>
    <w:rsid w:val="003D3ADF"/>
    <w:rsid w:val="003D3E31"/>
    <w:rsid w:val="003D48E7"/>
    <w:rsid w:val="003D51D6"/>
    <w:rsid w:val="003D668C"/>
    <w:rsid w:val="003D6793"/>
    <w:rsid w:val="003D6BEE"/>
    <w:rsid w:val="003D6DC8"/>
    <w:rsid w:val="003D6E18"/>
    <w:rsid w:val="003D6E3B"/>
    <w:rsid w:val="003D7096"/>
    <w:rsid w:val="003D70D2"/>
    <w:rsid w:val="003D7638"/>
    <w:rsid w:val="003D7B6A"/>
    <w:rsid w:val="003E2C67"/>
    <w:rsid w:val="003E2FE9"/>
    <w:rsid w:val="003E3039"/>
    <w:rsid w:val="003E39A6"/>
    <w:rsid w:val="003E3BEB"/>
    <w:rsid w:val="003E4302"/>
    <w:rsid w:val="003E4CA4"/>
    <w:rsid w:val="003E5E2F"/>
    <w:rsid w:val="003E63CF"/>
    <w:rsid w:val="003E641F"/>
    <w:rsid w:val="003E648A"/>
    <w:rsid w:val="003E6BA0"/>
    <w:rsid w:val="003E6CEE"/>
    <w:rsid w:val="003E7BA1"/>
    <w:rsid w:val="003E7C72"/>
    <w:rsid w:val="003E7E07"/>
    <w:rsid w:val="003E7E17"/>
    <w:rsid w:val="003F041A"/>
    <w:rsid w:val="003F0533"/>
    <w:rsid w:val="003F130B"/>
    <w:rsid w:val="003F15FB"/>
    <w:rsid w:val="003F170B"/>
    <w:rsid w:val="003F29F9"/>
    <w:rsid w:val="003F3577"/>
    <w:rsid w:val="003F3679"/>
    <w:rsid w:val="003F431A"/>
    <w:rsid w:val="003F4431"/>
    <w:rsid w:val="003F47C3"/>
    <w:rsid w:val="003F60E0"/>
    <w:rsid w:val="003F6416"/>
    <w:rsid w:val="003F6B8F"/>
    <w:rsid w:val="00400375"/>
    <w:rsid w:val="0040078E"/>
    <w:rsid w:val="00400CEF"/>
    <w:rsid w:val="00400D12"/>
    <w:rsid w:val="00400F0A"/>
    <w:rsid w:val="00400F3F"/>
    <w:rsid w:val="00401BE3"/>
    <w:rsid w:val="004022ED"/>
    <w:rsid w:val="00402641"/>
    <w:rsid w:val="0040282E"/>
    <w:rsid w:val="00402E15"/>
    <w:rsid w:val="004034DF"/>
    <w:rsid w:val="00403F04"/>
    <w:rsid w:val="004046BC"/>
    <w:rsid w:val="00404DFC"/>
    <w:rsid w:val="0040580A"/>
    <w:rsid w:val="00405C62"/>
    <w:rsid w:val="00406E46"/>
    <w:rsid w:val="00406EC7"/>
    <w:rsid w:val="0040725A"/>
    <w:rsid w:val="0040729D"/>
    <w:rsid w:val="004074C8"/>
    <w:rsid w:val="0040E8A3"/>
    <w:rsid w:val="00410275"/>
    <w:rsid w:val="00411510"/>
    <w:rsid w:val="004117BB"/>
    <w:rsid w:val="004127D1"/>
    <w:rsid w:val="00412FCF"/>
    <w:rsid w:val="00413491"/>
    <w:rsid w:val="004140AB"/>
    <w:rsid w:val="0041427C"/>
    <w:rsid w:val="00414A27"/>
    <w:rsid w:val="00414DDD"/>
    <w:rsid w:val="00415993"/>
    <w:rsid w:val="00415F8E"/>
    <w:rsid w:val="00417BD3"/>
    <w:rsid w:val="00420807"/>
    <w:rsid w:val="004210F8"/>
    <w:rsid w:val="00421BD1"/>
    <w:rsid w:val="00421BDB"/>
    <w:rsid w:val="004221B9"/>
    <w:rsid w:val="0042286A"/>
    <w:rsid w:val="00423227"/>
    <w:rsid w:val="004235A5"/>
    <w:rsid w:val="00423C93"/>
    <w:rsid w:val="0042460A"/>
    <w:rsid w:val="00424C02"/>
    <w:rsid w:val="00424E59"/>
    <w:rsid w:val="00425165"/>
    <w:rsid w:val="00425D86"/>
    <w:rsid w:val="00425E84"/>
    <w:rsid w:val="00425FE9"/>
    <w:rsid w:val="00426575"/>
    <w:rsid w:val="0042742C"/>
    <w:rsid w:val="0042780F"/>
    <w:rsid w:val="004279A2"/>
    <w:rsid w:val="00427EE3"/>
    <w:rsid w:val="00430055"/>
    <w:rsid w:val="004301FC"/>
    <w:rsid w:val="0043132C"/>
    <w:rsid w:val="00431BF5"/>
    <w:rsid w:val="00431F92"/>
    <w:rsid w:val="0043274F"/>
    <w:rsid w:val="00432CB3"/>
    <w:rsid w:val="00433367"/>
    <w:rsid w:val="00433A13"/>
    <w:rsid w:val="00433B77"/>
    <w:rsid w:val="00433CA1"/>
    <w:rsid w:val="00434802"/>
    <w:rsid w:val="004349DE"/>
    <w:rsid w:val="00434CDB"/>
    <w:rsid w:val="00434E4D"/>
    <w:rsid w:val="00435230"/>
    <w:rsid w:val="004357B6"/>
    <w:rsid w:val="00435CEE"/>
    <w:rsid w:val="00437D54"/>
    <w:rsid w:val="0044084C"/>
    <w:rsid w:val="0044139C"/>
    <w:rsid w:val="00441DE0"/>
    <w:rsid w:val="004420E8"/>
    <w:rsid w:val="00442154"/>
    <w:rsid w:val="00442F4C"/>
    <w:rsid w:val="004448A8"/>
    <w:rsid w:val="0044496D"/>
    <w:rsid w:val="00444B6B"/>
    <w:rsid w:val="00445553"/>
    <w:rsid w:val="004459F8"/>
    <w:rsid w:val="00446678"/>
    <w:rsid w:val="004470FD"/>
    <w:rsid w:val="00447858"/>
    <w:rsid w:val="00450269"/>
    <w:rsid w:val="00450408"/>
    <w:rsid w:val="0045090B"/>
    <w:rsid w:val="00450AD8"/>
    <w:rsid w:val="00452A33"/>
    <w:rsid w:val="00452B43"/>
    <w:rsid w:val="00452E6D"/>
    <w:rsid w:val="004532CA"/>
    <w:rsid w:val="00453530"/>
    <w:rsid w:val="004540E8"/>
    <w:rsid w:val="00454356"/>
    <w:rsid w:val="00454953"/>
    <w:rsid w:val="0045538C"/>
    <w:rsid w:val="00455907"/>
    <w:rsid w:val="00455C7A"/>
    <w:rsid w:val="004563B4"/>
    <w:rsid w:val="0045780E"/>
    <w:rsid w:val="00460172"/>
    <w:rsid w:val="004607A2"/>
    <w:rsid w:val="00461C80"/>
    <w:rsid w:val="00462582"/>
    <w:rsid w:val="00463350"/>
    <w:rsid w:val="00463B8F"/>
    <w:rsid w:val="00463CC9"/>
    <w:rsid w:val="00463DF9"/>
    <w:rsid w:val="0046400F"/>
    <w:rsid w:val="00464027"/>
    <w:rsid w:val="004641C0"/>
    <w:rsid w:val="004648A4"/>
    <w:rsid w:val="0046564E"/>
    <w:rsid w:val="00465CBB"/>
    <w:rsid w:val="00466528"/>
    <w:rsid w:val="004669E0"/>
    <w:rsid w:val="00467628"/>
    <w:rsid w:val="00467673"/>
    <w:rsid w:val="00467C84"/>
    <w:rsid w:val="00467DBC"/>
    <w:rsid w:val="004703D1"/>
    <w:rsid w:val="004703D3"/>
    <w:rsid w:val="00470569"/>
    <w:rsid w:val="0047066E"/>
    <w:rsid w:val="004710CD"/>
    <w:rsid w:val="00471435"/>
    <w:rsid w:val="00471576"/>
    <w:rsid w:val="0047177D"/>
    <w:rsid w:val="00472AF3"/>
    <w:rsid w:val="004735D1"/>
    <w:rsid w:val="004738C1"/>
    <w:rsid w:val="00474076"/>
    <w:rsid w:val="004741A4"/>
    <w:rsid w:val="004744FA"/>
    <w:rsid w:val="0047483F"/>
    <w:rsid w:val="00475211"/>
    <w:rsid w:val="004758DB"/>
    <w:rsid w:val="00476662"/>
    <w:rsid w:val="004767AE"/>
    <w:rsid w:val="004770E9"/>
    <w:rsid w:val="00480A22"/>
    <w:rsid w:val="00480F95"/>
    <w:rsid w:val="004827A5"/>
    <w:rsid w:val="00482993"/>
    <w:rsid w:val="004831BB"/>
    <w:rsid w:val="004836CC"/>
    <w:rsid w:val="0048370B"/>
    <w:rsid w:val="00483F4A"/>
    <w:rsid w:val="004840DA"/>
    <w:rsid w:val="00485477"/>
    <w:rsid w:val="00485530"/>
    <w:rsid w:val="00485AC4"/>
    <w:rsid w:val="00486795"/>
    <w:rsid w:val="00486AB8"/>
    <w:rsid w:val="00486B31"/>
    <w:rsid w:val="00487A04"/>
    <w:rsid w:val="00487CD9"/>
    <w:rsid w:val="00490C63"/>
    <w:rsid w:val="0049109B"/>
    <w:rsid w:val="00491517"/>
    <w:rsid w:val="00491DEB"/>
    <w:rsid w:val="00491E15"/>
    <w:rsid w:val="00491FFA"/>
    <w:rsid w:val="00492A48"/>
    <w:rsid w:val="004934AC"/>
    <w:rsid w:val="004934DD"/>
    <w:rsid w:val="0049393D"/>
    <w:rsid w:val="00493C9B"/>
    <w:rsid w:val="00493D18"/>
    <w:rsid w:val="00493EA4"/>
    <w:rsid w:val="00494018"/>
    <w:rsid w:val="00494728"/>
    <w:rsid w:val="004948A9"/>
    <w:rsid w:val="004949D9"/>
    <w:rsid w:val="00494A02"/>
    <w:rsid w:val="00494FAA"/>
    <w:rsid w:val="004951A1"/>
    <w:rsid w:val="004954F9"/>
    <w:rsid w:val="004A0911"/>
    <w:rsid w:val="004A0AF9"/>
    <w:rsid w:val="004A1F77"/>
    <w:rsid w:val="004A2154"/>
    <w:rsid w:val="004A2713"/>
    <w:rsid w:val="004A2A2E"/>
    <w:rsid w:val="004A2B7C"/>
    <w:rsid w:val="004A2D14"/>
    <w:rsid w:val="004A348C"/>
    <w:rsid w:val="004A3C28"/>
    <w:rsid w:val="004A4B9D"/>
    <w:rsid w:val="004A4BE7"/>
    <w:rsid w:val="004A4D8F"/>
    <w:rsid w:val="004A4E2F"/>
    <w:rsid w:val="004A5033"/>
    <w:rsid w:val="004A53F9"/>
    <w:rsid w:val="004A569F"/>
    <w:rsid w:val="004A6781"/>
    <w:rsid w:val="004A7305"/>
    <w:rsid w:val="004B0325"/>
    <w:rsid w:val="004B05FD"/>
    <w:rsid w:val="004B0DD2"/>
    <w:rsid w:val="004B147F"/>
    <w:rsid w:val="004B1548"/>
    <w:rsid w:val="004B1903"/>
    <w:rsid w:val="004B30CA"/>
    <w:rsid w:val="004B4231"/>
    <w:rsid w:val="004B4291"/>
    <w:rsid w:val="004B59B8"/>
    <w:rsid w:val="004B5B0A"/>
    <w:rsid w:val="004B5B5D"/>
    <w:rsid w:val="004B6181"/>
    <w:rsid w:val="004B671A"/>
    <w:rsid w:val="004B7845"/>
    <w:rsid w:val="004C010F"/>
    <w:rsid w:val="004C06A4"/>
    <w:rsid w:val="004C06EF"/>
    <w:rsid w:val="004C0D40"/>
    <w:rsid w:val="004C1265"/>
    <w:rsid w:val="004C14BC"/>
    <w:rsid w:val="004C1B5E"/>
    <w:rsid w:val="004C1E04"/>
    <w:rsid w:val="004C2823"/>
    <w:rsid w:val="004C3C0A"/>
    <w:rsid w:val="004C3F7F"/>
    <w:rsid w:val="004C40C8"/>
    <w:rsid w:val="004C4376"/>
    <w:rsid w:val="004C5093"/>
    <w:rsid w:val="004C511B"/>
    <w:rsid w:val="004C51B8"/>
    <w:rsid w:val="004C5513"/>
    <w:rsid w:val="004C57F8"/>
    <w:rsid w:val="004C62F8"/>
    <w:rsid w:val="004C651B"/>
    <w:rsid w:val="004D02B3"/>
    <w:rsid w:val="004D0942"/>
    <w:rsid w:val="004D1B92"/>
    <w:rsid w:val="004D1E33"/>
    <w:rsid w:val="004D3F73"/>
    <w:rsid w:val="004D41C5"/>
    <w:rsid w:val="004D42F9"/>
    <w:rsid w:val="004D456E"/>
    <w:rsid w:val="004D45A4"/>
    <w:rsid w:val="004D4716"/>
    <w:rsid w:val="004D47B7"/>
    <w:rsid w:val="004D4C38"/>
    <w:rsid w:val="004D6CA1"/>
    <w:rsid w:val="004D7A06"/>
    <w:rsid w:val="004D7AA5"/>
    <w:rsid w:val="004E072E"/>
    <w:rsid w:val="004E08EF"/>
    <w:rsid w:val="004E1F90"/>
    <w:rsid w:val="004E2D2F"/>
    <w:rsid w:val="004E3713"/>
    <w:rsid w:val="004E3EDA"/>
    <w:rsid w:val="004E426B"/>
    <w:rsid w:val="004E4790"/>
    <w:rsid w:val="004E54A4"/>
    <w:rsid w:val="004E557F"/>
    <w:rsid w:val="004E5ACB"/>
    <w:rsid w:val="004E5AF0"/>
    <w:rsid w:val="004E69E6"/>
    <w:rsid w:val="004E70DB"/>
    <w:rsid w:val="004E718E"/>
    <w:rsid w:val="004E7936"/>
    <w:rsid w:val="004F2723"/>
    <w:rsid w:val="004F287A"/>
    <w:rsid w:val="004F3499"/>
    <w:rsid w:val="004F36C8"/>
    <w:rsid w:val="004F3776"/>
    <w:rsid w:val="004F3D04"/>
    <w:rsid w:val="004F546D"/>
    <w:rsid w:val="004F5C61"/>
    <w:rsid w:val="004F635F"/>
    <w:rsid w:val="004F6A5E"/>
    <w:rsid w:val="004F6C0D"/>
    <w:rsid w:val="004F6CB3"/>
    <w:rsid w:val="004F7845"/>
    <w:rsid w:val="004F7860"/>
    <w:rsid w:val="005014D6"/>
    <w:rsid w:val="005018AF"/>
    <w:rsid w:val="00501BD4"/>
    <w:rsid w:val="00501D3C"/>
    <w:rsid w:val="00502087"/>
    <w:rsid w:val="0050244A"/>
    <w:rsid w:val="0050382E"/>
    <w:rsid w:val="00503AD3"/>
    <w:rsid w:val="00504668"/>
    <w:rsid w:val="005056A9"/>
    <w:rsid w:val="005066C3"/>
    <w:rsid w:val="0050683A"/>
    <w:rsid w:val="0050786E"/>
    <w:rsid w:val="00510502"/>
    <w:rsid w:val="005107B7"/>
    <w:rsid w:val="005111E4"/>
    <w:rsid w:val="0051154A"/>
    <w:rsid w:val="0051234B"/>
    <w:rsid w:val="0051289E"/>
    <w:rsid w:val="005128F9"/>
    <w:rsid w:val="00513C50"/>
    <w:rsid w:val="005140D5"/>
    <w:rsid w:val="005141D6"/>
    <w:rsid w:val="00514F69"/>
    <w:rsid w:val="005155DA"/>
    <w:rsid w:val="005159F8"/>
    <w:rsid w:val="00515E2A"/>
    <w:rsid w:val="00516507"/>
    <w:rsid w:val="00516DC2"/>
    <w:rsid w:val="00517717"/>
    <w:rsid w:val="00520164"/>
    <w:rsid w:val="00520C20"/>
    <w:rsid w:val="00520EAC"/>
    <w:rsid w:val="00521BC0"/>
    <w:rsid w:val="00521E89"/>
    <w:rsid w:val="00522768"/>
    <w:rsid w:val="005227EE"/>
    <w:rsid w:val="00522E67"/>
    <w:rsid w:val="0052443E"/>
    <w:rsid w:val="005248F6"/>
    <w:rsid w:val="00525410"/>
    <w:rsid w:val="005254E1"/>
    <w:rsid w:val="005259F4"/>
    <w:rsid w:val="00525DE4"/>
    <w:rsid w:val="0052638A"/>
    <w:rsid w:val="005263B8"/>
    <w:rsid w:val="0052725D"/>
    <w:rsid w:val="005272A1"/>
    <w:rsid w:val="005276F5"/>
    <w:rsid w:val="00527AD4"/>
    <w:rsid w:val="0053002E"/>
    <w:rsid w:val="00530447"/>
    <w:rsid w:val="0053083F"/>
    <w:rsid w:val="00530CDB"/>
    <w:rsid w:val="00530F5A"/>
    <w:rsid w:val="005311B2"/>
    <w:rsid w:val="005315AE"/>
    <w:rsid w:val="00531741"/>
    <w:rsid w:val="00531E73"/>
    <w:rsid w:val="0053231E"/>
    <w:rsid w:val="005327CE"/>
    <w:rsid w:val="0053335C"/>
    <w:rsid w:val="00533C37"/>
    <w:rsid w:val="005340FD"/>
    <w:rsid w:val="0053461D"/>
    <w:rsid w:val="00534BCF"/>
    <w:rsid w:val="00535887"/>
    <w:rsid w:val="0053611E"/>
    <w:rsid w:val="00536C0F"/>
    <w:rsid w:val="00536C9D"/>
    <w:rsid w:val="00536D84"/>
    <w:rsid w:val="00536FF1"/>
    <w:rsid w:val="0053722D"/>
    <w:rsid w:val="00537928"/>
    <w:rsid w:val="00537946"/>
    <w:rsid w:val="00537A5C"/>
    <w:rsid w:val="00537A9E"/>
    <w:rsid w:val="00540264"/>
    <w:rsid w:val="00540472"/>
    <w:rsid w:val="00541243"/>
    <w:rsid w:val="0054251F"/>
    <w:rsid w:val="00542F45"/>
    <w:rsid w:val="00543A59"/>
    <w:rsid w:val="00543F6A"/>
    <w:rsid w:val="00544D86"/>
    <w:rsid w:val="00544E8B"/>
    <w:rsid w:val="005453BE"/>
    <w:rsid w:val="005453F6"/>
    <w:rsid w:val="00545E6F"/>
    <w:rsid w:val="00546379"/>
    <w:rsid w:val="0054795C"/>
    <w:rsid w:val="00547A58"/>
    <w:rsid w:val="00547F9E"/>
    <w:rsid w:val="00550434"/>
    <w:rsid w:val="00550765"/>
    <w:rsid w:val="00551F85"/>
    <w:rsid w:val="005541CF"/>
    <w:rsid w:val="0055523C"/>
    <w:rsid w:val="005552B7"/>
    <w:rsid w:val="00556CAE"/>
    <w:rsid w:val="00557AC9"/>
    <w:rsid w:val="005602AC"/>
    <w:rsid w:val="005608D6"/>
    <w:rsid w:val="00560BE0"/>
    <w:rsid w:val="00560C35"/>
    <w:rsid w:val="00560F36"/>
    <w:rsid w:val="00561528"/>
    <w:rsid w:val="0056161F"/>
    <w:rsid w:val="00562C72"/>
    <w:rsid w:val="00563001"/>
    <w:rsid w:val="00563CC3"/>
    <w:rsid w:val="005640D5"/>
    <w:rsid w:val="0056482C"/>
    <w:rsid w:val="00564C98"/>
    <w:rsid w:val="005651C3"/>
    <w:rsid w:val="005652BD"/>
    <w:rsid w:val="005655B3"/>
    <w:rsid w:val="0056586B"/>
    <w:rsid w:val="005665A0"/>
    <w:rsid w:val="005676C7"/>
    <w:rsid w:val="005709EC"/>
    <w:rsid w:val="005710B1"/>
    <w:rsid w:val="0057197B"/>
    <w:rsid w:val="005721CE"/>
    <w:rsid w:val="00573E14"/>
    <w:rsid w:val="005744B4"/>
    <w:rsid w:val="00575416"/>
    <w:rsid w:val="00575C03"/>
    <w:rsid w:val="0057604C"/>
    <w:rsid w:val="00576B5B"/>
    <w:rsid w:val="00576E4F"/>
    <w:rsid w:val="00577105"/>
    <w:rsid w:val="0058026D"/>
    <w:rsid w:val="005806BE"/>
    <w:rsid w:val="00580B0E"/>
    <w:rsid w:val="005813DF"/>
    <w:rsid w:val="0058181C"/>
    <w:rsid w:val="0058228A"/>
    <w:rsid w:val="005824A1"/>
    <w:rsid w:val="005828B5"/>
    <w:rsid w:val="00583CA3"/>
    <w:rsid w:val="00584CD2"/>
    <w:rsid w:val="00584FB6"/>
    <w:rsid w:val="00585234"/>
    <w:rsid w:val="00585261"/>
    <w:rsid w:val="00585732"/>
    <w:rsid w:val="00585BA6"/>
    <w:rsid w:val="00585F8A"/>
    <w:rsid w:val="005862D3"/>
    <w:rsid w:val="0058644C"/>
    <w:rsid w:val="00586870"/>
    <w:rsid w:val="00586BF6"/>
    <w:rsid w:val="00587B7B"/>
    <w:rsid w:val="00587C83"/>
    <w:rsid w:val="0058C50E"/>
    <w:rsid w:val="005901D0"/>
    <w:rsid w:val="005902B8"/>
    <w:rsid w:val="0059051B"/>
    <w:rsid w:val="00590E4A"/>
    <w:rsid w:val="00591305"/>
    <w:rsid w:val="005915CA"/>
    <w:rsid w:val="00591AC7"/>
    <w:rsid w:val="005921B4"/>
    <w:rsid w:val="005923CB"/>
    <w:rsid w:val="00592BCD"/>
    <w:rsid w:val="00593912"/>
    <w:rsid w:val="00593AEA"/>
    <w:rsid w:val="00594672"/>
    <w:rsid w:val="00594CAA"/>
    <w:rsid w:val="00594F8A"/>
    <w:rsid w:val="00596133"/>
    <w:rsid w:val="00596157"/>
    <w:rsid w:val="0059697E"/>
    <w:rsid w:val="0059736C"/>
    <w:rsid w:val="005975BF"/>
    <w:rsid w:val="005977D6"/>
    <w:rsid w:val="00597F41"/>
    <w:rsid w:val="005A0132"/>
    <w:rsid w:val="005A05E5"/>
    <w:rsid w:val="005A0FCF"/>
    <w:rsid w:val="005A149D"/>
    <w:rsid w:val="005A1B5A"/>
    <w:rsid w:val="005A1BF5"/>
    <w:rsid w:val="005A1EE5"/>
    <w:rsid w:val="005A1F68"/>
    <w:rsid w:val="005A272A"/>
    <w:rsid w:val="005A2DC7"/>
    <w:rsid w:val="005A2E2D"/>
    <w:rsid w:val="005A36E8"/>
    <w:rsid w:val="005A3F42"/>
    <w:rsid w:val="005A4177"/>
    <w:rsid w:val="005A422C"/>
    <w:rsid w:val="005A499C"/>
    <w:rsid w:val="005A5238"/>
    <w:rsid w:val="005A59C4"/>
    <w:rsid w:val="005A7193"/>
    <w:rsid w:val="005B027A"/>
    <w:rsid w:val="005B0807"/>
    <w:rsid w:val="005B0A80"/>
    <w:rsid w:val="005B0C5F"/>
    <w:rsid w:val="005B1802"/>
    <w:rsid w:val="005B1891"/>
    <w:rsid w:val="005B1E48"/>
    <w:rsid w:val="005B1F23"/>
    <w:rsid w:val="005B1FE6"/>
    <w:rsid w:val="005B2C39"/>
    <w:rsid w:val="005B3642"/>
    <w:rsid w:val="005B4075"/>
    <w:rsid w:val="005B4874"/>
    <w:rsid w:val="005B5310"/>
    <w:rsid w:val="005B782F"/>
    <w:rsid w:val="005B792A"/>
    <w:rsid w:val="005B7F8B"/>
    <w:rsid w:val="005C015A"/>
    <w:rsid w:val="005C158B"/>
    <w:rsid w:val="005C2B06"/>
    <w:rsid w:val="005C35ED"/>
    <w:rsid w:val="005C36F0"/>
    <w:rsid w:val="005C3CC0"/>
    <w:rsid w:val="005C41C0"/>
    <w:rsid w:val="005C477D"/>
    <w:rsid w:val="005C5AC5"/>
    <w:rsid w:val="005C6093"/>
    <w:rsid w:val="005C61B6"/>
    <w:rsid w:val="005C71A2"/>
    <w:rsid w:val="005C727E"/>
    <w:rsid w:val="005C7978"/>
    <w:rsid w:val="005D022C"/>
    <w:rsid w:val="005D0EC3"/>
    <w:rsid w:val="005D0F43"/>
    <w:rsid w:val="005D1062"/>
    <w:rsid w:val="005D1D4D"/>
    <w:rsid w:val="005D1E39"/>
    <w:rsid w:val="005D27EC"/>
    <w:rsid w:val="005D2C71"/>
    <w:rsid w:val="005D2D9A"/>
    <w:rsid w:val="005D3230"/>
    <w:rsid w:val="005D3E71"/>
    <w:rsid w:val="005D4845"/>
    <w:rsid w:val="005D4A0B"/>
    <w:rsid w:val="005D5E00"/>
    <w:rsid w:val="005D61AA"/>
    <w:rsid w:val="005D6303"/>
    <w:rsid w:val="005D6340"/>
    <w:rsid w:val="005D68C9"/>
    <w:rsid w:val="005D6FE9"/>
    <w:rsid w:val="005D7A61"/>
    <w:rsid w:val="005E0212"/>
    <w:rsid w:val="005E0983"/>
    <w:rsid w:val="005E1C3E"/>
    <w:rsid w:val="005E1C97"/>
    <w:rsid w:val="005E206E"/>
    <w:rsid w:val="005E25C0"/>
    <w:rsid w:val="005E2E2E"/>
    <w:rsid w:val="005E3583"/>
    <w:rsid w:val="005E3D71"/>
    <w:rsid w:val="005E3E2C"/>
    <w:rsid w:val="005E425C"/>
    <w:rsid w:val="005E4970"/>
    <w:rsid w:val="005E4CC6"/>
    <w:rsid w:val="005E5CAF"/>
    <w:rsid w:val="005E5CEE"/>
    <w:rsid w:val="005E5E1B"/>
    <w:rsid w:val="005E72F9"/>
    <w:rsid w:val="005EE847"/>
    <w:rsid w:val="005F0B61"/>
    <w:rsid w:val="005F15EF"/>
    <w:rsid w:val="005F1D84"/>
    <w:rsid w:val="005F2039"/>
    <w:rsid w:val="005F2392"/>
    <w:rsid w:val="005F2E4D"/>
    <w:rsid w:val="005F37D3"/>
    <w:rsid w:val="005F3B9A"/>
    <w:rsid w:val="005F520C"/>
    <w:rsid w:val="005F593C"/>
    <w:rsid w:val="005F5991"/>
    <w:rsid w:val="005F6230"/>
    <w:rsid w:val="005F6269"/>
    <w:rsid w:val="005F642A"/>
    <w:rsid w:val="005F683B"/>
    <w:rsid w:val="005F68D4"/>
    <w:rsid w:val="00601170"/>
    <w:rsid w:val="006016F8"/>
    <w:rsid w:val="00601C1A"/>
    <w:rsid w:val="00602162"/>
    <w:rsid w:val="006023AA"/>
    <w:rsid w:val="00602466"/>
    <w:rsid w:val="00602DD7"/>
    <w:rsid w:val="00603E0B"/>
    <w:rsid w:val="00604BE7"/>
    <w:rsid w:val="00605088"/>
    <w:rsid w:val="0060519B"/>
    <w:rsid w:val="0060651A"/>
    <w:rsid w:val="00606685"/>
    <w:rsid w:val="00606802"/>
    <w:rsid w:val="00606BD1"/>
    <w:rsid w:val="00607B26"/>
    <w:rsid w:val="00610042"/>
    <w:rsid w:val="00610490"/>
    <w:rsid w:val="006106A0"/>
    <w:rsid w:val="00610C51"/>
    <w:rsid w:val="00610E27"/>
    <w:rsid w:val="00610E5A"/>
    <w:rsid w:val="00611202"/>
    <w:rsid w:val="00611AAA"/>
    <w:rsid w:val="00611F8F"/>
    <w:rsid w:val="006128CE"/>
    <w:rsid w:val="00613233"/>
    <w:rsid w:val="00613882"/>
    <w:rsid w:val="00613A0D"/>
    <w:rsid w:val="00613CC8"/>
    <w:rsid w:val="00614803"/>
    <w:rsid w:val="006149D9"/>
    <w:rsid w:val="006149EA"/>
    <w:rsid w:val="0061564F"/>
    <w:rsid w:val="0061570C"/>
    <w:rsid w:val="0061574D"/>
    <w:rsid w:val="00616869"/>
    <w:rsid w:val="00616BFC"/>
    <w:rsid w:val="00617719"/>
    <w:rsid w:val="006201B2"/>
    <w:rsid w:val="006201FB"/>
    <w:rsid w:val="00621DE6"/>
    <w:rsid w:val="006225F1"/>
    <w:rsid w:val="00622B98"/>
    <w:rsid w:val="00622EFE"/>
    <w:rsid w:val="00622F40"/>
    <w:rsid w:val="0062360B"/>
    <w:rsid w:val="00623A4D"/>
    <w:rsid w:val="00624BD2"/>
    <w:rsid w:val="0062567E"/>
    <w:rsid w:val="00625C3E"/>
    <w:rsid w:val="00626565"/>
    <w:rsid w:val="00626693"/>
    <w:rsid w:val="00626C3E"/>
    <w:rsid w:val="00626F76"/>
    <w:rsid w:val="00626F86"/>
    <w:rsid w:val="00627C82"/>
    <w:rsid w:val="0063028F"/>
    <w:rsid w:val="00630864"/>
    <w:rsid w:val="006308E3"/>
    <w:rsid w:val="00630944"/>
    <w:rsid w:val="00630E43"/>
    <w:rsid w:val="0063129E"/>
    <w:rsid w:val="006314F0"/>
    <w:rsid w:val="006318D1"/>
    <w:rsid w:val="00632490"/>
    <w:rsid w:val="006337BF"/>
    <w:rsid w:val="00633B4C"/>
    <w:rsid w:val="00633BF0"/>
    <w:rsid w:val="006347DF"/>
    <w:rsid w:val="00634CA3"/>
    <w:rsid w:val="00634E04"/>
    <w:rsid w:val="00635081"/>
    <w:rsid w:val="00635196"/>
    <w:rsid w:val="00635374"/>
    <w:rsid w:val="00636E4E"/>
    <w:rsid w:val="006372F9"/>
    <w:rsid w:val="006373CE"/>
    <w:rsid w:val="00637B59"/>
    <w:rsid w:val="00637EE1"/>
    <w:rsid w:val="006400DD"/>
    <w:rsid w:val="0064180E"/>
    <w:rsid w:val="006426C9"/>
    <w:rsid w:val="006431D7"/>
    <w:rsid w:val="006433E2"/>
    <w:rsid w:val="00643D55"/>
    <w:rsid w:val="00643F7B"/>
    <w:rsid w:val="0064460D"/>
    <w:rsid w:val="006446B7"/>
    <w:rsid w:val="00644EDB"/>
    <w:rsid w:val="00645879"/>
    <w:rsid w:val="00645DC7"/>
    <w:rsid w:val="0064687C"/>
    <w:rsid w:val="00646B86"/>
    <w:rsid w:val="00646DF8"/>
    <w:rsid w:val="00647BCD"/>
    <w:rsid w:val="006500E8"/>
    <w:rsid w:val="00650378"/>
    <w:rsid w:val="006504FA"/>
    <w:rsid w:val="00650587"/>
    <w:rsid w:val="006508C3"/>
    <w:rsid w:val="00650B05"/>
    <w:rsid w:val="00652544"/>
    <w:rsid w:val="006528E6"/>
    <w:rsid w:val="00652921"/>
    <w:rsid w:val="006529C7"/>
    <w:rsid w:val="0065342F"/>
    <w:rsid w:val="00653CC8"/>
    <w:rsid w:val="00653D2B"/>
    <w:rsid w:val="006547EB"/>
    <w:rsid w:val="00655541"/>
    <w:rsid w:val="006556A2"/>
    <w:rsid w:val="0065576A"/>
    <w:rsid w:val="00655884"/>
    <w:rsid w:val="006558BB"/>
    <w:rsid w:val="00655DE6"/>
    <w:rsid w:val="0065635E"/>
    <w:rsid w:val="00656AC7"/>
    <w:rsid w:val="00656B10"/>
    <w:rsid w:val="006574CB"/>
    <w:rsid w:val="0065759F"/>
    <w:rsid w:val="00660A02"/>
    <w:rsid w:val="006613DC"/>
    <w:rsid w:val="00661E3F"/>
    <w:rsid w:val="00661EAE"/>
    <w:rsid w:val="006627E7"/>
    <w:rsid w:val="00662823"/>
    <w:rsid w:val="00664389"/>
    <w:rsid w:val="00664A2B"/>
    <w:rsid w:val="00664D36"/>
    <w:rsid w:val="00664F79"/>
    <w:rsid w:val="0066503E"/>
    <w:rsid w:val="006656EB"/>
    <w:rsid w:val="00665E1D"/>
    <w:rsid w:val="00666215"/>
    <w:rsid w:val="0066726D"/>
    <w:rsid w:val="0067017E"/>
    <w:rsid w:val="00670956"/>
    <w:rsid w:val="00670AA8"/>
    <w:rsid w:val="0067103C"/>
    <w:rsid w:val="00671AE0"/>
    <w:rsid w:val="00672580"/>
    <w:rsid w:val="00672BBE"/>
    <w:rsid w:val="0067313C"/>
    <w:rsid w:val="0067329E"/>
    <w:rsid w:val="00673564"/>
    <w:rsid w:val="00674FC9"/>
    <w:rsid w:val="006751FC"/>
    <w:rsid w:val="00675F1C"/>
    <w:rsid w:val="00676BEA"/>
    <w:rsid w:val="00680B17"/>
    <w:rsid w:val="00680D60"/>
    <w:rsid w:val="0068193E"/>
    <w:rsid w:val="00682183"/>
    <w:rsid w:val="006823F8"/>
    <w:rsid w:val="006824CC"/>
    <w:rsid w:val="006832F0"/>
    <w:rsid w:val="0068352A"/>
    <w:rsid w:val="00683614"/>
    <w:rsid w:val="006836AA"/>
    <w:rsid w:val="00683B72"/>
    <w:rsid w:val="006840F9"/>
    <w:rsid w:val="00684831"/>
    <w:rsid w:val="00684A4A"/>
    <w:rsid w:val="00684F94"/>
    <w:rsid w:val="006857FC"/>
    <w:rsid w:val="0068587C"/>
    <w:rsid w:val="00685BCB"/>
    <w:rsid w:val="00687557"/>
    <w:rsid w:val="00690D7D"/>
    <w:rsid w:val="0069103F"/>
    <w:rsid w:val="00691346"/>
    <w:rsid w:val="006918D1"/>
    <w:rsid w:val="00691BA5"/>
    <w:rsid w:val="0069273C"/>
    <w:rsid w:val="00694FD4"/>
    <w:rsid w:val="006956D7"/>
    <w:rsid w:val="006958F8"/>
    <w:rsid w:val="00695CC2"/>
    <w:rsid w:val="00695DA7"/>
    <w:rsid w:val="00695FAC"/>
    <w:rsid w:val="00697073"/>
    <w:rsid w:val="00697E10"/>
    <w:rsid w:val="006A0B5F"/>
    <w:rsid w:val="006A119F"/>
    <w:rsid w:val="006A12B6"/>
    <w:rsid w:val="006A1CE6"/>
    <w:rsid w:val="006A1F81"/>
    <w:rsid w:val="006A2239"/>
    <w:rsid w:val="006A23F5"/>
    <w:rsid w:val="006A25DF"/>
    <w:rsid w:val="006A2CB3"/>
    <w:rsid w:val="006A2EB0"/>
    <w:rsid w:val="006A313B"/>
    <w:rsid w:val="006A3363"/>
    <w:rsid w:val="006A3602"/>
    <w:rsid w:val="006A368E"/>
    <w:rsid w:val="006A3F66"/>
    <w:rsid w:val="006A42C9"/>
    <w:rsid w:val="006A4646"/>
    <w:rsid w:val="006A465B"/>
    <w:rsid w:val="006A46AF"/>
    <w:rsid w:val="006A4960"/>
    <w:rsid w:val="006A526D"/>
    <w:rsid w:val="006A551D"/>
    <w:rsid w:val="006A55A2"/>
    <w:rsid w:val="006A5B88"/>
    <w:rsid w:val="006A730E"/>
    <w:rsid w:val="006A756B"/>
    <w:rsid w:val="006A767A"/>
    <w:rsid w:val="006A7D30"/>
    <w:rsid w:val="006B0110"/>
    <w:rsid w:val="006B0B60"/>
    <w:rsid w:val="006B134F"/>
    <w:rsid w:val="006B135A"/>
    <w:rsid w:val="006B1C8E"/>
    <w:rsid w:val="006B2789"/>
    <w:rsid w:val="006B27AA"/>
    <w:rsid w:val="006B2DB9"/>
    <w:rsid w:val="006B3305"/>
    <w:rsid w:val="006B3B66"/>
    <w:rsid w:val="006B3E75"/>
    <w:rsid w:val="006B4BA5"/>
    <w:rsid w:val="006B58EC"/>
    <w:rsid w:val="006B5FBF"/>
    <w:rsid w:val="006B6841"/>
    <w:rsid w:val="006B68C4"/>
    <w:rsid w:val="006B69A1"/>
    <w:rsid w:val="006B73C9"/>
    <w:rsid w:val="006B7568"/>
    <w:rsid w:val="006B797C"/>
    <w:rsid w:val="006B7992"/>
    <w:rsid w:val="006B7A8C"/>
    <w:rsid w:val="006C0111"/>
    <w:rsid w:val="006C046B"/>
    <w:rsid w:val="006C0562"/>
    <w:rsid w:val="006C0A10"/>
    <w:rsid w:val="006C0C3F"/>
    <w:rsid w:val="006C1159"/>
    <w:rsid w:val="006C1277"/>
    <w:rsid w:val="006C13E0"/>
    <w:rsid w:val="006C1433"/>
    <w:rsid w:val="006C1574"/>
    <w:rsid w:val="006C1F70"/>
    <w:rsid w:val="006C2959"/>
    <w:rsid w:val="006C30FA"/>
    <w:rsid w:val="006C458A"/>
    <w:rsid w:val="006C4A09"/>
    <w:rsid w:val="006C5528"/>
    <w:rsid w:val="006C57C7"/>
    <w:rsid w:val="006C5CDC"/>
    <w:rsid w:val="006C70D6"/>
    <w:rsid w:val="006C712B"/>
    <w:rsid w:val="006C718F"/>
    <w:rsid w:val="006C7A9D"/>
    <w:rsid w:val="006C7D19"/>
    <w:rsid w:val="006D00BA"/>
    <w:rsid w:val="006D063F"/>
    <w:rsid w:val="006D1012"/>
    <w:rsid w:val="006D1022"/>
    <w:rsid w:val="006D1314"/>
    <w:rsid w:val="006D1531"/>
    <w:rsid w:val="006D241E"/>
    <w:rsid w:val="006D2D7D"/>
    <w:rsid w:val="006D2EA2"/>
    <w:rsid w:val="006D3DB0"/>
    <w:rsid w:val="006D4D0A"/>
    <w:rsid w:val="006D5559"/>
    <w:rsid w:val="006D574A"/>
    <w:rsid w:val="006D5951"/>
    <w:rsid w:val="006D7A29"/>
    <w:rsid w:val="006E0415"/>
    <w:rsid w:val="006E057D"/>
    <w:rsid w:val="006E0825"/>
    <w:rsid w:val="006E0F25"/>
    <w:rsid w:val="006E1246"/>
    <w:rsid w:val="006E1266"/>
    <w:rsid w:val="006E1E3F"/>
    <w:rsid w:val="006E2103"/>
    <w:rsid w:val="006E2B73"/>
    <w:rsid w:val="006E2BAF"/>
    <w:rsid w:val="006E3860"/>
    <w:rsid w:val="006E4BEA"/>
    <w:rsid w:val="006E53F9"/>
    <w:rsid w:val="006E601C"/>
    <w:rsid w:val="006E699C"/>
    <w:rsid w:val="006E6A50"/>
    <w:rsid w:val="006E6B31"/>
    <w:rsid w:val="006E6D06"/>
    <w:rsid w:val="006E72BD"/>
    <w:rsid w:val="006E74C7"/>
    <w:rsid w:val="006E762A"/>
    <w:rsid w:val="006F085D"/>
    <w:rsid w:val="006F09A6"/>
    <w:rsid w:val="006F0E13"/>
    <w:rsid w:val="006F0F99"/>
    <w:rsid w:val="006F159B"/>
    <w:rsid w:val="006F1766"/>
    <w:rsid w:val="006F20A9"/>
    <w:rsid w:val="006F2202"/>
    <w:rsid w:val="006F2261"/>
    <w:rsid w:val="006F2979"/>
    <w:rsid w:val="006F2F00"/>
    <w:rsid w:val="006F2F4B"/>
    <w:rsid w:val="006F3F35"/>
    <w:rsid w:val="006F4EAE"/>
    <w:rsid w:val="006F58C7"/>
    <w:rsid w:val="006F63F4"/>
    <w:rsid w:val="006F6E42"/>
    <w:rsid w:val="007001E6"/>
    <w:rsid w:val="00700E57"/>
    <w:rsid w:val="00700EA4"/>
    <w:rsid w:val="00701504"/>
    <w:rsid w:val="007025F8"/>
    <w:rsid w:val="00703214"/>
    <w:rsid w:val="007033FB"/>
    <w:rsid w:val="00704971"/>
    <w:rsid w:val="00704D41"/>
    <w:rsid w:val="00704DD3"/>
    <w:rsid w:val="00704E89"/>
    <w:rsid w:val="00705202"/>
    <w:rsid w:val="007059B5"/>
    <w:rsid w:val="00705EFD"/>
    <w:rsid w:val="00706181"/>
    <w:rsid w:val="007074A3"/>
    <w:rsid w:val="007074C0"/>
    <w:rsid w:val="00707E8C"/>
    <w:rsid w:val="0071039E"/>
    <w:rsid w:val="0071084A"/>
    <w:rsid w:val="00710F6F"/>
    <w:rsid w:val="007120C6"/>
    <w:rsid w:val="007122F5"/>
    <w:rsid w:val="00714512"/>
    <w:rsid w:val="0071531B"/>
    <w:rsid w:val="0071559E"/>
    <w:rsid w:val="00716507"/>
    <w:rsid w:val="0071700D"/>
    <w:rsid w:val="00717459"/>
    <w:rsid w:val="00720CE7"/>
    <w:rsid w:val="00721FB0"/>
    <w:rsid w:val="0072237F"/>
    <w:rsid w:val="00722722"/>
    <w:rsid w:val="00722AB7"/>
    <w:rsid w:val="00722E76"/>
    <w:rsid w:val="00723493"/>
    <w:rsid w:val="00723848"/>
    <w:rsid w:val="00724D2F"/>
    <w:rsid w:val="00725160"/>
    <w:rsid w:val="007255C5"/>
    <w:rsid w:val="007256BA"/>
    <w:rsid w:val="00726833"/>
    <w:rsid w:val="00726D70"/>
    <w:rsid w:val="00727A8F"/>
    <w:rsid w:val="00727AD8"/>
    <w:rsid w:val="00727D0F"/>
    <w:rsid w:val="00730171"/>
    <w:rsid w:val="00730455"/>
    <w:rsid w:val="00731519"/>
    <w:rsid w:val="007315CD"/>
    <w:rsid w:val="00731750"/>
    <w:rsid w:val="0073262F"/>
    <w:rsid w:val="00732C99"/>
    <w:rsid w:val="0073355D"/>
    <w:rsid w:val="0073386C"/>
    <w:rsid w:val="007342D4"/>
    <w:rsid w:val="007369D3"/>
    <w:rsid w:val="00736F9D"/>
    <w:rsid w:val="00737033"/>
    <w:rsid w:val="007372A2"/>
    <w:rsid w:val="00737632"/>
    <w:rsid w:val="00737759"/>
    <w:rsid w:val="0074022D"/>
    <w:rsid w:val="007406F3"/>
    <w:rsid w:val="007409BB"/>
    <w:rsid w:val="007420D4"/>
    <w:rsid w:val="007420F5"/>
    <w:rsid w:val="007426FD"/>
    <w:rsid w:val="00742C27"/>
    <w:rsid w:val="007433F7"/>
    <w:rsid w:val="00743442"/>
    <w:rsid w:val="007434E2"/>
    <w:rsid w:val="007438F5"/>
    <w:rsid w:val="00743C31"/>
    <w:rsid w:val="007444DD"/>
    <w:rsid w:val="00744A1D"/>
    <w:rsid w:val="00744AB9"/>
    <w:rsid w:val="00745176"/>
    <w:rsid w:val="007462F8"/>
    <w:rsid w:val="00746766"/>
    <w:rsid w:val="007468C1"/>
    <w:rsid w:val="00747696"/>
    <w:rsid w:val="00747902"/>
    <w:rsid w:val="00750407"/>
    <w:rsid w:val="007506D6"/>
    <w:rsid w:val="00750B50"/>
    <w:rsid w:val="00751106"/>
    <w:rsid w:val="007522B6"/>
    <w:rsid w:val="007528B3"/>
    <w:rsid w:val="00752A1D"/>
    <w:rsid w:val="00753287"/>
    <w:rsid w:val="007534F6"/>
    <w:rsid w:val="0075393A"/>
    <w:rsid w:val="00754BB0"/>
    <w:rsid w:val="0075525E"/>
    <w:rsid w:val="0075531C"/>
    <w:rsid w:val="007553B0"/>
    <w:rsid w:val="00755BE0"/>
    <w:rsid w:val="0075619C"/>
    <w:rsid w:val="00756425"/>
    <w:rsid w:val="00757256"/>
    <w:rsid w:val="007574E6"/>
    <w:rsid w:val="007575A6"/>
    <w:rsid w:val="00757D9C"/>
    <w:rsid w:val="0076092C"/>
    <w:rsid w:val="00760F5B"/>
    <w:rsid w:val="0076198B"/>
    <w:rsid w:val="00761AD1"/>
    <w:rsid w:val="00761C7B"/>
    <w:rsid w:val="00761CE8"/>
    <w:rsid w:val="00761F80"/>
    <w:rsid w:val="00761FAE"/>
    <w:rsid w:val="00762A84"/>
    <w:rsid w:val="007631F6"/>
    <w:rsid w:val="0076326B"/>
    <w:rsid w:val="0076421C"/>
    <w:rsid w:val="007642E7"/>
    <w:rsid w:val="0076438E"/>
    <w:rsid w:val="007644CF"/>
    <w:rsid w:val="007648EB"/>
    <w:rsid w:val="00765391"/>
    <w:rsid w:val="007660D4"/>
    <w:rsid w:val="007663C6"/>
    <w:rsid w:val="00766F30"/>
    <w:rsid w:val="007670EE"/>
    <w:rsid w:val="00767909"/>
    <w:rsid w:val="00767D15"/>
    <w:rsid w:val="00767D76"/>
    <w:rsid w:val="0077063F"/>
    <w:rsid w:val="007706E2"/>
    <w:rsid w:val="007718DA"/>
    <w:rsid w:val="00771D3C"/>
    <w:rsid w:val="00772784"/>
    <w:rsid w:val="00772EB4"/>
    <w:rsid w:val="0077363F"/>
    <w:rsid w:val="00773D59"/>
    <w:rsid w:val="00773F2D"/>
    <w:rsid w:val="007755DC"/>
    <w:rsid w:val="007757D4"/>
    <w:rsid w:val="00775F8D"/>
    <w:rsid w:val="00776844"/>
    <w:rsid w:val="0077690E"/>
    <w:rsid w:val="00776997"/>
    <w:rsid w:val="00776E63"/>
    <w:rsid w:val="00777229"/>
    <w:rsid w:val="007774B1"/>
    <w:rsid w:val="00777784"/>
    <w:rsid w:val="007805DC"/>
    <w:rsid w:val="00780653"/>
    <w:rsid w:val="00780736"/>
    <w:rsid w:val="007809DC"/>
    <w:rsid w:val="00780C8F"/>
    <w:rsid w:val="007816AB"/>
    <w:rsid w:val="0078177A"/>
    <w:rsid w:val="00782C32"/>
    <w:rsid w:val="00782EA4"/>
    <w:rsid w:val="00783351"/>
    <w:rsid w:val="007842FC"/>
    <w:rsid w:val="007843E9"/>
    <w:rsid w:val="00784A39"/>
    <w:rsid w:val="007850A9"/>
    <w:rsid w:val="00785871"/>
    <w:rsid w:val="00785ADF"/>
    <w:rsid w:val="0078747A"/>
    <w:rsid w:val="007901F8"/>
    <w:rsid w:val="007904CC"/>
    <w:rsid w:val="007904D6"/>
    <w:rsid w:val="00790A01"/>
    <w:rsid w:val="00790C53"/>
    <w:rsid w:val="0079116B"/>
    <w:rsid w:val="00792DAF"/>
    <w:rsid w:val="0079392A"/>
    <w:rsid w:val="00793D25"/>
    <w:rsid w:val="0079495F"/>
    <w:rsid w:val="007954BD"/>
    <w:rsid w:val="0079567C"/>
    <w:rsid w:val="00795FA7"/>
    <w:rsid w:val="0079629F"/>
    <w:rsid w:val="00796738"/>
    <w:rsid w:val="007A03E6"/>
    <w:rsid w:val="007A0400"/>
    <w:rsid w:val="007A085A"/>
    <w:rsid w:val="007A0A50"/>
    <w:rsid w:val="007A0C23"/>
    <w:rsid w:val="007A0C47"/>
    <w:rsid w:val="007A2806"/>
    <w:rsid w:val="007A2908"/>
    <w:rsid w:val="007A5321"/>
    <w:rsid w:val="007A5BBE"/>
    <w:rsid w:val="007A5D09"/>
    <w:rsid w:val="007A63F2"/>
    <w:rsid w:val="007A6BEA"/>
    <w:rsid w:val="007A6EDE"/>
    <w:rsid w:val="007A7042"/>
    <w:rsid w:val="007A79A4"/>
    <w:rsid w:val="007B046C"/>
    <w:rsid w:val="007B1480"/>
    <w:rsid w:val="007B1A6F"/>
    <w:rsid w:val="007B216C"/>
    <w:rsid w:val="007B220B"/>
    <w:rsid w:val="007B2500"/>
    <w:rsid w:val="007B2DE4"/>
    <w:rsid w:val="007B325E"/>
    <w:rsid w:val="007B3663"/>
    <w:rsid w:val="007B3B74"/>
    <w:rsid w:val="007B3F6A"/>
    <w:rsid w:val="007B41F6"/>
    <w:rsid w:val="007B46F9"/>
    <w:rsid w:val="007B4C56"/>
    <w:rsid w:val="007B5338"/>
    <w:rsid w:val="007B6776"/>
    <w:rsid w:val="007B6C32"/>
    <w:rsid w:val="007B6F36"/>
    <w:rsid w:val="007B7675"/>
    <w:rsid w:val="007B7690"/>
    <w:rsid w:val="007B7747"/>
    <w:rsid w:val="007C0069"/>
    <w:rsid w:val="007C065D"/>
    <w:rsid w:val="007C0E98"/>
    <w:rsid w:val="007C1D21"/>
    <w:rsid w:val="007C266F"/>
    <w:rsid w:val="007C2E0B"/>
    <w:rsid w:val="007C31FB"/>
    <w:rsid w:val="007C36DA"/>
    <w:rsid w:val="007C37AA"/>
    <w:rsid w:val="007C48E9"/>
    <w:rsid w:val="007C49EE"/>
    <w:rsid w:val="007C4FF8"/>
    <w:rsid w:val="007C52AF"/>
    <w:rsid w:val="007C58D0"/>
    <w:rsid w:val="007C642C"/>
    <w:rsid w:val="007C6586"/>
    <w:rsid w:val="007C66A8"/>
    <w:rsid w:val="007C69B4"/>
    <w:rsid w:val="007C6CF1"/>
    <w:rsid w:val="007C74B9"/>
    <w:rsid w:val="007C75BF"/>
    <w:rsid w:val="007C7A1D"/>
    <w:rsid w:val="007D0CAC"/>
    <w:rsid w:val="007D13DA"/>
    <w:rsid w:val="007D1587"/>
    <w:rsid w:val="007D2473"/>
    <w:rsid w:val="007D2A96"/>
    <w:rsid w:val="007D2D53"/>
    <w:rsid w:val="007D2EEF"/>
    <w:rsid w:val="007D304A"/>
    <w:rsid w:val="007D32EE"/>
    <w:rsid w:val="007D36F7"/>
    <w:rsid w:val="007D3CFC"/>
    <w:rsid w:val="007D406A"/>
    <w:rsid w:val="007D4ACA"/>
    <w:rsid w:val="007D55E0"/>
    <w:rsid w:val="007D5E91"/>
    <w:rsid w:val="007D60EC"/>
    <w:rsid w:val="007D68DE"/>
    <w:rsid w:val="007D6DB1"/>
    <w:rsid w:val="007D7E99"/>
    <w:rsid w:val="007E0D60"/>
    <w:rsid w:val="007E1249"/>
    <w:rsid w:val="007E1407"/>
    <w:rsid w:val="007E2284"/>
    <w:rsid w:val="007E265D"/>
    <w:rsid w:val="007E2A46"/>
    <w:rsid w:val="007E30FE"/>
    <w:rsid w:val="007E357A"/>
    <w:rsid w:val="007E3604"/>
    <w:rsid w:val="007E3660"/>
    <w:rsid w:val="007E41D4"/>
    <w:rsid w:val="007E44F7"/>
    <w:rsid w:val="007E4C3A"/>
    <w:rsid w:val="007E53F9"/>
    <w:rsid w:val="007E59EC"/>
    <w:rsid w:val="007E5B47"/>
    <w:rsid w:val="007E6038"/>
    <w:rsid w:val="007E637B"/>
    <w:rsid w:val="007E6E54"/>
    <w:rsid w:val="007E73F8"/>
    <w:rsid w:val="007E775F"/>
    <w:rsid w:val="007E7A1D"/>
    <w:rsid w:val="007E7E4C"/>
    <w:rsid w:val="007F051C"/>
    <w:rsid w:val="007F059F"/>
    <w:rsid w:val="007F10BD"/>
    <w:rsid w:val="007F122B"/>
    <w:rsid w:val="007F15EC"/>
    <w:rsid w:val="007F18AF"/>
    <w:rsid w:val="007F242B"/>
    <w:rsid w:val="007F2531"/>
    <w:rsid w:val="007F31CC"/>
    <w:rsid w:val="007F3AF5"/>
    <w:rsid w:val="007F3EAB"/>
    <w:rsid w:val="007F52B7"/>
    <w:rsid w:val="007F5F30"/>
    <w:rsid w:val="007F690E"/>
    <w:rsid w:val="007F6B55"/>
    <w:rsid w:val="007F6EED"/>
    <w:rsid w:val="007F72AA"/>
    <w:rsid w:val="007F7E34"/>
    <w:rsid w:val="00800B06"/>
    <w:rsid w:val="00800D35"/>
    <w:rsid w:val="0080100C"/>
    <w:rsid w:val="00802394"/>
    <w:rsid w:val="008024B2"/>
    <w:rsid w:val="0080319A"/>
    <w:rsid w:val="008032E2"/>
    <w:rsid w:val="0080341E"/>
    <w:rsid w:val="00803870"/>
    <w:rsid w:val="008044A2"/>
    <w:rsid w:val="00804787"/>
    <w:rsid w:val="00804F74"/>
    <w:rsid w:val="00805111"/>
    <w:rsid w:val="00806983"/>
    <w:rsid w:val="008072BA"/>
    <w:rsid w:val="008072DD"/>
    <w:rsid w:val="008074C3"/>
    <w:rsid w:val="00807CB4"/>
    <w:rsid w:val="008102DD"/>
    <w:rsid w:val="008106F6"/>
    <w:rsid w:val="008109E9"/>
    <w:rsid w:val="00810AFD"/>
    <w:rsid w:val="00810DBC"/>
    <w:rsid w:val="00811D4D"/>
    <w:rsid w:val="008121D3"/>
    <w:rsid w:val="00812758"/>
    <w:rsid w:val="008128F2"/>
    <w:rsid w:val="00812B59"/>
    <w:rsid w:val="0081337C"/>
    <w:rsid w:val="00813579"/>
    <w:rsid w:val="008149E9"/>
    <w:rsid w:val="00814D80"/>
    <w:rsid w:val="00814E1F"/>
    <w:rsid w:val="00815284"/>
    <w:rsid w:val="00815368"/>
    <w:rsid w:val="008153B9"/>
    <w:rsid w:val="00816A63"/>
    <w:rsid w:val="00816DDA"/>
    <w:rsid w:val="00816FC6"/>
    <w:rsid w:val="00817046"/>
    <w:rsid w:val="008171AB"/>
    <w:rsid w:val="008171F8"/>
    <w:rsid w:val="00817807"/>
    <w:rsid w:val="00817A1E"/>
    <w:rsid w:val="00817BD3"/>
    <w:rsid w:val="00820102"/>
    <w:rsid w:val="008201FD"/>
    <w:rsid w:val="00820363"/>
    <w:rsid w:val="00820A15"/>
    <w:rsid w:val="00820ABD"/>
    <w:rsid w:val="00820D61"/>
    <w:rsid w:val="00820D8E"/>
    <w:rsid w:val="0082185E"/>
    <w:rsid w:val="00821F8D"/>
    <w:rsid w:val="0082203F"/>
    <w:rsid w:val="008226CE"/>
    <w:rsid w:val="00822986"/>
    <w:rsid w:val="00822FDD"/>
    <w:rsid w:val="00823307"/>
    <w:rsid w:val="00823446"/>
    <w:rsid w:val="00823727"/>
    <w:rsid w:val="00823933"/>
    <w:rsid w:val="0082453A"/>
    <w:rsid w:val="00824BB5"/>
    <w:rsid w:val="00826419"/>
    <w:rsid w:val="00826A28"/>
    <w:rsid w:val="00826B56"/>
    <w:rsid w:val="00827102"/>
    <w:rsid w:val="008279E4"/>
    <w:rsid w:val="0082913A"/>
    <w:rsid w:val="00830E82"/>
    <w:rsid w:val="0083124C"/>
    <w:rsid w:val="00831518"/>
    <w:rsid w:val="00832283"/>
    <w:rsid w:val="0083298D"/>
    <w:rsid w:val="00833A78"/>
    <w:rsid w:val="008342DE"/>
    <w:rsid w:val="00834596"/>
    <w:rsid w:val="00834B83"/>
    <w:rsid w:val="00834E48"/>
    <w:rsid w:val="008361A0"/>
    <w:rsid w:val="00837916"/>
    <w:rsid w:val="00837AF3"/>
    <w:rsid w:val="008401D4"/>
    <w:rsid w:val="00840220"/>
    <w:rsid w:val="008413EC"/>
    <w:rsid w:val="00841D02"/>
    <w:rsid w:val="00842385"/>
    <w:rsid w:val="00843208"/>
    <w:rsid w:val="00843CDD"/>
    <w:rsid w:val="00843D88"/>
    <w:rsid w:val="00843EC9"/>
    <w:rsid w:val="008446BD"/>
    <w:rsid w:val="008450D5"/>
    <w:rsid w:val="00845306"/>
    <w:rsid w:val="008453E1"/>
    <w:rsid w:val="00845994"/>
    <w:rsid w:val="00845F19"/>
    <w:rsid w:val="00846214"/>
    <w:rsid w:val="00846B42"/>
    <w:rsid w:val="00847B39"/>
    <w:rsid w:val="00847BCF"/>
    <w:rsid w:val="008500E1"/>
    <w:rsid w:val="008503D0"/>
    <w:rsid w:val="00851273"/>
    <w:rsid w:val="008516F1"/>
    <w:rsid w:val="00851769"/>
    <w:rsid w:val="00851A74"/>
    <w:rsid w:val="008520A4"/>
    <w:rsid w:val="00852240"/>
    <w:rsid w:val="00852494"/>
    <w:rsid w:val="008531CB"/>
    <w:rsid w:val="00853289"/>
    <w:rsid w:val="0085351D"/>
    <w:rsid w:val="0085438D"/>
    <w:rsid w:val="008552CD"/>
    <w:rsid w:val="008568C3"/>
    <w:rsid w:val="00856FF9"/>
    <w:rsid w:val="0086033A"/>
    <w:rsid w:val="00860724"/>
    <w:rsid w:val="00860AA1"/>
    <w:rsid w:val="00860E98"/>
    <w:rsid w:val="008619AE"/>
    <w:rsid w:val="00861B65"/>
    <w:rsid w:val="00862A14"/>
    <w:rsid w:val="00862BE2"/>
    <w:rsid w:val="00863EBF"/>
    <w:rsid w:val="00864AD6"/>
    <w:rsid w:val="00864B2A"/>
    <w:rsid w:val="0086519D"/>
    <w:rsid w:val="00865F2D"/>
    <w:rsid w:val="00866123"/>
    <w:rsid w:val="008667CF"/>
    <w:rsid w:val="00866B4E"/>
    <w:rsid w:val="00866CAB"/>
    <w:rsid w:val="00866ECC"/>
    <w:rsid w:val="0086731F"/>
    <w:rsid w:val="00867BFE"/>
    <w:rsid w:val="00870031"/>
    <w:rsid w:val="00870480"/>
    <w:rsid w:val="00870847"/>
    <w:rsid w:val="00870AAD"/>
    <w:rsid w:val="00870CCC"/>
    <w:rsid w:val="008711C4"/>
    <w:rsid w:val="008711D5"/>
    <w:rsid w:val="0087120B"/>
    <w:rsid w:val="00871C77"/>
    <w:rsid w:val="00872335"/>
    <w:rsid w:val="008727F7"/>
    <w:rsid w:val="00872B54"/>
    <w:rsid w:val="008735A5"/>
    <w:rsid w:val="008746D2"/>
    <w:rsid w:val="0087491B"/>
    <w:rsid w:val="00874B21"/>
    <w:rsid w:val="00875189"/>
    <w:rsid w:val="00875359"/>
    <w:rsid w:val="008755E5"/>
    <w:rsid w:val="00876238"/>
    <w:rsid w:val="00876788"/>
    <w:rsid w:val="00876956"/>
    <w:rsid w:val="00876F30"/>
    <w:rsid w:val="0087792F"/>
    <w:rsid w:val="00877C89"/>
    <w:rsid w:val="00877DB8"/>
    <w:rsid w:val="00878D18"/>
    <w:rsid w:val="00880A2B"/>
    <w:rsid w:val="00880EAF"/>
    <w:rsid w:val="008815A4"/>
    <w:rsid w:val="00881D0D"/>
    <w:rsid w:val="00881DF3"/>
    <w:rsid w:val="00881E2E"/>
    <w:rsid w:val="0088259E"/>
    <w:rsid w:val="00882760"/>
    <w:rsid w:val="00882FBA"/>
    <w:rsid w:val="00883077"/>
    <w:rsid w:val="00883397"/>
    <w:rsid w:val="008838AB"/>
    <w:rsid w:val="008845F9"/>
    <w:rsid w:val="00884938"/>
    <w:rsid w:val="008849CB"/>
    <w:rsid w:val="00885230"/>
    <w:rsid w:val="008857DD"/>
    <w:rsid w:val="008859E5"/>
    <w:rsid w:val="0088697D"/>
    <w:rsid w:val="00886C63"/>
    <w:rsid w:val="00886F96"/>
    <w:rsid w:val="00887FD3"/>
    <w:rsid w:val="008900FE"/>
    <w:rsid w:val="0089028A"/>
    <w:rsid w:val="00890425"/>
    <w:rsid w:val="00891066"/>
    <w:rsid w:val="00891546"/>
    <w:rsid w:val="00891DB3"/>
    <w:rsid w:val="0089219D"/>
    <w:rsid w:val="00892241"/>
    <w:rsid w:val="008923E8"/>
    <w:rsid w:val="008930A6"/>
    <w:rsid w:val="00893496"/>
    <w:rsid w:val="0089351D"/>
    <w:rsid w:val="00894393"/>
    <w:rsid w:val="008946C7"/>
    <w:rsid w:val="00894954"/>
    <w:rsid w:val="00896B29"/>
    <w:rsid w:val="00897721"/>
    <w:rsid w:val="00897BDD"/>
    <w:rsid w:val="008A01A5"/>
    <w:rsid w:val="008A058F"/>
    <w:rsid w:val="008A06FC"/>
    <w:rsid w:val="008A07CF"/>
    <w:rsid w:val="008A0BC1"/>
    <w:rsid w:val="008A1C48"/>
    <w:rsid w:val="008A1C8E"/>
    <w:rsid w:val="008A1F8A"/>
    <w:rsid w:val="008A2102"/>
    <w:rsid w:val="008A27B0"/>
    <w:rsid w:val="008A2EF7"/>
    <w:rsid w:val="008A2FBB"/>
    <w:rsid w:val="008A4CFA"/>
    <w:rsid w:val="008A4FD3"/>
    <w:rsid w:val="008A5BEA"/>
    <w:rsid w:val="008A6A24"/>
    <w:rsid w:val="008A6DEF"/>
    <w:rsid w:val="008A7C7C"/>
    <w:rsid w:val="008A7D73"/>
    <w:rsid w:val="008B0355"/>
    <w:rsid w:val="008B0958"/>
    <w:rsid w:val="008B0AB0"/>
    <w:rsid w:val="008B1254"/>
    <w:rsid w:val="008B150B"/>
    <w:rsid w:val="008B178B"/>
    <w:rsid w:val="008B17A6"/>
    <w:rsid w:val="008B1929"/>
    <w:rsid w:val="008B2A78"/>
    <w:rsid w:val="008B2E4D"/>
    <w:rsid w:val="008B338F"/>
    <w:rsid w:val="008B33B7"/>
    <w:rsid w:val="008B3844"/>
    <w:rsid w:val="008B4188"/>
    <w:rsid w:val="008B4C7D"/>
    <w:rsid w:val="008B4C98"/>
    <w:rsid w:val="008B526A"/>
    <w:rsid w:val="008B5401"/>
    <w:rsid w:val="008B57FD"/>
    <w:rsid w:val="008B5EA0"/>
    <w:rsid w:val="008B6CC2"/>
    <w:rsid w:val="008B6CF6"/>
    <w:rsid w:val="008B6D21"/>
    <w:rsid w:val="008B6E8B"/>
    <w:rsid w:val="008B7895"/>
    <w:rsid w:val="008B7A70"/>
    <w:rsid w:val="008C107A"/>
    <w:rsid w:val="008C11BD"/>
    <w:rsid w:val="008C1BCD"/>
    <w:rsid w:val="008C1F63"/>
    <w:rsid w:val="008C235B"/>
    <w:rsid w:val="008C258E"/>
    <w:rsid w:val="008C2665"/>
    <w:rsid w:val="008C27CA"/>
    <w:rsid w:val="008C27D7"/>
    <w:rsid w:val="008C294D"/>
    <w:rsid w:val="008C2B98"/>
    <w:rsid w:val="008C2C38"/>
    <w:rsid w:val="008C2EC9"/>
    <w:rsid w:val="008C442A"/>
    <w:rsid w:val="008C46C5"/>
    <w:rsid w:val="008C4B1B"/>
    <w:rsid w:val="008C5088"/>
    <w:rsid w:val="008C5496"/>
    <w:rsid w:val="008C5C9B"/>
    <w:rsid w:val="008C5DC7"/>
    <w:rsid w:val="008C5F8B"/>
    <w:rsid w:val="008C6081"/>
    <w:rsid w:val="008C62A5"/>
    <w:rsid w:val="008C6F06"/>
    <w:rsid w:val="008C76C7"/>
    <w:rsid w:val="008C7877"/>
    <w:rsid w:val="008D1B84"/>
    <w:rsid w:val="008D27AF"/>
    <w:rsid w:val="008D2C38"/>
    <w:rsid w:val="008D2FC6"/>
    <w:rsid w:val="008D3C94"/>
    <w:rsid w:val="008D4126"/>
    <w:rsid w:val="008D509B"/>
    <w:rsid w:val="008D540E"/>
    <w:rsid w:val="008D63AE"/>
    <w:rsid w:val="008D6C27"/>
    <w:rsid w:val="008D7236"/>
    <w:rsid w:val="008D7BAD"/>
    <w:rsid w:val="008E0144"/>
    <w:rsid w:val="008E06B0"/>
    <w:rsid w:val="008E0C48"/>
    <w:rsid w:val="008E1456"/>
    <w:rsid w:val="008E19CE"/>
    <w:rsid w:val="008E2DC2"/>
    <w:rsid w:val="008E3A60"/>
    <w:rsid w:val="008E3F71"/>
    <w:rsid w:val="008E4076"/>
    <w:rsid w:val="008E4B7A"/>
    <w:rsid w:val="008E508C"/>
    <w:rsid w:val="008E5EA9"/>
    <w:rsid w:val="008E6619"/>
    <w:rsid w:val="008E6B48"/>
    <w:rsid w:val="008E74FD"/>
    <w:rsid w:val="008E7E47"/>
    <w:rsid w:val="008F032C"/>
    <w:rsid w:val="008F0BFC"/>
    <w:rsid w:val="008F14FB"/>
    <w:rsid w:val="008F19BE"/>
    <w:rsid w:val="008F2285"/>
    <w:rsid w:val="008F2571"/>
    <w:rsid w:val="008F2BD2"/>
    <w:rsid w:val="008F338A"/>
    <w:rsid w:val="008F48E3"/>
    <w:rsid w:val="008F4D0C"/>
    <w:rsid w:val="008F558B"/>
    <w:rsid w:val="008F562D"/>
    <w:rsid w:val="008F62D5"/>
    <w:rsid w:val="008F645B"/>
    <w:rsid w:val="008F659F"/>
    <w:rsid w:val="008F690F"/>
    <w:rsid w:val="008F7236"/>
    <w:rsid w:val="0090065C"/>
    <w:rsid w:val="0090098E"/>
    <w:rsid w:val="00901C77"/>
    <w:rsid w:val="00901E13"/>
    <w:rsid w:val="00901F81"/>
    <w:rsid w:val="00902873"/>
    <w:rsid w:val="0090292A"/>
    <w:rsid w:val="00902A8F"/>
    <w:rsid w:val="00903415"/>
    <w:rsid w:val="009038DC"/>
    <w:rsid w:val="009048B9"/>
    <w:rsid w:val="009048ED"/>
    <w:rsid w:val="00904C72"/>
    <w:rsid w:val="00904C73"/>
    <w:rsid w:val="00904D3B"/>
    <w:rsid w:val="009050BC"/>
    <w:rsid w:val="00905BCB"/>
    <w:rsid w:val="00906B04"/>
    <w:rsid w:val="00906D6A"/>
    <w:rsid w:val="00910204"/>
    <w:rsid w:val="009104CA"/>
    <w:rsid w:val="0091052B"/>
    <w:rsid w:val="00911A45"/>
    <w:rsid w:val="00912ED6"/>
    <w:rsid w:val="0091307E"/>
    <w:rsid w:val="009132B8"/>
    <w:rsid w:val="00913BA2"/>
    <w:rsid w:val="009140A3"/>
    <w:rsid w:val="009143D4"/>
    <w:rsid w:val="0091497D"/>
    <w:rsid w:val="00914C0D"/>
    <w:rsid w:val="00915566"/>
    <w:rsid w:val="009156AB"/>
    <w:rsid w:val="009156C6"/>
    <w:rsid w:val="0091613D"/>
    <w:rsid w:val="00916B2C"/>
    <w:rsid w:val="00916EA1"/>
    <w:rsid w:val="009170B5"/>
    <w:rsid w:val="00920279"/>
    <w:rsid w:val="009221D9"/>
    <w:rsid w:val="0092314D"/>
    <w:rsid w:val="009237AD"/>
    <w:rsid w:val="00923901"/>
    <w:rsid w:val="00924312"/>
    <w:rsid w:val="009247DC"/>
    <w:rsid w:val="00924A26"/>
    <w:rsid w:val="00924D4E"/>
    <w:rsid w:val="009252B0"/>
    <w:rsid w:val="009256F2"/>
    <w:rsid w:val="009268AF"/>
    <w:rsid w:val="00926A5C"/>
    <w:rsid w:val="00926BAD"/>
    <w:rsid w:val="00926FB4"/>
    <w:rsid w:val="00926FE9"/>
    <w:rsid w:val="00927BCD"/>
    <w:rsid w:val="0093008E"/>
    <w:rsid w:val="00930681"/>
    <w:rsid w:val="00930B5D"/>
    <w:rsid w:val="00932446"/>
    <w:rsid w:val="00932D4F"/>
    <w:rsid w:val="00932F98"/>
    <w:rsid w:val="00934489"/>
    <w:rsid w:val="00935F01"/>
    <w:rsid w:val="00935FB3"/>
    <w:rsid w:val="0093625C"/>
    <w:rsid w:val="009367EC"/>
    <w:rsid w:val="009368DB"/>
    <w:rsid w:val="00936C20"/>
    <w:rsid w:val="00937314"/>
    <w:rsid w:val="00937B79"/>
    <w:rsid w:val="0094074E"/>
    <w:rsid w:val="00940BBE"/>
    <w:rsid w:val="00940E0C"/>
    <w:rsid w:val="00940E1F"/>
    <w:rsid w:val="00941146"/>
    <w:rsid w:val="009415BB"/>
    <w:rsid w:val="00941ABF"/>
    <w:rsid w:val="009429EE"/>
    <w:rsid w:val="00943755"/>
    <w:rsid w:val="00943D00"/>
    <w:rsid w:val="00944334"/>
    <w:rsid w:val="0094495C"/>
    <w:rsid w:val="00945401"/>
    <w:rsid w:val="0094607B"/>
    <w:rsid w:val="009469C8"/>
    <w:rsid w:val="009470FF"/>
    <w:rsid w:val="009477E2"/>
    <w:rsid w:val="00947DC1"/>
    <w:rsid w:val="00950290"/>
    <w:rsid w:val="009503CF"/>
    <w:rsid w:val="00950948"/>
    <w:rsid w:val="009509B4"/>
    <w:rsid w:val="009517CC"/>
    <w:rsid w:val="009518C4"/>
    <w:rsid w:val="00951952"/>
    <w:rsid w:val="00952381"/>
    <w:rsid w:val="00952CF8"/>
    <w:rsid w:val="009541CA"/>
    <w:rsid w:val="009545C8"/>
    <w:rsid w:val="00954D4B"/>
    <w:rsid w:val="00954E42"/>
    <w:rsid w:val="00955C10"/>
    <w:rsid w:val="00955E91"/>
    <w:rsid w:val="00956F72"/>
    <w:rsid w:val="009570A3"/>
    <w:rsid w:val="00957C54"/>
    <w:rsid w:val="00957CF9"/>
    <w:rsid w:val="00957D51"/>
    <w:rsid w:val="00957E4B"/>
    <w:rsid w:val="00960606"/>
    <w:rsid w:val="00961328"/>
    <w:rsid w:val="00961B13"/>
    <w:rsid w:val="00961FE6"/>
    <w:rsid w:val="009620B0"/>
    <w:rsid w:val="009624DF"/>
    <w:rsid w:val="009626F4"/>
    <w:rsid w:val="009627A1"/>
    <w:rsid w:val="00962CF4"/>
    <w:rsid w:val="009639F3"/>
    <w:rsid w:val="00963D0F"/>
    <w:rsid w:val="00963DA7"/>
    <w:rsid w:val="0096455E"/>
    <w:rsid w:val="00964875"/>
    <w:rsid w:val="00964AA3"/>
    <w:rsid w:val="00965848"/>
    <w:rsid w:val="00965C4F"/>
    <w:rsid w:val="00966755"/>
    <w:rsid w:val="0096696E"/>
    <w:rsid w:val="00966D72"/>
    <w:rsid w:val="00966ED3"/>
    <w:rsid w:val="00966F46"/>
    <w:rsid w:val="009673E6"/>
    <w:rsid w:val="0096787C"/>
    <w:rsid w:val="00967A3F"/>
    <w:rsid w:val="00967F52"/>
    <w:rsid w:val="00970852"/>
    <w:rsid w:val="009708A4"/>
    <w:rsid w:val="00971BC0"/>
    <w:rsid w:val="00972534"/>
    <w:rsid w:val="0097292A"/>
    <w:rsid w:val="00972F54"/>
    <w:rsid w:val="0097372F"/>
    <w:rsid w:val="00974466"/>
    <w:rsid w:val="00974625"/>
    <w:rsid w:val="00974BAF"/>
    <w:rsid w:val="00975AFD"/>
    <w:rsid w:val="00975C98"/>
    <w:rsid w:val="00975D66"/>
    <w:rsid w:val="00975EBD"/>
    <w:rsid w:val="00976493"/>
    <w:rsid w:val="00977CEE"/>
    <w:rsid w:val="00977E85"/>
    <w:rsid w:val="009800F0"/>
    <w:rsid w:val="009802FA"/>
    <w:rsid w:val="00980365"/>
    <w:rsid w:val="0098046A"/>
    <w:rsid w:val="00980E59"/>
    <w:rsid w:val="00981D77"/>
    <w:rsid w:val="00981EF4"/>
    <w:rsid w:val="0098232C"/>
    <w:rsid w:val="0098238F"/>
    <w:rsid w:val="00982414"/>
    <w:rsid w:val="00982B44"/>
    <w:rsid w:val="00982D0F"/>
    <w:rsid w:val="00983199"/>
    <w:rsid w:val="00983C4F"/>
    <w:rsid w:val="0098406A"/>
    <w:rsid w:val="009845D7"/>
    <w:rsid w:val="00984B4A"/>
    <w:rsid w:val="009857FA"/>
    <w:rsid w:val="00985906"/>
    <w:rsid w:val="00986551"/>
    <w:rsid w:val="009877F2"/>
    <w:rsid w:val="00987D1B"/>
    <w:rsid w:val="00987E06"/>
    <w:rsid w:val="00990D18"/>
    <w:rsid w:val="00990E9C"/>
    <w:rsid w:val="00991459"/>
    <w:rsid w:val="00991CDD"/>
    <w:rsid w:val="00992535"/>
    <w:rsid w:val="009926DE"/>
    <w:rsid w:val="00992F56"/>
    <w:rsid w:val="0099456E"/>
    <w:rsid w:val="009949D8"/>
    <w:rsid w:val="00995497"/>
    <w:rsid w:val="00995D73"/>
    <w:rsid w:val="00996B62"/>
    <w:rsid w:val="00996C1B"/>
    <w:rsid w:val="009977CB"/>
    <w:rsid w:val="0099783A"/>
    <w:rsid w:val="00997962"/>
    <w:rsid w:val="009A0170"/>
    <w:rsid w:val="009A0648"/>
    <w:rsid w:val="009A0E4F"/>
    <w:rsid w:val="009A1627"/>
    <w:rsid w:val="009A242A"/>
    <w:rsid w:val="009A267B"/>
    <w:rsid w:val="009A2708"/>
    <w:rsid w:val="009A2CB1"/>
    <w:rsid w:val="009A394A"/>
    <w:rsid w:val="009A4A16"/>
    <w:rsid w:val="009A4C1A"/>
    <w:rsid w:val="009A6001"/>
    <w:rsid w:val="009A63C6"/>
    <w:rsid w:val="009A6419"/>
    <w:rsid w:val="009A6687"/>
    <w:rsid w:val="009A6AF1"/>
    <w:rsid w:val="009A7790"/>
    <w:rsid w:val="009B017F"/>
    <w:rsid w:val="009B02DD"/>
    <w:rsid w:val="009B0816"/>
    <w:rsid w:val="009B2636"/>
    <w:rsid w:val="009B351A"/>
    <w:rsid w:val="009B46E2"/>
    <w:rsid w:val="009B530F"/>
    <w:rsid w:val="009B5ECA"/>
    <w:rsid w:val="009B6168"/>
    <w:rsid w:val="009B6AEC"/>
    <w:rsid w:val="009B6C88"/>
    <w:rsid w:val="009B6CCE"/>
    <w:rsid w:val="009B7689"/>
    <w:rsid w:val="009C0AB6"/>
    <w:rsid w:val="009C0E0C"/>
    <w:rsid w:val="009C1B17"/>
    <w:rsid w:val="009C1D93"/>
    <w:rsid w:val="009C2E56"/>
    <w:rsid w:val="009C39F7"/>
    <w:rsid w:val="009C3A2B"/>
    <w:rsid w:val="009C3BAA"/>
    <w:rsid w:val="009C3DB4"/>
    <w:rsid w:val="009C4330"/>
    <w:rsid w:val="009C4410"/>
    <w:rsid w:val="009C49AC"/>
    <w:rsid w:val="009C5778"/>
    <w:rsid w:val="009C5931"/>
    <w:rsid w:val="009C5A3E"/>
    <w:rsid w:val="009C645B"/>
    <w:rsid w:val="009C66D1"/>
    <w:rsid w:val="009C6D20"/>
    <w:rsid w:val="009C77E3"/>
    <w:rsid w:val="009C7861"/>
    <w:rsid w:val="009C7AA3"/>
    <w:rsid w:val="009D008F"/>
    <w:rsid w:val="009D01CD"/>
    <w:rsid w:val="009D0378"/>
    <w:rsid w:val="009D0AC1"/>
    <w:rsid w:val="009D102C"/>
    <w:rsid w:val="009D1A9B"/>
    <w:rsid w:val="009D2268"/>
    <w:rsid w:val="009D2AE6"/>
    <w:rsid w:val="009D3773"/>
    <w:rsid w:val="009D3902"/>
    <w:rsid w:val="009D3F50"/>
    <w:rsid w:val="009D4092"/>
    <w:rsid w:val="009D416A"/>
    <w:rsid w:val="009D4EE7"/>
    <w:rsid w:val="009D53E5"/>
    <w:rsid w:val="009D5DA7"/>
    <w:rsid w:val="009D648C"/>
    <w:rsid w:val="009D6922"/>
    <w:rsid w:val="009D7227"/>
    <w:rsid w:val="009D74AA"/>
    <w:rsid w:val="009D7B8C"/>
    <w:rsid w:val="009E06D1"/>
    <w:rsid w:val="009E167F"/>
    <w:rsid w:val="009E17EA"/>
    <w:rsid w:val="009E1B9F"/>
    <w:rsid w:val="009E2D83"/>
    <w:rsid w:val="009E3619"/>
    <w:rsid w:val="009E3AD8"/>
    <w:rsid w:val="009E3C88"/>
    <w:rsid w:val="009E45B6"/>
    <w:rsid w:val="009E47D1"/>
    <w:rsid w:val="009E572F"/>
    <w:rsid w:val="009E59A1"/>
    <w:rsid w:val="009E59D9"/>
    <w:rsid w:val="009E5A3C"/>
    <w:rsid w:val="009E605A"/>
    <w:rsid w:val="009E6325"/>
    <w:rsid w:val="009E6996"/>
    <w:rsid w:val="009E6B48"/>
    <w:rsid w:val="009E6F71"/>
    <w:rsid w:val="009E70F1"/>
    <w:rsid w:val="009E7EAB"/>
    <w:rsid w:val="009F000C"/>
    <w:rsid w:val="009F05DF"/>
    <w:rsid w:val="009F222A"/>
    <w:rsid w:val="009F223F"/>
    <w:rsid w:val="009F2280"/>
    <w:rsid w:val="009F39BD"/>
    <w:rsid w:val="009F3F92"/>
    <w:rsid w:val="009F4009"/>
    <w:rsid w:val="009F4BEF"/>
    <w:rsid w:val="009F55DB"/>
    <w:rsid w:val="009F57FA"/>
    <w:rsid w:val="009F5E10"/>
    <w:rsid w:val="009F5EC0"/>
    <w:rsid w:val="009F6E6B"/>
    <w:rsid w:val="009F7487"/>
    <w:rsid w:val="009F77AE"/>
    <w:rsid w:val="009F77ED"/>
    <w:rsid w:val="009F7F08"/>
    <w:rsid w:val="00A00032"/>
    <w:rsid w:val="00A00F2F"/>
    <w:rsid w:val="00A01F55"/>
    <w:rsid w:val="00A026A3"/>
    <w:rsid w:val="00A02929"/>
    <w:rsid w:val="00A029A4"/>
    <w:rsid w:val="00A02D75"/>
    <w:rsid w:val="00A02EBE"/>
    <w:rsid w:val="00A05854"/>
    <w:rsid w:val="00A05BBE"/>
    <w:rsid w:val="00A0601B"/>
    <w:rsid w:val="00A06D5B"/>
    <w:rsid w:val="00A0779F"/>
    <w:rsid w:val="00A07CD5"/>
    <w:rsid w:val="00A07E00"/>
    <w:rsid w:val="00A10438"/>
    <w:rsid w:val="00A1144B"/>
    <w:rsid w:val="00A11C2D"/>
    <w:rsid w:val="00A11E0D"/>
    <w:rsid w:val="00A124CB"/>
    <w:rsid w:val="00A131DF"/>
    <w:rsid w:val="00A14548"/>
    <w:rsid w:val="00A14BCF"/>
    <w:rsid w:val="00A15B3F"/>
    <w:rsid w:val="00A16B9E"/>
    <w:rsid w:val="00A16C4D"/>
    <w:rsid w:val="00A17535"/>
    <w:rsid w:val="00A210EC"/>
    <w:rsid w:val="00A2143B"/>
    <w:rsid w:val="00A22121"/>
    <w:rsid w:val="00A223F7"/>
    <w:rsid w:val="00A228DF"/>
    <w:rsid w:val="00A22986"/>
    <w:rsid w:val="00A22EC2"/>
    <w:rsid w:val="00A22F19"/>
    <w:rsid w:val="00A2362D"/>
    <w:rsid w:val="00A237EB"/>
    <w:rsid w:val="00A2399D"/>
    <w:rsid w:val="00A24131"/>
    <w:rsid w:val="00A2428C"/>
    <w:rsid w:val="00A24545"/>
    <w:rsid w:val="00A249CA"/>
    <w:rsid w:val="00A253E8"/>
    <w:rsid w:val="00A30741"/>
    <w:rsid w:val="00A32A80"/>
    <w:rsid w:val="00A32EE9"/>
    <w:rsid w:val="00A34105"/>
    <w:rsid w:val="00A34568"/>
    <w:rsid w:val="00A35FF5"/>
    <w:rsid w:val="00A36C93"/>
    <w:rsid w:val="00A36EEE"/>
    <w:rsid w:val="00A37625"/>
    <w:rsid w:val="00A376AC"/>
    <w:rsid w:val="00A40323"/>
    <w:rsid w:val="00A4342F"/>
    <w:rsid w:val="00A439E4"/>
    <w:rsid w:val="00A45CC4"/>
    <w:rsid w:val="00A45CD9"/>
    <w:rsid w:val="00A46270"/>
    <w:rsid w:val="00A462BE"/>
    <w:rsid w:val="00A469E3"/>
    <w:rsid w:val="00A46D43"/>
    <w:rsid w:val="00A46FDD"/>
    <w:rsid w:val="00A47167"/>
    <w:rsid w:val="00A478F0"/>
    <w:rsid w:val="00A501B6"/>
    <w:rsid w:val="00A50309"/>
    <w:rsid w:val="00A50394"/>
    <w:rsid w:val="00A51A41"/>
    <w:rsid w:val="00A52210"/>
    <w:rsid w:val="00A52370"/>
    <w:rsid w:val="00A54072"/>
    <w:rsid w:val="00A54A52"/>
    <w:rsid w:val="00A5525E"/>
    <w:rsid w:val="00A555CE"/>
    <w:rsid w:val="00A5618D"/>
    <w:rsid w:val="00A56E32"/>
    <w:rsid w:val="00A57092"/>
    <w:rsid w:val="00A57943"/>
    <w:rsid w:val="00A57CF8"/>
    <w:rsid w:val="00A60079"/>
    <w:rsid w:val="00A60484"/>
    <w:rsid w:val="00A60909"/>
    <w:rsid w:val="00A61180"/>
    <w:rsid w:val="00A613EA"/>
    <w:rsid w:val="00A61491"/>
    <w:rsid w:val="00A61495"/>
    <w:rsid w:val="00A6219D"/>
    <w:rsid w:val="00A62799"/>
    <w:rsid w:val="00A63F56"/>
    <w:rsid w:val="00A64045"/>
    <w:rsid w:val="00A646D9"/>
    <w:rsid w:val="00A654B3"/>
    <w:rsid w:val="00A6590E"/>
    <w:rsid w:val="00A65C64"/>
    <w:rsid w:val="00A66571"/>
    <w:rsid w:val="00A66FEF"/>
    <w:rsid w:val="00A676EA"/>
    <w:rsid w:val="00A70075"/>
    <w:rsid w:val="00A701D4"/>
    <w:rsid w:val="00A702BA"/>
    <w:rsid w:val="00A70530"/>
    <w:rsid w:val="00A71475"/>
    <w:rsid w:val="00A71709"/>
    <w:rsid w:val="00A71D0C"/>
    <w:rsid w:val="00A71ECF"/>
    <w:rsid w:val="00A722BF"/>
    <w:rsid w:val="00A72F78"/>
    <w:rsid w:val="00A73B31"/>
    <w:rsid w:val="00A73E84"/>
    <w:rsid w:val="00A73FB7"/>
    <w:rsid w:val="00A74136"/>
    <w:rsid w:val="00A74F73"/>
    <w:rsid w:val="00A75329"/>
    <w:rsid w:val="00A75EA6"/>
    <w:rsid w:val="00A761DE"/>
    <w:rsid w:val="00A76590"/>
    <w:rsid w:val="00A77142"/>
    <w:rsid w:val="00A77D52"/>
    <w:rsid w:val="00A82C0C"/>
    <w:rsid w:val="00A830E6"/>
    <w:rsid w:val="00A83ABE"/>
    <w:rsid w:val="00A83FF5"/>
    <w:rsid w:val="00A84EF1"/>
    <w:rsid w:val="00A85573"/>
    <w:rsid w:val="00A85891"/>
    <w:rsid w:val="00A85BB4"/>
    <w:rsid w:val="00A85C34"/>
    <w:rsid w:val="00A85E10"/>
    <w:rsid w:val="00A86FC9"/>
    <w:rsid w:val="00A87512"/>
    <w:rsid w:val="00A8777D"/>
    <w:rsid w:val="00A87A2F"/>
    <w:rsid w:val="00A90587"/>
    <w:rsid w:val="00A90BF9"/>
    <w:rsid w:val="00A910F8"/>
    <w:rsid w:val="00A9122A"/>
    <w:rsid w:val="00A9162A"/>
    <w:rsid w:val="00A91811"/>
    <w:rsid w:val="00A924FA"/>
    <w:rsid w:val="00A92876"/>
    <w:rsid w:val="00A92A52"/>
    <w:rsid w:val="00A9381F"/>
    <w:rsid w:val="00A93EB9"/>
    <w:rsid w:val="00A93F60"/>
    <w:rsid w:val="00A956ED"/>
    <w:rsid w:val="00A95895"/>
    <w:rsid w:val="00A95A07"/>
    <w:rsid w:val="00A9676A"/>
    <w:rsid w:val="00A9701D"/>
    <w:rsid w:val="00A97B5C"/>
    <w:rsid w:val="00A97B92"/>
    <w:rsid w:val="00AA065E"/>
    <w:rsid w:val="00AA0734"/>
    <w:rsid w:val="00AA15F9"/>
    <w:rsid w:val="00AA1A60"/>
    <w:rsid w:val="00AA1D82"/>
    <w:rsid w:val="00AA20D8"/>
    <w:rsid w:val="00AA2A5E"/>
    <w:rsid w:val="00AA2EE4"/>
    <w:rsid w:val="00AA33EE"/>
    <w:rsid w:val="00AA3883"/>
    <w:rsid w:val="00AA3904"/>
    <w:rsid w:val="00AA3946"/>
    <w:rsid w:val="00AA3A33"/>
    <w:rsid w:val="00AA3CCD"/>
    <w:rsid w:val="00AA4333"/>
    <w:rsid w:val="00AA4A20"/>
    <w:rsid w:val="00AA4F43"/>
    <w:rsid w:val="00AA512B"/>
    <w:rsid w:val="00AA54A9"/>
    <w:rsid w:val="00AA5E6A"/>
    <w:rsid w:val="00AA6E21"/>
    <w:rsid w:val="00AA769E"/>
    <w:rsid w:val="00AA7F93"/>
    <w:rsid w:val="00AB00D0"/>
    <w:rsid w:val="00AB09CA"/>
    <w:rsid w:val="00AB0DBF"/>
    <w:rsid w:val="00AB14A2"/>
    <w:rsid w:val="00AB2861"/>
    <w:rsid w:val="00AB29EB"/>
    <w:rsid w:val="00AB3246"/>
    <w:rsid w:val="00AB363E"/>
    <w:rsid w:val="00AB3A1E"/>
    <w:rsid w:val="00AB3C44"/>
    <w:rsid w:val="00AB67A5"/>
    <w:rsid w:val="00AB6A6C"/>
    <w:rsid w:val="00AB6B0A"/>
    <w:rsid w:val="00AB6C55"/>
    <w:rsid w:val="00AB6DAC"/>
    <w:rsid w:val="00AB6F41"/>
    <w:rsid w:val="00AB79EB"/>
    <w:rsid w:val="00AB7A12"/>
    <w:rsid w:val="00AB7E44"/>
    <w:rsid w:val="00AC0118"/>
    <w:rsid w:val="00AC0279"/>
    <w:rsid w:val="00AC0650"/>
    <w:rsid w:val="00AC1320"/>
    <w:rsid w:val="00AC13FC"/>
    <w:rsid w:val="00AC1959"/>
    <w:rsid w:val="00AC20E1"/>
    <w:rsid w:val="00AC2B9F"/>
    <w:rsid w:val="00AC34AA"/>
    <w:rsid w:val="00AC3803"/>
    <w:rsid w:val="00AC3F05"/>
    <w:rsid w:val="00AC3F3E"/>
    <w:rsid w:val="00AC428D"/>
    <w:rsid w:val="00AC59F8"/>
    <w:rsid w:val="00AC6089"/>
    <w:rsid w:val="00AC618F"/>
    <w:rsid w:val="00AC7A68"/>
    <w:rsid w:val="00AC7AA4"/>
    <w:rsid w:val="00AD044F"/>
    <w:rsid w:val="00AD070F"/>
    <w:rsid w:val="00AD0B95"/>
    <w:rsid w:val="00AD0C65"/>
    <w:rsid w:val="00AD11B0"/>
    <w:rsid w:val="00AD1443"/>
    <w:rsid w:val="00AD1585"/>
    <w:rsid w:val="00AD17A4"/>
    <w:rsid w:val="00AD1F8C"/>
    <w:rsid w:val="00AD228A"/>
    <w:rsid w:val="00AD23B5"/>
    <w:rsid w:val="00AD2585"/>
    <w:rsid w:val="00AD3556"/>
    <w:rsid w:val="00AD3A80"/>
    <w:rsid w:val="00AD4619"/>
    <w:rsid w:val="00AD46DF"/>
    <w:rsid w:val="00AD4F56"/>
    <w:rsid w:val="00AD50EA"/>
    <w:rsid w:val="00AD5586"/>
    <w:rsid w:val="00AD5A92"/>
    <w:rsid w:val="00AD5BF0"/>
    <w:rsid w:val="00AD5E8A"/>
    <w:rsid w:val="00AD6195"/>
    <w:rsid w:val="00AD67AB"/>
    <w:rsid w:val="00AD74FB"/>
    <w:rsid w:val="00AD7A2F"/>
    <w:rsid w:val="00AD7AC2"/>
    <w:rsid w:val="00AD7FD6"/>
    <w:rsid w:val="00AE09C6"/>
    <w:rsid w:val="00AE0BBF"/>
    <w:rsid w:val="00AE0C84"/>
    <w:rsid w:val="00AE0E45"/>
    <w:rsid w:val="00AE12D8"/>
    <w:rsid w:val="00AE1AC8"/>
    <w:rsid w:val="00AE2262"/>
    <w:rsid w:val="00AE266A"/>
    <w:rsid w:val="00AE34C0"/>
    <w:rsid w:val="00AE38D0"/>
    <w:rsid w:val="00AE3A0D"/>
    <w:rsid w:val="00AE3A2F"/>
    <w:rsid w:val="00AE4A33"/>
    <w:rsid w:val="00AE52CE"/>
    <w:rsid w:val="00AE53A5"/>
    <w:rsid w:val="00AE5786"/>
    <w:rsid w:val="00AE612C"/>
    <w:rsid w:val="00AE69DE"/>
    <w:rsid w:val="00AE7612"/>
    <w:rsid w:val="00AE77CC"/>
    <w:rsid w:val="00AE7960"/>
    <w:rsid w:val="00AE796A"/>
    <w:rsid w:val="00AF05DC"/>
    <w:rsid w:val="00AF12AB"/>
    <w:rsid w:val="00AF153B"/>
    <w:rsid w:val="00AF1AFA"/>
    <w:rsid w:val="00AF2220"/>
    <w:rsid w:val="00AF269E"/>
    <w:rsid w:val="00AF4439"/>
    <w:rsid w:val="00AF46A4"/>
    <w:rsid w:val="00AF5748"/>
    <w:rsid w:val="00AF66E2"/>
    <w:rsid w:val="00AF69A8"/>
    <w:rsid w:val="00AF73C0"/>
    <w:rsid w:val="00B000A2"/>
    <w:rsid w:val="00B009A2"/>
    <w:rsid w:val="00B010D6"/>
    <w:rsid w:val="00B011B9"/>
    <w:rsid w:val="00B014E6"/>
    <w:rsid w:val="00B0195A"/>
    <w:rsid w:val="00B01E7F"/>
    <w:rsid w:val="00B027B0"/>
    <w:rsid w:val="00B02A3D"/>
    <w:rsid w:val="00B03108"/>
    <w:rsid w:val="00B0322F"/>
    <w:rsid w:val="00B036A6"/>
    <w:rsid w:val="00B04153"/>
    <w:rsid w:val="00B0470E"/>
    <w:rsid w:val="00B04D8C"/>
    <w:rsid w:val="00B0502C"/>
    <w:rsid w:val="00B0523F"/>
    <w:rsid w:val="00B059DF"/>
    <w:rsid w:val="00B061B3"/>
    <w:rsid w:val="00B0653A"/>
    <w:rsid w:val="00B066EE"/>
    <w:rsid w:val="00B067A9"/>
    <w:rsid w:val="00B06876"/>
    <w:rsid w:val="00B06FE9"/>
    <w:rsid w:val="00B0732C"/>
    <w:rsid w:val="00B075BE"/>
    <w:rsid w:val="00B078A0"/>
    <w:rsid w:val="00B1000B"/>
    <w:rsid w:val="00B103B5"/>
    <w:rsid w:val="00B10A26"/>
    <w:rsid w:val="00B10AE1"/>
    <w:rsid w:val="00B10CDB"/>
    <w:rsid w:val="00B13674"/>
    <w:rsid w:val="00B13C47"/>
    <w:rsid w:val="00B14389"/>
    <w:rsid w:val="00B14A5B"/>
    <w:rsid w:val="00B14FAF"/>
    <w:rsid w:val="00B15746"/>
    <w:rsid w:val="00B157F1"/>
    <w:rsid w:val="00B158F5"/>
    <w:rsid w:val="00B15A3C"/>
    <w:rsid w:val="00B15EB3"/>
    <w:rsid w:val="00B17137"/>
    <w:rsid w:val="00B1F0B9"/>
    <w:rsid w:val="00B2024B"/>
    <w:rsid w:val="00B21539"/>
    <w:rsid w:val="00B21BE0"/>
    <w:rsid w:val="00B21EAD"/>
    <w:rsid w:val="00B22855"/>
    <w:rsid w:val="00B22EEB"/>
    <w:rsid w:val="00B23086"/>
    <w:rsid w:val="00B23760"/>
    <w:rsid w:val="00B23A00"/>
    <w:rsid w:val="00B24A5F"/>
    <w:rsid w:val="00B24BF8"/>
    <w:rsid w:val="00B24F8E"/>
    <w:rsid w:val="00B2529E"/>
    <w:rsid w:val="00B2651D"/>
    <w:rsid w:val="00B266E5"/>
    <w:rsid w:val="00B26C03"/>
    <w:rsid w:val="00B26D0B"/>
    <w:rsid w:val="00B27FCB"/>
    <w:rsid w:val="00B30DC3"/>
    <w:rsid w:val="00B31169"/>
    <w:rsid w:val="00B31E5A"/>
    <w:rsid w:val="00B3255D"/>
    <w:rsid w:val="00B32C59"/>
    <w:rsid w:val="00B32CF0"/>
    <w:rsid w:val="00B334FD"/>
    <w:rsid w:val="00B33717"/>
    <w:rsid w:val="00B337FF"/>
    <w:rsid w:val="00B3382D"/>
    <w:rsid w:val="00B33DE4"/>
    <w:rsid w:val="00B34097"/>
    <w:rsid w:val="00B341AA"/>
    <w:rsid w:val="00B34371"/>
    <w:rsid w:val="00B344BC"/>
    <w:rsid w:val="00B34D4D"/>
    <w:rsid w:val="00B35014"/>
    <w:rsid w:val="00B3502B"/>
    <w:rsid w:val="00B35202"/>
    <w:rsid w:val="00B36347"/>
    <w:rsid w:val="00B36C1B"/>
    <w:rsid w:val="00B3731F"/>
    <w:rsid w:val="00B377AD"/>
    <w:rsid w:val="00B40939"/>
    <w:rsid w:val="00B40ABA"/>
    <w:rsid w:val="00B40CDE"/>
    <w:rsid w:val="00B414B9"/>
    <w:rsid w:val="00B419CE"/>
    <w:rsid w:val="00B41AFB"/>
    <w:rsid w:val="00B42506"/>
    <w:rsid w:val="00B42C8A"/>
    <w:rsid w:val="00B42C90"/>
    <w:rsid w:val="00B44CBE"/>
    <w:rsid w:val="00B44FB6"/>
    <w:rsid w:val="00B45AD8"/>
    <w:rsid w:val="00B45CA1"/>
    <w:rsid w:val="00B45D32"/>
    <w:rsid w:val="00B45EF8"/>
    <w:rsid w:val="00B46E0C"/>
    <w:rsid w:val="00B46EE0"/>
    <w:rsid w:val="00B47015"/>
    <w:rsid w:val="00B471EA"/>
    <w:rsid w:val="00B47863"/>
    <w:rsid w:val="00B47A76"/>
    <w:rsid w:val="00B47C28"/>
    <w:rsid w:val="00B5054D"/>
    <w:rsid w:val="00B50CF4"/>
    <w:rsid w:val="00B51D37"/>
    <w:rsid w:val="00B53635"/>
    <w:rsid w:val="00B539DA"/>
    <w:rsid w:val="00B53A54"/>
    <w:rsid w:val="00B53F9A"/>
    <w:rsid w:val="00B55235"/>
    <w:rsid w:val="00B56AE1"/>
    <w:rsid w:val="00B57147"/>
    <w:rsid w:val="00B571DA"/>
    <w:rsid w:val="00B57F1D"/>
    <w:rsid w:val="00B57F95"/>
    <w:rsid w:val="00B60385"/>
    <w:rsid w:val="00B60D56"/>
    <w:rsid w:val="00B612FC"/>
    <w:rsid w:val="00B61307"/>
    <w:rsid w:val="00B61A2B"/>
    <w:rsid w:val="00B62A93"/>
    <w:rsid w:val="00B62C14"/>
    <w:rsid w:val="00B62FFA"/>
    <w:rsid w:val="00B636B6"/>
    <w:rsid w:val="00B64532"/>
    <w:rsid w:val="00B6492F"/>
    <w:rsid w:val="00B649CB"/>
    <w:rsid w:val="00B64CFA"/>
    <w:rsid w:val="00B6509A"/>
    <w:rsid w:val="00B651EC"/>
    <w:rsid w:val="00B651FF"/>
    <w:rsid w:val="00B6559A"/>
    <w:rsid w:val="00B6599E"/>
    <w:rsid w:val="00B661B1"/>
    <w:rsid w:val="00B6659A"/>
    <w:rsid w:val="00B66A08"/>
    <w:rsid w:val="00B67579"/>
    <w:rsid w:val="00B67E94"/>
    <w:rsid w:val="00B70A35"/>
    <w:rsid w:val="00B714B6"/>
    <w:rsid w:val="00B71AA0"/>
    <w:rsid w:val="00B71FD0"/>
    <w:rsid w:val="00B72081"/>
    <w:rsid w:val="00B72C79"/>
    <w:rsid w:val="00B73149"/>
    <w:rsid w:val="00B73384"/>
    <w:rsid w:val="00B7350A"/>
    <w:rsid w:val="00B73698"/>
    <w:rsid w:val="00B74110"/>
    <w:rsid w:val="00B766DB"/>
    <w:rsid w:val="00B76A0D"/>
    <w:rsid w:val="00B76CC0"/>
    <w:rsid w:val="00B7720D"/>
    <w:rsid w:val="00B77479"/>
    <w:rsid w:val="00B775BE"/>
    <w:rsid w:val="00B779EE"/>
    <w:rsid w:val="00B804BD"/>
    <w:rsid w:val="00B80AD9"/>
    <w:rsid w:val="00B81815"/>
    <w:rsid w:val="00B81950"/>
    <w:rsid w:val="00B81A62"/>
    <w:rsid w:val="00B81CB1"/>
    <w:rsid w:val="00B82260"/>
    <w:rsid w:val="00B83B5E"/>
    <w:rsid w:val="00B84A64"/>
    <w:rsid w:val="00B84C07"/>
    <w:rsid w:val="00B8508C"/>
    <w:rsid w:val="00B851B7"/>
    <w:rsid w:val="00B853AE"/>
    <w:rsid w:val="00B85A81"/>
    <w:rsid w:val="00B86136"/>
    <w:rsid w:val="00B86A20"/>
    <w:rsid w:val="00B86CA4"/>
    <w:rsid w:val="00B86FFE"/>
    <w:rsid w:val="00B8713A"/>
    <w:rsid w:val="00B875C9"/>
    <w:rsid w:val="00B87CFE"/>
    <w:rsid w:val="00B87DE0"/>
    <w:rsid w:val="00B87DE6"/>
    <w:rsid w:val="00B902AB"/>
    <w:rsid w:val="00B9058D"/>
    <w:rsid w:val="00B91BFE"/>
    <w:rsid w:val="00B91D0A"/>
    <w:rsid w:val="00B91D13"/>
    <w:rsid w:val="00B91FF4"/>
    <w:rsid w:val="00B93047"/>
    <w:rsid w:val="00B930E1"/>
    <w:rsid w:val="00B93210"/>
    <w:rsid w:val="00B93C0D"/>
    <w:rsid w:val="00B93E29"/>
    <w:rsid w:val="00B942BB"/>
    <w:rsid w:val="00B9585C"/>
    <w:rsid w:val="00B95D8A"/>
    <w:rsid w:val="00B9608B"/>
    <w:rsid w:val="00B961A9"/>
    <w:rsid w:val="00B969A5"/>
    <w:rsid w:val="00B96F66"/>
    <w:rsid w:val="00B97DAF"/>
    <w:rsid w:val="00B97F08"/>
    <w:rsid w:val="00BA2FAA"/>
    <w:rsid w:val="00BA32BA"/>
    <w:rsid w:val="00BA3683"/>
    <w:rsid w:val="00BA3786"/>
    <w:rsid w:val="00BA6440"/>
    <w:rsid w:val="00BA65E9"/>
    <w:rsid w:val="00BA6E31"/>
    <w:rsid w:val="00BA7323"/>
    <w:rsid w:val="00BA7575"/>
    <w:rsid w:val="00BA7641"/>
    <w:rsid w:val="00BA7B77"/>
    <w:rsid w:val="00BA7F0A"/>
    <w:rsid w:val="00BB0199"/>
    <w:rsid w:val="00BB024A"/>
    <w:rsid w:val="00BB0386"/>
    <w:rsid w:val="00BB049E"/>
    <w:rsid w:val="00BB05CF"/>
    <w:rsid w:val="00BB0C2D"/>
    <w:rsid w:val="00BB0E82"/>
    <w:rsid w:val="00BB0F6D"/>
    <w:rsid w:val="00BB1E38"/>
    <w:rsid w:val="00BB2420"/>
    <w:rsid w:val="00BB2CD9"/>
    <w:rsid w:val="00BB2FCF"/>
    <w:rsid w:val="00BB395E"/>
    <w:rsid w:val="00BB3C29"/>
    <w:rsid w:val="00BB4972"/>
    <w:rsid w:val="00BB4F0A"/>
    <w:rsid w:val="00BB4FB4"/>
    <w:rsid w:val="00BB5223"/>
    <w:rsid w:val="00BB5B25"/>
    <w:rsid w:val="00BB66FC"/>
    <w:rsid w:val="00BB6A40"/>
    <w:rsid w:val="00BB6EA1"/>
    <w:rsid w:val="00BB75CB"/>
    <w:rsid w:val="00BC03C3"/>
    <w:rsid w:val="00BC05E3"/>
    <w:rsid w:val="00BC3C7E"/>
    <w:rsid w:val="00BC3C93"/>
    <w:rsid w:val="00BC5EAF"/>
    <w:rsid w:val="00BC7258"/>
    <w:rsid w:val="00BC72D6"/>
    <w:rsid w:val="00BD0474"/>
    <w:rsid w:val="00BD0496"/>
    <w:rsid w:val="00BD069E"/>
    <w:rsid w:val="00BD1F5B"/>
    <w:rsid w:val="00BD23A8"/>
    <w:rsid w:val="00BD32FE"/>
    <w:rsid w:val="00BD3AC8"/>
    <w:rsid w:val="00BD3E32"/>
    <w:rsid w:val="00BD40B9"/>
    <w:rsid w:val="00BD4F47"/>
    <w:rsid w:val="00BD5A90"/>
    <w:rsid w:val="00BD5F21"/>
    <w:rsid w:val="00BD6001"/>
    <w:rsid w:val="00BD60E2"/>
    <w:rsid w:val="00BD7055"/>
    <w:rsid w:val="00BD743E"/>
    <w:rsid w:val="00BD75C3"/>
    <w:rsid w:val="00BD7763"/>
    <w:rsid w:val="00BD78D0"/>
    <w:rsid w:val="00BD78D7"/>
    <w:rsid w:val="00BE08B3"/>
    <w:rsid w:val="00BE094A"/>
    <w:rsid w:val="00BE0E14"/>
    <w:rsid w:val="00BE2D2C"/>
    <w:rsid w:val="00BE2E9E"/>
    <w:rsid w:val="00BE330C"/>
    <w:rsid w:val="00BE3628"/>
    <w:rsid w:val="00BE36E5"/>
    <w:rsid w:val="00BE3A19"/>
    <w:rsid w:val="00BE5592"/>
    <w:rsid w:val="00BE5848"/>
    <w:rsid w:val="00BE58BA"/>
    <w:rsid w:val="00BE59EB"/>
    <w:rsid w:val="00BE5B7F"/>
    <w:rsid w:val="00BE5C63"/>
    <w:rsid w:val="00BE692D"/>
    <w:rsid w:val="00BE6EF7"/>
    <w:rsid w:val="00BE7786"/>
    <w:rsid w:val="00BE83C0"/>
    <w:rsid w:val="00BF0395"/>
    <w:rsid w:val="00BF073F"/>
    <w:rsid w:val="00BF0C8D"/>
    <w:rsid w:val="00BF0FE9"/>
    <w:rsid w:val="00BF10A0"/>
    <w:rsid w:val="00BF15C8"/>
    <w:rsid w:val="00BF2376"/>
    <w:rsid w:val="00BF2398"/>
    <w:rsid w:val="00BF2740"/>
    <w:rsid w:val="00BF2A75"/>
    <w:rsid w:val="00BF2CD3"/>
    <w:rsid w:val="00BF3804"/>
    <w:rsid w:val="00BF477C"/>
    <w:rsid w:val="00BF52CE"/>
    <w:rsid w:val="00BF5453"/>
    <w:rsid w:val="00BF59AE"/>
    <w:rsid w:val="00BF5B34"/>
    <w:rsid w:val="00BF6F30"/>
    <w:rsid w:val="00BF79CD"/>
    <w:rsid w:val="00BF7ABB"/>
    <w:rsid w:val="00C001A8"/>
    <w:rsid w:val="00C00239"/>
    <w:rsid w:val="00C010A9"/>
    <w:rsid w:val="00C012C8"/>
    <w:rsid w:val="00C01D2D"/>
    <w:rsid w:val="00C01DCA"/>
    <w:rsid w:val="00C026E2"/>
    <w:rsid w:val="00C02F79"/>
    <w:rsid w:val="00C03E06"/>
    <w:rsid w:val="00C045D0"/>
    <w:rsid w:val="00C04EBA"/>
    <w:rsid w:val="00C05AA3"/>
    <w:rsid w:val="00C05C04"/>
    <w:rsid w:val="00C0623F"/>
    <w:rsid w:val="00C06421"/>
    <w:rsid w:val="00C0696A"/>
    <w:rsid w:val="00C07EF0"/>
    <w:rsid w:val="00C07FDF"/>
    <w:rsid w:val="00C10AEE"/>
    <w:rsid w:val="00C11588"/>
    <w:rsid w:val="00C115A5"/>
    <w:rsid w:val="00C11FFF"/>
    <w:rsid w:val="00C132CE"/>
    <w:rsid w:val="00C13593"/>
    <w:rsid w:val="00C13BD9"/>
    <w:rsid w:val="00C13E6F"/>
    <w:rsid w:val="00C14D86"/>
    <w:rsid w:val="00C14FEE"/>
    <w:rsid w:val="00C15DF7"/>
    <w:rsid w:val="00C1649B"/>
    <w:rsid w:val="00C1717C"/>
    <w:rsid w:val="00C17D4D"/>
    <w:rsid w:val="00C207E4"/>
    <w:rsid w:val="00C20875"/>
    <w:rsid w:val="00C2252D"/>
    <w:rsid w:val="00C225CE"/>
    <w:rsid w:val="00C22D9D"/>
    <w:rsid w:val="00C22EB7"/>
    <w:rsid w:val="00C23CBC"/>
    <w:rsid w:val="00C24BEF"/>
    <w:rsid w:val="00C24F83"/>
    <w:rsid w:val="00C26186"/>
    <w:rsid w:val="00C268C5"/>
    <w:rsid w:val="00C26CD3"/>
    <w:rsid w:val="00C275BB"/>
    <w:rsid w:val="00C27D57"/>
    <w:rsid w:val="00C30813"/>
    <w:rsid w:val="00C311E5"/>
    <w:rsid w:val="00C315B2"/>
    <w:rsid w:val="00C31811"/>
    <w:rsid w:val="00C319E7"/>
    <w:rsid w:val="00C31A80"/>
    <w:rsid w:val="00C31D3A"/>
    <w:rsid w:val="00C32B7F"/>
    <w:rsid w:val="00C33389"/>
    <w:rsid w:val="00C33438"/>
    <w:rsid w:val="00C33980"/>
    <w:rsid w:val="00C344BC"/>
    <w:rsid w:val="00C34553"/>
    <w:rsid w:val="00C36E38"/>
    <w:rsid w:val="00C37635"/>
    <w:rsid w:val="00C376F7"/>
    <w:rsid w:val="00C403E0"/>
    <w:rsid w:val="00C4083A"/>
    <w:rsid w:val="00C41616"/>
    <w:rsid w:val="00C41C30"/>
    <w:rsid w:val="00C41C39"/>
    <w:rsid w:val="00C42012"/>
    <w:rsid w:val="00C422DF"/>
    <w:rsid w:val="00C4262E"/>
    <w:rsid w:val="00C4296E"/>
    <w:rsid w:val="00C431CD"/>
    <w:rsid w:val="00C431DE"/>
    <w:rsid w:val="00C44016"/>
    <w:rsid w:val="00C446B0"/>
    <w:rsid w:val="00C449DD"/>
    <w:rsid w:val="00C44EC7"/>
    <w:rsid w:val="00C454F8"/>
    <w:rsid w:val="00C45AB6"/>
    <w:rsid w:val="00C466BC"/>
    <w:rsid w:val="00C47288"/>
    <w:rsid w:val="00C472E2"/>
    <w:rsid w:val="00C4759B"/>
    <w:rsid w:val="00C50560"/>
    <w:rsid w:val="00C50739"/>
    <w:rsid w:val="00C50765"/>
    <w:rsid w:val="00C5092E"/>
    <w:rsid w:val="00C51BC9"/>
    <w:rsid w:val="00C51D83"/>
    <w:rsid w:val="00C51DC3"/>
    <w:rsid w:val="00C522FD"/>
    <w:rsid w:val="00C52763"/>
    <w:rsid w:val="00C52787"/>
    <w:rsid w:val="00C53AA8"/>
    <w:rsid w:val="00C54058"/>
    <w:rsid w:val="00C544C7"/>
    <w:rsid w:val="00C5505D"/>
    <w:rsid w:val="00C554D3"/>
    <w:rsid w:val="00C55777"/>
    <w:rsid w:val="00C5650C"/>
    <w:rsid w:val="00C570F9"/>
    <w:rsid w:val="00C57DD4"/>
    <w:rsid w:val="00C57F36"/>
    <w:rsid w:val="00C60051"/>
    <w:rsid w:val="00C60880"/>
    <w:rsid w:val="00C60E82"/>
    <w:rsid w:val="00C60F0F"/>
    <w:rsid w:val="00C60F8C"/>
    <w:rsid w:val="00C60FB6"/>
    <w:rsid w:val="00C61105"/>
    <w:rsid w:val="00C61355"/>
    <w:rsid w:val="00C61483"/>
    <w:rsid w:val="00C626B0"/>
    <w:rsid w:val="00C62EEE"/>
    <w:rsid w:val="00C6325D"/>
    <w:rsid w:val="00C632A5"/>
    <w:rsid w:val="00C64009"/>
    <w:rsid w:val="00C6443C"/>
    <w:rsid w:val="00C64644"/>
    <w:rsid w:val="00C64784"/>
    <w:rsid w:val="00C65156"/>
    <w:rsid w:val="00C657D9"/>
    <w:rsid w:val="00C65BA2"/>
    <w:rsid w:val="00C65F8A"/>
    <w:rsid w:val="00C660F1"/>
    <w:rsid w:val="00C66EA9"/>
    <w:rsid w:val="00C67917"/>
    <w:rsid w:val="00C67B29"/>
    <w:rsid w:val="00C67C26"/>
    <w:rsid w:val="00C700F8"/>
    <w:rsid w:val="00C70179"/>
    <w:rsid w:val="00C71490"/>
    <w:rsid w:val="00C71A30"/>
    <w:rsid w:val="00C72CEF"/>
    <w:rsid w:val="00C73B1A"/>
    <w:rsid w:val="00C73F63"/>
    <w:rsid w:val="00C7466E"/>
    <w:rsid w:val="00C75115"/>
    <w:rsid w:val="00C75365"/>
    <w:rsid w:val="00C75778"/>
    <w:rsid w:val="00C758C2"/>
    <w:rsid w:val="00C76436"/>
    <w:rsid w:val="00C76542"/>
    <w:rsid w:val="00C768B2"/>
    <w:rsid w:val="00C76CD4"/>
    <w:rsid w:val="00C77A6D"/>
    <w:rsid w:val="00C80423"/>
    <w:rsid w:val="00C80D49"/>
    <w:rsid w:val="00C811C7"/>
    <w:rsid w:val="00C819EC"/>
    <w:rsid w:val="00C827C1"/>
    <w:rsid w:val="00C82B19"/>
    <w:rsid w:val="00C835AB"/>
    <w:rsid w:val="00C84730"/>
    <w:rsid w:val="00C84864"/>
    <w:rsid w:val="00C84978"/>
    <w:rsid w:val="00C84AD5"/>
    <w:rsid w:val="00C85A36"/>
    <w:rsid w:val="00C8605C"/>
    <w:rsid w:val="00C8613E"/>
    <w:rsid w:val="00C862C7"/>
    <w:rsid w:val="00C86F56"/>
    <w:rsid w:val="00C86FA2"/>
    <w:rsid w:val="00C8739A"/>
    <w:rsid w:val="00C87C1E"/>
    <w:rsid w:val="00C900A1"/>
    <w:rsid w:val="00C90ADB"/>
    <w:rsid w:val="00C9120F"/>
    <w:rsid w:val="00C91F81"/>
    <w:rsid w:val="00C9216E"/>
    <w:rsid w:val="00C92628"/>
    <w:rsid w:val="00C92758"/>
    <w:rsid w:val="00C92862"/>
    <w:rsid w:val="00C92FA1"/>
    <w:rsid w:val="00C930AB"/>
    <w:rsid w:val="00C93739"/>
    <w:rsid w:val="00C93B4C"/>
    <w:rsid w:val="00C942D0"/>
    <w:rsid w:val="00C948AA"/>
    <w:rsid w:val="00C95F3C"/>
    <w:rsid w:val="00C961CD"/>
    <w:rsid w:val="00C9637B"/>
    <w:rsid w:val="00C965AA"/>
    <w:rsid w:val="00C9668A"/>
    <w:rsid w:val="00C96F84"/>
    <w:rsid w:val="00C9728A"/>
    <w:rsid w:val="00C972D7"/>
    <w:rsid w:val="00CA1DD3"/>
    <w:rsid w:val="00CA2616"/>
    <w:rsid w:val="00CA3D11"/>
    <w:rsid w:val="00CA5648"/>
    <w:rsid w:val="00CA5C2E"/>
    <w:rsid w:val="00CA5C80"/>
    <w:rsid w:val="00CA5D29"/>
    <w:rsid w:val="00CA612C"/>
    <w:rsid w:val="00CA68C0"/>
    <w:rsid w:val="00CA6923"/>
    <w:rsid w:val="00CA72AB"/>
    <w:rsid w:val="00CA7FF3"/>
    <w:rsid w:val="00CB0A64"/>
    <w:rsid w:val="00CB0C6D"/>
    <w:rsid w:val="00CB11BC"/>
    <w:rsid w:val="00CB1A9E"/>
    <w:rsid w:val="00CB2015"/>
    <w:rsid w:val="00CB212C"/>
    <w:rsid w:val="00CB21BB"/>
    <w:rsid w:val="00CB2DCB"/>
    <w:rsid w:val="00CB34F1"/>
    <w:rsid w:val="00CB409A"/>
    <w:rsid w:val="00CB431D"/>
    <w:rsid w:val="00CB4B66"/>
    <w:rsid w:val="00CB4CC3"/>
    <w:rsid w:val="00CB4FC1"/>
    <w:rsid w:val="00CB50A7"/>
    <w:rsid w:val="00CB5FCA"/>
    <w:rsid w:val="00CB7854"/>
    <w:rsid w:val="00CBD194"/>
    <w:rsid w:val="00CC00BF"/>
    <w:rsid w:val="00CC087C"/>
    <w:rsid w:val="00CC0DE0"/>
    <w:rsid w:val="00CC146D"/>
    <w:rsid w:val="00CC17D2"/>
    <w:rsid w:val="00CC1DEF"/>
    <w:rsid w:val="00CC1EF5"/>
    <w:rsid w:val="00CC2CBB"/>
    <w:rsid w:val="00CC4A4C"/>
    <w:rsid w:val="00CC5CB3"/>
    <w:rsid w:val="00CC6D8A"/>
    <w:rsid w:val="00CC72F7"/>
    <w:rsid w:val="00CC7314"/>
    <w:rsid w:val="00CC7324"/>
    <w:rsid w:val="00CC7EE0"/>
    <w:rsid w:val="00CD0F59"/>
    <w:rsid w:val="00CD107C"/>
    <w:rsid w:val="00CD16F9"/>
    <w:rsid w:val="00CD1B19"/>
    <w:rsid w:val="00CD1EE1"/>
    <w:rsid w:val="00CD260B"/>
    <w:rsid w:val="00CD30F9"/>
    <w:rsid w:val="00CD3579"/>
    <w:rsid w:val="00CD367D"/>
    <w:rsid w:val="00CD3CD0"/>
    <w:rsid w:val="00CD55EB"/>
    <w:rsid w:val="00CD5B45"/>
    <w:rsid w:val="00CD5FB6"/>
    <w:rsid w:val="00CD621C"/>
    <w:rsid w:val="00CD62E2"/>
    <w:rsid w:val="00CD637E"/>
    <w:rsid w:val="00CD67EA"/>
    <w:rsid w:val="00CD7960"/>
    <w:rsid w:val="00CD7A15"/>
    <w:rsid w:val="00CD7EE1"/>
    <w:rsid w:val="00CD7F38"/>
    <w:rsid w:val="00CE098E"/>
    <w:rsid w:val="00CE09C7"/>
    <w:rsid w:val="00CE0A9C"/>
    <w:rsid w:val="00CE1F68"/>
    <w:rsid w:val="00CE252E"/>
    <w:rsid w:val="00CE2DC4"/>
    <w:rsid w:val="00CE3091"/>
    <w:rsid w:val="00CE3398"/>
    <w:rsid w:val="00CE3708"/>
    <w:rsid w:val="00CE3B52"/>
    <w:rsid w:val="00CE3C3F"/>
    <w:rsid w:val="00CE3DC9"/>
    <w:rsid w:val="00CE3E8B"/>
    <w:rsid w:val="00CE42EB"/>
    <w:rsid w:val="00CE4F82"/>
    <w:rsid w:val="00CE7101"/>
    <w:rsid w:val="00CE7433"/>
    <w:rsid w:val="00CE7A59"/>
    <w:rsid w:val="00CE7DEA"/>
    <w:rsid w:val="00CF02A9"/>
    <w:rsid w:val="00CF0E2D"/>
    <w:rsid w:val="00CF0F9C"/>
    <w:rsid w:val="00CF20EA"/>
    <w:rsid w:val="00CF2459"/>
    <w:rsid w:val="00CF2755"/>
    <w:rsid w:val="00CF3200"/>
    <w:rsid w:val="00CF3888"/>
    <w:rsid w:val="00CF3A3A"/>
    <w:rsid w:val="00CF3A56"/>
    <w:rsid w:val="00CF3F56"/>
    <w:rsid w:val="00CF3F98"/>
    <w:rsid w:val="00CF495A"/>
    <w:rsid w:val="00CF4A81"/>
    <w:rsid w:val="00CF5490"/>
    <w:rsid w:val="00CF6DBB"/>
    <w:rsid w:val="00CF71CA"/>
    <w:rsid w:val="00D00B8D"/>
    <w:rsid w:val="00D011C3"/>
    <w:rsid w:val="00D012B0"/>
    <w:rsid w:val="00D017C7"/>
    <w:rsid w:val="00D01B62"/>
    <w:rsid w:val="00D022DC"/>
    <w:rsid w:val="00D02815"/>
    <w:rsid w:val="00D03280"/>
    <w:rsid w:val="00D035DF"/>
    <w:rsid w:val="00D036EE"/>
    <w:rsid w:val="00D03849"/>
    <w:rsid w:val="00D0510D"/>
    <w:rsid w:val="00D0578E"/>
    <w:rsid w:val="00D06329"/>
    <w:rsid w:val="00D066A0"/>
    <w:rsid w:val="00D066A9"/>
    <w:rsid w:val="00D07464"/>
    <w:rsid w:val="00D075F8"/>
    <w:rsid w:val="00D07A25"/>
    <w:rsid w:val="00D07AFC"/>
    <w:rsid w:val="00D07F1A"/>
    <w:rsid w:val="00D10431"/>
    <w:rsid w:val="00D10546"/>
    <w:rsid w:val="00D10E58"/>
    <w:rsid w:val="00D1165D"/>
    <w:rsid w:val="00D12B48"/>
    <w:rsid w:val="00D13080"/>
    <w:rsid w:val="00D134DF"/>
    <w:rsid w:val="00D14189"/>
    <w:rsid w:val="00D14802"/>
    <w:rsid w:val="00D14EFF"/>
    <w:rsid w:val="00D15221"/>
    <w:rsid w:val="00D1592F"/>
    <w:rsid w:val="00D15989"/>
    <w:rsid w:val="00D16778"/>
    <w:rsid w:val="00D16CEE"/>
    <w:rsid w:val="00D177C1"/>
    <w:rsid w:val="00D17BBF"/>
    <w:rsid w:val="00D212B6"/>
    <w:rsid w:val="00D213FA"/>
    <w:rsid w:val="00D21B37"/>
    <w:rsid w:val="00D226CC"/>
    <w:rsid w:val="00D229F3"/>
    <w:rsid w:val="00D22F68"/>
    <w:rsid w:val="00D23371"/>
    <w:rsid w:val="00D2360D"/>
    <w:rsid w:val="00D23695"/>
    <w:rsid w:val="00D23D52"/>
    <w:rsid w:val="00D245A2"/>
    <w:rsid w:val="00D24757"/>
    <w:rsid w:val="00D24BFD"/>
    <w:rsid w:val="00D24C35"/>
    <w:rsid w:val="00D24E12"/>
    <w:rsid w:val="00D25060"/>
    <w:rsid w:val="00D25492"/>
    <w:rsid w:val="00D262CF"/>
    <w:rsid w:val="00D264F2"/>
    <w:rsid w:val="00D27005"/>
    <w:rsid w:val="00D27200"/>
    <w:rsid w:val="00D27DB2"/>
    <w:rsid w:val="00D27E57"/>
    <w:rsid w:val="00D30A74"/>
    <w:rsid w:val="00D3127F"/>
    <w:rsid w:val="00D31421"/>
    <w:rsid w:val="00D31838"/>
    <w:rsid w:val="00D31FB8"/>
    <w:rsid w:val="00D321E4"/>
    <w:rsid w:val="00D32286"/>
    <w:rsid w:val="00D3228A"/>
    <w:rsid w:val="00D32405"/>
    <w:rsid w:val="00D32E98"/>
    <w:rsid w:val="00D330CD"/>
    <w:rsid w:val="00D33326"/>
    <w:rsid w:val="00D33930"/>
    <w:rsid w:val="00D33CEC"/>
    <w:rsid w:val="00D3428C"/>
    <w:rsid w:val="00D346AD"/>
    <w:rsid w:val="00D3485E"/>
    <w:rsid w:val="00D34C68"/>
    <w:rsid w:val="00D34DFD"/>
    <w:rsid w:val="00D34EED"/>
    <w:rsid w:val="00D34F22"/>
    <w:rsid w:val="00D3544D"/>
    <w:rsid w:val="00D359CF"/>
    <w:rsid w:val="00D36235"/>
    <w:rsid w:val="00D36512"/>
    <w:rsid w:val="00D36DD6"/>
    <w:rsid w:val="00D36F7C"/>
    <w:rsid w:val="00D37F34"/>
    <w:rsid w:val="00D401FA"/>
    <w:rsid w:val="00D40C0B"/>
    <w:rsid w:val="00D40F23"/>
    <w:rsid w:val="00D4101E"/>
    <w:rsid w:val="00D41D5C"/>
    <w:rsid w:val="00D4202E"/>
    <w:rsid w:val="00D42047"/>
    <w:rsid w:val="00D4211D"/>
    <w:rsid w:val="00D42367"/>
    <w:rsid w:val="00D4246A"/>
    <w:rsid w:val="00D424D8"/>
    <w:rsid w:val="00D42C6C"/>
    <w:rsid w:val="00D43CA5"/>
    <w:rsid w:val="00D43CE0"/>
    <w:rsid w:val="00D43E2E"/>
    <w:rsid w:val="00D43FC0"/>
    <w:rsid w:val="00D441EE"/>
    <w:rsid w:val="00D4449B"/>
    <w:rsid w:val="00D447C6"/>
    <w:rsid w:val="00D4488A"/>
    <w:rsid w:val="00D448AA"/>
    <w:rsid w:val="00D44953"/>
    <w:rsid w:val="00D45620"/>
    <w:rsid w:val="00D45910"/>
    <w:rsid w:val="00D46F67"/>
    <w:rsid w:val="00D470E9"/>
    <w:rsid w:val="00D47367"/>
    <w:rsid w:val="00D473BB"/>
    <w:rsid w:val="00D47C4E"/>
    <w:rsid w:val="00D500FD"/>
    <w:rsid w:val="00D501F5"/>
    <w:rsid w:val="00D503EF"/>
    <w:rsid w:val="00D50C20"/>
    <w:rsid w:val="00D5109C"/>
    <w:rsid w:val="00D51169"/>
    <w:rsid w:val="00D51C6F"/>
    <w:rsid w:val="00D5219A"/>
    <w:rsid w:val="00D52905"/>
    <w:rsid w:val="00D530BA"/>
    <w:rsid w:val="00D539E0"/>
    <w:rsid w:val="00D554BA"/>
    <w:rsid w:val="00D569FD"/>
    <w:rsid w:val="00D573C5"/>
    <w:rsid w:val="00D57612"/>
    <w:rsid w:val="00D57FA4"/>
    <w:rsid w:val="00D60C55"/>
    <w:rsid w:val="00D6134A"/>
    <w:rsid w:val="00D61AC5"/>
    <w:rsid w:val="00D61AFF"/>
    <w:rsid w:val="00D62EDC"/>
    <w:rsid w:val="00D62F44"/>
    <w:rsid w:val="00D634C7"/>
    <w:rsid w:val="00D638B4"/>
    <w:rsid w:val="00D6516E"/>
    <w:rsid w:val="00D65787"/>
    <w:rsid w:val="00D659A7"/>
    <w:rsid w:val="00D6623F"/>
    <w:rsid w:val="00D66450"/>
    <w:rsid w:val="00D6FEF6"/>
    <w:rsid w:val="00D7009C"/>
    <w:rsid w:val="00D70742"/>
    <w:rsid w:val="00D714EA"/>
    <w:rsid w:val="00D72371"/>
    <w:rsid w:val="00D73BB1"/>
    <w:rsid w:val="00D741E0"/>
    <w:rsid w:val="00D746B7"/>
    <w:rsid w:val="00D74A32"/>
    <w:rsid w:val="00D757FD"/>
    <w:rsid w:val="00D76187"/>
    <w:rsid w:val="00D761B7"/>
    <w:rsid w:val="00D7644B"/>
    <w:rsid w:val="00D764E6"/>
    <w:rsid w:val="00D76A69"/>
    <w:rsid w:val="00D76D66"/>
    <w:rsid w:val="00D77958"/>
    <w:rsid w:val="00D77C7A"/>
    <w:rsid w:val="00D80C36"/>
    <w:rsid w:val="00D817FB"/>
    <w:rsid w:val="00D82285"/>
    <w:rsid w:val="00D824CF"/>
    <w:rsid w:val="00D83248"/>
    <w:rsid w:val="00D83897"/>
    <w:rsid w:val="00D83D9B"/>
    <w:rsid w:val="00D84657"/>
    <w:rsid w:val="00D84C3D"/>
    <w:rsid w:val="00D84C3E"/>
    <w:rsid w:val="00D8500C"/>
    <w:rsid w:val="00D85955"/>
    <w:rsid w:val="00D8670F"/>
    <w:rsid w:val="00D867D4"/>
    <w:rsid w:val="00D867EA"/>
    <w:rsid w:val="00D87089"/>
    <w:rsid w:val="00D87688"/>
    <w:rsid w:val="00D8785F"/>
    <w:rsid w:val="00D87E37"/>
    <w:rsid w:val="00D904BE"/>
    <w:rsid w:val="00D9050F"/>
    <w:rsid w:val="00D9057E"/>
    <w:rsid w:val="00D90D0D"/>
    <w:rsid w:val="00D9112E"/>
    <w:rsid w:val="00D9183B"/>
    <w:rsid w:val="00D918C2"/>
    <w:rsid w:val="00D92475"/>
    <w:rsid w:val="00D92B45"/>
    <w:rsid w:val="00D92D7F"/>
    <w:rsid w:val="00D9339A"/>
    <w:rsid w:val="00D9376E"/>
    <w:rsid w:val="00D946F6"/>
    <w:rsid w:val="00D95227"/>
    <w:rsid w:val="00D9530C"/>
    <w:rsid w:val="00D954F2"/>
    <w:rsid w:val="00D959D1"/>
    <w:rsid w:val="00D9635A"/>
    <w:rsid w:val="00D966D5"/>
    <w:rsid w:val="00D9682A"/>
    <w:rsid w:val="00D96EA5"/>
    <w:rsid w:val="00D971B9"/>
    <w:rsid w:val="00D974D0"/>
    <w:rsid w:val="00D976FA"/>
    <w:rsid w:val="00DA0678"/>
    <w:rsid w:val="00DA0B81"/>
    <w:rsid w:val="00DA0DDB"/>
    <w:rsid w:val="00DA0FCE"/>
    <w:rsid w:val="00DA16FA"/>
    <w:rsid w:val="00DA1D6D"/>
    <w:rsid w:val="00DA218E"/>
    <w:rsid w:val="00DA2520"/>
    <w:rsid w:val="00DA2693"/>
    <w:rsid w:val="00DA26B8"/>
    <w:rsid w:val="00DA271A"/>
    <w:rsid w:val="00DA2AD6"/>
    <w:rsid w:val="00DA2CE9"/>
    <w:rsid w:val="00DA2FF2"/>
    <w:rsid w:val="00DA38C4"/>
    <w:rsid w:val="00DA40B5"/>
    <w:rsid w:val="00DA4741"/>
    <w:rsid w:val="00DA4CDC"/>
    <w:rsid w:val="00DA53FD"/>
    <w:rsid w:val="00DA5889"/>
    <w:rsid w:val="00DA594E"/>
    <w:rsid w:val="00DA61E3"/>
    <w:rsid w:val="00DA6530"/>
    <w:rsid w:val="00DA77D2"/>
    <w:rsid w:val="00DA7A2A"/>
    <w:rsid w:val="00DB04B3"/>
    <w:rsid w:val="00DB0782"/>
    <w:rsid w:val="00DB0F08"/>
    <w:rsid w:val="00DB1E9D"/>
    <w:rsid w:val="00DB1F0D"/>
    <w:rsid w:val="00DB2B48"/>
    <w:rsid w:val="00DB318C"/>
    <w:rsid w:val="00DB3252"/>
    <w:rsid w:val="00DB34BC"/>
    <w:rsid w:val="00DB36F9"/>
    <w:rsid w:val="00DB3BEC"/>
    <w:rsid w:val="00DB46A2"/>
    <w:rsid w:val="00DB472A"/>
    <w:rsid w:val="00DB4FFC"/>
    <w:rsid w:val="00DB5A99"/>
    <w:rsid w:val="00DB5C89"/>
    <w:rsid w:val="00DB6211"/>
    <w:rsid w:val="00DB645D"/>
    <w:rsid w:val="00DB6739"/>
    <w:rsid w:val="00DB6B14"/>
    <w:rsid w:val="00DB7635"/>
    <w:rsid w:val="00DB7887"/>
    <w:rsid w:val="00DB78E8"/>
    <w:rsid w:val="00DB7C98"/>
    <w:rsid w:val="00DC01E4"/>
    <w:rsid w:val="00DC0728"/>
    <w:rsid w:val="00DC1393"/>
    <w:rsid w:val="00DC1402"/>
    <w:rsid w:val="00DC150A"/>
    <w:rsid w:val="00DC17E0"/>
    <w:rsid w:val="00DC21A2"/>
    <w:rsid w:val="00DC28FC"/>
    <w:rsid w:val="00DC2BC5"/>
    <w:rsid w:val="00DC2ED0"/>
    <w:rsid w:val="00DC3863"/>
    <w:rsid w:val="00DC4741"/>
    <w:rsid w:val="00DC4E96"/>
    <w:rsid w:val="00DC5202"/>
    <w:rsid w:val="00DC6D0F"/>
    <w:rsid w:val="00DC6D62"/>
    <w:rsid w:val="00DC6DDE"/>
    <w:rsid w:val="00DC6F38"/>
    <w:rsid w:val="00DC7D94"/>
    <w:rsid w:val="00DC7F53"/>
    <w:rsid w:val="00DD0017"/>
    <w:rsid w:val="00DD068C"/>
    <w:rsid w:val="00DD0D4D"/>
    <w:rsid w:val="00DD1177"/>
    <w:rsid w:val="00DD1638"/>
    <w:rsid w:val="00DD243F"/>
    <w:rsid w:val="00DD2677"/>
    <w:rsid w:val="00DD271F"/>
    <w:rsid w:val="00DD386B"/>
    <w:rsid w:val="00DD3AB4"/>
    <w:rsid w:val="00DD3B5C"/>
    <w:rsid w:val="00DD3DEB"/>
    <w:rsid w:val="00DD41DB"/>
    <w:rsid w:val="00DD4A09"/>
    <w:rsid w:val="00DD4A62"/>
    <w:rsid w:val="00DD55AF"/>
    <w:rsid w:val="00DD61BA"/>
    <w:rsid w:val="00DD7125"/>
    <w:rsid w:val="00DE0168"/>
    <w:rsid w:val="00DE039F"/>
    <w:rsid w:val="00DE0EBC"/>
    <w:rsid w:val="00DE0ECE"/>
    <w:rsid w:val="00DE10A6"/>
    <w:rsid w:val="00DE146D"/>
    <w:rsid w:val="00DE1BDD"/>
    <w:rsid w:val="00DE23B4"/>
    <w:rsid w:val="00DE3035"/>
    <w:rsid w:val="00DE306D"/>
    <w:rsid w:val="00DE35FE"/>
    <w:rsid w:val="00DE382F"/>
    <w:rsid w:val="00DE3FEE"/>
    <w:rsid w:val="00DE46D9"/>
    <w:rsid w:val="00DE55B8"/>
    <w:rsid w:val="00DE5BD2"/>
    <w:rsid w:val="00DE7286"/>
    <w:rsid w:val="00DE730C"/>
    <w:rsid w:val="00DE73FA"/>
    <w:rsid w:val="00DE7E1B"/>
    <w:rsid w:val="00DF020A"/>
    <w:rsid w:val="00DF049D"/>
    <w:rsid w:val="00DF19BC"/>
    <w:rsid w:val="00DF1D9D"/>
    <w:rsid w:val="00DF1E36"/>
    <w:rsid w:val="00DF28B0"/>
    <w:rsid w:val="00DF2D66"/>
    <w:rsid w:val="00DF2E18"/>
    <w:rsid w:val="00DF30DC"/>
    <w:rsid w:val="00DF39B8"/>
    <w:rsid w:val="00DF3D64"/>
    <w:rsid w:val="00DF3EF0"/>
    <w:rsid w:val="00DF4B45"/>
    <w:rsid w:val="00DF507D"/>
    <w:rsid w:val="00DF5168"/>
    <w:rsid w:val="00DF53EB"/>
    <w:rsid w:val="00DF5471"/>
    <w:rsid w:val="00DF5A69"/>
    <w:rsid w:val="00DF5C0D"/>
    <w:rsid w:val="00DF6033"/>
    <w:rsid w:val="00DF60E0"/>
    <w:rsid w:val="00DF62AA"/>
    <w:rsid w:val="00DF64D0"/>
    <w:rsid w:val="00DF686A"/>
    <w:rsid w:val="00DF70AB"/>
    <w:rsid w:val="00DF7BF1"/>
    <w:rsid w:val="00E004F8"/>
    <w:rsid w:val="00E006A2"/>
    <w:rsid w:val="00E0096E"/>
    <w:rsid w:val="00E00AA6"/>
    <w:rsid w:val="00E00E42"/>
    <w:rsid w:val="00E011D6"/>
    <w:rsid w:val="00E01795"/>
    <w:rsid w:val="00E0329A"/>
    <w:rsid w:val="00E03670"/>
    <w:rsid w:val="00E03DEF"/>
    <w:rsid w:val="00E0434F"/>
    <w:rsid w:val="00E04CDB"/>
    <w:rsid w:val="00E04CEB"/>
    <w:rsid w:val="00E05166"/>
    <w:rsid w:val="00E055DE"/>
    <w:rsid w:val="00E05B01"/>
    <w:rsid w:val="00E05D8F"/>
    <w:rsid w:val="00E0633C"/>
    <w:rsid w:val="00E071F5"/>
    <w:rsid w:val="00E07269"/>
    <w:rsid w:val="00E07971"/>
    <w:rsid w:val="00E07B9C"/>
    <w:rsid w:val="00E1013C"/>
    <w:rsid w:val="00E10463"/>
    <w:rsid w:val="00E107FC"/>
    <w:rsid w:val="00E109A7"/>
    <w:rsid w:val="00E1190D"/>
    <w:rsid w:val="00E11FE8"/>
    <w:rsid w:val="00E12759"/>
    <w:rsid w:val="00E12EFA"/>
    <w:rsid w:val="00E12F7F"/>
    <w:rsid w:val="00E13234"/>
    <w:rsid w:val="00E13334"/>
    <w:rsid w:val="00E1353A"/>
    <w:rsid w:val="00E13638"/>
    <w:rsid w:val="00E13766"/>
    <w:rsid w:val="00E13903"/>
    <w:rsid w:val="00E13E9D"/>
    <w:rsid w:val="00E13F51"/>
    <w:rsid w:val="00E14DA0"/>
    <w:rsid w:val="00E15A0D"/>
    <w:rsid w:val="00E15A6D"/>
    <w:rsid w:val="00E178D9"/>
    <w:rsid w:val="00E17C92"/>
    <w:rsid w:val="00E20788"/>
    <w:rsid w:val="00E216E0"/>
    <w:rsid w:val="00E22485"/>
    <w:rsid w:val="00E22AE6"/>
    <w:rsid w:val="00E22E89"/>
    <w:rsid w:val="00E23311"/>
    <w:rsid w:val="00E23F17"/>
    <w:rsid w:val="00E242FE"/>
    <w:rsid w:val="00E24749"/>
    <w:rsid w:val="00E24CB1"/>
    <w:rsid w:val="00E253EA"/>
    <w:rsid w:val="00E2548B"/>
    <w:rsid w:val="00E25AB1"/>
    <w:rsid w:val="00E25F20"/>
    <w:rsid w:val="00E26648"/>
    <w:rsid w:val="00E26B37"/>
    <w:rsid w:val="00E26CE2"/>
    <w:rsid w:val="00E26E0A"/>
    <w:rsid w:val="00E26E8C"/>
    <w:rsid w:val="00E277D5"/>
    <w:rsid w:val="00E27AB9"/>
    <w:rsid w:val="00E30856"/>
    <w:rsid w:val="00E30C17"/>
    <w:rsid w:val="00E310B9"/>
    <w:rsid w:val="00E314DA"/>
    <w:rsid w:val="00E31DBA"/>
    <w:rsid w:val="00E31F07"/>
    <w:rsid w:val="00E33D0E"/>
    <w:rsid w:val="00E3433A"/>
    <w:rsid w:val="00E35644"/>
    <w:rsid w:val="00E36C0F"/>
    <w:rsid w:val="00E36FBC"/>
    <w:rsid w:val="00E37634"/>
    <w:rsid w:val="00E376CE"/>
    <w:rsid w:val="00E376E6"/>
    <w:rsid w:val="00E37CC4"/>
    <w:rsid w:val="00E4039C"/>
    <w:rsid w:val="00E40B98"/>
    <w:rsid w:val="00E40D43"/>
    <w:rsid w:val="00E41857"/>
    <w:rsid w:val="00E42110"/>
    <w:rsid w:val="00E429B2"/>
    <w:rsid w:val="00E42C98"/>
    <w:rsid w:val="00E42F1B"/>
    <w:rsid w:val="00E4333D"/>
    <w:rsid w:val="00E43940"/>
    <w:rsid w:val="00E441C0"/>
    <w:rsid w:val="00E44784"/>
    <w:rsid w:val="00E449EC"/>
    <w:rsid w:val="00E44D70"/>
    <w:rsid w:val="00E4598D"/>
    <w:rsid w:val="00E466C6"/>
    <w:rsid w:val="00E47DF1"/>
    <w:rsid w:val="00E5064B"/>
    <w:rsid w:val="00E50CEC"/>
    <w:rsid w:val="00E50FD9"/>
    <w:rsid w:val="00E519A8"/>
    <w:rsid w:val="00E519F6"/>
    <w:rsid w:val="00E51B44"/>
    <w:rsid w:val="00E51C1C"/>
    <w:rsid w:val="00E5240C"/>
    <w:rsid w:val="00E528C9"/>
    <w:rsid w:val="00E531F0"/>
    <w:rsid w:val="00E53A50"/>
    <w:rsid w:val="00E53C64"/>
    <w:rsid w:val="00E53D5A"/>
    <w:rsid w:val="00E54180"/>
    <w:rsid w:val="00E5455A"/>
    <w:rsid w:val="00E5639C"/>
    <w:rsid w:val="00E56B00"/>
    <w:rsid w:val="00E57078"/>
    <w:rsid w:val="00E573B7"/>
    <w:rsid w:val="00E5799A"/>
    <w:rsid w:val="00E579B5"/>
    <w:rsid w:val="00E57F68"/>
    <w:rsid w:val="00E6026B"/>
    <w:rsid w:val="00E604AF"/>
    <w:rsid w:val="00E60BDB"/>
    <w:rsid w:val="00E611C7"/>
    <w:rsid w:val="00E616D6"/>
    <w:rsid w:val="00E61A20"/>
    <w:rsid w:val="00E61F68"/>
    <w:rsid w:val="00E623AD"/>
    <w:rsid w:val="00E628BD"/>
    <w:rsid w:val="00E637AE"/>
    <w:rsid w:val="00E640AC"/>
    <w:rsid w:val="00E6486F"/>
    <w:rsid w:val="00E654CC"/>
    <w:rsid w:val="00E65DCD"/>
    <w:rsid w:val="00E6616B"/>
    <w:rsid w:val="00E6658E"/>
    <w:rsid w:val="00E6667F"/>
    <w:rsid w:val="00E66A0E"/>
    <w:rsid w:val="00E66B0C"/>
    <w:rsid w:val="00E676F9"/>
    <w:rsid w:val="00E6774B"/>
    <w:rsid w:val="00E700BA"/>
    <w:rsid w:val="00E7077C"/>
    <w:rsid w:val="00E70A31"/>
    <w:rsid w:val="00E71277"/>
    <w:rsid w:val="00E7193C"/>
    <w:rsid w:val="00E71971"/>
    <w:rsid w:val="00E71B8E"/>
    <w:rsid w:val="00E71BCB"/>
    <w:rsid w:val="00E72070"/>
    <w:rsid w:val="00E72563"/>
    <w:rsid w:val="00E73767"/>
    <w:rsid w:val="00E749FD"/>
    <w:rsid w:val="00E74FBF"/>
    <w:rsid w:val="00E75D6F"/>
    <w:rsid w:val="00E76028"/>
    <w:rsid w:val="00E762D4"/>
    <w:rsid w:val="00E76855"/>
    <w:rsid w:val="00E76D83"/>
    <w:rsid w:val="00E772AD"/>
    <w:rsid w:val="00E77466"/>
    <w:rsid w:val="00E7790B"/>
    <w:rsid w:val="00E8176B"/>
    <w:rsid w:val="00E81772"/>
    <w:rsid w:val="00E818F3"/>
    <w:rsid w:val="00E8381C"/>
    <w:rsid w:val="00E83B2C"/>
    <w:rsid w:val="00E84B04"/>
    <w:rsid w:val="00E85652"/>
    <w:rsid w:val="00E85F34"/>
    <w:rsid w:val="00E86EF5"/>
    <w:rsid w:val="00E87277"/>
    <w:rsid w:val="00E87698"/>
    <w:rsid w:val="00E87E01"/>
    <w:rsid w:val="00E87F63"/>
    <w:rsid w:val="00E90210"/>
    <w:rsid w:val="00E9091A"/>
    <w:rsid w:val="00E90FE9"/>
    <w:rsid w:val="00E91D15"/>
    <w:rsid w:val="00E92224"/>
    <w:rsid w:val="00E92235"/>
    <w:rsid w:val="00E92372"/>
    <w:rsid w:val="00E9289B"/>
    <w:rsid w:val="00E93090"/>
    <w:rsid w:val="00E942E5"/>
    <w:rsid w:val="00E94598"/>
    <w:rsid w:val="00E94881"/>
    <w:rsid w:val="00E94AB1"/>
    <w:rsid w:val="00E94D06"/>
    <w:rsid w:val="00E9506F"/>
    <w:rsid w:val="00E9525E"/>
    <w:rsid w:val="00E956E3"/>
    <w:rsid w:val="00E95FB4"/>
    <w:rsid w:val="00E9632D"/>
    <w:rsid w:val="00E96B3F"/>
    <w:rsid w:val="00EA064E"/>
    <w:rsid w:val="00EA0B1F"/>
    <w:rsid w:val="00EA29E0"/>
    <w:rsid w:val="00EA344E"/>
    <w:rsid w:val="00EA4010"/>
    <w:rsid w:val="00EA40A3"/>
    <w:rsid w:val="00EA4312"/>
    <w:rsid w:val="00EA4B8F"/>
    <w:rsid w:val="00EA59A2"/>
    <w:rsid w:val="00EA67D9"/>
    <w:rsid w:val="00EA731B"/>
    <w:rsid w:val="00EB0D67"/>
    <w:rsid w:val="00EB116A"/>
    <w:rsid w:val="00EB191B"/>
    <w:rsid w:val="00EB1B3B"/>
    <w:rsid w:val="00EB1D40"/>
    <w:rsid w:val="00EB2252"/>
    <w:rsid w:val="00EB23EB"/>
    <w:rsid w:val="00EB2587"/>
    <w:rsid w:val="00EB32EA"/>
    <w:rsid w:val="00EB34CC"/>
    <w:rsid w:val="00EB3654"/>
    <w:rsid w:val="00EB4765"/>
    <w:rsid w:val="00EB4AA5"/>
    <w:rsid w:val="00EB5E8B"/>
    <w:rsid w:val="00EB5F42"/>
    <w:rsid w:val="00EB6E80"/>
    <w:rsid w:val="00EB6FD2"/>
    <w:rsid w:val="00EB75F0"/>
    <w:rsid w:val="00EB7A26"/>
    <w:rsid w:val="00EB7AFD"/>
    <w:rsid w:val="00EB7D2B"/>
    <w:rsid w:val="00EC0625"/>
    <w:rsid w:val="00EC0AF9"/>
    <w:rsid w:val="00EC0DE1"/>
    <w:rsid w:val="00EC17C1"/>
    <w:rsid w:val="00EC456D"/>
    <w:rsid w:val="00EC4DAC"/>
    <w:rsid w:val="00EC542A"/>
    <w:rsid w:val="00EC562A"/>
    <w:rsid w:val="00EC588A"/>
    <w:rsid w:val="00EC58AA"/>
    <w:rsid w:val="00EC626D"/>
    <w:rsid w:val="00EC632D"/>
    <w:rsid w:val="00EC66CA"/>
    <w:rsid w:val="00EC6CDE"/>
    <w:rsid w:val="00EC7CA6"/>
    <w:rsid w:val="00EC7F83"/>
    <w:rsid w:val="00ED0599"/>
    <w:rsid w:val="00ED06A8"/>
    <w:rsid w:val="00ED0B42"/>
    <w:rsid w:val="00ED0B95"/>
    <w:rsid w:val="00ED1430"/>
    <w:rsid w:val="00ED1496"/>
    <w:rsid w:val="00ED1640"/>
    <w:rsid w:val="00ED2287"/>
    <w:rsid w:val="00ED2859"/>
    <w:rsid w:val="00ED2970"/>
    <w:rsid w:val="00ED3AF5"/>
    <w:rsid w:val="00ED3DF8"/>
    <w:rsid w:val="00ED441D"/>
    <w:rsid w:val="00ED4F07"/>
    <w:rsid w:val="00ED558E"/>
    <w:rsid w:val="00ED57ED"/>
    <w:rsid w:val="00ED58E2"/>
    <w:rsid w:val="00ED5E35"/>
    <w:rsid w:val="00ED61BE"/>
    <w:rsid w:val="00ED62B4"/>
    <w:rsid w:val="00ED6477"/>
    <w:rsid w:val="00ED64A3"/>
    <w:rsid w:val="00ED6935"/>
    <w:rsid w:val="00ED7A62"/>
    <w:rsid w:val="00EE081E"/>
    <w:rsid w:val="00EE0920"/>
    <w:rsid w:val="00EE0AC3"/>
    <w:rsid w:val="00EE1091"/>
    <w:rsid w:val="00EE18DE"/>
    <w:rsid w:val="00EE1D7A"/>
    <w:rsid w:val="00EE3361"/>
    <w:rsid w:val="00EE3AD0"/>
    <w:rsid w:val="00EE3DC9"/>
    <w:rsid w:val="00EE6ADF"/>
    <w:rsid w:val="00EE6AF8"/>
    <w:rsid w:val="00EE6B23"/>
    <w:rsid w:val="00EE777C"/>
    <w:rsid w:val="00EF15ED"/>
    <w:rsid w:val="00EF197D"/>
    <w:rsid w:val="00EF1B6D"/>
    <w:rsid w:val="00EF1B96"/>
    <w:rsid w:val="00EF1CB1"/>
    <w:rsid w:val="00EF3764"/>
    <w:rsid w:val="00EF3B1E"/>
    <w:rsid w:val="00EF3BFE"/>
    <w:rsid w:val="00EF3C61"/>
    <w:rsid w:val="00EF42FF"/>
    <w:rsid w:val="00EF5117"/>
    <w:rsid w:val="00EF56E4"/>
    <w:rsid w:val="00EF5A12"/>
    <w:rsid w:val="00EF62A1"/>
    <w:rsid w:val="00EF6F9A"/>
    <w:rsid w:val="00EF7598"/>
    <w:rsid w:val="00EF7ED9"/>
    <w:rsid w:val="00F0029B"/>
    <w:rsid w:val="00F00C74"/>
    <w:rsid w:val="00F02687"/>
    <w:rsid w:val="00F03311"/>
    <w:rsid w:val="00F03D38"/>
    <w:rsid w:val="00F049A0"/>
    <w:rsid w:val="00F04E5E"/>
    <w:rsid w:val="00F052D2"/>
    <w:rsid w:val="00F05859"/>
    <w:rsid w:val="00F063BA"/>
    <w:rsid w:val="00F065A4"/>
    <w:rsid w:val="00F06EAA"/>
    <w:rsid w:val="00F07953"/>
    <w:rsid w:val="00F07E7C"/>
    <w:rsid w:val="00F100C5"/>
    <w:rsid w:val="00F10384"/>
    <w:rsid w:val="00F10483"/>
    <w:rsid w:val="00F10911"/>
    <w:rsid w:val="00F111A2"/>
    <w:rsid w:val="00F119B8"/>
    <w:rsid w:val="00F11E15"/>
    <w:rsid w:val="00F12728"/>
    <w:rsid w:val="00F127E9"/>
    <w:rsid w:val="00F12955"/>
    <w:rsid w:val="00F12D33"/>
    <w:rsid w:val="00F139A8"/>
    <w:rsid w:val="00F13A4A"/>
    <w:rsid w:val="00F13BBD"/>
    <w:rsid w:val="00F14BA2"/>
    <w:rsid w:val="00F14EF9"/>
    <w:rsid w:val="00F153A1"/>
    <w:rsid w:val="00F15CA0"/>
    <w:rsid w:val="00F16411"/>
    <w:rsid w:val="00F176E6"/>
    <w:rsid w:val="00F176F0"/>
    <w:rsid w:val="00F2028B"/>
    <w:rsid w:val="00F20835"/>
    <w:rsid w:val="00F20869"/>
    <w:rsid w:val="00F20EC9"/>
    <w:rsid w:val="00F21951"/>
    <w:rsid w:val="00F21DFD"/>
    <w:rsid w:val="00F21E66"/>
    <w:rsid w:val="00F22C60"/>
    <w:rsid w:val="00F22FA1"/>
    <w:rsid w:val="00F235DA"/>
    <w:rsid w:val="00F24063"/>
    <w:rsid w:val="00F241B5"/>
    <w:rsid w:val="00F24620"/>
    <w:rsid w:val="00F24B1C"/>
    <w:rsid w:val="00F2505E"/>
    <w:rsid w:val="00F2516B"/>
    <w:rsid w:val="00F267A1"/>
    <w:rsid w:val="00F26FB7"/>
    <w:rsid w:val="00F27855"/>
    <w:rsid w:val="00F278D9"/>
    <w:rsid w:val="00F27FDB"/>
    <w:rsid w:val="00F305D1"/>
    <w:rsid w:val="00F308A5"/>
    <w:rsid w:val="00F31080"/>
    <w:rsid w:val="00F315BB"/>
    <w:rsid w:val="00F317BE"/>
    <w:rsid w:val="00F31BEE"/>
    <w:rsid w:val="00F31E95"/>
    <w:rsid w:val="00F32387"/>
    <w:rsid w:val="00F33F9D"/>
    <w:rsid w:val="00F33FE5"/>
    <w:rsid w:val="00F34448"/>
    <w:rsid w:val="00F344C9"/>
    <w:rsid w:val="00F3450B"/>
    <w:rsid w:val="00F34C40"/>
    <w:rsid w:val="00F35CD7"/>
    <w:rsid w:val="00F35E16"/>
    <w:rsid w:val="00F366B1"/>
    <w:rsid w:val="00F40316"/>
    <w:rsid w:val="00F40982"/>
    <w:rsid w:val="00F4103D"/>
    <w:rsid w:val="00F41893"/>
    <w:rsid w:val="00F41945"/>
    <w:rsid w:val="00F425E5"/>
    <w:rsid w:val="00F42893"/>
    <w:rsid w:val="00F43E9D"/>
    <w:rsid w:val="00F44694"/>
    <w:rsid w:val="00F4473C"/>
    <w:rsid w:val="00F447ED"/>
    <w:rsid w:val="00F44F7D"/>
    <w:rsid w:val="00F453FC"/>
    <w:rsid w:val="00F45EDE"/>
    <w:rsid w:val="00F4631C"/>
    <w:rsid w:val="00F466A0"/>
    <w:rsid w:val="00F46E3A"/>
    <w:rsid w:val="00F4778B"/>
    <w:rsid w:val="00F47D6A"/>
    <w:rsid w:val="00F503DC"/>
    <w:rsid w:val="00F5063C"/>
    <w:rsid w:val="00F509D8"/>
    <w:rsid w:val="00F5160A"/>
    <w:rsid w:val="00F516EA"/>
    <w:rsid w:val="00F51AC0"/>
    <w:rsid w:val="00F51C8E"/>
    <w:rsid w:val="00F522AB"/>
    <w:rsid w:val="00F52499"/>
    <w:rsid w:val="00F52A60"/>
    <w:rsid w:val="00F534A4"/>
    <w:rsid w:val="00F5352E"/>
    <w:rsid w:val="00F53ED1"/>
    <w:rsid w:val="00F54888"/>
    <w:rsid w:val="00F54A76"/>
    <w:rsid w:val="00F54D17"/>
    <w:rsid w:val="00F5556A"/>
    <w:rsid w:val="00F55618"/>
    <w:rsid w:val="00F5630D"/>
    <w:rsid w:val="00F56997"/>
    <w:rsid w:val="00F57441"/>
    <w:rsid w:val="00F575A2"/>
    <w:rsid w:val="00F577AE"/>
    <w:rsid w:val="00F57975"/>
    <w:rsid w:val="00F57BF3"/>
    <w:rsid w:val="00F57FD8"/>
    <w:rsid w:val="00F602FB"/>
    <w:rsid w:val="00F606BF"/>
    <w:rsid w:val="00F6152E"/>
    <w:rsid w:val="00F61788"/>
    <w:rsid w:val="00F61BE6"/>
    <w:rsid w:val="00F62067"/>
    <w:rsid w:val="00F622D4"/>
    <w:rsid w:val="00F63A94"/>
    <w:rsid w:val="00F64154"/>
    <w:rsid w:val="00F642FC"/>
    <w:rsid w:val="00F6453D"/>
    <w:rsid w:val="00F64C18"/>
    <w:rsid w:val="00F64DB0"/>
    <w:rsid w:val="00F6564B"/>
    <w:rsid w:val="00F6640C"/>
    <w:rsid w:val="00F667A2"/>
    <w:rsid w:val="00F67171"/>
    <w:rsid w:val="00F678A2"/>
    <w:rsid w:val="00F70244"/>
    <w:rsid w:val="00F70BAA"/>
    <w:rsid w:val="00F7133A"/>
    <w:rsid w:val="00F715B1"/>
    <w:rsid w:val="00F7167D"/>
    <w:rsid w:val="00F7173A"/>
    <w:rsid w:val="00F71F42"/>
    <w:rsid w:val="00F7211E"/>
    <w:rsid w:val="00F721C0"/>
    <w:rsid w:val="00F721FB"/>
    <w:rsid w:val="00F72CB2"/>
    <w:rsid w:val="00F737A0"/>
    <w:rsid w:val="00F73DCD"/>
    <w:rsid w:val="00F74127"/>
    <w:rsid w:val="00F745CE"/>
    <w:rsid w:val="00F74656"/>
    <w:rsid w:val="00F74BBD"/>
    <w:rsid w:val="00F751EB"/>
    <w:rsid w:val="00F753A7"/>
    <w:rsid w:val="00F7585A"/>
    <w:rsid w:val="00F75E81"/>
    <w:rsid w:val="00F766A9"/>
    <w:rsid w:val="00F768C3"/>
    <w:rsid w:val="00F7782D"/>
    <w:rsid w:val="00F7783A"/>
    <w:rsid w:val="00F8033F"/>
    <w:rsid w:val="00F80B52"/>
    <w:rsid w:val="00F80F60"/>
    <w:rsid w:val="00F81557"/>
    <w:rsid w:val="00F818A2"/>
    <w:rsid w:val="00F819C5"/>
    <w:rsid w:val="00F81A8D"/>
    <w:rsid w:val="00F81EBA"/>
    <w:rsid w:val="00F81F7F"/>
    <w:rsid w:val="00F831E6"/>
    <w:rsid w:val="00F8487D"/>
    <w:rsid w:val="00F84A19"/>
    <w:rsid w:val="00F86388"/>
    <w:rsid w:val="00F86C10"/>
    <w:rsid w:val="00F86CF7"/>
    <w:rsid w:val="00F873F9"/>
    <w:rsid w:val="00F87514"/>
    <w:rsid w:val="00F878C2"/>
    <w:rsid w:val="00F87D20"/>
    <w:rsid w:val="00F87D21"/>
    <w:rsid w:val="00F87F6B"/>
    <w:rsid w:val="00F9108B"/>
    <w:rsid w:val="00F91C18"/>
    <w:rsid w:val="00F923B7"/>
    <w:rsid w:val="00F9250D"/>
    <w:rsid w:val="00F92800"/>
    <w:rsid w:val="00F92983"/>
    <w:rsid w:val="00F9299C"/>
    <w:rsid w:val="00F92CB1"/>
    <w:rsid w:val="00F92D9A"/>
    <w:rsid w:val="00F94E06"/>
    <w:rsid w:val="00F94E21"/>
    <w:rsid w:val="00F956FF"/>
    <w:rsid w:val="00F95FCF"/>
    <w:rsid w:val="00F96745"/>
    <w:rsid w:val="00F97B9A"/>
    <w:rsid w:val="00FA04AE"/>
    <w:rsid w:val="00FA0621"/>
    <w:rsid w:val="00FA210F"/>
    <w:rsid w:val="00FA2F0C"/>
    <w:rsid w:val="00FA32A8"/>
    <w:rsid w:val="00FA34FF"/>
    <w:rsid w:val="00FA39C3"/>
    <w:rsid w:val="00FA4369"/>
    <w:rsid w:val="00FA441F"/>
    <w:rsid w:val="00FA465E"/>
    <w:rsid w:val="00FA4A85"/>
    <w:rsid w:val="00FA4B4D"/>
    <w:rsid w:val="00FA561F"/>
    <w:rsid w:val="00FA64A1"/>
    <w:rsid w:val="00FA64F6"/>
    <w:rsid w:val="00FA71F0"/>
    <w:rsid w:val="00FA74EB"/>
    <w:rsid w:val="00FB01F2"/>
    <w:rsid w:val="00FB0B4A"/>
    <w:rsid w:val="00FB0B67"/>
    <w:rsid w:val="00FB11E1"/>
    <w:rsid w:val="00FB170B"/>
    <w:rsid w:val="00FB20BC"/>
    <w:rsid w:val="00FB22AD"/>
    <w:rsid w:val="00FB27CC"/>
    <w:rsid w:val="00FB31B7"/>
    <w:rsid w:val="00FB3268"/>
    <w:rsid w:val="00FB3844"/>
    <w:rsid w:val="00FB3F2F"/>
    <w:rsid w:val="00FB4BAD"/>
    <w:rsid w:val="00FB4E02"/>
    <w:rsid w:val="00FB50CD"/>
    <w:rsid w:val="00FB53B1"/>
    <w:rsid w:val="00FB5697"/>
    <w:rsid w:val="00FB5885"/>
    <w:rsid w:val="00FB63BD"/>
    <w:rsid w:val="00FB718A"/>
    <w:rsid w:val="00FB727E"/>
    <w:rsid w:val="00FB734B"/>
    <w:rsid w:val="00FB753E"/>
    <w:rsid w:val="00FB756F"/>
    <w:rsid w:val="00FB7D6B"/>
    <w:rsid w:val="00FC0276"/>
    <w:rsid w:val="00FC0327"/>
    <w:rsid w:val="00FC08E5"/>
    <w:rsid w:val="00FC0C4E"/>
    <w:rsid w:val="00FC0F82"/>
    <w:rsid w:val="00FC1981"/>
    <w:rsid w:val="00FC2EC0"/>
    <w:rsid w:val="00FC327C"/>
    <w:rsid w:val="00FC44D1"/>
    <w:rsid w:val="00FC5012"/>
    <w:rsid w:val="00FC562B"/>
    <w:rsid w:val="00FC6302"/>
    <w:rsid w:val="00FC642B"/>
    <w:rsid w:val="00FC649D"/>
    <w:rsid w:val="00FC664A"/>
    <w:rsid w:val="00FD0EA9"/>
    <w:rsid w:val="00FD1262"/>
    <w:rsid w:val="00FD1390"/>
    <w:rsid w:val="00FD1574"/>
    <w:rsid w:val="00FD21AA"/>
    <w:rsid w:val="00FD2D84"/>
    <w:rsid w:val="00FD312E"/>
    <w:rsid w:val="00FD3829"/>
    <w:rsid w:val="00FD382D"/>
    <w:rsid w:val="00FD3919"/>
    <w:rsid w:val="00FD3DE3"/>
    <w:rsid w:val="00FD3ECF"/>
    <w:rsid w:val="00FD4526"/>
    <w:rsid w:val="00FD5225"/>
    <w:rsid w:val="00FD57F5"/>
    <w:rsid w:val="00FD5EE5"/>
    <w:rsid w:val="00FD61B3"/>
    <w:rsid w:val="00FD6354"/>
    <w:rsid w:val="00FD6C65"/>
    <w:rsid w:val="00FD7AA6"/>
    <w:rsid w:val="00FD7CEC"/>
    <w:rsid w:val="00FE0414"/>
    <w:rsid w:val="00FE07C6"/>
    <w:rsid w:val="00FE0AAA"/>
    <w:rsid w:val="00FE0C1D"/>
    <w:rsid w:val="00FE1068"/>
    <w:rsid w:val="00FE1092"/>
    <w:rsid w:val="00FE171A"/>
    <w:rsid w:val="00FE26A9"/>
    <w:rsid w:val="00FE2816"/>
    <w:rsid w:val="00FE2EA1"/>
    <w:rsid w:val="00FE4145"/>
    <w:rsid w:val="00FE5560"/>
    <w:rsid w:val="00FE5D12"/>
    <w:rsid w:val="00FE5E2A"/>
    <w:rsid w:val="00FE6109"/>
    <w:rsid w:val="00FE6189"/>
    <w:rsid w:val="00FE6248"/>
    <w:rsid w:val="00FF0256"/>
    <w:rsid w:val="00FF0ED5"/>
    <w:rsid w:val="00FF1630"/>
    <w:rsid w:val="00FF1EAA"/>
    <w:rsid w:val="00FF34C4"/>
    <w:rsid w:val="00FF37FD"/>
    <w:rsid w:val="00FF3B21"/>
    <w:rsid w:val="00FF433F"/>
    <w:rsid w:val="00FF4846"/>
    <w:rsid w:val="00FF51CB"/>
    <w:rsid w:val="00FF560E"/>
    <w:rsid w:val="00FF640C"/>
    <w:rsid w:val="00FF6A56"/>
    <w:rsid w:val="00FF6D34"/>
    <w:rsid w:val="00FF6F00"/>
    <w:rsid w:val="00FF72C7"/>
    <w:rsid w:val="00FF7A80"/>
    <w:rsid w:val="00FF7D83"/>
    <w:rsid w:val="0102DB4C"/>
    <w:rsid w:val="01103BA4"/>
    <w:rsid w:val="01834CF6"/>
    <w:rsid w:val="018D089B"/>
    <w:rsid w:val="019D8582"/>
    <w:rsid w:val="01BA8830"/>
    <w:rsid w:val="01C081B7"/>
    <w:rsid w:val="01DD57B3"/>
    <w:rsid w:val="01E54329"/>
    <w:rsid w:val="01F119FD"/>
    <w:rsid w:val="01F84F90"/>
    <w:rsid w:val="01FDB68E"/>
    <w:rsid w:val="020476D7"/>
    <w:rsid w:val="02194EFB"/>
    <w:rsid w:val="021CC790"/>
    <w:rsid w:val="024D9B63"/>
    <w:rsid w:val="025316EB"/>
    <w:rsid w:val="02568B00"/>
    <w:rsid w:val="0259426C"/>
    <w:rsid w:val="0260E9AE"/>
    <w:rsid w:val="02650B35"/>
    <w:rsid w:val="026C3B93"/>
    <w:rsid w:val="0274E953"/>
    <w:rsid w:val="02AA65C5"/>
    <w:rsid w:val="02C6535E"/>
    <w:rsid w:val="02F294C1"/>
    <w:rsid w:val="02F3491A"/>
    <w:rsid w:val="02F41A8B"/>
    <w:rsid w:val="031509D8"/>
    <w:rsid w:val="03371DDE"/>
    <w:rsid w:val="0350CD3B"/>
    <w:rsid w:val="036B421B"/>
    <w:rsid w:val="036CF473"/>
    <w:rsid w:val="036D0317"/>
    <w:rsid w:val="03784E83"/>
    <w:rsid w:val="03950D6A"/>
    <w:rsid w:val="03A0D743"/>
    <w:rsid w:val="03DD29A9"/>
    <w:rsid w:val="03F1EA81"/>
    <w:rsid w:val="03F31FAB"/>
    <w:rsid w:val="03F52264"/>
    <w:rsid w:val="03FB5CCB"/>
    <w:rsid w:val="0414F749"/>
    <w:rsid w:val="042B34FF"/>
    <w:rsid w:val="04658E32"/>
    <w:rsid w:val="046A5913"/>
    <w:rsid w:val="047571CF"/>
    <w:rsid w:val="04796802"/>
    <w:rsid w:val="04BCC7D7"/>
    <w:rsid w:val="04E3BD5D"/>
    <w:rsid w:val="04FC372D"/>
    <w:rsid w:val="04FF6469"/>
    <w:rsid w:val="050E5110"/>
    <w:rsid w:val="05119F7C"/>
    <w:rsid w:val="05354FF0"/>
    <w:rsid w:val="05366D12"/>
    <w:rsid w:val="053DADC1"/>
    <w:rsid w:val="054D926A"/>
    <w:rsid w:val="055E7927"/>
    <w:rsid w:val="055EC683"/>
    <w:rsid w:val="056781FA"/>
    <w:rsid w:val="05689088"/>
    <w:rsid w:val="057C437D"/>
    <w:rsid w:val="0580DC9D"/>
    <w:rsid w:val="0590275C"/>
    <w:rsid w:val="059777CC"/>
    <w:rsid w:val="05A50367"/>
    <w:rsid w:val="05C0734A"/>
    <w:rsid w:val="05C81039"/>
    <w:rsid w:val="05E61DC1"/>
    <w:rsid w:val="05F0BF24"/>
    <w:rsid w:val="060AFFA7"/>
    <w:rsid w:val="061841DC"/>
    <w:rsid w:val="061FA49D"/>
    <w:rsid w:val="061FFB23"/>
    <w:rsid w:val="0632BF6C"/>
    <w:rsid w:val="063E9B6C"/>
    <w:rsid w:val="06435982"/>
    <w:rsid w:val="0651E90C"/>
    <w:rsid w:val="066FDDE0"/>
    <w:rsid w:val="068384C6"/>
    <w:rsid w:val="06A8907B"/>
    <w:rsid w:val="06B2D792"/>
    <w:rsid w:val="06D39E50"/>
    <w:rsid w:val="06E1AC18"/>
    <w:rsid w:val="06EE3B85"/>
    <w:rsid w:val="06F837F8"/>
    <w:rsid w:val="06FD56B1"/>
    <w:rsid w:val="072678CB"/>
    <w:rsid w:val="072DB5FF"/>
    <w:rsid w:val="075B7657"/>
    <w:rsid w:val="076880A0"/>
    <w:rsid w:val="076A6D7F"/>
    <w:rsid w:val="0773687E"/>
    <w:rsid w:val="07888D6C"/>
    <w:rsid w:val="079DFABA"/>
    <w:rsid w:val="079FB306"/>
    <w:rsid w:val="07AFE5BB"/>
    <w:rsid w:val="07BD0396"/>
    <w:rsid w:val="07C780B9"/>
    <w:rsid w:val="07C7B27F"/>
    <w:rsid w:val="07CE53B3"/>
    <w:rsid w:val="07D9BB35"/>
    <w:rsid w:val="07DAD421"/>
    <w:rsid w:val="07EA75C1"/>
    <w:rsid w:val="0804C153"/>
    <w:rsid w:val="0816CE63"/>
    <w:rsid w:val="082B9C3B"/>
    <w:rsid w:val="0847F2E6"/>
    <w:rsid w:val="0863A4BE"/>
    <w:rsid w:val="0865C8FC"/>
    <w:rsid w:val="0866DC52"/>
    <w:rsid w:val="086D4486"/>
    <w:rsid w:val="08735E9F"/>
    <w:rsid w:val="0874EC1F"/>
    <w:rsid w:val="08815951"/>
    <w:rsid w:val="08887598"/>
    <w:rsid w:val="088A71DF"/>
    <w:rsid w:val="089B8344"/>
    <w:rsid w:val="08A9DA64"/>
    <w:rsid w:val="08AE49FE"/>
    <w:rsid w:val="08CE41D5"/>
    <w:rsid w:val="08CEE62D"/>
    <w:rsid w:val="08D12560"/>
    <w:rsid w:val="08D6C492"/>
    <w:rsid w:val="08DEA656"/>
    <w:rsid w:val="08DFCE25"/>
    <w:rsid w:val="08E170B9"/>
    <w:rsid w:val="08E24B33"/>
    <w:rsid w:val="0904A99A"/>
    <w:rsid w:val="0904D9DA"/>
    <w:rsid w:val="09118EF1"/>
    <w:rsid w:val="0912488F"/>
    <w:rsid w:val="09162160"/>
    <w:rsid w:val="092A70AD"/>
    <w:rsid w:val="09334918"/>
    <w:rsid w:val="09385C79"/>
    <w:rsid w:val="094A802B"/>
    <w:rsid w:val="0981976A"/>
    <w:rsid w:val="0987F8D8"/>
    <w:rsid w:val="09968052"/>
    <w:rsid w:val="09A13C5A"/>
    <w:rsid w:val="09CF8CF9"/>
    <w:rsid w:val="09E63EAD"/>
    <w:rsid w:val="09ECD865"/>
    <w:rsid w:val="09F28532"/>
    <w:rsid w:val="0A1047F9"/>
    <w:rsid w:val="0A2ABA56"/>
    <w:rsid w:val="0A3E26AF"/>
    <w:rsid w:val="0A5BF45A"/>
    <w:rsid w:val="0A5F165F"/>
    <w:rsid w:val="0A8125AF"/>
    <w:rsid w:val="0A88E829"/>
    <w:rsid w:val="0A8B7695"/>
    <w:rsid w:val="0A9EF5FA"/>
    <w:rsid w:val="0AAE5FC1"/>
    <w:rsid w:val="0AD17656"/>
    <w:rsid w:val="0ADAFC79"/>
    <w:rsid w:val="0ADBE2BD"/>
    <w:rsid w:val="0AF321D7"/>
    <w:rsid w:val="0AF3B506"/>
    <w:rsid w:val="0AFEF4F6"/>
    <w:rsid w:val="0B0713D1"/>
    <w:rsid w:val="0B13C817"/>
    <w:rsid w:val="0B1A2F7F"/>
    <w:rsid w:val="0B364E3E"/>
    <w:rsid w:val="0B3ECB99"/>
    <w:rsid w:val="0B469A1E"/>
    <w:rsid w:val="0B49A447"/>
    <w:rsid w:val="0B694918"/>
    <w:rsid w:val="0B6E9DE1"/>
    <w:rsid w:val="0B78911D"/>
    <w:rsid w:val="0B8B6FCA"/>
    <w:rsid w:val="0BA2FB20"/>
    <w:rsid w:val="0BBA436E"/>
    <w:rsid w:val="0BBC96F2"/>
    <w:rsid w:val="0BCCF795"/>
    <w:rsid w:val="0BD61D67"/>
    <w:rsid w:val="0BD6D4AA"/>
    <w:rsid w:val="0BD86279"/>
    <w:rsid w:val="0BD8AF92"/>
    <w:rsid w:val="0BDFA80C"/>
    <w:rsid w:val="0BE3ECF2"/>
    <w:rsid w:val="0C013DFD"/>
    <w:rsid w:val="0C0E5DAD"/>
    <w:rsid w:val="0C10B367"/>
    <w:rsid w:val="0C13DB8B"/>
    <w:rsid w:val="0C151C70"/>
    <w:rsid w:val="0C1CCC04"/>
    <w:rsid w:val="0C38692B"/>
    <w:rsid w:val="0C38B38F"/>
    <w:rsid w:val="0C412C17"/>
    <w:rsid w:val="0C4B85C9"/>
    <w:rsid w:val="0C542683"/>
    <w:rsid w:val="0C673AFE"/>
    <w:rsid w:val="0C933846"/>
    <w:rsid w:val="0C9765A4"/>
    <w:rsid w:val="0CA356F4"/>
    <w:rsid w:val="0CBCEE2B"/>
    <w:rsid w:val="0CC61C43"/>
    <w:rsid w:val="0CCDFDD1"/>
    <w:rsid w:val="0CCEB028"/>
    <w:rsid w:val="0CDEF3DA"/>
    <w:rsid w:val="0CE22D16"/>
    <w:rsid w:val="0CE7FF0A"/>
    <w:rsid w:val="0D09C931"/>
    <w:rsid w:val="0D147D41"/>
    <w:rsid w:val="0D37AA5B"/>
    <w:rsid w:val="0D470A15"/>
    <w:rsid w:val="0D4E49EF"/>
    <w:rsid w:val="0D5A45E8"/>
    <w:rsid w:val="0D6FC3AE"/>
    <w:rsid w:val="0D7ECD01"/>
    <w:rsid w:val="0D885F40"/>
    <w:rsid w:val="0DB6D804"/>
    <w:rsid w:val="0DBF5D2A"/>
    <w:rsid w:val="0DC3D042"/>
    <w:rsid w:val="0DE54F3C"/>
    <w:rsid w:val="0DE60BF4"/>
    <w:rsid w:val="0DF99C5D"/>
    <w:rsid w:val="0E03B127"/>
    <w:rsid w:val="0E14BB5E"/>
    <w:rsid w:val="0E194E8B"/>
    <w:rsid w:val="0E1D3999"/>
    <w:rsid w:val="0E1E8D69"/>
    <w:rsid w:val="0E23ADD0"/>
    <w:rsid w:val="0E32D6DA"/>
    <w:rsid w:val="0E6441BF"/>
    <w:rsid w:val="0E85BB21"/>
    <w:rsid w:val="0EA53C12"/>
    <w:rsid w:val="0EB175FF"/>
    <w:rsid w:val="0EB93634"/>
    <w:rsid w:val="0EF7A582"/>
    <w:rsid w:val="0EFC23D2"/>
    <w:rsid w:val="0F0A0E3B"/>
    <w:rsid w:val="0F1569C0"/>
    <w:rsid w:val="0F196870"/>
    <w:rsid w:val="0F1C546D"/>
    <w:rsid w:val="0F283CAF"/>
    <w:rsid w:val="0F2D4A69"/>
    <w:rsid w:val="0F2F98A2"/>
    <w:rsid w:val="0F308346"/>
    <w:rsid w:val="0F362246"/>
    <w:rsid w:val="0F5126A8"/>
    <w:rsid w:val="0F62FC79"/>
    <w:rsid w:val="0F68C17C"/>
    <w:rsid w:val="0F6CEFAC"/>
    <w:rsid w:val="0F84A61B"/>
    <w:rsid w:val="0FBC0DC0"/>
    <w:rsid w:val="0FC4D383"/>
    <w:rsid w:val="0FD6922B"/>
    <w:rsid w:val="0FEF3CEB"/>
    <w:rsid w:val="0FF24D05"/>
    <w:rsid w:val="1006B750"/>
    <w:rsid w:val="1057F1BF"/>
    <w:rsid w:val="105FD6B5"/>
    <w:rsid w:val="10654F91"/>
    <w:rsid w:val="106F0AED"/>
    <w:rsid w:val="10760FE2"/>
    <w:rsid w:val="108F78C6"/>
    <w:rsid w:val="10A39B67"/>
    <w:rsid w:val="10A645A9"/>
    <w:rsid w:val="10C5A484"/>
    <w:rsid w:val="10EBF57C"/>
    <w:rsid w:val="1100409B"/>
    <w:rsid w:val="110C65C6"/>
    <w:rsid w:val="112E89D4"/>
    <w:rsid w:val="1164E0C2"/>
    <w:rsid w:val="11758E5E"/>
    <w:rsid w:val="11791AA7"/>
    <w:rsid w:val="1180D8D7"/>
    <w:rsid w:val="11A00D0B"/>
    <w:rsid w:val="11A70F06"/>
    <w:rsid w:val="11B3911F"/>
    <w:rsid w:val="11BF3CD3"/>
    <w:rsid w:val="11F7B775"/>
    <w:rsid w:val="12381B26"/>
    <w:rsid w:val="123AF02F"/>
    <w:rsid w:val="123D3494"/>
    <w:rsid w:val="124972DF"/>
    <w:rsid w:val="12576B60"/>
    <w:rsid w:val="125AA4C7"/>
    <w:rsid w:val="126366DC"/>
    <w:rsid w:val="127A0C5D"/>
    <w:rsid w:val="12845C1C"/>
    <w:rsid w:val="1284CEC8"/>
    <w:rsid w:val="128BD8DA"/>
    <w:rsid w:val="1296E92A"/>
    <w:rsid w:val="129EC189"/>
    <w:rsid w:val="12C5F0C8"/>
    <w:rsid w:val="12EEBF31"/>
    <w:rsid w:val="12F4C506"/>
    <w:rsid w:val="12F6FDBA"/>
    <w:rsid w:val="1318DA4A"/>
    <w:rsid w:val="13201F9A"/>
    <w:rsid w:val="133B9AB7"/>
    <w:rsid w:val="1346668C"/>
    <w:rsid w:val="13475CF0"/>
    <w:rsid w:val="13658C09"/>
    <w:rsid w:val="136AA834"/>
    <w:rsid w:val="1384D570"/>
    <w:rsid w:val="138CA4FC"/>
    <w:rsid w:val="139286FD"/>
    <w:rsid w:val="13B3EEF0"/>
    <w:rsid w:val="13BD698F"/>
    <w:rsid w:val="13C86562"/>
    <w:rsid w:val="13DA9081"/>
    <w:rsid w:val="13E41E9A"/>
    <w:rsid w:val="13E5F033"/>
    <w:rsid w:val="13E9C4A8"/>
    <w:rsid w:val="13F0DBA2"/>
    <w:rsid w:val="1411815C"/>
    <w:rsid w:val="1415928B"/>
    <w:rsid w:val="1417974E"/>
    <w:rsid w:val="142B4065"/>
    <w:rsid w:val="145E5C40"/>
    <w:rsid w:val="146E9F48"/>
    <w:rsid w:val="14C9FA45"/>
    <w:rsid w:val="14D41E25"/>
    <w:rsid w:val="14DD0596"/>
    <w:rsid w:val="14DD1B54"/>
    <w:rsid w:val="1516F430"/>
    <w:rsid w:val="15196D78"/>
    <w:rsid w:val="15252AE3"/>
    <w:rsid w:val="154876F1"/>
    <w:rsid w:val="1549E231"/>
    <w:rsid w:val="154B234D"/>
    <w:rsid w:val="1557588A"/>
    <w:rsid w:val="156E3A4F"/>
    <w:rsid w:val="156E8E9F"/>
    <w:rsid w:val="157C42AF"/>
    <w:rsid w:val="157E1939"/>
    <w:rsid w:val="158129CC"/>
    <w:rsid w:val="158B8B21"/>
    <w:rsid w:val="158D1326"/>
    <w:rsid w:val="159DB7CC"/>
    <w:rsid w:val="159F0C07"/>
    <w:rsid w:val="159FFABA"/>
    <w:rsid w:val="15A64D75"/>
    <w:rsid w:val="15A74137"/>
    <w:rsid w:val="15B5FF6C"/>
    <w:rsid w:val="15C300AA"/>
    <w:rsid w:val="15CD7EAA"/>
    <w:rsid w:val="15DD57C5"/>
    <w:rsid w:val="15E1EBA3"/>
    <w:rsid w:val="15E21573"/>
    <w:rsid w:val="15F1A35A"/>
    <w:rsid w:val="1621F297"/>
    <w:rsid w:val="162473E0"/>
    <w:rsid w:val="1624C2FA"/>
    <w:rsid w:val="16359FBE"/>
    <w:rsid w:val="16412403"/>
    <w:rsid w:val="1647350D"/>
    <w:rsid w:val="16613E7C"/>
    <w:rsid w:val="16685BCE"/>
    <w:rsid w:val="1669A853"/>
    <w:rsid w:val="167A2FA8"/>
    <w:rsid w:val="168D6A1A"/>
    <w:rsid w:val="16B88DAD"/>
    <w:rsid w:val="16DDF628"/>
    <w:rsid w:val="16E4E6D2"/>
    <w:rsid w:val="16E5D88B"/>
    <w:rsid w:val="16E6CEDF"/>
    <w:rsid w:val="16F55675"/>
    <w:rsid w:val="16F72A50"/>
    <w:rsid w:val="16FF7F51"/>
    <w:rsid w:val="173F1612"/>
    <w:rsid w:val="175C125E"/>
    <w:rsid w:val="17779CE2"/>
    <w:rsid w:val="17873FEC"/>
    <w:rsid w:val="178A7B9A"/>
    <w:rsid w:val="178EC505"/>
    <w:rsid w:val="1797D453"/>
    <w:rsid w:val="179EDFFA"/>
    <w:rsid w:val="17A00B53"/>
    <w:rsid w:val="17BC9F80"/>
    <w:rsid w:val="17D57685"/>
    <w:rsid w:val="18029EB2"/>
    <w:rsid w:val="18049998"/>
    <w:rsid w:val="1805F128"/>
    <w:rsid w:val="18463CA6"/>
    <w:rsid w:val="184DC0AD"/>
    <w:rsid w:val="184FBC15"/>
    <w:rsid w:val="185CB957"/>
    <w:rsid w:val="1867784E"/>
    <w:rsid w:val="1874763F"/>
    <w:rsid w:val="188BD761"/>
    <w:rsid w:val="18985B7B"/>
    <w:rsid w:val="189B8671"/>
    <w:rsid w:val="18A2633F"/>
    <w:rsid w:val="18B6913A"/>
    <w:rsid w:val="18B70521"/>
    <w:rsid w:val="18B75632"/>
    <w:rsid w:val="18B799E2"/>
    <w:rsid w:val="18D0C86B"/>
    <w:rsid w:val="18F476B7"/>
    <w:rsid w:val="18FAFD77"/>
    <w:rsid w:val="1915FB89"/>
    <w:rsid w:val="19279677"/>
    <w:rsid w:val="192934B5"/>
    <w:rsid w:val="194A7F7A"/>
    <w:rsid w:val="19581CAC"/>
    <w:rsid w:val="196C994A"/>
    <w:rsid w:val="19706861"/>
    <w:rsid w:val="19745291"/>
    <w:rsid w:val="199957F8"/>
    <w:rsid w:val="19A1F81B"/>
    <w:rsid w:val="19A24577"/>
    <w:rsid w:val="19A6DC79"/>
    <w:rsid w:val="19F54965"/>
    <w:rsid w:val="19FAA8AE"/>
    <w:rsid w:val="1A20BBD3"/>
    <w:rsid w:val="1A32A62A"/>
    <w:rsid w:val="1A49CD33"/>
    <w:rsid w:val="1A70F9A6"/>
    <w:rsid w:val="1A7D1733"/>
    <w:rsid w:val="1A7F3CDE"/>
    <w:rsid w:val="1A883172"/>
    <w:rsid w:val="1A9D3CFA"/>
    <w:rsid w:val="1AAFC5AF"/>
    <w:rsid w:val="1AB9DBCD"/>
    <w:rsid w:val="1ABE513B"/>
    <w:rsid w:val="1AC259C5"/>
    <w:rsid w:val="1AC41ABE"/>
    <w:rsid w:val="1AD8D540"/>
    <w:rsid w:val="1ADAF096"/>
    <w:rsid w:val="1AE4C269"/>
    <w:rsid w:val="1B0BB775"/>
    <w:rsid w:val="1B382706"/>
    <w:rsid w:val="1B3FAB44"/>
    <w:rsid w:val="1B4230B9"/>
    <w:rsid w:val="1B4BF5BA"/>
    <w:rsid w:val="1B5F9CC2"/>
    <w:rsid w:val="1B676C2B"/>
    <w:rsid w:val="1B6EC7C7"/>
    <w:rsid w:val="1B71122D"/>
    <w:rsid w:val="1B79D648"/>
    <w:rsid w:val="1B867150"/>
    <w:rsid w:val="1B87676F"/>
    <w:rsid w:val="1B97D0D0"/>
    <w:rsid w:val="1BB20F3A"/>
    <w:rsid w:val="1BB5870B"/>
    <w:rsid w:val="1BC9BC72"/>
    <w:rsid w:val="1BCC2512"/>
    <w:rsid w:val="1BD1E36D"/>
    <w:rsid w:val="1BF615F4"/>
    <w:rsid w:val="1BF7A79F"/>
    <w:rsid w:val="1C07AFF7"/>
    <w:rsid w:val="1C15A954"/>
    <w:rsid w:val="1C21FA9F"/>
    <w:rsid w:val="1C291CDF"/>
    <w:rsid w:val="1C35150E"/>
    <w:rsid w:val="1C3F61AF"/>
    <w:rsid w:val="1C53FBCF"/>
    <w:rsid w:val="1C5A6F96"/>
    <w:rsid w:val="1C7F623D"/>
    <w:rsid w:val="1C824FBA"/>
    <w:rsid w:val="1C92B219"/>
    <w:rsid w:val="1C94A9AB"/>
    <w:rsid w:val="1CA16B6C"/>
    <w:rsid w:val="1CA4552C"/>
    <w:rsid w:val="1CA6FBF1"/>
    <w:rsid w:val="1CC0E861"/>
    <w:rsid w:val="1CC28DCD"/>
    <w:rsid w:val="1CC7A11B"/>
    <w:rsid w:val="1CC7FECB"/>
    <w:rsid w:val="1CD721F3"/>
    <w:rsid w:val="1CE9A70E"/>
    <w:rsid w:val="1CEE2937"/>
    <w:rsid w:val="1D10DDFC"/>
    <w:rsid w:val="1D1BEA2B"/>
    <w:rsid w:val="1D26C752"/>
    <w:rsid w:val="1D689557"/>
    <w:rsid w:val="1D6FDF8F"/>
    <w:rsid w:val="1D7BAFCF"/>
    <w:rsid w:val="1D8ABEA5"/>
    <w:rsid w:val="1DA1F00D"/>
    <w:rsid w:val="1DA53177"/>
    <w:rsid w:val="1DCDB609"/>
    <w:rsid w:val="1DCF5840"/>
    <w:rsid w:val="1DD2895D"/>
    <w:rsid w:val="1DEAF428"/>
    <w:rsid w:val="1DF0D107"/>
    <w:rsid w:val="1DF17E67"/>
    <w:rsid w:val="1DFECDBF"/>
    <w:rsid w:val="1E10646C"/>
    <w:rsid w:val="1E13E9CE"/>
    <w:rsid w:val="1E151BEB"/>
    <w:rsid w:val="1E15E9AF"/>
    <w:rsid w:val="1E2405E4"/>
    <w:rsid w:val="1E31BDB8"/>
    <w:rsid w:val="1E40218B"/>
    <w:rsid w:val="1E53D03B"/>
    <w:rsid w:val="1E5B3AAD"/>
    <w:rsid w:val="1E61B666"/>
    <w:rsid w:val="1E829343"/>
    <w:rsid w:val="1E82E569"/>
    <w:rsid w:val="1E99DDDE"/>
    <w:rsid w:val="1EB9E8AC"/>
    <w:rsid w:val="1EBAEDF0"/>
    <w:rsid w:val="1EC15CBB"/>
    <w:rsid w:val="1EC7CC6D"/>
    <w:rsid w:val="1ECF1FA0"/>
    <w:rsid w:val="1EDD7E52"/>
    <w:rsid w:val="1EDF89F5"/>
    <w:rsid w:val="1EE9CDF1"/>
    <w:rsid w:val="1EFACD88"/>
    <w:rsid w:val="1EFE41A8"/>
    <w:rsid w:val="1F13173B"/>
    <w:rsid w:val="1F483CB1"/>
    <w:rsid w:val="1F4A1C69"/>
    <w:rsid w:val="1F6CD4A5"/>
    <w:rsid w:val="1F6ECAAB"/>
    <w:rsid w:val="1F82660E"/>
    <w:rsid w:val="1F88D960"/>
    <w:rsid w:val="1FB2333C"/>
    <w:rsid w:val="1FCC461A"/>
    <w:rsid w:val="1FCEB413"/>
    <w:rsid w:val="1FD377FB"/>
    <w:rsid w:val="1FE8F1B6"/>
    <w:rsid w:val="1FFBC6AE"/>
    <w:rsid w:val="20018782"/>
    <w:rsid w:val="200F605B"/>
    <w:rsid w:val="20164AC5"/>
    <w:rsid w:val="202E5C5D"/>
    <w:rsid w:val="20446A96"/>
    <w:rsid w:val="20458C46"/>
    <w:rsid w:val="2048183C"/>
    <w:rsid w:val="204D11E9"/>
    <w:rsid w:val="20516BFA"/>
    <w:rsid w:val="2058E06F"/>
    <w:rsid w:val="207BEF09"/>
    <w:rsid w:val="20B02626"/>
    <w:rsid w:val="20C123D4"/>
    <w:rsid w:val="20CD8605"/>
    <w:rsid w:val="20E0AD4B"/>
    <w:rsid w:val="20E3816E"/>
    <w:rsid w:val="20E53CED"/>
    <w:rsid w:val="210B2A2B"/>
    <w:rsid w:val="210DF62B"/>
    <w:rsid w:val="2115F94D"/>
    <w:rsid w:val="211B19D6"/>
    <w:rsid w:val="211D0BCE"/>
    <w:rsid w:val="21210DA5"/>
    <w:rsid w:val="212F599F"/>
    <w:rsid w:val="21480BCD"/>
    <w:rsid w:val="21485751"/>
    <w:rsid w:val="216123BF"/>
    <w:rsid w:val="2167D6F7"/>
    <w:rsid w:val="217FE029"/>
    <w:rsid w:val="218524BD"/>
    <w:rsid w:val="21A7D9D5"/>
    <w:rsid w:val="21B6B8BD"/>
    <w:rsid w:val="21CEE30A"/>
    <w:rsid w:val="21D95E7C"/>
    <w:rsid w:val="21F9A776"/>
    <w:rsid w:val="22053738"/>
    <w:rsid w:val="223470FE"/>
    <w:rsid w:val="223BAA66"/>
    <w:rsid w:val="224EFF8C"/>
    <w:rsid w:val="22771D2A"/>
    <w:rsid w:val="228F1112"/>
    <w:rsid w:val="229426CC"/>
    <w:rsid w:val="22AE6E33"/>
    <w:rsid w:val="22B858EC"/>
    <w:rsid w:val="22BA9643"/>
    <w:rsid w:val="22C6C4EA"/>
    <w:rsid w:val="22D7D7A9"/>
    <w:rsid w:val="22E1B396"/>
    <w:rsid w:val="22ECFB72"/>
    <w:rsid w:val="22F3598F"/>
    <w:rsid w:val="22F68EA2"/>
    <w:rsid w:val="23211E5D"/>
    <w:rsid w:val="235FFB89"/>
    <w:rsid w:val="2364C2CE"/>
    <w:rsid w:val="2380E948"/>
    <w:rsid w:val="2381BF5D"/>
    <w:rsid w:val="23C95DE9"/>
    <w:rsid w:val="23E7494F"/>
    <w:rsid w:val="23F3EC62"/>
    <w:rsid w:val="23F72A8A"/>
    <w:rsid w:val="240DCEFC"/>
    <w:rsid w:val="241CBD00"/>
    <w:rsid w:val="241FF257"/>
    <w:rsid w:val="2430F5B9"/>
    <w:rsid w:val="2434B2B2"/>
    <w:rsid w:val="2467B09A"/>
    <w:rsid w:val="246BE4D0"/>
    <w:rsid w:val="2476E83D"/>
    <w:rsid w:val="24801EE3"/>
    <w:rsid w:val="248DBD5B"/>
    <w:rsid w:val="249BF897"/>
    <w:rsid w:val="24AE16F3"/>
    <w:rsid w:val="24BA9E62"/>
    <w:rsid w:val="24D900E0"/>
    <w:rsid w:val="24D981C0"/>
    <w:rsid w:val="24E954B4"/>
    <w:rsid w:val="25136CD1"/>
    <w:rsid w:val="251575CE"/>
    <w:rsid w:val="2523B4F6"/>
    <w:rsid w:val="2531D77B"/>
    <w:rsid w:val="2556662A"/>
    <w:rsid w:val="259B4E3C"/>
    <w:rsid w:val="25ACE1F8"/>
    <w:rsid w:val="25C3FFE1"/>
    <w:rsid w:val="25D68CD1"/>
    <w:rsid w:val="25D8FC94"/>
    <w:rsid w:val="25DD09C0"/>
    <w:rsid w:val="25E84E66"/>
    <w:rsid w:val="25E9F4D9"/>
    <w:rsid w:val="26074F8B"/>
    <w:rsid w:val="26137EE0"/>
    <w:rsid w:val="261C13B0"/>
    <w:rsid w:val="2633A697"/>
    <w:rsid w:val="264ADA9A"/>
    <w:rsid w:val="265C8EC4"/>
    <w:rsid w:val="265D4703"/>
    <w:rsid w:val="266D0BF4"/>
    <w:rsid w:val="2693928D"/>
    <w:rsid w:val="26A5FABF"/>
    <w:rsid w:val="26A8D0C6"/>
    <w:rsid w:val="26C5802D"/>
    <w:rsid w:val="26E7294D"/>
    <w:rsid w:val="26FBBC8E"/>
    <w:rsid w:val="2727CE27"/>
    <w:rsid w:val="2728814A"/>
    <w:rsid w:val="273A6673"/>
    <w:rsid w:val="275C4C30"/>
    <w:rsid w:val="2761A856"/>
    <w:rsid w:val="277B3CDF"/>
    <w:rsid w:val="2787E4CF"/>
    <w:rsid w:val="278AE91F"/>
    <w:rsid w:val="278BCE60"/>
    <w:rsid w:val="279F7053"/>
    <w:rsid w:val="27A33FAC"/>
    <w:rsid w:val="27AF410A"/>
    <w:rsid w:val="27CEE706"/>
    <w:rsid w:val="27DD1CB0"/>
    <w:rsid w:val="27EFD40B"/>
    <w:rsid w:val="27F03F89"/>
    <w:rsid w:val="280FFF07"/>
    <w:rsid w:val="2828663C"/>
    <w:rsid w:val="282CB2D9"/>
    <w:rsid w:val="2843B28B"/>
    <w:rsid w:val="284487AB"/>
    <w:rsid w:val="284826F8"/>
    <w:rsid w:val="2851E0C3"/>
    <w:rsid w:val="28591CF9"/>
    <w:rsid w:val="285C7357"/>
    <w:rsid w:val="287E4D0D"/>
    <w:rsid w:val="28812C58"/>
    <w:rsid w:val="28837989"/>
    <w:rsid w:val="28934B80"/>
    <w:rsid w:val="28A503C7"/>
    <w:rsid w:val="28AC54ED"/>
    <w:rsid w:val="28B7435E"/>
    <w:rsid w:val="28C423F2"/>
    <w:rsid w:val="28DB63F8"/>
    <w:rsid w:val="28F3283B"/>
    <w:rsid w:val="28F96A29"/>
    <w:rsid w:val="29079FE7"/>
    <w:rsid w:val="2914B460"/>
    <w:rsid w:val="291AE9DF"/>
    <w:rsid w:val="291CD3BC"/>
    <w:rsid w:val="291DBF78"/>
    <w:rsid w:val="29464C0A"/>
    <w:rsid w:val="29513D1B"/>
    <w:rsid w:val="295B46CC"/>
    <w:rsid w:val="29989286"/>
    <w:rsid w:val="299EA141"/>
    <w:rsid w:val="29AAA62F"/>
    <w:rsid w:val="29C49E63"/>
    <w:rsid w:val="29D1970A"/>
    <w:rsid w:val="29EA6FF0"/>
    <w:rsid w:val="29F7706D"/>
    <w:rsid w:val="2A1B4A70"/>
    <w:rsid w:val="2A5FE8AF"/>
    <w:rsid w:val="2A706E72"/>
    <w:rsid w:val="2A71C027"/>
    <w:rsid w:val="2A71E7C1"/>
    <w:rsid w:val="2A83DFFF"/>
    <w:rsid w:val="2A91DB4E"/>
    <w:rsid w:val="2AA7561E"/>
    <w:rsid w:val="2AAFD4AF"/>
    <w:rsid w:val="2AB9EAF9"/>
    <w:rsid w:val="2AD0850B"/>
    <w:rsid w:val="2AE83FF6"/>
    <w:rsid w:val="2AF129C3"/>
    <w:rsid w:val="2B00F699"/>
    <w:rsid w:val="2B016A9B"/>
    <w:rsid w:val="2B1319F3"/>
    <w:rsid w:val="2B165D14"/>
    <w:rsid w:val="2B23E97E"/>
    <w:rsid w:val="2B6182E3"/>
    <w:rsid w:val="2B695005"/>
    <w:rsid w:val="2B7DB70C"/>
    <w:rsid w:val="2B814943"/>
    <w:rsid w:val="2B9BB0C8"/>
    <w:rsid w:val="2BA0D627"/>
    <w:rsid w:val="2BAA2547"/>
    <w:rsid w:val="2BC2E66F"/>
    <w:rsid w:val="2BC66F52"/>
    <w:rsid w:val="2BC817F0"/>
    <w:rsid w:val="2BCB8B8D"/>
    <w:rsid w:val="2BD35871"/>
    <w:rsid w:val="2BD7B189"/>
    <w:rsid w:val="2BF4D73D"/>
    <w:rsid w:val="2C025ED7"/>
    <w:rsid w:val="2C19810F"/>
    <w:rsid w:val="2C36D2EF"/>
    <w:rsid w:val="2C3DF358"/>
    <w:rsid w:val="2C57601B"/>
    <w:rsid w:val="2C6D3C51"/>
    <w:rsid w:val="2C7AF8B9"/>
    <w:rsid w:val="2C8D79B4"/>
    <w:rsid w:val="2C8EA3D2"/>
    <w:rsid w:val="2C902D81"/>
    <w:rsid w:val="2C9B4937"/>
    <w:rsid w:val="2CA2BFF1"/>
    <w:rsid w:val="2CCCE7BE"/>
    <w:rsid w:val="2CDE50AE"/>
    <w:rsid w:val="2CE6710A"/>
    <w:rsid w:val="2CE9A2FD"/>
    <w:rsid w:val="2CF0D3D2"/>
    <w:rsid w:val="2D0CBC44"/>
    <w:rsid w:val="2D0DEE8F"/>
    <w:rsid w:val="2D10F5B2"/>
    <w:rsid w:val="2D1C0085"/>
    <w:rsid w:val="2D21617D"/>
    <w:rsid w:val="2D2B31C6"/>
    <w:rsid w:val="2D68F978"/>
    <w:rsid w:val="2D6B47FE"/>
    <w:rsid w:val="2D75CBA0"/>
    <w:rsid w:val="2D94F3AD"/>
    <w:rsid w:val="2D984969"/>
    <w:rsid w:val="2DA4E2EE"/>
    <w:rsid w:val="2DAA56D4"/>
    <w:rsid w:val="2DB70821"/>
    <w:rsid w:val="2DD88260"/>
    <w:rsid w:val="2DE59768"/>
    <w:rsid w:val="2DE78BC6"/>
    <w:rsid w:val="2DF43EC0"/>
    <w:rsid w:val="2DF91086"/>
    <w:rsid w:val="2E1B5FF2"/>
    <w:rsid w:val="2E262859"/>
    <w:rsid w:val="2E381A23"/>
    <w:rsid w:val="2E6D55B2"/>
    <w:rsid w:val="2E7FD5BD"/>
    <w:rsid w:val="2E897AAC"/>
    <w:rsid w:val="2E8A468A"/>
    <w:rsid w:val="2EAFF7E3"/>
    <w:rsid w:val="2EB486C4"/>
    <w:rsid w:val="2EB5A22D"/>
    <w:rsid w:val="2EBCE29A"/>
    <w:rsid w:val="2EDC48BD"/>
    <w:rsid w:val="2EE59A9A"/>
    <w:rsid w:val="2EE65D89"/>
    <w:rsid w:val="2EE6FC3D"/>
    <w:rsid w:val="2EF78ACE"/>
    <w:rsid w:val="2F022E89"/>
    <w:rsid w:val="2F04C0AF"/>
    <w:rsid w:val="2F06D276"/>
    <w:rsid w:val="2F09E432"/>
    <w:rsid w:val="2F197643"/>
    <w:rsid w:val="2F30DF0B"/>
    <w:rsid w:val="2F5411AD"/>
    <w:rsid w:val="2F5B591D"/>
    <w:rsid w:val="2F697D29"/>
    <w:rsid w:val="2F87A02A"/>
    <w:rsid w:val="2FA2E690"/>
    <w:rsid w:val="2FA6A280"/>
    <w:rsid w:val="3023A3D1"/>
    <w:rsid w:val="30275D69"/>
    <w:rsid w:val="302EA2B8"/>
    <w:rsid w:val="30300583"/>
    <w:rsid w:val="303BDB66"/>
    <w:rsid w:val="303D6248"/>
    <w:rsid w:val="30464930"/>
    <w:rsid w:val="304A26EE"/>
    <w:rsid w:val="304C609E"/>
    <w:rsid w:val="304FA200"/>
    <w:rsid w:val="306718DF"/>
    <w:rsid w:val="306D5D14"/>
    <w:rsid w:val="3086B926"/>
    <w:rsid w:val="308998BB"/>
    <w:rsid w:val="30C0FB65"/>
    <w:rsid w:val="30D13E08"/>
    <w:rsid w:val="30E14121"/>
    <w:rsid w:val="30F1455B"/>
    <w:rsid w:val="30F2BE9B"/>
    <w:rsid w:val="30F78A5B"/>
    <w:rsid w:val="30FF0E04"/>
    <w:rsid w:val="31069D38"/>
    <w:rsid w:val="3119762E"/>
    <w:rsid w:val="31270B90"/>
    <w:rsid w:val="3147CFA5"/>
    <w:rsid w:val="3161CDD6"/>
    <w:rsid w:val="31689D0D"/>
    <w:rsid w:val="317041AD"/>
    <w:rsid w:val="317136CB"/>
    <w:rsid w:val="318DD590"/>
    <w:rsid w:val="31A39122"/>
    <w:rsid w:val="31AC2091"/>
    <w:rsid w:val="31D99D42"/>
    <w:rsid w:val="31E7722C"/>
    <w:rsid w:val="31FC7EF4"/>
    <w:rsid w:val="31FFAC9D"/>
    <w:rsid w:val="3201F187"/>
    <w:rsid w:val="32076644"/>
    <w:rsid w:val="320AF853"/>
    <w:rsid w:val="3210E8C8"/>
    <w:rsid w:val="323EF330"/>
    <w:rsid w:val="329D7988"/>
    <w:rsid w:val="32CBF7CF"/>
    <w:rsid w:val="32E15554"/>
    <w:rsid w:val="32E95B07"/>
    <w:rsid w:val="32F29C86"/>
    <w:rsid w:val="32F51129"/>
    <w:rsid w:val="32FF5CCD"/>
    <w:rsid w:val="3323985D"/>
    <w:rsid w:val="33537EC1"/>
    <w:rsid w:val="337761AB"/>
    <w:rsid w:val="338E5A10"/>
    <w:rsid w:val="3395046B"/>
    <w:rsid w:val="33A6A4C7"/>
    <w:rsid w:val="33AE6E4A"/>
    <w:rsid w:val="33C9985D"/>
    <w:rsid w:val="33D23155"/>
    <w:rsid w:val="34080004"/>
    <w:rsid w:val="34082470"/>
    <w:rsid w:val="340E91BB"/>
    <w:rsid w:val="3416A0A7"/>
    <w:rsid w:val="341DC360"/>
    <w:rsid w:val="341E7D22"/>
    <w:rsid w:val="342AB438"/>
    <w:rsid w:val="343E751C"/>
    <w:rsid w:val="3453DE83"/>
    <w:rsid w:val="347A06C6"/>
    <w:rsid w:val="34882239"/>
    <w:rsid w:val="348D94CB"/>
    <w:rsid w:val="349BFD6C"/>
    <w:rsid w:val="34A31DDB"/>
    <w:rsid w:val="34B221CB"/>
    <w:rsid w:val="34C20CD6"/>
    <w:rsid w:val="34CF5835"/>
    <w:rsid w:val="34D90704"/>
    <w:rsid w:val="34E3BF78"/>
    <w:rsid w:val="34F1EE1C"/>
    <w:rsid w:val="3503AA40"/>
    <w:rsid w:val="3522B20E"/>
    <w:rsid w:val="352C1C7E"/>
    <w:rsid w:val="35362A2E"/>
    <w:rsid w:val="354E23DF"/>
    <w:rsid w:val="354E55D3"/>
    <w:rsid w:val="3551A736"/>
    <w:rsid w:val="356BFCE6"/>
    <w:rsid w:val="358189D1"/>
    <w:rsid w:val="3582BEA8"/>
    <w:rsid w:val="3590A86E"/>
    <w:rsid w:val="3591C062"/>
    <w:rsid w:val="35B98260"/>
    <w:rsid w:val="35D5CAD0"/>
    <w:rsid w:val="35D9657D"/>
    <w:rsid w:val="35E12A7E"/>
    <w:rsid w:val="35F30977"/>
    <w:rsid w:val="35FF0BE1"/>
    <w:rsid w:val="35FF3B72"/>
    <w:rsid w:val="360D0179"/>
    <w:rsid w:val="3611A35E"/>
    <w:rsid w:val="36125543"/>
    <w:rsid w:val="361306DA"/>
    <w:rsid w:val="3613CF39"/>
    <w:rsid w:val="36198901"/>
    <w:rsid w:val="3641CA6C"/>
    <w:rsid w:val="3653800B"/>
    <w:rsid w:val="368F8FB9"/>
    <w:rsid w:val="3694DEEC"/>
    <w:rsid w:val="369E6553"/>
    <w:rsid w:val="369F1BA9"/>
    <w:rsid w:val="36A99D8E"/>
    <w:rsid w:val="36AC865A"/>
    <w:rsid w:val="36B88B36"/>
    <w:rsid w:val="36D36655"/>
    <w:rsid w:val="36D8343F"/>
    <w:rsid w:val="36E61683"/>
    <w:rsid w:val="36F67DAE"/>
    <w:rsid w:val="36FF3947"/>
    <w:rsid w:val="37128A41"/>
    <w:rsid w:val="3712A0F2"/>
    <w:rsid w:val="371D6453"/>
    <w:rsid w:val="371DAA4A"/>
    <w:rsid w:val="371F5552"/>
    <w:rsid w:val="374C6BA7"/>
    <w:rsid w:val="375B1294"/>
    <w:rsid w:val="37615F0B"/>
    <w:rsid w:val="376404B9"/>
    <w:rsid w:val="377F9D4F"/>
    <w:rsid w:val="37D56CE9"/>
    <w:rsid w:val="37D62D18"/>
    <w:rsid w:val="37EAE098"/>
    <w:rsid w:val="37EB7589"/>
    <w:rsid w:val="37F634C0"/>
    <w:rsid w:val="3808E8C2"/>
    <w:rsid w:val="380A4884"/>
    <w:rsid w:val="380D373F"/>
    <w:rsid w:val="381323F4"/>
    <w:rsid w:val="38265508"/>
    <w:rsid w:val="384474F1"/>
    <w:rsid w:val="38498069"/>
    <w:rsid w:val="3855D372"/>
    <w:rsid w:val="38678243"/>
    <w:rsid w:val="38711A3C"/>
    <w:rsid w:val="387E5644"/>
    <w:rsid w:val="38836CF3"/>
    <w:rsid w:val="388B3169"/>
    <w:rsid w:val="38957CD1"/>
    <w:rsid w:val="389900D2"/>
    <w:rsid w:val="389CD8CA"/>
    <w:rsid w:val="38B7CE9D"/>
    <w:rsid w:val="38B88D50"/>
    <w:rsid w:val="38BE852A"/>
    <w:rsid w:val="38D7E96F"/>
    <w:rsid w:val="38E5BE1A"/>
    <w:rsid w:val="38F8901C"/>
    <w:rsid w:val="39137B48"/>
    <w:rsid w:val="39632BE6"/>
    <w:rsid w:val="396CA101"/>
    <w:rsid w:val="3976CD74"/>
    <w:rsid w:val="3978C4C7"/>
    <w:rsid w:val="3992E4A8"/>
    <w:rsid w:val="399CFF6C"/>
    <w:rsid w:val="39F19016"/>
    <w:rsid w:val="3A155299"/>
    <w:rsid w:val="3A1841CD"/>
    <w:rsid w:val="3A40C1F3"/>
    <w:rsid w:val="3A49FBC2"/>
    <w:rsid w:val="3A5BBA2B"/>
    <w:rsid w:val="3A6CBA18"/>
    <w:rsid w:val="3A726269"/>
    <w:rsid w:val="3A930919"/>
    <w:rsid w:val="3AA8E2C6"/>
    <w:rsid w:val="3AAAC09A"/>
    <w:rsid w:val="3AAEFE39"/>
    <w:rsid w:val="3AB0E5C0"/>
    <w:rsid w:val="3AC4BE4A"/>
    <w:rsid w:val="3AC9B74B"/>
    <w:rsid w:val="3AEB2015"/>
    <w:rsid w:val="3AF28DA2"/>
    <w:rsid w:val="3B003156"/>
    <w:rsid w:val="3B036230"/>
    <w:rsid w:val="3B09FBD2"/>
    <w:rsid w:val="3B248577"/>
    <w:rsid w:val="3B366675"/>
    <w:rsid w:val="3B3D3F79"/>
    <w:rsid w:val="3B70A8B7"/>
    <w:rsid w:val="3B7704FC"/>
    <w:rsid w:val="3B9351E6"/>
    <w:rsid w:val="3BB55F40"/>
    <w:rsid w:val="3BC9AC3F"/>
    <w:rsid w:val="3BD0A194"/>
    <w:rsid w:val="3BDFFB64"/>
    <w:rsid w:val="3BE51657"/>
    <w:rsid w:val="3BEB1113"/>
    <w:rsid w:val="3BF27CA5"/>
    <w:rsid w:val="3BFAFAA6"/>
    <w:rsid w:val="3C01BE03"/>
    <w:rsid w:val="3C0787E8"/>
    <w:rsid w:val="3C0EF8AB"/>
    <w:rsid w:val="3C1E4F57"/>
    <w:rsid w:val="3C2D51FB"/>
    <w:rsid w:val="3C2FC15C"/>
    <w:rsid w:val="3C41C1FD"/>
    <w:rsid w:val="3C5AFF79"/>
    <w:rsid w:val="3C5D0CA6"/>
    <w:rsid w:val="3C66A56E"/>
    <w:rsid w:val="3C738A27"/>
    <w:rsid w:val="3C7492E8"/>
    <w:rsid w:val="3C78FACB"/>
    <w:rsid w:val="3C865D56"/>
    <w:rsid w:val="3C9FAAFE"/>
    <w:rsid w:val="3CA01BDA"/>
    <w:rsid w:val="3CAC8E88"/>
    <w:rsid w:val="3CBA3EEB"/>
    <w:rsid w:val="3CCE60F3"/>
    <w:rsid w:val="3CF259AC"/>
    <w:rsid w:val="3D06478E"/>
    <w:rsid w:val="3D2AC9F7"/>
    <w:rsid w:val="3D2C0E4A"/>
    <w:rsid w:val="3D2F3305"/>
    <w:rsid w:val="3D385DD5"/>
    <w:rsid w:val="3D3A1A82"/>
    <w:rsid w:val="3D3F4400"/>
    <w:rsid w:val="3D616D0E"/>
    <w:rsid w:val="3D661E43"/>
    <w:rsid w:val="3D6BED4F"/>
    <w:rsid w:val="3D9C97B1"/>
    <w:rsid w:val="3DA42C89"/>
    <w:rsid w:val="3DB1320E"/>
    <w:rsid w:val="3DB1414A"/>
    <w:rsid w:val="3DB40FD1"/>
    <w:rsid w:val="3DCB08B1"/>
    <w:rsid w:val="3DD3747C"/>
    <w:rsid w:val="3DD4D651"/>
    <w:rsid w:val="3DDB306A"/>
    <w:rsid w:val="3DDBF544"/>
    <w:rsid w:val="3DF97847"/>
    <w:rsid w:val="3E0942D7"/>
    <w:rsid w:val="3E0B900D"/>
    <w:rsid w:val="3E2643C6"/>
    <w:rsid w:val="3E304D5E"/>
    <w:rsid w:val="3E396C43"/>
    <w:rsid w:val="3E54A280"/>
    <w:rsid w:val="3E59FE57"/>
    <w:rsid w:val="3E61B419"/>
    <w:rsid w:val="3E662E1B"/>
    <w:rsid w:val="3E79D5E3"/>
    <w:rsid w:val="3E9E672F"/>
    <w:rsid w:val="3E9F9315"/>
    <w:rsid w:val="3EA9A077"/>
    <w:rsid w:val="3EB0F8ED"/>
    <w:rsid w:val="3EBFBB5E"/>
    <w:rsid w:val="3EC1B5CB"/>
    <w:rsid w:val="3EC79F65"/>
    <w:rsid w:val="3ED06390"/>
    <w:rsid w:val="3EFDB195"/>
    <w:rsid w:val="3F3FA17A"/>
    <w:rsid w:val="3F4A45DB"/>
    <w:rsid w:val="3F5BD92C"/>
    <w:rsid w:val="3F60BC9A"/>
    <w:rsid w:val="3F71F983"/>
    <w:rsid w:val="3F8CA0B1"/>
    <w:rsid w:val="3F8E9501"/>
    <w:rsid w:val="3F9B1738"/>
    <w:rsid w:val="3FD2615A"/>
    <w:rsid w:val="3FD9B2FC"/>
    <w:rsid w:val="3FE489EF"/>
    <w:rsid w:val="3FE74666"/>
    <w:rsid w:val="3FEDDE34"/>
    <w:rsid w:val="3FEF93D8"/>
    <w:rsid w:val="3FFB851B"/>
    <w:rsid w:val="4003357C"/>
    <w:rsid w:val="401D1CE5"/>
    <w:rsid w:val="401D466D"/>
    <w:rsid w:val="402A79FC"/>
    <w:rsid w:val="403CB832"/>
    <w:rsid w:val="40452A1D"/>
    <w:rsid w:val="4049DD2E"/>
    <w:rsid w:val="405FC08F"/>
    <w:rsid w:val="4066BA51"/>
    <w:rsid w:val="407D72FE"/>
    <w:rsid w:val="4083A362"/>
    <w:rsid w:val="40938324"/>
    <w:rsid w:val="40CD21E7"/>
    <w:rsid w:val="40D4433E"/>
    <w:rsid w:val="40D5D64E"/>
    <w:rsid w:val="40DA2DBB"/>
    <w:rsid w:val="40E6AB22"/>
    <w:rsid w:val="40EE32B4"/>
    <w:rsid w:val="40EECBDA"/>
    <w:rsid w:val="4103A505"/>
    <w:rsid w:val="4106D8E2"/>
    <w:rsid w:val="4114C332"/>
    <w:rsid w:val="4130A6A0"/>
    <w:rsid w:val="41428832"/>
    <w:rsid w:val="4143B157"/>
    <w:rsid w:val="4149EDA5"/>
    <w:rsid w:val="415672D1"/>
    <w:rsid w:val="4165EC85"/>
    <w:rsid w:val="416C21ED"/>
    <w:rsid w:val="419652D5"/>
    <w:rsid w:val="4197C67E"/>
    <w:rsid w:val="419C8A77"/>
    <w:rsid w:val="41A13B41"/>
    <w:rsid w:val="41AA2CEC"/>
    <w:rsid w:val="41AC06E5"/>
    <w:rsid w:val="41B7FD6B"/>
    <w:rsid w:val="41D9E94F"/>
    <w:rsid w:val="41E5B17F"/>
    <w:rsid w:val="41F610E4"/>
    <w:rsid w:val="4203D0CF"/>
    <w:rsid w:val="4204FDDE"/>
    <w:rsid w:val="4210F2DD"/>
    <w:rsid w:val="4228FA34"/>
    <w:rsid w:val="423468C7"/>
    <w:rsid w:val="423FD9A2"/>
    <w:rsid w:val="42841E78"/>
    <w:rsid w:val="428CEDFF"/>
    <w:rsid w:val="429F3DF1"/>
    <w:rsid w:val="42ABA23C"/>
    <w:rsid w:val="42B11714"/>
    <w:rsid w:val="42B96765"/>
    <w:rsid w:val="42D6AC93"/>
    <w:rsid w:val="42EECAA4"/>
    <w:rsid w:val="42F3A265"/>
    <w:rsid w:val="42FE888E"/>
    <w:rsid w:val="43057E31"/>
    <w:rsid w:val="431BDC4E"/>
    <w:rsid w:val="4322AB1E"/>
    <w:rsid w:val="4336EEA1"/>
    <w:rsid w:val="43423A77"/>
    <w:rsid w:val="43514F33"/>
    <w:rsid w:val="43556BBE"/>
    <w:rsid w:val="43637A5A"/>
    <w:rsid w:val="436671A8"/>
    <w:rsid w:val="438D7BD3"/>
    <w:rsid w:val="43A0BE59"/>
    <w:rsid w:val="43DBD548"/>
    <w:rsid w:val="43FE8100"/>
    <w:rsid w:val="43FECD48"/>
    <w:rsid w:val="440BCF0D"/>
    <w:rsid w:val="442526CE"/>
    <w:rsid w:val="44287054"/>
    <w:rsid w:val="442B878C"/>
    <w:rsid w:val="44407D5C"/>
    <w:rsid w:val="4444D1BA"/>
    <w:rsid w:val="444A007B"/>
    <w:rsid w:val="44523CD4"/>
    <w:rsid w:val="445FB397"/>
    <w:rsid w:val="44641547"/>
    <w:rsid w:val="446E4FBF"/>
    <w:rsid w:val="446F776B"/>
    <w:rsid w:val="447055C1"/>
    <w:rsid w:val="44728610"/>
    <w:rsid w:val="44821CDC"/>
    <w:rsid w:val="44A0DCE7"/>
    <w:rsid w:val="44A4BF1D"/>
    <w:rsid w:val="44B2F9D5"/>
    <w:rsid w:val="44B470B5"/>
    <w:rsid w:val="44D71305"/>
    <w:rsid w:val="44FEE1EB"/>
    <w:rsid w:val="4502D564"/>
    <w:rsid w:val="450855CA"/>
    <w:rsid w:val="450D15E7"/>
    <w:rsid w:val="45185EE3"/>
    <w:rsid w:val="45209DC7"/>
    <w:rsid w:val="4531B17B"/>
    <w:rsid w:val="45458DD5"/>
    <w:rsid w:val="455BF65B"/>
    <w:rsid w:val="455E6398"/>
    <w:rsid w:val="456F064F"/>
    <w:rsid w:val="456FDB8C"/>
    <w:rsid w:val="457028B9"/>
    <w:rsid w:val="457407F5"/>
    <w:rsid w:val="4579EB7D"/>
    <w:rsid w:val="458555BA"/>
    <w:rsid w:val="45A77B4F"/>
    <w:rsid w:val="45ACD672"/>
    <w:rsid w:val="45D50342"/>
    <w:rsid w:val="45D6E2E6"/>
    <w:rsid w:val="460BA1BD"/>
    <w:rsid w:val="46152317"/>
    <w:rsid w:val="4626C09E"/>
    <w:rsid w:val="463771F6"/>
    <w:rsid w:val="464F6739"/>
    <w:rsid w:val="464FF6B7"/>
    <w:rsid w:val="46538276"/>
    <w:rsid w:val="4666FED2"/>
    <w:rsid w:val="466B75A3"/>
    <w:rsid w:val="466F68BA"/>
    <w:rsid w:val="46759595"/>
    <w:rsid w:val="4681073C"/>
    <w:rsid w:val="469B186F"/>
    <w:rsid w:val="46A1214A"/>
    <w:rsid w:val="46A12FB0"/>
    <w:rsid w:val="46DB9125"/>
    <w:rsid w:val="46FCF525"/>
    <w:rsid w:val="470522F6"/>
    <w:rsid w:val="470A21CA"/>
    <w:rsid w:val="470E17A8"/>
    <w:rsid w:val="47136DF0"/>
    <w:rsid w:val="47144471"/>
    <w:rsid w:val="471CB1F4"/>
    <w:rsid w:val="4729C3B3"/>
    <w:rsid w:val="472D723C"/>
    <w:rsid w:val="472D8DE3"/>
    <w:rsid w:val="473024D0"/>
    <w:rsid w:val="473AC534"/>
    <w:rsid w:val="47659523"/>
    <w:rsid w:val="476A1DB6"/>
    <w:rsid w:val="478748F6"/>
    <w:rsid w:val="4789B08A"/>
    <w:rsid w:val="478F9F30"/>
    <w:rsid w:val="47916784"/>
    <w:rsid w:val="47B868EC"/>
    <w:rsid w:val="47C50B0D"/>
    <w:rsid w:val="47D3F73C"/>
    <w:rsid w:val="47D4AEA3"/>
    <w:rsid w:val="47E36607"/>
    <w:rsid w:val="47E52905"/>
    <w:rsid w:val="47E61D02"/>
    <w:rsid w:val="47E6235D"/>
    <w:rsid w:val="47F57D40"/>
    <w:rsid w:val="47FCD0E0"/>
    <w:rsid w:val="480A0540"/>
    <w:rsid w:val="480A1FFF"/>
    <w:rsid w:val="482BD81D"/>
    <w:rsid w:val="4832D40E"/>
    <w:rsid w:val="483D09F9"/>
    <w:rsid w:val="483E44A5"/>
    <w:rsid w:val="48443AE0"/>
    <w:rsid w:val="48650973"/>
    <w:rsid w:val="486BA8C3"/>
    <w:rsid w:val="487A9F36"/>
    <w:rsid w:val="4884FB55"/>
    <w:rsid w:val="48851EB7"/>
    <w:rsid w:val="4886E900"/>
    <w:rsid w:val="4889F178"/>
    <w:rsid w:val="488B218F"/>
    <w:rsid w:val="4894063E"/>
    <w:rsid w:val="48A239A8"/>
    <w:rsid w:val="48AFF5E5"/>
    <w:rsid w:val="48C3D483"/>
    <w:rsid w:val="48C62511"/>
    <w:rsid w:val="48E03362"/>
    <w:rsid w:val="48E74B5F"/>
    <w:rsid w:val="491B3F05"/>
    <w:rsid w:val="493D652B"/>
    <w:rsid w:val="493F50DC"/>
    <w:rsid w:val="496368C9"/>
    <w:rsid w:val="49712F88"/>
    <w:rsid w:val="4998B534"/>
    <w:rsid w:val="49AB2B31"/>
    <w:rsid w:val="49B1A28A"/>
    <w:rsid w:val="49BE7A66"/>
    <w:rsid w:val="49DDF45A"/>
    <w:rsid w:val="49FFD12D"/>
    <w:rsid w:val="4A0338F4"/>
    <w:rsid w:val="4A1BC432"/>
    <w:rsid w:val="4A32F292"/>
    <w:rsid w:val="4A41A7AC"/>
    <w:rsid w:val="4A46C8D4"/>
    <w:rsid w:val="4A48FFCD"/>
    <w:rsid w:val="4A6D8FD3"/>
    <w:rsid w:val="4A83438D"/>
    <w:rsid w:val="4AB002D0"/>
    <w:rsid w:val="4ABA55CE"/>
    <w:rsid w:val="4AC1D86C"/>
    <w:rsid w:val="4AC680C7"/>
    <w:rsid w:val="4ACCD10A"/>
    <w:rsid w:val="4AF22D46"/>
    <w:rsid w:val="4AF64660"/>
    <w:rsid w:val="4AFA7BF3"/>
    <w:rsid w:val="4B08ED0C"/>
    <w:rsid w:val="4B09299F"/>
    <w:rsid w:val="4B34032C"/>
    <w:rsid w:val="4B3BE5C1"/>
    <w:rsid w:val="4B3E026C"/>
    <w:rsid w:val="4B3F2EDC"/>
    <w:rsid w:val="4B4AB31E"/>
    <w:rsid w:val="4B592B45"/>
    <w:rsid w:val="4B7B5FD9"/>
    <w:rsid w:val="4B7DEDFC"/>
    <w:rsid w:val="4B8EF675"/>
    <w:rsid w:val="4B938E9C"/>
    <w:rsid w:val="4BA56A0F"/>
    <w:rsid w:val="4BAE4CBA"/>
    <w:rsid w:val="4BD19A0B"/>
    <w:rsid w:val="4BE1FDAB"/>
    <w:rsid w:val="4BF1889A"/>
    <w:rsid w:val="4BFC15D9"/>
    <w:rsid w:val="4C08EB9A"/>
    <w:rsid w:val="4C104AE7"/>
    <w:rsid w:val="4C2F8CA5"/>
    <w:rsid w:val="4C41F9F2"/>
    <w:rsid w:val="4C4410D5"/>
    <w:rsid w:val="4C5209EB"/>
    <w:rsid w:val="4C72DDAB"/>
    <w:rsid w:val="4C736AB4"/>
    <w:rsid w:val="4C740B4A"/>
    <w:rsid w:val="4CA258CB"/>
    <w:rsid w:val="4CB80C5C"/>
    <w:rsid w:val="4CBFF125"/>
    <w:rsid w:val="4CCBDE3C"/>
    <w:rsid w:val="4CE8D7DD"/>
    <w:rsid w:val="4D048191"/>
    <w:rsid w:val="4D09FC22"/>
    <w:rsid w:val="4D0CB965"/>
    <w:rsid w:val="4D12C341"/>
    <w:rsid w:val="4D15A9B2"/>
    <w:rsid w:val="4D21F250"/>
    <w:rsid w:val="4D2E56F7"/>
    <w:rsid w:val="4D47E600"/>
    <w:rsid w:val="4D5DBEBF"/>
    <w:rsid w:val="4D608ADC"/>
    <w:rsid w:val="4D727826"/>
    <w:rsid w:val="4D730B81"/>
    <w:rsid w:val="4D7BD2B5"/>
    <w:rsid w:val="4D9672B3"/>
    <w:rsid w:val="4D96B38C"/>
    <w:rsid w:val="4DA3E3DA"/>
    <w:rsid w:val="4DC0573C"/>
    <w:rsid w:val="4DCD26CB"/>
    <w:rsid w:val="4DECBA80"/>
    <w:rsid w:val="4DEEC16A"/>
    <w:rsid w:val="4DF4F6FD"/>
    <w:rsid w:val="4E072450"/>
    <w:rsid w:val="4E1B8A28"/>
    <w:rsid w:val="4E289AE8"/>
    <w:rsid w:val="4E4E4BCF"/>
    <w:rsid w:val="4E57D28A"/>
    <w:rsid w:val="4E5CB106"/>
    <w:rsid w:val="4E5CB45C"/>
    <w:rsid w:val="4E65DE3E"/>
    <w:rsid w:val="4E7C85DB"/>
    <w:rsid w:val="4E91AC68"/>
    <w:rsid w:val="4E91EF97"/>
    <w:rsid w:val="4E997B08"/>
    <w:rsid w:val="4EA22850"/>
    <w:rsid w:val="4EAFB157"/>
    <w:rsid w:val="4EB814BD"/>
    <w:rsid w:val="4EB82869"/>
    <w:rsid w:val="4F141E72"/>
    <w:rsid w:val="4F33E295"/>
    <w:rsid w:val="4F50ED67"/>
    <w:rsid w:val="4F51B472"/>
    <w:rsid w:val="4F5AF1A6"/>
    <w:rsid w:val="4F6C0F2F"/>
    <w:rsid w:val="4F758600"/>
    <w:rsid w:val="4F759511"/>
    <w:rsid w:val="4F775D7B"/>
    <w:rsid w:val="4F85B752"/>
    <w:rsid w:val="4FC215FF"/>
    <w:rsid w:val="4FC40CDA"/>
    <w:rsid w:val="4FCA86ED"/>
    <w:rsid w:val="4FCF0CC6"/>
    <w:rsid w:val="4FE561DD"/>
    <w:rsid w:val="5008C398"/>
    <w:rsid w:val="502499B1"/>
    <w:rsid w:val="503D8EB5"/>
    <w:rsid w:val="5054E9AA"/>
    <w:rsid w:val="50599F3A"/>
    <w:rsid w:val="505A50D2"/>
    <w:rsid w:val="507D8A47"/>
    <w:rsid w:val="507D92A1"/>
    <w:rsid w:val="5094B632"/>
    <w:rsid w:val="50A0ED98"/>
    <w:rsid w:val="50A1DCDA"/>
    <w:rsid w:val="50A50B2E"/>
    <w:rsid w:val="50AA1A32"/>
    <w:rsid w:val="50E1F7C2"/>
    <w:rsid w:val="50E9D3C2"/>
    <w:rsid w:val="510AB87D"/>
    <w:rsid w:val="510BF0A7"/>
    <w:rsid w:val="510F1771"/>
    <w:rsid w:val="5157D71B"/>
    <w:rsid w:val="515DC74B"/>
    <w:rsid w:val="5163B0FE"/>
    <w:rsid w:val="516686FD"/>
    <w:rsid w:val="517B1E13"/>
    <w:rsid w:val="5189735D"/>
    <w:rsid w:val="519602AD"/>
    <w:rsid w:val="519A6490"/>
    <w:rsid w:val="51AABB25"/>
    <w:rsid w:val="51B19FFA"/>
    <w:rsid w:val="51B79DF2"/>
    <w:rsid w:val="51B7F157"/>
    <w:rsid w:val="51D68CB4"/>
    <w:rsid w:val="51D71AB4"/>
    <w:rsid w:val="51DD3FB7"/>
    <w:rsid w:val="51E500A4"/>
    <w:rsid w:val="51E64437"/>
    <w:rsid w:val="51EC7D51"/>
    <w:rsid w:val="51F672AC"/>
    <w:rsid w:val="51FFAACD"/>
    <w:rsid w:val="52302279"/>
    <w:rsid w:val="524F981C"/>
    <w:rsid w:val="5257DF69"/>
    <w:rsid w:val="527D7A67"/>
    <w:rsid w:val="52A09ACA"/>
    <w:rsid w:val="52A848D8"/>
    <w:rsid w:val="52BF5B03"/>
    <w:rsid w:val="52D59565"/>
    <w:rsid w:val="52E62E16"/>
    <w:rsid w:val="53048EDF"/>
    <w:rsid w:val="5318FB8B"/>
    <w:rsid w:val="532886F1"/>
    <w:rsid w:val="5337D12E"/>
    <w:rsid w:val="53517B6E"/>
    <w:rsid w:val="53549696"/>
    <w:rsid w:val="538286DC"/>
    <w:rsid w:val="5396644D"/>
    <w:rsid w:val="53A91372"/>
    <w:rsid w:val="53B0148E"/>
    <w:rsid w:val="53B4EA67"/>
    <w:rsid w:val="53C826F9"/>
    <w:rsid w:val="53CBBA26"/>
    <w:rsid w:val="53CBDD47"/>
    <w:rsid w:val="53E40E52"/>
    <w:rsid w:val="53F58196"/>
    <w:rsid w:val="540A2DB3"/>
    <w:rsid w:val="540A3796"/>
    <w:rsid w:val="5412B80A"/>
    <w:rsid w:val="541DC545"/>
    <w:rsid w:val="5422ACA4"/>
    <w:rsid w:val="542C2241"/>
    <w:rsid w:val="543CD71F"/>
    <w:rsid w:val="54469215"/>
    <w:rsid w:val="5448FB6A"/>
    <w:rsid w:val="544E4897"/>
    <w:rsid w:val="5469B526"/>
    <w:rsid w:val="546EB7EC"/>
    <w:rsid w:val="5472007C"/>
    <w:rsid w:val="548CF310"/>
    <w:rsid w:val="549EE576"/>
    <w:rsid w:val="54DA27E0"/>
    <w:rsid w:val="54DEFD6C"/>
    <w:rsid w:val="54DFCCEF"/>
    <w:rsid w:val="54E23EB1"/>
    <w:rsid w:val="54FC929B"/>
    <w:rsid w:val="54FE785E"/>
    <w:rsid w:val="550FF194"/>
    <w:rsid w:val="551B0797"/>
    <w:rsid w:val="551E1113"/>
    <w:rsid w:val="551E5E37"/>
    <w:rsid w:val="55248666"/>
    <w:rsid w:val="5534024F"/>
    <w:rsid w:val="5537DFF7"/>
    <w:rsid w:val="5544B32B"/>
    <w:rsid w:val="555C3AB4"/>
    <w:rsid w:val="55603776"/>
    <w:rsid w:val="558AE481"/>
    <w:rsid w:val="559E2572"/>
    <w:rsid w:val="55A2B6A0"/>
    <w:rsid w:val="55ACC76E"/>
    <w:rsid w:val="55C38DD5"/>
    <w:rsid w:val="55CAB314"/>
    <w:rsid w:val="55D4A370"/>
    <w:rsid w:val="55EE9E6E"/>
    <w:rsid w:val="56048AE8"/>
    <w:rsid w:val="560AE973"/>
    <w:rsid w:val="5615389D"/>
    <w:rsid w:val="5619E40B"/>
    <w:rsid w:val="56218056"/>
    <w:rsid w:val="56318D65"/>
    <w:rsid w:val="563469E7"/>
    <w:rsid w:val="56433BC7"/>
    <w:rsid w:val="564A2057"/>
    <w:rsid w:val="564C4CC3"/>
    <w:rsid w:val="569A1631"/>
    <w:rsid w:val="56ABEC9D"/>
    <w:rsid w:val="56B713B1"/>
    <w:rsid w:val="56B9293F"/>
    <w:rsid w:val="56C533A2"/>
    <w:rsid w:val="56DC9E30"/>
    <w:rsid w:val="56F3C031"/>
    <w:rsid w:val="56F5CC39"/>
    <w:rsid w:val="570E1AFC"/>
    <w:rsid w:val="571A356C"/>
    <w:rsid w:val="571CF49F"/>
    <w:rsid w:val="571DCB9B"/>
    <w:rsid w:val="5727A811"/>
    <w:rsid w:val="57335FEF"/>
    <w:rsid w:val="573CBD25"/>
    <w:rsid w:val="57457A07"/>
    <w:rsid w:val="57533E39"/>
    <w:rsid w:val="5776716C"/>
    <w:rsid w:val="577E11F8"/>
    <w:rsid w:val="577E18C1"/>
    <w:rsid w:val="5785589A"/>
    <w:rsid w:val="579B5099"/>
    <w:rsid w:val="57A0FB0D"/>
    <w:rsid w:val="57AF8D49"/>
    <w:rsid w:val="57C7DD78"/>
    <w:rsid w:val="57CEAEE1"/>
    <w:rsid w:val="57E6B17E"/>
    <w:rsid w:val="57F5F4EA"/>
    <w:rsid w:val="5802CF6F"/>
    <w:rsid w:val="5809D201"/>
    <w:rsid w:val="5813D40F"/>
    <w:rsid w:val="5830AB76"/>
    <w:rsid w:val="5839536F"/>
    <w:rsid w:val="58456C00"/>
    <w:rsid w:val="585B93A9"/>
    <w:rsid w:val="58894B24"/>
    <w:rsid w:val="5889D0AB"/>
    <w:rsid w:val="58B676D0"/>
    <w:rsid w:val="58B7A81E"/>
    <w:rsid w:val="58CDDA54"/>
    <w:rsid w:val="58E3A13F"/>
    <w:rsid w:val="58F9E036"/>
    <w:rsid w:val="58FC82C5"/>
    <w:rsid w:val="590D1980"/>
    <w:rsid w:val="59163C4C"/>
    <w:rsid w:val="592CA975"/>
    <w:rsid w:val="5937646E"/>
    <w:rsid w:val="594412E3"/>
    <w:rsid w:val="59507028"/>
    <w:rsid w:val="596734D3"/>
    <w:rsid w:val="596E1E41"/>
    <w:rsid w:val="59721F3A"/>
    <w:rsid w:val="5984C24D"/>
    <w:rsid w:val="5993AA51"/>
    <w:rsid w:val="599F2D03"/>
    <w:rsid w:val="599F8C40"/>
    <w:rsid w:val="59A0D4C6"/>
    <w:rsid w:val="59A30446"/>
    <w:rsid w:val="59AB4953"/>
    <w:rsid w:val="59AF16BD"/>
    <w:rsid w:val="59C024E2"/>
    <w:rsid w:val="59C8F1F0"/>
    <w:rsid w:val="59F48CBE"/>
    <w:rsid w:val="5A1FD077"/>
    <w:rsid w:val="5A294803"/>
    <w:rsid w:val="5A42DFC7"/>
    <w:rsid w:val="5A45D12E"/>
    <w:rsid w:val="5A5B2519"/>
    <w:rsid w:val="5A5C5F0E"/>
    <w:rsid w:val="5A639016"/>
    <w:rsid w:val="5A86E280"/>
    <w:rsid w:val="5A8A2F6F"/>
    <w:rsid w:val="5A8E263C"/>
    <w:rsid w:val="5A9A6B38"/>
    <w:rsid w:val="5AABB127"/>
    <w:rsid w:val="5AB56F35"/>
    <w:rsid w:val="5AB6FD6E"/>
    <w:rsid w:val="5ADE8137"/>
    <w:rsid w:val="5AE165BD"/>
    <w:rsid w:val="5B067AF4"/>
    <w:rsid w:val="5B21D53C"/>
    <w:rsid w:val="5B38B8C5"/>
    <w:rsid w:val="5B40AE6F"/>
    <w:rsid w:val="5B4B1D8D"/>
    <w:rsid w:val="5B50D09A"/>
    <w:rsid w:val="5B6D99E8"/>
    <w:rsid w:val="5B72D964"/>
    <w:rsid w:val="5B7746DD"/>
    <w:rsid w:val="5B77C2AE"/>
    <w:rsid w:val="5B7C875B"/>
    <w:rsid w:val="5B7DF61F"/>
    <w:rsid w:val="5B8DBC5F"/>
    <w:rsid w:val="5BA48F7A"/>
    <w:rsid w:val="5BB186D0"/>
    <w:rsid w:val="5BBD2386"/>
    <w:rsid w:val="5BBFA3D2"/>
    <w:rsid w:val="5C1ADB58"/>
    <w:rsid w:val="5C21A006"/>
    <w:rsid w:val="5C3D3E05"/>
    <w:rsid w:val="5C476437"/>
    <w:rsid w:val="5C69ECFD"/>
    <w:rsid w:val="5C991A5D"/>
    <w:rsid w:val="5CA4DF4B"/>
    <w:rsid w:val="5CAC3930"/>
    <w:rsid w:val="5CAE9B69"/>
    <w:rsid w:val="5CBC72CB"/>
    <w:rsid w:val="5CD46864"/>
    <w:rsid w:val="5CEB5902"/>
    <w:rsid w:val="5CEDA6BC"/>
    <w:rsid w:val="5D011D17"/>
    <w:rsid w:val="5D0CDA41"/>
    <w:rsid w:val="5D2D79B3"/>
    <w:rsid w:val="5D35697B"/>
    <w:rsid w:val="5D57AB62"/>
    <w:rsid w:val="5D5D75FB"/>
    <w:rsid w:val="5D5F4A96"/>
    <w:rsid w:val="5DA0CABC"/>
    <w:rsid w:val="5DA8ADA6"/>
    <w:rsid w:val="5DCCAB80"/>
    <w:rsid w:val="5DCFB515"/>
    <w:rsid w:val="5DF31FB4"/>
    <w:rsid w:val="5E02BAB1"/>
    <w:rsid w:val="5E0753AF"/>
    <w:rsid w:val="5E215C70"/>
    <w:rsid w:val="5E3A0206"/>
    <w:rsid w:val="5E3BCA69"/>
    <w:rsid w:val="5E6ECF52"/>
    <w:rsid w:val="5E7C447F"/>
    <w:rsid w:val="5E84010C"/>
    <w:rsid w:val="5E881165"/>
    <w:rsid w:val="5E8A3AA8"/>
    <w:rsid w:val="5E96C7F3"/>
    <w:rsid w:val="5E98453B"/>
    <w:rsid w:val="5EA6EB81"/>
    <w:rsid w:val="5EBA77F8"/>
    <w:rsid w:val="5ED5210F"/>
    <w:rsid w:val="5EEE4E6B"/>
    <w:rsid w:val="5EEEEE7C"/>
    <w:rsid w:val="5EFC3B31"/>
    <w:rsid w:val="5EFC5A9F"/>
    <w:rsid w:val="5F071EE5"/>
    <w:rsid w:val="5F0CC526"/>
    <w:rsid w:val="5F0F7264"/>
    <w:rsid w:val="5F1FE7C2"/>
    <w:rsid w:val="5F342782"/>
    <w:rsid w:val="5F36500F"/>
    <w:rsid w:val="5F3909FD"/>
    <w:rsid w:val="5F3B6918"/>
    <w:rsid w:val="5F3CB695"/>
    <w:rsid w:val="5F422F1D"/>
    <w:rsid w:val="5F583BF3"/>
    <w:rsid w:val="5F59EA15"/>
    <w:rsid w:val="5F5C0F8C"/>
    <w:rsid w:val="5F6CB320"/>
    <w:rsid w:val="5F8D4D3F"/>
    <w:rsid w:val="5F944871"/>
    <w:rsid w:val="5FBAA09E"/>
    <w:rsid w:val="5FBB002D"/>
    <w:rsid w:val="5FCA055D"/>
    <w:rsid w:val="5FEDFC24"/>
    <w:rsid w:val="6017520C"/>
    <w:rsid w:val="6034FB4D"/>
    <w:rsid w:val="606E86F6"/>
    <w:rsid w:val="606FA7CB"/>
    <w:rsid w:val="60941239"/>
    <w:rsid w:val="6095E1C4"/>
    <w:rsid w:val="60A45DF2"/>
    <w:rsid w:val="60B12504"/>
    <w:rsid w:val="60B16987"/>
    <w:rsid w:val="60C5F8BF"/>
    <w:rsid w:val="60C7C6EB"/>
    <w:rsid w:val="60E3073F"/>
    <w:rsid w:val="60E49913"/>
    <w:rsid w:val="610358EE"/>
    <w:rsid w:val="610B27EB"/>
    <w:rsid w:val="6112E650"/>
    <w:rsid w:val="611BF234"/>
    <w:rsid w:val="612FAAF9"/>
    <w:rsid w:val="61339097"/>
    <w:rsid w:val="613A0A67"/>
    <w:rsid w:val="614E75BA"/>
    <w:rsid w:val="614ED019"/>
    <w:rsid w:val="6150D8C2"/>
    <w:rsid w:val="6150DCF4"/>
    <w:rsid w:val="6151254C"/>
    <w:rsid w:val="6154B4EC"/>
    <w:rsid w:val="615E6BCF"/>
    <w:rsid w:val="6198C389"/>
    <w:rsid w:val="6198D724"/>
    <w:rsid w:val="61CE9B86"/>
    <w:rsid w:val="61D0B596"/>
    <w:rsid w:val="61D8B46B"/>
    <w:rsid w:val="61DFB003"/>
    <w:rsid w:val="61FED566"/>
    <w:rsid w:val="6206201C"/>
    <w:rsid w:val="621690B7"/>
    <w:rsid w:val="6229EE53"/>
    <w:rsid w:val="62338F48"/>
    <w:rsid w:val="6242DA1B"/>
    <w:rsid w:val="6250A365"/>
    <w:rsid w:val="62824CEF"/>
    <w:rsid w:val="62A5785E"/>
    <w:rsid w:val="62B0D53A"/>
    <w:rsid w:val="62B5AB96"/>
    <w:rsid w:val="62C18222"/>
    <w:rsid w:val="62D3E944"/>
    <w:rsid w:val="62E31262"/>
    <w:rsid w:val="62E43978"/>
    <w:rsid w:val="62F034E0"/>
    <w:rsid w:val="62F46C91"/>
    <w:rsid w:val="6301A404"/>
    <w:rsid w:val="630257C6"/>
    <w:rsid w:val="630358BB"/>
    <w:rsid w:val="631DABE5"/>
    <w:rsid w:val="6321EE55"/>
    <w:rsid w:val="63268220"/>
    <w:rsid w:val="6328C21E"/>
    <w:rsid w:val="6357A4F4"/>
    <w:rsid w:val="6359299A"/>
    <w:rsid w:val="6364342A"/>
    <w:rsid w:val="6376CE87"/>
    <w:rsid w:val="639673C5"/>
    <w:rsid w:val="63977401"/>
    <w:rsid w:val="639C0D3A"/>
    <w:rsid w:val="63C77638"/>
    <w:rsid w:val="63D5F1DC"/>
    <w:rsid w:val="63D738AA"/>
    <w:rsid w:val="63E27A5A"/>
    <w:rsid w:val="63EFD70E"/>
    <w:rsid w:val="63FB8BAE"/>
    <w:rsid w:val="640D112E"/>
    <w:rsid w:val="6415C2C2"/>
    <w:rsid w:val="6435EAA2"/>
    <w:rsid w:val="6454A2F2"/>
    <w:rsid w:val="6457C04C"/>
    <w:rsid w:val="648253CA"/>
    <w:rsid w:val="64E09962"/>
    <w:rsid w:val="650726DD"/>
    <w:rsid w:val="65105E7A"/>
    <w:rsid w:val="6513B30B"/>
    <w:rsid w:val="653E3447"/>
    <w:rsid w:val="653FB9E4"/>
    <w:rsid w:val="6541E416"/>
    <w:rsid w:val="656434CB"/>
    <w:rsid w:val="6589AAFB"/>
    <w:rsid w:val="65961D78"/>
    <w:rsid w:val="659ACBAB"/>
    <w:rsid w:val="65B9A36E"/>
    <w:rsid w:val="65CCAAA9"/>
    <w:rsid w:val="65D47372"/>
    <w:rsid w:val="65EE6A89"/>
    <w:rsid w:val="65F102C1"/>
    <w:rsid w:val="66340507"/>
    <w:rsid w:val="663638EF"/>
    <w:rsid w:val="66380F5B"/>
    <w:rsid w:val="6645B016"/>
    <w:rsid w:val="66595569"/>
    <w:rsid w:val="66599EAB"/>
    <w:rsid w:val="666A0BF5"/>
    <w:rsid w:val="66BB7591"/>
    <w:rsid w:val="66CB22DF"/>
    <w:rsid w:val="66CD06F8"/>
    <w:rsid w:val="66EF36DE"/>
    <w:rsid w:val="66F8A54E"/>
    <w:rsid w:val="66FADFA8"/>
    <w:rsid w:val="670346B4"/>
    <w:rsid w:val="6708DE8E"/>
    <w:rsid w:val="670968A3"/>
    <w:rsid w:val="670E4C6D"/>
    <w:rsid w:val="67205278"/>
    <w:rsid w:val="6720AC87"/>
    <w:rsid w:val="6735946B"/>
    <w:rsid w:val="674AA79E"/>
    <w:rsid w:val="67537CCA"/>
    <w:rsid w:val="6755AABD"/>
    <w:rsid w:val="67563111"/>
    <w:rsid w:val="675FBD01"/>
    <w:rsid w:val="676188BF"/>
    <w:rsid w:val="6778A80A"/>
    <w:rsid w:val="677DD831"/>
    <w:rsid w:val="678F604E"/>
    <w:rsid w:val="67A702FD"/>
    <w:rsid w:val="67CBF58F"/>
    <w:rsid w:val="67F42859"/>
    <w:rsid w:val="67F57058"/>
    <w:rsid w:val="67F76EF9"/>
    <w:rsid w:val="680B0286"/>
    <w:rsid w:val="681ADBA0"/>
    <w:rsid w:val="68218F02"/>
    <w:rsid w:val="682F2844"/>
    <w:rsid w:val="685F8128"/>
    <w:rsid w:val="6862F899"/>
    <w:rsid w:val="6870484A"/>
    <w:rsid w:val="6877F01E"/>
    <w:rsid w:val="688CA221"/>
    <w:rsid w:val="689001C9"/>
    <w:rsid w:val="68A3A0EA"/>
    <w:rsid w:val="68B39EC9"/>
    <w:rsid w:val="68B57729"/>
    <w:rsid w:val="68B5B46E"/>
    <w:rsid w:val="68C2A44B"/>
    <w:rsid w:val="68C535FD"/>
    <w:rsid w:val="68C5E4DC"/>
    <w:rsid w:val="68E21B73"/>
    <w:rsid w:val="68E78703"/>
    <w:rsid w:val="68EB7BBB"/>
    <w:rsid w:val="68F315F6"/>
    <w:rsid w:val="690FE096"/>
    <w:rsid w:val="69131BEB"/>
    <w:rsid w:val="6913BC63"/>
    <w:rsid w:val="6914FC12"/>
    <w:rsid w:val="6918273E"/>
    <w:rsid w:val="69215195"/>
    <w:rsid w:val="6922F480"/>
    <w:rsid w:val="6948EF18"/>
    <w:rsid w:val="694F01F5"/>
    <w:rsid w:val="695E6086"/>
    <w:rsid w:val="696DEB63"/>
    <w:rsid w:val="698BCA43"/>
    <w:rsid w:val="698F53C3"/>
    <w:rsid w:val="69C3F77F"/>
    <w:rsid w:val="69CA48A7"/>
    <w:rsid w:val="69D39BAF"/>
    <w:rsid w:val="69D63E47"/>
    <w:rsid w:val="69E559AB"/>
    <w:rsid w:val="6A0E89E3"/>
    <w:rsid w:val="6A256E86"/>
    <w:rsid w:val="6A2FEF35"/>
    <w:rsid w:val="6A49BECE"/>
    <w:rsid w:val="6A5BA921"/>
    <w:rsid w:val="6A699A61"/>
    <w:rsid w:val="6A6B0687"/>
    <w:rsid w:val="6A7BF71F"/>
    <w:rsid w:val="6A908B36"/>
    <w:rsid w:val="6A919422"/>
    <w:rsid w:val="6AA9797B"/>
    <w:rsid w:val="6AB98830"/>
    <w:rsid w:val="6ABE56B0"/>
    <w:rsid w:val="6AE88EF2"/>
    <w:rsid w:val="6AFEBFDB"/>
    <w:rsid w:val="6B0EFD6E"/>
    <w:rsid w:val="6B15FC6B"/>
    <w:rsid w:val="6B18E716"/>
    <w:rsid w:val="6B2A16F2"/>
    <w:rsid w:val="6B32ACA7"/>
    <w:rsid w:val="6B7F473E"/>
    <w:rsid w:val="6BA6F44D"/>
    <w:rsid w:val="6BAC8B61"/>
    <w:rsid w:val="6BC2DE1A"/>
    <w:rsid w:val="6BC5BF62"/>
    <w:rsid w:val="6BCD2D60"/>
    <w:rsid w:val="6BCE1728"/>
    <w:rsid w:val="6BD4F17F"/>
    <w:rsid w:val="6BDA1267"/>
    <w:rsid w:val="6BDB89AC"/>
    <w:rsid w:val="6BED0930"/>
    <w:rsid w:val="6BEF03ED"/>
    <w:rsid w:val="6BEF2F66"/>
    <w:rsid w:val="6BFF018F"/>
    <w:rsid w:val="6C01C370"/>
    <w:rsid w:val="6C183BCB"/>
    <w:rsid w:val="6C206DB8"/>
    <w:rsid w:val="6C392F24"/>
    <w:rsid w:val="6C3C7E51"/>
    <w:rsid w:val="6C4E29B0"/>
    <w:rsid w:val="6C6D3863"/>
    <w:rsid w:val="6C7140F7"/>
    <w:rsid w:val="6CC95575"/>
    <w:rsid w:val="6CD150EB"/>
    <w:rsid w:val="6CE12D9A"/>
    <w:rsid w:val="6CF3B09D"/>
    <w:rsid w:val="6CF7105C"/>
    <w:rsid w:val="6D042F3D"/>
    <w:rsid w:val="6D2CCA68"/>
    <w:rsid w:val="6D3935F9"/>
    <w:rsid w:val="6D3F270B"/>
    <w:rsid w:val="6D4EBD3F"/>
    <w:rsid w:val="6D614B4E"/>
    <w:rsid w:val="6D74FD94"/>
    <w:rsid w:val="6DAC0966"/>
    <w:rsid w:val="6DD5863E"/>
    <w:rsid w:val="6DDCA9C3"/>
    <w:rsid w:val="6DEDEB53"/>
    <w:rsid w:val="6DEF0364"/>
    <w:rsid w:val="6E05A1B3"/>
    <w:rsid w:val="6E3D51F2"/>
    <w:rsid w:val="6E45A860"/>
    <w:rsid w:val="6E45B98C"/>
    <w:rsid w:val="6E54E8F7"/>
    <w:rsid w:val="6E56EF7B"/>
    <w:rsid w:val="6E737DED"/>
    <w:rsid w:val="6E86A32C"/>
    <w:rsid w:val="6E95C166"/>
    <w:rsid w:val="6E99395D"/>
    <w:rsid w:val="6E9D2457"/>
    <w:rsid w:val="6E9F92C0"/>
    <w:rsid w:val="6EBFDCD0"/>
    <w:rsid w:val="6EDE875E"/>
    <w:rsid w:val="6EFF183A"/>
    <w:rsid w:val="6F114CB0"/>
    <w:rsid w:val="6F18DF87"/>
    <w:rsid w:val="6F1D911A"/>
    <w:rsid w:val="6F334A98"/>
    <w:rsid w:val="6F4325F2"/>
    <w:rsid w:val="6F63C30D"/>
    <w:rsid w:val="6F7651F7"/>
    <w:rsid w:val="6F91B21C"/>
    <w:rsid w:val="6F99042C"/>
    <w:rsid w:val="6FBA8967"/>
    <w:rsid w:val="6FBAFE87"/>
    <w:rsid w:val="6FEE8277"/>
    <w:rsid w:val="6FF6A010"/>
    <w:rsid w:val="70086CC6"/>
    <w:rsid w:val="70276C9B"/>
    <w:rsid w:val="7035210D"/>
    <w:rsid w:val="7039FC5F"/>
    <w:rsid w:val="704048A0"/>
    <w:rsid w:val="7043E01F"/>
    <w:rsid w:val="7044AEB2"/>
    <w:rsid w:val="704DCC6A"/>
    <w:rsid w:val="70560F02"/>
    <w:rsid w:val="70613119"/>
    <w:rsid w:val="70681DFB"/>
    <w:rsid w:val="70684A3B"/>
    <w:rsid w:val="706A1FCC"/>
    <w:rsid w:val="709A2A36"/>
    <w:rsid w:val="70A6139B"/>
    <w:rsid w:val="70B637AC"/>
    <w:rsid w:val="70DF6ACB"/>
    <w:rsid w:val="70F57F81"/>
    <w:rsid w:val="70FE7F39"/>
    <w:rsid w:val="7129BCA2"/>
    <w:rsid w:val="71306229"/>
    <w:rsid w:val="7159E656"/>
    <w:rsid w:val="715EA577"/>
    <w:rsid w:val="716351A2"/>
    <w:rsid w:val="71695B74"/>
    <w:rsid w:val="716AE106"/>
    <w:rsid w:val="716BD978"/>
    <w:rsid w:val="71754C34"/>
    <w:rsid w:val="71830833"/>
    <w:rsid w:val="719B00FD"/>
    <w:rsid w:val="71A36496"/>
    <w:rsid w:val="71A608FB"/>
    <w:rsid w:val="71A8D78E"/>
    <w:rsid w:val="71BB7A0D"/>
    <w:rsid w:val="71C0FB0F"/>
    <w:rsid w:val="721EDDB4"/>
    <w:rsid w:val="72287690"/>
    <w:rsid w:val="722DA210"/>
    <w:rsid w:val="7239ECD1"/>
    <w:rsid w:val="72616D72"/>
    <w:rsid w:val="7276FC07"/>
    <w:rsid w:val="729FA34B"/>
    <w:rsid w:val="72A0FEEF"/>
    <w:rsid w:val="72A29B33"/>
    <w:rsid w:val="72B56161"/>
    <w:rsid w:val="72E4681D"/>
    <w:rsid w:val="72F1C74C"/>
    <w:rsid w:val="72F748DC"/>
    <w:rsid w:val="73019F4D"/>
    <w:rsid w:val="73066E4F"/>
    <w:rsid w:val="73128DD7"/>
    <w:rsid w:val="7333C990"/>
    <w:rsid w:val="7360298C"/>
    <w:rsid w:val="73791265"/>
    <w:rsid w:val="737EDA48"/>
    <w:rsid w:val="7396AA5C"/>
    <w:rsid w:val="739A00C4"/>
    <w:rsid w:val="73BDAC5E"/>
    <w:rsid w:val="73C92CBD"/>
    <w:rsid w:val="73D5B148"/>
    <w:rsid w:val="73DBD04B"/>
    <w:rsid w:val="73E1E557"/>
    <w:rsid w:val="73E3D553"/>
    <w:rsid w:val="73F32B74"/>
    <w:rsid w:val="7400F5F7"/>
    <w:rsid w:val="74221577"/>
    <w:rsid w:val="742A2255"/>
    <w:rsid w:val="74381D21"/>
    <w:rsid w:val="743E7413"/>
    <w:rsid w:val="74579E2F"/>
    <w:rsid w:val="746EE120"/>
    <w:rsid w:val="748728AD"/>
    <w:rsid w:val="7489A952"/>
    <w:rsid w:val="74A2D71E"/>
    <w:rsid w:val="74C1B3BE"/>
    <w:rsid w:val="74C78947"/>
    <w:rsid w:val="74CB02C8"/>
    <w:rsid w:val="74DD0B6E"/>
    <w:rsid w:val="74E5ABA2"/>
    <w:rsid w:val="74EE7473"/>
    <w:rsid w:val="74F9BDB2"/>
    <w:rsid w:val="7500D78C"/>
    <w:rsid w:val="7507B4B5"/>
    <w:rsid w:val="7512FB2E"/>
    <w:rsid w:val="7514B653"/>
    <w:rsid w:val="751C58CB"/>
    <w:rsid w:val="7520A35F"/>
    <w:rsid w:val="752B7DF0"/>
    <w:rsid w:val="754C69F3"/>
    <w:rsid w:val="759C436B"/>
    <w:rsid w:val="75A48DC0"/>
    <w:rsid w:val="75AEE617"/>
    <w:rsid w:val="75B502DD"/>
    <w:rsid w:val="75C2E27F"/>
    <w:rsid w:val="75C9D1C6"/>
    <w:rsid w:val="75E23301"/>
    <w:rsid w:val="75EAFD35"/>
    <w:rsid w:val="75F286BF"/>
    <w:rsid w:val="75F959CE"/>
    <w:rsid w:val="75FB1747"/>
    <w:rsid w:val="7609BF54"/>
    <w:rsid w:val="760C1462"/>
    <w:rsid w:val="760CB62C"/>
    <w:rsid w:val="760DB7FC"/>
    <w:rsid w:val="76141CCA"/>
    <w:rsid w:val="761509A0"/>
    <w:rsid w:val="7628EC68"/>
    <w:rsid w:val="763F1B71"/>
    <w:rsid w:val="7652E8D7"/>
    <w:rsid w:val="7656C4A5"/>
    <w:rsid w:val="76613464"/>
    <w:rsid w:val="7667656A"/>
    <w:rsid w:val="7671BF1D"/>
    <w:rsid w:val="7688BEDB"/>
    <w:rsid w:val="76936BE2"/>
    <w:rsid w:val="769AD52C"/>
    <w:rsid w:val="76BEF19F"/>
    <w:rsid w:val="76CC777E"/>
    <w:rsid w:val="76CD2495"/>
    <w:rsid w:val="76CEB9DA"/>
    <w:rsid w:val="76DC36BB"/>
    <w:rsid w:val="76EB0BCC"/>
    <w:rsid w:val="76EB91B0"/>
    <w:rsid w:val="76EDF163"/>
    <w:rsid w:val="76F9F3D8"/>
    <w:rsid w:val="77034C36"/>
    <w:rsid w:val="770A7744"/>
    <w:rsid w:val="77458F9B"/>
    <w:rsid w:val="774753DA"/>
    <w:rsid w:val="774E0FE3"/>
    <w:rsid w:val="77536CDF"/>
    <w:rsid w:val="7753F98D"/>
    <w:rsid w:val="775F4E47"/>
    <w:rsid w:val="77624CC0"/>
    <w:rsid w:val="777B8D7E"/>
    <w:rsid w:val="778A9582"/>
    <w:rsid w:val="77A757BD"/>
    <w:rsid w:val="77C69AF3"/>
    <w:rsid w:val="77CC2E12"/>
    <w:rsid w:val="77F6FE6A"/>
    <w:rsid w:val="780272B9"/>
    <w:rsid w:val="780B086A"/>
    <w:rsid w:val="780D7351"/>
    <w:rsid w:val="781433E9"/>
    <w:rsid w:val="782467B6"/>
    <w:rsid w:val="7827C314"/>
    <w:rsid w:val="7867B0BC"/>
    <w:rsid w:val="787229F0"/>
    <w:rsid w:val="7878CFE9"/>
    <w:rsid w:val="787E33EC"/>
    <w:rsid w:val="78987B90"/>
    <w:rsid w:val="78A12A4D"/>
    <w:rsid w:val="78BFBB69"/>
    <w:rsid w:val="78C6EE80"/>
    <w:rsid w:val="78D5D925"/>
    <w:rsid w:val="78DFE9BE"/>
    <w:rsid w:val="78E9E835"/>
    <w:rsid w:val="791D1D78"/>
    <w:rsid w:val="791F1DB9"/>
    <w:rsid w:val="792E2E2D"/>
    <w:rsid w:val="7933E012"/>
    <w:rsid w:val="794963F8"/>
    <w:rsid w:val="794CA47B"/>
    <w:rsid w:val="79628C2F"/>
    <w:rsid w:val="7969047B"/>
    <w:rsid w:val="796A06A4"/>
    <w:rsid w:val="796D63F4"/>
    <w:rsid w:val="798A03CD"/>
    <w:rsid w:val="799031EE"/>
    <w:rsid w:val="7997A52A"/>
    <w:rsid w:val="799F385E"/>
    <w:rsid w:val="79B876ED"/>
    <w:rsid w:val="79B90743"/>
    <w:rsid w:val="79F7A8E4"/>
    <w:rsid w:val="7A139724"/>
    <w:rsid w:val="7A320C87"/>
    <w:rsid w:val="7A491457"/>
    <w:rsid w:val="7A4B63ED"/>
    <w:rsid w:val="7A4E2307"/>
    <w:rsid w:val="7A62E903"/>
    <w:rsid w:val="7A70F148"/>
    <w:rsid w:val="7A879ED2"/>
    <w:rsid w:val="7A8E7742"/>
    <w:rsid w:val="7A990200"/>
    <w:rsid w:val="7AAEB2C2"/>
    <w:rsid w:val="7AB1D616"/>
    <w:rsid w:val="7ABDB1DC"/>
    <w:rsid w:val="7AC70208"/>
    <w:rsid w:val="7ACCFFFA"/>
    <w:rsid w:val="7AD301DC"/>
    <w:rsid w:val="7AD5AFBE"/>
    <w:rsid w:val="7B029C3A"/>
    <w:rsid w:val="7B05DDEB"/>
    <w:rsid w:val="7B232225"/>
    <w:rsid w:val="7B2B6CE0"/>
    <w:rsid w:val="7B5852D4"/>
    <w:rsid w:val="7B5E735E"/>
    <w:rsid w:val="7B9CF9D1"/>
    <w:rsid w:val="7B9E97C1"/>
    <w:rsid w:val="7BAB2545"/>
    <w:rsid w:val="7BB24DF8"/>
    <w:rsid w:val="7BB50805"/>
    <w:rsid w:val="7BEC1BC2"/>
    <w:rsid w:val="7BFC9111"/>
    <w:rsid w:val="7C0AB60F"/>
    <w:rsid w:val="7C11376A"/>
    <w:rsid w:val="7C116848"/>
    <w:rsid w:val="7C26D4E3"/>
    <w:rsid w:val="7C2A7F4E"/>
    <w:rsid w:val="7C365A51"/>
    <w:rsid w:val="7C4B42A5"/>
    <w:rsid w:val="7C4C7B4B"/>
    <w:rsid w:val="7C643879"/>
    <w:rsid w:val="7C69083F"/>
    <w:rsid w:val="7C6E18F3"/>
    <w:rsid w:val="7C73A611"/>
    <w:rsid w:val="7C77F141"/>
    <w:rsid w:val="7C963C96"/>
    <w:rsid w:val="7CB14DDA"/>
    <w:rsid w:val="7CB8087A"/>
    <w:rsid w:val="7CD075E8"/>
    <w:rsid w:val="7CD4C7B8"/>
    <w:rsid w:val="7CD9E40A"/>
    <w:rsid w:val="7CEC5FD1"/>
    <w:rsid w:val="7D21EDEA"/>
    <w:rsid w:val="7D34A6D5"/>
    <w:rsid w:val="7D3A5740"/>
    <w:rsid w:val="7D3DDACC"/>
    <w:rsid w:val="7D42104A"/>
    <w:rsid w:val="7D475D1B"/>
    <w:rsid w:val="7D497986"/>
    <w:rsid w:val="7D4A65EE"/>
    <w:rsid w:val="7D7C2556"/>
    <w:rsid w:val="7D80CB9B"/>
    <w:rsid w:val="7D8B3E96"/>
    <w:rsid w:val="7D93E9D8"/>
    <w:rsid w:val="7DA11388"/>
    <w:rsid w:val="7DA5DF52"/>
    <w:rsid w:val="7DADF2A2"/>
    <w:rsid w:val="7DB6EE8E"/>
    <w:rsid w:val="7DBA4A9B"/>
    <w:rsid w:val="7DFE3BD9"/>
    <w:rsid w:val="7DFF58EA"/>
    <w:rsid w:val="7E2592CE"/>
    <w:rsid w:val="7E3AA080"/>
    <w:rsid w:val="7E41659F"/>
    <w:rsid w:val="7E464AF1"/>
    <w:rsid w:val="7E46C077"/>
    <w:rsid w:val="7E556844"/>
    <w:rsid w:val="7E562602"/>
    <w:rsid w:val="7E6BBA2E"/>
    <w:rsid w:val="7E6F00AA"/>
    <w:rsid w:val="7E78A717"/>
    <w:rsid w:val="7E7ACF6D"/>
    <w:rsid w:val="7E8510D1"/>
    <w:rsid w:val="7E93F18E"/>
    <w:rsid w:val="7E987EAA"/>
    <w:rsid w:val="7EB62BEE"/>
    <w:rsid w:val="7EC17DC8"/>
    <w:rsid w:val="7EDCC1F2"/>
    <w:rsid w:val="7EDD9DBD"/>
    <w:rsid w:val="7EEA7337"/>
    <w:rsid w:val="7EEBE8F0"/>
    <w:rsid w:val="7EF5888A"/>
    <w:rsid w:val="7EFD8735"/>
    <w:rsid w:val="7F0670E2"/>
    <w:rsid w:val="7F2E28BC"/>
    <w:rsid w:val="7F36CFE0"/>
    <w:rsid w:val="7F3A2523"/>
    <w:rsid w:val="7F3ECF81"/>
    <w:rsid w:val="7F491DC6"/>
    <w:rsid w:val="7F5A73C8"/>
    <w:rsid w:val="7F650AF6"/>
    <w:rsid w:val="7F69A446"/>
    <w:rsid w:val="7F82F90F"/>
    <w:rsid w:val="7F987284"/>
    <w:rsid w:val="7FA68925"/>
    <w:rsid w:val="7FADA2EF"/>
    <w:rsid w:val="7FBB7630"/>
    <w:rsid w:val="7FC9838F"/>
    <w:rsid w:val="7FCEB598"/>
    <w:rsid w:val="7FE9444B"/>
    <w:rsid w:val="7FFA5D1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88D9323"/>
  <w15:chartTrackingRefBased/>
  <w15:docId w15:val="{DF1F4E2B-20CC-4141-BDFA-3A7AA64016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semiHidden="1" w:uiPriority="0" w:unhideWhenUsed="1" w:qFormat="1"/>
    <w:lsdException w:name="heading 4" w:locked="1" w:semiHidden="1" w:uiPriority="0" w:unhideWhenUsed="1" w:qFormat="1"/>
    <w:lsdException w:name="heading 5" w:lock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locked="1" w:qFormat="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lock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6A756B"/>
    <w:rPr>
      <w:sz w:val="24"/>
      <w:szCs w:val="24"/>
    </w:rPr>
  </w:style>
  <w:style w:type="paragraph" w:styleId="Nagwek1">
    <w:name w:val="heading 1"/>
    <w:basedOn w:val="Normalny"/>
    <w:next w:val="Normalny"/>
    <w:link w:val="Nagwek1Znak"/>
    <w:uiPriority w:val="99"/>
    <w:qFormat/>
    <w:rsid w:val="006337BF"/>
    <w:pPr>
      <w:keepNext/>
      <w:jc w:val="both"/>
      <w:outlineLvl w:val="0"/>
    </w:pPr>
    <w:rPr>
      <w:b/>
      <w:bCs/>
    </w:rPr>
  </w:style>
  <w:style w:type="paragraph" w:styleId="Nagwek2">
    <w:name w:val="heading 2"/>
    <w:basedOn w:val="Normalny"/>
    <w:next w:val="Normalny"/>
    <w:link w:val="Nagwek2Znak"/>
    <w:uiPriority w:val="99"/>
    <w:qFormat/>
    <w:rsid w:val="006337BF"/>
    <w:pPr>
      <w:keepNext/>
      <w:jc w:val="center"/>
      <w:outlineLvl w:val="1"/>
    </w:pPr>
    <w:rPr>
      <w:b/>
      <w:bCs/>
    </w:rPr>
  </w:style>
  <w:style w:type="paragraph" w:styleId="Nagwek5">
    <w:name w:val="heading 5"/>
    <w:basedOn w:val="Normalny"/>
    <w:next w:val="Normalny"/>
    <w:link w:val="Nagwek5Znak"/>
    <w:uiPriority w:val="99"/>
    <w:qFormat/>
    <w:rsid w:val="00375B58"/>
    <w:pPr>
      <w:spacing w:before="240" w:after="60"/>
      <w:outlineLvl w:val="4"/>
    </w:pPr>
    <w:rPr>
      <w:b/>
      <w:bCs/>
      <w:i/>
      <w:i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locked/>
    <w:rsid w:val="00534BCF"/>
    <w:rPr>
      <w:b/>
      <w:bCs/>
      <w:sz w:val="24"/>
      <w:szCs w:val="24"/>
      <w:lang w:val="pl-PL" w:eastAsia="pl-PL"/>
    </w:rPr>
  </w:style>
  <w:style w:type="character" w:customStyle="1" w:styleId="Nagwek2Znak">
    <w:name w:val="Nagłówek 2 Znak"/>
    <w:link w:val="Nagwek2"/>
    <w:uiPriority w:val="99"/>
    <w:semiHidden/>
    <w:locked/>
    <w:rPr>
      <w:rFonts w:ascii="Cambria" w:hAnsi="Cambria" w:cs="Cambria"/>
      <w:b/>
      <w:bCs/>
      <w:i/>
      <w:iCs/>
      <w:sz w:val="28"/>
      <w:szCs w:val="28"/>
    </w:rPr>
  </w:style>
  <w:style w:type="character" w:customStyle="1" w:styleId="Nagwek5Znak">
    <w:name w:val="Nagłówek 5 Znak"/>
    <w:link w:val="Nagwek5"/>
    <w:uiPriority w:val="99"/>
    <w:semiHidden/>
    <w:locked/>
    <w:rsid w:val="00375B58"/>
    <w:rPr>
      <w:b/>
      <w:bCs/>
      <w:i/>
      <w:iCs/>
      <w:sz w:val="26"/>
      <w:szCs w:val="26"/>
      <w:lang w:val="pl-PL" w:eastAsia="pl-PL"/>
    </w:rPr>
  </w:style>
  <w:style w:type="paragraph" w:styleId="Tekstdymka">
    <w:name w:val="Balloon Text"/>
    <w:basedOn w:val="Normalny"/>
    <w:link w:val="TekstdymkaZnak"/>
    <w:uiPriority w:val="99"/>
    <w:semiHidden/>
    <w:rsid w:val="009429EE"/>
    <w:rPr>
      <w:rFonts w:ascii="Tahoma" w:hAnsi="Tahoma" w:cs="Tahoma"/>
      <w:sz w:val="16"/>
      <w:szCs w:val="16"/>
    </w:rPr>
  </w:style>
  <w:style w:type="character" w:customStyle="1" w:styleId="TekstdymkaZnak">
    <w:name w:val="Tekst dymka Znak"/>
    <w:link w:val="Tekstdymka"/>
    <w:uiPriority w:val="99"/>
    <w:semiHidden/>
    <w:locked/>
    <w:rPr>
      <w:sz w:val="2"/>
      <w:szCs w:val="2"/>
    </w:rPr>
  </w:style>
  <w:style w:type="character" w:styleId="Pogrubienie">
    <w:name w:val="Strong"/>
    <w:aliases w:val="Tekst treści + Lucida Sans Unicode,8,5 pt"/>
    <w:uiPriority w:val="99"/>
    <w:qFormat/>
    <w:rsid w:val="006337BF"/>
    <w:rPr>
      <w:b/>
      <w:bCs/>
    </w:rPr>
  </w:style>
  <w:style w:type="paragraph" w:styleId="Tekstpodstawowy">
    <w:name w:val="Body Text"/>
    <w:basedOn w:val="Normalny"/>
    <w:link w:val="TekstpodstawowyZnak"/>
    <w:uiPriority w:val="99"/>
    <w:rsid w:val="006337BF"/>
    <w:pPr>
      <w:jc w:val="both"/>
    </w:pPr>
    <w:rPr>
      <w:sz w:val="16"/>
      <w:szCs w:val="16"/>
    </w:rPr>
  </w:style>
  <w:style w:type="character" w:customStyle="1" w:styleId="TekstpodstawowyZnak">
    <w:name w:val="Tekst podstawowy Znak"/>
    <w:link w:val="Tekstpodstawowy"/>
    <w:uiPriority w:val="99"/>
    <w:locked/>
    <w:rPr>
      <w:sz w:val="24"/>
      <w:szCs w:val="24"/>
    </w:rPr>
  </w:style>
  <w:style w:type="paragraph" w:styleId="Tytu">
    <w:name w:val="Title"/>
    <w:basedOn w:val="Normalny"/>
    <w:link w:val="TytuZnak"/>
    <w:uiPriority w:val="99"/>
    <w:qFormat/>
    <w:rsid w:val="006337BF"/>
    <w:pPr>
      <w:jc w:val="center"/>
    </w:pPr>
    <w:rPr>
      <w:b/>
      <w:bCs/>
    </w:rPr>
  </w:style>
  <w:style w:type="character" w:customStyle="1" w:styleId="TytuZnak">
    <w:name w:val="Tytuł Znak"/>
    <w:link w:val="Tytu"/>
    <w:uiPriority w:val="99"/>
    <w:locked/>
    <w:rPr>
      <w:rFonts w:ascii="Cambria" w:hAnsi="Cambria" w:cs="Cambria"/>
      <w:b/>
      <w:bCs/>
      <w:kern w:val="28"/>
      <w:sz w:val="32"/>
      <w:szCs w:val="32"/>
    </w:rPr>
  </w:style>
  <w:style w:type="character" w:styleId="Odwoaniedokomentarza">
    <w:name w:val="annotation reference"/>
    <w:uiPriority w:val="99"/>
    <w:semiHidden/>
    <w:rsid w:val="009429EE"/>
    <w:rPr>
      <w:sz w:val="16"/>
      <w:szCs w:val="16"/>
    </w:rPr>
  </w:style>
  <w:style w:type="paragraph" w:styleId="Tekstkomentarza">
    <w:name w:val="annotation text"/>
    <w:basedOn w:val="Normalny"/>
    <w:link w:val="TekstkomentarzaZnak"/>
    <w:uiPriority w:val="99"/>
    <w:qFormat/>
    <w:rsid w:val="009429EE"/>
    <w:rPr>
      <w:sz w:val="20"/>
      <w:szCs w:val="20"/>
    </w:rPr>
  </w:style>
  <w:style w:type="character" w:customStyle="1" w:styleId="TekstkomentarzaZnak">
    <w:name w:val="Tekst komentarza Znak"/>
    <w:link w:val="Tekstkomentarza"/>
    <w:uiPriority w:val="99"/>
    <w:qFormat/>
    <w:locked/>
    <w:rsid w:val="00AA3904"/>
    <w:rPr>
      <w:lang w:val="pl-PL" w:eastAsia="pl-PL"/>
    </w:rPr>
  </w:style>
  <w:style w:type="paragraph" w:styleId="Tematkomentarza">
    <w:name w:val="annotation subject"/>
    <w:basedOn w:val="Tekstkomentarza"/>
    <w:next w:val="Tekstkomentarza"/>
    <w:link w:val="TematkomentarzaZnak"/>
    <w:uiPriority w:val="99"/>
    <w:semiHidden/>
    <w:rsid w:val="009429EE"/>
    <w:rPr>
      <w:b/>
      <w:bCs/>
    </w:rPr>
  </w:style>
  <w:style w:type="character" w:customStyle="1" w:styleId="TematkomentarzaZnak">
    <w:name w:val="Temat komentarza Znak"/>
    <w:link w:val="Tematkomentarza"/>
    <w:uiPriority w:val="99"/>
    <w:semiHidden/>
    <w:locked/>
    <w:rPr>
      <w:b/>
      <w:bCs/>
      <w:lang w:val="pl-PL" w:eastAsia="pl-PL"/>
    </w:rPr>
  </w:style>
  <w:style w:type="character" w:styleId="Hipercze">
    <w:name w:val="Hyperlink"/>
    <w:uiPriority w:val="99"/>
    <w:rsid w:val="00FF1630"/>
    <w:rPr>
      <w:color w:val="0000FF"/>
      <w:u w:val="single"/>
    </w:rPr>
  </w:style>
  <w:style w:type="character" w:styleId="Uwydatnienie">
    <w:name w:val="Emphasis"/>
    <w:uiPriority w:val="99"/>
    <w:qFormat/>
    <w:rsid w:val="005E5E1B"/>
    <w:rPr>
      <w:i/>
      <w:iCs/>
    </w:rPr>
  </w:style>
  <w:style w:type="paragraph" w:customStyle="1" w:styleId="zmart1">
    <w:name w:val="zm art1"/>
    <w:uiPriority w:val="99"/>
    <w:rsid w:val="004D3F73"/>
    <w:pPr>
      <w:overflowPunct w:val="0"/>
      <w:autoSpaceDE w:val="0"/>
      <w:autoSpaceDN w:val="0"/>
      <w:adjustRightInd w:val="0"/>
      <w:spacing w:before="60" w:after="60"/>
      <w:ind w:left="1842" w:hanging="1077"/>
      <w:jc w:val="both"/>
      <w:textAlignment w:val="baseline"/>
    </w:pPr>
    <w:rPr>
      <w:sz w:val="24"/>
      <w:szCs w:val="24"/>
    </w:rPr>
  </w:style>
  <w:style w:type="paragraph" w:customStyle="1" w:styleId="pkt1art">
    <w:name w:val="pkt1 art"/>
    <w:uiPriority w:val="99"/>
    <w:rsid w:val="004D3F73"/>
    <w:pPr>
      <w:overflowPunct w:val="0"/>
      <w:autoSpaceDE w:val="0"/>
      <w:autoSpaceDN w:val="0"/>
      <w:adjustRightInd w:val="0"/>
      <w:spacing w:before="60" w:after="60"/>
      <w:ind w:left="2269" w:hanging="284"/>
      <w:jc w:val="both"/>
      <w:textAlignment w:val="baseline"/>
    </w:pPr>
    <w:rPr>
      <w:sz w:val="24"/>
      <w:szCs w:val="24"/>
    </w:rPr>
  </w:style>
  <w:style w:type="paragraph" w:customStyle="1" w:styleId="zmart2">
    <w:name w:val="zm art2"/>
    <w:basedOn w:val="Normalny"/>
    <w:uiPriority w:val="99"/>
    <w:rsid w:val="006500E8"/>
    <w:pPr>
      <w:overflowPunct w:val="0"/>
      <w:autoSpaceDE w:val="0"/>
      <w:autoSpaceDN w:val="0"/>
      <w:adjustRightInd w:val="0"/>
      <w:spacing w:before="60" w:after="60"/>
      <w:ind w:left="1843" w:hanging="1219"/>
      <w:jc w:val="both"/>
      <w:textAlignment w:val="baseline"/>
    </w:pPr>
  </w:style>
  <w:style w:type="paragraph" w:customStyle="1" w:styleId="ust1art">
    <w:name w:val="ust1 art"/>
    <w:uiPriority w:val="99"/>
    <w:rsid w:val="006500E8"/>
    <w:pPr>
      <w:overflowPunct w:val="0"/>
      <w:autoSpaceDE w:val="0"/>
      <w:autoSpaceDN w:val="0"/>
      <w:adjustRightInd w:val="0"/>
      <w:spacing w:before="60" w:after="60"/>
      <w:ind w:left="1843" w:hanging="255"/>
      <w:jc w:val="both"/>
      <w:textAlignment w:val="baseline"/>
    </w:pPr>
    <w:rPr>
      <w:sz w:val="24"/>
      <w:szCs w:val="24"/>
    </w:rPr>
  </w:style>
  <w:style w:type="character" w:styleId="Odwoanieprzypisudolnego">
    <w:name w:val="footnote reference"/>
    <w:uiPriority w:val="99"/>
    <w:semiHidden/>
    <w:rsid w:val="003B53A5"/>
    <w:rPr>
      <w:vertAlign w:val="superscript"/>
    </w:rPr>
  </w:style>
  <w:style w:type="paragraph" w:styleId="Tekstprzypisudolnego">
    <w:name w:val="footnote text"/>
    <w:aliases w:val="Char Char,Footnote Text2,Footnote Text11,ALTS FOOTNOTE11,Footnote Text Char111,Footnote Text Char Char Char11,Footnote Text Char1 Char Char Char Char11,Footnote Text Char1 Char Char Char11,ALTS FOOTNOTE2,Footnote Text1"/>
    <w:basedOn w:val="Normalny"/>
    <w:link w:val="TekstprzypisudolnegoZnak"/>
    <w:uiPriority w:val="99"/>
    <w:semiHidden/>
    <w:rsid w:val="003B53A5"/>
    <w:rPr>
      <w:sz w:val="20"/>
      <w:szCs w:val="20"/>
    </w:rPr>
  </w:style>
  <w:style w:type="character" w:customStyle="1" w:styleId="TekstprzypisudolnegoZnak">
    <w:name w:val="Tekst przypisu dolnego Znak"/>
    <w:aliases w:val="Char Char Znak1,Footnote Text2 Znak1,Footnote Text11 Znak1,ALTS FOOTNOTE11 Znak1,Footnote Text Char111 Znak1,Footnote Text Char Char Char11 Znak1,Footnote Text Char1 Char Char Char Char11 Znak1,ALTS FOOTNOTE2 Znak1"/>
    <w:link w:val="Tekstprzypisudolnego"/>
    <w:uiPriority w:val="99"/>
    <w:semiHidden/>
    <w:locked/>
    <w:rsid w:val="003B53A5"/>
    <w:rPr>
      <w:lang w:val="pl-PL" w:eastAsia="pl-PL"/>
    </w:rPr>
  </w:style>
  <w:style w:type="paragraph" w:styleId="Tekstpodstawowywcity2">
    <w:name w:val="Body Text Indent 2"/>
    <w:basedOn w:val="Normalny"/>
    <w:link w:val="Tekstpodstawowywcity2Znak"/>
    <w:uiPriority w:val="99"/>
    <w:rsid w:val="006A0B5F"/>
    <w:pPr>
      <w:spacing w:after="120" w:line="480" w:lineRule="auto"/>
      <w:ind w:left="283"/>
    </w:pPr>
  </w:style>
  <w:style w:type="character" w:customStyle="1" w:styleId="BodyTextIndent2Char">
    <w:name w:val="Body Text Indent 2 Char"/>
    <w:uiPriority w:val="99"/>
    <w:semiHidden/>
    <w:locked/>
    <w:rsid w:val="00CF5490"/>
    <w:rPr>
      <w:sz w:val="24"/>
      <w:szCs w:val="24"/>
    </w:rPr>
  </w:style>
  <w:style w:type="character" w:customStyle="1" w:styleId="Tekstpodstawowywcity2Znak">
    <w:name w:val="Tekst podstawowy wcięty 2 Znak"/>
    <w:link w:val="Tekstpodstawowywcity2"/>
    <w:uiPriority w:val="99"/>
    <w:semiHidden/>
    <w:locked/>
    <w:rsid w:val="00963DA7"/>
    <w:rPr>
      <w:sz w:val="24"/>
      <w:szCs w:val="24"/>
      <w:lang w:val="pl-PL" w:eastAsia="pl-PL"/>
    </w:rPr>
  </w:style>
  <w:style w:type="paragraph" w:styleId="Tekstpodstawowywcity">
    <w:name w:val="Body Text Indent"/>
    <w:basedOn w:val="Normalny"/>
    <w:link w:val="TekstpodstawowywcityZnak"/>
    <w:uiPriority w:val="99"/>
    <w:rsid w:val="006A0B5F"/>
    <w:pPr>
      <w:spacing w:after="120"/>
      <w:ind w:left="283"/>
    </w:pPr>
  </w:style>
  <w:style w:type="character" w:customStyle="1" w:styleId="TekstpodstawowywcityZnak">
    <w:name w:val="Tekst podstawowy wcięty Znak"/>
    <w:link w:val="Tekstpodstawowywcity"/>
    <w:uiPriority w:val="99"/>
    <w:semiHidden/>
    <w:locked/>
    <w:rPr>
      <w:sz w:val="24"/>
      <w:szCs w:val="24"/>
    </w:rPr>
  </w:style>
  <w:style w:type="paragraph" w:styleId="Tekstpodstawowy3">
    <w:name w:val="Body Text 3"/>
    <w:basedOn w:val="Normalny"/>
    <w:link w:val="Tekstpodstawowy3Znak"/>
    <w:uiPriority w:val="99"/>
    <w:rsid w:val="00B969A5"/>
    <w:pPr>
      <w:spacing w:after="120"/>
    </w:pPr>
    <w:rPr>
      <w:sz w:val="16"/>
      <w:szCs w:val="16"/>
    </w:rPr>
  </w:style>
  <w:style w:type="character" w:customStyle="1" w:styleId="Tekstpodstawowy3Znak">
    <w:name w:val="Tekst podstawowy 3 Znak"/>
    <w:link w:val="Tekstpodstawowy3"/>
    <w:uiPriority w:val="99"/>
    <w:semiHidden/>
    <w:locked/>
    <w:rPr>
      <w:sz w:val="16"/>
      <w:szCs w:val="16"/>
    </w:rPr>
  </w:style>
  <w:style w:type="paragraph" w:styleId="Tekstpodstawowy2">
    <w:name w:val="Body Text 2"/>
    <w:basedOn w:val="Normalny"/>
    <w:link w:val="Tekstpodstawowy2Znak"/>
    <w:uiPriority w:val="99"/>
    <w:rsid w:val="00636E4E"/>
    <w:pPr>
      <w:spacing w:after="120" w:line="480" w:lineRule="auto"/>
    </w:pPr>
  </w:style>
  <w:style w:type="character" w:customStyle="1" w:styleId="Tekstpodstawowy2Znak">
    <w:name w:val="Tekst podstawowy 2 Znak"/>
    <w:link w:val="Tekstpodstawowy2"/>
    <w:uiPriority w:val="99"/>
    <w:semiHidden/>
    <w:locked/>
    <w:rPr>
      <w:sz w:val="24"/>
      <w:szCs w:val="24"/>
    </w:rPr>
  </w:style>
  <w:style w:type="paragraph" w:styleId="NormalnyWeb">
    <w:name w:val="Normal (Web)"/>
    <w:basedOn w:val="Normalny"/>
    <w:uiPriority w:val="99"/>
    <w:rsid w:val="00D817FB"/>
    <w:pPr>
      <w:spacing w:before="100" w:beforeAutospacing="1" w:after="100" w:afterAutospacing="1"/>
    </w:pPr>
  </w:style>
  <w:style w:type="table" w:styleId="Tabela-Siatka">
    <w:name w:val="Table Grid"/>
    <w:basedOn w:val="Standardowy"/>
    <w:uiPriority w:val="99"/>
    <w:rsid w:val="00FE171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pa">
    <w:name w:val="pa"/>
    <w:uiPriority w:val="99"/>
    <w:rsid w:val="00131E9D"/>
  </w:style>
  <w:style w:type="paragraph" w:customStyle="1" w:styleId="pkt1">
    <w:name w:val="pkt1"/>
    <w:basedOn w:val="Normalny"/>
    <w:uiPriority w:val="99"/>
    <w:rsid w:val="0053335C"/>
    <w:pPr>
      <w:overflowPunct w:val="0"/>
      <w:autoSpaceDE w:val="0"/>
      <w:autoSpaceDN w:val="0"/>
      <w:adjustRightInd w:val="0"/>
      <w:spacing w:before="60" w:after="60"/>
      <w:ind w:left="850" w:hanging="425"/>
      <w:jc w:val="both"/>
      <w:textAlignment w:val="baseline"/>
    </w:pPr>
  </w:style>
  <w:style w:type="character" w:customStyle="1" w:styleId="luchili">
    <w:name w:val="luc_hili"/>
    <w:basedOn w:val="Domylnaczcionkaakapitu"/>
    <w:rsid w:val="0053335C"/>
  </w:style>
  <w:style w:type="character" w:customStyle="1" w:styleId="tabulatory">
    <w:name w:val="tabulatory"/>
    <w:basedOn w:val="Domylnaczcionkaakapitu"/>
    <w:rsid w:val="0053335C"/>
  </w:style>
  <w:style w:type="character" w:customStyle="1" w:styleId="txt-new">
    <w:name w:val="txt-new"/>
    <w:basedOn w:val="Domylnaczcionkaakapitu"/>
    <w:uiPriority w:val="99"/>
    <w:rsid w:val="009800F0"/>
  </w:style>
  <w:style w:type="character" w:customStyle="1" w:styleId="txt-old">
    <w:name w:val="txt-old"/>
    <w:basedOn w:val="Domylnaczcionkaakapitu"/>
    <w:uiPriority w:val="99"/>
    <w:rsid w:val="009800F0"/>
  </w:style>
  <w:style w:type="character" w:customStyle="1" w:styleId="CharCharZnak">
    <w:name w:val="Char Char Znak"/>
    <w:aliases w:val="Footnote Text2 Znak,Footnote Text11 Znak,ALTS FOOTNOTE11 Znak,Footnote Text Char111 Znak,Footnote Text Char Char Char11 Znak,Footnote Text Char1 Char Char Char Char11 Znak,Footnote Text Char1 Char Char Char11 Znak,ALTS FOOTNOTE2 Znak"/>
    <w:uiPriority w:val="99"/>
    <w:semiHidden/>
    <w:locked/>
    <w:rsid w:val="00D966D5"/>
    <w:rPr>
      <w:rFonts w:ascii="Calibri" w:hAnsi="Calibri" w:cs="Calibri"/>
      <w:lang w:val="pl-PL" w:eastAsia="en-US"/>
    </w:rPr>
  </w:style>
  <w:style w:type="character" w:customStyle="1" w:styleId="h2">
    <w:name w:val="h2"/>
    <w:basedOn w:val="Domylnaczcionkaakapitu"/>
    <w:uiPriority w:val="99"/>
    <w:rsid w:val="00537A9E"/>
  </w:style>
  <w:style w:type="paragraph" w:customStyle="1" w:styleId="point2">
    <w:name w:val="point2"/>
    <w:basedOn w:val="Normalny"/>
    <w:uiPriority w:val="99"/>
    <w:rsid w:val="003E7BA1"/>
    <w:pPr>
      <w:spacing w:before="120" w:after="120"/>
      <w:ind w:left="1984" w:hanging="567"/>
      <w:jc w:val="both"/>
    </w:pPr>
  </w:style>
  <w:style w:type="paragraph" w:customStyle="1" w:styleId="point1">
    <w:name w:val="point1"/>
    <w:basedOn w:val="Normalny"/>
    <w:uiPriority w:val="99"/>
    <w:rsid w:val="003E7BA1"/>
    <w:pPr>
      <w:spacing w:before="120" w:after="120" w:line="360" w:lineRule="auto"/>
      <w:ind w:left="1417" w:hanging="567"/>
    </w:pPr>
  </w:style>
  <w:style w:type="paragraph" w:customStyle="1" w:styleId="Default">
    <w:name w:val="Default"/>
    <w:uiPriority w:val="99"/>
    <w:rsid w:val="003210ED"/>
    <w:pPr>
      <w:autoSpaceDE w:val="0"/>
      <w:autoSpaceDN w:val="0"/>
      <w:adjustRightInd w:val="0"/>
    </w:pPr>
    <w:rPr>
      <w:rFonts w:ascii="EUAlbertina" w:hAnsi="EUAlbertina" w:cs="EUAlbertina"/>
      <w:color w:val="000000"/>
      <w:sz w:val="24"/>
      <w:szCs w:val="24"/>
    </w:rPr>
  </w:style>
  <w:style w:type="character" w:customStyle="1" w:styleId="ZnakZnak5">
    <w:name w:val="Znak Znak5"/>
    <w:uiPriority w:val="99"/>
    <w:semiHidden/>
    <w:locked/>
    <w:rsid w:val="006C0C3F"/>
    <w:rPr>
      <w:lang w:val="pl-PL" w:eastAsia="pl-PL"/>
    </w:rPr>
  </w:style>
  <w:style w:type="paragraph" w:customStyle="1" w:styleId="Akapitzlist1">
    <w:name w:val="Akapit z listą1"/>
    <w:basedOn w:val="Normalny"/>
    <w:uiPriority w:val="99"/>
    <w:qFormat/>
    <w:rsid w:val="004836CC"/>
    <w:pPr>
      <w:spacing w:line="276" w:lineRule="auto"/>
      <w:ind w:left="720"/>
    </w:pPr>
    <w:rPr>
      <w:lang w:eastAsia="en-US"/>
    </w:rPr>
  </w:style>
  <w:style w:type="character" w:customStyle="1" w:styleId="lextitle">
    <w:name w:val="lextitle"/>
    <w:uiPriority w:val="99"/>
    <w:rsid w:val="00F43E9D"/>
  </w:style>
  <w:style w:type="character" w:customStyle="1" w:styleId="CommentTextChar1">
    <w:name w:val="Comment Text Char1"/>
    <w:uiPriority w:val="99"/>
    <w:locked/>
    <w:rsid w:val="00930681"/>
  </w:style>
  <w:style w:type="paragraph" w:styleId="Nagwek">
    <w:name w:val="header"/>
    <w:aliases w:val="h"/>
    <w:basedOn w:val="Normalny"/>
    <w:link w:val="NagwekZnak"/>
    <w:rsid w:val="0002633B"/>
    <w:pPr>
      <w:tabs>
        <w:tab w:val="center" w:pos="4536"/>
        <w:tab w:val="right" w:pos="9072"/>
      </w:tabs>
    </w:pPr>
  </w:style>
  <w:style w:type="character" w:customStyle="1" w:styleId="NagwekZnak">
    <w:name w:val="Nagłówek Znak"/>
    <w:aliases w:val="h Znak"/>
    <w:link w:val="Nagwek"/>
    <w:locked/>
    <w:rsid w:val="00281D06"/>
    <w:rPr>
      <w:sz w:val="24"/>
      <w:szCs w:val="24"/>
      <w:lang w:val="pl-PL" w:eastAsia="pl-PL"/>
    </w:rPr>
  </w:style>
  <w:style w:type="paragraph" w:styleId="Stopka">
    <w:name w:val="footer"/>
    <w:basedOn w:val="Normalny"/>
    <w:link w:val="StopkaZnak"/>
    <w:uiPriority w:val="99"/>
    <w:rsid w:val="0002633B"/>
    <w:pPr>
      <w:tabs>
        <w:tab w:val="center" w:pos="4536"/>
        <w:tab w:val="right" w:pos="9072"/>
      </w:tabs>
    </w:pPr>
  </w:style>
  <w:style w:type="character" w:customStyle="1" w:styleId="StopkaZnak">
    <w:name w:val="Stopka Znak"/>
    <w:link w:val="Stopka"/>
    <w:uiPriority w:val="99"/>
    <w:semiHidden/>
    <w:locked/>
    <w:rPr>
      <w:sz w:val="24"/>
      <w:szCs w:val="24"/>
    </w:rPr>
  </w:style>
  <w:style w:type="character" w:customStyle="1" w:styleId="FootnoteTextChar1">
    <w:name w:val="Footnote Text Char1"/>
    <w:aliases w:val="Char Char Char1,Footnote Text2 Char1,Footnote Text11 Char1,ALTS FOOTNOTE11 Char1,Footnote Text Char111 Char1,Footnote Text Char Char Char11 Char1,Footnote Text Char1 Char Char Char Char11 Char1,ALTS FOOTNOTE2 Char,Footnote Text1 Cha"/>
    <w:uiPriority w:val="99"/>
    <w:semiHidden/>
    <w:locked/>
    <w:rsid w:val="00CB5FCA"/>
    <w:rPr>
      <w:rFonts w:ascii="Calibri" w:hAnsi="Calibri" w:cs="Calibri"/>
      <w:lang w:val="pl-PL" w:eastAsia="en-US"/>
    </w:rPr>
  </w:style>
  <w:style w:type="character" w:styleId="Numerstrony">
    <w:name w:val="page number"/>
    <w:basedOn w:val="Domylnaczcionkaakapitu"/>
    <w:uiPriority w:val="99"/>
    <w:rsid w:val="00F41893"/>
  </w:style>
  <w:style w:type="character" w:customStyle="1" w:styleId="ZnakZnak3">
    <w:name w:val="Znak Znak3"/>
    <w:uiPriority w:val="99"/>
    <w:rsid w:val="00281D06"/>
    <w:rPr>
      <w:lang w:val="pl-PL" w:eastAsia="pl-PL"/>
    </w:rPr>
  </w:style>
  <w:style w:type="paragraph" w:customStyle="1" w:styleId="Akapitzlist10">
    <w:name w:val="Akapit z listą10"/>
    <w:basedOn w:val="Normalny"/>
    <w:uiPriority w:val="99"/>
    <w:rsid w:val="00604BE7"/>
    <w:pPr>
      <w:spacing w:after="200" w:line="276" w:lineRule="auto"/>
      <w:ind w:left="720"/>
    </w:pPr>
    <w:rPr>
      <w:rFonts w:ascii="Calibri" w:hAnsi="Calibri" w:cs="Calibri"/>
      <w:sz w:val="22"/>
      <w:szCs w:val="22"/>
      <w:lang w:eastAsia="en-US"/>
    </w:rPr>
  </w:style>
  <w:style w:type="paragraph" w:customStyle="1" w:styleId="MBtekst">
    <w:name w:val="MB_tekst"/>
    <w:basedOn w:val="Normalny"/>
    <w:uiPriority w:val="99"/>
    <w:rsid w:val="00604BE7"/>
    <w:pPr>
      <w:spacing w:line="312" w:lineRule="auto"/>
      <w:jc w:val="both"/>
    </w:pPr>
    <w:rPr>
      <w:rFonts w:ascii="Arial" w:hAnsi="Arial" w:cs="Arial"/>
      <w:color w:val="000000"/>
      <w:sz w:val="22"/>
      <w:szCs w:val="22"/>
    </w:rPr>
  </w:style>
  <w:style w:type="paragraph" w:customStyle="1" w:styleId="msolistparagraph0">
    <w:name w:val="msolistparagraph"/>
    <w:basedOn w:val="Normalny"/>
    <w:uiPriority w:val="99"/>
    <w:rsid w:val="0033230B"/>
    <w:pPr>
      <w:ind w:left="720"/>
    </w:pPr>
    <w:rPr>
      <w:rFonts w:ascii="Calibri" w:hAnsi="Calibri" w:cs="Calibri"/>
      <w:sz w:val="22"/>
      <w:szCs w:val="22"/>
    </w:rPr>
  </w:style>
  <w:style w:type="paragraph" w:customStyle="1" w:styleId="TPtre">
    <w:name w:val="TP treść"/>
    <w:basedOn w:val="Normalny"/>
    <w:uiPriority w:val="99"/>
    <w:rsid w:val="000C5400"/>
    <w:pPr>
      <w:spacing w:line="320" w:lineRule="exact"/>
    </w:pPr>
    <w:rPr>
      <w:rFonts w:ascii="Arial" w:hAnsi="Arial" w:cs="Arial"/>
      <w:sz w:val="22"/>
      <w:szCs w:val="22"/>
    </w:rPr>
  </w:style>
  <w:style w:type="paragraph" w:customStyle="1" w:styleId="Akapitzlist2">
    <w:name w:val="Akapit z listą2"/>
    <w:basedOn w:val="Normalny"/>
    <w:uiPriority w:val="99"/>
    <w:rsid w:val="000C5400"/>
    <w:pPr>
      <w:spacing w:line="276" w:lineRule="auto"/>
      <w:ind w:left="720"/>
    </w:pPr>
    <w:rPr>
      <w:lang w:eastAsia="en-US"/>
    </w:rPr>
  </w:style>
  <w:style w:type="character" w:customStyle="1" w:styleId="Teksttreci3">
    <w:name w:val="Tekst treści (3)_"/>
    <w:link w:val="Teksttreci30"/>
    <w:uiPriority w:val="99"/>
    <w:locked/>
    <w:rsid w:val="00520C20"/>
    <w:rPr>
      <w:sz w:val="24"/>
      <w:szCs w:val="24"/>
      <w:shd w:val="clear" w:color="auto" w:fill="FFFFFF"/>
    </w:rPr>
  </w:style>
  <w:style w:type="paragraph" w:customStyle="1" w:styleId="Teksttreci30">
    <w:name w:val="Tekst treści (3)"/>
    <w:basedOn w:val="Normalny"/>
    <w:link w:val="Teksttreci3"/>
    <w:uiPriority w:val="99"/>
    <w:rsid w:val="00520C20"/>
    <w:pPr>
      <w:shd w:val="clear" w:color="auto" w:fill="FFFFFF"/>
      <w:spacing w:after="300" w:line="240" w:lineRule="atLeast"/>
    </w:pPr>
    <w:rPr>
      <w:lang w:val="x-none" w:eastAsia="x-none"/>
    </w:rPr>
  </w:style>
  <w:style w:type="character" w:customStyle="1" w:styleId="Teksttreci3Pogrubienie">
    <w:name w:val="Tekst treści (3) + Pogrubienie"/>
    <w:uiPriority w:val="99"/>
    <w:rsid w:val="00520C20"/>
    <w:rPr>
      <w:b/>
      <w:bCs/>
      <w:sz w:val="24"/>
      <w:szCs w:val="24"/>
      <w:shd w:val="clear" w:color="auto" w:fill="FFFFFF"/>
    </w:rPr>
  </w:style>
  <w:style w:type="character" w:customStyle="1" w:styleId="Teksttreci3Pogrubienie2">
    <w:name w:val="Tekst treści (3) + Pogrubienie2"/>
    <w:uiPriority w:val="99"/>
    <w:rsid w:val="00520C20"/>
    <w:rPr>
      <w:b/>
      <w:bCs/>
      <w:sz w:val="24"/>
      <w:szCs w:val="24"/>
      <w:shd w:val="clear" w:color="auto" w:fill="FFFFFF"/>
    </w:rPr>
  </w:style>
  <w:style w:type="character" w:customStyle="1" w:styleId="Teksttreci3Pogrubienie1">
    <w:name w:val="Tekst treści (3) + Pogrubienie1"/>
    <w:uiPriority w:val="99"/>
    <w:rsid w:val="00520C20"/>
    <w:rPr>
      <w:b/>
      <w:bCs/>
      <w:sz w:val="24"/>
      <w:szCs w:val="24"/>
      <w:u w:val="single"/>
      <w:shd w:val="clear" w:color="auto" w:fill="FFFFFF"/>
    </w:rPr>
  </w:style>
  <w:style w:type="character" w:customStyle="1" w:styleId="Teksttreci">
    <w:name w:val="Tekst treści_"/>
    <w:link w:val="Teksttreci0"/>
    <w:uiPriority w:val="99"/>
    <w:locked/>
    <w:rsid w:val="00185716"/>
    <w:rPr>
      <w:rFonts w:ascii="Arial" w:hAnsi="Arial" w:cs="Arial"/>
      <w:sz w:val="19"/>
      <w:szCs w:val="19"/>
      <w:shd w:val="clear" w:color="auto" w:fill="FFFFFF"/>
    </w:rPr>
  </w:style>
  <w:style w:type="paragraph" w:customStyle="1" w:styleId="Teksttreci0">
    <w:name w:val="Tekst treści"/>
    <w:basedOn w:val="Normalny"/>
    <w:link w:val="Teksttreci"/>
    <w:uiPriority w:val="99"/>
    <w:rsid w:val="00185716"/>
    <w:pPr>
      <w:shd w:val="clear" w:color="auto" w:fill="FFFFFF"/>
      <w:spacing w:before="240" w:after="240" w:line="240" w:lineRule="atLeast"/>
      <w:ind w:hanging="1300"/>
    </w:pPr>
    <w:rPr>
      <w:rFonts w:ascii="Arial" w:hAnsi="Arial"/>
      <w:sz w:val="19"/>
      <w:szCs w:val="19"/>
      <w:lang w:val="x-none" w:eastAsia="x-none"/>
    </w:rPr>
  </w:style>
  <w:style w:type="paragraph" w:customStyle="1" w:styleId="mbtekst0">
    <w:name w:val="mbtekst"/>
    <w:basedOn w:val="Normalny"/>
    <w:uiPriority w:val="99"/>
    <w:rsid w:val="007E4C3A"/>
    <w:pPr>
      <w:spacing w:line="312" w:lineRule="auto"/>
      <w:jc w:val="both"/>
    </w:pPr>
    <w:rPr>
      <w:rFonts w:ascii="Arial" w:hAnsi="Arial" w:cs="Arial"/>
      <w:color w:val="000000"/>
      <w:sz w:val="22"/>
      <w:szCs w:val="22"/>
    </w:rPr>
  </w:style>
  <w:style w:type="paragraph" w:customStyle="1" w:styleId="tyt">
    <w:name w:val="tyt"/>
    <w:basedOn w:val="Normalny"/>
    <w:uiPriority w:val="99"/>
    <w:rsid w:val="00964AA3"/>
    <w:pPr>
      <w:spacing w:before="100" w:beforeAutospacing="1" w:after="100" w:afterAutospacing="1"/>
    </w:pPr>
  </w:style>
  <w:style w:type="character" w:customStyle="1" w:styleId="luchili0">
    <w:name w:val="luchili"/>
    <w:basedOn w:val="Domylnaczcionkaakapitu"/>
    <w:uiPriority w:val="99"/>
    <w:rsid w:val="00433367"/>
  </w:style>
  <w:style w:type="paragraph" w:customStyle="1" w:styleId="Pa0">
    <w:name w:val="Pa0"/>
    <w:basedOn w:val="Normalny"/>
    <w:next w:val="Normalny"/>
    <w:uiPriority w:val="99"/>
    <w:rsid w:val="00FB27CC"/>
    <w:pPr>
      <w:autoSpaceDE w:val="0"/>
      <w:autoSpaceDN w:val="0"/>
      <w:adjustRightInd w:val="0"/>
      <w:spacing w:line="214" w:lineRule="atLeast"/>
    </w:pPr>
  </w:style>
  <w:style w:type="paragraph" w:customStyle="1" w:styleId="ListParagraph0">
    <w:name w:val="List Paragraph0"/>
    <w:basedOn w:val="Normalny"/>
    <w:qFormat/>
    <w:rsid w:val="00180874"/>
    <w:pPr>
      <w:spacing w:after="200" w:line="276" w:lineRule="auto"/>
      <w:ind w:left="720"/>
      <w:contextualSpacing/>
    </w:pPr>
    <w:rPr>
      <w:rFonts w:ascii="Calibri" w:eastAsia="Calibri" w:hAnsi="Calibri"/>
      <w:sz w:val="22"/>
      <w:szCs w:val="22"/>
      <w:lang w:eastAsia="en-US"/>
    </w:rPr>
  </w:style>
  <w:style w:type="character" w:customStyle="1" w:styleId="luchililuchiliselected">
    <w:name w:val="luc_hili luc_hili_selected"/>
    <w:basedOn w:val="Domylnaczcionkaakapitu"/>
    <w:rsid w:val="005E0983"/>
  </w:style>
  <w:style w:type="character" w:customStyle="1" w:styleId="achruszcz">
    <w:name w:val="achruszcz"/>
    <w:semiHidden/>
    <w:rsid w:val="009F77ED"/>
    <w:rPr>
      <w:rFonts w:ascii="Arial" w:hAnsi="Arial" w:cs="Arial"/>
      <w:color w:val="auto"/>
      <w:sz w:val="20"/>
      <w:szCs w:val="20"/>
    </w:rPr>
  </w:style>
  <w:style w:type="character" w:customStyle="1" w:styleId="TeksttreciPogrubienie1">
    <w:name w:val="Tekst treści + Pogrubienie1"/>
    <w:rsid w:val="00BD78D0"/>
    <w:rPr>
      <w:rFonts w:ascii="Arial" w:hAnsi="Arial" w:cs="Arial"/>
      <w:b/>
      <w:bCs/>
      <w:spacing w:val="0"/>
      <w:sz w:val="19"/>
      <w:szCs w:val="19"/>
      <w:lang w:bidi="ar-SA"/>
    </w:rPr>
  </w:style>
  <w:style w:type="paragraph" w:customStyle="1" w:styleId="ListParagraph2">
    <w:name w:val="List Paragraph2"/>
    <w:basedOn w:val="Normalny"/>
    <w:rsid w:val="001142A7"/>
    <w:pPr>
      <w:spacing w:after="200" w:line="276" w:lineRule="auto"/>
      <w:ind w:left="720"/>
      <w:contextualSpacing/>
    </w:pPr>
    <w:rPr>
      <w:rFonts w:ascii="Calibri" w:hAnsi="Calibri"/>
      <w:sz w:val="22"/>
      <w:szCs w:val="22"/>
      <w:lang w:eastAsia="en-US"/>
    </w:rPr>
  </w:style>
  <w:style w:type="character" w:customStyle="1" w:styleId="CommentTextChar">
    <w:name w:val="Comment Text Char"/>
    <w:locked/>
    <w:rsid w:val="003D6DC8"/>
    <w:rPr>
      <w:rFonts w:cs="Times New Roman"/>
      <w:lang w:val="pl-PL" w:eastAsia="pl-PL" w:bidi="ar-SA"/>
    </w:rPr>
  </w:style>
  <w:style w:type="paragraph" w:customStyle="1" w:styleId="ListParagraph1">
    <w:name w:val="List Paragraph1"/>
    <w:basedOn w:val="Normalny"/>
    <w:rsid w:val="00DE382F"/>
    <w:pPr>
      <w:spacing w:after="200" w:line="276" w:lineRule="auto"/>
      <w:ind w:left="720"/>
      <w:contextualSpacing/>
    </w:pPr>
    <w:rPr>
      <w:rFonts w:ascii="Calibri" w:hAnsi="Calibri"/>
      <w:sz w:val="22"/>
      <w:szCs w:val="22"/>
      <w:lang w:eastAsia="en-US"/>
    </w:rPr>
  </w:style>
  <w:style w:type="paragraph" w:customStyle="1" w:styleId="litnow">
    <w:name w:val="litnow"/>
    <w:basedOn w:val="Normalny"/>
    <w:rsid w:val="00D77958"/>
    <w:pPr>
      <w:spacing w:before="100" w:beforeAutospacing="1" w:after="100" w:afterAutospacing="1"/>
    </w:pPr>
  </w:style>
  <w:style w:type="paragraph" w:customStyle="1" w:styleId="lit1">
    <w:name w:val="lit1"/>
    <w:basedOn w:val="Normalny"/>
    <w:rsid w:val="00D77958"/>
    <w:pPr>
      <w:spacing w:before="100" w:beforeAutospacing="1" w:after="100" w:afterAutospacing="1"/>
    </w:pPr>
  </w:style>
  <w:style w:type="paragraph" w:customStyle="1" w:styleId="nowust">
    <w:name w:val="nowust"/>
    <w:basedOn w:val="Normalny"/>
    <w:rsid w:val="00D77958"/>
    <w:pPr>
      <w:spacing w:before="100" w:beforeAutospacing="1" w:after="100" w:afterAutospacing="1"/>
    </w:pPr>
  </w:style>
  <w:style w:type="paragraph" w:customStyle="1" w:styleId="nowpkt">
    <w:name w:val="nowpkt"/>
    <w:basedOn w:val="Normalny"/>
    <w:rsid w:val="00624BD2"/>
    <w:pPr>
      <w:spacing w:before="100" w:beforeAutospacing="1" w:after="100" w:afterAutospacing="1"/>
    </w:pPr>
  </w:style>
  <w:style w:type="paragraph" w:customStyle="1" w:styleId="punkt">
    <w:name w:val="punkt"/>
    <w:basedOn w:val="Normalny"/>
    <w:rsid w:val="00624BD2"/>
    <w:pPr>
      <w:spacing w:before="100" w:beforeAutospacing="1" w:after="100" w:afterAutospacing="1"/>
    </w:pPr>
  </w:style>
  <w:style w:type="paragraph" w:customStyle="1" w:styleId="nowart">
    <w:name w:val="nowart"/>
    <w:basedOn w:val="Normalny"/>
    <w:rsid w:val="00F0029B"/>
    <w:pPr>
      <w:spacing w:before="100" w:beforeAutospacing="1" w:after="100" w:afterAutospacing="1"/>
    </w:pPr>
  </w:style>
  <w:style w:type="paragraph" w:customStyle="1" w:styleId="litera">
    <w:name w:val="litera"/>
    <w:basedOn w:val="Normalny"/>
    <w:rsid w:val="0076198B"/>
    <w:pPr>
      <w:spacing w:before="100" w:beforeAutospacing="1" w:after="100" w:afterAutospacing="1"/>
    </w:pPr>
  </w:style>
  <w:style w:type="paragraph" w:customStyle="1" w:styleId="pktnow">
    <w:name w:val="pktnow"/>
    <w:basedOn w:val="Normalny"/>
    <w:rsid w:val="00400F3F"/>
    <w:pPr>
      <w:spacing w:before="100" w:beforeAutospacing="1" w:after="100" w:afterAutospacing="1"/>
    </w:pPr>
  </w:style>
  <w:style w:type="paragraph" w:customStyle="1" w:styleId="w2zmart">
    <w:name w:val="w2zmart"/>
    <w:basedOn w:val="Normalny"/>
    <w:rsid w:val="00823446"/>
    <w:pPr>
      <w:spacing w:before="100" w:beforeAutospacing="1" w:after="100" w:afterAutospacing="1"/>
    </w:pPr>
  </w:style>
  <w:style w:type="paragraph" w:customStyle="1" w:styleId="nowlit">
    <w:name w:val="nowlit"/>
    <w:basedOn w:val="Normalny"/>
    <w:rsid w:val="00935F01"/>
    <w:pPr>
      <w:spacing w:before="100" w:beforeAutospacing="1" w:after="100" w:afterAutospacing="1"/>
    </w:pPr>
  </w:style>
  <w:style w:type="paragraph" w:customStyle="1" w:styleId="w4ustart">
    <w:name w:val="w4ustart"/>
    <w:basedOn w:val="Normalny"/>
    <w:rsid w:val="00010709"/>
    <w:pPr>
      <w:spacing w:before="100" w:beforeAutospacing="1" w:after="100" w:afterAutospacing="1"/>
    </w:pPr>
  </w:style>
  <w:style w:type="paragraph" w:customStyle="1" w:styleId="nagart">
    <w:name w:val="nagart"/>
    <w:basedOn w:val="Normalny"/>
    <w:rsid w:val="0038607A"/>
    <w:pPr>
      <w:spacing w:before="100" w:beforeAutospacing="1" w:after="100" w:afterAutospacing="1"/>
    </w:pPr>
  </w:style>
  <w:style w:type="paragraph" w:customStyle="1" w:styleId="ustep">
    <w:name w:val="ustep"/>
    <w:basedOn w:val="Normalny"/>
    <w:rsid w:val="0038607A"/>
    <w:pPr>
      <w:spacing w:before="100" w:beforeAutospacing="1" w:after="100" w:afterAutospacing="1"/>
    </w:pPr>
  </w:style>
  <w:style w:type="paragraph" w:customStyle="1" w:styleId="pkt">
    <w:name w:val="pkt"/>
    <w:basedOn w:val="Normalny"/>
    <w:rsid w:val="008D63AE"/>
    <w:pPr>
      <w:spacing w:before="100" w:beforeAutospacing="1" w:after="100" w:afterAutospacing="1"/>
    </w:pPr>
  </w:style>
  <w:style w:type="paragraph" w:customStyle="1" w:styleId="ust">
    <w:name w:val="ust"/>
    <w:basedOn w:val="Normalny"/>
    <w:rsid w:val="008D63AE"/>
    <w:pPr>
      <w:spacing w:before="100" w:beforeAutospacing="1" w:after="100" w:afterAutospacing="1"/>
    </w:pPr>
  </w:style>
  <w:style w:type="paragraph" w:customStyle="1" w:styleId="art">
    <w:name w:val="art"/>
    <w:basedOn w:val="Normalny"/>
    <w:rsid w:val="00354D22"/>
    <w:pPr>
      <w:spacing w:before="100" w:beforeAutospacing="1" w:after="100" w:afterAutospacing="1"/>
    </w:pPr>
  </w:style>
  <w:style w:type="paragraph" w:customStyle="1" w:styleId="ust2art">
    <w:name w:val="ust2art"/>
    <w:basedOn w:val="Normalny"/>
    <w:rsid w:val="00C8613E"/>
    <w:pPr>
      <w:spacing w:before="100" w:beforeAutospacing="1" w:after="100" w:afterAutospacing="1"/>
    </w:pPr>
  </w:style>
  <w:style w:type="paragraph" w:customStyle="1" w:styleId="w5pktart">
    <w:name w:val="w5pktart"/>
    <w:basedOn w:val="Normalny"/>
    <w:rsid w:val="00F92CB1"/>
    <w:pPr>
      <w:spacing w:before="100" w:beforeAutospacing="1" w:after="100" w:afterAutospacing="1"/>
    </w:pPr>
  </w:style>
  <w:style w:type="paragraph" w:customStyle="1" w:styleId="zlitlitwpktzmlitwpktliter">
    <w:name w:val="zlitlitwpktzmlitwpktliter"/>
    <w:basedOn w:val="Normalny"/>
    <w:rsid w:val="00074745"/>
    <w:pPr>
      <w:spacing w:before="100" w:beforeAutospacing="1" w:after="100" w:afterAutospacing="1"/>
    </w:pPr>
  </w:style>
  <w:style w:type="paragraph" w:customStyle="1" w:styleId="zlittirwpktzmtirwpktliter">
    <w:name w:val="zlittirwpktzmtirwpktliter"/>
    <w:basedOn w:val="Normalny"/>
    <w:rsid w:val="00074745"/>
    <w:pPr>
      <w:spacing w:before="100" w:beforeAutospacing="1" w:after="100" w:afterAutospacing="1"/>
    </w:pPr>
  </w:style>
  <w:style w:type="paragraph" w:customStyle="1" w:styleId="tir">
    <w:name w:val="tir"/>
    <w:basedOn w:val="Normalny"/>
    <w:rsid w:val="00074745"/>
    <w:pPr>
      <w:spacing w:before="100" w:beforeAutospacing="1" w:after="100" w:afterAutospacing="1"/>
    </w:pPr>
  </w:style>
  <w:style w:type="paragraph" w:customStyle="1" w:styleId="tekstjed">
    <w:name w:val="tekstjed"/>
    <w:basedOn w:val="Normalny"/>
    <w:rsid w:val="00522768"/>
    <w:pPr>
      <w:spacing w:before="100" w:beforeAutospacing="1" w:after="100" w:afterAutospacing="1"/>
    </w:pPr>
  </w:style>
  <w:style w:type="character" w:customStyle="1" w:styleId="luchililuchiliselected0">
    <w:name w:val="luchililuchiliselected"/>
    <w:basedOn w:val="Domylnaczcionkaakapitu"/>
    <w:rsid w:val="004E3713"/>
  </w:style>
  <w:style w:type="paragraph" w:customStyle="1" w:styleId="nagjed">
    <w:name w:val="nagjed"/>
    <w:basedOn w:val="Normalny"/>
    <w:rsid w:val="005159F8"/>
    <w:pPr>
      <w:spacing w:before="100" w:beforeAutospacing="1" w:after="100" w:afterAutospacing="1"/>
    </w:pPr>
  </w:style>
  <w:style w:type="paragraph" w:customStyle="1" w:styleId="nagjed0">
    <w:name w:val="nag_jed"/>
    <w:rsid w:val="0068587C"/>
    <w:pPr>
      <w:spacing w:before="60" w:after="60"/>
      <w:jc w:val="center"/>
      <w:outlineLvl w:val="0"/>
    </w:pPr>
    <w:rPr>
      <w:rFonts w:eastAsia="Calibri"/>
      <w:b/>
      <w:sz w:val="24"/>
      <w:szCs w:val="22"/>
      <w:lang w:eastAsia="en-US"/>
    </w:rPr>
  </w:style>
  <w:style w:type="paragraph" w:customStyle="1" w:styleId="tirnow">
    <w:name w:val="tirnow"/>
    <w:basedOn w:val="Normalny"/>
    <w:rsid w:val="008711C4"/>
    <w:pPr>
      <w:spacing w:before="100" w:beforeAutospacing="1" w:after="100" w:afterAutospacing="1"/>
    </w:pPr>
  </w:style>
  <w:style w:type="paragraph" w:customStyle="1" w:styleId="pktpunkt">
    <w:name w:val="pktpunkt"/>
    <w:basedOn w:val="Normalny"/>
    <w:rsid w:val="00AE0BBF"/>
    <w:pPr>
      <w:spacing w:before="100" w:beforeAutospacing="1" w:after="100" w:afterAutospacing="1"/>
    </w:pPr>
  </w:style>
  <w:style w:type="character" w:customStyle="1" w:styleId="st">
    <w:name w:val="st"/>
    <w:basedOn w:val="Domylnaczcionkaakapitu"/>
    <w:rsid w:val="00CA6923"/>
  </w:style>
  <w:style w:type="paragraph" w:customStyle="1" w:styleId="ti-section-1">
    <w:name w:val="ti-section-1"/>
    <w:basedOn w:val="Normalny"/>
    <w:rsid w:val="004741A4"/>
    <w:pPr>
      <w:spacing w:before="100" w:beforeAutospacing="1" w:after="100" w:afterAutospacing="1"/>
    </w:pPr>
  </w:style>
  <w:style w:type="paragraph" w:customStyle="1" w:styleId="ti-section-2">
    <w:name w:val="ti-section-2"/>
    <w:basedOn w:val="Normalny"/>
    <w:rsid w:val="004741A4"/>
    <w:pPr>
      <w:spacing w:before="100" w:beforeAutospacing="1" w:after="100" w:afterAutospacing="1"/>
    </w:pPr>
  </w:style>
  <w:style w:type="character" w:customStyle="1" w:styleId="bold">
    <w:name w:val="bold"/>
    <w:rsid w:val="004741A4"/>
  </w:style>
  <w:style w:type="paragraph" w:customStyle="1" w:styleId="ti-art">
    <w:name w:val="ti-art"/>
    <w:basedOn w:val="Normalny"/>
    <w:rsid w:val="004741A4"/>
    <w:pPr>
      <w:spacing w:before="100" w:beforeAutospacing="1" w:after="100" w:afterAutospacing="1"/>
    </w:pPr>
  </w:style>
  <w:style w:type="paragraph" w:customStyle="1" w:styleId="sti-art">
    <w:name w:val="sti-art"/>
    <w:basedOn w:val="Normalny"/>
    <w:rsid w:val="004741A4"/>
    <w:pPr>
      <w:spacing w:before="100" w:beforeAutospacing="1" w:after="100" w:afterAutospacing="1"/>
    </w:pPr>
  </w:style>
  <w:style w:type="paragraph" w:customStyle="1" w:styleId="Normalny1">
    <w:name w:val="Normalny1"/>
    <w:basedOn w:val="Normalny"/>
    <w:rsid w:val="004741A4"/>
    <w:pPr>
      <w:spacing w:before="100" w:beforeAutospacing="1" w:after="100" w:afterAutospacing="1"/>
    </w:pPr>
  </w:style>
  <w:style w:type="paragraph" w:customStyle="1" w:styleId="ARTartustawynprozporzdzenia">
    <w:name w:val="ART(§) – art. ustawy (§ np. rozporządzenia)"/>
    <w:uiPriority w:val="11"/>
    <w:qFormat/>
    <w:rsid w:val="004741A4"/>
    <w:pPr>
      <w:suppressAutoHyphens/>
      <w:autoSpaceDE w:val="0"/>
      <w:autoSpaceDN w:val="0"/>
      <w:adjustRightInd w:val="0"/>
      <w:spacing w:before="120" w:line="360" w:lineRule="auto"/>
      <w:ind w:firstLine="510"/>
      <w:jc w:val="both"/>
    </w:pPr>
    <w:rPr>
      <w:rFonts w:ascii="Times" w:hAnsi="Times" w:cs="Arial"/>
      <w:sz w:val="24"/>
    </w:rPr>
  </w:style>
  <w:style w:type="paragraph" w:customStyle="1" w:styleId="PKTpunkt0">
    <w:name w:val="PKT – punkt"/>
    <w:uiPriority w:val="13"/>
    <w:qFormat/>
    <w:rsid w:val="004741A4"/>
    <w:pPr>
      <w:spacing w:line="360" w:lineRule="auto"/>
      <w:ind w:left="510" w:hanging="510"/>
      <w:jc w:val="both"/>
    </w:pPr>
    <w:rPr>
      <w:rFonts w:ascii="Times" w:hAnsi="Times" w:cs="Arial"/>
      <w:bCs/>
      <w:sz w:val="24"/>
    </w:rPr>
  </w:style>
  <w:style w:type="paragraph" w:customStyle="1" w:styleId="LITlitera">
    <w:name w:val="LIT – litera"/>
    <w:basedOn w:val="PKTpunkt0"/>
    <w:uiPriority w:val="14"/>
    <w:qFormat/>
    <w:rsid w:val="004741A4"/>
    <w:pPr>
      <w:ind w:left="986" w:hanging="476"/>
    </w:pPr>
  </w:style>
  <w:style w:type="paragraph" w:customStyle="1" w:styleId="USTustnpkodeksu">
    <w:name w:val="UST(§) – ust. (§ np. kodeksu)"/>
    <w:basedOn w:val="ARTartustawynprozporzdzenia"/>
    <w:link w:val="USTustnpkodeksuZnak"/>
    <w:uiPriority w:val="12"/>
    <w:qFormat/>
    <w:rsid w:val="004741A4"/>
    <w:pPr>
      <w:spacing w:before="0"/>
    </w:pPr>
    <w:rPr>
      <w:bCs/>
    </w:rPr>
  </w:style>
  <w:style w:type="character" w:customStyle="1" w:styleId="USTustnpkodeksuZnak">
    <w:name w:val="UST(§) – ust. (§ np. kodeksu) Znak"/>
    <w:link w:val="USTustnpkodeksu"/>
    <w:uiPriority w:val="12"/>
    <w:rsid w:val="00F831E6"/>
    <w:rPr>
      <w:rFonts w:ascii="Times" w:hAnsi="Times" w:cs="Arial"/>
      <w:bCs/>
      <w:sz w:val="24"/>
    </w:rPr>
  </w:style>
  <w:style w:type="paragraph" w:styleId="Akapitzlist">
    <w:name w:val="List Paragraph"/>
    <w:basedOn w:val="Normalny"/>
    <w:uiPriority w:val="34"/>
    <w:qFormat/>
    <w:rsid w:val="00F176F0"/>
    <w:pPr>
      <w:ind w:left="720"/>
      <w:contextualSpacing/>
    </w:pPr>
  </w:style>
  <w:style w:type="paragraph" w:customStyle="1" w:styleId="CZWSPPKTczwsplnapunktw">
    <w:name w:val="CZ_WSP_PKT – część wspólna punktów"/>
    <w:basedOn w:val="PKTpunkt0"/>
    <w:next w:val="USTustnpkodeksu"/>
    <w:uiPriority w:val="16"/>
    <w:qFormat/>
    <w:rsid w:val="00DD3AB4"/>
    <w:pPr>
      <w:ind w:left="0" w:firstLine="0"/>
    </w:pPr>
    <w:rPr>
      <w:rFonts w:eastAsiaTheme="minorEastAsia"/>
    </w:rPr>
  </w:style>
  <w:style w:type="paragraph" w:customStyle="1" w:styleId="ROZDZODDZPRZEDMprzedmiotregulacjirozdziauluboddziau">
    <w:name w:val="ROZDZ(ODDZ)_PRZEDM – przedmiot regulacji rozdziału lub oddziału"/>
    <w:next w:val="ARTartustawynprozporzdzenia"/>
    <w:uiPriority w:val="10"/>
    <w:qFormat/>
    <w:rsid w:val="00DD3AB4"/>
    <w:pPr>
      <w:keepNext/>
      <w:suppressAutoHyphens/>
      <w:spacing w:before="120" w:line="360" w:lineRule="auto"/>
      <w:jc w:val="center"/>
    </w:pPr>
    <w:rPr>
      <w:rFonts w:ascii="Times" w:eastAsiaTheme="minorEastAsia" w:hAnsi="Times"/>
      <w:b/>
      <w:bCs/>
      <w:sz w:val="24"/>
      <w:szCs w:val="24"/>
    </w:rPr>
  </w:style>
  <w:style w:type="character" w:customStyle="1" w:styleId="Ppogrubienie">
    <w:name w:val="_P_ – pogrubienie"/>
    <w:uiPriority w:val="1"/>
    <w:qFormat/>
    <w:rsid w:val="00DD1177"/>
    <w:rPr>
      <w:rFonts w:cs="Times New Roman"/>
      <w:b/>
    </w:rPr>
  </w:style>
  <w:style w:type="character" w:customStyle="1" w:styleId="normaltextrun">
    <w:name w:val="normaltextrun"/>
    <w:basedOn w:val="Domylnaczcionkaakapitu"/>
    <w:rsid w:val="00A37625"/>
  </w:style>
  <w:style w:type="character" w:customStyle="1" w:styleId="eop">
    <w:name w:val="eop"/>
    <w:basedOn w:val="Domylnaczcionkaakapitu"/>
    <w:rsid w:val="00A37625"/>
  </w:style>
  <w:style w:type="paragraph" w:customStyle="1" w:styleId="ROZDZODDZOZNoznaczenierozdziauluboddziau">
    <w:name w:val="ROZDZ(ODDZ)_OZN – oznaczenie rozdziału lub oddziału"/>
    <w:next w:val="ARTartustawynprozporzdzenia"/>
    <w:uiPriority w:val="10"/>
    <w:qFormat/>
    <w:rsid w:val="00376ABA"/>
    <w:pPr>
      <w:keepNext/>
      <w:suppressAutoHyphens/>
      <w:spacing w:before="120" w:line="360" w:lineRule="auto"/>
      <w:jc w:val="center"/>
    </w:pPr>
    <w:rPr>
      <w:rFonts w:ascii="Times" w:eastAsiaTheme="minorEastAsia" w:hAnsi="Times" w:cs="Arial"/>
      <w:bCs/>
      <w:kern w:val="24"/>
      <w:sz w:val="24"/>
      <w:szCs w:val="24"/>
    </w:rPr>
  </w:style>
  <w:style w:type="paragraph" w:customStyle="1" w:styleId="CZWSPLITczwsplnaliter">
    <w:name w:val="CZ_WSP_LIT – część wspólna liter"/>
    <w:basedOn w:val="LITlitera"/>
    <w:next w:val="USTustnpkodeksu"/>
    <w:uiPriority w:val="17"/>
    <w:qFormat/>
    <w:rsid w:val="009C5A3E"/>
    <w:pPr>
      <w:ind w:left="510" w:firstLine="0"/>
    </w:pPr>
    <w:rPr>
      <w:rFonts w:eastAsiaTheme="minorEastAsia"/>
      <w:szCs w:val="24"/>
    </w:rPr>
  </w:style>
  <w:style w:type="character" w:customStyle="1" w:styleId="highlight">
    <w:name w:val="highlight"/>
    <w:basedOn w:val="Domylnaczcionkaakapitu"/>
    <w:rsid w:val="00324728"/>
  </w:style>
  <w:style w:type="paragraph" w:customStyle="1" w:styleId="ZCYTzmcytatunpprzysigiartykuempunktem">
    <w:name w:val="Z/CYT – zm. cytatu np. przysięgi artykułem (punktem)"/>
    <w:basedOn w:val="Normalny"/>
    <w:next w:val="Normalny"/>
    <w:uiPriority w:val="37"/>
    <w:qFormat/>
    <w:rsid w:val="00AB7A12"/>
    <w:pPr>
      <w:suppressAutoHyphens/>
      <w:autoSpaceDE w:val="0"/>
      <w:autoSpaceDN w:val="0"/>
      <w:adjustRightInd w:val="0"/>
      <w:spacing w:line="360" w:lineRule="auto"/>
      <w:ind w:left="1021" w:right="510"/>
      <w:mirrorIndents/>
      <w:jc w:val="both"/>
    </w:pPr>
    <w:rPr>
      <w:rFonts w:ascii="Times" w:eastAsiaTheme="minorEastAsia" w:hAnsi="Times" w:cs="Arial"/>
      <w:bCs/>
      <w:szCs w:val="20"/>
    </w:rPr>
  </w:style>
  <w:style w:type="paragraph" w:customStyle="1" w:styleId="ZSKARNzmsankcjikarnejwszczeglnociwKodeksiekarnym">
    <w:name w:val="Z/S_KARN – zm. sankcji karnej w szczególności w Kodeksie karnym"/>
    <w:basedOn w:val="Normalny"/>
    <w:next w:val="PKTpunkt0"/>
    <w:uiPriority w:val="37"/>
    <w:qFormat/>
    <w:rsid w:val="00B17137"/>
    <w:pPr>
      <w:suppressAutoHyphens/>
      <w:autoSpaceDE w:val="0"/>
      <w:autoSpaceDN w:val="0"/>
      <w:adjustRightInd w:val="0"/>
      <w:spacing w:line="360" w:lineRule="auto"/>
      <w:ind w:left="1021"/>
      <w:jc w:val="both"/>
    </w:pPr>
    <w:rPr>
      <w:rFonts w:ascii="Times" w:eastAsiaTheme="minorEastAsia" w:hAnsi="Times" w:cs="Arial"/>
      <w:bCs/>
      <w:szCs w:val="20"/>
    </w:rPr>
  </w:style>
  <w:style w:type="paragraph" w:customStyle="1" w:styleId="ZCZWSPLITwPKTzmczciwsplitwpktartykuempunktem">
    <w:name w:val="Z/CZ_WSP_LIT_w_PKT – zm. części wsp. lit. w pkt artykułem (punktem)"/>
    <w:basedOn w:val="CZWSPLITczwsplnaliter"/>
    <w:next w:val="Normalny"/>
    <w:uiPriority w:val="35"/>
    <w:qFormat/>
    <w:rsid w:val="000D07AD"/>
    <w:pPr>
      <w:ind w:left="1021"/>
    </w:pPr>
  </w:style>
  <w:style w:type="paragraph" w:customStyle="1" w:styleId="TIRtiret">
    <w:name w:val="TIR – tiret"/>
    <w:basedOn w:val="LITlitera"/>
    <w:uiPriority w:val="15"/>
    <w:qFormat/>
    <w:rsid w:val="007A0A50"/>
    <w:pPr>
      <w:ind w:left="1384" w:hanging="397"/>
    </w:pPr>
    <w:rPr>
      <w:rFonts w:eastAsiaTheme="minorEastAsia"/>
    </w:rPr>
  </w:style>
  <w:style w:type="paragraph" w:customStyle="1" w:styleId="ZTIRwPKTzmtirwpktartykuempunktem">
    <w:name w:val="Z/TIR_w_PKT – zm. tir. w pkt artykułem (punktem)"/>
    <w:basedOn w:val="TIRtiret"/>
    <w:uiPriority w:val="33"/>
    <w:qFormat/>
    <w:rsid w:val="003B7480"/>
    <w:pPr>
      <w:ind w:left="1894"/>
    </w:pPr>
  </w:style>
  <w:style w:type="paragraph" w:customStyle="1" w:styleId="TYTDZOZNoznaczenietytuulubdziau">
    <w:name w:val="TYT(DZ)_OZN – oznaczenie tytułu lub działu"/>
    <w:next w:val="Normalny"/>
    <w:uiPriority w:val="9"/>
    <w:qFormat/>
    <w:rsid w:val="009857FA"/>
    <w:pPr>
      <w:keepNext/>
      <w:spacing w:before="120" w:line="360" w:lineRule="auto"/>
      <w:jc w:val="center"/>
    </w:pPr>
    <w:rPr>
      <w:rFonts w:ascii="Times" w:eastAsiaTheme="minorEastAsia" w:hAnsi="Times" w:cs="Arial"/>
      <w:bCs/>
      <w:caps/>
      <w:kern w:val="24"/>
      <w:sz w:val="24"/>
      <w:szCs w:val="24"/>
    </w:rPr>
  </w:style>
  <w:style w:type="paragraph" w:customStyle="1" w:styleId="TYTDZPRZEDMprzedmiotregulacjitytuulubdziau">
    <w:name w:val="TYT(DZ)_PRZEDM – przedmiot regulacji tytułu lub działu"/>
    <w:next w:val="ARTartustawynprozporzdzenia"/>
    <w:uiPriority w:val="9"/>
    <w:qFormat/>
    <w:rsid w:val="009857FA"/>
    <w:pPr>
      <w:keepNext/>
      <w:suppressAutoHyphens/>
      <w:spacing w:before="120" w:line="360" w:lineRule="auto"/>
      <w:jc w:val="center"/>
    </w:pPr>
    <w:rPr>
      <w:rFonts w:ascii="Times" w:hAnsi="Times"/>
      <w:b/>
      <w:sz w:val="24"/>
      <w:szCs w:val="26"/>
    </w:rPr>
  </w:style>
  <w:style w:type="paragraph" w:customStyle="1" w:styleId="Z2TIR2TIRzmpodwtirpodwjnymtiret">
    <w:name w:val="Z_2TIR/2TIR – zm. podw. tir. podwójnym tiret"/>
    <w:basedOn w:val="TIRtiret"/>
    <w:uiPriority w:val="85"/>
    <w:qFormat/>
    <w:rsid w:val="009857FA"/>
    <w:pPr>
      <w:ind w:left="217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279286">
      <w:bodyDiv w:val="1"/>
      <w:marLeft w:val="0"/>
      <w:marRight w:val="0"/>
      <w:marTop w:val="0"/>
      <w:marBottom w:val="0"/>
      <w:divBdr>
        <w:top w:val="none" w:sz="0" w:space="0" w:color="auto"/>
        <w:left w:val="none" w:sz="0" w:space="0" w:color="auto"/>
        <w:bottom w:val="none" w:sz="0" w:space="0" w:color="auto"/>
        <w:right w:val="none" w:sz="0" w:space="0" w:color="auto"/>
      </w:divBdr>
      <w:divsChild>
        <w:div w:id="274673457">
          <w:marLeft w:val="0"/>
          <w:marRight w:val="0"/>
          <w:marTop w:val="0"/>
          <w:marBottom w:val="0"/>
          <w:divBdr>
            <w:top w:val="none" w:sz="0" w:space="0" w:color="auto"/>
            <w:left w:val="none" w:sz="0" w:space="0" w:color="auto"/>
            <w:bottom w:val="none" w:sz="0" w:space="0" w:color="auto"/>
            <w:right w:val="none" w:sz="0" w:space="0" w:color="auto"/>
          </w:divBdr>
        </w:div>
        <w:div w:id="2013558612">
          <w:marLeft w:val="0"/>
          <w:marRight w:val="0"/>
          <w:marTop w:val="0"/>
          <w:marBottom w:val="0"/>
          <w:divBdr>
            <w:top w:val="none" w:sz="0" w:space="0" w:color="auto"/>
            <w:left w:val="none" w:sz="0" w:space="0" w:color="auto"/>
            <w:bottom w:val="none" w:sz="0" w:space="0" w:color="auto"/>
            <w:right w:val="none" w:sz="0" w:space="0" w:color="auto"/>
          </w:divBdr>
        </w:div>
      </w:divsChild>
    </w:div>
    <w:div w:id="19286254">
      <w:bodyDiv w:val="1"/>
      <w:marLeft w:val="0"/>
      <w:marRight w:val="0"/>
      <w:marTop w:val="0"/>
      <w:marBottom w:val="0"/>
      <w:divBdr>
        <w:top w:val="none" w:sz="0" w:space="0" w:color="auto"/>
        <w:left w:val="none" w:sz="0" w:space="0" w:color="auto"/>
        <w:bottom w:val="none" w:sz="0" w:space="0" w:color="auto"/>
        <w:right w:val="none" w:sz="0" w:space="0" w:color="auto"/>
      </w:divBdr>
      <w:divsChild>
        <w:div w:id="26419639">
          <w:marLeft w:val="0"/>
          <w:marRight w:val="0"/>
          <w:marTop w:val="0"/>
          <w:marBottom w:val="0"/>
          <w:divBdr>
            <w:top w:val="none" w:sz="0" w:space="0" w:color="auto"/>
            <w:left w:val="none" w:sz="0" w:space="0" w:color="auto"/>
            <w:bottom w:val="none" w:sz="0" w:space="0" w:color="auto"/>
            <w:right w:val="none" w:sz="0" w:space="0" w:color="auto"/>
          </w:divBdr>
        </w:div>
        <w:div w:id="43527093">
          <w:marLeft w:val="0"/>
          <w:marRight w:val="0"/>
          <w:marTop w:val="0"/>
          <w:marBottom w:val="0"/>
          <w:divBdr>
            <w:top w:val="none" w:sz="0" w:space="0" w:color="auto"/>
            <w:left w:val="none" w:sz="0" w:space="0" w:color="auto"/>
            <w:bottom w:val="none" w:sz="0" w:space="0" w:color="auto"/>
            <w:right w:val="none" w:sz="0" w:space="0" w:color="auto"/>
          </w:divBdr>
        </w:div>
        <w:div w:id="1140612930">
          <w:marLeft w:val="0"/>
          <w:marRight w:val="0"/>
          <w:marTop w:val="0"/>
          <w:marBottom w:val="0"/>
          <w:divBdr>
            <w:top w:val="none" w:sz="0" w:space="0" w:color="auto"/>
            <w:left w:val="none" w:sz="0" w:space="0" w:color="auto"/>
            <w:bottom w:val="none" w:sz="0" w:space="0" w:color="auto"/>
            <w:right w:val="none" w:sz="0" w:space="0" w:color="auto"/>
          </w:divBdr>
        </w:div>
        <w:div w:id="1627464253">
          <w:marLeft w:val="0"/>
          <w:marRight w:val="0"/>
          <w:marTop w:val="0"/>
          <w:marBottom w:val="0"/>
          <w:divBdr>
            <w:top w:val="none" w:sz="0" w:space="0" w:color="auto"/>
            <w:left w:val="none" w:sz="0" w:space="0" w:color="auto"/>
            <w:bottom w:val="none" w:sz="0" w:space="0" w:color="auto"/>
            <w:right w:val="none" w:sz="0" w:space="0" w:color="auto"/>
          </w:divBdr>
        </w:div>
      </w:divsChild>
    </w:div>
    <w:div w:id="23598397">
      <w:bodyDiv w:val="1"/>
      <w:marLeft w:val="0"/>
      <w:marRight w:val="0"/>
      <w:marTop w:val="0"/>
      <w:marBottom w:val="0"/>
      <w:divBdr>
        <w:top w:val="none" w:sz="0" w:space="0" w:color="auto"/>
        <w:left w:val="none" w:sz="0" w:space="0" w:color="auto"/>
        <w:bottom w:val="none" w:sz="0" w:space="0" w:color="auto"/>
        <w:right w:val="none" w:sz="0" w:space="0" w:color="auto"/>
      </w:divBdr>
      <w:divsChild>
        <w:div w:id="36318251">
          <w:marLeft w:val="0"/>
          <w:marRight w:val="0"/>
          <w:marTop w:val="0"/>
          <w:marBottom w:val="0"/>
          <w:divBdr>
            <w:top w:val="none" w:sz="0" w:space="0" w:color="auto"/>
            <w:left w:val="none" w:sz="0" w:space="0" w:color="auto"/>
            <w:bottom w:val="none" w:sz="0" w:space="0" w:color="auto"/>
            <w:right w:val="none" w:sz="0" w:space="0" w:color="auto"/>
          </w:divBdr>
        </w:div>
        <w:div w:id="609163723">
          <w:marLeft w:val="0"/>
          <w:marRight w:val="0"/>
          <w:marTop w:val="0"/>
          <w:marBottom w:val="0"/>
          <w:divBdr>
            <w:top w:val="none" w:sz="0" w:space="0" w:color="auto"/>
            <w:left w:val="none" w:sz="0" w:space="0" w:color="auto"/>
            <w:bottom w:val="none" w:sz="0" w:space="0" w:color="auto"/>
            <w:right w:val="none" w:sz="0" w:space="0" w:color="auto"/>
          </w:divBdr>
        </w:div>
        <w:div w:id="1088502676">
          <w:marLeft w:val="0"/>
          <w:marRight w:val="0"/>
          <w:marTop w:val="150"/>
          <w:marBottom w:val="168"/>
          <w:divBdr>
            <w:top w:val="none" w:sz="0" w:space="0" w:color="auto"/>
            <w:left w:val="none" w:sz="0" w:space="0" w:color="auto"/>
            <w:bottom w:val="none" w:sz="0" w:space="0" w:color="auto"/>
            <w:right w:val="none" w:sz="0" w:space="0" w:color="auto"/>
          </w:divBdr>
        </w:div>
      </w:divsChild>
    </w:div>
    <w:div w:id="33123557">
      <w:bodyDiv w:val="1"/>
      <w:marLeft w:val="0"/>
      <w:marRight w:val="0"/>
      <w:marTop w:val="0"/>
      <w:marBottom w:val="0"/>
      <w:divBdr>
        <w:top w:val="none" w:sz="0" w:space="0" w:color="auto"/>
        <w:left w:val="none" w:sz="0" w:space="0" w:color="auto"/>
        <w:bottom w:val="none" w:sz="0" w:space="0" w:color="auto"/>
        <w:right w:val="none" w:sz="0" w:space="0" w:color="auto"/>
      </w:divBdr>
      <w:divsChild>
        <w:div w:id="2125033773">
          <w:marLeft w:val="0"/>
          <w:marRight w:val="0"/>
          <w:marTop w:val="0"/>
          <w:marBottom w:val="0"/>
          <w:divBdr>
            <w:top w:val="none" w:sz="0" w:space="0" w:color="auto"/>
            <w:left w:val="none" w:sz="0" w:space="0" w:color="auto"/>
            <w:bottom w:val="none" w:sz="0" w:space="0" w:color="auto"/>
            <w:right w:val="none" w:sz="0" w:space="0" w:color="auto"/>
          </w:divBdr>
          <w:divsChild>
            <w:div w:id="1968117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256909">
      <w:bodyDiv w:val="1"/>
      <w:marLeft w:val="0"/>
      <w:marRight w:val="0"/>
      <w:marTop w:val="0"/>
      <w:marBottom w:val="0"/>
      <w:divBdr>
        <w:top w:val="none" w:sz="0" w:space="0" w:color="auto"/>
        <w:left w:val="none" w:sz="0" w:space="0" w:color="auto"/>
        <w:bottom w:val="none" w:sz="0" w:space="0" w:color="auto"/>
        <w:right w:val="none" w:sz="0" w:space="0" w:color="auto"/>
      </w:divBdr>
      <w:divsChild>
        <w:div w:id="54092617">
          <w:marLeft w:val="0"/>
          <w:marRight w:val="0"/>
          <w:marTop w:val="0"/>
          <w:marBottom w:val="0"/>
          <w:divBdr>
            <w:top w:val="none" w:sz="0" w:space="0" w:color="auto"/>
            <w:left w:val="none" w:sz="0" w:space="0" w:color="auto"/>
            <w:bottom w:val="none" w:sz="0" w:space="0" w:color="auto"/>
            <w:right w:val="none" w:sz="0" w:space="0" w:color="auto"/>
          </w:divBdr>
        </w:div>
        <w:div w:id="353652330">
          <w:marLeft w:val="0"/>
          <w:marRight w:val="0"/>
          <w:marTop w:val="0"/>
          <w:marBottom w:val="0"/>
          <w:divBdr>
            <w:top w:val="none" w:sz="0" w:space="0" w:color="auto"/>
            <w:left w:val="none" w:sz="0" w:space="0" w:color="auto"/>
            <w:bottom w:val="none" w:sz="0" w:space="0" w:color="auto"/>
            <w:right w:val="none" w:sz="0" w:space="0" w:color="auto"/>
          </w:divBdr>
        </w:div>
        <w:div w:id="356851162">
          <w:marLeft w:val="0"/>
          <w:marRight w:val="0"/>
          <w:marTop w:val="0"/>
          <w:marBottom w:val="0"/>
          <w:divBdr>
            <w:top w:val="none" w:sz="0" w:space="0" w:color="auto"/>
            <w:left w:val="none" w:sz="0" w:space="0" w:color="auto"/>
            <w:bottom w:val="none" w:sz="0" w:space="0" w:color="auto"/>
            <w:right w:val="none" w:sz="0" w:space="0" w:color="auto"/>
          </w:divBdr>
        </w:div>
        <w:div w:id="774399888">
          <w:marLeft w:val="0"/>
          <w:marRight w:val="0"/>
          <w:marTop w:val="0"/>
          <w:marBottom w:val="0"/>
          <w:divBdr>
            <w:top w:val="none" w:sz="0" w:space="0" w:color="auto"/>
            <w:left w:val="none" w:sz="0" w:space="0" w:color="auto"/>
            <w:bottom w:val="none" w:sz="0" w:space="0" w:color="auto"/>
            <w:right w:val="none" w:sz="0" w:space="0" w:color="auto"/>
          </w:divBdr>
        </w:div>
        <w:div w:id="813376568">
          <w:marLeft w:val="0"/>
          <w:marRight w:val="0"/>
          <w:marTop w:val="0"/>
          <w:marBottom w:val="0"/>
          <w:divBdr>
            <w:top w:val="none" w:sz="0" w:space="0" w:color="auto"/>
            <w:left w:val="none" w:sz="0" w:space="0" w:color="auto"/>
            <w:bottom w:val="none" w:sz="0" w:space="0" w:color="auto"/>
            <w:right w:val="none" w:sz="0" w:space="0" w:color="auto"/>
          </w:divBdr>
        </w:div>
        <w:div w:id="1011103410">
          <w:marLeft w:val="0"/>
          <w:marRight w:val="0"/>
          <w:marTop w:val="0"/>
          <w:marBottom w:val="0"/>
          <w:divBdr>
            <w:top w:val="none" w:sz="0" w:space="0" w:color="auto"/>
            <w:left w:val="none" w:sz="0" w:space="0" w:color="auto"/>
            <w:bottom w:val="none" w:sz="0" w:space="0" w:color="auto"/>
            <w:right w:val="none" w:sz="0" w:space="0" w:color="auto"/>
          </w:divBdr>
        </w:div>
        <w:div w:id="1352953275">
          <w:marLeft w:val="0"/>
          <w:marRight w:val="0"/>
          <w:marTop w:val="0"/>
          <w:marBottom w:val="0"/>
          <w:divBdr>
            <w:top w:val="none" w:sz="0" w:space="0" w:color="auto"/>
            <w:left w:val="none" w:sz="0" w:space="0" w:color="auto"/>
            <w:bottom w:val="none" w:sz="0" w:space="0" w:color="auto"/>
            <w:right w:val="none" w:sz="0" w:space="0" w:color="auto"/>
          </w:divBdr>
        </w:div>
        <w:div w:id="1381438199">
          <w:marLeft w:val="0"/>
          <w:marRight w:val="0"/>
          <w:marTop w:val="0"/>
          <w:marBottom w:val="0"/>
          <w:divBdr>
            <w:top w:val="none" w:sz="0" w:space="0" w:color="auto"/>
            <w:left w:val="none" w:sz="0" w:space="0" w:color="auto"/>
            <w:bottom w:val="none" w:sz="0" w:space="0" w:color="auto"/>
            <w:right w:val="none" w:sz="0" w:space="0" w:color="auto"/>
          </w:divBdr>
        </w:div>
        <w:div w:id="1495485662">
          <w:marLeft w:val="0"/>
          <w:marRight w:val="0"/>
          <w:marTop w:val="0"/>
          <w:marBottom w:val="0"/>
          <w:divBdr>
            <w:top w:val="none" w:sz="0" w:space="0" w:color="auto"/>
            <w:left w:val="none" w:sz="0" w:space="0" w:color="auto"/>
            <w:bottom w:val="none" w:sz="0" w:space="0" w:color="auto"/>
            <w:right w:val="none" w:sz="0" w:space="0" w:color="auto"/>
          </w:divBdr>
        </w:div>
        <w:div w:id="1571383434">
          <w:marLeft w:val="0"/>
          <w:marRight w:val="0"/>
          <w:marTop w:val="0"/>
          <w:marBottom w:val="0"/>
          <w:divBdr>
            <w:top w:val="none" w:sz="0" w:space="0" w:color="auto"/>
            <w:left w:val="none" w:sz="0" w:space="0" w:color="auto"/>
            <w:bottom w:val="none" w:sz="0" w:space="0" w:color="auto"/>
            <w:right w:val="none" w:sz="0" w:space="0" w:color="auto"/>
          </w:divBdr>
        </w:div>
        <w:div w:id="1920095784">
          <w:marLeft w:val="0"/>
          <w:marRight w:val="0"/>
          <w:marTop w:val="0"/>
          <w:marBottom w:val="0"/>
          <w:divBdr>
            <w:top w:val="none" w:sz="0" w:space="0" w:color="auto"/>
            <w:left w:val="none" w:sz="0" w:space="0" w:color="auto"/>
            <w:bottom w:val="none" w:sz="0" w:space="0" w:color="auto"/>
            <w:right w:val="none" w:sz="0" w:space="0" w:color="auto"/>
          </w:divBdr>
        </w:div>
      </w:divsChild>
    </w:div>
    <w:div w:id="80572188">
      <w:bodyDiv w:val="1"/>
      <w:marLeft w:val="0"/>
      <w:marRight w:val="0"/>
      <w:marTop w:val="0"/>
      <w:marBottom w:val="0"/>
      <w:divBdr>
        <w:top w:val="none" w:sz="0" w:space="0" w:color="auto"/>
        <w:left w:val="none" w:sz="0" w:space="0" w:color="auto"/>
        <w:bottom w:val="none" w:sz="0" w:space="0" w:color="auto"/>
        <w:right w:val="none" w:sz="0" w:space="0" w:color="auto"/>
      </w:divBdr>
      <w:divsChild>
        <w:div w:id="1798836008">
          <w:marLeft w:val="0"/>
          <w:marRight w:val="0"/>
          <w:marTop w:val="0"/>
          <w:marBottom w:val="0"/>
          <w:divBdr>
            <w:top w:val="none" w:sz="0" w:space="0" w:color="auto"/>
            <w:left w:val="none" w:sz="0" w:space="0" w:color="auto"/>
            <w:bottom w:val="none" w:sz="0" w:space="0" w:color="auto"/>
            <w:right w:val="none" w:sz="0" w:space="0" w:color="auto"/>
          </w:divBdr>
        </w:div>
        <w:div w:id="2106534200">
          <w:marLeft w:val="0"/>
          <w:marRight w:val="0"/>
          <w:marTop w:val="0"/>
          <w:marBottom w:val="0"/>
          <w:divBdr>
            <w:top w:val="none" w:sz="0" w:space="0" w:color="auto"/>
            <w:left w:val="none" w:sz="0" w:space="0" w:color="auto"/>
            <w:bottom w:val="none" w:sz="0" w:space="0" w:color="auto"/>
            <w:right w:val="none" w:sz="0" w:space="0" w:color="auto"/>
          </w:divBdr>
        </w:div>
        <w:div w:id="1398867977">
          <w:marLeft w:val="0"/>
          <w:marRight w:val="0"/>
          <w:marTop w:val="0"/>
          <w:marBottom w:val="0"/>
          <w:divBdr>
            <w:top w:val="none" w:sz="0" w:space="0" w:color="auto"/>
            <w:left w:val="none" w:sz="0" w:space="0" w:color="auto"/>
            <w:bottom w:val="none" w:sz="0" w:space="0" w:color="auto"/>
            <w:right w:val="none" w:sz="0" w:space="0" w:color="auto"/>
          </w:divBdr>
        </w:div>
        <w:div w:id="1108282558">
          <w:marLeft w:val="0"/>
          <w:marRight w:val="0"/>
          <w:marTop w:val="0"/>
          <w:marBottom w:val="0"/>
          <w:divBdr>
            <w:top w:val="none" w:sz="0" w:space="0" w:color="auto"/>
            <w:left w:val="none" w:sz="0" w:space="0" w:color="auto"/>
            <w:bottom w:val="none" w:sz="0" w:space="0" w:color="auto"/>
            <w:right w:val="none" w:sz="0" w:space="0" w:color="auto"/>
          </w:divBdr>
        </w:div>
        <w:div w:id="1686520355">
          <w:marLeft w:val="0"/>
          <w:marRight w:val="0"/>
          <w:marTop w:val="0"/>
          <w:marBottom w:val="0"/>
          <w:divBdr>
            <w:top w:val="none" w:sz="0" w:space="0" w:color="auto"/>
            <w:left w:val="none" w:sz="0" w:space="0" w:color="auto"/>
            <w:bottom w:val="none" w:sz="0" w:space="0" w:color="auto"/>
            <w:right w:val="none" w:sz="0" w:space="0" w:color="auto"/>
          </w:divBdr>
        </w:div>
        <w:div w:id="1452477195">
          <w:marLeft w:val="0"/>
          <w:marRight w:val="0"/>
          <w:marTop w:val="0"/>
          <w:marBottom w:val="0"/>
          <w:divBdr>
            <w:top w:val="none" w:sz="0" w:space="0" w:color="auto"/>
            <w:left w:val="none" w:sz="0" w:space="0" w:color="auto"/>
            <w:bottom w:val="none" w:sz="0" w:space="0" w:color="auto"/>
            <w:right w:val="none" w:sz="0" w:space="0" w:color="auto"/>
          </w:divBdr>
        </w:div>
        <w:div w:id="1928151335">
          <w:marLeft w:val="0"/>
          <w:marRight w:val="0"/>
          <w:marTop w:val="0"/>
          <w:marBottom w:val="0"/>
          <w:divBdr>
            <w:top w:val="none" w:sz="0" w:space="0" w:color="auto"/>
            <w:left w:val="none" w:sz="0" w:space="0" w:color="auto"/>
            <w:bottom w:val="none" w:sz="0" w:space="0" w:color="auto"/>
            <w:right w:val="none" w:sz="0" w:space="0" w:color="auto"/>
          </w:divBdr>
          <w:divsChild>
            <w:div w:id="1046221375">
              <w:marLeft w:val="300"/>
              <w:marRight w:val="0"/>
              <w:marTop w:val="0"/>
              <w:marBottom w:val="0"/>
              <w:divBdr>
                <w:top w:val="none" w:sz="0" w:space="0" w:color="auto"/>
                <w:left w:val="none" w:sz="0" w:space="0" w:color="auto"/>
                <w:bottom w:val="none" w:sz="0" w:space="0" w:color="auto"/>
                <w:right w:val="none" w:sz="0" w:space="0" w:color="auto"/>
              </w:divBdr>
            </w:div>
            <w:div w:id="16346936">
              <w:marLeft w:val="300"/>
              <w:marRight w:val="0"/>
              <w:marTop w:val="0"/>
              <w:marBottom w:val="0"/>
              <w:divBdr>
                <w:top w:val="none" w:sz="0" w:space="0" w:color="auto"/>
                <w:left w:val="none" w:sz="0" w:space="0" w:color="auto"/>
                <w:bottom w:val="none" w:sz="0" w:space="0" w:color="auto"/>
                <w:right w:val="none" w:sz="0" w:space="0" w:color="auto"/>
              </w:divBdr>
            </w:div>
            <w:div w:id="1776631965">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86971217">
      <w:bodyDiv w:val="1"/>
      <w:marLeft w:val="0"/>
      <w:marRight w:val="0"/>
      <w:marTop w:val="0"/>
      <w:marBottom w:val="0"/>
      <w:divBdr>
        <w:top w:val="none" w:sz="0" w:space="0" w:color="auto"/>
        <w:left w:val="none" w:sz="0" w:space="0" w:color="auto"/>
        <w:bottom w:val="none" w:sz="0" w:space="0" w:color="auto"/>
        <w:right w:val="none" w:sz="0" w:space="0" w:color="auto"/>
      </w:divBdr>
      <w:divsChild>
        <w:div w:id="1041905484">
          <w:marLeft w:val="0"/>
          <w:marRight w:val="0"/>
          <w:marTop w:val="0"/>
          <w:marBottom w:val="0"/>
          <w:divBdr>
            <w:top w:val="none" w:sz="0" w:space="0" w:color="auto"/>
            <w:left w:val="none" w:sz="0" w:space="0" w:color="auto"/>
            <w:bottom w:val="none" w:sz="0" w:space="0" w:color="auto"/>
            <w:right w:val="none" w:sz="0" w:space="0" w:color="auto"/>
          </w:divBdr>
        </w:div>
        <w:div w:id="1055356951">
          <w:marLeft w:val="0"/>
          <w:marRight w:val="0"/>
          <w:marTop w:val="0"/>
          <w:marBottom w:val="0"/>
          <w:divBdr>
            <w:top w:val="none" w:sz="0" w:space="0" w:color="auto"/>
            <w:left w:val="none" w:sz="0" w:space="0" w:color="auto"/>
            <w:bottom w:val="none" w:sz="0" w:space="0" w:color="auto"/>
            <w:right w:val="none" w:sz="0" w:space="0" w:color="auto"/>
          </w:divBdr>
        </w:div>
      </w:divsChild>
    </w:div>
    <w:div w:id="94132513">
      <w:bodyDiv w:val="1"/>
      <w:marLeft w:val="0"/>
      <w:marRight w:val="0"/>
      <w:marTop w:val="0"/>
      <w:marBottom w:val="0"/>
      <w:divBdr>
        <w:top w:val="none" w:sz="0" w:space="0" w:color="auto"/>
        <w:left w:val="none" w:sz="0" w:space="0" w:color="auto"/>
        <w:bottom w:val="none" w:sz="0" w:space="0" w:color="auto"/>
        <w:right w:val="none" w:sz="0" w:space="0" w:color="auto"/>
      </w:divBdr>
    </w:div>
    <w:div w:id="103309692">
      <w:bodyDiv w:val="1"/>
      <w:marLeft w:val="0"/>
      <w:marRight w:val="0"/>
      <w:marTop w:val="0"/>
      <w:marBottom w:val="0"/>
      <w:divBdr>
        <w:top w:val="none" w:sz="0" w:space="0" w:color="auto"/>
        <w:left w:val="none" w:sz="0" w:space="0" w:color="auto"/>
        <w:bottom w:val="none" w:sz="0" w:space="0" w:color="auto"/>
        <w:right w:val="none" w:sz="0" w:space="0" w:color="auto"/>
      </w:divBdr>
    </w:div>
    <w:div w:id="125978921">
      <w:bodyDiv w:val="1"/>
      <w:marLeft w:val="0"/>
      <w:marRight w:val="0"/>
      <w:marTop w:val="0"/>
      <w:marBottom w:val="0"/>
      <w:divBdr>
        <w:top w:val="none" w:sz="0" w:space="0" w:color="auto"/>
        <w:left w:val="none" w:sz="0" w:space="0" w:color="auto"/>
        <w:bottom w:val="none" w:sz="0" w:space="0" w:color="auto"/>
        <w:right w:val="none" w:sz="0" w:space="0" w:color="auto"/>
      </w:divBdr>
    </w:div>
    <w:div w:id="135148199">
      <w:bodyDiv w:val="1"/>
      <w:marLeft w:val="0"/>
      <w:marRight w:val="0"/>
      <w:marTop w:val="0"/>
      <w:marBottom w:val="0"/>
      <w:divBdr>
        <w:top w:val="none" w:sz="0" w:space="0" w:color="auto"/>
        <w:left w:val="none" w:sz="0" w:space="0" w:color="auto"/>
        <w:bottom w:val="none" w:sz="0" w:space="0" w:color="auto"/>
        <w:right w:val="none" w:sz="0" w:space="0" w:color="auto"/>
      </w:divBdr>
      <w:divsChild>
        <w:div w:id="19288072">
          <w:marLeft w:val="0"/>
          <w:marRight w:val="0"/>
          <w:marTop w:val="0"/>
          <w:marBottom w:val="0"/>
          <w:divBdr>
            <w:top w:val="none" w:sz="0" w:space="0" w:color="auto"/>
            <w:left w:val="none" w:sz="0" w:space="0" w:color="auto"/>
            <w:bottom w:val="none" w:sz="0" w:space="0" w:color="auto"/>
            <w:right w:val="none" w:sz="0" w:space="0" w:color="auto"/>
          </w:divBdr>
        </w:div>
        <w:div w:id="189733053">
          <w:marLeft w:val="0"/>
          <w:marRight w:val="0"/>
          <w:marTop w:val="0"/>
          <w:marBottom w:val="0"/>
          <w:divBdr>
            <w:top w:val="none" w:sz="0" w:space="0" w:color="auto"/>
            <w:left w:val="none" w:sz="0" w:space="0" w:color="auto"/>
            <w:bottom w:val="none" w:sz="0" w:space="0" w:color="auto"/>
            <w:right w:val="none" w:sz="0" w:space="0" w:color="auto"/>
          </w:divBdr>
        </w:div>
        <w:div w:id="586815600">
          <w:marLeft w:val="0"/>
          <w:marRight w:val="0"/>
          <w:marTop w:val="0"/>
          <w:marBottom w:val="0"/>
          <w:divBdr>
            <w:top w:val="none" w:sz="0" w:space="0" w:color="auto"/>
            <w:left w:val="none" w:sz="0" w:space="0" w:color="auto"/>
            <w:bottom w:val="none" w:sz="0" w:space="0" w:color="auto"/>
            <w:right w:val="none" w:sz="0" w:space="0" w:color="auto"/>
          </w:divBdr>
        </w:div>
        <w:div w:id="683941558">
          <w:marLeft w:val="0"/>
          <w:marRight w:val="0"/>
          <w:marTop w:val="0"/>
          <w:marBottom w:val="0"/>
          <w:divBdr>
            <w:top w:val="none" w:sz="0" w:space="0" w:color="auto"/>
            <w:left w:val="none" w:sz="0" w:space="0" w:color="auto"/>
            <w:bottom w:val="none" w:sz="0" w:space="0" w:color="auto"/>
            <w:right w:val="none" w:sz="0" w:space="0" w:color="auto"/>
          </w:divBdr>
        </w:div>
        <w:div w:id="750465938">
          <w:marLeft w:val="0"/>
          <w:marRight w:val="0"/>
          <w:marTop w:val="0"/>
          <w:marBottom w:val="0"/>
          <w:divBdr>
            <w:top w:val="none" w:sz="0" w:space="0" w:color="auto"/>
            <w:left w:val="none" w:sz="0" w:space="0" w:color="auto"/>
            <w:bottom w:val="none" w:sz="0" w:space="0" w:color="auto"/>
            <w:right w:val="none" w:sz="0" w:space="0" w:color="auto"/>
          </w:divBdr>
        </w:div>
        <w:div w:id="752242748">
          <w:marLeft w:val="0"/>
          <w:marRight w:val="0"/>
          <w:marTop w:val="0"/>
          <w:marBottom w:val="0"/>
          <w:divBdr>
            <w:top w:val="none" w:sz="0" w:space="0" w:color="auto"/>
            <w:left w:val="none" w:sz="0" w:space="0" w:color="auto"/>
            <w:bottom w:val="none" w:sz="0" w:space="0" w:color="auto"/>
            <w:right w:val="none" w:sz="0" w:space="0" w:color="auto"/>
          </w:divBdr>
        </w:div>
        <w:div w:id="1003161838">
          <w:marLeft w:val="0"/>
          <w:marRight w:val="0"/>
          <w:marTop w:val="0"/>
          <w:marBottom w:val="0"/>
          <w:divBdr>
            <w:top w:val="none" w:sz="0" w:space="0" w:color="auto"/>
            <w:left w:val="none" w:sz="0" w:space="0" w:color="auto"/>
            <w:bottom w:val="none" w:sz="0" w:space="0" w:color="auto"/>
            <w:right w:val="none" w:sz="0" w:space="0" w:color="auto"/>
          </w:divBdr>
        </w:div>
        <w:div w:id="1246646198">
          <w:marLeft w:val="0"/>
          <w:marRight w:val="0"/>
          <w:marTop w:val="0"/>
          <w:marBottom w:val="0"/>
          <w:divBdr>
            <w:top w:val="none" w:sz="0" w:space="0" w:color="auto"/>
            <w:left w:val="none" w:sz="0" w:space="0" w:color="auto"/>
            <w:bottom w:val="none" w:sz="0" w:space="0" w:color="auto"/>
            <w:right w:val="none" w:sz="0" w:space="0" w:color="auto"/>
          </w:divBdr>
        </w:div>
        <w:div w:id="1336373781">
          <w:marLeft w:val="0"/>
          <w:marRight w:val="0"/>
          <w:marTop w:val="0"/>
          <w:marBottom w:val="0"/>
          <w:divBdr>
            <w:top w:val="none" w:sz="0" w:space="0" w:color="auto"/>
            <w:left w:val="none" w:sz="0" w:space="0" w:color="auto"/>
            <w:bottom w:val="none" w:sz="0" w:space="0" w:color="auto"/>
            <w:right w:val="none" w:sz="0" w:space="0" w:color="auto"/>
          </w:divBdr>
        </w:div>
        <w:div w:id="1597132160">
          <w:marLeft w:val="0"/>
          <w:marRight w:val="0"/>
          <w:marTop w:val="0"/>
          <w:marBottom w:val="0"/>
          <w:divBdr>
            <w:top w:val="none" w:sz="0" w:space="0" w:color="auto"/>
            <w:left w:val="none" w:sz="0" w:space="0" w:color="auto"/>
            <w:bottom w:val="none" w:sz="0" w:space="0" w:color="auto"/>
            <w:right w:val="none" w:sz="0" w:space="0" w:color="auto"/>
          </w:divBdr>
        </w:div>
        <w:div w:id="1680958933">
          <w:marLeft w:val="0"/>
          <w:marRight w:val="0"/>
          <w:marTop w:val="0"/>
          <w:marBottom w:val="0"/>
          <w:divBdr>
            <w:top w:val="none" w:sz="0" w:space="0" w:color="auto"/>
            <w:left w:val="none" w:sz="0" w:space="0" w:color="auto"/>
            <w:bottom w:val="none" w:sz="0" w:space="0" w:color="auto"/>
            <w:right w:val="none" w:sz="0" w:space="0" w:color="auto"/>
          </w:divBdr>
        </w:div>
        <w:div w:id="1795058591">
          <w:marLeft w:val="0"/>
          <w:marRight w:val="0"/>
          <w:marTop w:val="0"/>
          <w:marBottom w:val="0"/>
          <w:divBdr>
            <w:top w:val="none" w:sz="0" w:space="0" w:color="auto"/>
            <w:left w:val="none" w:sz="0" w:space="0" w:color="auto"/>
            <w:bottom w:val="none" w:sz="0" w:space="0" w:color="auto"/>
            <w:right w:val="none" w:sz="0" w:space="0" w:color="auto"/>
          </w:divBdr>
        </w:div>
        <w:div w:id="2125078396">
          <w:marLeft w:val="0"/>
          <w:marRight w:val="0"/>
          <w:marTop w:val="0"/>
          <w:marBottom w:val="0"/>
          <w:divBdr>
            <w:top w:val="none" w:sz="0" w:space="0" w:color="auto"/>
            <w:left w:val="none" w:sz="0" w:space="0" w:color="auto"/>
            <w:bottom w:val="none" w:sz="0" w:space="0" w:color="auto"/>
            <w:right w:val="none" w:sz="0" w:space="0" w:color="auto"/>
          </w:divBdr>
        </w:div>
      </w:divsChild>
    </w:div>
    <w:div w:id="135537515">
      <w:bodyDiv w:val="1"/>
      <w:marLeft w:val="0"/>
      <w:marRight w:val="0"/>
      <w:marTop w:val="0"/>
      <w:marBottom w:val="0"/>
      <w:divBdr>
        <w:top w:val="none" w:sz="0" w:space="0" w:color="auto"/>
        <w:left w:val="none" w:sz="0" w:space="0" w:color="auto"/>
        <w:bottom w:val="none" w:sz="0" w:space="0" w:color="auto"/>
        <w:right w:val="none" w:sz="0" w:space="0" w:color="auto"/>
      </w:divBdr>
      <w:divsChild>
        <w:div w:id="1725367650">
          <w:marLeft w:val="0"/>
          <w:marRight w:val="0"/>
          <w:marTop w:val="0"/>
          <w:marBottom w:val="0"/>
          <w:divBdr>
            <w:top w:val="none" w:sz="0" w:space="0" w:color="auto"/>
            <w:left w:val="none" w:sz="0" w:space="0" w:color="auto"/>
            <w:bottom w:val="none" w:sz="0" w:space="0" w:color="auto"/>
            <w:right w:val="none" w:sz="0" w:space="0" w:color="auto"/>
          </w:divBdr>
        </w:div>
      </w:divsChild>
    </w:div>
    <w:div w:id="138306983">
      <w:bodyDiv w:val="1"/>
      <w:marLeft w:val="0"/>
      <w:marRight w:val="0"/>
      <w:marTop w:val="0"/>
      <w:marBottom w:val="0"/>
      <w:divBdr>
        <w:top w:val="none" w:sz="0" w:space="0" w:color="auto"/>
        <w:left w:val="none" w:sz="0" w:space="0" w:color="auto"/>
        <w:bottom w:val="none" w:sz="0" w:space="0" w:color="auto"/>
        <w:right w:val="none" w:sz="0" w:space="0" w:color="auto"/>
      </w:divBdr>
      <w:divsChild>
        <w:div w:id="366873140">
          <w:marLeft w:val="0"/>
          <w:marRight w:val="0"/>
          <w:marTop w:val="0"/>
          <w:marBottom w:val="0"/>
          <w:divBdr>
            <w:top w:val="none" w:sz="0" w:space="0" w:color="auto"/>
            <w:left w:val="none" w:sz="0" w:space="0" w:color="auto"/>
            <w:bottom w:val="none" w:sz="0" w:space="0" w:color="auto"/>
            <w:right w:val="none" w:sz="0" w:space="0" w:color="auto"/>
          </w:divBdr>
          <w:divsChild>
            <w:div w:id="1503469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7147234">
      <w:bodyDiv w:val="1"/>
      <w:marLeft w:val="0"/>
      <w:marRight w:val="0"/>
      <w:marTop w:val="0"/>
      <w:marBottom w:val="0"/>
      <w:divBdr>
        <w:top w:val="none" w:sz="0" w:space="0" w:color="auto"/>
        <w:left w:val="none" w:sz="0" w:space="0" w:color="auto"/>
        <w:bottom w:val="none" w:sz="0" w:space="0" w:color="auto"/>
        <w:right w:val="none" w:sz="0" w:space="0" w:color="auto"/>
      </w:divBdr>
    </w:div>
    <w:div w:id="327515626">
      <w:bodyDiv w:val="1"/>
      <w:marLeft w:val="0"/>
      <w:marRight w:val="0"/>
      <w:marTop w:val="0"/>
      <w:marBottom w:val="0"/>
      <w:divBdr>
        <w:top w:val="none" w:sz="0" w:space="0" w:color="auto"/>
        <w:left w:val="none" w:sz="0" w:space="0" w:color="auto"/>
        <w:bottom w:val="none" w:sz="0" w:space="0" w:color="auto"/>
        <w:right w:val="none" w:sz="0" w:space="0" w:color="auto"/>
      </w:divBdr>
    </w:div>
    <w:div w:id="390663088">
      <w:bodyDiv w:val="1"/>
      <w:marLeft w:val="0"/>
      <w:marRight w:val="0"/>
      <w:marTop w:val="0"/>
      <w:marBottom w:val="0"/>
      <w:divBdr>
        <w:top w:val="none" w:sz="0" w:space="0" w:color="auto"/>
        <w:left w:val="none" w:sz="0" w:space="0" w:color="auto"/>
        <w:bottom w:val="none" w:sz="0" w:space="0" w:color="auto"/>
        <w:right w:val="none" w:sz="0" w:space="0" w:color="auto"/>
      </w:divBdr>
      <w:divsChild>
        <w:div w:id="1156452580">
          <w:marLeft w:val="0"/>
          <w:marRight w:val="0"/>
          <w:marTop w:val="0"/>
          <w:marBottom w:val="0"/>
          <w:divBdr>
            <w:top w:val="none" w:sz="0" w:space="0" w:color="auto"/>
            <w:left w:val="none" w:sz="0" w:space="0" w:color="auto"/>
            <w:bottom w:val="none" w:sz="0" w:space="0" w:color="auto"/>
            <w:right w:val="none" w:sz="0" w:space="0" w:color="auto"/>
          </w:divBdr>
          <w:divsChild>
            <w:div w:id="1766028311">
              <w:marLeft w:val="0"/>
              <w:marRight w:val="0"/>
              <w:marTop w:val="0"/>
              <w:marBottom w:val="0"/>
              <w:divBdr>
                <w:top w:val="none" w:sz="0" w:space="0" w:color="auto"/>
                <w:left w:val="none" w:sz="0" w:space="0" w:color="auto"/>
                <w:bottom w:val="none" w:sz="0" w:space="0" w:color="auto"/>
                <w:right w:val="none" w:sz="0" w:space="0" w:color="auto"/>
              </w:divBdr>
              <w:divsChild>
                <w:div w:id="1186671338">
                  <w:marLeft w:val="0"/>
                  <w:marRight w:val="0"/>
                  <w:marTop w:val="0"/>
                  <w:marBottom w:val="0"/>
                  <w:divBdr>
                    <w:top w:val="none" w:sz="0" w:space="0" w:color="auto"/>
                    <w:left w:val="none" w:sz="0" w:space="0" w:color="auto"/>
                    <w:bottom w:val="none" w:sz="0" w:space="0" w:color="auto"/>
                    <w:right w:val="none" w:sz="0" w:space="0" w:color="auto"/>
                  </w:divBdr>
                  <w:divsChild>
                    <w:div w:id="1615936848">
                      <w:marLeft w:val="0"/>
                      <w:marRight w:val="0"/>
                      <w:marTop w:val="420"/>
                      <w:marBottom w:val="0"/>
                      <w:divBdr>
                        <w:top w:val="none" w:sz="0" w:space="0" w:color="auto"/>
                        <w:left w:val="none" w:sz="0" w:space="0" w:color="auto"/>
                        <w:bottom w:val="none" w:sz="0" w:space="0" w:color="auto"/>
                        <w:right w:val="none" w:sz="0" w:space="0" w:color="auto"/>
                      </w:divBdr>
                      <w:divsChild>
                        <w:div w:id="1404448817">
                          <w:marLeft w:val="0"/>
                          <w:marRight w:val="0"/>
                          <w:marTop w:val="0"/>
                          <w:marBottom w:val="0"/>
                          <w:divBdr>
                            <w:top w:val="none" w:sz="0" w:space="0" w:color="auto"/>
                            <w:left w:val="none" w:sz="0" w:space="0" w:color="auto"/>
                            <w:bottom w:val="none" w:sz="0" w:space="0" w:color="auto"/>
                            <w:right w:val="none" w:sz="0" w:space="0" w:color="auto"/>
                          </w:divBdr>
                          <w:divsChild>
                            <w:div w:id="223762727">
                              <w:marLeft w:val="0"/>
                              <w:marRight w:val="0"/>
                              <w:marTop w:val="0"/>
                              <w:marBottom w:val="0"/>
                              <w:divBdr>
                                <w:top w:val="none" w:sz="0" w:space="0" w:color="auto"/>
                                <w:left w:val="none" w:sz="0" w:space="0" w:color="auto"/>
                                <w:bottom w:val="none" w:sz="0" w:space="0" w:color="auto"/>
                                <w:right w:val="none" w:sz="0" w:space="0" w:color="auto"/>
                              </w:divBdr>
                              <w:divsChild>
                                <w:div w:id="815533985">
                                  <w:marLeft w:val="0"/>
                                  <w:marRight w:val="0"/>
                                  <w:marTop w:val="0"/>
                                  <w:marBottom w:val="0"/>
                                  <w:divBdr>
                                    <w:top w:val="none" w:sz="0" w:space="0" w:color="auto"/>
                                    <w:left w:val="none" w:sz="0" w:space="0" w:color="auto"/>
                                    <w:bottom w:val="none" w:sz="0" w:space="0" w:color="auto"/>
                                    <w:right w:val="none" w:sz="0" w:space="0" w:color="auto"/>
                                  </w:divBdr>
                                  <w:divsChild>
                                    <w:div w:id="1893538495">
                                      <w:marLeft w:val="0"/>
                                      <w:marRight w:val="0"/>
                                      <w:marTop w:val="0"/>
                                      <w:marBottom w:val="0"/>
                                      <w:divBdr>
                                        <w:top w:val="none" w:sz="0" w:space="0" w:color="auto"/>
                                        <w:left w:val="none" w:sz="0" w:space="0" w:color="auto"/>
                                        <w:bottom w:val="none" w:sz="0" w:space="0" w:color="auto"/>
                                        <w:right w:val="none" w:sz="0" w:space="0" w:color="auto"/>
                                      </w:divBdr>
                                      <w:divsChild>
                                        <w:div w:id="1054278879">
                                          <w:marLeft w:val="0"/>
                                          <w:marRight w:val="0"/>
                                          <w:marTop w:val="0"/>
                                          <w:marBottom w:val="0"/>
                                          <w:divBdr>
                                            <w:top w:val="none" w:sz="0" w:space="0" w:color="auto"/>
                                            <w:left w:val="none" w:sz="0" w:space="0" w:color="auto"/>
                                            <w:bottom w:val="none" w:sz="0" w:space="0" w:color="auto"/>
                                            <w:right w:val="none" w:sz="0" w:space="0" w:color="auto"/>
                                          </w:divBdr>
                                          <w:divsChild>
                                            <w:div w:id="274676168">
                                              <w:marLeft w:val="0"/>
                                              <w:marRight w:val="0"/>
                                              <w:marTop w:val="0"/>
                                              <w:marBottom w:val="0"/>
                                              <w:divBdr>
                                                <w:top w:val="none" w:sz="0" w:space="0" w:color="auto"/>
                                                <w:left w:val="none" w:sz="0" w:space="0" w:color="auto"/>
                                                <w:bottom w:val="none" w:sz="0" w:space="0" w:color="auto"/>
                                                <w:right w:val="none" w:sz="0" w:space="0" w:color="auto"/>
                                              </w:divBdr>
                                              <w:divsChild>
                                                <w:div w:id="2035570040">
                                                  <w:marLeft w:val="0"/>
                                                  <w:marRight w:val="0"/>
                                                  <w:marTop w:val="0"/>
                                                  <w:marBottom w:val="0"/>
                                                  <w:divBdr>
                                                    <w:top w:val="none" w:sz="0" w:space="0" w:color="auto"/>
                                                    <w:left w:val="none" w:sz="0" w:space="0" w:color="auto"/>
                                                    <w:bottom w:val="none" w:sz="0" w:space="0" w:color="auto"/>
                                                    <w:right w:val="none" w:sz="0" w:space="0" w:color="auto"/>
                                                  </w:divBdr>
                                                  <w:divsChild>
                                                    <w:div w:id="140082808">
                                                      <w:marLeft w:val="0"/>
                                                      <w:marRight w:val="0"/>
                                                      <w:marTop w:val="0"/>
                                                      <w:marBottom w:val="0"/>
                                                      <w:divBdr>
                                                        <w:top w:val="none" w:sz="0" w:space="0" w:color="auto"/>
                                                        <w:left w:val="none" w:sz="0" w:space="0" w:color="auto"/>
                                                        <w:bottom w:val="none" w:sz="0" w:space="0" w:color="auto"/>
                                                        <w:right w:val="none" w:sz="0" w:space="0" w:color="auto"/>
                                                      </w:divBdr>
                                                      <w:divsChild>
                                                        <w:div w:id="1671978568">
                                                          <w:marLeft w:val="0"/>
                                                          <w:marRight w:val="0"/>
                                                          <w:marTop w:val="0"/>
                                                          <w:marBottom w:val="0"/>
                                                          <w:divBdr>
                                                            <w:top w:val="none" w:sz="0" w:space="0" w:color="auto"/>
                                                            <w:left w:val="none" w:sz="0" w:space="0" w:color="auto"/>
                                                            <w:bottom w:val="none" w:sz="0" w:space="0" w:color="auto"/>
                                                            <w:right w:val="none" w:sz="0" w:space="0" w:color="auto"/>
                                                          </w:divBdr>
                                                          <w:divsChild>
                                                            <w:div w:id="1936397616">
                                                              <w:marLeft w:val="0"/>
                                                              <w:marRight w:val="0"/>
                                                              <w:marTop w:val="0"/>
                                                              <w:marBottom w:val="0"/>
                                                              <w:divBdr>
                                                                <w:top w:val="none" w:sz="0" w:space="0" w:color="auto"/>
                                                                <w:left w:val="none" w:sz="0" w:space="0" w:color="auto"/>
                                                                <w:bottom w:val="none" w:sz="0" w:space="0" w:color="auto"/>
                                                                <w:right w:val="none" w:sz="0" w:space="0" w:color="auto"/>
                                                              </w:divBdr>
                                                              <w:divsChild>
                                                                <w:div w:id="247546798">
                                                                  <w:marLeft w:val="0"/>
                                                                  <w:marRight w:val="0"/>
                                                                  <w:marTop w:val="0"/>
                                                                  <w:marBottom w:val="0"/>
                                                                  <w:divBdr>
                                                                    <w:top w:val="none" w:sz="0" w:space="0" w:color="auto"/>
                                                                    <w:left w:val="none" w:sz="0" w:space="0" w:color="auto"/>
                                                                    <w:bottom w:val="none" w:sz="0" w:space="0" w:color="auto"/>
                                                                    <w:right w:val="none" w:sz="0" w:space="0" w:color="auto"/>
                                                                  </w:divBdr>
                                                                </w:div>
                                                              </w:divsChild>
                                                            </w:div>
                                                            <w:div w:id="1248030690">
                                                              <w:marLeft w:val="0"/>
                                                              <w:marRight w:val="0"/>
                                                              <w:marTop w:val="0"/>
                                                              <w:marBottom w:val="0"/>
                                                              <w:divBdr>
                                                                <w:top w:val="none" w:sz="0" w:space="0" w:color="auto"/>
                                                                <w:left w:val="none" w:sz="0" w:space="0" w:color="auto"/>
                                                                <w:bottom w:val="none" w:sz="0" w:space="0" w:color="auto"/>
                                                                <w:right w:val="none" w:sz="0" w:space="0" w:color="auto"/>
                                                              </w:divBdr>
                                                              <w:divsChild>
                                                                <w:div w:id="391074850">
                                                                  <w:marLeft w:val="0"/>
                                                                  <w:marRight w:val="0"/>
                                                                  <w:marTop w:val="0"/>
                                                                  <w:marBottom w:val="0"/>
                                                                  <w:divBdr>
                                                                    <w:top w:val="none" w:sz="0" w:space="0" w:color="auto"/>
                                                                    <w:left w:val="none" w:sz="0" w:space="0" w:color="auto"/>
                                                                    <w:bottom w:val="none" w:sz="0" w:space="0" w:color="auto"/>
                                                                    <w:right w:val="none" w:sz="0" w:space="0" w:color="auto"/>
                                                                  </w:divBdr>
                                                                </w:div>
                                                              </w:divsChild>
                                                            </w:div>
                                                            <w:div w:id="688216481">
                                                              <w:marLeft w:val="0"/>
                                                              <w:marRight w:val="0"/>
                                                              <w:marTop w:val="0"/>
                                                              <w:marBottom w:val="0"/>
                                                              <w:divBdr>
                                                                <w:top w:val="none" w:sz="0" w:space="0" w:color="auto"/>
                                                                <w:left w:val="none" w:sz="0" w:space="0" w:color="auto"/>
                                                                <w:bottom w:val="none" w:sz="0" w:space="0" w:color="auto"/>
                                                                <w:right w:val="none" w:sz="0" w:space="0" w:color="auto"/>
                                                              </w:divBdr>
                                                            </w:div>
                                                            <w:div w:id="1504129430">
                                                              <w:marLeft w:val="0"/>
                                                              <w:marRight w:val="0"/>
                                                              <w:marTop w:val="0"/>
                                                              <w:marBottom w:val="0"/>
                                                              <w:divBdr>
                                                                <w:top w:val="none" w:sz="0" w:space="0" w:color="auto"/>
                                                                <w:left w:val="none" w:sz="0" w:space="0" w:color="auto"/>
                                                                <w:bottom w:val="none" w:sz="0" w:space="0" w:color="auto"/>
                                                                <w:right w:val="none" w:sz="0" w:space="0" w:color="auto"/>
                                                              </w:divBdr>
                                                              <w:divsChild>
                                                                <w:div w:id="1423601731">
                                                                  <w:marLeft w:val="0"/>
                                                                  <w:marRight w:val="0"/>
                                                                  <w:marTop w:val="0"/>
                                                                  <w:marBottom w:val="0"/>
                                                                  <w:divBdr>
                                                                    <w:top w:val="none" w:sz="0" w:space="0" w:color="auto"/>
                                                                    <w:left w:val="none" w:sz="0" w:space="0" w:color="auto"/>
                                                                    <w:bottom w:val="none" w:sz="0" w:space="0" w:color="auto"/>
                                                                    <w:right w:val="none" w:sz="0" w:space="0" w:color="auto"/>
                                                                  </w:divBdr>
                                                                </w:div>
                                                              </w:divsChild>
                                                            </w:div>
                                                            <w:div w:id="2050181666">
                                                              <w:marLeft w:val="0"/>
                                                              <w:marRight w:val="0"/>
                                                              <w:marTop w:val="0"/>
                                                              <w:marBottom w:val="0"/>
                                                              <w:divBdr>
                                                                <w:top w:val="none" w:sz="0" w:space="0" w:color="auto"/>
                                                                <w:left w:val="none" w:sz="0" w:space="0" w:color="auto"/>
                                                                <w:bottom w:val="none" w:sz="0" w:space="0" w:color="auto"/>
                                                                <w:right w:val="none" w:sz="0" w:space="0" w:color="auto"/>
                                                              </w:divBdr>
                                                              <w:divsChild>
                                                                <w:div w:id="1632788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5540061">
                                                      <w:marLeft w:val="0"/>
                                                      <w:marRight w:val="0"/>
                                                      <w:marTop w:val="0"/>
                                                      <w:marBottom w:val="0"/>
                                                      <w:divBdr>
                                                        <w:top w:val="none" w:sz="0" w:space="0" w:color="auto"/>
                                                        <w:left w:val="none" w:sz="0" w:space="0" w:color="auto"/>
                                                        <w:bottom w:val="none" w:sz="0" w:space="0" w:color="auto"/>
                                                        <w:right w:val="none" w:sz="0" w:space="0" w:color="auto"/>
                                                      </w:divBdr>
                                                      <w:divsChild>
                                                        <w:div w:id="1885629250">
                                                          <w:marLeft w:val="0"/>
                                                          <w:marRight w:val="0"/>
                                                          <w:marTop w:val="0"/>
                                                          <w:marBottom w:val="0"/>
                                                          <w:divBdr>
                                                            <w:top w:val="none" w:sz="0" w:space="0" w:color="auto"/>
                                                            <w:left w:val="none" w:sz="0" w:space="0" w:color="auto"/>
                                                            <w:bottom w:val="none" w:sz="0" w:space="0" w:color="auto"/>
                                                            <w:right w:val="none" w:sz="0" w:space="0" w:color="auto"/>
                                                          </w:divBdr>
                                                          <w:divsChild>
                                                            <w:div w:id="896742290">
                                                              <w:marLeft w:val="0"/>
                                                              <w:marRight w:val="0"/>
                                                              <w:marTop w:val="0"/>
                                                              <w:marBottom w:val="0"/>
                                                              <w:divBdr>
                                                                <w:top w:val="none" w:sz="0" w:space="0" w:color="auto"/>
                                                                <w:left w:val="none" w:sz="0" w:space="0" w:color="auto"/>
                                                                <w:bottom w:val="none" w:sz="0" w:space="0" w:color="auto"/>
                                                                <w:right w:val="none" w:sz="0" w:space="0" w:color="auto"/>
                                                              </w:divBdr>
                                                              <w:divsChild>
                                                                <w:div w:id="220599175">
                                                                  <w:marLeft w:val="0"/>
                                                                  <w:marRight w:val="0"/>
                                                                  <w:marTop w:val="0"/>
                                                                  <w:marBottom w:val="0"/>
                                                                  <w:divBdr>
                                                                    <w:top w:val="none" w:sz="0" w:space="0" w:color="auto"/>
                                                                    <w:left w:val="none" w:sz="0" w:space="0" w:color="auto"/>
                                                                    <w:bottom w:val="none" w:sz="0" w:space="0" w:color="auto"/>
                                                                    <w:right w:val="none" w:sz="0" w:space="0" w:color="auto"/>
                                                                  </w:divBdr>
                                                                </w:div>
                                                              </w:divsChild>
                                                            </w:div>
                                                            <w:div w:id="533661304">
                                                              <w:marLeft w:val="0"/>
                                                              <w:marRight w:val="0"/>
                                                              <w:marTop w:val="0"/>
                                                              <w:marBottom w:val="0"/>
                                                              <w:divBdr>
                                                                <w:top w:val="none" w:sz="0" w:space="0" w:color="auto"/>
                                                                <w:left w:val="none" w:sz="0" w:space="0" w:color="auto"/>
                                                                <w:bottom w:val="none" w:sz="0" w:space="0" w:color="auto"/>
                                                                <w:right w:val="none" w:sz="0" w:space="0" w:color="auto"/>
                                                              </w:divBdr>
                                                              <w:divsChild>
                                                                <w:div w:id="1569075731">
                                                                  <w:marLeft w:val="0"/>
                                                                  <w:marRight w:val="0"/>
                                                                  <w:marTop w:val="0"/>
                                                                  <w:marBottom w:val="0"/>
                                                                  <w:divBdr>
                                                                    <w:top w:val="none" w:sz="0" w:space="0" w:color="auto"/>
                                                                    <w:left w:val="none" w:sz="0" w:space="0" w:color="auto"/>
                                                                    <w:bottom w:val="none" w:sz="0" w:space="0" w:color="auto"/>
                                                                    <w:right w:val="none" w:sz="0" w:space="0" w:color="auto"/>
                                                                  </w:divBdr>
                                                                </w:div>
                                                              </w:divsChild>
                                                            </w:div>
                                                            <w:div w:id="948317878">
                                                              <w:marLeft w:val="0"/>
                                                              <w:marRight w:val="0"/>
                                                              <w:marTop w:val="0"/>
                                                              <w:marBottom w:val="0"/>
                                                              <w:divBdr>
                                                                <w:top w:val="none" w:sz="0" w:space="0" w:color="auto"/>
                                                                <w:left w:val="none" w:sz="0" w:space="0" w:color="auto"/>
                                                                <w:bottom w:val="none" w:sz="0" w:space="0" w:color="auto"/>
                                                                <w:right w:val="none" w:sz="0" w:space="0" w:color="auto"/>
                                                              </w:divBdr>
                                                              <w:divsChild>
                                                                <w:div w:id="1026521668">
                                                                  <w:marLeft w:val="0"/>
                                                                  <w:marRight w:val="0"/>
                                                                  <w:marTop w:val="0"/>
                                                                  <w:marBottom w:val="0"/>
                                                                  <w:divBdr>
                                                                    <w:top w:val="none" w:sz="0" w:space="0" w:color="auto"/>
                                                                    <w:left w:val="none" w:sz="0" w:space="0" w:color="auto"/>
                                                                    <w:bottom w:val="none" w:sz="0" w:space="0" w:color="auto"/>
                                                                    <w:right w:val="none" w:sz="0" w:space="0" w:color="auto"/>
                                                                  </w:divBdr>
                                                                </w:div>
                                                              </w:divsChild>
                                                            </w:div>
                                                            <w:div w:id="1933930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0664565">
                                                      <w:marLeft w:val="0"/>
                                                      <w:marRight w:val="0"/>
                                                      <w:marTop w:val="0"/>
                                                      <w:marBottom w:val="0"/>
                                                      <w:divBdr>
                                                        <w:top w:val="none" w:sz="0" w:space="0" w:color="auto"/>
                                                        <w:left w:val="none" w:sz="0" w:space="0" w:color="auto"/>
                                                        <w:bottom w:val="none" w:sz="0" w:space="0" w:color="auto"/>
                                                        <w:right w:val="none" w:sz="0" w:space="0" w:color="auto"/>
                                                      </w:divBdr>
                                                      <w:divsChild>
                                                        <w:div w:id="321274543">
                                                          <w:marLeft w:val="0"/>
                                                          <w:marRight w:val="0"/>
                                                          <w:marTop w:val="0"/>
                                                          <w:marBottom w:val="0"/>
                                                          <w:divBdr>
                                                            <w:top w:val="none" w:sz="0" w:space="0" w:color="auto"/>
                                                            <w:left w:val="none" w:sz="0" w:space="0" w:color="auto"/>
                                                            <w:bottom w:val="none" w:sz="0" w:space="0" w:color="auto"/>
                                                            <w:right w:val="none" w:sz="0" w:space="0" w:color="auto"/>
                                                          </w:divBdr>
                                                          <w:divsChild>
                                                            <w:div w:id="1286546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2876893">
                                                      <w:marLeft w:val="0"/>
                                                      <w:marRight w:val="0"/>
                                                      <w:marTop w:val="0"/>
                                                      <w:marBottom w:val="0"/>
                                                      <w:divBdr>
                                                        <w:top w:val="none" w:sz="0" w:space="0" w:color="auto"/>
                                                        <w:left w:val="none" w:sz="0" w:space="0" w:color="auto"/>
                                                        <w:bottom w:val="none" w:sz="0" w:space="0" w:color="auto"/>
                                                        <w:right w:val="none" w:sz="0" w:space="0" w:color="auto"/>
                                                      </w:divBdr>
                                                      <w:divsChild>
                                                        <w:div w:id="724183902">
                                                          <w:marLeft w:val="0"/>
                                                          <w:marRight w:val="0"/>
                                                          <w:marTop w:val="0"/>
                                                          <w:marBottom w:val="0"/>
                                                          <w:divBdr>
                                                            <w:top w:val="none" w:sz="0" w:space="0" w:color="auto"/>
                                                            <w:left w:val="none" w:sz="0" w:space="0" w:color="auto"/>
                                                            <w:bottom w:val="none" w:sz="0" w:space="0" w:color="auto"/>
                                                            <w:right w:val="none" w:sz="0" w:space="0" w:color="auto"/>
                                                          </w:divBdr>
                                                          <w:divsChild>
                                                            <w:div w:id="1900700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5280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402292688">
      <w:bodyDiv w:val="1"/>
      <w:marLeft w:val="0"/>
      <w:marRight w:val="0"/>
      <w:marTop w:val="0"/>
      <w:marBottom w:val="0"/>
      <w:divBdr>
        <w:top w:val="none" w:sz="0" w:space="0" w:color="auto"/>
        <w:left w:val="none" w:sz="0" w:space="0" w:color="auto"/>
        <w:bottom w:val="none" w:sz="0" w:space="0" w:color="auto"/>
        <w:right w:val="none" w:sz="0" w:space="0" w:color="auto"/>
      </w:divBdr>
      <w:divsChild>
        <w:div w:id="3672305">
          <w:marLeft w:val="1200"/>
          <w:marRight w:val="0"/>
          <w:marTop w:val="0"/>
          <w:marBottom w:val="0"/>
          <w:divBdr>
            <w:top w:val="none" w:sz="0" w:space="0" w:color="auto"/>
            <w:left w:val="none" w:sz="0" w:space="0" w:color="auto"/>
            <w:bottom w:val="none" w:sz="0" w:space="0" w:color="auto"/>
            <w:right w:val="none" w:sz="0" w:space="0" w:color="auto"/>
          </w:divBdr>
        </w:div>
        <w:div w:id="240531210">
          <w:marLeft w:val="1200"/>
          <w:marRight w:val="0"/>
          <w:marTop w:val="0"/>
          <w:marBottom w:val="0"/>
          <w:divBdr>
            <w:top w:val="none" w:sz="0" w:space="0" w:color="auto"/>
            <w:left w:val="none" w:sz="0" w:space="0" w:color="auto"/>
            <w:bottom w:val="none" w:sz="0" w:space="0" w:color="auto"/>
            <w:right w:val="none" w:sz="0" w:space="0" w:color="auto"/>
          </w:divBdr>
        </w:div>
        <w:div w:id="273832888">
          <w:marLeft w:val="0"/>
          <w:marRight w:val="0"/>
          <w:marTop w:val="0"/>
          <w:marBottom w:val="0"/>
          <w:divBdr>
            <w:top w:val="none" w:sz="0" w:space="0" w:color="auto"/>
            <w:left w:val="none" w:sz="0" w:space="0" w:color="auto"/>
            <w:bottom w:val="none" w:sz="0" w:space="0" w:color="auto"/>
            <w:right w:val="none" w:sz="0" w:space="0" w:color="auto"/>
          </w:divBdr>
        </w:div>
        <w:div w:id="277417910">
          <w:marLeft w:val="1800"/>
          <w:marRight w:val="0"/>
          <w:marTop w:val="0"/>
          <w:marBottom w:val="0"/>
          <w:divBdr>
            <w:top w:val="none" w:sz="0" w:space="0" w:color="auto"/>
            <w:left w:val="none" w:sz="0" w:space="0" w:color="auto"/>
            <w:bottom w:val="none" w:sz="0" w:space="0" w:color="auto"/>
            <w:right w:val="none" w:sz="0" w:space="0" w:color="auto"/>
          </w:divBdr>
        </w:div>
        <w:div w:id="288515660">
          <w:marLeft w:val="1800"/>
          <w:marRight w:val="0"/>
          <w:marTop w:val="0"/>
          <w:marBottom w:val="0"/>
          <w:divBdr>
            <w:top w:val="none" w:sz="0" w:space="0" w:color="auto"/>
            <w:left w:val="none" w:sz="0" w:space="0" w:color="auto"/>
            <w:bottom w:val="none" w:sz="0" w:space="0" w:color="auto"/>
            <w:right w:val="none" w:sz="0" w:space="0" w:color="auto"/>
          </w:divBdr>
        </w:div>
        <w:div w:id="482235352">
          <w:marLeft w:val="1680"/>
          <w:marRight w:val="0"/>
          <w:marTop w:val="0"/>
          <w:marBottom w:val="0"/>
          <w:divBdr>
            <w:top w:val="none" w:sz="0" w:space="0" w:color="auto"/>
            <w:left w:val="none" w:sz="0" w:space="0" w:color="auto"/>
            <w:bottom w:val="none" w:sz="0" w:space="0" w:color="auto"/>
            <w:right w:val="none" w:sz="0" w:space="0" w:color="auto"/>
          </w:divBdr>
        </w:div>
        <w:div w:id="511072466">
          <w:marLeft w:val="1800"/>
          <w:marRight w:val="0"/>
          <w:marTop w:val="0"/>
          <w:marBottom w:val="0"/>
          <w:divBdr>
            <w:top w:val="none" w:sz="0" w:space="0" w:color="auto"/>
            <w:left w:val="none" w:sz="0" w:space="0" w:color="auto"/>
            <w:bottom w:val="none" w:sz="0" w:space="0" w:color="auto"/>
            <w:right w:val="none" w:sz="0" w:space="0" w:color="auto"/>
          </w:divBdr>
        </w:div>
        <w:div w:id="536357470">
          <w:marLeft w:val="1200"/>
          <w:marRight w:val="0"/>
          <w:marTop w:val="0"/>
          <w:marBottom w:val="0"/>
          <w:divBdr>
            <w:top w:val="none" w:sz="0" w:space="0" w:color="auto"/>
            <w:left w:val="none" w:sz="0" w:space="0" w:color="auto"/>
            <w:bottom w:val="none" w:sz="0" w:space="0" w:color="auto"/>
            <w:right w:val="none" w:sz="0" w:space="0" w:color="auto"/>
          </w:divBdr>
        </w:div>
        <w:div w:id="547451559">
          <w:marLeft w:val="1800"/>
          <w:marRight w:val="0"/>
          <w:marTop w:val="0"/>
          <w:marBottom w:val="0"/>
          <w:divBdr>
            <w:top w:val="none" w:sz="0" w:space="0" w:color="auto"/>
            <w:left w:val="none" w:sz="0" w:space="0" w:color="auto"/>
            <w:bottom w:val="none" w:sz="0" w:space="0" w:color="auto"/>
            <w:right w:val="none" w:sz="0" w:space="0" w:color="auto"/>
          </w:divBdr>
        </w:div>
        <w:div w:id="671228157">
          <w:marLeft w:val="1200"/>
          <w:marRight w:val="0"/>
          <w:marTop w:val="0"/>
          <w:marBottom w:val="0"/>
          <w:divBdr>
            <w:top w:val="none" w:sz="0" w:space="0" w:color="auto"/>
            <w:left w:val="none" w:sz="0" w:space="0" w:color="auto"/>
            <w:bottom w:val="none" w:sz="0" w:space="0" w:color="auto"/>
            <w:right w:val="none" w:sz="0" w:space="0" w:color="auto"/>
          </w:divBdr>
        </w:div>
        <w:div w:id="709720976">
          <w:marLeft w:val="1200"/>
          <w:marRight w:val="0"/>
          <w:marTop w:val="0"/>
          <w:marBottom w:val="0"/>
          <w:divBdr>
            <w:top w:val="none" w:sz="0" w:space="0" w:color="auto"/>
            <w:left w:val="none" w:sz="0" w:space="0" w:color="auto"/>
            <w:bottom w:val="none" w:sz="0" w:space="0" w:color="auto"/>
            <w:right w:val="none" w:sz="0" w:space="0" w:color="auto"/>
          </w:divBdr>
        </w:div>
        <w:div w:id="726493785">
          <w:marLeft w:val="1200"/>
          <w:marRight w:val="0"/>
          <w:marTop w:val="0"/>
          <w:marBottom w:val="0"/>
          <w:divBdr>
            <w:top w:val="none" w:sz="0" w:space="0" w:color="auto"/>
            <w:left w:val="none" w:sz="0" w:space="0" w:color="auto"/>
            <w:bottom w:val="none" w:sz="0" w:space="0" w:color="auto"/>
            <w:right w:val="none" w:sz="0" w:space="0" w:color="auto"/>
          </w:divBdr>
        </w:div>
        <w:div w:id="777530751">
          <w:marLeft w:val="1920"/>
          <w:marRight w:val="0"/>
          <w:marTop w:val="0"/>
          <w:marBottom w:val="0"/>
          <w:divBdr>
            <w:top w:val="none" w:sz="0" w:space="0" w:color="auto"/>
            <w:left w:val="none" w:sz="0" w:space="0" w:color="auto"/>
            <w:bottom w:val="none" w:sz="0" w:space="0" w:color="auto"/>
            <w:right w:val="none" w:sz="0" w:space="0" w:color="auto"/>
          </w:divBdr>
        </w:div>
        <w:div w:id="824666237">
          <w:marLeft w:val="1200"/>
          <w:marRight w:val="0"/>
          <w:marTop w:val="0"/>
          <w:marBottom w:val="0"/>
          <w:divBdr>
            <w:top w:val="none" w:sz="0" w:space="0" w:color="auto"/>
            <w:left w:val="none" w:sz="0" w:space="0" w:color="auto"/>
            <w:bottom w:val="none" w:sz="0" w:space="0" w:color="auto"/>
            <w:right w:val="none" w:sz="0" w:space="0" w:color="auto"/>
          </w:divBdr>
        </w:div>
        <w:div w:id="971404167">
          <w:marLeft w:val="1680"/>
          <w:marRight w:val="0"/>
          <w:marTop w:val="0"/>
          <w:marBottom w:val="0"/>
          <w:divBdr>
            <w:top w:val="none" w:sz="0" w:space="0" w:color="auto"/>
            <w:left w:val="none" w:sz="0" w:space="0" w:color="auto"/>
            <w:bottom w:val="none" w:sz="0" w:space="0" w:color="auto"/>
            <w:right w:val="none" w:sz="0" w:space="0" w:color="auto"/>
          </w:divBdr>
        </w:div>
        <w:div w:id="1010185164">
          <w:marLeft w:val="600"/>
          <w:marRight w:val="0"/>
          <w:marTop w:val="0"/>
          <w:marBottom w:val="0"/>
          <w:divBdr>
            <w:top w:val="none" w:sz="0" w:space="0" w:color="auto"/>
            <w:left w:val="none" w:sz="0" w:space="0" w:color="auto"/>
            <w:bottom w:val="none" w:sz="0" w:space="0" w:color="auto"/>
            <w:right w:val="none" w:sz="0" w:space="0" w:color="auto"/>
          </w:divBdr>
        </w:div>
        <w:div w:id="1060179713">
          <w:marLeft w:val="1200"/>
          <w:marRight w:val="0"/>
          <w:marTop w:val="0"/>
          <w:marBottom w:val="0"/>
          <w:divBdr>
            <w:top w:val="none" w:sz="0" w:space="0" w:color="auto"/>
            <w:left w:val="none" w:sz="0" w:space="0" w:color="auto"/>
            <w:bottom w:val="none" w:sz="0" w:space="0" w:color="auto"/>
            <w:right w:val="none" w:sz="0" w:space="0" w:color="auto"/>
          </w:divBdr>
        </w:div>
        <w:div w:id="1093013694">
          <w:marLeft w:val="1800"/>
          <w:marRight w:val="0"/>
          <w:marTop w:val="0"/>
          <w:marBottom w:val="0"/>
          <w:divBdr>
            <w:top w:val="none" w:sz="0" w:space="0" w:color="auto"/>
            <w:left w:val="none" w:sz="0" w:space="0" w:color="auto"/>
            <w:bottom w:val="none" w:sz="0" w:space="0" w:color="auto"/>
            <w:right w:val="none" w:sz="0" w:space="0" w:color="auto"/>
          </w:divBdr>
        </w:div>
        <w:div w:id="1135223926">
          <w:marLeft w:val="600"/>
          <w:marRight w:val="0"/>
          <w:marTop w:val="0"/>
          <w:marBottom w:val="0"/>
          <w:divBdr>
            <w:top w:val="none" w:sz="0" w:space="0" w:color="auto"/>
            <w:left w:val="none" w:sz="0" w:space="0" w:color="auto"/>
            <w:bottom w:val="none" w:sz="0" w:space="0" w:color="auto"/>
            <w:right w:val="none" w:sz="0" w:space="0" w:color="auto"/>
          </w:divBdr>
        </w:div>
        <w:div w:id="1248265745">
          <w:marLeft w:val="1200"/>
          <w:marRight w:val="0"/>
          <w:marTop w:val="0"/>
          <w:marBottom w:val="0"/>
          <w:divBdr>
            <w:top w:val="none" w:sz="0" w:space="0" w:color="auto"/>
            <w:left w:val="none" w:sz="0" w:space="0" w:color="auto"/>
            <w:bottom w:val="none" w:sz="0" w:space="0" w:color="auto"/>
            <w:right w:val="none" w:sz="0" w:space="0" w:color="auto"/>
          </w:divBdr>
        </w:div>
        <w:div w:id="1259556314">
          <w:marLeft w:val="1200"/>
          <w:marRight w:val="0"/>
          <w:marTop w:val="0"/>
          <w:marBottom w:val="0"/>
          <w:divBdr>
            <w:top w:val="none" w:sz="0" w:space="0" w:color="auto"/>
            <w:left w:val="none" w:sz="0" w:space="0" w:color="auto"/>
            <w:bottom w:val="none" w:sz="0" w:space="0" w:color="auto"/>
            <w:right w:val="none" w:sz="0" w:space="0" w:color="auto"/>
          </w:divBdr>
        </w:div>
        <w:div w:id="1279066988">
          <w:marLeft w:val="600"/>
          <w:marRight w:val="0"/>
          <w:marTop w:val="0"/>
          <w:marBottom w:val="0"/>
          <w:divBdr>
            <w:top w:val="none" w:sz="0" w:space="0" w:color="auto"/>
            <w:left w:val="none" w:sz="0" w:space="0" w:color="auto"/>
            <w:bottom w:val="none" w:sz="0" w:space="0" w:color="auto"/>
            <w:right w:val="none" w:sz="0" w:space="0" w:color="auto"/>
          </w:divBdr>
        </w:div>
        <w:div w:id="1301229747">
          <w:marLeft w:val="600"/>
          <w:marRight w:val="0"/>
          <w:marTop w:val="0"/>
          <w:marBottom w:val="0"/>
          <w:divBdr>
            <w:top w:val="none" w:sz="0" w:space="0" w:color="auto"/>
            <w:left w:val="none" w:sz="0" w:space="0" w:color="auto"/>
            <w:bottom w:val="none" w:sz="0" w:space="0" w:color="auto"/>
            <w:right w:val="none" w:sz="0" w:space="0" w:color="auto"/>
          </w:divBdr>
        </w:div>
        <w:div w:id="1435781658">
          <w:marLeft w:val="1800"/>
          <w:marRight w:val="0"/>
          <w:marTop w:val="0"/>
          <w:marBottom w:val="0"/>
          <w:divBdr>
            <w:top w:val="none" w:sz="0" w:space="0" w:color="auto"/>
            <w:left w:val="none" w:sz="0" w:space="0" w:color="auto"/>
            <w:bottom w:val="none" w:sz="0" w:space="0" w:color="auto"/>
            <w:right w:val="none" w:sz="0" w:space="0" w:color="auto"/>
          </w:divBdr>
        </w:div>
        <w:div w:id="1674071089">
          <w:marLeft w:val="1200"/>
          <w:marRight w:val="0"/>
          <w:marTop w:val="0"/>
          <w:marBottom w:val="0"/>
          <w:divBdr>
            <w:top w:val="none" w:sz="0" w:space="0" w:color="auto"/>
            <w:left w:val="none" w:sz="0" w:space="0" w:color="auto"/>
            <w:bottom w:val="none" w:sz="0" w:space="0" w:color="auto"/>
            <w:right w:val="none" w:sz="0" w:space="0" w:color="auto"/>
          </w:divBdr>
        </w:div>
        <w:div w:id="1846553735">
          <w:marLeft w:val="1680"/>
          <w:marRight w:val="0"/>
          <w:marTop w:val="0"/>
          <w:marBottom w:val="0"/>
          <w:divBdr>
            <w:top w:val="none" w:sz="0" w:space="0" w:color="auto"/>
            <w:left w:val="none" w:sz="0" w:space="0" w:color="auto"/>
            <w:bottom w:val="none" w:sz="0" w:space="0" w:color="auto"/>
            <w:right w:val="none" w:sz="0" w:space="0" w:color="auto"/>
          </w:divBdr>
        </w:div>
        <w:div w:id="1934782313">
          <w:marLeft w:val="1200"/>
          <w:marRight w:val="0"/>
          <w:marTop w:val="0"/>
          <w:marBottom w:val="0"/>
          <w:divBdr>
            <w:top w:val="none" w:sz="0" w:space="0" w:color="auto"/>
            <w:left w:val="none" w:sz="0" w:space="0" w:color="auto"/>
            <w:bottom w:val="none" w:sz="0" w:space="0" w:color="auto"/>
            <w:right w:val="none" w:sz="0" w:space="0" w:color="auto"/>
          </w:divBdr>
        </w:div>
        <w:div w:id="1987124334">
          <w:marLeft w:val="1200"/>
          <w:marRight w:val="0"/>
          <w:marTop w:val="0"/>
          <w:marBottom w:val="0"/>
          <w:divBdr>
            <w:top w:val="none" w:sz="0" w:space="0" w:color="auto"/>
            <w:left w:val="none" w:sz="0" w:space="0" w:color="auto"/>
            <w:bottom w:val="none" w:sz="0" w:space="0" w:color="auto"/>
            <w:right w:val="none" w:sz="0" w:space="0" w:color="auto"/>
          </w:divBdr>
        </w:div>
        <w:div w:id="2142336754">
          <w:marLeft w:val="1680"/>
          <w:marRight w:val="0"/>
          <w:marTop w:val="0"/>
          <w:marBottom w:val="0"/>
          <w:divBdr>
            <w:top w:val="none" w:sz="0" w:space="0" w:color="auto"/>
            <w:left w:val="none" w:sz="0" w:space="0" w:color="auto"/>
            <w:bottom w:val="none" w:sz="0" w:space="0" w:color="auto"/>
            <w:right w:val="none" w:sz="0" w:space="0" w:color="auto"/>
          </w:divBdr>
        </w:div>
        <w:div w:id="2147116017">
          <w:marLeft w:val="600"/>
          <w:marRight w:val="0"/>
          <w:marTop w:val="0"/>
          <w:marBottom w:val="0"/>
          <w:divBdr>
            <w:top w:val="none" w:sz="0" w:space="0" w:color="auto"/>
            <w:left w:val="none" w:sz="0" w:space="0" w:color="auto"/>
            <w:bottom w:val="none" w:sz="0" w:space="0" w:color="auto"/>
            <w:right w:val="none" w:sz="0" w:space="0" w:color="auto"/>
          </w:divBdr>
        </w:div>
      </w:divsChild>
    </w:div>
    <w:div w:id="446201666">
      <w:bodyDiv w:val="1"/>
      <w:marLeft w:val="0"/>
      <w:marRight w:val="0"/>
      <w:marTop w:val="0"/>
      <w:marBottom w:val="0"/>
      <w:divBdr>
        <w:top w:val="none" w:sz="0" w:space="0" w:color="auto"/>
        <w:left w:val="none" w:sz="0" w:space="0" w:color="auto"/>
        <w:bottom w:val="none" w:sz="0" w:space="0" w:color="auto"/>
        <w:right w:val="none" w:sz="0" w:space="0" w:color="auto"/>
      </w:divBdr>
      <w:divsChild>
        <w:div w:id="156264693">
          <w:marLeft w:val="0"/>
          <w:marRight w:val="0"/>
          <w:marTop w:val="0"/>
          <w:marBottom w:val="0"/>
          <w:divBdr>
            <w:top w:val="none" w:sz="0" w:space="0" w:color="auto"/>
            <w:left w:val="none" w:sz="0" w:space="0" w:color="auto"/>
            <w:bottom w:val="none" w:sz="0" w:space="0" w:color="auto"/>
            <w:right w:val="none" w:sz="0" w:space="0" w:color="auto"/>
          </w:divBdr>
          <w:divsChild>
            <w:div w:id="1361318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3260203">
      <w:bodyDiv w:val="1"/>
      <w:marLeft w:val="0"/>
      <w:marRight w:val="0"/>
      <w:marTop w:val="0"/>
      <w:marBottom w:val="0"/>
      <w:divBdr>
        <w:top w:val="none" w:sz="0" w:space="0" w:color="auto"/>
        <w:left w:val="none" w:sz="0" w:space="0" w:color="auto"/>
        <w:bottom w:val="none" w:sz="0" w:space="0" w:color="auto"/>
        <w:right w:val="none" w:sz="0" w:space="0" w:color="auto"/>
      </w:divBdr>
      <w:divsChild>
        <w:div w:id="2005472206">
          <w:marLeft w:val="300"/>
          <w:marRight w:val="0"/>
          <w:marTop w:val="0"/>
          <w:marBottom w:val="0"/>
          <w:divBdr>
            <w:top w:val="none" w:sz="0" w:space="0" w:color="auto"/>
            <w:left w:val="none" w:sz="0" w:space="0" w:color="auto"/>
            <w:bottom w:val="none" w:sz="0" w:space="0" w:color="auto"/>
            <w:right w:val="none" w:sz="0" w:space="0" w:color="auto"/>
          </w:divBdr>
        </w:div>
        <w:div w:id="1578319799">
          <w:marLeft w:val="300"/>
          <w:marRight w:val="0"/>
          <w:marTop w:val="0"/>
          <w:marBottom w:val="0"/>
          <w:divBdr>
            <w:top w:val="none" w:sz="0" w:space="0" w:color="auto"/>
            <w:left w:val="none" w:sz="0" w:space="0" w:color="auto"/>
            <w:bottom w:val="none" w:sz="0" w:space="0" w:color="auto"/>
            <w:right w:val="none" w:sz="0" w:space="0" w:color="auto"/>
          </w:divBdr>
        </w:div>
        <w:div w:id="1549494914">
          <w:marLeft w:val="300"/>
          <w:marRight w:val="0"/>
          <w:marTop w:val="0"/>
          <w:marBottom w:val="0"/>
          <w:divBdr>
            <w:top w:val="none" w:sz="0" w:space="0" w:color="auto"/>
            <w:left w:val="none" w:sz="0" w:space="0" w:color="auto"/>
            <w:bottom w:val="none" w:sz="0" w:space="0" w:color="auto"/>
            <w:right w:val="none" w:sz="0" w:space="0" w:color="auto"/>
          </w:divBdr>
        </w:div>
      </w:divsChild>
    </w:div>
    <w:div w:id="474756916">
      <w:bodyDiv w:val="1"/>
      <w:marLeft w:val="0"/>
      <w:marRight w:val="0"/>
      <w:marTop w:val="0"/>
      <w:marBottom w:val="0"/>
      <w:divBdr>
        <w:top w:val="none" w:sz="0" w:space="0" w:color="auto"/>
        <w:left w:val="none" w:sz="0" w:space="0" w:color="auto"/>
        <w:bottom w:val="none" w:sz="0" w:space="0" w:color="auto"/>
        <w:right w:val="none" w:sz="0" w:space="0" w:color="auto"/>
      </w:divBdr>
      <w:divsChild>
        <w:div w:id="1919944632">
          <w:marLeft w:val="0"/>
          <w:marRight w:val="0"/>
          <w:marTop w:val="150"/>
          <w:marBottom w:val="168"/>
          <w:divBdr>
            <w:top w:val="none" w:sz="0" w:space="0" w:color="auto"/>
            <w:left w:val="none" w:sz="0" w:space="0" w:color="auto"/>
            <w:bottom w:val="none" w:sz="0" w:space="0" w:color="auto"/>
            <w:right w:val="none" w:sz="0" w:space="0" w:color="auto"/>
          </w:divBdr>
        </w:div>
        <w:div w:id="626357871">
          <w:marLeft w:val="0"/>
          <w:marRight w:val="0"/>
          <w:marTop w:val="0"/>
          <w:marBottom w:val="0"/>
          <w:divBdr>
            <w:top w:val="none" w:sz="0" w:space="0" w:color="auto"/>
            <w:left w:val="none" w:sz="0" w:space="0" w:color="auto"/>
            <w:bottom w:val="none" w:sz="0" w:space="0" w:color="auto"/>
            <w:right w:val="none" w:sz="0" w:space="0" w:color="auto"/>
          </w:divBdr>
          <w:divsChild>
            <w:div w:id="399257500">
              <w:marLeft w:val="0"/>
              <w:marRight w:val="0"/>
              <w:marTop w:val="0"/>
              <w:marBottom w:val="0"/>
              <w:divBdr>
                <w:top w:val="none" w:sz="0" w:space="0" w:color="auto"/>
                <w:left w:val="none" w:sz="0" w:space="0" w:color="auto"/>
                <w:bottom w:val="none" w:sz="0" w:space="0" w:color="auto"/>
                <w:right w:val="none" w:sz="0" w:space="0" w:color="auto"/>
              </w:divBdr>
            </w:div>
            <w:div w:id="1285959611">
              <w:marLeft w:val="0"/>
              <w:marRight w:val="0"/>
              <w:marTop w:val="0"/>
              <w:marBottom w:val="0"/>
              <w:divBdr>
                <w:top w:val="none" w:sz="0" w:space="0" w:color="auto"/>
                <w:left w:val="none" w:sz="0" w:space="0" w:color="auto"/>
                <w:bottom w:val="none" w:sz="0" w:space="0" w:color="auto"/>
                <w:right w:val="none" w:sz="0" w:space="0" w:color="auto"/>
              </w:divBdr>
              <w:divsChild>
                <w:div w:id="37331595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5806679">
      <w:marLeft w:val="0"/>
      <w:marRight w:val="0"/>
      <w:marTop w:val="0"/>
      <w:marBottom w:val="0"/>
      <w:divBdr>
        <w:top w:val="none" w:sz="0" w:space="0" w:color="auto"/>
        <w:left w:val="none" w:sz="0" w:space="0" w:color="auto"/>
        <w:bottom w:val="none" w:sz="0" w:space="0" w:color="auto"/>
        <w:right w:val="none" w:sz="0" w:space="0" w:color="auto"/>
      </w:divBdr>
    </w:div>
    <w:div w:id="495806680">
      <w:marLeft w:val="0"/>
      <w:marRight w:val="0"/>
      <w:marTop w:val="0"/>
      <w:marBottom w:val="0"/>
      <w:divBdr>
        <w:top w:val="none" w:sz="0" w:space="0" w:color="auto"/>
        <w:left w:val="none" w:sz="0" w:space="0" w:color="auto"/>
        <w:bottom w:val="none" w:sz="0" w:space="0" w:color="auto"/>
        <w:right w:val="none" w:sz="0" w:space="0" w:color="auto"/>
      </w:divBdr>
    </w:div>
    <w:div w:id="495806681">
      <w:marLeft w:val="0"/>
      <w:marRight w:val="0"/>
      <w:marTop w:val="0"/>
      <w:marBottom w:val="0"/>
      <w:divBdr>
        <w:top w:val="none" w:sz="0" w:space="0" w:color="auto"/>
        <w:left w:val="none" w:sz="0" w:space="0" w:color="auto"/>
        <w:bottom w:val="none" w:sz="0" w:space="0" w:color="auto"/>
        <w:right w:val="none" w:sz="0" w:space="0" w:color="auto"/>
      </w:divBdr>
    </w:div>
    <w:div w:id="495806682">
      <w:marLeft w:val="0"/>
      <w:marRight w:val="0"/>
      <w:marTop w:val="0"/>
      <w:marBottom w:val="0"/>
      <w:divBdr>
        <w:top w:val="none" w:sz="0" w:space="0" w:color="auto"/>
        <w:left w:val="none" w:sz="0" w:space="0" w:color="auto"/>
        <w:bottom w:val="none" w:sz="0" w:space="0" w:color="auto"/>
        <w:right w:val="none" w:sz="0" w:space="0" w:color="auto"/>
      </w:divBdr>
    </w:div>
    <w:div w:id="495806683">
      <w:marLeft w:val="0"/>
      <w:marRight w:val="0"/>
      <w:marTop w:val="0"/>
      <w:marBottom w:val="0"/>
      <w:divBdr>
        <w:top w:val="none" w:sz="0" w:space="0" w:color="auto"/>
        <w:left w:val="none" w:sz="0" w:space="0" w:color="auto"/>
        <w:bottom w:val="none" w:sz="0" w:space="0" w:color="auto"/>
        <w:right w:val="none" w:sz="0" w:space="0" w:color="auto"/>
      </w:divBdr>
    </w:div>
    <w:div w:id="495806684">
      <w:marLeft w:val="0"/>
      <w:marRight w:val="0"/>
      <w:marTop w:val="0"/>
      <w:marBottom w:val="0"/>
      <w:divBdr>
        <w:top w:val="none" w:sz="0" w:space="0" w:color="auto"/>
        <w:left w:val="none" w:sz="0" w:space="0" w:color="auto"/>
        <w:bottom w:val="none" w:sz="0" w:space="0" w:color="auto"/>
        <w:right w:val="none" w:sz="0" w:space="0" w:color="auto"/>
      </w:divBdr>
    </w:div>
    <w:div w:id="495806685">
      <w:marLeft w:val="0"/>
      <w:marRight w:val="0"/>
      <w:marTop w:val="0"/>
      <w:marBottom w:val="0"/>
      <w:divBdr>
        <w:top w:val="none" w:sz="0" w:space="0" w:color="auto"/>
        <w:left w:val="none" w:sz="0" w:space="0" w:color="auto"/>
        <w:bottom w:val="none" w:sz="0" w:space="0" w:color="auto"/>
        <w:right w:val="none" w:sz="0" w:space="0" w:color="auto"/>
      </w:divBdr>
    </w:div>
    <w:div w:id="495806686">
      <w:marLeft w:val="0"/>
      <w:marRight w:val="0"/>
      <w:marTop w:val="0"/>
      <w:marBottom w:val="0"/>
      <w:divBdr>
        <w:top w:val="none" w:sz="0" w:space="0" w:color="auto"/>
        <w:left w:val="none" w:sz="0" w:space="0" w:color="auto"/>
        <w:bottom w:val="none" w:sz="0" w:space="0" w:color="auto"/>
        <w:right w:val="none" w:sz="0" w:space="0" w:color="auto"/>
      </w:divBdr>
    </w:div>
    <w:div w:id="495806687">
      <w:marLeft w:val="0"/>
      <w:marRight w:val="0"/>
      <w:marTop w:val="0"/>
      <w:marBottom w:val="0"/>
      <w:divBdr>
        <w:top w:val="none" w:sz="0" w:space="0" w:color="auto"/>
        <w:left w:val="none" w:sz="0" w:space="0" w:color="auto"/>
        <w:bottom w:val="none" w:sz="0" w:space="0" w:color="auto"/>
        <w:right w:val="none" w:sz="0" w:space="0" w:color="auto"/>
      </w:divBdr>
    </w:div>
    <w:div w:id="495806689">
      <w:marLeft w:val="0"/>
      <w:marRight w:val="0"/>
      <w:marTop w:val="0"/>
      <w:marBottom w:val="0"/>
      <w:divBdr>
        <w:top w:val="none" w:sz="0" w:space="0" w:color="auto"/>
        <w:left w:val="none" w:sz="0" w:space="0" w:color="auto"/>
        <w:bottom w:val="none" w:sz="0" w:space="0" w:color="auto"/>
        <w:right w:val="none" w:sz="0" w:space="0" w:color="auto"/>
      </w:divBdr>
    </w:div>
    <w:div w:id="495806690">
      <w:marLeft w:val="0"/>
      <w:marRight w:val="0"/>
      <w:marTop w:val="0"/>
      <w:marBottom w:val="0"/>
      <w:divBdr>
        <w:top w:val="none" w:sz="0" w:space="0" w:color="auto"/>
        <w:left w:val="none" w:sz="0" w:space="0" w:color="auto"/>
        <w:bottom w:val="none" w:sz="0" w:space="0" w:color="auto"/>
        <w:right w:val="none" w:sz="0" w:space="0" w:color="auto"/>
      </w:divBdr>
    </w:div>
    <w:div w:id="495806691">
      <w:marLeft w:val="0"/>
      <w:marRight w:val="0"/>
      <w:marTop w:val="0"/>
      <w:marBottom w:val="0"/>
      <w:divBdr>
        <w:top w:val="none" w:sz="0" w:space="0" w:color="auto"/>
        <w:left w:val="none" w:sz="0" w:space="0" w:color="auto"/>
        <w:bottom w:val="none" w:sz="0" w:space="0" w:color="auto"/>
        <w:right w:val="none" w:sz="0" w:space="0" w:color="auto"/>
      </w:divBdr>
    </w:div>
    <w:div w:id="495806693">
      <w:marLeft w:val="0"/>
      <w:marRight w:val="0"/>
      <w:marTop w:val="0"/>
      <w:marBottom w:val="0"/>
      <w:divBdr>
        <w:top w:val="none" w:sz="0" w:space="0" w:color="auto"/>
        <w:left w:val="none" w:sz="0" w:space="0" w:color="auto"/>
        <w:bottom w:val="none" w:sz="0" w:space="0" w:color="auto"/>
        <w:right w:val="none" w:sz="0" w:space="0" w:color="auto"/>
      </w:divBdr>
    </w:div>
    <w:div w:id="495806694">
      <w:marLeft w:val="0"/>
      <w:marRight w:val="0"/>
      <w:marTop w:val="0"/>
      <w:marBottom w:val="0"/>
      <w:divBdr>
        <w:top w:val="none" w:sz="0" w:space="0" w:color="auto"/>
        <w:left w:val="none" w:sz="0" w:space="0" w:color="auto"/>
        <w:bottom w:val="none" w:sz="0" w:space="0" w:color="auto"/>
        <w:right w:val="none" w:sz="0" w:space="0" w:color="auto"/>
      </w:divBdr>
    </w:div>
    <w:div w:id="495806695">
      <w:marLeft w:val="0"/>
      <w:marRight w:val="0"/>
      <w:marTop w:val="0"/>
      <w:marBottom w:val="0"/>
      <w:divBdr>
        <w:top w:val="none" w:sz="0" w:space="0" w:color="auto"/>
        <w:left w:val="none" w:sz="0" w:space="0" w:color="auto"/>
        <w:bottom w:val="none" w:sz="0" w:space="0" w:color="auto"/>
        <w:right w:val="none" w:sz="0" w:space="0" w:color="auto"/>
      </w:divBdr>
    </w:div>
    <w:div w:id="495806696">
      <w:marLeft w:val="0"/>
      <w:marRight w:val="0"/>
      <w:marTop w:val="0"/>
      <w:marBottom w:val="0"/>
      <w:divBdr>
        <w:top w:val="none" w:sz="0" w:space="0" w:color="auto"/>
        <w:left w:val="none" w:sz="0" w:space="0" w:color="auto"/>
        <w:bottom w:val="none" w:sz="0" w:space="0" w:color="auto"/>
        <w:right w:val="none" w:sz="0" w:space="0" w:color="auto"/>
      </w:divBdr>
    </w:div>
    <w:div w:id="495806697">
      <w:marLeft w:val="0"/>
      <w:marRight w:val="0"/>
      <w:marTop w:val="0"/>
      <w:marBottom w:val="0"/>
      <w:divBdr>
        <w:top w:val="none" w:sz="0" w:space="0" w:color="auto"/>
        <w:left w:val="none" w:sz="0" w:space="0" w:color="auto"/>
        <w:bottom w:val="none" w:sz="0" w:space="0" w:color="auto"/>
        <w:right w:val="none" w:sz="0" w:space="0" w:color="auto"/>
      </w:divBdr>
      <w:divsChild>
        <w:div w:id="495806747">
          <w:marLeft w:val="0"/>
          <w:marRight w:val="0"/>
          <w:marTop w:val="0"/>
          <w:marBottom w:val="0"/>
          <w:divBdr>
            <w:top w:val="none" w:sz="0" w:space="0" w:color="auto"/>
            <w:left w:val="none" w:sz="0" w:space="0" w:color="auto"/>
            <w:bottom w:val="none" w:sz="0" w:space="0" w:color="auto"/>
            <w:right w:val="none" w:sz="0" w:space="0" w:color="auto"/>
          </w:divBdr>
        </w:div>
      </w:divsChild>
    </w:div>
    <w:div w:id="495806698">
      <w:marLeft w:val="0"/>
      <w:marRight w:val="0"/>
      <w:marTop w:val="0"/>
      <w:marBottom w:val="0"/>
      <w:divBdr>
        <w:top w:val="none" w:sz="0" w:space="0" w:color="auto"/>
        <w:left w:val="none" w:sz="0" w:space="0" w:color="auto"/>
        <w:bottom w:val="none" w:sz="0" w:space="0" w:color="auto"/>
        <w:right w:val="none" w:sz="0" w:space="0" w:color="auto"/>
      </w:divBdr>
    </w:div>
    <w:div w:id="495806699">
      <w:marLeft w:val="0"/>
      <w:marRight w:val="0"/>
      <w:marTop w:val="0"/>
      <w:marBottom w:val="0"/>
      <w:divBdr>
        <w:top w:val="none" w:sz="0" w:space="0" w:color="auto"/>
        <w:left w:val="none" w:sz="0" w:space="0" w:color="auto"/>
        <w:bottom w:val="none" w:sz="0" w:space="0" w:color="auto"/>
        <w:right w:val="none" w:sz="0" w:space="0" w:color="auto"/>
      </w:divBdr>
    </w:div>
    <w:div w:id="495806700">
      <w:marLeft w:val="0"/>
      <w:marRight w:val="0"/>
      <w:marTop w:val="0"/>
      <w:marBottom w:val="0"/>
      <w:divBdr>
        <w:top w:val="none" w:sz="0" w:space="0" w:color="auto"/>
        <w:left w:val="none" w:sz="0" w:space="0" w:color="auto"/>
        <w:bottom w:val="none" w:sz="0" w:space="0" w:color="auto"/>
        <w:right w:val="none" w:sz="0" w:space="0" w:color="auto"/>
      </w:divBdr>
    </w:div>
    <w:div w:id="495806701">
      <w:marLeft w:val="0"/>
      <w:marRight w:val="0"/>
      <w:marTop w:val="0"/>
      <w:marBottom w:val="0"/>
      <w:divBdr>
        <w:top w:val="none" w:sz="0" w:space="0" w:color="auto"/>
        <w:left w:val="none" w:sz="0" w:space="0" w:color="auto"/>
        <w:bottom w:val="none" w:sz="0" w:space="0" w:color="auto"/>
        <w:right w:val="none" w:sz="0" w:space="0" w:color="auto"/>
      </w:divBdr>
    </w:div>
    <w:div w:id="495806702">
      <w:marLeft w:val="0"/>
      <w:marRight w:val="0"/>
      <w:marTop w:val="0"/>
      <w:marBottom w:val="0"/>
      <w:divBdr>
        <w:top w:val="none" w:sz="0" w:space="0" w:color="auto"/>
        <w:left w:val="none" w:sz="0" w:space="0" w:color="auto"/>
        <w:bottom w:val="none" w:sz="0" w:space="0" w:color="auto"/>
        <w:right w:val="none" w:sz="0" w:space="0" w:color="auto"/>
      </w:divBdr>
    </w:div>
    <w:div w:id="495806703">
      <w:marLeft w:val="0"/>
      <w:marRight w:val="0"/>
      <w:marTop w:val="0"/>
      <w:marBottom w:val="0"/>
      <w:divBdr>
        <w:top w:val="none" w:sz="0" w:space="0" w:color="auto"/>
        <w:left w:val="none" w:sz="0" w:space="0" w:color="auto"/>
        <w:bottom w:val="none" w:sz="0" w:space="0" w:color="auto"/>
        <w:right w:val="none" w:sz="0" w:space="0" w:color="auto"/>
      </w:divBdr>
    </w:div>
    <w:div w:id="495806704">
      <w:marLeft w:val="0"/>
      <w:marRight w:val="0"/>
      <w:marTop w:val="0"/>
      <w:marBottom w:val="0"/>
      <w:divBdr>
        <w:top w:val="none" w:sz="0" w:space="0" w:color="auto"/>
        <w:left w:val="none" w:sz="0" w:space="0" w:color="auto"/>
        <w:bottom w:val="none" w:sz="0" w:space="0" w:color="auto"/>
        <w:right w:val="none" w:sz="0" w:space="0" w:color="auto"/>
      </w:divBdr>
    </w:div>
    <w:div w:id="495806705">
      <w:marLeft w:val="0"/>
      <w:marRight w:val="0"/>
      <w:marTop w:val="0"/>
      <w:marBottom w:val="0"/>
      <w:divBdr>
        <w:top w:val="none" w:sz="0" w:space="0" w:color="auto"/>
        <w:left w:val="none" w:sz="0" w:space="0" w:color="auto"/>
        <w:bottom w:val="none" w:sz="0" w:space="0" w:color="auto"/>
        <w:right w:val="none" w:sz="0" w:space="0" w:color="auto"/>
      </w:divBdr>
    </w:div>
    <w:div w:id="495806706">
      <w:marLeft w:val="0"/>
      <w:marRight w:val="0"/>
      <w:marTop w:val="0"/>
      <w:marBottom w:val="0"/>
      <w:divBdr>
        <w:top w:val="none" w:sz="0" w:space="0" w:color="auto"/>
        <w:left w:val="none" w:sz="0" w:space="0" w:color="auto"/>
        <w:bottom w:val="none" w:sz="0" w:space="0" w:color="auto"/>
        <w:right w:val="none" w:sz="0" w:space="0" w:color="auto"/>
      </w:divBdr>
    </w:div>
    <w:div w:id="495806707">
      <w:marLeft w:val="0"/>
      <w:marRight w:val="0"/>
      <w:marTop w:val="0"/>
      <w:marBottom w:val="0"/>
      <w:divBdr>
        <w:top w:val="none" w:sz="0" w:space="0" w:color="auto"/>
        <w:left w:val="none" w:sz="0" w:space="0" w:color="auto"/>
        <w:bottom w:val="none" w:sz="0" w:space="0" w:color="auto"/>
        <w:right w:val="none" w:sz="0" w:space="0" w:color="auto"/>
      </w:divBdr>
    </w:div>
    <w:div w:id="495806708">
      <w:marLeft w:val="0"/>
      <w:marRight w:val="0"/>
      <w:marTop w:val="0"/>
      <w:marBottom w:val="0"/>
      <w:divBdr>
        <w:top w:val="none" w:sz="0" w:space="0" w:color="auto"/>
        <w:left w:val="none" w:sz="0" w:space="0" w:color="auto"/>
        <w:bottom w:val="none" w:sz="0" w:space="0" w:color="auto"/>
        <w:right w:val="none" w:sz="0" w:space="0" w:color="auto"/>
      </w:divBdr>
    </w:div>
    <w:div w:id="495806709">
      <w:marLeft w:val="0"/>
      <w:marRight w:val="0"/>
      <w:marTop w:val="0"/>
      <w:marBottom w:val="0"/>
      <w:divBdr>
        <w:top w:val="none" w:sz="0" w:space="0" w:color="auto"/>
        <w:left w:val="none" w:sz="0" w:space="0" w:color="auto"/>
        <w:bottom w:val="none" w:sz="0" w:space="0" w:color="auto"/>
        <w:right w:val="none" w:sz="0" w:space="0" w:color="auto"/>
      </w:divBdr>
    </w:div>
    <w:div w:id="495806710">
      <w:marLeft w:val="0"/>
      <w:marRight w:val="0"/>
      <w:marTop w:val="0"/>
      <w:marBottom w:val="0"/>
      <w:divBdr>
        <w:top w:val="none" w:sz="0" w:space="0" w:color="auto"/>
        <w:left w:val="none" w:sz="0" w:space="0" w:color="auto"/>
        <w:bottom w:val="none" w:sz="0" w:space="0" w:color="auto"/>
        <w:right w:val="none" w:sz="0" w:space="0" w:color="auto"/>
      </w:divBdr>
    </w:div>
    <w:div w:id="495806711">
      <w:marLeft w:val="0"/>
      <w:marRight w:val="0"/>
      <w:marTop w:val="0"/>
      <w:marBottom w:val="0"/>
      <w:divBdr>
        <w:top w:val="none" w:sz="0" w:space="0" w:color="auto"/>
        <w:left w:val="none" w:sz="0" w:space="0" w:color="auto"/>
        <w:bottom w:val="none" w:sz="0" w:space="0" w:color="auto"/>
        <w:right w:val="none" w:sz="0" w:space="0" w:color="auto"/>
      </w:divBdr>
    </w:div>
    <w:div w:id="495806712">
      <w:marLeft w:val="0"/>
      <w:marRight w:val="0"/>
      <w:marTop w:val="0"/>
      <w:marBottom w:val="0"/>
      <w:divBdr>
        <w:top w:val="none" w:sz="0" w:space="0" w:color="auto"/>
        <w:left w:val="none" w:sz="0" w:space="0" w:color="auto"/>
        <w:bottom w:val="none" w:sz="0" w:space="0" w:color="auto"/>
        <w:right w:val="none" w:sz="0" w:space="0" w:color="auto"/>
      </w:divBdr>
    </w:div>
    <w:div w:id="495806713">
      <w:marLeft w:val="0"/>
      <w:marRight w:val="0"/>
      <w:marTop w:val="0"/>
      <w:marBottom w:val="0"/>
      <w:divBdr>
        <w:top w:val="none" w:sz="0" w:space="0" w:color="auto"/>
        <w:left w:val="none" w:sz="0" w:space="0" w:color="auto"/>
        <w:bottom w:val="none" w:sz="0" w:space="0" w:color="auto"/>
        <w:right w:val="none" w:sz="0" w:space="0" w:color="auto"/>
      </w:divBdr>
    </w:div>
    <w:div w:id="495806714">
      <w:marLeft w:val="0"/>
      <w:marRight w:val="0"/>
      <w:marTop w:val="0"/>
      <w:marBottom w:val="0"/>
      <w:divBdr>
        <w:top w:val="none" w:sz="0" w:space="0" w:color="auto"/>
        <w:left w:val="none" w:sz="0" w:space="0" w:color="auto"/>
        <w:bottom w:val="none" w:sz="0" w:space="0" w:color="auto"/>
        <w:right w:val="none" w:sz="0" w:space="0" w:color="auto"/>
      </w:divBdr>
    </w:div>
    <w:div w:id="495806715">
      <w:marLeft w:val="0"/>
      <w:marRight w:val="0"/>
      <w:marTop w:val="0"/>
      <w:marBottom w:val="0"/>
      <w:divBdr>
        <w:top w:val="none" w:sz="0" w:space="0" w:color="auto"/>
        <w:left w:val="none" w:sz="0" w:space="0" w:color="auto"/>
        <w:bottom w:val="none" w:sz="0" w:space="0" w:color="auto"/>
        <w:right w:val="none" w:sz="0" w:space="0" w:color="auto"/>
      </w:divBdr>
    </w:div>
    <w:div w:id="495806716">
      <w:marLeft w:val="0"/>
      <w:marRight w:val="0"/>
      <w:marTop w:val="0"/>
      <w:marBottom w:val="0"/>
      <w:divBdr>
        <w:top w:val="none" w:sz="0" w:space="0" w:color="auto"/>
        <w:left w:val="none" w:sz="0" w:space="0" w:color="auto"/>
        <w:bottom w:val="none" w:sz="0" w:space="0" w:color="auto"/>
        <w:right w:val="none" w:sz="0" w:space="0" w:color="auto"/>
      </w:divBdr>
    </w:div>
    <w:div w:id="495806717">
      <w:marLeft w:val="0"/>
      <w:marRight w:val="0"/>
      <w:marTop w:val="0"/>
      <w:marBottom w:val="0"/>
      <w:divBdr>
        <w:top w:val="none" w:sz="0" w:space="0" w:color="auto"/>
        <w:left w:val="none" w:sz="0" w:space="0" w:color="auto"/>
        <w:bottom w:val="none" w:sz="0" w:space="0" w:color="auto"/>
        <w:right w:val="none" w:sz="0" w:space="0" w:color="auto"/>
      </w:divBdr>
    </w:div>
    <w:div w:id="495806718">
      <w:marLeft w:val="0"/>
      <w:marRight w:val="0"/>
      <w:marTop w:val="0"/>
      <w:marBottom w:val="0"/>
      <w:divBdr>
        <w:top w:val="none" w:sz="0" w:space="0" w:color="auto"/>
        <w:left w:val="none" w:sz="0" w:space="0" w:color="auto"/>
        <w:bottom w:val="none" w:sz="0" w:space="0" w:color="auto"/>
        <w:right w:val="none" w:sz="0" w:space="0" w:color="auto"/>
      </w:divBdr>
    </w:div>
    <w:div w:id="495806719">
      <w:marLeft w:val="0"/>
      <w:marRight w:val="0"/>
      <w:marTop w:val="0"/>
      <w:marBottom w:val="0"/>
      <w:divBdr>
        <w:top w:val="none" w:sz="0" w:space="0" w:color="auto"/>
        <w:left w:val="none" w:sz="0" w:space="0" w:color="auto"/>
        <w:bottom w:val="none" w:sz="0" w:space="0" w:color="auto"/>
        <w:right w:val="none" w:sz="0" w:space="0" w:color="auto"/>
      </w:divBdr>
    </w:div>
    <w:div w:id="495806720">
      <w:marLeft w:val="0"/>
      <w:marRight w:val="0"/>
      <w:marTop w:val="0"/>
      <w:marBottom w:val="0"/>
      <w:divBdr>
        <w:top w:val="none" w:sz="0" w:space="0" w:color="auto"/>
        <w:left w:val="none" w:sz="0" w:space="0" w:color="auto"/>
        <w:bottom w:val="none" w:sz="0" w:space="0" w:color="auto"/>
        <w:right w:val="none" w:sz="0" w:space="0" w:color="auto"/>
      </w:divBdr>
    </w:div>
    <w:div w:id="495806721">
      <w:marLeft w:val="0"/>
      <w:marRight w:val="0"/>
      <w:marTop w:val="0"/>
      <w:marBottom w:val="0"/>
      <w:divBdr>
        <w:top w:val="none" w:sz="0" w:space="0" w:color="auto"/>
        <w:left w:val="none" w:sz="0" w:space="0" w:color="auto"/>
        <w:bottom w:val="none" w:sz="0" w:space="0" w:color="auto"/>
        <w:right w:val="none" w:sz="0" w:space="0" w:color="auto"/>
      </w:divBdr>
    </w:div>
    <w:div w:id="495806722">
      <w:marLeft w:val="0"/>
      <w:marRight w:val="0"/>
      <w:marTop w:val="0"/>
      <w:marBottom w:val="0"/>
      <w:divBdr>
        <w:top w:val="none" w:sz="0" w:space="0" w:color="auto"/>
        <w:left w:val="none" w:sz="0" w:space="0" w:color="auto"/>
        <w:bottom w:val="none" w:sz="0" w:space="0" w:color="auto"/>
        <w:right w:val="none" w:sz="0" w:space="0" w:color="auto"/>
      </w:divBdr>
    </w:div>
    <w:div w:id="495806723">
      <w:marLeft w:val="0"/>
      <w:marRight w:val="0"/>
      <w:marTop w:val="0"/>
      <w:marBottom w:val="0"/>
      <w:divBdr>
        <w:top w:val="none" w:sz="0" w:space="0" w:color="auto"/>
        <w:left w:val="none" w:sz="0" w:space="0" w:color="auto"/>
        <w:bottom w:val="none" w:sz="0" w:space="0" w:color="auto"/>
        <w:right w:val="none" w:sz="0" w:space="0" w:color="auto"/>
      </w:divBdr>
    </w:div>
    <w:div w:id="495806724">
      <w:marLeft w:val="0"/>
      <w:marRight w:val="0"/>
      <w:marTop w:val="0"/>
      <w:marBottom w:val="0"/>
      <w:divBdr>
        <w:top w:val="none" w:sz="0" w:space="0" w:color="auto"/>
        <w:left w:val="none" w:sz="0" w:space="0" w:color="auto"/>
        <w:bottom w:val="none" w:sz="0" w:space="0" w:color="auto"/>
        <w:right w:val="none" w:sz="0" w:space="0" w:color="auto"/>
      </w:divBdr>
    </w:div>
    <w:div w:id="495806725">
      <w:marLeft w:val="0"/>
      <w:marRight w:val="0"/>
      <w:marTop w:val="0"/>
      <w:marBottom w:val="0"/>
      <w:divBdr>
        <w:top w:val="none" w:sz="0" w:space="0" w:color="auto"/>
        <w:left w:val="none" w:sz="0" w:space="0" w:color="auto"/>
        <w:bottom w:val="none" w:sz="0" w:space="0" w:color="auto"/>
        <w:right w:val="none" w:sz="0" w:space="0" w:color="auto"/>
      </w:divBdr>
    </w:div>
    <w:div w:id="495806727">
      <w:marLeft w:val="0"/>
      <w:marRight w:val="0"/>
      <w:marTop w:val="0"/>
      <w:marBottom w:val="0"/>
      <w:divBdr>
        <w:top w:val="none" w:sz="0" w:space="0" w:color="auto"/>
        <w:left w:val="none" w:sz="0" w:space="0" w:color="auto"/>
        <w:bottom w:val="none" w:sz="0" w:space="0" w:color="auto"/>
        <w:right w:val="none" w:sz="0" w:space="0" w:color="auto"/>
      </w:divBdr>
    </w:div>
    <w:div w:id="495806728">
      <w:marLeft w:val="0"/>
      <w:marRight w:val="0"/>
      <w:marTop w:val="0"/>
      <w:marBottom w:val="0"/>
      <w:divBdr>
        <w:top w:val="none" w:sz="0" w:space="0" w:color="auto"/>
        <w:left w:val="none" w:sz="0" w:space="0" w:color="auto"/>
        <w:bottom w:val="none" w:sz="0" w:space="0" w:color="auto"/>
        <w:right w:val="none" w:sz="0" w:space="0" w:color="auto"/>
      </w:divBdr>
    </w:div>
    <w:div w:id="495806729">
      <w:marLeft w:val="0"/>
      <w:marRight w:val="0"/>
      <w:marTop w:val="0"/>
      <w:marBottom w:val="0"/>
      <w:divBdr>
        <w:top w:val="none" w:sz="0" w:space="0" w:color="auto"/>
        <w:left w:val="none" w:sz="0" w:space="0" w:color="auto"/>
        <w:bottom w:val="none" w:sz="0" w:space="0" w:color="auto"/>
        <w:right w:val="none" w:sz="0" w:space="0" w:color="auto"/>
      </w:divBdr>
    </w:div>
    <w:div w:id="495806733">
      <w:marLeft w:val="0"/>
      <w:marRight w:val="0"/>
      <w:marTop w:val="0"/>
      <w:marBottom w:val="0"/>
      <w:divBdr>
        <w:top w:val="none" w:sz="0" w:space="0" w:color="auto"/>
        <w:left w:val="none" w:sz="0" w:space="0" w:color="auto"/>
        <w:bottom w:val="none" w:sz="0" w:space="0" w:color="auto"/>
        <w:right w:val="none" w:sz="0" w:space="0" w:color="auto"/>
      </w:divBdr>
    </w:div>
    <w:div w:id="495806734">
      <w:marLeft w:val="0"/>
      <w:marRight w:val="0"/>
      <w:marTop w:val="0"/>
      <w:marBottom w:val="0"/>
      <w:divBdr>
        <w:top w:val="none" w:sz="0" w:space="0" w:color="auto"/>
        <w:left w:val="none" w:sz="0" w:space="0" w:color="auto"/>
        <w:bottom w:val="none" w:sz="0" w:space="0" w:color="auto"/>
        <w:right w:val="none" w:sz="0" w:space="0" w:color="auto"/>
      </w:divBdr>
    </w:div>
    <w:div w:id="495806735">
      <w:marLeft w:val="0"/>
      <w:marRight w:val="0"/>
      <w:marTop w:val="0"/>
      <w:marBottom w:val="0"/>
      <w:divBdr>
        <w:top w:val="none" w:sz="0" w:space="0" w:color="auto"/>
        <w:left w:val="none" w:sz="0" w:space="0" w:color="auto"/>
        <w:bottom w:val="none" w:sz="0" w:space="0" w:color="auto"/>
        <w:right w:val="none" w:sz="0" w:space="0" w:color="auto"/>
      </w:divBdr>
    </w:div>
    <w:div w:id="495806736">
      <w:marLeft w:val="0"/>
      <w:marRight w:val="0"/>
      <w:marTop w:val="0"/>
      <w:marBottom w:val="0"/>
      <w:divBdr>
        <w:top w:val="none" w:sz="0" w:space="0" w:color="auto"/>
        <w:left w:val="none" w:sz="0" w:space="0" w:color="auto"/>
        <w:bottom w:val="none" w:sz="0" w:space="0" w:color="auto"/>
        <w:right w:val="none" w:sz="0" w:space="0" w:color="auto"/>
      </w:divBdr>
    </w:div>
    <w:div w:id="495806738">
      <w:marLeft w:val="0"/>
      <w:marRight w:val="0"/>
      <w:marTop w:val="0"/>
      <w:marBottom w:val="0"/>
      <w:divBdr>
        <w:top w:val="none" w:sz="0" w:space="0" w:color="auto"/>
        <w:left w:val="none" w:sz="0" w:space="0" w:color="auto"/>
        <w:bottom w:val="none" w:sz="0" w:space="0" w:color="auto"/>
        <w:right w:val="none" w:sz="0" w:space="0" w:color="auto"/>
      </w:divBdr>
    </w:div>
    <w:div w:id="495806739">
      <w:marLeft w:val="0"/>
      <w:marRight w:val="0"/>
      <w:marTop w:val="0"/>
      <w:marBottom w:val="0"/>
      <w:divBdr>
        <w:top w:val="none" w:sz="0" w:space="0" w:color="auto"/>
        <w:left w:val="none" w:sz="0" w:space="0" w:color="auto"/>
        <w:bottom w:val="none" w:sz="0" w:space="0" w:color="auto"/>
        <w:right w:val="none" w:sz="0" w:space="0" w:color="auto"/>
      </w:divBdr>
    </w:div>
    <w:div w:id="495806740">
      <w:marLeft w:val="0"/>
      <w:marRight w:val="0"/>
      <w:marTop w:val="0"/>
      <w:marBottom w:val="0"/>
      <w:divBdr>
        <w:top w:val="none" w:sz="0" w:space="0" w:color="auto"/>
        <w:left w:val="none" w:sz="0" w:space="0" w:color="auto"/>
        <w:bottom w:val="none" w:sz="0" w:space="0" w:color="auto"/>
        <w:right w:val="none" w:sz="0" w:space="0" w:color="auto"/>
      </w:divBdr>
    </w:div>
    <w:div w:id="495806741">
      <w:marLeft w:val="0"/>
      <w:marRight w:val="0"/>
      <w:marTop w:val="0"/>
      <w:marBottom w:val="0"/>
      <w:divBdr>
        <w:top w:val="none" w:sz="0" w:space="0" w:color="auto"/>
        <w:left w:val="none" w:sz="0" w:space="0" w:color="auto"/>
        <w:bottom w:val="none" w:sz="0" w:space="0" w:color="auto"/>
        <w:right w:val="none" w:sz="0" w:space="0" w:color="auto"/>
      </w:divBdr>
    </w:div>
    <w:div w:id="495806742">
      <w:marLeft w:val="0"/>
      <w:marRight w:val="0"/>
      <w:marTop w:val="0"/>
      <w:marBottom w:val="0"/>
      <w:divBdr>
        <w:top w:val="none" w:sz="0" w:space="0" w:color="auto"/>
        <w:left w:val="none" w:sz="0" w:space="0" w:color="auto"/>
        <w:bottom w:val="none" w:sz="0" w:space="0" w:color="auto"/>
        <w:right w:val="none" w:sz="0" w:space="0" w:color="auto"/>
      </w:divBdr>
    </w:div>
    <w:div w:id="495806743">
      <w:marLeft w:val="0"/>
      <w:marRight w:val="0"/>
      <w:marTop w:val="0"/>
      <w:marBottom w:val="0"/>
      <w:divBdr>
        <w:top w:val="none" w:sz="0" w:space="0" w:color="auto"/>
        <w:left w:val="none" w:sz="0" w:space="0" w:color="auto"/>
        <w:bottom w:val="none" w:sz="0" w:space="0" w:color="auto"/>
        <w:right w:val="none" w:sz="0" w:space="0" w:color="auto"/>
      </w:divBdr>
    </w:div>
    <w:div w:id="495806744">
      <w:marLeft w:val="0"/>
      <w:marRight w:val="0"/>
      <w:marTop w:val="0"/>
      <w:marBottom w:val="0"/>
      <w:divBdr>
        <w:top w:val="none" w:sz="0" w:space="0" w:color="auto"/>
        <w:left w:val="none" w:sz="0" w:space="0" w:color="auto"/>
        <w:bottom w:val="none" w:sz="0" w:space="0" w:color="auto"/>
        <w:right w:val="none" w:sz="0" w:space="0" w:color="auto"/>
      </w:divBdr>
    </w:div>
    <w:div w:id="495806745">
      <w:marLeft w:val="0"/>
      <w:marRight w:val="0"/>
      <w:marTop w:val="0"/>
      <w:marBottom w:val="0"/>
      <w:divBdr>
        <w:top w:val="none" w:sz="0" w:space="0" w:color="auto"/>
        <w:left w:val="none" w:sz="0" w:space="0" w:color="auto"/>
        <w:bottom w:val="none" w:sz="0" w:space="0" w:color="auto"/>
        <w:right w:val="none" w:sz="0" w:space="0" w:color="auto"/>
      </w:divBdr>
    </w:div>
    <w:div w:id="495806746">
      <w:marLeft w:val="0"/>
      <w:marRight w:val="0"/>
      <w:marTop w:val="0"/>
      <w:marBottom w:val="0"/>
      <w:divBdr>
        <w:top w:val="none" w:sz="0" w:space="0" w:color="auto"/>
        <w:left w:val="none" w:sz="0" w:space="0" w:color="auto"/>
        <w:bottom w:val="none" w:sz="0" w:space="0" w:color="auto"/>
        <w:right w:val="none" w:sz="0" w:space="0" w:color="auto"/>
      </w:divBdr>
    </w:div>
    <w:div w:id="495806748">
      <w:marLeft w:val="0"/>
      <w:marRight w:val="0"/>
      <w:marTop w:val="0"/>
      <w:marBottom w:val="0"/>
      <w:divBdr>
        <w:top w:val="none" w:sz="0" w:space="0" w:color="auto"/>
        <w:left w:val="none" w:sz="0" w:space="0" w:color="auto"/>
        <w:bottom w:val="none" w:sz="0" w:space="0" w:color="auto"/>
        <w:right w:val="none" w:sz="0" w:space="0" w:color="auto"/>
      </w:divBdr>
    </w:div>
    <w:div w:id="495806749">
      <w:marLeft w:val="0"/>
      <w:marRight w:val="0"/>
      <w:marTop w:val="0"/>
      <w:marBottom w:val="0"/>
      <w:divBdr>
        <w:top w:val="none" w:sz="0" w:space="0" w:color="auto"/>
        <w:left w:val="none" w:sz="0" w:space="0" w:color="auto"/>
        <w:bottom w:val="none" w:sz="0" w:space="0" w:color="auto"/>
        <w:right w:val="none" w:sz="0" w:space="0" w:color="auto"/>
      </w:divBdr>
    </w:div>
    <w:div w:id="495806750">
      <w:marLeft w:val="0"/>
      <w:marRight w:val="0"/>
      <w:marTop w:val="0"/>
      <w:marBottom w:val="0"/>
      <w:divBdr>
        <w:top w:val="none" w:sz="0" w:space="0" w:color="auto"/>
        <w:left w:val="none" w:sz="0" w:space="0" w:color="auto"/>
        <w:bottom w:val="none" w:sz="0" w:space="0" w:color="auto"/>
        <w:right w:val="none" w:sz="0" w:space="0" w:color="auto"/>
      </w:divBdr>
    </w:div>
    <w:div w:id="495806751">
      <w:marLeft w:val="0"/>
      <w:marRight w:val="0"/>
      <w:marTop w:val="0"/>
      <w:marBottom w:val="0"/>
      <w:divBdr>
        <w:top w:val="none" w:sz="0" w:space="0" w:color="auto"/>
        <w:left w:val="none" w:sz="0" w:space="0" w:color="auto"/>
        <w:bottom w:val="none" w:sz="0" w:space="0" w:color="auto"/>
        <w:right w:val="none" w:sz="0" w:space="0" w:color="auto"/>
      </w:divBdr>
    </w:div>
    <w:div w:id="495806752">
      <w:marLeft w:val="0"/>
      <w:marRight w:val="0"/>
      <w:marTop w:val="0"/>
      <w:marBottom w:val="0"/>
      <w:divBdr>
        <w:top w:val="none" w:sz="0" w:space="0" w:color="auto"/>
        <w:left w:val="none" w:sz="0" w:space="0" w:color="auto"/>
        <w:bottom w:val="none" w:sz="0" w:space="0" w:color="auto"/>
        <w:right w:val="none" w:sz="0" w:space="0" w:color="auto"/>
      </w:divBdr>
    </w:div>
    <w:div w:id="495806753">
      <w:marLeft w:val="0"/>
      <w:marRight w:val="0"/>
      <w:marTop w:val="0"/>
      <w:marBottom w:val="0"/>
      <w:divBdr>
        <w:top w:val="none" w:sz="0" w:space="0" w:color="auto"/>
        <w:left w:val="none" w:sz="0" w:space="0" w:color="auto"/>
        <w:bottom w:val="none" w:sz="0" w:space="0" w:color="auto"/>
        <w:right w:val="none" w:sz="0" w:space="0" w:color="auto"/>
      </w:divBdr>
    </w:div>
    <w:div w:id="495806754">
      <w:marLeft w:val="0"/>
      <w:marRight w:val="0"/>
      <w:marTop w:val="0"/>
      <w:marBottom w:val="0"/>
      <w:divBdr>
        <w:top w:val="none" w:sz="0" w:space="0" w:color="auto"/>
        <w:left w:val="none" w:sz="0" w:space="0" w:color="auto"/>
        <w:bottom w:val="none" w:sz="0" w:space="0" w:color="auto"/>
        <w:right w:val="none" w:sz="0" w:space="0" w:color="auto"/>
      </w:divBdr>
    </w:div>
    <w:div w:id="495806755">
      <w:marLeft w:val="0"/>
      <w:marRight w:val="0"/>
      <w:marTop w:val="0"/>
      <w:marBottom w:val="0"/>
      <w:divBdr>
        <w:top w:val="none" w:sz="0" w:space="0" w:color="auto"/>
        <w:left w:val="none" w:sz="0" w:space="0" w:color="auto"/>
        <w:bottom w:val="none" w:sz="0" w:space="0" w:color="auto"/>
        <w:right w:val="none" w:sz="0" w:space="0" w:color="auto"/>
      </w:divBdr>
      <w:divsChild>
        <w:div w:id="495806688">
          <w:marLeft w:val="840"/>
          <w:marRight w:val="0"/>
          <w:marTop w:val="0"/>
          <w:marBottom w:val="0"/>
          <w:divBdr>
            <w:top w:val="none" w:sz="0" w:space="0" w:color="auto"/>
            <w:left w:val="none" w:sz="0" w:space="0" w:color="auto"/>
            <w:bottom w:val="none" w:sz="0" w:space="0" w:color="auto"/>
            <w:right w:val="none" w:sz="0" w:space="0" w:color="auto"/>
          </w:divBdr>
        </w:div>
        <w:div w:id="495806692">
          <w:marLeft w:val="0"/>
          <w:marRight w:val="0"/>
          <w:marTop w:val="0"/>
          <w:marBottom w:val="0"/>
          <w:divBdr>
            <w:top w:val="none" w:sz="0" w:space="0" w:color="auto"/>
            <w:left w:val="none" w:sz="0" w:space="0" w:color="auto"/>
            <w:bottom w:val="none" w:sz="0" w:space="0" w:color="auto"/>
            <w:right w:val="none" w:sz="0" w:space="0" w:color="auto"/>
          </w:divBdr>
        </w:div>
        <w:div w:id="495806726">
          <w:marLeft w:val="1560"/>
          <w:marRight w:val="0"/>
          <w:marTop w:val="0"/>
          <w:marBottom w:val="0"/>
          <w:divBdr>
            <w:top w:val="none" w:sz="0" w:space="0" w:color="auto"/>
            <w:left w:val="none" w:sz="0" w:space="0" w:color="auto"/>
            <w:bottom w:val="none" w:sz="0" w:space="0" w:color="auto"/>
            <w:right w:val="none" w:sz="0" w:space="0" w:color="auto"/>
          </w:divBdr>
        </w:div>
        <w:div w:id="495806731">
          <w:marLeft w:val="840"/>
          <w:marRight w:val="0"/>
          <w:marTop w:val="0"/>
          <w:marBottom w:val="0"/>
          <w:divBdr>
            <w:top w:val="none" w:sz="0" w:space="0" w:color="auto"/>
            <w:left w:val="none" w:sz="0" w:space="0" w:color="auto"/>
            <w:bottom w:val="none" w:sz="0" w:space="0" w:color="auto"/>
            <w:right w:val="none" w:sz="0" w:space="0" w:color="auto"/>
          </w:divBdr>
        </w:div>
        <w:div w:id="495806732">
          <w:marLeft w:val="0"/>
          <w:marRight w:val="0"/>
          <w:marTop w:val="0"/>
          <w:marBottom w:val="0"/>
          <w:divBdr>
            <w:top w:val="none" w:sz="0" w:space="0" w:color="auto"/>
            <w:left w:val="none" w:sz="0" w:space="0" w:color="auto"/>
            <w:bottom w:val="none" w:sz="0" w:space="0" w:color="auto"/>
            <w:right w:val="none" w:sz="0" w:space="0" w:color="auto"/>
          </w:divBdr>
        </w:div>
        <w:div w:id="495806737">
          <w:marLeft w:val="1560"/>
          <w:marRight w:val="0"/>
          <w:marTop w:val="0"/>
          <w:marBottom w:val="0"/>
          <w:divBdr>
            <w:top w:val="none" w:sz="0" w:space="0" w:color="auto"/>
            <w:left w:val="none" w:sz="0" w:space="0" w:color="auto"/>
            <w:bottom w:val="none" w:sz="0" w:space="0" w:color="auto"/>
            <w:right w:val="none" w:sz="0" w:space="0" w:color="auto"/>
          </w:divBdr>
        </w:div>
        <w:div w:id="495806763">
          <w:marLeft w:val="1560"/>
          <w:marRight w:val="0"/>
          <w:marTop w:val="0"/>
          <w:marBottom w:val="0"/>
          <w:divBdr>
            <w:top w:val="none" w:sz="0" w:space="0" w:color="auto"/>
            <w:left w:val="none" w:sz="0" w:space="0" w:color="auto"/>
            <w:bottom w:val="none" w:sz="0" w:space="0" w:color="auto"/>
            <w:right w:val="none" w:sz="0" w:space="0" w:color="auto"/>
          </w:divBdr>
        </w:div>
        <w:div w:id="495806766">
          <w:marLeft w:val="840"/>
          <w:marRight w:val="0"/>
          <w:marTop w:val="0"/>
          <w:marBottom w:val="0"/>
          <w:divBdr>
            <w:top w:val="none" w:sz="0" w:space="0" w:color="auto"/>
            <w:left w:val="none" w:sz="0" w:space="0" w:color="auto"/>
            <w:bottom w:val="none" w:sz="0" w:space="0" w:color="auto"/>
            <w:right w:val="none" w:sz="0" w:space="0" w:color="auto"/>
          </w:divBdr>
        </w:div>
      </w:divsChild>
    </w:div>
    <w:div w:id="495806756">
      <w:marLeft w:val="0"/>
      <w:marRight w:val="0"/>
      <w:marTop w:val="0"/>
      <w:marBottom w:val="0"/>
      <w:divBdr>
        <w:top w:val="none" w:sz="0" w:space="0" w:color="auto"/>
        <w:left w:val="none" w:sz="0" w:space="0" w:color="auto"/>
        <w:bottom w:val="none" w:sz="0" w:space="0" w:color="auto"/>
        <w:right w:val="none" w:sz="0" w:space="0" w:color="auto"/>
      </w:divBdr>
      <w:divsChild>
        <w:div w:id="495806730">
          <w:marLeft w:val="0"/>
          <w:marRight w:val="0"/>
          <w:marTop w:val="0"/>
          <w:marBottom w:val="0"/>
          <w:divBdr>
            <w:top w:val="none" w:sz="0" w:space="0" w:color="auto"/>
            <w:left w:val="none" w:sz="0" w:space="0" w:color="auto"/>
            <w:bottom w:val="none" w:sz="0" w:space="0" w:color="auto"/>
            <w:right w:val="none" w:sz="0" w:space="0" w:color="auto"/>
          </w:divBdr>
        </w:div>
        <w:div w:id="495806764">
          <w:marLeft w:val="0"/>
          <w:marRight w:val="0"/>
          <w:marTop w:val="0"/>
          <w:marBottom w:val="0"/>
          <w:divBdr>
            <w:top w:val="none" w:sz="0" w:space="0" w:color="auto"/>
            <w:left w:val="none" w:sz="0" w:space="0" w:color="auto"/>
            <w:bottom w:val="none" w:sz="0" w:space="0" w:color="auto"/>
            <w:right w:val="none" w:sz="0" w:space="0" w:color="auto"/>
          </w:divBdr>
        </w:div>
      </w:divsChild>
    </w:div>
    <w:div w:id="495806757">
      <w:marLeft w:val="0"/>
      <w:marRight w:val="0"/>
      <w:marTop w:val="0"/>
      <w:marBottom w:val="0"/>
      <w:divBdr>
        <w:top w:val="none" w:sz="0" w:space="0" w:color="auto"/>
        <w:left w:val="none" w:sz="0" w:space="0" w:color="auto"/>
        <w:bottom w:val="none" w:sz="0" w:space="0" w:color="auto"/>
        <w:right w:val="none" w:sz="0" w:space="0" w:color="auto"/>
      </w:divBdr>
    </w:div>
    <w:div w:id="495806758">
      <w:marLeft w:val="0"/>
      <w:marRight w:val="0"/>
      <w:marTop w:val="0"/>
      <w:marBottom w:val="0"/>
      <w:divBdr>
        <w:top w:val="none" w:sz="0" w:space="0" w:color="auto"/>
        <w:left w:val="none" w:sz="0" w:space="0" w:color="auto"/>
        <w:bottom w:val="none" w:sz="0" w:space="0" w:color="auto"/>
        <w:right w:val="none" w:sz="0" w:space="0" w:color="auto"/>
      </w:divBdr>
    </w:div>
    <w:div w:id="495806759">
      <w:marLeft w:val="0"/>
      <w:marRight w:val="0"/>
      <w:marTop w:val="0"/>
      <w:marBottom w:val="0"/>
      <w:divBdr>
        <w:top w:val="none" w:sz="0" w:space="0" w:color="auto"/>
        <w:left w:val="none" w:sz="0" w:space="0" w:color="auto"/>
        <w:bottom w:val="none" w:sz="0" w:space="0" w:color="auto"/>
        <w:right w:val="none" w:sz="0" w:space="0" w:color="auto"/>
      </w:divBdr>
    </w:div>
    <w:div w:id="495806760">
      <w:marLeft w:val="0"/>
      <w:marRight w:val="0"/>
      <w:marTop w:val="0"/>
      <w:marBottom w:val="0"/>
      <w:divBdr>
        <w:top w:val="none" w:sz="0" w:space="0" w:color="auto"/>
        <w:left w:val="none" w:sz="0" w:space="0" w:color="auto"/>
        <w:bottom w:val="none" w:sz="0" w:space="0" w:color="auto"/>
        <w:right w:val="none" w:sz="0" w:space="0" w:color="auto"/>
      </w:divBdr>
    </w:div>
    <w:div w:id="495806761">
      <w:marLeft w:val="0"/>
      <w:marRight w:val="0"/>
      <w:marTop w:val="0"/>
      <w:marBottom w:val="0"/>
      <w:divBdr>
        <w:top w:val="none" w:sz="0" w:space="0" w:color="auto"/>
        <w:left w:val="none" w:sz="0" w:space="0" w:color="auto"/>
        <w:bottom w:val="none" w:sz="0" w:space="0" w:color="auto"/>
        <w:right w:val="none" w:sz="0" w:space="0" w:color="auto"/>
      </w:divBdr>
    </w:div>
    <w:div w:id="495806762">
      <w:marLeft w:val="0"/>
      <w:marRight w:val="0"/>
      <w:marTop w:val="0"/>
      <w:marBottom w:val="0"/>
      <w:divBdr>
        <w:top w:val="none" w:sz="0" w:space="0" w:color="auto"/>
        <w:left w:val="none" w:sz="0" w:space="0" w:color="auto"/>
        <w:bottom w:val="none" w:sz="0" w:space="0" w:color="auto"/>
        <w:right w:val="none" w:sz="0" w:space="0" w:color="auto"/>
      </w:divBdr>
    </w:div>
    <w:div w:id="495806765">
      <w:marLeft w:val="0"/>
      <w:marRight w:val="0"/>
      <w:marTop w:val="0"/>
      <w:marBottom w:val="0"/>
      <w:divBdr>
        <w:top w:val="none" w:sz="0" w:space="0" w:color="auto"/>
        <w:left w:val="none" w:sz="0" w:space="0" w:color="auto"/>
        <w:bottom w:val="none" w:sz="0" w:space="0" w:color="auto"/>
        <w:right w:val="none" w:sz="0" w:space="0" w:color="auto"/>
      </w:divBdr>
    </w:div>
    <w:div w:id="504056244">
      <w:bodyDiv w:val="1"/>
      <w:marLeft w:val="0"/>
      <w:marRight w:val="0"/>
      <w:marTop w:val="0"/>
      <w:marBottom w:val="0"/>
      <w:divBdr>
        <w:top w:val="none" w:sz="0" w:space="0" w:color="auto"/>
        <w:left w:val="none" w:sz="0" w:space="0" w:color="auto"/>
        <w:bottom w:val="none" w:sz="0" w:space="0" w:color="auto"/>
        <w:right w:val="none" w:sz="0" w:space="0" w:color="auto"/>
      </w:divBdr>
      <w:divsChild>
        <w:div w:id="1763337973">
          <w:marLeft w:val="0"/>
          <w:marRight w:val="0"/>
          <w:marTop w:val="0"/>
          <w:marBottom w:val="0"/>
          <w:divBdr>
            <w:top w:val="none" w:sz="0" w:space="0" w:color="auto"/>
            <w:left w:val="none" w:sz="0" w:space="0" w:color="auto"/>
            <w:bottom w:val="none" w:sz="0" w:space="0" w:color="auto"/>
            <w:right w:val="none" w:sz="0" w:space="0" w:color="auto"/>
          </w:divBdr>
        </w:div>
        <w:div w:id="1980303311">
          <w:marLeft w:val="0"/>
          <w:marRight w:val="0"/>
          <w:marTop w:val="0"/>
          <w:marBottom w:val="0"/>
          <w:divBdr>
            <w:top w:val="none" w:sz="0" w:space="0" w:color="auto"/>
            <w:left w:val="none" w:sz="0" w:space="0" w:color="auto"/>
            <w:bottom w:val="none" w:sz="0" w:space="0" w:color="auto"/>
            <w:right w:val="none" w:sz="0" w:space="0" w:color="auto"/>
          </w:divBdr>
        </w:div>
      </w:divsChild>
    </w:div>
    <w:div w:id="537200863">
      <w:bodyDiv w:val="1"/>
      <w:marLeft w:val="0"/>
      <w:marRight w:val="0"/>
      <w:marTop w:val="0"/>
      <w:marBottom w:val="0"/>
      <w:divBdr>
        <w:top w:val="none" w:sz="0" w:space="0" w:color="auto"/>
        <w:left w:val="none" w:sz="0" w:space="0" w:color="auto"/>
        <w:bottom w:val="none" w:sz="0" w:space="0" w:color="auto"/>
        <w:right w:val="none" w:sz="0" w:space="0" w:color="auto"/>
      </w:divBdr>
      <w:divsChild>
        <w:div w:id="44187978">
          <w:marLeft w:val="0"/>
          <w:marRight w:val="0"/>
          <w:marTop w:val="0"/>
          <w:marBottom w:val="0"/>
          <w:divBdr>
            <w:top w:val="none" w:sz="0" w:space="0" w:color="auto"/>
            <w:left w:val="none" w:sz="0" w:space="0" w:color="auto"/>
            <w:bottom w:val="none" w:sz="0" w:space="0" w:color="auto"/>
            <w:right w:val="none" w:sz="0" w:space="0" w:color="auto"/>
          </w:divBdr>
        </w:div>
        <w:div w:id="690256465">
          <w:marLeft w:val="0"/>
          <w:marRight w:val="0"/>
          <w:marTop w:val="0"/>
          <w:marBottom w:val="0"/>
          <w:divBdr>
            <w:top w:val="none" w:sz="0" w:space="0" w:color="auto"/>
            <w:left w:val="none" w:sz="0" w:space="0" w:color="auto"/>
            <w:bottom w:val="none" w:sz="0" w:space="0" w:color="auto"/>
            <w:right w:val="none" w:sz="0" w:space="0" w:color="auto"/>
          </w:divBdr>
        </w:div>
        <w:div w:id="715083038">
          <w:marLeft w:val="0"/>
          <w:marRight w:val="0"/>
          <w:marTop w:val="0"/>
          <w:marBottom w:val="0"/>
          <w:divBdr>
            <w:top w:val="none" w:sz="0" w:space="0" w:color="auto"/>
            <w:left w:val="none" w:sz="0" w:space="0" w:color="auto"/>
            <w:bottom w:val="none" w:sz="0" w:space="0" w:color="auto"/>
            <w:right w:val="none" w:sz="0" w:space="0" w:color="auto"/>
          </w:divBdr>
        </w:div>
        <w:div w:id="849029645">
          <w:marLeft w:val="0"/>
          <w:marRight w:val="0"/>
          <w:marTop w:val="0"/>
          <w:marBottom w:val="0"/>
          <w:divBdr>
            <w:top w:val="none" w:sz="0" w:space="0" w:color="auto"/>
            <w:left w:val="none" w:sz="0" w:space="0" w:color="auto"/>
            <w:bottom w:val="none" w:sz="0" w:space="0" w:color="auto"/>
            <w:right w:val="none" w:sz="0" w:space="0" w:color="auto"/>
          </w:divBdr>
        </w:div>
        <w:div w:id="970481127">
          <w:marLeft w:val="0"/>
          <w:marRight w:val="0"/>
          <w:marTop w:val="0"/>
          <w:marBottom w:val="0"/>
          <w:divBdr>
            <w:top w:val="none" w:sz="0" w:space="0" w:color="auto"/>
            <w:left w:val="none" w:sz="0" w:space="0" w:color="auto"/>
            <w:bottom w:val="none" w:sz="0" w:space="0" w:color="auto"/>
            <w:right w:val="none" w:sz="0" w:space="0" w:color="auto"/>
          </w:divBdr>
        </w:div>
        <w:div w:id="1251307559">
          <w:marLeft w:val="0"/>
          <w:marRight w:val="0"/>
          <w:marTop w:val="0"/>
          <w:marBottom w:val="0"/>
          <w:divBdr>
            <w:top w:val="none" w:sz="0" w:space="0" w:color="auto"/>
            <w:left w:val="none" w:sz="0" w:space="0" w:color="auto"/>
            <w:bottom w:val="none" w:sz="0" w:space="0" w:color="auto"/>
            <w:right w:val="none" w:sz="0" w:space="0" w:color="auto"/>
          </w:divBdr>
        </w:div>
        <w:div w:id="1287127649">
          <w:marLeft w:val="0"/>
          <w:marRight w:val="0"/>
          <w:marTop w:val="0"/>
          <w:marBottom w:val="0"/>
          <w:divBdr>
            <w:top w:val="none" w:sz="0" w:space="0" w:color="auto"/>
            <w:left w:val="none" w:sz="0" w:space="0" w:color="auto"/>
            <w:bottom w:val="none" w:sz="0" w:space="0" w:color="auto"/>
            <w:right w:val="none" w:sz="0" w:space="0" w:color="auto"/>
          </w:divBdr>
        </w:div>
      </w:divsChild>
    </w:div>
    <w:div w:id="539129067">
      <w:bodyDiv w:val="1"/>
      <w:marLeft w:val="0"/>
      <w:marRight w:val="0"/>
      <w:marTop w:val="0"/>
      <w:marBottom w:val="0"/>
      <w:divBdr>
        <w:top w:val="none" w:sz="0" w:space="0" w:color="auto"/>
        <w:left w:val="none" w:sz="0" w:space="0" w:color="auto"/>
        <w:bottom w:val="none" w:sz="0" w:space="0" w:color="auto"/>
        <w:right w:val="none" w:sz="0" w:space="0" w:color="auto"/>
      </w:divBdr>
      <w:divsChild>
        <w:div w:id="437607568">
          <w:marLeft w:val="0"/>
          <w:marRight w:val="0"/>
          <w:marTop w:val="0"/>
          <w:marBottom w:val="0"/>
          <w:divBdr>
            <w:top w:val="none" w:sz="0" w:space="0" w:color="auto"/>
            <w:left w:val="none" w:sz="0" w:space="0" w:color="auto"/>
            <w:bottom w:val="none" w:sz="0" w:space="0" w:color="auto"/>
            <w:right w:val="none" w:sz="0" w:space="0" w:color="auto"/>
          </w:divBdr>
        </w:div>
        <w:div w:id="607735456">
          <w:marLeft w:val="0"/>
          <w:marRight w:val="0"/>
          <w:marTop w:val="0"/>
          <w:marBottom w:val="0"/>
          <w:divBdr>
            <w:top w:val="none" w:sz="0" w:space="0" w:color="auto"/>
            <w:left w:val="none" w:sz="0" w:space="0" w:color="auto"/>
            <w:bottom w:val="none" w:sz="0" w:space="0" w:color="auto"/>
            <w:right w:val="none" w:sz="0" w:space="0" w:color="auto"/>
          </w:divBdr>
        </w:div>
        <w:div w:id="629482077">
          <w:marLeft w:val="0"/>
          <w:marRight w:val="0"/>
          <w:marTop w:val="0"/>
          <w:marBottom w:val="0"/>
          <w:divBdr>
            <w:top w:val="none" w:sz="0" w:space="0" w:color="auto"/>
            <w:left w:val="none" w:sz="0" w:space="0" w:color="auto"/>
            <w:bottom w:val="none" w:sz="0" w:space="0" w:color="auto"/>
            <w:right w:val="none" w:sz="0" w:space="0" w:color="auto"/>
          </w:divBdr>
        </w:div>
        <w:div w:id="671106672">
          <w:marLeft w:val="0"/>
          <w:marRight w:val="0"/>
          <w:marTop w:val="0"/>
          <w:marBottom w:val="0"/>
          <w:divBdr>
            <w:top w:val="none" w:sz="0" w:space="0" w:color="auto"/>
            <w:left w:val="none" w:sz="0" w:space="0" w:color="auto"/>
            <w:bottom w:val="none" w:sz="0" w:space="0" w:color="auto"/>
            <w:right w:val="none" w:sz="0" w:space="0" w:color="auto"/>
          </w:divBdr>
        </w:div>
        <w:div w:id="791484815">
          <w:marLeft w:val="0"/>
          <w:marRight w:val="0"/>
          <w:marTop w:val="0"/>
          <w:marBottom w:val="0"/>
          <w:divBdr>
            <w:top w:val="none" w:sz="0" w:space="0" w:color="auto"/>
            <w:left w:val="none" w:sz="0" w:space="0" w:color="auto"/>
            <w:bottom w:val="none" w:sz="0" w:space="0" w:color="auto"/>
            <w:right w:val="none" w:sz="0" w:space="0" w:color="auto"/>
          </w:divBdr>
        </w:div>
        <w:div w:id="1021275829">
          <w:marLeft w:val="0"/>
          <w:marRight w:val="0"/>
          <w:marTop w:val="0"/>
          <w:marBottom w:val="0"/>
          <w:divBdr>
            <w:top w:val="none" w:sz="0" w:space="0" w:color="auto"/>
            <w:left w:val="none" w:sz="0" w:space="0" w:color="auto"/>
            <w:bottom w:val="none" w:sz="0" w:space="0" w:color="auto"/>
            <w:right w:val="none" w:sz="0" w:space="0" w:color="auto"/>
          </w:divBdr>
        </w:div>
        <w:div w:id="1404066533">
          <w:marLeft w:val="0"/>
          <w:marRight w:val="0"/>
          <w:marTop w:val="0"/>
          <w:marBottom w:val="0"/>
          <w:divBdr>
            <w:top w:val="none" w:sz="0" w:space="0" w:color="auto"/>
            <w:left w:val="none" w:sz="0" w:space="0" w:color="auto"/>
            <w:bottom w:val="none" w:sz="0" w:space="0" w:color="auto"/>
            <w:right w:val="none" w:sz="0" w:space="0" w:color="auto"/>
          </w:divBdr>
        </w:div>
        <w:div w:id="1625693133">
          <w:marLeft w:val="0"/>
          <w:marRight w:val="0"/>
          <w:marTop w:val="0"/>
          <w:marBottom w:val="0"/>
          <w:divBdr>
            <w:top w:val="none" w:sz="0" w:space="0" w:color="auto"/>
            <w:left w:val="none" w:sz="0" w:space="0" w:color="auto"/>
            <w:bottom w:val="none" w:sz="0" w:space="0" w:color="auto"/>
            <w:right w:val="none" w:sz="0" w:space="0" w:color="auto"/>
          </w:divBdr>
        </w:div>
        <w:div w:id="1991246423">
          <w:marLeft w:val="0"/>
          <w:marRight w:val="0"/>
          <w:marTop w:val="0"/>
          <w:marBottom w:val="0"/>
          <w:divBdr>
            <w:top w:val="none" w:sz="0" w:space="0" w:color="auto"/>
            <w:left w:val="none" w:sz="0" w:space="0" w:color="auto"/>
            <w:bottom w:val="none" w:sz="0" w:space="0" w:color="auto"/>
            <w:right w:val="none" w:sz="0" w:space="0" w:color="auto"/>
          </w:divBdr>
        </w:div>
      </w:divsChild>
    </w:div>
    <w:div w:id="543248541">
      <w:bodyDiv w:val="1"/>
      <w:marLeft w:val="0"/>
      <w:marRight w:val="0"/>
      <w:marTop w:val="0"/>
      <w:marBottom w:val="0"/>
      <w:divBdr>
        <w:top w:val="none" w:sz="0" w:space="0" w:color="auto"/>
        <w:left w:val="none" w:sz="0" w:space="0" w:color="auto"/>
        <w:bottom w:val="none" w:sz="0" w:space="0" w:color="auto"/>
        <w:right w:val="none" w:sz="0" w:space="0" w:color="auto"/>
      </w:divBdr>
      <w:divsChild>
        <w:div w:id="119347906">
          <w:marLeft w:val="0"/>
          <w:marRight w:val="0"/>
          <w:marTop w:val="0"/>
          <w:marBottom w:val="0"/>
          <w:divBdr>
            <w:top w:val="none" w:sz="0" w:space="0" w:color="auto"/>
            <w:left w:val="none" w:sz="0" w:space="0" w:color="auto"/>
            <w:bottom w:val="none" w:sz="0" w:space="0" w:color="auto"/>
            <w:right w:val="none" w:sz="0" w:space="0" w:color="auto"/>
          </w:divBdr>
          <w:divsChild>
            <w:div w:id="1306743125">
              <w:marLeft w:val="0"/>
              <w:marRight w:val="0"/>
              <w:marTop w:val="0"/>
              <w:marBottom w:val="0"/>
              <w:divBdr>
                <w:top w:val="none" w:sz="0" w:space="0" w:color="auto"/>
                <w:left w:val="none" w:sz="0" w:space="0" w:color="auto"/>
                <w:bottom w:val="none" w:sz="0" w:space="0" w:color="auto"/>
                <w:right w:val="none" w:sz="0" w:space="0" w:color="auto"/>
              </w:divBdr>
            </w:div>
            <w:div w:id="1371151362">
              <w:marLeft w:val="0"/>
              <w:marRight w:val="0"/>
              <w:marTop w:val="0"/>
              <w:marBottom w:val="0"/>
              <w:divBdr>
                <w:top w:val="none" w:sz="0" w:space="0" w:color="auto"/>
                <w:left w:val="none" w:sz="0" w:space="0" w:color="auto"/>
                <w:bottom w:val="none" w:sz="0" w:space="0" w:color="auto"/>
                <w:right w:val="none" w:sz="0" w:space="0" w:color="auto"/>
              </w:divBdr>
              <w:divsChild>
                <w:div w:id="311297950">
                  <w:marLeft w:val="600"/>
                  <w:marRight w:val="0"/>
                  <w:marTop w:val="0"/>
                  <w:marBottom w:val="0"/>
                  <w:divBdr>
                    <w:top w:val="none" w:sz="0" w:space="0" w:color="auto"/>
                    <w:left w:val="none" w:sz="0" w:space="0" w:color="auto"/>
                    <w:bottom w:val="none" w:sz="0" w:space="0" w:color="auto"/>
                    <w:right w:val="none" w:sz="0" w:space="0" w:color="auto"/>
                  </w:divBdr>
                </w:div>
              </w:divsChild>
            </w:div>
            <w:div w:id="1948268221">
              <w:marLeft w:val="0"/>
              <w:marRight w:val="0"/>
              <w:marTop w:val="0"/>
              <w:marBottom w:val="0"/>
              <w:divBdr>
                <w:top w:val="none" w:sz="0" w:space="0" w:color="auto"/>
                <w:left w:val="none" w:sz="0" w:space="0" w:color="auto"/>
                <w:bottom w:val="none" w:sz="0" w:space="0" w:color="auto"/>
                <w:right w:val="none" w:sz="0" w:space="0" w:color="auto"/>
              </w:divBdr>
              <w:divsChild>
                <w:div w:id="1345857405">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4416711">
      <w:bodyDiv w:val="1"/>
      <w:marLeft w:val="0"/>
      <w:marRight w:val="0"/>
      <w:marTop w:val="0"/>
      <w:marBottom w:val="0"/>
      <w:divBdr>
        <w:top w:val="none" w:sz="0" w:space="0" w:color="auto"/>
        <w:left w:val="none" w:sz="0" w:space="0" w:color="auto"/>
        <w:bottom w:val="none" w:sz="0" w:space="0" w:color="auto"/>
        <w:right w:val="none" w:sz="0" w:space="0" w:color="auto"/>
      </w:divBdr>
      <w:divsChild>
        <w:div w:id="39324869">
          <w:marLeft w:val="0"/>
          <w:marRight w:val="0"/>
          <w:marTop w:val="0"/>
          <w:marBottom w:val="0"/>
          <w:divBdr>
            <w:top w:val="none" w:sz="0" w:space="0" w:color="auto"/>
            <w:left w:val="none" w:sz="0" w:space="0" w:color="auto"/>
            <w:bottom w:val="none" w:sz="0" w:space="0" w:color="auto"/>
            <w:right w:val="none" w:sz="0" w:space="0" w:color="auto"/>
          </w:divBdr>
        </w:div>
        <w:div w:id="47651637">
          <w:marLeft w:val="0"/>
          <w:marRight w:val="0"/>
          <w:marTop w:val="0"/>
          <w:marBottom w:val="0"/>
          <w:divBdr>
            <w:top w:val="none" w:sz="0" w:space="0" w:color="auto"/>
            <w:left w:val="none" w:sz="0" w:space="0" w:color="auto"/>
            <w:bottom w:val="none" w:sz="0" w:space="0" w:color="auto"/>
            <w:right w:val="none" w:sz="0" w:space="0" w:color="auto"/>
          </w:divBdr>
        </w:div>
        <w:div w:id="228616524">
          <w:marLeft w:val="0"/>
          <w:marRight w:val="0"/>
          <w:marTop w:val="0"/>
          <w:marBottom w:val="0"/>
          <w:divBdr>
            <w:top w:val="none" w:sz="0" w:space="0" w:color="auto"/>
            <w:left w:val="none" w:sz="0" w:space="0" w:color="auto"/>
            <w:bottom w:val="none" w:sz="0" w:space="0" w:color="auto"/>
            <w:right w:val="none" w:sz="0" w:space="0" w:color="auto"/>
          </w:divBdr>
        </w:div>
        <w:div w:id="245457055">
          <w:marLeft w:val="0"/>
          <w:marRight w:val="0"/>
          <w:marTop w:val="0"/>
          <w:marBottom w:val="0"/>
          <w:divBdr>
            <w:top w:val="none" w:sz="0" w:space="0" w:color="auto"/>
            <w:left w:val="none" w:sz="0" w:space="0" w:color="auto"/>
            <w:bottom w:val="none" w:sz="0" w:space="0" w:color="auto"/>
            <w:right w:val="none" w:sz="0" w:space="0" w:color="auto"/>
          </w:divBdr>
        </w:div>
        <w:div w:id="470025566">
          <w:marLeft w:val="0"/>
          <w:marRight w:val="0"/>
          <w:marTop w:val="0"/>
          <w:marBottom w:val="0"/>
          <w:divBdr>
            <w:top w:val="none" w:sz="0" w:space="0" w:color="auto"/>
            <w:left w:val="none" w:sz="0" w:space="0" w:color="auto"/>
            <w:bottom w:val="none" w:sz="0" w:space="0" w:color="auto"/>
            <w:right w:val="none" w:sz="0" w:space="0" w:color="auto"/>
          </w:divBdr>
        </w:div>
        <w:div w:id="553351704">
          <w:marLeft w:val="0"/>
          <w:marRight w:val="0"/>
          <w:marTop w:val="0"/>
          <w:marBottom w:val="0"/>
          <w:divBdr>
            <w:top w:val="none" w:sz="0" w:space="0" w:color="auto"/>
            <w:left w:val="none" w:sz="0" w:space="0" w:color="auto"/>
            <w:bottom w:val="none" w:sz="0" w:space="0" w:color="auto"/>
            <w:right w:val="none" w:sz="0" w:space="0" w:color="auto"/>
          </w:divBdr>
        </w:div>
        <w:div w:id="752702669">
          <w:marLeft w:val="0"/>
          <w:marRight w:val="0"/>
          <w:marTop w:val="0"/>
          <w:marBottom w:val="0"/>
          <w:divBdr>
            <w:top w:val="none" w:sz="0" w:space="0" w:color="auto"/>
            <w:left w:val="none" w:sz="0" w:space="0" w:color="auto"/>
            <w:bottom w:val="none" w:sz="0" w:space="0" w:color="auto"/>
            <w:right w:val="none" w:sz="0" w:space="0" w:color="auto"/>
          </w:divBdr>
        </w:div>
        <w:div w:id="932858996">
          <w:marLeft w:val="0"/>
          <w:marRight w:val="0"/>
          <w:marTop w:val="0"/>
          <w:marBottom w:val="0"/>
          <w:divBdr>
            <w:top w:val="none" w:sz="0" w:space="0" w:color="auto"/>
            <w:left w:val="none" w:sz="0" w:space="0" w:color="auto"/>
            <w:bottom w:val="none" w:sz="0" w:space="0" w:color="auto"/>
            <w:right w:val="none" w:sz="0" w:space="0" w:color="auto"/>
          </w:divBdr>
        </w:div>
        <w:div w:id="933634390">
          <w:marLeft w:val="0"/>
          <w:marRight w:val="0"/>
          <w:marTop w:val="0"/>
          <w:marBottom w:val="0"/>
          <w:divBdr>
            <w:top w:val="none" w:sz="0" w:space="0" w:color="auto"/>
            <w:left w:val="none" w:sz="0" w:space="0" w:color="auto"/>
            <w:bottom w:val="none" w:sz="0" w:space="0" w:color="auto"/>
            <w:right w:val="none" w:sz="0" w:space="0" w:color="auto"/>
          </w:divBdr>
        </w:div>
        <w:div w:id="1237395669">
          <w:marLeft w:val="0"/>
          <w:marRight w:val="0"/>
          <w:marTop w:val="0"/>
          <w:marBottom w:val="0"/>
          <w:divBdr>
            <w:top w:val="none" w:sz="0" w:space="0" w:color="auto"/>
            <w:left w:val="none" w:sz="0" w:space="0" w:color="auto"/>
            <w:bottom w:val="none" w:sz="0" w:space="0" w:color="auto"/>
            <w:right w:val="none" w:sz="0" w:space="0" w:color="auto"/>
          </w:divBdr>
        </w:div>
        <w:div w:id="1350064277">
          <w:marLeft w:val="0"/>
          <w:marRight w:val="0"/>
          <w:marTop w:val="0"/>
          <w:marBottom w:val="0"/>
          <w:divBdr>
            <w:top w:val="none" w:sz="0" w:space="0" w:color="auto"/>
            <w:left w:val="none" w:sz="0" w:space="0" w:color="auto"/>
            <w:bottom w:val="none" w:sz="0" w:space="0" w:color="auto"/>
            <w:right w:val="none" w:sz="0" w:space="0" w:color="auto"/>
          </w:divBdr>
        </w:div>
        <w:div w:id="1517841171">
          <w:marLeft w:val="0"/>
          <w:marRight w:val="0"/>
          <w:marTop w:val="0"/>
          <w:marBottom w:val="0"/>
          <w:divBdr>
            <w:top w:val="none" w:sz="0" w:space="0" w:color="auto"/>
            <w:left w:val="none" w:sz="0" w:space="0" w:color="auto"/>
            <w:bottom w:val="none" w:sz="0" w:space="0" w:color="auto"/>
            <w:right w:val="none" w:sz="0" w:space="0" w:color="auto"/>
          </w:divBdr>
        </w:div>
        <w:div w:id="1545750654">
          <w:marLeft w:val="0"/>
          <w:marRight w:val="0"/>
          <w:marTop w:val="0"/>
          <w:marBottom w:val="0"/>
          <w:divBdr>
            <w:top w:val="none" w:sz="0" w:space="0" w:color="auto"/>
            <w:left w:val="none" w:sz="0" w:space="0" w:color="auto"/>
            <w:bottom w:val="none" w:sz="0" w:space="0" w:color="auto"/>
            <w:right w:val="none" w:sz="0" w:space="0" w:color="auto"/>
          </w:divBdr>
        </w:div>
        <w:div w:id="1591348180">
          <w:marLeft w:val="0"/>
          <w:marRight w:val="0"/>
          <w:marTop w:val="0"/>
          <w:marBottom w:val="0"/>
          <w:divBdr>
            <w:top w:val="none" w:sz="0" w:space="0" w:color="auto"/>
            <w:left w:val="none" w:sz="0" w:space="0" w:color="auto"/>
            <w:bottom w:val="none" w:sz="0" w:space="0" w:color="auto"/>
            <w:right w:val="none" w:sz="0" w:space="0" w:color="auto"/>
          </w:divBdr>
        </w:div>
        <w:div w:id="1783841263">
          <w:marLeft w:val="0"/>
          <w:marRight w:val="0"/>
          <w:marTop w:val="0"/>
          <w:marBottom w:val="0"/>
          <w:divBdr>
            <w:top w:val="none" w:sz="0" w:space="0" w:color="auto"/>
            <w:left w:val="none" w:sz="0" w:space="0" w:color="auto"/>
            <w:bottom w:val="none" w:sz="0" w:space="0" w:color="auto"/>
            <w:right w:val="none" w:sz="0" w:space="0" w:color="auto"/>
          </w:divBdr>
        </w:div>
        <w:div w:id="1875651173">
          <w:marLeft w:val="0"/>
          <w:marRight w:val="0"/>
          <w:marTop w:val="0"/>
          <w:marBottom w:val="0"/>
          <w:divBdr>
            <w:top w:val="none" w:sz="0" w:space="0" w:color="auto"/>
            <w:left w:val="none" w:sz="0" w:space="0" w:color="auto"/>
            <w:bottom w:val="none" w:sz="0" w:space="0" w:color="auto"/>
            <w:right w:val="none" w:sz="0" w:space="0" w:color="auto"/>
          </w:divBdr>
        </w:div>
        <w:div w:id="1925724513">
          <w:marLeft w:val="0"/>
          <w:marRight w:val="0"/>
          <w:marTop w:val="0"/>
          <w:marBottom w:val="0"/>
          <w:divBdr>
            <w:top w:val="none" w:sz="0" w:space="0" w:color="auto"/>
            <w:left w:val="none" w:sz="0" w:space="0" w:color="auto"/>
            <w:bottom w:val="none" w:sz="0" w:space="0" w:color="auto"/>
            <w:right w:val="none" w:sz="0" w:space="0" w:color="auto"/>
          </w:divBdr>
        </w:div>
        <w:div w:id="2009284417">
          <w:marLeft w:val="0"/>
          <w:marRight w:val="0"/>
          <w:marTop w:val="0"/>
          <w:marBottom w:val="0"/>
          <w:divBdr>
            <w:top w:val="none" w:sz="0" w:space="0" w:color="auto"/>
            <w:left w:val="none" w:sz="0" w:space="0" w:color="auto"/>
            <w:bottom w:val="none" w:sz="0" w:space="0" w:color="auto"/>
            <w:right w:val="none" w:sz="0" w:space="0" w:color="auto"/>
          </w:divBdr>
        </w:div>
        <w:div w:id="2069986757">
          <w:marLeft w:val="0"/>
          <w:marRight w:val="0"/>
          <w:marTop w:val="0"/>
          <w:marBottom w:val="0"/>
          <w:divBdr>
            <w:top w:val="none" w:sz="0" w:space="0" w:color="auto"/>
            <w:left w:val="none" w:sz="0" w:space="0" w:color="auto"/>
            <w:bottom w:val="none" w:sz="0" w:space="0" w:color="auto"/>
            <w:right w:val="none" w:sz="0" w:space="0" w:color="auto"/>
          </w:divBdr>
        </w:div>
      </w:divsChild>
    </w:div>
    <w:div w:id="572548326">
      <w:bodyDiv w:val="1"/>
      <w:marLeft w:val="0"/>
      <w:marRight w:val="0"/>
      <w:marTop w:val="0"/>
      <w:marBottom w:val="0"/>
      <w:divBdr>
        <w:top w:val="none" w:sz="0" w:space="0" w:color="auto"/>
        <w:left w:val="none" w:sz="0" w:space="0" w:color="auto"/>
        <w:bottom w:val="none" w:sz="0" w:space="0" w:color="auto"/>
        <w:right w:val="none" w:sz="0" w:space="0" w:color="auto"/>
      </w:divBdr>
    </w:div>
    <w:div w:id="585768737">
      <w:bodyDiv w:val="1"/>
      <w:marLeft w:val="0"/>
      <w:marRight w:val="0"/>
      <w:marTop w:val="0"/>
      <w:marBottom w:val="0"/>
      <w:divBdr>
        <w:top w:val="none" w:sz="0" w:space="0" w:color="auto"/>
        <w:left w:val="none" w:sz="0" w:space="0" w:color="auto"/>
        <w:bottom w:val="none" w:sz="0" w:space="0" w:color="auto"/>
        <w:right w:val="none" w:sz="0" w:space="0" w:color="auto"/>
      </w:divBdr>
      <w:divsChild>
        <w:div w:id="91125247">
          <w:marLeft w:val="0"/>
          <w:marRight w:val="0"/>
          <w:marTop w:val="0"/>
          <w:marBottom w:val="0"/>
          <w:divBdr>
            <w:top w:val="none" w:sz="0" w:space="0" w:color="auto"/>
            <w:left w:val="none" w:sz="0" w:space="0" w:color="auto"/>
            <w:bottom w:val="none" w:sz="0" w:space="0" w:color="auto"/>
            <w:right w:val="none" w:sz="0" w:space="0" w:color="auto"/>
          </w:divBdr>
        </w:div>
        <w:div w:id="431167065">
          <w:marLeft w:val="0"/>
          <w:marRight w:val="0"/>
          <w:marTop w:val="0"/>
          <w:marBottom w:val="0"/>
          <w:divBdr>
            <w:top w:val="none" w:sz="0" w:space="0" w:color="auto"/>
            <w:left w:val="none" w:sz="0" w:space="0" w:color="auto"/>
            <w:bottom w:val="none" w:sz="0" w:space="0" w:color="auto"/>
            <w:right w:val="none" w:sz="0" w:space="0" w:color="auto"/>
          </w:divBdr>
        </w:div>
        <w:div w:id="1405447873">
          <w:marLeft w:val="0"/>
          <w:marRight w:val="0"/>
          <w:marTop w:val="0"/>
          <w:marBottom w:val="0"/>
          <w:divBdr>
            <w:top w:val="none" w:sz="0" w:space="0" w:color="auto"/>
            <w:left w:val="none" w:sz="0" w:space="0" w:color="auto"/>
            <w:bottom w:val="none" w:sz="0" w:space="0" w:color="auto"/>
            <w:right w:val="none" w:sz="0" w:space="0" w:color="auto"/>
          </w:divBdr>
        </w:div>
        <w:div w:id="1648777169">
          <w:marLeft w:val="0"/>
          <w:marRight w:val="0"/>
          <w:marTop w:val="0"/>
          <w:marBottom w:val="0"/>
          <w:divBdr>
            <w:top w:val="none" w:sz="0" w:space="0" w:color="auto"/>
            <w:left w:val="none" w:sz="0" w:space="0" w:color="auto"/>
            <w:bottom w:val="none" w:sz="0" w:space="0" w:color="auto"/>
            <w:right w:val="none" w:sz="0" w:space="0" w:color="auto"/>
          </w:divBdr>
        </w:div>
        <w:div w:id="2078089632">
          <w:marLeft w:val="0"/>
          <w:marRight w:val="0"/>
          <w:marTop w:val="0"/>
          <w:marBottom w:val="0"/>
          <w:divBdr>
            <w:top w:val="none" w:sz="0" w:space="0" w:color="auto"/>
            <w:left w:val="none" w:sz="0" w:space="0" w:color="auto"/>
            <w:bottom w:val="none" w:sz="0" w:space="0" w:color="auto"/>
            <w:right w:val="none" w:sz="0" w:space="0" w:color="auto"/>
          </w:divBdr>
        </w:div>
        <w:div w:id="2124297918">
          <w:marLeft w:val="0"/>
          <w:marRight w:val="0"/>
          <w:marTop w:val="0"/>
          <w:marBottom w:val="0"/>
          <w:divBdr>
            <w:top w:val="none" w:sz="0" w:space="0" w:color="auto"/>
            <w:left w:val="none" w:sz="0" w:space="0" w:color="auto"/>
            <w:bottom w:val="none" w:sz="0" w:space="0" w:color="auto"/>
            <w:right w:val="none" w:sz="0" w:space="0" w:color="auto"/>
          </w:divBdr>
        </w:div>
      </w:divsChild>
    </w:div>
    <w:div w:id="609552387">
      <w:bodyDiv w:val="1"/>
      <w:marLeft w:val="0"/>
      <w:marRight w:val="0"/>
      <w:marTop w:val="0"/>
      <w:marBottom w:val="0"/>
      <w:divBdr>
        <w:top w:val="none" w:sz="0" w:space="0" w:color="auto"/>
        <w:left w:val="none" w:sz="0" w:space="0" w:color="auto"/>
        <w:bottom w:val="none" w:sz="0" w:space="0" w:color="auto"/>
        <w:right w:val="none" w:sz="0" w:space="0" w:color="auto"/>
      </w:divBdr>
      <w:divsChild>
        <w:div w:id="382215043">
          <w:marLeft w:val="0"/>
          <w:marRight w:val="0"/>
          <w:marTop w:val="0"/>
          <w:marBottom w:val="0"/>
          <w:divBdr>
            <w:top w:val="none" w:sz="0" w:space="0" w:color="auto"/>
            <w:left w:val="none" w:sz="0" w:space="0" w:color="auto"/>
            <w:bottom w:val="none" w:sz="0" w:space="0" w:color="auto"/>
            <w:right w:val="none" w:sz="0" w:space="0" w:color="auto"/>
          </w:divBdr>
        </w:div>
        <w:div w:id="850486654">
          <w:marLeft w:val="0"/>
          <w:marRight w:val="0"/>
          <w:marTop w:val="0"/>
          <w:marBottom w:val="0"/>
          <w:divBdr>
            <w:top w:val="none" w:sz="0" w:space="0" w:color="auto"/>
            <w:left w:val="none" w:sz="0" w:space="0" w:color="auto"/>
            <w:bottom w:val="none" w:sz="0" w:space="0" w:color="auto"/>
            <w:right w:val="none" w:sz="0" w:space="0" w:color="auto"/>
          </w:divBdr>
        </w:div>
        <w:div w:id="982079192">
          <w:marLeft w:val="0"/>
          <w:marRight w:val="0"/>
          <w:marTop w:val="0"/>
          <w:marBottom w:val="0"/>
          <w:divBdr>
            <w:top w:val="none" w:sz="0" w:space="0" w:color="auto"/>
            <w:left w:val="none" w:sz="0" w:space="0" w:color="auto"/>
            <w:bottom w:val="none" w:sz="0" w:space="0" w:color="auto"/>
            <w:right w:val="none" w:sz="0" w:space="0" w:color="auto"/>
          </w:divBdr>
        </w:div>
        <w:div w:id="1142506209">
          <w:marLeft w:val="0"/>
          <w:marRight w:val="0"/>
          <w:marTop w:val="0"/>
          <w:marBottom w:val="0"/>
          <w:divBdr>
            <w:top w:val="none" w:sz="0" w:space="0" w:color="auto"/>
            <w:left w:val="none" w:sz="0" w:space="0" w:color="auto"/>
            <w:bottom w:val="none" w:sz="0" w:space="0" w:color="auto"/>
            <w:right w:val="none" w:sz="0" w:space="0" w:color="auto"/>
          </w:divBdr>
        </w:div>
        <w:div w:id="1169446788">
          <w:marLeft w:val="0"/>
          <w:marRight w:val="0"/>
          <w:marTop w:val="0"/>
          <w:marBottom w:val="0"/>
          <w:divBdr>
            <w:top w:val="none" w:sz="0" w:space="0" w:color="auto"/>
            <w:left w:val="none" w:sz="0" w:space="0" w:color="auto"/>
            <w:bottom w:val="none" w:sz="0" w:space="0" w:color="auto"/>
            <w:right w:val="none" w:sz="0" w:space="0" w:color="auto"/>
          </w:divBdr>
        </w:div>
        <w:div w:id="1201086001">
          <w:marLeft w:val="0"/>
          <w:marRight w:val="0"/>
          <w:marTop w:val="0"/>
          <w:marBottom w:val="0"/>
          <w:divBdr>
            <w:top w:val="none" w:sz="0" w:space="0" w:color="auto"/>
            <w:left w:val="none" w:sz="0" w:space="0" w:color="auto"/>
            <w:bottom w:val="none" w:sz="0" w:space="0" w:color="auto"/>
            <w:right w:val="none" w:sz="0" w:space="0" w:color="auto"/>
          </w:divBdr>
        </w:div>
        <w:div w:id="1403791287">
          <w:marLeft w:val="0"/>
          <w:marRight w:val="0"/>
          <w:marTop w:val="0"/>
          <w:marBottom w:val="0"/>
          <w:divBdr>
            <w:top w:val="none" w:sz="0" w:space="0" w:color="auto"/>
            <w:left w:val="none" w:sz="0" w:space="0" w:color="auto"/>
            <w:bottom w:val="none" w:sz="0" w:space="0" w:color="auto"/>
            <w:right w:val="none" w:sz="0" w:space="0" w:color="auto"/>
          </w:divBdr>
        </w:div>
        <w:div w:id="1906918142">
          <w:marLeft w:val="0"/>
          <w:marRight w:val="0"/>
          <w:marTop w:val="0"/>
          <w:marBottom w:val="0"/>
          <w:divBdr>
            <w:top w:val="none" w:sz="0" w:space="0" w:color="auto"/>
            <w:left w:val="none" w:sz="0" w:space="0" w:color="auto"/>
            <w:bottom w:val="none" w:sz="0" w:space="0" w:color="auto"/>
            <w:right w:val="none" w:sz="0" w:space="0" w:color="auto"/>
          </w:divBdr>
        </w:div>
      </w:divsChild>
    </w:div>
    <w:div w:id="639457754">
      <w:bodyDiv w:val="1"/>
      <w:marLeft w:val="0"/>
      <w:marRight w:val="0"/>
      <w:marTop w:val="0"/>
      <w:marBottom w:val="0"/>
      <w:divBdr>
        <w:top w:val="none" w:sz="0" w:space="0" w:color="auto"/>
        <w:left w:val="none" w:sz="0" w:space="0" w:color="auto"/>
        <w:bottom w:val="none" w:sz="0" w:space="0" w:color="auto"/>
        <w:right w:val="none" w:sz="0" w:space="0" w:color="auto"/>
      </w:divBdr>
    </w:div>
    <w:div w:id="641275384">
      <w:bodyDiv w:val="1"/>
      <w:marLeft w:val="0"/>
      <w:marRight w:val="0"/>
      <w:marTop w:val="0"/>
      <w:marBottom w:val="0"/>
      <w:divBdr>
        <w:top w:val="none" w:sz="0" w:space="0" w:color="auto"/>
        <w:left w:val="none" w:sz="0" w:space="0" w:color="auto"/>
        <w:bottom w:val="none" w:sz="0" w:space="0" w:color="auto"/>
        <w:right w:val="none" w:sz="0" w:space="0" w:color="auto"/>
      </w:divBdr>
    </w:div>
    <w:div w:id="645476977">
      <w:bodyDiv w:val="1"/>
      <w:marLeft w:val="0"/>
      <w:marRight w:val="0"/>
      <w:marTop w:val="0"/>
      <w:marBottom w:val="0"/>
      <w:divBdr>
        <w:top w:val="none" w:sz="0" w:space="0" w:color="auto"/>
        <w:left w:val="none" w:sz="0" w:space="0" w:color="auto"/>
        <w:bottom w:val="none" w:sz="0" w:space="0" w:color="auto"/>
        <w:right w:val="none" w:sz="0" w:space="0" w:color="auto"/>
      </w:divBdr>
      <w:divsChild>
        <w:div w:id="85465595">
          <w:marLeft w:val="0"/>
          <w:marRight w:val="0"/>
          <w:marTop w:val="0"/>
          <w:marBottom w:val="0"/>
          <w:divBdr>
            <w:top w:val="none" w:sz="0" w:space="0" w:color="auto"/>
            <w:left w:val="none" w:sz="0" w:space="0" w:color="auto"/>
            <w:bottom w:val="none" w:sz="0" w:space="0" w:color="auto"/>
            <w:right w:val="none" w:sz="0" w:space="0" w:color="auto"/>
          </w:divBdr>
        </w:div>
        <w:div w:id="1373846636">
          <w:marLeft w:val="0"/>
          <w:marRight w:val="0"/>
          <w:marTop w:val="0"/>
          <w:marBottom w:val="0"/>
          <w:divBdr>
            <w:top w:val="none" w:sz="0" w:space="0" w:color="auto"/>
            <w:left w:val="none" w:sz="0" w:space="0" w:color="auto"/>
            <w:bottom w:val="none" w:sz="0" w:space="0" w:color="auto"/>
            <w:right w:val="none" w:sz="0" w:space="0" w:color="auto"/>
          </w:divBdr>
        </w:div>
      </w:divsChild>
    </w:div>
    <w:div w:id="648247280">
      <w:bodyDiv w:val="1"/>
      <w:marLeft w:val="0"/>
      <w:marRight w:val="0"/>
      <w:marTop w:val="0"/>
      <w:marBottom w:val="0"/>
      <w:divBdr>
        <w:top w:val="none" w:sz="0" w:space="0" w:color="auto"/>
        <w:left w:val="none" w:sz="0" w:space="0" w:color="auto"/>
        <w:bottom w:val="none" w:sz="0" w:space="0" w:color="auto"/>
        <w:right w:val="none" w:sz="0" w:space="0" w:color="auto"/>
      </w:divBdr>
      <w:divsChild>
        <w:div w:id="193738696">
          <w:marLeft w:val="0"/>
          <w:marRight w:val="0"/>
          <w:marTop w:val="0"/>
          <w:marBottom w:val="0"/>
          <w:divBdr>
            <w:top w:val="none" w:sz="0" w:space="0" w:color="auto"/>
            <w:left w:val="none" w:sz="0" w:space="0" w:color="auto"/>
            <w:bottom w:val="none" w:sz="0" w:space="0" w:color="auto"/>
            <w:right w:val="none" w:sz="0" w:space="0" w:color="auto"/>
          </w:divBdr>
        </w:div>
        <w:div w:id="493185022">
          <w:marLeft w:val="0"/>
          <w:marRight w:val="0"/>
          <w:marTop w:val="0"/>
          <w:marBottom w:val="0"/>
          <w:divBdr>
            <w:top w:val="none" w:sz="0" w:space="0" w:color="auto"/>
            <w:left w:val="none" w:sz="0" w:space="0" w:color="auto"/>
            <w:bottom w:val="none" w:sz="0" w:space="0" w:color="auto"/>
            <w:right w:val="none" w:sz="0" w:space="0" w:color="auto"/>
          </w:divBdr>
        </w:div>
        <w:div w:id="615526978">
          <w:marLeft w:val="0"/>
          <w:marRight w:val="0"/>
          <w:marTop w:val="0"/>
          <w:marBottom w:val="0"/>
          <w:divBdr>
            <w:top w:val="none" w:sz="0" w:space="0" w:color="auto"/>
            <w:left w:val="none" w:sz="0" w:space="0" w:color="auto"/>
            <w:bottom w:val="none" w:sz="0" w:space="0" w:color="auto"/>
            <w:right w:val="none" w:sz="0" w:space="0" w:color="auto"/>
          </w:divBdr>
        </w:div>
        <w:div w:id="875771326">
          <w:marLeft w:val="720"/>
          <w:marRight w:val="0"/>
          <w:marTop w:val="0"/>
          <w:marBottom w:val="0"/>
          <w:divBdr>
            <w:top w:val="none" w:sz="0" w:space="0" w:color="auto"/>
            <w:left w:val="none" w:sz="0" w:space="0" w:color="auto"/>
            <w:bottom w:val="none" w:sz="0" w:space="0" w:color="auto"/>
            <w:right w:val="none" w:sz="0" w:space="0" w:color="auto"/>
          </w:divBdr>
        </w:div>
        <w:div w:id="1394500941">
          <w:marLeft w:val="720"/>
          <w:marRight w:val="0"/>
          <w:marTop w:val="0"/>
          <w:marBottom w:val="0"/>
          <w:divBdr>
            <w:top w:val="none" w:sz="0" w:space="0" w:color="auto"/>
            <w:left w:val="none" w:sz="0" w:space="0" w:color="auto"/>
            <w:bottom w:val="none" w:sz="0" w:space="0" w:color="auto"/>
            <w:right w:val="none" w:sz="0" w:space="0" w:color="auto"/>
          </w:divBdr>
        </w:div>
        <w:div w:id="1411660835">
          <w:marLeft w:val="720"/>
          <w:marRight w:val="0"/>
          <w:marTop w:val="0"/>
          <w:marBottom w:val="0"/>
          <w:divBdr>
            <w:top w:val="none" w:sz="0" w:space="0" w:color="auto"/>
            <w:left w:val="none" w:sz="0" w:space="0" w:color="auto"/>
            <w:bottom w:val="none" w:sz="0" w:space="0" w:color="auto"/>
            <w:right w:val="none" w:sz="0" w:space="0" w:color="auto"/>
          </w:divBdr>
        </w:div>
      </w:divsChild>
    </w:div>
    <w:div w:id="655648871">
      <w:bodyDiv w:val="1"/>
      <w:marLeft w:val="0"/>
      <w:marRight w:val="0"/>
      <w:marTop w:val="0"/>
      <w:marBottom w:val="0"/>
      <w:divBdr>
        <w:top w:val="none" w:sz="0" w:space="0" w:color="auto"/>
        <w:left w:val="none" w:sz="0" w:space="0" w:color="auto"/>
        <w:bottom w:val="none" w:sz="0" w:space="0" w:color="auto"/>
        <w:right w:val="none" w:sz="0" w:space="0" w:color="auto"/>
      </w:divBdr>
      <w:divsChild>
        <w:div w:id="968583537">
          <w:marLeft w:val="0"/>
          <w:marRight w:val="0"/>
          <w:marTop w:val="0"/>
          <w:marBottom w:val="0"/>
          <w:divBdr>
            <w:top w:val="none" w:sz="0" w:space="0" w:color="auto"/>
            <w:left w:val="none" w:sz="0" w:space="0" w:color="auto"/>
            <w:bottom w:val="none" w:sz="0" w:space="0" w:color="auto"/>
            <w:right w:val="none" w:sz="0" w:space="0" w:color="auto"/>
          </w:divBdr>
        </w:div>
        <w:div w:id="869025318">
          <w:marLeft w:val="0"/>
          <w:marRight w:val="0"/>
          <w:marTop w:val="0"/>
          <w:marBottom w:val="0"/>
          <w:divBdr>
            <w:top w:val="none" w:sz="0" w:space="0" w:color="auto"/>
            <w:left w:val="none" w:sz="0" w:space="0" w:color="auto"/>
            <w:bottom w:val="none" w:sz="0" w:space="0" w:color="auto"/>
            <w:right w:val="none" w:sz="0" w:space="0" w:color="auto"/>
          </w:divBdr>
        </w:div>
        <w:div w:id="1008101066">
          <w:marLeft w:val="0"/>
          <w:marRight w:val="0"/>
          <w:marTop w:val="0"/>
          <w:marBottom w:val="0"/>
          <w:divBdr>
            <w:top w:val="none" w:sz="0" w:space="0" w:color="auto"/>
            <w:left w:val="none" w:sz="0" w:space="0" w:color="auto"/>
            <w:bottom w:val="none" w:sz="0" w:space="0" w:color="auto"/>
            <w:right w:val="none" w:sz="0" w:space="0" w:color="auto"/>
          </w:divBdr>
        </w:div>
        <w:div w:id="1995066390">
          <w:marLeft w:val="0"/>
          <w:marRight w:val="0"/>
          <w:marTop w:val="0"/>
          <w:marBottom w:val="0"/>
          <w:divBdr>
            <w:top w:val="none" w:sz="0" w:space="0" w:color="auto"/>
            <w:left w:val="none" w:sz="0" w:space="0" w:color="auto"/>
            <w:bottom w:val="none" w:sz="0" w:space="0" w:color="auto"/>
            <w:right w:val="none" w:sz="0" w:space="0" w:color="auto"/>
          </w:divBdr>
        </w:div>
        <w:div w:id="2122146366">
          <w:marLeft w:val="0"/>
          <w:marRight w:val="0"/>
          <w:marTop w:val="0"/>
          <w:marBottom w:val="0"/>
          <w:divBdr>
            <w:top w:val="none" w:sz="0" w:space="0" w:color="auto"/>
            <w:left w:val="none" w:sz="0" w:space="0" w:color="auto"/>
            <w:bottom w:val="none" w:sz="0" w:space="0" w:color="auto"/>
            <w:right w:val="none" w:sz="0" w:space="0" w:color="auto"/>
          </w:divBdr>
        </w:div>
        <w:div w:id="2129927002">
          <w:marLeft w:val="0"/>
          <w:marRight w:val="0"/>
          <w:marTop w:val="0"/>
          <w:marBottom w:val="0"/>
          <w:divBdr>
            <w:top w:val="none" w:sz="0" w:space="0" w:color="auto"/>
            <w:left w:val="none" w:sz="0" w:space="0" w:color="auto"/>
            <w:bottom w:val="none" w:sz="0" w:space="0" w:color="auto"/>
            <w:right w:val="none" w:sz="0" w:space="0" w:color="auto"/>
          </w:divBdr>
        </w:div>
        <w:div w:id="1512530239">
          <w:marLeft w:val="0"/>
          <w:marRight w:val="0"/>
          <w:marTop w:val="0"/>
          <w:marBottom w:val="0"/>
          <w:divBdr>
            <w:top w:val="none" w:sz="0" w:space="0" w:color="auto"/>
            <w:left w:val="none" w:sz="0" w:space="0" w:color="auto"/>
            <w:bottom w:val="none" w:sz="0" w:space="0" w:color="auto"/>
            <w:right w:val="none" w:sz="0" w:space="0" w:color="auto"/>
          </w:divBdr>
        </w:div>
        <w:div w:id="1558972914">
          <w:marLeft w:val="0"/>
          <w:marRight w:val="0"/>
          <w:marTop w:val="0"/>
          <w:marBottom w:val="0"/>
          <w:divBdr>
            <w:top w:val="none" w:sz="0" w:space="0" w:color="auto"/>
            <w:left w:val="none" w:sz="0" w:space="0" w:color="auto"/>
            <w:bottom w:val="none" w:sz="0" w:space="0" w:color="auto"/>
            <w:right w:val="none" w:sz="0" w:space="0" w:color="auto"/>
          </w:divBdr>
        </w:div>
        <w:div w:id="280960012">
          <w:marLeft w:val="0"/>
          <w:marRight w:val="0"/>
          <w:marTop w:val="0"/>
          <w:marBottom w:val="0"/>
          <w:divBdr>
            <w:top w:val="none" w:sz="0" w:space="0" w:color="auto"/>
            <w:left w:val="none" w:sz="0" w:space="0" w:color="auto"/>
            <w:bottom w:val="none" w:sz="0" w:space="0" w:color="auto"/>
            <w:right w:val="none" w:sz="0" w:space="0" w:color="auto"/>
          </w:divBdr>
        </w:div>
        <w:div w:id="465660990">
          <w:marLeft w:val="0"/>
          <w:marRight w:val="0"/>
          <w:marTop w:val="0"/>
          <w:marBottom w:val="0"/>
          <w:divBdr>
            <w:top w:val="none" w:sz="0" w:space="0" w:color="auto"/>
            <w:left w:val="none" w:sz="0" w:space="0" w:color="auto"/>
            <w:bottom w:val="none" w:sz="0" w:space="0" w:color="auto"/>
            <w:right w:val="none" w:sz="0" w:space="0" w:color="auto"/>
          </w:divBdr>
        </w:div>
      </w:divsChild>
    </w:div>
    <w:div w:id="658267272">
      <w:bodyDiv w:val="1"/>
      <w:marLeft w:val="0"/>
      <w:marRight w:val="0"/>
      <w:marTop w:val="0"/>
      <w:marBottom w:val="0"/>
      <w:divBdr>
        <w:top w:val="none" w:sz="0" w:space="0" w:color="auto"/>
        <w:left w:val="none" w:sz="0" w:space="0" w:color="auto"/>
        <w:bottom w:val="none" w:sz="0" w:space="0" w:color="auto"/>
        <w:right w:val="none" w:sz="0" w:space="0" w:color="auto"/>
      </w:divBdr>
    </w:div>
    <w:div w:id="659507039">
      <w:bodyDiv w:val="1"/>
      <w:marLeft w:val="0"/>
      <w:marRight w:val="0"/>
      <w:marTop w:val="0"/>
      <w:marBottom w:val="0"/>
      <w:divBdr>
        <w:top w:val="none" w:sz="0" w:space="0" w:color="auto"/>
        <w:left w:val="none" w:sz="0" w:space="0" w:color="auto"/>
        <w:bottom w:val="none" w:sz="0" w:space="0" w:color="auto"/>
        <w:right w:val="none" w:sz="0" w:space="0" w:color="auto"/>
      </w:divBdr>
    </w:div>
    <w:div w:id="661274949">
      <w:bodyDiv w:val="1"/>
      <w:marLeft w:val="0"/>
      <w:marRight w:val="0"/>
      <w:marTop w:val="0"/>
      <w:marBottom w:val="0"/>
      <w:divBdr>
        <w:top w:val="none" w:sz="0" w:space="0" w:color="auto"/>
        <w:left w:val="none" w:sz="0" w:space="0" w:color="auto"/>
        <w:bottom w:val="none" w:sz="0" w:space="0" w:color="auto"/>
        <w:right w:val="none" w:sz="0" w:space="0" w:color="auto"/>
      </w:divBdr>
    </w:div>
    <w:div w:id="671295094">
      <w:bodyDiv w:val="1"/>
      <w:marLeft w:val="0"/>
      <w:marRight w:val="0"/>
      <w:marTop w:val="0"/>
      <w:marBottom w:val="0"/>
      <w:divBdr>
        <w:top w:val="none" w:sz="0" w:space="0" w:color="auto"/>
        <w:left w:val="none" w:sz="0" w:space="0" w:color="auto"/>
        <w:bottom w:val="none" w:sz="0" w:space="0" w:color="auto"/>
        <w:right w:val="none" w:sz="0" w:space="0" w:color="auto"/>
      </w:divBdr>
      <w:divsChild>
        <w:div w:id="362512330">
          <w:marLeft w:val="0"/>
          <w:marRight w:val="0"/>
          <w:marTop w:val="0"/>
          <w:marBottom w:val="0"/>
          <w:divBdr>
            <w:top w:val="none" w:sz="0" w:space="0" w:color="auto"/>
            <w:left w:val="none" w:sz="0" w:space="0" w:color="auto"/>
            <w:bottom w:val="none" w:sz="0" w:space="0" w:color="auto"/>
            <w:right w:val="none" w:sz="0" w:space="0" w:color="auto"/>
          </w:divBdr>
        </w:div>
        <w:div w:id="378557143">
          <w:marLeft w:val="0"/>
          <w:marRight w:val="0"/>
          <w:marTop w:val="0"/>
          <w:marBottom w:val="0"/>
          <w:divBdr>
            <w:top w:val="none" w:sz="0" w:space="0" w:color="auto"/>
            <w:left w:val="none" w:sz="0" w:space="0" w:color="auto"/>
            <w:bottom w:val="none" w:sz="0" w:space="0" w:color="auto"/>
            <w:right w:val="none" w:sz="0" w:space="0" w:color="auto"/>
          </w:divBdr>
        </w:div>
        <w:div w:id="636374732">
          <w:marLeft w:val="0"/>
          <w:marRight w:val="0"/>
          <w:marTop w:val="0"/>
          <w:marBottom w:val="0"/>
          <w:divBdr>
            <w:top w:val="none" w:sz="0" w:space="0" w:color="auto"/>
            <w:left w:val="none" w:sz="0" w:space="0" w:color="auto"/>
            <w:bottom w:val="none" w:sz="0" w:space="0" w:color="auto"/>
            <w:right w:val="none" w:sz="0" w:space="0" w:color="auto"/>
          </w:divBdr>
        </w:div>
        <w:div w:id="706487416">
          <w:marLeft w:val="0"/>
          <w:marRight w:val="0"/>
          <w:marTop w:val="0"/>
          <w:marBottom w:val="0"/>
          <w:divBdr>
            <w:top w:val="none" w:sz="0" w:space="0" w:color="auto"/>
            <w:left w:val="none" w:sz="0" w:space="0" w:color="auto"/>
            <w:bottom w:val="none" w:sz="0" w:space="0" w:color="auto"/>
            <w:right w:val="none" w:sz="0" w:space="0" w:color="auto"/>
          </w:divBdr>
        </w:div>
        <w:div w:id="812019071">
          <w:marLeft w:val="0"/>
          <w:marRight w:val="0"/>
          <w:marTop w:val="0"/>
          <w:marBottom w:val="0"/>
          <w:divBdr>
            <w:top w:val="none" w:sz="0" w:space="0" w:color="auto"/>
            <w:left w:val="none" w:sz="0" w:space="0" w:color="auto"/>
            <w:bottom w:val="none" w:sz="0" w:space="0" w:color="auto"/>
            <w:right w:val="none" w:sz="0" w:space="0" w:color="auto"/>
          </w:divBdr>
        </w:div>
        <w:div w:id="1316179444">
          <w:marLeft w:val="0"/>
          <w:marRight w:val="0"/>
          <w:marTop w:val="0"/>
          <w:marBottom w:val="0"/>
          <w:divBdr>
            <w:top w:val="none" w:sz="0" w:space="0" w:color="auto"/>
            <w:left w:val="none" w:sz="0" w:space="0" w:color="auto"/>
            <w:bottom w:val="none" w:sz="0" w:space="0" w:color="auto"/>
            <w:right w:val="none" w:sz="0" w:space="0" w:color="auto"/>
          </w:divBdr>
        </w:div>
        <w:div w:id="1491285408">
          <w:marLeft w:val="0"/>
          <w:marRight w:val="0"/>
          <w:marTop w:val="0"/>
          <w:marBottom w:val="0"/>
          <w:divBdr>
            <w:top w:val="none" w:sz="0" w:space="0" w:color="auto"/>
            <w:left w:val="none" w:sz="0" w:space="0" w:color="auto"/>
            <w:bottom w:val="none" w:sz="0" w:space="0" w:color="auto"/>
            <w:right w:val="none" w:sz="0" w:space="0" w:color="auto"/>
          </w:divBdr>
        </w:div>
        <w:div w:id="1499611003">
          <w:marLeft w:val="0"/>
          <w:marRight w:val="0"/>
          <w:marTop w:val="0"/>
          <w:marBottom w:val="0"/>
          <w:divBdr>
            <w:top w:val="none" w:sz="0" w:space="0" w:color="auto"/>
            <w:left w:val="none" w:sz="0" w:space="0" w:color="auto"/>
            <w:bottom w:val="none" w:sz="0" w:space="0" w:color="auto"/>
            <w:right w:val="none" w:sz="0" w:space="0" w:color="auto"/>
          </w:divBdr>
        </w:div>
        <w:div w:id="1675763106">
          <w:marLeft w:val="0"/>
          <w:marRight w:val="0"/>
          <w:marTop w:val="0"/>
          <w:marBottom w:val="0"/>
          <w:divBdr>
            <w:top w:val="none" w:sz="0" w:space="0" w:color="auto"/>
            <w:left w:val="none" w:sz="0" w:space="0" w:color="auto"/>
            <w:bottom w:val="none" w:sz="0" w:space="0" w:color="auto"/>
            <w:right w:val="none" w:sz="0" w:space="0" w:color="auto"/>
          </w:divBdr>
        </w:div>
        <w:div w:id="1867863265">
          <w:marLeft w:val="0"/>
          <w:marRight w:val="0"/>
          <w:marTop w:val="0"/>
          <w:marBottom w:val="0"/>
          <w:divBdr>
            <w:top w:val="none" w:sz="0" w:space="0" w:color="auto"/>
            <w:left w:val="none" w:sz="0" w:space="0" w:color="auto"/>
            <w:bottom w:val="none" w:sz="0" w:space="0" w:color="auto"/>
            <w:right w:val="none" w:sz="0" w:space="0" w:color="auto"/>
          </w:divBdr>
        </w:div>
        <w:div w:id="1964119221">
          <w:marLeft w:val="0"/>
          <w:marRight w:val="0"/>
          <w:marTop w:val="0"/>
          <w:marBottom w:val="0"/>
          <w:divBdr>
            <w:top w:val="none" w:sz="0" w:space="0" w:color="auto"/>
            <w:left w:val="none" w:sz="0" w:space="0" w:color="auto"/>
            <w:bottom w:val="none" w:sz="0" w:space="0" w:color="auto"/>
            <w:right w:val="none" w:sz="0" w:space="0" w:color="auto"/>
          </w:divBdr>
        </w:div>
        <w:div w:id="2004620389">
          <w:marLeft w:val="0"/>
          <w:marRight w:val="0"/>
          <w:marTop w:val="0"/>
          <w:marBottom w:val="0"/>
          <w:divBdr>
            <w:top w:val="none" w:sz="0" w:space="0" w:color="auto"/>
            <w:left w:val="none" w:sz="0" w:space="0" w:color="auto"/>
            <w:bottom w:val="none" w:sz="0" w:space="0" w:color="auto"/>
            <w:right w:val="none" w:sz="0" w:space="0" w:color="auto"/>
          </w:divBdr>
        </w:div>
      </w:divsChild>
    </w:div>
    <w:div w:id="693002707">
      <w:bodyDiv w:val="1"/>
      <w:marLeft w:val="0"/>
      <w:marRight w:val="0"/>
      <w:marTop w:val="0"/>
      <w:marBottom w:val="0"/>
      <w:divBdr>
        <w:top w:val="none" w:sz="0" w:space="0" w:color="auto"/>
        <w:left w:val="none" w:sz="0" w:space="0" w:color="auto"/>
        <w:bottom w:val="none" w:sz="0" w:space="0" w:color="auto"/>
        <w:right w:val="none" w:sz="0" w:space="0" w:color="auto"/>
      </w:divBdr>
      <w:divsChild>
        <w:div w:id="37827781">
          <w:marLeft w:val="0"/>
          <w:marRight w:val="0"/>
          <w:marTop w:val="0"/>
          <w:marBottom w:val="0"/>
          <w:divBdr>
            <w:top w:val="none" w:sz="0" w:space="0" w:color="auto"/>
            <w:left w:val="none" w:sz="0" w:space="0" w:color="auto"/>
            <w:bottom w:val="none" w:sz="0" w:space="0" w:color="auto"/>
            <w:right w:val="none" w:sz="0" w:space="0" w:color="auto"/>
          </w:divBdr>
        </w:div>
        <w:div w:id="102112475">
          <w:marLeft w:val="0"/>
          <w:marRight w:val="0"/>
          <w:marTop w:val="0"/>
          <w:marBottom w:val="0"/>
          <w:divBdr>
            <w:top w:val="none" w:sz="0" w:space="0" w:color="auto"/>
            <w:left w:val="none" w:sz="0" w:space="0" w:color="auto"/>
            <w:bottom w:val="none" w:sz="0" w:space="0" w:color="auto"/>
            <w:right w:val="none" w:sz="0" w:space="0" w:color="auto"/>
          </w:divBdr>
        </w:div>
        <w:div w:id="171340340">
          <w:marLeft w:val="0"/>
          <w:marRight w:val="0"/>
          <w:marTop w:val="0"/>
          <w:marBottom w:val="0"/>
          <w:divBdr>
            <w:top w:val="none" w:sz="0" w:space="0" w:color="auto"/>
            <w:left w:val="none" w:sz="0" w:space="0" w:color="auto"/>
            <w:bottom w:val="none" w:sz="0" w:space="0" w:color="auto"/>
            <w:right w:val="none" w:sz="0" w:space="0" w:color="auto"/>
          </w:divBdr>
        </w:div>
        <w:div w:id="240650240">
          <w:marLeft w:val="0"/>
          <w:marRight w:val="0"/>
          <w:marTop w:val="0"/>
          <w:marBottom w:val="0"/>
          <w:divBdr>
            <w:top w:val="none" w:sz="0" w:space="0" w:color="auto"/>
            <w:left w:val="none" w:sz="0" w:space="0" w:color="auto"/>
            <w:bottom w:val="none" w:sz="0" w:space="0" w:color="auto"/>
            <w:right w:val="none" w:sz="0" w:space="0" w:color="auto"/>
          </w:divBdr>
        </w:div>
        <w:div w:id="252472516">
          <w:marLeft w:val="0"/>
          <w:marRight w:val="0"/>
          <w:marTop w:val="0"/>
          <w:marBottom w:val="0"/>
          <w:divBdr>
            <w:top w:val="none" w:sz="0" w:space="0" w:color="auto"/>
            <w:left w:val="none" w:sz="0" w:space="0" w:color="auto"/>
            <w:bottom w:val="none" w:sz="0" w:space="0" w:color="auto"/>
            <w:right w:val="none" w:sz="0" w:space="0" w:color="auto"/>
          </w:divBdr>
        </w:div>
        <w:div w:id="318459863">
          <w:marLeft w:val="0"/>
          <w:marRight w:val="0"/>
          <w:marTop w:val="0"/>
          <w:marBottom w:val="0"/>
          <w:divBdr>
            <w:top w:val="none" w:sz="0" w:space="0" w:color="auto"/>
            <w:left w:val="none" w:sz="0" w:space="0" w:color="auto"/>
            <w:bottom w:val="none" w:sz="0" w:space="0" w:color="auto"/>
            <w:right w:val="none" w:sz="0" w:space="0" w:color="auto"/>
          </w:divBdr>
        </w:div>
        <w:div w:id="375861121">
          <w:marLeft w:val="0"/>
          <w:marRight w:val="0"/>
          <w:marTop w:val="0"/>
          <w:marBottom w:val="0"/>
          <w:divBdr>
            <w:top w:val="none" w:sz="0" w:space="0" w:color="auto"/>
            <w:left w:val="none" w:sz="0" w:space="0" w:color="auto"/>
            <w:bottom w:val="none" w:sz="0" w:space="0" w:color="auto"/>
            <w:right w:val="none" w:sz="0" w:space="0" w:color="auto"/>
          </w:divBdr>
        </w:div>
        <w:div w:id="501048584">
          <w:marLeft w:val="0"/>
          <w:marRight w:val="0"/>
          <w:marTop w:val="0"/>
          <w:marBottom w:val="0"/>
          <w:divBdr>
            <w:top w:val="none" w:sz="0" w:space="0" w:color="auto"/>
            <w:left w:val="none" w:sz="0" w:space="0" w:color="auto"/>
            <w:bottom w:val="none" w:sz="0" w:space="0" w:color="auto"/>
            <w:right w:val="none" w:sz="0" w:space="0" w:color="auto"/>
          </w:divBdr>
        </w:div>
        <w:div w:id="640117080">
          <w:marLeft w:val="0"/>
          <w:marRight w:val="0"/>
          <w:marTop w:val="0"/>
          <w:marBottom w:val="0"/>
          <w:divBdr>
            <w:top w:val="none" w:sz="0" w:space="0" w:color="auto"/>
            <w:left w:val="none" w:sz="0" w:space="0" w:color="auto"/>
            <w:bottom w:val="none" w:sz="0" w:space="0" w:color="auto"/>
            <w:right w:val="none" w:sz="0" w:space="0" w:color="auto"/>
          </w:divBdr>
        </w:div>
        <w:div w:id="676732182">
          <w:marLeft w:val="0"/>
          <w:marRight w:val="0"/>
          <w:marTop w:val="0"/>
          <w:marBottom w:val="0"/>
          <w:divBdr>
            <w:top w:val="none" w:sz="0" w:space="0" w:color="auto"/>
            <w:left w:val="none" w:sz="0" w:space="0" w:color="auto"/>
            <w:bottom w:val="none" w:sz="0" w:space="0" w:color="auto"/>
            <w:right w:val="none" w:sz="0" w:space="0" w:color="auto"/>
          </w:divBdr>
        </w:div>
        <w:div w:id="970944443">
          <w:marLeft w:val="0"/>
          <w:marRight w:val="0"/>
          <w:marTop w:val="0"/>
          <w:marBottom w:val="0"/>
          <w:divBdr>
            <w:top w:val="none" w:sz="0" w:space="0" w:color="auto"/>
            <w:left w:val="none" w:sz="0" w:space="0" w:color="auto"/>
            <w:bottom w:val="none" w:sz="0" w:space="0" w:color="auto"/>
            <w:right w:val="none" w:sz="0" w:space="0" w:color="auto"/>
          </w:divBdr>
        </w:div>
        <w:div w:id="1077627707">
          <w:marLeft w:val="0"/>
          <w:marRight w:val="0"/>
          <w:marTop w:val="0"/>
          <w:marBottom w:val="0"/>
          <w:divBdr>
            <w:top w:val="none" w:sz="0" w:space="0" w:color="auto"/>
            <w:left w:val="none" w:sz="0" w:space="0" w:color="auto"/>
            <w:bottom w:val="none" w:sz="0" w:space="0" w:color="auto"/>
            <w:right w:val="none" w:sz="0" w:space="0" w:color="auto"/>
          </w:divBdr>
        </w:div>
        <w:div w:id="1144926880">
          <w:marLeft w:val="0"/>
          <w:marRight w:val="0"/>
          <w:marTop w:val="0"/>
          <w:marBottom w:val="0"/>
          <w:divBdr>
            <w:top w:val="none" w:sz="0" w:space="0" w:color="auto"/>
            <w:left w:val="none" w:sz="0" w:space="0" w:color="auto"/>
            <w:bottom w:val="none" w:sz="0" w:space="0" w:color="auto"/>
            <w:right w:val="none" w:sz="0" w:space="0" w:color="auto"/>
          </w:divBdr>
        </w:div>
        <w:div w:id="1392849223">
          <w:marLeft w:val="0"/>
          <w:marRight w:val="0"/>
          <w:marTop w:val="0"/>
          <w:marBottom w:val="0"/>
          <w:divBdr>
            <w:top w:val="none" w:sz="0" w:space="0" w:color="auto"/>
            <w:left w:val="none" w:sz="0" w:space="0" w:color="auto"/>
            <w:bottom w:val="none" w:sz="0" w:space="0" w:color="auto"/>
            <w:right w:val="none" w:sz="0" w:space="0" w:color="auto"/>
          </w:divBdr>
        </w:div>
        <w:div w:id="1616474857">
          <w:marLeft w:val="0"/>
          <w:marRight w:val="0"/>
          <w:marTop w:val="0"/>
          <w:marBottom w:val="0"/>
          <w:divBdr>
            <w:top w:val="none" w:sz="0" w:space="0" w:color="auto"/>
            <w:left w:val="none" w:sz="0" w:space="0" w:color="auto"/>
            <w:bottom w:val="none" w:sz="0" w:space="0" w:color="auto"/>
            <w:right w:val="none" w:sz="0" w:space="0" w:color="auto"/>
          </w:divBdr>
        </w:div>
        <w:div w:id="1725522332">
          <w:marLeft w:val="0"/>
          <w:marRight w:val="0"/>
          <w:marTop w:val="0"/>
          <w:marBottom w:val="0"/>
          <w:divBdr>
            <w:top w:val="none" w:sz="0" w:space="0" w:color="auto"/>
            <w:left w:val="none" w:sz="0" w:space="0" w:color="auto"/>
            <w:bottom w:val="none" w:sz="0" w:space="0" w:color="auto"/>
            <w:right w:val="none" w:sz="0" w:space="0" w:color="auto"/>
          </w:divBdr>
        </w:div>
        <w:div w:id="1760564932">
          <w:marLeft w:val="0"/>
          <w:marRight w:val="0"/>
          <w:marTop w:val="0"/>
          <w:marBottom w:val="0"/>
          <w:divBdr>
            <w:top w:val="none" w:sz="0" w:space="0" w:color="auto"/>
            <w:left w:val="none" w:sz="0" w:space="0" w:color="auto"/>
            <w:bottom w:val="none" w:sz="0" w:space="0" w:color="auto"/>
            <w:right w:val="none" w:sz="0" w:space="0" w:color="auto"/>
          </w:divBdr>
        </w:div>
        <w:div w:id="1764496449">
          <w:marLeft w:val="0"/>
          <w:marRight w:val="0"/>
          <w:marTop w:val="0"/>
          <w:marBottom w:val="0"/>
          <w:divBdr>
            <w:top w:val="none" w:sz="0" w:space="0" w:color="auto"/>
            <w:left w:val="none" w:sz="0" w:space="0" w:color="auto"/>
            <w:bottom w:val="none" w:sz="0" w:space="0" w:color="auto"/>
            <w:right w:val="none" w:sz="0" w:space="0" w:color="auto"/>
          </w:divBdr>
        </w:div>
        <w:div w:id="2060350787">
          <w:marLeft w:val="0"/>
          <w:marRight w:val="0"/>
          <w:marTop w:val="0"/>
          <w:marBottom w:val="0"/>
          <w:divBdr>
            <w:top w:val="none" w:sz="0" w:space="0" w:color="auto"/>
            <w:left w:val="none" w:sz="0" w:space="0" w:color="auto"/>
            <w:bottom w:val="none" w:sz="0" w:space="0" w:color="auto"/>
            <w:right w:val="none" w:sz="0" w:space="0" w:color="auto"/>
          </w:divBdr>
        </w:div>
        <w:div w:id="2072579631">
          <w:marLeft w:val="0"/>
          <w:marRight w:val="0"/>
          <w:marTop w:val="0"/>
          <w:marBottom w:val="0"/>
          <w:divBdr>
            <w:top w:val="none" w:sz="0" w:space="0" w:color="auto"/>
            <w:left w:val="none" w:sz="0" w:space="0" w:color="auto"/>
            <w:bottom w:val="none" w:sz="0" w:space="0" w:color="auto"/>
            <w:right w:val="none" w:sz="0" w:space="0" w:color="auto"/>
          </w:divBdr>
        </w:div>
      </w:divsChild>
    </w:div>
    <w:div w:id="729839653">
      <w:bodyDiv w:val="1"/>
      <w:marLeft w:val="0"/>
      <w:marRight w:val="0"/>
      <w:marTop w:val="0"/>
      <w:marBottom w:val="0"/>
      <w:divBdr>
        <w:top w:val="none" w:sz="0" w:space="0" w:color="auto"/>
        <w:left w:val="none" w:sz="0" w:space="0" w:color="auto"/>
        <w:bottom w:val="none" w:sz="0" w:space="0" w:color="auto"/>
        <w:right w:val="none" w:sz="0" w:space="0" w:color="auto"/>
      </w:divBdr>
    </w:div>
    <w:div w:id="731387727">
      <w:bodyDiv w:val="1"/>
      <w:marLeft w:val="0"/>
      <w:marRight w:val="0"/>
      <w:marTop w:val="0"/>
      <w:marBottom w:val="0"/>
      <w:divBdr>
        <w:top w:val="none" w:sz="0" w:space="0" w:color="auto"/>
        <w:left w:val="none" w:sz="0" w:space="0" w:color="auto"/>
        <w:bottom w:val="none" w:sz="0" w:space="0" w:color="auto"/>
        <w:right w:val="none" w:sz="0" w:space="0" w:color="auto"/>
      </w:divBdr>
      <w:divsChild>
        <w:div w:id="59057984">
          <w:marLeft w:val="0"/>
          <w:marRight w:val="0"/>
          <w:marTop w:val="0"/>
          <w:marBottom w:val="0"/>
          <w:divBdr>
            <w:top w:val="none" w:sz="0" w:space="0" w:color="auto"/>
            <w:left w:val="none" w:sz="0" w:space="0" w:color="auto"/>
            <w:bottom w:val="none" w:sz="0" w:space="0" w:color="auto"/>
            <w:right w:val="none" w:sz="0" w:space="0" w:color="auto"/>
          </w:divBdr>
        </w:div>
        <w:div w:id="365374107">
          <w:marLeft w:val="0"/>
          <w:marRight w:val="0"/>
          <w:marTop w:val="0"/>
          <w:marBottom w:val="0"/>
          <w:divBdr>
            <w:top w:val="none" w:sz="0" w:space="0" w:color="auto"/>
            <w:left w:val="none" w:sz="0" w:space="0" w:color="auto"/>
            <w:bottom w:val="none" w:sz="0" w:space="0" w:color="auto"/>
            <w:right w:val="none" w:sz="0" w:space="0" w:color="auto"/>
          </w:divBdr>
        </w:div>
        <w:div w:id="712730033">
          <w:marLeft w:val="0"/>
          <w:marRight w:val="0"/>
          <w:marTop w:val="0"/>
          <w:marBottom w:val="0"/>
          <w:divBdr>
            <w:top w:val="none" w:sz="0" w:space="0" w:color="auto"/>
            <w:left w:val="none" w:sz="0" w:space="0" w:color="auto"/>
            <w:bottom w:val="none" w:sz="0" w:space="0" w:color="auto"/>
            <w:right w:val="none" w:sz="0" w:space="0" w:color="auto"/>
          </w:divBdr>
        </w:div>
        <w:div w:id="1248926807">
          <w:marLeft w:val="0"/>
          <w:marRight w:val="0"/>
          <w:marTop w:val="0"/>
          <w:marBottom w:val="0"/>
          <w:divBdr>
            <w:top w:val="none" w:sz="0" w:space="0" w:color="auto"/>
            <w:left w:val="none" w:sz="0" w:space="0" w:color="auto"/>
            <w:bottom w:val="none" w:sz="0" w:space="0" w:color="auto"/>
            <w:right w:val="none" w:sz="0" w:space="0" w:color="auto"/>
          </w:divBdr>
        </w:div>
        <w:div w:id="1308630262">
          <w:marLeft w:val="0"/>
          <w:marRight w:val="0"/>
          <w:marTop w:val="0"/>
          <w:marBottom w:val="0"/>
          <w:divBdr>
            <w:top w:val="none" w:sz="0" w:space="0" w:color="auto"/>
            <w:left w:val="none" w:sz="0" w:space="0" w:color="auto"/>
            <w:bottom w:val="none" w:sz="0" w:space="0" w:color="auto"/>
            <w:right w:val="none" w:sz="0" w:space="0" w:color="auto"/>
          </w:divBdr>
        </w:div>
        <w:div w:id="1327712817">
          <w:marLeft w:val="0"/>
          <w:marRight w:val="0"/>
          <w:marTop w:val="0"/>
          <w:marBottom w:val="0"/>
          <w:divBdr>
            <w:top w:val="none" w:sz="0" w:space="0" w:color="auto"/>
            <w:left w:val="none" w:sz="0" w:space="0" w:color="auto"/>
            <w:bottom w:val="none" w:sz="0" w:space="0" w:color="auto"/>
            <w:right w:val="none" w:sz="0" w:space="0" w:color="auto"/>
          </w:divBdr>
        </w:div>
        <w:div w:id="1377971213">
          <w:marLeft w:val="0"/>
          <w:marRight w:val="0"/>
          <w:marTop w:val="0"/>
          <w:marBottom w:val="0"/>
          <w:divBdr>
            <w:top w:val="none" w:sz="0" w:space="0" w:color="auto"/>
            <w:left w:val="none" w:sz="0" w:space="0" w:color="auto"/>
            <w:bottom w:val="none" w:sz="0" w:space="0" w:color="auto"/>
            <w:right w:val="none" w:sz="0" w:space="0" w:color="auto"/>
          </w:divBdr>
        </w:div>
        <w:div w:id="1464494499">
          <w:marLeft w:val="0"/>
          <w:marRight w:val="0"/>
          <w:marTop w:val="0"/>
          <w:marBottom w:val="0"/>
          <w:divBdr>
            <w:top w:val="none" w:sz="0" w:space="0" w:color="auto"/>
            <w:left w:val="none" w:sz="0" w:space="0" w:color="auto"/>
            <w:bottom w:val="none" w:sz="0" w:space="0" w:color="auto"/>
            <w:right w:val="none" w:sz="0" w:space="0" w:color="auto"/>
          </w:divBdr>
        </w:div>
        <w:div w:id="1751808651">
          <w:marLeft w:val="0"/>
          <w:marRight w:val="0"/>
          <w:marTop w:val="0"/>
          <w:marBottom w:val="0"/>
          <w:divBdr>
            <w:top w:val="none" w:sz="0" w:space="0" w:color="auto"/>
            <w:left w:val="none" w:sz="0" w:space="0" w:color="auto"/>
            <w:bottom w:val="none" w:sz="0" w:space="0" w:color="auto"/>
            <w:right w:val="none" w:sz="0" w:space="0" w:color="auto"/>
          </w:divBdr>
        </w:div>
      </w:divsChild>
    </w:div>
    <w:div w:id="775055305">
      <w:bodyDiv w:val="1"/>
      <w:marLeft w:val="0"/>
      <w:marRight w:val="0"/>
      <w:marTop w:val="0"/>
      <w:marBottom w:val="0"/>
      <w:divBdr>
        <w:top w:val="none" w:sz="0" w:space="0" w:color="auto"/>
        <w:left w:val="none" w:sz="0" w:space="0" w:color="auto"/>
        <w:bottom w:val="none" w:sz="0" w:space="0" w:color="auto"/>
        <w:right w:val="none" w:sz="0" w:space="0" w:color="auto"/>
      </w:divBdr>
      <w:divsChild>
        <w:div w:id="88670792">
          <w:marLeft w:val="0"/>
          <w:marRight w:val="0"/>
          <w:marTop w:val="0"/>
          <w:marBottom w:val="0"/>
          <w:divBdr>
            <w:top w:val="none" w:sz="0" w:space="0" w:color="auto"/>
            <w:left w:val="none" w:sz="0" w:space="0" w:color="auto"/>
            <w:bottom w:val="none" w:sz="0" w:space="0" w:color="auto"/>
            <w:right w:val="none" w:sz="0" w:space="0" w:color="auto"/>
          </w:divBdr>
        </w:div>
        <w:div w:id="110705956">
          <w:marLeft w:val="0"/>
          <w:marRight w:val="0"/>
          <w:marTop w:val="0"/>
          <w:marBottom w:val="0"/>
          <w:divBdr>
            <w:top w:val="none" w:sz="0" w:space="0" w:color="auto"/>
            <w:left w:val="none" w:sz="0" w:space="0" w:color="auto"/>
            <w:bottom w:val="none" w:sz="0" w:space="0" w:color="auto"/>
            <w:right w:val="none" w:sz="0" w:space="0" w:color="auto"/>
          </w:divBdr>
        </w:div>
        <w:div w:id="258216396">
          <w:marLeft w:val="0"/>
          <w:marRight w:val="0"/>
          <w:marTop w:val="0"/>
          <w:marBottom w:val="0"/>
          <w:divBdr>
            <w:top w:val="none" w:sz="0" w:space="0" w:color="auto"/>
            <w:left w:val="none" w:sz="0" w:space="0" w:color="auto"/>
            <w:bottom w:val="none" w:sz="0" w:space="0" w:color="auto"/>
            <w:right w:val="none" w:sz="0" w:space="0" w:color="auto"/>
          </w:divBdr>
        </w:div>
        <w:div w:id="296961639">
          <w:marLeft w:val="0"/>
          <w:marRight w:val="0"/>
          <w:marTop w:val="0"/>
          <w:marBottom w:val="0"/>
          <w:divBdr>
            <w:top w:val="none" w:sz="0" w:space="0" w:color="auto"/>
            <w:left w:val="none" w:sz="0" w:space="0" w:color="auto"/>
            <w:bottom w:val="none" w:sz="0" w:space="0" w:color="auto"/>
            <w:right w:val="none" w:sz="0" w:space="0" w:color="auto"/>
          </w:divBdr>
        </w:div>
        <w:div w:id="439689021">
          <w:marLeft w:val="0"/>
          <w:marRight w:val="0"/>
          <w:marTop w:val="0"/>
          <w:marBottom w:val="0"/>
          <w:divBdr>
            <w:top w:val="none" w:sz="0" w:space="0" w:color="auto"/>
            <w:left w:val="none" w:sz="0" w:space="0" w:color="auto"/>
            <w:bottom w:val="none" w:sz="0" w:space="0" w:color="auto"/>
            <w:right w:val="none" w:sz="0" w:space="0" w:color="auto"/>
          </w:divBdr>
        </w:div>
        <w:div w:id="448861315">
          <w:marLeft w:val="0"/>
          <w:marRight w:val="0"/>
          <w:marTop w:val="0"/>
          <w:marBottom w:val="0"/>
          <w:divBdr>
            <w:top w:val="none" w:sz="0" w:space="0" w:color="auto"/>
            <w:left w:val="none" w:sz="0" w:space="0" w:color="auto"/>
            <w:bottom w:val="none" w:sz="0" w:space="0" w:color="auto"/>
            <w:right w:val="none" w:sz="0" w:space="0" w:color="auto"/>
          </w:divBdr>
        </w:div>
        <w:div w:id="650330615">
          <w:marLeft w:val="0"/>
          <w:marRight w:val="0"/>
          <w:marTop w:val="0"/>
          <w:marBottom w:val="0"/>
          <w:divBdr>
            <w:top w:val="none" w:sz="0" w:space="0" w:color="auto"/>
            <w:left w:val="none" w:sz="0" w:space="0" w:color="auto"/>
            <w:bottom w:val="none" w:sz="0" w:space="0" w:color="auto"/>
            <w:right w:val="none" w:sz="0" w:space="0" w:color="auto"/>
          </w:divBdr>
        </w:div>
        <w:div w:id="678046104">
          <w:marLeft w:val="0"/>
          <w:marRight w:val="0"/>
          <w:marTop w:val="0"/>
          <w:marBottom w:val="0"/>
          <w:divBdr>
            <w:top w:val="none" w:sz="0" w:space="0" w:color="auto"/>
            <w:left w:val="none" w:sz="0" w:space="0" w:color="auto"/>
            <w:bottom w:val="none" w:sz="0" w:space="0" w:color="auto"/>
            <w:right w:val="none" w:sz="0" w:space="0" w:color="auto"/>
          </w:divBdr>
        </w:div>
        <w:div w:id="921183739">
          <w:marLeft w:val="0"/>
          <w:marRight w:val="0"/>
          <w:marTop w:val="0"/>
          <w:marBottom w:val="0"/>
          <w:divBdr>
            <w:top w:val="none" w:sz="0" w:space="0" w:color="auto"/>
            <w:left w:val="none" w:sz="0" w:space="0" w:color="auto"/>
            <w:bottom w:val="none" w:sz="0" w:space="0" w:color="auto"/>
            <w:right w:val="none" w:sz="0" w:space="0" w:color="auto"/>
          </w:divBdr>
        </w:div>
        <w:div w:id="1001157692">
          <w:marLeft w:val="0"/>
          <w:marRight w:val="0"/>
          <w:marTop w:val="0"/>
          <w:marBottom w:val="0"/>
          <w:divBdr>
            <w:top w:val="none" w:sz="0" w:space="0" w:color="auto"/>
            <w:left w:val="none" w:sz="0" w:space="0" w:color="auto"/>
            <w:bottom w:val="none" w:sz="0" w:space="0" w:color="auto"/>
            <w:right w:val="none" w:sz="0" w:space="0" w:color="auto"/>
          </w:divBdr>
        </w:div>
        <w:div w:id="1046640854">
          <w:marLeft w:val="0"/>
          <w:marRight w:val="0"/>
          <w:marTop w:val="0"/>
          <w:marBottom w:val="0"/>
          <w:divBdr>
            <w:top w:val="none" w:sz="0" w:space="0" w:color="auto"/>
            <w:left w:val="none" w:sz="0" w:space="0" w:color="auto"/>
            <w:bottom w:val="none" w:sz="0" w:space="0" w:color="auto"/>
            <w:right w:val="none" w:sz="0" w:space="0" w:color="auto"/>
          </w:divBdr>
        </w:div>
        <w:div w:id="1147092510">
          <w:marLeft w:val="0"/>
          <w:marRight w:val="0"/>
          <w:marTop w:val="0"/>
          <w:marBottom w:val="0"/>
          <w:divBdr>
            <w:top w:val="none" w:sz="0" w:space="0" w:color="auto"/>
            <w:left w:val="none" w:sz="0" w:space="0" w:color="auto"/>
            <w:bottom w:val="none" w:sz="0" w:space="0" w:color="auto"/>
            <w:right w:val="none" w:sz="0" w:space="0" w:color="auto"/>
          </w:divBdr>
        </w:div>
        <w:div w:id="1231378739">
          <w:marLeft w:val="0"/>
          <w:marRight w:val="0"/>
          <w:marTop w:val="0"/>
          <w:marBottom w:val="0"/>
          <w:divBdr>
            <w:top w:val="none" w:sz="0" w:space="0" w:color="auto"/>
            <w:left w:val="none" w:sz="0" w:space="0" w:color="auto"/>
            <w:bottom w:val="none" w:sz="0" w:space="0" w:color="auto"/>
            <w:right w:val="none" w:sz="0" w:space="0" w:color="auto"/>
          </w:divBdr>
        </w:div>
        <w:div w:id="1328633943">
          <w:marLeft w:val="0"/>
          <w:marRight w:val="0"/>
          <w:marTop w:val="0"/>
          <w:marBottom w:val="0"/>
          <w:divBdr>
            <w:top w:val="none" w:sz="0" w:space="0" w:color="auto"/>
            <w:left w:val="none" w:sz="0" w:space="0" w:color="auto"/>
            <w:bottom w:val="none" w:sz="0" w:space="0" w:color="auto"/>
            <w:right w:val="none" w:sz="0" w:space="0" w:color="auto"/>
          </w:divBdr>
        </w:div>
        <w:div w:id="1545217565">
          <w:marLeft w:val="0"/>
          <w:marRight w:val="0"/>
          <w:marTop w:val="0"/>
          <w:marBottom w:val="0"/>
          <w:divBdr>
            <w:top w:val="none" w:sz="0" w:space="0" w:color="auto"/>
            <w:left w:val="none" w:sz="0" w:space="0" w:color="auto"/>
            <w:bottom w:val="none" w:sz="0" w:space="0" w:color="auto"/>
            <w:right w:val="none" w:sz="0" w:space="0" w:color="auto"/>
          </w:divBdr>
        </w:div>
        <w:div w:id="1600870135">
          <w:marLeft w:val="0"/>
          <w:marRight w:val="0"/>
          <w:marTop w:val="0"/>
          <w:marBottom w:val="0"/>
          <w:divBdr>
            <w:top w:val="none" w:sz="0" w:space="0" w:color="auto"/>
            <w:left w:val="none" w:sz="0" w:space="0" w:color="auto"/>
            <w:bottom w:val="none" w:sz="0" w:space="0" w:color="auto"/>
            <w:right w:val="none" w:sz="0" w:space="0" w:color="auto"/>
          </w:divBdr>
        </w:div>
        <w:div w:id="1843081786">
          <w:marLeft w:val="0"/>
          <w:marRight w:val="0"/>
          <w:marTop w:val="0"/>
          <w:marBottom w:val="0"/>
          <w:divBdr>
            <w:top w:val="none" w:sz="0" w:space="0" w:color="auto"/>
            <w:left w:val="none" w:sz="0" w:space="0" w:color="auto"/>
            <w:bottom w:val="none" w:sz="0" w:space="0" w:color="auto"/>
            <w:right w:val="none" w:sz="0" w:space="0" w:color="auto"/>
          </w:divBdr>
        </w:div>
        <w:div w:id="1928952684">
          <w:marLeft w:val="0"/>
          <w:marRight w:val="0"/>
          <w:marTop w:val="0"/>
          <w:marBottom w:val="0"/>
          <w:divBdr>
            <w:top w:val="none" w:sz="0" w:space="0" w:color="auto"/>
            <w:left w:val="none" w:sz="0" w:space="0" w:color="auto"/>
            <w:bottom w:val="none" w:sz="0" w:space="0" w:color="auto"/>
            <w:right w:val="none" w:sz="0" w:space="0" w:color="auto"/>
          </w:divBdr>
        </w:div>
        <w:div w:id="2042516045">
          <w:marLeft w:val="0"/>
          <w:marRight w:val="0"/>
          <w:marTop w:val="0"/>
          <w:marBottom w:val="0"/>
          <w:divBdr>
            <w:top w:val="none" w:sz="0" w:space="0" w:color="auto"/>
            <w:left w:val="none" w:sz="0" w:space="0" w:color="auto"/>
            <w:bottom w:val="none" w:sz="0" w:space="0" w:color="auto"/>
            <w:right w:val="none" w:sz="0" w:space="0" w:color="auto"/>
          </w:divBdr>
        </w:div>
        <w:div w:id="2051295037">
          <w:marLeft w:val="0"/>
          <w:marRight w:val="0"/>
          <w:marTop w:val="0"/>
          <w:marBottom w:val="0"/>
          <w:divBdr>
            <w:top w:val="none" w:sz="0" w:space="0" w:color="auto"/>
            <w:left w:val="none" w:sz="0" w:space="0" w:color="auto"/>
            <w:bottom w:val="none" w:sz="0" w:space="0" w:color="auto"/>
            <w:right w:val="none" w:sz="0" w:space="0" w:color="auto"/>
          </w:divBdr>
        </w:div>
        <w:div w:id="2064716747">
          <w:marLeft w:val="0"/>
          <w:marRight w:val="0"/>
          <w:marTop w:val="0"/>
          <w:marBottom w:val="0"/>
          <w:divBdr>
            <w:top w:val="none" w:sz="0" w:space="0" w:color="auto"/>
            <w:left w:val="none" w:sz="0" w:space="0" w:color="auto"/>
            <w:bottom w:val="none" w:sz="0" w:space="0" w:color="auto"/>
            <w:right w:val="none" w:sz="0" w:space="0" w:color="auto"/>
          </w:divBdr>
        </w:div>
        <w:div w:id="2120441655">
          <w:marLeft w:val="0"/>
          <w:marRight w:val="0"/>
          <w:marTop w:val="0"/>
          <w:marBottom w:val="0"/>
          <w:divBdr>
            <w:top w:val="none" w:sz="0" w:space="0" w:color="auto"/>
            <w:left w:val="none" w:sz="0" w:space="0" w:color="auto"/>
            <w:bottom w:val="none" w:sz="0" w:space="0" w:color="auto"/>
            <w:right w:val="none" w:sz="0" w:space="0" w:color="auto"/>
          </w:divBdr>
        </w:div>
        <w:div w:id="2145391399">
          <w:marLeft w:val="0"/>
          <w:marRight w:val="0"/>
          <w:marTop w:val="0"/>
          <w:marBottom w:val="0"/>
          <w:divBdr>
            <w:top w:val="none" w:sz="0" w:space="0" w:color="auto"/>
            <w:left w:val="none" w:sz="0" w:space="0" w:color="auto"/>
            <w:bottom w:val="none" w:sz="0" w:space="0" w:color="auto"/>
            <w:right w:val="none" w:sz="0" w:space="0" w:color="auto"/>
          </w:divBdr>
        </w:div>
      </w:divsChild>
    </w:div>
    <w:div w:id="793256509">
      <w:bodyDiv w:val="1"/>
      <w:marLeft w:val="0"/>
      <w:marRight w:val="0"/>
      <w:marTop w:val="0"/>
      <w:marBottom w:val="0"/>
      <w:divBdr>
        <w:top w:val="none" w:sz="0" w:space="0" w:color="auto"/>
        <w:left w:val="none" w:sz="0" w:space="0" w:color="auto"/>
        <w:bottom w:val="none" w:sz="0" w:space="0" w:color="auto"/>
        <w:right w:val="none" w:sz="0" w:space="0" w:color="auto"/>
      </w:divBdr>
      <w:divsChild>
        <w:div w:id="222713281">
          <w:marLeft w:val="0"/>
          <w:marRight w:val="0"/>
          <w:marTop w:val="0"/>
          <w:marBottom w:val="0"/>
          <w:divBdr>
            <w:top w:val="none" w:sz="0" w:space="0" w:color="auto"/>
            <w:left w:val="none" w:sz="0" w:space="0" w:color="auto"/>
            <w:bottom w:val="none" w:sz="0" w:space="0" w:color="auto"/>
            <w:right w:val="none" w:sz="0" w:space="0" w:color="auto"/>
          </w:divBdr>
        </w:div>
        <w:div w:id="443230094">
          <w:marLeft w:val="0"/>
          <w:marRight w:val="0"/>
          <w:marTop w:val="0"/>
          <w:marBottom w:val="0"/>
          <w:divBdr>
            <w:top w:val="none" w:sz="0" w:space="0" w:color="auto"/>
            <w:left w:val="none" w:sz="0" w:space="0" w:color="auto"/>
            <w:bottom w:val="none" w:sz="0" w:space="0" w:color="auto"/>
            <w:right w:val="none" w:sz="0" w:space="0" w:color="auto"/>
          </w:divBdr>
        </w:div>
        <w:div w:id="778336337">
          <w:marLeft w:val="0"/>
          <w:marRight w:val="0"/>
          <w:marTop w:val="0"/>
          <w:marBottom w:val="0"/>
          <w:divBdr>
            <w:top w:val="none" w:sz="0" w:space="0" w:color="auto"/>
            <w:left w:val="none" w:sz="0" w:space="0" w:color="auto"/>
            <w:bottom w:val="none" w:sz="0" w:space="0" w:color="auto"/>
            <w:right w:val="none" w:sz="0" w:space="0" w:color="auto"/>
          </w:divBdr>
        </w:div>
        <w:div w:id="1546870004">
          <w:marLeft w:val="0"/>
          <w:marRight w:val="0"/>
          <w:marTop w:val="0"/>
          <w:marBottom w:val="0"/>
          <w:divBdr>
            <w:top w:val="none" w:sz="0" w:space="0" w:color="auto"/>
            <w:left w:val="none" w:sz="0" w:space="0" w:color="auto"/>
            <w:bottom w:val="none" w:sz="0" w:space="0" w:color="auto"/>
            <w:right w:val="none" w:sz="0" w:space="0" w:color="auto"/>
          </w:divBdr>
        </w:div>
        <w:div w:id="1612975900">
          <w:marLeft w:val="0"/>
          <w:marRight w:val="0"/>
          <w:marTop w:val="0"/>
          <w:marBottom w:val="0"/>
          <w:divBdr>
            <w:top w:val="none" w:sz="0" w:space="0" w:color="auto"/>
            <w:left w:val="none" w:sz="0" w:space="0" w:color="auto"/>
            <w:bottom w:val="none" w:sz="0" w:space="0" w:color="auto"/>
            <w:right w:val="none" w:sz="0" w:space="0" w:color="auto"/>
          </w:divBdr>
        </w:div>
        <w:div w:id="1917127421">
          <w:marLeft w:val="0"/>
          <w:marRight w:val="0"/>
          <w:marTop w:val="0"/>
          <w:marBottom w:val="0"/>
          <w:divBdr>
            <w:top w:val="none" w:sz="0" w:space="0" w:color="auto"/>
            <w:left w:val="none" w:sz="0" w:space="0" w:color="auto"/>
            <w:bottom w:val="none" w:sz="0" w:space="0" w:color="auto"/>
            <w:right w:val="none" w:sz="0" w:space="0" w:color="auto"/>
          </w:divBdr>
        </w:div>
      </w:divsChild>
    </w:div>
    <w:div w:id="800346020">
      <w:bodyDiv w:val="1"/>
      <w:marLeft w:val="0"/>
      <w:marRight w:val="0"/>
      <w:marTop w:val="0"/>
      <w:marBottom w:val="0"/>
      <w:divBdr>
        <w:top w:val="none" w:sz="0" w:space="0" w:color="auto"/>
        <w:left w:val="none" w:sz="0" w:space="0" w:color="auto"/>
        <w:bottom w:val="none" w:sz="0" w:space="0" w:color="auto"/>
        <w:right w:val="none" w:sz="0" w:space="0" w:color="auto"/>
      </w:divBdr>
      <w:divsChild>
        <w:div w:id="1497384963">
          <w:marLeft w:val="0"/>
          <w:marRight w:val="0"/>
          <w:marTop w:val="0"/>
          <w:marBottom w:val="0"/>
          <w:divBdr>
            <w:top w:val="none" w:sz="0" w:space="0" w:color="auto"/>
            <w:left w:val="none" w:sz="0" w:space="0" w:color="auto"/>
            <w:bottom w:val="none" w:sz="0" w:space="0" w:color="auto"/>
            <w:right w:val="none" w:sz="0" w:space="0" w:color="auto"/>
          </w:divBdr>
        </w:div>
        <w:div w:id="1157572231">
          <w:marLeft w:val="0"/>
          <w:marRight w:val="0"/>
          <w:marTop w:val="0"/>
          <w:marBottom w:val="0"/>
          <w:divBdr>
            <w:top w:val="none" w:sz="0" w:space="0" w:color="auto"/>
            <w:left w:val="none" w:sz="0" w:space="0" w:color="auto"/>
            <w:bottom w:val="none" w:sz="0" w:space="0" w:color="auto"/>
            <w:right w:val="none" w:sz="0" w:space="0" w:color="auto"/>
          </w:divBdr>
        </w:div>
        <w:div w:id="316108360">
          <w:marLeft w:val="0"/>
          <w:marRight w:val="0"/>
          <w:marTop w:val="0"/>
          <w:marBottom w:val="0"/>
          <w:divBdr>
            <w:top w:val="none" w:sz="0" w:space="0" w:color="auto"/>
            <w:left w:val="none" w:sz="0" w:space="0" w:color="auto"/>
            <w:bottom w:val="none" w:sz="0" w:space="0" w:color="auto"/>
            <w:right w:val="none" w:sz="0" w:space="0" w:color="auto"/>
          </w:divBdr>
        </w:div>
        <w:div w:id="1973293762">
          <w:marLeft w:val="0"/>
          <w:marRight w:val="0"/>
          <w:marTop w:val="0"/>
          <w:marBottom w:val="0"/>
          <w:divBdr>
            <w:top w:val="none" w:sz="0" w:space="0" w:color="auto"/>
            <w:left w:val="none" w:sz="0" w:space="0" w:color="auto"/>
            <w:bottom w:val="none" w:sz="0" w:space="0" w:color="auto"/>
            <w:right w:val="none" w:sz="0" w:space="0" w:color="auto"/>
          </w:divBdr>
        </w:div>
        <w:div w:id="278531429">
          <w:marLeft w:val="0"/>
          <w:marRight w:val="0"/>
          <w:marTop w:val="0"/>
          <w:marBottom w:val="0"/>
          <w:divBdr>
            <w:top w:val="none" w:sz="0" w:space="0" w:color="auto"/>
            <w:left w:val="none" w:sz="0" w:space="0" w:color="auto"/>
            <w:bottom w:val="none" w:sz="0" w:space="0" w:color="auto"/>
            <w:right w:val="none" w:sz="0" w:space="0" w:color="auto"/>
          </w:divBdr>
          <w:divsChild>
            <w:div w:id="761225994">
              <w:marLeft w:val="300"/>
              <w:marRight w:val="0"/>
              <w:marTop w:val="0"/>
              <w:marBottom w:val="0"/>
              <w:divBdr>
                <w:top w:val="none" w:sz="0" w:space="0" w:color="auto"/>
                <w:left w:val="none" w:sz="0" w:space="0" w:color="auto"/>
                <w:bottom w:val="none" w:sz="0" w:space="0" w:color="auto"/>
                <w:right w:val="none" w:sz="0" w:space="0" w:color="auto"/>
              </w:divBdr>
            </w:div>
            <w:div w:id="573201044">
              <w:marLeft w:val="300"/>
              <w:marRight w:val="0"/>
              <w:marTop w:val="0"/>
              <w:marBottom w:val="0"/>
              <w:divBdr>
                <w:top w:val="none" w:sz="0" w:space="0" w:color="auto"/>
                <w:left w:val="none" w:sz="0" w:space="0" w:color="auto"/>
                <w:bottom w:val="none" w:sz="0" w:space="0" w:color="auto"/>
                <w:right w:val="none" w:sz="0" w:space="0" w:color="auto"/>
              </w:divBdr>
            </w:div>
            <w:div w:id="367803960">
              <w:marLeft w:val="300"/>
              <w:marRight w:val="0"/>
              <w:marTop w:val="0"/>
              <w:marBottom w:val="0"/>
              <w:divBdr>
                <w:top w:val="none" w:sz="0" w:space="0" w:color="auto"/>
                <w:left w:val="none" w:sz="0" w:space="0" w:color="auto"/>
                <w:bottom w:val="none" w:sz="0" w:space="0" w:color="auto"/>
                <w:right w:val="none" w:sz="0" w:space="0" w:color="auto"/>
              </w:divBdr>
            </w:div>
          </w:divsChild>
        </w:div>
        <w:div w:id="1885632387">
          <w:marLeft w:val="0"/>
          <w:marRight w:val="0"/>
          <w:marTop w:val="0"/>
          <w:marBottom w:val="0"/>
          <w:divBdr>
            <w:top w:val="none" w:sz="0" w:space="0" w:color="auto"/>
            <w:left w:val="none" w:sz="0" w:space="0" w:color="auto"/>
            <w:bottom w:val="none" w:sz="0" w:space="0" w:color="auto"/>
            <w:right w:val="none" w:sz="0" w:space="0" w:color="auto"/>
          </w:divBdr>
        </w:div>
        <w:div w:id="127282256">
          <w:marLeft w:val="0"/>
          <w:marRight w:val="0"/>
          <w:marTop w:val="0"/>
          <w:marBottom w:val="0"/>
          <w:divBdr>
            <w:top w:val="none" w:sz="0" w:space="0" w:color="auto"/>
            <w:left w:val="none" w:sz="0" w:space="0" w:color="auto"/>
            <w:bottom w:val="none" w:sz="0" w:space="0" w:color="auto"/>
            <w:right w:val="none" w:sz="0" w:space="0" w:color="auto"/>
          </w:divBdr>
        </w:div>
        <w:div w:id="61219543">
          <w:marLeft w:val="0"/>
          <w:marRight w:val="0"/>
          <w:marTop w:val="0"/>
          <w:marBottom w:val="0"/>
          <w:divBdr>
            <w:top w:val="none" w:sz="0" w:space="0" w:color="auto"/>
            <w:left w:val="none" w:sz="0" w:space="0" w:color="auto"/>
            <w:bottom w:val="none" w:sz="0" w:space="0" w:color="auto"/>
            <w:right w:val="none" w:sz="0" w:space="0" w:color="auto"/>
          </w:divBdr>
        </w:div>
      </w:divsChild>
    </w:div>
    <w:div w:id="819886867">
      <w:bodyDiv w:val="1"/>
      <w:marLeft w:val="0"/>
      <w:marRight w:val="0"/>
      <w:marTop w:val="0"/>
      <w:marBottom w:val="0"/>
      <w:divBdr>
        <w:top w:val="none" w:sz="0" w:space="0" w:color="auto"/>
        <w:left w:val="none" w:sz="0" w:space="0" w:color="auto"/>
        <w:bottom w:val="none" w:sz="0" w:space="0" w:color="auto"/>
        <w:right w:val="none" w:sz="0" w:space="0" w:color="auto"/>
      </w:divBdr>
    </w:div>
    <w:div w:id="870461824">
      <w:bodyDiv w:val="1"/>
      <w:marLeft w:val="0"/>
      <w:marRight w:val="0"/>
      <w:marTop w:val="0"/>
      <w:marBottom w:val="0"/>
      <w:divBdr>
        <w:top w:val="none" w:sz="0" w:space="0" w:color="auto"/>
        <w:left w:val="none" w:sz="0" w:space="0" w:color="auto"/>
        <w:bottom w:val="none" w:sz="0" w:space="0" w:color="auto"/>
        <w:right w:val="none" w:sz="0" w:space="0" w:color="auto"/>
      </w:divBdr>
    </w:div>
    <w:div w:id="888148146">
      <w:bodyDiv w:val="1"/>
      <w:marLeft w:val="0"/>
      <w:marRight w:val="0"/>
      <w:marTop w:val="0"/>
      <w:marBottom w:val="0"/>
      <w:divBdr>
        <w:top w:val="none" w:sz="0" w:space="0" w:color="auto"/>
        <w:left w:val="none" w:sz="0" w:space="0" w:color="auto"/>
        <w:bottom w:val="none" w:sz="0" w:space="0" w:color="auto"/>
        <w:right w:val="none" w:sz="0" w:space="0" w:color="auto"/>
      </w:divBdr>
    </w:div>
    <w:div w:id="897325134">
      <w:bodyDiv w:val="1"/>
      <w:marLeft w:val="0"/>
      <w:marRight w:val="0"/>
      <w:marTop w:val="0"/>
      <w:marBottom w:val="0"/>
      <w:divBdr>
        <w:top w:val="none" w:sz="0" w:space="0" w:color="auto"/>
        <w:left w:val="none" w:sz="0" w:space="0" w:color="auto"/>
        <w:bottom w:val="none" w:sz="0" w:space="0" w:color="auto"/>
        <w:right w:val="none" w:sz="0" w:space="0" w:color="auto"/>
      </w:divBdr>
      <w:divsChild>
        <w:div w:id="1690450524">
          <w:marLeft w:val="300"/>
          <w:marRight w:val="0"/>
          <w:marTop w:val="0"/>
          <w:marBottom w:val="0"/>
          <w:divBdr>
            <w:top w:val="none" w:sz="0" w:space="0" w:color="auto"/>
            <w:left w:val="none" w:sz="0" w:space="0" w:color="auto"/>
            <w:bottom w:val="none" w:sz="0" w:space="0" w:color="auto"/>
            <w:right w:val="none" w:sz="0" w:space="0" w:color="auto"/>
          </w:divBdr>
        </w:div>
        <w:div w:id="41177542">
          <w:marLeft w:val="300"/>
          <w:marRight w:val="0"/>
          <w:marTop w:val="0"/>
          <w:marBottom w:val="0"/>
          <w:divBdr>
            <w:top w:val="none" w:sz="0" w:space="0" w:color="auto"/>
            <w:left w:val="none" w:sz="0" w:space="0" w:color="auto"/>
            <w:bottom w:val="none" w:sz="0" w:space="0" w:color="auto"/>
            <w:right w:val="none" w:sz="0" w:space="0" w:color="auto"/>
          </w:divBdr>
        </w:div>
      </w:divsChild>
    </w:div>
    <w:div w:id="910385591">
      <w:bodyDiv w:val="1"/>
      <w:marLeft w:val="0"/>
      <w:marRight w:val="0"/>
      <w:marTop w:val="0"/>
      <w:marBottom w:val="0"/>
      <w:divBdr>
        <w:top w:val="none" w:sz="0" w:space="0" w:color="auto"/>
        <w:left w:val="none" w:sz="0" w:space="0" w:color="auto"/>
        <w:bottom w:val="none" w:sz="0" w:space="0" w:color="auto"/>
        <w:right w:val="none" w:sz="0" w:space="0" w:color="auto"/>
      </w:divBdr>
      <w:divsChild>
        <w:div w:id="83459516">
          <w:marLeft w:val="0"/>
          <w:marRight w:val="0"/>
          <w:marTop w:val="0"/>
          <w:marBottom w:val="0"/>
          <w:divBdr>
            <w:top w:val="none" w:sz="0" w:space="0" w:color="auto"/>
            <w:left w:val="none" w:sz="0" w:space="0" w:color="auto"/>
            <w:bottom w:val="none" w:sz="0" w:space="0" w:color="auto"/>
            <w:right w:val="none" w:sz="0" w:space="0" w:color="auto"/>
          </w:divBdr>
        </w:div>
        <w:div w:id="512841299">
          <w:marLeft w:val="0"/>
          <w:marRight w:val="0"/>
          <w:marTop w:val="0"/>
          <w:marBottom w:val="0"/>
          <w:divBdr>
            <w:top w:val="none" w:sz="0" w:space="0" w:color="auto"/>
            <w:left w:val="none" w:sz="0" w:space="0" w:color="auto"/>
            <w:bottom w:val="none" w:sz="0" w:space="0" w:color="auto"/>
            <w:right w:val="none" w:sz="0" w:space="0" w:color="auto"/>
          </w:divBdr>
        </w:div>
        <w:div w:id="572475627">
          <w:marLeft w:val="0"/>
          <w:marRight w:val="0"/>
          <w:marTop w:val="0"/>
          <w:marBottom w:val="0"/>
          <w:divBdr>
            <w:top w:val="none" w:sz="0" w:space="0" w:color="auto"/>
            <w:left w:val="none" w:sz="0" w:space="0" w:color="auto"/>
            <w:bottom w:val="none" w:sz="0" w:space="0" w:color="auto"/>
            <w:right w:val="none" w:sz="0" w:space="0" w:color="auto"/>
          </w:divBdr>
        </w:div>
        <w:div w:id="674577200">
          <w:marLeft w:val="0"/>
          <w:marRight w:val="0"/>
          <w:marTop w:val="0"/>
          <w:marBottom w:val="0"/>
          <w:divBdr>
            <w:top w:val="none" w:sz="0" w:space="0" w:color="auto"/>
            <w:left w:val="none" w:sz="0" w:space="0" w:color="auto"/>
            <w:bottom w:val="none" w:sz="0" w:space="0" w:color="auto"/>
            <w:right w:val="none" w:sz="0" w:space="0" w:color="auto"/>
          </w:divBdr>
        </w:div>
        <w:div w:id="685523720">
          <w:marLeft w:val="0"/>
          <w:marRight w:val="0"/>
          <w:marTop w:val="0"/>
          <w:marBottom w:val="0"/>
          <w:divBdr>
            <w:top w:val="none" w:sz="0" w:space="0" w:color="auto"/>
            <w:left w:val="none" w:sz="0" w:space="0" w:color="auto"/>
            <w:bottom w:val="none" w:sz="0" w:space="0" w:color="auto"/>
            <w:right w:val="none" w:sz="0" w:space="0" w:color="auto"/>
          </w:divBdr>
        </w:div>
        <w:div w:id="698900024">
          <w:marLeft w:val="0"/>
          <w:marRight w:val="0"/>
          <w:marTop w:val="0"/>
          <w:marBottom w:val="0"/>
          <w:divBdr>
            <w:top w:val="none" w:sz="0" w:space="0" w:color="auto"/>
            <w:left w:val="none" w:sz="0" w:space="0" w:color="auto"/>
            <w:bottom w:val="none" w:sz="0" w:space="0" w:color="auto"/>
            <w:right w:val="none" w:sz="0" w:space="0" w:color="auto"/>
          </w:divBdr>
        </w:div>
        <w:div w:id="1005087956">
          <w:marLeft w:val="0"/>
          <w:marRight w:val="0"/>
          <w:marTop w:val="0"/>
          <w:marBottom w:val="0"/>
          <w:divBdr>
            <w:top w:val="none" w:sz="0" w:space="0" w:color="auto"/>
            <w:left w:val="none" w:sz="0" w:space="0" w:color="auto"/>
            <w:bottom w:val="none" w:sz="0" w:space="0" w:color="auto"/>
            <w:right w:val="none" w:sz="0" w:space="0" w:color="auto"/>
          </w:divBdr>
        </w:div>
        <w:div w:id="1110053514">
          <w:marLeft w:val="0"/>
          <w:marRight w:val="0"/>
          <w:marTop w:val="0"/>
          <w:marBottom w:val="0"/>
          <w:divBdr>
            <w:top w:val="none" w:sz="0" w:space="0" w:color="auto"/>
            <w:left w:val="none" w:sz="0" w:space="0" w:color="auto"/>
            <w:bottom w:val="none" w:sz="0" w:space="0" w:color="auto"/>
            <w:right w:val="none" w:sz="0" w:space="0" w:color="auto"/>
          </w:divBdr>
        </w:div>
        <w:div w:id="1321151172">
          <w:marLeft w:val="0"/>
          <w:marRight w:val="0"/>
          <w:marTop w:val="0"/>
          <w:marBottom w:val="0"/>
          <w:divBdr>
            <w:top w:val="none" w:sz="0" w:space="0" w:color="auto"/>
            <w:left w:val="none" w:sz="0" w:space="0" w:color="auto"/>
            <w:bottom w:val="none" w:sz="0" w:space="0" w:color="auto"/>
            <w:right w:val="none" w:sz="0" w:space="0" w:color="auto"/>
          </w:divBdr>
        </w:div>
        <w:div w:id="1371954757">
          <w:marLeft w:val="0"/>
          <w:marRight w:val="0"/>
          <w:marTop w:val="0"/>
          <w:marBottom w:val="0"/>
          <w:divBdr>
            <w:top w:val="none" w:sz="0" w:space="0" w:color="auto"/>
            <w:left w:val="none" w:sz="0" w:space="0" w:color="auto"/>
            <w:bottom w:val="none" w:sz="0" w:space="0" w:color="auto"/>
            <w:right w:val="none" w:sz="0" w:space="0" w:color="auto"/>
          </w:divBdr>
        </w:div>
        <w:div w:id="1901407236">
          <w:marLeft w:val="0"/>
          <w:marRight w:val="0"/>
          <w:marTop w:val="0"/>
          <w:marBottom w:val="0"/>
          <w:divBdr>
            <w:top w:val="none" w:sz="0" w:space="0" w:color="auto"/>
            <w:left w:val="none" w:sz="0" w:space="0" w:color="auto"/>
            <w:bottom w:val="none" w:sz="0" w:space="0" w:color="auto"/>
            <w:right w:val="none" w:sz="0" w:space="0" w:color="auto"/>
          </w:divBdr>
        </w:div>
      </w:divsChild>
    </w:div>
    <w:div w:id="933781478">
      <w:bodyDiv w:val="1"/>
      <w:marLeft w:val="0"/>
      <w:marRight w:val="0"/>
      <w:marTop w:val="0"/>
      <w:marBottom w:val="0"/>
      <w:divBdr>
        <w:top w:val="none" w:sz="0" w:space="0" w:color="auto"/>
        <w:left w:val="none" w:sz="0" w:space="0" w:color="auto"/>
        <w:bottom w:val="none" w:sz="0" w:space="0" w:color="auto"/>
        <w:right w:val="none" w:sz="0" w:space="0" w:color="auto"/>
      </w:divBdr>
    </w:div>
    <w:div w:id="936062087">
      <w:bodyDiv w:val="1"/>
      <w:marLeft w:val="0"/>
      <w:marRight w:val="0"/>
      <w:marTop w:val="0"/>
      <w:marBottom w:val="0"/>
      <w:divBdr>
        <w:top w:val="none" w:sz="0" w:space="0" w:color="auto"/>
        <w:left w:val="none" w:sz="0" w:space="0" w:color="auto"/>
        <w:bottom w:val="none" w:sz="0" w:space="0" w:color="auto"/>
        <w:right w:val="none" w:sz="0" w:space="0" w:color="auto"/>
      </w:divBdr>
      <w:divsChild>
        <w:div w:id="99642395">
          <w:marLeft w:val="0"/>
          <w:marRight w:val="0"/>
          <w:marTop w:val="0"/>
          <w:marBottom w:val="0"/>
          <w:divBdr>
            <w:top w:val="none" w:sz="0" w:space="0" w:color="auto"/>
            <w:left w:val="none" w:sz="0" w:space="0" w:color="auto"/>
            <w:bottom w:val="none" w:sz="0" w:space="0" w:color="auto"/>
            <w:right w:val="none" w:sz="0" w:space="0" w:color="auto"/>
          </w:divBdr>
        </w:div>
        <w:div w:id="191652836">
          <w:marLeft w:val="0"/>
          <w:marRight w:val="0"/>
          <w:marTop w:val="0"/>
          <w:marBottom w:val="0"/>
          <w:divBdr>
            <w:top w:val="none" w:sz="0" w:space="0" w:color="auto"/>
            <w:left w:val="none" w:sz="0" w:space="0" w:color="auto"/>
            <w:bottom w:val="none" w:sz="0" w:space="0" w:color="auto"/>
            <w:right w:val="none" w:sz="0" w:space="0" w:color="auto"/>
          </w:divBdr>
        </w:div>
        <w:div w:id="217740046">
          <w:marLeft w:val="0"/>
          <w:marRight w:val="0"/>
          <w:marTop w:val="0"/>
          <w:marBottom w:val="0"/>
          <w:divBdr>
            <w:top w:val="none" w:sz="0" w:space="0" w:color="auto"/>
            <w:left w:val="none" w:sz="0" w:space="0" w:color="auto"/>
            <w:bottom w:val="none" w:sz="0" w:space="0" w:color="auto"/>
            <w:right w:val="none" w:sz="0" w:space="0" w:color="auto"/>
          </w:divBdr>
        </w:div>
        <w:div w:id="260260706">
          <w:marLeft w:val="0"/>
          <w:marRight w:val="0"/>
          <w:marTop w:val="0"/>
          <w:marBottom w:val="0"/>
          <w:divBdr>
            <w:top w:val="none" w:sz="0" w:space="0" w:color="auto"/>
            <w:left w:val="none" w:sz="0" w:space="0" w:color="auto"/>
            <w:bottom w:val="none" w:sz="0" w:space="0" w:color="auto"/>
            <w:right w:val="none" w:sz="0" w:space="0" w:color="auto"/>
          </w:divBdr>
        </w:div>
        <w:div w:id="280383926">
          <w:marLeft w:val="0"/>
          <w:marRight w:val="0"/>
          <w:marTop w:val="0"/>
          <w:marBottom w:val="0"/>
          <w:divBdr>
            <w:top w:val="none" w:sz="0" w:space="0" w:color="auto"/>
            <w:left w:val="none" w:sz="0" w:space="0" w:color="auto"/>
            <w:bottom w:val="none" w:sz="0" w:space="0" w:color="auto"/>
            <w:right w:val="none" w:sz="0" w:space="0" w:color="auto"/>
          </w:divBdr>
        </w:div>
        <w:div w:id="392437317">
          <w:marLeft w:val="0"/>
          <w:marRight w:val="0"/>
          <w:marTop w:val="0"/>
          <w:marBottom w:val="0"/>
          <w:divBdr>
            <w:top w:val="none" w:sz="0" w:space="0" w:color="auto"/>
            <w:left w:val="none" w:sz="0" w:space="0" w:color="auto"/>
            <w:bottom w:val="none" w:sz="0" w:space="0" w:color="auto"/>
            <w:right w:val="none" w:sz="0" w:space="0" w:color="auto"/>
          </w:divBdr>
        </w:div>
        <w:div w:id="398865632">
          <w:marLeft w:val="0"/>
          <w:marRight w:val="0"/>
          <w:marTop w:val="0"/>
          <w:marBottom w:val="0"/>
          <w:divBdr>
            <w:top w:val="none" w:sz="0" w:space="0" w:color="auto"/>
            <w:left w:val="none" w:sz="0" w:space="0" w:color="auto"/>
            <w:bottom w:val="none" w:sz="0" w:space="0" w:color="auto"/>
            <w:right w:val="none" w:sz="0" w:space="0" w:color="auto"/>
          </w:divBdr>
        </w:div>
        <w:div w:id="640188388">
          <w:marLeft w:val="0"/>
          <w:marRight w:val="0"/>
          <w:marTop w:val="0"/>
          <w:marBottom w:val="0"/>
          <w:divBdr>
            <w:top w:val="none" w:sz="0" w:space="0" w:color="auto"/>
            <w:left w:val="none" w:sz="0" w:space="0" w:color="auto"/>
            <w:bottom w:val="none" w:sz="0" w:space="0" w:color="auto"/>
            <w:right w:val="none" w:sz="0" w:space="0" w:color="auto"/>
          </w:divBdr>
        </w:div>
        <w:div w:id="735014440">
          <w:marLeft w:val="0"/>
          <w:marRight w:val="0"/>
          <w:marTop w:val="0"/>
          <w:marBottom w:val="0"/>
          <w:divBdr>
            <w:top w:val="none" w:sz="0" w:space="0" w:color="auto"/>
            <w:left w:val="none" w:sz="0" w:space="0" w:color="auto"/>
            <w:bottom w:val="none" w:sz="0" w:space="0" w:color="auto"/>
            <w:right w:val="none" w:sz="0" w:space="0" w:color="auto"/>
          </w:divBdr>
        </w:div>
        <w:div w:id="758991361">
          <w:marLeft w:val="0"/>
          <w:marRight w:val="0"/>
          <w:marTop w:val="0"/>
          <w:marBottom w:val="0"/>
          <w:divBdr>
            <w:top w:val="none" w:sz="0" w:space="0" w:color="auto"/>
            <w:left w:val="none" w:sz="0" w:space="0" w:color="auto"/>
            <w:bottom w:val="none" w:sz="0" w:space="0" w:color="auto"/>
            <w:right w:val="none" w:sz="0" w:space="0" w:color="auto"/>
          </w:divBdr>
        </w:div>
        <w:div w:id="1073090258">
          <w:marLeft w:val="0"/>
          <w:marRight w:val="0"/>
          <w:marTop w:val="0"/>
          <w:marBottom w:val="0"/>
          <w:divBdr>
            <w:top w:val="none" w:sz="0" w:space="0" w:color="auto"/>
            <w:left w:val="none" w:sz="0" w:space="0" w:color="auto"/>
            <w:bottom w:val="none" w:sz="0" w:space="0" w:color="auto"/>
            <w:right w:val="none" w:sz="0" w:space="0" w:color="auto"/>
          </w:divBdr>
        </w:div>
        <w:div w:id="1091320557">
          <w:marLeft w:val="0"/>
          <w:marRight w:val="0"/>
          <w:marTop w:val="0"/>
          <w:marBottom w:val="0"/>
          <w:divBdr>
            <w:top w:val="none" w:sz="0" w:space="0" w:color="auto"/>
            <w:left w:val="none" w:sz="0" w:space="0" w:color="auto"/>
            <w:bottom w:val="none" w:sz="0" w:space="0" w:color="auto"/>
            <w:right w:val="none" w:sz="0" w:space="0" w:color="auto"/>
          </w:divBdr>
        </w:div>
        <w:div w:id="1287154228">
          <w:marLeft w:val="0"/>
          <w:marRight w:val="0"/>
          <w:marTop w:val="0"/>
          <w:marBottom w:val="0"/>
          <w:divBdr>
            <w:top w:val="none" w:sz="0" w:space="0" w:color="auto"/>
            <w:left w:val="none" w:sz="0" w:space="0" w:color="auto"/>
            <w:bottom w:val="none" w:sz="0" w:space="0" w:color="auto"/>
            <w:right w:val="none" w:sz="0" w:space="0" w:color="auto"/>
          </w:divBdr>
        </w:div>
        <w:div w:id="1512067098">
          <w:marLeft w:val="0"/>
          <w:marRight w:val="0"/>
          <w:marTop w:val="0"/>
          <w:marBottom w:val="0"/>
          <w:divBdr>
            <w:top w:val="none" w:sz="0" w:space="0" w:color="auto"/>
            <w:left w:val="none" w:sz="0" w:space="0" w:color="auto"/>
            <w:bottom w:val="none" w:sz="0" w:space="0" w:color="auto"/>
            <w:right w:val="none" w:sz="0" w:space="0" w:color="auto"/>
          </w:divBdr>
        </w:div>
        <w:div w:id="1550072634">
          <w:marLeft w:val="0"/>
          <w:marRight w:val="0"/>
          <w:marTop w:val="0"/>
          <w:marBottom w:val="0"/>
          <w:divBdr>
            <w:top w:val="none" w:sz="0" w:space="0" w:color="auto"/>
            <w:left w:val="none" w:sz="0" w:space="0" w:color="auto"/>
            <w:bottom w:val="none" w:sz="0" w:space="0" w:color="auto"/>
            <w:right w:val="none" w:sz="0" w:space="0" w:color="auto"/>
          </w:divBdr>
        </w:div>
        <w:div w:id="1634368143">
          <w:marLeft w:val="0"/>
          <w:marRight w:val="0"/>
          <w:marTop w:val="0"/>
          <w:marBottom w:val="0"/>
          <w:divBdr>
            <w:top w:val="none" w:sz="0" w:space="0" w:color="auto"/>
            <w:left w:val="none" w:sz="0" w:space="0" w:color="auto"/>
            <w:bottom w:val="none" w:sz="0" w:space="0" w:color="auto"/>
            <w:right w:val="none" w:sz="0" w:space="0" w:color="auto"/>
          </w:divBdr>
        </w:div>
        <w:div w:id="1811246755">
          <w:marLeft w:val="0"/>
          <w:marRight w:val="0"/>
          <w:marTop w:val="0"/>
          <w:marBottom w:val="0"/>
          <w:divBdr>
            <w:top w:val="none" w:sz="0" w:space="0" w:color="auto"/>
            <w:left w:val="none" w:sz="0" w:space="0" w:color="auto"/>
            <w:bottom w:val="none" w:sz="0" w:space="0" w:color="auto"/>
            <w:right w:val="none" w:sz="0" w:space="0" w:color="auto"/>
          </w:divBdr>
        </w:div>
        <w:div w:id="1897351711">
          <w:marLeft w:val="0"/>
          <w:marRight w:val="0"/>
          <w:marTop w:val="0"/>
          <w:marBottom w:val="0"/>
          <w:divBdr>
            <w:top w:val="none" w:sz="0" w:space="0" w:color="auto"/>
            <w:left w:val="none" w:sz="0" w:space="0" w:color="auto"/>
            <w:bottom w:val="none" w:sz="0" w:space="0" w:color="auto"/>
            <w:right w:val="none" w:sz="0" w:space="0" w:color="auto"/>
          </w:divBdr>
        </w:div>
      </w:divsChild>
    </w:div>
    <w:div w:id="936519066">
      <w:bodyDiv w:val="1"/>
      <w:marLeft w:val="0"/>
      <w:marRight w:val="0"/>
      <w:marTop w:val="0"/>
      <w:marBottom w:val="0"/>
      <w:divBdr>
        <w:top w:val="none" w:sz="0" w:space="0" w:color="auto"/>
        <w:left w:val="none" w:sz="0" w:space="0" w:color="auto"/>
        <w:bottom w:val="none" w:sz="0" w:space="0" w:color="auto"/>
        <w:right w:val="none" w:sz="0" w:space="0" w:color="auto"/>
      </w:divBdr>
    </w:div>
    <w:div w:id="952520629">
      <w:bodyDiv w:val="1"/>
      <w:marLeft w:val="0"/>
      <w:marRight w:val="0"/>
      <w:marTop w:val="0"/>
      <w:marBottom w:val="0"/>
      <w:divBdr>
        <w:top w:val="none" w:sz="0" w:space="0" w:color="auto"/>
        <w:left w:val="none" w:sz="0" w:space="0" w:color="auto"/>
        <w:bottom w:val="none" w:sz="0" w:space="0" w:color="auto"/>
        <w:right w:val="none" w:sz="0" w:space="0" w:color="auto"/>
      </w:divBdr>
      <w:divsChild>
        <w:div w:id="4526367">
          <w:marLeft w:val="0"/>
          <w:marRight w:val="0"/>
          <w:marTop w:val="0"/>
          <w:marBottom w:val="0"/>
          <w:divBdr>
            <w:top w:val="none" w:sz="0" w:space="0" w:color="auto"/>
            <w:left w:val="none" w:sz="0" w:space="0" w:color="auto"/>
            <w:bottom w:val="none" w:sz="0" w:space="0" w:color="auto"/>
            <w:right w:val="none" w:sz="0" w:space="0" w:color="auto"/>
          </w:divBdr>
        </w:div>
        <w:div w:id="59795609">
          <w:marLeft w:val="0"/>
          <w:marRight w:val="0"/>
          <w:marTop w:val="0"/>
          <w:marBottom w:val="0"/>
          <w:divBdr>
            <w:top w:val="none" w:sz="0" w:space="0" w:color="auto"/>
            <w:left w:val="none" w:sz="0" w:space="0" w:color="auto"/>
            <w:bottom w:val="none" w:sz="0" w:space="0" w:color="auto"/>
            <w:right w:val="none" w:sz="0" w:space="0" w:color="auto"/>
          </w:divBdr>
        </w:div>
        <w:div w:id="866531048">
          <w:marLeft w:val="0"/>
          <w:marRight w:val="0"/>
          <w:marTop w:val="0"/>
          <w:marBottom w:val="0"/>
          <w:divBdr>
            <w:top w:val="none" w:sz="0" w:space="0" w:color="auto"/>
            <w:left w:val="none" w:sz="0" w:space="0" w:color="auto"/>
            <w:bottom w:val="none" w:sz="0" w:space="0" w:color="auto"/>
            <w:right w:val="none" w:sz="0" w:space="0" w:color="auto"/>
          </w:divBdr>
        </w:div>
        <w:div w:id="1439178193">
          <w:marLeft w:val="0"/>
          <w:marRight w:val="0"/>
          <w:marTop w:val="0"/>
          <w:marBottom w:val="0"/>
          <w:divBdr>
            <w:top w:val="none" w:sz="0" w:space="0" w:color="auto"/>
            <w:left w:val="none" w:sz="0" w:space="0" w:color="auto"/>
            <w:bottom w:val="none" w:sz="0" w:space="0" w:color="auto"/>
            <w:right w:val="none" w:sz="0" w:space="0" w:color="auto"/>
          </w:divBdr>
        </w:div>
        <w:div w:id="1745370803">
          <w:marLeft w:val="0"/>
          <w:marRight w:val="0"/>
          <w:marTop w:val="0"/>
          <w:marBottom w:val="0"/>
          <w:divBdr>
            <w:top w:val="none" w:sz="0" w:space="0" w:color="auto"/>
            <w:left w:val="none" w:sz="0" w:space="0" w:color="auto"/>
            <w:bottom w:val="none" w:sz="0" w:space="0" w:color="auto"/>
            <w:right w:val="none" w:sz="0" w:space="0" w:color="auto"/>
          </w:divBdr>
        </w:div>
        <w:div w:id="1956935486">
          <w:marLeft w:val="0"/>
          <w:marRight w:val="0"/>
          <w:marTop w:val="0"/>
          <w:marBottom w:val="0"/>
          <w:divBdr>
            <w:top w:val="none" w:sz="0" w:space="0" w:color="auto"/>
            <w:left w:val="none" w:sz="0" w:space="0" w:color="auto"/>
            <w:bottom w:val="none" w:sz="0" w:space="0" w:color="auto"/>
            <w:right w:val="none" w:sz="0" w:space="0" w:color="auto"/>
          </w:divBdr>
        </w:div>
      </w:divsChild>
    </w:div>
    <w:div w:id="977031327">
      <w:bodyDiv w:val="1"/>
      <w:marLeft w:val="0"/>
      <w:marRight w:val="0"/>
      <w:marTop w:val="0"/>
      <w:marBottom w:val="0"/>
      <w:divBdr>
        <w:top w:val="none" w:sz="0" w:space="0" w:color="auto"/>
        <w:left w:val="none" w:sz="0" w:space="0" w:color="auto"/>
        <w:bottom w:val="none" w:sz="0" w:space="0" w:color="auto"/>
        <w:right w:val="none" w:sz="0" w:space="0" w:color="auto"/>
      </w:divBdr>
      <w:divsChild>
        <w:div w:id="80566895">
          <w:marLeft w:val="0"/>
          <w:marRight w:val="0"/>
          <w:marTop w:val="0"/>
          <w:marBottom w:val="0"/>
          <w:divBdr>
            <w:top w:val="none" w:sz="0" w:space="0" w:color="auto"/>
            <w:left w:val="none" w:sz="0" w:space="0" w:color="auto"/>
            <w:bottom w:val="none" w:sz="0" w:space="0" w:color="auto"/>
            <w:right w:val="none" w:sz="0" w:space="0" w:color="auto"/>
          </w:divBdr>
        </w:div>
        <w:div w:id="140658814">
          <w:marLeft w:val="0"/>
          <w:marRight w:val="0"/>
          <w:marTop w:val="0"/>
          <w:marBottom w:val="0"/>
          <w:divBdr>
            <w:top w:val="none" w:sz="0" w:space="0" w:color="auto"/>
            <w:left w:val="none" w:sz="0" w:space="0" w:color="auto"/>
            <w:bottom w:val="none" w:sz="0" w:space="0" w:color="auto"/>
            <w:right w:val="none" w:sz="0" w:space="0" w:color="auto"/>
          </w:divBdr>
        </w:div>
        <w:div w:id="1161192809">
          <w:marLeft w:val="0"/>
          <w:marRight w:val="0"/>
          <w:marTop w:val="0"/>
          <w:marBottom w:val="0"/>
          <w:divBdr>
            <w:top w:val="none" w:sz="0" w:space="0" w:color="auto"/>
            <w:left w:val="none" w:sz="0" w:space="0" w:color="auto"/>
            <w:bottom w:val="none" w:sz="0" w:space="0" w:color="auto"/>
            <w:right w:val="none" w:sz="0" w:space="0" w:color="auto"/>
          </w:divBdr>
        </w:div>
        <w:div w:id="1655719742">
          <w:marLeft w:val="0"/>
          <w:marRight w:val="0"/>
          <w:marTop w:val="0"/>
          <w:marBottom w:val="0"/>
          <w:divBdr>
            <w:top w:val="none" w:sz="0" w:space="0" w:color="auto"/>
            <w:left w:val="none" w:sz="0" w:space="0" w:color="auto"/>
            <w:bottom w:val="none" w:sz="0" w:space="0" w:color="auto"/>
            <w:right w:val="none" w:sz="0" w:space="0" w:color="auto"/>
          </w:divBdr>
        </w:div>
      </w:divsChild>
    </w:div>
    <w:div w:id="1093864423">
      <w:bodyDiv w:val="1"/>
      <w:marLeft w:val="0"/>
      <w:marRight w:val="0"/>
      <w:marTop w:val="0"/>
      <w:marBottom w:val="0"/>
      <w:divBdr>
        <w:top w:val="none" w:sz="0" w:space="0" w:color="auto"/>
        <w:left w:val="none" w:sz="0" w:space="0" w:color="auto"/>
        <w:bottom w:val="none" w:sz="0" w:space="0" w:color="auto"/>
        <w:right w:val="none" w:sz="0" w:space="0" w:color="auto"/>
      </w:divBdr>
    </w:div>
    <w:div w:id="1101299456">
      <w:bodyDiv w:val="1"/>
      <w:marLeft w:val="0"/>
      <w:marRight w:val="0"/>
      <w:marTop w:val="0"/>
      <w:marBottom w:val="0"/>
      <w:divBdr>
        <w:top w:val="none" w:sz="0" w:space="0" w:color="auto"/>
        <w:left w:val="none" w:sz="0" w:space="0" w:color="auto"/>
        <w:bottom w:val="none" w:sz="0" w:space="0" w:color="auto"/>
        <w:right w:val="none" w:sz="0" w:space="0" w:color="auto"/>
      </w:divBdr>
      <w:divsChild>
        <w:div w:id="429664424">
          <w:marLeft w:val="0"/>
          <w:marRight w:val="0"/>
          <w:marTop w:val="0"/>
          <w:marBottom w:val="0"/>
          <w:divBdr>
            <w:top w:val="none" w:sz="0" w:space="0" w:color="auto"/>
            <w:left w:val="none" w:sz="0" w:space="0" w:color="auto"/>
            <w:bottom w:val="none" w:sz="0" w:space="0" w:color="auto"/>
            <w:right w:val="none" w:sz="0" w:space="0" w:color="auto"/>
          </w:divBdr>
          <w:divsChild>
            <w:div w:id="1565945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8186012">
      <w:bodyDiv w:val="1"/>
      <w:marLeft w:val="0"/>
      <w:marRight w:val="0"/>
      <w:marTop w:val="0"/>
      <w:marBottom w:val="0"/>
      <w:divBdr>
        <w:top w:val="none" w:sz="0" w:space="0" w:color="auto"/>
        <w:left w:val="none" w:sz="0" w:space="0" w:color="auto"/>
        <w:bottom w:val="none" w:sz="0" w:space="0" w:color="auto"/>
        <w:right w:val="none" w:sz="0" w:space="0" w:color="auto"/>
      </w:divBdr>
      <w:divsChild>
        <w:div w:id="250621634">
          <w:marLeft w:val="0"/>
          <w:marRight w:val="0"/>
          <w:marTop w:val="0"/>
          <w:marBottom w:val="0"/>
          <w:divBdr>
            <w:top w:val="none" w:sz="0" w:space="0" w:color="auto"/>
            <w:left w:val="none" w:sz="0" w:space="0" w:color="auto"/>
            <w:bottom w:val="none" w:sz="0" w:space="0" w:color="auto"/>
            <w:right w:val="none" w:sz="0" w:space="0" w:color="auto"/>
          </w:divBdr>
        </w:div>
        <w:div w:id="790176125">
          <w:marLeft w:val="0"/>
          <w:marRight w:val="0"/>
          <w:marTop w:val="0"/>
          <w:marBottom w:val="0"/>
          <w:divBdr>
            <w:top w:val="none" w:sz="0" w:space="0" w:color="auto"/>
            <w:left w:val="none" w:sz="0" w:space="0" w:color="auto"/>
            <w:bottom w:val="none" w:sz="0" w:space="0" w:color="auto"/>
            <w:right w:val="none" w:sz="0" w:space="0" w:color="auto"/>
          </w:divBdr>
        </w:div>
        <w:div w:id="1223522775">
          <w:marLeft w:val="0"/>
          <w:marRight w:val="0"/>
          <w:marTop w:val="0"/>
          <w:marBottom w:val="0"/>
          <w:divBdr>
            <w:top w:val="none" w:sz="0" w:space="0" w:color="auto"/>
            <w:left w:val="none" w:sz="0" w:space="0" w:color="auto"/>
            <w:bottom w:val="none" w:sz="0" w:space="0" w:color="auto"/>
            <w:right w:val="none" w:sz="0" w:space="0" w:color="auto"/>
          </w:divBdr>
        </w:div>
        <w:div w:id="1288007542">
          <w:marLeft w:val="0"/>
          <w:marRight w:val="0"/>
          <w:marTop w:val="0"/>
          <w:marBottom w:val="0"/>
          <w:divBdr>
            <w:top w:val="none" w:sz="0" w:space="0" w:color="auto"/>
            <w:left w:val="none" w:sz="0" w:space="0" w:color="auto"/>
            <w:bottom w:val="none" w:sz="0" w:space="0" w:color="auto"/>
            <w:right w:val="none" w:sz="0" w:space="0" w:color="auto"/>
          </w:divBdr>
        </w:div>
        <w:div w:id="1671642622">
          <w:marLeft w:val="0"/>
          <w:marRight w:val="0"/>
          <w:marTop w:val="0"/>
          <w:marBottom w:val="0"/>
          <w:divBdr>
            <w:top w:val="none" w:sz="0" w:space="0" w:color="auto"/>
            <w:left w:val="none" w:sz="0" w:space="0" w:color="auto"/>
            <w:bottom w:val="none" w:sz="0" w:space="0" w:color="auto"/>
            <w:right w:val="none" w:sz="0" w:space="0" w:color="auto"/>
          </w:divBdr>
        </w:div>
        <w:div w:id="1694262356">
          <w:marLeft w:val="0"/>
          <w:marRight w:val="0"/>
          <w:marTop w:val="0"/>
          <w:marBottom w:val="0"/>
          <w:divBdr>
            <w:top w:val="none" w:sz="0" w:space="0" w:color="auto"/>
            <w:left w:val="none" w:sz="0" w:space="0" w:color="auto"/>
            <w:bottom w:val="none" w:sz="0" w:space="0" w:color="auto"/>
            <w:right w:val="none" w:sz="0" w:space="0" w:color="auto"/>
          </w:divBdr>
        </w:div>
        <w:div w:id="2110394598">
          <w:marLeft w:val="0"/>
          <w:marRight w:val="0"/>
          <w:marTop w:val="0"/>
          <w:marBottom w:val="0"/>
          <w:divBdr>
            <w:top w:val="none" w:sz="0" w:space="0" w:color="auto"/>
            <w:left w:val="none" w:sz="0" w:space="0" w:color="auto"/>
            <w:bottom w:val="none" w:sz="0" w:space="0" w:color="auto"/>
            <w:right w:val="none" w:sz="0" w:space="0" w:color="auto"/>
          </w:divBdr>
        </w:div>
      </w:divsChild>
    </w:div>
    <w:div w:id="1131434167">
      <w:bodyDiv w:val="1"/>
      <w:marLeft w:val="0"/>
      <w:marRight w:val="0"/>
      <w:marTop w:val="0"/>
      <w:marBottom w:val="0"/>
      <w:divBdr>
        <w:top w:val="none" w:sz="0" w:space="0" w:color="auto"/>
        <w:left w:val="none" w:sz="0" w:space="0" w:color="auto"/>
        <w:bottom w:val="none" w:sz="0" w:space="0" w:color="auto"/>
        <w:right w:val="none" w:sz="0" w:space="0" w:color="auto"/>
      </w:divBdr>
    </w:div>
    <w:div w:id="1140805700">
      <w:bodyDiv w:val="1"/>
      <w:marLeft w:val="0"/>
      <w:marRight w:val="0"/>
      <w:marTop w:val="0"/>
      <w:marBottom w:val="0"/>
      <w:divBdr>
        <w:top w:val="none" w:sz="0" w:space="0" w:color="auto"/>
        <w:left w:val="none" w:sz="0" w:space="0" w:color="auto"/>
        <w:bottom w:val="none" w:sz="0" w:space="0" w:color="auto"/>
        <w:right w:val="none" w:sz="0" w:space="0" w:color="auto"/>
      </w:divBdr>
      <w:divsChild>
        <w:div w:id="359472013">
          <w:marLeft w:val="0"/>
          <w:marRight w:val="0"/>
          <w:marTop w:val="0"/>
          <w:marBottom w:val="0"/>
          <w:divBdr>
            <w:top w:val="none" w:sz="0" w:space="0" w:color="auto"/>
            <w:left w:val="none" w:sz="0" w:space="0" w:color="auto"/>
            <w:bottom w:val="none" w:sz="0" w:space="0" w:color="auto"/>
            <w:right w:val="none" w:sz="0" w:space="0" w:color="auto"/>
          </w:divBdr>
        </w:div>
        <w:div w:id="556356406">
          <w:marLeft w:val="0"/>
          <w:marRight w:val="0"/>
          <w:marTop w:val="0"/>
          <w:marBottom w:val="0"/>
          <w:divBdr>
            <w:top w:val="none" w:sz="0" w:space="0" w:color="auto"/>
            <w:left w:val="none" w:sz="0" w:space="0" w:color="auto"/>
            <w:bottom w:val="none" w:sz="0" w:space="0" w:color="auto"/>
            <w:right w:val="none" w:sz="0" w:space="0" w:color="auto"/>
          </w:divBdr>
        </w:div>
        <w:div w:id="608974907">
          <w:marLeft w:val="0"/>
          <w:marRight w:val="0"/>
          <w:marTop w:val="0"/>
          <w:marBottom w:val="0"/>
          <w:divBdr>
            <w:top w:val="none" w:sz="0" w:space="0" w:color="auto"/>
            <w:left w:val="none" w:sz="0" w:space="0" w:color="auto"/>
            <w:bottom w:val="none" w:sz="0" w:space="0" w:color="auto"/>
            <w:right w:val="none" w:sz="0" w:space="0" w:color="auto"/>
          </w:divBdr>
        </w:div>
        <w:div w:id="981814965">
          <w:marLeft w:val="0"/>
          <w:marRight w:val="0"/>
          <w:marTop w:val="0"/>
          <w:marBottom w:val="0"/>
          <w:divBdr>
            <w:top w:val="none" w:sz="0" w:space="0" w:color="auto"/>
            <w:left w:val="none" w:sz="0" w:space="0" w:color="auto"/>
            <w:bottom w:val="none" w:sz="0" w:space="0" w:color="auto"/>
            <w:right w:val="none" w:sz="0" w:space="0" w:color="auto"/>
          </w:divBdr>
        </w:div>
        <w:div w:id="988364150">
          <w:marLeft w:val="0"/>
          <w:marRight w:val="0"/>
          <w:marTop w:val="0"/>
          <w:marBottom w:val="0"/>
          <w:divBdr>
            <w:top w:val="none" w:sz="0" w:space="0" w:color="auto"/>
            <w:left w:val="none" w:sz="0" w:space="0" w:color="auto"/>
            <w:bottom w:val="none" w:sz="0" w:space="0" w:color="auto"/>
            <w:right w:val="none" w:sz="0" w:space="0" w:color="auto"/>
          </w:divBdr>
        </w:div>
        <w:div w:id="1327712776">
          <w:marLeft w:val="0"/>
          <w:marRight w:val="0"/>
          <w:marTop w:val="0"/>
          <w:marBottom w:val="0"/>
          <w:divBdr>
            <w:top w:val="none" w:sz="0" w:space="0" w:color="auto"/>
            <w:left w:val="none" w:sz="0" w:space="0" w:color="auto"/>
            <w:bottom w:val="none" w:sz="0" w:space="0" w:color="auto"/>
            <w:right w:val="none" w:sz="0" w:space="0" w:color="auto"/>
          </w:divBdr>
        </w:div>
        <w:div w:id="1749615920">
          <w:marLeft w:val="0"/>
          <w:marRight w:val="0"/>
          <w:marTop w:val="0"/>
          <w:marBottom w:val="0"/>
          <w:divBdr>
            <w:top w:val="none" w:sz="0" w:space="0" w:color="auto"/>
            <w:left w:val="none" w:sz="0" w:space="0" w:color="auto"/>
            <w:bottom w:val="none" w:sz="0" w:space="0" w:color="auto"/>
            <w:right w:val="none" w:sz="0" w:space="0" w:color="auto"/>
          </w:divBdr>
        </w:div>
        <w:div w:id="1858613163">
          <w:marLeft w:val="0"/>
          <w:marRight w:val="0"/>
          <w:marTop w:val="0"/>
          <w:marBottom w:val="0"/>
          <w:divBdr>
            <w:top w:val="none" w:sz="0" w:space="0" w:color="auto"/>
            <w:left w:val="none" w:sz="0" w:space="0" w:color="auto"/>
            <w:bottom w:val="none" w:sz="0" w:space="0" w:color="auto"/>
            <w:right w:val="none" w:sz="0" w:space="0" w:color="auto"/>
          </w:divBdr>
        </w:div>
        <w:div w:id="2093118153">
          <w:marLeft w:val="0"/>
          <w:marRight w:val="0"/>
          <w:marTop w:val="0"/>
          <w:marBottom w:val="0"/>
          <w:divBdr>
            <w:top w:val="none" w:sz="0" w:space="0" w:color="auto"/>
            <w:left w:val="none" w:sz="0" w:space="0" w:color="auto"/>
            <w:bottom w:val="none" w:sz="0" w:space="0" w:color="auto"/>
            <w:right w:val="none" w:sz="0" w:space="0" w:color="auto"/>
          </w:divBdr>
        </w:div>
      </w:divsChild>
    </w:div>
    <w:div w:id="1141463955">
      <w:bodyDiv w:val="1"/>
      <w:marLeft w:val="0"/>
      <w:marRight w:val="0"/>
      <w:marTop w:val="0"/>
      <w:marBottom w:val="0"/>
      <w:divBdr>
        <w:top w:val="none" w:sz="0" w:space="0" w:color="auto"/>
        <w:left w:val="none" w:sz="0" w:space="0" w:color="auto"/>
        <w:bottom w:val="none" w:sz="0" w:space="0" w:color="auto"/>
        <w:right w:val="none" w:sz="0" w:space="0" w:color="auto"/>
      </w:divBdr>
    </w:div>
    <w:div w:id="1171873622">
      <w:bodyDiv w:val="1"/>
      <w:marLeft w:val="0"/>
      <w:marRight w:val="0"/>
      <w:marTop w:val="0"/>
      <w:marBottom w:val="0"/>
      <w:divBdr>
        <w:top w:val="none" w:sz="0" w:space="0" w:color="auto"/>
        <w:left w:val="none" w:sz="0" w:space="0" w:color="auto"/>
        <w:bottom w:val="none" w:sz="0" w:space="0" w:color="auto"/>
        <w:right w:val="none" w:sz="0" w:space="0" w:color="auto"/>
      </w:divBdr>
      <w:divsChild>
        <w:div w:id="167526981">
          <w:marLeft w:val="0"/>
          <w:marRight w:val="0"/>
          <w:marTop w:val="0"/>
          <w:marBottom w:val="0"/>
          <w:divBdr>
            <w:top w:val="none" w:sz="0" w:space="0" w:color="auto"/>
            <w:left w:val="none" w:sz="0" w:space="0" w:color="auto"/>
            <w:bottom w:val="none" w:sz="0" w:space="0" w:color="auto"/>
            <w:right w:val="none" w:sz="0" w:space="0" w:color="auto"/>
          </w:divBdr>
        </w:div>
        <w:div w:id="185563903">
          <w:marLeft w:val="0"/>
          <w:marRight w:val="0"/>
          <w:marTop w:val="0"/>
          <w:marBottom w:val="0"/>
          <w:divBdr>
            <w:top w:val="none" w:sz="0" w:space="0" w:color="auto"/>
            <w:left w:val="none" w:sz="0" w:space="0" w:color="auto"/>
            <w:bottom w:val="none" w:sz="0" w:space="0" w:color="auto"/>
            <w:right w:val="none" w:sz="0" w:space="0" w:color="auto"/>
          </w:divBdr>
        </w:div>
        <w:div w:id="344288612">
          <w:marLeft w:val="0"/>
          <w:marRight w:val="0"/>
          <w:marTop w:val="0"/>
          <w:marBottom w:val="0"/>
          <w:divBdr>
            <w:top w:val="none" w:sz="0" w:space="0" w:color="auto"/>
            <w:left w:val="none" w:sz="0" w:space="0" w:color="auto"/>
            <w:bottom w:val="none" w:sz="0" w:space="0" w:color="auto"/>
            <w:right w:val="none" w:sz="0" w:space="0" w:color="auto"/>
          </w:divBdr>
        </w:div>
        <w:div w:id="571502115">
          <w:marLeft w:val="0"/>
          <w:marRight w:val="0"/>
          <w:marTop w:val="0"/>
          <w:marBottom w:val="0"/>
          <w:divBdr>
            <w:top w:val="none" w:sz="0" w:space="0" w:color="auto"/>
            <w:left w:val="none" w:sz="0" w:space="0" w:color="auto"/>
            <w:bottom w:val="none" w:sz="0" w:space="0" w:color="auto"/>
            <w:right w:val="none" w:sz="0" w:space="0" w:color="auto"/>
          </w:divBdr>
        </w:div>
        <w:div w:id="622033847">
          <w:marLeft w:val="0"/>
          <w:marRight w:val="0"/>
          <w:marTop w:val="0"/>
          <w:marBottom w:val="0"/>
          <w:divBdr>
            <w:top w:val="none" w:sz="0" w:space="0" w:color="auto"/>
            <w:left w:val="none" w:sz="0" w:space="0" w:color="auto"/>
            <w:bottom w:val="none" w:sz="0" w:space="0" w:color="auto"/>
            <w:right w:val="none" w:sz="0" w:space="0" w:color="auto"/>
          </w:divBdr>
        </w:div>
        <w:div w:id="632558630">
          <w:marLeft w:val="0"/>
          <w:marRight w:val="0"/>
          <w:marTop w:val="0"/>
          <w:marBottom w:val="0"/>
          <w:divBdr>
            <w:top w:val="none" w:sz="0" w:space="0" w:color="auto"/>
            <w:left w:val="none" w:sz="0" w:space="0" w:color="auto"/>
            <w:bottom w:val="none" w:sz="0" w:space="0" w:color="auto"/>
            <w:right w:val="none" w:sz="0" w:space="0" w:color="auto"/>
          </w:divBdr>
        </w:div>
        <w:div w:id="734427290">
          <w:marLeft w:val="0"/>
          <w:marRight w:val="0"/>
          <w:marTop w:val="0"/>
          <w:marBottom w:val="0"/>
          <w:divBdr>
            <w:top w:val="none" w:sz="0" w:space="0" w:color="auto"/>
            <w:left w:val="none" w:sz="0" w:space="0" w:color="auto"/>
            <w:bottom w:val="none" w:sz="0" w:space="0" w:color="auto"/>
            <w:right w:val="none" w:sz="0" w:space="0" w:color="auto"/>
          </w:divBdr>
        </w:div>
        <w:div w:id="1041782257">
          <w:marLeft w:val="0"/>
          <w:marRight w:val="0"/>
          <w:marTop w:val="0"/>
          <w:marBottom w:val="0"/>
          <w:divBdr>
            <w:top w:val="none" w:sz="0" w:space="0" w:color="auto"/>
            <w:left w:val="none" w:sz="0" w:space="0" w:color="auto"/>
            <w:bottom w:val="none" w:sz="0" w:space="0" w:color="auto"/>
            <w:right w:val="none" w:sz="0" w:space="0" w:color="auto"/>
          </w:divBdr>
        </w:div>
        <w:div w:id="1056590019">
          <w:marLeft w:val="0"/>
          <w:marRight w:val="0"/>
          <w:marTop w:val="0"/>
          <w:marBottom w:val="0"/>
          <w:divBdr>
            <w:top w:val="none" w:sz="0" w:space="0" w:color="auto"/>
            <w:left w:val="none" w:sz="0" w:space="0" w:color="auto"/>
            <w:bottom w:val="none" w:sz="0" w:space="0" w:color="auto"/>
            <w:right w:val="none" w:sz="0" w:space="0" w:color="auto"/>
          </w:divBdr>
        </w:div>
        <w:div w:id="1335112138">
          <w:marLeft w:val="0"/>
          <w:marRight w:val="0"/>
          <w:marTop w:val="0"/>
          <w:marBottom w:val="0"/>
          <w:divBdr>
            <w:top w:val="none" w:sz="0" w:space="0" w:color="auto"/>
            <w:left w:val="none" w:sz="0" w:space="0" w:color="auto"/>
            <w:bottom w:val="none" w:sz="0" w:space="0" w:color="auto"/>
            <w:right w:val="none" w:sz="0" w:space="0" w:color="auto"/>
          </w:divBdr>
        </w:div>
        <w:div w:id="1379818037">
          <w:marLeft w:val="0"/>
          <w:marRight w:val="0"/>
          <w:marTop w:val="0"/>
          <w:marBottom w:val="0"/>
          <w:divBdr>
            <w:top w:val="none" w:sz="0" w:space="0" w:color="auto"/>
            <w:left w:val="none" w:sz="0" w:space="0" w:color="auto"/>
            <w:bottom w:val="none" w:sz="0" w:space="0" w:color="auto"/>
            <w:right w:val="none" w:sz="0" w:space="0" w:color="auto"/>
          </w:divBdr>
        </w:div>
        <w:div w:id="1455751585">
          <w:marLeft w:val="0"/>
          <w:marRight w:val="0"/>
          <w:marTop w:val="0"/>
          <w:marBottom w:val="0"/>
          <w:divBdr>
            <w:top w:val="none" w:sz="0" w:space="0" w:color="auto"/>
            <w:left w:val="none" w:sz="0" w:space="0" w:color="auto"/>
            <w:bottom w:val="none" w:sz="0" w:space="0" w:color="auto"/>
            <w:right w:val="none" w:sz="0" w:space="0" w:color="auto"/>
          </w:divBdr>
        </w:div>
        <w:div w:id="1830166771">
          <w:marLeft w:val="0"/>
          <w:marRight w:val="0"/>
          <w:marTop w:val="0"/>
          <w:marBottom w:val="0"/>
          <w:divBdr>
            <w:top w:val="none" w:sz="0" w:space="0" w:color="auto"/>
            <w:left w:val="none" w:sz="0" w:space="0" w:color="auto"/>
            <w:bottom w:val="none" w:sz="0" w:space="0" w:color="auto"/>
            <w:right w:val="none" w:sz="0" w:space="0" w:color="auto"/>
          </w:divBdr>
        </w:div>
        <w:div w:id="1899828182">
          <w:marLeft w:val="0"/>
          <w:marRight w:val="0"/>
          <w:marTop w:val="0"/>
          <w:marBottom w:val="0"/>
          <w:divBdr>
            <w:top w:val="none" w:sz="0" w:space="0" w:color="auto"/>
            <w:left w:val="none" w:sz="0" w:space="0" w:color="auto"/>
            <w:bottom w:val="none" w:sz="0" w:space="0" w:color="auto"/>
            <w:right w:val="none" w:sz="0" w:space="0" w:color="auto"/>
          </w:divBdr>
        </w:div>
        <w:div w:id="1987515539">
          <w:marLeft w:val="0"/>
          <w:marRight w:val="0"/>
          <w:marTop w:val="0"/>
          <w:marBottom w:val="0"/>
          <w:divBdr>
            <w:top w:val="none" w:sz="0" w:space="0" w:color="auto"/>
            <w:left w:val="none" w:sz="0" w:space="0" w:color="auto"/>
            <w:bottom w:val="none" w:sz="0" w:space="0" w:color="auto"/>
            <w:right w:val="none" w:sz="0" w:space="0" w:color="auto"/>
          </w:divBdr>
        </w:div>
        <w:div w:id="2071422277">
          <w:marLeft w:val="0"/>
          <w:marRight w:val="0"/>
          <w:marTop w:val="0"/>
          <w:marBottom w:val="0"/>
          <w:divBdr>
            <w:top w:val="none" w:sz="0" w:space="0" w:color="auto"/>
            <w:left w:val="none" w:sz="0" w:space="0" w:color="auto"/>
            <w:bottom w:val="none" w:sz="0" w:space="0" w:color="auto"/>
            <w:right w:val="none" w:sz="0" w:space="0" w:color="auto"/>
          </w:divBdr>
        </w:div>
      </w:divsChild>
    </w:div>
    <w:div w:id="1201287632">
      <w:bodyDiv w:val="1"/>
      <w:marLeft w:val="0"/>
      <w:marRight w:val="0"/>
      <w:marTop w:val="0"/>
      <w:marBottom w:val="0"/>
      <w:divBdr>
        <w:top w:val="none" w:sz="0" w:space="0" w:color="auto"/>
        <w:left w:val="none" w:sz="0" w:space="0" w:color="auto"/>
        <w:bottom w:val="none" w:sz="0" w:space="0" w:color="auto"/>
        <w:right w:val="none" w:sz="0" w:space="0" w:color="auto"/>
      </w:divBdr>
    </w:div>
    <w:div w:id="1237519502">
      <w:bodyDiv w:val="1"/>
      <w:marLeft w:val="0"/>
      <w:marRight w:val="0"/>
      <w:marTop w:val="0"/>
      <w:marBottom w:val="0"/>
      <w:divBdr>
        <w:top w:val="none" w:sz="0" w:space="0" w:color="auto"/>
        <w:left w:val="none" w:sz="0" w:space="0" w:color="auto"/>
        <w:bottom w:val="none" w:sz="0" w:space="0" w:color="auto"/>
        <w:right w:val="none" w:sz="0" w:space="0" w:color="auto"/>
      </w:divBdr>
    </w:div>
    <w:div w:id="1245644802">
      <w:bodyDiv w:val="1"/>
      <w:marLeft w:val="0"/>
      <w:marRight w:val="0"/>
      <w:marTop w:val="0"/>
      <w:marBottom w:val="0"/>
      <w:divBdr>
        <w:top w:val="none" w:sz="0" w:space="0" w:color="auto"/>
        <w:left w:val="none" w:sz="0" w:space="0" w:color="auto"/>
        <w:bottom w:val="none" w:sz="0" w:space="0" w:color="auto"/>
        <w:right w:val="none" w:sz="0" w:space="0" w:color="auto"/>
      </w:divBdr>
    </w:div>
    <w:div w:id="1264068982">
      <w:bodyDiv w:val="1"/>
      <w:marLeft w:val="0"/>
      <w:marRight w:val="0"/>
      <w:marTop w:val="0"/>
      <w:marBottom w:val="0"/>
      <w:divBdr>
        <w:top w:val="none" w:sz="0" w:space="0" w:color="auto"/>
        <w:left w:val="none" w:sz="0" w:space="0" w:color="auto"/>
        <w:bottom w:val="none" w:sz="0" w:space="0" w:color="auto"/>
        <w:right w:val="none" w:sz="0" w:space="0" w:color="auto"/>
      </w:divBdr>
    </w:div>
    <w:div w:id="1277635590">
      <w:bodyDiv w:val="1"/>
      <w:marLeft w:val="0"/>
      <w:marRight w:val="0"/>
      <w:marTop w:val="0"/>
      <w:marBottom w:val="0"/>
      <w:divBdr>
        <w:top w:val="none" w:sz="0" w:space="0" w:color="auto"/>
        <w:left w:val="none" w:sz="0" w:space="0" w:color="auto"/>
        <w:bottom w:val="none" w:sz="0" w:space="0" w:color="auto"/>
        <w:right w:val="none" w:sz="0" w:space="0" w:color="auto"/>
      </w:divBdr>
      <w:divsChild>
        <w:div w:id="263996913">
          <w:marLeft w:val="0"/>
          <w:marRight w:val="0"/>
          <w:marTop w:val="0"/>
          <w:marBottom w:val="0"/>
          <w:divBdr>
            <w:top w:val="none" w:sz="0" w:space="0" w:color="auto"/>
            <w:left w:val="none" w:sz="0" w:space="0" w:color="auto"/>
            <w:bottom w:val="none" w:sz="0" w:space="0" w:color="auto"/>
            <w:right w:val="none" w:sz="0" w:space="0" w:color="auto"/>
          </w:divBdr>
        </w:div>
        <w:div w:id="861163134">
          <w:marLeft w:val="0"/>
          <w:marRight w:val="0"/>
          <w:marTop w:val="0"/>
          <w:marBottom w:val="0"/>
          <w:divBdr>
            <w:top w:val="none" w:sz="0" w:space="0" w:color="auto"/>
            <w:left w:val="none" w:sz="0" w:space="0" w:color="auto"/>
            <w:bottom w:val="none" w:sz="0" w:space="0" w:color="auto"/>
            <w:right w:val="none" w:sz="0" w:space="0" w:color="auto"/>
          </w:divBdr>
        </w:div>
        <w:div w:id="1152647542">
          <w:marLeft w:val="0"/>
          <w:marRight w:val="0"/>
          <w:marTop w:val="0"/>
          <w:marBottom w:val="0"/>
          <w:divBdr>
            <w:top w:val="none" w:sz="0" w:space="0" w:color="auto"/>
            <w:left w:val="none" w:sz="0" w:space="0" w:color="auto"/>
            <w:bottom w:val="none" w:sz="0" w:space="0" w:color="auto"/>
            <w:right w:val="none" w:sz="0" w:space="0" w:color="auto"/>
          </w:divBdr>
        </w:div>
        <w:div w:id="1389497307">
          <w:marLeft w:val="0"/>
          <w:marRight w:val="0"/>
          <w:marTop w:val="0"/>
          <w:marBottom w:val="0"/>
          <w:divBdr>
            <w:top w:val="none" w:sz="0" w:space="0" w:color="auto"/>
            <w:left w:val="none" w:sz="0" w:space="0" w:color="auto"/>
            <w:bottom w:val="none" w:sz="0" w:space="0" w:color="auto"/>
            <w:right w:val="none" w:sz="0" w:space="0" w:color="auto"/>
          </w:divBdr>
        </w:div>
        <w:div w:id="1555576918">
          <w:marLeft w:val="0"/>
          <w:marRight w:val="0"/>
          <w:marTop w:val="0"/>
          <w:marBottom w:val="0"/>
          <w:divBdr>
            <w:top w:val="none" w:sz="0" w:space="0" w:color="auto"/>
            <w:left w:val="none" w:sz="0" w:space="0" w:color="auto"/>
            <w:bottom w:val="none" w:sz="0" w:space="0" w:color="auto"/>
            <w:right w:val="none" w:sz="0" w:space="0" w:color="auto"/>
          </w:divBdr>
        </w:div>
        <w:div w:id="1622955302">
          <w:marLeft w:val="0"/>
          <w:marRight w:val="0"/>
          <w:marTop w:val="0"/>
          <w:marBottom w:val="0"/>
          <w:divBdr>
            <w:top w:val="none" w:sz="0" w:space="0" w:color="auto"/>
            <w:left w:val="none" w:sz="0" w:space="0" w:color="auto"/>
            <w:bottom w:val="none" w:sz="0" w:space="0" w:color="auto"/>
            <w:right w:val="none" w:sz="0" w:space="0" w:color="auto"/>
          </w:divBdr>
        </w:div>
      </w:divsChild>
    </w:div>
    <w:div w:id="1307129991">
      <w:bodyDiv w:val="1"/>
      <w:marLeft w:val="0"/>
      <w:marRight w:val="0"/>
      <w:marTop w:val="0"/>
      <w:marBottom w:val="0"/>
      <w:divBdr>
        <w:top w:val="none" w:sz="0" w:space="0" w:color="auto"/>
        <w:left w:val="none" w:sz="0" w:space="0" w:color="auto"/>
        <w:bottom w:val="none" w:sz="0" w:space="0" w:color="auto"/>
        <w:right w:val="none" w:sz="0" w:space="0" w:color="auto"/>
      </w:divBdr>
      <w:divsChild>
        <w:div w:id="89814146">
          <w:marLeft w:val="0"/>
          <w:marRight w:val="0"/>
          <w:marTop w:val="0"/>
          <w:marBottom w:val="0"/>
          <w:divBdr>
            <w:top w:val="none" w:sz="0" w:space="0" w:color="auto"/>
            <w:left w:val="none" w:sz="0" w:space="0" w:color="auto"/>
            <w:bottom w:val="none" w:sz="0" w:space="0" w:color="auto"/>
            <w:right w:val="none" w:sz="0" w:space="0" w:color="auto"/>
          </w:divBdr>
        </w:div>
        <w:div w:id="377435266">
          <w:marLeft w:val="0"/>
          <w:marRight w:val="0"/>
          <w:marTop w:val="0"/>
          <w:marBottom w:val="0"/>
          <w:divBdr>
            <w:top w:val="none" w:sz="0" w:space="0" w:color="auto"/>
            <w:left w:val="none" w:sz="0" w:space="0" w:color="auto"/>
            <w:bottom w:val="none" w:sz="0" w:space="0" w:color="auto"/>
            <w:right w:val="none" w:sz="0" w:space="0" w:color="auto"/>
          </w:divBdr>
        </w:div>
        <w:div w:id="1140420177">
          <w:marLeft w:val="0"/>
          <w:marRight w:val="0"/>
          <w:marTop w:val="0"/>
          <w:marBottom w:val="0"/>
          <w:divBdr>
            <w:top w:val="none" w:sz="0" w:space="0" w:color="auto"/>
            <w:left w:val="none" w:sz="0" w:space="0" w:color="auto"/>
            <w:bottom w:val="none" w:sz="0" w:space="0" w:color="auto"/>
            <w:right w:val="none" w:sz="0" w:space="0" w:color="auto"/>
          </w:divBdr>
        </w:div>
        <w:div w:id="1142892780">
          <w:marLeft w:val="0"/>
          <w:marRight w:val="0"/>
          <w:marTop w:val="0"/>
          <w:marBottom w:val="0"/>
          <w:divBdr>
            <w:top w:val="none" w:sz="0" w:space="0" w:color="auto"/>
            <w:left w:val="none" w:sz="0" w:space="0" w:color="auto"/>
            <w:bottom w:val="none" w:sz="0" w:space="0" w:color="auto"/>
            <w:right w:val="none" w:sz="0" w:space="0" w:color="auto"/>
          </w:divBdr>
        </w:div>
        <w:div w:id="1892382633">
          <w:marLeft w:val="0"/>
          <w:marRight w:val="0"/>
          <w:marTop w:val="0"/>
          <w:marBottom w:val="0"/>
          <w:divBdr>
            <w:top w:val="none" w:sz="0" w:space="0" w:color="auto"/>
            <w:left w:val="none" w:sz="0" w:space="0" w:color="auto"/>
            <w:bottom w:val="none" w:sz="0" w:space="0" w:color="auto"/>
            <w:right w:val="none" w:sz="0" w:space="0" w:color="auto"/>
          </w:divBdr>
        </w:div>
        <w:div w:id="2006319935">
          <w:marLeft w:val="0"/>
          <w:marRight w:val="0"/>
          <w:marTop w:val="0"/>
          <w:marBottom w:val="0"/>
          <w:divBdr>
            <w:top w:val="none" w:sz="0" w:space="0" w:color="auto"/>
            <w:left w:val="none" w:sz="0" w:space="0" w:color="auto"/>
            <w:bottom w:val="none" w:sz="0" w:space="0" w:color="auto"/>
            <w:right w:val="none" w:sz="0" w:space="0" w:color="auto"/>
          </w:divBdr>
        </w:div>
      </w:divsChild>
    </w:div>
    <w:div w:id="1311598126">
      <w:bodyDiv w:val="1"/>
      <w:marLeft w:val="0"/>
      <w:marRight w:val="0"/>
      <w:marTop w:val="0"/>
      <w:marBottom w:val="0"/>
      <w:divBdr>
        <w:top w:val="none" w:sz="0" w:space="0" w:color="auto"/>
        <w:left w:val="none" w:sz="0" w:space="0" w:color="auto"/>
        <w:bottom w:val="none" w:sz="0" w:space="0" w:color="auto"/>
        <w:right w:val="none" w:sz="0" w:space="0" w:color="auto"/>
      </w:divBdr>
      <w:divsChild>
        <w:div w:id="122891310">
          <w:marLeft w:val="0"/>
          <w:marRight w:val="0"/>
          <w:marTop w:val="0"/>
          <w:marBottom w:val="0"/>
          <w:divBdr>
            <w:top w:val="none" w:sz="0" w:space="0" w:color="auto"/>
            <w:left w:val="none" w:sz="0" w:space="0" w:color="auto"/>
            <w:bottom w:val="none" w:sz="0" w:space="0" w:color="auto"/>
            <w:right w:val="none" w:sz="0" w:space="0" w:color="auto"/>
          </w:divBdr>
        </w:div>
        <w:div w:id="610674634">
          <w:marLeft w:val="0"/>
          <w:marRight w:val="0"/>
          <w:marTop w:val="0"/>
          <w:marBottom w:val="0"/>
          <w:divBdr>
            <w:top w:val="none" w:sz="0" w:space="0" w:color="auto"/>
            <w:left w:val="none" w:sz="0" w:space="0" w:color="auto"/>
            <w:bottom w:val="none" w:sz="0" w:space="0" w:color="auto"/>
            <w:right w:val="none" w:sz="0" w:space="0" w:color="auto"/>
          </w:divBdr>
        </w:div>
        <w:div w:id="2065368213">
          <w:marLeft w:val="0"/>
          <w:marRight w:val="0"/>
          <w:marTop w:val="0"/>
          <w:marBottom w:val="0"/>
          <w:divBdr>
            <w:top w:val="none" w:sz="0" w:space="0" w:color="auto"/>
            <w:left w:val="none" w:sz="0" w:space="0" w:color="auto"/>
            <w:bottom w:val="none" w:sz="0" w:space="0" w:color="auto"/>
            <w:right w:val="none" w:sz="0" w:space="0" w:color="auto"/>
          </w:divBdr>
        </w:div>
        <w:div w:id="2073850975">
          <w:marLeft w:val="0"/>
          <w:marRight w:val="0"/>
          <w:marTop w:val="0"/>
          <w:marBottom w:val="0"/>
          <w:divBdr>
            <w:top w:val="none" w:sz="0" w:space="0" w:color="auto"/>
            <w:left w:val="none" w:sz="0" w:space="0" w:color="auto"/>
            <w:bottom w:val="none" w:sz="0" w:space="0" w:color="auto"/>
            <w:right w:val="none" w:sz="0" w:space="0" w:color="auto"/>
          </w:divBdr>
        </w:div>
      </w:divsChild>
    </w:div>
    <w:div w:id="1347056036">
      <w:bodyDiv w:val="1"/>
      <w:marLeft w:val="0"/>
      <w:marRight w:val="0"/>
      <w:marTop w:val="0"/>
      <w:marBottom w:val="0"/>
      <w:divBdr>
        <w:top w:val="none" w:sz="0" w:space="0" w:color="auto"/>
        <w:left w:val="none" w:sz="0" w:space="0" w:color="auto"/>
        <w:bottom w:val="none" w:sz="0" w:space="0" w:color="auto"/>
        <w:right w:val="none" w:sz="0" w:space="0" w:color="auto"/>
      </w:divBdr>
    </w:div>
    <w:div w:id="1356929263">
      <w:bodyDiv w:val="1"/>
      <w:marLeft w:val="0"/>
      <w:marRight w:val="0"/>
      <w:marTop w:val="0"/>
      <w:marBottom w:val="0"/>
      <w:divBdr>
        <w:top w:val="none" w:sz="0" w:space="0" w:color="auto"/>
        <w:left w:val="none" w:sz="0" w:space="0" w:color="auto"/>
        <w:bottom w:val="none" w:sz="0" w:space="0" w:color="auto"/>
        <w:right w:val="none" w:sz="0" w:space="0" w:color="auto"/>
      </w:divBdr>
      <w:divsChild>
        <w:div w:id="554586693">
          <w:marLeft w:val="0"/>
          <w:marRight w:val="0"/>
          <w:marTop w:val="0"/>
          <w:marBottom w:val="0"/>
          <w:divBdr>
            <w:top w:val="none" w:sz="0" w:space="0" w:color="auto"/>
            <w:left w:val="none" w:sz="0" w:space="0" w:color="auto"/>
            <w:bottom w:val="none" w:sz="0" w:space="0" w:color="auto"/>
            <w:right w:val="none" w:sz="0" w:space="0" w:color="auto"/>
          </w:divBdr>
        </w:div>
        <w:div w:id="851845966">
          <w:marLeft w:val="0"/>
          <w:marRight w:val="0"/>
          <w:marTop w:val="150"/>
          <w:marBottom w:val="168"/>
          <w:divBdr>
            <w:top w:val="none" w:sz="0" w:space="0" w:color="auto"/>
            <w:left w:val="none" w:sz="0" w:space="0" w:color="auto"/>
            <w:bottom w:val="none" w:sz="0" w:space="0" w:color="auto"/>
            <w:right w:val="none" w:sz="0" w:space="0" w:color="auto"/>
          </w:divBdr>
        </w:div>
        <w:div w:id="2096196196">
          <w:marLeft w:val="0"/>
          <w:marRight w:val="0"/>
          <w:marTop w:val="0"/>
          <w:marBottom w:val="0"/>
          <w:divBdr>
            <w:top w:val="none" w:sz="0" w:space="0" w:color="auto"/>
            <w:left w:val="none" w:sz="0" w:space="0" w:color="auto"/>
            <w:bottom w:val="none" w:sz="0" w:space="0" w:color="auto"/>
            <w:right w:val="none" w:sz="0" w:space="0" w:color="auto"/>
          </w:divBdr>
        </w:div>
      </w:divsChild>
    </w:div>
    <w:div w:id="1400395942">
      <w:bodyDiv w:val="1"/>
      <w:marLeft w:val="0"/>
      <w:marRight w:val="0"/>
      <w:marTop w:val="0"/>
      <w:marBottom w:val="0"/>
      <w:divBdr>
        <w:top w:val="none" w:sz="0" w:space="0" w:color="auto"/>
        <w:left w:val="none" w:sz="0" w:space="0" w:color="auto"/>
        <w:bottom w:val="none" w:sz="0" w:space="0" w:color="auto"/>
        <w:right w:val="none" w:sz="0" w:space="0" w:color="auto"/>
      </w:divBdr>
      <w:divsChild>
        <w:div w:id="256212503">
          <w:marLeft w:val="0"/>
          <w:marRight w:val="0"/>
          <w:marTop w:val="0"/>
          <w:marBottom w:val="0"/>
          <w:divBdr>
            <w:top w:val="none" w:sz="0" w:space="0" w:color="auto"/>
            <w:left w:val="none" w:sz="0" w:space="0" w:color="auto"/>
            <w:bottom w:val="none" w:sz="0" w:space="0" w:color="auto"/>
            <w:right w:val="none" w:sz="0" w:space="0" w:color="auto"/>
          </w:divBdr>
        </w:div>
        <w:div w:id="685254018">
          <w:marLeft w:val="0"/>
          <w:marRight w:val="0"/>
          <w:marTop w:val="0"/>
          <w:marBottom w:val="0"/>
          <w:divBdr>
            <w:top w:val="none" w:sz="0" w:space="0" w:color="auto"/>
            <w:left w:val="none" w:sz="0" w:space="0" w:color="auto"/>
            <w:bottom w:val="none" w:sz="0" w:space="0" w:color="auto"/>
            <w:right w:val="none" w:sz="0" w:space="0" w:color="auto"/>
          </w:divBdr>
        </w:div>
        <w:div w:id="1438914132">
          <w:marLeft w:val="0"/>
          <w:marRight w:val="0"/>
          <w:marTop w:val="0"/>
          <w:marBottom w:val="0"/>
          <w:divBdr>
            <w:top w:val="none" w:sz="0" w:space="0" w:color="auto"/>
            <w:left w:val="none" w:sz="0" w:space="0" w:color="auto"/>
            <w:bottom w:val="none" w:sz="0" w:space="0" w:color="auto"/>
            <w:right w:val="none" w:sz="0" w:space="0" w:color="auto"/>
          </w:divBdr>
        </w:div>
        <w:div w:id="1823348955">
          <w:marLeft w:val="0"/>
          <w:marRight w:val="0"/>
          <w:marTop w:val="0"/>
          <w:marBottom w:val="0"/>
          <w:divBdr>
            <w:top w:val="none" w:sz="0" w:space="0" w:color="auto"/>
            <w:left w:val="none" w:sz="0" w:space="0" w:color="auto"/>
            <w:bottom w:val="none" w:sz="0" w:space="0" w:color="auto"/>
            <w:right w:val="none" w:sz="0" w:space="0" w:color="auto"/>
          </w:divBdr>
        </w:div>
        <w:div w:id="1947350005">
          <w:marLeft w:val="360"/>
          <w:marRight w:val="0"/>
          <w:marTop w:val="0"/>
          <w:marBottom w:val="0"/>
          <w:divBdr>
            <w:top w:val="none" w:sz="0" w:space="0" w:color="auto"/>
            <w:left w:val="none" w:sz="0" w:space="0" w:color="auto"/>
            <w:bottom w:val="none" w:sz="0" w:space="0" w:color="auto"/>
            <w:right w:val="none" w:sz="0" w:space="0" w:color="auto"/>
          </w:divBdr>
        </w:div>
      </w:divsChild>
    </w:div>
    <w:div w:id="1476607675">
      <w:bodyDiv w:val="1"/>
      <w:marLeft w:val="0"/>
      <w:marRight w:val="0"/>
      <w:marTop w:val="0"/>
      <w:marBottom w:val="0"/>
      <w:divBdr>
        <w:top w:val="none" w:sz="0" w:space="0" w:color="auto"/>
        <w:left w:val="none" w:sz="0" w:space="0" w:color="auto"/>
        <w:bottom w:val="none" w:sz="0" w:space="0" w:color="auto"/>
        <w:right w:val="none" w:sz="0" w:space="0" w:color="auto"/>
      </w:divBdr>
      <w:divsChild>
        <w:div w:id="40373657">
          <w:marLeft w:val="0"/>
          <w:marRight w:val="0"/>
          <w:marTop w:val="0"/>
          <w:marBottom w:val="0"/>
          <w:divBdr>
            <w:top w:val="none" w:sz="0" w:space="0" w:color="auto"/>
            <w:left w:val="none" w:sz="0" w:space="0" w:color="auto"/>
            <w:bottom w:val="none" w:sz="0" w:space="0" w:color="auto"/>
            <w:right w:val="none" w:sz="0" w:space="0" w:color="auto"/>
          </w:divBdr>
        </w:div>
        <w:div w:id="277183130">
          <w:marLeft w:val="0"/>
          <w:marRight w:val="0"/>
          <w:marTop w:val="0"/>
          <w:marBottom w:val="0"/>
          <w:divBdr>
            <w:top w:val="none" w:sz="0" w:space="0" w:color="auto"/>
            <w:left w:val="none" w:sz="0" w:space="0" w:color="auto"/>
            <w:bottom w:val="none" w:sz="0" w:space="0" w:color="auto"/>
            <w:right w:val="none" w:sz="0" w:space="0" w:color="auto"/>
          </w:divBdr>
        </w:div>
        <w:div w:id="595788145">
          <w:marLeft w:val="0"/>
          <w:marRight w:val="0"/>
          <w:marTop w:val="0"/>
          <w:marBottom w:val="0"/>
          <w:divBdr>
            <w:top w:val="none" w:sz="0" w:space="0" w:color="auto"/>
            <w:left w:val="none" w:sz="0" w:space="0" w:color="auto"/>
            <w:bottom w:val="none" w:sz="0" w:space="0" w:color="auto"/>
            <w:right w:val="none" w:sz="0" w:space="0" w:color="auto"/>
          </w:divBdr>
        </w:div>
        <w:div w:id="1868062056">
          <w:marLeft w:val="0"/>
          <w:marRight w:val="0"/>
          <w:marTop w:val="0"/>
          <w:marBottom w:val="0"/>
          <w:divBdr>
            <w:top w:val="none" w:sz="0" w:space="0" w:color="auto"/>
            <w:left w:val="none" w:sz="0" w:space="0" w:color="auto"/>
            <w:bottom w:val="none" w:sz="0" w:space="0" w:color="auto"/>
            <w:right w:val="none" w:sz="0" w:space="0" w:color="auto"/>
          </w:divBdr>
        </w:div>
        <w:div w:id="1953004792">
          <w:marLeft w:val="0"/>
          <w:marRight w:val="0"/>
          <w:marTop w:val="0"/>
          <w:marBottom w:val="0"/>
          <w:divBdr>
            <w:top w:val="none" w:sz="0" w:space="0" w:color="auto"/>
            <w:left w:val="none" w:sz="0" w:space="0" w:color="auto"/>
            <w:bottom w:val="none" w:sz="0" w:space="0" w:color="auto"/>
            <w:right w:val="none" w:sz="0" w:space="0" w:color="auto"/>
          </w:divBdr>
        </w:div>
      </w:divsChild>
    </w:div>
    <w:div w:id="1477533420">
      <w:bodyDiv w:val="1"/>
      <w:marLeft w:val="0"/>
      <w:marRight w:val="0"/>
      <w:marTop w:val="0"/>
      <w:marBottom w:val="0"/>
      <w:divBdr>
        <w:top w:val="none" w:sz="0" w:space="0" w:color="auto"/>
        <w:left w:val="none" w:sz="0" w:space="0" w:color="auto"/>
        <w:bottom w:val="none" w:sz="0" w:space="0" w:color="auto"/>
        <w:right w:val="none" w:sz="0" w:space="0" w:color="auto"/>
      </w:divBdr>
    </w:div>
    <w:div w:id="1487941042">
      <w:bodyDiv w:val="1"/>
      <w:marLeft w:val="0"/>
      <w:marRight w:val="0"/>
      <w:marTop w:val="0"/>
      <w:marBottom w:val="0"/>
      <w:divBdr>
        <w:top w:val="none" w:sz="0" w:space="0" w:color="auto"/>
        <w:left w:val="none" w:sz="0" w:space="0" w:color="auto"/>
        <w:bottom w:val="none" w:sz="0" w:space="0" w:color="auto"/>
        <w:right w:val="none" w:sz="0" w:space="0" w:color="auto"/>
      </w:divBdr>
      <w:divsChild>
        <w:div w:id="337973542">
          <w:marLeft w:val="0"/>
          <w:marRight w:val="0"/>
          <w:marTop w:val="0"/>
          <w:marBottom w:val="0"/>
          <w:divBdr>
            <w:top w:val="none" w:sz="0" w:space="0" w:color="auto"/>
            <w:left w:val="none" w:sz="0" w:space="0" w:color="auto"/>
            <w:bottom w:val="none" w:sz="0" w:space="0" w:color="auto"/>
            <w:right w:val="none" w:sz="0" w:space="0" w:color="auto"/>
          </w:divBdr>
        </w:div>
        <w:div w:id="1100493001">
          <w:marLeft w:val="0"/>
          <w:marRight w:val="0"/>
          <w:marTop w:val="0"/>
          <w:marBottom w:val="0"/>
          <w:divBdr>
            <w:top w:val="none" w:sz="0" w:space="0" w:color="auto"/>
            <w:left w:val="none" w:sz="0" w:space="0" w:color="auto"/>
            <w:bottom w:val="none" w:sz="0" w:space="0" w:color="auto"/>
            <w:right w:val="none" w:sz="0" w:space="0" w:color="auto"/>
          </w:divBdr>
        </w:div>
        <w:div w:id="2118913874">
          <w:marLeft w:val="0"/>
          <w:marRight w:val="0"/>
          <w:marTop w:val="150"/>
          <w:marBottom w:val="168"/>
          <w:divBdr>
            <w:top w:val="none" w:sz="0" w:space="0" w:color="auto"/>
            <w:left w:val="none" w:sz="0" w:space="0" w:color="auto"/>
            <w:bottom w:val="none" w:sz="0" w:space="0" w:color="auto"/>
            <w:right w:val="none" w:sz="0" w:space="0" w:color="auto"/>
          </w:divBdr>
        </w:div>
      </w:divsChild>
    </w:div>
    <w:div w:id="1505632619">
      <w:bodyDiv w:val="1"/>
      <w:marLeft w:val="0"/>
      <w:marRight w:val="0"/>
      <w:marTop w:val="0"/>
      <w:marBottom w:val="0"/>
      <w:divBdr>
        <w:top w:val="none" w:sz="0" w:space="0" w:color="auto"/>
        <w:left w:val="none" w:sz="0" w:space="0" w:color="auto"/>
        <w:bottom w:val="none" w:sz="0" w:space="0" w:color="auto"/>
        <w:right w:val="none" w:sz="0" w:space="0" w:color="auto"/>
      </w:divBdr>
    </w:div>
    <w:div w:id="1535535522">
      <w:bodyDiv w:val="1"/>
      <w:marLeft w:val="0"/>
      <w:marRight w:val="0"/>
      <w:marTop w:val="0"/>
      <w:marBottom w:val="0"/>
      <w:divBdr>
        <w:top w:val="none" w:sz="0" w:space="0" w:color="auto"/>
        <w:left w:val="none" w:sz="0" w:space="0" w:color="auto"/>
        <w:bottom w:val="none" w:sz="0" w:space="0" w:color="auto"/>
        <w:right w:val="none" w:sz="0" w:space="0" w:color="auto"/>
      </w:divBdr>
      <w:divsChild>
        <w:div w:id="890776101">
          <w:marLeft w:val="720"/>
          <w:marRight w:val="0"/>
          <w:marTop w:val="0"/>
          <w:marBottom w:val="0"/>
          <w:divBdr>
            <w:top w:val="none" w:sz="0" w:space="0" w:color="auto"/>
            <w:left w:val="none" w:sz="0" w:space="0" w:color="auto"/>
            <w:bottom w:val="none" w:sz="0" w:space="0" w:color="auto"/>
            <w:right w:val="none" w:sz="0" w:space="0" w:color="auto"/>
          </w:divBdr>
        </w:div>
        <w:div w:id="1088582202">
          <w:marLeft w:val="720"/>
          <w:marRight w:val="0"/>
          <w:marTop w:val="0"/>
          <w:marBottom w:val="0"/>
          <w:divBdr>
            <w:top w:val="none" w:sz="0" w:space="0" w:color="auto"/>
            <w:left w:val="none" w:sz="0" w:space="0" w:color="auto"/>
            <w:bottom w:val="none" w:sz="0" w:space="0" w:color="auto"/>
            <w:right w:val="none" w:sz="0" w:space="0" w:color="auto"/>
          </w:divBdr>
        </w:div>
        <w:div w:id="1158958334">
          <w:marLeft w:val="0"/>
          <w:marRight w:val="0"/>
          <w:marTop w:val="0"/>
          <w:marBottom w:val="0"/>
          <w:divBdr>
            <w:top w:val="none" w:sz="0" w:space="0" w:color="auto"/>
            <w:left w:val="none" w:sz="0" w:space="0" w:color="auto"/>
            <w:bottom w:val="none" w:sz="0" w:space="0" w:color="auto"/>
            <w:right w:val="none" w:sz="0" w:space="0" w:color="auto"/>
          </w:divBdr>
        </w:div>
        <w:div w:id="1165895261">
          <w:marLeft w:val="0"/>
          <w:marRight w:val="0"/>
          <w:marTop w:val="0"/>
          <w:marBottom w:val="0"/>
          <w:divBdr>
            <w:top w:val="none" w:sz="0" w:space="0" w:color="auto"/>
            <w:left w:val="none" w:sz="0" w:space="0" w:color="auto"/>
            <w:bottom w:val="none" w:sz="0" w:space="0" w:color="auto"/>
            <w:right w:val="none" w:sz="0" w:space="0" w:color="auto"/>
          </w:divBdr>
        </w:div>
        <w:div w:id="1307005633">
          <w:marLeft w:val="0"/>
          <w:marRight w:val="0"/>
          <w:marTop w:val="0"/>
          <w:marBottom w:val="0"/>
          <w:divBdr>
            <w:top w:val="none" w:sz="0" w:space="0" w:color="auto"/>
            <w:left w:val="none" w:sz="0" w:space="0" w:color="auto"/>
            <w:bottom w:val="none" w:sz="0" w:space="0" w:color="auto"/>
            <w:right w:val="none" w:sz="0" w:space="0" w:color="auto"/>
          </w:divBdr>
        </w:div>
        <w:div w:id="1767966112">
          <w:marLeft w:val="720"/>
          <w:marRight w:val="0"/>
          <w:marTop w:val="0"/>
          <w:marBottom w:val="0"/>
          <w:divBdr>
            <w:top w:val="none" w:sz="0" w:space="0" w:color="auto"/>
            <w:left w:val="none" w:sz="0" w:space="0" w:color="auto"/>
            <w:bottom w:val="none" w:sz="0" w:space="0" w:color="auto"/>
            <w:right w:val="none" w:sz="0" w:space="0" w:color="auto"/>
          </w:divBdr>
        </w:div>
      </w:divsChild>
    </w:div>
    <w:div w:id="1539778286">
      <w:bodyDiv w:val="1"/>
      <w:marLeft w:val="0"/>
      <w:marRight w:val="0"/>
      <w:marTop w:val="0"/>
      <w:marBottom w:val="0"/>
      <w:divBdr>
        <w:top w:val="none" w:sz="0" w:space="0" w:color="auto"/>
        <w:left w:val="none" w:sz="0" w:space="0" w:color="auto"/>
        <w:bottom w:val="none" w:sz="0" w:space="0" w:color="auto"/>
        <w:right w:val="none" w:sz="0" w:space="0" w:color="auto"/>
      </w:divBdr>
      <w:divsChild>
        <w:div w:id="795833794">
          <w:marLeft w:val="0"/>
          <w:marRight w:val="0"/>
          <w:marTop w:val="0"/>
          <w:marBottom w:val="0"/>
          <w:divBdr>
            <w:top w:val="none" w:sz="0" w:space="0" w:color="auto"/>
            <w:left w:val="none" w:sz="0" w:space="0" w:color="auto"/>
            <w:bottom w:val="none" w:sz="0" w:space="0" w:color="auto"/>
            <w:right w:val="none" w:sz="0" w:space="0" w:color="auto"/>
          </w:divBdr>
        </w:div>
        <w:div w:id="1369648925">
          <w:marLeft w:val="0"/>
          <w:marRight w:val="0"/>
          <w:marTop w:val="0"/>
          <w:marBottom w:val="0"/>
          <w:divBdr>
            <w:top w:val="none" w:sz="0" w:space="0" w:color="auto"/>
            <w:left w:val="none" w:sz="0" w:space="0" w:color="auto"/>
            <w:bottom w:val="none" w:sz="0" w:space="0" w:color="auto"/>
            <w:right w:val="none" w:sz="0" w:space="0" w:color="auto"/>
          </w:divBdr>
        </w:div>
        <w:div w:id="1680157990">
          <w:marLeft w:val="0"/>
          <w:marRight w:val="0"/>
          <w:marTop w:val="0"/>
          <w:marBottom w:val="0"/>
          <w:divBdr>
            <w:top w:val="none" w:sz="0" w:space="0" w:color="auto"/>
            <w:left w:val="none" w:sz="0" w:space="0" w:color="auto"/>
            <w:bottom w:val="none" w:sz="0" w:space="0" w:color="auto"/>
            <w:right w:val="none" w:sz="0" w:space="0" w:color="auto"/>
          </w:divBdr>
        </w:div>
        <w:div w:id="2025856521">
          <w:marLeft w:val="0"/>
          <w:marRight w:val="0"/>
          <w:marTop w:val="0"/>
          <w:marBottom w:val="0"/>
          <w:divBdr>
            <w:top w:val="none" w:sz="0" w:space="0" w:color="auto"/>
            <w:left w:val="none" w:sz="0" w:space="0" w:color="auto"/>
            <w:bottom w:val="none" w:sz="0" w:space="0" w:color="auto"/>
            <w:right w:val="none" w:sz="0" w:space="0" w:color="auto"/>
          </w:divBdr>
        </w:div>
      </w:divsChild>
    </w:div>
    <w:div w:id="1546402523">
      <w:bodyDiv w:val="1"/>
      <w:marLeft w:val="0"/>
      <w:marRight w:val="0"/>
      <w:marTop w:val="0"/>
      <w:marBottom w:val="0"/>
      <w:divBdr>
        <w:top w:val="none" w:sz="0" w:space="0" w:color="auto"/>
        <w:left w:val="none" w:sz="0" w:space="0" w:color="auto"/>
        <w:bottom w:val="none" w:sz="0" w:space="0" w:color="auto"/>
        <w:right w:val="none" w:sz="0" w:space="0" w:color="auto"/>
      </w:divBdr>
      <w:divsChild>
        <w:div w:id="64031833">
          <w:marLeft w:val="0"/>
          <w:marRight w:val="0"/>
          <w:marTop w:val="0"/>
          <w:marBottom w:val="0"/>
          <w:divBdr>
            <w:top w:val="none" w:sz="0" w:space="0" w:color="auto"/>
            <w:left w:val="none" w:sz="0" w:space="0" w:color="auto"/>
            <w:bottom w:val="none" w:sz="0" w:space="0" w:color="auto"/>
            <w:right w:val="none" w:sz="0" w:space="0" w:color="auto"/>
          </w:divBdr>
        </w:div>
        <w:div w:id="119038954">
          <w:marLeft w:val="720"/>
          <w:marRight w:val="0"/>
          <w:marTop w:val="0"/>
          <w:marBottom w:val="0"/>
          <w:divBdr>
            <w:top w:val="none" w:sz="0" w:space="0" w:color="auto"/>
            <w:left w:val="none" w:sz="0" w:space="0" w:color="auto"/>
            <w:bottom w:val="none" w:sz="0" w:space="0" w:color="auto"/>
            <w:right w:val="none" w:sz="0" w:space="0" w:color="auto"/>
          </w:divBdr>
        </w:div>
        <w:div w:id="365328768">
          <w:marLeft w:val="0"/>
          <w:marRight w:val="0"/>
          <w:marTop w:val="0"/>
          <w:marBottom w:val="0"/>
          <w:divBdr>
            <w:top w:val="none" w:sz="0" w:space="0" w:color="auto"/>
            <w:left w:val="none" w:sz="0" w:space="0" w:color="auto"/>
            <w:bottom w:val="none" w:sz="0" w:space="0" w:color="auto"/>
            <w:right w:val="none" w:sz="0" w:space="0" w:color="auto"/>
          </w:divBdr>
        </w:div>
        <w:div w:id="721487715">
          <w:marLeft w:val="720"/>
          <w:marRight w:val="0"/>
          <w:marTop w:val="0"/>
          <w:marBottom w:val="0"/>
          <w:divBdr>
            <w:top w:val="none" w:sz="0" w:space="0" w:color="auto"/>
            <w:left w:val="none" w:sz="0" w:space="0" w:color="auto"/>
            <w:bottom w:val="none" w:sz="0" w:space="0" w:color="auto"/>
            <w:right w:val="none" w:sz="0" w:space="0" w:color="auto"/>
          </w:divBdr>
        </w:div>
        <w:div w:id="849831081">
          <w:marLeft w:val="0"/>
          <w:marRight w:val="0"/>
          <w:marTop w:val="0"/>
          <w:marBottom w:val="0"/>
          <w:divBdr>
            <w:top w:val="none" w:sz="0" w:space="0" w:color="auto"/>
            <w:left w:val="none" w:sz="0" w:space="0" w:color="auto"/>
            <w:bottom w:val="none" w:sz="0" w:space="0" w:color="auto"/>
            <w:right w:val="none" w:sz="0" w:space="0" w:color="auto"/>
          </w:divBdr>
        </w:div>
        <w:div w:id="861435260">
          <w:marLeft w:val="720"/>
          <w:marRight w:val="0"/>
          <w:marTop w:val="0"/>
          <w:marBottom w:val="0"/>
          <w:divBdr>
            <w:top w:val="none" w:sz="0" w:space="0" w:color="auto"/>
            <w:left w:val="none" w:sz="0" w:space="0" w:color="auto"/>
            <w:bottom w:val="none" w:sz="0" w:space="0" w:color="auto"/>
            <w:right w:val="none" w:sz="0" w:space="0" w:color="auto"/>
          </w:divBdr>
        </w:div>
        <w:div w:id="972715022">
          <w:marLeft w:val="720"/>
          <w:marRight w:val="0"/>
          <w:marTop w:val="0"/>
          <w:marBottom w:val="0"/>
          <w:divBdr>
            <w:top w:val="none" w:sz="0" w:space="0" w:color="auto"/>
            <w:left w:val="none" w:sz="0" w:space="0" w:color="auto"/>
            <w:bottom w:val="none" w:sz="0" w:space="0" w:color="auto"/>
            <w:right w:val="none" w:sz="0" w:space="0" w:color="auto"/>
          </w:divBdr>
        </w:div>
        <w:div w:id="1084886365">
          <w:marLeft w:val="720"/>
          <w:marRight w:val="0"/>
          <w:marTop w:val="0"/>
          <w:marBottom w:val="0"/>
          <w:divBdr>
            <w:top w:val="none" w:sz="0" w:space="0" w:color="auto"/>
            <w:left w:val="none" w:sz="0" w:space="0" w:color="auto"/>
            <w:bottom w:val="none" w:sz="0" w:space="0" w:color="auto"/>
            <w:right w:val="none" w:sz="0" w:space="0" w:color="auto"/>
          </w:divBdr>
        </w:div>
        <w:div w:id="1135099739">
          <w:marLeft w:val="0"/>
          <w:marRight w:val="0"/>
          <w:marTop w:val="0"/>
          <w:marBottom w:val="0"/>
          <w:divBdr>
            <w:top w:val="none" w:sz="0" w:space="0" w:color="auto"/>
            <w:left w:val="none" w:sz="0" w:space="0" w:color="auto"/>
            <w:bottom w:val="none" w:sz="0" w:space="0" w:color="auto"/>
            <w:right w:val="none" w:sz="0" w:space="0" w:color="auto"/>
          </w:divBdr>
        </w:div>
        <w:div w:id="1157304477">
          <w:marLeft w:val="720"/>
          <w:marRight w:val="0"/>
          <w:marTop w:val="0"/>
          <w:marBottom w:val="0"/>
          <w:divBdr>
            <w:top w:val="none" w:sz="0" w:space="0" w:color="auto"/>
            <w:left w:val="none" w:sz="0" w:space="0" w:color="auto"/>
            <w:bottom w:val="none" w:sz="0" w:space="0" w:color="auto"/>
            <w:right w:val="none" w:sz="0" w:space="0" w:color="auto"/>
          </w:divBdr>
        </w:div>
        <w:div w:id="1183784580">
          <w:marLeft w:val="720"/>
          <w:marRight w:val="0"/>
          <w:marTop w:val="0"/>
          <w:marBottom w:val="0"/>
          <w:divBdr>
            <w:top w:val="none" w:sz="0" w:space="0" w:color="auto"/>
            <w:left w:val="none" w:sz="0" w:space="0" w:color="auto"/>
            <w:bottom w:val="none" w:sz="0" w:space="0" w:color="auto"/>
            <w:right w:val="none" w:sz="0" w:space="0" w:color="auto"/>
          </w:divBdr>
        </w:div>
        <w:div w:id="1187016018">
          <w:marLeft w:val="720"/>
          <w:marRight w:val="0"/>
          <w:marTop w:val="0"/>
          <w:marBottom w:val="0"/>
          <w:divBdr>
            <w:top w:val="none" w:sz="0" w:space="0" w:color="auto"/>
            <w:left w:val="none" w:sz="0" w:space="0" w:color="auto"/>
            <w:bottom w:val="none" w:sz="0" w:space="0" w:color="auto"/>
            <w:right w:val="none" w:sz="0" w:space="0" w:color="auto"/>
          </w:divBdr>
        </w:div>
        <w:div w:id="1475678885">
          <w:marLeft w:val="0"/>
          <w:marRight w:val="0"/>
          <w:marTop w:val="0"/>
          <w:marBottom w:val="0"/>
          <w:divBdr>
            <w:top w:val="none" w:sz="0" w:space="0" w:color="auto"/>
            <w:left w:val="none" w:sz="0" w:space="0" w:color="auto"/>
            <w:bottom w:val="none" w:sz="0" w:space="0" w:color="auto"/>
            <w:right w:val="none" w:sz="0" w:space="0" w:color="auto"/>
          </w:divBdr>
        </w:div>
        <w:div w:id="1530878395">
          <w:marLeft w:val="720"/>
          <w:marRight w:val="0"/>
          <w:marTop w:val="0"/>
          <w:marBottom w:val="0"/>
          <w:divBdr>
            <w:top w:val="none" w:sz="0" w:space="0" w:color="auto"/>
            <w:left w:val="none" w:sz="0" w:space="0" w:color="auto"/>
            <w:bottom w:val="none" w:sz="0" w:space="0" w:color="auto"/>
            <w:right w:val="none" w:sz="0" w:space="0" w:color="auto"/>
          </w:divBdr>
        </w:div>
        <w:div w:id="1537933616">
          <w:marLeft w:val="0"/>
          <w:marRight w:val="0"/>
          <w:marTop w:val="0"/>
          <w:marBottom w:val="0"/>
          <w:divBdr>
            <w:top w:val="none" w:sz="0" w:space="0" w:color="auto"/>
            <w:left w:val="none" w:sz="0" w:space="0" w:color="auto"/>
            <w:bottom w:val="none" w:sz="0" w:space="0" w:color="auto"/>
            <w:right w:val="none" w:sz="0" w:space="0" w:color="auto"/>
          </w:divBdr>
        </w:div>
        <w:div w:id="1643347902">
          <w:marLeft w:val="720"/>
          <w:marRight w:val="0"/>
          <w:marTop w:val="0"/>
          <w:marBottom w:val="0"/>
          <w:divBdr>
            <w:top w:val="none" w:sz="0" w:space="0" w:color="auto"/>
            <w:left w:val="none" w:sz="0" w:space="0" w:color="auto"/>
            <w:bottom w:val="none" w:sz="0" w:space="0" w:color="auto"/>
            <w:right w:val="none" w:sz="0" w:space="0" w:color="auto"/>
          </w:divBdr>
        </w:div>
        <w:div w:id="1768040744">
          <w:marLeft w:val="720"/>
          <w:marRight w:val="0"/>
          <w:marTop w:val="0"/>
          <w:marBottom w:val="0"/>
          <w:divBdr>
            <w:top w:val="none" w:sz="0" w:space="0" w:color="auto"/>
            <w:left w:val="none" w:sz="0" w:space="0" w:color="auto"/>
            <w:bottom w:val="none" w:sz="0" w:space="0" w:color="auto"/>
            <w:right w:val="none" w:sz="0" w:space="0" w:color="auto"/>
          </w:divBdr>
        </w:div>
        <w:div w:id="1788237338">
          <w:marLeft w:val="720"/>
          <w:marRight w:val="0"/>
          <w:marTop w:val="0"/>
          <w:marBottom w:val="0"/>
          <w:divBdr>
            <w:top w:val="none" w:sz="0" w:space="0" w:color="auto"/>
            <w:left w:val="none" w:sz="0" w:space="0" w:color="auto"/>
            <w:bottom w:val="none" w:sz="0" w:space="0" w:color="auto"/>
            <w:right w:val="none" w:sz="0" w:space="0" w:color="auto"/>
          </w:divBdr>
        </w:div>
        <w:div w:id="1886411661">
          <w:marLeft w:val="720"/>
          <w:marRight w:val="0"/>
          <w:marTop w:val="0"/>
          <w:marBottom w:val="0"/>
          <w:divBdr>
            <w:top w:val="none" w:sz="0" w:space="0" w:color="auto"/>
            <w:left w:val="none" w:sz="0" w:space="0" w:color="auto"/>
            <w:bottom w:val="none" w:sz="0" w:space="0" w:color="auto"/>
            <w:right w:val="none" w:sz="0" w:space="0" w:color="auto"/>
          </w:divBdr>
        </w:div>
        <w:div w:id="2007048570">
          <w:marLeft w:val="0"/>
          <w:marRight w:val="0"/>
          <w:marTop w:val="0"/>
          <w:marBottom w:val="0"/>
          <w:divBdr>
            <w:top w:val="none" w:sz="0" w:space="0" w:color="auto"/>
            <w:left w:val="none" w:sz="0" w:space="0" w:color="auto"/>
            <w:bottom w:val="none" w:sz="0" w:space="0" w:color="auto"/>
            <w:right w:val="none" w:sz="0" w:space="0" w:color="auto"/>
          </w:divBdr>
        </w:div>
        <w:div w:id="2120251684">
          <w:marLeft w:val="720"/>
          <w:marRight w:val="0"/>
          <w:marTop w:val="0"/>
          <w:marBottom w:val="0"/>
          <w:divBdr>
            <w:top w:val="none" w:sz="0" w:space="0" w:color="auto"/>
            <w:left w:val="none" w:sz="0" w:space="0" w:color="auto"/>
            <w:bottom w:val="none" w:sz="0" w:space="0" w:color="auto"/>
            <w:right w:val="none" w:sz="0" w:space="0" w:color="auto"/>
          </w:divBdr>
        </w:div>
      </w:divsChild>
    </w:div>
    <w:div w:id="1565604787">
      <w:bodyDiv w:val="1"/>
      <w:marLeft w:val="0"/>
      <w:marRight w:val="0"/>
      <w:marTop w:val="0"/>
      <w:marBottom w:val="0"/>
      <w:divBdr>
        <w:top w:val="none" w:sz="0" w:space="0" w:color="auto"/>
        <w:left w:val="none" w:sz="0" w:space="0" w:color="auto"/>
        <w:bottom w:val="none" w:sz="0" w:space="0" w:color="auto"/>
        <w:right w:val="none" w:sz="0" w:space="0" w:color="auto"/>
      </w:divBdr>
    </w:div>
    <w:div w:id="1610894320">
      <w:bodyDiv w:val="1"/>
      <w:marLeft w:val="0"/>
      <w:marRight w:val="0"/>
      <w:marTop w:val="0"/>
      <w:marBottom w:val="0"/>
      <w:divBdr>
        <w:top w:val="none" w:sz="0" w:space="0" w:color="auto"/>
        <w:left w:val="none" w:sz="0" w:space="0" w:color="auto"/>
        <w:bottom w:val="none" w:sz="0" w:space="0" w:color="auto"/>
        <w:right w:val="none" w:sz="0" w:space="0" w:color="auto"/>
      </w:divBdr>
      <w:divsChild>
        <w:div w:id="522012520">
          <w:marLeft w:val="0"/>
          <w:marRight w:val="0"/>
          <w:marTop w:val="0"/>
          <w:marBottom w:val="0"/>
          <w:divBdr>
            <w:top w:val="none" w:sz="0" w:space="0" w:color="auto"/>
            <w:left w:val="none" w:sz="0" w:space="0" w:color="auto"/>
            <w:bottom w:val="none" w:sz="0" w:space="0" w:color="auto"/>
            <w:right w:val="none" w:sz="0" w:space="0" w:color="auto"/>
          </w:divBdr>
        </w:div>
        <w:div w:id="804390828">
          <w:marLeft w:val="720"/>
          <w:marRight w:val="0"/>
          <w:marTop w:val="0"/>
          <w:marBottom w:val="0"/>
          <w:divBdr>
            <w:top w:val="none" w:sz="0" w:space="0" w:color="auto"/>
            <w:left w:val="none" w:sz="0" w:space="0" w:color="auto"/>
            <w:bottom w:val="none" w:sz="0" w:space="0" w:color="auto"/>
            <w:right w:val="none" w:sz="0" w:space="0" w:color="auto"/>
          </w:divBdr>
        </w:div>
        <w:div w:id="1959676594">
          <w:marLeft w:val="720"/>
          <w:marRight w:val="0"/>
          <w:marTop w:val="0"/>
          <w:marBottom w:val="0"/>
          <w:divBdr>
            <w:top w:val="none" w:sz="0" w:space="0" w:color="auto"/>
            <w:left w:val="none" w:sz="0" w:space="0" w:color="auto"/>
            <w:bottom w:val="none" w:sz="0" w:space="0" w:color="auto"/>
            <w:right w:val="none" w:sz="0" w:space="0" w:color="auto"/>
          </w:divBdr>
        </w:div>
      </w:divsChild>
    </w:div>
    <w:div w:id="1629119148">
      <w:bodyDiv w:val="1"/>
      <w:marLeft w:val="0"/>
      <w:marRight w:val="0"/>
      <w:marTop w:val="0"/>
      <w:marBottom w:val="0"/>
      <w:divBdr>
        <w:top w:val="none" w:sz="0" w:space="0" w:color="auto"/>
        <w:left w:val="none" w:sz="0" w:space="0" w:color="auto"/>
        <w:bottom w:val="none" w:sz="0" w:space="0" w:color="auto"/>
        <w:right w:val="none" w:sz="0" w:space="0" w:color="auto"/>
      </w:divBdr>
      <w:divsChild>
        <w:div w:id="22095190">
          <w:marLeft w:val="0"/>
          <w:marRight w:val="0"/>
          <w:marTop w:val="0"/>
          <w:marBottom w:val="0"/>
          <w:divBdr>
            <w:top w:val="none" w:sz="0" w:space="0" w:color="auto"/>
            <w:left w:val="none" w:sz="0" w:space="0" w:color="auto"/>
            <w:bottom w:val="none" w:sz="0" w:space="0" w:color="auto"/>
            <w:right w:val="none" w:sz="0" w:space="0" w:color="auto"/>
          </w:divBdr>
        </w:div>
        <w:div w:id="319384272">
          <w:marLeft w:val="0"/>
          <w:marRight w:val="0"/>
          <w:marTop w:val="0"/>
          <w:marBottom w:val="0"/>
          <w:divBdr>
            <w:top w:val="none" w:sz="0" w:space="0" w:color="auto"/>
            <w:left w:val="none" w:sz="0" w:space="0" w:color="auto"/>
            <w:bottom w:val="none" w:sz="0" w:space="0" w:color="auto"/>
            <w:right w:val="none" w:sz="0" w:space="0" w:color="auto"/>
          </w:divBdr>
        </w:div>
        <w:div w:id="319433615">
          <w:marLeft w:val="0"/>
          <w:marRight w:val="0"/>
          <w:marTop w:val="0"/>
          <w:marBottom w:val="0"/>
          <w:divBdr>
            <w:top w:val="none" w:sz="0" w:space="0" w:color="auto"/>
            <w:left w:val="none" w:sz="0" w:space="0" w:color="auto"/>
            <w:bottom w:val="none" w:sz="0" w:space="0" w:color="auto"/>
            <w:right w:val="none" w:sz="0" w:space="0" w:color="auto"/>
          </w:divBdr>
        </w:div>
        <w:div w:id="561795233">
          <w:marLeft w:val="0"/>
          <w:marRight w:val="0"/>
          <w:marTop w:val="0"/>
          <w:marBottom w:val="0"/>
          <w:divBdr>
            <w:top w:val="none" w:sz="0" w:space="0" w:color="auto"/>
            <w:left w:val="none" w:sz="0" w:space="0" w:color="auto"/>
            <w:bottom w:val="none" w:sz="0" w:space="0" w:color="auto"/>
            <w:right w:val="none" w:sz="0" w:space="0" w:color="auto"/>
          </w:divBdr>
        </w:div>
        <w:div w:id="592125652">
          <w:marLeft w:val="0"/>
          <w:marRight w:val="0"/>
          <w:marTop w:val="0"/>
          <w:marBottom w:val="0"/>
          <w:divBdr>
            <w:top w:val="none" w:sz="0" w:space="0" w:color="auto"/>
            <w:left w:val="none" w:sz="0" w:space="0" w:color="auto"/>
            <w:bottom w:val="none" w:sz="0" w:space="0" w:color="auto"/>
            <w:right w:val="none" w:sz="0" w:space="0" w:color="auto"/>
          </w:divBdr>
        </w:div>
        <w:div w:id="611985131">
          <w:marLeft w:val="0"/>
          <w:marRight w:val="0"/>
          <w:marTop w:val="0"/>
          <w:marBottom w:val="0"/>
          <w:divBdr>
            <w:top w:val="none" w:sz="0" w:space="0" w:color="auto"/>
            <w:left w:val="none" w:sz="0" w:space="0" w:color="auto"/>
            <w:bottom w:val="none" w:sz="0" w:space="0" w:color="auto"/>
            <w:right w:val="none" w:sz="0" w:space="0" w:color="auto"/>
          </w:divBdr>
        </w:div>
        <w:div w:id="621158622">
          <w:marLeft w:val="0"/>
          <w:marRight w:val="0"/>
          <w:marTop w:val="0"/>
          <w:marBottom w:val="0"/>
          <w:divBdr>
            <w:top w:val="none" w:sz="0" w:space="0" w:color="auto"/>
            <w:left w:val="none" w:sz="0" w:space="0" w:color="auto"/>
            <w:bottom w:val="none" w:sz="0" w:space="0" w:color="auto"/>
            <w:right w:val="none" w:sz="0" w:space="0" w:color="auto"/>
          </w:divBdr>
        </w:div>
        <w:div w:id="796266713">
          <w:marLeft w:val="0"/>
          <w:marRight w:val="0"/>
          <w:marTop w:val="0"/>
          <w:marBottom w:val="0"/>
          <w:divBdr>
            <w:top w:val="none" w:sz="0" w:space="0" w:color="auto"/>
            <w:left w:val="none" w:sz="0" w:space="0" w:color="auto"/>
            <w:bottom w:val="none" w:sz="0" w:space="0" w:color="auto"/>
            <w:right w:val="none" w:sz="0" w:space="0" w:color="auto"/>
          </w:divBdr>
        </w:div>
        <w:div w:id="819031329">
          <w:marLeft w:val="0"/>
          <w:marRight w:val="0"/>
          <w:marTop w:val="0"/>
          <w:marBottom w:val="0"/>
          <w:divBdr>
            <w:top w:val="none" w:sz="0" w:space="0" w:color="auto"/>
            <w:left w:val="none" w:sz="0" w:space="0" w:color="auto"/>
            <w:bottom w:val="none" w:sz="0" w:space="0" w:color="auto"/>
            <w:right w:val="none" w:sz="0" w:space="0" w:color="auto"/>
          </w:divBdr>
        </w:div>
        <w:div w:id="926766574">
          <w:marLeft w:val="0"/>
          <w:marRight w:val="0"/>
          <w:marTop w:val="0"/>
          <w:marBottom w:val="0"/>
          <w:divBdr>
            <w:top w:val="none" w:sz="0" w:space="0" w:color="auto"/>
            <w:left w:val="none" w:sz="0" w:space="0" w:color="auto"/>
            <w:bottom w:val="none" w:sz="0" w:space="0" w:color="auto"/>
            <w:right w:val="none" w:sz="0" w:space="0" w:color="auto"/>
          </w:divBdr>
        </w:div>
        <w:div w:id="927925142">
          <w:marLeft w:val="0"/>
          <w:marRight w:val="0"/>
          <w:marTop w:val="0"/>
          <w:marBottom w:val="0"/>
          <w:divBdr>
            <w:top w:val="none" w:sz="0" w:space="0" w:color="auto"/>
            <w:left w:val="none" w:sz="0" w:space="0" w:color="auto"/>
            <w:bottom w:val="none" w:sz="0" w:space="0" w:color="auto"/>
            <w:right w:val="none" w:sz="0" w:space="0" w:color="auto"/>
          </w:divBdr>
        </w:div>
        <w:div w:id="1014766965">
          <w:marLeft w:val="0"/>
          <w:marRight w:val="0"/>
          <w:marTop w:val="0"/>
          <w:marBottom w:val="0"/>
          <w:divBdr>
            <w:top w:val="none" w:sz="0" w:space="0" w:color="auto"/>
            <w:left w:val="none" w:sz="0" w:space="0" w:color="auto"/>
            <w:bottom w:val="none" w:sz="0" w:space="0" w:color="auto"/>
            <w:right w:val="none" w:sz="0" w:space="0" w:color="auto"/>
          </w:divBdr>
        </w:div>
        <w:div w:id="1040935532">
          <w:marLeft w:val="0"/>
          <w:marRight w:val="0"/>
          <w:marTop w:val="0"/>
          <w:marBottom w:val="0"/>
          <w:divBdr>
            <w:top w:val="none" w:sz="0" w:space="0" w:color="auto"/>
            <w:left w:val="none" w:sz="0" w:space="0" w:color="auto"/>
            <w:bottom w:val="none" w:sz="0" w:space="0" w:color="auto"/>
            <w:right w:val="none" w:sz="0" w:space="0" w:color="auto"/>
          </w:divBdr>
        </w:div>
        <w:div w:id="1103378879">
          <w:marLeft w:val="0"/>
          <w:marRight w:val="0"/>
          <w:marTop w:val="0"/>
          <w:marBottom w:val="0"/>
          <w:divBdr>
            <w:top w:val="none" w:sz="0" w:space="0" w:color="auto"/>
            <w:left w:val="none" w:sz="0" w:space="0" w:color="auto"/>
            <w:bottom w:val="none" w:sz="0" w:space="0" w:color="auto"/>
            <w:right w:val="none" w:sz="0" w:space="0" w:color="auto"/>
          </w:divBdr>
        </w:div>
        <w:div w:id="1145777878">
          <w:marLeft w:val="0"/>
          <w:marRight w:val="0"/>
          <w:marTop w:val="0"/>
          <w:marBottom w:val="0"/>
          <w:divBdr>
            <w:top w:val="none" w:sz="0" w:space="0" w:color="auto"/>
            <w:left w:val="none" w:sz="0" w:space="0" w:color="auto"/>
            <w:bottom w:val="none" w:sz="0" w:space="0" w:color="auto"/>
            <w:right w:val="none" w:sz="0" w:space="0" w:color="auto"/>
          </w:divBdr>
        </w:div>
        <w:div w:id="1215577254">
          <w:marLeft w:val="0"/>
          <w:marRight w:val="0"/>
          <w:marTop w:val="0"/>
          <w:marBottom w:val="0"/>
          <w:divBdr>
            <w:top w:val="none" w:sz="0" w:space="0" w:color="auto"/>
            <w:left w:val="none" w:sz="0" w:space="0" w:color="auto"/>
            <w:bottom w:val="none" w:sz="0" w:space="0" w:color="auto"/>
            <w:right w:val="none" w:sz="0" w:space="0" w:color="auto"/>
          </w:divBdr>
        </w:div>
        <w:div w:id="1312099237">
          <w:marLeft w:val="0"/>
          <w:marRight w:val="0"/>
          <w:marTop w:val="0"/>
          <w:marBottom w:val="0"/>
          <w:divBdr>
            <w:top w:val="none" w:sz="0" w:space="0" w:color="auto"/>
            <w:left w:val="none" w:sz="0" w:space="0" w:color="auto"/>
            <w:bottom w:val="none" w:sz="0" w:space="0" w:color="auto"/>
            <w:right w:val="none" w:sz="0" w:space="0" w:color="auto"/>
          </w:divBdr>
        </w:div>
        <w:div w:id="1317220456">
          <w:marLeft w:val="0"/>
          <w:marRight w:val="0"/>
          <w:marTop w:val="0"/>
          <w:marBottom w:val="0"/>
          <w:divBdr>
            <w:top w:val="none" w:sz="0" w:space="0" w:color="auto"/>
            <w:left w:val="none" w:sz="0" w:space="0" w:color="auto"/>
            <w:bottom w:val="none" w:sz="0" w:space="0" w:color="auto"/>
            <w:right w:val="none" w:sz="0" w:space="0" w:color="auto"/>
          </w:divBdr>
        </w:div>
        <w:div w:id="1432044023">
          <w:marLeft w:val="0"/>
          <w:marRight w:val="0"/>
          <w:marTop w:val="0"/>
          <w:marBottom w:val="0"/>
          <w:divBdr>
            <w:top w:val="none" w:sz="0" w:space="0" w:color="auto"/>
            <w:left w:val="none" w:sz="0" w:space="0" w:color="auto"/>
            <w:bottom w:val="none" w:sz="0" w:space="0" w:color="auto"/>
            <w:right w:val="none" w:sz="0" w:space="0" w:color="auto"/>
          </w:divBdr>
        </w:div>
        <w:div w:id="1539004525">
          <w:marLeft w:val="0"/>
          <w:marRight w:val="0"/>
          <w:marTop w:val="0"/>
          <w:marBottom w:val="0"/>
          <w:divBdr>
            <w:top w:val="none" w:sz="0" w:space="0" w:color="auto"/>
            <w:left w:val="none" w:sz="0" w:space="0" w:color="auto"/>
            <w:bottom w:val="none" w:sz="0" w:space="0" w:color="auto"/>
            <w:right w:val="none" w:sz="0" w:space="0" w:color="auto"/>
          </w:divBdr>
        </w:div>
        <w:div w:id="1577593348">
          <w:marLeft w:val="0"/>
          <w:marRight w:val="0"/>
          <w:marTop w:val="0"/>
          <w:marBottom w:val="0"/>
          <w:divBdr>
            <w:top w:val="none" w:sz="0" w:space="0" w:color="auto"/>
            <w:left w:val="none" w:sz="0" w:space="0" w:color="auto"/>
            <w:bottom w:val="none" w:sz="0" w:space="0" w:color="auto"/>
            <w:right w:val="none" w:sz="0" w:space="0" w:color="auto"/>
          </w:divBdr>
        </w:div>
        <w:div w:id="1653026044">
          <w:marLeft w:val="0"/>
          <w:marRight w:val="0"/>
          <w:marTop w:val="0"/>
          <w:marBottom w:val="0"/>
          <w:divBdr>
            <w:top w:val="none" w:sz="0" w:space="0" w:color="auto"/>
            <w:left w:val="none" w:sz="0" w:space="0" w:color="auto"/>
            <w:bottom w:val="none" w:sz="0" w:space="0" w:color="auto"/>
            <w:right w:val="none" w:sz="0" w:space="0" w:color="auto"/>
          </w:divBdr>
        </w:div>
        <w:div w:id="1865055889">
          <w:marLeft w:val="0"/>
          <w:marRight w:val="0"/>
          <w:marTop w:val="0"/>
          <w:marBottom w:val="0"/>
          <w:divBdr>
            <w:top w:val="none" w:sz="0" w:space="0" w:color="auto"/>
            <w:left w:val="none" w:sz="0" w:space="0" w:color="auto"/>
            <w:bottom w:val="none" w:sz="0" w:space="0" w:color="auto"/>
            <w:right w:val="none" w:sz="0" w:space="0" w:color="auto"/>
          </w:divBdr>
        </w:div>
        <w:div w:id="1936162106">
          <w:marLeft w:val="0"/>
          <w:marRight w:val="0"/>
          <w:marTop w:val="0"/>
          <w:marBottom w:val="0"/>
          <w:divBdr>
            <w:top w:val="none" w:sz="0" w:space="0" w:color="auto"/>
            <w:left w:val="none" w:sz="0" w:space="0" w:color="auto"/>
            <w:bottom w:val="none" w:sz="0" w:space="0" w:color="auto"/>
            <w:right w:val="none" w:sz="0" w:space="0" w:color="auto"/>
          </w:divBdr>
        </w:div>
        <w:div w:id="2130707988">
          <w:marLeft w:val="0"/>
          <w:marRight w:val="0"/>
          <w:marTop w:val="0"/>
          <w:marBottom w:val="0"/>
          <w:divBdr>
            <w:top w:val="none" w:sz="0" w:space="0" w:color="auto"/>
            <w:left w:val="none" w:sz="0" w:space="0" w:color="auto"/>
            <w:bottom w:val="none" w:sz="0" w:space="0" w:color="auto"/>
            <w:right w:val="none" w:sz="0" w:space="0" w:color="auto"/>
          </w:divBdr>
        </w:div>
      </w:divsChild>
    </w:div>
    <w:div w:id="1631323057">
      <w:bodyDiv w:val="1"/>
      <w:marLeft w:val="0"/>
      <w:marRight w:val="0"/>
      <w:marTop w:val="0"/>
      <w:marBottom w:val="0"/>
      <w:divBdr>
        <w:top w:val="none" w:sz="0" w:space="0" w:color="auto"/>
        <w:left w:val="none" w:sz="0" w:space="0" w:color="auto"/>
        <w:bottom w:val="none" w:sz="0" w:space="0" w:color="auto"/>
        <w:right w:val="none" w:sz="0" w:space="0" w:color="auto"/>
      </w:divBdr>
      <w:divsChild>
        <w:div w:id="13386743">
          <w:marLeft w:val="0"/>
          <w:marRight w:val="0"/>
          <w:marTop w:val="0"/>
          <w:marBottom w:val="0"/>
          <w:divBdr>
            <w:top w:val="none" w:sz="0" w:space="0" w:color="auto"/>
            <w:left w:val="none" w:sz="0" w:space="0" w:color="auto"/>
            <w:bottom w:val="none" w:sz="0" w:space="0" w:color="auto"/>
            <w:right w:val="none" w:sz="0" w:space="0" w:color="auto"/>
          </w:divBdr>
        </w:div>
        <w:div w:id="1834418445">
          <w:marLeft w:val="0"/>
          <w:marRight w:val="0"/>
          <w:marTop w:val="0"/>
          <w:marBottom w:val="0"/>
          <w:divBdr>
            <w:top w:val="none" w:sz="0" w:space="0" w:color="auto"/>
            <w:left w:val="none" w:sz="0" w:space="0" w:color="auto"/>
            <w:bottom w:val="none" w:sz="0" w:space="0" w:color="auto"/>
            <w:right w:val="none" w:sz="0" w:space="0" w:color="auto"/>
          </w:divBdr>
        </w:div>
      </w:divsChild>
    </w:div>
    <w:div w:id="1639337489">
      <w:bodyDiv w:val="1"/>
      <w:marLeft w:val="0"/>
      <w:marRight w:val="0"/>
      <w:marTop w:val="0"/>
      <w:marBottom w:val="0"/>
      <w:divBdr>
        <w:top w:val="none" w:sz="0" w:space="0" w:color="auto"/>
        <w:left w:val="none" w:sz="0" w:space="0" w:color="auto"/>
        <w:bottom w:val="none" w:sz="0" w:space="0" w:color="auto"/>
        <w:right w:val="none" w:sz="0" w:space="0" w:color="auto"/>
      </w:divBdr>
      <w:divsChild>
        <w:div w:id="16546930">
          <w:marLeft w:val="0"/>
          <w:marRight w:val="0"/>
          <w:marTop w:val="0"/>
          <w:marBottom w:val="0"/>
          <w:divBdr>
            <w:top w:val="none" w:sz="0" w:space="0" w:color="auto"/>
            <w:left w:val="none" w:sz="0" w:space="0" w:color="auto"/>
            <w:bottom w:val="none" w:sz="0" w:space="0" w:color="auto"/>
            <w:right w:val="none" w:sz="0" w:space="0" w:color="auto"/>
          </w:divBdr>
        </w:div>
        <w:div w:id="83574384">
          <w:marLeft w:val="0"/>
          <w:marRight w:val="0"/>
          <w:marTop w:val="0"/>
          <w:marBottom w:val="0"/>
          <w:divBdr>
            <w:top w:val="none" w:sz="0" w:space="0" w:color="auto"/>
            <w:left w:val="none" w:sz="0" w:space="0" w:color="auto"/>
            <w:bottom w:val="none" w:sz="0" w:space="0" w:color="auto"/>
            <w:right w:val="none" w:sz="0" w:space="0" w:color="auto"/>
          </w:divBdr>
        </w:div>
        <w:div w:id="87509228">
          <w:marLeft w:val="0"/>
          <w:marRight w:val="0"/>
          <w:marTop w:val="0"/>
          <w:marBottom w:val="0"/>
          <w:divBdr>
            <w:top w:val="none" w:sz="0" w:space="0" w:color="auto"/>
            <w:left w:val="none" w:sz="0" w:space="0" w:color="auto"/>
            <w:bottom w:val="none" w:sz="0" w:space="0" w:color="auto"/>
            <w:right w:val="none" w:sz="0" w:space="0" w:color="auto"/>
          </w:divBdr>
        </w:div>
        <w:div w:id="360974992">
          <w:marLeft w:val="0"/>
          <w:marRight w:val="0"/>
          <w:marTop w:val="0"/>
          <w:marBottom w:val="0"/>
          <w:divBdr>
            <w:top w:val="none" w:sz="0" w:space="0" w:color="auto"/>
            <w:left w:val="none" w:sz="0" w:space="0" w:color="auto"/>
            <w:bottom w:val="none" w:sz="0" w:space="0" w:color="auto"/>
            <w:right w:val="none" w:sz="0" w:space="0" w:color="auto"/>
          </w:divBdr>
        </w:div>
        <w:div w:id="374962316">
          <w:marLeft w:val="0"/>
          <w:marRight w:val="0"/>
          <w:marTop w:val="0"/>
          <w:marBottom w:val="0"/>
          <w:divBdr>
            <w:top w:val="none" w:sz="0" w:space="0" w:color="auto"/>
            <w:left w:val="none" w:sz="0" w:space="0" w:color="auto"/>
            <w:bottom w:val="none" w:sz="0" w:space="0" w:color="auto"/>
            <w:right w:val="none" w:sz="0" w:space="0" w:color="auto"/>
          </w:divBdr>
        </w:div>
        <w:div w:id="487938162">
          <w:marLeft w:val="0"/>
          <w:marRight w:val="0"/>
          <w:marTop w:val="0"/>
          <w:marBottom w:val="0"/>
          <w:divBdr>
            <w:top w:val="none" w:sz="0" w:space="0" w:color="auto"/>
            <w:left w:val="none" w:sz="0" w:space="0" w:color="auto"/>
            <w:bottom w:val="none" w:sz="0" w:space="0" w:color="auto"/>
            <w:right w:val="none" w:sz="0" w:space="0" w:color="auto"/>
          </w:divBdr>
        </w:div>
        <w:div w:id="550842841">
          <w:marLeft w:val="0"/>
          <w:marRight w:val="0"/>
          <w:marTop w:val="0"/>
          <w:marBottom w:val="0"/>
          <w:divBdr>
            <w:top w:val="none" w:sz="0" w:space="0" w:color="auto"/>
            <w:left w:val="none" w:sz="0" w:space="0" w:color="auto"/>
            <w:bottom w:val="none" w:sz="0" w:space="0" w:color="auto"/>
            <w:right w:val="none" w:sz="0" w:space="0" w:color="auto"/>
          </w:divBdr>
        </w:div>
        <w:div w:id="604918539">
          <w:marLeft w:val="0"/>
          <w:marRight w:val="0"/>
          <w:marTop w:val="0"/>
          <w:marBottom w:val="0"/>
          <w:divBdr>
            <w:top w:val="none" w:sz="0" w:space="0" w:color="auto"/>
            <w:left w:val="none" w:sz="0" w:space="0" w:color="auto"/>
            <w:bottom w:val="none" w:sz="0" w:space="0" w:color="auto"/>
            <w:right w:val="none" w:sz="0" w:space="0" w:color="auto"/>
          </w:divBdr>
        </w:div>
        <w:div w:id="638222067">
          <w:marLeft w:val="0"/>
          <w:marRight w:val="0"/>
          <w:marTop w:val="0"/>
          <w:marBottom w:val="0"/>
          <w:divBdr>
            <w:top w:val="none" w:sz="0" w:space="0" w:color="auto"/>
            <w:left w:val="none" w:sz="0" w:space="0" w:color="auto"/>
            <w:bottom w:val="none" w:sz="0" w:space="0" w:color="auto"/>
            <w:right w:val="none" w:sz="0" w:space="0" w:color="auto"/>
          </w:divBdr>
        </w:div>
        <w:div w:id="683822466">
          <w:marLeft w:val="0"/>
          <w:marRight w:val="0"/>
          <w:marTop w:val="0"/>
          <w:marBottom w:val="0"/>
          <w:divBdr>
            <w:top w:val="none" w:sz="0" w:space="0" w:color="auto"/>
            <w:left w:val="none" w:sz="0" w:space="0" w:color="auto"/>
            <w:bottom w:val="none" w:sz="0" w:space="0" w:color="auto"/>
            <w:right w:val="none" w:sz="0" w:space="0" w:color="auto"/>
          </w:divBdr>
        </w:div>
        <w:div w:id="712001464">
          <w:marLeft w:val="0"/>
          <w:marRight w:val="0"/>
          <w:marTop w:val="0"/>
          <w:marBottom w:val="0"/>
          <w:divBdr>
            <w:top w:val="none" w:sz="0" w:space="0" w:color="auto"/>
            <w:left w:val="none" w:sz="0" w:space="0" w:color="auto"/>
            <w:bottom w:val="none" w:sz="0" w:space="0" w:color="auto"/>
            <w:right w:val="none" w:sz="0" w:space="0" w:color="auto"/>
          </w:divBdr>
        </w:div>
        <w:div w:id="727339620">
          <w:marLeft w:val="0"/>
          <w:marRight w:val="0"/>
          <w:marTop w:val="0"/>
          <w:marBottom w:val="0"/>
          <w:divBdr>
            <w:top w:val="none" w:sz="0" w:space="0" w:color="auto"/>
            <w:left w:val="none" w:sz="0" w:space="0" w:color="auto"/>
            <w:bottom w:val="none" w:sz="0" w:space="0" w:color="auto"/>
            <w:right w:val="none" w:sz="0" w:space="0" w:color="auto"/>
          </w:divBdr>
        </w:div>
        <w:div w:id="755632114">
          <w:marLeft w:val="0"/>
          <w:marRight w:val="0"/>
          <w:marTop w:val="0"/>
          <w:marBottom w:val="0"/>
          <w:divBdr>
            <w:top w:val="none" w:sz="0" w:space="0" w:color="auto"/>
            <w:left w:val="none" w:sz="0" w:space="0" w:color="auto"/>
            <w:bottom w:val="none" w:sz="0" w:space="0" w:color="auto"/>
            <w:right w:val="none" w:sz="0" w:space="0" w:color="auto"/>
          </w:divBdr>
        </w:div>
        <w:div w:id="908081684">
          <w:marLeft w:val="0"/>
          <w:marRight w:val="0"/>
          <w:marTop w:val="0"/>
          <w:marBottom w:val="0"/>
          <w:divBdr>
            <w:top w:val="none" w:sz="0" w:space="0" w:color="auto"/>
            <w:left w:val="none" w:sz="0" w:space="0" w:color="auto"/>
            <w:bottom w:val="none" w:sz="0" w:space="0" w:color="auto"/>
            <w:right w:val="none" w:sz="0" w:space="0" w:color="auto"/>
          </w:divBdr>
        </w:div>
        <w:div w:id="960965104">
          <w:marLeft w:val="0"/>
          <w:marRight w:val="0"/>
          <w:marTop w:val="0"/>
          <w:marBottom w:val="0"/>
          <w:divBdr>
            <w:top w:val="none" w:sz="0" w:space="0" w:color="auto"/>
            <w:left w:val="none" w:sz="0" w:space="0" w:color="auto"/>
            <w:bottom w:val="none" w:sz="0" w:space="0" w:color="auto"/>
            <w:right w:val="none" w:sz="0" w:space="0" w:color="auto"/>
          </w:divBdr>
        </w:div>
        <w:div w:id="1018198555">
          <w:marLeft w:val="0"/>
          <w:marRight w:val="0"/>
          <w:marTop w:val="0"/>
          <w:marBottom w:val="0"/>
          <w:divBdr>
            <w:top w:val="none" w:sz="0" w:space="0" w:color="auto"/>
            <w:left w:val="none" w:sz="0" w:space="0" w:color="auto"/>
            <w:bottom w:val="none" w:sz="0" w:space="0" w:color="auto"/>
            <w:right w:val="none" w:sz="0" w:space="0" w:color="auto"/>
          </w:divBdr>
        </w:div>
        <w:div w:id="1140419373">
          <w:marLeft w:val="0"/>
          <w:marRight w:val="0"/>
          <w:marTop w:val="0"/>
          <w:marBottom w:val="0"/>
          <w:divBdr>
            <w:top w:val="none" w:sz="0" w:space="0" w:color="auto"/>
            <w:left w:val="none" w:sz="0" w:space="0" w:color="auto"/>
            <w:bottom w:val="none" w:sz="0" w:space="0" w:color="auto"/>
            <w:right w:val="none" w:sz="0" w:space="0" w:color="auto"/>
          </w:divBdr>
        </w:div>
        <w:div w:id="1304848140">
          <w:marLeft w:val="0"/>
          <w:marRight w:val="0"/>
          <w:marTop w:val="0"/>
          <w:marBottom w:val="0"/>
          <w:divBdr>
            <w:top w:val="none" w:sz="0" w:space="0" w:color="auto"/>
            <w:left w:val="none" w:sz="0" w:space="0" w:color="auto"/>
            <w:bottom w:val="none" w:sz="0" w:space="0" w:color="auto"/>
            <w:right w:val="none" w:sz="0" w:space="0" w:color="auto"/>
          </w:divBdr>
        </w:div>
        <w:div w:id="1440837571">
          <w:marLeft w:val="0"/>
          <w:marRight w:val="0"/>
          <w:marTop w:val="0"/>
          <w:marBottom w:val="0"/>
          <w:divBdr>
            <w:top w:val="none" w:sz="0" w:space="0" w:color="auto"/>
            <w:left w:val="none" w:sz="0" w:space="0" w:color="auto"/>
            <w:bottom w:val="none" w:sz="0" w:space="0" w:color="auto"/>
            <w:right w:val="none" w:sz="0" w:space="0" w:color="auto"/>
          </w:divBdr>
        </w:div>
        <w:div w:id="1616475422">
          <w:marLeft w:val="0"/>
          <w:marRight w:val="0"/>
          <w:marTop w:val="0"/>
          <w:marBottom w:val="0"/>
          <w:divBdr>
            <w:top w:val="none" w:sz="0" w:space="0" w:color="auto"/>
            <w:left w:val="none" w:sz="0" w:space="0" w:color="auto"/>
            <w:bottom w:val="none" w:sz="0" w:space="0" w:color="auto"/>
            <w:right w:val="none" w:sz="0" w:space="0" w:color="auto"/>
          </w:divBdr>
        </w:div>
        <w:div w:id="1618873416">
          <w:marLeft w:val="0"/>
          <w:marRight w:val="0"/>
          <w:marTop w:val="0"/>
          <w:marBottom w:val="0"/>
          <w:divBdr>
            <w:top w:val="none" w:sz="0" w:space="0" w:color="auto"/>
            <w:left w:val="none" w:sz="0" w:space="0" w:color="auto"/>
            <w:bottom w:val="none" w:sz="0" w:space="0" w:color="auto"/>
            <w:right w:val="none" w:sz="0" w:space="0" w:color="auto"/>
          </w:divBdr>
        </w:div>
        <w:div w:id="1623146920">
          <w:marLeft w:val="0"/>
          <w:marRight w:val="0"/>
          <w:marTop w:val="0"/>
          <w:marBottom w:val="0"/>
          <w:divBdr>
            <w:top w:val="none" w:sz="0" w:space="0" w:color="auto"/>
            <w:left w:val="none" w:sz="0" w:space="0" w:color="auto"/>
            <w:bottom w:val="none" w:sz="0" w:space="0" w:color="auto"/>
            <w:right w:val="none" w:sz="0" w:space="0" w:color="auto"/>
          </w:divBdr>
        </w:div>
        <w:div w:id="1631205686">
          <w:marLeft w:val="0"/>
          <w:marRight w:val="0"/>
          <w:marTop w:val="0"/>
          <w:marBottom w:val="0"/>
          <w:divBdr>
            <w:top w:val="none" w:sz="0" w:space="0" w:color="auto"/>
            <w:left w:val="none" w:sz="0" w:space="0" w:color="auto"/>
            <w:bottom w:val="none" w:sz="0" w:space="0" w:color="auto"/>
            <w:right w:val="none" w:sz="0" w:space="0" w:color="auto"/>
          </w:divBdr>
        </w:div>
        <w:div w:id="1676610368">
          <w:marLeft w:val="0"/>
          <w:marRight w:val="0"/>
          <w:marTop w:val="0"/>
          <w:marBottom w:val="0"/>
          <w:divBdr>
            <w:top w:val="none" w:sz="0" w:space="0" w:color="auto"/>
            <w:left w:val="none" w:sz="0" w:space="0" w:color="auto"/>
            <w:bottom w:val="none" w:sz="0" w:space="0" w:color="auto"/>
            <w:right w:val="none" w:sz="0" w:space="0" w:color="auto"/>
          </w:divBdr>
        </w:div>
        <w:div w:id="1680352539">
          <w:marLeft w:val="0"/>
          <w:marRight w:val="0"/>
          <w:marTop w:val="0"/>
          <w:marBottom w:val="0"/>
          <w:divBdr>
            <w:top w:val="none" w:sz="0" w:space="0" w:color="auto"/>
            <w:left w:val="none" w:sz="0" w:space="0" w:color="auto"/>
            <w:bottom w:val="none" w:sz="0" w:space="0" w:color="auto"/>
            <w:right w:val="none" w:sz="0" w:space="0" w:color="auto"/>
          </w:divBdr>
        </w:div>
        <w:div w:id="1911185676">
          <w:marLeft w:val="0"/>
          <w:marRight w:val="0"/>
          <w:marTop w:val="0"/>
          <w:marBottom w:val="0"/>
          <w:divBdr>
            <w:top w:val="none" w:sz="0" w:space="0" w:color="auto"/>
            <w:left w:val="none" w:sz="0" w:space="0" w:color="auto"/>
            <w:bottom w:val="none" w:sz="0" w:space="0" w:color="auto"/>
            <w:right w:val="none" w:sz="0" w:space="0" w:color="auto"/>
          </w:divBdr>
        </w:div>
        <w:div w:id="1911842784">
          <w:marLeft w:val="0"/>
          <w:marRight w:val="0"/>
          <w:marTop w:val="0"/>
          <w:marBottom w:val="0"/>
          <w:divBdr>
            <w:top w:val="none" w:sz="0" w:space="0" w:color="auto"/>
            <w:left w:val="none" w:sz="0" w:space="0" w:color="auto"/>
            <w:bottom w:val="none" w:sz="0" w:space="0" w:color="auto"/>
            <w:right w:val="none" w:sz="0" w:space="0" w:color="auto"/>
          </w:divBdr>
        </w:div>
        <w:div w:id="2006516834">
          <w:marLeft w:val="0"/>
          <w:marRight w:val="0"/>
          <w:marTop w:val="0"/>
          <w:marBottom w:val="0"/>
          <w:divBdr>
            <w:top w:val="none" w:sz="0" w:space="0" w:color="auto"/>
            <w:left w:val="none" w:sz="0" w:space="0" w:color="auto"/>
            <w:bottom w:val="none" w:sz="0" w:space="0" w:color="auto"/>
            <w:right w:val="none" w:sz="0" w:space="0" w:color="auto"/>
          </w:divBdr>
        </w:div>
        <w:div w:id="2036535914">
          <w:marLeft w:val="0"/>
          <w:marRight w:val="0"/>
          <w:marTop w:val="0"/>
          <w:marBottom w:val="0"/>
          <w:divBdr>
            <w:top w:val="none" w:sz="0" w:space="0" w:color="auto"/>
            <w:left w:val="none" w:sz="0" w:space="0" w:color="auto"/>
            <w:bottom w:val="none" w:sz="0" w:space="0" w:color="auto"/>
            <w:right w:val="none" w:sz="0" w:space="0" w:color="auto"/>
          </w:divBdr>
        </w:div>
        <w:div w:id="2045516698">
          <w:marLeft w:val="0"/>
          <w:marRight w:val="0"/>
          <w:marTop w:val="0"/>
          <w:marBottom w:val="0"/>
          <w:divBdr>
            <w:top w:val="none" w:sz="0" w:space="0" w:color="auto"/>
            <w:left w:val="none" w:sz="0" w:space="0" w:color="auto"/>
            <w:bottom w:val="none" w:sz="0" w:space="0" w:color="auto"/>
            <w:right w:val="none" w:sz="0" w:space="0" w:color="auto"/>
          </w:divBdr>
        </w:div>
        <w:div w:id="2056731242">
          <w:marLeft w:val="0"/>
          <w:marRight w:val="0"/>
          <w:marTop w:val="0"/>
          <w:marBottom w:val="0"/>
          <w:divBdr>
            <w:top w:val="none" w:sz="0" w:space="0" w:color="auto"/>
            <w:left w:val="none" w:sz="0" w:space="0" w:color="auto"/>
            <w:bottom w:val="none" w:sz="0" w:space="0" w:color="auto"/>
            <w:right w:val="none" w:sz="0" w:space="0" w:color="auto"/>
          </w:divBdr>
        </w:div>
        <w:div w:id="2104763527">
          <w:marLeft w:val="0"/>
          <w:marRight w:val="0"/>
          <w:marTop w:val="0"/>
          <w:marBottom w:val="0"/>
          <w:divBdr>
            <w:top w:val="none" w:sz="0" w:space="0" w:color="auto"/>
            <w:left w:val="none" w:sz="0" w:space="0" w:color="auto"/>
            <w:bottom w:val="none" w:sz="0" w:space="0" w:color="auto"/>
            <w:right w:val="none" w:sz="0" w:space="0" w:color="auto"/>
          </w:divBdr>
        </w:div>
        <w:div w:id="2112235456">
          <w:marLeft w:val="0"/>
          <w:marRight w:val="0"/>
          <w:marTop w:val="0"/>
          <w:marBottom w:val="0"/>
          <w:divBdr>
            <w:top w:val="none" w:sz="0" w:space="0" w:color="auto"/>
            <w:left w:val="none" w:sz="0" w:space="0" w:color="auto"/>
            <w:bottom w:val="none" w:sz="0" w:space="0" w:color="auto"/>
            <w:right w:val="none" w:sz="0" w:space="0" w:color="auto"/>
          </w:divBdr>
        </w:div>
        <w:div w:id="2122987933">
          <w:marLeft w:val="0"/>
          <w:marRight w:val="0"/>
          <w:marTop w:val="0"/>
          <w:marBottom w:val="0"/>
          <w:divBdr>
            <w:top w:val="none" w:sz="0" w:space="0" w:color="auto"/>
            <w:left w:val="none" w:sz="0" w:space="0" w:color="auto"/>
            <w:bottom w:val="none" w:sz="0" w:space="0" w:color="auto"/>
            <w:right w:val="none" w:sz="0" w:space="0" w:color="auto"/>
          </w:divBdr>
        </w:div>
      </w:divsChild>
    </w:div>
    <w:div w:id="1652640986">
      <w:bodyDiv w:val="1"/>
      <w:marLeft w:val="0"/>
      <w:marRight w:val="0"/>
      <w:marTop w:val="0"/>
      <w:marBottom w:val="0"/>
      <w:divBdr>
        <w:top w:val="none" w:sz="0" w:space="0" w:color="auto"/>
        <w:left w:val="none" w:sz="0" w:space="0" w:color="auto"/>
        <w:bottom w:val="none" w:sz="0" w:space="0" w:color="auto"/>
        <w:right w:val="none" w:sz="0" w:space="0" w:color="auto"/>
      </w:divBdr>
      <w:divsChild>
        <w:div w:id="475730760">
          <w:marLeft w:val="2160"/>
          <w:marRight w:val="0"/>
          <w:marTop w:val="0"/>
          <w:marBottom w:val="0"/>
          <w:divBdr>
            <w:top w:val="none" w:sz="0" w:space="0" w:color="auto"/>
            <w:left w:val="none" w:sz="0" w:space="0" w:color="auto"/>
            <w:bottom w:val="none" w:sz="0" w:space="0" w:color="auto"/>
            <w:right w:val="none" w:sz="0" w:space="0" w:color="auto"/>
          </w:divBdr>
        </w:div>
        <w:div w:id="750662081">
          <w:marLeft w:val="1920"/>
          <w:marRight w:val="0"/>
          <w:marTop w:val="0"/>
          <w:marBottom w:val="0"/>
          <w:divBdr>
            <w:top w:val="none" w:sz="0" w:space="0" w:color="auto"/>
            <w:left w:val="none" w:sz="0" w:space="0" w:color="auto"/>
            <w:bottom w:val="none" w:sz="0" w:space="0" w:color="auto"/>
            <w:right w:val="none" w:sz="0" w:space="0" w:color="auto"/>
          </w:divBdr>
        </w:div>
        <w:div w:id="881090711">
          <w:marLeft w:val="0"/>
          <w:marRight w:val="0"/>
          <w:marTop w:val="0"/>
          <w:marBottom w:val="0"/>
          <w:divBdr>
            <w:top w:val="none" w:sz="0" w:space="0" w:color="auto"/>
            <w:left w:val="none" w:sz="0" w:space="0" w:color="auto"/>
            <w:bottom w:val="none" w:sz="0" w:space="0" w:color="auto"/>
            <w:right w:val="none" w:sz="0" w:space="0" w:color="auto"/>
          </w:divBdr>
        </w:div>
        <w:div w:id="916943805">
          <w:marLeft w:val="1920"/>
          <w:marRight w:val="0"/>
          <w:marTop w:val="0"/>
          <w:marBottom w:val="0"/>
          <w:divBdr>
            <w:top w:val="none" w:sz="0" w:space="0" w:color="auto"/>
            <w:left w:val="none" w:sz="0" w:space="0" w:color="auto"/>
            <w:bottom w:val="none" w:sz="0" w:space="0" w:color="auto"/>
            <w:right w:val="none" w:sz="0" w:space="0" w:color="auto"/>
          </w:divBdr>
        </w:div>
        <w:div w:id="951017742">
          <w:marLeft w:val="2160"/>
          <w:marRight w:val="0"/>
          <w:marTop w:val="0"/>
          <w:marBottom w:val="0"/>
          <w:divBdr>
            <w:top w:val="none" w:sz="0" w:space="0" w:color="auto"/>
            <w:left w:val="none" w:sz="0" w:space="0" w:color="auto"/>
            <w:bottom w:val="none" w:sz="0" w:space="0" w:color="auto"/>
            <w:right w:val="none" w:sz="0" w:space="0" w:color="auto"/>
          </w:divBdr>
        </w:div>
        <w:div w:id="1050762665">
          <w:marLeft w:val="2160"/>
          <w:marRight w:val="0"/>
          <w:marTop w:val="0"/>
          <w:marBottom w:val="0"/>
          <w:divBdr>
            <w:top w:val="none" w:sz="0" w:space="0" w:color="auto"/>
            <w:left w:val="none" w:sz="0" w:space="0" w:color="auto"/>
            <w:bottom w:val="none" w:sz="0" w:space="0" w:color="auto"/>
            <w:right w:val="none" w:sz="0" w:space="0" w:color="auto"/>
          </w:divBdr>
        </w:div>
        <w:div w:id="1199270527">
          <w:marLeft w:val="0"/>
          <w:marRight w:val="0"/>
          <w:marTop w:val="0"/>
          <w:marBottom w:val="0"/>
          <w:divBdr>
            <w:top w:val="none" w:sz="0" w:space="0" w:color="auto"/>
            <w:left w:val="none" w:sz="0" w:space="0" w:color="auto"/>
            <w:bottom w:val="none" w:sz="0" w:space="0" w:color="auto"/>
            <w:right w:val="none" w:sz="0" w:space="0" w:color="auto"/>
          </w:divBdr>
        </w:div>
        <w:div w:id="1587423090">
          <w:marLeft w:val="1920"/>
          <w:marRight w:val="0"/>
          <w:marTop w:val="0"/>
          <w:marBottom w:val="0"/>
          <w:divBdr>
            <w:top w:val="none" w:sz="0" w:space="0" w:color="auto"/>
            <w:left w:val="none" w:sz="0" w:space="0" w:color="auto"/>
            <w:bottom w:val="none" w:sz="0" w:space="0" w:color="auto"/>
            <w:right w:val="none" w:sz="0" w:space="0" w:color="auto"/>
          </w:divBdr>
        </w:div>
        <w:div w:id="1717898959">
          <w:marLeft w:val="1920"/>
          <w:marRight w:val="0"/>
          <w:marTop w:val="0"/>
          <w:marBottom w:val="0"/>
          <w:divBdr>
            <w:top w:val="none" w:sz="0" w:space="0" w:color="auto"/>
            <w:left w:val="none" w:sz="0" w:space="0" w:color="auto"/>
            <w:bottom w:val="none" w:sz="0" w:space="0" w:color="auto"/>
            <w:right w:val="none" w:sz="0" w:space="0" w:color="auto"/>
          </w:divBdr>
        </w:div>
        <w:div w:id="1890649121">
          <w:marLeft w:val="2520"/>
          <w:marRight w:val="0"/>
          <w:marTop w:val="0"/>
          <w:marBottom w:val="0"/>
          <w:divBdr>
            <w:top w:val="none" w:sz="0" w:space="0" w:color="auto"/>
            <w:left w:val="none" w:sz="0" w:space="0" w:color="auto"/>
            <w:bottom w:val="none" w:sz="0" w:space="0" w:color="auto"/>
            <w:right w:val="none" w:sz="0" w:space="0" w:color="auto"/>
          </w:divBdr>
        </w:div>
        <w:div w:id="1982615527">
          <w:marLeft w:val="2520"/>
          <w:marRight w:val="0"/>
          <w:marTop w:val="0"/>
          <w:marBottom w:val="0"/>
          <w:divBdr>
            <w:top w:val="none" w:sz="0" w:space="0" w:color="auto"/>
            <w:left w:val="none" w:sz="0" w:space="0" w:color="auto"/>
            <w:bottom w:val="none" w:sz="0" w:space="0" w:color="auto"/>
            <w:right w:val="none" w:sz="0" w:space="0" w:color="auto"/>
          </w:divBdr>
        </w:div>
      </w:divsChild>
    </w:div>
    <w:div w:id="1656179777">
      <w:bodyDiv w:val="1"/>
      <w:marLeft w:val="0"/>
      <w:marRight w:val="0"/>
      <w:marTop w:val="0"/>
      <w:marBottom w:val="0"/>
      <w:divBdr>
        <w:top w:val="none" w:sz="0" w:space="0" w:color="auto"/>
        <w:left w:val="none" w:sz="0" w:space="0" w:color="auto"/>
        <w:bottom w:val="none" w:sz="0" w:space="0" w:color="auto"/>
        <w:right w:val="none" w:sz="0" w:space="0" w:color="auto"/>
      </w:divBdr>
    </w:div>
    <w:div w:id="1670405173">
      <w:bodyDiv w:val="1"/>
      <w:marLeft w:val="0"/>
      <w:marRight w:val="0"/>
      <w:marTop w:val="0"/>
      <w:marBottom w:val="0"/>
      <w:divBdr>
        <w:top w:val="none" w:sz="0" w:space="0" w:color="auto"/>
        <w:left w:val="none" w:sz="0" w:space="0" w:color="auto"/>
        <w:bottom w:val="none" w:sz="0" w:space="0" w:color="auto"/>
        <w:right w:val="none" w:sz="0" w:space="0" w:color="auto"/>
      </w:divBdr>
      <w:divsChild>
        <w:div w:id="856697070">
          <w:marLeft w:val="0"/>
          <w:marRight w:val="0"/>
          <w:marTop w:val="0"/>
          <w:marBottom w:val="0"/>
          <w:divBdr>
            <w:top w:val="none" w:sz="0" w:space="0" w:color="auto"/>
            <w:left w:val="none" w:sz="0" w:space="0" w:color="auto"/>
            <w:bottom w:val="none" w:sz="0" w:space="0" w:color="auto"/>
            <w:right w:val="none" w:sz="0" w:space="0" w:color="auto"/>
          </w:divBdr>
        </w:div>
        <w:div w:id="1168252843">
          <w:marLeft w:val="0"/>
          <w:marRight w:val="0"/>
          <w:marTop w:val="0"/>
          <w:marBottom w:val="0"/>
          <w:divBdr>
            <w:top w:val="none" w:sz="0" w:space="0" w:color="auto"/>
            <w:left w:val="none" w:sz="0" w:space="0" w:color="auto"/>
            <w:bottom w:val="none" w:sz="0" w:space="0" w:color="auto"/>
            <w:right w:val="none" w:sz="0" w:space="0" w:color="auto"/>
          </w:divBdr>
        </w:div>
        <w:div w:id="1696032676">
          <w:marLeft w:val="0"/>
          <w:marRight w:val="0"/>
          <w:marTop w:val="0"/>
          <w:marBottom w:val="0"/>
          <w:divBdr>
            <w:top w:val="none" w:sz="0" w:space="0" w:color="auto"/>
            <w:left w:val="none" w:sz="0" w:space="0" w:color="auto"/>
            <w:bottom w:val="none" w:sz="0" w:space="0" w:color="auto"/>
            <w:right w:val="none" w:sz="0" w:space="0" w:color="auto"/>
          </w:divBdr>
        </w:div>
      </w:divsChild>
    </w:div>
    <w:div w:id="1682967253">
      <w:bodyDiv w:val="1"/>
      <w:marLeft w:val="0"/>
      <w:marRight w:val="0"/>
      <w:marTop w:val="0"/>
      <w:marBottom w:val="0"/>
      <w:divBdr>
        <w:top w:val="none" w:sz="0" w:space="0" w:color="auto"/>
        <w:left w:val="none" w:sz="0" w:space="0" w:color="auto"/>
        <w:bottom w:val="none" w:sz="0" w:space="0" w:color="auto"/>
        <w:right w:val="none" w:sz="0" w:space="0" w:color="auto"/>
      </w:divBdr>
      <w:divsChild>
        <w:div w:id="1816291155">
          <w:marLeft w:val="0"/>
          <w:marRight w:val="0"/>
          <w:marTop w:val="0"/>
          <w:marBottom w:val="0"/>
          <w:divBdr>
            <w:top w:val="none" w:sz="0" w:space="0" w:color="auto"/>
            <w:left w:val="none" w:sz="0" w:space="0" w:color="auto"/>
            <w:bottom w:val="none" w:sz="0" w:space="0" w:color="auto"/>
            <w:right w:val="none" w:sz="0" w:space="0" w:color="auto"/>
          </w:divBdr>
        </w:div>
        <w:div w:id="1912347690">
          <w:marLeft w:val="0"/>
          <w:marRight w:val="0"/>
          <w:marTop w:val="0"/>
          <w:marBottom w:val="0"/>
          <w:divBdr>
            <w:top w:val="none" w:sz="0" w:space="0" w:color="auto"/>
            <w:left w:val="none" w:sz="0" w:space="0" w:color="auto"/>
            <w:bottom w:val="none" w:sz="0" w:space="0" w:color="auto"/>
            <w:right w:val="none" w:sz="0" w:space="0" w:color="auto"/>
          </w:divBdr>
        </w:div>
        <w:div w:id="1973779326">
          <w:marLeft w:val="0"/>
          <w:marRight w:val="0"/>
          <w:marTop w:val="0"/>
          <w:marBottom w:val="0"/>
          <w:divBdr>
            <w:top w:val="none" w:sz="0" w:space="0" w:color="auto"/>
            <w:left w:val="none" w:sz="0" w:space="0" w:color="auto"/>
            <w:bottom w:val="none" w:sz="0" w:space="0" w:color="auto"/>
            <w:right w:val="none" w:sz="0" w:space="0" w:color="auto"/>
          </w:divBdr>
        </w:div>
        <w:div w:id="1236741299">
          <w:marLeft w:val="0"/>
          <w:marRight w:val="0"/>
          <w:marTop w:val="0"/>
          <w:marBottom w:val="0"/>
          <w:divBdr>
            <w:top w:val="none" w:sz="0" w:space="0" w:color="auto"/>
            <w:left w:val="none" w:sz="0" w:space="0" w:color="auto"/>
            <w:bottom w:val="none" w:sz="0" w:space="0" w:color="auto"/>
            <w:right w:val="none" w:sz="0" w:space="0" w:color="auto"/>
          </w:divBdr>
        </w:div>
      </w:divsChild>
    </w:div>
    <w:div w:id="1712463744">
      <w:bodyDiv w:val="1"/>
      <w:marLeft w:val="0"/>
      <w:marRight w:val="0"/>
      <w:marTop w:val="0"/>
      <w:marBottom w:val="0"/>
      <w:divBdr>
        <w:top w:val="none" w:sz="0" w:space="0" w:color="auto"/>
        <w:left w:val="none" w:sz="0" w:space="0" w:color="auto"/>
        <w:bottom w:val="none" w:sz="0" w:space="0" w:color="auto"/>
        <w:right w:val="none" w:sz="0" w:space="0" w:color="auto"/>
      </w:divBdr>
      <w:divsChild>
        <w:div w:id="250892570">
          <w:marLeft w:val="0"/>
          <w:marRight w:val="0"/>
          <w:marTop w:val="0"/>
          <w:marBottom w:val="0"/>
          <w:divBdr>
            <w:top w:val="none" w:sz="0" w:space="0" w:color="auto"/>
            <w:left w:val="none" w:sz="0" w:space="0" w:color="auto"/>
            <w:bottom w:val="none" w:sz="0" w:space="0" w:color="auto"/>
            <w:right w:val="none" w:sz="0" w:space="0" w:color="auto"/>
          </w:divBdr>
        </w:div>
        <w:div w:id="916744216">
          <w:marLeft w:val="0"/>
          <w:marRight w:val="0"/>
          <w:marTop w:val="0"/>
          <w:marBottom w:val="0"/>
          <w:divBdr>
            <w:top w:val="none" w:sz="0" w:space="0" w:color="auto"/>
            <w:left w:val="none" w:sz="0" w:space="0" w:color="auto"/>
            <w:bottom w:val="none" w:sz="0" w:space="0" w:color="auto"/>
            <w:right w:val="none" w:sz="0" w:space="0" w:color="auto"/>
          </w:divBdr>
        </w:div>
      </w:divsChild>
    </w:div>
    <w:div w:id="1720088388">
      <w:bodyDiv w:val="1"/>
      <w:marLeft w:val="0"/>
      <w:marRight w:val="0"/>
      <w:marTop w:val="0"/>
      <w:marBottom w:val="0"/>
      <w:divBdr>
        <w:top w:val="none" w:sz="0" w:space="0" w:color="auto"/>
        <w:left w:val="none" w:sz="0" w:space="0" w:color="auto"/>
        <w:bottom w:val="none" w:sz="0" w:space="0" w:color="auto"/>
        <w:right w:val="none" w:sz="0" w:space="0" w:color="auto"/>
      </w:divBdr>
    </w:div>
    <w:div w:id="1727756866">
      <w:bodyDiv w:val="1"/>
      <w:marLeft w:val="0"/>
      <w:marRight w:val="0"/>
      <w:marTop w:val="0"/>
      <w:marBottom w:val="0"/>
      <w:divBdr>
        <w:top w:val="none" w:sz="0" w:space="0" w:color="auto"/>
        <w:left w:val="none" w:sz="0" w:space="0" w:color="auto"/>
        <w:bottom w:val="none" w:sz="0" w:space="0" w:color="auto"/>
        <w:right w:val="none" w:sz="0" w:space="0" w:color="auto"/>
      </w:divBdr>
    </w:div>
    <w:div w:id="1742169241">
      <w:bodyDiv w:val="1"/>
      <w:marLeft w:val="0"/>
      <w:marRight w:val="0"/>
      <w:marTop w:val="0"/>
      <w:marBottom w:val="0"/>
      <w:divBdr>
        <w:top w:val="none" w:sz="0" w:space="0" w:color="auto"/>
        <w:left w:val="none" w:sz="0" w:space="0" w:color="auto"/>
        <w:bottom w:val="none" w:sz="0" w:space="0" w:color="auto"/>
        <w:right w:val="none" w:sz="0" w:space="0" w:color="auto"/>
      </w:divBdr>
      <w:divsChild>
        <w:div w:id="45688492">
          <w:marLeft w:val="0"/>
          <w:marRight w:val="0"/>
          <w:marTop w:val="0"/>
          <w:marBottom w:val="0"/>
          <w:divBdr>
            <w:top w:val="none" w:sz="0" w:space="0" w:color="auto"/>
            <w:left w:val="none" w:sz="0" w:space="0" w:color="auto"/>
            <w:bottom w:val="none" w:sz="0" w:space="0" w:color="auto"/>
            <w:right w:val="none" w:sz="0" w:space="0" w:color="auto"/>
          </w:divBdr>
        </w:div>
        <w:div w:id="107361117">
          <w:marLeft w:val="0"/>
          <w:marRight w:val="0"/>
          <w:marTop w:val="0"/>
          <w:marBottom w:val="0"/>
          <w:divBdr>
            <w:top w:val="none" w:sz="0" w:space="0" w:color="auto"/>
            <w:left w:val="none" w:sz="0" w:space="0" w:color="auto"/>
            <w:bottom w:val="none" w:sz="0" w:space="0" w:color="auto"/>
            <w:right w:val="none" w:sz="0" w:space="0" w:color="auto"/>
          </w:divBdr>
        </w:div>
        <w:div w:id="134034114">
          <w:marLeft w:val="720"/>
          <w:marRight w:val="0"/>
          <w:marTop w:val="0"/>
          <w:marBottom w:val="0"/>
          <w:divBdr>
            <w:top w:val="none" w:sz="0" w:space="0" w:color="auto"/>
            <w:left w:val="none" w:sz="0" w:space="0" w:color="auto"/>
            <w:bottom w:val="none" w:sz="0" w:space="0" w:color="auto"/>
            <w:right w:val="none" w:sz="0" w:space="0" w:color="auto"/>
          </w:divBdr>
        </w:div>
        <w:div w:id="138883823">
          <w:marLeft w:val="0"/>
          <w:marRight w:val="0"/>
          <w:marTop w:val="0"/>
          <w:marBottom w:val="0"/>
          <w:divBdr>
            <w:top w:val="none" w:sz="0" w:space="0" w:color="auto"/>
            <w:left w:val="none" w:sz="0" w:space="0" w:color="auto"/>
            <w:bottom w:val="none" w:sz="0" w:space="0" w:color="auto"/>
            <w:right w:val="none" w:sz="0" w:space="0" w:color="auto"/>
          </w:divBdr>
        </w:div>
        <w:div w:id="164058011">
          <w:marLeft w:val="720"/>
          <w:marRight w:val="0"/>
          <w:marTop w:val="0"/>
          <w:marBottom w:val="0"/>
          <w:divBdr>
            <w:top w:val="none" w:sz="0" w:space="0" w:color="auto"/>
            <w:left w:val="none" w:sz="0" w:space="0" w:color="auto"/>
            <w:bottom w:val="none" w:sz="0" w:space="0" w:color="auto"/>
            <w:right w:val="none" w:sz="0" w:space="0" w:color="auto"/>
          </w:divBdr>
        </w:div>
        <w:div w:id="174078311">
          <w:marLeft w:val="0"/>
          <w:marRight w:val="0"/>
          <w:marTop w:val="0"/>
          <w:marBottom w:val="0"/>
          <w:divBdr>
            <w:top w:val="none" w:sz="0" w:space="0" w:color="auto"/>
            <w:left w:val="none" w:sz="0" w:space="0" w:color="auto"/>
            <w:bottom w:val="none" w:sz="0" w:space="0" w:color="auto"/>
            <w:right w:val="none" w:sz="0" w:space="0" w:color="auto"/>
          </w:divBdr>
        </w:div>
        <w:div w:id="179899645">
          <w:marLeft w:val="0"/>
          <w:marRight w:val="0"/>
          <w:marTop w:val="0"/>
          <w:marBottom w:val="0"/>
          <w:divBdr>
            <w:top w:val="none" w:sz="0" w:space="0" w:color="auto"/>
            <w:left w:val="none" w:sz="0" w:space="0" w:color="auto"/>
            <w:bottom w:val="none" w:sz="0" w:space="0" w:color="auto"/>
            <w:right w:val="none" w:sz="0" w:space="0" w:color="auto"/>
          </w:divBdr>
        </w:div>
        <w:div w:id="213323136">
          <w:marLeft w:val="0"/>
          <w:marRight w:val="0"/>
          <w:marTop w:val="0"/>
          <w:marBottom w:val="0"/>
          <w:divBdr>
            <w:top w:val="none" w:sz="0" w:space="0" w:color="auto"/>
            <w:left w:val="none" w:sz="0" w:space="0" w:color="auto"/>
            <w:bottom w:val="none" w:sz="0" w:space="0" w:color="auto"/>
            <w:right w:val="none" w:sz="0" w:space="0" w:color="auto"/>
          </w:divBdr>
        </w:div>
        <w:div w:id="306011515">
          <w:marLeft w:val="720"/>
          <w:marRight w:val="0"/>
          <w:marTop w:val="0"/>
          <w:marBottom w:val="0"/>
          <w:divBdr>
            <w:top w:val="none" w:sz="0" w:space="0" w:color="auto"/>
            <w:left w:val="none" w:sz="0" w:space="0" w:color="auto"/>
            <w:bottom w:val="none" w:sz="0" w:space="0" w:color="auto"/>
            <w:right w:val="none" w:sz="0" w:space="0" w:color="auto"/>
          </w:divBdr>
        </w:div>
        <w:div w:id="348407603">
          <w:marLeft w:val="0"/>
          <w:marRight w:val="0"/>
          <w:marTop w:val="0"/>
          <w:marBottom w:val="0"/>
          <w:divBdr>
            <w:top w:val="none" w:sz="0" w:space="0" w:color="auto"/>
            <w:left w:val="none" w:sz="0" w:space="0" w:color="auto"/>
            <w:bottom w:val="none" w:sz="0" w:space="0" w:color="auto"/>
            <w:right w:val="none" w:sz="0" w:space="0" w:color="auto"/>
          </w:divBdr>
        </w:div>
        <w:div w:id="352197145">
          <w:marLeft w:val="0"/>
          <w:marRight w:val="0"/>
          <w:marTop w:val="0"/>
          <w:marBottom w:val="0"/>
          <w:divBdr>
            <w:top w:val="none" w:sz="0" w:space="0" w:color="auto"/>
            <w:left w:val="none" w:sz="0" w:space="0" w:color="auto"/>
            <w:bottom w:val="none" w:sz="0" w:space="0" w:color="auto"/>
            <w:right w:val="none" w:sz="0" w:space="0" w:color="auto"/>
          </w:divBdr>
        </w:div>
        <w:div w:id="400642773">
          <w:marLeft w:val="0"/>
          <w:marRight w:val="0"/>
          <w:marTop w:val="0"/>
          <w:marBottom w:val="0"/>
          <w:divBdr>
            <w:top w:val="none" w:sz="0" w:space="0" w:color="auto"/>
            <w:left w:val="none" w:sz="0" w:space="0" w:color="auto"/>
            <w:bottom w:val="none" w:sz="0" w:space="0" w:color="auto"/>
            <w:right w:val="none" w:sz="0" w:space="0" w:color="auto"/>
          </w:divBdr>
        </w:div>
        <w:div w:id="460464972">
          <w:marLeft w:val="0"/>
          <w:marRight w:val="0"/>
          <w:marTop w:val="0"/>
          <w:marBottom w:val="0"/>
          <w:divBdr>
            <w:top w:val="none" w:sz="0" w:space="0" w:color="auto"/>
            <w:left w:val="none" w:sz="0" w:space="0" w:color="auto"/>
            <w:bottom w:val="none" w:sz="0" w:space="0" w:color="auto"/>
            <w:right w:val="none" w:sz="0" w:space="0" w:color="auto"/>
          </w:divBdr>
        </w:div>
        <w:div w:id="507796168">
          <w:marLeft w:val="0"/>
          <w:marRight w:val="0"/>
          <w:marTop w:val="0"/>
          <w:marBottom w:val="0"/>
          <w:divBdr>
            <w:top w:val="none" w:sz="0" w:space="0" w:color="auto"/>
            <w:left w:val="none" w:sz="0" w:space="0" w:color="auto"/>
            <w:bottom w:val="none" w:sz="0" w:space="0" w:color="auto"/>
            <w:right w:val="none" w:sz="0" w:space="0" w:color="auto"/>
          </w:divBdr>
        </w:div>
        <w:div w:id="560865559">
          <w:marLeft w:val="720"/>
          <w:marRight w:val="0"/>
          <w:marTop w:val="0"/>
          <w:marBottom w:val="0"/>
          <w:divBdr>
            <w:top w:val="none" w:sz="0" w:space="0" w:color="auto"/>
            <w:left w:val="none" w:sz="0" w:space="0" w:color="auto"/>
            <w:bottom w:val="none" w:sz="0" w:space="0" w:color="auto"/>
            <w:right w:val="none" w:sz="0" w:space="0" w:color="auto"/>
          </w:divBdr>
        </w:div>
        <w:div w:id="572936074">
          <w:marLeft w:val="0"/>
          <w:marRight w:val="0"/>
          <w:marTop w:val="0"/>
          <w:marBottom w:val="0"/>
          <w:divBdr>
            <w:top w:val="none" w:sz="0" w:space="0" w:color="auto"/>
            <w:left w:val="none" w:sz="0" w:space="0" w:color="auto"/>
            <w:bottom w:val="none" w:sz="0" w:space="0" w:color="auto"/>
            <w:right w:val="none" w:sz="0" w:space="0" w:color="auto"/>
          </w:divBdr>
        </w:div>
        <w:div w:id="621883208">
          <w:marLeft w:val="720"/>
          <w:marRight w:val="0"/>
          <w:marTop w:val="0"/>
          <w:marBottom w:val="0"/>
          <w:divBdr>
            <w:top w:val="none" w:sz="0" w:space="0" w:color="auto"/>
            <w:left w:val="none" w:sz="0" w:space="0" w:color="auto"/>
            <w:bottom w:val="none" w:sz="0" w:space="0" w:color="auto"/>
            <w:right w:val="none" w:sz="0" w:space="0" w:color="auto"/>
          </w:divBdr>
        </w:div>
        <w:div w:id="671761033">
          <w:marLeft w:val="0"/>
          <w:marRight w:val="0"/>
          <w:marTop w:val="0"/>
          <w:marBottom w:val="0"/>
          <w:divBdr>
            <w:top w:val="none" w:sz="0" w:space="0" w:color="auto"/>
            <w:left w:val="none" w:sz="0" w:space="0" w:color="auto"/>
            <w:bottom w:val="none" w:sz="0" w:space="0" w:color="auto"/>
            <w:right w:val="none" w:sz="0" w:space="0" w:color="auto"/>
          </w:divBdr>
        </w:div>
        <w:div w:id="682122396">
          <w:marLeft w:val="0"/>
          <w:marRight w:val="0"/>
          <w:marTop w:val="0"/>
          <w:marBottom w:val="0"/>
          <w:divBdr>
            <w:top w:val="none" w:sz="0" w:space="0" w:color="auto"/>
            <w:left w:val="none" w:sz="0" w:space="0" w:color="auto"/>
            <w:bottom w:val="none" w:sz="0" w:space="0" w:color="auto"/>
            <w:right w:val="none" w:sz="0" w:space="0" w:color="auto"/>
          </w:divBdr>
        </w:div>
        <w:div w:id="716397102">
          <w:marLeft w:val="0"/>
          <w:marRight w:val="0"/>
          <w:marTop w:val="0"/>
          <w:marBottom w:val="0"/>
          <w:divBdr>
            <w:top w:val="none" w:sz="0" w:space="0" w:color="auto"/>
            <w:left w:val="none" w:sz="0" w:space="0" w:color="auto"/>
            <w:bottom w:val="none" w:sz="0" w:space="0" w:color="auto"/>
            <w:right w:val="none" w:sz="0" w:space="0" w:color="auto"/>
          </w:divBdr>
        </w:div>
        <w:div w:id="833253720">
          <w:marLeft w:val="0"/>
          <w:marRight w:val="0"/>
          <w:marTop w:val="0"/>
          <w:marBottom w:val="0"/>
          <w:divBdr>
            <w:top w:val="none" w:sz="0" w:space="0" w:color="auto"/>
            <w:left w:val="none" w:sz="0" w:space="0" w:color="auto"/>
            <w:bottom w:val="none" w:sz="0" w:space="0" w:color="auto"/>
            <w:right w:val="none" w:sz="0" w:space="0" w:color="auto"/>
          </w:divBdr>
        </w:div>
        <w:div w:id="916864901">
          <w:marLeft w:val="0"/>
          <w:marRight w:val="0"/>
          <w:marTop w:val="0"/>
          <w:marBottom w:val="0"/>
          <w:divBdr>
            <w:top w:val="none" w:sz="0" w:space="0" w:color="auto"/>
            <w:left w:val="none" w:sz="0" w:space="0" w:color="auto"/>
            <w:bottom w:val="none" w:sz="0" w:space="0" w:color="auto"/>
            <w:right w:val="none" w:sz="0" w:space="0" w:color="auto"/>
          </w:divBdr>
        </w:div>
        <w:div w:id="929004106">
          <w:marLeft w:val="0"/>
          <w:marRight w:val="0"/>
          <w:marTop w:val="0"/>
          <w:marBottom w:val="0"/>
          <w:divBdr>
            <w:top w:val="none" w:sz="0" w:space="0" w:color="auto"/>
            <w:left w:val="none" w:sz="0" w:space="0" w:color="auto"/>
            <w:bottom w:val="none" w:sz="0" w:space="0" w:color="auto"/>
            <w:right w:val="none" w:sz="0" w:space="0" w:color="auto"/>
          </w:divBdr>
        </w:div>
        <w:div w:id="961232382">
          <w:marLeft w:val="0"/>
          <w:marRight w:val="0"/>
          <w:marTop w:val="0"/>
          <w:marBottom w:val="0"/>
          <w:divBdr>
            <w:top w:val="none" w:sz="0" w:space="0" w:color="auto"/>
            <w:left w:val="none" w:sz="0" w:space="0" w:color="auto"/>
            <w:bottom w:val="none" w:sz="0" w:space="0" w:color="auto"/>
            <w:right w:val="none" w:sz="0" w:space="0" w:color="auto"/>
          </w:divBdr>
        </w:div>
        <w:div w:id="966853288">
          <w:marLeft w:val="0"/>
          <w:marRight w:val="0"/>
          <w:marTop w:val="0"/>
          <w:marBottom w:val="0"/>
          <w:divBdr>
            <w:top w:val="none" w:sz="0" w:space="0" w:color="auto"/>
            <w:left w:val="none" w:sz="0" w:space="0" w:color="auto"/>
            <w:bottom w:val="none" w:sz="0" w:space="0" w:color="auto"/>
            <w:right w:val="none" w:sz="0" w:space="0" w:color="auto"/>
          </w:divBdr>
        </w:div>
        <w:div w:id="1000427911">
          <w:marLeft w:val="0"/>
          <w:marRight w:val="0"/>
          <w:marTop w:val="0"/>
          <w:marBottom w:val="0"/>
          <w:divBdr>
            <w:top w:val="none" w:sz="0" w:space="0" w:color="auto"/>
            <w:left w:val="none" w:sz="0" w:space="0" w:color="auto"/>
            <w:bottom w:val="none" w:sz="0" w:space="0" w:color="auto"/>
            <w:right w:val="none" w:sz="0" w:space="0" w:color="auto"/>
          </w:divBdr>
        </w:div>
        <w:div w:id="1013605394">
          <w:marLeft w:val="0"/>
          <w:marRight w:val="0"/>
          <w:marTop w:val="0"/>
          <w:marBottom w:val="0"/>
          <w:divBdr>
            <w:top w:val="none" w:sz="0" w:space="0" w:color="auto"/>
            <w:left w:val="none" w:sz="0" w:space="0" w:color="auto"/>
            <w:bottom w:val="none" w:sz="0" w:space="0" w:color="auto"/>
            <w:right w:val="none" w:sz="0" w:space="0" w:color="auto"/>
          </w:divBdr>
        </w:div>
        <w:div w:id="1034230190">
          <w:marLeft w:val="0"/>
          <w:marRight w:val="0"/>
          <w:marTop w:val="0"/>
          <w:marBottom w:val="0"/>
          <w:divBdr>
            <w:top w:val="none" w:sz="0" w:space="0" w:color="auto"/>
            <w:left w:val="none" w:sz="0" w:space="0" w:color="auto"/>
            <w:bottom w:val="none" w:sz="0" w:space="0" w:color="auto"/>
            <w:right w:val="none" w:sz="0" w:space="0" w:color="auto"/>
          </w:divBdr>
        </w:div>
        <w:div w:id="1138959205">
          <w:marLeft w:val="0"/>
          <w:marRight w:val="0"/>
          <w:marTop w:val="0"/>
          <w:marBottom w:val="0"/>
          <w:divBdr>
            <w:top w:val="none" w:sz="0" w:space="0" w:color="auto"/>
            <w:left w:val="none" w:sz="0" w:space="0" w:color="auto"/>
            <w:bottom w:val="none" w:sz="0" w:space="0" w:color="auto"/>
            <w:right w:val="none" w:sz="0" w:space="0" w:color="auto"/>
          </w:divBdr>
        </w:div>
        <w:div w:id="1199854581">
          <w:marLeft w:val="0"/>
          <w:marRight w:val="0"/>
          <w:marTop w:val="0"/>
          <w:marBottom w:val="0"/>
          <w:divBdr>
            <w:top w:val="none" w:sz="0" w:space="0" w:color="auto"/>
            <w:left w:val="none" w:sz="0" w:space="0" w:color="auto"/>
            <w:bottom w:val="none" w:sz="0" w:space="0" w:color="auto"/>
            <w:right w:val="none" w:sz="0" w:space="0" w:color="auto"/>
          </w:divBdr>
        </w:div>
        <w:div w:id="1215122501">
          <w:marLeft w:val="0"/>
          <w:marRight w:val="0"/>
          <w:marTop w:val="0"/>
          <w:marBottom w:val="0"/>
          <w:divBdr>
            <w:top w:val="none" w:sz="0" w:space="0" w:color="auto"/>
            <w:left w:val="none" w:sz="0" w:space="0" w:color="auto"/>
            <w:bottom w:val="none" w:sz="0" w:space="0" w:color="auto"/>
            <w:right w:val="none" w:sz="0" w:space="0" w:color="auto"/>
          </w:divBdr>
        </w:div>
        <w:div w:id="1243953850">
          <w:marLeft w:val="840"/>
          <w:marRight w:val="0"/>
          <w:marTop w:val="0"/>
          <w:marBottom w:val="0"/>
          <w:divBdr>
            <w:top w:val="none" w:sz="0" w:space="0" w:color="auto"/>
            <w:left w:val="none" w:sz="0" w:space="0" w:color="auto"/>
            <w:bottom w:val="none" w:sz="0" w:space="0" w:color="auto"/>
            <w:right w:val="none" w:sz="0" w:space="0" w:color="auto"/>
          </w:divBdr>
        </w:div>
        <w:div w:id="1263562715">
          <w:marLeft w:val="0"/>
          <w:marRight w:val="0"/>
          <w:marTop w:val="0"/>
          <w:marBottom w:val="0"/>
          <w:divBdr>
            <w:top w:val="none" w:sz="0" w:space="0" w:color="auto"/>
            <w:left w:val="none" w:sz="0" w:space="0" w:color="auto"/>
            <w:bottom w:val="none" w:sz="0" w:space="0" w:color="auto"/>
            <w:right w:val="none" w:sz="0" w:space="0" w:color="auto"/>
          </w:divBdr>
        </w:div>
        <w:div w:id="1277175423">
          <w:marLeft w:val="0"/>
          <w:marRight w:val="0"/>
          <w:marTop w:val="0"/>
          <w:marBottom w:val="0"/>
          <w:divBdr>
            <w:top w:val="none" w:sz="0" w:space="0" w:color="auto"/>
            <w:left w:val="none" w:sz="0" w:space="0" w:color="auto"/>
            <w:bottom w:val="none" w:sz="0" w:space="0" w:color="auto"/>
            <w:right w:val="none" w:sz="0" w:space="0" w:color="auto"/>
          </w:divBdr>
        </w:div>
        <w:div w:id="1281375578">
          <w:marLeft w:val="0"/>
          <w:marRight w:val="0"/>
          <w:marTop w:val="0"/>
          <w:marBottom w:val="0"/>
          <w:divBdr>
            <w:top w:val="none" w:sz="0" w:space="0" w:color="auto"/>
            <w:left w:val="none" w:sz="0" w:space="0" w:color="auto"/>
            <w:bottom w:val="none" w:sz="0" w:space="0" w:color="auto"/>
            <w:right w:val="none" w:sz="0" w:space="0" w:color="auto"/>
          </w:divBdr>
        </w:div>
        <w:div w:id="1282228050">
          <w:marLeft w:val="720"/>
          <w:marRight w:val="0"/>
          <w:marTop w:val="0"/>
          <w:marBottom w:val="0"/>
          <w:divBdr>
            <w:top w:val="none" w:sz="0" w:space="0" w:color="auto"/>
            <w:left w:val="none" w:sz="0" w:space="0" w:color="auto"/>
            <w:bottom w:val="none" w:sz="0" w:space="0" w:color="auto"/>
            <w:right w:val="none" w:sz="0" w:space="0" w:color="auto"/>
          </w:divBdr>
        </w:div>
        <w:div w:id="1335910787">
          <w:marLeft w:val="0"/>
          <w:marRight w:val="0"/>
          <w:marTop w:val="0"/>
          <w:marBottom w:val="0"/>
          <w:divBdr>
            <w:top w:val="none" w:sz="0" w:space="0" w:color="auto"/>
            <w:left w:val="none" w:sz="0" w:space="0" w:color="auto"/>
            <w:bottom w:val="none" w:sz="0" w:space="0" w:color="auto"/>
            <w:right w:val="none" w:sz="0" w:space="0" w:color="auto"/>
          </w:divBdr>
        </w:div>
        <w:div w:id="1453480579">
          <w:marLeft w:val="0"/>
          <w:marRight w:val="0"/>
          <w:marTop w:val="0"/>
          <w:marBottom w:val="0"/>
          <w:divBdr>
            <w:top w:val="none" w:sz="0" w:space="0" w:color="auto"/>
            <w:left w:val="none" w:sz="0" w:space="0" w:color="auto"/>
            <w:bottom w:val="none" w:sz="0" w:space="0" w:color="auto"/>
            <w:right w:val="none" w:sz="0" w:space="0" w:color="auto"/>
          </w:divBdr>
        </w:div>
        <w:div w:id="1527716688">
          <w:marLeft w:val="0"/>
          <w:marRight w:val="0"/>
          <w:marTop w:val="0"/>
          <w:marBottom w:val="0"/>
          <w:divBdr>
            <w:top w:val="none" w:sz="0" w:space="0" w:color="auto"/>
            <w:left w:val="none" w:sz="0" w:space="0" w:color="auto"/>
            <w:bottom w:val="none" w:sz="0" w:space="0" w:color="auto"/>
            <w:right w:val="none" w:sz="0" w:space="0" w:color="auto"/>
          </w:divBdr>
        </w:div>
        <w:div w:id="1543789942">
          <w:marLeft w:val="0"/>
          <w:marRight w:val="0"/>
          <w:marTop w:val="0"/>
          <w:marBottom w:val="0"/>
          <w:divBdr>
            <w:top w:val="none" w:sz="0" w:space="0" w:color="auto"/>
            <w:left w:val="none" w:sz="0" w:space="0" w:color="auto"/>
            <w:bottom w:val="none" w:sz="0" w:space="0" w:color="auto"/>
            <w:right w:val="none" w:sz="0" w:space="0" w:color="auto"/>
          </w:divBdr>
        </w:div>
        <w:div w:id="1562401244">
          <w:marLeft w:val="0"/>
          <w:marRight w:val="0"/>
          <w:marTop w:val="0"/>
          <w:marBottom w:val="0"/>
          <w:divBdr>
            <w:top w:val="none" w:sz="0" w:space="0" w:color="auto"/>
            <w:left w:val="none" w:sz="0" w:space="0" w:color="auto"/>
            <w:bottom w:val="none" w:sz="0" w:space="0" w:color="auto"/>
            <w:right w:val="none" w:sz="0" w:space="0" w:color="auto"/>
          </w:divBdr>
        </w:div>
        <w:div w:id="1578322315">
          <w:marLeft w:val="0"/>
          <w:marRight w:val="0"/>
          <w:marTop w:val="0"/>
          <w:marBottom w:val="0"/>
          <w:divBdr>
            <w:top w:val="none" w:sz="0" w:space="0" w:color="auto"/>
            <w:left w:val="none" w:sz="0" w:space="0" w:color="auto"/>
            <w:bottom w:val="none" w:sz="0" w:space="0" w:color="auto"/>
            <w:right w:val="none" w:sz="0" w:space="0" w:color="auto"/>
          </w:divBdr>
        </w:div>
        <w:div w:id="1685403458">
          <w:marLeft w:val="0"/>
          <w:marRight w:val="0"/>
          <w:marTop w:val="0"/>
          <w:marBottom w:val="0"/>
          <w:divBdr>
            <w:top w:val="none" w:sz="0" w:space="0" w:color="auto"/>
            <w:left w:val="none" w:sz="0" w:space="0" w:color="auto"/>
            <w:bottom w:val="none" w:sz="0" w:space="0" w:color="auto"/>
            <w:right w:val="none" w:sz="0" w:space="0" w:color="auto"/>
          </w:divBdr>
        </w:div>
        <w:div w:id="1700550454">
          <w:marLeft w:val="0"/>
          <w:marRight w:val="0"/>
          <w:marTop w:val="0"/>
          <w:marBottom w:val="0"/>
          <w:divBdr>
            <w:top w:val="none" w:sz="0" w:space="0" w:color="auto"/>
            <w:left w:val="none" w:sz="0" w:space="0" w:color="auto"/>
            <w:bottom w:val="none" w:sz="0" w:space="0" w:color="auto"/>
            <w:right w:val="none" w:sz="0" w:space="0" w:color="auto"/>
          </w:divBdr>
        </w:div>
        <w:div w:id="1783108850">
          <w:marLeft w:val="0"/>
          <w:marRight w:val="0"/>
          <w:marTop w:val="0"/>
          <w:marBottom w:val="0"/>
          <w:divBdr>
            <w:top w:val="none" w:sz="0" w:space="0" w:color="auto"/>
            <w:left w:val="none" w:sz="0" w:space="0" w:color="auto"/>
            <w:bottom w:val="none" w:sz="0" w:space="0" w:color="auto"/>
            <w:right w:val="none" w:sz="0" w:space="0" w:color="auto"/>
          </w:divBdr>
        </w:div>
        <w:div w:id="1792359937">
          <w:marLeft w:val="0"/>
          <w:marRight w:val="0"/>
          <w:marTop w:val="0"/>
          <w:marBottom w:val="0"/>
          <w:divBdr>
            <w:top w:val="none" w:sz="0" w:space="0" w:color="auto"/>
            <w:left w:val="none" w:sz="0" w:space="0" w:color="auto"/>
            <w:bottom w:val="none" w:sz="0" w:space="0" w:color="auto"/>
            <w:right w:val="none" w:sz="0" w:space="0" w:color="auto"/>
          </w:divBdr>
        </w:div>
        <w:div w:id="1840071407">
          <w:marLeft w:val="0"/>
          <w:marRight w:val="0"/>
          <w:marTop w:val="0"/>
          <w:marBottom w:val="0"/>
          <w:divBdr>
            <w:top w:val="none" w:sz="0" w:space="0" w:color="auto"/>
            <w:left w:val="none" w:sz="0" w:space="0" w:color="auto"/>
            <w:bottom w:val="none" w:sz="0" w:space="0" w:color="auto"/>
            <w:right w:val="none" w:sz="0" w:space="0" w:color="auto"/>
          </w:divBdr>
        </w:div>
        <w:div w:id="1855067365">
          <w:marLeft w:val="0"/>
          <w:marRight w:val="0"/>
          <w:marTop w:val="0"/>
          <w:marBottom w:val="0"/>
          <w:divBdr>
            <w:top w:val="none" w:sz="0" w:space="0" w:color="auto"/>
            <w:left w:val="none" w:sz="0" w:space="0" w:color="auto"/>
            <w:bottom w:val="none" w:sz="0" w:space="0" w:color="auto"/>
            <w:right w:val="none" w:sz="0" w:space="0" w:color="auto"/>
          </w:divBdr>
        </w:div>
        <w:div w:id="1897859421">
          <w:marLeft w:val="0"/>
          <w:marRight w:val="0"/>
          <w:marTop w:val="0"/>
          <w:marBottom w:val="0"/>
          <w:divBdr>
            <w:top w:val="none" w:sz="0" w:space="0" w:color="auto"/>
            <w:left w:val="none" w:sz="0" w:space="0" w:color="auto"/>
            <w:bottom w:val="none" w:sz="0" w:space="0" w:color="auto"/>
            <w:right w:val="none" w:sz="0" w:space="0" w:color="auto"/>
          </w:divBdr>
        </w:div>
        <w:div w:id="1970430790">
          <w:marLeft w:val="720"/>
          <w:marRight w:val="0"/>
          <w:marTop w:val="0"/>
          <w:marBottom w:val="0"/>
          <w:divBdr>
            <w:top w:val="none" w:sz="0" w:space="0" w:color="auto"/>
            <w:left w:val="none" w:sz="0" w:space="0" w:color="auto"/>
            <w:bottom w:val="none" w:sz="0" w:space="0" w:color="auto"/>
            <w:right w:val="none" w:sz="0" w:space="0" w:color="auto"/>
          </w:divBdr>
        </w:div>
        <w:div w:id="2043358513">
          <w:marLeft w:val="0"/>
          <w:marRight w:val="0"/>
          <w:marTop w:val="0"/>
          <w:marBottom w:val="0"/>
          <w:divBdr>
            <w:top w:val="none" w:sz="0" w:space="0" w:color="auto"/>
            <w:left w:val="none" w:sz="0" w:space="0" w:color="auto"/>
            <w:bottom w:val="none" w:sz="0" w:space="0" w:color="auto"/>
            <w:right w:val="none" w:sz="0" w:space="0" w:color="auto"/>
          </w:divBdr>
        </w:div>
        <w:div w:id="2118981686">
          <w:marLeft w:val="0"/>
          <w:marRight w:val="0"/>
          <w:marTop w:val="0"/>
          <w:marBottom w:val="0"/>
          <w:divBdr>
            <w:top w:val="none" w:sz="0" w:space="0" w:color="auto"/>
            <w:left w:val="none" w:sz="0" w:space="0" w:color="auto"/>
            <w:bottom w:val="none" w:sz="0" w:space="0" w:color="auto"/>
            <w:right w:val="none" w:sz="0" w:space="0" w:color="auto"/>
          </w:divBdr>
        </w:div>
        <w:div w:id="2131318817">
          <w:marLeft w:val="0"/>
          <w:marRight w:val="0"/>
          <w:marTop w:val="0"/>
          <w:marBottom w:val="0"/>
          <w:divBdr>
            <w:top w:val="none" w:sz="0" w:space="0" w:color="auto"/>
            <w:left w:val="none" w:sz="0" w:space="0" w:color="auto"/>
            <w:bottom w:val="none" w:sz="0" w:space="0" w:color="auto"/>
            <w:right w:val="none" w:sz="0" w:space="0" w:color="auto"/>
          </w:divBdr>
        </w:div>
        <w:div w:id="2137063946">
          <w:marLeft w:val="0"/>
          <w:marRight w:val="0"/>
          <w:marTop w:val="0"/>
          <w:marBottom w:val="0"/>
          <w:divBdr>
            <w:top w:val="none" w:sz="0" w:space="0" w:color="auto"/>
            <w:left w:val="none" w:sz="0" w:space="0" w:color="auto"/>
            <w:bottom w:val="none" w:sz="0" w:space="0" w:color="auto"/>
            <w:right w:val="none" w:sz="0" w:space="0" w:color="auto"/>
          </w:divBdr>
        </w:div>
      </w:divsChild>
    </w:div>
    <w:div w:id="1742219671">
      <w:bodyDiv w:val="1"/>
      <w:marLeft w:val="0"/>
      <w:marRight w:val="0"/>
      <w:marTop w:val="0"/>
      <w:marBottom w:val="0"/>
      <w:divBdr>
        <w:top w:val="none" w:sz="0" w:space="0" w:color="auto"/>
        <w:left w:val="none" w:sz="0" w:space="0" w:color="auto"/>
        <w:bottom w:val="none" w:sz="0" w:space="0" w:color="auto"/>
        <w:right w:val="none" w:sz="0" w:space="0" w:color="auto"/>
      </w:divBdr>
      <w:divsChild>
        <w:div w:id="140973075">
          <w:marLeft w:val="0"/>
          <w:marRight w:val="0"/>
          <w:marTop w:val="0"/>
          <w:marBottom w:val="0"/>
          <w:divBdr>
            <w:top w:val="none" w:sz="0" w:space="0" w:color="auto"/>
            <w:left w:val="none" w:sz="0" w:space="0" w:color="auto"/>
            <w:bottom w:val="none" w:sz="0" w:space="0" w:color="auto"/>
            <w:right w:val="none" w:sz="0" w:space="0" w:color="auto"/>
          </w:divBdr>
        </w:div>
        <w:div w:id="698362227">
          <w:marLeft w:val="0"/>
          <w:marRight w:val="0"/>
          <w:marTop w:val="0"/>
          <w:marBottom w:val="0"/>
          <w:divBdr>
            <w:top w:val="none" w:sz="0" w:space="0" w:color="auto"/>
            <w:left w:val="none" w:sz="0" w:space="0" w:color="auto"/>
            <w:bottom w:val="none" w:sz="0" w:space="0" w:color="auto"/>
            <w:right w:val="none" w:sz="0" w:space="0" w:color="auto"/>
          </w:divBdr>
        </w:div>
        <w:div w:id="971668083">
          <w:marLeft w:val="0"/>
          <w:marRight w:val="0"/>
          <w:marTop w:val="0"/>
          <w:marBottom w:val="0"/>
          <w:divBdr>
            <w:top w:val="none" w:sz="0" w:space="0" w:color="auto"/>
            <w:left w:val="none" w:sz="0" w:space="0" w:color="auto"/>
            <w:bottom w:val="none" w:sz="0" w:space="0" w:color="auto"/>
            <w:right w:val="none" w:sz="0" w:space="0" w:color="auto"/>
          </w:divBdr>
        </w:div>
        <w:div w:id="1089497778">
          <w:marLeft w:val="0"/>
          <w:marRight w:val="0"/>
          <w:marTop w:val="0"/>
          <w:marBottom w:val="0"/>
          <w:divBdr>
            <w:top w:val="none" w:sz="0" w:space="0" w:color="auto"/>
            <w:left w:val="none" w:sz="0" w:space="0" w:color="auto"/>
            <w:bottom w:val="none" w:sz="0" w:space="0" w:color="auto"/>
            <w:right w:val="none" w:sz="0" w:space="0" w:color="auto"/>
          </w:divBdr>
        </w:div>
        <w:div w:id="1677879557">
          <w:marLeft w:val="0"/>
          <w:marRight w:val="0"/>
          <w:marTop w:val="0"/>
          <w:marBottom w:val="0"/>
          <w:divBdr>
            <w:top w:val="none" w:sz="0" w:space="0" w:color="auto"/>
            <w:left w:val="none" w:sz="0" w:space="0" w:color="auto"/>
            <w:bottom w:val="none" w:sz="0" w:space="0" w:color="auto"/>
            <w:right w:val="none" w:sz="0" w:space="0" w:color="auto"/>
          </w:divBdr>
        </w:div>
        <w:div w:id="2131826208">
          <w:marLeft w:val="0"/>
          <w:marRight w:val="0"/>
          <w:marTop w:val="0"/>
          <w:marBottom w:val="0"/>
          <w:divBdr>
            <w:top w:val="none" w:sz="0" w:space="0" w:color="auto"/>
            <w:left w:val="none" w:sz="0" w:space="0" w:color="auto"/>
            <w:bottom w:val="none" w:sz="0" w:space="0" w:color="auto"/>
            <w:right w:val="none" w:sz="0" w:space="0" w:color="auto"/>
          </w:divBdr>
        </w:div>
      </w:divsChild>
    </w:div>
    <w:div w:id="1777286047">
      <w:bodyDiv w:val="1"/>
      <w:marLeft w:val="0"/>
      <w:marRight w:val="0"/>
      <w:marTop w:val="0"/>
      <w:marBottom w:val="0"/>
      <w:divBdr>
        <w:top w:val="none" w:sz="0" w:space="0" w:color="auto"/>
        <w:left w:val="none" w:sz="0" w:space="0" w:color="auto"/>
        <w:bottom w:val="none" w:sz="0" w:space="0" w:color="auto"/>
        <w:right w:val="none" w:sz="0" w:space="0" w:color="auto"/>
      </w:divBdr>
      <w:divsChild>
        <w:div w:id="255290347">
          <w:marLeft w:val="0"/>
          <w:marRight w:val="0"/>
          <w:marTop w:val="0"/>
          <w:marBottom w:val="0"/>
          <w:divBdr>
            <w:top w:val="none" w:sz="0" w:space="0" w:color="auto"/>
            <w:left w:val="none" w:sz="0" w:space="0" w:color="auto"/>
            <w:bottom w:val="none" w:sz="0" w:space="0" w:color="auto"/>
            <w:right w:val="none" w:sz="0" w:space="0" w:color="auto"/>
          </w:divBdr>
        </w:div>
        <w:div w:id="810441124">
          <w:marLeft w:val="0"/>
          <w:marRight w:val="0"/>
          <w:marTop w:val="0"/>
          <w:marBottom w:val="0"/>
          <w:divBdr>
            <w:top w:val="none" w:sz="0" w:space="0" w:color="auto"/>
            <w:left w:val="none" w:sz="0" w:space="0" w:color="auto"/>
            <w:bottom w:val="none" w:sz="0" w:space="0" w:color="auto"/>
            <w:right w:val="none" w:sz="0" w:space="0" w:color="auto"/>
          </w:divBdr>
        </w:div>
        <w:div w:id="882058495">
          <w:marLeft w:val="0"/>
          <w:marRight w:val="0"/>
          <w:marTop w:val="0"/>
          <w:marBottom w:val="0"/>
          <w:divBdr>
            <w:top w:val="none" w:sz="0" w:space="0" w:color="auto"/>
            <w:left w:val="none" w:sz="0" w:space="0" w:color="auto"/>
            <w:bottom w:val="none" w:sz="0" w:space="0" w:color="auto"/>
            <w:right w:val="none" w:sz="0" w:space="0" w:color="auto"/>
          </w:divBdr>
        </w:div>
        <w:div w:id="894703080">
          <w:marLeft w:val="0"/>
          <w:marRight w:val="0"/>
          <w:marTop w:val="0"/>
          <w:marBottom w:val="0"/>
          <w:divBdr>
            <w:top w:val="none" w:sz="0" w:space="0" w:color="auto"/>
            <w:left w:val="none" w:sz="0" w:space="0" w:color="auto"/>
            <w:bottom w:val="none" w:sz="0" w:space="0" w:color="auto"/>
            <w:right w:val="none" w:sz="0" w:space="0" w:color="auto"/>
          </w:divBdr>
        </w:div>
        <w:div w:id="1206337153">
          <w:marLeft w:val="0"/>
          <w:marRight w:val="0"/>
          <w:marTop w:val="0"/>
          <w:marBottom w:val="0"/>
          <w:divBdr>
            <w:top w:val="none" w:sz="0" w:space="0" w:color="auto"/>
            <w:left w:val="none" w:sz="0" w:space="0" w:color="auto"/>
            <w:bottom w:val="none" w:sz="0" w:space="0" w:color="auto"/>
            <w:right w:val="none" w:sz="0" w:space="0" w:color="auto"/>
          </w:divBdr>
        </w:div>
        <w:div w:id="1276711653">
          <w:marLeft w:val="0"/>
          <w:marRight w:val="0"/>
          <w:marTop w:val="0"/>
          <w:marBottom w:val="0"/>
          <w:divBdr>
            <w:top w:val="none" w:sz="0" w:space="0" w:color="auto"/>
            <w:left w:val="none" w:sz="0" w:space="0" w:color="auto"/>
            <w:bottom w:val="none" w:sz="0" w:space="0" w:color="auto"/>
            <w:right w:val="none" w:sz="0" w:space="0" w:color="auto"/>
          </w:divBdr>
        </w:div>
        <w:div w:id="1625193489">
          <w:marLeft w:val="0"/>
          <w:marRight w:val="0"/>
          <w:marTop w:val="0"/>
          <w:marBottom w:val="0"/>
          <w:divBdr>
            <w:top w:val="none" w:sz="0" w:space="0" w:color="auto"/>
            <w:left w:val="none" w:sz="0" w:space="0" w:color="auto"/>
            <w:bottom w:val="none" w:sz="0" w:space="0" w:color="auto"/>
            <w:right w:val="none" w:sz="0" w:space="0" w:color="auto"/>
          </w:divBdr>
        </w:div>
        <w:div w:id="1642612842">
          <w:marLeft w:val="0"/>
          <w:marRight w:val="0"/>
          <w:marTop w:val="0"/>
          <w:marBottom w:val="0"/>
          <w:divBdr>
            <w:top w:val="none" w:sz="0" w:space="0" w:color="auto"/>
            <w:left w:val="none" w:sz="0" w:space="0" w:color="auto"/>
            <w:bottom w:val="none" w:sz="0" w:space="0" w:color="auto"/>
            <w:right w:val="none" w:sz="0" w:space="0" w:color="auto"/>
          </w:divBdr>
        </w:div>
        <w:div w:id="1840802564">
          <w:marLeft w:val="0"/>
          <w:marRight w:val="0"/>
          <w:marTop w:val="0"/>
          <w:marBottom w:val="0"/>
          <w:divBdr>
            <w:top w:val="none" w:sz="0" w:space="0" w:color="auto"/>
            <w:left w:val="none" w:sz="0" w:space="0" w:color="auto"/>
            <w:bottom w:val="none" w:sz="0" w:space="0" w:color="auto"/>
            <w:right w:val="none" w:sz="0" w:space="0" w:color="auto"/>
          </w:divBdr>
        </w:div>
        <w:div w:id="2040079166">
          <w:marLeft w:val="0"/>
          <w:marRight w:val="0"/>
          <w:marTop w:val="0"/>
          <w:marBottom w:val="0"/>
          <w:divBdr>
            <w:top w:val="none" w:sz="0" w:space="0" w:color="auto"/>
            <w:left w:val="none" w:sz="0" w:space="0" w:color="auto"/>
            <w:bottom w:val="none" w:sz="0" w:space="0" w:color="auto"/>
            <w:right w:val="none" w:sz="0" w:space="0" w:color="auto"/>
          </w:divBdr>
        </w:div>
      </w:divsChild>
    </w:div>
    <w:div w:id="1779058827">
      <w:bodyDiv w:val="1"/>
      <w:marLeft w:val="0"/>
      <w:marRight w:val="0"/>
      <w:marTop w:val="0"/>
      <w:marBottom w:val="0"/>
      <w:divBdr>
        <w:top w:val="none" w:sz="0" w:space="0" w:color="auto"/>
        <w:left w:val="none" w:sz="0" w:space="0" w:color="auto"/>
        <w:bottom w:val="none" w:sz="0" w:space="0" w:color="auto"/>
        <w:right w:val="none" w:sz="0" w:space="0" w:color="auto"/>
      </w:divBdr>
      <w:divsChild>
        <w:div w:id="152525836">
          <w:marLeft w:val="0"/>
          <w:marRight w:val="0"/>
          <w:marTop w:val="0"/>
          <w:marBottom w:val="0"/>
          <w:divBdr>
            <w:top w:val="none" w:sz="0" w:space="0" w:color="auto"/>
            <w:left w:val="none" w:sz="0" w:space="0" w:color="auto"/>
            <w:bottom w:val="none" w:sz="0" w:space="0" w:color="auto"/>
            <w:right w:val="none" w:sz="0" w:space="0" w:color="auto"/>
          </w:divBdr>
        </w:div>
        <w:div w:id="436943991">
          <w:marLeft w:val="0"/>
          <w:marRight w:val="0"/>
          <w:marTop w:val="0"/>
          <w:marBottom w:val="0"/>
          <w:divBdr>
            <w:top w:val="none" w:sz="0" w:space="0" w:color="auto"/>
            <w:left w:val="none" w:sz="0" w:space="0" w:color="auto"/>
            <w:bottom w:val="none" w:sz="0" w:space="0" w:color="auto"/>
            <w:right w:val="none" w:sz="0" w:space="0" w:color="auto"/>
          </w:divBdr>
        </w:div>
        <w:div w:id="635331791">
          <w:marLeft w:val="0"/>
          <w:marRight w:val="0"/>
          <w:marTop w:val="0"/>
          <w:marBottom w:val="0"/>
          <w:divBdr>
            <w:top w:val="none" w:sz="0" w:space="0" w:color="auto"/>
            <w:left w:val="none" w:sz="0" w:space="0" w:color="auto"/>
            <w:bottom w:val="none" w:sz="0" w:space="0" w:color="auto"/>
            <w:right w:val="none" w:sz="0" w:space="0" w:color="auto"/>
          </w:divBdr>
        </w:div>
        <w:div w:id="1080834682">
          <w:marLeft w:val="0"/>
          <w:marRight w:val="0"/>
          <w:marTop w:val="0"/>
          <w:marBottom w:val="0"/>
          <w:divBdr>
            <w:top w:val="none" w:sz="0" w:space="0" w:color="auto"/>
            <w:left w:val="none" w:sz="0" w:space="0" w:color="auto"/>
            <w:bottom w:val="none" w:sz="0" w:space="0" w:color="auto"/>
            <w:right w:val="none" w:sz="0" w:space="0" w:color="auto"/>
          </w:divBdr>
        </w:div>
        <w:div w:id="1298032475">
          <w:marLeft w:val="0"/>
          <w:marRight w:val="0"/>
          <w:marTop w:val="0"/>
          <w:marBottom w:val="0"/>
          <w:divBdr>
            <w:top w:val="none" w:sz="0" w:space="0" w:color="auto"/>
            <w:left w:val="none" w:sz="0" w:space="0" w:color="auto"/>
            <w:bottom w:val="none" w:sz="0" w:space="0" w:color="auto"/>
            <w:right w:val="none" w:sz="0" w:space="0" w:color="auto"/>
          </w:divBdr>
        </w:div>
        <w:div w:id="1418330985">
          <w:marLeft w:val="0"/>
          <w:marRight w:val="0"/>
          <w:marTop w:val="0"/>
          <w:marBottom w:val="0"/>
          <w:divBdr>
            <w:top w:val="none" w:sz="0" w:space="0" w:color="auto"/>
            <w:left w:val="none" w:sz="0" w:space="0" w:color="auto"/>
            <w:bottom w:val="none" w:sz="0" w:space="0" w:color="auto"/>
            <w:right w:val="none" w:sz="0" w:space="0" w:color="auto"/>
          </w:divBdr>
        </w:div>
        <w:div w:id="1447771758">
          <w:marLeft w:val="0"/>
          <w:marRight w:val="0"/>
          <w:marTop w:val="0"/>
          <w:marBottom w:val="0"/>
          <w:divBdr>
            <w:top w:val="none" w:sz="0" w:space="0" w:color="auto"/>
            <w:left w:val="none" w:sz="0" w:space="0" w:color="auto"/>
            <w:bottom w:val="none" w:sz="0" w:space="0" w:color="auto"/>
            <w:right w:val="none" w:sz="0" w:space="0" w:color="auto"/>
          </w:divBdr>
        </w:div>
        <w:div w:id="1560706798">
          <w:marLeft w:val="0"/>
          <w:marRight w:val="0"/>
          <w:marTop w:val="0"/>
          <w:marBottom w:val="0"/>
          <w:divBdr>
            <w:top w:val="none" w:sz="0" w:space="0" w:color="auto"/>
            <w:left w:val="none" w:sz="0" w:space="0" w:color="auto"/>
            <w:bottom w:val="none" w:sz="0" w:space="0" w:color="auto"/>
            <w:right w:val="none" w:sz="0" w:space="0" w:color="auto"/>
          </w:divBdr>
        </w:div>
        <w:div w:id="1797721401">
          <w:marLeft w:val="0"/>
          <w:marRight w:val="0"/>
          <w:marTop w:val="0"/>
          <w:marBottom w:val="0"/>
          <w:divBdr>
            <w:top w:val="none" w:sz="0" w:space="0" w:color="auto"/>
            <w:left w:val="none" w:sz="0" w:space="0" w:color="auto"/>
            <w:bottom w:val="none" w:sz="0" w:space="0" w:color="auto"/>
            <w:right w:val="none" w:sz="0" w:space="0" w:color="auto"/>
          </w:divBdr>
        </w:div>
      </w:divsChild>
    </w:div>
    <w:div w:id="1818255320">
      <w:bodyDiv w:val="1"/>
      <w:marLeft w:val="0"/>
      <w:marRight w:val="0"/>
      <w:marTop w:val="0"/>
      <w:marBottom w:val="0"/>
      <w:divBdr>
        <w:top w:val="none" w:sz="0" w:space="0" w:color="auto"/>
        <w:left w:val="none" w:sz="0" w:space="0" w:color="auto"/>
        <w:bottom w:val="none" w:sz="0" w:space="0" w:color="auto"/>
        <w:right w:val="none" w:sz="0" w:space="0" w:color="auto"/>
      </w:divBdr>
      <w:divsChild>
        <w:div w:id="21057027">
          <w:marLeft w:val="0"/>
          <w:marRight w:val="0"/>
          <w:marTop w:val="0"/>
          <w:marBottom w:val="0"/>
          <w:divBdr>
            <w:top w:val="none" w:sz="0" w:space="0" w:color="auto"/>
            <w:left w:val="none" w:sz="0" w:space="0" w:color="auto"/>
            <w:bottom w:val="none" w:sz="0" w:space="0" w:color="auto"/>
            <w:right w:val="none" w:sz="0" w:space="0" w:color="auto"/>
          </w:divBdr>
        </w:div>
        <w:div w:id="195583603">
          <w:marLeft w:val="0"/>
          <w:marRight w:val="0"/>
          <w:marTop w:val="0"/>
          <w:marBottom w:val="0"/>
          <w:divBdr>
            <w:top w:val="none" w:sz="0" w:space="0" w:color="auto"/>
            <w:left w:val="none" w:sz="0" w:space="0" w:color="auto"/>
            <w:bottom w:val="none" w:sz="0" w:space="0" w:color="auto"/>
            <w:right w:val="none" w:sz="0" w:space="0" w:color="auto"/>
          </w:divBdr>
        </w:div>
      </w:divsChild>
    </w:div>
    <w:div w:id="1826359223">
      <w:bodyDiv w:val="1"/>
      <w:marLeft w:val="0"/>
      <w:marRight w:val="0"/>
      <w:marTop w:val="0"/>
      <w:marBottom w:val="0"/>
      <w:divBdr>
        <w:top w:val="none" w:sz="0" w:space="0" w:color="auto"/>
        <w:left w:val="none" w:sz="0" w:space="0" w:color="auto"/>
        <w:bottom w:val="none" w:sz="0" w:space="0" w:color="auto"/>
        <w:right w:val="none" w:sz="0" w:space="0" w:color="auto"/>
      </w:divBdr>
      <w:divsChild>
        <w:div w:id="19207501">
          <w:marLeft w:val="0"/>
          <w:marRight w:val="0"/>
          <w:marTop w:val="0"/>
          <w:marBottom w:val="0"/>
          <w:divBdr>
            <w:top w:val="none" w:sz="0" w:space="0" w:color="auto"/>
            <w:left w:val="none" w:sz="0" w:space="0" w:color="auto"/>
            <w:bottom w:val="none" w:sz="0" w:space="0" w:color="auto"/>
            <w:right w:val="none" w:sz="0" w:space="0" w:color="auto"/>
          </w:divBdr>
        </w:div>
        <w:div w:id="19361784">
          <w:marLeft w:val="0"/>
          <w:marRight w:val="0"/>
          <w:marTop w:val="0"/>
          <w:marBottom w:val="0"/>
          <w:divBdr>
            <w:top w:val="none" w:sz="0" w:space="0" w:color="auto"/>
            <w:left w:val="none" w:sz="0" w:space="0" w:color="auto"/>
            <w:bottom w:val="none" w:sz="0" w:space="0" w:color="auto"/>
            <w:right w:val="none" w:sz="0" w:space="0" w:color="auto"/>
          </w:divBdr>
        </w:div>
        <w:div w:id="91629162">
          <w:marLeft w:val="720"/>
          <w:marRight w:val="0"/>
          <w:marTop w:val="0"/>
          <w:marBottom w:val="0"/>
          <w:divBdr>
            <w:top w:val="none" w:sz="0" w:space="0" w:color="auto"/>
            <w:left w:val="none" w:sz="0" w:space="0" w:color="auto"/>
            <w:bottom w:val="none" w:sz="0" w:space="0" w:color="auto"/>
            <w:right w:val="none" w:sz="0" w:space="0" w:color="auto"/>
          </w:divBdr>
        </w:div>
        <w:div w:id="95563554">
          <w:marLeft w:val="0"/>
          <w:marRight w:val="0"/>
          <w:marTop w:val="0"/>
          <w:marBottom w:val="0"/>
          <w:divBdr>
            <w:top w:val="none" w:sz="0" w:space="0" w:color="auto"/>
            <w:left w:val="none" w:sz="0" w:space="0" w:color="auto"/>
            <w:bottom w:val="none" w:sz="0" w:space="0" w:color="auto"/>
            <w:right w:val="none" w:sz="0" w:space="0" w:color="auto"/>
          </w:divBdr>
        </w:div>
        <w:div w:id="199783906">
          <w:marLeft w:val="0"/>
          <w:marRight w:val="0"/>
          <w:marTop w:val="0"/>
          <w:marBottom w:val="0"/>
          <w:divBdr>
            <w:top w:val="none" w:sz="0" w:space="0" w:color="auto"/>
            <w:left w:val="none" w:sz="0" w:space="0" w:color="auto"/>
            <w:bottom w:val="none" w:sz="0" w:space="0" w:color="auto"/>
            <w:right w:val="none" w:sz="0" w:space="0" w:color="auto"/>
          </w:divBdr>
        </w:div>
        <w:div w:id="207381438">
          <w:marLeft w:val="0"/>
          <w:marRight w:val="0"/>
          <w:marTop w:val="0"/>
          <w:marBottom w:val="0"/>
          <w:divBdr>
            <w:top w:val="none" w:sz="0" w:space="0" w:color="auto"/>
            <w:left w:val="none" w:sz="0" w:space="0" w:color="auto"/>
            <w:bottom w:val="none" w:sz="0" w:space="0" w:color="auto"/>
            <w:right w:val="none" w:sz="0" w:space="0" w:color="auto"/>
          </w:divBdr>
        </w:div>
        <w:div w:id="284041108">
          <w:marLeft w:val="0"/>
          <w:marRight w:val="0"/>
          <w:marTop w:val="0"/>
          <w:marBottom w:val="0"/>
          <w:divBdr>
            <w:top w:val="none" w:sz="0" w:space="0" w:color="auto"/>
            <w:left w:val="none" w:sz="0" w:space="0" w:color="auto"/>
            <w:bottom w:val="none" w:sz="0" w:space="0" w:color="auto"/>
            <w:right w:val="none" w:sz="0" w:space="0" w:color="auto"/>
          </w:divBdr>
        </w:div>
        <w:div w:id="295257409">
          <w:marLeft w:val="0"/>
          <w:marRight w:val="0"/>
          <w:marTop w:val="0"/>
          <w:marBottom w:val="0"/>
          <w:divBdr>
            <w:top w:val="none" w:sz="0" w:space="0" w:color="auto"/>
            <w:left w:val="none" w:sz="0" w:space="0" w:color="auto"/>
            <w:bottom w:val="none" w:sz="0" w:space="0" w:color="auto"/>
            <w:right w:val="none" w:sz="0" w:space="0" w:color="auto"/>
          </w:divBdr>
        </w:div>
        <w:div w:id="341205335">
          <w:marLeft w:val="0"/>
          <w:marRight w:val="0"/>
          <w:marTop w:val="0"/>
          <w:marBottom w:val="0"/>
          <w:divBdr>
            <w:top w:val="none" w:sz="0" w:space="0" w:color="auto"/>
            <w:left w:val="none" w:sz="0" w:space="0" w:color="auto"/>
            <w:bottom w:val="none" w:sz="0" w:space="0" w:color="auto"/>
            <w:right w:val="none" w:sz="0" w:space="0" w:color="auto"/>
          </w:divBdr>
        </w:div>
        <w:div w:id="341779925">
          <w:marLeft w:val="0"/>
          <w:marRight w:val="0"/>
          <w:marTop w:val="0"/>
          <w:marBottom w:val="0"/>
          <w:divBdr>
            <w:top w:val="none" w:sz="0" w:space="0" w:color="auto"/>
            <w:left w:val="none" w:sz="0" w:space="0" w:color="auto"/>
            <w:bottom w:val="none" w:sz="0" w:space="0" w:color="auto"/>
            <w:right w:val="none" w:sz="0" w:space="0" w:color="auto"/>
          </w:divBdr>
        </w:div>
        <w:div w:id="537400702">
          <w:marLeft w:val="0"/>
          <w:marRight w:val="0"/>
          <w:marTop w:val="0"/>
          <w:marBottom w:val="0"/>
          <w:divBdr>
            <w:top w:val="none" w:sz="0" w:space="0" w:color="auto"/>
            <w:left w:val="none" w:sz="0" w:space="0" w:color="auto"/>
            <w:bottom w:val="none" w:sz="0" w:space="0" w:color="auto"/>
            <w:right w:val="none" w:sz="0" w:space="0" w:color="auto"/>
          </w:divBdr>
        </w:div>
        <w:div w:id="694161157">
          <w:marLeft w:val="0"/>
          <w:marRight w:val="0"/>
          <w:marTop w:val="0"/>
          <w:marBottom w:val="0"/>
          <w:divBdr>
            <w:top w:val="none" w:sz="0" w:space="0" w:color="auto"/>
            <w:left w:val="none" w:sz="0" w:space="0" w:color="auto"/>
            <w:bottom w:val="none" w:sz="0" w:space="0" w:color="auto"/>
            <w:right w:val="none" w:sz="0" w:space="0" w:color="auto"/>
          </w:divBdr>
        </w:div>
        <w:div w:id="883639256">
          <w:marLeft w:val="0"/>
          <w:marRight w:val="0"/>
          <w:marTop w:val="0"/>
          <w:marBottom w:val="0"/>
          <w:divBdr>
            <w:top w:val="none" w:sz="0" w:space="0" w:color="auto"/>
            <w:left w:val="none" w:sz="0" w:space="0" w:color="auto"/>
            <w:bottom w:val="none" w:sz="0" w:space="0" w:color="auto"/>
            <w:right w:val="none" w:sz="0" w:space="0" w:color="auto"/>
          </w:divBdr>
        </w:div>
        <w:div w:id="899361225">
          <w:marLeft w:val="0"/>
          <w:marRight w:val="0"/>
          <w:marTop w:val="0"/>
          <w:marBottom w:val="0"/>
          <w:divBdr>
            <w:top w:val="none" w:sz="0" w:space="0" w:color="auto"/>
            <w:left w:val="none" w:sz="0" w:space="0" w:color="auto"/>
            <w:bottom w:val="none" w:sz="0" w:space="0" w:color="auto"/>
            <w:right w:val="none" w:sz="0" w:space="0" w:color="auto"/>
          </w:divBdr>
        </w:div>
        <w:div w:id="1079131497">
          <w:marLeft w:val="0"/>
          <w:marRight w:val="0"/>
          <w:marTop w:val="0"/>
          <w:marBottom w:val="0"/>
          <w:divBdr>
            <w:top w:val="none" w:sz="0" w:space="0" w:color="auto"/>
            <w:left w:val="none" w:sz="0" w:space="0" w:color="auto"/>
            <w:bottom w:val="none" w:sz="0" w:space="0" w:color="auto"/>
            <w:right w:val="none" w:sz="0" w:space="0" w:color="auto"/>
          </w:divBdr>
        </w:div>
        <w:div w:id="1109544034">
          <w:marLeft w:val="720"/>
          <w:marRight w:val="0"/>
          <w:marTop w:val="0"/>
          <w:marBottom w:val="0"/>
          <w:divBdr>
            <w:top w:val="none" w:sz="0" w:space="0" w:color="auto"/>
            <w:left w:val="none" w:sz="0" w:space="0" w:color="auto"/>
            <w:bottom w:val="none" w:sz="0" w:space="0" w:color="auto"/>
            <w:right w:val="none" w:sz="0" w:space="0" w:color="auto"/>
          </w:divBdr>
        </w:div>
        <w:div w:id="1120489364">
          <w:marLeft w:val="0"/>
          <w:marRight w:val="0"/>
          <w:marTop w:val="0"/>
          <w:marBottom w:val="0"/>
          <w:divBdr>
            <w:top w:val="none" w:sz="0" w:space="0" w:color="auto"/>
            <w:left w:val="none" w:sz="0" w:space="0" w:color="auto"/>
            <w:bottom w:val="none" w:sz="0" w:space="0" w:color="auto"/>
            <w:right w:val="none" w:sz="0" w:space="0" w:color="auto"/>
          </w:divBdr>
        </w:div>
        <w:div w:id="1269897187">
          <w:marLeft w:val="0"/>
          <w:marRight w:val="0"/>
          <w:marTop w:val="0"/>
          <w:marBottom w:val="0"/>
          <w:divBdr>
            <w:top w:val="none" w:sz="0" w:space="0" w:color="auto"/>
            <w:left w:val="none" w:sz="0" w:space="0" w:color="auto"/>
            <w:bottom w:val="none" w:sz="0" w:space="0" w:color="auto"/>
            <w:right w:val="none" w:sz="0" w:space="0" w:color="auto"/>
          </w:divBdr>
        </w:div>
        <w:div w:id="1276400732">
          <w:marLeft w:val="0"/>
          <w:marRight w:val="0"/>
          <w:marTop w:val="0"/>
          <w:marBottom w:val="0"/>
          <w:divBdr>
            <w:top w:val="none" w:sz="0" w:space="0" w:color="auto"/>
            <w:left w:val="none" w:sz="0" w:space="0" w:color="auto"/>
            <w:bottom w:val="none" w:sz="0" w:space="0" w:color="auto"/>
            <w:right w:val="none" w:sz="0" w:space="0" w:color="auto"/>
          </w:divBdr>
        </w:div>
        <w:div w:id="1294210366">
          <w:marLeft w:val="1080"/>
          <w:marRight w:val="0"/>
          <w:marTop w:val="0"/>
          <w:marBottom w:val="0"/>
          <w:divBdr>
            <w:top w:val="none" w:sz="0" w:space="0" w:color="auto"/>
            <w:left w:val="none" w:sz="0" w:space="0" w:color="auto"/>
            <w:bottom w:val="none" w:sz="0" w:space="0" w:color="auto"/>
            <w:right w:val="none" w:sz="0" w:space="0" w:color="auto"/>
          </w:divBdr>
        </w:div>
        <w:div w:id="1379085250">
          <w:marLeft w:val="0"/>
          <w:marRight w:val="0"/>
          <w:marTop w:val="0"/>
          <w:marBottom w:val="0"/>
          <w:divBdr>
            <w:top w:val="none" w:sz="0" w:space="0" w:color="auto"/>
            <w:left w:val="none" w:sz="0" w:space="0" w:color="auto"/>
            <w:bottom w:val="none" w:sz="0" w:space="0" w:color="auto"/>
            <w:right w:val="none" w:sz="0" w:space="0" w:color="auto"/>
          </w:divBdr>
        </w:div>
        <w:div w:id="1418479847">
          <w:marLeft w:val="0"/>
          <w:marRight w:val="0"/>
          <w:marTop w:val="0"/>
          <w:marBottom w:val="0"/>
          <w:divBdr>
            <w:top w:val="none" w:sz="0" w:space="0" w:color="auto"/>
            <w:left w:val="none" w:sz="0" w:space="0" w:color="auto"/>
            <w:bottom w:val="none" w:sz="0" w:space="0" w:color="auto"/>
            <w:right w:val="none" w:sz="0" w:space="0" w:color="auto"/>
          </w:divBdr>
        </w:div>
        <w:div w:id="1427774483">
          <w:marLeft w:val="0"/>
          <w:marRight w:val="0"/>
          <w:marTop w:val="0"/>
          <w:marBottom w:val="0"/>
          <w:divBdr>
            <w:top w:val="none" w:sz="0" w:space="0" w:color="auto"/>
            <w:left w:val="none" w:sz="0" w:space="0" w:color="auto"/>
            <w:bottom w:val="none" w:sz="0" w:space="0" w:color="auto"/>
            <w:right w:val="none" w:sz="0" w:space="0" w:color="auto"/>
          </w:divBdr>
        </w:div>
        <w:div w:id="1598753893">
          <w:marLeft w:val="720"/>
          <w:marRight w:val="0"/>
          <w:marTop w:val="0"/>
          <w:marBottom w:val="0"/>
          <w:divBdr>
            <w:top w:val="none" w:sz="0" w:space="0" w:color="auto"/>
            <w:left w:val="none" w:sz="0" w:space="0" w:color="auto"/>
            <w:bottom w:val="none" w:sz="0" w:space="0" w:color="auto"/>
            <w:right w:val="none" w:sz="0" w:space="0" w:color="auto"/>
          </w:divBdr>
        </w:div>
        <w:div w:id="1763715957">
          <w:marLeft w:val="0"/>
          <w:marRight w:val="0"/>
          <w:marTop w:val="0"/>
          <w:marBottom w:val="0"/>
          <w:divBdr>
            <w:top w:val="none" w:sz="0" w:space="0" w:color="auto"/>
            <w:left w:val="none" w:sz="0" w:space="0" w:color="auto"/>
            <w:bottom w:val="none" w:sz="0" w:space="0" w:color="auto"/>
            <w:right w:val="none" w:sz="0" w:space="0" w:color="auto"/>
          </w:divBdr>
        </w:div>
        <w:div w:id="1846166099">
          <w:marLeft w:val="0"/>
          <w:marRight w:val="0"/>
          <w:marTop w:val="0"/>
          <w:marBottom w:val="0"/>
          <w:divBdr>
            <w:top w:val="none" w:sz="0" w:space="0" w:color="auto"/>
            <w:left w:val="none" w:sz="0" w:space="0" w:color="auto"/>
            <w:bottom w:val="none" w:sz="0" w:space="0" w:color="auto"/>
            <w:right w:val="none" w:sz="0" w:space="0" w:color="auto"/>
          </w:divBdr>
        </w:div>
        <w:div w:id="2008558186">
          <w:marLeft w:val="0"/>
          <w:marRight w:val="0"/>
          <w:marTop w:val="0"/>
          <w:marBottom w:val="0"/>
          <w:divBdr>
            <w:top w:val="none" w:sz="0" w:space="0" w:color="auto"/>
            <w:left w:val="none" w:sz="0" w:space="0" w:color="auto"/>
            <w:bottom w:val="none" w:sz="0" w:space="0" w:color="auto"/>
            <w:right w:val="none" w:sz="0" w:space="0" w:color="auto"/>
          </w:divBdr>
        </w:div>
        <w:div w:id="2044479674">
          <w:marLeft w:val="0"/>
          <w:marRight w:val="0"/>
          <w:marTop w:val="0"/>
          <w:marBottom w:val="0"/>
          <w:divBdr>
            <w:top w:val="none" w:sz="0" w:space="0" w:color="auto"/>
            <w:left w:val="none" w:sz="0" w:space="0" w:color="auto"/>
            <w:bottom w:val="none" w:sz="0" w:space="0" w:color="auto"/>
            <w:right w:val="none" w:sz="0" w:space="0" w:color="auto"/>
          </w:divBdr>
        </w:div>
        <w:div w:id="2064982727">
          <w:marLeft w:val="1080"/>
          <w:marRight w:val="0"/>
          <w:marTop w:val="0"/>
          <w:marBottom w:val="0"/>
          <w:divBdr>
            <w:top w:val="none" w:sz="0" w:space="0" w:color="auto"/>
            <w:left w:val="none" w:sz="0" w:space="0" w:color="auto"/>
            <w:bottom w:val="none" w:sz="0" w:space="0" w:color="auto"/>
            <w:right w:val="none" w:sz="0" w:space="0" w:color="auto"/>
          </w:divBdr>
        </w:div>
        <w:div w:id="2073313728">
          <w:marLeft w:val="0"/>
          <w:marRight w:val="0"/>
          <w:marTop w:val="0"/>
          <w:marBottom w:val="0"/>
          <w:divBdr>
            <w:top w:val="none" w:sz="0" w:space="0" w:color="auto"/>
            <w:left w:val="none" w:sz="0" w:space="0" w:color="auto"/>
            <w:bottom w:val="none" w:sz="0" w:space="0" w:color="auto"/>
            <w:right w:val="none" w:sz="0" w:space="0" w:color="auto"/>
          </w:divBdr>
        </w:div>
        <w:div w:id="2085754854">
          <w:marLeft w:val="0"/>
          <w:marRight w:val="0"/>
          <w:marTop w:val="0"/>
          <w:marBottom w:val="0"/>
          <w:divBdr>
            <w:top w:val="none" w:sz="0" w:space="0" w:color="auto"/>
            <w:left w:val="none" w:sz="0" w:space="0" w:color="auto"/>
            <w:bottom w:val="none" w:sz="0" w:space="0" w:color="auto"/>
            <w:right w:val="none" w:sz="0" w:space="0" w:color="auto"/>
          </w:divBdr>
        </w:div>
        <w:div w:id="2113015764">
          <w:marLeft w:val="0"/>
          <w:marRight w:val="0"/>
          <w:marTop w:val="0"/>
          <w:marBottom w:val="0"/>
          <w:divBdr>
            <w:top w:val="none" w:sz="0" w:space="0" w:color="auto"/>
            <w:left w:val="none" w:sz="0" w:space="0" w:color="auto"/>
            <w:bottom w:val="none" w:sz="0" w:space="0" w:color="auto"/>
            <w:right w:val="none" w:sz="0" w:space="0" w:color="auto"/>
          </w:divBdr>
        </w:div>
      </w:divsChild>
    </w:div>
    <w:div w:id="1850831355">
      <w:bodyDiv w:val="1"/>
      <w:marLeft w:val="0"/>
      <w:marRight w:val="0"/>
      <w:marTop w:val="0"/>
      <w:marBottom w:val="0"/>
      <w:divBdr>
        <w:top w:val="none" w:sz="0" w:space="0" w:color="auto"/>
        <w:left w:val="none" w:sz="0" w:space="0" w:color="auto"/>
        <w:bottom w:val="none" w:sz="0" w:space="0" w:color="auto"/>
        <w:right w:val="none" w:sz="0" w:space="0" w:color="auto"/>
      </w:divBdr>
    </w:div>
    <w:div w:id="1862861016">
      <w:bodyDiv w:val="1"/>
      <w:marLeft w:val="0"/>
      <w:marRight w:val="0"/>
      <w:marTop w:val="0"/>
      <w:marBottom w:val="0"/>
      <w:divBdr>
        <w:top w:val="none" w:sz="0" w:space="0" w:color="auto"/>
        <w:left w:val="none" w:sz="0" w:space="0" w:color="auto"/>
        <w:bottom w:val="none" w:sz="0" w:space="0" w:color="auto"/>
        <w:right w:val="none" w:sz="0" w:space="0" w:color="auto"/>
      </w:divBdr>
    </w:div>
    <w:div w:id="1865173937">
      <w:bodyDiv w:val="1"/>
      <w:marLeft w:val="0"/>
      <w:marRight w:val="0"/>
      <w:marTop w:val="0"/>
      <w:marBottom w:val="0"/>
      <w:divBdr>
        <w:top w:val="none" w:sz="0" w:space="0" w:color="auto"/>
        <w:left w:val="none" w:sz="0" w:space="0" w:color="auto"/>
        <w:bottom w:val="none" w:sz="0" w:space="0" w:color="auto"/>
        <w:right w:val="none" w:sz="0" w:space="0" w:color="auto"/>
      </w:divBdr>
      <w:divsChild>
        <w:div w:id="178810380">
          <w:marLeft w:val="0"/>
          <w:marRight w:val="0"/>
          <w:marTop w:val="0"/>
          <w:marBottom w:val="0"/>
          <w:divBdr>
            <w:top w:val="none" w:sz="0" w:space="0" w:color="auto"/>
            <w:left w:val="none" w:sz="0" w:space="0" w:color="auto"/>
            <w:bottom w:val="none" w:sz="0" w:space="0" w:color="auto"/>
            <w:right w:val="none" w:sz="0" w:space="0" w:color="auto"/>
          </w:divBdr>
        </w:div>
        <w:div w:id="1625766001">
          <w:marLeft w:val="0"/>
          <w:marRight w:val="0"/>
          <w:marTop w:val="0"/>
          <w:marBottom w:val="0"/>
          <w:divBdr>
            <w:top w:val="none" w:sz="0" w:space="0" w:color="auto"/>
            <w:left w:val="none" w:sz="0" w:space="0" w:color="auto"/>
            <w:bottom w:val="none" w:sz="0" w:space="0" w:color="auto"/>
            <w:right w:val="none" w:sz="0" w:space="0" w:color="auto"/>
          </w:divBdr>
        </w:div>
        <w:div w:id="1666471708">
          <w:marLeft w:val="0"/>
          <w:marRight w:val="0"/>
          <w:marTop w:val="0"/>
          <w:marBottom w:val="0"/>
          <w:divBdr>
            <w:top w:val="none" w:sz="0" w:space="0" w:color="auto"/>
            <w:left w:val="none" w:sz="0" w:space="0" w:color="auto"/>
            <w:bottom w:val="none" w:sz="0" w:space="0" w:color="auto"/>
            <w:right w:val="none" w:sz="0" w:space="0" w:color="auto"/>
          </w:divBdr>
        </w:div>
      </w:divsChild>
    </w:div>
    <w:div w:id="1871524781">
      <w:bodyDiv w:val="1"/>
      <w:marLeft w:val="0"/>
      <w:marRight w:val="0"/>
      <w:marTop w:val="0"/>
      <w:marBottom w:val="0"/>
      <w:divBdr>
        <w:top w:val="none" w:sz="0" w:space="0" w:color="auto"/>
        <w:left w:val="none" w:sz="0" w:space="0" w:color="auto"/>
        <w:bottom w:val="none" w:sz="0" w:space="0" w:color="auto"/>
        <w:right w:val="none" w:sz="0" w:space="0" w:color="auto"/>
      </w:divBdr>
      <w:divsChild>
        <w:div w:id="60567648">
          <w:marLeft w:val="0"/>
          <w:marRight w:val="0"/>
          <w:marTop w:val="0"/>
          <w:marBottom w:val="0"/>
          <w:divBdr>
            <w:top w:val="none" w:sz="0" w:space="0" w:color="auto"/>
            <w:left w:val="none" w:sz="0" w:space="0" w:color="auto"/>
            <w:bottom w:val="none" w:sz="0" w:space="0" w:color="auto"/>
            <w:right w:val="none" w:sz="0" w:space="0" w:color="auto"/>
          </w:divBdr>
        </w:div>
        <w:div w:id="117384974">
          <w:marLeft w:val="0"/>
          <w:marRight w:val="0"/>
          <w:marTop w:val="0"/>
          <w:marBottom w:val="0"/>
          <w:divBdr>
            <w:top w:val="none" w:sz="0" w:space="0" w:color="auto"/>
            <w:left w:val="none" w:sz="0" w:space="0" w:color="auto"/>
            <w:bottom w:val="none" w:sz="0" w:space="0" w:color="auto"/>
            <w:right w:val="none" w:sz="0" w:space="0" w:color="auto"/>
          </w:divBdr>
        </w:div>
        <w:div w:id="182941171">
          <w:marLeft w:val="0"/>
          <w:marRight w:val="0"/>
          <w:marTop w:val="0"/>
          <w:marBottom w:val="0"/>
          <w:divBdr>
            <w:top w:val="none" w:sz="0" w:space="0" w:color="auto"/>
            <w:left w:val="none" w:sz="0" w:space="0" w:color="auto"/>
            <w:bottom w:val="none" w:sz="0" w:space="0" w:color="auto"/>
            <w:right w:val="none" w:sz="0" w:space="0" w:color="auto"/>
          </w:divBdr>
        </w:div>
        <w:div w:id="435102775">
          <w:marLeft w:val="0"/>
          <w:marRight w:val="0"/>
          <w:marTop w:val="0"/>
          <w:marBottom w:val="0"/>
          <w:divBdr>
            <w:top w:val="none" w:sz="0" w:space="0" w:color="auto"/>
            <w:left w:val="none" w:sz="0" w:space="0" w:color="auto"/>
            <w:bottom w:val="none" w:sz="0" w:space="0" w:color="auto"/>
            <w:right w:val="none" w:sz="0" w:space="0" w:color="auto"/>
          </w:divBdr>
        </w:div>
        <w:div w:id="439030697">
          <w:marLeft w:val="0"/>
          <w:marRight w:val="0"/>
          <w:marTop w:val="0"/>
          <w:marBottom w:val="0"/>
          <w:divBdr>
            <w:top w:val="none" w:sz="0" w:space="0" w:color="auto"/>
            <w:left w:val="none" w:sz="0" w:space="0" w:color="auto"/>
            <w:bottom w:val="none" w:sz="0" w:space="0" w:color="auto"/>
            <w:right w:val="none" w:sz="0" w:space="0" w:color="auto"/>
          </w:divBdr>
        </w:div>
        <w:div w:id="471102077">
          <w:marLeft w:val="0"/>
          <w:marRight w:val="0"/>
          <w:marTop w:val="0"/>
          <w:marBottom w:val="0"/>
          <w:divBdr>
            <w:top w:val="none" w:sz="0" w:space="0" w:color="auto"/>
            <w:left w:val="none" w:sz="0" w:space="0" w:color="auto"/>
            <w:bottom w:val="none" w:sz="0" w:space="0" w:color="auto"/>
            <w:right w:val="none" w:sz="0" w:space="0" w:color="auto"/>
          </w:divBdr>
        </w:div>
        <w:div w:id="538124935">
          <w:marLeft w:val="0"/>
          <w:marRight w:val="0"/>
          <w:marTop w:val="0"/>
          <w:marBottom w:val="0"/>
          <w:divBdr>
            <w:top w:val="none" w:sz="0" w:space="0" w:color="auto"/>
            <w:left w:val="none" w:sz="0" w:space="0" w:color="auto"/>
            <w:bottom w:val="none" w:sz="0" w:space="0" w:color="auto"/>
            <w:right w:val="none" w:sz="0" w:space="0" w:color="auto"/>
          </w:divBdr>
        </w:div>
        <w:div w:id="800535462">
          <w:marLeft w:val="0"/>
          <w:marRight w:val="0"/>
          <w:marTop w:val="0"/>
          <w:marBottom w:val="0"/>
          <w:divBdr>
            <w:top w:val="none" w:sz="0" w:space="0" w:color="auto"/>
            <w:left w:val="none" w:sz="0" w:space="0" w:color="auto"/>
            <w:bottom w:val="none" w:sz="0" w:space="0" w:color="auto"/>
            <w:right w:val="none" w:sz="0" w:space="0" w:color="auto"/>
          </w:divBdr>
        </w:div>
        <w:div w:id="816142985">
          <w:marLeft w:val="0"/>
          <w:marRight w:val="0"/>
          <w:marTop w:val="0"/>
          <w:marBottom w:val="0"/>
          <w:divBdr>
            <w:top w:val="none" w:sz="0" w:space="0" w:color="auto"/>
            <w:left w:val="none" w:sz="0" w:space="0" w:color="auto"/>
            <w:bottom w:val="none" w:sz="0" w:space="0" w:color="auto"/>
            <w:right w:val="none" w:sz="0" w:space="0" w:color="auto"/>
          </w:divBdr>
        </w:div>
        <w:div w:id="1064110483">
          <w:marLeft w:val="1080"/>
          <w:marRight w:val="0"/>
          <w:marTop w:val="0"/>
          <w:marBottom w:val="0"/>
          <w:divBdr>
            <w:top w:val="none" w:sz="0" w:space="0" w:color="auto"/>
            <w:left w:val="none" w:sz="0" w:space="0" w:color="auto"/>
            <w:bottom w:val="none" w:sz="0" w:space="0" w:color="auto"/>
            <w:right w:val="none" w:sz="0" w:space="0" w:color="auto"/>
          </w:divBdr>
        </w:div>
        <w:div w:id="1078526445">
          <w:marLeft w:val="0"/>
          <w:marRight w:val="0"/>
          <w:marTop w:val="0"/>
          <w:marBottom w:val="0"/>
          <w:divBdr>
            <w:top w:val="none" w:sz="0" w:space="0" w:color="auto"/>
            <w:left w:val="none" w:sz="0" w:space="0" w:color="auto"/>
            <w:bottom w:val="none" w:sz="0" w:space="0" w:color="auto"/>
            <w:right w:val="none" w:sz="0" w:space="0" w:color="auto"/>
          </w:divBdr>
        </w:div>
        <w:div w:id="1081832089">
          <w:marLeft w:val="0"/>
          <w:marRight w:val="0"/>
          <w:marTop w:val="0"/>
          <w:marBottom w:val="0"/>
          <w:divBdr>
            <w:top w:val="none" w:sz="0" w:space="0" w:color="auto"/>
            <w:left w:val="none" w:sz="0" w:space="0" w:color="auto"/>
            <w:bottom w:val="none" w:sz="0" w:space="0" w:color="auto"/>
            <w:right w:val="none" w:sz="0" w:space="0" w:color="auto"/>
          </w:divBdr>
        </w:div>
        <w:div w:id="1106734007">
          <w:marLeft w:val="720"/>
          <w:marRight w:val="0"/>
          <w:marTop w:val="0"/>
          <w:marBottom w:val="0"/>
          <w:divBdr>
            <w:top w:val="none" w:sz="0" w:space="0" w:color="auto"/>
            <w:left w:val="none" w:sz="0" w:space="0" w:color="auto"/>
            <w:bottom w:val="none" w:sz="0" w:space="0" w:color="auto"/>
            <w:right w:val="none" w:sz="0" w:space="0" w:color="auto"/>
          </w:divBdr>
        </w:div>
        <w:div w:id="1203715432">
          <w:marLeft w:val="0"/>
          <w:marRight w:val="0"/>
          <w:marTop w:val="0"/>
          <w:marBottom w:val="0"/>
          <w:divBdr>
            <w:top w:val="none" w:sz="0" w:space="0" w:color="auto"/>
            <w:left w:val="none" w:sz="0" w:space="0" w:color="auto"/>
            <w:bottom w:val="none" w:sz="0" w:space="0" w:color="auto"/>
            <w:right w:val="none" w:sz="0" w:space="0" w:color="auto"/>
          </w:divBdr>
        </w:div>
        <w:div w:id="1280721294">
          <w:marLeft w:val="0"/>
          <w:marRight w:val="0"/>
          <w:marTop w:val="0"/>
          <w:marBottom w:val="0"/>
          <w:divBdr>
            <w:top w:val="none" w:sz="0" w:space="0" w:color="auto"/>
            <w:left w:val="none" w:sz="0" w:space="0" w:color="auto"/>
            <w:bottom w:val="none" w:sz="0" w:space="0" w:color="auto"/>
            <w:right w:val="none" w:sz="0" w:space="0" w:color="auto"/>
          </w:divBdr>
        </w:div>
        <w:div w:id="1285119751">
          <w:marLeft w:val="0"/>
          <w:marRight w:val="0"/>
          <w:marTop w:val="0"/>
          <w:marBottom w:val="0"/>
          <w:divBdr>
            <w:top w:val="none" w:sz="0" w:space="0" w:color="auto"/>
            <w:left w:val="none" w:sz="0" w:space="0" w:color="auto"/>
            <w:bottom w:val="none" w:sz="0" w:space="0" w:color="auto"/>
            <w:right w:val="none" w:sz="0" w:space="0" w:color="auto"/>
          </w:divBdr>
        </w:div>
        <w:div w:id="1363290678">
          <w:marLeft w:val="720"/>
          <w:marRight w:val="0"/>
          <w:marTop w:val="0"/>
          <w:marBottom w:val="0"/>
          <w:divBdr>
            <w:top w:val="none" w:sz="0" w:space="0" w:color="auto"/>
            <w:left w:val="none" w:sz="0" w:space="0" w:color="auto"/>
            <w:bottom w:val="none" w:sz="0" w:space="0" w:color="auto"/>
            <w:right w:val="none" w:sz="0" w:space="0" w:color="auto"/>
          </w:divBdr>
        </w:div>
        <w:div w:id="1367022473">
          <w:marLeft w:val="0"/>
          <w:marRight w:val="0"/>
          <w:marTop w:val="0"/>
          <w:marBottom w:val="0"/>
          <w:divBdr>
            <w:top w:val="none" w:sz="0" w:space="0" w:color="auto"/>
            <w:left w:val="none" w:sz="0" w:space="0" w:color="auto"/>
            <w:bottom w:val="none" w:sz="0" w:space="0" w:color="auto"/>
            <w:right w:val="none" w:sz="0" w:space="0" w:color="auto"/>
          </w:divBdr>
        </w:div>
        <w:div w:id="1435900239">
          <w:marLeft w:val="0"/>
          <w:marRight w:val="0"/>
          <w:marTop w:val="0"/>
          <w:marBottom w:val="0"/>
          <w:divBdr>
            <w:top w:val="none" w:sz="0" w:space="0" w:color="auto"/>
            <w:left w:val="none" w:sz="0" w:space="0" w:color="auto"/>
            <w:bottom w:val="none" w:sz="0" w:space="0" w:color="auto"/>
            <w:right w:val="none" w:sz="0" w:space="0" w:color="auto"/>
          </w:divBdr>
        </w:div>
        <w:div w:id="1533036563">
          <w:marLeft w:val="0"/>
          <w:marRight w:val="0"/>
          <w:marTop w:val="0"/>
          <w:marBottom w:val="0"/>
          <w:divBdr>
            <w:top w:val="none" w:sz="0" w:space="0" w:color="auto"/>
            <w:left w:val="none" w:sz="0" w:space="0" w:color="auto"/>
            <w:bottom w:val="none" w:sz="0" w:space="0" w:color="auto"/>
            <w:right w:val="none" w:sz="0" w:space="0" w:color="auto"/>
          </w:divBdr>
        </w:div>
        <w:div w:id="1584416723">
          <w:marLeft w:val="720"/>
          <w:marRight w:val="0"/>
          <w:marTop w:val="0"/>
          <w:marBottom w:val="0"/>
          <w:divBdr>
            <w:top w:val="none" w:sz="0" w:space="0" w:color="auto"/>
            <w:left w:val="none" w:sz="0" w:space="0" w:color="auto"/>
            <w:bottom w:val="none" w:sz="0" w:space="0" w:color="auto"/>
            <w:right w:val="none" w:sz="0" w:space="0" w:color="auto"/>
          </w:divBdr>
        </w:div>
        <w:div w:id="1633362882">
          <w:marLeft w:val="0"/>
          <w:marRight w:val="0"/>
          <w:marTop w:val="0"/>
          <w:marBottom w:val="0"/>
          <w:divBdr>
            <w:top w:val="none" w:sz="0" w:space="0" w:color="auto"/>
            <w:left w:val="none" w:sz="0" w:space="0" w:color="auto"/>
            <w:bottom w:val="none" w:sz="0" w:space="0" w:color="auto"/>
            <w:right w:val="none" w:sz="0" w:space="0" w:color="auto"/>
          </w:divBdr>
        </w:div>
        <w:div w:id="1637374615">
          <w:marLeft w:val="0"/>
          <w:marRight w:val="0"/>
          <w:marTop w:val="0"/>
          <w:marBottom w:val="0"/>
          <w:divBdr>
            <w:top w:val="none" w:sz="0" w:space="0" w:color="auto"/>
            <w:left w:val="none" w:sz="0" w:space="0" w:color="auto"/>
            <w:bottom w:val="none" w:sz="0" w:space="0" w:color="auto"/>
            <w:right w:val="none" w:sz="0" w:space="0" w:color="auto"/>
          </w:divBdr>
        </w:div>
        <w:div w:id="1728412742">
          <w:marLeft w:val="0"/>
          <w:marRight w:val="0"/>
          <w:marTop w:val="0"/>
          <w:marBottom w:val="0"/>
          <w:divBdr>
            <w:top w:val="none" w:sz="0" w:space="0" w:color="auto"/>
            <w:left w:val="none" w:sz="0" w:space="0" w:color="auto"/>
            <w:bottom w:val="none" w:sz="0" w:space="0" w:color="auto"/>
            <w:right w:val="none" w:sz="0" w:space="0" w:color="auto"/>
          </w:divBdr>
        </w:div>
        <w:div w:id="1751999457">
          <w:marLeft w:val="0"/>
          <w:marRight w:val="0"/>
          <w:marTop w:val="0"/>
          <w:marBottom w:val="0"/>
          <w:divBdr>
            <w:top w:val="none" w:sz="0" w:space="0" w:color="auto"/>
            <w:left w:val="none" w:sz="0" w:space="0" w:color="auto"/>
            <w:bottom w:val="none" w:sz="0" w:space="0" w:color="auto"/>
            <w:right w:val="none" w:sz="0" w:space="0" w:color="auto"/>
          </w:divBdr>
        </w:div>
        <w:div w:id="1805653191">
          <w:marLeft w:val="0"/>
          <w:marRight w:val="0"/>
          <w:marTop w:val="0"/>
          <w:marBottom w:val="0"/>
          <w:divBdr>
            <w:top w:val="none" w:sz="0" w:space="0" w:color="auto"/>
            <w:left w:val="none" w:sz="0" w:space="0" w:color="auto"/>
            <w:bottom w:val="none" w:sz="0" w:space="0" w:color="auto"/>
            <w:right w:val="none" w:sz="0" w:space="0" w:color="auto"/>
          </w:divBdr>
        </w:div>
        <w:div w:id="1847284317">
          <w:marLeft w:val="0"/>
          <w:marRight w:val="0"/>
          <w:marTop w:val="0"/>
          <w:marBottom w:val="0"/>
          <w:divBdr>
            <w:top w:val="none" w:sz="0" w:space="0" w:color="auto"/>
            <w:left w:val="none" w:sz="0" w:space="0" w:color="auto"/>
            <w:bottom w:val="none" w:sz="0" w:space="0" w:color="auto"/>
            <w:right w:val="none" w:sz="0" w:space="0" w:color="auto"/>
          </w:divBdr>
        </w:div>
        <w:div w:id="1970286032">
          <w:marLeft w:val="0"/>
          <w:marRight w:val="0"/>
          <w:marTop w:val="0"/>
          <w:marBottom w:val="0"/>
          <w:divBdr>
            <w:top w:val="none" w:sz="0" w:space="0" w:color="auto"/>
            <w:left w:val="none" w:sz="0" w:space="0" w:color="auto"/>
            <w:bottom w:val="none" w:sz="0" w:space="0" w:color="auto"/>
            <w:right w:val="none" w:sz="0" w:space="0" w:color="auto"/>
          </w:divBdr>
        </w:div>
        <w:div w:id="2039037689">
          <w:marLeft w:val="0"/>
          <w:marRight w:val="0"/>
          <w:marTop w:val="0"/>
          <w:marBottom w:val="0"/>
          <w:divBdr>
            <w:top w:val="none" w:sz="0" w:space="0" w:color="auto"/>
            <w:left w:val="none" w:sz="0" w:space="0" w:color="auto"/>
            <w:bottom w:val="none" w:sz="0" w:space="0" w:color="auto"/>
            <w:right w:val="none" w:sz="0" w:space="0" w:color="auto"/>
          </w:divBdr>
        </w:div>
        <w:div w:id="2106730325">
          <w:marLeft w:val="0"/>
          <w:marRight w:val="0"/>
          <w:marTop w:val="0"/>
          <w:marBottom w:val="0"/>
          <w:divBdr>
            <w:top w:val="none" w:sz="0" w:space="0" w:color="auto"/>
            <w:left w:val="none" w:sz="0" w:space="0" w:color="auto"/>
            <w:bottom w:val="none" w:sz="0" w:space="0" w:color="auto"/>
            <w:right w:val="none" w:sz="0" w:space="0" w:color="auto"/>
          </w:divBdr>
        </w:div>
        <w:div w:id="2122260894">
          <w:marLeft w:val="1080"/>
          <w:marRight w:val="0"/>
          <w:marTop w:val="0"/>
          <w:marBottom w:val="0"/>
          <w:divBdr>
            <w:top w:val="none" w:sz="0" w:space="0" w:color="auto"/>
            <w:left w:val="none" w:sz="0" w:space="0" w:color="auto"/>
            <w:bottom w:val="none" w:sz="0" w:space="0" w:color="auto"/>
            <w:right w:val="none" w:sz="0" w:space="0" w:color="auto"/>
          </w:divBdr>
        </w:div>
        <w:div w:id="2142111369">
          <w:marLeft w:val="0"/>
          <w:marRight w:val="0"/>
          <w:marTop w:val="0"/>
          <w:marBottom w:val="0"/>
          <w:divBdr>
            <w:top w:val="none" w:sz="0" w:space="0" w:color="auto"/>
            <w:left w:val="none" w:sz="0" w:space="0" w:color="auto"/>
            <w:bottom w:val="none" w:sz="0" w:space="0" w:color="auto"/>
            <w:right w:val="none" w:sz="0" w:space="0" w:color="auto"/>
          </w:divBdr>
        </w:div>
      </w:divsChild>
    </w:div>
    <w:div w:id="1890459459">
      <w:bodyDiv w:val="1"/>
      <w:marLeft w:val="0"/>
      <w:marRight w:val="0"/>
      <w:marTop w:val="0"/>
      <w:marBottom w:val="0"/>
      <w:divBdr>
        <w:top w:val="none" w:sz="0" w:space="0" w:color="auto"/>
        <w:left w:val="none" w:sz="0" w:space="0" w:color="auto"/>
        <w:bottom w:val="none" w:sz="0" w:space="0" w:color="auto"/>
        <w:right w:val="none" w:sz="0" w:space="0" w:color="auto"/>
      </w:divBdr>
      <w:divsChild>
        <w:div w:id="985477392">
          <w:marLeft w:val="0"/>
          <w:marRight w:val="0"/>
          <w:marTop w:val="0"/>
          <w:marBottom w:val="0"/>
          <w:divBdr>
            <w:top w:val="none" w:sz="0" w:space="0" w:color="auto"/>
            <w:left w:val="none" w:sz="0" w:space="0" w:color="auto"/>
            <w:bottom w:val="none" w:sz="0" w:space="0" w:color="auto"/>
            <w:right w:val="none" w:sz="0" w:space="0" w:color="auto"/>
          </w:divBdr>
        </w:div>
        <w:div w:id="1238246185">
          <w:marLeft w:val="0"/>
          <w:marRight w:val="0"/>
          <w:marTop w:val="0"/>
          <w:marBottom w:val="0"/>
          <w:divBdr>
            <w:top w:val="none" w:sz="0" w:space="0" w:color="auto"/>
            <w:left w:val="none" w:sz="0" w:space="0" w:color="auto"/>
            <w:bottom w:val="none" w:sz="0" w:space="0" w:color="auto"/>
            <w:right w:val="none" w:sz="0" w:space="0" w:color="auto"/>
          </w:divBdr>
        </w:div>
        <w:div w:id="1662544358">
          <w:marLeft w:val="0"/>
          <w:marRight w:val="0"/>
          <w:marTop w:val="0"/>
          <w:marBottom w:val="0"/>
          <w:divBdr>
            <w:top w:val="none" w:sz="0" w:space="0" w:color="auto"/>
            <w:left w:val="none" w:sz="0" w:space="0" w:color="auto"/>
            <w:bottom w:val="none" w:sz="0" w:space="0" w:color="auto"/>
            <w:right w:val="none" w:sz="0" w:space="0" w:color="auto"/>
          </w:divBdr>
        </w:div>
        <w:div w:id="1745375951">
          <w:marLeft w:val="0"/>
          <w:marRight w:val="0"/>
          <w:marTop w:val="0"/>
          <w:marBottom w:val="0"/>
          <w:divBdr>
            <w:top w:val="none" w:sz="0" w:space="0" w:color="auto"/>
            <w:left w:val="none" w:sz="0" w:space="0" w:color="auto"/>
            <w:bottom w:val="none" w:sz="0" w:space="0" w:color="auto"/>
            <w:right w:val="none" w:sz="0" w:space="0" w:color="auto"/>
          </w:divBdr>
        </w:div>
        <w:div w:id="1860390747">
          <w:marLeft w:val="0"/>
          <w:marRight w:val="0"/>
          <w:marTop w:val="0"/>
          <w:marBottom w:val="0"/>
          <w:divBdr>
            <w:top w:val="none" w:sz="0" w:space="0" w:color="auto"/>
            <w:left w:val="none" w:sz="0" w:space="0" w:color="auto"/>
            <w:bottom w:val="none" w:sz="0" w:space="0" w:color="auto"/>
            <w:right w:val="none" w:sz="0" w:space="0" w:color="auto"/>
          </w:divBdr>
        </w:div>
        <w:div w:id="2014456591">
          <w:marLeft w:val="0"/>
          <w:marRight w:val="0"/>
          <w:marTop w:val="0"/>
          <w:marBottom w:val="0"/>
          <w:divBdr>
            <w:top w:val="none" w:sz="0" w:space="0" w:color="auto"/>
            <w:left w:val="none" w:sz="0" w:space="0" w:color="auto"/>
            <w:bottom w:val="none" w:sz="0" w:space="0" w:color="auto"/>
            <w:right w:val="none" w:sz="0" w:space="0" w:color="auto"/>
          </w:divBdr>
        </w:div>
      </w:divsChild>
    </w:div>
    <w:div w:id="1932270843">
      <w:bodyDiv w:val="1"/>
      <w:marLeft w:val="0"/>
      <w:marRight w:val="0"/>
      <w:marTop w:val="0"/>
      <w:marBottom w:val="0"/>
      <w:divBdr>
        <w:top w:val="none" w:sz="0" w:space="0" w:color="auto"/>
        <w:left w:val="none" w:sz="0" w:space="0" w:color="auto"/>
        <w:bottom w:val="none" w:sz="0" w:space="0" w:color="auto"/>
        <w:right w:val="none" w:sz="0" w:space="0" w:color="auto"/>
      </w:divBdr>
    </w:div>
    <w:div w:id="1937784536">
      <w:bodyDiv w:val="1"/>
      <w:marLeft w:val="0"/>
      <w:marRight w:val="0"/>
      <w:marTop w:val="0"/>
      <w:marBottom w:val="0"/>
      <w:divBdr>
        <w:top w:val="none" w:sz="0" w:space="0" w:color="auto"/>
        <w:left w:val="none" w:sz="0" w:space="0" w:color="auto"/>
        <w:bottom w:val="none" w:sz="0" w:space="0" w:color="auto"/>
        <w:right w:val="none" w:sz="0" w:space="0" w:color="auto"/>
      </w:divBdr>
    </w:div>
    <w:div w:id="1944066693">
      <w:bodyDiv w:val="1"/>
      <w:marLeft w:val="0"/>
      <w:marRight w:val="0"/>
      <w:marTop w:val="0"/>
      <w:marBottom w:val="0"/>
      <w:divBdr>
        <w:top w:val="none" w:sz="0" w:space="0" w:color="auto"/>
        <w:left w:val="none" w:sz="0" w:space="0" w:color="auto"/>
        <w:bottom w:val="none" w:sz="0" w:space="0" w:color="auto"/>
        <w:right w:val="none" w:sz="0" w:space="0" w:color="auto"/>
      </w:divBdr>
      <w:divsChild>
        <w:div w:id="210961655">
          <w:marLeft w:val="0"/>
          <w:marRight w:val="0"/>
          <w:marTop w:val="0"/>
          <w:marBottom w:val="0"/>
          <w:divBdr>
            <w:top w:val="none" w:sz="0" w:space="0" w:color="auto"/>
            <w:left w:val="none" w:sz="0" w:space="0" w:color="auto"/>
            <w:bottom w:val="none" w:sz="0" w:space="0" w:color="auto"/>
            <w:right w:val="none" w:sz="0" w:space="0" w:color="auto"/>
          </w:divBdr>
        </w:div>
        <w:div w:id="1124226860">
          <w:marLeft w:val="0"/>
          <w:marRight w:val="0"/>
          <w:marTop w:val="0"/>
          <w:marBottom w:val="0"/>
          <w:divBdr>
            <w:top w:val="none" w:sz="0" w:space="0" w:color="auto"/>
            <w:left w:val="none" w:sz="0" w:space="0" w:color="auto"/>
            <w:bottom w:val="none" w:sz="0" w:space="0" w:color="auto"/>
            <w:right w:val="none" w:sz="0" w:space="0" w:color="auto"/>
          </w:divBdr>
        </w:div>
        <w:div w:id="1451824672">
          <w:marLeft w:val="0"/>
          <w:marRight w:val="0"/>
          <w:marTop w:val="0"/>
          <w:marBottom w:val="0"/>
          <w:divBdr>
            <w:top w:val="none" w:sz="0" w:space="0" w:color="auto"/>
            <w:left w:val="none" w:sz="0" w:space="0" w:color="auto"/>
            <w:bottom w:val="none" w:sz="0" w:space="0" w:color="auto"/>
            <w:right w:val="none" w:sz="0" w:space="0" w:color="auto"/>
          </w:divBdr>
        </w:div>
        <w:div w:id="1736510699">
          <w:marLeft w:val="0"/>
          <w:marRight w:val="0"/>
          <w:marTop w:val="0"/>
          <w:marBottom w:val="0"/>
          <w:divBdr>
            <w:top w:val="none" w:sz="0" w:space="0" w:color="auto"/>
            <w:left w:val="none" w:sz="0" w:space="0" w:color="auto"/>
            <w:bottom w:val="none" w:sz="0" w:space="0" w:color="auto"/>
            <w:right w:val="none" w:sz="0" w:space="0" w:color="auto"/>
          </w:divBdr>
        </w:div>
      </w:divsChild>
    </w:div>
    <w:div w:id="1944797123">
      <w:bodyDiv w:val="1"/>
      <w:marLeft w:val="0"/>
      <w:marRight w:val="0"/>
      <w:marTop w:val="0"/>
      <w:marBottom w:val="0"/>
      <w:divBdr>
        <w:top w:val="none" w:sz="0" w:space="0" w:color="auto"/>
        <w:left w:val="none" w:sz="0" w:space="0" w:color="auto"/>
        <w:bottom w:val="none" w:sz="0" w:space="0" w:color="auto"/>
        <w:right w:val="none" w:sz="0" w:space="0" w:color="auto"/>
      </w:divBdr>
      <w:divsChild>
        <w:div w:id="999694114">
          <w:marLeft w:val="0"/>
          <w:marRight w:val="0"/>
          <w:marTop w:val="0"/>
          <w:marBottom w:val="0"/>
          <w:divBdr>
            <w:top w:val="none" w:sz="0" w:space="0" w:color="auto"/>
            <w:left w:val="none" w:sz="0" w:space="0" w:color="auto"/>
            <w:bottom w:val="none" w:sz="0" w:space="0" w:color="auto"/>
            <w:right w:val="none" w:sz="0" w:space="0" w:color="auto"/>
          </w:divBdr>
        </w:div>
        <w:div w:id="1694110005">
          <w:marLeft w:val="0"/>
          <w:marRight w:val="0"/>
          <w:marTop w:val="0"/>
          <w:marBottom w:val="0"/>
          <w:divBdr>
            <w:top w:val="none" w:sz="0" w:space="0" w:color="auto"/>
            <w:left w:val="none" w:sz="0" w:space="0" w:color="auto"/>
            <w:bottom w:val="none" w:sz="0" w:space="0" w:color="auto"/>
            <w:right w:val="none" w:sz="0" w:space="0" w:color="auto"/>
          </w:divBdr>
        </w:div>
        <w:div w:id="2002535411">
          <w:marLeft w:val="0"/>
          <w:marRight w:val="0"/>
          <w:marTop w:val="0"/>
          <w:marBottom w:val="0"/>
          <w:divBdr>
            <w:top w:val="none" w:sz="0" w:space="0" w:color="auto"/>
            <w:left w:val="none" w:sz="0" w:space="0" w:color="auto"/>
            <w:bottom w:val="none" w:sz="0" w:space="0" w:color="auto"/>
            <w:right w:val="none" w:sz="0" w:space="0" w:color="auto"/>
          </w:divBdr>
        </w:div>
      </w:divsChild>
    </w:div>
    <w:div w:id="1948652601">
      <w:bodyDiv w:val="1"/>
      <w:marLeft w:val="0"/>
      <w:marRight w:val="0"/>
      <w:marTop w:val="0"/>
      <w:marBottom w:val="0"/>
      <w:divBdr>
        <w:top w:val="none" w:sz="0" w:space="0" w:color="auto"/>
        <w:left w:val="none" w:sz="0" w:space="0" w:color="auto"/>
        <w:bottom w:val="none" w:sz="0" w:space="0" w:color="auto"/>
        <w:right w:val="none" w:sz="0" w:space="0" w:color="auto"/>
      </w:divBdr>
      <w:divsChild>
        <w:div w:id="166209592">
          <w:marLeft w:val="0"/>
          <w:marRight w:val="0"/>
          <w:marTop w:val="0"/>
          <w:marBottom w:val="0"/>
          <w:divBdr>
            <w:top w:val="none" w:sz="0" w:space="0" w:color="auto"/>
            <w:left w:val="none" w:sz="0" w:space="0" w:color="auto"/>
            <w:bottom w:val="none" w:sz="0" w:space="0" w:color="auto"/>
            <w:right w:val="none" w:sz="0" w:space="0" w:color="auto"/>
          </w:divBdr>
        </w:div>
        <w:div w:id="284969243">
          <w:marLeft w:val="0"/>
          <w:marRight w:val="0"/>
          <w:marTop w:val="0"/>
          <w:marBottom w:val="0"/>
          <w:divBdr>
            <w:top w:val="none" w:sz="0" w:space="0" w:color="auto"/>
            <w:left w:val="none" w:sz="0" w:space="0" w:color="auto"/>
            <w:bottom w:val="none" w:sz="0" w:space="0" w:color="auto"/>
            <w:right w:val="none" w:sz="0" w:space="0" w:color="auto"/>
          </w:divBdr>
        </w:div>
        <w:div w:id="372850626">
          <w:marLeft w:val="0"/>
          <w:marRight w:val="0"/>
          <w:marTop w:val="0"/>
          <w:marBottom w:val="0"/>
          <w:divBdr>
            <w:top w:val="none" w:sz="0" w:space="0" w:color="auto"/>
            <w:left w:val="none" w:sz="0" w:space="0" w:color="auto"/>
            <w:bottom w:val="none" w:sz="0" w:space="0" w:color="auto"/>
            <w:right w:val="none" w:sz="0" w:space="0" w:color="auto"/>
          </w:divBdr>
        </w:div>
        <w:div w:id="608661987">
          <w:marLeft w:val="0"/>
          <w:marRight w:val="0"/>
          <w:marTop w:val="0"/>
          <w:marBottom w:val="0"/>
          <w:divBdr>
            <w:top w:val="none" w:sz="0" w:space="0" w:color="auto"/>
            <w:left w:val="none" w:sz="0" w:space="0" w:color="auto"/>
            <w:bottom w:val="none" w:sz="0" w:space="0" w:color="auto"/>
            <w:right w:val="none" w:sz="0" w:space="0" w:color="auto"/>
          </w:divBdr>
        </w:div>
        <w:div w:id="748620880">
          <w:marLeft w:val="0"/>
          <w:marRight w:val="0"/>
          <w:marTop w:val="0"/>
          <w:marBottom w:val="0"/>
          <w:divBdr>
            <w:top w:val="none" w:sz="0" w:space="0" w:color="auto"/>
            <w:left w:val="none" w:sz="0" w:space="0" w:color="auto"/>
            <w:bottom w:val="none" w:sz="0" w:space="0" w:color="auto"/>
            <w:right w:val="none" w:sz="0" w:space="0" w:color="auto"/>
          </w:divBdr>
        </w:div>
        <w:div w:id="764309202">
          <w:marLeft w:val="0"/>
          <w:marRight w:val="0"/>
          <w:marTop w:val="0"/>
          <w:marBottom w:val="0"/>
          <w:divBdr>
            <w:top w:val="none" w:sz="0" w:space="0" w:color="auto"/>
            <w:left w:val="none" w:sz="0" w:space="0" w:color="auto"/>
            <w:bottom w:val="none" w:sz="0" w:space="0" w:color="auto"/>
            <w:right w:val="none" w:sz="0" w:space="0" w:color="auto"/>
          </w:divBdr>
        </w:div>
        <w:div w:id="801339510">
          <w:marLeft w:val="0"/>
          <w:marRight w:val="0"/>
          <w:marTop w:val="0"/>
          <w:marBottom w:val="0"/>
          <w:divBdr>
            <w:top w:val="none" w:sz="0" w:space="0" w:color="auto"/>
            <w:left w:val="none" w:sz="0" w:space="0" w:color="auto"/>
            <w:bottom w:val="none" w:sz="0" w:space="0" w:color="auto"/>
            <w:right w:val="none" w:sz="0" w:space="0" w:color="auto"/>
          </w:divBdr>
        </w:div>
        <w:div w:id="968825624">
          <w:marLeft w:val="0"/>
          <w:marRight w:val="0"/>
          <w:marTop w:val="0"/>
          <w:marBottom w:val="0"/>
          <w:divBdr>
            <w:top w:val="none" w:sz="0" w:space="0" w:color="auto"/>
            <w:left w:val="none" w:sz="0" w:space="0" w:color="auto"/>
            <w:bottom w:val="none" w:sz="0" w:space="0" w:color="auto"/>
            <w:right w:val="none" w:sz="0" w:space="0" w:color="auto"/>
          </w:divBdr>
        </w:div>
        <w:div w:id="1837762091">
          <w:marLeft w:val="0"/>
          <w:marRight w:val="0"/>
          <w:marTop w:val="0"/>
          <w:marBottom w:val="0"/>
          <w:divBdr>
            <w:top w:val="none" w:sz="0" w:space="0" w:color="auto"/>
            <w:left w:val="none" w:sz="0" w:space="0" w:color="auto"/>
            <w:bottom w:val="none" w:sz="0" w:space="0" w:color="auto"/>
            <w:right w:val="none" w:sz="0" w:space="0" w:color="auto"/>
          </w:divBdr>
        </w:div>
        <w:div w:id="1870023276">
          <w:marLeft w:val="0"/>
          <w:marRight w:val="0"/>
          <w:marTop w:val="0"/>
          <w:marBottom w:val="0"/>
          <w:divBdr>
            <w:top w:val="none" w:sz="0" w:space="0" w:color="auto"/>
            <w:left w:val="none" w:sz="0" w:space="0" w:color="auto"/>
            <w:bottom w:val="none" w:sz="0" w:space="0" w:color="auto"/>
            <w:right w:val="none" w:sz="0" w:space="0" w:color="auto"/>
          </w:divBdr>
        </w:div>
      </w:divsChild>
    </w:div>
    <w:div w:id="1966427811">
      <w:bodyDiv w:val="1"/>
      <w:marLeft w:val="0"/>
      <w:marRight w:val="0"/>
      <w:marTop w:val="0"/>
      <w:marBottom w:val="0"/>
      <w:divBdr>
        <w:top w:val="none" w:sz="0" w:space="0" w:color="auto"/>
        <w:left w:val="none" w:sz="0" w:space="0" w:color="auto"/>
        <w:bottom w:val="none" w:sz="0" w:space="0" w:color="auto"/>
        <w:right w:val="none" w:sz="0" w:space="0" w:color="auto"/>
      </w:divBdr>
      <w:divsChild>
        <w:div w:id="223488033">
          <w:marLeft w:val="0"/>
          <w:marRight w:val="0"/>
          <w:marTop w:val="0"/>
          <w:marBottom w:val="0"/>
          <w:divBdr>
            <w:top w:val="none" w:sz="0" w:space="0" w:color="auto"/>
            <w:left w:val="none" w:sz="0" w:space="0" w:color="auto"/>
            <w:bottom w:val="none" w:sz="0" w:space="0" w:color="auto"/>
            <w:right w:val="none" w:sz="0" w:space="0" w:color="auto"/>
          </w:divBdr>
        </w:div>
        <w:div w:id="354505911">
          <w:marLeft w:val="0"/>
          <w:marRight w:val="0"/>
          <w:marTop w:val="0"/>
          <w:marBottom w:val="0"/>
          <w:divBdr>
            <w:top w:val="none" w:sz="0" w:space="0" w:color="auto"/>
            <w:left w:val="none" w:sz="0" w:space="0" w:color="auto"/>
            <w:bottom w:val="none" w:sz="0" w:space="0" w:color="auto"/>
            <w:right w:val="none" w:sz="0" w:space="0" w:color="auto"/>
          </w:divBdr>
        </w:div>
        <w:div w:id="543449299">
          <w:marLeft w:val="0"/>
          <w:marRight w:val="0"/>
          <w:marTop w:val="0"/>
          <w:marBottom w:val="0"/>
          <w:divBdr>
            <w:top w:val="none" w:sz="0" w:space="0" w:color="auto"/>
            <w:left w:val="none" w:sz="0" w:space="0" w:color="auto"/>
            <w:bottom w:val="none" w:sz="0" w:space="0" w:color="auto"/>
            <w:right w:val="none" w:sz="0" w:space="0" w:color="auto"/>
          </w:divBdr>
        </w:div>
        <w:div w:id="604196729">
          <w:marLeft w:val="0"/>
          <w:marRight w:val="0"/>
          <w:marTop w:val="0"/>
          <w:marBottom w:val="0"/>
          <w:divBdr>
            <w:top w:val="none" w:sz="0" w:space="0" w:color="auto"/>
            <w:left w:val="none" w:sz="0" w:space="0" w:color="auto"/>
            <w:bottom w:val="none" w:sz="0" w:space="0" w:color="auto"/>
            <w:right w:val="none" w:sz="0" w:space="0" w:color="auto"/>
          </w:divBdr>
        </w:div>
        <w:div w:id="773941986">
          <w:marLeft w:val="0"/>
          <w:marRight w:val="0"/>
          <w:marTop w:val="0"/>
          <w:marBottom w:val="0"/>
          <w:divBdr>
            <w:top w:val="none" w:sz="0" w:space="0" w:color="auto"/>
            <w:left w:val="none" w:sz="0" w:space="0" w:color="auto"/>
            <w:bottom w:val="none" w:sz="0" w:space="0" w:color="auto"/>
            <w:right w:val="none" w:sz="0" w:space="0" w:color="auto"/>
          </w:divBdr>
        </w:div>
        <w:div w:id="1031614996">
          <w:marLeft w:val="0"/>
          <w:marRight w:val="0"/>
          <w:marTop w:val="0"/>
          <w:marBottom w:val="0"/>
          <w:divBdr>
            <w:top w:val="none" w:sz="0" w:space="0" w:color="auto"/>
            <w:left w:val="none" w:sz="0" w:space="0" w:color="auto"/>
            <w:bottom w:val="none" w:sz="0" w:space="0" w:color="auto"/>
            <w:right w:val="none" w:sz="0" w:space="0" w:color="auto"/>
          </w:divBdr>
        </w:div>
      </w:divsChild>
    </w:div>
    <w:div w:id="2041658087">
      <w:bodyDiv w:val="1"/>
      <w:marLeft w:val="0"/>
      <w:marRight w:val="0"/>
      <w:marTop w:val="0"/>
      <w:marBottom w:val="0"/>
      <w:divBdr>
        <w:top w:val="none" w:sz="0" w:space="0" w:color="auto"/>
        <w:left w:val="none" w:sz="0" w:space="0" w:color="auto"/>
        <w:bottom w:val="none" w:sz="0" w:space="0" w:color="auto"/>
        <w:right w:val="none" w:sz="0" w:space="0" w:color="auto"/>
      </w:divBdr>
      <w:divsChild>
        <w:div w:id="7412533">
          <w:marLeft w:val="0"/>
          <w:marRight w:val="0"/>
          <w:marTop w:val="0"/>
          <w:marBottom w:val="0"/>
          <w:divBdr>
            <w:top w:val="none" w:sz="0" w:space="0" w:color="auto"/>
            <w:left w:val="none" w:sz="0" w:space="0" w:color="auto"/>
            <w:bottom w:val="none" w:sz="0" w:space="0" w:color="auto"/>
            <w:right w:val="none" w:sz="0" w:space="0" w:color="auto"/>
          </w:divBdr>
        </w:div>
        <w:div w:id="22096192">
          <w:marLeft w:val="0"/>
          <w:marRight w:val="0"/>
          <w:marTop w:val="0"/>
          <w:marBottom w:val="0"/>
          <w:divBdr>
            <w:top w:val="none" w:sz="0" w:space="0" w:color="auto"/>
            <w:left w:val="none" w:sz="0" w:space="0" w:color="auto"/>
            <w:bottom w:val="none" w:sz="0" w:space="0" w:color="auto"/>
            <w:right w:val="none" w:sz="0" w:space="0" w:color="auto"/>
          </w:divBdr>
        </w:div>
        <w:div w:id="23211818">
          <w:marLeft w:val="0"/>
          <w:marRight w:val="0"/>
          <w:marTop w:val="0"/>
          <w:marBottom w:val="0"/>
          <w:divBdr>
            <w:top w:val="none" w:sz="0" w:space="0" w:color="auto"/>
            <w:left w:val="none" w:sz="0" w:space="0" w:color="auto"/>
            <w:bottom w:val="none" w:sz="0" w:space="0" w:color="auto"/>
            <w:right w:val="none" w:sz="0" w:space="0" w:color="auto"/>
          </w:divBdr>
        </w:div>
        <w:div w:id="63720918">
          <w:marLeft w:val="0"/>
          <w:marRight w:val="0"/>
          <w:marTop w:val="0"/>
          <w:marBottom w:val="0"/>
          <w:divBdr>
            <w:top w:val="none" w:sz="0" w:space="0" w:color="auto"/>
            <w:left w:val="none" w:sz="0" w:space="0" w:color="auto"/>
            <w:bottom w:val="none" w:sz="0" w:space="0" w:color="auto"/>
            <w:right w:val="none" w:sz="0" w:space="0" w:color="auto"/>
          </w:divBdr>
        </w:div>
        <w:div w:id="210927148">
          <w:marLeft w:val="0"/>
          <w:marRight w:val="0"/>
          <w:marTop w:val="0"/>
          <w:marBottom w:val="0"/>
          <w:divBdr>
            <w:top w:val="none" w:sz="0" w:space="0" w:color="auto"/>
            <w:left w:val="none" w:sz="0" w:space="0" w:color="auto"/>
            <w:bottom w:val="none" w:sz="0" w:space="0" w:color="auto"/>
            <w:right w:val="none" w:sz="0" w:space="0" w:color="auto"/>
          </w:divBdr>
        </w:div>
        <w:div w:id="337931291">
          <w:marLeft w:val="0"/>
          <w:marRight w:val="0"/>
          <w:marTop w:val="0"/>
          <w:marBottom w:val="0"/>
          <w:divBdr>
            <w:top w:val="none" w:sz="0" w:space="0" w:color="auto"/>
            <w:left w:val="none" w:sz="0" w:space="0" w:color="auto"/>
            <w:bottom w:val="none" w:sz="0" w:space="0" w:color="auto"/>
            <w:right w:val="none" w:sz="0" w:space="0" w:color="auto"/>
          </w:divBdr>
        </w:div>
        <w:div w:id="338237907">
          <w:marLeft w:val="0"/>
          <w:marRight w:val="0"/>
          <w:marTop w:val="0"/>
          <w:marBottom w:val="0"/>
          <w:divBdr>
            <w:top w:val="none" w:sz="0" w:space="0" w:color="auto"/>
            <w:left w:val="none" w:sz="0" w:space="0" w:color="auto"/>
            <w:bottom w:val="none" w:sz="0" w:space="0" w:color="auto"/>
            <w:right w:val="none" w:sz="0" w:space="0" w:color="auto"/>
          </w:divBdr>
        </w:div>
        <w:div w:id="352071761">
          <w:marLeft w:val="0"/>
          <w:marRight w:val="0"/>
          <w:marTop w:val="0"/>
          <w:marBottom w:val="0"/>
          <w:divBdr>
            <w:top w:val="none" w:sz="0" w:space="0" w:color="auto"/>
            <w:left w:val="none" w:sz="0" w:space="0" w:color="auto"/>
            <w:bottom w:val="none" w:sz="0" w:space="0" w:color="auto"/>
            <w:right w:val="none" w:sz="0" w:space="0" w:color="auto"/>
          </w:divBdr>
        </w:div>
        <w:div w:id="474563380">
          <w:marLeft w:val="0"/>
          <w:marRight w:val="0"/>
          <w:marTop w:val="0"/>
          <w:marBottom w:val="0"/>
          <w:divBdr>
            <w:top w:val="none" w:sz="0" w:space="0" w:color="auto"/>
            <w:left w:val="none" w:sz="0" w:space="0" w:color="auto"/>
            <w:bottom w:val="none" w:sz="0" w:space="0" w:color="auto"/>
            <w:right w:val="none" w:sz="0" w:space="0" w:color="auto"/>
          </w:divBdr>
        </w:div>
        <w:div w:id="489178348">
          <w:marLeft w:val="0"/>
          <w:marRight w:val="0"/>
          <w:marTop w:val="0"/>
          <w:marBottom w:val="0"/>
          <w:divBdr>
            <w:top w:val="none" w:sz="0" w:space="0" w:color="auto"/>
            <w:left w:val="none" w:sz="0" w:space="0" w:color="auto"/>
            <w:bottom w:val="none" w:sz="0" w:space="0" w:color="auto"/>
            <w:right w:val="none" w:sz="0" w:space="0" w:color="auto"/>
          </w:divBdr>
        </w:div>
        <w:div w:id="574321669">
          <w:marLeft w:val="0"/>
          <w:marRight w:val="0"/>
          <w:marTop w:val="0"/>
          <w:marBottom w:val="0"/>
          <w:divBdr>
            <w:top w:val="none" w:sz="0" w:space="0" w:color="auto"/>
            <w:left w:val="none" w:sz="0" w:space="0" w:color="auto"/>
            <w:bottom w:val="none" w:sz="0" w:space="0" w:color="auto"/>
            <w:right w:val="none" w:sz="0" w:space="0" w:color="auto"/>
          </w:divBdr>
        </w:div>
        <w:div w:id="697659950">
          <w:marLeft w:val="0"/>
          <w:marRight w:val="0"/>
          <w:marTop w:val="0"/>
          <w:marBottom w:val="0"/>
          <w:divBdr>
            <w:top w:val="none" w:sz="0" w:space="0" w:color="auto"/>
            <w:left w:val="none" w:sz="0" w:space="0" w:color="auto"/>
            <w:bottom w:val="none" w:sz="0" w:space="0" w:color="auto"/>
            <w:right w:val="none" w:sz="0" w:space="0" w:color="auto"/>
          </w:divBdr>
        </w:div>
        <w:div w:id="875045946">
          <w:marLeft w:val="0"/>
          <w:marRight w:val="0"/>
          <w:marTop w:val="0"/>
          <w:marBottom w:val="0"/>
          <w:divBdr>
            <w:top w:val="none" w:sz="0" w:space="0" w:color="auto"/>
            <w:left w:val="none" w:sz="0" w:space="0" w:color="auto"/>
            <w:bottom w:val="none" w:sz="0" w:space="0" w:color="auto"/>
            <w:right w:val="none" w:sz="0" w:space="0" w:color="auto"/>
          </w:divBdr>
        </w:div>
        <w:div w:id="897856668">
          <w:marLeft w:val="0"/>
          <w:marRight w:val="0"/>
          <w:marTop w:val="0"/>
          <w:marBottom w:val="0"/>
          <w:divBdr>
            <w:top w:val="none" w:sz="0" w:space="0" w:color="auto"/>
            <w:left w:val="none" w:sz="0" w:space="0" w:color="auto"/>
            <w:bottom w:val="none" w:sz="0" w:space="0" w:color="auto"/>
            <w:right w:val="none" w:sz="0" w:space="0" w:color="auto"/>
          </w:divBdr>
        </w:div>
        <w:div w:id="921796329">
          <w:marLeft w:val="0"/>
          <w:marRight w:val="0"/>
          <w:marTop w:val="0"/>
          <w:marBottom w:val="0"/>
          <w:divBdr>
            <w:top w:val="none" w:sz="0" w:space="0" w:color="auto"/>
            <w:left w:val="none" w:sz="0" w:space="0" w:color="auto"/>
            <w:bottom w:val="none" w:sz="0" w:space="0" w:color="auto"/>
            <w:right w:val="none" w:sz="0" w:space="0" w:color="auto"/>
          </w:divBdr>
        </w:div>
        <w:div w:id="942037405">
          <w:marLeft w:val="0"/>
          <w:marRight w:val="0"/>
          <w:marTop w:val="0"/>
          <w:marBottom w:val="0"/>
          <w:divBdr>
            <w:top w:val="none" w:sz="0" w:space="0" w:color="auto"/>
            <w:left w:val="none" w:sz="0" w:space="0" w:color="auto"/>
            <w:bottom w:val="none" w:sz="0" w:space="0" w:color="auto"/>
            <w:right w:val="none" w:sz="0" w:space="0" w:color="auto"/>
          </w:divBdr>
        </w:div>
        <w:div w:id="1093236912">
          <w:marLeft w:val="0"/>
          <w:marRight w:val="0"/>
          <w:marTop w:val="0"/>
          <w:marBottom w:val="0"/>
          <w:divBdr>
            <w:top w:val="none" w:sz="0" w:space="0" w:color="auto"/>
            <w:left w:val="none" w:sz="0" w:space="0" w:color="auto"/>
            <w:bottom w:val="none" w:sz="0" w:space="0" w:color="auto"/>
            <w:right w:val="none" w:sz="0" w:space="0" w:color="auto"/>
          </w:divBdr>
        </w:div>
        <w:div w:id="1214150935">
          <w:marLeft w:val="0"/>
          <w:marRight w:val="0"/>
          <w:marTop w:val="0"/>
          <w:marBottom w:val="0"/>
          <w:divBdr>
            <w:top w:val="none" w:sz="0" w:space="0" w:color="auto"/>
            <w:left w:val="none" w:sz="0" w:space="0" w:color="auto"/>
            <w:bottom w:val="none" w:sz="0" w:space="0" w:color="auto"/>
            <w:right w:val="none" w:sz="0" w:space="0" w:color="auto"/>
          </w:divBdr>
        </w:div>
        <w:div w:id="1303658589">
          <w:marLeft w:val="0"/>
          <w:marRight w:val="0"/>
          <w:marTop w:val="0"/>
          <w:marBottom w:val="0"/>
          <w:divBdr>
            <w:top w:val="none" w:sz="0" w:space="0" w:color="auto"/>
            <w:left w:val="none" w:sz="0" w:space="0" w:color="auto"/>
            <w:bottom w:val="none" w:sz="0" w:space="0" w:color="auto"/>
            <w:right w:val="none" w:sz="0" w:space="0" w:color="auto"/>
          </w:divBdr>
        </w:div>
        <w:div w:id="1524704388">
          <w:marLeft w:val="0"/>
          <w:marRight w:val="0"/>
          <w:marTop w:val="0"/>
          <w:marBottom w:val="0"/>
          <w:divBdr>
            <w:top w:val="none" w:sz="0" w:space="0" w:color="auto"/>
            <w:left w:val="none" w:sz="0" w:space="0" w:color="auto"/>
            <w:bottom w:val="none" w:sz="0" w:space="0" w:color="auto"/>
            <w:right w:val="none" w:sz="0" w:space="0" w:color="auto"/>
          </w:divBdr>
        </w:div>
        <w:div w:id="1575776280">
          <w:marLeft w:val="0"/>
          <w:marRight w:val="0"/>
          <w:marTop w:val="0"/>
          <w:marBottom w:val="0"/>
          <w:divBdr>
            <w:top w:val="none" w:sz="0" w:space="0" w:color="auto"/>
            <w:left w:val="none" w:sz="0" w:space="0" w:color="auto"/>
            <w:bottom w:val="none" w:sz="0" w:space="0" w:color="auto"/>
            <w:right w:val="none" w:sz="0" w:space="0" w:color="auto"/>
          </w:divBdr>
        </w:div>
        <w:div w:id="1675303943">
          <w:marLeft w:val="0"/>
          <w:marRight w:val="0"/>
          <w:marTop w:val="0"/>
          <w:marBottom w:val="0"/>
          <w:divBdr>
            <w:top w:val="none" w:sz="0" w:space="0" w:color="auto"/>
            <w:left w:val="none" w:sz="0" w:space="0" w:color="auto"/>
            <w:bottom w:val="none" w:sz="0" w:space="0" w:color="auto"/>
            <w:right w:val="none" w:sz="0" w:space="0" w:color="auto"/>
          </w:divBdr>
        </w:div>
        <w:div w:id="1784182115">
          <w:marLeft w:val="0"/>
          <w:marRight w:val="0"/>
          <w:marTop w:val="0"/>
          <w:marBottom w:val="0"/>
          <w:divBdr>
            <w:top w:val="none" w:sz="0" w:space="0" w:color="auto"/>
            <w:left w:val="none" w:sz="0" w:space="0" w:color="auto"/>
            <w:bottom w:val="none" w:sz="0" w:space="0" w:color="auto"/>
            <w:right w:val="none" w:sz="0" w:space="0" w:color="auto"/>
          </w:divBdr>
        </w:div>
        <w:div w:id="1787919189">
          <w:marLeft w:val="0"/>
          <w:marRight w:val="0"/>
          <w:marTop w:val="0"/>
          <w:marBottom w:val="0"/>
          <w:divBdr>
            <w:top w:val="none" w:sz="0" w:space="0" w:color="auto"/>
            <w:left w:val="none" w:sz="0" w:space="0" w:color="auto"/>
            <w:bottom w:val="none" w:sz="0" w:space="0" w:color="auto"/>
            <w:right w:val="none" w:sz="0" w:space="0" w:color="auto"/>
          </w:divBdr>
        </w:div>
        <w:div w:id="1945530347">
          <w:marLeft w:val="0"/>
          <w:marRight w:val="0"/>
          <w:marTop w:val="0"/>
          <w:marBottom w:val="0"/>
          <w:divBdr>
            <w:top w:val="none" w:sz="0" w:space="0" w:color="auto"/>
            <w:left w:val="none" w:sz="0" w:space="0" w:color="auto"/>
            <w:bottom w:val="none" w:sz="0" w:space="0" w:color="auto"/>
            <w:right w:val="none" w:sz="0" w:space="0" w:color="auto"/>
          </w:divBdr>
        </w:div>
        <w:div w:id="2066678421">
          <w:marLeft w:val="0"/>
          <w:marRight w:val="0"/>
          <w:marTop w:val="0"/>
          <w:marBottom w:val="0"/>
          <w:divBdr>
            <w:top w:val="none" w:sz="0" w:space="0" w:color="auto"/>
            <w:left w:val="none" w:sz="0" w:space="0" w:color="auto"/>
            <w:bottom w:val="none" w:sz="0" w:space="0" w:color="auto"/>
            <w:right w:val="none" w:sz="0" w:space="0" w:color="auto"/>
          </w:divBdr>
        </w:div>
        <w:div w:id="2087993508">
          <w:marLeft w:val="0"/>
          <w:marRight w:val="0"/>
          <w:marTop w:val="0"/>
          <w:marBottom w:val="0"/>
          <w:divBdr>
            <w:top w:val="none" w:sz="0" w:space="0" w:color="auto"/>
            <w:left w:val="none" w:sz="0" w:space="0" w:color="auto"/>
            <w:bottom w:val="none" w:sz="0" w:space="0" w:color="auto"/>
            <w:right w:val="none" w:sz="0" w:space="0" w:color="auto"/>
          </w:divBdr>
        </w:div>
      </w:divsChild>
    </w:div>
    <w:div w:id="2049067721">
      <w:bodyDiv w:val="1"/>
      <w:marLeft w:val="0"/>
      <w:marRight w:val="0"/>
      <w:marTop w:val="0"/>
      <w:marBottom w:val="0"/>
      <w:divBdr>
        <w:top w:val="none" w:sz="0" w:space="0" w:color="auto"/>
        <w:left w:val="none" w:sz="0" w:space="0" w:color="auto"/>
        <w:bottom w:val="none" w:sz="0" w:space="0" w:color="auto"/>
        <w:right w:val="none" w:sz="0" w:space="0" w:color="auto"/>
      </w:divBdr>
    </w:div>
    <w:div w:id="2116093446">
      <w:bodyDiv w:val="1"/>
      <w:marLeft w:val="0"/>
      <w:marRight w:val="0"/>
      <w:marTop w:val="0"/>
      <w:marBottom w:val="0"/>
      <w:divBdr>
        <w:top w:val="none" w:sz="0" w:space="0" w:color="auto"/>
        <w:left w:val="none" w:sz="0" w:space="0" w:color="auto"/>
        <w:bottom w:val="none" w:sz="0" w:space="0" w:color="auto"/>
        <w:right w:val="none" w:sz="0" w:space="0" w:color="auto"/>
      </w:divBdr>
      <w:divsChild>
        <w:div w:id="515658861">
          <w:marLeft w:val="0"/>
          <w:marRight w:val="0"/>
          <w:marTop w:val="0"/>
          <w:marBottom w:val="0"/>
          <w:divBdr>
            <w:top w:val="none" w:sz="0" w:space="0" w:color="auto"/>
            <w:left w:val="none" w:sz="0" w:space="0" w:color="auto"/>
            <w:bottom w:val="none" w:sz="0" w:space="0" w:color="auto"/>
            <w:right w:val="none" w:sz="0" w:space="0" w:color="auto"/>
          </w:divBdr>
          <w:divsChild>
            <w:div w:id="1760249501">
              <w:marLeft w:val="0"/>
              <w:marRight w:val="0"/>
              <w:marTop w:val="0"/>
              <w:marBottom w:val="0"/>
              <w:divBdr>
                <w:top w:val="none" w:sz="0" w:space="0" w:color="auto"/>
                <w:left w:val="none" w:sz="0" w:space="0" w:color="auto"/>
                <w:bottom w:val="none" w:sz="0" w:space="0" w:color="auto"/>
                <w:right w:val="none" w:sz="0" w:space="0" w:color="auto"/>
              </w:divBdr>
              <w:divsChild>
                <w:div w:id="430902875">
                  <w:marLeft w:val="300"/>
                  <w:marRight w:val="0"/>
                  <w:marTop w:val="0"/>
                  <w:marBottom w:val="0"/>
                  <w:divBdr>
                    <w:top w:val="none" w:sz="0" w:space="0" w:color="auto"/>
                    <w:left w:val="none" w:sz="0" w:space="0" w:color="auto"/>
                    <w:bottom w:val="none" w:sz="0" w:space="0" w:color="auto"/>
                    <w:right w:val="none" w:sz="0" w:space="0" w:color="auto"/>
                  </w:divBdr>
                </w:div>
                <w:div w:id="1133711214">
                  <w:marLeft w:val="300"/>
                  <w:marRight w:val="0"/>
                  <w:marTop w:val="0"/>
                  <w:marBottom w:val="0"/>
                  <w:divBdr>
                    <w:top w:val="none" w:sz="0" w:space="0" w:color="auto"/>
                    <w:left w:val="none" w:sz="0" w:space="0" w:color="auto"/>
                    <w:bottom w:val="none" w:sz="0" w:space="0" w:color="auto"/>
                    <w:right w:val="none" w:sz="0" w:space="0" w:color="auto"/>
                  </w:divBdr>
                </w:div>
              </w:divsChild>
            </w:div>
            <w:div w:id="1506162809">
              <w:marLeft w:val="0"/>
              <w:marRight w:val="0"/>
              <w:marTop w:val="0"/>
              <w:marBottom w:val="0"/>
              <w:divBdr>
                <w:top w:val="none" w:sz="0" w:space="0" w:color="auto"/>
                <w:left w:val="none" w:sz="0" w:space="0" w:color="auto"/>
                <w:bottom w:val="none" w:sz="0" w:space="0" w:color="auto"/>
                <w:right w:val="none" w:sz="0" w:space="0" w:color="auto"/>
              </w:divBdr>
            </w:div>
          </w:divsChild>
        </w:div>
        <w:div w:id="1484128799">
          <w:marLeft w:val="0"/>
          <w:marRight w:val="0"/>
          <w:marTop w:val="150"/>
          <w:marBottom w:val="168"/>
          <w:divBdr>
            <w:top w:val="none" w:sz="0" w:space="0" w:color="auto"/>
            <w:left w:val="none" w:sz="0" w:space="0" w:color="auto"/>
            <w:bottom w:val="none" w:sz="0" w:space="0" w:color="auto"/>
            <w:right w:val="none" w:sz="0" w:space="0" w:color="auto"/>
          </w:divBdr>
        </w:div>
      </w:divsChild>
    </w:div>
    <w:div w:id="2116779869">
      <w:bodyDiv w:val="1"/>
      <w:marLeft w:val="0"/>
      <w:marRight w:val="0"/>
      <w:marTop w:val="0"/>
      <w:marBottom w:val="0"/>
      <w:divBdr>
        <w:top w:val="none" w:sz="0" w:space="0" w:color="auto"/>
        <w:left w:val="none" w:sz="0" w:space="0" w:color="auto"/>
        <w:bottom w:val="none" w:sz="0" w:space="0" w:color="auto"/>
        <w:right w:val="none" w:sz="0" w:space="0" w:color="auto"/>
      </w:divBdr>
    </w:div>
    <w:div w:id="2122722647">
      <w:bodyDiv w:val="1"/>
      <w:marLeft w:val="0"/>
      <w:marRight w:val="0"/>
      <w:marTop w:val="0"/>
      <w:marBottom w:val="0"/>
      <w:divBdr>
        <w:top w:val="none" w:sz="0" w:space="0" w:color="auto"/>
        <w:left w:val="none" w:sz="0" w:space="0" w:color="auto"/>
        <w:bottom w:val="none" w:sz="0" w:space="0" w:color="auto"/>
        <w:right w:val="none" w:sz="0" w:space="0" w:color="auto"/>
      </w:divBdr>
      <w:divsChild>
        <w:div w:id="1016468780">
          <w:marLeft w:val="0"/>
          <w:marRight w:val="0"/>
          <w:marTop w:val="0"/>
          <w:marBottom w:val="0"/>
          <w:divBdr>
            <w:top w:val="none" w:sz="0" w:space="0" w:color="auto"/>
            <w:left w:val="none" w:sz="0" w:space="0" w:color="auto"/>
            <w:bottom w:val="none" w:sz="0" w:space="0" w:color="auto"/>
            <w:right w:val="none" w:sz="0" w:space="0" w:color="auto"/>
          </w:divBdr>
        </w:div>
        <w:div w:id="1306357491">
          <w:marLeft w:val="360"/>
          <w:marRight w:val="0"/>
          <w:marTop w:val="0"/>
          <w:marBottom w:val="0"/>
          <w:divBdr>
            <w:top w:val="none" w:sz="0" w:space="0" w:color="auto"/>
            <w:left w:val="none" w:sz="0" w:space="0" w:color="auto"/>
            <w:bottom w:val="none" w:sz="0" w:space="0" w:color="auto"/>
            <w:right w:val="none" w:sz="0" w:space="0" w:color="auto"/>
          </w:divBdr>
        </w:div>
        <w:div w:id="1674066624">
          <w:marLeft w:val="0"/>
          <w:marRight w:val="0"/>
          <w:marTop w:val="0"/>
          <w:marBottom w:val="0"/>
          <w:divBdr>
            <w:top w:val="none" w:sz="0" w:space="0" w:color="auto"/>
            <w:left w:val="none" w:sz="0" w:space="0" w:color="auto"/>
            <w:bottom w:val="none" w:sz="0" w:space="0" w:color="auto"/>
            <w:right w:val="none" w:sz="0" w:space="0" w:color="auto"/>
          </w:divBdr>
        </w:div>
        <w:div w:id="1736467386">
          <w:marLeft w:val="0"/>
          <w:marRight w:val="0"/>
          <w:marTop w:val="0"/>
          <w:marBottom w:val="0"/>
          <w:divBdr>
            <w:top w:val="none" w:sz="0" w:space="0" w:color="auto"/>
            <w:left w:val="none" w:sz="0" w:space="0" w:color="auto"/>
            <w:bottom w:val="none" w:sz="0" w:space="0" w:color="auto"/>
            <w:right w:val="none" w:sz="0" w:space="0" w:color="auto"/>
          </w:divBdr>
        </w:div>
        <w:div w:id="1935016278">
          <w:marLeft w:val="0"/>
          <w:marRight w:val="0"/>
          <w:marTop w:val="0"/>
          <w:marBottom w:val="0"/>
          <w:divBdr>
            <w:top w:val="none" w:sz="0" w:space="0" w:color="auto"/>
            <w:left w:val="none" w:sz="0" w:space="0" w:color="auto"/>
            <w:bottom w:val="none" w:sz="0" w:space="0" w:color="auto"/>
            <w:right w:val="none" w:sz="0" w:space="0" w:color="auto"/>
          </w:divBdr>
        </w:div>
      </w:divsChild>
    </w:div>
    <w:div w:id="2128767487">
      <w:bodyDiv w:val="1"/>
      <w:marLeft w:val="0"/>
      <w:marRight w:val="0"/>
      <w:marTop w:val="0"/>
      <w:marBottom w:val="0"/>
      <w:divBdr>
        <w:top w:val="none" w:sz="0" w:space="0" w:color="auto"/>
        <w:left w:val="none" w:sz="0" w:space="0" w:color="auto"/>
        <w:bottom w:val="none" w:sz="0" w:space="0" w:color="auto"/>
        <w:right w:val="none" w:sz="0" w:space="0" w:color="auto"/>
      </w:divBdr>
      <w:divsChild>
        <w:div w:id="237860992">
          <w:marLeft w:val="0"/>
          <w:marRight w:val="0"/>
          <w:marTop w:val="0"/>
          <w:marBottom w:val="0"/>
          <w:divBdr>
            <w:top w:val="none" w:sz="0" w:space="0" w:color="auto"/>
            <w:left w:val="none" w:sz="0" w:space="0" w:color="auto"/>
            <w:bottom w:val="none" w:sz="0" w:space="0" w:color="auto"/>
            <w:right w:val="none" w:sz="0" w:space="0" w:color="auto"/>
          </w:divBdr>
        </w:div>
        <w:div w:id="330256211">
          <w:marLeft w:val="0"/>
          <w:marRight w:val="0"/>
          <w:marTop w:val="0"/>
          <w:marBottom w:val="0"/>
          <w:divBdr>
            <w:top w:val="none" w:sz="0" w:space="0" w:color="auto"/>
            <w:left w:val="none" w:sz="0" w:space="0" w:color="auto"/>
            <w:bottom w:val="none" w:sz="0" w:space="0" w:color="auto"/>
            <w:right w:val="none" w:sz="0" w:space="0" w:color="auto"/>
          </w:divBdr>
        </w:div>
        <w:div w:id="962006521">
          <w:marLeft w:val="0"/>
          <w:marRight w:val="0"/>
          <w:marTop w:val="0"/>
          <w:marBottom w:val="0"/>
          <w:divBdr>
            <w:top w:val="none" w:sz="0" w:space="0" w:color="auto"/>
            <w:left w:val="none" w:sz="0" w:space="0" w:color="auto"/>
            <w:bottom w:val="none" w:sz="0" w:space="0" w:color="auto"/>
            <w:right w:val="none" w:sz="0" w:space="0" w:color="auto"/>
          </w:divBdr>
        </w:div>
        <w:div w:id="1055546612">
          <w:marLeft w:val="0"/>
          <w:marRight w:val="0"/>
          <w:marTop w:val="0"/>
          <w:marBottom w:val="0"/>
          <w:divBdr>
            <w:top w:val="none" w:sz="0" w:space="0" w:color="auto"/>
            <w:left w:val="none" w:sz="0" w:space="0" w:color="auto"/>
            <w:bottom w:val="none" w:sz="0" w:space="0" w:color="auto"/>
            <w:right w:val="none" w:sz="0" w:space="0" w:color="auto"/>
          </w:divBdr>
        </w:div>
        <w:div w:id="1298073925">
          <w:marLeft w:val="0"/>
          <w:marRight w:val="0"/>
          <w:marTop w:val="0"/>
          <w:marBottom w:val="0"/>
          <w:divBdr>
            <w:top w:val="none" w:sz="0" w:space="0" w:color="auto"/>
            <w:left w:val="none" w:sz="0" w:space="0" w:color="auto"/>
            <w:bottom w:val="none" w:sz="0" w:space="0" w:color="auto"/>
            <w:right w:val="none" w:sz="0" w:space="0" w:color="auto"/>
          </w:divBdr>
        </w:div>
        <w:div w:id="1401251079">
          <w:marLeft w:val="0"/>
          <w:marRight w:val="0"/>
          <w:marTop w:val="0"/>
          <w:marBottom w:val="0"/>
          <w:divBdr>
            <w:top w:val="none" w:sz="0" w:space="0" w:color="auto"/>
            <w:left w:val="none" w:sz="0" w:space="0" w:color="auto"/>
            <w:bottom w:val="none" w:sz="0" w:space="0" w:color="auto"/>
            <w:right w:val="none" w:sz="0" w:space="0" w:color="auto"/>
          </w:divBdr>
        </w:div>
        <w:div w:id="1428231388">
          <w:marLeft w:val="0"/>
          <w:marRight w:val="0"/>
          <w:marTop w:val="0"/>
          <w:marBottom w:val="0"/>
          <w:divBdr>
            <w:top w:val="none" w:sz="0" w:space="0" w:color="auto"/>
            <w:left w:val="none" w:sz="0" w:space="0" w:color="auto"/>
            <w:bottom w:val="none" w:sz="0" w:space="0" w:color="auto"/>
            <w:right w:val="none" w:sz="0" w:space="0" w:color="auto"/>
          </w:divBdr>
        </w:div>
        <w:div w:id="1727488856">
          <w:marLeft w:val="0"/>
          <w:marRight w:val="0"/>
          <w:marTop w:val="0"/>
          <w:marBottom w:val="0"/>
          <w:divBdr>
            <w:top w:val="none" w:sz="0" w:space="0" w:color="auto"/>
            <w:left w:val="none" w:sz="0" w:space="0" w:color="auto"/>
            <w:bottom w:val="none" w:sz="0" w:space="0" w:color="auto"/>
            <w:right w:val="none" w:sz="0" w:space="0" w:color="auto"/>
          </w:divBdr>
        </w:div>
        <w:div w:id="1910769144">
          <w:marLeft w:val="0"/>
          <w:marRight w:val="0"/>
          <w:marTop w:val="0"/>
          <w:marBottom w:val="0"/>
          <w:divBdr>
            <w:top w:val="none" w:sz="0" w:space="0" w:color="auto"/>
            <w:left w:val="none" w:sz="0" w:space="0" w:color="auto"/>
            <w:bottom w:val="none" w:sz="0" w:space="0" w:color="auto"/>
            <w:right w:val="none" w:sz="0" w:space="0" w:color="auto"/>
          </w:divBdr>
        </w:div>
        <w:div w:id="2099014920">
          <w:marLeft w:val="0"/>
          <w:marRight w:val="0"/>
          <w:marTop w:val="0"/>
          <w:marBottom w:val="0"/>
          <w:divBdr>
            <w:top w:val="none" w:sz="0" w:space="0" w:color="auto"/>
            <w:left w:val="none" w:sz="0" w:space="0" w:color="auto"/>
            <w:bottom w:val="none" w:sz="0" w:space="0" w:color="auto"/>
            <w:right w:val="none" w:sz="0" w:space="0" w:color="auto"/>
          </w:divBdr>
        </w:div>
      </w:divsChild>
    </w:div>
    <w:div w:id="2132282905">
      <w:bodyDiv w:val="1"/>
      <w:marLeft w:val="0"/>
      <w:marRight w:val="0"/>
      <w:marTop w:val="0"/>
      <w:marBottom w:val="0"/>
      <w:divBdr>
        <w:top w:val="none" w:sz="0" w:space="0" w:color="auto"/>
        <w:left w:val="none" w:sz="0" w:space="0" w:color="auto"/>
        <w:bottom w:val="none" w:sz="0" w:space="0" w:color="auto"/>
        <w:right w:val="none" w:sz="0" w:space="0" w:color="auto"/>
      </w:divBdr>
      <w:divsChild>
        <w:div w:id="61997754">
          <w:marLeft w:val="0"/>
          <w:marRight w:val="0"/>
          <w:marTop w:val="0"/>
          <w:marBottom w:val="0"/>
          <w:divBdr>
            <w:top w:val="none" w:sz="0" w:space="0" w:color="auto"/>
            <w:left w:val="none" w:sz="0" w:space="0" w:color="auto"/>
            <w:bottom w:val="none" w:sz="0" w:space="0" w:color="auto"/>
            <w:right w:val="none" w:sz="0" w:space="0" w:color="auto"/>
          </w:divBdr>
        </w:div>
        <w:div w:id="234631375">
          <w:marLeft w:val="0"/>
          <w:marRight w:val="0"/>
          <w:marTop w:val="0"/>
          <w:marBottom w:val="0"/>
          <w:divBdr>
            <w:top w:val="none" w:sz="0" w:space="0" w:color="auto"/>
            <w:left w:val="none" w:sz="0" w:space="0" w:color="auto"/>
            <w:bottom w:val="none" w:sz="0" w:space="0" w:color="auto"/>
            <w:right w:val="none" w:sz="0" w:space="0" w:color="auto"/>
          </w:divBdr>
        </w:div>
        <w:div w:id="704906799">
          <w:marLeft w:val="0"/>
          <w:marRight w:val="0"/>
          <w:marTop w:val="0"/>
          <w:marBottom w:val="0"/>
          <w:divBdr>
            <w:top w:val="none" w:sz="0" w:space="0" w:color="auto"/>
            <w:left w:val="none" w:sz="0" w:space="0" w:color="auto"/>
            <w:bottom w:val="none" w:sz="0" w:space="0" w:color="auto"/>
            <w:right w:val="none" w:sz="0" w:space="0" w:color="auto"/>
          </w:divBdr>
        </w:div>
        <w:div w:id="707875748">
          <w:marLeft w:val="0"/>
          <w:marRight w:val="0"/>
          <w:marTop w:val="0"/>
          <w:marBottom w:val="0"/>
          <w:divBdr>
            <w:top w:val="none" w:sz="0" w:space="0" w:color="auto"/>
            <w:left w:val="none" w:sz="0" w:space="0" w:color="auto"/>
            <w:bottom w:val="none" w:sz="0" w:space="0" w:color="auto"/>
            <w:right w:val="none" w:sz="0" w:space="0" w:color="auto"/>
          </w:divBdr>
        </w:div>
        <w:div w:id="715197954">
          <w:marLeft w:val="0"/>
          <w:marRight w:val="0"/>
          <w:marTop w:val="0"/>
          <w:marBottom w:val="0"/>
          <w:divBdr>
            <w:top w:val="none" w:sz="0" w:space="0" w:color="auto"/>
            <w:left w:val="none" w:sz="0" w:space="0" w:color="auto"/>
            <w:bottom w:val="none" w:sz="0" w:space="0" w:color="auto"/>
            <w:right w:val="none" w:sz="0" w:space="0" w:color="auto"/>
          </w:divBdr>
        </w:div>
        <w:div w:id="874346150">
          <w:marLeft w:val="720"/>
          <w:marRight w:val="0"/>
          <w:marTop w:val="0"/>
          <w:marBottom w:val="0"/>
          <w:divBdr>
            <w:top w:val="none" w:sz="0" w:space="0" w:color="auto"/>
            <w:left w:val="none" w:sz="0" w:space="0" w:color="auto"/>
            <w:bottom w:val="none" w:sz="0" w:space="0" w:color="auto"/>
            <w:right w:val="none" w:sz="0" w:space="0" w:color="auto"/>
          </w:divBdr>
        </w:div>
        <w:div w:id="1111242301">
          <w:marLeft w:val="0"/>
          <w:marRight w:val="0"/>
          <w:marTop w:val="0"/>
          <w:marBottom w:val="0"/>
          <w:divBdr>
            <w:top w:val="none" w:sz="0" w:space="0" w:color="auto"/>
            <w:left w:val="none" w:sz="0" w:space="0" w:color="auto"/>
            <w:bottom w:val="none" w:sz="0" w:space="0" w:color="auto"/>
            <w:right w:val="none" w:sz="0" w:space="0" w:color="auto"/>
          </w:divBdr>
        </w:div>
        <w:div w:id="1325665872">
          <w:marLeft w:val="0"/>
          <w:marRight w:val="0"/>
          <w:marTop w:val="0"/>
          <w:marBottom w:val="0"/>
          <w:divBdr>
            <w:top w:val="none" w:sz="0" w:space="0" w:color="auto"/>
            <w:left w:val="none" w:sz="0" w:space="0" w:color="auto"/>
            <w:bottom w:val="none" w:sz="0" w:space="0" w:color="auto"/>
            <w:right w:val="none" w:sz="0" w:space="0" w:color="auto"/>
          </w:divBdr>
        </w:div>
        <w:div w:id="1396204812">
          <w:marLeft w:val="0"/>
          <w:marRight w:val="0"/>
          <w:marTop w:val="0"/>
          <w:marBottom w:val="0"/>
          <w:divBdr>
            <w:top w:val="none" w:sz="0" w:space="0" w:color="auto"/>
            <w:left w:val="none" w:sz="0" w:space="0" w:color="auto"/>
            <w:bottom w:val="none" w:sz="0" w:space="0" w:color="auto"/>
            <w:right w:val="none" w:sz="0" w:space="0" w:color="auto"/>
          </w:divBdr>
        </w:div>
        <w:div w:id="1410466345">
          <w:marLeft w:val="0"/>
          <w:marRight w:val="0"/>
          <w:marTop w:val="0"/>
          <w:marBottom w:val="0"/>
          <w:divBdr>
            <w:top w:val="none" w:sz="0" w:space="0" w:color="auto"/>
            <w:left w:val="none" w:sz="0" w:space="0" w:color="auto"/>
            <w:bottom w:val="none" w:sz="0" w:space="0" w:color="auto"/>
            <w:right w:val="none" w:sz="0" w:space="0" w:color="auto"/>
          </w:divBdr>
        </w:div>
        <w:div w:id="1440644142">
          <w:marLeft w:val="0"/>
          <w:marRight w:val="0"/>
          <w:marTop w:val="0"/>
          <w:marBottom w:val="0"/>
          <w:divBdr>
            <w:top w:val="none" w:sz="0" w:space="0" w:color="auto"/>
            <w:left w:val="none" w:sz="0" w:space="0" w:color="auto"/>
            <w:bottom w:val="none" w:sz="0" w:space="0" w:color="auto"/>
            <w:right w:val="none" w:sz="0" w:space="0" w:color="auto"/>
          </w:divBdr>
        </w:div>
        <w:div w:id="1482961558">
          <w:marLeft w:val="720"/>
          <w:marRight w:val="0"/>
          <w:marTop w:val="0"/>
          <w:marBottom w:val="0"/>
          <w:divBdr>
            <w:top w:val="none" w:sz="0" w:space="0" w:color="auto"/>
            <w:left w:val="none" w:sz="0" w:space="0" w:color="auto"/>
            <w:bottom w:val="none" w:sz="0" w:space="0" w:color="auto"/>
            <w:right w:val="none" w:sz="0" w:space="0" w:color="auto"/>
          </w:divBdr>
        </w:div>
        <w:div w:id="1609044359">
          <w:marLeft w:val="0"/>
          <w:marRight w:val="0"/>
          <w:marTop w:val="0"/>
          <w:marBottom w:val="0"/>
          <w:divBdr>
            <w:top w:val="none" w:sz="0" w:space="0" w:color="auto"/>
            <w:left w:val="none" w:sz="0" w:space="0" w:color="auto"/>
            <w:bottom w:val="none" w:sz="0" w:space="0" w:color="auto"/>
            <w:right w:val="none" w:sz="0" w:space="0" w:color="auto"/>
          </w:divBdr>
        </w:div>
        <w:div w:id="1801877382">
          <w:marLeft w:val="0"/>
          <w:marRight w:val="0"/>
          <w:marTop w:val="0"/>
          <w:marBottom w:val="0"/>
          <w:divBdr>
            <w:top w:val="none" w:sz="0" w:space="0" w:color="auto"/>
            <w:left w:val="none" w:sz="0" w:space="0" w:color="auto"/>
            <w:bottom w:val="none" w:sz="0" w:space="0" w:color="auto"/>
            <w:right w:val="none" w:sz="0" w:space="0" w:color="auto"/>
          </w:divBdr>
        </w:div>
        <w:div w:id="1862085405">
          <w:marLeft w:val="0"/>
          <w:marRight w:val="0"/>
          <w:marTop w:val="0"/>
          <w:marBottom w:val="0"/>
          <w:divBdr>
            <w:top w:val="none" w:sz="0" w:space="0" w:color="auto"/>
            <w:left w:val="none" w:sz="0" w:space="0" w:color="auto"/>
            <w:bottom w:val="none" w:sz="0" w:space="0" w:color="auto"/>
            <w:right w:val="none" w:sz="0" w:space="0" w:color="auto"/>
          </w:divBdr>
        </w:div>
        <w:div w:id="2000577318">
          <w:marLeft w:val="0"/>
          <w:marRight w:val="0"/>
          <w:marTop w:val="0"/>
          <w:marBottom w:val="0"/>
          <w:divBdr>
            <w:top w:val="none" w:sz="0" w:space="0" w:color="auto"/>
            <w:left w:val="none" w:sz="0" w:space="0" w:color="auto"/>
            <w:bottom w:val="none" w:sz="0" w:space="0" w:color="auto"/>
            <w:right w:val="none" w:sz="0" w:space="0" w:color="auto"/>
          </w:divBdr>
        </w:div>
        <w:div w:id="2025938020">
          <w:marLeft w:val="0"/>
          <w:marRight w:val="0"/>
          <w:marTop w:val="0"/>
          <w:marBottom w:val="0"/>
          <w:divBdr>
            <w:top w:val="none" w:sz="0" w:space="0" w:color="auto"/>
            <w:left w:val="none" w:sz="0" w:space="0" w:color="auto"/>
            <w:bottom w:val="none" w:sz="0" w:space="0" w:color="auto"/>
            <w:right w:val="none" w:sz="0" w:space="0" w:color="auto"/>
          </w:divBdr>
        </w:div>
        <w:div w:id="2042700474">
          <w:marLeft w:val="720"/>
          <w:marRight w:val="0"/>
          <w:marTop w:val="0"/>
          <w:marBottom w:val="0"/>
          <w:divBdr>
            <w:top w:val="none" w:sz="0" w:space="0" w:color="auto"/>
            <w:left w:val="none" w:sz="0" w:space="0" w:color="auto"/>
            <w:bottom w:val="none" w:sz="0" w:space="0" w:color="auto"/>
            <w:right w:val="none" w:sz="0" w:space="0" w:color="auto"/>
          </w:divBdr>
        </w:div>
        <w:div w:id="2103332241">
          <w:marLeft w:val="0"/>
          <w:marRight w:val="0"/>
          <w:marTop w:val="0"/>
          <w:marBottom w:val="0"/>
          <w:divBdr>
            <w:top w:val="none" w:sz="0" w:space="0" w:color="auto"/>
            <w:left w:val="none" w:sz="0" w:space="0" w:color="auto"/>
            <w:bottom w:val="none" w:sz="0" w:space="0" w:color="auto"/>
            <w:right w:val="none" w:sz="0" w:space="0" w:color="auto"/>
          </w:divBdr>
        </w:div>
        <w:div w:id="2104379426">
          <w:marLeft w:val="0"/>
          <w:marRight w:val="0"/>
          <w:marTop w:val="0"/>
          <w:marBottom w:val="0"/>
          <w:divBdr>
            <w:top w:val="none" w:sz="0" w:space="0" w:color="auto"/>
            <w:left w:val="none" w:sz="0" w:space="0" w:color="auto"/>
            <w:bottom w:val="none" w:sz="0" w:space="0" w:color="auto"/>
            <w:right w:val="none" w:sz="0" w:space="0" w:color="auto"/>
          </w:divBdr>
        </w:div>
      </w:divsChild>
    </w:div>
    <w:div w:id="2132357088">
      <w:bodyDiv w:val="1"/>
      <w:marLeft w:val="0"/>
      <w:marRight w:val="0"/>
      <w:marTop w:val="0"/>
      <w:marBottom w:val="0"/>
      <w:divBdr>
        <w:top w:val="none" w:sz="0" w:space="0" w:color="auto"/>
        <w:left w:val="none" w:sz="0" w:space="0" w:color="auto"/>
        <w:bottom w:val="none" w:sz="0" w:space="0" w:color="auto"/>
        <w:right w:val="none" w:sz="0" w:space="0" w:color="auto"/>
      </w:divBdr>
      <w:divsChild>
        <w:div w:id="98530742">
          <w:marLeft w:val="0"/>
          <w:marRight w:val="0"/>
          <w:marTop w:val="0"/>
          <w:marBottom w:val="0"/>
          <w:divBdr>
            <w:top w:val="none" w:sz="0" w:space="0" w:color="auto"/>
            <w:left w:val="none" w:sz="0" w:space="0" w:color="auto"/>
            <w:bottom w:val="none" w:sz="0" w:space="0" w:color="auto"/>
            <w:right w:val="none" w:sz="0" w:space="0" w:color="auto"/>
          </w:divBdr>
        </w:div>
        <w:div w:id="1080060539">
          <w:marLeft w:val="0"/>
          <w:marRight w:val="0"/>
          <w:marTop w:val="0"/>
          <w:marBottom w:val="0"/>
          <w:divBdr>
            <w:top w:val="none" w:sz="0" w:space="0" w:color="auto"/>
            <w:left w:val="none" w:sz="0" w:space="0" w:color="auto"/>
            <w:bottom w:val="none" w:sz="0" w:space="0" w:color="auto"/>
            <w:right w:val="none" w:sz="0" w:space="0" w:color="auto"/>
          </w:divBdr>
        </w:div>
        <w:div w:id="1388453490">
          <w:marLeft w:val="0"/>
          <w:marRight w:val="0"/>
          <w:marTop w:val="0"/>
          <w:marBottom w:val="0"/>
          <w:divBdr>
            <w:top w:val="none" w:sz="0" w:space="0" w:color="auto"/>
            <w:left w:val="none" w:sz="0" w:space="0" w:color="auto"/>
            <w:bottom w:val="none" w:sz="0" w:space="0" w:color="auto"/>
            <w:right w:val="none" w:sz="0" w:space="0" w:color="auto"/>
          </w:divBdr>
        </w:div>
        <w:div w:id="1670675493">
          <w:marLeft w:val="0"/>
          <w:marRight w:val="0"/>
          <w:marTop w:val="0"/>
          <w:marBottom w:val="0"/>
          <w:divBdr>
            <w:top w:val="none" w:sz="0" w:space="0" w:color="auto"/>
            <w:left w:val="none" w:sz="0" w:space="0" w:color="auto"/>
            <w:bottom w:val="none" w:sz="0" w:space="0" w:color="auto"/>
            <w:right w:val="none" w:sz="0" w:space="0" w:color="auto"/>
          </w:divBdr>
        </w:div>
        <w:div w:id="1873229799">
          <w:marLeft w:val="0"/>
          <w:marRight w:val="0"/>
          <w:marTop w:val="0"/>
          <w:marBottom w:val="0"/>
          <w:divBdr>
            <w:top w:val="none" w:sz="0" w:space="0" w:color="auto"/>
            <w:left w:val="none" w:sz="0" w:space="0" w:color="auto"/>
            <w:bottom w:val="none" w:sz="0" w:space="0" w:color="auto"/>
            <w:right w:val="none" w:sz="0" w:space="0" w:color="auto"/>
          </w:divBdr>
        </w:div>
        <w:div w:id="2099252648">
          <w:marLeft w:val="0"/>
          <w:marRight w:val="0"/>
          <w:marTop w:val="0"/>
          <w:marBottom w:val="0"/>
          <w:divBdr>
            <w:top w:val="none" w:sz="0" w:space="0" w:color="auto"/>
            <w:left w:val="none" w:sz="0" w:space="0" w:color="auto"/>
            <w:bottom w:val="none" w:sz="0" w:space="0" w:color="auto"/>
            <w:right w:val="none" w:sz="0" w:space="0" w:color="auto"/>
          </w:divBdr>
        </w:div>
      </w:divsChild>
    </w:div>
    <w:div w:id="2139956387">
      <w:bodyDiv w:val="1"/>
      <w:marLeft w:val="0"/>
      <w:marRight w:val="0"/>
      <w:marTop w:val="0"/>
      <w:marBottom w:val="0"/>
      <w:divBdr>
        <w:top w:val="none" w:sz="0" w:space="0" w:color="auto"/>
        <w:left w:val="none" w:sz="0" w:space="0" w:color="auto"/>
        <w:bottom w:val="none" w:sz="0" w:space="0" w:color="auto"/>
        <w:right w:val="none" w:sz="0" w:space="0" w:color="auto"/>
      </w:divBdr>
      <w:divsChild>
        <w:div w:id="501824992">
          <w:marLeft w:val="0"/>
          <w:marRight w:val="0"/>
          <w:marTop w:val="0"/>
          <w:marBottom w:val="0"/>
          <w:divBdr>
            <w:top w:val="none" w:sz="0" w:space="0" w:color="auto"/>
            <w:left w:val="none" w:sz="0" w:space="0" w:color="auto"/>
            <w:bottom w:val="none" w:sz="0" w:space="0" w:color="auto"/>
            <w:right w:val="none" w:sz="0" w:space="0" w:color="auto"/>
          </w:divBdr>
        </w:div>
        <w:div w:id="901788326">
          <w:marLeft w:val="0"/>
          <w:marRight w:val="0"/>
          <w:marTop w:val="0"/>
          <w:marBottom w:val="0"/>
          <w:divBdr>
            <w:top w:val="none" w:sz="0" w:space="0" w:color="auto"/>
            <w:left w:val="none" w:sz="0" w:space="0" w:color="auto"/>
            <w:bottom w:val="none" w:sz="0" w:space="0" w:color="auto"/>
            <w:right w:val="none" w:sz="0" w:space="0" w:color="auto"/>
          </w:divBdr>
        </w:div>
        <w:div w:id="1666282854">
          <w:marLeft w:val="0"/>
          <w:marRight w:val="0"/>
          <w:marTop w:val="0"/>
          <w:marBottom w:val="0"/>
          <w:divBdr>
            <w:top w:val="none" w:sz="0" w:space="0" w:color="auto"/>
            <w:left w:val="none" w:sz="0" w:space="0" w:color="auto"/>
            <w:bottom w:val="none" w:sz="0" w:space="0" w:color="auto"/>
            <w:right w:val="none" w:sz="0" w:space="0" w:color="auto"/>
          </w:divBdr>
        </w:div>
        <w:div w:id="167858029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ip.legalis.pl/document-view.seam?documentId=mfrxilrtg4ytgnrvhe4tmltqmfyc4nbyha4tkmrzg4" TargetMode="External"/><Relationship Id="rId18" Type="http://schemas.openxmlformats.org/officeDocument/2006/relationships/hyperlink" Target="https://sip.legalis.pl/document-view.seam?documentId=mfrxilrtg4ytgnbsheydsltqmfyc4nbxheytsojygy" TargetMode="External"/><Relationship Id="rId26" Type="http://schemas.openxmlformats.org/officeDocument/2006/relationships/hyperlink" Target="https://sip.legalis.pl/document-view.seam?documentId=mfrxilrtg4ytgmzugq2tqltqmfyc4nbxguytsmrsgu" TargetMode="External"/><Relationship Id="rId39" Type="http://schemas.openxmlformats.org/officeDocument/2006/relationships/hyperlink" Target="https://sip.legalis.pl/document-view.seam?documentId=mfrxilrtg4ytenzyha3toltqmfyc4nbug42tqnbzgi" TargetMode="External"/><Relationship Id="R9e3fec1787924e72" Type="http://schemas.microsoft.com/office/2018/08/relationships/commentsExtensible" Target="commentsExtensible.xml"/><Relationship Id="rId3" Type="http://schemas.openxmlformats.org/officeDocument/2006/relationships/customXml" Target="../customXml/item3.xml"/><Relationship Id="rId21" Type="http://schemas.openxmlformats.org/officeDocument/2006/relationships/hyperlink" Target="https://sip.legalis.pl/document-view.seam?documentId=mfrxilrtg4ytenzyha3toltqmfyc4nbug42tqnjrhe" TargetMode="External"/><Relationship Id="rId34" Type="http://schemas.openxmlformats.org/officeDocument/2006/relationships/hyperlink" Target="https://eur-lex.europa.eu/legal-content/PL/TXT/HTML/?uri=CELEX:32018L1972&amp;from=PL" TargetMode="External"/><Relationship Id="rId42" Type="http://schemas.openxmlformats.org/officeDocument/2006/relationships/hyperlink" Target="https://sip.legalis.pl/document-view.seam?documentId=mfrxilrtgm2tsnrtg43taltqmfyc4mzuheytanbwgm" TargetMode="External"/><Relationship Id="rId7" Type="http://schemas.openxmlformats.org/officeDocument/2006/relationships/settings" Target="settings.xml"/><Relationship Id="rId12" Type="http://schemas.openxmlformats.org/officeDocument/2006/relationships/hyperlink" Target="https://sip.legalis.pl/document-view.seam?documentId=mfrxilrtg4ytgnrvhe4tmltqmfyc4nbyha4tknrqhe" TargetMode="External"/><Relationship Id="rId17" Type="http://schemas.openxmlformats.org/officeDocument/2006/relationships/hyperlink" Target="https://sip.legalis.pl/document-view.seam?documentId=mfrxilrtg4ytgnbsheydsltqmfyc4nbxheytsojvga" TargetMode="External"/><Relationship Id="rId25" Type="http://schemas.openxmlformats.org/officeDocument/2006/relationships/hyperlink" Target="https://sip.legalis.pl/document-view.seam?documentId=mfrxilrtg4ytgmzugq2tqltqmfyc4nbxguzdamzvgy" TargetMode="External"/><Relationship Id="rId33" Type="http://schemas.openxmlformats.org/officeDocument/2006/relationships/hyperlink" Target="https://eur-lex.europa.eu/legal-content/PL/TXT/HTML/?uri=CELEX:32018L1972&amp;from=PL" TargetMode="External"/><Relationship Id="rId38" Type="http://schemas.openxmlformats.org/officeDocument/2006/relationships/hyperlink" Target="https://sip.legalis.pl/document-view.seam?documentId=mfrxilrtg4ytenzyha3toltqmfyc4nbug42tqnjrhe" TargetMode="External"/><Relationship Id="rId46" Type="http://schemas.openxmlformats.org/officeDocument/2006/relationships/theme" Target="theme/theme1.xml"/><Relationship Id="R74ae97da1e9e487e" Type="http://schemas.microsoft.com/office/2016/09/relationships/commentsIds" Target="commentsIds.xml"/><Relationship Id="rId2" Type="http://schemas.openxmlformats.org/officeDocument/2006/relationships/customXml" Target="../customXml/item2.xml"/><Relationship Id="rId16" Type="http://schemas.openxmlformats.org/officeDocument/2006/relationships/hyperlink" Target="https://sip.legalis.pl/document-view.seam?documentId=mfrxilrtg4ytcnrrha3tmltqmfyc4nbqgq4tmnbsgq" TargetMode="External"/><Relationship Id="rId20" Type="http://schemas.openxmlformats.org/officeDocument/2006/relationships/hyperlink" Target="https://sip.legalis.pl/document-view.seam?documentId=mfrxilrtg4ytenzyha3toltqmfyc4nbug42tqnbzgi" TargetMode="External"/><Relationship Id="rId29" Type="http://schemas.openxmlformats.org/officeDocument/2006/relationships/hyperlink" Target="https://sip.legalis.pl/document-view.seam?documentId=mfrxilrtg4ytgmzugq2tqltqmfyc4nbxguzdambtgq" TargetMode="External"/><Relationship Id="rId41" Type="http://schemas.openxmlformats.org/officeDocument/2006/relationships/hyperlink" Target="https://eur-lex.europa.eu/legal-content/PL/TXT/HTML/?uri=CELEX:32018L1972&amp;from=P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ip.legalis.pl/document-view.seam?documentId=mfrxilrtg4ytgnzuga2tkltqmfyc4nbzgiytgnjxgy" TargetMode="External"/><Relationship Id="rId24" Type="http://schemas.openxmlformats.org/officeDocument/2006/relationships/hyperlink" Target="https://sip.legalis.pl/document-view.seam?documentId=mfrxilrtg4ytkmryhaztoltqmfyc4njvga2tmnrrgq" TargetMode="External"/><Relationship Id="rId32" Type="http://schemas.openxmlformats.org/officeDocument/2006/relationships/hyperlink" Target="https://eur-lex.europa.eu/legal-content/PL/TXT/HTML/?uri=CELEX:32018L1972&amp;from=PL" TargetMode="External"/><Relationship Id="rId37" Type="http://schemas.openxmlformats.org/officeDocument/2006/relationships/hyperlink" Target="https://sip.legalis.pl/document-view.seam?documentId=mfrxilrtg4ytenzyha3toltqmfyc4nbug42tqnbzgi" TargetMode="External"/><Relationship Id="rId40" Type="http://schemas.openxmlformats.org/officeDocument/2006/relationships/hyperlink" Target="https://sip.legalis.pl/document-view.seam?documentId=mfrxilrtg4ytenzyha3toltqmfyc4nbug42tqnjrhe" TargetMode="External"/><Relationship Id="rId45"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sip.legalis.pl/document-view.seam?documentId=mfrxilrtg4ytcnrrha3tmltqmfyc4nbqgq4tkmztgm" TargetMode="External"/><Relationship Id="rId23" Type="http://schemas.openxmlformats.org/officeDocument/2006/relationships/hyperlink" Target="https://sip.legalis.pl/document-view.seam?documentId=mfrxilrtg4ytgojwga2taltqmfyc4njqge3demjrha" TargetMode="External"/><Relationship Id="rId28" Type="http://schemas.openxmlformats.org/officeDocument/2006/relationships/hyperlink" Target="https://sip.legalis.pl/document-view.seam?documentId=mfrxilrtg4ytgmzugq2tqltqmfyc4nbxguzdambygu" TargetMode="External"/><Relationship Id="rId36" Type="http://schemas.openxmlformats.org/officeDocument/2006/relationships/hyperlink" Target="https://sip.legalis.pl/document-view.seam?documentId=mfrxilrtg4ytenzyha3toltqmfyc4nbug42tonrwhe" TargetMode="External"/><Relationship Id="rId10" Type="http://schemas.openxmlformats.org/officeDocument/2006/relationships/endnotes" Target="endnotes.xml"/><Relationship Id="rId19" Type="http://schemas.openxmlformats.org/officeDocument/2006/relationships/hyperlink" Target="https://sip.legalis.pl/document-view.seam?documentId=mfrxilrtg4ytgnbsheydsltqmfyc4nbxheytsojyhe" TargetMode="External"/><Relationship Id="rId31" Type="http://schemas.openxmlformats.org/officeDocument/2006/relationships/hyperlink" Target="https://sip.legalis.pl/document-view.seam?documentId=mfrxilrtg4ytgmzugq2tqltqmfyc4nbxguzdamzsha" TargetMode="External"/><Relationship Id="rId44"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sip.legalis.pl/document-view.seam?documentId=mfrxilrtg4ytgnrvhe4tmltqmfyc4nbyha4tinrugm" TargetMode="External"/><Relationship Id="rId22" Type="http://schemas.openxmlformats.org/officeDocument/2006/relationships/hyperlink" Target="https://sip.legalis.pl/document-view.seam?documentId=mfrxilrtg4ytkojugq3daltqmfyc4njxguztmnrxge" TargetMode="External"/><Relationship Id="rId27" Type="http://schemas.openxmlformats.org/officeDocument/2006/relationships/hyperlink" Target="https://sip.legalis.pl/document-view.seam?documentId=mfrxilrtg4ytgmzugq2tqltqmfyc4nbxguytsmrtg4" TargetMode="External"/><Relationship Id="rId30" Type="http://schemas.openxmlformats.org/officeDocument/2006/relationships/hyperlink" Target="https://sip.legalis.pl/document-view.seam?documentId=mfrxilrtg4ytgmzugq2tqltqmfyc4nbxguzdamrxha" TargetMode="External"/><Relationship Id="rId35" Type="http://schemas.openxmlformats.org/officeDocument/2006/relationships/hyperlink" Target="https://sip.legalis.pl/document-view.seam?documentId=mfrxilrtg4ytenzyha3toltqmfyc4nbug42tonrwhe" TargetMode="External"/><Relationship Id="rId43"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3F6E13AC783CDB438E47BBE8E6BA8A05" ma:contentTypeVersion="2" ma:contentTypeDescription="Utwórz nowy dokument." ma:contentTypeScope="" ma:versionID="d5cc6ed15eb28dc8e1be14e554dbb8c1">
  <xsd:schema xmlns:xsd="http://www.w3.org/2001/XMLSchema" xmlns:xs="http://www.w3.org/2001/XMLSchema" xmlns:p="http://schemas.microsoft.com/office/2006/metadata/properties" xmlns:ns2="21e96d53-3bd9-4529-ac11-b7be00f7ccab" targetNamespace="http://schemas.microsoft.com/office/2006/metadata/properties" ma:root="true" ma:fieldsID="2333374bd81d8568bc0e6ce32fbe492b" ns2:_="">
    <xsd:import namespace="21e96d53-3bd9-4529-ac11-b7be00f7ccab"/>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1e96d53-3bd9-4529-ac11-b7be00f7cca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CB3ECE-9F33-46C7-A42F-A8DBF5F2E3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1e96d53-3bd9-4529-ac11-b7be00f7cca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D6C07F5-6D05-4F9B-80BA-590C0DE362B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70DBBB6-A218-4460-B339-757F5EE7285D}">
  <ds:schemaRefs>
    <ds:schemaRef ds:uri="http://schemas.microsoft.com/sharepoint/v3/contenttype/forms"/>
  </ds:schemaRefs>
</ds:datastoreItem>
</file>

<file path=customXml/itemProps4.xml><?xml version="1.0" encoding="utf-8"?>
<ds:datastoreItem xmlns:ds="http://schemas.openxmlformats.org/officeDocument/2006/customXml" ds:itemID="{349214B5-DC03-4117-964E-DDF53FE2F9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409</Pages>
  <Words>153648</Words>
  <Characters>921893</Characters>
  <Application>Microsoft Office Word</Application>
  <DocSecurity>0</DocSecurity>
  <Lines>7682</Lines>
  <Paragraphs>2146</Paragraphs>
  <ScaleCrop>false</ScaleCrop>
  <HeadingPairs>
    <vt:vector size="2" baseType="variant">
      <vt:variant>
        <vt:lpstr>Tytuł</vt:lpstr>
      </vt:variant>
      <vt:variant>
        <vt:i4>1</vt:i4>
      </vt:variant>
    </vt:vector>
  </HeadingPairs>
  <TitlesOfParts>
    <vt:vector size="1" baseType="lpstr">
      <vt:lpstr>TABELA ZBIEŻNOŚCI</vt:lpstr>
    </vt:vector>
  </TitlesOfParts>
  <Company>MI</Company>
  <LinksUpToDate>false</LinksUpToDate>
  <CharactersWithSpaces>1073395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TABELA ZBIEŻNOŚCI</dc:title>
  <dc:subject/>
  <dc:creator>Aleksandra Rutkowska</dc:creator>
  <cp:keywords/>
  <cp:lastModifiedBy>Książkiewicz Agnieszka</cp:lastModifiedBy>
  <cp:revision>5</cp:revision>
  <cp:lastPrinted>2018-11-14T11:36:00Z</cp:lastPrinted>
  <dcterms:created xsi:type="dcterms:W3CDTF">2021-02-12T08:26:00Z</dcterms:created>
  <dcterms:modified xsi:type="dcterms:W3CDTF">2021-02-12T09:11:00Z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0x0101003F6E13AC783CDB438E47BBE8E6BA8A05</vt:lpwstr>
  </property>
</Properties>
</file>